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38D3" w14:textId="77777777" w:rsidR="00E551D2" w:rsidRDefault="00E551D2" w:rsidP="00E551D2">
      <w:pPr>
        <w:pStyle w:val="Title"/>
      </w:pPr>
      <w:bookmarkStart w:id="0" w:name="_GoBack"/>
      <w:bookmarkEnd w:id="0"/>
    </w:p>
    <w:p w14:paraId="1895425B" w14:textId="77777777" w:rsidR="00E551D2" w:rsidRDefault="00E551D2" w:rsidP="00E551D2">
      <w:pPr>
        <w:pStyle w:val="Title"/>
      </w:pPr>
    </w:p>
    <w:p w14:paraId="311F69F0" w14:textId="77777777" w:rsidR="00E551D2" w:rsidRDefault="00E551D2" w:rsidP="00E551D2">
      <w:pPr>
        <w:pStyle w:val="Title"/>
      </w:pPr>
    </w:p>
    <w:p w14:paraId="1D2FDD9A" w14:textId="77777777" w:rsidR="00E551D2" w:rsidRDefault="00E551D2" w:rsidP="00E551D2">
      <w:pPr>
        <w:pStyle w:val="Title"/>
      </w:pPr>
    </w:p>
    <w:p w14:paraId="50552660" w14:textId="77777777" w:rsidR="00E551D2" w:rsidRDefault="00E551D2" w:rsidP="00E551D2">
      <w:pPr>
        <w:pStyle w:val="Title"/>
      </w:pPr>
    </w:p>
    <w:p w14:paraId="6DAE0B03" w14:textId="77777777" w:rsidR="00E551D2" w:rsidRDefault="00E551D2" w:rsidP="00E551D2">
      <w:pPr>
        <w:pStyle w:val="Title"/>
      </w:pPr>
    </w:p>
    <w:p w14:paraId="4F0D1D0C" w14:textId="41227C8C" w:rsidR="00E551D2" w:rsidRDefault="00E551D2" w:rsidP="00E551D2">
      <w:pPr>
        <w:pStyle w:val="Title"/>
      </w:pPr>
      <w:r>
        <w:t xml:space="preserve">Regulation impact statement – </w:t>
      </w:r>
      <w:r w:rsidR="00CE1767">
        <w:t>Timeliness of processes under the National Access Regime</w:t>
      </w:r>
    </w:p>
    <w:p w14:paraId="3CF04D32" w14:textId="77777777" w:rsidR="004F074D" w:rsidRDefault="00E551D2" w:rsidP="00E551D2">
      <w:pPr>
        <w:pStyle w:val="Title"/>
        <w:sectPr w:rsidR="004F074D">
          <w:headerReference w:type="default" r:id="rId7"/>
          <w:footerReference w:type="default" r:id="rId8"/>
          <w:pgSz w:w="11906" w:h="16838"/>
          <w:pgMar w:top="1440" w:right="1440" w:bottom="1440" w:left="1440" w:header="708" w:footer="708" w:gutter="0"/>
          <w:cols w:space="708"/>
          <w:docGrid w:linePitch="360"/>
        </w:sectPr>
      </w:pPr>
      <w:r>
        <w:br w:type="page"/>
      </w:r>
    </w:p>
    <w:sdt>
      <w:sdtPr>
        <w:rPr>
          <w:rFonts w:asciiTheme="minorHAnsi" w:eastAsiaTheme="minorHAnsi" w:hAnsiTheme="minorHAnsi" w:cstheme="minorBidi"/>
          <w:b w:val="0"/>
          <w:bCs w:val="0"/>
          <w:color w:val="auto"/>
          <w:sz w:val="22"/>
          <w:szCs w:val="22"/>
          <w:lang w:val="en-AU" w:eastAsia="en-US"/>
        </w:rPr>
        <w:id w:val="-863443742"/>
        <w:docPartObj>
          <w:docPartGallery w:val="Table of Contents"/>
          <w:docPartUnique/>
        </w:docPartObj>
      </w:sdtPr>
      <w:sdtEndPr>
        <w:rPr>
          <w:noProof/>
        </w:rPr>
      </w:sdtEndPr>
      <w:sdtContent>
        <w:p w14:paraId="33587672" w14:textId="0EF71D29" w:rsidR="00E551D2" w:rsidRDefault="00E551D2">
          <w:pPr>
            <w:pStyle w:val="TOCHeading"/>
          </w:pPr>
          <w:r>
            <w:t>Table of Contents</w:t>
          </w:r>
        </w:p>
        <w:p w14:paraId="6C46E07D" w14:textId="59C37874" w:rsidR="00D377BD" w:rsidRDefault="00E551D2">
          <w:pPr>
            <w:pStyle w:val="TOC1"/>
            <w:tabs>
              <w:tab w:val="left" w:pos="440"/>
              <w:tab w:val="right" w:leader="dot" w:pos="9016"/>
            </w:tabs>
            <w:rPr>
              <w:rFonts w:eastAsiaTheme="minorEastAsia"/>
              <w:noProof/>
              <w:lang w:eastAsia="en-AU"/>
            </w:rPr>
          </w:pPr>
          <w:r>
            <w:fldChar w:fldCharType="begin"/>
          </w:r>
          <w:r>
            <w:instrText xml:space="preserve"> TOC \o "1-3" \h \z \u </w:instrText>
          </w:r>
          <w:r>
            <w:fldChar w:fldCharType="separate"/>
          </w:r>
          <w:hyperlink w:anchor="_Toc71317835" w:history="1">
            <w:r w:rsidR="00D377BD" w:rsidRPr="00866F5D">
              <w:rPr>
                <w:rStyle w:val="Hyperlink"/>
                <w:noProof/>
              </w:rPr>
              <w:t>1.</w:t>
            </w:r>
            <w:r w:rsidR="00D377BD">
              <w:rPr>
                <w:rFonts w:eastAsiaTheme="minorEastAsia"/>
                <w:noProof/>
                <w:lang w:eastAsia="en-AU"/>
              </w:rPr>
              <w:tab/>
            </w:r>
            <w:r w:rsidR="00D377BD" w:rsidRPr="00866F5D">
              <w:rPr>
                <w:rStyle w:val="Hyperlink"/>
                <w:noProof/>
              </w:rPr>
              <w:t>Background and context</w:t>
            </w:r>
            <w:r w:rsidR="00D377BD">
              <w:rPr>
                <w:noProof/>
                <w:webHidden/>
              </w:rPr>
              <w:tab/>
            </w:r>
            <w:r w:rsidR="00D377BD">
              <w:rPr>
                <w:noProof/>
                <w:webHidden/>
              </w:rPr>
              <w:fldChar w:fldCharType="begin"/>
            </w:r>
            <w:r w:rsidR="00D377BD">
              <w:rPr>
                <w:noProof/>
                <w:webHidden/>
              </w:rPr>
              <w:instrText xml:space="preserve"> PAGEREF _Toc71317835 \h </w:instrText>
            </w:r>
            <w:r w:rsidR="00D377BD">
              <w:rPr>
                <w:noProof/>
                <w:webHidden/>
              </w:rPr>
            </w:r>
            <w:r w:rsidR="00D377BD">
              <w:rPr>
                <w:noProof/>
                <w:webHidden/>
              </w:rPr>
              <w:fldChar w:fldCharType="separate"/>
            </w:r>
            <w:r w:rsidR="00D377BD">
              <w:rPr>
                <w:noProof/>
                <w:webHidden/>
              </w:rPr>
              <w:t>5</w:t>
            </w:r>
            <w:r w:rsidR="00D377BD">
              <w:rPr>
                <w:noProof/>
                <w:webHidden/>
              </w:rPr>
              <w:fldChar w:fldCharType="end"/>
            </w:r>
          </w:hyperlink>
        </w:p>
        <w:p w14:paraId="761F0E1F" w14:textId="105B2BC0" w:rsidR="00D377BD" w:rsidRDefault="00035B03">
          <w:pPr>
            <w:pStyle w:val="TOC3"/>
            <w:tabs>
              <w:tab w:val="right" w:leader="dot" w:pos="9016"/>
            </w:tabs>
            <w:rPr>
              <w:rFonts w:eastAsiaTheme="minorEastAsia"/>
              <w:noProof/>
              <w:lang w:eastAsia="en-AU"/>
            </w:rPr>
          </w:pPr>
          <w:hyperlink w:anchor="_Toc71317836" w:history="1">
            <w:r w:rsidR="00D377BD" w:rsidRPr="00866F5D">
              <w:rPr>
                <w:rStyle w:val="Hyperlink"/>
                <w:noProof/>
              </w:rPr>
              <w:t>National Access Regime</w:t>
            </w:r>
            <w:r w:rsidR="00D377BD">
              <w:rPr>
                <w:noProof/>
                <w:webHidden/>
              </w:rPr>
              <w:tab/>
            </w:r>
            <w:r w:rsidR="00D377BD">
              <w:rPr>
                <w:noProof/>
                <w:webHidden/>
              </w:rPr>
              <w:fldChar w:fldCharType="begin"/>
            </w:r>
            <w:r w:rsidR="00D377BD">
              <w:rPr>
                <w:noProof/>
                <w:webHidden/>
              </w:rPr>
              <w:instrText xml:space="preserve"> PAGEREF _Toc71317836 \h </w:instrText>
            </w:r>
            <w:r w:rsidR="00D377BD">
              <w:rPr>
                <w:noProof/>
                <w:webHidden/>
              </w:rPr>
            </w:r>
            <w:r w:rsidR="00D377BD">
              <w:rPr>
                <w:noProof/>
                <w:webHidden/>
              </w:rPr>
              <w:fldChar w:fldCharType="separate"/>
            </w:r>
            <w:r w:rsidR="00D377BD">
              <w:rPr>
                <w:noProof/>
                <w:webHidden/>
              </w:rPr>
              <w:t>5</w:t>
            </w:r>
            <w:r w:rsidR="00D377BD">
              <w:rPr>
                <w:noProof/>
                <w:webHidden/>
              </w:rPr>
              <w:fldChar w:fldCharType="end"/>
            </w:r>
          </w:hyperlink>
        </w:p>
        <w:p w14:paraId="206DBF10" w14:textId="5E5DFAA0" w:rsidR="00D377BD" w:rsidRDefault="00035B03">
          <w:pPr>
            <w:pStyle w:val="TOC1"/>
            <w:tabs>
              <w:tab w:val="right" w:leader="dot" w:pos="9016"/>
            </w:tabs>
            <w:rPr>
              <w:rFonts w:eastAsiaTheme="minorEastAsia"/>
              <w:noProof/>
              <w:lang w:eastAsia="en-AU"/>
            </w:rPr>
          </w:pPr>
          <w:hyperlink w:anchor="_Toc71317837" w:history="1">
            <w:r w:rsidR="00D377BD" w:rsidRPr="00866F5D">
              <w:rPr>
                <w:rStyle w:val="Hyperlink"/>
                <w:noProof/>
              </w:rPr>
              <w:t>2. The problem – the timeliness of highly contentious matters</w:t>
            </w:r>
            <w:r w:rsidR="00D377BD">
              <w:rPr>
                <w:noProof/>
                <w:webHidden/>
              </w:rPr>
              <w:tab/>
            </w:r>
            <w:r w:rsidR="00D377BD">
              <w:rPr>
                <w:noProof/>
                <w:webHidden/>
              </w:rPr>
              <w:fldChar w:fldCharType="begin"/>
            </w:r>
            <w:r w:rsidR="00D377BD">
              <w:rPr>
                <w:noProof/>
                <w:webHidden/>
              </w:rPr>
              <w:instrText xml:space="preserve"> PAGEREF _Toc71317837 \h </w:instrText>
            </w:r>
            <w:r w:rsidR="00D377BD">
              <w:rPr>
                <w:noProof/>
                <w:webHidden/>
              </w:rPr>
            </w:r>
            <w:r w:rsidR="00D377BD">
              <w:rPr>
                <w:noProof/>
                <w:webHidden/>
              </w:rPr>
              <w:fldChar w:fldCharType="separate"/>
            </w:r>
            <w:r w:rsidR="00D377BD">
              <w:rPr>
                <w:noProof/>
                <w:webHidden/>
              </w:rPr>
              <w:t>5</w:t>
            </w:r>
            <w:r w:rsidR="00D377BD">
              <w:rPr>
                <w:noProof/>
                <w:webHidden/>
              </w:rPr>
              <w:fldChar w:fldCharType="end"/>
            </w:r>
          </w:hyperlink>
        </w:p>
        <w:p w14:paraId="2D478FC5" w14:textId="2FF2D6F2" w:rsidR="00D377BD" w:rsidRDefault="00035B03">
          <w:pPr>
            <w:pStyle w:val="TOC3"/>
            <w:tabs>
              <w:tab w:val="right" w:leader="dot" w:pos="9016"/>
            </w:tabs>
            <w:rPr>
              <w:rFonts w:eastAsiaTheme="minorEastAsia"/>
              <w:noProof/>
              <w:lang w:eastAsia="en-AU"/>
            </w:rPr>
          </w:pPr>
          <w:hyperlink w:anchor="_Toc71317838" w:history="1">
            <w:r w:rsidR="00D377BD" w:rsidRPr="00866F5D">
              <w:rPr>
                <w:rStyle w:val="Hyperlink"/>
                <w:noProof/>
              </w:rPr>
              <w:t>Stakeholder views</w:t>
            </w:r>
            <w:r w:rsidR="00D377BD">
              <w:rPr>
                <w:noProof/>
                <w:webHidden/>
              </w:rPr>
              <w:tab/>
            </w:r>
            <w:r w:rsidR="00D377BD">
              <w:rPr>
                <w:noProof/>
                <w:webHidden/>
              </w:rPr>
              <w:fldChar w:fldCharType="begin"/>
            </w:r>
            <w:r w:rsidR="00D377BD">
              <w:rPr>
                <w:noProof/>
                <w:webHidden/>
              </w:rPr>
              <w:instrText xml:space="preserve"> PAGEREF _Toc71317838 \h </w:instrText>
            </w:r>
            <w:r w:rsidR="00D377BD">
              <w:rPr>
                <w:noProof/>
                <w:webHidden/>
              </w:rPr>
            </w:r>
            <w:r w:rsidR="00D377BD">
              <w:rPr>
                <w:noProof/>
                <w:webHidden/>
              </w:rPr>
              <w:fldChar w:fldCharType="separate"/>
            </w:r>
            <w:r w:rsidR="00D377BD">
              <w:rPr>
                <w:noProof/>
                <w:webHidden/>
              </w:rPr>
              <w:t>6</w:t>
            </w:r>
            <w:r w:rsidR="00D377BD">
              <w:rPr>
                <w:noProof/>
                <w:webHidden/>
              </w:rPr>
              <w:fldChar w:fldCharType="end"/>
            </w:r>
          </w:hyperlink>
        </w:p>
        <w:p w14:paraId="2D6352EE" w14:textId="65B723B3" w:rsidR="00D377BD" w:rsidRDefault="00035B03">
          <w:pPr>
            <w:pStyle w:val="TOC3"/>
            <w:tabs>
              <w:tab w:val="right" w:leader="dot" w:pos="9016"/>
            </w:tabs>
            <w:rPr>
              <w:rFonts w:eastAsiaTheme="minorEastAsia"/>
              <w:noProof/>
              <w:lang w:eastAsia="en-AU"/>
            </w:rPr>
          </w:pPr>
          <w:hyperlink w:anchor="_Toc71317839" w:history="1">
            <w:r w:rsidR="00D377BD" w:rsidRPr="00866F5D">
              <w:rPr>
                <w:rStyle w:val="Hyperlink"/>
                <w:noProof/>
              </w:rPr>
              <w:t>Conclusion</w:t>
            </w:r>
            <w:r w:rsidR="00D377BD">
              <w:rPr>
                <w:noProof/>
                <w:webHidden/>
              </w:rPr>
              <w:tab/>
            </w:r>
            <w:r w:rsidR="00D377BD">
              <w:rPr>
                <w:noProof/>
                <w:webHidden/>
              </w:rPr>
              <w:fldChar w:fldCharType="begin"/>
            </w:r>
            <w:r w:rsidR="00D377BD">
              <w:rPr>
                <w:noProof/>
                <w:webHidden/>
              </w:rPr>
              <w:instrText xml:space="preserve"> PAGEREF _Toc71317839 \h </w:instrText>
            </w:r>
            <w:r w:rsidR="00D377BD">
              <w:rPr>
                <w:noProof/>
                <w:webHidden/>
              </w:rPr>
            </w:r>
            <w:r w:rsidR="00D377BD">
              <w:rPr>
                <w:noProof/>
                <w:webHidden/>
              </w:rPr>
              <w:fldChar w:fldCharType="separate"/>
            </w:r>
            <w:r w:rsidR="00D377BD">
              <w:rPr>
                <w:noProof/>
                <w:webHidden/>
              </w:rPr>
              <w:t>7</w:t>
            </w:r>
            <w:r w:rsidR="00D377BD">
              <w:rPr>
                <w:noProof/>
                <w:webHidden/>
              </w:rPr>
              <w:fldChar w:fldCharType="end"/>
            </w:r>
          </w:hyperlink>
        </w:p>
        <w:p w14:paraId="5671508C" w14:textId="1BED2AEB" w:rsidR="00D377BD" w:rsidRDefault="00035B03">
          <w:pPr>
            <w:pStyle w:val="TOC3"/>
            <w:tabs>
              <w:tab w:val="right" w:leader="dot" w:pos="9016"/>
            </w:tabs>
            <w:rPr>
              <w:rFonts w:eastAsiaTheme="minorEastAsia"/>
              <w:noProof/>
              <w:lang w:eastAsia="en-AU"/>
            </w:rPr>
          </w:pPr>
          <w:hyperlink w:anchor="_Toc71317840" w:history="1">
            <w:r w:rsidR="00D377BD" w:rsidRPr="00866F5D">
              <w:rPr>
                <w:rStyle w:val="Hyperlink"/>
                <w:noProof/>
              </w:rPr>
              <w:t>Merits and Judicial Review</w:t>
            </w:r>
            <w:r w:rsidR="00D377BD">
              <w:rPr>
                <w:noProof/>
                <w:webHidden/>
              </w:rPr>
              <w:tab/>
            </w:r>
            <w:r w:rsidR="00D377BD">
              <w:rPr>
                <w:noProof/>
                <w:webHidden/>
              </w:rPr>
              <w:fldChar w:fldCharType="begin"/>
            </w:r>
            <w:r w:rsidR="00D377BD">
              <w:rPr>
                <w:noProof/>
                <w:webHidden/>
              </w:rPr>
              <w:instrText xml:space="preserve"> PAGEREF _Toc71317840 \h </w:instrText>
            </w:r>
            <w:r w:rsidR="00D377BD">
              <w:rPr>
                <w:noProof/>
                <w:webHidden/>
              </w:rPr>
            </w:r>
            <w:r w:rsidR="00D377BD">
              <w:rPr>
                <w:noProof/>
                <w:webHidden/>
              </w:rPr>
              <w:fldChar w:fldCharType="separate"/>
            </w:r>
            <w:r w:rsidR="00D377BD">
              <w:rPr>
                <w:noProof/>
                <w:webHidden/>
              </w:rPr>
              <w:t>9</w:t>
            </w:r>
            <w:r w:rsidR="00D377BD">
              <w:rPr>
                <w:noProof/>
                <w:webHidden/>
              </w:rPr>
              <w:fldChar w:fldCharType="end"/>
            </w:r>
          </w:hyperlink>
        </w:p>
        <w:p w14:paraId="542BEDC4" w14:textId="5E85C171" w:rsidR="00D377BD" w:rsidRDefault="00035B03">
          <w:pPr>
            <w:pStyle w:val="TOC1"/>
            <w:tabs>
              <w:tab w:val="right" w:leader="dot" w:pos="9016"/>
            </w:tabs>
            <w:rPr>
              <w:rFonts w:eastAsiaTheme="minorEastAsia"/>
              <w:noProof/>
              <w:lang w:eastAsia="en-AU"/>
            </w:rPr>
          </w:pPr>
          <w:hyperlink w:anchor="_Toc71317841" w:history="1">
            <w:r w:rsidR="00D377BD" w:rsidRPr="00866F5D">
              <w:rPr>
                <w:rStyle w:val="Hyperlink"/>
                <w:noProof/>
              </w:rPr>
              <w:t>3. Case for government action</w:t>
            </w:r>
            <w:r w:rsidR="00D377BD">
              <w:rPr>
                <w:noProof/>
                <w:webHidden/>
              </w:rPr>
              <w:tab/>
            </w:r>
            <w:r w:rsidR="00D377BD">
              <w:rPr>
                <w:noProof/>
                <w:webHidden/>
              </w:rPr>
              <w:fldChar w:fldCharType="begin"/>
            </w:r>
            <w:r w:rsidR="00D377BD">
              <w:rPr>
                <w:noProof/>
                <w:webHidden/>
              </w:rPr>
              <w:instrText xml:space="preserve"> PAGEREF _Toc71317841 \h </w:instrText>
            </w:r>
            <w:r w:rsidR="00D377BD">
              <w:rPr>
                <w:noProof/>
                <w:webHidden/>
              </w:rPr>
            </w:r>
            <w:r w:rsidR="00D377BD">
              <w:rPr>
                <w:noProof/>
                <w:webHidden/>
              </w:rPr>
              <w:fldChar w:fldCharType="separate"/>
            </w:r>
            <w:r w:rsidR="00D377BD">
              <w:rPr>
                <w:noProof/>
                <w:webHidden/>
              </w:rPr>
              <w:t>9</w:t>
            </w:r>
            <w:r w:rsidR="00D377BD">
              <w:rPr>
                <w:noProof/>
                <w:webHidden/>
              </w:rPr>
              <w:fldChar w:fldCharType="end"/>
            </w:r>
          </w:hyperlink>
        </w:p>
        <w:p w14:paraId="344D490D" w14:textId="1CFB2406" w:rsidR="00D377BD" w:rsidRDefault="00035B03">
          <w:pPr>
            <w:pStyle w:val="TOC1"/>
            <w:tabs>
              <w:tab w:val="right" w:leader="dot" w:pos="9016"/>
            </w:tabs>
            <w:rPr>
              <w:rFonts w:eastAsiaTheme="minorEastAsia"/>
              <w:noProof/>
              <w:lang w:eastAsia="en-AU"/>
            </w:rPr>
          </w:pPr>
          <w:hyperlink w:anchor="_Toc71317842" w:history="1">
            <w:r w:rsidR="00D377BD" w:rsidRPr="00866F5D">
              <w:rPr>
                <w:rStyle w:val="Hyperlink"/>
                <w:noProof/>
              </w:rPr>
              <w:t>4. Policy options</w:t>
            </w:r>
            <w:r w:rsidR="00D377BD">
              <w:rPr>
                <w:noProof/>
                <w:webHidden/>
              </w:rPr>
              <w:tab/>
            </w:r>
            <w:r w:rsidR="00D377BD">
              <w:rPr>
                <w:noProof/>
                <w:webHidden/>
              </w:rPr>
              <w:fldChar w:fldCharType="begin"/>
            </w:r>
            <w:r w:rsidR="00D377BD">
              <w:rPr>
                <w:noProof/>
                <w:webHidden/>
              </w:rPr>
              <w:instrText xml:space="preserve"> PAGEREF _Toc71317842 \h </w:instrText>
            </w:r>
            <w:r w:rsidR="00D377BD">
              <w:rPr>
                <w:noProof/>
                <w:webHidden/>
              </w:rPr>
            </w:r>
            <w:r w:rsidR="00D377BD">
              <w:rPr>
                <w:noProof/>
                <w:webHidden/>
              </w:rPr>
              <w:fldChar w:fldCharType="separate"/>
            </w:r>
            <w:r w:rsidR="00D377BD">
              <w:rPr>
                <w:noProof/>
                <w:webHidden/>
              </w:rPr>
              <w:t>10</w:t>
            </w:r>
            <w:r w:rsidR="00D377BD">
              <w:rPr>
                <w:noProof/>
                <w:webHidden/>
              </w:rPr>
              <w:fldChar w:fldCharType="end"/>
            </w:r>
          </w:hyperlink>
        </w:p>
        <w:p w14:paraId="13F85131" w14:textId="0B9095AA" w:rsidR="00D377BD" w:rsidRDefault="00035B03">
          <w:pPr>
            <w:pStyle w:val="TOC3"/>
            <w:tabs>
              <w:tab w:val="right" w:leader="dot" w:pos="9016"/>
            </w:tabs>
            <w:rPr>
              <w:rFonts w:eastAsiaTheme="minorEastAsia"/>
              <w:noProof/>
              <w:lang w:eastAsia="en-AU"/>
            </w:rPr>
          </w:pPr>
          <w:hyperlink w:anchor="_Toc71317843" w:history="1">
            <w:r w:rsidR="00D377BD" w:rsidRPr="00866F5D">
              <w:rPr>
                <w:rStyle w:val="Hyperlink"/>
                <w:noProof/>
              </w:rPr>
              <w:t>Merits review</w:t>
            </w:r>
            <w:r w:rsidR="00D377BD">
              <w:rPr>
                <w:noProof/>
                <w:webHidden/>
              </w:rPr>
              <w:tab/>
            </w:r>
            <w:r w:rsidR="00D377BD">
              <w:rPr>
                <w:noProof/>
                <w:webHidden/>
              </w:rPr>
              <w:fldChar w:fldCharType="begin"/>
            </w:r>
            <w:r w:rsidR="00D377BD">
              <w:rPr>
                <w:noProof/>
                <w:webHidden/>
              </w:rPr>
              <w:instrText xml:space="preserve"> PAGEREF _Toc71317843 \h </w:instrText>
            </w:r>
            <w:r w:rsidR="00D377BD">
              <w:rPr>
                <w:noProof/>
                <w:webHidden/>
              </w:rPr>
            </w:r>
            <w:r w:rsidR="00D377BD">
              <w:rPr>
                <w:noProof/>
                <w:webHidden/>
              </w:rPr>
              <w:fldChar w:fldCharType="separate"/>
            </w:r>
            <w:r w:rsidR="00D377BD">
              <w:rPr>
                <w:noProof/>
                <w:webHidden/>
              </w:rPr>
              <w:t>10</w:t>
            </w:r>
            <w:r w:rsidR="00D377BD">
              <w:rPr>
                <w:noProof/>
                <w:webHidden/>
              </w:rPr>
              <w:fldChar w:fldCharType="end"/>
            </w:r>
          </w:hyperlink>
        </w:p>
        <w:p w14:paraId="384F73A2" w14:textId="10D8D1F5" w:rsidR="00D377BD" w:rsidRDefault="00035B03">
          <w:pPr>
            <w:pStyle w:val="TOC3"/>
            <w:tabs>
              <w:tab w:val="right" w:leader="dot" w:pos="9016"/>
            </w:tabs>
            <w:rPr>
              <w:rFonts w:eastAsiaTheme="minorEastAsia"/>
              <w:noProof/>
              <w:lang w:eastAsia="en-AU"/>
            </w:rPr>
          </w:pPr>
          <w:hyperlink w:anchor="_Toc71317844" w:history="1">
            <w:r w:rsidR="00D377BD" w:rsidRPr="00866F5D">
              <w:rPr>
                <w:rStyle w:val="Hyperlink"/>
                <w:noProof/>
              </w:rPr>
              <w:t>Repeat applications</w:t>
            </w:r>
            <w:r w:rsidR="00D377BD">
              <w:rPr>
                <w:noProof/>
                <w:webHidden/>
              </w:rPr>
              <w:tab/>
            </w:r>
            <w:r w:rsidR="00D377BD">
              <w:rPr>
                <w:noProof/>
                <w:webHidden/>
              </w:rPr>
              <w:fldChar w:fldCharType="begin"/>
            </w:r>
            <w:r w:rsidR="00D377BD">
              <w:rPr>
                <w:noProof/>
                <w:webHidden/>
              </w:rPr>
              <w:instrText xml:space="preserve"> PAGEREF _Toc71317844 \h </w:instrText>
            </w:r>
            <w:r w:rsidR="00D377BD">
              <w:rPr>
                <w:noProof/>
                <w:webHidden/>
              </w:rPr>
            </w:r>
            <w:r w:rsidR="00D377BD">
              <w:rPr>
                <w:noProof/>
                <w:webHidden/>
              </w:rPr>
              <w:fldChar w:fldCharType="separate"/>
            </w:r>
            <w:r w:rsidR="00D377BD">
              <w:rPr>
                <w:noProof/>
                <w:webHidden/>
              </w:rPr>
              <w:t>12</w:t>
            </w:r>
            <w:r w:rsidR="00D377BD">
              <w:rPr>
                <w:noProof/>
                <w:webHidden/>
              </w:rPr>
              <w:fldChar w:fldCharType="end"/>
            </w:r>
          </w:hyperlink>
        </w:p>
        <w:p w14:paraId="5B13D57B" w14:textId="13544AF8" w:rsidR="00D377BD" w:rsidRDefault="00035B03">
          <w:pPr>
            <w:pStyle w:val="TOC3"/>
            <w:tabs>
              <w:tab w:val="right" w:leader="dot" w:pos="9016"/>
            </w:tabs>
            <w:rPr>
              <w:rFonts w:eastAsiaTheme="minorEastAsia"/>
              <w:noProof/>
              <w:lang w:eastAsia="en-AU"/>
            </w:rPr>
          </w:pPr>
          <w:hyperlink w:anchor="_Toc71317845" w:history="1">
            <w:r w:rsidR="00D377BD" w:rsidRPr="00866F5D">
              <w:rPr>
                <w:rStyle w:val="Hyperlink"/>
                <w:noProof/>
              </w:rPr>
              <w:t>Addressing anomalies relating to ongoing arbitration processes and determinations</w:t>
            </w:r>
            <w:r w:rsidR="00D377BD">
              <w:rPr>
                <w:noProof/>
                <w:webHidden/>
              </w:rPr>
              <w:tab/>
            </w:r>
            <w:r w:rsidR="00D377BD">
              <w:rPr>
                <w:noProof/>
                <w:webHidden/>
              </w:rPr>
              <w:fldChar w:fldCharType="begin"/>
            </w:r>
            <w:r w:rsidR="00D377BD">
              <w:rPr>
                <w:noProof/>
                <w:webHidden/>
              </w:rPr>
              <w:instrText xml:space="preserve"> PAGEREF _Toc71317845 \h </w:instrText>
            </w:r>
            <w:r w:rsidR="00D377BD">
              <w:rPr>
                <w:noProof/>
                <w:webHidden/>
              </w:rPr>
            </w:r>
            <w:r w:rsidR="00D377BD">
              <w:rPr>
                <w:noProof/>
                <w:webHidden/>
              </w:rPr>
              <w:fldChar w:fldCharType="separate"/>
            </w:r>
            <w:r w:rsidR="00D377BD">
              <w:rPr>
                <w:noProof/>
                <w:webHidden/>
              </w:rPr>
              <w:t>13</w:t>
            </w:r>
            <w:r w:rsidR="00D377BD">
              <w:rPr>
                <w:noProof/>
                <w:webHidden/>
              </w:rPr>
              <w:fldChar w:fldCharType="end"/>
            </w:r>
          </w:hyperlink>
        </w:p>
        <w:p w14:paraId="22F1C267" w14:textId="5D767411" w:rsidR="00D377BD" w:rsidRDefault="00035B03">
          <w:pPr>
            <w:pStyle w:val="TOC1"/>
            <w:tabs>
              <w:tab w:val="right" w:leader="dot" w:pos="9016"/>
            </w:tabs>
            <w:rPr>
              <w:rFonts w:eastAsiaTheme="minorEastAsia"/>
              <w:noProof/>
              <w:lang w:eastAsia="en-AU"/>
            </w:rPr>
          </w:pPr>
          <w:hyperlink w:anchor="_Toc71317846" w:history="1">
            <w:r w:rsidR="00D377BD" w:rsidRPr="00866F5D">
              <w:rPr>
                <w:rStyle w:val="Hyperlink"/>
                <w:noProof/>
              </w:rPr>
              <w:t>5. Impact analysis</w:t>
            </w:r>
            <w:r w:rsidR="00D377BD">
              <w:rPr>
                <w:noProof/>
                <w:webHidden/>
              </w:rPr>
              <w:tab/>
            </w:r>
            <w:r w:rsidR="00D377BD">
              <w:rPr>
                <w:noProof/>
                <w:webHidden/>
              </w:rPr>
              <w:fldChar w:fldCharType="begin"/>
            </w:r>
            <w:r w:rsidR="00D377BD">
              <w:rPr>
                <w:noProof/>
                <w:webHidden/>
              </w:rPr>
              <w:instrText xml:space="preserve"> PAGEREF _Toc71317846 \h </w:instrText>
            </w:r>
            <w:r w:rsidR="00D377BD">
              <w:rPr>
                <w:noProof/>
                <w:webHidden/>
              </w:rPr>
            </w:r>
            <w:r w:rsidR="00D377BD">
              <w:rPr>
                <w:noProof/>
                <w:webHidden/>
              </w:rPr>
              <w:fldChar w:fldCharType="separate"/>
            </w:r>
            <w:r w:rsidR="00D377BD">
              <w:rPr>
                <w:noProof/>
                <w:webHidden/>
              </w:rPr>
              <w:t>14</w:t>
            </w:r>
            <w:r w:rsidR="00D377BD">
              <w:rPr>
                <w:noProof/>
                <w:webHidden/>
              </w:rPr>
              <w:fldChar w:fldCharType="end"/>
            </w:r>
          </w:hyperlink>
        </w:p>
        <w:p w14:paraId="2FBBA06B" w14:textId="74120322" w:rsidR="00D377BD" w:rsidRDefault="00035B03">
          <w:pPr>
            <w:pStyle w:val="TOC1"/>
            <w:tabs>
              <w:tab w:val="right" w:leader="dot" w:pos="9016"/>
            </w:tabs>
            <w:rPr>
              <w:rFonts w:eastAsiaTheme="minorEastAsia"/>
              <w:noProof/>
              <w:lang w:eastAsia="en-AU"/>
            </w:rPr>
          </w:pPr>
          <w:hyperlink w:anchor="_Toc71317847" w:history="1">
            <w:r w:rsidR="00D377BD" w:rsidRPr="00866F5D">
              <w:rPr>
                <w:rStyle w:val="Hyperlink"/>
                <w:noProof/>
              </w:rPr>
              <w:t>6. Consultation</w:t>
            </w:r>
            <w:r w:rsidR="00D377BD">
              <w:rPr>
                <w:noProof/>
                <w:webHidden/>
              </w:rPr>
              <w:tab/>
            </w:r>
            <w:r w:rsidR="00D377BD">
              <w:rPr>
                <w:noProof/>
                <w:webHidden/>
              </w:rPr>
              <w:fldChar w:fldCharType="begin"/>
            </w:r>
            <w:r w:rsidR="00D377BD">
              <w:rPr>
                <w:noProof/>
                <w:webHidden/>
              </w:rPr>
              <w:instrText xml:space="preserve"> PAGEREF _Toc71317847 \h </w:instrText>
            </w:r>
            <w:r w:rsidR="00D377BD">
              <w:rPr>
                <w:noProof/>
                <w:webHidden/>
              </w:rPr>
            </w:r>
            <w:r w:rsidR="00D377BD">
              <w:rPr>
                <w:noProof/>
                <w:webHidden/>
              </w:rPr>
              <w:fldChar w:fldCharType="separate"/>
            </w:r>
            <w:r w:rsidR="00D377BD">
              <w:rPr>
                <w:noProof/>
                <w:webHidden/>
              </w:rPr>
              <w:t>22</w:t>
            </w:r>
            <w:r w:rsidR="00D377BD">
              <w:rPr>
                <w:noProof/>
                <w:webHidden/>
              </w:rPr>
              <w:fldChar w:fldCharType="end"/>
            </w:r>
          </w:hyperlink>
        </w:p>
        <w:p w14:paraId="4C05E8C9" w14:textId="46140B62" w:rsidR="00D377BD" w:rsidRDefault="00035B03">
          <w:pPr>
            <w:pStyle w:val="TOC1"/>
            <w:tabs>
              <w:tab w:val="right" w:leader="dot" w:pos="9016"/>
            </w:tabs>
            <w:rPr>
              <w:rFonts w:eastAsiaTheme="minorEastAsia"/>
              <w:noProof/>
              <w:lang w:eastAsia="en-AU"/>
            </w:rPr>
          </w:pPr>
          <w:hyperlink w:anchor="_Toc71317848" w:history="1">
            <w:r w:rsidR="00D377BD" w:rsidRPr="00866F5D">
              <w:rPr>
                <w:rStyle w:val="Hyperlink"/>
                <w:noProof/>
              </w:rPr>
              <w:t>7. Preferred Approach</w:t>
            </w:r>
            <w:r w:rsidR="00D377BD">
              <w:rPr>
                <w:noProof/>
                <w:webHidden/>
              </w:rPr>
              <w:tab/>
            </w:r>
            <w:r w:rsidR="00D377BD">
              <w:rPr>
                <w:noProof/>
                <w:webHidden/>
              </w:rPr>
              <w:fldChar w:fldCharType="begin"/>
            </w:r>
            <w:r w:rsidR="00D377BD">
              <w:rPr>
                <w:noProof/>
                <w:webHidden/>
              </w:rPr>
              <w:instrText xml:space="preserve"> PAGEREF _Toc71317848 \h </w:instrText>
            </w:r>
            <w:r w:rsidR="00D377BD">
              <w:rPr>
                <w:noProof/>
                <w:webHidden/>
              </w:rPr>
            </w:r>
            <w:r w:rsidR="00D377BD">
              <w:rPr>
                <w:noProof/>
                <w:webHidden/>
              </w:rPr>
              <w:fldChar w:fldCharType="separate"/>
            </w:r>
            <w:r w:rsidR="00D377BD">
              <w:rPr>
                <w:noProof/>
                <w:webHidden/>
              </w:rPr>
              <w:t>23</w:t>
            </w:r>
            <w:r w:rsidR="00D377BD">
              <w:rPr>
                <w:noProof/>
                <w:webHidden/>
              </w:rPr>
              <w:fldChar w:fldCharType="end"/>
            </w:r>
          </w:hyperlink>
        </w:p>
        <w:p w14:paraId="19C03E8A" w14:textId="362AA099" w:rsidR="00D377BD" w:rsidRDefault="00035B03">
          <w:pPr>
            <w:pStyle w:val="TOC1"/>
            <w:tabs>
              <w:tab w:val="right" w:leader="dot" w:pos="9016"/>
            </w:tabs>
            <w:rPr>
              <w:rFonts w:eastAsiaTheme="minorEastAsia"/>
              <w:noProof/>
              <w:lang w:eastAsia="en-AU"/>
            </w:rPr>
          </w:pPr>
          <w:hyperlink w:anchor="_Toc71317849" w:history="1">
            <w:r w:rsidR="00D377BD" w:rsidRPr="00866F5D">
              <w:rPr>
                <w:rStyle w:val="Hyperlink"/>
                <w:noProof/>
              </w:rPr>
              <w:t>8. Implementation and evaluation</w:t>
            </w:r>
            <w:r w:rsidR="00D377BD">
              <w:rPr>
                <w:noProof/>
                <w:webHidden/>
              </w:rPr>
              <w:tab/>
            </w:r>
            <w:r w:rsidR="00D377BD">
              <w:rPr>
                <w:noProof/>
                <w:webHidden/>
              </w:rPr>
              <w:fldChar w:fldCharType="begin"/>
            </w:r>
            <w:r w:rsidR="00D377BD">
              <w:rPr>
                <w:noProof/>
                <w:webHidden/>
              </w:rPr>
              <w:instrText xml:space="preserve"> PAGEREF _Toc71317849 \h </w:instrText>
            </w:r>
            <w:r w:rsidR="00D377BD">
              <w:rPr>
                <w:noProof/>
                <w:webHidden/>
              </w:rPr>
            </w:r>
            <w:r w:rsidR="00D377BD">
              <w:rPr>
                <w:noProof/>
                <w:webHidden/>
              </w:rPr>
              <w:fldChar w:fldCharType="separate"/>
            </w:r>
            <w:r w:rsidR="00D377BD">
              <w:rPr>
                <w:noProof/>
                <w:webHidden/>
              </w:rPr>
              <w:t>23</w:t>
            </w:r>
            <w:r w:rsidR="00D377BD">
              <w:rPr>
                <w:noProof/>
                <w:webHidden/>
              </w:rPr>
              <w:fldChar w:fldCharType="end"/>
            </w:r>
          </w:hyperlink>
        </w:p>
        <w:p w14:paraId="7F2BED99" w14:textId="6D72C94F" w:rsidR="00D377BD" w:rsidRDefault="00035B03">
          <w:pPr>
            <w:pStyle w:val="TOC1"/>
            <w:tabs>
              <w:tab w:val="right" w:leader="dot" w:pos="9016"/>
            </w:tabs>
            <w:rPr>
              <w:rFonts w:eastAsiaTheme="minorEastAsia"/>
              <w:noProof/>
              <w:lang w:eastAsia="en-AU"/>
            </w:rPr>
          </w:pPr>
          <w:hyperlink w:anchor="_Toc71317850" w:history="1">
            <w:r w:rsidR="00D377BD" w:rsidRPr="00866F5D">
              <w:rPr>
                <w:rStyle w:val="Hyperlink"/>
                <w:noProof/>
              </w:rPr>
              <w:t>APPENDIX A</w:t>
            </w:r>
            <w:r w:rsidR="00D377BD">
              <w:rPr>
                <w:noProof/>
                <w:webHidden/>
              </w:rPr>
              <w:tab/>
            </w:r>
            <w:r w:rsidR="00D377BD">
              <w:rPr>
                <w:noProof/>
                <w:webHidden/>
              </w:rPr>
              <w:fldChar w:fldCharType="begin"/>
            </w:r>
            <w:r w:rsidR="00D377BD">
              <w:rPr>
                <w:noProof/>
                <w:webHidden/>
              </w:rPr>
              <w:instrText xml:space="preserve"> PAGEREF _Toc71317850 \h </w:instrText>
            </w:r>
            <w:r w:rsidR="00D377BD">
              <w:rPr>
                <w:noProof/>
                <w:webHidden/>
              </w:rPr>
            </w:r>
            <w:r w:rsidR="00D377BD">
              <w:rPr>
                <w:noProof/>
                <w:webHidden/>
              </w:rPr>
              <w:fldChar w:fldCharType="separate"/>
            </w:r>
            <w:r w:rsidR="00D377BD">
              <w:rPr>
                <w:noProof/>
                <w:webHidden/>
              </w:rPr>
              <w:t>24</w:t>
            </w:r>
            <w:r w:rsidR="00D377BD">
              <w:rPr>
                <w:noProof/>
                <w:webHidden/>
              </w:rPr>
              <w:fldChar w:fldCharType="end"/>
            </w:r>
          </w:hyperlink>
        </w:p>
        <w:p w14:paraId="534712FF" w14:textId="718762B7" w:rsidR="00D377BD" w:rsidRDefault="00035B03">
          <w:pPr>
            <w:pStyle w:val="TOC2"/>
            <w:tabs>
              <w:tab w:val="right" w:leader="dot" w:pos="9016"/>
            </w:tabs>
            <w:rPr>
              <w:rFonts w:eastAsiaTheme="minorEastAsia"/>
              <w:noProof/>
              <w:lang w:eastAsia="en-AU"/>
            </w:rPr>
          </w:pPr>
          <w:hyperlink w:anchor="_Toc71317851" w:history="1">
            <w:r w:rsidR="00D377BD" w:rsidRPr="00866F5D">
              <w:rPr>
                <w:rStyle w:val="Hyperlink"/>
                <w:noProof/>
              </w:rPr>
              <w:t>The National Access Regime – current declaration and arbitration processes</w:t>
            </w:r>
            <w:r w:rsidR="00D377BD">
              <w:rPr>
                <w:noProof/>
                <w:webHidden/>
              </w:rPr>
              <w:tab/>
            </w:r>
            <w:r w:rsidR="00D377BD">
              <w:rPr>
                <w:noProof/>
                <w:webHidden/>
              </w:rPr>
              <w:fldChar w:fldCharType="begin"/>
            </w:r>
            <w:r w:rsidR="00D377BD">
              <w:rPr>
                <w:noProof/>
                <w:webHidden/>
              </w:rPr>
              <w:instrText xml:space="preserve"> PAGEREF _Toc71317851 \h </w:instrText>
            </w:r>
            <w:r w:rsidR="00D377BD">
              <w:rPr>
                <w:noProof/>
                <w:webHidden/>
              </w:rPr>
            </w:r>
            <w:r w:rsidR="00D377BD">
              <w:rPr>
                <w:noProof/>
                <w:webHidden/>
              </w:rPr>
              <w:fldChar w:fldCharType="separate"/>
            </w:r>
            <w:r w:rsidR="00D377BD">
              <w:rPr>
                <w:noProof/>
                <w:webHidden/>
              </w:rPr>
              <w:t>24</w:t>
            </w:r>
            <w:r w:rsidR="00D377BD">
              <w:rPr>
                <w:noProof/>
                <w:webHidden/>
              </w:rPr>
              <w:fldChar w:fldCharType="end"/>
            </w:r>
          </w:hyperlink>
        </w:p>
        <w:p w14:paraId="68B0A9C2" w14:textId="31244763" w:rsidR="00D377BD" w:rsidRDefault="00035B03">
          <w:pPr>
            <w:pStyle w:val="TOC3"/>
            <w:tabs>
              <w:tab w:val="right" w:leader="dot" w:pos="9016"/>
            </w:tabs>
            <w:rPr>
              <w:rFonts w:eastAsiaTheme="minorEastAsia"/>
              <w:noProof/>
              <w:lang w:eastAsia="en-AU"/>
            </w:rPr>
          </w:pPr>
          <w:hyperlink w:anchor="_Toc71317852" w:history="1">
            <w:r w:rsidR="00D377BD" w:rsidRPr="00866F5D">
              <w:rPr>
                <w:rStyle w:val="Hyperlink"/>
                <w:noProof/>
              </w:rPr>
              <w:t>Why was the NAR introduced?</w:t>
            </w:r>
            <w:r w:rsidR="00D377BD">
              <w:rPr>
                <w:noProof/>
                <w:webHidden/>
              </w:rPr>
              <w:tab/>
            </w:r>
            <w:r w:rsidR="00D377BD">
              <w:rPr>
                <w:noProof/>
                <w:webHidden/>
              </w:rPr>
              <w:fldChar w:fldCharType="begin"/>
            </w:r>
            <w:r w:rsidR="00D377BD">
              <w:rPr>
                <w:noProof/>
                <w:webHidden/>
              </w:rPr>
              <w:instrText xml:space="preserve"> PAGEREF _Toc71317852 \h </w:instrText>
            </w:r>
            <w:r w:rsidR="00D377BD">
              <w:rPr>
                <w:noProof/>
                <w:webHidden/>
              </w:rPr>
            </w:r>
            <w:r w:rsidR="00D377BD">
              <w:rPr>
                <w:noProof/>
                <w:webHidden/>
              </w:rPr>
              <w:fldChar w:fldCharType="separate"/>
            </w:r>
            <w:r w:rsidR="00D377BD">
              <w:rPr>
                <w:noProof/>
                <w:webHidden/>
              </w:rPr>
              <w:t>24</w:t>
            </w:r>
            <w:r w:rsidR="00D377BD">
              <w:rPr>
                <w:noProof/>
                <w:webHidden/>
              </w:rPr>
              <w:fldChar w:fldCharType="end"/>
            </w:r>
          </w:hyperlink>
        </w:p>
        <w:p w14:paraId="5C6D719C" w14:textId="309BF93C" w:rsidR="00D377BD" w:rsidRDefault="00035B03">
          <w:pPr>
            <w:pStyle w:val="TOC3"/>
            <w:tabs>
              <w:tab w:val="right" w:leader="dot" w:pos="9016"/>
            </w:tabs>
            <w:rPr>
              <w:rFonts w:eastAsiaTheme="minorEastAsia"/>
              <w:noProof/>
              <w:lang w:eastAsia="en-AU"/>
            </w:rPr>
          </w:pPr>
          <w:hyperlink w:anchor="_Toc71317853" w:history="1">
            <w:r w:rsidR="00D377BD" w:rsidRPr="00866F5D">
              <w:rPr>
                <w:rStyle w:val="Hyperlink"/>
                <w:noProof/>
              </w:rPr>
              <w:t>Case studies of National Access Regime matters</w:t>
            </w:r>
            <w:r w:rsidR="00D377BD">
              <w:rPr>
                <w:noProof/>
                <w:webHidden/>
              </w:rPr>
              <w:tab/>
            </w:r>
            <w:r w:rsidR="00D377BD">
              <w:rPr>
                <w:noProof/>
                <w:webHidden/>
              </w:rPr>
              <w:fldChar w:fldCharType="begin"/>
            </w:r>
            <w:r w:rsidR="00D377BD">
              <w:rPr>
                <w:noProof/>
                <w:webHidden/>
              </w:rPr>
              <w:instrText xml:space="preserve"> PAGEREF _Toc71317853 \h </w:instrText>
            </w:r>
            <w:r w:rsidR="00D377BD">
              <w:rPr>
                <w:noProof/>
                <w:webHidden/>
              </w:rPr>
            </w:r>
            <w:r w:rsidR="00D377BD">
              <w:rPr>
                <w:noProof/>
                <w:webHidden/>
              </w:rPr>
              <w:fldChar w:fldCharType="separate"/>
            </w:r>
            <w:r w:rsidR="00D377BD">
              <w:rPr>
                <w:noProof/>
                <w:webHidden/>
              </w:rPr>
              <w:t>25</w:t>
            </w:r>
            <w:r w:rsidR="00D377BD">
              <w:rPr>
                <w:noProof/>
                <w:webHidden/>
              </w:rPr>
              <w:fldChar w:fldCharType="end"/>
            </w:r>
          </w:hyperlink>
        </w:p>
        <w:p w14:paraId="6DAC4A5B" w14:textId="1E92B0DB" w:rsidR="00D377BD" w:rsidRDefault="00035B03">
          <w:pPr>
            <w:pStyle w:val="TOC3"/>
            <w:tabs>
              <w:tab w:val="right" w:leader="dot" w:pos="9016"/>
            </w:tabs>
            <w:rPr>
              <w:rFonts w:eastAsiaTheme="minorEastAsia"/>
              <w:noProof/>
              <w:lang w:eastAsia="en-AU"/>
            </w:rPr>
          </w:pPr>
          <w:hyperlink w:anchor="_Toc71317854" w:history="1">
            <w:r w:rsidR="00D377BD" w:rsidRPr="00866F5D">
              <w:rPr>
                <w:rStyle w:val="Hyperlink"/>
                <w:noProof/>
              </w:rPr>
              <w:t>NAR matters</w:t>
            </w:r>
            <w:r w:rsidR="00D377BD">
              <w:rPr>
                <w:noProof/>
                <w:webHidden/>
              </w:rPr>
              <w:tab/>
            </w:r>
            <w:r w:rsidR="00D377BD">
              <w:rPr>
                <w:noProof/>
                <w:webHidden/>
              </w:rPr>
              <w:fldChar w:fldCharType="begin"/>
            </w:r>
            <w:r w:rsidR="00D377BD">
              <w:rPr>
                <w:noProof/>
                <w:webHidden/>
              </w:rPr>
              <w:instrText xml:space="preserve"> PAGEREF _Toc71317854 \h </w:instrText>
            </w:r>
            <w:r w:rsidR="00D377BD">
              <w:rPr>
                <w:noProof/>
                <w:webHidden/>
              </w:rPr>
            </w:r>
            <w:r w:rsidR="00D377BD">
              <w:rPr>
                <w:noProof/>
                <w:webHidden/>
              </w:rPr>
              <w:fldChar w:fldCharType="separate"/>
            </w:r>
            <w:r w:rsidR="00D377BD">
              <w:rPr>
                <w:noProof/>
                <w:webHidden/>
              </w:rPr>
              <w:t>26</w:t>
            </w:r>
            <w:r w:rsidR="00D377BD">
              <w:rPr>
                <w:noProof/>
                <w:webHidden/>
              </w:rPr>
              <w:fldChar w:fldCharType="end"/>
            </w:r>
          </w:hyperlink>
        </w:p>
        <w:p w14:paraId="05AD795A" w14:textId="36DC38C2" w:rsidR="00D377BD" w:rsidRDefault="00035B03">
          <w:pPr>
            <w:pStyle w:val="TOC1"/>
            <w:tabs>
              <w:tab w:val="right" w:leader="dot" w:pos="9016"/>
            </w:tabs>
            <w:rPr>
              <w:rFonts w:eastAsiaTheme="minorEastAsia"/>
              <w:noProof/>
              <w:lang w:eastAsia="en-AU"/>
            </w:rPr>
          </w:pPr>
          <w:hyperlink w:anchor="_Toc71317855" w:history="1">
            <w:r w:rsidR="00D377BD" w:rsidRPr="00866F5D">
              <w:rPr>
                <w:rStyle w:val="Hyperlink"/>
                <w:noProof/>
              </w:rPr>
              <w:t>APPENDIX B</w:t>
            </w:r>
            <w:r w:rsidR="00D377BD">
              <w:rPr>
                <w:noProof/>
                <w:webHidden/>
              </w:rPr>
              <w:tab/>
            </w:r>
            <w:r w:rsidR="00D377BD">
              <w:rPr>
                <w:noProof/>
                <w:webHidden/>
              </w:rPr>
              <w:fldChar w:fldCharType="begin"/>
            </w:r>
            <w:r w:rsidR="00D377BD">
              <w:rPr>
                <w:noProof/>
                <w:webHidden/>
              </w:rPr>
              <w:instrText xml:space="preserve"> PAGEREF _Toc71317855 \h </w:instrText>
            </w:r>
            <w:r w:rsidR="00D377BD">
              <w:rPr>
                <w:noProof/>
                <w:webHidden/>
              </w:rPr>
            </w:r>
            <w:r w:rsidR="00D377BD">
              <w:rPr>
                <w:noProof/>
                <w:webHidden/>
              </w:rPr>
              <w:fldChar w:fldCharType="separate"/>
            </w:r>
            <w:r w:rsidR="00D377BD">
              <w:rPr>
                <w:noProof/>
                <w:webHidden/>
              </w:rPr>
              <w:t>30</w:t>
            </w:r>
            <w:r w:rsidR="00D377BD">
              <w:rPr>
                <w:noProof/>
                <w:webHidden/>
              </w:rPr>
              <w:fldChar w:fldCharType="end"/>
            </w:r>
          </w:hyperlink>
        </w:p>
        <w:p w14:paraId="6B152192" w14:textId="673F8F8E" w:rsidR="00D377BD" w:rsidRDefault="00035B03">
          <w:pPr>
            <w:pStyle w:val="TOC2"/>
            <w:tabs>
              <w:tab w:val="right" w:leader="dot" w:pos="9016"/>
            </w:tabs>
            <w:rPr>
              <w:rFonts w:eastAsiaTheme="minorEastAsia"/>
              <w:noProof/>
              <w:lang w:eastAsia="en-AU"/>
            </w:rPr>
          </w:pPr>
          <w:hyperlink w:anchor="_Toc71317856" w:history="1">
            <w:r w:rsidR="00D377BD" w:rsidRPr="00866F5D">
              <w:rPr>
                <w:rStyle w:val="Hyperlink"/>
                <w:noProof/>
              </w:rPr>
              <w:t>Key Points Raised by Stakeholders During Consultation</w:t>
            </w:r>
            <w:r w:rsidR="00D377BD">
              <w:rPr>
                <w:noProof/>
                <w:webHidden/>
              </w:rPr>
              <w:tab/>
            </w:r>
            <w:r w:rsidR="00D377BD">
              <w:rPr>
                <w:noProof/>
                <w:webHidden/>
              </w:rPr>
              <w:fldChar w:fldCharType="begin"/>
            </w:r>
            <w:r w:rsidR="00D377BD">
              <w:rPr>
                <w:noProof/>
                <w:webHidden/>
              </w:rPr>
              <w:instrText xml:space="preserve"> PAGEREF _Toc71317856 \h </w:instrText>
            </w:r>
            <w:r w:rsidR="00D377BD">
              <w:rPr>
                <w:noProof/>
                <w:webHidden/>
              </w:rPr>
            </w:r>
            <w:r w:rsidR="00D377BD">
              <w:rPr>
                <w:noProof/>
                <w:webHidden/>
              </w:rPr>
              <w:fldChar w:fldCharType="separate"/>
            </w:r>
            <w:r w:rsidR="00D377BD">
              <w:rPr>
                <w:noProof/>
                <w:webHidden/>
              </w:rPr>
              <w:t>30</w:t>
            </w:r>
            <w:r w:rsidR="00D377BD">
              <w:rPr>
                <w:noProof/>
                <w:webHidden/>
              </w:rPr>
              <w:fldChar w:fldCharType="end"/>
            </w:r>
          </w:hyperlink>
        </w:p>
        <w:p w14:paraId="24B5E0DE" w14:textId="19A7014B" w:rsidR="00D377BD" w:rsidRDefault="00035B03">
          <w:pPr>
            <w:pStyle w:val="TOC1"/>
            <w:tabs>
              <w:tab w:val="right" w:leader="dot" w:pos="9016"/>
            </w:tabs>
            <w:rPr>
              <w:rFonts w:eastAsiaTheme="minorEastAsia"/>
              <w:noProof/>
              <w:lang w:eastAsia="en-AU"/>
            </w:rPr>
          </w:pPr>
          <w:hyperlink w:anchor="_Toc71317857" w:history="1">
            <w:r w:rsidR="00D377BD" w:rsidRPr="00866F5D">
              <w:rPr>
                <w:rStyle w:val="Hyperlink"/>
                <w:noProof/>
              </w:rPr>
              <w:t>APPENDIX C</w:t>
            </w:r>
            <w:r w:rsidR="00D377BD">
              <w:rPr>
                <w:noProof/>
                <w:webHidden/>
              </w:rPr>
              <w:tab/>
            </w:r>
            <w:r w:rsidR="00D377BD">
              <w:rPr>
                <w:noProof/>
                <w:webHidden/>
              </w:rPr>
              <w:fldChar w:fldCharType="begin"/>
            </w:r>
            <w:r w:rsidR="00D377BD">
              <w:rPr>
                <w:noProof/>
                <w:webHidden/>
              </w:rPr>
              <w:instrText xml:space="preserve"> PAGEREF _Toc71317857 \h </w:instrText>
            </w:r>
            <w:r w:rsidR="00D377BD">
              <w:rPr>
                <w:noProof/>
                <w:webHidden/>
              </w:rPr>
            </w:r>
            <w:r w:rsidR="00D377BD">
              <w:rPr>
                <w:noProof/>
                <w:webHidden/>
              </w:rPr>
              <w:fldChar w:fldCharType="separate"/>
            </w:r>
            <w:r w:rsidR="00D377BD">
              <w:rPr>
                <w:noProof/>
                <w:webHidden/>
              </w:rPr>
              <w:t>38</w:t>
            </w:r>
            <w:r w:rsidR="00D377BD">
              <w:rPr>
                <w:noProof/>
                <w:webHidden/>
              </w:rPr>
              <w:fldChar w:fldCharType="end"/>
            </w:r>
          </w:hyperlink>
        </w:p>
        <w:p w14:paraId="70805DD1" w14:textId="02BDC909" w:rsidR="00D377BD" w:rsidRDefault="00035B03">
          <w:pPr>
            <w:pStyle w:val="TOC2"/>
            <w:tabs>
              <w:tab w:val="right" w:leader="dot" w:pos="9016"/>
            </w:tabs>
            <w:rPr>
              <w:rFonts w:eastAsiaTheme="minorEastAsia"/>
              <w:noProof/>
              <w:lang w:eastAsia="en-AU"/>
            </w:rPr>
          </w:pPr>
          <w:hyperlink w:anchor="_Toc71317858" w:history="1">
            <w:r w:rsidR="00D377BD" w:rsidRPr="00866F5D">
              <w:rPr>
                <w:rStyle w:val="Hyperlink"/>
                <w:noProof/>
              </w:rPr>
              <w:t>Regulatory costings – assumptions</w:t>
            </w:r>
            <w:r w:rsidR="00D377BD">
              <w:rPr>
                <w:noProof/>
                <w:webHidden/>
              </w:rPr>
              <w:tab/>
            </w:r>
            <w:r w:rsidR="00D377BD">
              <w:rPr>
                <w:noProof/>
                <w:webHidden/>
              </w:rPr>
              <w:fldChar w:fldCharType="begin"/>
            </w:r>
            <w:r w:rsidR="00D377BD">
              <w:rPr>
                <w:noProof/>
                <w:webHidden/>
              </w:rPr>
              <w:instrText xml:space="preserve"> PAGEREF _Toc71317858 \h </w:instrText>
            </w:r>
            <w:r w:rsidR="00D377BD">
              <w:rPr>
                <w:noProof/>
                <w:webHidden/>
              </w:rPr>
            </w:r>
            <w:r w:rsidR="00D377BD">
              <w:rPr>
                <w:noProof/>
                <w:webHidden/>
              </w:rPr>
              <w:fldChar w:fldCharType="separate"/>
            </w:r>
            <w:r w:rsidR="00D377BD">
              <w:rPr>
                <w:noProof/>
                <w:webHidden/>
              </w:rPr>
              <w:t>38</w:t>
            </w:r>
            <w:r w:rsidR="00D377BD">
              <w:rPr>
                <w:noProof/>
                <w:webHidden/>
              </w:rPr>
              <w:fldChar w:fldCharType="end"/>
            </w:r>
          </w:hyperlink>
        </w:p>
        <w:p w14:paraId="079C0B79" w14:textId="7B1A677D" w:rsidR="00D377BD" w:rsidRDefault="00035B03">
          <w:pPr>
            <w:pStyle w:val="TOC1"/>
            <w:tabs>
              <w:tab w:val="right" w:leader="dot" w:pos="9016"/>
            </w:tabs>
            <w:rPr>
              <w:rFonts w:eastAsiaTheme="minorEastAsia"/>
              <w:noProof/>
              <w:lang w:eastAsia="en-AU"/>
            </w:rPr>
          </w:pPr>
          <w:hyperlink w:anchor="_Toc71317859" w:history="1">
            <w:r w:rsidR="00D377BD" w:rsidRPr="00866F5D">
              <w:rPr>
                <w:rStyle w:val="Hyperlink"/>
                <w:noProof/>
              </w:rPr>
              <w:t>APPENDIX D</w:t>
            </w:r>
            <w:r w:rsidR="00D377BD">
              <w:rPr>
                <w:noProof/>
                <w:webHidden/>
              </w:rPr>
              <w:tab/>
            </w:r>
            <w:r w:rsidR="00D377BD">
              <w:rPr>
                <w:noProof/>
                <w:webHidden/>
              </w:rPr>
              <w:fldChar w:fldCharType="begin"/>
            </w:r>
            <w:r w:rsidR="00D377BD">
              <w:rPr>
                <w:noProof/>
                <w:webHidden/>
              </w:rPr>
              <w:instrText xml:space="preserve"> PAGEREF _Toc71317859 \h </w:instrText>
            </w:r>
            <w:r w:rsidR="00D377BD">
              <w:rPr>
                <w:noProof/>
                <w:webHidden/>
              </w:rPr>
            </w:r>
            <w:r w:rsidR="00D377BD">
              <w:rPr>
                <w:noProof/>
                <w:webHidden/>
              </w:rPr>
              <w:fldChar w:fldCharType="separate"/>
            </w:r>
            <w:r w:rsidR="00D377BD">
              <w:rPr>
                <w:noProof/>
                <w:webHidden/>
              </w:rPr>
              <w:t>40</w:t>
            </w:r>
            <w:r w:rsidR="00D377BD">
              <w:rPr>
                <w:noProof/>
                <w:webHidden/>
              </w:rPr>
              <w:fldChar w:fldCharType="end"/>
            </w:r>
          </w:hyperlink>
        </w:p>
        <w:p w14:paraId="0870CDD8" w14:textId="02C79F8B" w:rsidR="00D377BD" w:rsidRDefault="00035B03">
          <w:pPr>
            <w:pStyle w:val="TOC2"/>
            <w:tabs>
              <w:tab w:val="right" w:leader="dot" w:pos="9016"/>
            </w:tabs>
            <w:rPr>
              <w:rFonts w:eastAsiaTheme="minorEastAsia"/>
              <w:noProof/>
              <w:lang w:eastAsia="en-AU"/>
            </w:rPr>
          </w:pPr>
          <w:hyperlink w:anchor="_Toc71317860" w:history="1">
            <w:r w:rsidR="00D377BD" w:rsidRPr="00866F5D">
              <w:rPr>
                <w:rStyle w:val="Hyperlink"/>
                <w:noProof/>
              </w:rPr>
              <w:t>Status of the RIS at each decision point</w:t>
            </w:r>
            <w:r w:rsidR="00D377BD">
              <w:rPr>
                <w:noProof/>
                <w:webHidden/>
              </w:rPr>
              <w:tab/>
            </w:r>
            <w:r w:rsidR="00D377BD">
              <w:rPr>
                <w:noProof/>
                <w:webHidden/>
              </w:rPr>
              <w:fldChar w:fldCharType="begin"/>
            </w:r>
            <w:r w:rsidR="00D377BD">
              <w:rPr>
                <w:noProof/>
                <w:webHidden/>
              </w:rPr>
              <w:instrText xml:space="preserve"> PAGEREF _Toc71317860 \h </w:instrText>
            </w:r>
            <w:r w:rsidR="00D377BD">
              <w:rPr>
                <w:noProof/>
                <w:webHidden/>
              </w:rPr>
            </w:r>
            <w:r w:rsidR="00D377BD">
              <w:rPr>
                <w:noProof/>
                <w:webHidden/>
              </w:rPr>
              <w:fldChar w:fldCharType="separate"/>
            </w:r>
            <w:r w:rsidR="00D377BD">
              <w:rPr>
                <w:noProof/>
                <w:webHidden/>
              </w:rPr>
              <w:t>40</w:t>
            </w:r>
            <w:r w:rsidR="00D377BD">
              <w:rPr>
                <w:noProof/>
                <w:webHidden/>
              </w:rPr>
              <w:fldChar w:fldCharType="end"/>
            </w:r>
          </w:hyperlink>
        </w:p>
        <w:p w14:paraId="63C4BC05" w14:textId="6E41C59C" w:rsidR="00E551D2" w:rsidRDefault="00E551D2">
          <w:r>
            <w:rPr>
              <w:b/>
              <w:bCs/>
              <w:noProof/>
            </w:rPr>
            <w:fldChar w:fldCharType="end"/>
          </w:r>
        </w:p>
      </w:sdtContent>
    </w:sdt>
    <w:p w14:paraId="1706EC6D" w14:textId="77777777" w:rsidR="00E551D2" w:rsidRPr="00E551D2" w:rsidRDefault="00E551D2" w:rsidP="00E551D2"/>
    <w:p w14:paraId="20163A60" w14:textId="662618FA" w:rsidR="000D468B" w:rsidRDefault="000D468B" w:rsidP="000D468B">
      <w:pPr>
        <w:pStyle w:val="Heading1"/>
        <w:sectPr w:rsidR="000D468B" w:rsidSect="004F074D">
          <w:type w:val="oddPage"/>
          <w:pgSz w:w="11906" w:h="16838"/>
          <w:pgMar w:top="1440" w:right="1440" w:bottom="1440" w:left="1440" w:header="708" w:footer="708" w:gutter="0"/>
          <w:cols w:space="708"/>
          <w:docGrid w:linePitch="360"/>
        </w:sectPr>
      </w:pPr>
    </w:p>
    <w:p w14:paraId="0FCA3D8F" w14:textId="77777777" w:rsidR="000D468B" w:rsidRPr="00B16C2A" w:rsidRDefault="000D468B" w:rsidP="000D468B">
      <w:pPr>
        <w:pStyle w:val="Heading1"/>
        <w:numPr>
          <w:ilvl w:val="0"/>
          <w:numId w:val="12"/>
        </w:numPr>
        <w:ind w:left="360"/>
        <w:rPr>
          <w:rFonts w:asciiTheme="minorHAnsi" w:hAnsiTheme="minorHAnsi"/>
        </w:rPr>
      </w:pPr>
      <w:bookmarkStart w:id="1" w:name="_Toc69994340"/>
      <w:bookmarkStart w:id="2" w:name="_Toc71270960"/>
      <w:bookmarkStart w:id="3" w:name="_Toc71282563"/>
      <w:bookmarkStart w:id="4" w:name="_Toc71282944"/>
      <w:bookmarkStart w:id="5" w:name="_Toc71294349"/>
      <w:bookmarkStart w:id="6" w:name="_Toc71299651"/>
      <w:bookmarkStart w:id="7" w:name="_Toc71301605"/>
      <w:bookmarkStart w:id="8" w:name="_Toc71310078"/>
      <w:bookmarkStart w:id="9" w:name="_Toc71317835"/>
      <w:r>
        <w:rPr>
          <w:rFonts w:asciiTheme="minorHAnsi" w:hAnsiTheme="minorHAnsi"/>
        </w:rPr>
        <w:lastRenderedPageBreak/>
        <w:t>Background and context</w:t>
      </w:r>
      <w:bookmarkEnd w:id="1"/>
      <w:bookmarkEnd w:id="2"/>
      <w:bookmarkEnd w:id="3"/>
      <w:bookmarkEnd w:id="4"/>
      <w:bookmarkEnd w:id="5"/>
      <w:bookmarkEnd w:id="6"/>
      <w:bookmarkEnd w:id="7"/>
      <w:bookmarkEnd w:id="8"/>
      <w:bookmarkEnd w:id="9"/>
    </w:p>
    <w:p w14:paraId="5CA851C4" w14:textId="1C298603" w:rsidR="000D468B" w:rsidRDefault="000D468B" w:rsidP="000D468B">
      <w:pPr>
        <w:pStyle w:val="NormalWeb"/>
        <w:shd w:val="clear" w:color="auto" w:fill="FFFFFF"/>
        <w:spacing w:before="0" w:beforeAutospacing="0" w:after="240" w:afterAutospacing="0" w:line="276" w:lineRule="auto"/>
        <w:rPr>
          <w:rFonts w:asciiTheme="minorHAnsi" w:eastAsiaTheme="minorHAnsi" w:hAnsiTheme="minorHAnsi" w:cstheme="minorBidi"/>
          <w:sz w:val="22"/>
          <w:szCs w:val="22"/>
          <w:lang w:eastAsia="en-US"/>
        </w:rPr>
      </w:pPr>
      <w:r w:rsidRPr="004B0C7B">
        <w:rPr>
          <w:rFonts w:asciiTheme="minorHAnsi" w:eastAsiaTheme="minorHAnsi" w:hAnsiTheme="minorHAnsi" w:cstheme="minorBidi"/>
          <w:sz w:val="22"/>
          <w:szCs w:val="22"/>
          <w:lang w:eastAsia="en-US"/>
        </w:rPr>
        <w:t>On 16 February 2021, the Treasurer, the Hon Josh Frydenberg MP, announced that Treasury would examin</w:t>
      </w:r>
      <w:r>
        <w:rPr>
          <w:rFonts w:asciiTheme="minorHAnsi" w:eastAsiaTheme="minorHAnsi" w:hAnsiTheme="minorHAnsi" w:cstheme="minorBidi"/>
          <w:sz w:val="22"/>
          <w:szCs w:val="22"/>
          <w:lang w:eastAsia="en-US"/>
        </w:rPr>
        <w:t>e</w:t>
      </w:r>
      <w:r w:rsidRPr="004B0C7B">
        <w:rPr>
          <w:rFonts w:asciiTheme="minorHAnsi" w:eastAsiaTheme="minorHAnsi" w:hAnsiTheme="minorHAnsi" w:cstheme="minorBidi"/>
          <w:sz w:val="22"/>
          <w:szCs w:val="22"/>
          <w:lang w:eastAsia="en-US"/>
        </w:rPr>
        <w:t xml:space="preserve"> whether the length of time that processes under the </w:t>
      </w:r>
      <w:r w:rsidRPr="00B02521">
        <w:rPr>
          <w:rFonts w:asciiTheme="minorHAnsi" w:eastAsiaTheme="minorHAnsi" w:hAnsiTheme="minorHAnsi" w:cstheme="minorBidi"/>
          <w:sz w:val="22"/>
          <w:szCs w:val="22"/>
          <w:lang w:eastAsia="en-US"/>
        </w:rPr>
        <w:t xml:space="preserve">National Access Regime (NAR) </w:t>
      </w:r>
      <w:r w:rsidRPr="004B0C7B">
        <w:rPr>
          <w:rFonts w:asciiTheme="minorHAnsi" w:eastAsiaTheme="minorHAnsi" w:hAnsiTheme="minorHAnsi" w:cstheme="minorBidi"/>
          <w:sz w:val="22"/>
          <w:szCs w:val="22"/>
          <w:lang w:eastAsia="en-US"/>
        </w:rPr>
        <w:t xml:space="preserve">can take is appropriate and consistent with </w:t>
      </w:r>
      <w:r>
        <w:rPr>
          <w:rFonts w:asciiTheme="minorHAnsi" w:eastAsiaTheme="minorHAnsi" w:hAnsiTheme="minorHAnsi" w:cstheme="minorBidi"/>
          <w:sz w:val="22"/>
          <w:szCs w:val="22"/>
          <w:lang w:eastAsia="en-US"/>
        </w:rPr>
        <w:t xml:space="preserve">a key objective of </w:t>
      </w:r>
      <w:r w:rsidRPr="004B0C7B">
        <w:rPr>
          <w:rFonts w:asciiTheme="minorHAnsi" w:eastAsiaTheme="minorHAnsi" w:hAnsiTheme="minorHAnsi" w:cstheme="minorBidi"/>
          <w:sz w:val="22"/>
          <w:szCs w:val="22"/>
          <w:lang w:eastAsia="en-US"/>
        </w:rPr>
        <w:t>the Regime</w:t>
      </w:r>
      <w:r>
        <w:rPr>
          <w:rFonts w:asciiTheme="minorHAnsi" w:eastAsiaTheme="minorHAnsi" w:hAnsiTheme="minorHAnsi" w:cstheme="minorBidi"/>
          <w:sz w:val="22"/>
          <w:szCs w:val="22"/>
          <w:lang w:eastAsia="en-US"/>
        </w:rPr>
        <w:t xml:space="preserve"> </w:t>
      </w:r>
      <w:r w:rsidR="00AB0F2B">
        <w:rPr>
          <w:rFonts w:asciiTheme="minorHAnsi" w:eastAsiaTheme="minorHAnsi" w:hAnsiTheme="minorHAnsi" w:cstheme="minorBidi"/>
          <w:sz w:val="22"/>
          <w:szCs w:val="22"/>
          <w:lang w:eastAsia="en-US"/>
        </w:rPr>
        <w:t xml:space="preserve">which is </w:t>
      </w:r>
      <w:r>
        <w:rPr>
          <w:rFonts w:asciiTheme="minorHAnsi" w:eastAsiaTheme="minorHAnsi" w:hAnsiTheme="minorHAnsi" w:cstheme="minorBidi"/>
          <w:sz w:val="22"/>
          <w:szCs w:val="22"/>
          <w:lang w:eastAsia="en-US"/>
        </w:rPr>
        <w:t>to promote the economically efficient operation of, use of and investment in infrastructure, thereby promoting effective competition in upstream and downstream markets.</w:t>
      </w:r>
      <w:r>
        <w:rPr>
          <w:rStyle w:val="FootnoteReference"/>
          <w:rFonts w:asciiTheme="minorHAnsi" w:eastAsiaTheme="minorHAnsi" w:hAnsiTheme="minorHAnsi" w:cstheme="minorBidi"/>
          <w:sz w:val="22"/>
          <w:szCs w:val="22"/>
          <w:lang w:eastAsia="en-US"/>
        </w:rPr>
        <w:footnoteReference w:id="2"/>
      </w:r>
      <w:r>
        <w:rPr>
          <w:rFonts w:asciiTheme="minorHAnsi" w:eastAsiaTheme="minorHAnsi" w:hAnsiTheme="minorHAnsi" w:cstheme="minorBidi"/>
          <w:sz w:val="22"/>
          <w:szCs w:val="22"/>
          <w:lang w:eastAsia="en-US"/>
        </w:rPr>
        <w:t xml:space="preserve"> </w:t>
      </w:r>
    </w:p>
    <w:p w14:paraId="4055BC99" w14:textId="565A1E1D" w:rsidR="000D468B" w:rsidRDefault="000D468B" w:rsidP="000D468B">
      <w:pPr>
        <w:pStyle w:val="NormalWeb"/>
        <w:shd w:val="clear" w:color="auto" w:fill="FFFFFF"/>
        <w:spacing w:before="0" w:beforeAutospacing="0" w:after="240" w:afterAutospacing="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Treasury released a consultation paper for stakeholder comment on 19 March 2021</w:t>
      </w:r>
      <w:r w:rsidR="00DC3F92">
        <w:rPr>
          <w:rFonts w:asciiTheme="minorHAnsi" w:eastAsiaTheme="minorHAnsi" w:hAnsiTheme="minorHAnsi" w:cstheme="minorBidi"/>
          <w:sz w:val="22"/>
          <w:szCs w:val="22"/>
          <w:lang w:eastAsia="en-US"/>
        </w:rPr>
        <w:t xml:space="preserve">, with submissions due </w:t>
      </w:r>
      <w:r>
        <w:rPr>
          <w:rFonts w:asciiTheme="minorHAnsi" w:eastAsiaTheme="minorHAnsi" w:hAnsiTheme="minorHAnsi" w:cstheme="minorBidi"/>
          <w:sz w:val="22"/>
          <w:szCs w:val="22"/>
          <w:lang w:eastAsia="en-US"/>
        </w:rPr>
        <w:t xml:space="preserve">on 19 </w:t>
      </w:r>
      <w:r w:rsidR="00DA13B3">
        <w:rPr>
          <w:rFonts w:asciiTheme="minorHAnsi" w:eastAsiaTheme="minorHAnsi" w:hAnsiTheme="minorHAnsi" w:cstheme="minorBidi"/>
          <w:sz w:val="22"/>
          <w:szCs w:val="22"/>
          <w:lang w:eastAsia="en-US"/>
        </w:rPr>
        <w:t>April</w:t>
      </w:r>
      <w:r>
        <w:rPr>
          <w:rFonts w:asciiTheme="minorHAnsi" w:eastAsiaTheme="minorHAnsi" w:hAnsiTheme="minorHAnsi" w:cstheme="minorBidi"/>
          <w:sz w:val="22"/>
          <w:szCs w:val="22"/>
          <w:lang w:eastAsia="en-US"/>
        </w:rPr>
        <w:t xml:space="preserve"> </w:t>
      </w:r>
      <w:r w:rsidR="00DC3F92">
        <w:rPr>
          <w:rFonts w:asciiTheme="minorHAnsi" w:eastAsiaTheme="minorHAnsi" w:hAnsiTheme="minorHAnsi" w:cstheme="minorBidi"/>
          <w:sz w:val="22"/>
          <w:szCs w:val="22"/>
          <w:lang w:eastAsia="en-US"/>
        </w:rPr>
        <w:t xml:space="preserve">2021. </w:t>
      </w:r>
      <w:r w:rsidR="00702DF6" w:rsidRPr="00575EC9">
        <w:rPr>
          <w:rFonts w:asciiTheme="minorHAnsi" w:eastAsiaTheme="minorHAnsi" w:hAnsiTheme="minorHAnsi" w:cstheme="minorBidi"/>
          <w:sz w:val="22"/>
          <w:szCs w:val="22"/>
          <w:lang w:eastAsia="en-US"/>
        </w:rPr>
        <w:t xml:space="preserve">Thirteen </w:t>
      </w:r>
      <w:r w:rsidR="00163B23" w:rsidRPr="00575EC9">
        <w:rPr>
          <w:rFonts w:asciiTheme="minorHAnsi" w:eastAsiaTheme="minorHAnsi" w:hAnsiTheme="minorHAnsi" w:cstheme="minorBidi"/>
          <w:sz w:val="22"/>
          <w:szCs w:val="22"/>
          <w:lang w:eastAsia="en-US"/>
        </w:rPr>
        <w:t xml:space="preserve">submissions </w:t>
      </w:r>
      <w:r w:rsidRPr="00575EC9">
        <w:rPr>
          <w:rFonts w:asciiTheme="minorHAnsi" w:eastAsiaTheme="minorHAnsi" w:hAnsiTheme="minorHAnsi" w:cstheme="minorBidi"/>
          <w:sz w:val="22"/>
          <w:szCs w:val="22"/>
          <w:lang w:eastAsia="en-US"/>
        </w:rPr>
        <w:t>were received.</w:t>
      </w:r>
    </w:p>
    <w:p w14:paraId="3430FEBE" w14:textId="77777777" w:rsidR="000D468B" w:rsidRDefault="000D468B" w:rsidP="000D468B">
      <w:pPr>
        <w:pStyle w:val="Heading3"/>
      </w:pPr>
      <w:bookmarkStart w:id="10" w:name="_Toc69994341"/>
      <w:bookmarkStart w:id="11" w:name="_Toc71270961"/>
      <w:bookmarkStart w:id="12" w:name="_Toc71282564"/>
      <w:bookmarkStart w:id="13" w:name="_Toc71282945"/>
      <w:bookmarkStart w:id="14" w:name="_Toc71294350"/>
      <w:bookmarkStart w:id="15" w:name="_Toc71299652"/>
      <w:bookmarkStart w:id="16" w:name="_Toc71301606"/>
      <w:bookmarkStart w:id="17" w:name="_Toc71310079"/>
      <w:bookmarkStart w:id="18" w:name="_Toc71317836"/>
      <w:r>
        <w:t>National Access Regime</w:t>
      </w:r>
      <w:bookmarkEnd w:id="10"/>
      <w:bookmarkEnd w:id="11"/>
      <w:bookmarkEnd w:id="12"/>
      <w:bookmarkEnd w:id="13"/>
      <w:bookmarkEnd w:id="14"/>
      <w:bookmarkEnd w:id="15"/>
      <w:bookmarkEnd w:id="16"/>
      <w:bookmarkEnd w:id="17"/>
      <w:bookmarkEnd w:id="18"/>
    </w:p>
    <w:p w14:paraId="56A98B99" w14:textId="43AD6199" w:rsidR="000D468B" w:rsidRDefault="000D468B" w:rsidP="000D468B">
      <w:pPr>
        <w:spacing w:after="240"/>
      </w:pPr>
      <w:r>
        <w:t xml:space="preserve">The NAR is a regulatory framework </w:t>
      </w:r>
      <w:r w:rsidR="00733854">
        <w:t xml:space="preserve">set out in Part IIIA of the </w:t>
      </w:r>
      <w:r w:rsidR="00733854" w:rsidRPr="001148B8">
        <w:rPr>
          <w:i/>
        </w:rPr>
        <w:t>Competition and Consumer Act 2010</w:t>
      </w:r>
      <w:r w:rsidR="00733854">
        <w:t xml:space="preserve"> (CCA) </w:t>
      </w:r>
      <w:r>
        <w:t xml:space="preserve">under which </w:t>
      </w:r>
      <w:r w:rsidR="00EE1768">
        <w:t>a person</w:t>
      </w:r>
      <w:r w:rsidR="000E334F">
        <w:t xml:space="preserve"> (typically an infrastructure </w:t>
      </w:r>
      <w:r>
        <w:t>user</w:t>
      </w:r>
      <w:r w:rsidR="000E334F">
        <w:t>)</w:t>
      </w:r>
      <w:r>
        <w:t xml:space="preserve"> may apply to the National Competition Council (NCC) asking it to recommend that </w:t>
      </w:r>
      <w:r w:rsidR="000E334F">
        <w:t xml:space="preserve">particular infrastructure </w:t>
      </w:r>
      <w:r w:rsidR="00EE1768">
        <w:t xml:space="preserve">services </w:t>
      </w:r>
      <w:r>
        <w:t>be ‘declared’, that is, made subject to the NAR.</w:t>
      </w:r>
      <w:r w:rsidRPr="0034769C">
        <w:t xml:space="preserve"> </w:t>
      </w:r>
      <w:r>
        <w:t xml:space="preserve">The </w:t>
      </w:r>
      <w:r w:rsidR="000E334F">
        <w:t xml:space="preserve">designated </w:t>
      </w:r>
      <w:r w:rsidR="00EE1768">
        <w:t>Minister</w:t>
      </w:r>
      <w:r>
        <w:t xml:space="preserve"> then decides whether or not to accept that recommendation. Where infrastructure is declared, infrastructure users may ask the Australian Competition and Consumer Commission (ACCC) to arbitrate their terms and conditions of access</w:t>
      </w:r>
      <w:r w:rsidR="00172392">
        <w:t xml:space="preserve"> to those services</w:t>
      </w:r>
      <w:r>
        <w:t xml:space="preserve">. </w:t>
      </w:r>
    </w:p>
    <w:p w14:paraId="06D41783" w14:textId="24A22F20" w:rsidR="00DF3A96" w:rsidRDefault="000D468B" w:rsidP="000D468B">
      <w:pPr>
        <w:spacing w:after="240"/>
      </w:pPr>
      <w:r w:rsidRPr="00F677FD">
        <w:t>The NAR was introduced in </w:t>
      </w:r>
      <w:hyperlink r:id="rId9" w:history="1">
        <w:r w:rsidRPr="00F677FD">
          <w:t>1995 </w:t>
        </w:r>
      </w:hyperlink>
      <w:r w:rsidRPr="00F677FD">
        <w:t>following the 1993 </w:t>
      </w:r>
      <w:hyperlink r:id="rId10" w:history="1">
        <w:r w:rsidRPr="00F677FD">
          <w:t xml:space="preserve">Hilmer </w:t>
        </w:r>
        <w:r w:rsidR="0019462E">
          <w:t xml:space="preserve">National </w:t>
        </w:r>
        <w:r>
          <w:t xml:space="preserve">Competition Policy </w:t>
        </w:r>
        <w:r w:rsidRPr="00F677FD">
          <w:t>Review</w:t>
        </w:r>
      </w:hyperlink>
      <w:r w:rsidR="002448AA">
        <w:t xml:space="preserve"> (Hilmer Review)</w:t>
      </w:r>
      <w:r w:rsidRPr="00F677FD">
        <w:t xml:space="preserve">, which proposed a statutory regime to provide access </w:t>
      </w:r>
      <w:r w:rsidRPr="00F677FD">
        <w:lastRenderedPageBreak/>
        <w:t xml:space="preserve">to 'essential facilities' to address </w:t>
      </w:r>
      <w:r w:rsidR="00DF3A96">
        <w:t>a competition problem relating to access to vertically-integrated natural monopolies (</w:t>
      </w:r>
      <w:r w:rsidR="00DF3A96" w:rsidRPr="00DF3A96">
        <w:rPr>
          <w:u w:val="single"/>
        </w:rPr>
        <w:t>see Appendix A</w:t>
      </w:r>
      <w:r w:rsidR="00DF3A96">
        <w:t>).</w:t>
      </w:r>
    </w:p>
    <w:p w14:paraId="5C0EAA7D" w14:textId="5DFB84A7" w:rsidR="000D468B" w:rsidRPr="00BA7CA2" w:rsidRDefault="000D468B" w:rsidP="000D468B">
      <w:pPr>
        <w:pStyle w:val="Heading1"/>
        <w:rPr>
          <w:rFonts w:asciiTheme="minorHAnsi" w:hAnsiTheme="minorHAnsi"/>
        </w:rPr>
      </w:pPr>
      <w:bookmarkStart w:id="19" w:name="_Toc69994342"/>
      <w:bookmarkStart w:id="20" w:name="_Toc71270962"/>
      <w:bookmarkStart w:id="21" w:name="_Toc71282565"/>
      <w:bookmarkStart w:id="22" w:name="_Toc71282946"/>
      <w:bookmarkStart w:id="23" w:name="_Toc71294351"/>
      <w:bookmarkStart w:id="24" w:name="_Toc71299653"/>
      <w:bookmarkStart w:id="25" w:name="_Toc71301607"/>
      <w:bookmarkStart w:id="26" w:name="_Toc71310080"/>
      <w:bookmarkStart w:id="27" w:name="_Toc71317837"/>
      <w:r>
        <w:rPr>
          <w:rFonts w:asciiTheme="minorHAnsi" w:hAnsiTheme="minorHAnsi"/>
        </w:rPr>
        <w:t xml:space="preserve">2. </w:t>
      </w:r>
      <w:r w:rsidRPr="00BA7CA2">
        <w:rPr>
          <w:rFonts w:asciiTheme="minorHAnsi" w:hAnsiTheme="minorHAnsi"/>
        </w:rPr>
        <w:t>The problem</w:t>
      </w:r>
      <w:bookmarkEnd w:id="19"/>
      <w:r w:rsidR="009312DF">
        <w:rPr>
          <w:rFonts w:asciiTheme="minorHAnsi" w:hAnsiTheme="minorHAnsi"/>
        </w:rPr>
        <w:t xml:space="preserve"> – the timeliness of </w:t>
      </w:r>
      <w:r w:rsidR="00A61BD8">
        <w:rPr>
          <w:rFonts w:asciiTheme="minorHAnsi" w:hAnsiTheme="minorHAnsi"/>
        </w:rPr>
        <w:t xml:space="preserve">highly </w:t>
      </w:r>
      <w:r w:rsidR="009312DF">
        <w:rPr>
          <w:rFonts w:asciiTheme="minorHAnsi" w:hAnsiTheme="minorHAnsi"/>
        </w:rPr>
        <w:t>contentious matters</w:t>
      </w:r>
      <w:bookmarkEnd w:id="20"/>
      <w:bookmarkEnd w:id="21"/>
      <w:bookmarkEnd w:id="22"/>
      <w:bookmarkEnd w:id="23"/>
      <w:bookmarkEnd w:id="24"/>
      <w:bookmarkEnd w:id="25"/>
      <w:bookmarkEnd w:id="26"/>
      <w:bookmarkEnd w:id="27"/>
    </w:p>
    <w:p w14:paraId="1EA30063" w14:textId="578AF8D2" w:rsidR="00E27CFF" w:rsidRDefault="00FD6A6A" w:rsidP="001736DC">
      <w:r>
        <w:t>There have been a number of highly contentious matters</w:t>
      </w:r>
      <w:r w:rsidR="00E66884">
        <w:rPr>
          <w:rStyle w:val="FootnoteReference"/>
        </w:rPr>
        <w:footnoteReference w:id="3"/>
      </w:r>
      <w:r>
        <w:t xml:space="preserve"> under the NAR, which</w:t>
      </w:r>
      <w:r w:rsidR="000D468B" w:rsidRPr="00E220FD">
        <w:t xml:space="preserve"> have taken many years to reach an outcome</w:t>
      </w:r>
      <w:r w:rsidR="00582F54">
        <w:t xml:space="preserve">. </w:t>
      </w:r>
      <w:r w:rsidR="00B45C55">
        <w:t>In particular</w:t>
      </w:r>
      <w:r w:rsidR="005F5571">
        <w:t xml:space="preserve">, of the </w:t>
      </w:r>
      <w:r w:rsidR="004C5F20" w:rsidRPr="00575EC9">
        <w:t>twenty</w:t>
      </w:r>
      <w:r w:rsidR="005F5571">
        <w:t xml:space="preserve"> </w:t>
      </w:r>
      <w:r w:rsidR="005E38CF">
        <w:t>NAR matters</w:t>
      </w:r>
      <w:r w:rsidR="005F5571">
        <w:t xml:space="preserve"> </w:t>
      </w:r>
      <w:r w:rsidR="00B45C55">
        <w:t>commenced</w:t>
      </w:r>
      <w:r w:rsidR="005F5571">
        <w:t xml:space="preserve"> since </w:t>
      </w:r>
      <w:r w:rsidR="00E27CFF" w:rsidRPr="004C5F20">
        <w:t>1996</w:t>
      </w:r>
      <w:r w:rsidR="00705BE2">
        <w:t xml:space="preserve">, </w:t>
      </w:r>
      <w:r w:rsidR="00E516EA">
        <w:t>six</w:t>
      </w:r>
      <w:r w:rsidR="00783740">
        <w:t xml:space="preserve"> </w:t>
      </w:r>
      <w:r w:rsidR="005F5571">
        <w:t xml:space="preserve">have </w:t>
      </w:r>
      <w:r w:rsidR="00B45C55">
        <w:t xml:space="preserve">proved to be </w:t>
      </w:r>
      <w:r w:rsidR="005F5571">
        <w:t>highly contentious</w:t>
      </w:r>
      <w:r w:rsidR="00241922">
        <w:t xml:space="preserve">, </w:t>
      </w:r>
      <w:r w:rsidR="00863641">
        <w:t xml:space="preserve">illustrated by the fact that </w:t>
      </w:r>
      <w:r w:rsidR="00241922">
        <w:t xml:space="preserve">they </w:t>
      </w:r>
      <w:r w:rsidR="00F314A5">
        <w:t xml:space="preserve">involved </w:t>
      </w:r>
      <w:r w:rsidR="00241922">
        <w:t xml:space="preserve">extensive </w:t>
      </w:r>
      <w:r w:rsidR="00F314A5">
        <w:t>litigation</w:t>
      </w:r>
      <w:r w:rsidR="00241922">
        <w:t>.</w:t>
      </w:r>
    </w:p>
    <w:p w14:paraId="45152069" w14:textId="1C52EA8B" w:rsidR="004A404C" w:rsidRDefault="00E27CFF" w:rsidP="00575EC9">
      <w:r>
        <w:t>Since 200</w:t>
      </w:r>
      <w:r w:rsidR="00D81992">
        <w:t>4</w:t>
      </w:r>
      <w:r>
        <w:t>, the proportion of contentious matters involving extensive litigation has increased compared to non-contentious matters</w:t>
      </w:r>
      <w:r w:rsidR="007A144F">
        <w:t xml:space="preserve"> (see </w:t>
      </w:r>
      <w:r w:rsidR="007A144F" w:rsidRPr="00575EC9">
        <w:rPr>
          <w:u w:val="single"/>
        </w:rPr>
        <w:t>Appendix A</w:t>
      </w:r>
      <w:r w:rsidR="007A144F">
        <w:t>)</w:t>
      </w:r>
      <w:r w:rsidR="004A404C">
        <w:t xml:space="preserve">. </w:t>
      </w:r>
      <w:r w:rsidR="001736DC">
        <w:t>The Mt Newman Railway, the Hamersley and Robe Railways</w:t>
      </w:r>
      <w:r w:rsidR="00DF5169">
        <w:t xml:space="preserve"> and</w:t>
      </w:r>
      <w:r w:rsidR="001736DC">
        <w:t xml:space="preserve"> </w:t>
      </w:r>
      <w:r w:rsidR="00A01DD5">
        <w:t>Sydney Airport</w:t>
      </w:r>
      <w:r w:rsidR="001736DC">
        <w:t xml:space="preserve"> </w:t>
      </w:r>
      <w:r w:rsidR="00DF5169">
        <w:t xml:space="preserve">matters </w:t>
      </w:r>
      <w:r w:rsidR="000B4F6C">
        <w:t xml:space="preserve">are </w:t>
      </w:r>
      <w:r w:rsidR="00DF5169">
        <w:t>examples</w:t>
      </w:r>
      <w:r w:rsidR="004A404C">
        <w:t xml:space="preserve"> of contentious matters which involved more than one review process being undertaken and </w:t>
      </w:r>
      <w:r w:rsidR="00783740">
        <w:t>which took</w:t>
      </w:r>
      <w:r w:rsidR="004A404C">
        <w:t xml:space="preserve"> multiple years to be finalised.</w:t>
      </w:r>
      <w:r w:rsidR="00863641">
        <w:rPr>
          <w:rStyle w:val="FootnoteReference"/>
        </w:rPr>
        <w:footnoteReference w:id="4"/>
      </w:r>
      <w:r w:rsidR="00DF5169">
        <w:t xml:space="preserve"> </w:t>
      </w:r>
    </w:p>
    <w:p w14:paraId="331A9B5C" w14:textId="7181609D" w:rsidR="001736DC" w:rsidRPr="00657F6A" w:rsidRDefault="00925AD3" w:rsidP="00575EC9">
      <w:pPr>
        <w:pStyle w:val="Bullet"/>
        <w:numPr>
          <w:ilvl w:val="0"/>
          <w:numId w:val="0"/>
        </w:numPr>
      </w:pPr>
      <w:r>
        <w:t xml:space="preserve">The </w:t>
      </w:r>
      <w:r w:rsidR="000B4F6C">
        <w:t>Port of Newcastle matter provides a clear</w:t>
      </w:r>
      <w:r w:rsidR="00863641">
        <w:t xml:space="preserve">, </w:t>
      </w:r>
      <w:r w:rsidR="000B4F6C">
        <w:t>significant</w:t>
      </w:r>
      <w:r w:rsidR="00863641">
        <w:t xml:space="preserve"> and recent</w:t>
      </w:r>
      <w:r w:rsidR="000B4F6C">
        <w:t xml:space="preserve"> example of the problem </w:t>
      </w:r>
      <w:r w:rsidR="00096C4D">
        <w:t xml:space="preserve">of the </w:t>
      </w:r>
      <w:r>
        <w:t>timeliness</w:t>
      </w:r>
      <w:r w:rsidR="00096C4D">
        <w:t xml:space="preserve"> of NAR processes</w:t>
      </w:r>
      <w:r w:rsidR="001736DC" w:rsidRPr="00575EC9">
        <w:t>.</w:t>
      </w:r>
      <w:r w:rsidR="001736DC" w:rsidRPr="00657F6A">
        <w:t xml:space="preserve"> </w:t>
      </w:r>
    </w:p>
    <w:p w14:paraId="075E5B57" w14:textId="77777777" w:rsidR="001751D5" w:rsidRDefault="005011A5">
      <w:pPr>
        <w:pStyle w:val="Bulletpoint"/>
      </w:pPr>
      <w:r w:rsidRPr="007E5338">
        <w:t xml:space="preserve">Glencore Coal applied for declaration of the </w:t>
      </w:r>
      <w:r w:rsidRPr="00575EC9">
        <w:t>Port</w:t>
      </w:r>
      <w:r w:rsidRPr="007E5338">
        <w:t xml:space="preserve"> in May 2015. </w:t>
      </w:r>
    </w:p>
    <w:p w14:paraId="4E043B5D" w14:textId="77777777" w:rsidR="001751D5" w:rsidRDefault="005011A5" w:rsidP="00575EC9">
      <w:pPr>
        <w:pStyle w:val="Dash"/>
      </w:pPr>
      <w:r w:rsidRPr="00657F6A">
        <w:t>In January 2016, consistent with the recommendation of the NCC, the acting Treasurer rejected the application.</w:t>
      </w:r>
      <w:r w:rsidRPr="0030615F">
        <w:t xml:space="preserve"> </w:t>
      </w:r>
    </w:p>
    <w:p w14:paraId="2035D4E1" w14:textId="0F33B751" w:rsidR="001751D5" w:rsidRDefault="005011A5" w:rsidP="00575EC9">
      <w:pPr>
        <w:pStyle w:val="Dash"/>
      </w:pPr>
      <w:r w:rsidRPr="00657F6A">
        <w:lastRenderedPageBreak/>
        <w:t xml:space="preserve">In June 2016 the </w:t>
      </w:r>
      <w:r w:rsidR="00714535">
        <w:t xml:space="preserve">Australian Competition </w:t>
      </w:r>
      <w:r w:rsidRPr="00657F6A">
        <w:t xml:space="preserve">Tribunal </w:t>
      </w:r>
      <w:r w:rsidR="00714535">
        <w:t xml:space="preserve">(Tribunal) </w:t>
      </w:r>
      <w:r w:rsidRPr="00657F6A">
        <w:t xml:space="preserve">set aside this </w:t>
      </w:r>
      <w:r w:rsidR="00394A64">
        <w:t xml:space="preserve">decision </w:t>
      </w:r>
      <w:r w:rsidRPr="00657F6A">
        <w:t>and declared the Port</w:t>
      </w:r>
      <w:r w:rsidR="007E5338">
        <w:t xml:space="preserve"> until July 2031</w:t>
      </w:r>
      <w:r w:rsidRPr="00657F6A">
        <w:t xml:space="preserve">. </w:t>
      </w:r>
    </w:p>
    <w:p w14:paraId="32A16A02" w14:textId="12BAB81C" w:rsidR="005011A5" w:rsidRPr="00657F6A" w:rsidRDefault="005011A5" w:rsidP="00575EC9">
      <w:pPr>
        <w:pStyle w:val="Dash"/>
      </w:pPr>
      <w:r w:rsidRPr="00657F6A">
        <w:t xml:space="preserve">The Federal Court affirmed that decision in August 2017, and an application </w:t>
      </w:r>
      <w:r w:rsidR="007E5338" w:rsidRPr="00EF78BB">
        <w:t xml:space="preserve">by the Port </w:t>
      </w:r>
      <w:r w:rsidRPr="00657F6A">
        <w:t xml:space="preserve">for special leave to appeal to the High Court </w:t>
      </w:r>
      <w:r w:rsidR="007E5338" w:rsidRPr="00657F6A">
        <w:t xml:space="preserve">was </w:t>
      </w:r>
      <w:r w:rsidRPr="00657F6A">
        <w:t>refused in March 2018.</w:t>
      </w:r>
    </w:p>
    <w:p w14:paraId="53CE7A1E" w14:textId="440EA772" w:rsidR="007E5338" w:rsidRDefault="005011A5" w:rsidP="00575EC9">
      <w:pPr>
        <w:pStyle w:val="Bulletpoint"/>
      </w:pPr>
      <w:r>
        <w:t xml:space="preserve">Glencore notified an access dispute in November 2016, </w:t>
      </w:r>
      <w:r w:rsidR="00B347E6">
        <w:t>and</w:t>
      </w:r>
      <w:r>
        <w:t xml:space="preserve"> the ACCC releas</w:t>
      </w:r>
      <w:r w:rsidR="00B347E6">
        <w:t>ed</w:t>
      </w:r>
      <w:r>
        <w:t xml:space="preserve"> an arbitration determination in September 2018</w:t>
      </w:r>
      <w:r w:rsidR="007E5338">
        <w:t>.</w:t>
      </w:r>
    </w:p>
    <w:p w14:paraId="756CA21E" w14:textId="5BEE693E" w:rsidR="005011A5" w:rsidRDefault="007E5338">
      <w:pPr>
        <w:pStyle w:val="Dash"/>
      </w:pPr>
      <w:r>
        <w:t xml:space="preserve">This determination </w:t>
      </w:r>
      <w:r w:rsidR="005011A5">
        <w:t>was to apply until the declaration of the Port expired in July 2031.</w:t>
      </w:r>
    </w:p>
    <w:p w14:paraId="0CEA2296" w14:textId="40BEC32D" w:rsidR="007E5338" w:rsidRDefault="005011A5">
      <w:pPr>
        <w:pStyle w:val="Dash"/>
      </w:pPr>
      <w:r>
        <w:t xml:space="preserve">The Tribunal </w:t>
      </w:r>
      <w:r w:rsidR="007E5338">
        <w:t xml:space="preserve">reviewed and amended </w:t>
      </w:r>
      <w:r>
        <w:t xml:space="preserve">the ACCC’s arbitration decision in October 2019. </w:t>
      </w:r>
    </w:p>
    <w:p w14:paraId="157330C4" w14:textId="3ABF1E17" w:rsidR="007D1EFA" w:rsidRDefault="005011A5">
      <w:pPr>
        <w:pStyle w:val="Dash"/>
      </w:pPr>
      <w:r>
        <w:t>The Full Federal Court released its decision on the Tribunal review in August 2020</w:t>
      </w:r>
      <w:r w:rsidR="007D1EFA">
        <w:t xml:space="preserve">, remitting the matter back to the Tribunal for </w:t>
      </w:r>
      <w:r w:rsidR="00DC5AF6">
        <w:t>re</w:t>
      </w:r>
      <w:r w:rsidR="0062546E">
        <w:t>determination on the merits. The Full Federal Court’s decision is currently on appeal before the High Court.</w:t>
      </w:r>
    </w:p>
    <w:p w14:paraId="4E1F6120" w14:textId="275A65E8" w:rsidR="005011A5" w:rsidRDefault="005011A5" w:rsidP="00575EC9">
      <w:pPr>
        <w:pStyle w:val="Bulletpoint"/>
      </w:pPr>
      <w:r>
        <w:t>Following a request by the Port of Newcastle and recommendation from the NCC, t</w:t>
      </w:r>
      <w:r w:rsidRPr="00444772">
        <w:t xml:space="preserve">he declaration of the Port was </w:t>
      </w:r>
      <w:r>
        <w:t xml:space="preserve">deemed to have been </w:t>
      </w:r>
      <w:r w:rsidRPr="00444772">
        <w:t xml:space="preserve">revoked in </w:t>
      </w:r>
      <w:r w:rsidRPr="00F17A04">
        <w:t>September 2019</w:t>
      </w:r>
      <w:r>
        <w:t>.</w:t>
      </w:r>
      <w:r w:rsidR="00A12216">
        <w:rPr>
          <w:rStyle w:val="FootnoteReference"/>
        </w:rPr>
        <w:footnoteReference w:id="5"/>
      </w:r>
    </w:p>
    <w:p w14:paraId="62749F73" w14:textId="77777777" w:rsidR="001D2839" w:rsidRDefault="005011A5" w:rsidP="00575EC9">
      <w:pPr>
        <w:pStyle w:val="Bulletpoint"/>
      </w:pPr>
      <w:r w:rsidRPr="00D15185">
        <w:lastRenderedPageBreak/>
        <w:t>The N</w:t>
      </w:r>
      <w:r>
        <w:t>SW</w:t>
      </w:r>
      <w:r w:rsidRPr="00D15185">
        <w:t xml:space="preserve"> Minerals Council applied to have the Port declared in July 2020</w:t>
      </w:r>
      <w:r>
        <w:t>. T</w:t>
      </w:r>
      <w:r w:rsidRPr="005B34C9">
        <w:t xml:space="preserve">he Treasurer accepted the NCC’s recommendation not to declare the Port in February 2021. </w:t>
      </w:r>
    </w:p>
    <w:p w14:paraId="24DDDCFF" w14:textId="30450243" w:rsidR="005011A5" w:rsidRPr="00D15185" w:rsidRDefault="005011A5">
      <w:pPr>
        <w:pStyle w:val="Dash"/>
      </w:pPr>
      <w:r w:rsidRPr="005B34C9">
        <w:t>This matter is now before the Tribunal for review.</w:t>
      </w:r>
    </w:p>
    <w:p w14:paraId="280F331F" w14:textId="1D6D2072" w:rsidR="004B4F2E" w:rsidRDefault="00DD1AF4" w:rsidP="00A40C4B">
      <w:pPr>
        <w:spacing w:after="240"/>
      </w:pPr>
      <w:r w:rsidRPr="00575EC9">
        <w:rPr>
          <w:rFonts w:cs="Times New Roman"/>
          <w:u w:val="single"/>
        </w:rPr>
        <w:t>Appendix A</w:t>
      </w:r>
      <w:r>
        <w:t xml:space="preserve"> contains further information on the NAR matters outlined above</w:t>
      </w:r>
      <w:r w:rsidRPr="00DF3C27">
        <w:t>.</w:t>
      </w:r>
    </w:p>
    <w:p w14:paraId="202266DC" w14:textId="6F980FAA" w:rsidR="00A60AD5" w:rsidRDefault="0045078D" w:rsidP="00575EC9">
      <w:pPr>
        <w:pStyle w:val="Heading3"/>
      </w:pPr>
      <w:bookmarkStart w:id="28" w:name="_Toc71282566"/>
      <w:bookmarkStart w:id="29" w:name="_Toc71282947"/>
      <w:bookmarkStart w:id="30" w:name="_Toc71294352"/>
      <w:bookmarkStart w:id="31" w:name="_Toc71299654"/>
      <w:bookmarkStart w:id="32" w:name="_Toc71301608"/>
      <w:bookmarkStart w:id="33" w:name="_Toc71310081"/>
      <w:bookmarkStart w:id="34" w:name="_Toc71317838"/>
      <w:r>
        <w:t>Stakeholder views</w:t>
      </w:r>
      <w:bookmarkEnd w:id="28"/>
      <w:bookmarkEnd w:id="29"/>
      <w:bookmarkEnd w:id="30"/>
      <w:bookmarkEnd w:id="31"/>
      <w:bookmarkEnd w:id="32"/>
      <w:bookmarkEnd w:id="33"/>
      <w:bookmarkEnd w:id="34"/>
    </w:p>
    <w:p w14:paraId="43954CC9" w14:textId="637050E7" w:rsidR="00A40C4B" w:rsidRDefault="003D671F" w:rsidP="003D671F">
      <w:pPr>
        <w:spacing w:after="240"/>
      </w:pPr>
      <w:r>
        <w:t>Stakeholder</w:t>
      </w:r>
      <w:r w:rsidR="004B555A">
        <w:t xml:space="preserve"> submission</w:t>
      </w:r>
      <w:r>
        <w:t xml:space="preserve">s highlighted that prolonged </w:t>
      </w:r>
      <w:r w:rsidR="00164330">
        <w:t>processes</w:t>
      </w:r>
      <w:r>
        <w:t xml:space="preserve"> </w:t>
      </w:r>
      <w:r w:rsidR="00164330">
        <w:t xml:space="preserve">can </w:t>
      </w:r>
      <w:r>
        <w:t xml:space="preserve">impose unnecessary costs. </w:t>
      </w:r>
      <w:r w:rsidR="004B555A">
        <w:t>T</w:t>
      </w:r>
      <w:r w:rsidR="00A40C4B">
        <w:t xml:space="preserve">he NSW Minerals Council </w:t>
      </w:r>
      <w:r w:rsidR="005A15BA">
        <w:t>described</w:t>
      </w:r>
      <w:r w:rsidR="00A40C4B">
        <w:t xml:space="preserve"> </w:t>
      </w:r>
      <w:r w:rsidR="00164330">
        <w:t xml:space="preserve">recent </w:t>
      </w:r>
      <w:r w:rsidR="00A40C4B">
        <w:t xml:space="preserve">proceedings under the NAR </w:t>
      </w:r>
      <w:r w:rsidR="005A15BA">
        <w:t>as</w:t>
      </w:r>
      <w:r w:rsidR="00A40C4B" w:rsidRPr="003B3BF1">
        <w:t xml:space="preserve"> ‘</w:t>
      </w:r>
      <w:r w:rsidR="00A40C4B" w:rsidRPr="00263A4A">
        <w:t>litigious, lengthy and costl</w:t>
      </w:r>
      <w:r w:rsidR="00A40C4B">
        <w:t>y’.</w:t>
      </w:r>
      <w:r w:rsidR="000401B7">
        <w:rPr>
          <w:rStyle w:val="FootnoteReference"/>
        </w:rPr>
        <w:footnoteReference w:id="6"/>
      </w:r>
      <w:r w:rsidR="00A40C4B">
        <w:t xml:space="preserve"> The Port of Newcastle submitted that: </w:t>
      </w:r>
    </w:p>
    <w:p w14:paraId="51AFA6B1" w14:textId="77777777" w:rsidR="00A40C4B" w:rsidRDefault="00A40C4B" w:rsidP="00A40C4B">
      <w:pPr>
        <w:ind w:left="720"/>
      </w:pPr>
      <w:r>
        <w:t>the very considerable administrative, compliance and legal costs associated with current processes under the NAR, as demonstrated by PNO's experience, are not in the public interest.</w:t>
      </w:r>
      <w:r>
        <w:rPr>
          <w:rStyle w:val="FootnoteReference"/>
        </w:rPr>
        <w:footnoteReference w:id="7"/>
      </w:r>
      <w:r>
        <w:t xml:space="preserve"> </w:t>
      </w:r>
    </w:p>
    <w:p w14:paraId="5A9AAED0" w14:textId="77777777" w:rsidR="00A40C4B" w:rsidRDefault="00A40C4B" w:rsidP="00A40C4B">
      <w:r>
        <w:t>It further submitted that it had spent ‘approximately $15 million defending access disputes’ and that it has been in a ‘state of constant uncertainty’ since the Port was declared in 2016 which has ‘undermined its investment decisions’.</w:t>
      </w:r>
      <w:r>
        <w:rPr>
          <w:rStyle w:val="FootnoteReference"/>
        </w:rPr>
        <w:footnoteReference w:id="8"/>
      </w:r>
    </w:p>
    <w:p w14:paraId="31D9842E" w14:textId="77777777" w:rsidR="00F9767D" w:rsidRDefault="00F9767D" w:rsidP="00F9767D">
      <w:pPr>
        <w:spacing w:after="240"/>
      </w:pPr>
      <w:r>
        <w:lastRenderedPageBreak/>
        <w:t>Glencore (from the perspective of an infrastructure user) submitted that:</w:t>
      </w:r>
    </w:p>
    <w:p w14:paraId="00B0A7C4" w14:textId="77777777" w:rsidR="00F9767D" w:rsidRDefault="00F9767D" w:rsidP="00F9767D">
      <w:pPr>
        <w:ind w:left="360"/>
      </w:pPr>
      <w:r>
        <w:t>the amounts of money involved in export infrastructure means that it is in the commercial interests of monopoly infrastructure operators to contest every issue to preserve their market power.</w:t>
      </w:r>
      <w:r>
        <w:rPr>
          <w:rStyle w:val="FootnoteReference"/>
        </w:rPr>
        <w:footnoteReference w:id="9"/>
      </w:r>
    </w:p>
    <w:p w14:paraId="48999447" w14:textId="1D5385B5" w:rsidR="00A40C4B" w:rsidRDefault="003D671F" w:rsidP="00F9767D">
      <w:r>
        <w:t xml:space="preserve">At least some parties may be deterred from utilising NAR processes. </w:t>
      </w:r>
      <w:r w:rsidR="00A40C4B">
        <w:t xml:space="preserve">Airlines for Australian &amp; New Zealand submitted: </w:t>
      </w:r>
    </w:p>
    <w:p w14:paraId="21D2FC33" w14:textId="403245D7" w:rsidR="006418CB" w:rsidRDefault="00A40C4B" w:rsidP="00A40C4B">
      <w:pPr>
        <w:ind w:left="360"/>
      </w:pPr>
      <w:r>
        <w:t>Airlines have ceased trying to use Part IIIA for two main reasons, according to the ACCC and the testimony of airlines themselves. The first is that Part IIIA declaration processes can be lengthy and arduous, and are subject to both merits reviews and judicial reviews that can take years – the focus of this consultation. A second reason is that it is exceedingly difficult to get a service declared, creating significant uncertainty about the investment required to pursue this course of action.</w:t>
      </w:r>
      <w:r w:rsidR="008D4E93">
        <w:rPr>
          <w:rStyle w:val="FootnoteReference"/>
        </w:rPr>
        <w:footnoteReference w:id="10"/>
      </w:r>
    </w:p>
    <w:p w14:paraId="3FE43AC3" w14:textId="77777777" w:rsidR="00AE33C3" w:rsidRDefault="00AE33C3" w:rsidP="00A73593">
      <w:r w:rsidRPr="00DD73E9">
        <w:t>Glencore stated that uncertainties in the NAR had</w:t>
      </w:r>
      <w:r w:rsidRPr="0048611F">
        <w:t xml:space="preserve"> ‘impacted investment decisions of new mines in the Hunter Valley’.</w:t>
      </w:r>
      <w:r w:rsidRPr="00DD73E9">
        <w:rPr>
          <w:rStyle w:val="FootnoteReference"/>
        </w:rPr>
        <w:footnoteReference w:id="11"/>
      </w:r>
    </w:p>
    <w:p w14:paraId="63AE1561" w14:textId="6F1DAEB1" w:rsidR="00A73593" w:rsidRDefault="00A73593" w:rsidP="00A73593">
      <w:r>
        <w:t>The Business Law Section of the Law Council of Australia submitted that:</w:t>
      </w:r>
    </w:p>
    <w:p w14:paraId="60C3B023" w14:textId="2C34256E" w:rsidR="00A73593" w:rsidRDefault="00A73593" w:rsidP="00A73593">
      <w:pPr>
        <w:ind w:left="360"/>
      </w:pPr>
      <w:r>
        <w:t xml:space="preserve">Prolonged declaration and arbitration proceedings create uncertainty for access seekers and access providers, and risk disincentivising the efficient use of and </w:t>
      </w:r>
      <w:r>
        <w:lastRenderedPageBreak/>
        <w:t>investment in the infrastructure by which essential services are provided, to the detriment of competition in upstream and downstream markets.</w:t>
      </w:r>
      <w:r>
        <w:rPr>
          <w:rStyle w:val="FootnoteReference"/>
        </w:rPr>
        <w:footnoteReference w:id="12"/>
      </w:r>
    </w:p>
    <w:p w14:paraId="4C5FADA6" w14:textId="5FF7D769" w:rsidR="0045078D" w:rsidRDefault="0045078D" w:rsidP="00575EC9">
      <w:pPr>
        <w:pStyle w:val="Heading3"/>
      </w:pPr>
      <w:bookmarkStart w:id="35" w:name="_Toc71282567"/>
      <w:bookmarkStart w:id="36" w:name="_Toc71282948"/>
      <w:bookmarkStart w:id="37" w:name="_Toc71294353"/>
      <w:bookmarkStart w:id="38" w:name="_Toc71299655"/>
      <w:bookmarkStart w:id="39" w:name="_Toc71301609"/>
      <w:bookmarkStart w:id="40" w:name="_Toc71310082"/>
      <w:bookmarkStart w:id="41" w:name="_Toc71317839"/>
      <w:r>
        <w:t>Conclusion</w:t>
      </w:r>
      <w:bookmarkEnd w:id="35"/>
      <w:bookmarkEnd w:id="36"/>
      <w:bookmarkEnd w:id="37"/>
      <w:bookmarkEnd w:id="38"/>
      <w:bookmarkEnd w:id="39"/>
      <w:bookmarkEnd w:id="40"/>
      <w:bookmarkEnd w:id="41"/>
    </w:p>
    <w:p w14:paraId="3259CE75" w14:textId="15833FF7" w:rsidR="007B627B" w:rsidRDefault="00A2655F" w:rsidP="00575EC9">
      <w:pPr>
        <w:spacing w:after="240"/>
      </w:pPr>
      <w:r>
        <w:t>The examples above</w:t>
      </w:r>
      <w:r w:rsidR="007B627B">
        <w:t xml:space="preserve"> </w:t>
      </w:r>
      <w:r w:rsidR="00042FD6">
        <w:t>highlight</w:t>
      </w:r>
      <w:r w:rsidR="007B627B">
        <w:t xml:space="preserve"> the following</w:t>
      </w:r>
      <w:r w:rsidR="00042FD6">
        <w:t xml:space="preserve"> concerns</w:t>
      </w:r>
      <w:r w:rsidR="007B627B">
        <w:t>:</w:t>
      </w:r>
    </w:p>
    <w:p w14:paraId="3A52283C" w14:textId="77777777" w:rsidR="007B627B" w:rsidRDefault="007B627B" w:rsidP="007B627B">
      <w:pPr>
        <w:pStyle w:val="Bulletpoint"/>
      </w:pPr>
      <w:r>
        <w:t>given the substantial commercial issues at stake, parties in NAR matters can have a strong propensity to resort to litigation. As well as being a key driver of the length of processes, this can mean that Tribunal review does not finally resolve matters;</w:t>
      </w:r>
    </w:p>
    <w:p w14:paraId="7CDE5571" w14:textId="46044818" w:rsidR="007B627B" w:rsidRDefault="007B627B" w:rsidP="00C0689E">
      <w:pPr>
        <w:pStyle w:val="Bulletpoint"/>
      </w:pPr>
      <w:r>
        <w:t>‘repeat’ applications</w:t>
      </w:r>
      <w:r w:rsidR="00DB7A82">
        <w:t xml:space="preserve"> for declaration</w:t>
      </w:r>
      <w:r>
        <w:t xml:space="preserve"> </w:t>
      </w:r>
      <w:r w:rsidR="00DB7A82">
        <w:t xml:space="preserve">relatively shortly after </w:t>
      </w:r>
      <w:r w:rsidR="00CB56D3">
        <w:t xml:space="preserve">a </w:t>
      </w:r>
      <w:r w:rsidR="00DB7A82">
        <w:t xml:space="preserve">previous declaration decision </w:t>
      </w:r>
      <w:r>
        <w:t>can extend processes; and</w:t>
      </w:r>
    </w:p>
    <w:p w14:paraId="7880D379" w14:textId="5C05BFE3" w:rsidR="007B627B" w:rsidRDefault="007B627B" w:rsidP="007B627B">
      <w:pPr>
        <w:pStyle w:val="Bulletpoint"/>
      </w:pPr>
      <w:r>
        <w:t>arbitration determinations can, because of the design of the NAR, extend beyond when infrastructure is declared.</w:t>
      </w:r>
      <w:r>
        <w:rPr>
          <w:rStyle w:val="FootnoteReference"/>
        </w:rPr>
        <w:footnoteReference w:id="13"/>
      </w:r>
    </w:p>
    <w:p w14:paraId="65EF60F1" w14:textId="1D40E47F" w:rsidR="007B627B" w:rsidRDefault="007B627B" w:rsidP="00575EC9">
      <w:pPr>
        <w:pStyle w:val="Dash"/>
      </w:pPr>
      <w:r>
        <w:t xml:space="preserve">While this </w:t>
      </w:r>
      <w:r w:rsidR="00832457">
        <w:t>may</w:t>
      </w:r>
      <w:r>
        <w:t xml:space="preserve"> provide certainty for infrastructure users, it is arguably anomalous, as it means infrastructure can be subject to arbitrated terms and conditions of access after it ceases to be covered by the NAR.</w:t>
      </w:r>
    </w:p>
    <w:p w14:paraId="2B66EF98" w14:textId="77777777" w:rsidR="007B627B" w:rsidRDefault="007B627B" w:rsidP="00575EC9">
      <w:pPr>
        <w:pStyle w:val="Dash"/>
      </w:pPr>
      <w:r>
        <w:lastRenderedPageBreak/>
        <w:t>It also potentially distorts competition in that some infrastructure users may be subject to arbitrated terms and conditions and others not.</w:t>
      </w:r>
    </w:p>
    <w:p w14:paraId="403C945E" w14:textId="035E39F5" w:rsidR="00A40C4B" w:rsidRDefault="00A40C4B" w:rsidP="00A40C4B">
      <w:pPr>
        <w:spacing w:after="240"/>
      </w:pPr>
      <w:r>
        <w:t>Regulatory processes characterised by delay, uncertainty and anomalous outcomes create risks, particularly as declaration and arbitration decisions have significant commercial implications for infrastructure providers and users. For example, the</w:t>
      </w:r>
      <w:r w:rsidR="00537B78">
        <w:t xml:space="preserve">re is a risk that investment </w:t>
      </w:r>
      <w:r>
        <w:t xml:space="preserve">may </w:t>
      </w:r>
      <w:r w:rsidR="00537B78">
        <w:t xml:space="preserve">be </w:t>
      </w:r>
      <w:r>
        <w:t>defer</w:t>
      </w:r>
      <w:r w:rsidR="00537B78">
        <w:t>red</w:t>
      </w:r>
      <w:r>
        <w:t>, limit</w:t>
      </w:r>
      <w:r w:rsidR="00537B78">
        <w:t>ed</w:t>
      </w:r>
      <w:r>
        <w:t xml:space="preserve"> or otherwise change</w:t>
      </w:r>
      <w:r w:rsidR="00537B78">
        <w:t>d</w:t>
      </w:r>
      <w:r w:rsidR="00DA120D">
        <w:t xml:space="preserve">. </w:t>
      </w:r>
    </w:p>
    <w:p w14:paraId="6F14A573" w14:textId="0B778759" w:rsidR="00A40C4B" w:rsidRDefault="00A40C4B" w:rsidP="00A40C4B">
      <w:pPr>
        <w:spacing w:after="240"/>
      </w:pPr>
      <w:r>
        <w:t>More generally, the NAR is a key element of Australia’s competition law framework. Issues with the design of NAR processes may undermine public confidence not just in the NAR itself but also in the effectiveness of regulation in addressing competition issues more broadly.</w:t>
      </w:r>
    </w:p>
    <w:p w14:paraId="26D9ADE0" w14:textId="123CBDC3" w:rsidR="0048611F" w:rsidRDefault="0048611F">
      <w:bookmarkStart w:id="42" w:name="_Toc71282568"/>
      <w:bookmarkStart w:id="43" w:name="_Toc71282949"/>
    </w:p>
    <w:p w14:paraId="3F488EF2" w14:textId="77777777" w:rsidR="0048611F" w:rsidRDefault="0048611F">
      <w:r>
        <w:br w:type="page"/>
      </w:r>
    </w:p>
    <w:p w14:paraId="12B89264" w14:textId="68267815" w:rsidR="0045078D" w:rsidRDefault="0045078D" w:rsidP="00575EC9">
      <w:pPr>
        <w:pStyle w:val="Heading3"/>
        <w:pBdr>
          <w:top w:val="single" w:sz="4" w:space="1" w:color="auto"/>
          <w:left w:val="single" w:sz="4" w:space="4" w:color="auto"/>
          <w:bottom w:val="single" w:sz="4" w:space="1" w:color="auto"/>
          <w:right w:val="single" w:sz="4" w:space="4" w:color="auto"/>
        </w:pBdr>
      </w:pPr>
      <w:bookmarkStart w:id="44" w:name="_Toc71294354"/>
      <w:bookmarkStart w:id="45" w:name="_Toc71299656"/>
      <w:bookmarkStart w:id="46" w:name="_Toc71301610"/>
      <w:bookmarkStart w:id="47" w:name="_Toc71310083"/>
      <w:bookmarkStart w:id="48" w:name="_Toc71317840"/>
      <w:r>
        <w:lastRenderedPageBreak/>
        <w:t>Merits and Judicial Review</w:t>
      </w:r>
      <w:bookmarkEnd w:id="42"/>
      <w:bookmarkEnd w:id="43"/>
      <w:bookmarkEnd w:id="44"/>
      <w:bookmarkEnd w:id="45"/>
      <w:bookmarkEnd w:id="46"/>
      <w:bookmarkEnd w:id="47"/>
      <w:bookmarkEnd w:id="48"/>
    </w:p>
    <w:p w14:paraId="4DD4BFA6" w14:textId="7A5B7F71" w:rsidR="0045078D" w:rsidRDefault="0045078D" w:rsidP="00575EC9">
      <w:pPr>
        <w:pBdr>
          <w:top w:val="single" w:sz="4" w:space="1" w:color="auto"/>
          <w:left w:val="single" w:sz="4" w:space="4" w:color="auto"/>
          <w:bottom w:val="single" w:sz="4" w:space="1" w:color="auto"/>
          <w:right w:val="single" w:sz="4" w:space="4" w:color="auto"/>
        </w:pBdr>
        <w:spacing w:after="240"/>
      </w:pPr>
      <w:r>
        <w:t>The NAR provides for merits review by the Australian Competition Tribunal of Ministerial decisions (or deemed decisions) on declaration</w:t>
      </w:r>
      <w:r>
        <w:rPr>
          <w:rStyle w:val="FootnoteReference"/>
        </w:rPr>
        <w:footnoteReference w:id="14"/>
      </w:r>
      <w:r>
        <w:t xml:space="preserve"> and arbitration determinations made by the ACCC. </w:t>
      </w:r>
    </w:p>
    <w:p w14:paraId="4213DB22" w14:textId="77777777" w:rsidR="0048611F" w:rsidRDefault="0045078D" w:rsidP="00575EC9">
      <w:pPr>
        <w:pBdr>
          <w:top w:val="single" w:sz="4" w:space="1" w:color="auto"/>
          <w:left w:val="single" w:sz="4" w:space="4" w:color="auto"/>
          <w:bottom w:val="single" w:sz="4" w:space="1" w:color="auto"/>
          <w:right w:val="single" w:sz="4" w:space="4" w:color="auto"/>
        </w:pBdr>
        <w:spacing w:after="240"/>
      </w:pPr>
      <w:r>
        <w:t>Tribunal review of declaration decisions is a re-consideration of the matter,</w:t>
      </w:r>
      <w:r>
        <w:rPr>
          <w:rStyle w:val="FootnoteReference"/>
        </w:rPr>
        <w:footnoteReference w:id="15"/>
      </w:r>
      <w:r>
        <w:t xml:space="preserve"> while the Tribunal’s review of an arbitration determination is a re-arbitration of the access dispute.</w:t>
      </w:r>
      <w:r w:rsidRPr="00B665A0">
        <w:rPr>
          <w:rStyle w:val="FootnoteReference"/>
        </w:rPr>
        <w:t xml:space="preserve"> </w:t>
      </w:r>
      <w:r>
        <w:rPr>
          <w:rStyle w:val="FootnoteReference"/>
        </w:rPr>
        <w:footnoteReference w:id="16"/>
      </w:r>
      <w:r>
        <w:t xml:space="preserve"> </w:t>
      </w:r>
    </w:p>
    <w:p w14:paraId="3F2DC917" w14:textId="67D5F58B" w:rsidR="0045078D" w:rsidRDefault="0045078D" w:rsidP="00575EC9">
      <w:pPr>
        <w:pBdr>
          <w:top w:val="single" w:sz="4" w:space="1" w:color="auto"/>
          <w:left w:val="single" w:sz="4" w:space="4" w:color="auto"/>
          <w:bottom w:val="single" w:sz="4" w:space="1" w:color="auto"/>
          <w:right w:val="single" w:sz="4" w:space="4" w:color="auto"/>
        </w:pBdr>
        <w:spacing w:after="240"/>
      </w:pPr>
      <w:r>
        <w:t>2010 amendments to the NAR limited the material on which the Tribunal may base its review. Generally this is the information that the original decision maker took into account, information or reports that the Tribunal requires the NCC (in the case of declaration) or the ACCC (in the case of arbitration) to provide, and other information requested by the Tribunal that it considers reasonable and appropriate for the purposes of making its decision.</w:t>
      </w:r>
      <w:r>
        <w:rPr>
          <w:rStyle w:val="FootnoteReference"/>
        </w:rPr>
        <w:footnoteReference w:id="17"/>
      </w:r>
    </w:p>
    <w:p w14:paraId="1639BF99" w14:textId="4129E871" w:rsidR="00694C17" w:rsidRDefault="00694C17" w:rsidP="00575EC9">
      <w:pPr>
        <w:pBdr>
          <w:top w:val="single" w:sz="4" w:space="1" w:color="auto"/>
          <w:left w:val="single" w:sz="4" w:space="4" w:color="auto"/>
          <w:bottom w:val="single" w:sz="4" w:space="1" w:color="auto"/>
          <w:right w:val="single" w:sz="4" w:space="4" w:color="auto"/>
        </w:pBdr>
        <w:spacing w:after="240"/>
      </w:pPr>
      <w:r>
        <w:t>The Business Law Section of the Law Council of Australia submitted that ‘[m]erits review provides the only means to correct decisions made by an administrative decision maker on the basis of incorrect facts. Judicial review rarely allows for factual errors (other than jurisdictional errors) in decisions to be revisited or corrected’.</w:t>
      </w:r>
      <w:r w:rsidR="00CF53E9">
        <w:rPr>
          <w:rStyle w:val="FootnoteReference"/>
        </w:rPr>
        <w:footnoteReference w:id="18"/>
      </w:r>
    </w:p>
    <w:p w14:paraId="59866EE1" w14:textId="7AAC3DA4" w:rsidR="00A41D25" w:rsidRDefault="00A41D25">
      <w:pPr>
        <w:pBdr>
          <w:top w:val="single" w:sz="4" w:space="1" w:color="auto"/>
          <w:left w:val="single" w:sz="4" w:space="4" w:color="auto"/>
          <w:bottom w:val="single" w:sz="4" w:space="1" w:color="auto"/>
          <w:right w:val="single" w:sz="4" w:space="4" w:color="auto"/>
        </w:pBdr>
        <w:spacing w:after="240"/>
      </w:pPr>
      <w:r>
        <w:lastRenderedPageBreak/>
        <w:t>The principal objective of merits review is to ensure that administrative decisions are both correct and preferable in that they are both made according to law and the most appropriate decision that could have been made based on all the relevant facts. By contrast, jud</w:t>
      </w:r>
      <w:r w:rsidR="00462A0B">
        <w:t>icial review undertaken by the c</w:t>
      </w:r>
      <w:r>
        <w:t xml:space="preserve">ourts is directed at determining </w:t>
      </w:r>
      <w:r w:rsidR="00BA421A">
        <w:t xml:space="preserve">only </w:t>
      </w:r>
      <w:r>
        <w:t>whether administrative decisions are legally sound – that is, made in accordance with the law.</w:t>
      </w:r>
      <w:r w:rsidR="004A4F62">
        <w:t xml:space="preserve"> </w:t>
      </w:r>
    </w:p>
    <w:p w14:paraId="37866088" w14:textId="48E06D43" w:rsidR="0045078D" w:rsidRDefault="0045078D" w:rsidP="00575EC9">
      <w:pPr>
        <w:pBdr>
          <w:top w:val="single" w:sz="4" w:space="1" w:color="auto"/>
          <w:left w:val="single" w:sz="4" w:space="4" w:color="auto"/>
          <w:bottom w:val="single" w:sz="4" w:space="1" w:color="auto"/>
          <w:right w:val="single" w:sz="4" w:space="4" w:color="auto"/>
        </w:pBdr>
        <w:spacing w:after="240"/>
      </w:pPr>
      <w:r>
        <w:t>This involves looking at whether appropriate procedures have been followed, and the law properly understood and applie</w:t>
      </w:r>
      <w:r w:rsidR="00462A0B">
        <w:t>d in making the decision. When c</w:t>
      </w:r>
      <w:r>
        <w:t>ourts find an administrative decision is not legally sound, they typically may refer matters back to the decision maker whose decision is under review to remake the decision.</w:t>
      </w:r>
    </w:p>
    <w:p w14:paraId="7A2AA2E4" w14:textId="768B967F" w:rsidR="0045078D" w:rsidRDefault="0045078D" w:rsidP="00A40C4B">
      <w:pPr>
        <w:spacing w:after="240"/>
      </w:pPr>
    </w:p>
    <w:p w14:paraId="762228B1" w14:textId="45129914" w:rsidR="000D468B" w:rsidRPr="009F23E6" w:rsidRDefault="000D468B" w:rsidP="000D468B">
      <w:pPr>
        <w:pStyle w:val="Heading1"/>
        <w:rPr>
          <w:rFonts w:asciiTheme="minorHAnsi" w:hAnsiTheme="minorHAnsi"/>
        </w:rPr>
      </w:pPr>
      <w:bookmarkStart w:id="49" w:name="_Toc69994343"/>
      <w:bookmarkStart w:id="50" w:name="_Toc71270964"/>
      <w:bookmarkStart w:id="51" w:name="_Toc71282569"/>
      <w:bookmarkStart w:id="52" w:name="_Toc71282950"/>
      <w:bookmarkStart w:id="53" w:name="_Toc71294355"/>
      <w:bookmarkStart w:id="54" w:name="_Toc71299657"/>
      <w:bookmarkStart w:id="55" w:name="_Toc71301611"/>
      <w:bookmarkStart w:id="56" w:name="_Toc71310084"/>
      <w:bookmarkStart w:id="57" w:name="_Toc71317841"/>
      <w:r>
        <w:rPr>
          <w:rFonts w:asciiTheme="minorHAnsi" w:hAnsiTheme="minorHAnsi"/>
        </w:rPr>
        <w:t>3</w:t>
      </w:r>
      <w:r w:rsidRPr="009F23E6">
        <w:rPr>
          <w:rFonts w:asciiTheme="minorHAnsi" w:hAnsiTheme="minorHAnsi"/>
        </w:rPr>
        <w:t>. Case for government action</w:t>
      </w:r>
      <w:bookmarkEnd w:id="49"/>
      <w:bookmarkEnd w:id="50"/>
      <w:bookmarkEnd w:id="51"/>
      <w:bookmarkEnd w:id="52"/>
      <w:bookmarkEnd w:id="53"/>
      <w:bookmarkEnd w:id="54"/>
      <w:bookmarkEnd w:id="55"/>
      <w:bookmarkEnd w:id="56"/>
      <w:bookmarkEnd w:id="57"/>
    </w:p>
    <w:p w14:paraId="061939FD" w14:textId="53B2BC21" w:rsidR="000D468B" w:rsidRDefault="000D468B" w:rsidP="000D468B">
      <w:r>
        <w:t>Government is responsible for ensuring that existing regulation such as the NAR operates effectively. Government action to address the problem outlined above, to the extent that it relates to the design of the NAR, is therefore warranted.</w:t>
      </w:r>
      <w:r>
        <w:br w:type="page"/>
      </w:r>
    </w:p>
    <w:p w14:paraId="10D2480D" w14:textId="77777777" w:rsidR="000D468B" w:rsidRPr="009F23E6" w:rsidRDefault="000D468B" w:rsidP="000D468B">
      <w:pPr>
        <w:pStyle w:val="Heading1"/>
        <w:rPr>
          <w:rFonts w:asciiTheme="minorHAnsi" w:hAnsiTheme="minorHAnsi"/>
        </w:rPr>
      </w:pPr>
      <w:bookmarkStart w:id="58" w:name="_Toc69994344"/>
      <w:bookmarkStart w:id="59" w:name="_Toc71270965"/>
      <w:bookmarkStart w:id="60" w:name="_Toc71282570"/>
      <w:bookmarkStart w:id="61" w:name="_Toc71282951"/>
      <w:bookmarkStart w:id="62" w:name="_Toc71294356"/>
      <w:bookmarkStart w:id="63" w:name="_Toc71299658"/>
      <w:bookmarkStart w:id="64" w:name="_Toc71301612"/>
      <w:bookmarkStart w:id="65" w:name="_Toc71310085"/>
      <w:bookmarkStart w:id="66" w:name="_Toc71317842"/>
      <w:r>
        <w:rPr>
          <w:rFonts w:asciiTheme="minorHAnsi" w:hAnsiTheme="minorHAnsi"/>
        </w:rPr>
        <w:lastRenderedPageBreak/>
        <w:t>4</w:t>
      </w:r>
      <w:r w:rsidRPr="009F23E6">
        <w:rPr>
          <w:rFonts w:asciiTheme="minorHAnsi" w:hAnsiTheme="minorHAnsi"/>
        </w:rPr>
        <w:t>. Policy options</w:t>
      </w:r>
      <w:bookmarkEnd w:id="58"/>
      <w:bookmarkEnd w:id="59"/>
      <w:bookmarkEnd w:id="60"/>
      <w:bookmarkEnd w:id="61"/>
      <w:bookmarkEnd w:id="62"/>
      <w:bookmarkEnd w:id="63"/>
      <w:bookmarkEnd w:id="64"/>
      <w:bookmarkEnd w:id="65"/>
      <w:bookmarkEnd w:id="66"/>
    </w:p>
    <w:p w14:paraId="0ED93ECE" w14:textId="36C8AA8D" w:rsidR="000D468B" w:rsidRDefault="009F5A38" w:rsidP="000D468B">
      <w:pPr>
        <w:spacing w:after="240"/>
      </w:pPr>
      <w:r>
        <w:t>Public consultation was undertaken on options in three broad areas to address the problem outlined in Section 2</w:t>
      </w:r>
      <w:r w:rsidR="000D468B">
        <w:t>:</w:t>
      </w:r>
    </w:p>
    <w:p w14:paraId="1861F457" w14:textId="23FD406A" w:rsidR="009F5A38" w:rsidRDefault="000D468B" w:rsidP="00412E35">
      <w:pPr>
        <w:pStyle w:val="Bulletpoint"/>
      </w:pPr>
      <w:r>
        <w:t>merits review of declaration and arbitration decisions</w:t>
      </w:r>
      <w:r w:rsidR="002530F2">
        <w:t xml:space="preserve"> (options 1, 2 and 3 below)</w:t>
      </w:r>
      <w:r>
        <w:t xml:space="preserve">; </w:t>
      </w:r>
    </w:p>
    <w:p w14:paraId="3F917F7E" w14:textId="117C94BC" w:rsidR="000D468B" w:rsidRDefault="000D468B" w:rsidP="00412E35">
      <w:pPr>
        <w:pStyle w:val="Bulletpoint"/>
      </w:pPr>
      <w:r>
        <w:t>repeat applications for declaration and revocation of a declaration for the same infrastructure</w:t>
      </w:r>
      <w:r w:rsidR="002530F2">
        <w:t xml:space="preserve"> (options 4 and 5)</w:t>
      </w:r>
      <w:r w:rsidR="009F5A38">
        <w:t>; and</w:t>
      </w:r>
    </w:p>
    <w:p w14:paraId="4BD4DD90" w14:textId="3645006D" w:rsidR="000D468B" w:rsidRDefault="000D468B" w:rsidP="009F5A38">
      <w:pPr>
        <w:pStyle w:val="Bulletpoint"/>
      </w:pPr>
      <w:r>
        <w:t>arbitration processes and decisions continuing after infrastructure is no longer covered by the NAR</w:t>
      </w:r>
      <w:r w:rsidR="002530F2">
        <w:t xml:space="preserve"> (options 6 and 7)</w:t>
      </w:r>
      <w:r>
        <w:t>.</w:t>
      </w:r>
    </w:p>
    <w:p w14:paraId="36269C52" w14:textId="0797F718" w:rsidR="009F5A38" w:rsidRDefault="009F5A38" w:rsidP="009F5A38">
      <w:pPr>
        <w:spacing w:after="240"/>
      </w:pPr>
      <w:r>
        <w:t xml:space="preserve">Other options </w:t>
      </w:r>
      <w:r w:rsidR="002530F2">
        <w:t xml:space="preserve">were </w:t>
      </w:r>
      <w:r>
        <w:t>not consid</w:t>
      </w:r>
      <w:r w:rsidR="002530F2">
        <w:t>e</w:t>
      </w:r>
      <w:r>
        <w:t xml:space="preserve">red </w:t>
      </w:r>
      <w:r w:rsidR="002530F2">
        <w:t xml:space="preserve">feasible. </w:t>
      </w:r>
      <w:r>
        <w:t xml:space="preserve">For example, the examples noted in Section 2 </w:t>
      </w:r>
      <w:r w:rsidR="002530F2">
        <w:t xml:space="preserve">above </w:t>
      </w:r>
      <w:r>
        <w:t>highlight that an important cause of the delay in finalising NAR processes is the p</w:t>
      </w:r>
      <w:r w:rsidR="00462A0B">
        <w:t>ropensity for parties to go to c</w:t>
      </w:r>
      <w:r>
        <w:t>ourt to test whether declaration and arbitration decisions are legally sound. It would not be possible or appropriate to attempt to foreclose this option for parties to NAR matters.</w:t>
      </w:r>
    </w:p>
    <w:p w14:paraId="4044C085" w14:textId="77777777" w:rsidR="000D468B" w:rsidRDefault="000D468B" w:rsidP="000D468B">
      <w:pPr>
        <w:pStyle w:val="Heading3"/>
      </w:pPr>
      <w:bookmarkStart w:id="67" w:name="_Toc69994345"/>
      <w:bookmarkStart w:id="68" w:name="_Toc71270966"/>
      <w:bookmarkStart w:id="69" w:name="_Toc71282571"/>
      <w:bookmarkStart w:id="70" w:name="_Toc71282952"/>
      <w:bookmarkStart w:id="71" w:name="_Toc71294357"/>
      <w:bookmarkStart w:id="72" w:name="_Toc71299659"/>
      <w:bookmarkStart w:id="73" w:name="_Toc71301613"/>
      <w:bookmarkStart w:id="74" w:name="_Toc71310086"/>
      <w:bookmarkStart w:id="75" w:name="_Toc71317843"/>
      <w:r>
        <w:t>Merits review</w:t>
      </w:r>
      <w:bookmarkEnd w:id="67"/>
      <w:bookmarkEnd w:id="68"/>
      <w:bookmarkEnd w:id="69"/>
      <w:bookmarkEnd w:id="70"/>
      <w:bookmarkEnd w:id="71"/>
      <w:bookmarkEnd w:id="72"/>
      <w:bookmarkEnd w:id="73"/>
      <w:bookmarkEnd w:id="74"/>
      <w:bookmarkEnd w:id="75"/>
    </w:p>
    <w:p w14:paraId="289A74AD" w14:textId="77777777" w:rsidR="000D468B" w:rsidRDefault="000D468B" w:rsidP="000D468B">
      <w:pPr>
        <w:spacing w:after="240"/>
      </w:pPr>
      <w:r>
        <w:t>Three options have been identified to address timeliness concerns relating to merits review of declaration and arbitration decisions:</w:t>
      </w:r>
    </w:p>
    <w:p w14:paraId="487AD9D4" w14:textId="708A6EC6" w:rsidR="000D468B" w:rsidRDefault="000D468B" w:rsidP="003522C2">
      <w:pPr>
        <w:pStyle w:val="Bulletpoint"/>
      </w:pPr>
      <w:r>
        <w:t xml:space="preserve">Option 1: remove Tribunal review of </w:t>
      </w:r>
      <w:r w:rsidR="005B34C9">
        <w:t>Minister</w:t>
      </w:r>
      <w:r w:rsidR="00C65960">
        <w:t>s</w:t>
      </w:r>
      <w:r w:rsidR="005B34C9">
        <w:t>’</w:t>
      </w:r>
      <w:r>
        <w:t xml:space="preserve"> decisions on declaration of infrastructure;</w:t>
      </w:r>
    </w:p>
    <w:p w14:paraId="2C0370B6" w14:textId="02930B99" w:rsidR="000D468B" w:rsidRDefault="000D468B" w:rsidP="003522C2">
      <w:pPr>
        <w:pStyle w:val="Bulletpoint"/>
      </w:pPr>
      <w:r>
        <w:t>Option 2: remove Tribunal review of ACCC arbitration decisions;</w:t>
      </w:r>
      <w:r w:rsidR="006B0E13">
        <w:t xml:space="preserve"> and</w:t>
      </w:r>
    </w:p>
    <w:p w14:paraId="1B07AFAA" w14:textId="54B21D73" w:rsidR="000D468B" w:rsidRDefault="000D468B" w:rsidP="003522C2">
      <w:pPr>
        <w:pStyle w:val="Bulletpoint"/>
      </w:pPr>
      <w:r>
        <w:lastRenderedPageBreak/>
        <w:t xml:space="preserve">Option 3: shorten the </w:t>
      </w:r>
      <w:r w:rsidR="00181A1B">
        <w:t xml:space="preserve">existing statutory </w:t>
      </w:r>
      <w:r>
        <w:t>timeframes for undertaking Tribunal review of arbitration and declaration decisions.</w:t>
      </w:r>
    </w:p>
    <w:p w14:paraId="559C3062" w14:textId="4856BEED" w:rsidR="003D1DC6" w:rsidRDefault="003D1DC6" w:rsidP="00575EC9">
      <w:pPr>
        <w:pStyle w:val="Dash"/>
      </w:pPr>
      <w:r w:rsidRPr="003D1DC6">
        <w:t>The</w:t>
      </w:r>
      <w:r>
        <w:t xml:space="preserve"> Tribunal is </w:t>
      </w:r>
      <w:r w:rsidR="00F736E1">
        <w:t xml:space="preserve">currently </w:t>
      </w:r>
      <w:r>
        <w:t>required to make its decisions within 180 days, although the CCA provides for a range of ‘clock</w:t>
      </w:r>
      <w:r w:rsidR="006B0E13">
        <w:t>-</w:t>
      </w:r>
      <w:r>
        <w:t>stoppers’, and the Tribunal can extend the decision-making period by giving notice to the Minister.</w:t>
      </w:r>
      <w:r>
        <w:rPr>
          <w:rStyle w:val="FootnoteReference"/>
        </w:rPr>
        <w:footnoteReference w:id="19"/>
      </w:r>
    </w:p>
    <w:p w14:paraId="2DB15682" w14:textId="77777777" w:rsidR="005111E3" w:rsidRDefault="000D468B" w:rsidP="000D468B">
      <w:pPr>
        <w:spacing w:after="240"/>
      </w:pPr>
      <w:r>
        <w:t xml:space="preserve">These options address timeliness by removing or shortening a step in the relevant processes. </w:t>
      </w:r>
    </w:p>
    <w:p w14:paraId="10EAD36B" w14:textId="22A9C8AC" w:rsidR="000D468B" w:rsidRDefault="005111E3" w:rsidP="000D468B">
      <w:pPr>
        <w:spacing w:after="240"/>
      </w:pPr>
      <w:r>
        <w:t>T</w:t>
      </w:r>
      <w:r w:rsidR="000D468B">
        <w:t xml:space="preserve">he options are particularly relevant given </w:t>
      </w:r>
      <w:r w:rsidR="0098309F">
        <w:t xml:space="preserve">the matters outlined in section 2 and Appendix A </w:t>
      </w:r>
      <w:r w:rsidR="000D468B">
        <w:t xml:space="preserve">that Tribunal review is unlikely to </w:t>
      </w:r>
      <w:r w:rsidR="00676B45">
        <w:t xml:space="preserve">finally resolve matters in a significant proportion of cases </w:t>
      </w:r>
      <w:r w:rsidR="000D468B">
        <w:t xml:space="preserve">because of the propensity of parties </w:t>
      </w:r>
      <w:r w:rsidR="00676B45">
        <w:t xml:space="preserve">in highly contentious matters </w:t>
      </w:r>
      <w:r w:rsidR="000D468B">
        <w:t xml:space="preserve">to seek judicial review of Tribunal decisions. </w:t>
      </w:r>
    </w:p>
    <w:p w14:paraId="580D14FF" w14:textId="363BAF75" w:rsidR="00A14191" w:rsidRDefault="00020D21" w:rsidP="00A14191">
      <w:pPr>
        <w:spacing w:after="240"/>
      </w:pPr>
      <w:r>
        <w:t>There are precedents for removing merits review. For example, i</w:t>
      </w:r>
      <w:r w:rsidR="00A14191">
        <w:t xml:space="preserve">n 2002 merits review by the Tribunal of ACCC telecommunication arbitration determinations </w:t>
      </w:r>
      <w:r w:rsidR="00820463">
        <w:t xml:space="preserve">under Part XIC of the </w:t>
      </w:r>
      <w:r w:rsidR="00D14B61">
        <w:t>CCA</w:t>
      </w:r>
      <w:r w:rsidR="00820463">
        <w:t xml:space="preserve"> </w:t>
      </w:r>
      <w:r w:rsidR="00A14191">
        <w:t>was removed, to promote certainty for access seekers and recognising significant delays that had resulted from that review process in the past.  In 2017, limited merits review of Australian Energy Regulator decisions was abolished as it was failing to meet its policy intent and leading to higher prices for consumers.</w:t>
      </w:r>
    </w:p>
    <w:p w14:paraId="514943DF" w14:textId="434C7D27" w:rsidR="002530F2" w:rsidRDefault="00DC69CF" w:rsidP="000D468B">
      <w:pPr>
        <w:spacing w:after="240"/>
      </w:pPr>
      <w:r>
        <w:lastRenderedPageBreak/>
        <w:t xml:space="preserve">While recent reviews of the NAR, such as </w:t>
      </w:r>
      <w:r w:rsidR="006F5CB2">
        <w:t>the 2015 Harper Competition Policy Review</w:t>
      </w:r>
      <w:r>
        <w:t xml:space="preserve">, did not </w:t>
      </w:r>
      <w:r w:rsidR="006F5CB2">
        <w:t>recommend removing Tribunal merits review of declaration or arbitration decisions</w:t>
      </w:r>
      <w:r>
        <w:t xml:space="preserve">, they did not take </w:t>
      </w:r>
      <w:r w:rsidR="002530F2">
        <w:t>into account the possibility that merits review would, in practice, not finalise matters</w:t>
      </w:r>
      <w:r w:rsidR="00554956">
        <w:t>, as has been seen with the NAR particularly in recent years.</w:t>
      </w:r>
    </w:p>
    <w:p w14:paraId="57DD1BB9" w14:textId="23F682F1" w:rsidR="00D82947" w:rsidRDefault="00D82947" w:rsidP="000D468B">
      <w:pPr>
        <w:spacing w:after="240"/>
      </w:pPr>
      <w:r>
        <w:t xml:space="preserve">There </w:t>
      </w:r>
      <w:r w:rsidR="004D6A48">
        <w:t xml:space="preserve">is </w:t>
      </w:r>
      <w:r w:rsidR="00C06C71">
        <w:t xml:space="preserve">more </w:t>
      </w:r>
      <w:r w:rsidR="004D6A48">
        <w:t xml:space="preserve">limited evidence to assess whether </w:t>
      </w:r>
      <w:r w:rsidR="00C06C71">
        <w:t>Tribunal review of ACCC determinations</w:t>
      </w:r>
      <w:r w:rsidR="0098309F">
        <w:t xml:space="preserve"> has</w:t>
      </w:r>
      <w:r w:rsidR="00C06C71">
        <w:t xml:space="preserve"> finally resolved arbitration matters. There </w:t>
      </w:r>
      <w:r>
        <w:t>have only been two arbitration determinations made since 1995 – in the Port of Newcastle matter (see above)</w:t>
      </w:r>
      <w:r w:rsidR="00C06C71">
        <w:t>, which is currently before the High Court, and</w:t>
      </w:r>
      <w:r>
        <w:t xml:space="preserve"> in </w:t>
      </w:r>
      <w:r w:rsidR="004D6A48">
        <w:t>a 2007 matter involving Sydney Water</w:t>
      </w:r>
      <w:r w:rsidR="006A341B">
        <w:t>, which did not go to the Tribunal</w:t>
      </w:r>
      <w:r w:rsidR="004D6A48">
        <w:t>.</w:t>
      </w:r>
    </w:p>
    <w:p w14:paraId="0648C453" w14:textId="34FFF95D" w:rsidR="00C73229" w:rsidRDefault="00C73229" w:rsidP="000D468B">
      <w:pPr>
        <w:spacing w:after="240"/>
      </w:pPr>
      <w:r>
        <w:t>Infrastructure may be declared where it meets certain criteria</w:t>
      </w:r>
      <w:r w:rsidR="00E737B2">
        <w:t xml:space="preserve">, including that </w:t>
      </w:r>
      <w:r>
        <w:t>access (or increased access) on reasonable terms and conditions would promote the public interest.</w:t>
      </w:r>
      <w:r>
        <w:rPr>
          <w:rStyle w:val="FootnoteReference"/>
        </w:rPr>
        <w:footnoteReference w:id="20"/>
      </w:r>
      <w:r>
        <w:t xml:space="preserve"> </w:t>
      </w:r>
      <w:r w:rsidR="00E737B2">
        <w:t>W</w:t>
      </w:r>
      <w:r w:rsidR="00DA0ECC">
        <w:t>hen considering the public interest, the Minister must have regard to the effect that declaration would have on investment in infrastructure and markets that depend on access to the infrastructure, and the administrative and compliance costs that would be incurred by the infrastructure provider if declaration occurs.</w:t>
      </w:r>
      <w:r w:rsidR="00DA0ECC">
        <w:rPr>
          <w:rStyle w:val="FootnoteReference"/>
        </w:rPr>
        <w:footnoteReference w:id="21"/>
      </w:r>
    </w:p>
    <w:p w14:paraId="686A1144" w14:textId="6C09F81F" w:rsidR="002335CA" w:rsidRDefault="00E737B2" w:rsidP="000D468B">
      <w:pPr>
        <w:spacing w:after="240"/>
      </w:pPr>
      <w:r>
        <w:t>Removing Tribunal review of declaration decisions would be consistent with t</w:t>
      </w:r>
      <w:r w:rsidR="002335CA">
        <w:t>he</w:t>
      </w:r>
      <w:r>
        <w:t xml:space="preserve"> view of the</w:t>
      </w:r>
      <w:r w:rsidR="002335CA">
        <w:t xml:space="preserve"> Hilmer Review</w:t>
      </w:r>
      <w:r>
        <w:t>, which</w:t>
      </w:r>
      <w:r w:rsidR="002335CA">
        <w:t xml:space="preserve"> </w:t>
      </w:r>
      <w:r>
        <w:t xml:space="preserve">stated </w:t>
      </w:r>
      <w:r w:rsidR="00C73229">
        <w:t>t</w:t>
      </w:r>
      <w:r w:rsidR="002335CA">
        <w:t>hat:</w:t>
      </w:r>
    </w:p>
    <w:p w14:paraId="016F1D4A" w14:textId="73A299C0" w:rsidR="002335CA" w:rsidRDefault="002335CA" w:rsidP="00575EC9">
      <w:pPr>
        <w:spacing w:after="240"/>
        <w:ind w:left="720"/>
      </w:pPr>
      <w:r>
        <w:t>As the decision to provide a right of access rests on an evaluation of important public interest considerations, the ultimate de</w:t>
      </w:r>
      <w:r w:rsidR="00C73229">
        <w:t>cision</w:t>
      </w:r>
      <w:r>
        <w:t xml:space="preserve"> on this issue </w:t>
      </w:r>
      <w:r>
        <w:lastRenderedPageBreak/>
        <w:t>should be one for Government, rather than a court, tribunal or other unelected body. A legislated right of access should be created by Ministerial declaration under legislation.</w:t>
      </w:r>
      <w:r>
        <w:rPr>
          <w:rStyle w:val="FootnoteReference"/>
        </w:rPr>
        <w:footnoteReference w:id="22"/>
      </w:r>
    </w:p>
    <w:p w14:paraId="1D8FECA1" w14:textId="6665205D" w:rsidR="002335CA" w:rsidRDefault="00E737B2" w:rsidP="000D468B">
      <w:pPr>
        <w:spacing w:after="240"/>
      </w:pPr>
      <w:r>
        <w:t>Removing Tribunal review would also mean that, where judicial review of a Minister’s decision was successful</w:t>
      </w:r>
      <w:r w:rsidR="0097314A">
        <w:t xml:space="preserve"> and the matter returned to the original decision maker</w:t>
      </w:r>
      <w:r>
        <w:t>, the matter would be returned to the Minister, rather than the Tribunal.</w:t>
      </w:r>
    </w:p>
    <w:p w14:paraId="26791441" w14:textId="305B58D2" w:rsidR="00B03978" w:rsidRDefault="00B03978" w:rsidP="009C3188">
      <w:pPr>
        <w:pStyle w:val="Heading4"/>
      </w:pPr>
      <w:r>
        <w:t>Stakeholder views</w:t>
      </w:r>
    </w:p>
    <w:p w14:paraId="46022926" w14:textId="0DEB3576" w:rsidR="00A2739F" w:rsidRDefault="006A0B14" w:rsidP="009C3188">
      <w:pPr>
        <w:spacing w:after="240"/>
        <w:rPr>
          <w:bCs/>
        </w:rPr>
      </w:pPr>
      <w:r>
        <w:t xml:space="preserve">Most stakeholders opposed removing Tribunal merits review of </w:t>
      </w:r>
      <w:r w:rsidRPr="009C3188">
        <w:rPr>
          <w:i/>
        </w:rPr>
        <w:t>declaration</w:t>
      </w:r>
      <w:r>
        <w:t xml:space="preserve"> decisions.</w:t>
      </w:r>
      <w:r w:rsidR="00B27A4B">
        <w:t xml:space="preserve"> </w:t>
      </w:r>
      <w:r w:rsidR="00DD0FE7">
        <w:t xml:space="preserve">For example, </w:t>
      </w:r>
      <w:r w:rsidR="00DD0FE7">
        <w:rPr>
          <w:bCs/>
        </w:rPr>
        <w:t xml:space="preserve">Glencore submitted that merits review should be retained because it provides </w:t>
      </w:r>
      <w:r w:rsidR="00DD0FE7">
        <w:rPr>
          <w:bCs/>
          <w:iCs/>
        </w:rPr>
        <w:t>‘</w:t>
      </w:r>
      <w:r w:rsidR="00DD0FE7" w:rsidRPr="004346F3">
        <w:rPr>
          <w:bCs/>
          <w:iCs/>
        </w:rPr>
        <w:t>openness, transparency and accountability</w:t>
      </w:r>
      <w:r w:rsidR="00DD0FE7">
        <w:rPr>
          <w:bCs/>
          <w:iCs/>
        </w:rPr>
        <w:t>’</w:t>
      </w:r>
      <w:r w:rsidR="00DD0FE7">
        <w:rPr>
          <w:bCs/>
        </w:rPr>
        <w:t xml:space="preserve"> for decisions of Ministers.</w:t>
      </w:r>
      <w:r w:rsidR="00DD0FE7">
        <w:rPr>
          <w:rStyle w:val="FootnoteReference"/>
          <w:bCs/>
        </w:rPr>
        <w:footnoteReference w:id="23"/>
      </w:r>
      <w:r w:rsidR="006C4407">
        <w:rPr>
          <w:bCs/>
        </w:rPr>
        <w:t xml:space="preserve"> </w:t>
      </w:r>
      <w:r w:rsidR="00A2739F">
        <w:rPr>
          <w:bCs/>
        </w:rPr>
        <w:t xml:space="preserve">The </w:t>
      </w:r>
      <w:r w:rsidR="00F61923">
        <w:rPr>
          <w:bCs/>
        </w:rPr>
        <w:t xml:space="preserve">Business Law Section of the </w:t>
      </w:r>
      <w:r w:rsidR="00A2739F">
        <w:rPr>
          <w:bCs/>
        </w:rPr>
        <w:t xml:space="preserve">Law Council of Australia submitted: </w:t>
      </w:r>
    </w:p>
    <w:p w14:paraId="779AE406" w14:textId="4F422699" w:rsidR="00A2739F" w:rsidRDefault="00A2739F" w:rsidP="00575EC9">
      <w:pPr>
        <w:spacing w:after="240"/>
        <w:ind w:left="720"/>
        <w:rPr>
          <w:bCs/>
        </w:rPr>
      </w:pPr>
      <w:r w:rsidRPr="00A2739F">
        <w:rPr>
          <w:bCs/>
        </w:rPr>
        <w:t>The provision for independent merits review by the Tribunal provides a necessary and important layer of oversight within the declaration process, and promotes confidence in the independence of administrative decision making and any apprehended bias.</w:t>
      </w:r>
      <w:r>
        <w:rPr>
          <w:rStyle w:val="FootnoteReference"/>
          <w:bCs/>
        </w:rPr>
        <w:footnoteReference w:id="24"/>
      </w:r>
    </w:p>
    <w:p w14:paraId="70759444" w14:textId="265841F4" w:rsidR="00290EF8" w:rsidRDefault="00B27A4B" w:rsidP="009C3188">
      <w:pPr>
        <w:spacing w:after="240"/>
      </w:pPr>
      <w:r>
        <w:t>The main exceptions were the NCC</w:t>
      </w:r>
      <w:r w:rsidR="00134E39">
        <w:t>,</w:t>
      </w:r>
      <w:r>
        <w:t xml:space="preserve"> the ACCC and the </w:t>
      </w:r>
      <w:r w:rsidR="00134E39">
        <w:t>Port of Newcastle</w:t>
      </w:r>
      <w:r>
        <w:t>.</w:t>
      </w:r>
      <w:r w:rsidR="00290EF8">
        <w:t xml:space="preserve"> For example, the NCC submitted that merits review </w:t>
      </w:r>
      <w:r w:rsidR="00F90700">
        <w:t xml:space="preserve">of declaration decisions </w:t>
      </w:r>
      <w:r w:rsidR="00290EF8">
        <w:t>‘</w:t>
      </w:r>
      <w:r w:rsidR="00290EF8" w:rsidRPr="004346F3">
        <w:rPr>
          <w:iCs/>
        </w:rPr>
        <w:t>increases uncertainty for industry participants and adds unnecessary delay</w:t>
      </w:r>
      <w:r w:rsidR="00290EF8">
        <w:rPr>
          <w:iCs/>
        </w:rPr>
        <w:t>’</w:t>
      </w:r>
      <w:r w:rsidR="00290EF8" w:rsidRPr="00A42DB9">
        <w:t xml:space="preserve"> </w:t>
      </w:r>
      <w:r w:rsidR="00290EF8">
        <w:t xml:space="preserve">to the process. It also </w:t>
      </w:r>
      <w:r w:rsidR="00290EF8">
        <w:lastRenderedPageBreak/>
        <w:t>stated that merits review ‘undermines the basis, as envisioned by the Hilmer Committee, of having declaration decisions made by an elected member of the Government acting on independent expert advice’.</w:t>
      </w:r>
      <w:r w:rsidR="00290EF8">
        <w:rPr>
          <w:rStyle w:val="FootnoteReference"/>
        </w:rPr>
        <w:footnoteReference w:id="25"/>
      </w:r>
    </w:p>
    <w:p w14:paraId="5EB39BED" w14:textId="1EBAF88A" w:rsidR="005E4E30" w:rsidRDefault="0073438F" w:rsidP="009C3188">
      <w:pPr>
        <w:spacing w:after="240"/>
      </w:pPr>
      <w:r>
        <w:t>M</w:t>
      </w:r>
      <w:r w:rsidR="00F90700">
        <w:t xml:space="preserve">ost stakeholders </w:t>
      </w:r>
      <w:r>
        <w:t>also</w:t>
      </w:r>
      <w:r w:rsidR="00F90700">
        <w:t xml:space="preserve"> opposed removing Tribunal merits review of </w:t>
      </w:r>
      <w:r w:rsidR="00F90700" w:rsidRPr="009C3188">
        <w:rPr>
          <w:i/>
        </w:rPr>
        <w:t>arbitration</w:t>
      </w:r>
      <w:r w:rsidR="00F90700">
        <w:t xml:space="preserve"> decisions.</w:t>
      </w:r>
      <w:r w:rsidR="00FE1F41">
        <w:t xml:space="preserve"> The New South Wales Minerals Council submitted that Option 2 (and Option 1) would ‘effectively remove one of the few limited options currently available to have applications re-heard’.</w:t>
      </w:r>
      <w:r w:rsidR="00FE1F41">
        <w:rPr>
          <w:rStyle w:val="FootnoteReference"/>
        </w:rPr>
        <w:footnoteReference w:id="26"/>
      </w:r>
      <w:r w:rsidR="005E4E30">
        <w:t xml:space="preserve"> The Port of Newcastle also submitted that:</w:t>
      </w:r>
    </w:p>
    <w:p w14:paraId="2B71B3E8" w14:textId="77777777" w:rsidR="005E4E30" w:rsidRDefault="005E4E30" w:rsidP="005E4E30">
      <w:pPr>
        <w:ind w:left="720"/>
      </w:pPr>
      <w:r>
        <w:t>the declaration process is not characterised by the same volume of relevant factual evidence which is adduced in an arbitration of the terms of access and use of services supplied by means of nationally significant infrastructure.</w:t>
      </w:r>
      <w:r>
        <w:rPr>
          <w:rStyle w:val="FootnoteReference"/>
        </w:rPr>
        <w:footnoteReference w:id="27"/>
      </w:r>
    </w:p>
    <w:p w14:paraId="0EEDD133" w14:textId="144BA234" w:rsidR="00227D6A" w:rsidRDefault="00227D6A" w:rsidP="009C3188">
      <w:pPr>
        <w:spacing w:after="240"/>
        <w:rPr>
          <w:bCs/>
        </w:rPr>
      </w:pPr>
      <w:r>
        <w:t xml:space="preserve">Glencore supported removing merits review of arbitration decisions, submitting that </w:t>
      </w:r>
      <w:r>
        <w:rPr>
          <w:bCs/>
        </w:rPr>
        <w:t>the ACCC is ‘</w:t>
      </w:r>
      <w:r w:rsidRPr="009C3188">
        <w:rPr>
          <w:bCs/>
          <w:iCs/>
        </w:rPr>
        <w:t>a competent administrative decision-maker and any merits review (possibly de novo) by the Tribunal… is of little to no utility</w:t>
      </w:r>
      <w:r>
        <w:rPr>
          <w:bCs/>
          <w:iCs/>
        </w:rPr>
        <w:t>’</w:t>
      </w:r>
      <w:r>
        <w:rPr>
          <w:bCs/>
        </w:rPr>
        <w:t>.</w:t>
      </w:r>
      <w:r>
        <w:rPr>
          <w:rStyle w:val="FootnoteReference"/>
          <w:bCs/>
        </w:rPr>
        <w:footnoteReference w:id="28"/>
      </w:r>
    </w:p>
    <w:p w14:paraId="36E6E49A" w14:textId="77777777" w:rsidR="000D468B" w:rsidRPr="00CE1767" w:rsidRDefault="000D468B" w:rsidP="000D468B">
      <w:pPr>
        <w:pStyle w:val="Heading3"/>
      </w:pPr>
      <w:bookmarkStart w:id="76" w:name="_Toc69994346"/>
      <w:bookmarkStart w:id="77" w:name="_Toc71270967"/>
      <w:bookmarkStart w:id="78" w:name="_Toc71282572"/>
      <w:bookmarkStart w:id="79" w:name="_Toc71282953"/>
      <w:bookmarkStart w:id="80" w:name="_Toc71294358"/>
      <w:bookmarkStart w:id="81" w:name="_Toc71299660"/>
      <w:bookmarkStart w:id="82" w:name="_Toc71301614"/>
      <w:bookmarkStart w:id="83" w:name="_Toc71310087"/>
      <w:bookmarkStart w:id="84" w:name="_Toc71317844"/>
      <w:r>
        <w:t>Repeat applications</w:t>
      </w:r>
      <w:bookmarkEnd w:id="76"/>
      <w:bookmarkEnd w:id="77"/>
      <w:bookmarkEnd w:id="78"/>
      <w:bookmarkEnd w:id="79"/>
      <w:bookmarkEnd w:id="80"/>
      <w:bookmarkEnd w:id="81"/>
      <w:bookmarkEnd w:id="82"/>
      <w:bookmarkEnd w:id="83"/>
      <w:bookmarkEnd w:id="84"/>
      <w:r>
        <w:t xml:space="preserve"> </w:t>
      </w:r>
    </w:p>
    <w:p w14:paraId="52DCB5A5" w14:textId="77777777" w:rsidR="000D468B" w:rsidRDefault="000D468B" w:rsidP="000D468B">
      <w:r w:rsidRPr="002B7AEB">
        <w:t xml:space="preserve">Two options have been identified to address </w:t>
      </w:r>
      <w:r>
        <w:t>timeliness concerns relating to repeat applications for the same infrastructure:</w:t>
      </w:r>
    </w:p>
    <w:p w14:paraId="783162A4" w14:textId="7635C40B" w:rsidR="000D468B" w:rsidRDefault="000D468B" w:rsidP="003522C2">
      <w:pPr>
        <w:pStyle w:val="Bulletpoint"/>
      </w:pPr>
      <w:r>
        <w:lastRenderedPageBreak/>
        <w:t xml:space="preserve">Option 4: limit when parties may apply </w:t>
      </w:r>
      <w:r w:rsidR="00081379">
        <w:t xml:space="preserve">to the NCC </w:t>
      </w:r>
      <w:r>
        <w:t xml:space="preserve">for </w:t>
      </w:r>
      <w:r w:rsidR="00081379">
        <w:t xml:space="preserve">a recommendation to </w:t>
      </w:r>
      <w:r>
        <w:t>declar</w:t>
      </w:r>
      <w:r w:rsidR="00081379">
        <w:t>e</w:t>
      </w:r>
      <w:r>
        <w:t xml:space="preserve"> infrastructure that has previously been subject to </w:t>
      </w:r>
      <w:r w:rsidR="003136EB">
        <w:t xml:space="preserve">an unsuccessful </w:t>
      </w:r>
      <w:r>
        <w:t xml:space="preserve">declaration </w:t>
      </w:r>
      <w:r w:rsidR="003136EB">
        <w:t>application or where a declaration has been revoked</w:t>
      </w:r>
      <w:r>
        <w:t xml:space="preserve">; for example, </w:t>
      </w:r>
      <w:r w:rsidR="004176E9">
        <w:t xml:space="preserve">include a statutory test stating </w:t>
      </w:r>
      <w:r>
        <w:t xml:space="preserve">that applications </w:t>
      </w:r>
      <w:r w:rsidR="00081379">
        <w:t xml:space="preserve">to the NCC </w:t>
      </w:r>
      <w:r>
        <w:t>may only be made where a material change of circumstances has occurred.</w:t>
      </w:r>
    </w:p>
    <w:p w14:paraId="19A21668" w14:textId="3B062B5E" w:rsidR="000D468B" w:rsidRDefault="000D468B" w:rsidP="003522C2">
      <w:pPr>
        <w:pStyle w:val="Bulletpoint"/>
      </w:pPr>
      <w:r>
        <w:t xml:space="preserve">Option 5: limit when parties may </w:t>
      </w:r>
      <w:r w:rsidR="00081379">
        <w:t xml:space="preserve">request the NCC to recommend that </w:t>
      </w:r>
      <w:r>
        <w:t xml:space="preserve">declaration </w:t>
      </w:r>
      <w:r w:rsidR="00081379">
        <w:t xml:space="preserve">of </w:t>
      </w:r>
      <w:r>
        <w:t>infrastructure</w:t>
      </w:r>
      <w:r w:rsidR="00081379">
        <w:t xml:space="preserve"> be revoked</w:t>
      </w:r>
      <w:r>
        <w:t xml:space="preserve">; for example, </w:t>
      </w:r>
      <w:r w:rsidR="004176E9">
        <w:t xml:space="preserve">include a statutory test stating that </w:t>
      </w:r>
      <w:r>
        <w:t xml:space="preserve">revocation may only be </w:t>
      </w:r>
      <w:r w:rsidR="00081379">
        <w:t xml:space="preserve">requested </w:t>
      </w:r>
      <w:r>
        <w:t>where a material change of circumstances has occurred</w:t>
      </w:r>
      <w:r w:rsidR="00A3669A">
        <w:t xml:space="preserve"> since the decision to declare the service</w:t>
      </w:r>
      <w:r>
        <w:t>.</w:t>
      </w:r>
    </w:p>
    <w:p w14:paraId="6437732B" w14:textId="23C8BDAE" w:rsidR="00A941D7" w:rsidRDefault="00A941D7" w:rsidP="00575EC9">
      <w:r>
        <w:t>The proposed limits would supplement existing provisions about when an application</w:t>
      </w:r>
      <w:r w:rsidR="006E51CA">
        <w:t xml:space="preserve"> may be made. </w:t>
      </w:r>
      <w:r>
        <w:t>Currently, the CCA provides that any person may apply to the NCC asking it to recommend that particular infrastructure be declared, except in specific circumstances (for example, that the infrastructure is subject to an undertaking under Division 6 of the NAR). If the NCC decides that an application falls within one of the exceptions, it must notify the applicant that the application cannot be made.</w:t>
      </w:r>
      <w:r>
        <w:rPr>
          <w:rStyle w:val="FootnoteReference"/>
        </w:rPr>
        <w:footnoteReference w:id="29"/>
      </w:r>
    </w:p>
    <w:p w14:paraId="334E2876" w14:textId="77777777" w:rsidR="005F6B58" w:rsidRDefault="005F6B58" w:rsidP="005F6B58">
      <w:pPr>
        <w:pStyle w:val="Heading4"/>
      </w:pPr>
      <w:r>
        <w:t>Stakeholder views</w:t>
      </w:r>
    </w:p>
    <w:p w14:paraId="357FD727" w14:textId="7C3630AD" w:rsidR="00134F97" w:rsidRPr="00134F97" w:rsidRDefault="00134F97" w:rsidP="00134F97">
      <w:pPr>
        <w:spacing w:before="60" w:after="60"/>
        <w:rPr>
          <w:bCs/>
        </w:rPr>
      </w:pPr>
      <w:r>
        <w:rPr>
          <w:bCs/>
        </w:rPr>
        <w:t xml:space="preserve">Infrastructure users generally </w:t>
      </w:r>
      <w:r w:rsidR="000B670D">
        <w:rPr>
          <w:bCs/>
        </w:rPr>
        <w:t xml:space="preserve">did not </w:t>
      </w:r>
      <w:r w:rsidR="00B8001D">
        <w:rPr>
          <w:bCs/>
        </w:rPr>
        <w:t xml:space="preserve">express </w:t>
      </w:r>
      <w:r w:rsidR="000B670D">
        <w:rPr>
          <w:bCs/>
        </w:rPr>
        <w:t xml:space="preserve">support </w:t>
      </w:r>
      <w:r w:rsidR="00B8001D">
        <w:rPr>
          <w:bCs/>
        </w:rPr>
        <w:t xml:space="preserve">for </w:t>
      </w:r>
      <w:r>
        <w:rPr>
          <w:bCs/>
        </w:rPr>
        <w:t>these options</w:t>
      </w:r>
      <w:r w:rsidR="000B670D">
        <w:rPr>
          <w:bCs/>
        </w:rPr>
        <w:t>, although there was some support for Option 5</w:t>
      </w:r>
      <w:r>
        <w:rPr>
          <w:bCs/>
        </w:rPr>
        <w:t>.</w:t>
      </w:r>
    </w:p>
    <w:p w14:paraId="4C68C77F" w14:textId="66F5FD11" w:rsidR="005F6B58" w:rsidRPr="00E03E31" w:rsidRDefault="005F6B58" w:rsidP="005F6B58">
      <w:pPr>
        <w:spacing w:before="60" w:after="60"/>
        <w:rPr>
          <w:bCs/>
        </w:rPr>
      </w:pPr>
      <w:r w:rsidRPr="00E03E31">
        <w:rPr>
          <w:bCs/>
        </w:rPr>
        <w:lastRenderedPageBreak/>
        <w:t>Infrastructure owners support</w:t>
      </w:r>
      <w:r>
        <w:rPr>
          <w:bCs/>
        </w:rPr>
        <w:t>ed</w:t>
      </w:r>
      <w:r w:rsidRPr="00E03E31">
        <w:rPr>
          <w:bCs/>
        </w:rPr>
        <w:t xml:space="preserve"> options 4 and 5.</w:t>
      </w:r>
      <w:r>
        <w:rPr>
          <w:bCs/>
        </w:rPr>
        <w:t xml:space="preserve"> </w:t>
      </w:r>
      <w:r w:rsidR="00870EBA">
        <w:rPr>
          <w:bCs/>
        </w:rPr>
        <w:t>For example, t</w:t>
      </w:r>
      <w:r w:rsidRPr="00E03E31">
        <w:rPr>
          <w:bCs/>
        </w:rPr>
        <w:t xml:space="preserve">he Australian Airports Association </w:t>
      </w:r>
      <w:r>
        <w:rPr>
          <w:bCs/>
        </w:rPr>
        <w:t>stated that the options would ‘</w:t>
      </w:r>
      <w:r w:rsidRPr="009C3188">
        <w:rPr>
          <w:bCs/>
          <w:iCs/>
        </w:rPr>
        <w:t>reduce unnecessary, time-consuming and costly repeat applications for declaration</w:t>
      </w:r>
      <w:r>
        <w:rPr>
          <w:bCs/>
          <w:iCs/>
        </w:rPr>
        <w:t>’</w:t>
      </w:r>
      <w:r w:rsidRPr="00E03E31">
        <w:rPr>
          <w:bCs/>
        </w:rPr>
        <w:t>.</w:t>
      </w:r>
      <w:r>
        <w:rPr>
          <w:rStyle w:val="FootnoteReference"/>
          <w:bCs/>
        </w:rPr>
        <w:footnoteReference w:id="30"/>
      </w:r>
    </w:p>
    <w:p w14:paraId="2364F251" w14:textId="6170FE0F" w:rsidR="005F6B58" w:rsidRDefault="006F4BC7" w:rsidP="003522C2">
      <w:pPr>
        <w:pStyle w:val="Bulletpoint"/>
        <w:numPr>
          <w:ilvl w:val="0"/>
          <w:numId w:val="0"/>
        </w:numPr>
      </w:pPr>
      <w:r>
        <w:t xml:space="preserve">The Business Law Section of the Law Council of Australia </w:t>
      </w:r>
      <w:r w:rsidR="00134F97">
        <w:t xml:space="preserve">supported the options and </w:t>
      </w:r>
      <w:r>
        <w:t>submitted:</w:t>
      </w:r>
    </w:p>
    <w:p w14:paraId="1BE4C422" w14:textId="404194FD" w:rsidR="006F4BC7" w:rsidRDefault="006F4BC7" w:rsidP="009C3188">
      <w:pPr>
        <w:pStyle w:val="Bulletpoint"/>
        <w:numPr>
          <w:ilvl w:val="0"/>
          <w:numId w:val="0"/>
        </w:numPr>
        <w:ind w:left="340"/>
      </w:pPr>
      <w:r>
        <w:t>The ability for repeated applications for declaration or revocation in respect of the same service is contrary to the fundamental objects of the NAR and the common law doctrine of res judicata. It also involves a considerable expense of Commonwealth and private resources by access providers, applicants, decision makers, the Tribunal and courts. Although the criterion may well be the subject of court proceedings in the short to medium term, judicial interpretation of the threshold will provide increased certainty for parties and practitioners, and promote efficient NAR processes in the long run.</w:t>
      </w:r>
      <w:r>
        <w:rPr>
          <w:rStyle w:val="FootnoteReference"/>
        </w:rPr>
        <w:footnoteReference w:id="31"/>
      </w:r>
    </w:p>
    <w:p w14:paraId="7A424BC0" w14:textId="4D4764DA" w:rsidR="000D468B" w:rsidRDefault="000D468B" w:rsidP="000D468B">
      <w:pPr>
        <w:pStyle w:val="Heading3"/>
      </w:pPr>
      <w:bookmarkStart w:id="85" w:name="_Toc69994347"/>
      <w:bookmarkStart w:id="86" w:name="_Toc71270968"/>
      <w:bookmarkStart w:id="87" w:name="_Toc71282573"/>
      <w:bookmarkStart w:id="88" w:name="_Toc71282954"/>
      <w:bookmarkStart w:id="89" w:name="_Toc71294359"/>
      <w:bookmarkStart w:id="90" w:name="_Toc71299661"/>
      <w:bookmarkStart w:id="91" w:name="_Toc71301615"/>
      <w:bookmarkStart w:id="92" w:name="_Toc71310088"/>
      <w:bookmarkStart w:id="93" w:name="_Toc71317845"/>
      <w:r>
        <w:t xml:space="preserve">Addressing anomalies relating to </w:t>
      </w:r>
      <w:r w:rsidR="00D85CD5">
        <w:t xml:space="preserve">ongoing </w:t>
      </w:r>
      <w:r>
        <w:t>arbitration proce</w:t>
      </w:r>
      <w:r w:rsidR="00E425C8">
        <w:t>sses</w:t>
      </w:r>
      <w:r>
        <w:t xml:space="preserve"> and determinations</w:t>
      </w:r>
      <w:bookmarkEnd w:id="85"/>
      <w:bookmarkEnd w:id="86"/>
      <w:bookmarkEnd w:id="87"/>
      <w:bookmarkEnd w:id="88"/>
      <w:bookmarkEnd w:id="89"/>
      <w:bookmarkEnd w:id="90"/>
      <w:bookmarkEnd w:id="91"/>
      <w:bookmarkEnd w:id="92"/>
      <w:bookmarkEnd w:id="93"/>
      <w:r>
        <w:t xml:space="preserve"> </w:t>
      </w:r>
    </w:p>
    <w:p w14:paraId="5C60F8E3" w14:textId="3BF2C90B" w:rsidR="000D468B" w:rsidRPr="00222FD6" w:rsidRDefault="001339A1" w:rsidP="000D468B">
      <w:r w:rsidRPr="003B3BF1">
        <w:t xml:space="preserve">Two </w:t>
      </w:r>
      <w:r w:rsidR="000D468B" w:rsidRPr="00222FD6">
        <w:t>options</w:t>
      </w:r>
      <w:r w:rsidR="000D468B">
        <w:t xml:space="preserve"> have been identified to address the identified anomalies with arbitration proce</w:t>
      </w:r>
      <w:r w:rsidR="00D85CD5">
        <w:t>sses that are underway</w:t>
      </w:r>
      <w:r w:rsidR="000D468B">
        <w:t xml:space="preserve"> and determinations continuing after the relevant infrastructure is no longer covered by the NAR.</w:t>
      </w:r>
    </w:p>
    <w:p w14:paraId="0F390B49" w14:textId="6C17727A" w:rsidR="000D468B" w:rsidRDefault="000D468B" w:rsidP="003522C2">
      <w:pPr>
        <w:pStyle w:val="Bulletpoint"/>
      </w:pPr>
      <w:r w:rsidRPr="00FA4783">
        <w:t>Option 6:</w:t>
      </w:r>
      <w:r>
        <w:t xml:space="preserve"> Provide for arbitration proce</w:t>
      </w:r>
      <w:r w:rsidR="00FB01C5">
        <w:t>sses that are underway</w:t>
      </w:r>
      <w:r>
        <w:t xml:space="preserve"> under the NAR to terminate if the declaration of the relevant infrastructure service is revoked.</w:t>
      </w:r>
    </w:p>
    <w:p w14:paraId="1A72BBCD" w14:textId="6D4C0B2D" w:rsidR="000D468B" w:rsidRDefault="000D468B" w:rsidP="003522C2">
      <w:pPr>
        <w:pStyle w:val="Bulletpoint"/>
      </w:pPr>
      <w:r w:rsidRPr="00FA4783">
        <w:lastRenderedPageBreak/>
        <w:t>Option 7:</w:t>
      </w:r>
      <w:r>
        <w:t xml:space="preserve"> Provide for arbitration determinations under the NAR to terminate if the declaration of the relevant infrastructure service is revoked.</w:t>
      </w:r>
    </w:p>
    <w:p w14:paraId="1589A0D5" w14:textId="77777777" w:rsidR="00732943" w:rsidRDefault="00732943" w:rsidP="00732943">
      <w:pPr>
        <w:pStyle w:val="Heading4"/>
      </w:pPr>
      <w:r>
        <w:t>Stakeholder views</w:t>
      </w:r>
    </w:p>
    <w:p w14:paraId="16D32041" w14:textId="77777777" w:rsidR="00582BDE" w:rsidRDefault="00B2038D" w:rsidP="00CF7378">
      <w:r>
        <w:t>Generally, infrastructure owners support these options while infrastructure users oppose them.</w:t>
      </w:r>
      <w:r w:rsidR="00685009">
        <w:t xml:space="preserve"> </w:t>
      </w:r>
    </w:p>
    <w:p w14:paraId="3FE100DB" w14:textId="133D2E50" w:rsidR="00B2038D" w:rsidRDefault="00685009" w:rsidP="00CF7378">
      <w:r>
        <w:t>For example, the Australian Airlines Association considered these options to be ‘sensible, practical and aligned with the objectives of the Regime’.</w:t>
      </w:r>
      <w:r>
        <w:rPr>
          <w:rStyle w:val="FootnoteReference"/>
        </w:rPr>
        <w:footnoteReference w:id="32"/>
      </w:r>
      <w:r w:rsidR="00582BDE">
        <w:t xml:space="preserve"> However, Glencore is:</w:t>
      </w:r>
    </w:p>
    <w:p w14:paraId="2D266318" w14:textId="489C2820" w:rsidR="00582BDE" w:rsidRDefault="00582BDE" w:rsidP="009C3188">
      <w:pPr>
        <w:ind w:left="720"/>
      </w:pPr>
      <w:r>
        <w:t>troubled with a proposal that would see an ACCC arbitration determination between private parties in which these parties have invested and operated suddenly ceasing to operate if the relevant declaration is revoked. This is particularly so in circumstances where there are very limited appeal rights from any revocation. Well-established principles suggest, indeed dictate, that any such arbitration remain unaffected. To do otherwise, as noted by Treasury in the Consultation Paper, would affect investment decisions by the access provider and access seeker(s). It would also, significantly for present purposes, undermine the utility of parties seeking a declaration if "the rug could be taken out from under them".</w:t>
      </w:r>
      <w:r>
        <w:rPr>
          <w:rStyle w:val="FootnoteReference"/>
        </w:rPr>
        <w:footnoteReference w:id="33"/>
      </w:r>
      <w:r>
        <w:t xml:space="preserve"> </w:t>
      </w:r>
    </w:p>
    <w:p w14:paraId="5E150742" w14:textId="7C41EA50" w:rsidR="00B2038D" w:rsidRDefault="00B2038D" w:rsidP="00CF7378">
      <w:r>
        <w:t>The ACCC submitted that</w:t>
      </w:r>
      <w:r w:rsidR="00E74846">
        <w:t xml:space="preserve"> it is</w:t>
      </w:r>
      <w:r>
        <w:t>:</w:t>
      </w:r>
    </w:p>
    <w:p w14:paraId="097C04BA" w14:textId="77777777" w:rsidR="009D2B43" w:rsidRDefault="009D2B43" w:rsidP="009D2B43">
      <w:pPr>
        <w:spacing w:before="60" w:after="60"/>
        <w:ind w:left="720"/>
      </w:pPr>
      <w:r w:rsidRPr="009C3188">
        <w:rPr>
          <w:bCs/>
          <w:iCs/>
        </w:rPr>
        <w:t xml:space="preserve">incongruous for the [arbitration] determination to continue to have effect only in relation to certain parties if the underlying declaration is no longer in </w:t>
      </w:r>
      <w:r w:rsidRPr="009C3188">
        <w:rPr>
          <w:bCs/>
          <w:iCs/>
        </w:rPr>
        <w:lastRenderedPageBreak/>
        <w:t>force</w:t>
      </w:r>
      <w:r>
        <w:rPr>
          <w:bCs/>
        </w:rPr>
        <w:t xml:space="preserve">. </w:t>
      </w:r>
      <w:r>
        <w:t xml:space="preserve">From a policy perspective, a key consideration is that the current situation provides a substantial imbalance in the way the law applies to access seekers that did not apply for an access determination, compared to those that did apply. </w:t>
      </w:r>
    </w:p>
    <w:p w14:paraId="7644F8EA" w14:textId="1257EA3F" w:rsidR="00E74846" w:rsidRDefault="009D2B43" w:rsidP="009C3188">
      <w:pPr>
        <w:spacing w:before="60" w:after="60"/>
        <w:ind w:left="720"/>
        <w:rPr>
          <w:bCs/>
        </w:rPr>
      </w:pPr>
      <w:r>
        <w:t>Currently the law could operate so that if a large access seeker sought an access determination and then the declaration was revoked, the large access seeker would continue to benefit from the certainty of the arbitrated outcome but its smaller competitors would not. This is particularly the case given that the credible threat of regulation of the monopoly would be removed, with the result the monopoly could act without constraint in the future.</w:t>
      </w:r>
      <w:r>
        <w:rPr>
          <w:rStyle w:val="FootnoteReference"/>
          <w:bCs/>
        </w:rPr>
        <w:footnoteReference w:id="34"/>
      </w:r>
    </w:p>
    <w:p w14:paraId="5E48D73F" w14:textId="55CDBB12" w:rsidR="00B2038D" w:rsidRDefault="00B2038D" w:rsidP="00B2038D">
      <w:pPr>
        <w:spacing w:before="60" w:after="60"/>
        <w:rPr>
          <w:bCs/>
        </w:rPr>
      </w:pPr>
      <w:r>
        <w:rPr>
          <w:bCs/>
        </w:rPr>
        <w:t xml:space="preserve">The ACCC also submitted a transitional period should be implemented to allow for finalisation of ongoing arbitration matters. </w:t>
      </w:r>
    </w:p>
    <w:p w14:paraId="7CBFE9FB" w14:textId="77777777" w:rsidR="005C2F9E" w:rsidRDefault="005C2F9E" w:rsidP="005C2F9E">
      <w:pPr>
        <w:pStyle w:val="Heading1"/>
        <w:rPr>
          <w:rFonts w:asciiTheme="minorHAnsi" w:hAnsiTheme="minorHAnsi"/>
        </w:rPr>
      </w:pPr>
      <w:bookmarkStart w:id="94" w:name="_Toc71270969"/>
      <w:bookmarkStart w:id="95" w:name="_Toc71282574"/>
      <w:bookmarkStart w:id="96" w:name="_Toc71282955"/>
      <w:bookmarkStart w:id="97" w:name="_Toc71294360"/>
      <w:bookmarkStart w:id="98" w:name="_Toc71299662"/>
      <w:bookmarkStart w:id="99" w:name="_Toc71301616"/>
      <w:bookmarkStart w:id="100" w:name="_Toc71310089"/>
      <w:bookmarkStart w:id="101" w:name="_Toc71317846"/>
      <w:r>
        <w:rPr>
          <w:rFonts w:asciiTheme="minorHAnsi" w:hAnsiTheme="minorHAnsi"/>
        </w:rPr>
        <w:t>5</w:t>
      </w:r>
      <w:r w:rsidRPr="00DB55BD">
        <w:rPr>
          <w:rFonts w:asciiTheme="minorHAnsi" w:hAnsiTheme="minorHAnsi"/>
        </w:rPr>
        <w:t xml:space="preserve">. </w:t>
      </w:r>
      <w:r>
        <w:rPr>
          <w:rFonts w:asciiTheme="minorHAnsi" w:hAnsiTheme="minorHAnsi"/>
        </w:rPr>
        <w:t>Impact analysis</w:t>
      </w:r>
      <w:bookmarkEnd w:id="94"/>
      <w:bookmarkEnd w:id="95"/>
      <w:bookmarkEnd w:id="96"/>
      <w:bookmarkEnd w:id="97"/>
      <w:bookmarkEnd w:id="98"/>
      <w:bookmarkEnd w:id="99"/>
      <w:bookmarkEnd w:id="100"/>
      <w:bookmarkEnd w:id="101"/>
      <w:r>
        <w:rPr>
          <w:rFonts w:asciiTheme="minorHAnsi" w:hAnsiTheme="minorHAnsi"/>
        </w:rPr>
        <w:t xml:space="preserve"> </w:t>
      </w:r>
    </w:p>
    <w:p w14:paraId="576EA671" w14:textId="77777777" w:rsidR="002F6227" w:rsidRDefault="005C2F9E" w:rsidP="005C2F9E">
      <w:pPr>
        <w:spacing w:after="240"/>
      </w:pPr>
      <w:r>
        <w:t>This Regulation Impact Statement, and particularly the impact analysis in section 5, provides a qualitative assessment of the potential benefits and costs associated with each option.</w:t>
      </w:r>
    </w:p>
    <w:p w14:paraId="1D912C2D" w14:textId="2947A307" w:rsidR="002F6227" w:rsidRDefault="002F6227" w:rsidP="005C2F9E">
      <w:pPr>
        <w:spacing w:after="240"/>
      </w:pPr>
      <w:r>
        <w:t>The options would not fundamentally change the broader NAR framework. In particular, they would not change the criteria used to determine which infrastructure should be subject to the NAR,</w:t>
      </w:r>
      <w:r w:rsidR="00364DCB">
        <w:rPr>
          <w:rStyle w:val="FootnoteReference"/>
        </w:rPr>
        <w:footnoteReference w:id="35"/>
      </w:r>
      <w:r>
        <w:t xml:space="preserve"> nor the </w:t>
      </w:r>
      <w:r w:rsidR="00364DCB">
        <w:t xml:space="preserve">factors considered in making </w:t>
      </w:r>
      <w:r>
        <w:t>arbitration decisions</w:t>
      </w:r>
      <w:r w:rsidR="00364DCB">
        <w:t xml:space="preserve"> applying to declared infrastructure</w:t>
      </w:r>
      <w:r>
        <w:t>.</w:t>
      </w:r>
    </w:p>
    <w:p w14:paraId="3C4618D0" w14:textId="1850F2A4" w:rsidR="00364DCB" w:rsidRDefault="00CF087C" w:rsidP="005C2F9E">
      <w:pPr>
        <w:spacing w:after="240"/>
      </w:pPr>
      <w:r>
        <w:lastRenderedPageBreak/>
        <w:t xml:space="preserve">As such, </w:t>
      </w:r>
      <w:r w:rsidR="0064053B">
        <w:t xml:space="preserve">the </w:t>
      </w:r>
      <w:r>
        <w:t xml:space="preserve">options are unlikely to significantly change the broader economic impact of the NAR. Rather, </w:t>
      </w:r>
      <w:r w:rsidR="00D52B64">
        <w:t xml:space="preserve">the </w:t>
      </w:r>
      <w:r w:rsidR="00AC723E">
        <w:t>o</w:t>
      </w:r>
      <w:r w:rsidR="008031DE">
        <w:t xml:space="preserve">ptions aim to address concerns </w:t>
      </w:r>
      <w:r w:rsidR="00D52B64">
        <w:t>that</w:t>
      </w:r>
      <w:r w:rsidR="008031DE">
        <w:t xml:space="preserve"> specific elements of NAR processes </w:t>
      </w:r>
      <w:r w:rsidR="00D52B64">
        <w:t xml:space="preserve">are reducing </w:t>
      </w:r>
      <w:r w:rsidR="008031DE">
        <w:t>the timeliness of resolving matters under the NAR.</w:t>
      </w:r>
    </w:p>
    <w:p w14:paraId="71F59FA8" w14:textId="7B2320C2" w:rsidR="006018B0" w:rsidRDefault="00D52B64" w:rsidP="00575EC9">
      <w:pPr>
        <w:spacing w:after="240"/>
      </w:pPr>
      <w:r>
        <w:rPr>
          <w:bCs/>
        </w:rPr>
        <w:t>T</w:t>
      </w:r>
      <w:r w:rsidR="007159D0">
        <w:rPr>
          <w:bCs/>
        </w:rPr>
        <w:t xml:space="preserve">he costs and benefits of the options </w:t>
      </w:r>
      <w:r w:rsidR="005E0C52">
        <w:rPr>
          <w:bCs/>
        </w:rPr>
        <w:t xml:space="preserve">therefore primarily accrue </w:t>
      </w:r>
      <w:r w:rsidR="007159D0">
        <w:rPr>
          <w:bCs/>
        </w:rPr>
        <w:t xml:space="preserve">specifically to </w:t>
      </w:r>
      <w:r w:rsidR="006018B0">
        <w:rPr>
          <w:bCs/>
        </w:rPr>
        <w:t>the parties to NAR processes</w:t>
      </w:r>
      <w:r w:rsidR="005E0C52">
        <w:rPr>
          <w:bCs/>
        </w:rPr>
        <w:t>. T</w:t>
      </w:r>
      <w:r w:rsidR="00391ECF">
        <w:rPr>
          <w:bCs/>
        </w:rPr>
        <w:t xml:space="preserve">hey </w:t>
      </w:r>
      <w:r w:rsidR="00391ECF" w:rsidRPr="00F44754">
        <w:t>generally</w:t>
      </w:r>
      <w:r w:rsidR="006018B0">
        <w:rPr>
          <w:bCs/>
        </w:rPr>
        <w:t xml:space="preserve"> relate to either </w:t>
      </w:r>
      <w:r w:rsidR="006018B0">
        <w:t>resources allocated by parties to legal processes, such as court and tribunal proceedings or</w:t>
      </w:r>
      <w:r w:rsidR="00852ABC">
        <w:t xml:space="preserve"> </w:t>
      </w:r>
      <w:r w:rsidR="0033424D">
        <w:t>issues such as uncertainty.</w:t>
      </w:r>
    </w:p>
    <w:p w14:paraId="490F9F74" w14:textId="7653EAF1" w:rsidR="000547D8" w:rsidRDefault="00D475C4" w:rsidP="00575EC9">
      <w:pPr>
        <w:pStyle w:val="Bullet"/>
        <w:numPr>
          <w:ilvl w:val="0"/>
          <w:numId w:val="0"/>
        </w:numPr>
      </w:pPr>
      <w:r>
        <w:t>I</w:t>
      </w:r>
      <w:r w:rsidR="004225C6">
        <w:t xml:space="preserve">t has not been possible to develop </w:t>
      </w:r>
      <w:r w:rsidR="00341280">
        <w:t>precise</w:t>
      </w:r>
      <w:r w:rsidR="004225C6">
        <w:t xml:space="preserve"> assessments of the costs incurred in legal processes associated with decisions under the NAR. </w:t>
      </w:r>
      <w:r w:rsidR="00982B58">
        <w:t>Precise details of</w:t>
      </w:r>
      <w:r w:rsidR="004225C6">
        <w:t xml:space="preserve"> the parties costs</w:t>
      </w:r>
      <w:r w:rsidR="00982B58">
        <w:t>’</w:t>
      </w:r>
      <w:r w:rsidR="004225C6">
        <w:t xml:space="preserve"> </w:t>
      </w:r>
      <w:r w:rsidR="00982B58">
        <w:t>are</w:t>
      </w:r>
      <w:r w:rsidR="004225C6">
        <w:t xml:space="preserve"> not made </w:t>
      </w:r>
      <w:r w:rsidR="00982B58">
        <w:t xml:space="preserve">public in judgments, with this information usually considered commercially sensitive. </w:t>
      </w:r>
      <w:r w:rsidR="000547D8">
        <w:t>While estimates of hourly rates are used elsewhere in the regulatory costings, granular detail on the time spent in legal proceedings is not available and hence is not quantified here.</w:t>
      </w:r>
      <w:r w:rsidR="00852ABC">
        <w:t xml:space="preserve"> </w:t>
      </w:r>
      <w:r w:rsidR="000547D8">
        <w:t xml:space="preserve">Similarly, it has not been possible to quantify </w:t>
      </w:r>
      <w:r w:rsidR="00F44754">
        <w:t>matters</w:t>
      </w:r>
      <w:r w:rsidR="000547D8">
        <w:t xml:space="preserve"> such as uncertainty, as </w:t>
      </w:r>
      <w:r w:rsidR="005A79E4">
        <w:t xml:space="preserve">while uncertainty has real impacts </w:t>
      </w:r>
      <w:r w:rsidR="000547D8">
        <w:t>by its general nature uncertainty is difficult to quantify</w:t>
      </w:r>
      <w:r w:rsidR="00A42CF3">
        <w:t>.</w:t>
      </w:r>
    </w:p>
    <w:p w14:paraId="1E1340AB" w14:textId="5AFA1691" w:rsidR="001829A7" w:rsidRDefault="001829A7" w:rsidP="00575EC9">
      <w:pPr>
        <w:pStyle w:val="Bullet"/>
        <w:numPr>
          <w:ilvl w:val="0"/>
          <w:numId w:val="0"/>
        </w:numPr>
      </w:pPr>
      <w:r>
        <w:t>This is consistent with the approach of the Productivity Commission (PC) during its review of the National Access Regime in 2013. This review examined the NAR as a whole and therefore could potentially have examined economy-wide impacts. However, the PC was unable to quantify these impacts because of a lack of empirical evidence.</w:t>
      </w:r>
      <w:r w:rsidRPr="001829A7">
        <w:rPr>
          <w:rStyle w:val="FootnoteReference"/>
          <w:rFonts w:cstheme="minorHAnsi"/>
        </w:rPr>
        <w:t xml:space="preserve"> </w:t>
      </w:r>
      <w:r w:rsidRPr="00FA4783">
        <w:rPr>
          <w:rStyle w:val="FootnoteReference"/>
          <w:rFonts w:cstheme="minorHAnsi"/>
        </w:rPr>
        <w:footnoteReference w:id="36"/>
      </w:r>
    </w:p>
    <w:p w14:paraId="30D67105" w14:textId="77777777" w:rsidR="000D468B" w:rsidRPr="002F503E" w:rsidRDefault="000D468B" w:rsidP="000D468B">
      <w:pPr>
        <w:sectPr w:rsidR="000D468B" w:rsidRPr="002F503E" w:rsidSect="004F074D">
          <w:type w:val="oddPage"/>
          <w:pgSz w:w="11906" w:h="16838"/>
          <w:pgMar w:top="1440" w:right="1440" w:bottom="1440" w:left="1440" w:header="708" w:footer="708" w:gutter="0"/>
          <w:cols w:space="708"/>
          <w:docGrid w:linePitch="360"/>
        </w:sectPr>
      </w:pPr>
    </w:p>
    <w:p w14:paraId="5D2D04B1" w14:textId="40DA5B24" w:rsidR="008848B4" w:rsidRPr="00806701" w:rsidRDefault="008848B4" w:rsidP="001148B8"/>
    <w:tbl>
      <w:tblPr>
        <w:tblStyle w:val="TableGrid"/>
        <w:tblW w:w="13178" w:type="dxa"/>
        <w:tblLook w:val="04A0" w:firstRow="1" w:lastRow="0" w:firstColumn="1" w:lastColumn="0" w:noHBand="0" w:noVBand="1"/>
      </w:tblPr>
      <w:tblGrid>
        <w:gridCol w:w="2829"/>
        <w:gridCol w:w="5174"/>
        <w:gridCol w:w="5175"/>
      </w:tblGrid>
      <w:tr w:rsidR="000D468B" w14:paraId="6C9BA133" w14:textId="77777777" w:rsidTr="001B316B">
        <w:trPr>
          <w:cantSplit/>
        </w:trPr>
        <w:tc>
          <w:tcPr>
            <w:tcW w:w="2829" w:type="dxa"/>
          </w:tcPr>
          <w:p w14:paraId="49B0B2A2" w14:textId="79337FA4" w:rsidR="000D468B" w:rsidRDefault="000D468B" w:rsidP="008848B4">
            <w:pPr>
              <w:spacing w:before="60" w:after="60"/>
              <w:rPr>
                <w:rFonts w:eastAsiaTheme="majorEastAsia" w:cstheme="majorBidi"/>
                <w:b/>
                <w:bCs/>
                <w:color w:val="365F91" w:themeColor="accent1" w:themeShade="BF"/>
              </w:rPr>
            </w:pPr>
            <w:r>
              <w:rPr>
                <w:rFonts w:eastAsiaTheme="majorEastAsia" w:cstheme="majorBidi"/>
                <w:b/>
                <w:bCs/>
                <w:color w:val="365F91" w:themeColor="accent1" w:themeShade="BF"/>
              </w:rPr>
              <w:t>Option</w:t>
            </w:r>
          </w:p>
        </w:tc>
        <w:tc>
          <w:tcPr>
            <w:tcW w:w="5174" w:type="dxa"/>
          </w:tcPr>
          <w:p w14:paraId="1AC1C23A" w14:textId="77777777" w:rsidR="000D468B" w:rsidRDefault="000D468B" w:rsidP="00EC363A">
            <w:pPr>
              <w:spacing w:before="60" w:after="60"/>
              <w:rPr>
                <w:rFonts w:eastAsiaTheme="majorEastAsia" w:cstheme="majorBidi"/>
                <w:b/>
                <w:bCs/>
                <w:color w:val="365F91" w:themeColor="accent1" w:themeShade="BF"/>
              </w:rPr>
            </w:pPr>
            <w:r>
              <w:rPr>
                <w:rFonts w:eastAsiaTheme="majorEastAsia" w:cstheme="majorBidi"/>
                <w:b/>
                <w:bCs/>
                <w:color w:val="365F91" w:themeColor="accent1" w:themeShade="BF"/>
              </w:rPr>
              <w:t>Benefits</w:t>
            </w:r>
          </w:p>
        </w:tc>
        <w:tc>
          <w:tcPr>
            <w:tcW w:w="5175" w:type="dxa"/>
          </w:tcPr>
          <w:p w14:paraId="1644E897" w14:textId="77777777" w:rsidR="000D468B" w:rsidRDefault="000D468B" w:rsidP="00EC363A">
            <w:pPr>
              <w:spacing w:before="60" w:after="60"/>
              <w:rPr>
                <w:rFonts w:eastAsiaTheme="majorEastAsia" w:cstheme="majorBidi"/>
                <w:b/>
                <w:bCs/>
                <w:color w:val="365F91" w:themeColor="accent1" w:themeShade="BF"/>
              </w:rPr>
            </w:pPr>
            <w:r>
              <w:rPr>
                <w:rFonts w:eastAsiaTheme="majorEastAsia" w:cstheme="majorBidi"/>
                <w:b/>
                <w:bCs/>
                <w:color w:val="365F91" w:themeColor="accent1" w:themeShade="BF"/>
              </w:rPr>
              <w:t>Costs</w:t>
            </w:r>
          </w:p>
        </w:tc>
      </w:tr>
      <w:tr w:rsidR="000D468B" w14:paraId="7118FDF4" w14:textId="77777777" w:rsidTr="001B316B">
        <w:trPr>
          <w:cantSplit/>
        </w:trPr>
        <w:tc>
          <w:tcPr>
            <w:tcW w:w="2829" w:type="dxa"/>
            <w:tcBorders>
              <w:bottom w:val="dashed" w:sz="4" w:space="0" w:color="auto"/>
            </w:tcBorders>
          </w:tcPr>
          <w:p w14:paraId="29841225" w14:textId="5AC35F21" w:rsidR="000D468B" w:rsidRPr="00A5666F" w:rsidRDefault="000D468B" w:rsidP="00A97B28">
            <w:pPr>
              <w:spacing w:before="60" w:after="60"/>
              <w:rPr>
                <w:rFonts w:eastAsiaTheme="majorEastAsia" w:cstheme="majorBidi"/>
                <w:b/>
                <w:bCs/>
                <w:color w:val="365F91" w:themeColor="accent1" w:themeShade="BF"/>
              </w:rPr>
            </w:pPr>
            <w:r w:rsidRPr="002A7223">
              <w:rPr>
                <w:bCs/>
                <w:u w:val="single"/>
              </w:rPr>
              <w:t>Option 1</w:t>
            </w:r>
            <w:r w:rsidRPr="002A7223">
              <w:rPr>
                <w:bCs/>
              </w:rPr>
              <w:t>:</w:t>
            </w:r>
            <w:r w:rsidRPr="00A5666F">
              <w:rPr>
                <w:b/>
                <w:bCs/>
              </w:rPr>
              <w:t xml:space="preserve"> </w:t>
            </w:r>
            <w:r>
              <w:t>remove Tribunal review of</w:t>
            </w:r>
            <w:r w:rsidR="00A97B28">
              <w:t xml:space="preserve"> Minister</w:t>
            </w:r>
            <w:r w:rsidR="00C65960">
              <w:t>s</w:t>
            </w:r>
            <w:r w:rsidR="00A97B28">
              <w:t>’</w:t>
            </w:r>
            <w:r>
              <w:t xml:space="preserve"> decisions on declaration of infrastructure</w:t>
            </w:r>
            <w:r>
              <w:rPr>
                <w:b/>
                <w:bCs/>
              </w:rPr>
              <w:t xml:space="preserve"> </w:t>
            </w:r>
          </w:p>
        </w:tc>
        <w:tc>
          <w:tcPr>
            <w:tcW w:w="5174" w:type="dxa"/>
            <w:tcBorders>
              <w:bottom w:val="dashed" w:sz="4" w:space="0" w:color="auto"/>
            </w:tcBorders>
          </w:tcPr>
          <w:p w14:paraId="7270EC64" w14:textId="2C1286C8" w:rsidR="002F26FE" w:rsidRDefault="000D468B" w:rsidP="005D3FAD">
            <w:pPr>
              <w:pStyle w:val="Bulletpoint"/>
            </w:pPr>
            <w:r w:rsidRPr="00E84846">
              <w:t xml:space="preserve">Would remove a 180-day step in the declaration process. While Tribunal review is optional, </w:t>
            </w:r>
            <w:r w:rsidR="006B57C1">
              <w:t>the case studies outlined in Section 2 and Appendix A indicate</w:t>
            </w:r>
            <w:r w:rsidRPr="00E84846">
              <w:t xml:space="preserve"> it is often sought in contentious matters</w:t>
            </w:r>
            <w:r w:rsidR="00DE7C0E">
              <w:t xml:space="preserve">. </w:t>
            </w:r>
            <w:r w:rsidR="006B57C1">
              <w:t xml:space="preserve">Further, </w:t>
            </w:r>
            <w:r w:rsidRPr="00E84846">
              <w:t xml:space="preserve">judicial review </w:t>
            </w:r>
            <w:r w:rsidR="00DE7C0E">
              <w:t xml:space="preserve">is often sought </w:t>
            </w:r>
            <w:r w:rsidRPr="00E84846">
              <w:t xml:space="preserve">of Tribunal decisions. </w:t>
            </w:r>
            <w:r>
              <w:t>The likely practical impact of r</w:t>
            </w:r>
            <w:r w:rsidRPr="00E84846">
              <w:t>emoving Tribunal review would</w:t>
            </w:r>
            <w:r>
              <w:t xml:space="preserve"> therefore be to</w:t>
            </w:r>
            <w:r w:rsidRPr="00E84846">
              <w:t xml:space="preserve"> bring forward the option of seeking judicial review</w:t>
            </w:r>
            <w:r w:rsidR="00DE7C0E">
              <w:t>, which would streamline the process overall</w:t>
            </w:r>
            <w:r w:rsidRPr="00E84846">
              <w:t>.</w:t>
            </w:r>
          </w:p>
          <w:p w14:paraId="33CBEE50" w14:textId="56878A99" w:rsidR="000D468B" w:rsidRPr="002F26FE" w:rsidRDefault="002F26FE" w:rsidP="00D95F47">
            <w:pPr>
              <w:pStyle w:val="Bulletpoint"/>
            </w:pPr>
            <w:r>
              <w:t>Would mean that decl</w:t>
            </w:r>
            <w:r w:rsidR="00462A0B">
              <w:t>aration decisions are taken by M</w:t>
            </w:r>
            <w:r>
              <w:t xml:space="preserve">inisters, which </w:t>
            </w:r>
            <w:r w:rsidR="00E03E36">
              <w:t>is arguably</w:t>
            </w:r>
            <w:r>
              <w:t xml:space="preserve"> more appropriate given that a key criterion </w:t>
            </w:r>
            <w:r w:rsidR="00D95F47">
              <w:t xml:space="preserve">for whether infrastructure should be declared under the NAR relates to </w:t>
            </w:r>
            <w:r>
              <w:t xml:space="preserve">the public interest. </w:t>
            </w:r>
          </w:p>
        </w:tc>
        <w:tc>
          <w:tcPr>
            <w:tcW w:w="5175" w:type="dxa"/>
            <w:tcBorders>
              <w:bottom w:val="dashed" w:sz="4" w:space="0" w:color="auto"/>
            </w:tcBorders>
          </w:tcPr>
          <w:p w14:paraId="6C4368D1" w14:textId="5261158F" w:rsidR="000D468B" w:rsidRPr="006C1F03" w:rsidRDefault="000D468B" w:rsidP="005D3FAD">
            <w:pPr>
              <w:pStyle w:val="Bulletpoint"/>
            </w:pPr>
            <w:r>
              <w:t xml:space="preserve">Would remove the opportunity for parties to seek merits review of declaration decisions, that is, it would limit them to judicial review. </w:t>
            </w:r>
          </w:p>
        </w:tc>
      </w:tr>
      <w:tr w:rsidR="000D468B" w14:paraId="57F2444E" w14:textId="77777777" w:rsidTr="001B316B">
        <w:trPr>
          <w:cantSplit/>
        </w:trPr>
        <w:tc>
          <w:tcPr>
            <w:tcW w:w="2829" w:type="dxa"/>
            <w:tcBorders>
              <w:top w:val="dashed" w:sz="4" w:space="0" w:color="auto"/>
            </w:tcBorders>
          </w:tcPr>
          <w:p w14:paraId="66D3665C" w14:textId="77777777" w:rsidR="000D468B" w:rsidRPr="006D5947" w:rsidRDefault="000D468B" w:rsidP="00EC363A">
            <w:pPr>
              <w:spacing w:before="60" w:after="60"/>
              <w:rPr>
                <w:bCs/>
                <w:i/>
              </w:rPr>
            </w:pPr>
            <w:r w:rsidRPr="006D5947">
              <w:rPr>
                <w:bCs/>
                <w:i/>
              </w:rPr>
              <w:t>Status quo</w:t>
            </w:r>
          </w:p>
        </w:tc>
        <w:tc>
          <w:tcPr>
            <w:tcW w:w="5174" w:type="dxa"/>
            <w:tcBorders>
              <w:top w:val="dashed" w:sz="4" w:space="0" w:color="auto"/>
            </w:tcBorders>
          </w:tcPr>
          <w:p w14:paraId="570AC6D7" w14:textId="77777777" w:rsidR="000D468B" w:rsidRDefault="000D468B" w:rsidP="005D3FAD">
            <w:pPr>
              <w:pStyle w:val="Bulletpoint"/>
            </w:pPr>
            <w:r>
              <w:t>Parties retain right to seek merits review.</w:t>
            </w:r>
          </w:p>
        </w:tc>
        <w:tc>
          <w:tcPr>
            <w:tcW w:w="5175" w:type="dxa"/>
            <w:tcBorders>
              <w:top w:val="dashed" w:sz="4" w:space="0" w:color="auto"/>
            </w:tcBorders>
          </w:tcPr>
          <w:p w14:paraId="537B03C4" w14:textId="2469A9B1" w:rsidR="000D468B" w:rsidRDefault="000D468B" w:rsidP="005D3FAD">
            <w:pPr>
              <w:pStyle w:val="Bulletpoint"/>
            </w:pPr>
            <w:r>
              <w:t xml:space="preserve">In contentious cases, </w:t>
            </w:r>
            <w:r w:rsidR="0043101E">
              <w:t xml:space="preserve">would </w:t>
            </w:r>
            <w:r>
              <w:t xml:space="preserve">likely add 180 </w:t>
            </w:r>
            <w:r w:rsidR="008E269B">
              <w:t xml:space="preserve">(or more) </w:t>
            </w:r>
            <w:r>
              <w:t>days to the process for finalising a declaration decision.</w:t>
            </w:r>
          </w:p>
          <w:p w14:paraId="314C51FE" w14:textId="2A0C08E2" w:rsidR="000D468B" w:rsidRDefault="000D468B" w:rsidP="005D3FAD">
            <w:pPr>
              <w:pStyle w:val="Bulletpoint"/>
            </w:pPr>
            <w:r>
              <w:t xml:space="preserve">Would </w:t>
            </w:r>
            <w:r w:rsidR="00FD2558">
              <w:t>have</w:t>
            </w:r>
            <w:r>
              <w:t xml:space="preserve"> the Tribunal</w:t>
            </w:r>
            <w:r w:rsidR="002F26FE">
              <w:t xml:space="preserve"> </w:t>
            </w:r>
            <w:r w:rsidR="00FD2558">
              <w:t xml:space="preserve">making </w:t>
            </w:r>
            <w:r w:rsidR="002F26FE">
              <w:t>declaration decisions involving public interest considerations, which may b</w:t>
            </w:r>
            <w:r w:rsidR="00462A0B">
              <w:t>e less appropriate than having M</w:t>
            </w:r>
            <w:r w:rsidR="002F26FE">
              <w:t>inisters making these decisions.</w:t>
            </w:r>
          </w:p>
        </w:tc>
      </w:tr>
      <w:tr w:rsidR="000D468B" w14:paraId="18A6EEC2" w14:textId="77777777" w:rsidTr="001B316B">
        <w:trPr>
          <w:cantSplit/>
        </w:trPr>
        <w:tc>
          <w:tcPr>
            <w:tcW w:w="2829" w:type="dxa"/>
            <w:tcBorders>
              <w:bottom w:val="dashed" w:sz="4" w:space="0" w:color="auto"/>
            </w:tcBorders>
          </w:tcPr>
          <w:p w14:paraId="043345AC" w14:textId="77777777" w:rsidR="000D468B" w:rsidRPr="002E360E" w:rsidRDefault="000D468B" w:rsidP="00EC363A">
            <w:pPr>
              <w:spacing w:before="60" w:after="60"/>
              <w:rPr>
                <w:bCs/>
              </w:rPr>
            </w:pPr>
            <w:r w:rsidRPr="002E360E">
              <w:rPr>
                <w:bCs/>
                <w:u w:val="single"/>
              </w:rPr>
              <w:t>Option 2</w:t>
            </w:r>
            <w:r w:rsidRPr="002E360E">
              <w:rPr>
                <w:bCs/>
              </w:rPr>
              <w:t xml:space="preserve">: </w:t>
            </w:r>
            <w:r>
              <w:t>remove Tribunal review of ACCC arbitration decisions</w:t>
            </w:r>
            <w:r w:rsidRPr="002E360E">
              <w:rPr>
                <w:bCs/>
              </w:rPr>
              <w:t xml:space="preserve"> </w:t>
            </w:r>
          </w:p>
        </w:tc>
        <w:tc>
          <w:tcPr>
            <w:tcW w:w="5174" w:type="dxa"/>
            <w:tcBorders>
              <w:bottom w:val="dashed" w:sz="4" w:space="0" w:color="auto"/>
            </w:tcBorders>
          </w:tcPr>
          <w:p w14:paraId="3E048916" w14:textId="2042D103" w:rsidR="000D468B" w:rsidRPr="00A00E96" w:rsidRDefault="000D468B" w:rsidP="005D3FAD">
            <w:pPr>
              <w:pStyle w:val="Bulletpoint"/>
            </w:pPr>
            <w:r w:rsidRPr="00E84846">
              <w:t xml:space="preserve">Would remove a 180-day step in the </w:t>
            </w:r>
            <w:r>
              <w:t>arbitration</w:t>
            </w:r>
            <w:r w:rsidRPr="00E84846">
              <w:t xml:space="preserve"> process. </w:t>
            </w:r>
            <w:r w:rsidR="00741C8B" w:rsidRPr="00A81934">
              <w:t xml:space="preserve">Similar to Option </w:t>
            </w:r>
            <w:r w:rsidR="00156482">
              <w:t>1</w:t>
            </w:r>
            <w:r w:rsidR="00741C8B" w:rsidRPr="00A81934">
              <w:t>, t</w:t>
            </w:r>
            <w:r>
              <w:t>he likely practical impact of r</w:t>
            </w:r>
            <w:r w:rsidRPr="00E84846">
              <w:t>emoving Tribunal review</w:t>
            </w:r>
            <w:r>
              <w:t xml:space="preserve"> for future matters</w:t>
            </w:r>
            <w:r w:rsidRPr="00E84846">
              <w:t xml:space="preserve"> would</w:t>
            </w:r>
            <w:r>
              <w:t xml:space="preserve"> be to</w:t>
            </w:r>
            <w:r w:rsidRPr="00E84846">
              <w:t xml:space="preserve"> bring forward the option of seeking judicial review by 180 days.</w:t>
            </w:r>
          </w:p>
        </w:tc>
        <w:tc>
          <w:tcPr>
            <w:tcW w:w="5175" w:type="dxa"/>
            <w:tcBorders>
              <w:bottom w:val="dashed" w:sz="4" w:space="0" w:color="auto"/>
            </w:tcBorders>
          </w:tcPr>
          <w:p w14:paraId="24ED6572" w14:textId="0919DFC4" w:rsidR="000D468B" w:rsidRDefault="000D468B" w:rsidP="005D3FAD">
            <w:pPr>
              <w:pStyle w:val="Bulletpoint"/>
            </w:pPr>
            <w:r>
              <w:t xml:space="preserve">Would remove the opportunity for parties to seek merits review of arbitration decisions, that is, it would limit them to judicial review. </w:t>
            </w:r>
            <w:r w:rsidR="002A75B0">
              <w:t>This would be more significant for arbitration determinations, which are more technical in nature than declaration decisions</w:t>
            </w:r>
            <w:r w:rsidR="000F5733">
              <w:t>, potentially increasing the risk of regulatory error</w:t>
            </w:r>
            <w:r w:rsidR="002A75B0">
              <w:t>.</w:t>
            </w:r>
          </w:p>
        </w:tc>
      </w:tr>
      <w:tr w:rsidR="000D468B" w14:paraId="1FF3B669" w14:textId="77777777" w:rsidTr="001B316B">
        <w:trPr>
          <w:cantSplit/>
        </w:trPr>
        <w:tc>
          <w:tcPr>
            <w:tcW w:w="2829" w:type="dxa"/>
            <w:tcBorders>
              <w:top w:val="dashed" w:sz="4" w:space="0" w:color="auto"/>
            </w:tcBorders>
          </w:tcPr>
          <w:p w14:paraId="57224D56" w14:textId="77777777" w:rsidR="000D468B" w:rsidRPr="006D5947" w:rsidRDefault="000D468B" w:rsidP="00EC363A">
            <w:pPr>
              <w:spacing w:before="60" w:after="60"/>
              <w:rPr>
                <w:bCs/>
                <w:i/>
              </w:rPr>
            </w:pPr>
            <w:r w:rsidRPr="006D5947">
              <w:rPr>
                <w:bCs/>
                <w:i/>
              </w:rPr>
              <w:t>Status quo</w:t>
            </w:r>
          </w:p>
        </w:tc>
        <w:tc>
          <w:tcPr>
            <w:tcW w:w="5174" w:type="dxa"/>
            <w:tcBorders>
              <w:top w:val="dashed" w:sz="4" w:space="0" w:color="auto"/>
            </w:tcBorders>
          </w:tcPr>
          <w:p w14:paraId="59FDB34F" w14:textId="77777777" w:rsidR="000D468B" w:rsidRDefault="000D468B" w:rsidP="005D3FAD">
            <w:pPr>
              <w:pStyle w:val="Bulletpoint"/>
            </w:pPr>
            <w:r>
              <w:t>Parties retain right to seek merits review</w:t>
            </w:r>
          </w:p>
        </w:tc>
        <w:tc>
          <w:tcPr>
            <w:tcW w:w="5175" w:type="dxa"/>
            <w:tcBorders>
              <w:top w:val="dashed" w:sz="4" w:space="0" w:color="auto"/>
            </w:tcBorders>
          </w:tcPr>
          <w:p w14:paraId="74D4BA15" w14:textId="04EB8C2D" w:rsidR="000D468B" w:rsidRDefault="000D468B" w:rsidP="005D3FAD">
            <w:pPr>
              <w:pStyle w:val="Bulletpoint"/>
            </w:pPr>
            <w:r>
              <w:t xml:space="preserve">In contentious cases, </w:t>
            </w:r>
            <w:r w:rsidR="002F723D">
              <w:t xml:space="preserve">would </w:t>
            </w:r>
            <w:r>
              <w:t xml:space="preserve">likely to add 180 days </w:t>
            </w:r>
            <w:r w:rsidR="000F5733">
              <w:t xml:space="preserve">(or more) </w:t>
            </w:r>
            <w:r>
              <w:t>to the process for finalising an arbitration decision.</w:t>
            </w:r>
          </w:p>
        </w:tc>
      </w:tr>
      <w:tr w:rsidR="000D468B" w14:paraId="24741AA9" w14:textId="77777777" w:rsidTr="00106F0D">
        <w:trPr>
          <w:cantSplit/>
        </w:trPr>
        <w:tc>
          <w:tcPr>
            <w:tcW w:w="2829" w:type="dxa"/>
            <w:tcBorders>
              <w:bottom w:val="dashed" w:sz="4" w:space="0" w:color="auto"/>
            </w:tcBorders>
          </w:tcPr>
          <w:p w14:paraId="63A99A82" w14:textId="4587C7E2" w:rsidR="000D468B" w:rsidRDefault="000D468B" w:rsidP="000F5733">
            <w:pPr>
              <w:spacing w:before="60" w:after="60"/>
              <w:rPr>
                <w:b/>
                <w:bCs/>
              </w:rPr>
            </w:pPr>
            <w:r w:rsidRPr="00093EBB">
              <w:rPr>
                <w:bCs/>
                <w:u w:val="single"/>
              </w:rPr>
              <w:t>Option 3</w:t>
            </w:r>
            <w:r>
              <w:rPr>
                <w:b/>
                <w:bCs/>
              </w:rPr>
              <w:t xml:space="preserve">: </w:t>
            </w:r>
            <w:r>
              <w:t xml:space="preserve">shorten the timeframes for undertaking Tribunal review of </w:t>
            </w:r>
            <w:r w:rsidR="000F5733">
              <w:t xml:space="preserve">declaration and </w:t>
            </w:r>
            <w:r>
              <w:t>arbitration decisions</w:t>
            </w:r>
            <w:r>
              <w:rPr>
                <w:b/>
                <w:bCs/>
              </w:rPr>
              <w:t xml:space="preserve"> </w:t>
            </w:r>
          </w:p>
        </w:tc>
        <w:tc>
          <w:tcPr>
            <w:tcW w:w="5174" w:type="dxa"/>
            <w:tcBorders>
              <w:bottom w:val="dashed" w:sz="4" w:space="0" w:color="auto"/>
            </w:tcBorders>
          </w:tcPr>
          <w:p w14:paraId="7C994830" w14:textId="043D945C" w:rsidR="000D468B" w:rsidRPr="00BB0591" w:rsidRDefault="000D468B" w:rsidP="005D3FAD">
            <w:pPr>
              <w:pStyle w:val="Bulletpoint"/>
            </w:pPr>
            <w:r w:rsidRPr="00E84846">
              <w:t xml:space="preserve">Would </w:t>
            </w:r>
            <w:r>
              <w:t>shorten</w:t>
            </w:r>
            <w:r w:rsidRPr="00E84846">
              <w:t xml:space="preserve"> a 180-day step in the </w:t>
            </w:r>
            <w:r>
              <w:t>declaration and arbitration</w:t>
            </w:r>
            <w:r w:rsidRPr="00E84846">
              <w:t xml:space="preserve"> process</w:t>
            </w:r>
            <w:r>
              <w:t>es</w:t>
            </w:r>
            <w:r w:rsidRPr="00E84846">
              <w:t xml:space="preserve">. </w:t>
            </w:r>
          </w:p>
        </w:tc>
        <w:tc>
          <w:tcPr>
            <w:tcW w:w="5175" w:type="dxa"/>
            <w:tcBorders>
              <w:bottom w:val="dashed" w:sz="4" w:space="0" w:color="auto"/>
            </w:tcBorders>
          </w:tcPr>
          <w:p w14:paraId="34CCAAE3" w14:textId="5D30E9F6" w:rsidR="003F770F" w:rsidRDefault="003F770F" w:rsidP="005D3FAD">
            <w:pPr>
              <w:pStyle w:val="Bulletpoint"/>
            </w:pPr>
            <w:r>
              <w:t xml:space="preserve">May undermine the ability of </w:t>
            </w:r>
            <w:r w:rsidR="000D468B">
              <w:t xml:space="preserve">the Tribunal to conduct a thorough </w:t>
            </w:r>
            <w:r>
              <w:t xml:space="preserve">and considered review of </w:t>
            </w:r>
            <w:r w:rsidR="00462A0B">
              <w:t>M</w:t>
            </w:r>
            <w:r>
              <w:t>inisterial declaration decisions and ACCC arbitration decisions</w:t>
            </w:r>
            <w:r w:rsidR="000D468B">
              <w:t>.</w:t>
            </w:r>
          </w:p>
          <w:p w14:paraId="1F7346E9" w14:textId="2039BD15" w:rsidR="000D468B" w:rsidRPr="0018262D" w:rsidRDefault="003F770F" w:rsidP="005D3FAD">
            <w:pPr>
              <w:pStyle w:val="Bulletpoint"/>
            </w:pPr>
            <w:r>
              <w:t>May result in more applications for judicial</w:t>
            </w:r>
            <w:r w:rsidR="00106F0D">
              <w:t xml:space="preserve"> review.</w:t>
            </w:r>
            <w:r>
              <w:t xml:space="preserve"> </w:t>
            </w:r>
          </w:p>
        </w:tc>
      </w:tr>
      <w:tr w:rsidR="00106F0D" w14:paraId="15B0E21F" w14:textId="77777777" w:rsidTr="00106F0D">
        <w:trPr>
          <w:cantSplit/>
        </w:trPr>
        <w:tc>
          <w:tcPr>
            <w:tcW w:w="2829" w:type="dxa"/>
            <w:tcBorders>
              <w:top w:val="dashed" w:sz="4" w:space="0" w:color="auto"/>
            </w:tcBorders>
          </w:tcPr>
          <w:p w14:paraId="124EF4D9" w14:textId="69F4413E" w:rsidR="00106F0D" w:rsidRPr="00106F0D" w:rsidRDefault="00106F0D" w:rsidP="00EC363A">
            <w:pPr>
              <w:spacing w:before="60" w:after="60"/>
              <w:rPr>
                <w:bCs/>
                <w:i/>
              </w:rPr>
            </w:pPr>
            <w:r w:rsidRPr="00106F0D">
              <w:rPr>
                <w:bCs/>
                <w:i/>
              </w:rPr>
              <w:t>Status quo</w:t>
            </w:r>
          </w:p>
        </w:tc>
        <w:tc>
          <w:tcPr>
            <w:tcW w:w="5174" w:type="dxa"/>
            <w:tcBorders>
              <w:top w:val="dashed" w:sz="4" w:space="0" w:color="auto"/>
            </w:tcBorders>
          </w:tcPr>
          <w:p w14:paraId="7A13DD94" w14:textId="41ADD3BA" w:rsidR="00106F0D" w:rsidRPr="00E84846" w:rsidRDefault="00106F0D" w:rsidP="005D3FAD">
            <w:pPr>
              <w:pStyle w:val="Bulletpoint"/>
            </w:pPr>
            <w:r>
              <w:t>No potential compromising of the Tribunal’s ability to consider a matter.</w:t>
            </w:r>
          </w:p>
        </w:tc>
        <w:tc>
          <w:tcPr>
            <w:tcW w:w="5175" w:type="dxa"/>
            <w:tcBorders>
              <w:top w:val="dashed" w:sz="4" w:space="0" w:color="auto"/>
            </w:tcBorders>
          </w:tcPr>
          <w:p w14:paraId="6728722C" w14:textId="5695FBFD" w:rsidR="00106F0D" w:rsidRDefault="00106F0D" w:rsidP="005D3FAD">
            <w:pPr>
              <w:pStyle w:val="Bulletpoint"/>
            </w:pPr>
            <w:r>
              <w:t>No time saving.</w:t>
            </w:r>
          </w:p>
        </w:tc>
      </w:tr>
      <w:tr w:rsidR="000D468B" w14:paraId="4AD6053D" w14:textId="77777777" w:rsidTr="003136EB">
        <w:trPr>
          <w:cantSplit/>
        </w:trPr>
        <w:tc>
          <w:tcPr>
            <w:tcW w:w="2829" w:type="dxa"/>
            <w:tcBorders>
              <w:bottom w:val="dashed" w:sz="4" w:space="0" w:color="auto"/>
            </w:tcBorders>
          </w:tcPr>
          <w:p w14:paraId="02008E47" w14:textId="0B1462E9" w:rsidR="00106F0D" w:rsidRPr="00106F0D" w:rsidRDefault="00106F0D" w:rsidP="00EC363A">
            <w:pPr>
              <w:spacing w:before="60" w:after="60"/>
            </w:pPr>
            <w:r>
              <w:rPr>
                <w:bCs/>
                <w:u w:val="single"/>
              </w:rPr>
              <w:t>Option 4</w:t>
            </w:r>
            <w:r w:rsidR="000D468B" w:rsidRPr="00106F0D">
              <w:rPr>
                <w:bCs/>
              </w:rPr>
              <w:t>:</w:t>
            </w:r>
            <w:r w:rsidR="000D468B">
              <w:rPr>
                <w:b/>
                <w:bCs/>
              </w:rPr>
              <w:t xml:space="preserve"> </w:t>
            </w:r>
            <w:r w:rsidR="003136EB">
              <w:t>limit when parties may apply for declaration for infrastructure that has previously been subject to an unsuccessful declaration application under the NAR or where a declaration has been revoked</w:t>
            </w:r>
          </w:p>
          <w:p w14:paraId="152F79D9" w14:textId="4663382E" w:rsidR="000D468B" w:rsidRDefault="000D468B" w:rsidP="00EC363A">
            <w:pPr>
              <w:spacing w:before="60" w:after="60"/>
              <w:rPr>
                <w:b/>
                <w:bCs/>
              </w:rPr>
            </w:pPr>
          </w:p>
        </w:tc>
        <w:tc>
          <w:tcPr>
            <w:tcW w:w="5174" w:type="dxa"/>
            <w:tcBorders>
              <w:bottom w:val="dashed" w:sz="4" w:space="0" w:color="auto"/>
            </w:tcBorders>
          </w:tcPr>
          <w:p w14:paraId="274B778B" w14:textId="38E7A9B1" w:rsidR="00471F1F" w:rsidRPr="003C1404" w:rsidRDefault="006473E5" w:rsidP="005D3FAD">
            <w:pPr>
              <w:pStyle w:val="Bulletpoint"/>
            </w:pPr>
            <w:r>
              <w:t>W</w:t>
            </w:r>
            <w:r w:rsidR="001E47A5">
              <w:t xml:space="preserve">ould </w:t>
            </w:r>
            <w:r w:rsidR="00A052C5">
              <w:t xml:space="preserve">reduce risk of </w:t>
            </w:r>
            <w:r w:rsidR="003C1404">
              <w:t xml:space="preserve">declaration applications </w:t>
            </w:r>
            <w:r w:rsidR="00A052C5">
              <w:t xml:space="preserve">that </w:t>
            </w:r>
            <w:r w:rsidR="006321E0">
              <w:t xml:space="preserve">are likely to be unsuccessful because a previous application for the same infrastructure </w:t>
            </w:r>
            <w:r w:rsidR="00090E60">
              <w:t xml:space="preserve">services </w:t>
            </w:r>
            <w:r w:rsidR="006321E0">
              <w:t xml:space="preserve">was unsuccessful or </w:t>
            </w:r>
            <w:r w:rsidR="002F723D">
              <w:t xml:space="preserve">where </w:t>
            </w:r>
            <w:r w:rsidR="006321E0">
              <w:t>declaration has been revoked, and there has been no</w:t>
            </w:r>
            <w:r w:rsidR="00042AF6">
              <w:t xml:space="preserve"> </w:t>
            </w:r>
            <w:r w:rsidR="003136EB">
              <w:t xml:space="preserve">material </w:t>
            </w:r>
            <w:r w:rsidR="00042AF6">
              <w:t xml:space="preserve">change in </w:t>
            </w:r>
            <w:r w:rsidR="003C1404">
              <w:t>circumstances</w:t>
            </w:r>
            <w:r w:rsidR="00042AF6">
              <w:t>.</w:t>
            </w:r>
          </w:p>
        </w:tc>
        <w:tc>
          <w:tcPr>
            <w:tcW w:w="5175" w:type="dxa"/>
            <w:tcBorders>
              <w:bottom w:val="dashed" w:sz="4" w:space="0" w:color="auto"/>
            </w:tcBorders>
          </w:tcPr>
          <w:p w14:paraId="1AD4EC77" w14:textId="77777777" w:rsidR="0052716F" w:rsidRDefault="006473E5" w:rsidP="005D3FAD">
            <w:pPr>
              <w:pStyle w:val="Bulletpoint"/>
            </w:pPr>
            <w:r>
              <w:t>Could result in court cases challenging the validity of declaration applications on the grounds that a material change of circumstances has not occurred.</w:t>
            </w:r>
          </w:p>
          <w:p w14:paraId="4F42A58E" w14:textId="76815D1C" w:rsidR="000D468B" w:rsidRPr="006473E5" w:rsidRDefault="0052716F" w:rsidP="005D3FAD">
            <w:pPr>
              <w:pStyle w:val="Bulletpoint"/>
            </w:pPr>
            <w:r>
              <w:t>Could result in court cases challenging decisions to reject applications (made on the ground that a material change of circumstances has not occurred).</w:t>
            </w:r>
          </w:p>
        </w:tc>
      </w:tr>
      <w:tr w:rsidR="003136EB" w14:paraId="07213518" w14:textId="77777777" w:rsidTr="003136EB">
        <w:trPr>
          <w:cantSplit/>
        </w:trPr>
        <w:tc>
          <w:tcPr>
            <w:tcW w:w="2829" w:type="dxa"/>
            <w:tcBorders>
              <w:top w:val="dashed" w:sz="4" w:space="0" w:color="auto"/>
            </w:tcBorders>
          </w:tcPr>
          <w:p w14:paraId="0FB4BC61" w14:textId="6AEBA0AC" w:rsidR="003136EB" w:rsidRPr="003136EB" w:rsidRDefault="003136EB" w:rsidP="00EC363A">
            <w:pPr>
              <w:spacing w:before="60" w:after="60"/>
              <w:rPr>
                <w:bCs/>
                <w:i/>
              </w:rPr>
            </w:pPr>
            <w:r w:rsidRPr="003136EB">
              <w:rPr>
                <w:bCs/>
                <w:i/>
              </w:rPr>
              <w:t>Status quo</w:t>
            </w:r>
          </w:p>
        </w:tc>
        <w:tc>
          <w:tcPr>
            <w:tcW w:w="5174" w:type="dxa"/>
            <w:tcBorders>
              <w:top w:val="dashed" w:sz="4" w:space="0" w:color="auto"/>
            </w:tcBorders>
          </w:tcPr>
          <w:p w14:paraId="23AB87AB" w14:textId="78A963BB" w:rsidR="003136EB" w:rsidRDefault="00202EC2" w:rsidP="005D3FAD">
            <w:pPr>
              <w:pStyle w:val="Bulletpoint"/>
            </w:pPr>
            <w:r>
              <w:t>Would avoid new legislative test</w:t>
            </w:r>
            <w:r w:rsidR="0052716F">
              <w:t xml:space="preserve"> which could be the subject of court action</w:t>
            </w:r>
            <w:r>
              <w:t>.</w:t>
            </w:r>
          </w:p>
        </w:tc>
        <w:tc>
          <w:tcPr>
            <w:tcW w:w="5175" w:type="dxa"/>
            <w:tcBorders>
              <w:top w:val="dashed" w:sz="4" w:space="0" w:color="auto"/>
            </w:tcBorders>
          </w:tcPr>
          <w:p w14:paraId="068067F7" w14:textId="02E912D9" w:rsidR="003136EB" w:rsidRDefault="00CC526D" w:rsidP="005D3FAD">
            <w:pPr>
              <w:pStyle w:val="Bulletpoint"/>
            </w:pPr>
            <w:r>
              <w:t xml:space="preserve">Potential for declaration applications </w:t>
            </w:r>
            <w:r w:rsidR="00217287">
              <w:t xml:space="preserve">to be made which have inherently </w:t>
            </w:r>
            <w:r>
              <w:t xml:space="preserve">limited prospects of success </w:t>
            </w:r>
            <w:r w:rsidR="00217287">
              <w:t>because</w:t>
            </w:r>
            <w:r>
              <w:t xml:space="preserve"> there has been no material change in circumstances since a previous unsuccessful application</w:t>
            </w:r>
            <w:r w:rsidR="00923FDD">
              <w:t xml:space="preserve"> or past revocation</w:t>
            </w:r>
            <w:r w:rsidR="00687E9F">
              <w:t>, causing parties to incur costs</w:t>
            </w:r>
            <w:r>
              <w:t>.</w:t>
            </w:r>
          </w:p>
        </w:tc>
      </w:tr>
      <w:tr w:rsidR="000D468B" w14:paraId="3A1049B5" w14:textId="77777777" w:rsidTr="00D10792">
        <w:trPr>
          <w:cantSplit/>
        </w:trPr>
        <w:tc>
          <w:tcPr>
            <w:tcW w:w="2829" w:type="dxa"/>
            <w:tcBorders>
              <w:bottom w:val="dashed" w:sz="4" w:space="0" w:color="auto"/>
            </w:tcBorders>
          </w:tcPr>
          <w:p w14:paraId="0F93C809" w14:textId="084B4BBC" w:rsidR="000D468B" w:rsidRPr="00202EC2" w:rsidRDefault="00202EC2" w:rsidP="00154FB5">
            <w:pPr>
              <w:pStyle w:val="Bulletpoint"/>
            </w:pPr>
            <w:r w:rsidRPr="00202EC2">
              <w:rPr>
                <w:u w:val="single"/>
              </w:rPr>
              <w:t>Option 5</w:t>
            </w:r>
            <w:r>
              <w:t>: limit when parties may apply for revocation of a declaration for infrastructure; for example, provide that revocation may only be sought where a material change of circumstances has occurred</w:t>
            </w:r>
            <w:r w:rsidR="005C4A64">
              <w:t xml:space="preserve"> since the decision to declare the service</w:t>
            </w:r>
            <w:r>
              <w:t>.</w:t>
            </w:r>
          </w:p>
        </w:tc>
        <w:tc>
          <w:tcPr>
            <w:tcW w:w="5174" w:type="dxa"/>
            <w:tcBorders>
              <w:bottom w:val="dashed" w:sz="4" w:space="0" w:color="auto"/>
            </w:tcBorders>
          </w:tcPr>
          <w:p w14:paraId="12209C0C" w14:textId="3EA26741" w:rsidR="000D468B" w:rsidRPr="00202EC2" w:rsidRDefault="00202EC2" w:rsidP="005D3FAD">
            <w:pPr>
              <w:pStyle w:val="Bulletpoint"/>
            </w:pPr>
            <w:r>
              <w:t>Would</w:t>
            </w:r>
            <w:r w:rsidR="00AE0B8E">
              <w:t xml:space="preserve"> reduce risk of </w:t>
            </w:r>
            <w:r>
              <w:t>revocation applications</w:t>
            </w:r>
            <w:r w:rsidR="00AE0B8E">
              <w:t xml:space="preserve"> that</w:t>
            </w:r>
            <w:r>
              <w:t xml:space="preserve"> are likely to be unsuccessful because a previous application for the same infrastructure was unsuccessful, and there has been no material change in circumstances.</w:t>
            </w:r>
          </w:p>
        </w:tc>
        <w:tc>
          <w:tcPr>
            <w:tcW w:w="5175" w:type="dxa"/>
            <w:tcBorders>
              <w:bottom w:val="dashed" w:sz="4" w:space="0" w:color="auto"/>
            </w:tcBorders>
          </w:tcPr>
          <w:p w14:paraId="0B73A369" w14:textId="050061B9" w:rsidR="00DA5E4B" w:rsidRDefault="00202EC2" w:rsidP="005D3FAD">
            <w:pPr>
              <w:pStyle w:val="Bulletpoint"/>
            </w:pPr>
            <w:r>
              <w:t xml:space="preserve">Could result in court cases challenging the validity of revocation </w:t>
            </w:r>
            <w:r w:rsidR="00DA5E4B">
              <w:t>requests</w:t>
            </w:r>
            <w:r>
              <w:t xml:space="preserve"> on the grounds that a material change of circumstances has not occurred.</w:t>
            </w:r>
            <w:r w:rsidR="000D468B" w:rsidRPr="00D10792">
              <w:t xml:space="preserve">  </w:t>
            </w:r>
          </w:p>
          <w:p w14:paraId="47DB1062" w14:textId="40631139" w:rsidR="000D468B" w:rsidRPr="00D10792" w:rsidRDefault="00DA5E4B" w:rsidP="005D3FAD">
            <w:pPr>
              <w:pStyle w:val="Bulletpoint"/>
            </w:pPr>
            <w:r>
              <w:t>Could result in court cases challenging decisions to reject requests (made on the ground that a material change of circumstances has not occurred).</w:t>
            </w:r>
          </w:p>
        </w:tc>
      </w:tr>
      <w:tr w:rsidR="00D10792" w14:paraId="39A25443" w14:textId="77777777" w:rsidTr="00D10792">
        <w:trPr>
          <w:cantSplit/>
        </w:trPr>
        <w:tc>
          <w:tcPr>
            <w:tcW w:w="2829" w:type="dxa"/>
            <w:tcBorders>
              <w:top w:val="dashed" w:sz="4" w:space="0" w:color="auto"/>
            </w:tcBorders>
          </w:tcPr>
          <w:p w14:paraId="7AF7A97E" w14:textId="4EAE041B" w:rsidR="00D10792" w:rsidRPr="00D10792" w:rsidRDefault="00D10792" w:rsidP="003522C2">
            <w:pPr>
              <w:pStyle w:val="Bulletpoint"/>
            </w:pPr>
            <w:r w:rsidRPr="00D10792">
              <w:lastRenderedPageBreak/>
              <w:t>Status quo</w:t>
            </w:r>
          </w:p>
        </w:tc>
        <w:tc>
          <w:tcPr>
            <w:tcW w:w="5174" w:type="dxa"/>
            <w:tcBorders>
              <w:top w:val="dashed" w:sz="4" w:space="0" w:color="auto"/>
            </w:tcBorders>
          </w:tcPr>
          <w:p w14:paraId="0A2E434F" w14:textId="44641F62" w:rsidR="00D10792" w:rsidRDefault="00D10792" w:rsidP="005D3FAD">
            <w:pPr>
              <w:pStyle w:val="Bulletpoint"/>
            </w:pPr>
            <w:r>
              <w:t>Would avoid new legislative test</w:t>
            </w:r>
            <w:r w:rsidR="002F5B23">
              <w:t xml:space="preserve"> and therefore potential court cases</w:t>
            </w:r>
            <w:r>
              <w:t>.</w:t>
            </w:r>
          </w:p>
        </w:tc>
        <w:tc>
          <w:tcPr>
            <w:tcW w:w="5175" w:type="dxa"/>
            <w:tcBorders>
              <w:top w:val="dashed" w:sz="4" w:space="0" w:color="auto"/>
            </w:tcBorders>
          </w:tcPr>
          <w:p w14:paraId="2BD8DCFB" w14:textId="5B130135" w:rsidR="00D10792" w:rsidRDefault="00D10792" w:rsidP="005D3FAD">
            <w:pPr>
              <w:pStyle w:val="Bulletpoint"/>
            </w:pPr>
            <w:r>
              <w:t>Potential for revocation applications to be made which have inherently limited prospects of success because there has been no material change in circumstances since a previous unsuccessful application</w:t>
            </w:r>
            <w:r w:rsidR="00DA5E4B">
              <w:t xml:space="preserve">, </w:t>
            </w:r>
            <w:r w:rsidR="00687E9F">
              <w:t>causing parties to incur costs</w:t>
            </w:r>
            <w:r>
              <w:t>.</w:t>
            </w:r>
          </w:p>
        </w:tc>
      </w:tr>
      <w:tr w:rsidR="000D468B" w14:paraId="6E1E293A" w14:textId="77777777" w:rsidTr="00840C94">
        <w:trPr>
          <w:cantSplit/>
        </w:trPr>
        <w:tc>
          <w:tcPr>
            <w:tcW w:w="2829" w:type="dxa"/>
            <w:tcBorders>
              <w:bottom w:val="dashed" w:sz="4" w:space="0" w:color="auto"/>
            </w:tcBorders>
          </w:tcPr>
          <w:p w14:paraId="1DE870E2" w14:textId="69A44D63" w:rsidR="000D468B" w:rsidRDefault="00492AE4" w:rsidP="00FB01C5">
            <w:pPr>
              <w:spacing w:before="60" w:after="60"/>
              <w:rPr>
                <w:b/>
                <w:bCs/>
              </w:rPr>
            </w:pPr>
            <w:r w:rsidRPr="00492AE4">
              <w:rPr>
                <w:u w:val="single"/>
              </w:rPr>
              <w:t>Option 6</w:t>
            </w:r>
            <w:r w:rsidRPr="00FA4783">
              <w:t>:</w:t>
            </w:r>
            <w:r>
              <w:t xml:space="preserve"> Provide for arbitration </w:t>
            </w:r>
            <w:r w:rsidRPr="00920D14">
              <w:rPr>
                <w:i/>
              </w:rPr>
              <w:t>proce</w:t>
            </w:r>
            <w:r w:rsidR="00FB01C5">
              <w:rPr>
                <w:i/>
              </w:rPr>
              <w:t>sses that are underway</w:t>
            </w:r>
            <w:r>
              <w:t xml:space="preserve"> to terminate if the declaration of the relevant infrastructure service is revoked.</w:t>
            </w:r>
          </w:p>
        </w:tc>
        <w:tc>
          <w:tcPr>
            <w:tcW w:w="5174" w:type="dxa"/>
            <w:tcBorders>
              <w:bottom w:val="dashed" w:sz="4" w:space="0" w:color="auto"/>
            </w:tcBorders>
          </w:tcPr>
          <w:p w14:paraId="0DE8783B" w14:textId="7BD7EF1F" w:rsidR="000D468B" w:rsidRPr="0018262D" w:rsidRDefault="00A34121" w:rsidP="005D3FAD">
            <w:pPr>
              <w:pStyle w:val="Bulletpoint"/>
            </w:pPr>
            <w:r>
              <w:t xml:space="preserve">Would </w:t>
            </w:r>
            <w:r w:rsidR="00106B39">
              <w:t xml:space="preserve">remove </w:t>
            </w:r>
            <w:r>
              <w:t xml:space="preserve">an anomaly under which </w:t>
            </w:r>
            <w:r w:rsidR="00356EFC">
              <w:t xml:space="preserve">arbitration of access disputes continued even though the </w:t>
            </w:r>
            <w:r>
              <w:t>infrastructure is no</w:t>
            </w:r>
            <w:r w:rsidR="00356EFC">
              <w:t xml:space="preserve"> longer</w:t>
            </w:r>
            <w:r>
              <w:t xml:space="preserve"> </w:t>
            </w:r>
            <w:r w:rsidR="00504DB3">
              <w:t xml:space="preserve">formally subject to </w:t>
            </w:r>
            <w:r>
              <w:t>the NAR.</w:t>
            </w:r>
          </w:p>
        </w:tc>
        <w:tc>
          <w:tcPr>
            <w:tcW w:w="5175" w:type="dxa"/>
            <w:tcBorders>
              <w:bottom w:val="dashed" w:sz="4" w:space="0" w:color="auto"/>
            </w:tcBorders>
          </w:tcPr>
          <w:p w14:paraId="0953C7A1" w14:textId="6C12801C" w:rsidR="00EC363A" w:rsidRPr="00920D14" w:rsidRDefault="00D95C68" w:rsidP="005D3FAD">
            <w:pPr>
              <w:pStyle w:val="Bulletpoint"/>
            </w:pPr>
            <w:r>
              <w:t>W</w:t>
            </w:r>
            <w:r w:rsidR="00106B39">
              <w:t xml:space="preserve">here revocation occurred </w:t>
            </w:r>
            <w:r w:rsidR="00356EFC">
              <w:t xml:space="preserve">while </w:t>
            </w:r>
            <w:r w:rsidR="00106B39">
              <w:t>arbitration proce</w:t>
            </w:r>
            <w:r w:rsidR="00356EFC">
              <w:t>sses were underway</w:t>
            </w:r>
            <w:r>
              <w:t xml:space="preserve">, </w:t>
            </w:r>
            <w:r w:rsidR="00106B39">
              <w:t>w</w:t>
            </w:r>
            <w:r w:rsidR="00B94F1A">
              <w:t>ould result in costs incurred by parties in arbitration proce</w:t>
            </w:r>
            <w:r w:rsidR="00D85CD5">
              <w:t>sses</w:t>
            </w:r>
            <w:r w:rsidR="00B94F1A">
              <w:t xml:space="preserve"> </w:t>
            </w:r>
            <w:r w:rsidR="00106B39">
              <w:t xml:space="preserve">prior to revocation </w:t>
            </w:r>
            <w:r w:rsidR="00B94F1A">
              <w:t xml:space="preserve">being </w:t>
            </w:r>
            <w:r w:rsidR="00106B39">
              <w:t>wasted</w:t>
            </w:r>
            <w:r w:rsidR="00B94F1A">
              <w:t>.</w:t>
            </w:r>
          </w:p>
        </w:tc>
      </w:tr>
      <w:tr w:rsidR="00840C94" w14:paraId="49F561AC" w14:textId="77777777" w:rsidTr="00840C94">
        <w:trPr>
          <w:cantSplit/>
        </w:trPr>
        <w:tc>
          <w:tcPr>
            <w:tcW w:w="2829" w:type="dxa"/>
            <w:tcBorders>
              <w:top w:val="dashed" w:sz="4" w:space="0" w:color="auto"/>
            </w:tcBorders>
          </w:tcPr>
          <w:p w14:paraId="197DD4CE" w14:textId="77777777" w:rsidR="00840C94" w:rsidRPr="00D10792" w:rsidRDefault="00840C94" w:rsidP="003522C2">
            <w:pPr>
              <w:pStyle w:val="Bulletpoint"/>
            </w:pPr>
            <w:r w:rsidRPr="00D10792">
              <w:t>Status quo</w:t>
            </w:r>
          </w:p>
        </w:tc>
        <w:tc>
          <w:tcPr>
            <w:tcW w:w="5174" w:type="dxa"/>
            <w:tcBorders>
              <w:top w:val="dashed" w:sz="4" w:space="0" w:color="auto"/>
            </w:tcBorders>
          </w:tcPr>
          <w:p w14:paraId="0B599A70" w14:textId="040F73C6" w:rsidR="00840C94" w:rsidRDefault="00DB6C65" w:rsidP="005D3FAD">
            <w:pPr>
              <w:pStyle w:val="Bulletpoint"/>
            </w:pPr>
            <w:r>
              <w:t xml:space="preserve">Expenditure on </w:t>
            </w:r>
            <w:r w:rsidR="00106B39">
              <w:t xml:space="preserve">arbitration </w:t>
            </w:r>
            <w:r w:rsidR="00927D47">
              <w:t xml:space="preserve">of an access dispute </w:t>
            </w:r>
            <w:r>
              <w:t xml:space="preserve">would not be wasted if </w:t>
            </w:r>
            <w:r w:rsidR="00EC363A">
              <w:t xml:space="preserve">revocation occurs </w:t>
            </w:r>
            <w:r w:rsidR="00D85CD5">
              <w:t xml:space="preserve">while </w:t>
            </w:r>
            <w:r w:rsidR="00EC363A">
              <w:t xml:space="preserve">the </w:t>
            </w:r>
            <w:r w:rsidR="00D85CD5">
              <w:t xml:space="preserve">arbitration </w:t>
            </w:r>
            <w:r w:rsidR="00EC363A">
              <w:t>proce</w:t>
            </w:r>
            <w:r w:rsidR="00D85CD5">
              <w:t>ss is underway</w:t>
            </w:r>
            <w:r w:rsidR="00EC363A">
              <w:t>.</w:t>
            </w:r>
          </w:p>
        </w:tc>
        <w:tc>
          <w:tcPr>
            <w:tcW w:w="5175" w:type="dxa"/>
            <w:tcBorders>
              <w:top w:val="dashed" w:sz="4" w:space="0" w:color="auto"/>
            </w:tcBorders>
          </w:tcPr>
          <w:p w14:paraId="078665A0" w14:textId="36B4EE06" w:rsidR="00840C94" w:rsidRDefault="00106B39" w:rsidP="005D3FAD">
            <w:pPr>
              <w:pStyle w:val="Bulletpoint"/>
            </w:pPr>
            <w:r>
              <w:t>Ident</w:t>
            </w:r>
            <w:r w:rsidR="00DB6C65">
              <w:t>i</w:t>
            </w:r>
            <w:r>
              <w:t>fied anomaly would remain.</w:t>
            </w:r>
          </w:p>
        </w:tc>
      </w:tr>
      <w:tr w:rsidR="00920D14" w14:paraId="6B24A119" w14:textId="77777777" w:rsidTr="00840C94">
        <w:trPr>
          <w:cantSplit/>
        </w:trPr>
        <w:tc>
          <w:tcPr>
            <w:tcW w:w="2829" w:type="dxa"/>
            <w:tcBorders>
              <w:bottom w:val="dashed" w:sz="4" w:space="0" w:color="auto"/>
            </w:tcBorders>
          </w:tcPr>
          <w:p w14:paraId="20A5D6B3" w14:textId="614DA5CA" w:rsidR="00920D14" w:rsidRPr="00920D14" w:rsidRDefault="00920D14" w:rsidP="00EC363A">
            <w:pPr>
              <w:spacing w:before="60" w:after="60"/>
            </w:pPr>
            <w:bookmarkStart w:id="102" w:name="_Toc528774702"/>
            <w:r w:rsidRPr="00920D14">
              <w:rPr>
                <w:u w:val="single"/>
              </w:rPr>
              <w:t>Option 7</w:t>
            </w:r>
            <w:r w:rsidRPr="00920D14">
              <w:t xml:space="preserve">: </w:t>
            </w:r>
            <w:r>
              <w:t xml:space="preserve">Provide for arbitration </w:t>
            </w:r>
            <w:r w:rsidRPr="00920D14">
              <w:rPr>
                <w:i/>
              </w:rPr>
              <w:t>determinations</w:t>
            </w:r>
            <w:r>
              <w:t xml:space="preserve"> to terminate if the declaration of the relevant infrastructure service is revoked.</w:t>
            </w:r>
          </w:p>
        </w:tc>
        <w:tc>
          <w:tcPr>
            <w:tcW w:w="5174" w:type="dxa"/>
            <w:tcBorders>
              <w:bottom w:val="dashed" w:sz="4" w:space="0" w:color="auto"/>
            </w:tcBorders>
          </w:tcPr>
          <w:p w14:paraId="152A4B66" w14:textId="5FD91937" w:rsidR="00920D14" w:rsidRDefault="00081E2F" w:rsidP="005D3FAD">
            <w:pPr>
              <w:pStyle w:val="Bulletpoint"/>
            </w:pPr>
            <w:r>
              <w:t xml:space="preserve">Would avoid an anomaly under which infrastructure could </w:t>
            </w:r>
            <w:r w:rsidR="00927D47">
              <w:t xml:space="preserve">continue to </w:t>
            </w:r>
            <w:r>
              <w:t xml:space="preserve">be subject to </w:t>
            </w:r>
            <w:r w:rsidR="00DB56EB">
              <w:t>a</w:t>
            </w:r>
            <w:r w:rsidR="00EC363A">
              <w:t>n arbitration determination</w:t>
            </w:r>
            <w:r>
              <w:t xml:space="preserve"> when </w:t>
            </w:r>
            <w:r w:rsidR="00927D47">
              <w:t xml:space="preserve">the infrastructure </w:t>
            </w:r>
            <w:r>
              <w:t>is not covered by the NAR.</w:t>
            </w:r>
          </w:p>
        </w:tc>
        <w:tc>
          <w:tcPr>
            <w:tcW w:w="5175" w:type="dxa"/>
            <w:tcBorders>
              <w:bottom w:val="dashed" w:sz="4" w:space="0" w:color="auto"/>
            </w:tcBorders>
          </w:tcPr>
          <w:p w14:paraId="129B4EA4" w14:textId="5B37ACD8" w:rsidR="00920D14" w:rsidRPr="00DB56EB" w:rsidRDefault="00EC363A" w:rsidP="005D3FAD">
            <w:pPr>
              <w:pStyle w:val="Bulletpoint"/>
            </w:pPr>
            <w:r>
              <w:t xml:space="preserve">Risk that </w:t>
            </w:r>
            <w:r w:rsidR="003E7B88">
              <w:t>uncertainty created by the potential termination of an arbitration determination affect</w:t>
            </w:r>
            <w:r>
              <w:t>s</w:t>
            </w:r>
            <w:r w:rsidR="003E7B88">
              <w:t xml:space="preserve"> investment decisions by infrastructure users, to the extent that these decisions rely on</w:t>
            </w:r>
            <w:r w:rsidR="00DB56EB">
              <w:t xml:space="preserve"> the arbitration determination.</w:t>
            </w:r>
          </w:p>
        </w:tc>
      </w:tr>
      <w:tr w:rsidR="00EC363A" w14:paraId="2DB422DA" w14:textId="77777777" w:rsidTr="00840C94">
        <w:trPr>
          <w:cantSplit/>
        </w:trPr>
        <w:tc>
          <w:tcPr>
            <w:tcW w:w="2829" w:type="dxa"/>
            <w:tcBorders>
              <w:top w:val="dashed" w:sz="4" w:space="0" w:color="auto"/>
            </w:tcBorders>
          </w:tcPr>
          <w:p w14:paraId="40659365" w14:textId="77777777" w:rsidR="00EC363A" w:rsidRPr="00D10792" w:rsidRDefault="00EC363A" w:rsidP="003522C2">
            <w:pPr>
              <w:pStyle w:val="Bulletpoint"/>
            </w:pPr>
            <w:r w:rsidRPr="00D10792">
              <w:t>Status quo</w:t>
            </w:r>
          </w:p>
        </w:tc>
        <w:tc>
          <w:tcPr>
            <w:tcW w:w="5174" w:type="dxa"/>
            <w:tcBorders>
              <w:top w:val="dashed" w:sz="4" w:space="0" w:color="auto"/>
            </w:tcBorders>
          </w:tcPr>
          <w:p w14:paraId="13D45453" w14:textId="30A3B460" w:rsidR="00EC363A" w:rsidRDefault="00EC363A" w:rsidP="005D3FAD">
            <w:pPr>
              <w:pStyle w:val="Bulletpoint"/>
            </w:pPr>
            <w:r>
              <w:t>No risk of affecting investment decisions of infrastructure users.</w:t>
            </w:r>
          </w:p>
        </w:tc>
        <w:tc>
          <w:tcPr>
            <w:tcW w:w="5175" w:type="dxa"/>
            <w:tcBorders>
              <w:top w:val="dashed" w:sz="4" w:space="0" w:color="auto"/>
            </w:tcBorders>
          </w:tcPr>
          <w:p w14:paraId="53B3A455" w14:textId="79DFBCF9" w:rsidR="00EC363A" w:rsidRDefault="00EC363A" w:rsidP="005D3FAD">
            <w:pPr>
              <w:pStyle w:val="Bulletpoint"/>
            </w:pPr>
            <w:r>
              <w:t>Identified anomaly would remain.</w:t>
            </w:r>
          </w:p>
        </w:tc>
      </w:tr>
    </w:tbl>
    <w:p w14:paraId="672C2866" w14:textId="77777777" w:rsidR="00081E2F" w:rsidRDefault="00081E2F" w:rsidP="003B3BF1">
      <w:pPr>
        <w:tabs>
          <w:tab w:val="left" w:pos="1861"/>
        </w:tabs>
        <w:spacing w:before="60" w:after="60"/>
        <w:sectPr w:rsidR="00081E2F" w:rsidSect="00B26185">
          <w:pgSz w:w="16838" w:h="11906" w:orient="landscape"/>
          <w:pgMar w:top="1440" w:right="1440" w:bottom="1440" w:left="1440" w:header="708" w:footer="708" w:gutter="0"/>
          <w:cols w:space="708"/>
          <w:docGrid w:linePitch="360"/>
        </w:sectPr>
      </w:pPr>
    </w:p>
    <w:p w14:paraId="4B8D19F3" w14:textId="77777777" w:rsidR="000668D7" w:rsidRPr="00FD2558" w:rsidRDefault="000668D7" w:rsidP="0018262D">
      <w:pPr>
        <w:spacing w:before="240"/>
        <w:rPr>
          <w:highlight w:val="yellow"/>
        </w:rPr>
      </w:pPr>
    </w:p>
    <w:p w14:paraId="02E7C494" w14:textId="04DEDE1C" w:rsidR="009B6022" w:rsidRPr="009B6022" w:rsidRDefault="009B6022" w:rsidP="009B6022">
      <w:pPr>
        <w:rPr>
          <w:b/>
        </w:rPr>
      </w:pPr>
      <w:r w:rsidRPr="009B6022">
        <w:rPr>
          <w:b/>
        </w:rPr>
        <w:t xml:space="preserve">Regulatory burden estimate </w:t>
      </w:r>
    </w:p>
    <w:p w14:paraId="354070B4" w14:textId="6170CB6E" w:rsidR="007541F1" w:rsidRDefault="00100A9C" w:rsidP="003B3BF1">
      <w:pPr>
        <w:pStyle w:val="OutlineNumbered1"/>
        <w:numPr>
          <w:ilvl w:val="0"/>
          <w:numId w:val="0"/>
        </w:numPr>
        <w:tabs>
          <w:tab w:val="clear" w:pos="1240"/>
        </w:tabs>
      </w:pPr>
      <w:r>
        <w:t xml:space="preserve">Options 1, 2 and 6 would result in a small regulatory cost saving for businesses only. </w:t>
      </w:r>
      <w:r w:rsidR="00EA4E9C">
        <w:t>The</w:t>
      </w:r>
      <w:r w:rsidR="00122D35">
        <w:t xml:space="preserve"> </w:t>
      </w:r>
      <w:r>
        <w:t>remainder</w:t>
      </w:r>
      <w:r w:rsidR="00122D35">
        <w:t xml:space="preserve"> of these</w:t>
      </w:r>
      <w:r w:rsidR="00EA4E9C">
        <w:t xml:space="preserve"> reforms have bee</w:t>
      </w:r>
      <w:r w:rsidR="009660BA">
        <w:t>n assessed as having no increase or decrease in compliance costs for individuals, businesses and the community.</w:t>
      </w:r>
      <w:r w:rsidR="00122D35">
        <w:t xml:space="preserve"> </w:t>
      </w:r>
      <w:r w:rsidR="00187995">
        <w:t>Detailed explanations for each option are below.</w:t>
      </w:r>
    </w:p>
    <w:p w14:paraId="4BF52D5A" w14:textId="47EC3836" w:rsidR="009213D9" w:rsidRDefault="00187995" w:rsidP="003B3BF1">
      <w:pPr>
        <w:pStyle w:val="OutlineNumbered1"/>
        <w:numPr>
          <w:ilvl w:val="0"/>
          <w:numId w:val="0"/>
        </w:numPr>
        <w:tabs>
          <w:tab w:val="clear" w:pos="1240"/>
        </w:tabs>
      </w:pPr>
      <w:r>
        <w:rPr>
          <w:u w:val="single"/>
        </w:rPr>
        <w:t xml:space="preserve">Options 1 and </w:t>
      </w:r>
      <w:r w:rsidRPr="00187995">
        <w:rPr>
          <w:u w:val="single"/>
        </w:rPr>
        <w:t>2</w:t>
      </w:r>
      <w:r>
        <w:t xml:space="preserve"> would </w:t>
      </w:r>
      <w:r w:rsidR="00A637E2">
        <w:t xml:space="preserve">remove the ability for parties to </w:t>
      </w:r>
      <w:r w:rsidR="00CC55ED">
        <w:t>seek merits review of</w:t>
      </w:r>
      <w:r w:rsidR="00A637E2">
        <w:t xml:space="preserve"> the decisions of the </w:t>
      </w:r>
      <w:r w:rsidR="00C65960">
        <w:t>Minister</w:t>
      </w:r>
      <w:r w:rsidR="00A637E2">
        <w:t xml:space="preserve"> (option 1) and the ACCC (option 2) </w:t>
      </w:r>
      <w:r w:rsidR="00522622">
        <w:t>by</w:t>
      </w:r>
      <w:r w:rsidR="00A637E2">
        <w:t xml:space="preserve"> the Tribunal. In accordance with the regulatory burden measurement framework, </w:t>
      </w:r>
      <w:r w:rsidR="00D0466B">
        <w:t xml:space="preserve">the </w:t>
      </w:r>
      <w:r w:rsidR="001B034C">
        <w:t xml:space="preserve">legal </w:t>
      </w:r>
      <w:r w:rsidR="00D0466B">
        <w:t xml:space="preserve">costs </w:t>
      </w:r>
      <w:r w:rsidR="006604E5">
        <w:t>incurred in</w:t>
      </w:r>
      <w:r w:rsidR="00D0466B">
        <w:t xml:space="preserve"> </w:t>
      </w:r>
      <w:r w:rsidR="00A637E2">
        <w:t>c</w:t>
      </w:r>
      <w:r w:rsidR="00D0466B">
        <w:t xml:space="preserve">ourt and tribunal processes are </w:t>
      </w:r>
      <w:r w:rsidR="00EC4E23">
        <w:t>not required to be considered when quantifying an estimate of regulatory burden.</w:t>
      </w:r>
      <w:r w:rsidR="00D0466B">
        <w:t xml:space="preserve"> </w:t>
      </w:r>
      <w:r w:rsidR="00657F6A">
        <w:t xml:space="preserve">However, </w:t>
      </w:r>
      <w:r w:rsidR="0030615F">
        <w:t>the removal of merits review would result</w:t>
      </w:r>
      <w:r w:rsidR="00657F6A">
        <w:t xml:space="preserve"> </w:t>
      </w:r>
      <w:r w:rsidR="0030615F">
        <w:t xml:space="preserve">in a </w:t>
      </w:r>
      <w:r w:rsidR="00657F6A">
        <w:t xml:space="preserve">small </w:t>
      </w:r>
      <w:r w:rsidR="0030615F">
        <w:t>administrati</w:t>
      </w:r>
      <w:r w:rsidR="00E31774">
        <w:t>ve</w:t>
      </w:r>
      <w:r w:rsidR="0030615F">
        <w:t xml:space="preserve"> </w:t>
      </w:r>
      <w:r w:rsidR="00657F6A">
        <w:t xml:space="preserve">cost saving </w:t>
      </w:r>
      <w:r w:rsidR="0030615F">
        <w:t xml:space="preserve">to a potential applicant, </w:t>
      </w:r>
      <w:r w:rsidR="006212CD">
        <w:t xml:space="preserve">by removing </w:t>
      </w:r>
      <w:r w:rsidR="0030615F">
        <w:t xml:space="preserve">the cost of completing an application form </w:t>
      </w:r>
      <w:r w:rsidR="006212CD">
        <w:t>seeking T</w:t>
      </w:r>
      <w:r w:rsidR="0030615F">
        <w:t xml:space="preserve">ribunal </w:t>
      </w:r>
      <w:r w:rsidR="006212CD">
        <w:t>review</w:t>
      </w:r>
      <w:r w:rsidR="0030615F">
        <w:t>.</w:t>
      </w:r>
      <w:r w:rsidR="006212CD">
        <w:rPr>
          <w:rStyle w:val="FootnoteReference"/>
        </w:rPr>
        <w:footnoteReference w:id="37"/>
      </w:r>
      <w:r w:rsidR="0030615F">
        <w:t xml:space="preserve"> </w:t>
      </w:r>
    </w:p>
    <w:p w14:paraId="42DAC5E3" w14:textId="46011D0D" w:rsidR="00CC55ED" w:rsidRDefault="00276ABE" w:rsidP="003B3BF1">
      <w:pPr>
        <w:pStyle w:val="OutlineNumbered1"/>
        <w:numPr>
          <w:ilvl w:val="0"/>
          <w:numId w:val="0"/>
        </w:numPr>
        <w:tabs>
          <w:tab w:val="clear" w:pos="1240"/>
        </w:tabs>
      </w:pPr>
      <w:r w:rsidRPr="00276ABE">
        <w:rPr>
          <w:u w:val="single"/>
        </w:rPr>
        <w:t>Option 3</w:t>
      </w:r>
      <w:r>
        <w:t xml:space="preserve"> would shorten the timeframe for merits review of either </w:t>
      </w:r>
      <w:r w:rsidR="00C65960">
        <w:t>Minister</w:t>
      </w:r>
      <w:r>
        <w:t xml:space="preserve"> or ACCC decisions. </w:t>
      </w:r>
      <w:r w:rsidR="00B710E5">
        <w:t xml:space="preserve">As parties would still </w:t>
      </w:r>
      <w:r w:rsidR="00E31774">
        <w:t xml:space="preserve">need to complete the same forms </w:t>
      </w:r>
      <w:r w:rsidR="00B710E5">
        <w:t>as they would under the status quo</w:t>
      </w:r>
      <w:r w:rsidR="00AE17BC">
        <w:t>,</w:t>
      </w:r>
      <w:r w:rsidR="00B710E5">
        <w:t xml:space="preserve"> there would be no change to the regulatory cost relative to the status quo</w:t>
      </w:r>
      <w:r>
        <w:t>.</w:t>
      </w:r>
    </w:p>
    <w:p w14:paraId="43C16350" w14:textId="7EAC6FC1" w:rsidR="002B3CAF" w:rsidRDefault="00276ABE" w:rsidP="003B3BF1">
      <w:pPr>
        <w:pStyle w:val="OutlineNumbered1"/>
        <w:numPr>
          <w:ilvl w:val="0"/>
          <w:numId w:val="0"/>
        </w:numPr>
        <w:tabs>
          <w:tab w:val="clear" w:pos="1240"/>
        </w:tabs>
      </w:pPr>
      <w:r>
        <w:rPr>
          <w:u w:val="single"/>
        </w:rPr>
        <w:t>Options 4 and 5</w:t>
      </w:r>
      <w:r>
        <w:t xml:space="preserve"> </w:t>
      </w:r>
      <w:r w:rsidR="008B6AC0">
        <w:t>would limit applications for declaration or revocation of existing declarations to where</w:t>
      </w:r>
      <w:r w:rsidR="00F017B9">
        <w:t>, for example,</w:t>
      </w:r>
      <w:r w:rsidR="008B6AC0">
        <w:t xml:space="preserve"> there is a </w:t>
      </w:r>
      <w:r w:rsidR="00F017B9">
        <w:t xml:space="preserve">material </w:t>
      </w:r>
      <w:r w:rsidR="008B6AC0">
        <w:t>change in circumstances from a previous decision. In practice, this would not result in any change in compliance costs compared to the status quo</w:t>
      </w:r>
      <w:r w:rsidR="002B3CAF">
        <w:t>.</w:t>
      </w:r>
      <w:r w:rsidR="008B6AC0">
        <w:t xml:space="preserve"> </w:t>
      </w:r>
      <w:r w:rsidR="002B3CAF">
        <w:t xml:space="preserve">Applicants would meet this new compliance </w:t>
      </w:r>
      <w:r w:rsidR="002B3CAF">
        <w:lastRenderedPageBreak/>
        <w:t>obligation by simply adapting their written applications to highlight a ma</w:t>
      </w:r>
      <w:r w:rsidR="00583EF9">
        <w:t xml:space="preserve">terial change in circumstances, which would generally involve reframing existing material with regard to this new </w:t>
      </w:r>
      <w:r w:rsidR="00072809">
        <w:t xml:space="preserve">criteria. </w:t>
      </w:r>
      <w:r w:rsidR="001656E9">
        <w:t>It is not anticipated these options will result in a change in the number of applications to the NCC, rather, they will reduce the rate of unsuccessful applications</w:t>
      </w:r>
      <w:r w:rsidR="006212CD">
        <w:t xml:space="preserve"> (and delay some applications)</w:t>
      </w:r>
      <w:r w:rsidR="001656E9">
        <w:t xml:space="preserve">. </w:t>
      </w:r>
    </w:p>
    <w:p w14:paraId="5D1D3650" w14:textId="7E7F133F" w:rsidR="004519C7" w:rsidRPr="002F723D" w:rsidRDefault="00CC31AA" w:rsidP="003B3BF1">
      <w:pPr>
        <w:pStyle w:val="OutlineNumbered1"/>
        <w:numPr>
          <w:ilvl w:val="0"/>
          <w:numId w:val="0"/>
        </w:numPr>
        <w:tabs>
          <w:tab w:val="clear" w:pos="1240"/>
        </w:tabs>
      </w:pPr>
      <w:r w:rsidRPr="00CC31AA">
        <w:rPr>
          <w:u w:val="single"/>
        </w:rPr>
        <w:t>Option 6</w:t>
      </w:r>
      <w:r>
        <w:t xml:space="preserve"> would </w:t>
      </w:r>
      <w:r w:rsidR="004519C7">
        <w:t>p</w:t>
      </w:r>
      <w:r w:rsidR="004519C7" w:rsidRPr="002F723D">
        <w:t xml:space="preserve">rovide for arbitration </w:t>
      </w:r>
      <w:r w:rsidR="004519C7" w:rsidRPr="003B3BF1">
        <w:rPr>
          <w:i/>
        </w:rPr>
        <w:t>proce</w:t>
      </w:r>
      <w:r w:rsidR="00522622">
        <w:rPr>
          <w:i/>
        </w:rPr>
        <w:t>sses</w:t>
      </w:r>
      <w:r w:rsidR="004519C7" w:rsidRPr="002F723D">
        <w:t xml:space="preserve"> </w:t>
      </w:r>
      <w:r w:rsidR="00522622">
        <w:t xml:space="preserve">that are </w:t>
      </w:r>
      <w:r w:rsidR="004519C7" w:rsidRPr="002F723D">
        <w:t>under</w:t>
      </w:r>
      <w:r w:rsidR="00522622">
        <w:t>way</w:t>
      </w:r>
      <w:r w:rsidR="004519C7" w:rsidRPr="002F723D">
        <w:t xml:space="preserve"> to terminate if the declaration of the relevant infrastructure service is revoked.</w:t>
      </w:r>
      <w:r w:rsidR="004519C7">
        <w:t xml:space="preserve"> This option would </w:t>
      </w:r>
      <w:r w:rsidR="00122D35">
        <w:t>result in regulatory savings to the parties to such arbitration proce</w:t>
      </w:r>
      <w:r w:rsidR="00E425C8">
        <w:t>sses</w:t>
      </w:r>
      <w:r w:rsidR="00122D35">
        <w:t xml:space="preserve">, as they would no longer be required to comply with </w:t>
      </w:r>
      <w:r w:rsidR="005E04D0">
        <w:t>any obligations arising from those proce</w:t>
      </w:r>
      <w:r w:rsidR="00E425C8">
        <w:t>sses</w:t>
      </w:r>
      <w:r w:rsidR="005E04D0">
        <w:t xml:space="preserve"> (</w:t>
      </w:r>
      <w:r w:rsidR="005E04D0" w:rsidRPr="003B3BF1">
        <w:t>such as</w:t>
      </w:r>
      <w:r w:rsidR="00072809">
        <w:t xml:space="preserve"> responding to directions by the Commission, developing a building block cost model or attending hearings</w:t>
      </w:r>
      <w:r w:rsidR="005E04D0" w:rsidRPr="003B3BF1">
        <w:t>)</w:t>
      </w:r>
      <w:r w:rsidR="005E04D0">
        <w:t xml:space="preserve">. </w:t>
      </w:r>
      <w:r w:rsidR="0046051C">
        <w:t>Treasury</w:t>
      </w:r>
      <w:r w:rsidR="00BC1F31">
        <w:t xml:space="preserve"> understands</w:t>
      </w:r>
      <w:r w:rsidR="0046051C">
        <w:t xml:space="preserve"> that arbitration proceedings imposed by regulation create a compliance obligation under the regulatory burden measurement framework. While </w:t>
      </w:r>
      <w:r w:rsidR="001E1451">
        <w:t xml:space="preserve">legal fees are a component of this cost, as they are for court and tribunal processes, Treasury </w:t>
      </w:r>
      <w:r w:rsidR="00BC1F31">
        <w:t>understands</w:t>
      </w:r>
      <w:r w:rsidR="001E1451">
        <w:t xml:space="preserve"> that arbitrations are not court or tribunal processes for the purpose of the regulatory burden measurement framework.</w:t>
      </w:r>
    </w:p>
    <w:p w14:paraId="1D8F4802" w14:textId="04BCF179" w:rsidR="004519C7" w:rsidRDefault="004519C7">
      <w:r w:rsidRPr="003B3BF1">
        <w:rPr>
          <w:u w:val="single"/>
        </w:rPr>
        <w:t>Option 7</w:t>
      </w:r>
      <w:r w:rsidR="005E04D0">
        <w:t xml:space="preserve"> would</w:t>
      </w:r>
      <w:r w:rsidRPr="002F723D">
        <w:t xml:space="preserve"> </w:t>
      </w:r>
      <w:r w:rsidR="005E04D0">
        <w:t>p</w:t>
      </w:r>
      <w:r w:rsidRPr="002F723D">
        <w:t xml:space="preserve">rovide for arbitration </w:t>
      </w:r>
      <w:r w:rsidRPr="003B3BF1">
        <w:rPr>
          <w:i/>
        </w:rPr>
        <w:t>determinations</w:t>
      </w:r>
      <w:r w:rsidRPr="002F723D">
        <w:t xml:space="preserve"> under the NAR to terminate </w:t>
      </w:r>
      <w:r w:rsidR="005E04D0">
        <w:t>under certain conditions.</w:t>
      </w:r>
      <w:r w:rsidR="006A2DC6">
        <w:t xml:space="preserve"> The</w:t>
      </w:r>
      <w:r w:rsidR="00392F26">
        <w:t xml:space="preserve"> practical consequence of</w:t>
      </w:r>
      <w:r w:rsidR="006A2DC6">
        <w:t xml:space="preserve"> termination of arbitration determinations would </w:t>
      </w:r>
      <w:r w:rsidR="00392F26">
        <w:t xml:space="preserve">be that parties would need to negotiate new terms and conditions of access. However, as this would take place outside the NAR or any regulatory regime, there would not be any compliance costs </w:t>
      </w:r>
      <w:r w:rsidR="006A2DC6">
        <w:t>for access seekers or asse</w:t>
      </w:r>
      <w:r w:rsidR="00554E6D">
        <w:t>t owners</w:t>
      </w:r>
      <w:r w:rsidR="00392F26">
        <w:t xml:space="preserve"> as a result of the change.</w:t>
      </w:r>
    </w:p>
    <w:p w14:paraId="4459C00A" w14:textId="77777777" w:rsidR="00E84470" w:rsidRDefault="00E84470">
      <w:pPr>
        <w:rPr>
          <w:b/>
        </w:rPr>
      </w:pPr>
    </w:p>
    <w:p w14:paraId="3C946D56" w14:textId="79020398" w:rsidR="00460F4A" w:rsidRPr="00460F4A" w:rsidRDefault="00392F26" w:rsidP="006A2DC6">
      <w:pPr>
        <w:rPr>
          <w:bCs/>
        </w:rPr>
      </w:pPr>
      <w:r>
        <w:rPr>
          <w:b/>
        </w:rPr>
        <w:t>Average annual r</w:t>
      </w:r>
      <w:r w:rsidR="000A451E">
        <w:rPr>
          <w:b/>
        </w:rPr>
        <w:t>egulatory costings</w:t>
      </w:r>
    </w:p>
    <w:tbl>
      <w:tblPr>
        <w:tblStyle w:val="LightGrid-Accent2"/>
        <w:tblW w:w="0" w:type="auto"/>
        <w:tblInd w:w="0" w:type="dxa"/>
        <w:tblLook w:val="04A0" w:firstRow="1" w:lastRow="0" w:firstColumn="1" w:lastColumn="0" w:noHBand="0" w:noVBand="1"/>
      </w:tblPr>
      <w:tblGrid>
        <w:gridCol w:w="1266"/>
        <w:gridCol w:w="1466"/>
        <w:gridCol w:w="3118"/>
        <w:gridCol w:w="1761"/>
      </w:tblGrid>
      <w:tr w:rsidR="000A451E" w14:paraId="4C7727E5" w14:textId="77777777" w:rsidTr="003B3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2F331E55" w14:textId="77777777" w:rsidR="000A451E" w:rsidRPr="00575EC9" w:rsidRDefault="000A451E" w:rsidP="006A2DC6">
            <w:pPr>
              <w:rPr>
                <w:rFonts w:asciiTheme="minorHAnsi" w:hAnsiTheme="minorHAnsi" w:cstheme="minorHAnsi"/>
                <w:b w:val="0"/>
              </w:rPr>
            </w:pPr>
          </w:p>
        </w:tc>
        <w:tc>
          <w:tcPr>
            <w:tcW w:w="1418" w:type="dxa"/>
          </w:tcPr>
          <w:p w14:paraId="571F69C3" w14:textId="38B1D4E1" w:rsidR="000A451E" w:rsidRPr="00575EC9" w:rsidRDefault="000A451E" w:rsidP="006A2D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77EB0">
              <w:rPr>
                <w:rFonts w:cstheme="minorHAnsi"/>
              </w:rPr>
              <w:t>Individuals</w:t>
            </w:r>
          </w:p>
        </w:tc>
        <w:tc>
          <w:tcPr>
            <w:tcW w:w="3118" w:type="dxa"/>
          </w:tcPr>
          <w:p w14:paraId="6B29313C" w14:textId="5A92562B" w:rsidR="000A451E" w:rsidRPr="00575EC9" w:rsidRDefault="000A451E" w:rsidP="006A2D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77EB0">
              <w:rPr>
                <w:rFonts w:cstheme="minorHAnsi"/>
              </w:rPr>
              <w:t>Businesses</w:t>
            </w:r>
          </w:p>
        </w:tc>
        <w:tc>
          <w:tcPr>
            <w:tcW w:w="0" w:type="dxa"/>
          </w:tcPr>
          <w:p w14:paraId="2652AB02" w14:textId="56417501" w:rsidR="000A451E" w:rsidRPr="00575EC9" w:rsidRDefault="000A451E" w:rsidP="006A2D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77EB0">
              <w:rPr>
                <w:rFonts w:cstheme="minorHAnsi"/>
              </w:rPr>
              <w:t>Community Organisations</w:t>
            </w:r>
          </w:p>
        </w:tc>
      </w:tr>
      <w:tr w:rsidR="000A451E" w14:paraId="5A3C594B" w14:textId="77777777" w:rsidTr="003B3BF1">
        <w:tc>
          <w:tcPr>
            <w:cnfStyle w:val="001000000000" w:firstRow="0" w:lastRow="0" w:firstColumn="1" w:lastColumn="0" w:oddVBand="0" w:evenVBand="0" w:oddHBand="0" w:evenHBand="0" w:firstRowFirstColumn="0" w:firstRowLastColumn="0" w:lastRowFirstColumn="0" w:lastRowLastColumn="0"/>
            <w:tcW w:w="1266" w:type="dxa"/>
          </w:tcPr>
          <w:p w14:paraId="12425090" w14:textId="5CE95EFD" w:rsidR="000A451E" w:rsidRPr="00575EC9" w:rsidRDefault="000A451E" w:rsidP="006A2DC6">
            <w:pPr>
              <w:rPr>
                <w:rFonts w:asciiTheme="minorHAnsi" w:hAnsiTheme="minorHAnsi" w:cstheme="minorHAnsi"/>
              </w:rPr>
            </w:pPr>
            <w:r w:rsidRPr="00077EB0">
              <w:rPr>
                <w:rFonts w:cstheme="minorHAnsi"/>
              </w:rPr>
              <w:t>Option 1</w:t>
            </w:r>
          </w:p>
        </w:tc>
        <w:tc>
          <w:tcPr>
            <w:tcW w:w="1418" w:type="dxa"/>
          </w:tcPr>
          <w:p w14:paraId="15196C06" w14:textId="364CC905"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3118" w:type="dxa"/>
          </w:tcPr>
          <w:p w14:paraId="0B51CF24" w14:textId="54E7155E" w:rsidR="000A451E" w:rsidRDefault="007522A0" w:rsidP="006A2DC6">
            <w:pPr>
              <w:cnfStyle w:val="000000000000" w:firstRow="0" w:lastRow="0" w:firstColumn="0" w:lastColumn="0" w:oddVBand="0" w:evenVBand="0" w:oddHBand="0" w:evenHBand="0" w:firstRowFirstColumn="0" w:firstRowLastColumn="0" w:lastRowFirstColumn="0" w:lastRowLastColumn="0"/>
              <w:rPr>
                <w:b/>
              </w:rPr>
            </w:pPr>
            <w:r>
              <w:rPr>
                <w:b/>
              </w:rPr>
              <w:t>-$6,030.08</w:t>
            </w:r>
          </w:p>
        </w:tc>
        <w:tc>
          <w:tcPr>
            <w:tcW w:w="0" w:type="dxa"/>
          </w:tcPr>
          <w:p w14:paraId="5C844AF4" w14:textId="5F712168"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r>
      <w:tr w:rsidR="000A451E" w14:paraId="4241C7E1" w14:textId="77777777" w:rsidTr="003B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right w:val="none" w:sz="0" w:space="0" w:color="auto"/>
            </w:tcBorders>
          </w:tcPr>
          <w:p w14:paraId="583A663D" w14:textId="25FF9F07" w:rsidR="000A451E" w:rsidRPr="00575EC9" w:rsidRDefault="000A451E" w:rsidP="006A2DC6">
            <w:pPr>
              <w:rPr>
                <w:rFonts w:asciiTheme="minorHAnsi" w:hAnsiTheme="minorHAnsi" w:cstheme="minorHAnsi"/>
              </w:rPr>
            </w:pPr>
            <w:r w:rsidRPr="00077EB0">
              <w:rPr>
                <w:rFonts w:cstheme="minorHAnsi"/>
              </w:rPr>
              <w:t>Option 2</w:t>
            </w:r>
          </w:p>
        </w:tc>
        <w:tc>
          <w:tcPr>
            <w:tcW w:w="1418" w:type="dxa"/>
            <w:tcBorders>
              <w:top w:val="none" w:sz="0" w:space="0" w:color="auto"/>
              <w:left w:val="none" w:sz="0" w:space="0" w:color="auto"/>
              <w:bottom w:val="none" w:sz="0" w:space="0" w:color="auto"/>
              <w:right w:val="none" w:sz="0" w:space="0" w:color="auto"/>
            </w:tcBorders>
          </w:tcPr>
          <w:p w14:paraId="537123C0" w14:textId="0304D308"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c>
          <w:tcPr>
            <w:tcW w:w="3118" w:type="dxa"/>
            <w:tcBorders>
              <w:top w:val="none" w:sz="0" w:space="0" w:color="auto"/>
              <w:left w:val="none" w:sz="0" w:space="0" w:color="auto"/>
              <w:bottom w:val="none" w:sz="0" w:space="0" w:color="auto"/>
              <w:right w:val="none" w:sz="0" w:space="0" w:color="auto"/>
            </w:tcBorders>
          </w:tcPr>
          <w:p w14:paraId="367564AD" w14:textId="402B99AE" w:rsidR="000A451E" w:rsidRDefault="007522A0" w:rsidP="006A2DC6">
            <w:pPr>
              <w:cnfStyle w:val="000000010000" w:firstRow="0" w:lastRow="0" w:firstColumn="0" w:lastColumn="0" w:oddVBand="0" w:evenVBand="0" w:oddHBand="0" w:evenHBand="1" w:firstRowFirstColumn="0" w:firstRowLastColumn="0" w:lastRowFirstColumn="0" w:lastRowLastColumn="0"/>
              <w:rPr>
                <w:b/>
              </w:rPr>
            </w:pPr>
            <w:r>
              <w:rPr>
                <w:b/>
              </w:rPr>
              <w:t>-$1,507.52</w:t>
            </w:r>
          </w:p>
        </w:tc>
        <w:tc>
          <w:tcPr>
            <w:tcW w:w="0" w:type="dxa"/>
            <w:tcBorders>
              <w:top w:val="none" w:sz="0" w:space="0" w:color="auto"/>
              <w:left w:val="none" w:sz="0" w:space="0" w:color="auto"/>
              <w:bottom w:val="none" w:sz="0" w:space="0" w:color="auto"/>
              <w:right w:val="none" w:sz="0" w:space="0" w:color="auto"/>
            </w:tcBorders>
          </w:tcPr>
          <w:p w14:paraId="50A41837" w14:textId="61F96DA6"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r>
      <w:tr w:rsidR="000A451E" w14:paraId="0F95281A" w14:textId="77777777" w:rsidTr="003B3BF1">
        <w:tc>
          <w:tcPr>
            <w:cnfStyle w:val="001000000000" w:firstRow="0" w:lastRow="0" w:firstColumn="1" w:lastColumn="0" w:oddVBand="0" w:evenVBand="0" w:oddHBand="0" w:evenHBand="0" w:firstRowFirstColumn="0" w:firstRowLastColumn="0" w:lastRowFirstColumn="0" w:lastRowLastColumn="0"/>
            <w:tcW w:w="1266" w:type="dxa"/>
          </w:tcPr>
          <w:p w14:paraId="709DCAAB" w14:textId="3396F928" w:rsidR="000A451E" w:rsidRPr="00575EC9" w:rsidRDefault="000A451E" w:rsidP="006A2DC6">
            <w:pPr>
              <w:rPr>
                <w:rFonts w:asciiTheme="minorHAnsi" w:hAnsiTheme="minorHAnsi" w:cstheme="minorHAnsi"/>
                <w:b w:val="0"/>
              </w:rPr>
            </w:pPr>
            <w:r w:rsidRPr="00077EB0">
              <w:rPr>
                <w:rFonts w:cstheme="minorHAnsi"/>
              </w:rPr>
              <w:t>Option 3</w:t>
            </w:r>
          </w:p>
        </w:tc>
        <w:tc>
          <w:tcPr>
            <w:tcW w:w="1418" w:type="dxa"/>
          </w:tcPr>
          <w:p w14:paraId="7074EA58" w14:textId="4276122C"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3118" w:type="dxa"/>
          </w:tcPr>
          <w:p w14:paraId="504F2548" w14:textId="1DCC8AA2"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0" w:type="dxa"/>
          </w:tcPr>
          <w:p w14:paraId="075629FB" w14:textId="56B91F2A"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r>
      <w:tr w:rsidR="000A451E" w14:paraId="0F777066" w14:textId="77777777" w:rsidTr="003B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right w:val="none" w:sz="0" w:space="0" w:color="auto"/>
            </w:tcBorders>
          </w:tcPr>
          <w:p w14:paraId="68301D79" w14:textId="07E8CBAA" w:rsidR="000A451E" w:rsidRPr="00575EC9" w:rsidRDefault="000A451E" w:rsidP="006A2DC6">
            <w:pPr>
              <w:rPr>
                <w:rFonts w:asciiTheme="minorHAnsi" w:hAnsiTheme="minorHAnsi" w:cstheme="minorHAnsi"/>
                <w:b w:val="0"/>
              </w:rPr>
            </w:pPr>
            <w:r w:rsidRPr="00077EB0">
              <w:rPr>
                <w:rFonts w:cstheme="minorHAnsi"/>
              </w:rPr>
              <w:t>Option 4</w:t>
            </w:r>
          </w:p>
        </w:tc>
        <w:tc>
          <w:tcPr>
            <w:tcW w:w="1418" w:type="dxa"/>
            <w:tcBorders>
              <w:top w:val="none" w:sz="0" w:space="0" w:color="auto"/>
              <w:left w:val="none" w:sz="0" w:space="0" w:color="auto"/>
              <w:bottom w:val="none" w:sz="0" w:space="0" w:color="auto"/>
              <w:right w:val="none" w:sz="0" w:space="0" w:color="auto"/>
            </w:tcBorders>
          </w:tcPr>
          <w:p w14:paraId="18E7955C" w14:textId="2C6EDC60"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c>
          <w:tcPr>
            <w:tcW w:w="3118" w:type="dxa"/>
            <w:tcBorders>
              <w:top w:val="none" w:sz="0" w:space="0" w:color="auto"/>
              <w:left w:val="none" w:sz="0" w:space="0" w:color="auto"/>
              <w:bottom w:val="none" w:sz="0" w:space="0" w:color="auto"/>
              <w:right w:val="none" w:sz="0" w:space="0" w:color="auto"/>
            </w:tcBorders>
          </w:tcPr>
          <w:p w14:paraId="07599B34" w14:textId="5E660669"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c>
          <w:tcPr>
            <w:tcW w:w="0" w:type="dxa"/>
            <w:tcBorders>
              <w:top w:val="none" w:sz="0" w:space="0" w:color="auto"/>
              <w:left w:val="none" w:sz="0" w:space="0" w:color="auto"/>
              <w:bottom w:val="none" w:sz="0" w:space="0" w:color="auto"/>
              <w:right w:val="none" w:sz="0" w:space="0" w:color="auto"/>
            </w:tcBorders>
          </w:tcPr>
          <w:p w14:paraId="13A3D6E3" w14:textId="1E665EC5"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r>
      <w:tr w:rsidR="000A451E" w14:paraId="4516424E" w14:textId="77777777" w:rsidTr="003B3BF1">
        <w:trPr>
          <w:trHeight w:val="91"/>
        </w:trPr>
        <w:tc>
          <w:tcPr>
            <w:cnfStyle w:val="001000000000" w:firstRow="0" w:lastRow="0" w:firstColumn="1" w:lastColumn="0" w:oddVBand="0" w:evenVBand="0" w:oddHBand="0" w:evenHBand="0" w:firstRowFirstColumn="0" w:firstRowLastColumn="0" w:lastRowFirstColumn="0" w:lastRowLastColumn="0"/>
            <w:tcW w:w="1266" w:type="dxa"/>
          </w:tcPr>
          <w:p w14:paraId="741FB9CA" w14:textId="73AA7BCC" w:rsidR="000A451E" w:rsidRPr="00575EC9" w:rsidRDefault="000A451E" w:rsidP="006A2DC6">
            <w:pPr>
              <w:rPr>
                <w:rFonts w:asciiTheme="minorHAnsi" w:hAnsiTheme="minorHAnsi" w:cstheme="minorHAnsi"/>
                <w:b w:val="0"/>
              </w:rPr>
            </w:pPr>
            <w:r w:rsidRPr="00077EB0">
              <w:rPr>
                <w:rFonts w:cstheme="minorHAnsi"/>
              </w:rPr>
              <w:t>Option 5</w:t>
            </w:r>
          </w:p>
        </w:tc>
        <w:tc>
          <w:tcPr>
            <w:tcW w:w="1418" w:type="dxa"/>
          </w:tcPr>
          <w:p w14:paraId="00277831" w14:textId="5652849C"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3118" w:type="dxa"/>
          </w:tcPr>
          <w:p w14:paraId="053AA262" w14:textId="06A1A393"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0" w:type="dxa"/>
          </w:tcPr>
          <w:p w14:paraId="35742E05" w14:textId="47294515"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r>
      <w:tr w:rsidR="000A451E" w14:paraId="035E0A2A" w14:textId="77777777" w:rsidTr="003B3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right w:val="none" w:sz="0" w:space="0" w:color="auto"/>
            </w:tcBorders>
          </w:tcPr>
          <w:p w14:paraId="01FA7EC9" w14:textId="40D532A2" w:rsidR="000A451E" w:rsidRPr="00575EC9" w:rsidRDefault="000A451E" w:rsidP="006A2DC6">
            <w:pPr>
              <w:rPr>
                <w:rFonts w:asciiTheme="minorHAnsi" w:hAnsiTheme="minorHAnsi" w:cstheme="minorHAnsi"/>
                <w:b w:val="0"/>
                <w:highlight w:val="yellow"/>
              </w:rPr>
            </w:pPr>
            <w:r w:rsidRPr="00077EB0">
              <w:rPr>
                <w:rFonts w:cstheme="minorHAnsi"/>
              </w:rPr>
              <w:t>Option 6</w:t>
            </w:r>
          </w:p>
        </w:tc>
        <w:tc>
          <w:tcPr>
            <w:tcW w:w="1418" w:type="dxa"/>
            <w:tcBorders>
              <w:top w:val="none" w:sz="0" w:space="0" w:color="auto"/>
              <w:left w:val="none" w:sz="0" w:space="0" w:color="auto"/>
              <w:bottom w:val="none" w:sz="0" w:space="0" w:color="auto"/>
              <w:right w:val="none" w:sz="0" w:space="0" w:color="auto"/>
            </w:tcBorders>
          </w:tcPr>
          <w:p w14:paraId="01DE8D56" w14:textId="1FCACF2C"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c>
          <w:tcPr>
            <w:tcW w:w="3118" w:type="dxa"/>
            <w:tcBorders>
              <w:top w:val="none" w:sz="0" w:space="0" w:color="auto"/>
              <w:left w:val="none" w:sz="0" w:space="0" w:color="auto"/>
              <w:bottom w:val="none" w:sz="0" w:space="0" w:color="auto"/>
              <w:right w:val="none" w:sz="0" w:space="0" w:color="auto"/>
            </w:tcBorders>
          </w:tcPr>
          <w:p w14:paraId="51E0C514" w14:textId="3B36E384" w:rsidR="000A451E" w:rsidRDefault="00CC0ACF" w:rsidP="000E742F">
            <w:pPr>
              <w:cnfStyle w:val="000000010000" w:firstRow="0" w:lastRow="0" w:firstColumn="0" w:lastColumn="0" w:oddVBand="0" w:evenVBand="0" w:oddHBand="0" w:evenHBand="1" w:firstRowFirstColumn="0" w:firstRowLastColumn="0" w:lastRowFirstColumn="0" w:lastRowLastColumn="0"/>
              <w:rPr>
                <w:b/>
              </w:rPr>
            </w:pPr>
            <w:r>
              <w:rPr>
                <w:b/>
              </w:rPr>
              <w:t>-$</w:t>
            </w:r>
            <w:r w:rsidR="001F4DB2">
              <w:rPr>
                <w:b/>
              </w:rPr>
              <w:t>91</w:t>
            </w:r>
            <w:r w:rsidR="001B73D6">
              <w:rPr>
                <w:b/>
              </w:rPr>
              <w:t>,</w:t>
            </w:r>
            <w:r w:rsidR="009D7FCB">
              <w:rPr>
                <w:b/>
              </w:rPr>
              <w:t>925</w:t>
            </w:r>
            <w:r w:rsidR="001B73D6">
              <w:rPr>
                <w:b/>
              </w:rPr>
              <w:t>.</w:t>
            </w:r>
            <w:r w:rsidR="009D7FCB">
              <w:rPr>
                <w:b/>
              </w:rPr>
              <w:t>28</w:t>
            </w:r>
            <w:r w:rsidR="001F4DB2">
              <w:rPr>
                <w:b/>
              </w:rPr>
              <w:t xml:space="preserve"> to </w:t>
            </w:r>
            <w:r w:rsidR="001B73D6">
              <w:rPr>
                <w:b/>
              </w:rPr>
              <w:t>-</w:t>
            </w:r>
            <w:r w:rsidR="001F4DB2">
              <w:rPr>
                <w:b/>
              </w:rPr>
              <w:t>$65</w:t>
            </w:r>
            <w:r w:rsidR="009D7FCB">
              <w:rPr>
                <w:b/>
              </w:rPr>
              <w:t>9</w:t>
            </w:r>
            <w:r w:rsidR="001B73D6">
              <w:rPr>
                <w:b/>
              </w:rPr>
              <w:t>,</w:t>
            </w:r>
            <w:r w:rsidR="009D7FCB">
              <w:rPr>
                <w:b/>
              </w:rPr>
              <w:t>295</w:t>
            </w:r>
            <w:r w:rsidR="001B73D6">
              <w:rPr>
                <w:b/>
              </w:rPr>
              <w:t>.</w:t>
            </w:r>
            <w:r w:rsidR="009D7FCB">
              <w:rPr>
                <w:b/>
              </w:rPr>
              <w:t>45</w:t>
            </w:r>
            <w:r w:rsidR="004A7CEC" w:rsidDel="004A7CEC">
              <w:rPr>
                <w:b/>
              </w:rPr>
              <w:t xml:space="preserve"> </w:t>
            </w:r>
          </w:p>
        </w:tc>
        <w:tc>
          <w:tcPr>
            <w:tcW w:w="0" w:type="dxa"/>
            <w:tcBorders>
              <w:top w:val="none" w:sz="0" w:space="0" w:color="auto"/>
              <w:left w:val="none" w:sz="0" w:space="0" w:color="auto"/>
              <w:bottom w:val="none" w:sz="0" w:space="0" w:color="auto"/>
              <w:right w:val="none" w:sz="0" w:space="0" w:color="auto"/>
            </w:tcBorders>
          </w:tcPr>
          <w:p w14:paraId="36F580E1" w14:textId="70DF2033" w:rsidR="000A451E" w:rsidRDefault="00CC0ACF" w:rsidP="006A2DC6">
            <w:pPr>
              <w:cnfStyle w:val="000000010000" w:firstRow="0" w:lastRow="0" w:firstColumn="0" w:lastColumn="0" w:oddVBand="0" w:evenVBand="0" w:oddHBand="0" w:evenHBand="1" w:firstRowFirstColumn="0" w:firstRowLastColumn="0" w:lastRowFirstColumn="0" w:lastRowLastColumn="0"/>
              <w:rPr>
                <w:b/>
              </w:rPr>
            </w:pPr>
            <w:r>
              <w:rPr>
                <w:b/>
              </w:rPr>
              <w:t>Nil</w:t>
            </w:r>
          </w:p>
        </w:tc>
      </w:tr>
      <w:tr w:rsidR="000A451E" w14:paraId="17670B49" w14:textId="77777777" w:rsidTr="003B3BF1">
        <w:tc>
          <w:tcPr>
            <w:cnfStyle w:val="001000000000" w:firstRow="0" w:lastRow="0" w:firstColumn="1" w:lastColumn="0" w:oddVBand="0" w:evenVBand="0" w:oddHBand="0" w:evenHBand="0" w:firstRowFirstColumn="0" w:firstRowLastColumn="0" w:lastRowFirstColumn="0" w:lastRowLastColumn="0"/>
            <w:tcW w:w="1266" w:type="dxa"/>
          </w:tcPr>
          <w:p w14:paraId="49B8993E" w14:textId="232B8F22" w:rsidR="000A451E" w:rsidRPr="00575EC9" w:rsidRDefault="000A451E" w:rsidP="006A2DC6">
            <w:pPr>
              <w:rPr>
                <w:rFonts w:asciiTheme="minorHAnsi" w:hAnsiTheme="minorHAnsi" w:cstheme="minorHAnsi"/>
                <w:b w:val="0"/>
              </w:rPr>
            </w:pPr>
            <w:r w:rsidRPr="00077EB0">
              <w:rPr>
                <w:rFonts w:cstheme="minorHAnsi"/>
              </w:rPr>
              <w:t>Option 7</w:t>
            </w:r>
          </w:p>
        </w:tc>
        <w:tc>
          <w:tcPr>
            <w:tcW w:w="1418" w:type="dxa"/>
          </w:tcPr>
          <w:p w14:paraId="49DBAAE7" w14:textId="6FA7CA87" w:rsidR="000A451E" w:rsidRDefault="00CC0ACF"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3118" w:type="dxa"/>
          </w:tcPr>
          <w:p w14:paraId="0B382F6C" w14:textId="70F7B4B6" w:rsidR="000A451E" w:rsidRDefault="006E13E6"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c>
          <w:tcPr>
            <w:tcW w:w="0" w:type="dxa"/>
          </w:tcPr>
          <w:p w14:paraId="057FEB00" w14:textId="4FD570AD" w:rsidR="000A451E" w:rsidRDefault="006E13E6" w:rsidP="006A2DC6">
            <w:pPr>
              <w:cnfStyle w:val="000000000000" w:firstRow="0" w:lastRow="0" w:firstColumn="0" w:lastColumn="0" w:oddVBand="0" w:evenVBand="0" w:oddHBand="0" w:evenHBand="0" w:firstRowFirstColumn="0" w:firstRowLastColumn="0" w:lastRowFirstColumn="0" w:lastRowLastColumn="0"/>
              <w:rPr>
                <w:b/>
              </w:rPr>
            </w:pPr>
            <w:r>
              <w:rPr>
                <w:b/>
              </w:rPr>
              <w:t>Nil</w:t>
            </w:r>
          </w:p>
        </w:tc>
      </w:tr>
    </w:tbl>
    <w:p w14:paraId="4B977D9E" w14:textId="77777777" w:rsidR="000A451E" w:rsidRDefault="000A451E" w:rsidP="006A2DC6"/>
    <w:p w14:paraId="262E4DF2" w14:textId="77777777" w:rsidR="008A52BC" w:rsidRDefault="004A7CEC">
      <w:r>
        <w:t>Option 6 is presented as a range</w:t>
      </w:r>
      <w:r w:rsidR="0077790F">
        <w:t>. This reflects that</w:t>
      </w:r>
      <w:r w:rsidR="00892742">
        <w:t xml:space="preserve"> </w:t>
      </w:r>
      <w:r w:rsidR="0077790F">
        <w:t xml:space="preserve">revocation could occur at different points in an ongoing </w:t>
      </w:r>
      <w:r>
        <w:t xml:space="preserve">arbitration </w:t>
      </w:r>
      <w:r w:rsidR="00D85CD5">
        <w:t>process</w:t>
      </w:r>
      <w:r w:rsidR="0077790F">
        <w:t xml:space="preserve">. </w:t>
      </w:r>
      <w:r w:rsidR="006066F9">
        <w:t>The higher regulatory saving reflects where revocation occurs, and proceedings therefore terminate, early in the arbitration proceedings</w:t>
      </w:r>
      <w:r w:rsidR="0077790F">
        <w:t xml:space="preserve">. </w:t>
      </w:r>
      <w:r w:rsidR="006066F9">
        <w:t>The lower regulatory saving reflects where revocation occ</w:t>
      </w:r>
      <w:r w:rsidR="0077790F">
        <w:t xml:space="preserve">urs later in the </w:t>
      </w:r>
      <w:r w:rsidR="006066F9">
        <w:t>arbitration proceedings</w:t>
      </w:r>
      <w:r w:rsidR="0077790F">
        <w:t>.</w:t>
      </w:r>
      <w:r w:rsidR="00D85CD5">
        <w:t xml:space="preserve"> </w:t>
      </w:r>
    </w:p>
    <w:p w14:paraId="764FBA22" w14:textId="63B37C94" w:rsidR="00091272" w:rsidRDefault="00091272">
      <w:r>
        <w:t>The assumptions underpinning th</w:t>
      </w:r>
      <w:r w:rsidR="008A52BC">
        <w:t>ese</w:t>
      </w:r>
      <w:r>
        <w:t xml:space="preserve"> estimate</w:t>
      </w:r>
      <w:r w:rsidR="008A52BC">
        <w:t>s</w:t>
      </w:r>
      <w:r>
        <w:t xml:space="preserve"> are set out in </w:t>
      </w:r>
      <w:r w:rsidRPr="00091272">
        <w:rPr>
          <w:u w:val="single"/>
        </w:rPr>
        <w:t>Appendix C</w:t>
      </w:r>
      <w:r>
        <w:t>.</w:t>
      </w:r>
    </w:p>
    <w:p w14:paraId="01DE7C69" w14:textId="7B4076E3" w:rsidR="00F0265D" w:rsidRDefault="00F0265D" w:rsidP="009C3188">
      <w:pPr>
        <w:pStyle w:val="Dash"/>
      </w:pPr>
      <w:r>
        <w:br w:type="page"/>
      </w:r>
    </w:p>
    <w:p w14:paraId="28B54545" w14:textId="711B1B97" w:rsidR="00241C39" w:rsidRPr="00A30CCC" w:rsidRDefault="00B06A42" w:rsidP="00241C39">
      <w:pPr>
        <w:pStyle w:val="Heading1"/>
        <w:rPr>
          <w:rFonts w:asciiTheme="minorHAnsi" w:hAnsiTheme="minorHAnsi"/>
        </w:rPr>
      </w:pPr>
      <w:bookmarkStart w:id="103" w:name="_Toc48836949"/>
      <w:bookmarkStart w:id="104" w:name="_Toc57040704"/>
      <w:bookmarkStart w:id="105" w:name="_Toc57127246"/>
      <w:bookmarkStart w:id="106" w:name="_Toc57128680"/>
      <w:bookmarkStart w:id="107" w:name="_Toc57148608"/>
      <w:bookmarkStart w:id="108" w:name="_Toc57149903"/>
      <w:bookmarkStart w:id="109" w:name="_Toc71270970"/>
      <w:bookmarkStart w:id="110" w:name="_Toc71282575"/>
      <w:bookmarkStart w:id="111" w:name="_Toc71282956"/>
      <w:bookmarkStart w:id="112" w:name="_Toc71294361"/>
      <w:bookmarkStart w:id="113" w:name="_Toc71299663"/>
      <w:bookmarkStart w:id="114" w:name="_Toc71301617"/>
      <w:bookmarkStart w:id="115" w:name="_Toc71310090"/>
      <w:bookmarkStart w:id="116" w:name="_Toc71317847"/>
      <w:r>
        <w:rPr>
          <w:rFonts w:asciiTheme="minorHAnsi" w:hAnsiTheme="minorHAnsi"/>
        </w:rPr>
        <w:lastRenderedPageBreak/>
        <w:t>6</w:t>
      </w:r>
      <w:r w:rsidR="00241C39" w:rsidRPr="00A30CCC">
        <w:rPr>
          <w:rFonts w:asciiTheme="minorHAnsi" w:hAnsiTheme="minorHAnsi"/>
        </w:rPr>
        <w:t>. Consultation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241C39" w:rsidRPr="00A30CCC">
        <w:rPr>
          <w:rFonts w:asciiTheme="minorHAnsi" w:hAnsiTheme="minorHAnsi"/>
        </w:rPr>
        <w:t xml:space="preserve"> </w:t>
      </w:r>
      <w:bookmarkEnd w:id="102"/>
    </w:p>
    <w:p w14:paraId="292CCFAC" w14:textId="1D73B055" w:rsidR="00116D88" w:rsidRPr="00065481" w:rsidRDefault="00F026D6" w:rsidP="00B4536A">
      <w:r w:rsidRPr="00065481">
        <w:t xml:space="preserve">On 16 February 2021, the Treasurer </w:t>
      </w:r>
      <w:r w:rsidR="00F523C5">
        <w:t xml:space="preserve">announced that Treasury would undertake </w:t>
      </w:r>
      <w:r w:rsidR="006C43E1" w:rsidRPr="00065481">
        <w:t xml:space="preserve">an examination of </w:t>
      </w:r>
      <w:r w:rsidR="00402E0E">
        <w:t xml:space="preserve">whether the length of time </w:t>
      </w:r>
      <w:r w:rsidR="00116D88" w:rsidRPr="00065481">
        <w:t xml:space="preserve">decision-making processes under the NAR </w:t>
      </w:r>
      <w:r w:rsidR="00E65EC1">
        <w:t xml:space="preserve">can take </w:t>
      </w:r>
      <w:r w:rsidR="00116D88" w:rsidRPr="00065481">
        <w:t>is consistent with the</w:t>
      </w:r>
      <w:r w:rsidR="001112E5" w:rsidRPr="00065481">
        <w:t xml:space="preserve"> </w:t>
      </w:r>
      <w:r w:rsidR="00402E0E">
        <w:t>NAR’s</w:t>
      </w:r>
      <w:r w:rsidR="00402E0E" w:rsidRPr="00065481">
        <w:t xml:space="preserve"> </w:t>
      </w:r>
      <w:r w:rsidR="001112E5" w:rsidRPr="00065481">
        <w:t xml:space="preserve">objectives. </w:t>
      </w:r>
    </w:p>
    <w:p w14:paraId="09B3B00E" w14:textId="73D5F496" w:rsidR="00C25829" w:rsidRDefault="001112E5" w:rsidP="00065481">
      <w:r w:rsidRPr="00065481">
        <w:t xml:space="preserve">On 19 March 2021, Treasury released a consultation paper which sought stakeholder input </w:t>
      </w:r>
      <w:r w:rsidR="00065481" w:rsidRPr="00065481">
        <w:t xml:space="preserve">on potential options to streamline and add greater certainty to decision-making processes under the NAR. </w:t>
      </w:r>
      <w:r w:rsidR="000E339F">
        <w:t>The scope of the consultation paper was expressly limite</w:t>
      </w:r>
      <w:r w:rsidR="00DA787A">
        <w:t xml:space="preserve">d to consideration </w:t>
      </w:r>
      <w:r w:rsidR="00C25829">
        <w:t>of decision-making processes themselves and did not extend to consideration of the substanti</w:t>
      </w:r>
      <w:r w:rsidR="001A4B36">
        <w:t>ve</w:t>
      </w:r>
      <w:r w:rsidR="00C25829">
        <w:t xml:space="preserve"> aspects of decisions made under the NAR. </w:t>
      </w:r>
    </w:p>
    <w:p w14:paraId="39C00AE3" w14:textId="4EA2027F" w:rsidR="00C25829" w:rsidRDefault="00C25829" w:rsidP="00065481">
      <w:r>
        <w:t>The consultation paper comprised six possible options for NAR reforms relating to:</w:t>
      </w:r>
    </w:p>
    <w:p w14:paraId="05BFBBBF" w14:textId="32F2D4EA" w:rsidR="0011098C" w:rsidRDefault="001A4B36" w:rsidP="00A16B2D">
      <w:pPr>
        <w:pStyle w:val="Bulletpoint"/>
      </w:pPr>
      <w:r>
        <w:t>s</w:t>
      </w:r>
      <w:r w:rsidR="00065481" w:rsidRPr="00065481">
        <w:t>treamlining timeframes fo</w:t>
      </w:r>
      <w:r w:rsidR="00065481">
        <w:t xml:space="preserve">r, or availability of, merits review of Ministerial decisions on declaration or of </w:t>
      </w:r>
      <w:r w:rsidR="0011098C">
        <w:t xml:space="preserve">ACCC arbitration determinations; </w:t>
      </w:r>
    </w:p>
    <w:p w14:paraId="4E6F7C48" w14:textId="63A057E9" w:rsidR="0011098C" w:rsidRDefault="001A4B36" w:rsidP="00A16B2D">
      <w:pPr>
        <w:pStyle w:val="Bulletpoint"/>
      </w:pPr>
      <w:r>
        <w:t>t</w:t>
      </w:r>
      <w:r w:rsidR="0011098C">
        <w:t xml:space="preserve">he scope </w:t>
      </w:r>
      <w:r w:rsidR="009F047B">
        <w:t xml:space="preserve">for </w:t>
      </w:r>
      <w:r w:rsidR="0011098C">
        <w:t xml:space="preserve">parties to lodge repeated applications for declaration or revocation with respect to a service for which a decision has already been made; </w:t>
      </w:r>
      <w:r>
        <w:t>and</w:t>
      </w:r>
    </w:p>
    <w:p w14:paraId="7B0AD035" w14:textId="34F19E52" w:rsidR="0011098C" w:rsidRDefault="00520DB0" w:rsidP="00A16B2D">
      <w:pPr>
        <w:pStyle w:val="Bulletpoint"/>
      </w:pPr>
      <w:r>
        <w:t>w</w:t>
      </w:r>
      <w:r w:rsidR="0011098C">
        <w:t xml:space="preserve">hether arbitration proceedings and determinations should terminate if </w:t>
      </w:r>
      <w:r w:rsidR="00BF1BAB">
        <w:t xml:space="preserve">the </w:t>
      </w:r>
      <w:r w:rsidR="0011098C">
        <w:t xml:space="preserve">declaration </w:t>
      </w:r>
      <w:r w:rsidR="00BF1BAB">
        <w:t>of the relevant infrastructure is</w:t>
      </w:r>
      <w:r w:rsidR="0011098C">
        <w:t xml:space="preserve"> revoked. </w:t>
      </w:r>
    </w:p>
    <w:p w14:paraId="7AD614DF" w14:textId="57303D27" w:rsidR="007D0366" w:rsidRDefault="00520DB0" w:rsidP="00C43EE0">
      <w:pPr>
        <w:pStyle w:val="Bullet"/>
        <w:numPr>
          <w:ilvl w:val="0"/>
          <w:numId w:val="0"/>
        </w:numPr>
        <w:rPr>
          <w:rFonts w:asciiTheme="minorHAnsi" w:hAnsiTheme="minorHAnsi" w:cstheme="minorHAnsi"/>
          <w:szCs w:val="22"/>
        </w:rPr>
      </w:pPr>
      <w:r>
        <w:rPr>
          <w:rFonts w:asciiTheme="minorHAnsi" w:hAnsiTheme="minorHAnsi" w:cstheme="minorHAnsi"/>
          <w:szCs w:val="22"/>
        </w:rPr>
        <w:t>Stakeholder s</w:t>
      </w:r>
      <w:r w:rsidR="00C25829">
        <w:rPr>
          <w:rFonts w:asciiTheme="minorHAnsi" w:hAnsiTheme="minorHAnsi" w:cstheme="minorHAnsi"/>
          <w:szCs w:val="22"/>
        </w:rPr>
        <w:t xml:space="preserve">ubmissions </w:t>
      </w:r>
      <w:r>
        <w:rPr>
          <w:rFonts w:asciiTheme="minorHAnsi" w:hAnsiTheme="minorHAnsi" w:cstheme="minorHAnsi"/>
          <w:szCs w:val="22"/>
        </w:rPr>
        <w:t>were due by</w:t>
      </w:r>
      <w:r w:rsidR="00C25829">
        <w:rPr>
          <w:rFonts w:asciiTheme="minorHAnsi" w:hAnsiTheme="minorHAnsi" w:cstheme="minorHAnsi"/>
          <w:szCs w:val="22"/>
        </w:rPr>
        <w:t xml:space="preserve"> 19 April 2021. Treasury received </w:t>
      </w:r>
      <w:r w:rsidR="00702DF6" w:rsidRPr="00575EC9">
        <w:rPr>
          <w:rFonts w:asciiTheme="minorHAnsi" w:hAnsiTheme="minorHAnsi" w:cstheme="minorHAnsi"/>
          <w:szCs w:val="22"/>
        </w:rPr>
        <w:t>thirteen</w:t>
      </w:r>
      <w:r w:rsidR="00C25829">
        <w:rPr>
          <w:rFonts w:asciiTheme="minorHAnsi" w:hAnsiTheme="minorHAnsi" w:cstheme="minorHAnsi"/>
          <w:szCs w:val="22"/>
        </w:rPr>
        <w:t xml:space="preserve"> submissions from </w:t>
      </w:r>
      <w:r w:rsidR="00E01897">
        <w:rPr>
          <w:rFonts w:asciiTheme="minorHAnsi" w:hAnsiTheme="minorHAnsi" w:cstheme="minorHAnsi"/>
          <w:szCs w:val="22"/>
        </w:rPr>
        <w:t>a range of stakeholders, including infrastructure owners</w:t>
      </w:r>
      <w:r w:rsidR="003705BC">
        <w:rPr>
          <w:rFonts w:asciiTheme="minorHAnsi" w:hAnsiTheme="minorHAnsi" w:cstheme="minorHAnsi"/>
          <w:szCs w:val="22"/>
        </w:rPr>
        <w:t xml:space="preserve">, </w:t>
      </w:r>
      <w:r w:rsidR="00043941">
        <w:rPr>
          <w:rFonts w:asciiTheme="minorHAnsi" w:hAnsiTheme="minorHAnsi" w:cstheme="minorHAnsi"/>
          <w:szCs w:val="22"/>
        </w:rPr>
        <w:t xml:space="preserve">infrastructure users (that is, </w:t>
      </w:r>
      <w:r w:rsidR="003705BC">
        <w:rPr>
          <w:rFonts w:asciiTheme="minorHAnsi" w:hAnsiTheme="minorHAnsi" w:cstheme="minorHAnsi"/>
          <w:szCs w:val="22"/>
        </w:rPr>
        <w:t xml:space="preserve">parties </w:t>
      </w:r>
      <w:r w:rsidR="00043941">
        <w:rPr>
          <w:rFonts w:asciiTheme="minorHAnsi" w:hAnsiTheme="minorHAnsi" w:cstheme="minorHAnsi"/>
          <w:szCs w:val="22"/>
        </w:rPr>
        <w:t xml:space="preserve">that </w:t>
      </w:r>
      <w:r w:rsidR="003705BC">
        <w:rPr>
          <w:rFonts w:asciiTheme="minorHAnsi" w:hAnsiTheme="minorHAnsi" w:cstheme="minorHAnsi"/>
          <w:szCs w:val="22"/>
        </w:rPr>
        <w:t>seek access to such infrastructure</w:t>
      </w:r>
      <w:r w:rsidR="00043941">
        <w:rPr>
          <w:rFonts w:asciiTheme="minorHAnsi" w:hAnsiTheme="minorHAnsi" w:cstheme="minorHAnsi"/>
          <w:szCs w:val="22"/>
        </w:rPr>
        <w:t>)</w:t>
      </w:r>
      <w:r w:rsidR="003705BC">
        <w:rPr>
          <w:rFonts w:asciiTheme="minorHAnsi" w:hAnsiTheme="minorHAnsi" w:cstheme="minorHAnsi"/>
          <w:szCs w:val="22"/>
        </w:rPr>
        <w:t>, as well as other interested parties</w:t>
      </w:r>
      <w:r w:rsidR="007D0366">
        <w:rPr>
          <w:rFonts w:asciiTheme="minorHAnsi" w:hAnsiTheme="minorHAnsi" w:cstheme="minorHAnsi"/>
          <w:szCs w:val="22"/>
        </w:rPr>
        <w:t>.</w:t>
      </w:r>
    </w:p>
    <w:p w14:paraId="09A527B6" w14:textId="77777777" w:rsidR="00840DFE" w:rsidRDefault="00D3314D" w:rsidP="00C43EE0">
      <w:pPr>
        <w:pStyle w:val="Bullet"/>
        <w:numPr>
          <w:ilvl w:val="0"/>
          <w:numId w:val="0"/>
        </w:numPr>
        <w:rPr>
          <w:rFonts w:asciiTheme="minorHAnsi" w:hAnsiTheme="minorHAnsi" w:cstheme="minorHAnsi"/>
          <w:szCs w:val="22"/>
        </w:rPr>
      </w:pPr>
      <w:r>
        <w:rPr>
          <w:rFonts w:asciiTheme="minorHAnsi" w:hAnsiTheme="minorHAnsi" w:cstheme="minorHAnsi"/>
          <w:szCs w:val="22"/>
        </w:rPr>
        <w:t>S</w:t>
      </w:r>
      <w:r w:rsidR="00CF2C98">
        <w:rPr>
          <w:rFonts w:asciiTheme="minorHAnsi" w:hAnsiTheme="minorHAnsi" w:cstheme="minorHAnsi"/>
          <w:szCs w:val="22"/>
        </w:rPr>
        <w:t>takeholder</w:t>
      </w:r>
      <w:r>
        <w:rPr>
          <w:rFonts w:asciiTheme="minorHAnsi" w:hAnsiTheme="minorHAnsi" w:cstheme="minorHAnsi"/>
          <w:szCs w:val="22"/>
        </w:rPr>
        <w:t xml:space="preserve"> views are outlined in </w:t>
      </w:r>
      <w:r w:rsidR="00CF2C98" w:rsidRPr="003B3BF1">
        <w:rPr>
          <w:rFonts w:asciiTheme="minorHAnsi" w:hAnsiTheme="minorHAnsi" w:cstheme="minorHAnsi"/>
          <w:szCs w:val="22"/>
          <w:u w:val="single"/>
        </w:rPr>
        <w:t xml:space="preserve">Appendix </w:t>
      </w:r>
      <w:r w:rsidR="00474EC1" w:rsidRPr="003B3BF1">
        <w:rPr>
          <w:rFonts w:asciiTheme="minorHAnsi" w:hAnsiTheme="minorHAnsi" w:cstheme="minorHAnsi"/>
          <w:szCs w:val="22"/>
          <w:u w:val="single"/>
        </w:rPr>
        <w:t>B</w:t>
      </w:r>
      <w:r w:rsidR="00CF2C98">
        <w:rPr>
          <w:rFonts w:asciiTheme="minorHAnsi" w:hAnsiTheme="minorHAnsi" w:cstheme="minorHAnsi"/>
          <w:szCs w:val="22"/>
        </w:rPr>
        <w:t xml:space="preserve">. </w:t>
      </w:r>
    </w:p>
    <w:p w14:paraId="6FC3C2EE" w14:textId="416FC942" w:rsidR="00E861D9" w:rsidRPr="00CF2C98" w:rsidRDefault="00C25E4C" w:rsidP="00C43EE0">
      <w:pPr>
        <w:pStyle w:val="Bullet"/>
        <w:numPr>
          <w:ilvl w:val="0"/>
          <w:numId w:val="0"/>
        </w:numPr>
        <w:rPr>
          <w:rFonts w:asciiTheme="minorHAnsi" w:hAnsiTheme="minorHAnsi" w:cstheme="minorHAnsi"/>
          <w:szCs w:val="22"/>
        </w:rPr>
      </w:pPr>
      <w:r>
        <w:rPr>
          <w:rFonts w:asciiTheme="minorHAnsi" w:hAnsiTheme="minorHAnsi" w:cstheme="minorHAnsi"/>
          <w:szCs w:val="22"/>
        </w:rPr>
        <w:lastRenderedPageBreak/>
        <w:t xml:space="preserve">The status of the RIS at each </w:t>
      </w:r>
      <w:r w:rsidR="00824FA8">
        <w:rPr>
          <w:rFonts w:asciiTheme="minorHAnsi" w:hAnsiTheme="minorHAnsi" w:cstheme="minorHAnsi"/>
          <w:szCs w:val="22"/>
        </w:rPr>
        <w:t>decision-point in the policy development process</w:t>
      </w:r>
      <w:r>
        <w:rPr>
          <w:rFonts w:asciiTheme="minorHAnsi" w:hAnsiTheme="minorHAnsi" w:cstheme="minorHAnsi"/>
          <w:szCs w:val="22"/>
        </w:rPr>
        <w:t xml:space="preserve"> is set out in </w:t>
      </w:r>
      <w:r w:rsidRPr="00575EC9">
        <w:rPr>
          <w:u w:val="single"/>
        </w:rPr>
        <w:t>Appendix</w:t>
      </w:r>
      <w:r w:rsidR="00840DFE" w:rsidRPr="00575EC9">
        <w:rPr>
          <w:u w:val="single"/>
        </w:rPr>
        <w:t> </w:t>
      </w:r>
      <w:r w:rsidRPr="00575EC9">
        <w:rPr>
          <w:u w:val="single"/>
        </w:rPr>
        <w:t>D</w:t>
      </w:r>
      <w:r>
        <w:rPr>
          <w:rFonts w:asciiTheme="minorHAnsi" w:hAnsiTheme="minorHAnsi" w:cstheme="minorHAnsi"/>
          <w:szCs w:val="22"/>
        </w:rPr>
        <w:t>.</w:t>
      </w:r>
      <w:r w:rsidR="00E861D9">
        <w:br w:type="page"/>
      </w:r>
    </w:p>
    <w:p w14:paraId="7BAD156D" w14:textId="4AF56983" w:rsidR="00241C39" w:rsidRPr="00A30CCC" w:rsidRDefault="00B06A42" w:rsidP="002F6E31">
      <w:pPr>
        <w:pStyle w:val="Heading1"/>
        <w:spacing w:after="120"/>
        <w:rPr>
          <w:rFonts w:asciiTheme="minorHAnsi" w:hAnsiTheme="minorHAnsi"/>
        </w:rPr>
      </w:pPr>
      <w:bookmarkStart w:id="117" w:name="_Toc528774703"/>
      <w:bookmarkStart w:id="118" w:name="_Toc71270971"/>
      <w:bookmarkStart w:id="119" w:name="_Toc71282576"/>
      <w:bookmarkStart w:id="120" w:name="_Toc71282957"/>
      <w:bookmarkStart w:id="121" w:name="_Toc71294362"/>
      <w:bookmarkStart w:id="122" w:name="_Toc71299664"/>
      <w:bookmarkStart w:id="123" w:name="_Toc71301618"/>
      <w:bookmarkStart w:id="124" w:name="_Toc71310091"/>
      <w:bookmarkStart w:id="125" w:name="_Toc71317848"/>
      <w:bookmarkStart w:id="126" w:name="_Toc48836950"/>
      <w:bookmarkStart w:id="127" w:name="_Toc57040705"/>
      <w:bookmarkStart w:id="128" w:name="_Toc57127247"/>
      <w:bookmarkStart w:id="129" w:name="_Toc57128681"/>
      <w:bookmarkStart w:id="130" w:name="_Toc57148609"/>
      <w:bookmarkStart w:id="131" w:name="_Toc57149904"/>
      <w:r>
        <w:rPr>
          <w:rFonts w:asciiTheme="minorHAnsi" w:hAnsiTheme="minorHAnsi"/>
        </w:rPr>
        <w:lastRenderedPageBreak/>
        <w:t>7</w:t>
      </w:r>
      <w:r w:rsidR="00241C39" w:rsidRPr="00A30CCC">
        <w:rPr>
          <w:rFonts w:asciiTheme="minorHAnsi" w:hAnsiTheme="minorHAnsi"/>
        </w:rPr>
        <w:t xml:space="preserve">. </w:t>
      </w:r>
      <w:bookmarkEnd w:id="117"/>
      <w:r w:rsidR="001D7FAC" w:rsidRPr="00533210">
        <w:rPr>
          <w:rFonts w:asciiTheme="minorHAnsi" w:hAnsiTheme="minorHAnsi"/>
        </w:rPr>
        <w:t>Preferred</w:t>
      </w:r>
      <w:r w:rsidR="00A30CCC" w:rsidRPr="00533210">
        <w:rPr>
          <w:rFonts w:asciiTheme="minorHAnsi" w:hAnsiTheme="minorHAnsi"/>
        </w:rPr>
        <w:t xml:space="preserve"> </w:t>
      </w:r>
      <w:r w:rsidR="00BF6076" w:rsidRPr="00533210">
        <w:rPr>
          <w:rFonts w:asciiTheme="minorHAnsi" w:hAnsiTheme="minorHAnsi"/>
        </w:rPr>
        <w:t>Approach</w:t>
      </w:r>
      <w:bookmarkEnd w:id="118"/>
      <w:bookmarkEnd w:id="119"/>
      <w:bookmarkEnd w:id="120"/>
      <w:bookmarkEnd w:id="121"/>
      <w:bookmarkEnd w:id="122"/>
      <w:bookmarkEnd w:id="123"/>
      <w:bookmarkEnd w:id="124"/>
      <w:bookmarkEnd w:id="125"/>
      <w:r w:rsidR="00BF6076" w:rsidRPr="003B3BF1">
        <w:rPr>
          <w:rFonts w:asciiTheme="minorHAnsi" w:hAnsiTheme="minorHAnsi"/>
        </w:rPr>
        <w:t xml:space="preserve"> </w:t>
      </w:r>
      <w:bookmarkEnd w:id="126"/>
      <w:bookmarkEnd w:id="127"/>
      <w:bookmarkEnd w:id="128"/>
      <w:bookmarkEnd w:id="129"/>
      <w:bookmarkEnd w:id="130"/>
      <w:bookmarkEnd w:id="131"/>
    </w:p>
    <w:p w14:paraId="17410AF8" w14:textId="4B101A34" w:rsidR="006640FA" w:rsidRDefault="001A6B26" w:rsidP="0076599A">
      <w:r>
        <w:t xml:space="preserve">Having regard to the analysis </w:t>
      </w:r>
      <w:r w:rsidR="00D82947">
        <w:t>above</w:t>
      </w:r>
      <w:r>
        <w:t xml:space="preserve"> and the views of stakeholders expressed through the consultation process, the preferred </w:t>
      </w:r>
      <w:r w:rsidR="00BF6076">
        <w:t xml:space="preserve">approach </w:t>
      </w:r>
      <w:r w:rsidR="006640FA">
        <w:t xml:space="preserve">is </w:t>
      </w:r>
      <w:r w:rsidR="00007D13">
        <w:t xml:space="preserve">to implement </w:t>
      </w:r>
      <w:r w:rsidR="009816F6">
        <w:t xml:space="preserve">options </w:t>
      </w:r>
      <w:r w:rsidR="00272A6A">
        <w:t>1, 4</w:t>
      </w:r>
      <w:r w:rsidR="009816F6">
        <w:t>, 5</w:t>
      </w:r>
      <w:r w:rsidR="005D13F9">
        <w:t xml:space="preserve">, </w:t>
      </w:r>
      <w:r w:rsidR="00272A6A">
        <w:t>6</w:t>
      </w:r>
      <w:r w:rsidR="00007D13">
        <w:t xml:space="preserve"> and </w:t>
      </w:r>
      <w:r w:rsidR="005D13F9">
        <w:t xml:space="preserve">7 </w:t>
      </w:r>
      <w:r w:rsidR="00007D13">
        <w:t>and not implement options 2 and 3</w:t>
      </w:r>
      <w:r w:rsidR="009816F6">
        <w:t>.</w:t>
      </w:r>
    </w:p>
    <w:p w14:paraId="4FD03097" w14:textId="1310984E" w:rsidR="00685063" w:rsidRDefault="00E92597">
      <w:r>
        <w:t xml:space="preserve">While many stakeholders support retaining Tribunal review of declaration decisions, on balance, </w:t>
      </w:r>
      <w:r w:rsidR="00DE7C0E" w:rsidRPr="003B3BF1">
        <w:rPr>
          <w:u w:val="single"/>
        </w:rPr>
        <w:t>Option 1</w:t>
      </w:r>
      <w:r w:rsidR="00DE7C0E">
        <w:t xml:space="preserve"> is</w:t>
      </w:r>
      <w:r w:rsidR="00083ECC">
        <w:t xml:space="preserve"> preferred </w:t>
      </w:r>
      <w:r w:rsidR="00A03875">
        <w:t xml:space="preserve">primarily </w:t>
      </w:r>
      <w:r w:rsidR="00DE7C0E">
        <w:t>because</w:t>
      </w:r>
      <w:r w:rsidR="00FB1A5A">
        <w:t xml:space="preserve"> </w:t>
      </w:r>
      <w:r w:rsidR="001B0E6B">
        <w:t xml:space="preserve">the </w:t>
      </w:r>
      <w:r w:rsidR="00D82947">
        <w:t xml:space="preserve">NAR </w:t>
      </w:r>
      <w:r w:rsidR="001B0E6B">
        <w:t>matters outlined in Section 2 and Appendix A indicate</w:t>
      </w:r>
      <w:r w:rsidR="00FB1A5A">
        <w:t xml:space="preserve"> that</w:t>
      </w:r>
      <w:r w:rsidR="00156D04">
        <w:t xml:space="preserve"> </w:t>
      </w:r>
      <w:r>
        <w:t xml:space="preserve">Tribunal </w:t>
      </w:r>
      <w:r w:rsidR="00156D04">
        <w:t xml:space="preserve">review </w:t>
      </w:r>
      <w:r w:rsidR="00FB1A5A">
        <w:t xml:space="preserve">is </w:t>
      </w:r>
      <w:r w:rsidR="002F0AE5">
        <w:t xml:space="preserve">in a significant proportion of cases </w:t>
      </w:r>
      <w:r w:rsidR="00156D04">
        <w:t xml:space="preserve">not </w:t>
      </w:r>
      <w:r>
        <w:t>providing a final resolution</w:t>
      </w:r>
      <w:r w:rsidR="00156D04">
        <w:t xml:space="preserve">, with parties </w:t>
      </w:r>
      <w:r w:rsidR="002F0AE5">
        <w:t xml:space="preserve">in highly contentious matters </w:t>
      </w:r>
      <w:r w:rsidR="00156D04">
        <w:t>often challenging the Tribunal’s decision in the court</w:t>
      </w:r>
      <w:r w:rsidR="00304867">
        <w:t>s.</w:t>
      </w:r>
      <w:r>
        <w:t xml:space="preserve"> </w:t>
      </w:r>
      <w:r w:rsidR="00A03875">
        <w:t xml:space="preserve">Declaration decisions also involve public interest considerations, which suggests that </w:t>
      </w:r>
      <w:r w:rsidR="00DD3E29">
        <w:t>final</w:t>
      </w:r>
      <w:r w:rsidR="00A03875">
        <w:t xml:space="preserve"> decisions should be made by a Minister.</w:t>
      </w:r>
    </w:p>
    <w:p w14:paraId="0C49FD6D" w14:textId="6C959D66" w:rsidR="001B2B97" w:rsidRDefault="00685063">
      <w:r>
        <w:t xml:space="preserve">While </w:t>
      </w:r>
      <w:r w:rsidRPr="003B3BF1">
        <w:rPr>
          <w:u w:val="single"/>
        </w:rPr>
        <w:t>Option 2</w:t>
      </w:r>
      <w:r>
        <w:t xml:space="preserve"> raises similar issues to Option 1, </w:t>
      </w:r>
      <w:r w:rsidR="00A03875">
        <w:t xml:space="preserve">on balance, </w:t>
      </w:r>
      <w:r>
        <w:t xml:space="preserve">it is not preferred because </w:t>
      </w:r>
      <w:r w:rsidR="003F4506">
        <w:t xml:space="preserve">there is limited evidence on which to base a conclusion on Option 2, as the Tribunal has only reviewed one ACCC arbitration determination since 1995. Further, </w:t>
      </w:r>
      <w:r>
        <w:t>arbitration</w:t>
      </w:r>
      <w:r w:rsidR="009E2776">
        <w:t>s</w:t>
      </w:r>
      <w:r>
        <w:t xml:space="preserve"> determinations are more technical in nature than declaration </w:t>
      </w:r>
      <w:r w:rsidR="009E2776">
        <w:t>decisions</w:t>
      </w:r>
      <w:r>
        <w:t xml:space="preserve">, which </w:t>
      </w:r>
      <w:r w:rsidR="00A03875">
        <w:t xml:space="preserve">suggests </w:t>
      </w:r>
      <w:r w:rsidR="00DD3E29">
        <w:t xml:space="preserve">there is value in </w:t>
      </w:r>
      <w:r>
        <w:t>retain</w:t>
      </w:r>
      <w:r w:rsidR="00DD3E29">
        <w:t>ing</w:t>
      </w:r>
      <w:r>
        <w:t xml:space="preserve"> merits review by the Tribunal. </w:t>
      </w:r>
      <w:r w:rsidR="003F4506">
        <w:t>Most stakeholders supported retaining Tribunal review.</w:t>
      </w:r>
    </w:p>
    <w:p w14:paraId="3BA7297F" w14:textId="6ECEBD88" w:rsidR="001D30E1" w:rsidRDefault="00A03875">
      <w:r>
        <w:t>Given their</w:t>
      </w:r>
      <w:r w:rsidR="006A0B14">
        <w:t xml:space="preserve"> </w:t>
      </w:r>
      <w:r w:rsidR="009E2776">
        <w:t xml:space="preserve">complexity and </w:t>
      </w:r>
      <w:r w:rsidR="006A0B14">
        <w:t>more</w:t>
      </w:r>
      <w:r>
        <w:t xml:space="preserve"> technical nature, it is not proposed to shorten timeframes for Tribunal review of arbitration determinations as per </w:t>
      </w:r>
      <w:r w:rsidR="00685063" w:rsidRPr="003B3BF1">
        <w:rPr>
          <w:u w:val="single"/>
        </w:rPr>
        <w:t>Option 3</w:t>
      </w:r>
      <w:r>
        <w:t>.</w:t>
      </w:r>
    </w:p>
    <w:p w14:paraId="18FAE9F9" w14:textId="4074FE8A" w:rsidR="006141A8" w:rsidRDefault="00A9781A" w:rsidP="0076599A">
      <w:r w:rsidRPr="003B3BF1">
        <w:rPr>
          <w:u w:val="single"/>
        </w:rPr>
        <w:t>O</w:t>
      </w:r>
      <w:r w:rsidR="00852510" w:rsidRPr="003B3BF1">
        <w:rPr>
          <w:u w:val="single"/>
        </w:rPr>
        <w:t>ptions 4 and 5</w:t>
      </w:r>
      <w:r w:rsidR="00852510">
        <w:t xml:space="preserve"> </w:t>
      </w:r>
      <w:r>
        <w:t>are preferred primarily because it is important that declaration and revocation processes are not able to be commenced wh</w:t>
      </w:r>
      <w:r w:rsidR="009E3EFA">
        <w:t>ich have</w:t>
      </w:r>
      <w:r>
        <w:t xml:space="preserve"> little prospect of success because </w:t>
      </w:r>
      <w:r w:rsidR="009E3EFA">
        <w:t xml:space="preserve">the </w:t>
      </w:r>
      <w:r>
        <w:t xml:space="preserve">facts or law </w:t>
      </w:r>
      <w:r w:rsidR="009E3EFA">
        <w:t xml:space="preserve">have not materially changed </w:t>
      </w:r>
      <w:r>
        <w:t xml:space="preserve">since a previous process in relation to the same infrastructure. </w:t>
      </w:r>
      <w:r w:rsidR="00262DB5">
        <w:t>While unlikely to prevent disputes alto</w:t>
      </w:r>
      <w:r w:rsidR="00262DB5">
        <w:lastRenderedPageBreak/>
        <w:t>gether (over whether material circumstances have changed) by sending a clear signal that repeat applications will not be considered, the change could be expected to result in positive behavioural change, reducing regulatory uncertainty.</w:t>
      </w:r>
    </w:p>
    <w:p w14:paraId="06C2B5D1" w14:textId="61F0BB92" w:rsidR="00D14665" w:rsidRDefault="00C73F9D" w:rsidP="0076599A">
      <w:r w:rsidRPr="003B3BF1">
        <w:rPr>
          <w:u w:val="single"/>
        </w:rPr>
        <w:t>O</w:t>
      </w:r>
      <w:r w:rsidR="006141A8" w:rsidRPr="003B3BF1">
        <w:rPr>
          <w:u w:val="single"/>
        </w:rPr>
        <w:t>ptions 6</w:t>
      </w:r>
      <w:r w:rsidRPr="003B3BF1">
        <w:rPr>
          <w:u w:val="single"/>
        </w:rPr>
        <w:t xml:space="preserve"> and</w:t>
      </w:r>
      <w:r w:rsidR="006141A8" w:rsidRPr="003B3BF1">
        <w:rPr>
          <w:u w:val="single"/>
        </w:rPr>
        <w:t xml:space="preserve"> 7</w:t>
      </w:r>
      <w:r w:rsidR="006141A8">
        <w:t xml:space="preserve"> </w:t>
      </w:r>
      <w:r>
        <w:t xml:space="preserve">are preferred primarily because they would address an anomaly in the NAR under which infrastructure no longer formally subject to the NAR is nevertheless subject to NAR processes. </w:t>
      </w:r>
    </w:p>
    <w:p w14:paraId="4D347F80" w14:textId="09F13D20" w:rsidR="00C73F9D" w:rsidRDefault="00C73F9D" w:rsidP="0076599A">
      <w:r>
        <w:t>Complex transitional arrangements are likely to be required as part of implement</w:t>
      </w:r>
      <w:r w:rsidR="009E3EFA">
        <w:t>ing</w:t>
      </w:r>
      <w:r>
        <w:t xml:space="preserve"> these options.</w:t>
      </w:r>
    </w:p>
    <w:p w14:paraId="14BAF328" w14:textId="00EB2468" w:rsidR="00586C4E" w:rsidRDefault="00B06A42" w:rsidP="00586C4E">
      <w:pPr>
        <w:pStyle w:val="Heading1"/>
      </w:pPr>
      <w:bookmarkStart w:id="132" w:name="_Toc48836951"/>
      <w:bookmarkStart w:id="133" w:name="_Toc57040706"/>
      <w:bookmarkStart w:id="134" w:name="_Toc57127248"/>
      <w:bookmarkStart w:id="135" w:name="_Toc57128682"/>
      <w:bookmarkStart w:id="136" w:name="_Toc57148610"/>
      <w:bookmarkStart w:id="137" w:name="_Toc57149905"/>
      <w:bookmarkStart w:id="138" w:name="_Toc528774704"/>
      <w:bookmarkStart w:id="139" w:name="_Toc71270972"/>
      <w:bookmarkStart w:id="140" w:name="_Toc71282577"/>
      <w:bookmarkStart w:id="141" w:name="_Toc71282958"/>
      <w:bookmarkStart w:id="142" w:name="_Toc71294363"/>
      <w:bookmarkStart w:id="143" w:name="_Toc71299665"/>
      <w:bookmarkStart w:id="144" w:name="_Toc71301619"/>
      <w:bookmarkStart w:id="145" w:name="_Toc71310092"/>
      <w:bookmarkStart w:id="146" w:name="_Toc71317849"/>
      <w:r>
        <w:t>8</w:t>
      </w:r>
      <w:r w:rsidR="00962F90" w:rsidRPr="00B138C6">
        <w:t>. Implementation and evaluation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888A999" w14:textId="377D7CB8" w:rsidR="00D14665" w:rsidRDefault="00D14665" w:rsidP="00E605ED">
      <w:r>
        <w:t>I</w:t>
      </w:r>
      <w:r w:rsidR="00E958AB">
        <w:t>mplement</w:t>
      </w:r>
      <w:r>
        <w:t xml:space="preserve">ation would require </w:t>
      </w:r>
      <w:r w:rsidR="008E1CF2">
        <w:t xml:space="preserve">legislative amendments to Part IIIA of the </w:t>
      </w:r>
      <w:r w:rsidR="00733854">
        <w:t>CCA</w:t>
      </w:r>
      <w:r w:rsidR="008E1CF2">
        <w:t xml:space="preserve">. </w:t>
      </w:r>
      <w:r>
        <w:t>No further implementation activity is anticipated.</w:t>
      </w:r>
    </w:p>
    <w:p w14:paraId="3C350DF9" w14:textId="5A0F5871" w:rsidR="00490586" w:rsidRDefault="00D14665" w:rsidP="00E605ED">
      <w:r>
        <w:t xml:space="preserve">Treasury </w:t>
      </w:r>
      <w:r w:rsidR="005F1550">
        <w:t>would monitor the operation and practical impacts of the legislative amendments on an ongoing basis.</w:t>
      </w:r>
    </w:p>
    <w:p w14:paraId="679F2C94" w14:textId="467FB9F6" w:rsidR="005F1550" w:rsidRDefault="005F1550" w:rsidP="00620272"/>
    <w:p w14:paraId="6156B533" w14:textId="05A9C245" w:rsidR="001B0E6E" w:rsidRDefault="001B0E6E" w:rsidP="00E21E26"/>
    <w:p w14:paraId="5C8E781A" w14:textId="77777777" w:rsidR="001B0E6E" w:rsidRDefault="001B0E6E">
      <w:r>
        <w:br w:type="page"/>
      </w:r>
    </w:p>
    <w:p w14:paraId="69C43F84" w14:textId="68B3DD9E" w:rsidR="00E21E26" w:rsidRPr="00E21E26" w:rsidRDefault="00620272" w:rsidP="003B3BF1">
      <w:pPr>
        <w:pStyle w:val="Heading1"/>
      </w:pPr>
      <w:bookmarkStart w:id="147" w:name="_Toc71270973"/>
      <w:bookmarkStart w:id="148" w:name="_Toc71282578"/>
      <w:bookmarkStart w:id="149" w:name="_Toc71282959"/>
      <w:bookmarkStart w:id="150" w:name="_Toc71294364"/>
      <w:bookmarkStart w:id="151" w:name="_Toc71299666"/>
      <w:bookmarkStart w:id="152" w:name="_Toc71301620"/>
      <w:bookmarkStart w:id="153" w:name="_Toc71310093"/>
      <w:bookmarkStart w:id="154" w:name="_Toc71317850"/>
      <w:r>
        <w:lastRenderedPageBreak/>
        <w:t>APPENDIX A</w:t>
      </w:r>
      <w:bookmarkEnd w:id="147"/>
      <w:bookmarkEnd w:id="148"/>
      <w:bookmarkEnd w:id="149"/>
      <w:bookmarkEnd w:id="150"/>
      <w:bookmarkEnd w:id="151"/>
      <w:bookmarkEnd w:id="152"/>
      <w:bookmarkEnd w:id="153"/>
      <w:bookmarkEnd w:id="154"/>
    </w:p>
    <w:p w14:paraId="51F48D34" w14:textId="558B454D" w:rsidR="00E21E26" w:rsidRPr="00126AC9" w:rsidRDefault="00E21E26" w:rsidP="005F78F2">
      <w:pPr>
        <w:pStyle w:val="Heading2"/>
      </w:pPr>
      <w:bookmarkStart w:id="155" w:name="_Toc71270974"/>
      <w:bookmarkStart w:id="156" w:name="_Toc71282579"/>
      <w:bookmarkStart w:id="157" w:name="_Toc71282960"/>
      <w:bookmarkStart w:id="158" w:name="_Toc71294365"/>
      <w:bookmarkStart w:id="159" w:name="_Toc71299667"/>
      <w:bookmarkStart w:id="160" w:name="_Toc71301621"/>
      <w:bookmarkStart w:id="161" w:name="_Toc71310094"/>
      <w:bookmarkStart w:id="162" w:name="_Toc71317851"/>
      <w:r>
        <w:t xml:space="preserve">The </w:t>
      </w:r>
      <w:r w:rsidRPr="00126AC9">
        <w:t>National</w:t>
      </w:r>
      <w:r>
        <w:t xml:space="preserve"> Access Regime</w:t>
      </w:r>
      <w:r w:rsidR="007469F1">
        <w:t xml:space="preserve"> – </w:t>
      </w:r>
      <w:r w:rsidR="00E83D10">
        <w:t xml:space="preserve">current </w:t>
      </w:r>
      <w:r w:rsidR="007469F1">
        <w:t>declaration and arbitration processes</w:t>
      </w:r>
      <w:bookmarkEnd w:id="155"/>
      <w:bookmarkEnd w:id="156"/>
      <w:bookmarkEnd w:id="157"/>
      <w:bookmarkEnd w:id="158"/>
      <w:bookmarkEnd w:id="159"/>
      <w:bookmarkEnd w:id="160"/>
      <w:bookmarkEnd w:id="161"/>
      <w:bookmarkEnd w:id="162"/>
    </w:p>
    <w:p w14:paraId="57072077" w14:textId="31F04FBA" w:rsidR="00E21E26" w:rsidRDefault="00E21E26" w:rsidP="00E21E26">
      <w:pPr>
        <w:spacing w:after="0"/>
      </w:pPr>
    </w:p>
    <w:p w14:paraId="729782A7" w14:textId="5F8DA012" w:rsidR="00E21E26" w:rsidRDefault="00E21E26" w:rsidP="00E21E26">
      <w:pPr>
        <w:spacing w:after="0"/>
      </w:pPr>
    </w:p>
    <w:p w14:paraId="397C4178" w14:textId="3AFA0AFF" w:rsidR="00E21E26" w:rsidRDefault="00E21E26" w:rsidP="00E21E26">
      <w:pPr>
        <w:spacing w:after="0"/>
      </w:pPr>
      <w:r>
        <w:rPr>
          <w:noProof/>
          <w:lang w:eastAsia="en-AU"/>
        </w:rPr>
        <w:drawing>
          <wp:anchor distT="0" distB="0" distL="114300" distR="114300" simplePos="0" relativeHeight="251658240" behindDoc="0" locked="0" layoutInCell="1" allowOverlap="1" wp14:anchorId="6E7B2083" wp14:editId="3F3FAA5D">
            <wp:simplePos x="0" y="0"/>
            <wp:positionH relativeFrom="column">
              <wp:posOffset>457835</wp:posOffset>
            </wp:positionH>
            <wp:positionV relativeFrom="paragraph">
              <wp:posOffset>7620</wp:posOffset>
            </wp:positionV>
            <wp:extent cx="4900930" cy="6061075"/>
            <wp:effectExtent l="0" t="0" r="0" b="0"/>
            <wp:wrapSquare wrapText="bothSides"/>
            <wp:docPr id="3" name="Picture 3" descr="Outline of the declaration process:&#10; &#10;1.       Any person can apply to the NCC for a recommendation to ‘declare’ a service under the National Access Regime &#10;2.       The NCC must recommend to the Minister that the service be declared or not be declared&#10;3.       The Minister decides to declare, or not declare, the service. If they do not publish their decision within 60 days of receiving the recommendation, Minister is deemed to make a decision in accordance with the recommendation &#10;a.       A party may apply to the Tribunal for review of the Minister’s decision or deemed decision &#10;4.       If a service is declared, and an access seeker and the provider are unable to agree on terms of access, a party can ask the ACCC to arbitrate&#10;5.       The ACCC makes an arbitration decision &#10;a.       A party to the arbitration may apply to the Tribunal for review of the ACCC’s determination. The Tribunal re-arbitrates the dispute &#10;b.       A party may appeal the Tribunal’s arbitration decision to the Federal Court on a question of la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chart"/>
                    <pic:cNvPicPr>
                      <a:picLocks noChangeAspect="1" noChangeArrowheads="1"/>
                    </pic:cNvPicPr>
                  </pic:nvPicPr>
                  <pic:blipFill>
                    <a:blip r:embed="rId11" cstate="print">
                      <a:extLst>
                        <a:ext uri="{28A0092B-C50C-407E-A947-70E740481C1C}">
                          <a14:useLocalDpi xmlns:a14="http://schemas.microsoft.com/office/drawing/2010/main" val="0"/>
                        </a:ext>
                      </a:extLst>
                    </a:blip>
                    <a:srcRect l="7001" t="6169"/>
                    <a:stretch>
                      <a:fillRect/>
                    </a:stretch>
                  </pic:blipFill>
                  <pic:spPr bwMode="auto">
                    <a:xfrm>
                      <a:off x="0" y="0"/>
                      <a:ext cx="4900930" cy="6061075"/>
                    </a:xfrm>
                    <a:prstGeom prst="rect">
                      <a:avLst/>
                    </a:prstGeom>
                    <a:noFill/>
                  </pic:spPr>
                </pic:pic>
              </a:graphicData>
            </a:graphic>
            <wp14:sizeRelH relativeFrom="page">
              <wp14:pctWidth>0</wp14:pctWidth>
            </wp14:sizeRelH>
            <wp14:sizeRelV relativeFrom="page">
              <wp14:pctHeight>0</wp14:pctHeight>
            </wp14:sizeRelV>
          </wp:anchor>
        </w:drawing>
      </w:r>
    </w:p>
    <w:p w14:paraId="6EE87BB9" w14:textId="77777777" w:rsidR="00E21E26" w:rsidRDefault="00E21E26" w:rsidP="00E21E26">
      <w:pPr>
        <w:spacing w:after="0"/>
      </w:pPr>
    </w:p>
    <w:p w14:paraId="67DF4DF5" w14:textId="77777777" w:rsidR="00E21E26" w:rsidRDefault="00E21E26" w:rsidP="00E21E26">
      <w:pPr>
        <w:spacing w:after="0"/>
      </w:pPr>
    </w:p>
    <w:p w14:paraId="7CBEA39D" w14:textId="77777777" w:rsidR="00E21E26" w:rsidRDefault="00E21E26" w:rsidP="00E21E26">
      <w:pPr>
        <w:spacing w:after="0"/>
      </w:pPr>
    </w:p>
    <w:p w14:paraId="53F8077C" w14:textId="77777777" w:rsidR="00E21E26" w:rsidRPr="002E7B7A" w:rsidRDefault="00E21E26" w:rsidP="00E21E26"/>
    <w:p w14:paraId="6D440007" w14:textId="77777777" w:rsidR="00E21E26" w:rsidRPr="002E7B7A" w:rsidRDefault="00E21E26" w:rsidP="00E21E26"/>
    <w:p w14:paraId="64C20088" w14:textId="77777777" w:rsidR="00E21E26" w:rsidRPr="002E7B7A" w:rsidRDefault="00E21E26" w:rsidP="00E21E26"/>
    <w:p w14:paraId="019B4225" w14:textId="77777777" w:rsidR="00E21E26" w:rsidRPr="002E7B7A" w:rsidRDefault="00E21E26" w:rsidP="00E21E26"/>
    <w:p w14:paraId="3C4525A9" w14:textId="77777777" w:rsidR="00E21E26" w:rsidRPr="002E7B7A" w:rsidRDefault="00E21E26" w:rsidP="00E21E26"/>
    <w:p w14:paraId="478FB0B6" w14:textId="0F5806F2" w:rsidR="00E21E26" w:rsidRPr="002E7B7A" w:rsidRDefault="00E21E26" w:rsidP="00E21E26"/>
    <w:p w14:paraId="4C4E3B4B" w14:textId="70457DC4" w:rsidR="00326A25" w:rsidRDefault="00326A25" w:rsidP="00E21E26"/>
    <w:p w14:paraId="34F6BA05" w14:textId="784B285B" w:rsidR="00326A25" w:rsidRDefault="00326A25" w:rsidP="00E21E26"/>
    <w:p w14:paraId="76582364" w14:textId="2E52A8BE" w:rsidR="00326A25" w:rsidRDefault="00326A25" w:rsidP="00E21E26"/>
    <w:p w14:paraId="34204CC7" w14:textId="77777777" w:rsidR="00326A25" w:rsidRPr="002E7B7A" w:rsidRDefault="00326A25" w:rsidP="00E21E26"/>
    <w:p w14:paraId="484EF8BB" w14:textId="4421A182" w:rsidR="00DE7C0E" w:rsidRDefault="00DE7C0E" w:rsidP="00620272">
      <w:pPr>
        <w:rPr>
          <w:b/>
        </w:rPr>
      </w:pPr>
    </w:p>
    <w:p w14:paraId="593DC5C7" w14:textId="7715FD32" w:rsidR="00DF3A96" w:rsidRDefault="00DF3A96" w:rsidP="00620272">
      <w:pPr>
        <w:rPr>
          <w:b/>
        </w:rPr>
      </w:pPr>
    </w:p>
    <w:p w14:paraId="219F52FD" w14:textId="05BC50F1" w:rsidR="00DF3A96" w:rsidRDefault="00DF3A96" w:rsidP="00620272">
      <w:pPr>
        <w:rPr>
          <w:b/>
        </w:rPr>
      </w:pPr>
    </w:p>
    <w:p w14:paraId="2479DD5B" w14:textId="7CED6DF5" w:rsidR="00DF3A96" w:rsidRDefault="00DF3A96" w:rsidP="00620272">
      <w:pPr>
        <w:rPr>
          <w:b/>
        </w:rPr>
      </w:pPr>
    </w:p>
    <w:p w14:paraId="3BA05DEB" w14:textId="407555C1" w:rsidR="00DF3A96" w:rsidRDefault="00DF3A96" w:rsidP="00620272">
      <w:pPr>
        <w:rPr>
          <w:b/>
        </w:rPr>
      </w:pPr>
    </w:p>
    <w:p w14:paraId="7067A168" w14:textId="4F187718" w:rsidR="00DF3A96" w:rsidRDefault="00DF3A96" w:rsidP="00620272">
      <w:pPr>
        <w:rPr>
          <w:b/>
        </w:rPr>
      </w:pPr>
    </w:p>
    <w:p w14:paraId="789DB3B3" w14:textId="7E40405A" w:rsidR="00DF3A96" w:rsidRDefault="00DF3A96" w:rsidP="00620272">
      <w:pPr>
        <w:rPr>
          <w:b/>
        </w:rPr>
      </w:pPr>
    </w:p>
    <w:p w14:paraId="5D6752AC" w14:textId="04080D64" w:rsidR="00DF3A96" w:rsidRDefault="00DF3A96" w:rsidP="00DF3A96">
      <w:pPr>
        <w:pStyle w:val="Heading3"/>
      </w:pPr>
      <w:bookmarkStart w:id="163" w:name="_Toc71270975"/>
      <w:bookmarkStart w:id="164" w:name="_Toc71282580"/>
      <w:bookmarkStart w:id="165" w:name="_Toc71282961"/>
      <w:bookmarkStart w:id="166" w:name="_Toc71294366"/>
      <w:bookmarkStart w:id="167" w:name="_Toc71299668"/>
      <w:bookmarkStart w:id="168" w:name="_Toc71301622"/>
      <w:bookmarkStart w:id="169" w:name="_Toc71310095"/>
      <w:bookmarkStart w:id="170" w:name="_Toc71317852"/>
      <w:r>
        <w:t>Why was the NAR introduced?</w:t>
      </w:r>
      <w:bookmarkEnd w:id="163"/>
      <w:bookmarkEnd w:id="164"/>
      <w:bookmarkEnd w:id="165"/>
      <w:bookmarkEnd w:id="166"/>
      <w:bookmarkEnd w:id="167"/>
      <w:bookmarkEnd w:id="168"/>
      <w:bookmarkEnd w:id="169"/>
      <w:bookmarkEnd w:id="170"/>
    </w:p>
    <w:p w14:paraId="46687CFE" w14:textId="64266A5F" w:rsidR="00DF3A96" w:rsidRPr="00F677FD" w:rsidRDefault="00DF3A96" w:rsidP="00DF3A96">
      <w:pPr>
        <w:spacing w:after="240"/>
      </w:pPr>
      <w:r w:rsidRPr="00F677FD">
        <w:t>The NAR was introduced in </w:t>
      </w:r>
      <w:hyperlink r:id="rId12" w:history="1">
        <w:r w:rsidRPr="00F677FD">
          <w:t>1995 </w:t>
        </w:r>
      </w:hyperlink>
      <w:r w:rsidRPr="00F677FD">
        <w:t>following the 1993 </w:t>
      </w:r>
      <w:hyperlink r:id="rId13" w:history="1">
        <w:r w:rsidRPr="00F677FD">
          <w:t>Hilmer Review</w:t>
        </w:r>
      </w:hyperlink>
      <w:r w:rsidRPr="00F677FD">
        <w:t>, which proposed a statutory regime to provide access to 'essential facilities' to address the following competition problem:</w:t>
      </w:r>
    </w:p>
    <w:p w14:paraId="318FE3D5" w14:textId="77777777" w:rsidR="00DF3A96" w:rsidRPr="00F677FD" w:rsidRDefault="00DF3A96" w:rsidP="00DF3A96">
      <w:pPr>
        <w:spacing w:after="240"/>
        <w:ind w:left="720"/>
      </w:pPr>
      <w:r w:rsidRPr="00F677FD">
        <w:t>Some economic activities exhibit natural monopoly characteristics, in the sense that they cannot be duplicated economically. While it is difficult to define precisely the term "natural monopoly",' electricity transmission grids, telecommunication networks, rail tracks, major pipelines, ports and airports are often given as examples. Some facilities that exhibit these characteristics occupy strategic positions in an industry, and are thus "essential facilities" in the sense that access to the facility is required if a business is to be able to compete effectively in upstream or downstream markets</w:t>
      </w:r>
      <w:r>
        <w:t>…</w:t>
      </w:r>
    </w:p>
    <w:p w14:paraId="782427C2" w14:textId="77777777" w:rsidR="00DF3A96" w:rsidRPr="00F677FD" w:rsidRDefault="00DF3A96" w:rsidP="00DF3A96">
      <w:pPr>
        <w:spacing w:after="240"/>
        <w:ind w:left="720"/>
      </w:pPr>
      <w:r w:rsidRPr="00F677FD">
        <w:t xml:space="preserve">Where the owner of the "essential facility" is vertically-integrated with potentially competitive activities in upstream or downstream markets — as is </w:t>
      </w:r>
      <w:r w:rsidRPr="00F677FD">
        <w:lastRenderedPageBreak/>
        <w:t>commonly the case with traditional public monopolies such as telecommunications, electricity and rail — the potential to charge monopoly prices may be combined with an incentive to inhibit competitors' access to the facility. For example, a business that owned an electricity transmission grid and was also participating in the electricity generation market could restrict access to the grid to prevent or limit competition in the generation market. Even the prospect of such behaviour may be sufficient to deter entry to, or limit vigorous competition in, markets that are dependent on access to an essential facility (Chapter 11, pp240-241).</w:t>
      </w:r>
    </w:p>
    <w:p w14:paraId="6B8EA0B7" w14:textId="30CB9BF3" w:rsidR="00DF3A96" w:rsidRPr="00DF3A96" w:rsidRDefault="00DF3A96" w:rsidP="00DF3A96">
      <w:pPr>
        <w:spacing w:after="240"/>
      </w:pPr>
      <w:r w:rsidRPr="00F677FD">
        <w:t xml:space="preserve">The Hilmer </w:t>
      </w:r>
      <w:r w:rsidR="002448AA">
        <w:t>R</w:t>
      </w:r>
      <w:r w:rsidRPr="00F677FD">
        <w:t>eview led to the </w:t>
      </w:r>
      <w:hyperlink r:id="rId14" w:history="1">
        <w:r w:rsidRPr="00F677FD">
          <w:t xml:space="preserve">1995 </w:t>
        </w:r>
        <w:r>
          <w:t xml:space="preserve">intergovernmental </w:t>
        </w:r>
        <w:r w:rsidRPr="00F677FD">
          <w:t>Competition Principles Agreement</w:t>
        </w:r>
      </w:hyperlink>
      <w:r w:rsidRPr="00F677FD">
        <w:t> in which</w:t>
      </w:r>
      <w:r>
        <w:t>,</w:t>
      </w:r>
      <w:r w:rsidRPr="00F677FD">
        <w:t xml:space="preserve"> a</w:t>
      </w:r>
      <w:r>
        <w:t>mong other things,</w:t>
      </w:r>
      <w:r w:rsidRPr="00F677FD">
        <w:t xml:space="preserve"> the Commonwealth agreed to introduce legislation for a national access regime (clause 6).</w:t>
      </w:r>
      <w:r>
        <w:t xml:space="preserve"> Legislation establishing the NAR came into force in 1995. </w:t>
      </w:r>
    </w:p>
    <w:p w14:paraId="2D3F9840" w14:textId="17D5C8E7" w:rsidR="00A65E60" w:rsidRPr="005F78F2" w:rsidRDefault="00A65E60" w:rsidP="00A65E60">
      <w:pPr>
        <w:pStyle w:val="Heading3"/>
      </w:pPr>
      <w:bookmarkStart w:id="171" w:name="_Toc71270976"/>
      <w:bookmarkStart w:id="172" w:name="_Toc71282581"/>
      <w:bookmarkStart w:id="173" w:name="_Toc71282962"/>
      <w:bookmarkStart w:id="174" w:name="_Toc71294367"/>
      <w:bookmarkStart w:id="175" w:name="_Toc71299669"/>
      <w:bookmarkStart w:id="176" w:name="_Toc71301623"/>
      <w:bookmarkStart w:id="177" w:name="_Toc71310096"/>
      <w:bookmarkStart w:id="178" w:name="_Toc71317853"/>
      <w:r w:rsidRPr="005F78F2">
        <w:t>Case studies of National Access Regime matters</w:t>
      </w:r>
      <w:bookmarkEnd w:id="171"/>
      <w:bookmarkEnd w:id="172"/>
      <w:bookmarkEnd w:id="173"/>
      <w:bookmarkEnd w:id="174"/>
      <w:bookmarkEnd w:id="175"/>
      <w:bookmarkEnd w:id="176"/>
      <w:bookmarkEnd w:id="177"/>
      <w:bookmarkEnd w:id="178"/>
    </w:p>
    <w:p w14:paraId="7BC090F5" w14:textId="77777777" w:rsidR="00A65E60" w:rsidRPr="00444772" w:rsidRDefault="00A65E60" w:rsidP="001148B8">
      <w:pPr>
        <w:pStyle w:val="Bulletpoint"/>
      </w:pPr>
      <w:r w:rsidRPr="00444772">
        <w:t xml:space="preserve">The </w:t>
      </w:r>
      <w:r w:rsidRPr="00FD7563">
        <w:rPr>
          <w:b/>
        </w:rPr>
        <w:t>Mt Newman Railway</w:t>
      </w:r>
      <w:r w:rsidRPr="00444772">
        <w:t xml:space="preserve"> </w:t>
      </w:r>
      <w:r>
        <w:t xml:space="preserve">declaration </w:t>
      </w:r>
      <w:r w:rsidRPr="002D5C4D">
        <w:t>application</w:t>
      </w:r>
      <w:r w:rsidRPr="00444772">
        <w:t xml:space="preserve"> commenced in June 2004 and was finalised in June 2010, around six years later.</w:t>
      </w:r>
      <w:r>
        <w:t xml:space="preserve"> </w:t>
      </w:r>
    </w:p>
    <w:p w14:paraId="258612AC" w14:textId="7C7DF5B8" w:rsidR="00A65E60" w:rsidRDefault="00A65E60" w:rsidP="00A65E60">
      <w:pPr>
        <w:pStyle w:val="Dash"/>
      </w:pPr>
      <w:r w:rsidRPr="003522C2">
        <w:t>The</w:t>
      </w:r>
      <w:r>
        <w:t xml:space="preserve"> Minister’s deemed decision not to declare the railway in May 2006 was subject to an application for merits review by the </w:t>
      </w:r>
      <w:r w:rsidR="00850895">
        <w:t>Tribunal</w:t>
      </w:r>
      <w:r>
        <w:t xml:space="preserve"> lodged in June 2006. The Tribunal’s final decision was handed down in June 2010. </w:t>
      </w:r>
    </w:p>
    <w:p w14:paraId="23871A24" w14:textId="77777777" w:rsidR="00A65E60" w:rsidRPr="00D350F5" w:rsidRDefault="00A65E60" w:rsidP="00A65E60">
      <w:pPr>
        <w:pStyle w:val="Dash"/>
      </w:pPr>
      <w:r>
        <w:t xml:space="preserve">In December 2004 while the declaration application was before the NCC, </w:t>
      </w:r>
      <w:r w:rsidRPr="00D350F5">
        <w:t xml:space="preserve">BHP </w:t>
      </w:r>
      <w:r>
        <w:t xml:space="preserve">challenged the NCC’s finding that the Mt Newman Railway was a ‘service’ within the meaning of the legislation in the Federal Court. The Federal Court’s decision </w:t>
      </w:r>
      <w:r w:rsidRPr="00D350F5">
        <w:t xml:space="preserve">to dismiss the application </w:t>
      </w:r>
      <w:r>
        <w:t xml:space="preserve">was handed down in </w:t>
      </w:r>
      <w:r>
        <w:lastRenderedPageBreak/>
        <w:t>December 2006, and subsequently appealed</w:t>
      </w:r>
      <w:r w:rsidRPr="00D350F5">
        <w:t xml:space="preserve">. The Full Court of the Federal Court’s </w:t>
      </w:r>
      <w:r>
        <w:t xml:space="preserve">decision </w:t>
      </w:r>
      <w:r w:rsidRPr="00D350F5">
        <w:t xml:space="preserve">was then handed down October 2007 and finally appealed to the High Court, which dismissed the appeal </w:t>
      </w:r>
      <w:r>
        <w:t>in September 2008</w:t>
      </w:r>
      <w:r w:rsidRPr="00D350F5">
        <w:t>.</w:t>
      </w:r>
    </w:p>
    <w:p w14:paraId="2CB7B6A9" w14:textId="77777777" w:rsidR="00A65E60" w:rsidRPr="00C377E9" w:rsidRDefault="00A65E60" w:rsidP="00A65E60">
      <w:pPr>
        <w:pStyle w:val="Bulletpoint"/>
      </w:pPr>
      <w:r w:rsidRPr="00C377E9">
        <w:t xml:space="preserve">The </w:t>
      </w:r>
      <w:r w:rsidRPr="00FD7563">
        <w:rPr>
          <w:b/>
        </w:rPr>
        <w:t>Goldsworthy Railway</w:t>
      </w:r>
      <w:r w:rsidRPr="00C377E9">
        <w:t xml:space="preserve"> </w:t>
      </w:r>
      <w:r>
        <w:t xml:space="preserve">declaration </w:t>
      </w:r>
      <w:r w:rsidRPr="00FA4783">
        <w:t>application</w:t>
      </w:r>
      <w:r w:rsidRPr="00C377E9">
        <w:t xml:space="preserve"> commenced in November 2007 and was finalised in June 2010, over </w:t>
      </w:r>
      <w:r>
        <w:t>two and a half</w:t>
      </w:r>
      <w:r w:rsidRPr="00C377E9">
        <w:t xml:space="preserve"> years later. </w:t>
      </w:r>
    </w:p>
    <w:p w14:paraId="1EE73B6D" w14:textId="77777777" w:rsidR="00A65E60" w:rsidRPr="00C377E9" w:rsidRDefault="00A65E60" w:rsidP="00A65E60">
      <w:pPr>
        <w:pStyle w:val="Dash"/>
      </w:pPr>
      <w:r>
        <w:t>The Minister’s original decision in October 2008 was the subject to merits review by the Tribunal, which took twenty months to make a decision.</w:t>
      </w:r>
    </w:p>
    <w:p w14:paraId="27DF89C2" w14:textId="77777777" w:rsidR="00A65E60" w:rsidRPr="00C377E9" w:rsidRDefault="00A65E60" w:rsidP="00A65E60">
      <w:pPr>
        <w:pStyle w:val="Bulletpoint"/>
      </w:pPr>
      <w:r w:rsidRPr="00C377E9">
        <w:t xml:space="preserve">The </w:t>
      </w:r>
      <w:r w:rsidRPr="00FD7563">
        <w:rPr>
          <w:b/>
        </w:rPr>
        <w:t>Hamersley and Robe Railway</w:t>
      </w:r>
      <w:r w:rsidRPr="00C377E9">
        <w:t xml:space="preserve"> </w:t>
      </w:r>
      <w:r>
        <w:t>declaration applications</w:t>
      </w:r>
      <w:r w:rsidRPr="00C377E9">
        <w:t xml:space="preserve"> commenced in November 2007 and January 2008 respectively, and were finalised in February 2013, over 5 years later. </w:t>
      </w:r>
    </w:p>
    <w:p w14:paraId="45B4A40E" w14:textId="77777777" w:rsidR="00A65E60" w:rsidRPr="003B3BF1" w:rsidRDefault="00A65E60" w:rsidP="00A65E60">
      <w:pPr>
        <w:pStyle w:val="Dash"/>
      </w:pPr>
      <w:r>
        <w:t>The Minister’s decision in October 2008 was subject to merits review by the Tribunal in June 2010, whose decision in turn was subject to judicial review, with the High Court handing down its decision in September 2012. The matter was referred back to the Tribunal, which made a final decision in February 2013 to set aside the Minister’s decision to declare the Hamersley and Robe Railway lines. Consequently, neither railway line was declared under the NAR.</w:t>
      </w:r>
    </w:p>
    <w:p w14:paraId="3E0678FD" w14:textId="77777777" w:rsidR="00A65E60" w:rsidRDefault="00A65E60" w:rsidP="00A65E60">
      <w:pPr>
        <w:pStyle w:val="Bulletpoint"/>
      </w:pPr>
      <w:r w:rsidRPr="00C377E9">
        <w:t xml:space="preserve">The </w:t>
      </w:r>
      <w:r w:rsidRPr="00FA4783">
        <w:t>application</w:t>
      </w:r>
      <w:r w:rsidRPr="00C377E9">
        <w:t xml:space="preserve"> by </w:t>
      </w:r>
      <w:r w:rsidRPr="00575EC9">
        <w:t>Virgin Blue Airlines</w:t>
      </w:r>
      <w:r w:rsidRPr="00C377E9">
        <w:t xml:space="preserve"> for declaration of airside services at </w:t>
      </w:r>
      <w:r w:rsidRPr="00575EC9">
        <w:rPr>
          <w:b/>
        </w:rPr>
        <w:t>Sydney Airport</w:t>
      </w:r>
      <w:r w:rsidRPr="00C377E9">
        <w:t xml:space="preserve"> in October 2002 took almost </w:t>
      </w:r>
      <w:r>
        <w:t>four and a half</w:t>
      </w:r>
      <w:r w:rsidRPr="00C377E9">
        <w:t xml:space="preserve"> years to resolve.</w:t>
      </w:r>
    </w:p>
    <w:p w14:paraId="195C5BD4" w14:textId="77777777" w:rsidR="00A65E60" w:rsidRDefault="00A65E60" w:rsidP="00A65E60">
      <w:pPr>
        <w:pStyle w:val="Dash"/>
      </w:pPr>
      <w:r>
        <w:t xml:space="preserve">The Minister’s decision not to declare the infrastructure made in January 2004 was subject to merits review by the Tribunal in December 2005, </w:t>
      </w:r>
      <w:r>
        <w:lastRenderedPageBreak/>
        <w:t>which decided to declare the infrastructure for a five-year period.  The Tribunal’s decision was judicially reviewed by the Full Court of Federal Court, with the Full Court’s October 2006 decision dismissing the appeal. Sydney Airport Corporation applied for special leave to appeal to the High Court, but this was refused in March 2007.</w:t>
      </w:r>
    </w:p>
    <w:p w14:paraId="073B864C" w14:textId="77777777" w:rsidR="00A65E60" w:rsidRDefault="00A65E60" w:rsidP="00A65E60">
      <w:pPr>
        <w:pStyle w:val="Bulletpoint"/>
      </w:pPr>
      <w:r w:rsidRPr="00FA4783">
        <w:t xml:space="preserve">The </w:t>
      </w:r>
      <w:r w:rsidRPr="00FD7563">
        <w:rPr>
          <w:b/>
        </w:rPr>
        <w:t>Port of Newcastle</w:t>
      </w:r>
      <w:r w:rsidRPr="00FA4783">
        <w:t xml:space="preserve"> </w:t>
      </w:r>
      <w:r>
        <w:t xml:space="preserve">was first the subject of an </w:t>
      </w:r>
      <w:r w:rsidRPr="00FA4783">
        <w:t xml:space="preserve">application </w:t>
      </w:r>
      <w:r>
        <w:t>for declaration</w:t>
      </w:r>
      <w:r w:rsidRPr="00FA4783">
        <w:t xml:space="preserve"> in May 2015</w:t>
      </w:r>
      <w:r>
        <w:t xml:space="preserve">. An arbitration process and declaration matter are currently ongoing. </w:t>
      </w:r>
    </w:p>
    <w:p w14:paraId="119BC085" w14:textId="77777777" w:rsidR="00A65E60" w:rsidRPr="00FE74AD" w:rsidRDefault="00A65E60" w:rsidP="00CB62D9">
      <w:pPr>
        <w:pStyle w:val="Dash"/>
      </w:pPr>
      <w:r>
        <w:t>In response to the May 2015 application, in January 2016 t</w:t>
      </w:r>
      <w:r w:rsidRPr="00D15185">
        <w:t xml:space="preserve">he </w:t>
      </w:r>
      <w:r w:rsidRPr="00FE74AD">
        <w:t>Minister decided not to declare the service</w:t>
      </w:r>
      <w:r w:rsidRPr="00D15185">
        <w:t>.</w:t>
      </w:r>
      <w:r w:rsidRPr="00FE74AD">
        <w:t xml:space="preserve"> In </w:t>
      </w:r>
      <w:r>
        <w:t>June</w:t>
      </w:r>
      <w:r w:rsidRPr="00FE74AD">
        <w:t xml:space="preserve"> 2016 the Tribunal set aside the Minister’s decision and declared the service, with the Federal Court affirming that decision in August 2017, and an application for special leave to appeal to the High Court refused in March 2018.</w:t>
      </w:r>
    </w:p>
    <w:p w14:paraId="1F35568E" w14:textId="77777777" w:rsidR="00A65E60" w:rsidRDefault="00A65E60" w:rsidP="00A65E60">
      <w:pPr>
        <w:pStyle w:val="Dash"/>
      </w:pPr>
      <w:r>
        <w:t>Glencore notified an access dispute in November 2016, with the ACCC releasing an arbitration determination in September 2018 which was to apply until the declaration of the Port expired in July 2031.</w:t>
      </w:r>
    </w:p>
    <w:p w14:paraId="5C464DD1" w14:textId="77777777" w:rsidR="00A65E60" w:rsidRDefault="00A65E60" w:rsidP="00A65E60">
      <w:pPr>
        <w:pStyle w:val="Dash"/>
      </w:pPr>
      <w:r>
        <w:t xml:space="preserve">The Tribunal finalised its review of the ACCC’s arbitration decision in October 2019. The Full Federal Court released its decision on the Tribunal review in August 2020. The matter is currently before the High Court. </w:t>
      </w:r>
    </w:p>
    <w:p w14:paraId="102428AA" w14:textId="77777777" w:rsidR="00A65E60" w:rsidRDefault="00A65E60" w:rsidP="00A65E60">
      <w:pPr>
        <w:pStyle w:val="Dash"/>
      </w:pPr>
      <w:r>
        <w:t>Following a request by the Port of Newcastle and recommendation from the NCC, t</w:t>
      </w:r>
      <w:r w:rsidRPr="00444772">
        <w:t xml:space="preserve">he declaration of the Port was </w:t>
      </w:r>
      <w:r>
        <w:t xml:space="preserve">deemed to have been </w:t>
      </w:r>
      <w:r w:rsidRPr="00444772">
        <w:t xml:space="preserve">revoked in </w:t>
      </w:r>
      <w:r w:rsidRPr="00F17A04">
        <w:t>September 2019</w:t>
      </w:r>
      <w:r>
        <w:t>.</w:t>
      </w:r>
    </w:p>
    <w:p w14:paraId="5638BE26" w14:textId="0E2A802A" w:rsidR="00A65E60" w:rsidRPr="00D15185" w:rsidRDefault="00A65E60" w:rsidP="00A65E60">
      <w:pPr>
        <w:pStyle w:val="Dash"/>
      </w:pPr>
      <w:r w:rsidRPr="00D15185">
        <w:t>The N</w:t>
      </w:r>
      <w:r w:rsidR="00AD1295">
        <w:t>SW</w:t>
      </w:r>
      <w:r w:rsidRPr="00D15185">
        <w:t xml:space="preserve"> Minerals Council then applied to have the Port declared in July 2020</w:t>
      </w:r>
      <w:r>
        <w:t>. T</w:t>
      </w:r>
      <w:r w:rsidRPr="005B34C9">
        <w:t xml:space="preserve">he Treasurer accepted the NCC’s recommendation not to declare </w:t>
      </w:r>
      <w:r w:rsidRPr="005B34C9">
        <w:lastRenderedPageBreak/>
        <w:t>the Port in February 2021. This matter is now before the Tribunal for review.</w:t>
      </w:r>
    </w:p>
    <w:p w14:paraId="71B80BB2" w14:textId="2B667F65" w:rsidR="00DF3A96" w:rsidRDefault="00DF3A96" w:rsidP="00620272">
      <w:pPr>
        <w:rPr>
          <w:b/>
        </w:rPr>
      </w:pPr>
    </w:p>
    <w:p w14:paraId="5D47F0B3" w14:textId="1E11CBD5" w:rsidR="00DF3A96" w:rsidRDefault="00B97FB6" w:rsidP="001148B8">
      <w:pPr>
        <w:pStyle w:val="Heading3"/>
      </w:pPr>
      <w:bookmarkStart w:id="179" w:name="_Toc71270977"/>
      <w:bookmarkStart w:id="180" w:name="_Toc71282582"/>
      <w:bookmarkStart w:id="181" w:name="_Toc71282963"/>
      <w:bookmarkStart w:id="182" w:name="_Toc71294368"/>
      <w:bookmarkStart w:id="183" w:name="_Toc71299670"/>
      <w:bookmarkStart w:id="184" w:name="_Toc71301624"/>
      <w:bookmarkStart w:id="185" w:name="_Toc71310097"/>
      <w:bookmarkStart w:id="186" w:name="_Toc71317854"/>
      <w:r>
        <w:t>NAR matters</w:t>
      </w:r>
      <w:bookmarkEnd w:id="179"/>
      <w:bookmarkEnd w:id="180"/>
      <w:bookmarkEnd w:id="181"/>
      <w:bookmarkEnd w:id="182"/>
      <w:bookmarkEnd w:id="183"/>
      <w:bookmarkEnd w:id="184"/>
      <w:bookmarkEnd w:id="185"/>
      <w:bookmarkEnd w:id="186"/>
    </w:p>
    <w:p w14:paraId="564A9BAA" w14:textId="44177C3A" w:rsidR="00B97FB6" w:rsidRDefault="00B97FB6" w:rsidP="00B45C55">
      <w:pPr>
        <w:spacing w:after="240"/>
      </w:pPr>
      <w:r w:rsidRPr="00575EC9">
        <w:t>A ‘matter’ under the NAR comprises declaration, revocation and arbitration processes involving the same infrastructure.</w:t>
      </w:r>
    </w:p>
    <w:p w14:paraId="14342D01" w14:textId="0A1E9492" w:rsidR="004A190F" w:rsidRDefault="004A190F" w:rsidP="00B45C55">
      <w:pPr>
        <w:spacing w:after="240"/>
      </w:pPr>
      <w:r>
        <w:t>Highly contentious matters are shaded.</w:t>
      </w:r>
    </w:p>
    <w:p w14:paraId="01B15A94" w14:textId="77777777" w:rsidR="00F51F00" w:rsidRDefault="00F51F00" w:rsidP="00B45C55">
      <w:pPr>
        <w:spacing w:after="240"/>
        <w:sectPr w:rsidR="00F51F00" w:rsidSect="00B26185">
          <w:pgSz w:w="11906" w:h="16838"/>
          <w:pgMar w:top="1440" w:right="1440" w:bottom="1440" w:left="1440" w:header="708" w:footer="708" w:gutter="0"/>
          <w:cols w:space="708"/>
          <w:docGrid w:linePitch="360"/>
        </w:sectPr>
      </w:pPr>
    </w:p>
    <w:p w14:paraId="5405945C" w14:textId="29E759FB" w:rsidR="00B97FB6" w:rsidRDefault="00B97FB6" w:rsidP="00B45C55">
      <w:pPr>
        <w:spacing w:after="240"/>
      </w:pPr>
    </w:p>
    <w:tbl>
      <w:tblPr>
        <w:tblStyle w:val="PlainTable2"/>
        <w:tblW w:w="13091" w:type="dxa"/>
        <w:jc w:val="center"/>
        <w:tblLook w:val="04A0" w:firstRow="1" w:lastRow="0" w:firstColumn="1" w:lastColumn="0" w:noHBand="0" w:noVBand="1"/>
      </w:tblPr>
      <w:tblGrid>
        <w:gridCol w:w="1633"/>
        <w:gridCol w:w="1359"/>
        <w:gridCol w:w="1493"/>
        <w:gridCol w:w="1557"/>
        <w:gridCol w:w="1075"/>
        <w:gridCol w:w="1166"/>
        <w:gridCol w:w="1230"/>
        <w:gridCol w:w="1146"/>
        <w:gridCol w:w="1073"/>
        <w:gridCol w:w="1359"/>
      </w:tblGrid>
      <w:tr w:rsidR="002B0FB9" w14:paraId="2B425E41" w14:textId="77777777" w:rsidTr="00A156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91" w:type="dxa"/>
            <w:gridSpan w:val="10"/>
          </w:tcPr>
          <w:p w14:paraId="0B1E7A31" w14:textId="1E064D28" w:rsidR="002B0FB9" w:rsidRDefault="002B0FB9" w:rsidP="002B0FB9">
            <w:pPr>
              <w:spacing w:before="60" w:after="60"/>
            </w:pPr>
            <w:r>
              <w:t>NATIONAL ACCESS REGIME MATTERS SINCE 1995</w:t>
            </w:r>
          </w:p>
        </w:tc>
      </w:tr>
      <w:tr w:rsidR="00DB3D1F" w:rsidRPr="002B0FB9" w14:paraId="5D0D7B76" w14:textId="1D511AAA"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58DEBF56" w14:textId="77777777" w:rsidR="00DB3D1F" w:rsidRPr="002B0FB9" w:rsidRDefault="00DB3D1F" w:rsidP="001148B8">
            <w:pPr>
              <w:spacing w:before="60" w:after="60"/>
              <w:rPr>
                <w:bCs w:val="0"/>
              </w:rPr>
            </w:pPr>
            <w:r w:rsidRPr="002B0FB9">
              <w:t>Matter</w:t>
            </w:r>
          </w:p>
          <w:p w14:paraId="629AD2FF" w14:textId="3351816B" w:rsidR="00DB3D1F" w:rsidRPr="002B0FB9" w:rsidRDefault="00DB3D1F" w:rsidP="001148B8">
            <w:pPr>
              <w:spacing w:before="60" w:after="60"/>
            </w:pPr>
          </w:p>
        </w:tc>
        <w:tc>
          <w:tcPr>
            <w:tcW w:w="1359" w:type="dxa"/>
          </w:tcPr>
          <w:p w14:paraId="689D705A" w14:textId="509EA485"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Commenced</w:t>
            </w:r>
          </w:p>
        </w:tc>
        <w:tc>
          <w:tcPr>
            <w:tcW w:w="1493" w:type="dxa"/>
          </w:tcPr>
          <w:p w14:paraId="7AEC263A" w14:textId="07C663AB"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Finalised</w:t>
            </w:r>
          </w:p>
        </w:tc>
        <w:tc>
          <w:tcPr>
            <w:tcW w:w="1557" w:type="dxa"/>
          </w:tcPr>
          <w:p w14:paraId="4E1D9832" w14:textId="77777777"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Declaration</w:t>
            </w:r>
          </w:p>
          <w:p w14:paraId="508370BC" w14:textId="41678094" w:rsidR="00DB3D1F" w:rsidRPr="00FB71AB"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FB71AB">
              <w:t>(initial decision)</w:t>
            </w:r>
          </w:p>
        </w:tc>
        <w:tc>
          <w:tcPr>
            <w:tcW w:w="1075" w:type="dxa"/>
          </w:tcPr>
          <w:p w14:paraId="5D88CB44" w14:textId="0B221CEB"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Tribunal</w:t>
            </w:r>
          </w:p>
        </w:tc>
        <w:tc>
          <w:tcPr>
            <w:tcW w:w="1166" w:type="dxa"/>
          </w:tcPr>
          <w:p w14:paraId="63EAC9EA" w14:textId="7A00F4A6"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Litigation</w:t>
            </w:r>
          </w:p>
        </w:tc>
        <w:tc>
          <w:tcPr>
            <w:tcW w:w="1230" w:type="dxa"/>
          </w:tcPr>
          <w:p w14:paraId="41510A86" w14:textId="61B844E4" w:rsidR="00DB3D1F" w:rsidRPr="002B0FB9" w:rsidRDefault="00DB3D1F" w:rsidP="001148B8">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Arbitration</w:t>
            </w:r>
          </w:p>
        </w:tc>
        <w:tc>
          <w:tcPr>
            <w:tcW w:w="1146" w:type="dxa"/>
          </w:tcPr>
          <w:p w14:paraId="78F888D8" w14:textId="61820DB1" w:rsidR="00DB3D1F" w:rsidRPr="002B0FB9" w:rsidRDefault="00DB3D1F" w:rsidP="000F5F8D">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Tribunal</w:t>
            </w:r>
          </w:p>
        </w:tc>
        <w:tc>
          <w:tcPr>
            <w:tcW w:w="1073" w:type="dxa"/>
          </w:tcPr>
          <w:p w14:paraId="65833273" w14:textId="592CD539" w:rsidR="00DB3D1F" w:rsidRPr="002B0FB9" w:rsidRDefault="00DB3D1F" w:rsidP="000F5F8D">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Litigation</w:t>
            </w:r>
          </w:p>
        </w:tc>
        <w:tc>
          <w:tcPr>
            <w:tcW w:w="1359" w:type="dxa"/>
          </w:tcPr>
          <w:p w14:paraId="44D602D0" w14:textId="3F00ACA5" w:rsidR="00DB3D1F" w:rsidRPr="002B0FB9" w:rsidRDefault="00DB3D1F" w:rsidP="000F5F8D">
            <w:pPr>
              <w:spacing w:before="60" w:after="60"/>
              <w:cnfStyle w:val="000000100000" w:firstRow="0" w:lastRow="0" w:firstColumn="0" w:lastColumn="0" w:oddVBand="0" w:evenVBand="0" w:oddHBand="1" w:evenHBand="0" w:firstRowFirstColumn="0" w:firstRowLastColumn="0" w:lastRowFirstColumn="0" w:lastRowLastColumn="0"/>
              <w:rPr>
                <w:b/>
              </w:rPr>
            </w:pPr>
            <w:r w:rsidRPr="002B0FB9">
              <w:rPr>
                <w:b/>
              </w:rPr>
              <w:t>Revocation</w:t>
            </w:r>
          </w:p>
        </w:tc>
      </w:tr>
      <w:tr w:rsidR="00DB3D1F" w14:paraId="076051AD" w14:textId="4B618831"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69465454" w14:textId="7F309703" w:rsidR="00DB3D1F" w:rsidRPr="002B0FB9" w:rsidRDefault="00DB3D1F" w:rsidP="001148B8">
            <w:pPr>
              <w:spacing w:before="60" w:after="60"/>
              <w:rPr>
                <w:b w:val="0"/>
              </w:rPr>
            </w:pPr>
            <w:r w:rsidRPr="002B0FB9">
              <w:rPr>
                <w:b w:val="0"/>
              </w:rPr>
              <w:t xml:space="preserve">Austudy Payroll Deduction Service </w:t>
            </w:r>
          </w:p>
        </w:tc>
        <w:tc>
          <w:tcPr>
            <w:tcW w:w="1359" w:type="dxa"/>
          </w:tcPr>
          <w:p w14:paraId="4A1DFB06" w14:textId="061E4681"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1996</w:t>
            </w:r>
          </w:p>
        </w:tc>
        <w:tc>
          <w:tcPr>
            <w:tcW w:w="1493" w:type="dxa"/>
          </w:tcPr>
          <w:p w14:paraId="7B33ED38" w14:textId="1CC8B1B6" w:rsidR="00DB3D1F" w:rsidRDefault="00F22F25" w:rsidP="001148B8">
            <w:pPr>
              <w:spacing w:before="60" w:after="60"/>
              <w:cnfStyle w:val="000000000000" w:firstRow="0" w:lastRow="0" w:firstColumn="0" w:lastColumn="0" w:oddVBand="0" w:evenVBand="0" w:oddHBand="0" w:evenHBand="0" w:firstRowFirstColumn="0" w:firstRowLastColumn="0" w:lastRowFirstColumn="0" w:lastRowLastColumn="0"/>
            </w:pPr>
            <w:r>
              <w:t>1997</w:t>
            </w:r>
          </w:p>
        </w:tc>
        <w:tc>
          <w:tcPr>
            <w:tcW w:w="1557" w:type="dxa"/>
          </w:tcPr>
          <w:p w14:paraId="12206798" w14:textId="17CA4001"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Not granted</w:t>
            </w:r>
          </w:p>
        </w:tc>
        <w:tc>
          <w:tcPr>
            <w:tcW w:w="1075" w:type="dxa"/>
          </w:tcPr>
          <w:p w14:paraId="0032FB94" w14:textId="45062FDE"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Yes</w:t>
            </w:r>
          </w:p>
        </w:tc>
        <w:tc>
          <w:tcPr>
            <w:tcW w:w="1166" w:type="dxa"/>
          </w:tcPr>
          <w:p w14:paraId="3EEA0993" w14:textId="196738C2"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3C01C5">
              <w:t>No</w:t>
            </w:r>
          </w:p>
        </w:tc>
        <w:tc>
          <w:tcPr>
            <w:tcW w:w="1230" w:type="dxa"/>
          </w:tcPr>
          <w:p w14:paraId="337E17B5" w14:textId="27F92D8A"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2579CDBC" w14:textId="1D54D06A"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4E69508A" w14:textId="59CC3EB5"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1B23F97B" w14:textId="2A732637"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46766147" w14:textId="40148A41"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75C17AA7" w14:textId="405B70FD" w:rsidR="00DB3D1F" w:rsidRPr="002B0FB9" w:rsidRDefault="00DB3D1F" w:rsidP="00F56B1C">
            <w:pPr>
              <w:spacing w:before="60" w:after="60"/>
              <w:rPr>
                <w:b w:val="0"/>
              </w:rPr>
            </w:pPr>
            <w:r w:rsidRPr="002B0FB9">
              <w:rPr>
                <w:b w:val="0"/>
              </w:rPr>
              <w:t xml:space="preserve">Sydney International Airport – freight and cargo services  </w:t>
            </w:r>
          </w:p>
        </w:tc>
        <w:tc>
          <w:tcPr>
            <w:tcW w:w="1359" w:type="dxa"/>
          </w:tcPr>
          <w:p w14:paraId="1A8B5607" w14:textId="7A36F7DC"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4A190F">
              <w:t>1996</w:t>
            </w:r>
          </w:p>
        </w:tc>
        <w:tc>
          <w:tcPr>
            <w:tcW w:w="1493" w:type="dxa"/>
          </w:tcPr>
          <w:p w14:paraId="6E6FF9AC" w14:textId="51529C26"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2000</w:t>
            </w:r>
          </w:p>
        </w:tc>
        <w:tc>
          <w:tcPr>
            <w:tcW w:w="1557" w:type="dxa"/>
          </w:tcPr>
          <w:p w14:paraId="58CA1EFD" w14:textId="143FCEA7" w:rsidR="00DB3D1F" w:rsidRDefault="001B2B97" w:rsidP="005D4017">
            <w:pPr>
              <w:spacing w:before="60" w:after="60"/>
              <w:cnfStyle w:val="000000100000" w:firstRow="0" w:lastRow="0" w:firstColumn="0" w:lastColumn="0" w:oddVBand="0" w:evenVBand="0" w:oddHBand="1" w:evenHBand="0" w:firstRowFirstColumn="0" w:firstRowLastColumn="0" w:lastRowFirstColumn="0" w:lastRowLastColumn="0"/>
            </w:pPr>
            <w:r>
              <w:t>Granted</w:t>
            </w:r>
            <w:r w:rsidR="005D4017">
              <w:t xml:space="preserve"> in part</w:t>
            </w:r>
          </w:p>
        </w:tc>
        <w:tc>
          <w:tcPr>
            <w:tcW w:w="1075" w:type="dxa"/>
          </w:tcPr>
          <w:p w14:paraId="5D13B224" w14:textId="5098B898"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Yes</w:t>
            </w:r>
          </w:p>
        </w:tc>
        <w:tc>
          <w:tcPr>
            <w:tcW w:w="1166" w:type="dxa"/>
          </w:tcPr>
          <w:p w14:paraId="57A5EDF0" w14:textId="32E4D69A"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13A5E862" w14:textId="43E1C751"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5ED0A30F" w14:textId="2030B020"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050C5DC7" w14:textId="127B5E18"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542D4BB2" w14:textId="79B5B054"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7315941B" w14:textId="31ABA48B"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173E579A" w14:textId="55E8D7EB" w:rsidR="00DB3D1F" w:rsidRPr="002B0FB9" w:rsidRDefault="00DB3D1F" w:rsidP="001148B8">
            <w:pPr>
              <w:spacing w:before="60" w:after="60"/>
              <w:rPr>
                <w:b w:val="0"/>
              </w:rPr>
            </w:pPr>
            <w:r w:rsidRPr="002B0FB9">
              <w:rPr>
                <w:b w:val="0"/>
              </w:rPr>
              <w:t>Melbourne International Airport - freight and cargo services</w:t>
            </w:r>
          </w:p>
        </w:tc>
        <w:tc>
          <w:tcPr>
            <w:tcW w:w="1359" w:type="dxa"/>
          </w:tcPr>
          <w:p w14:paraId="4DB3784D" w14:textId="5590A745"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1996</w:t>
            </w:r>
          </w:p>
        </w:tc>
        <w:tc>
          <w:tcPr>
            <w:tcW w:w="1493" w:type="dxa"/>
          </w:tcPr>
          <w:p w14:paraId="791AF524" w14:textId="78F1EBA6"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1997</w:t>
            </w:r>
          </w:p>
        </w:tc>
        <w:tc>
          <w:tcPr>
            <w:tcW w:w="1557" w:type="dxa"/>
          </w:tcPr>
          <w:p w14:paraId="1A3B57BF" w14:textId="67AA0A77" w:rsidR="00DB3D1F" w:rsidRDefault="001B2B97" w:rsidP="005D4017">
            <w:pPr>
              <w:spacing w:before="60" w:after="60"/>
              <w:cnfStyle w:val="000000000000" w:firstRow="0" w:lastRow="0" w:firstColumn="0" w:lastColumn="0" w:oddVBand="0" w:evenVBand="0" w:oddHBand="0" w:evenHBand="0" w:firstRowFirstColumn="0" w:firstRowLastColumn="0" w:lastRowFirstColumn="0" w:lastRowLastColumn="0"/>
            </w:pPr>
            <w:r>
              <w:t>Granted</w:t>
            </w:r>
            <w:r w:rsidR="005D4017">
              <w:t xml:space="preserve"> in part</w:t>
            </w:r>
            <w:r w:rsidR="00907C7C">
              <w:t xml:space="preserve"> </w:t>
            </w:r>
          </w:p>
        </w:tc>
        <w:tc>
          <w:tcPr>
            <w:tcW w:w="1075" w:type="dxa"/>
          </w:tcPr>
          <w:p w14:paraId="71A202FD" w14:textId="6564B2E5"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66" w:type="dxa"/>
          </w:tcPr>
          <w:p w14:paraId="6F59A47C" w14:textId="41BDEF85"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5D081D8F" w14:textId="7CBD9982"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1B62E22D" w14:textId="5B7F4C60"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3B8B890D" w14:textId="0978E2D0"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4D362401" w14:textId="1BC076E7"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128E297B" w14:textId="02723CFA"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78676AF0" w14:textId="1B832ACE" w:rsidR="00DB3D1F" w:rsidRPr="002B0FB9" w:rsidRDefault="00DB3D1F" w:rsidP="00F56B1C">
            <w:pPr>
              <w:spacing w:before="60" w:after="60"/>
              <w:rPr>
                <w:b w:val="0"/>
                <w:bCs w:val="0"/>
              </w:rPr>
            </w:pPr>
            <w:r w:rsidRPr="002B0FB9">
              <w:rPr>
                <w:b w:val="0"/>
              </w:rPr>
              <w:t xml:space="preserve">Queensland Rail Freight </w:t>
            </w:r>
          </w:p>
        </w:tc>
        <w:tc>
          <w:tcPr>
            <w:tcW w:w="1359" w:type="dxa"/>
          </w:tcPr>
          <w:p w14:paraId="327E73C5" w14:textId="21464707"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4A190F">
              <w:t>1996</w:t>
            </w:r>
          </w:p>
        </w:tc>
        <w:tc>
          <w:tcPr>
            <w:tcW w:w="1493" w:type="dxa"/>
          </w:tcPr>
          <w:p w14:paraId="382C2CB3" w14:textId="2A392564"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1997</w:t>
            </w:r>
          </w:p>
        </w:tc>
        <w:tc>
          <w:tcPr>
            <w:tcW w:w="1557" w:type="dxa"/>
          </w:tcPr>
          <w:p w14:paraId="11BBAA98" w14:textId="7C1D5559"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tcPr>
          <w:p w14:paraId="678C3B58" w14:textId="77B2515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66" w:type="dxa"/>
          </w:tcPr>
          <w:p w14:paraId="09CD8CAB" w14:textId="05636F25"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2D9A2C9A" w14:textId="193AEAD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0EADD76E" w14:textId="33393C8C"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3E2E5560" w14:textId="35C48BA1"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218F1346" w14:textId="2E2B72A8"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4897CCEF" w14:textId="32B4F023"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756CDF72" w14:textId="7E5E98ED" w:rsidR="00DB3D1F" w:rsidRPr="002B0FB9" w:rsidRDefault="00DB3D1F" w:rsidP="00F56B1C">
            <w:pPr>
              <w:spacing w:before="60" w:after="60"/>
              <w:rPr>
                <w:b w:val="0"/>
              </w:rPr>
            </w:pPr>
            <w:r w:rsidRPr="002B0FB9">
              <w:rPr>
                <w:b w:val="0"/>
              </w:rPr>
              <w:t>NSW Rail Track (Sydney to Broken Hill)</w:t>
            </w:r>
          </w:p>
        </w:tc>
        <w:tc>
          <w:tcPr>
            <w:tcW w:w="1359" w:type="dxa"/>
          </w:tcPr>
          <w:p w14:paraId="6CC518FD" w14:textId="6C15968C"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1997</w:t>
            </w:r>
          </w:p>
        </w:tc>
        <w:tc>
          <w:tcPr>
            <w:tcW w:w="1493" w:type="dxa"/>
          </w:tcPr>
          <w:p w14:paraId="605C966C" w14:textId="7C259FED"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1997</w:t>
            </w:r>
          </w:p>
        </w:tc>
        <w:tc>
          <w:tcPr>
            <w:tcW w:w="1557" w:type="dxa"/>
          </w:tcPr>
          <w:p w14:paraId="5B039875" w14:textId="0C602E3F"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Not granted</w:t>
            </w:r>
          </w:p>
        </w:tc>
        <w:tc>
          <w:tcPr>
            <w:tcW w:w="1075" w:type="dxa"/>
          </w:tcPr>
          <w:p w14:paraId="33FC9792" w14:textId="23637585"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66" w:type="dxa"/>
          </w:tcPr>
          <w:p w14:paraId="7C4F986C" w14:textId="4F3E3919"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14976604" w14:textId="1783E510"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0F3167D2" w14:textId="5DC785FC"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756897E3" w14:textId="292C6312"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3E200699" w14:textId="582A13B2"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3859C785" w14:textId="6AA337F8"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030E3601" w14:textId="5D0189AB" w:rsidR="00DB3D1F" w:rsidRPr="002B0FB9" w:rsidRDefault="00DB3D1F" w:rsidP="00F56B1C">
            <w:pPr>
              <w:spacing w:before="60" w:after="60"/>
              <w:rPr>
                <w:b w:val="0"/>
              </w:rPr>
            </w:pPr>
            <w:r w:rsidRPr="002B0FB9">
              <w:rPr>
                <w:b w:val="0"/>
              </w:rPr>
              <w:t>NSW Rail Track Services (Hunter Valley)</w:t>
            </w:r>
          </w:p>
        </w:tc>
        <w:tc>
          <w:tcPr>
            <w:tcW w:w="1359" w:type="dxa"/>
          </w:tcPr>
          <w:p w14:paraId="533A7165" w14:textId="606CF202"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4A190F">
              <w:t>1997</w:t>
            </w:r>
          </w:p>
        </w:tc>
        <w:tc>
          <w:tcPr>
            <w:tcW w:w="1493" w:type="dxa"/>
          </w:tcPr>
          <w:p w14:paraId="041D0FE8" w14:textId="7A065CF4"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1997</w:t>
            </w:r>
          </w:p>
        </w:tc>
        <w:tc>
          <w:tcPr>
            <w:tcW w:w="1557" w:type="dxa"/>
          </w:tcPr>
          <w:p w14:paraId="69F7E416" w14:textId="60DAE48D"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tcPr>
          <w:p w14:paraId="65F611A8" w14:textId="79080994"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66" w:type="dxa"/>
          </w:tcPr>
          <w:p w14:paraId="2C1048ED" w14:textId="5A95FD1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07CA7F59" w14:textId="24FB3FD7"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7E84253D" w14:textId="2E1250CF"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2E957FEF" w14:textId="5DB74DBE"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6AD853CB" w14:textId="4A19E153"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184B89B8" w14:textId="1C1321DD"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4C2E810F" w14:textId="65FE2CFA" w:rsidR="00DB3D1F" w:rsidRPr="002B0FB9" w:rsidRDefault="00DB3D1F" w:rsidP="001148B8">
            <w:pPr>
              <w:spacing w:before="60" w:after="60"/>
              <w:rPr>
                <w:b w:val="0"/>
              </w:rPr>
            </w:pPr>
            <w:r w:rsidRPr="002B0FB9">
              <w:rPr>
                <w:b w:val="0"/>
              </w:rPr>
              <w:t>Western Australian Rail Infrastructure</w:t>
            </w:r>
          </w:p>
        </w:tc>
        <w:tc>
          <w:tcPr>
            <w:tcW w:w="1359" w:type="dxa"/>
          </w:tcPr>
          <w:p w14:paraId="2F19FEFB" w14:textId="471D11FD"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1997</w:t>
            </w:r>
          </w:p>
        </w:tc>
        <w:tc>
          <w:tcPr>
            <w:tcW w:w="1493" w:type="dxa"/>
          </w:tcPr>
          <w:p w14:paraId="1357B78E" w14:textId="51492817"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1998</w:t>
            </w:r>
          </w:p>
        </w:tc>
        <w:tc>
          <w:tcPr>
            <w:tcW w:w="1557" w:type="dxa"/>
          </w:tcPr>
          <w:p w14:paraId="27298A4B" w14:textId="487EE1DE"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Not granted</w:t>
            </w:r>
          </w:p>
        </w:tc>
        <w:tc>
          <w:tcPr>
            <w:tcW w:w="1075" w:type="dxa"/>
          </w:tcPr>
          <w:p w14:paraId="7FAB3290" w14:textId="38461140"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4A190F">
              <w:t>No</w:t>
            </w:r>
          </w:p>
        </w:tc>
        <w:tc>
          <w:tcPr>
            <w:tcW w:w="1166" w:type="dxa"/>
          </w:tcPr>
          <w:p w14:paraId="65BFBDEA" w14:textId="70D1DE3F"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07E5A0BD" w14:textId="6D3AAFA7"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0F542743" w14:textId="43B2F723"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2A72FC73" w14:textId="2FBF504C"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296A215B" w14:textId="57DDF039"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05B7B286" w14:textId="7FEB076C"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7E93B097" w14:textId="18A37EAD" w:rsidR="00DB3D1F" w:rsidRPr="002B0FB9" w:rsidRDefault="00DB3D1F" w:rsidP="00BD7FC2">
            <w:pPr>
              <w:spacing w:before="60" w:after="60"/>
              <w:rPr>
                <w:b w:val="0"/>
              </w:rPr>
            </w:pPr>
            <w:r w:rsidRPr="002B0FB9">
              <w:rPr>
                <w:b w:val="0"/>
              </w:rPr>
              <w:t xml:space="preserve">Victorian Intrastate Rail Track </w:t>
            </w:r>
          </w:p>
        </w:tc>
        <w:tc>
          <w:tcPr>
            <w:tcW w:w="1359" w:type="dxa"/>
          </w:tcPr>
          <w:p w14:paraId="02EA90E9" w14:textId="570E3698"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2001</w:t>
            </w:r>
          </w:p>
        </w:tc>
        <w:tc>
          <w:tcPr>
            <w:tcW w:w="1493" w:type="dxa"/>
          </w:tcPr>
          <w:p w14:paraId="7BC5FE74" w14:textId="78FC6A1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2002</w:t>
            </w:r>
          </w:p>
        </w:tc>
        <w:tc>
          <w:tcPr>
            <w:tcW w:w="1557" w:type="dxa"/>
          </w:tcPr>
          <w:p w14:paraId="1F249D24" w14:textId="46ABEA06"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p w14:paraId="704BD336" w14:textId="77777777"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p>
        </w:tc>
        <w:tc>
          <w:tcPr>
            <w:tcW w:w="1075" w:type="dxa"/>
          </w:tcPr>
          <w:p w14:paraId="5120A975" w14:textId="4C3DC2F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575EC9">
              <w:t>No</w:t>
            </w:r>
          </w:p>
        </w:tc>
        <w:tc>
          <w:tcPr>
            <w:tcW w:w="1166" w:type="dxa"/>
          </w:tcPr>
          <w:p w14:paraId="6D11BEA6" w14:textId="5C88888F"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5CCBDBA4" w14:textId="7BF6E532"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13B60DCE" w14:textId="6F93A447"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4A3C488A" w14:textId="695D4197"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7EECF666" w14:textId="1715DA69"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07A10373" w14:textId="0653F3CD"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0BBD521A" w14:textId="73E34540" w:rsidR="00DB3D1F" w:rsidRPr="002B0FB9" w:rsidRDefault="00DB3D1F" w:rsidP="00BD7FC2">
            <w:pPr>
              <w:spacing w:before="60" w:after="60"/>
              <w:rPr>
                <w:b w:val="0"/>
              </w:rPr>
            </w:pPr>
            <w:r w:rsidRPr="002B0FB9">
              <w:rPr>
                <w:b w:val="0"/>
              </w:rPr>
              <w:t xml:space="preserve">South Australian Rail Track - Wirrida–Tarcoola </w:t>
            </w:r>
          </w:p>
        </w:tc>
        <w:tc>
          <w:tcPr>
            <w:tcW w:w="1359" w:type="dxa"/>
          </w:tcPr>
          <w:p w14:paraId="79035FEC" w14:textId="3E629CBD"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2001</w:t>
            </w:r>
          </w:p>
        </w:tc>
        <w:tc>
          <w:tcPr>
            <w:tcW w:w="1493" w:type="dxa"/>
          </w:tcPr>
          <w:p w14:paraId="1183CE95" w14:textId="67619121"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2003</w:t>
            </w:r>
          </w:p>
        </w:tc>
        <w:tc>
          <w:tcPr>
            <w:tcW w:w="1557" w:type="dxa"/>
          </w:tcPr>
          <w:p w14:paraId="0898E8B3" w14:textId="786E69CE"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Granted</w:t>
            </w:r>
          </w:p>
        </w:tc>
        <w:tc>
          <w:tcPr>
            <w:tcW w:w="1075" w:type="dxa"/>
          </w:tcPr>
          <w:p w14:paraId="6D23C1D6" w14:textId="26F407E1"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Yes</w:t>
            </w:r>
          </w:p>
        </w:tc>
        <w:tc>
          <w:tcPr>
            <w:tcW w:w="1166" w:type="dxa"/>
          </w:tcPr>
          <w:p w14:paraId="0FD03265" w14:textId="5753453F"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412A05B6" w14:textId="469B3FBA"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0429F9BA" w14:textId="7E1683D2"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595E098B" w14:textId="71A8CD6E"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48C5B097" w14:textId="13F2257B"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22FD9035" w14:textId="0F33D0F6"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0B3DFEF9" w14:textId="10AE3877" w:rsidR="00DB3D1F" w:rsidRPr="002B0FB9" w:rsidRDefault="00DB3D1F" w:rsidP="00BD7FC2">
            <w:pPr>
              <w:spacing w:before="60" w:after="60"/>
              <w:rPr>
                <w:b w:val="0"/>
              </w:rPr>
            </w:pPr>
            <w:r w:rsidRPr="002B0FB9">
              <w:rPr>
                <w:b w:val="0"/>
              </w:rPr>
              <w:t>Sydney Airport – airside services</w:t>
            </w:r>
          </w:p>
        </w:tc>
        <w:tc>
          <w:tcPr>
            <w:tcW w:w="1359" w:type="dxa"/>
            <w:shd w:val="clear" w:color="auto" w:fill="D9D9D9" w:themeFill="background1" w:themeFillShade="D9"/>
          </w:tcPr>
          <w:p w14:paraId="646B3A7F" w14:textId="1B9AAD17"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2002</w:t>
            </w:r>
          </w:p>
        </w:tc>
        <w:tc>
          <w:tcPr>
            <w:tcW w:w="1493" w:type="dxa"/>
            <w:shd w:val="clear" w:color="auto" w:fill="D9D9D9" w:themeFill="background1" w:themeFillShade="D9"/>
          </w:tcPr>
          <w:p w14:paraId="00B00224" w14:textId="2E62DCF0"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2007</w:t>
            </w:r>
          </w:p>
        </w:tc>
        <w:tc>
          <w:tcPr>
            <w:tcW w:w="1557" w:type="dxa"/>
            <w:shd w:val="clear" w:color="auto" w:fill="D9D9D9" w:themeFill="background1" w:themeFillShade="D9"/>
          </w:tcPr>
          <w:p w14:paraId="7B4ED70C" w14:textId="3EDDF461"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shd w:val="clear" w:color="auto" w:fill="D9D9D9" w:themeFill="background1" w:themeFillShade="D9"/>
          </w:tcPr>
          <w:p w14:paraId="1A9CDB81" w14:textId="423D79F4"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166" w:type="dxa"/>
            <w:shd w:val="clear" w:color="auto" w:fill="D9D9D9" w:themeFill="background1" w:themeFillShade="D9"/>
          </w:tcPr>
          <w:p w14:paraId="0E9D9159" w14:textId="00AD6731"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230" w:type="dxa"/>
            <w:shd w:val="clear" w:color="auto" w:fill="D9D9D9" w:themeFill="background1" w:themeFillShade="D9"/>
          </w:tcPr>
          <w:p w14:paraId="4DDDC09F" w14:textId="53153DBD"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146" w:type="dxa"/>
            <w:shd w:val="clear" w:color="auto" w:fill="D9D9D9" w:themeFill="background1" w:themeFillShade="D9"/>
          </w:tcPr>
          <w:p w14:paraId="4F3383EE" w14:textId="398C9B7E"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073" w:type="dxa"/>
            <w:shd w:val="clear" w:color="auto" w:fill="D9D9D9" w:themeFill="background1" w:themeFillShade="D9"/>
          </w:tcPr>
          <w:p w14:paraId="06591815" w14:textId="4D2E071F"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359" w:type="dxa"/>
            <w:shd w:val="clear" w:color="auto" w:fill="D9D9D9" w:themeFill="background1" w:themeFillShade="D9"/>
          </w:tcPr>
          <w:p w14:paraId="4A74C133" w14:textId="48EBB70F"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r>
      <w:tr w:rsidR="00DB3D1F" w14:paraId="0A91CB99" w14:textId="7D422234"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auto"/>
          </w:tcPr>
          <w:p w14:paraId="57A8912A" w14:textId="4B9FECFA" w:rsidR="00DB3D1F" w:rsidRPr="002B0FB9" w:rsidRDefault="00DB3D1F" w:rsidP="007521A6">
            <w:pPr>
              <w:spacing w:before="60" w:after="60"/>
              <w:rPr>
                <w:b w:val="0"/>
              </w:rPr>
            </w:pPr>
            <w:r w:rsidRPr="002B0FB9">
              <w:rPr>
                <w:b w:val="0"/>
              </w:rPr>
              <w:t xml:space="preserve">Sydney Sewerage Transmission </w:t>
            </w:r>
          </w:p>
        </w:tc>
        <w:tc>
          <w:tcPr>
            <w:tcW w:w="1359" w:type="dxa"/>
            <w:shd w:val="clear" w:color="auto" w:fill="auto"/>
          </w:tcPr>
          <w:p w14:paraId="78D5E1FA" w14:textId="3A862D0A"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2004</w:t>
            </w:r>
          </w:p>
        </w:tc>
        <w:tc>
          <w:tcPr>
            <w:tcW w:w="1493" w:type="dxa"/>
            <w:shd w:val="clear" w:color="auto" w:fill="auto"/>
          </w:tcPr>
          <w:p w14:paraId="404B3F56" w14:textId="1C7BA50D"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2009</w:t>
            </w:r>
          </w:p>
        </w:tc>
        <w:tc>
          <w:tcPr>
            <w:tcW w:w="1557" w:type="dxa"/>
            <w:shd w:val="clear" w:color="auto" w:fill="auto"/>
          </w:tcPr>
          <w:p w14:paraId="21C9A87A" w14:textId="63F5007B"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Granted</w:t>
            </w:r>
          </w:p>
        </w:tc>
        <w:tc>
          <w:tcPr>
            <w:tcW w:w="1075" w:type="dxa"/>
            <w:shd w:val="clear" w:color="auto" w:fill="auto"/>
          </w:tcPr>
          <w:p w14:paraId="505108D1" w14:textId="56BB2171"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Yes</w:t>
            </w:r>
          </w:p>
        </w:tc>
        <w:tc>
          <w:tcPr>
            <w:tcW w:w="1166" w:type="dxa"/>
            <w:shd w:val="clear" w:color="auto" w:fill="auto"/>
          </w:tcPr>
          <w:p w14:paraId="4FCC121E" w14:textId="5898E0B7"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230" w:type="dxa"/>
            <w:shd w:val="clear" w:color="auto" w:fill="auto"/>
          </w:tcPr>
          <w:p w14:paraId="62DFDAB8" w14:textId="0701BF11"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Yes</w:t>
            </w:r>
          </w:p>
        </w:tc>
        <w:tc>
          <w:tcPr>
            <w:tcW w:w="1146" w:type="dxa"/>
            <w:shd w:val="clear" w:color="auto" w:fill="auto"/>
          </w:tcPr>
          <w:p w14:paraId="40D6AC2C" w14:textId="342BD6D1" w:rsidR="00DB3D1F" w:rsidRPr="001B2B97"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073" w:type="dxa"/>
            <w:shd w:val="clear" w:color="auto" w:fill="auto"/>
          </w:tcPr>
          <w:p w14:paraId="0697D9F9" w14:textId="0503E142" w:rsidR="00DB3D1F" w:rsidRPr="001B2B97"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359" w:type="dxa"/>
            <w:shd w:val="clear" w:color="auto" w:fill="auto"/>
          </w:tcPr>
          <w:p w14:paraId="75010605" w14:textId="799D5B4D" w:rsidR="00DB3D1F" w:rsidRPr="001B2B97"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rsidRPr="001B2B97">
              <w:t xml:space="preserve">Yes </w:t>
            </w:r>
          </w:p>
        </w:tc>
      </w:tr>
      <w:tr w:rsidR="00DB3D1F" w14:paraId="522C08DF" w14:textId="1847F4AC"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08943EC6" w14:textId="095D1662" w:rsidR="00DB3D1F" w:rsidRPr="002B0FB9" w:rsidRDefault="00DB3D1F" w:rsidP="001148B8">
            <w:pPr>
              <w:spacing w:before="60" w:after="60"/>
              <w:rPr>
                <w:b w:val="0"/>
              </w:rPr>
            </w:pPr>
            <w:r w:rsidRPr="002B0FB9">
              <w:rPr>
                <w:b w:val="0"/>
              </w:rPr>
              <w:t>Mt Newman Railway Line</w:t>
            </w:r>
          </w:p>
        </w:tc>
        <w:tc>
          <w:tcPr>
            <w:tcW w:w="1359" w:type="dxa"/>
            <w:shd w:val="clear" w:color="auto" w:fill="D9D9D9" w:themeFill="background1" w:themeFillShade="D9"/>
          </w:tcPr>
          <w:p w14:paraId="3A38F06C" w14:textId="749C9D8A"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2004</w:t>
            </w:r>
          </w:p>
        </w:tc>
        <w:tc>
          <w:tcPr>
            <w:tcW w:w="1493" w:type="dxa"/>
            <w:shd w:val="clear" w:color="auto" w:fill="D9D9D9" w:themeFill="background1" w:themeFillShade="D9"/>
          </w:tcPr>
          <w:p w14:paraId="356C2571" w14:textId="458A1F5C"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2010</w:t>
            </w:r>
          </w:p>
        </w:tc>
        <w:tc>
          <w:tcPr>
            <w:tcW w:w="1557" w:type="dxa"/>
            <w:shd w:val="clear" w:color="auto" w:fill="D9D9D9" w:themeFill="background1" w:themeFillShade="D9"/>
          </w:tcPr>
          <w:p w14:paraId="10E54176" w14:textId="49206751"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shd w:val="clear" w:color="auto" w:fill="D9D9D9" w:themeFill="background1" w:themeFillShade="D9"/>
          </w:tcPr>
          <w:p w14:paraId="460D0470" w14:textId="31591B07"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166" w:type="dxa"/>
            <w:shd w:val="clear" w:color="auto" w:fill="D9D9D9" w:themeFill="background1" w:themeFillShade="D9"/>
          </w:tcPr>
          <w:p w14:paraId="7C701BD8" w14:textId="3E251C84"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230" w:type="dxa"/>
            <w:shd w:val="clear" w:color="auto" w:fill="D9D9D9" w:themeFill="background1" w:themeFillShade="D9"/>
          </w:tcPr>
          <w:p w14:paraId="73E92188" w14:textId="5F4B1DFD"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146" w:type="dxa"/>
            <w:shd w:val="clear" w:color="auto" w:fill="D9D9D9" w:themeFill="background1" w:themeFillShade="D9"/>
          </w:tcPr>
          <w:p w14:paraId="51B8462E" w14:textId="73DFFA84"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073" w:type="dxa"/>
            <w:shd w:val="clear" w:color="auto" w:fill="D9D9D9" w:themeFill="background1" w:themeFillShade="D9"/>
          </w:tcPr>
          <w:p w14:paraId="25694295" w14:textId="2E8094A5"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359" w:type="dxa"/>
            <w:shd w:val="clear" w:color="auto" w:fill="D9D9D9" w:themeFill="background1" w:themeFillShade="D9"/>
          </w:tcPr>
          <w:p w14:paraId="64F1EF75" w14:textId="648E4B59"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r>
      <w:tr w:rsidR="00DB3D1F" w14:paraId="0BC9BA11" w14:textId="29E31052"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0005B952" w14:textId="762FF83F" w:rsidR="00DB3D1F" w:rsidRPr="002B0FB9" w:rsidRDefault="00DB3D1F" w:rsidP="00E4148D">
            <w:pPr>
              <w:spacing w:before="60" w:after="60"/>
              <w:rPr>
                <w:b w:val="0"/>
              </w:rPr>
            </w:pPr>
            <w:r w:rsidRPr="002B0FB9">
              <w:rPr>
                <w:b w:val="0"/>
              </w:rPr>
              <w:t>Snowy Hydro Ltd and State  Water Corporation Water Storage and Transport Services</w:t>
            </w:r>
          </w:p>
        </w:tc>
        <w:tc>
          <w:tcPr>
            <w:tcW w:w="1359" w:type="dxa"/>
          </w:tcPr>
          <w:p w14:paraId="76A32599" w14:textId="5332DD79"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2004</w:t>
            </w:r>
          </w:p>
        </w:tc>
        <w:tc>
          <w:tcPr>
            <w:tcW w:w="1493" w:type="dxa"/>
          </w:tcPr>
          <w:p w14:paraId="6BE6623B" w14:textId="65BA9E8D"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2006</w:t>
            </w:r>
          </w:p>
        </w:tc>
        <w:tc>
          <w:tcPr>
            <w:tcW w:w="1557" w:type="dxa"/>
          </w:tcPr>
          <w:p w14:paraId="00535E9C" w14:textId="7B287932"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Not granted</w:t>
            </w:r>
          </w:p>
        </w:tc>
        <w:tc>
          <w:tcPr>
            <w:tcW w:w="1075" w:type="dxa"/>
          </w:tcPr>
          <w:p w14:paraId="19612CD0" w14:textId="262AA809"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66" w:type="dxa"/>
          </w:tcPr>
          <w:p w14:paraId="4000EC80" w14:textId="534C8CA7"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7E7DB089" w14:textId="75A13882" w:rsidR="00DB3D1F"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36EA7979" w14:textId="702D6ABF"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5C42DA9E" w14:textId="521EA451"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1F0908CF" w14:textId="1E1DCC67" w:rsidR="00DB3D1F"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6BFF4445" w14:textId="56A50AA9"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73A1FEEC" w14:textId="481DE02F" w:rsidR="00DB3D1F" w:rsidRPr="002B0FB9" w:rsidRDefault="00DB3D1F" w:rsidP="001148B8">
            <w:pPr>
              <w:spacing w:before="60" w:after="60"/>
              <w:rPr>
                <w:b w:val="0"/>
              </w:rPr>
            </w:pPr>
            <w:r w:rsidRPr="002B0FB9">
              <w:rPr>
                <w:b w:val="0"/>
              </w:rPr>
              <w:t>Tasmanian Rail Network</w:t>
            </w:r>
          </w:p>
        </w:tc>
        <w:tc>
          <w:tcPr>
            <w:tcW w:w="1359" w:type="dxa"/>
          </w:tcPr>
          <w:p w14:paraId="28BD8EA9" w14:textId="76AAE815"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2007</w:t>
            </w:r>
          </w:p>
        </w:tc>
        <w:tc>
          <w:tcPr>
            <w:tcW w:w="1493" w:type="dxa"/>
          </w:tcPr>
          <w:p w14:paraId="0B16A4AB" w14:textId="159657CE"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2007</w:t>
            </w:r>
          </w:p>
        </w:tc>
        <w:tc>
          <w:tcPr>
            <w:tcW w:w="1557" w:type="dxa"/>
          </w:tcPr>
          <w:p w14:paraId="7EB7DB3B" w14:textId="5ABE6D25"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Granted</w:t>
            </w:r>
          </w:p>
        </w:tc>
        <w:tc>
          <w:tcPr>
            <w:tcW w:w="1075" w:type="dxa"/>
          </w:tcPr>
          <w:p w14:paraId="6E625F97" w14:textId="4E174E21"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66" w:type="dxa"/>
          </w:tcPr>
          <w:p w14:paraId="4EFA191E" w14:textId="6F1D1709"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6BA27813" w14:textId="4A09A64F" w:rsidR="00DB3D1F"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52E56B7C" w14:textId="6F3E1038"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4659542E" w14:textId="3B012749" w:rsidR="00DB3D1F"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6ED5E7A0" w14:textId="47881A2C" w:rsidR="00DB3D1F"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201C5EB5" w14:textId="2F02B015"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6133529B" w14:textId="3BAAE24E" w:rsidR="00DB3D1F" w:rsidRPr="002B0FB9" w:rsidRDefault="00DB3D1F" w:rsidP="001148B8">
            <w:pPr>
              <w:spacing w:before="60" w:after="60"/>
              <w:rPr>
                <w:b w:val="0"/>
              </w:rPr>
            </w:pPr>
            <w:r w:rsidRPr="002B0FB9">
              <w:rPr>
                <w:b w:val="0"/>
              </w:rPr>
              <w:t xml:space="preserve">Goldsworthy Railway Line </w:t>
            </w:r>
          </w:p>
        </w:tc>
        <w:tc>
          <w:tcPr>
            <w:tcW w:w="1359" w:type="dxa"/>
            <w:shd w:val="clear" w:color="auto" w:fill="D9D9D9" w:themeFill="background1" w:themeFillShade="D9"/>
          </w:tcPr>
          <w:p w14:paraId="08F4F382" w14:textId="7AE97D9F"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2007</w:t>
            </w:r>
          </w:p>
        </w:tc>
        <w:tc>
          <w:tcPr>
            <w:tcW w:w="1493" w:type="dxa"/>
            <w:shd w:val="clear" w:color="auto" w:fill="D9D9D9" w:themeFill="background1" w:themeFillShade="D9"/>
          </w:tcPr>
          <w:p w14:paraId="382E649F" w14:textId="56C8D4FF"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2010</w:t>
            </w:r>
          </w:p>
        </w:tc>
        <w:tc>
          <w:tcPr>
            <w:tcW w:w="1557" w:type="dxa"/>
            <w:shd w:val="clear" w:color="auto" w:fill="D9D9D9" w:themeFill="background1" w:themeFillShade="D9"/>
          </w:tcPr>
          <w:p w14:paraId="66D6E98C" w14:textId="566E198E"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Granted</w:t>
            </w:r>
          </w:p>
        </w:tc>
        <w:tc>
          <w:tcPr>
            <w:tcW w:w="1075" w:type="dxa"/>
            <w:shd w:val="clear" w:color="auto" w:fill="D9D9D9" w:themeFill="background1" w:themeFillShade="D9"/>
          </w:tcPr>
          <w:p w14:paraId="5DCA8C21" w14:textId="717443CB"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Yes</w:t>
            </w:r>
          </w:p>
        </w:tc>
        <w:tc>
          <w:tcPr>
            <w:tcW w:w="1166" w:type="dxa"/>
            <w:shd w:val="clear" w:color="auto" w:fill="D9D9D9" w:themeFill="background1" w:themeFillShade="D9"/>
          </w:tcPr>
          <w:p w14:paraId="3E6EB9E3" w14:textId="38F071B2" w:rsidR="00DB3D1F" w:rsidRPr="001B2B97" w:rsidRDefault="005D21C7" w:rsidP="001148B8">
            <w:pPr>
              <w:spacing w:before="60" w:after="60"/>
              <w:cnfStyle w:val="000000000000" w:firstRow="0" w:lastRow="0" w:firstColumn="0" w:lastColumn="0" w:oddVBand="0" w:evenVBand="0" w:oddHBand="0" w:evenHBand="0" w:firstRowFirstColumn="0" w:firstRowLastColumn="0" w:lastRowFirstColumn="0" w:lastRowLastColumn="0"/>
            </w:pPr>
            <w:r>
              <w:t>N</w:t>
            </w:r>
            <w:r w:rsidR="005A0770">
              <w:t>o</w:t>
            </w:r>
          </w:p>
        </w:tc>
        <w:tc>
          <w:tcPr>
            <w:tcW w:w="1230" w:type="dxa"/>
            <w:shd w:val="clear" w:color="auto" w:fill="D9D9D9" w:themeFill="background1" w:themeFillShade="D9"/>
          </w:tcPr>
          <w:p w14:paraId="38DE0285" w14:textId="2FD9BB11"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146" w:type="dxa"/>
            <w:shd w:val="clear" w:color="auto" w:fill="D9D9D9" w:themeFill="background1" w:themeFillShade="D9"/>
          </w:tcPr>
          <w:p w14:paraId="381385FA" w14:textId="0A685EB2" w:rsidR="00DB3D1F" w:rsidRPr="001B2B97"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073" w:type="dxa"/>
            <w:shd w:val="clear" w:color="auto" w:fill="D9D9D9" w:themeFill="background1" w:themeFillShade="D9"/>
          </w:tcPr>
          <w:p w14:paraId="6007A39B" w14:textId="2BE98566" w:rsidR="00DB3D1F" w:rsidRPr="001B2B97" w:rsidRDefault="00DB3D1F" w:rsidP="000F5F8D">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359" w:type="dxa"/>
            <w:shd w:val="clear" w:color="auto" w:fill="D9D9D9" w:themeFill="background1" w:themeFillShade="D9"/>
          </w:tcPr>
          <w:p w14:paraId="5A8F6B96" w14:textId="3B43694A" w:rsidR="00DB3D1F" w:rsidRPr="001B2B97"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r>
      <w:tr w:rsidR="00DB3D1F" w14:paraId="0F6A42E4" w14:textId="2721397D"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39A2079D" w14:textId="12EC333B" w:rsidR="00DB3D1F" w:rsidRPr="002B0FB9" w:rsidRDefault="00DB3D1F" w:rsidP="00A147C8">
            <w:pPr>
              <w:spacing w:before="60" w:after="60"/>
              <w:rPr>
                <w:b w:val="0"/>
              </w:rPr>
            </w:pPr>
            <w:r w:rsidRPr="002B0FB9">
              <w:rPr>
                <w:b w:val="0"/>
              </w:rPr>
              <w:t>Hamersley Railway Line</w:t>
            </w:r>
          </w:p>
        </w:tc>
        <w:tc>
          <w:tcPr>
            <w:tcW w:w="1359" w:type="dxa"/>
            <w:shd w:val="clear" w:color="auto" w:fill="D9D9D9" w:themeFill="background1" w:themeFillShade="D9"/>
          </w:tcPr>
          <w:p w14:paraId="180AE908" w14:textId="2670A1D2"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2007</w:t>
            </w:r>
          </w:p>
        </w:tc>
        <w:tc>
          <w:tcPr>
            <w:tcW w:w="1493" w:type="dxa"/>
            <w:shd w:val="clear" w:color="auto" w:fill="D9D9D9" w:themeFill="background1" w:themeFillShade="D9"/>
          </w:tcPr>
          <w:p w14:paraId="759A86F5" w14:textId="43B28310"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2013</w:t>
            </w:r>
          </w:p>
        </w:tc>
        <w:tc>
          <w:tcPr>
            <w:tcW w:w="1557" w:type="dxa"/>
            <w:shd w:val="clear" w:color="auto" w:fill="D9D9D9" w:themeFill="background1" w:themeFillShade="D9"/>
          </w:tcPr>
          <w:p w14:paraId="443867E7" w14:textId="58D732C1"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Granted</w:t>
            </w:r>
          </w:p>
        </w:tc>
        <w:tc>
          <w:tcPr>
            <w:tcW w:w="1075" w:type="dxa"/>
            <w:shd w:val="clear" w:color="auto" w:fill="D9D9D9" w:themeFill="background1" w:themeFillShade="D9"/>
          </w:tcPr>
          <w:p w14:paraId="42F6EF58" w14:textId="4E7C0665"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166" w:type="dxa"/>
            <w:shd w:val="clear" w:color="auto" w:fill="D9D9D9" w:themeFill="background1" w:themeFillShade="D9"/>
          </w:tcPr>
          <w:p w14:paraId="1648E86D" w14:textId="3194E8EB"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230" w:type="dxa"/>
            <w:shd w:val="clear" w:color="auto" w:fill="D9D9D9" w:themeFill="background1" w:themeFillShade="D9"/>
          </w:tcPr>
          <w:p w14:paraId="06094ED4" w14:textId="6996F65F"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c>
          <w:tcPr>
            <w:tcW w:w="1146" w:type="dxa"/>
            <w:shd w:val="clear" w:color="auto" w:fill="D9D9D9" w:themeFill="background1" w:themeFillShade="D9"/>
          </w:tcPr>
          <w:p w14:paraId="2E21DB75" w14:textId="03753709" w:rsidR="00DB3D1F" w:rsidRPr="001B2B97" w:rsidRDefault="00461ECA" w:rsidP="000F5F8D">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shd w:val="clear" w:color="auto" w:fill="D9D9D9" w:themeFill="background1" w:themeFillShade="D9"/>
          </w:tcPr>
          <w:p w14:paraId="63ECD312" w14:textId="6B53036F" w:rsidR="00DB3D1F" w:rsidRPr="001B2B97" w:rsidRDefault="00461ECA" w:rsidP="00196919">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shd w:val="clear" w:color="auto" w:fill="D9D9D9" w:themeFill="background1" w:themeFillShade="D9"/>
          </w:tcPr>
          <w:p w14:paraId="6ACABA36" w14:textId="60C9FD57" w:rsidR="00DB3D1F" w:rsidRPr="001B2B97"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rsidRPr="001B2B97">
              <w:t>No</w:t>
            </w:r>
          </w:p>
        </w:tc>
      </w:tr>
      <w:tr w:rsidR="00DB3D1F" w14:paraId="73B6F5B7" w14:textId="442A21AA"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152A01F0" w14:textId="52C2EB9B" w:rsidR="00DB3D1F" w:rsidRPr="002B0FB9" w:rsidRDefault="00DB3D1F" w:rsidP="001148B8">
            <w:pPr>
              <w:spacing w:before="60" w:after="60"/>
              <w:rPr>
                <w:b w:val="0"/>
              </w:rPr>
            </w:pPr>
            <w:r w:rsidRPr="002B0FB9">
              <w:rPr>
                <w:b w:val="0"/>
              </w:rPr>
              <w:t>Robe Railway Line</w:t>
            </w:r>
          </w:p>
        </w:tc>
        <w:tc>
          <w:tcPr>
            <w:tcW w:w="1359" w:type="dxa"/>
            <w:shd w:val="clear" w:color="auto" w:fill="D9D9D9" w:themeFill="background1" w:themeFillShade="D9"/>
          </w:tcPr>
          <w:p w14:paraId="07990E7C" w14:textId="1AD57CD1"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2008</w:t>
            </w:r>
          </w:p>
        </w:tc>
        <w:tc>
          <w:tcPr>
            <w:tcW w:w="1493" w:type="dxa"/>
            <w:shd w:val="clear" w:color="auto" w:fill="D9D9D9" w:themeFill="background1" w:themeFillShade="D9"/>
          </w:tcPr>
          <w:p w14:paraId="15CD6AAA" w14:textId="0B2219CC"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2013</w:t>
            </w:r>
          </w:p>
        </w:tc>
        <w:tc>
          <w:tcPr>
            <w:tcW w:w="1557" w:type="dxa"/>
            <w:shd w:val="clear" w:color="auto" w:fill="D9D9D9" w:themeFill="background1" w:themeFillShade="D9"/>
          </w:tcPr>
          <w:p w14:paraId="0481B768" w14:textId="7814957F"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t>Granted</w:t>
            </w:r>
          </w:p>
        </w:tc>
        <w:tc>
          <w:tcPr>
            <w:tcW w:w="1075" w:type="dxa"/>
            <w:shd w:val="clear" w:color="auto" w:fill="D9D9D9" w:themeFill="background1" w:themeFillShade="D9"/>
          </w:tcPr>
          <w:p w14:paraId="7F65B45E" w14:textId="48B82152"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Yes</w:t>
            </w:r>
          </w:p>
        </w:tc>
        <w:tc>
          <w:tcPr>
            <w:tcW w:w="1166" w:type="dxa"/>
            <w:shd w:val="clear" w:color="auto" w:fill="D9D9D9" w:themeFill="background1" w:themeFillShade="D9"/>
          </w:tcPr>
          <w:p w14:paraId="7BC58510" w14:textId="5AE32E1D"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Yes</w:t>
            </w:r>
          </w:p>
        </w:tc>
        <w:tc>
          <w:tcPr>
            <w:tcW w:w="1230" w:type="dxa"/>
            <w:shd w:val="clear" w:color="auto" w:fill="D9D9D9" w:themeFill="background1" w:themeFillShade="D9"/>
          </w:tcPr>
          <w:p w14:paraId="638EAE06" w14:textId="586CFAE1" w:rsidR="00DB3D1F" w:rsidRPr="001B2B97" w:rsidRDefault="00DB3D1F" w:rsidP="001148B8">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c>
          <w:tcPr>
            <w:tcW w:w="1146" w:type="dxa"/>
            <w:shd w:val="clear" w:color="auto" w:fill="D9D9D9" w:themeFill="background1" w:themeFillShade="D9"/>
          </w:tcPr>
          <w:p w14:paraId="58689AF6" w14:textId="1E0ECDBF" w:rsidR="00DB3D1F" w:rsidRPr="001B2B97" w:rsidRDefault="00461ECA"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shd w:val="clear" w:color="auto" w:fill="D9D9D9" w:themeFill="background1" w:themeFillShade="D9"/>
          </w:tcPr>
          <w:p w14:paraId="7049C737" w14:textId="5445E47E" w:rsidR="00DB3D1F" w:rsidRPr="001B2B97" w:rsidRDefault="00461ECA" w:rsidP="000F5F8D">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shd w:val="clear" w:color="auto" w:fill="D9D9D9" w:themeFill="background1" w:themeFillShade="D9"/>
          </w:tcPr>
          <w:p w14:paraId="058C42D1" w14:textId="37C741BC" w:rsidR="00DB3D1F" w:rsidRPr="001B2B97"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rsidRPr="001B2B97">
              <w:t>No</w:t>
            </w:r>
          </w:p>
        </w:tc>
      </w:tr>
      <w:tr w:rsidR="00DB3D1F" w14:paraId="0204F571" w14:textId="77777777"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tcPr>
          <w:p w14:paraId="79E29973" w14:textId="7611CA95" w:rsidR="00DB3D1F" w:rsidRPr="002B0FB9" w:rsidDel="00722754" w:rsidRDefault="00DB3D1F" w:rsidP="00722754">
            <w:pPr>
              <w:spacing w:before="60" w:after="60"/>
              <w:rPr>
                <w:b w:val="0"/>
              </w:rPr>
            </w:pPr>
            <w:r w:rsidRPr="002B0FB9">
              <w:rPr>
                <w:b w:val="0"/>
              </w:rPr>
              <w:t>Herbert River district cane tram network</w:t>
            </w:r>
          </w:p>
        </w:tc>
        <w:tc>
          <w:tcPr>
            <w:tcW w:w="1359" w:type="dxa"/>
          </w:tcPr>
          <w:p w14:paraId="0525CC0A" w14:textId="515E67F3" w:rsidR="00DB3D1F"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2010</w:t>
            </w:r>
          </w:p>
        </w:tc>
        <w:tc>
          <w:tcPr>
            <w:tcW w:w="1493" w:type="dxa"/>
          </w:tcPr>
          <w:p w14:paraId="16115302" w14:textId="0A0454C2" w:rsidR="00DB3D1F"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2010</w:t>
            </w:r>
          </w:p>
        </w:tc>
        <w:tc>
          <w:tcPr>
            <w:tcW w:w="1557" w:type="dxa"/>
          </w:tcPr>
          <w:p w14:paraId="31AA301F" w14:textId="5B9A278F"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tcPr>
          <w:p w14:paraId="6904D82C" w14:textId="438AB1CA"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66" w:type="dxa"/>
          </w:tcPr>
          <w:p w14:paraId="79E5F1B0" w14:textId="5C98109E"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230" w:type="dxa"/>
          </w:tcPr>
          <w:p w14:paraId="0575E7C0" w14:textId="4DB8ACE1"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146" w:type="dxa"/>
          </w:tcPr>
          <w:p w14:paraId="17485924" w14:textId="1646B02A"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073" w:type="dxa"/>
          </w:tcPr>
          <w:p w14:paraId="4D9069E2" w14:textId="063D87DE" w:rsidR="00DB3D1F" w:rsidDel="00722754"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c>
          <w:tcPr>
            <w:tcW w:w="1359" w:type="dxa"/>
          </w:tcPr>
          <w:p w14:paraId="383AD898" w14:textId="5C7452EE" w:rsidR="00DB3D1F"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t>No</w:t>
            </w:r>
          </w:p>
        </w:tc>
      </w:tr>
      <w:tr w:rsidR="00DB3D1F" w14:paraId="60888B65" w14:textId="77777777" w:rsidTr="00DB3D1F">
        <w:trPr>
          <w:jc w:val="center"/>
        </w:trPr>
        <w:tc>
          <w:tcPr>
            <w:cnfStyle w:val="001000000000" w:firstRow="0" w:lastRow="0" w:firstColumn="1" w:lastColumn="0" w:oddVBand="0" w:evenVBand="0" w:oddHBand="0" w:evenHBand="0" w:firstRowFirstColumn="0" w:firstRowLastColumn="0" w:lastRowFirstColumn="0" w:lastRowLastColumn="0"/>
            <w:tcW w:w="1633" w:type="dxa"/>
          </w:tcPr>
          <w:p w14:paraId="32D70BE0" w14:textId="4D515C78" w:rsidR="00DB3D1F" w:rsidRPr="002B0FB9" w:rsidDel="00722754" w:rsidRDefault="00DB3D1F" w:rsidP="00722754">
            <w:pPr>
              <w:spacing w:before="60" w:after="60"/>
              <w:rPr>
                <w:b w:val="0"/>
              </w:rPr>
            </w:pPr>
            <w:r w:rsidRPr="002B0FB9">
              <w:rPr>
                <w:b w:val="0"/>
              </w:rPr>
              <w:t>Sydney Airport – Jet fuel supply infrastructure</w:t>
            </w:r>
          </w:p>
        </w:tc>
        <w:tc>
          <w:tcPr>
            <w:tcW w:w="1359" w:type="dxa"/>
          </w:tcPr>
          <w:p w14:paraId="7EEF52FC" w14:textId="1F4979F8" w:rsidR="00DB3D1F"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2011</w:t>
            </w:r>
          </w:p>
        </w:tc>
        <w:tc>
          <w:tcPr>
            <w:tcW w:w="1493" w:type="dxa"/>
          </w:tcPr>
          <w:p w14:paraId="3E4F79BE" w14:textId="2BFFB67F" w:rsidR="00DB3D1F"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2012</w:t>
            </w:r>
          </w:p>
        </w:tc>
        <w:tc>
          <w:tcPr>
            <w:tcW w:w="1557" w:type="dxa"/>
          </w:tcPr>
          <w:p w14:paraId="09FE52F5" w14:textId="43EC7137"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Not granted</w:t>
            </w:r>
          </w:p>
        </w:tc>
        <w:tc>
          <w:tcPr>
            <w:tcW w:w="1075" w:type="dxa"/>
          </w:tcPr>
          <w:p w14:paraId="7CC127D0" w14:textId="456E943E"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66" w:type="dxa"/>
          </w:tcPr>
          <w:p w14:paraId="19215A37" w14:textId="4DF8D071"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230" w:type="dxa"/>
          </w:tcPr>
          <w:p w14:paraId="2F8EA901" w14:textId="79658277"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146" w:type="dxa"/>
          </w:tcPr>
          <w:p w14:paraId="0EF6479C" w14:textId="4640423B"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073" w:type="dxa"/>
          </w:tcPr>
          <w:p w14:paraId="1925E0A6" w14:textId="7FDCE013" w:rsidR="00DB3D1F" w:rsidDel="00722754"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c>
          <w:tcPr>
            <w:tcW w:w="1359" w:type="dxa"/>
          </w:tcPr>
          <w:p w14:paraId="5D2803E3" w14:textId="5F5EB7EE" w:rsidR="00DB3D1F" w:rsidRDefault="00DB3D1F" w:rsidP="00722754">
            <w:pPr>
              <w:spacing w:before="60" w:after="60"/>
              <w:cnfStyle w:val="000000000000" w:firstRow="0" w:lastRow="0" w:firstColumn="0" w:lastColumn="0" w:oddVBand="0" w:evenVBand="0" w:oddHBand="0" w:evenHBand="0" w:firstRowFirstColumn="0" w:firstRowLastColumn="0" w:lastRowFirstColumn="0" w:lastRowLastColumn="0"/>
            </w:pPr>
            <w:r>
              <w:t>No</w:t>
            </w:r>
          </w:p>
        </w:tc>
      </w:tr>
      <w:tr w:rsidR="00DB3D1F" w14:paraId="4E6EEEE3" w14:textId="14F17508" w:rsidTr="00DB3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3" w:type="dxa"/>
            <w:shd w:val="clear" w:color="auto" w:fill="D9D9D9" w:themeFill="background1" w:themeFillShade="D9"/>
          </w:tcPr>
          <w:p w14:paraId="4CFD7001" w14:textId="45E6B54C" w:rsidR="00DB3D1F" w:rsidRPr="002B0FB9" w:rsidRDefault="00DB3D1F" w:rsidP="001148B8">
            <w:pPr>
              <w:spacing w:before="60" w:after="60"/>
              <w:rPr>
                <w:b w:val="0"/>
              </w:rPr>
            </w:pPr>
            <w:r w:rsidRPr="002B0FB9">
              <w:rPr>
                <w:b w:val="0"/>
              </w:rPr>
              <w:lastRenderedPageBreak/>
              <w:t>Port of Newcastle</w:t>
            </w:r>
          </w:p>
        </w:tc>
        <w:tc>
          <w:tcPr>
            <w:tcW w:w="1359" w:type="dxa"/>
            <w:shd w:val="clear" w:color="auto" w:fill="D9D9D9" w:themeFill="background1" w:themeFillShade="D9"/>
          </w:tcPr>
          <w:p w14:paraId="31BEC063" w14:textId="4C09B819"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2015</w:t>
            </w:r>
          </w:p>
        </w:tc>
        <w:tc>
          <w:tcPr>
            <w:tcW w:w="1493" w:type="dxa"/>
            <w:shd w:val="clear" w:color="auto" w:fill="D9D9D9" w:themeFill="background1" w:themeFillShade="D9"/>
          </w:tcPr>
          <w:p w14:paraId="7DE770A0" w14:textId="2BE8859A"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Ongoing</w:t>
            </w:r>
          </w:p>
        </w:tc>
        <w:tc>
          <w:tcPr>
            <w:tcW w:w="1557" w:type="dxa"/>
            <w:shd w:val="clear" w:color="auto" w:fill="D9D9D9" w:themeFill="background1" w:themeFillShade="D9"/>
          </w:tcPr>
          <w:p w14:paraId="32D8A216" w14:textId="60856374"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t>Not granted</w:t>
            </w:r>
          </w:p>
        </w:tc>
        <w:tc>
          <w:tcPr>
            <w:tcW w:w="1075" w:type="dxa"/>
            <w:shd w:val="clear" w:color="auto" w:fill="D9D9D9" w:themeFill="background1" w:themeFillShade="D9"/>
          </w:tcPr>
          <w:p w14:paraId="3BCEF87D" w14:textId="2AB19BFF"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166" w:type="dxa"/>
            <w:shd w:val="clear" w:color="auto" w:fill="D9D9D9" w:themeFill="background1" w:themeFillShade="D9"/>
          </w:tcPr>
          <w:p w14:paraId="0E1FACBA" w14:textId="7ABA482B"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230" w:type="dxa"/>
            <w:shd w:val="clear" w:color="auto" w:fill="D9D9D9" w:themeFill="background1" w:themeFillShade="D9"/>
          </w:tcPr>
          <w:p w14:paraId="703222D3" w14:textId="576FA536" w:rsidR="00DB3D1F" w:rsidRPr="001B2B97" w:rsidRDefault="00DB3D1F" w:rsidP="001148B8">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146" w:type="dxa"/>
            <w:shd w:val="clear" w:color="auto" w:fill="D9D9D9" w:themeFill="background1" w:themeFillShade="D9"/>
          </w:tcPr>
          <w:p w14:paraId="6652313C" w14:textId="7121F1BD"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073" w:type="dxa"/>
            <w:shd w:val="clear" w:color="auto" w:fill="D9D9D9" w:themeFill="background1" w:themeFillShade="D9"/>
          </w:tcPr>
          <w:p w14:paraId="30344BB9" w14:textId="3E43D9CB" w:rsidR="00DB3D1F" w:rsidRPr="001B2B97" w:rsidRDefault="00DB3D1F" w:rsidP="000F5F8D">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c>
          <w:tcPr>
            <w:tcW w:w="1359" w:type="dxa"/>
            <w:shd w:val="clear" w:color="auto" w:fill="D9D9D9" w:themeFill="background1" w:themeFillShade="D9"/>
          </w:tcPr>
          <w:p w14:paraId="7CDA83D1" w14:textId="6699C1F5" w:rsidR="00DB3D1F" w:rsidRPr="001B2B97" w:rsidRDefault="00DB3D1F" w:rsidP="00722754">
            <w:pPr>
              <w:spacing w:before="60" w:after="60"/>
              <w:cnfStyle w:val="000000100000" w:firstRow="0" w:lastRow="0" w:firstColumn="0" w:lastColumn="0" w:oddVBand="0" w:evenVBand="0" w:oddHBand="1" w:evenHBand="0" w:firstRowFirstColumn="0" w:firstRowLastColumn="0" w:lastRowFirstColumn="0" w:lastRowLastColumn="0"/>
            </w:pPr>
            <w:r w:rsidRPr="001B2B97">
              <w:t>Yes</w:t>
            </w:r>
          </w:p>
        </w:tc>
      </w:tr>
    </w:tbl>
    <w:p w14:paraId="17E47F64" w14:textId="77777777" w:rsidR="00B97FB6" w:rsidRDefault="00B97FB6" w:rsidP="00B45C55">
      <w:pPr>
        <w:spacing w:after="240"/>
      </w:pPr>
    </w:p>
    <w:p w14:paraId="5FF4AFB0" w14:textId="77777777" w:rsidR="00B45C55" w:rsidRPr="00B45C55" w:rsidRDefault="00B45C55"/>
    <w:p w14:paraId="3A63C570" w14:textId="77777777" w:rsidR="00DF3A96" w:rsidRPr="001148B8" w:rsidRDefault="00DF3A96" w:rsidP="00620272">
      <w:pPr>
        <w:sectPr w:rsidR="00DF3A96" w:rsidRPr="001148B8" w:rsidSect="001148B8">
          <w:pgSz w:w="16838" w:h="11906" w:orient="landscape"/>
          <w:pgMar w:top="1440" w:right="1440" w:bottom="1440" w:left="1440" w:header="708" w:footer="708" w:gutter="0"/>
          <w:cols w:space="708"/>
          <w:docGrid w:linePitch="360"/>
        </w:sectPr>
      </w:pPr>
    </w:p>
    <w:p w14:paraId="5F6A71BB" w14:textId="7A210836" w:rsidR="00E21E26" w:rsidRDefault="00FD7563" w:rsidP="003B3BF1">
      <w:pPr>
        <w:pStyle w:val="Heading1"/>
      </w:pPr>
      <w:bookmarkStart w:id="187" w:name="_Toc71270978"/>
      <w:bookmarkStart w:id="188" w:name="_Toc71282583"/>
      <w:bookmarkStart w:id="189" w:name="_Toc71282964"/>
      <w:bookmarkStart w:id="190" w:name="_Toc71294369"/>
      <w:bookmarkStart w:id="191" w:name="_Toc71299671"/>
      <w:bookmarkStart w:id="192" w:name="_Toc71301625"/>
      <w:bookmarkStart w:id="193" w:name="_Toc71310098"/>
      <w:bookmarkStart w:id="194" w:name="_Toc71317855"/>
      <w:r>
        <w:lastRenderedPageBreak/>
        <w:t xml:space="preserve">APPENDIX </w:t>
      </w:r>
      <w:r w:rsidR="00A65E60">
        <w:t>B</w:t>
      </w:r>
      <w:bookmarkEnd w:id="187"/>
      <w:bookmarkEnd w:id="188"/>
      <w:bookmarkEnd w:id="189"/>
      <w:bookmarkEnd w:id="190"/>
      <w:bookmarkEnd w:id="191"/>
      <w:bookmarkEnd w:id="192"/>
      <w:bookmarkEnd w:id="193"/>
      <w:bookmarkEnd w:id="194"/>
    </w:p>
    <w:p w14:paraId="42BD392A" w14:textId="2B645105" w:rsidR="00620272" w:rsidRPr="00326A25" w:rsidRDefault="00326A25" w:rsidP="004A73C1">
      <w:pPr>
        <w:pStyle w:val="Heading2"/>
      </w:pPr>
      <w:bookmarkStart w:id="195" w:name="_Toc71270979"/>
      <w:bookmarkStart w:id="196" w:name="_Toc71282584"/>
      <w:bookmarkStart w:id="197" w:name="_Toc71282965"/>
      <w:bookmarkStart w:id="198" w:name="_Toc71294370"/>
      <w:bookmarkStart w:id="199" w:name="_Toc71299672"/>
      <w:bookmarkStart w:id="200" w:name="_Toc71301626"/>
      <w:bookmarkStart w:id="201" w:name="_Toc71310099"/>
      <w:bookmarkStart w:id="202" w:name="_Toc71317856"/>
      <w:r>
        <w:t>Key Points Raised by Stakeholders During Consultation</w:t>
      </w:r>
      <w:bookmarkEnd w:id="195"/>
      <w:bookmarkEnd w:id="196"/>
      <w:bookmarkEnd w:id="197"/>
      <w:bookmarkEnd w:id="198"/>
      <w:bookmarkEnd w:id="199"/>
      <w:bookmarkEnd w:id="200"/>
      <w:bookmarkEnd w:id="201"/>
      <w:bookmarkEnd w:id="202"/>
    </w:p>
    <w:tbl>
      <w:tblPr>
        <w:tblStyle w:val="TableGrid"/>
        <w:tblW w:w="14029" w:type="dxa"/>
        <w:tblLook w:val="04A0" w:firstRow="1" w:lastRow="0" w:firstColumn="1" w:lastColumn="0" w:noHBand="0" w:noVBand="1"/>
      </w:tblPr>
      <w:tblGrid>
        <w:gridCol w:w="2547"/>
        <w:gridCol w:w="3827"/>
        <w:gridCol w:w="3827"/>
        <w:gridCol w:w="3828"/>
      </w:tblGrid>
      <w:tr w:rsidR="001E342A" w14:paraId="4FE07135" w14:textId="78E8020C" w:rsidTr="001148B8">
        <w:tc>
          <w:tcPr>
            <w:tcW w:w="2547" w:type="dxa"/>
            <w:shd w:val="clear" w:color="auto" w:fill="A6A6A6" w:themeFill="background1" w:themeFillShade="A6"/>
          </w:tcPr>
          <w:p w14:paraId="3DB04A59" w14:textId="77777777" w:rsidR="001E342A" w:rsidRDefault="001E342A" w:rsidP="0018262D">
            <w:pPr>
              <w:spacing w:before="60" w:after="60"/>
              <w:rPr>
                <w:b/>
              </w:rPr>
            </w:pPr>
          </w:p>
        </w:tc>
        <w:tc>
          <w:tcPr>
            <w:tcW w:w="3827" w:type="dxa"/>
          </w:tcPr>
          <w:p w14:paraId="39F7CD72" w14:textId="0DF1079C" w:rsidR="001E342A" w:rsidRPr="00615AFC" w:rsidRDefault="001E342A" w:rsidP="0018262D">
            <w:pPr>
              <w:spacing w:before="60" w:after="60"/>
              <w:rPr>
                <w:b/>
              </w:rPr>
            </w:pPr>
            <w:r w:rsidRPr="00615AFC">
              <w:rPr>
                <w:b/>
              </w:rPr>
              <w:t>Infrastructure Owners</w:t>
            </w:r>
          </w:p>
        </w:tc>
        <w:tc>
          <w:tcPr>
            <w:tcW w:w="3827" w:type="dxa"/>
          </w:tcPr>
          <w:p w14:paraId="2A07BE6B" w14:textId="77777777" w:rsidR="001E342A" w:rsidRDefault="001E342A" w:rsidP="0018262D">
            <w:pPr>
              <w:spacing w:before="60" w:after="60"/>
              <w:rPr>
                <w:b/>
              </w:rPr>
            </w:pPr>
            <w:r>
              <w:rPr>
                <w:b/>
              </w:rPr>
              <w:t>Infrastructure Users</w:t>
            </w:r>
          </w:p>
          <w:p w14:paraId="36644D1C" w14:textId="77777777" w:rsidR="001E342A" w:rsidRDefault="001E342A" w:rsidP="0018262D">
            <w:pPr>
              <w:spacing w:before="60" w:after="60"/>
              <w:rPr>
                <w:b/>
              </w:rPr>
            </w:pPr>
          </w:p>
          <w:p w14:paraId="72916BC6" w14:textId="0620E0FF" w:rsidR="001E342A" w:rsidRDefault="001E342A" w:rsidP="0018262D">
            <w:pPr>
              <w:spacing w:before="60" w:after="60"/>
              <w:rPr>
                <w:b/>
              </w:rPr>
            </w:pPr>
          </w:p>
        </w:tc>
        <w:tc>
          <w:tcPr>
            <w:tcW w:w="3828" w:type="dxa"/>
          </w:tcPr>
          <w:p w14:paraId="77A36FC8" w14:textId="6397CEDB" w:rsidR="001E342A" w:rsidRDefault="001E342A" w:rsidP="0018262D">
            <w:pPr>
              <w:spacing w:before="60" w:after="60"/>
              <w:rPr>
                <w:b/>
              </w:rPr>
            </w:pPr>
            <w:r>
              <w:rPr>
                <w:b/>
              </w:rPr>
              <w:t xml:space="preserve"> </w:t>
            </w:r>
            <w:r w:rsidR="006A0B14">
              <w:rPr>
                <w:b/>
              </w:rPr>
              <w:t>Regulators and o</w:t>
            </w:r>
            <w:r>
              <w:rPr>
                <w:b/>
              </w:rPr>
              <w:t>ther Interested parties</w:t>
            </w:r>
          </w:p>
        </w:tc>
      </w:tr>
      <w:tr w:rsidR="001E342A" w14:paraId="61E05211" w14:textId="18C72D04" w:rsidTr="00DD1B35">
        <w:trPr>
          <w:trHeight w:val="115"/>
        </w:trPr>
        <w:tc>
          <w:tcPr>
            <w:tcW w:w="2547" w:type="dxa"/>
          </w:tcPr>
          <w:p w14:paraId="65AE5249" w14:textId="069E4955" w:rsidR="001E342A" w:rsidRDefault="001E342A" w:rsidP="0018262D">
            <w:pPr>
              <w:spacing w:before="60" w:after="60"/>
              <w:rPr>
                <w:b/>
              </w:rPr>
            </w:pPr>
            <w:r>
              <w:rPr>
                <w:b/>
              </w:rPr>
              <w:t xml:space="preserve">Option </w:t>
            </w:r>
            <w:r w:rsidR="00E360F2">
              <w:rPr>
                <w:b/>
              </w:rPr>
              <w:t>1</w:t>
            </w:r>
            <w:r>
              <w:rPr>
                <w:b/>
              </w:rPr>
              <w:t xml:space="preserve">: </w:t>
            </w:r>
          </w:p>
          <w:p w14:paraId="1CAA1D60" w14:textId="0DD687D0" w:rsidR="001E342A" w:rsidRDefault="001E342A" w:rsidP="00745E63">
            <w:pPr>
              <w:spacing w:before="60" w:after="60"/>
              <w:rPr>
                <w:b/>
              </w:rPr>
            </w:pPr>
            <w:r>
              <w:rPr>
                <w:b/>
                <w:bCs/>
              </w:rPr>
              <w:t xml:space="preserve">Removal of </w:t>
            </w:r>
            <w:r w:rsidR="00745E63">
              <w:rPr>
                <w:b/>
                <w:bCs/>
              </w:rPr>
              <w:t>m</w:t>
            </w:r>
            <w:r>
              <w:rPr>
                <w:b/>
                <w:bCs/>
              </w:rPr>
              <w:t xml:space="preserve">erits </w:t>
            </w:r>
            <w:r w:rsidR="00745E63">
              <w:rPr>
                <w:b/>
                <w:bCs/>
              </w:rPr>
              <w:t>r</w:t>
            </w:r>
            <w:r>
              <w:rPr>
                <w:b/>
                <w:bCs/>
              </w:rPr>
              <w:t>eview of Ministers</w:t>
            </w:r>
            <w:r w:rsidR="00745E63">
              <w:rPr>
                <w:b/>
                <w:bCs/>
              </w:rPr>
              <w:t>’</w:t>
            </w:r>
            <w:r>
              <w:rPr>
                <w:b/>
                <w:bCs/>
              </w:rPr>
              <w:t xml:space="preserve"> </w:t>
            </w:r>
            <w:r w:rsidR="00745E63">
              <w:rPr>
                <w:b/>
                <w:bCs/>
              </w:rPr>
              <w:t xml:space="preserve">decisions on </w:t>
            </w:r>
            <w:r w:rsidR="00B01D88">
              <w:rPr>
                <w:b/>
                <w:bCs/>
              </w:rPr>
              <w:t>d</w:t>
            </w:r>
            <w:r>
              <w:rPr>
                <w:b/>
                <w:bCs/>
              </w:rPr>
              <w:t xml:space="preserve">eclaration </w:t>
            </w:r>
          </w:p>
        </w:tc>
        <w:tc>
          <w:tcPr>
            <w:tcW w:w="3827" w:type="dxa"/>
          </w:tcPr>
          <w:p w14:paraId="69C1515C" w14:textId="0F0AC6EF" w:rsidR="00450145" w:rsidRDefault="000D4E40" w:rsidP="00450145">
            <w:pPr>
              <w:spacing w:before="60" w:after="60"/>
            </w:pPr>
            <w:r>
              <w:t xml:space="preserve">The Port of Newcastle </w:t>
            </w:r>
            <w:r w:rsidR="00BD7DD8">
              <w:t xml:space="preserve">supported </w:t>
            </w:r>
            <w:r w:rsidR="00B27A4B">
              <w:t>O</w:t>
            </w:r>
            <w:r w:rsidR="00271CAD">
              <w:t>ption</w:t>
            </w:r>
            <w:r w:rsidR="00B27A4B">
              <w:t xml:space="preserve"> 1</w:t>
            </w:r>
            <w:r w:rsidR="00271CAD">
              <w:t xml:space="preserve"> </w:t>
            </w:r>
            <w:r>
              <w:t xml:space="preserve">given the </w:t>
            </w:r>
            <w:r w:rsidR="00B27A4B">
              <w:t xml:space="preserve">declaration </w:t>
            </w:r>
            <w:r w:rsidR="00E360F2">
              <w:t xml:space="preserve">process </w:t>
            </w:r>
            <w:r w:rsidR="00B27A4B">
              <w:t>involves a decision by a Minister following ‘</w:t>
            </w:r>
            <w:r w:rsidR="00B27A4B" w:rsidRPr="001148B8">
              <w:rPr>
                <w:i/>
                <w:iCs/>
              </w:rPr>
              <w:t>a rigorous and independent assessment process’</w:t>
            </w:r>
            <w:r w:rsidR="00B27A4B">
              <w:t xml:space="preserve"> by the NCC. Further,</w:t>
            </w:r>
            <w:r w:rsidR="00073903">
              <w:t xml:space="preserve"> i</w:t>
            </w:r>
            <w:r w:rsidR="000841A8">
              <w:t>t submitted</w:t>
            </w:r>
            <w:r w:rsidR="00450145">
              <w:t xml:space="preserve"> declaration does not finally determine any rights</w:t>
            </w:r>
            <w:r w:rsidR="00073903">
              <w:t xml:space="preserve"> under law</w:t>
            </w:r>
            <w:r w:rsidR="00412E35">
              <w:t>.</w:t>
            </w:r>
            <w:r w:rsidR="00412E35">
              <w:rPr>
                <w:rStyle w:val="FootnoteReference"/>
              </w:rPr>
              <w:footnoteReference w:id="38"/>
            </w:r>
          </w:p>
          <w:p w14:paraId="6C912ED1" w14:textId="18BDFC4B" w:rsidR="00E360F2" w:rsidRDefault="00E360F2" w:rsidP="000D4E40">
            <w:pPr>
              <w:spacing w:before="60" w:after="60"/>
            </w:pPr>
          </w:p>
          <w:p w14:paraId="4B84802B" w14:textId="2B7E839C" w:rsidR="00E360F2" w:rsidRDefault="00E360F2" w:rsidP="000D4E40">
            <w:pPr>
              <w:spacing w:before="60" w:after="60"/>
            </w:pPr>
            <w:r>
              <w:t xml:space="preserve">Other infrastructure </w:t>
            </w:r>
            <w:r w:rsidR="00450145">
              <w:t xml:space="preserve">owners were not supportive of removal of merits review for declaration decisions due to a perceived loss of fairness and </w:t>
            </w:r>
            <w:r w:rsidR="00125812">
              <w:t>the discipline it places on original decision-makers</w:t>
            </w:r>
            <w:r w:rsidR="00450145">
              <w:t xml:space="preserve">. </w:t>
            </w:r>
          </w:p>
          <w:p w14:paraId="01A46A76" w14:textId="77777777" w:rsidR="00450145" w:rsidRDefault="00450145" w:rsidP="0018262D">
            <w:pPr>
              <w:spacing w:before="60" w:after="60"/>
            </w:pPr>
          </w:p>
          <w:p w14:paraId="3DEB3686" w14:textId="0EF8B1AE" w:rsidR="006D4ABF" w:rsidRDefault="00B03879" w:rsidP="0018262D">
            <w:pPr>
              <w:spacing w:before="60" w:after="60"/>
            </w:pPr>
            <w:r>
              <w:t xml:space="preserve">The Australian Airports Association, Australian Rail Track Corporation and Sydney Airport were </w:t>
            </w:r>
            <w:r w:rsidR="006F1521">
              <w:t xml:space="preserve">opposed to </w:t>
            </w:r>
            <w:r w:rsidR="00BE481B">
              <w:t>option 1.</w:t>
            </w:r>
            <w:r w:rsidR="00E92597">
              <w:t xml:space="preserve"> </w:t>
            </w:r>
            <w:r w:rsidR="00B73813">
              <w:t>Sydney Airport</w:t>
            </w:r>
            <w:r w:rsidR="00E92597">
              <w:t xml:space="preserve"> </w:t>
            </w:r>
            <w:r w:rsidR="006F1521">
              <w:t xml:space="preserve">submitted that merits review plays a </w:t>
            </w:r>
            <w:r w:rsidR="00412E35">
              <w:rPr>
                <w:i/>
                <w:iCs/>
              </w:rPr>
              <w:t>‘</w:t>
            </w:r>
            <w:r w:rsidR="006F1521" w:rsidRPr="00412E35">
              <w:rPr>
                <w:i/>
              </w:rPr>
              <w:t>vital role in obtaining the correct result from the National Access Regime</w:t>
            </w:r>
            <w:r w:rsidR="00412E35">
              <w:rPr>
                <w:i/>
                <w:iCs/>
              </w:rPr>
              <w:t>’</w:t>
            </w:r>
            <w:r w:rsidR="006F1521" w:rsidRPr="001148B8">
              <w:rPr>
                <w:i/>
                <w:iCs/>
              </w:rPr>
              <w:t xml:space="preserve"> </w:t>
            </w:r>
            <w:r w:rsidR="006F1521">
              <w:t>and should not be removed</w:t>
            </w:r>
            <w:r w:rsidR="00412E35">
              <w:t>.</w:t>
            </w:r>
            <w:r w:rsidR="00412E35">
              <w:rPr>
                <w:rStyle w:val="FootnoteReference"/>
              </w:rPr>
              <w:footnoteReference w:id="39"/>
            </w:r>
          </w:p>
          <w:p w14:paraId="3BDA80B1" w14:textId="77777777" w:rsidR="00450145" w:rsidRDefault="00450145" w:rsidP="0018262D">
            <w:pPr>
              <w:spacing w:before="60" w:after="60"/>
            </w:pPr>
          </w:p>
          <w:p w14:paraId="45359E4D" w14:textId="7D256B35" w:rsidR="001E342A" w:rsidRPr="00F45B91" w:rsidRDefault="006D4ABF" w:rsidP="00120822">
            <w:pPr>
              <w:spacing w:before="60" w:after="60"/>
            </w:pPr>
            <w:r>
              <w:t xml:space="preserve">The Australian Airports Association </w:t>
            </w:r>
            <w:r w:rsidR="00BE481B">
              <w:t>submitted</w:t>
            </w:r>
            <w:r>
              <w:t xml:space="preserve"> </w:t>
            </w:r>
            <w:r w:rsidR="00120822">
              <w:t>that</w:t>
            </w:r>
            <w:r w:rsidR="00FD2B94">
              <w:t xml:space="preserve"> declaration </w:t>
            </w:r>
            <w:r w:rsidR="00120822">
              <w:t xml:space="preserve">decisions </w:t>
            </w:r>
            <w:r w:rsidR="00FD2B94">
              <w:t>a</w:t>
            </w:r>
            <w:r w:rsidR="00D93650">
              <w:t xml:space="preserve">nd access arbitrations are </w:t>
            </w:r>
            <w:r w:rsidR="0043020F">
              <w:t>necessarily complex</w:t>
            </w:r>
            <w:r w:rsidR="00120822">
              <w:t>, and that</w:t>
            </w:r>
            <w:r w:rsidR="0043020F">
              <w:t xml:space="preserve"> </w:t>
            </w:r>
            <w:r w:rsidR="0043020F" w:rsidRPr="001148B8">
              <w:rPr>
                <w:i/>
                <w:iCs/>
              </w:rPr>
              <w:t>‘getting this wrong can have significant economic consequences by distorting the market in terms of competition and infrastructure investment’</w:t>
            </w:r>
            <w:r w:rsidR="0043020F">
              <w:t>.</w:t>
            </w:r>
            <w:r w:rsidR="000841A8">
              <w:rPr>
                <w:rStyle w:val="FootnoteReference"/>
              </w:rPr>
              <w:footnoteReference w:id="40"/>
            </w:r>
          </w:p>
        </w:tc>
        <w:tc>
          <w:tcPr>
            <w:tcW w:w="3827" w:type="dxa"/>
          </w:tcPr>
          <w:p w14:paraId="65437A63" w14:textId="4B5588EF" w:rsidR="007240BF" w:rsidRDefault="007240BF" w:rsidP="0018262D">
            <w:pPr>
              <w:spacing w:before="60" w:after="60"/>
              <w:rPr>
                <w:bCs/>
              </w:rPr>
            </w:pPr>
            <w:r>
              <w:rPr>
                <w:bCs/>
              </w:rPr>
              <w:t xml:space="preserve">Infrastructure users were generally not supportive of option 1. </w:t>
            </w:r>
          </w:p>
          <w:p w14:paraId="6E3D5416" w14:textId="77777777" w:rsidR="007240BF" w:rsidRDefault="007240BF" w:rsidP="0018262D">
            <w:pPr>
              <w:spacing w:before="60" w:after="60"/>
              <w:rPr>
                <w:bCs/>
              </w:rPr>
            </w:pPr>
          </w:p>
          <w:p w14:paraId="5D82272B" w14:textId="61EB5F15" w:rsidR="00380619" w:rsidRDefault="00380619" w:rsidP="0018262D">
            <w:pPr>
              <w:spacing w:before="60" w:after="60"/>
              <w:rPr>
                <w:bCs/>
              </w:rPr>
            </w:pPr>
            <w:r>
              <w:rPr>
                <w:bCs/>
              </w:rPr>
              <w:t xml:space="preserve">Glencore submitted </w:t>
            </w:r>
            <w:r w:rsidR="00B27A4B">
              <w:rPr>
                <w:bCs/>
              </w:rPr>
              <w:t xml:space="preserve">that </w:t>
            </w:r>
            <w:r>
              <w:rPr>
                <w:bCs/>
              </w:rPr>
              <w:t xml:space="preserve">merits review should be retained </w:t>
            </w:r>
            <w:r w:rsidR="00DC4536">
              <w:rPr>
                <w:bCs/>
              </w:rPr>
              <w:t xml:space="preserve">for declaration decisions of Ministers </w:t>
            </w:r>
            <w:r>
              <w:rPr>
                <w:bCs/>
              </w:rPr>
              <w:t xml:space="preserve">because it provides </w:t>
            </w:r>
            <w:r w:rsidR="00B27A4B" w:rsidRPr="001148B8">
              <w:rPr>
                <w:bCs/>
                <w:i/>
              </w:rPr>
              <w:t>‘</w:t>
            </w:r>
            <w:r w:rsidRPr="001148B8">
              <w:rPr>
                <w:i/>
              </w:rPr>
              <w:t>openness, transparency and accountability</w:t>
            </w:r>
            <w:r w:rsidR="00B27A4B" w:rsidRPr="001148B8">
              <w:rPr>
                <w:bCs/>
                <w:i/>
              </w:rPr>
              <w:t>’</w:t>
            </w:r>
            <w:r>
              <w:rPr>
                <w:bCs/>
              </w:rPr>
              <w:t>.</w:t>
            </w:r>
            <w:r w:rsidR="00A97F14">
              <w:rPr>
                <w:rStyle w:val="FootnoteReference"/>
                <w:bCs/>
              </w:rPr>
              <w:footnoteReference w:id="41"/>
            </w:r>
          </w:p>
          <w:p w14:paraId="0FE25141" w14:textId="7853D817" w:rsidR="00380619" w:rsidRDefault="00380619" w:rsidP="0018262D">
            <w:pPr>
              <w:spacing w:before="60" w:after="60"/>
              <w:rPr>
                <w:bCs/>
              </w:rPr>
            </w:pPr>
          </w:p>
          <w:p w14:paraId="5F3462C9" w14:textId="279B4846" w:rsidR="00615AFC" w:rsidRDefault="000C12C1" w:rsidP="0018262D">
            <w:pPr>
              <w:spacing w:before="60" w:after="60"/>
              <w:rPr>
                <w:bCs/>
              </w:rPr>
            </w:pPr>
            <w:r>
              <w:rPr>
                <w:bCs/>
              </w:rPr>
              <w:t xml:space="preserve">The NSW Minerals Council submitted that, infrastructure owners </w:t>
            </w:r>
            <w:r w:rsidR="008A5030">
              <w:rPr>
                <w:bCs/>
              </w:rPr>
              <w:t xml:space="preserve">would </w:t>
            </w:r>
            <w:r>
              <w:rPr>
                <w:bCs/>
              </w:rPr>
              <w:t xml:space="preserve">be </w:t>
            </w:r>
            <w:r w:rsidR="00B27A4B">
              <w:rPr>
                <w:bCs/>
                <w:iCs/>
              </w:rPr>
              <w:t>‘</w:t>
            </w:r>
            <w:r w:rsidRPr="001148B8">
              <w:rPr>
                <w:i/>
                <w:iCs/>
              </w:rPr>
              <w:t>inclined to take appeals on matters of law</w:t>
            </w:r>
            <w:r w:rsidR="008A5030" w:rsidRPr="001148B8">
              <w:rPr>
                <w:i/>
                <w:iCs/>
              </w:rPr>
              <w:t xml:space="preserve">, irrespective of the </w:t>
            </w:r>
            <w:r w:rsidR="00211EE8">
              <w:rPr>
                <w:i/>
                <w:iCs/>
              </w:rPr>
              <w:t>elimination</w:t>
            </w:r>
            <w:r w:rsidR="008A5030" w:rsidRPr="001148B8">
              <w:rPr>
                <w:i/>
                <w:iCs/>
              </w:rPr>
              <w:t xml:space="preserve"> of merits reviews, as Part IIIA is a legally complex area, with many legal issues capable of being disputed through years of litigation</w:t>
            </w:r>
            <w:r w:rsidR="008A5030">
              <w:t xml:space="preserve"> </w:t>
            </w:r>
            <w:r w:rsidR="00B27A4B">
              <w:rPr>
                <w:bCs/>
                <w:iCs/>
              </w:rPr>
              <w:t>’</w:t>
            </w:r>
            <w:r w:rsidR="00B05180">
              <w:rPr>
                <w:bCs/>
              </w:rPr>
              <w:t>.</w:t>
            </w:r>
            <w:r w:rsidR="008A5030">
              <w:rPr>
                <w:rStyle w:val="FootnoteReference"/>
                <w:bCs/>
              </w:rPr>
              <w:footnoteReference w:id="42"/>
            </w:r>
          </w:p>
          <w:p w14:paraId="68F766D8" w14:textId="1774D876" w:rsidR="00615AFC" w:rsidRDefault="00615AFC" w:rsidP="0018262D">
            <w:pPr>
              <w:spacing w:before="60" w:after="60"/>
              <w:rPr>
                <w:bCs/>
              </w:rPr>
            </w:pPr>
            <w:r>
              <w:rPr>
                <w:bCs/>
              </w:rPr>
              <w:t>The Minerals Council of Australia submitted that removal of merits review could ‘</w:t>
            </w:r>
            <w:r w:rsidRPr="001148B8">
              <w:rPr>
                <w:i/>
                <w:iCs/>
              </w:rPr>
              <w:t>have the unintended consequence of entrenching private monopoly power over critical export infrastructure</w:t>
            </w:r>
            <w:r>
              <w:t>’.</w:t>
            </w:r>
            <w:r>
              <w:rPr>
                <w:rStyle w:val="FootnoteReference"/>
              </w:rPr>
              <w:footnoteReference w:id="43"/>
            </w:r>
          </w:p>
          <w:p w14:paraId="7C5420F0" w14:textId="77777777" w:rsidR="00031AA3" w:rsidRDefault="00031AA3" w:rsidP="0018262D">
            <w:pPr>
              <w:spacing w:before="60" w:after="60"/>
              <w:rPr>
                <w:bCs/>
              </w:rPr>
            </w:pPr>
          </w:p>
          <w:p w14:paraId="45F5BAAD" w14:textId="7F075C81" w:rsidR="00380619" w:rsidRDefault="00380619" w:rsidP="0018262D">
            <w:pPr>
              <w:spacing w:before="60" w:after="60"/>
              <w:rPr>
                <w:bCs/>
              </w:rPr>
            </w:pPr>
          </w:p>
          <w:p w14:paraId="5874C303" w14:textId="77777777" w:rsidR="00380619" w:rsidRDefault="00380619" w:rsidP="0018262D">
            <w:pPr>
              <w:spacing w:before="60" w:after="60"/>
              <w:rPr>
                <w:bCs/>
              </w:rPr>
            </w:pPr>
          </w:p>
          <w:p w14:paraId="5DE62DBA" w14:textId="77777777" w:rsidR="00C5675B" w:rsidRDefault="00C5675B" w:rsidP="0018262D">
            <w:pPr>
              <w:spacing w:before="60" w:after="60"/>
              <w:rPr>
                <w:bCs/>
              </w:rPr>
            </w:pPr>
          </w:p>
          <w:p w14:paraId="3506D32E" w14:textId="420F3EBA" w:rsidR="001E342A" w:rsidRPr="00666AFD" w:rsidRDefault="001E342A" w:rsidP="0018262D">
            <w:pPr>
              <w:spacing w:before="60" w:after="60"/>
            </w:pPr>
          </w:p>
        </w:tc>
        <w:tc>
          <w:tcPr>
            <w:tcW w:w="3828" w:type="dxa"/>
          </w:tcPr>
          <w:p w14:paraId="059BD2A4" w14:textId="5EBA69CC" w:rsidR="00A676A1" w:rsidRDefault="00A42DB9" w:rsidP="0018262D">
            <w:pPr>
              <w:spacing w:before="60" w:after="60"/>
              <w:rPr>
                <w:bCs/>
              </w:rPr>
            </w:pPr>
            <w:r>
              <w:rPr>
                <w:bCs/>
              </w:rPr>
              <w:t xml:space="preserve">The </w:t>
            </w:r>
            <w:r w:rsidR="008B00BE">
              <w:rPr>
                <w:bCs/>
              </w:rPr>
              <w:t xml:space="preserve">Business Law Section of the Law Council of Australia </w:t>
            </w:r>
            <w:r>
              <w:rPr>
                <w:bCs/>
              </w:rPr>
              <w:t>opposed Option 1 and</w:t>
            </w:r>
            <w:r w:rsidR="008B00BE">
              <w:rPr>
                <w:bCs/>
              </w:rPr>
              <w:t xml:space="preserve"> </w:t>
            </w:r>
            <w:r>
              <w:rPr>
                <w:bCs/>
              </w:rPr>
              <w:t xml:space="preserve">stated </w:t>
            </w:r>
            <w:r w:rsidR="008B00BE">
              <w:rPr>
                <w:bCs/>
              </w:rPr>
              <w:t>that</w:t>
            </w:r>
            <w:r w:rsidR="00423B1C">
              <w:rPr>
                <w:bCs/>
              </w:rPr>
              <w:t xml:space="preserve">, </w:t>
            </w:r>
            <w:r>
              <w:t>‘</w:t>
            </w:r>
            <w:r w:rsidR="00DD1B35">
              <w:rPr>
                <w:i/>
                <w:iCs/>
              </w:rPr>
              <w:t>M</w:t>
            </w:r>
            <w:r w:rsidR="00423B1C" w:rsidRPr="001148B8">
              <w:rPr>
                <w:i/>
                <w:iCs/>
              </w:rPr>
              <w:t xml:space="preserve">erits review provides the only means to correct decisions made by an administrative decision maker </w:t>
            </w:r>
            <w:r w:rsidR="00B0449F" w:rsidRPr="001148B8">
              <w:rPr>
                <w:i/>
                <w:iCs/>
              </w:rPr>
              <w:t>on</w:t>
            </w:r>
            <w:r w:rsidR="00423B1C" w:rsidRPr="001148B8">
              <w:rPr>
                <w:i/>
                <w:iCs/>
              </w:rPr>
              <w:t xml:space="preserve"> </w:t>
            </w:r>
            <w:r w:rsidR="00DD1B35">
              <w:rPr>
                <w:i/>
                <w:iCs/>
              </w:rPr>
              <w:t xml:space="preserve">the basis of </w:t>
            </w:r>
            <w:r w:rsidR="00423B1C" w:rsidRPr="001148B8">
              <w:rPr>
                <w:i/>
                <w:iCs/>
              </w:rPr>
              <w:t>incorrect facts</w:t>
            </w:r>
            <w:r w:rsidR="00423B1C" w:rsidRPr="001148B8">
              <w:rPr>
                <w:bCs/>
                <w:i/>
                <w:iCs/>
              </w:rPr>
              <w:t>.</w:t>
            </w:r>
            <w:r w:rsidR="00835E1C" w:rsidRPr="001148B8">
              <w:rPr>
                <w:bCs/>
                <w:i/>
                <w:iCs/>
              </w:rPr>
              <w:t xml:space="preserve"> </w:t>
            </w:r>
            <w:r w:rsidR="00835E1C" w:rsidRPr="001148B8">
              <w:rPr>
                <w:i/>
                <w:iCs/>
              </w:rPr>
              <w:t>Judicial review rarely allows for factual errors (other than jurisdictional errors) in decisions to be revisited or corrected</w:t>
            </w:r>
            <w:r>
              <w:rPr>
                <w:bCs/>
                <w:iCs/>
              </w:rPr>
              <w:t>’</w:t>
            </w:r>
            <w:r w:rsidR="00835E1C">
              <w:rPr>
                <w:bCs/>
                <w:iCs/>
              </w:rPr>
              <w:t>.</w:t>
            </w:r>
            <w:r w:rsidR="00835E1C">
              <w:rPr>
                <w:rStyle w:val="FootnoteReference"/>
                <w:bCs/>
                <w:iCs/>
              </w:rPr>
              <w:footnoteReference w:id="44"/>
            </w:r>
          </w:p>
          <w:p w14:paraId="24E33029" w14:textId="61167868" w:rsidR="00A42DB9" w:rsidRDefault="00A42DB9" w:rsidP="0018262D">
            <w:pPr>
              <w:spacing w:before="60" w:after="60"/>
              <w:rPr>
                <w:bCs/>
              </w:rPr>
            </w:pPr>
          </w:p>
          <w:p w14:paraId="29D84A78" w14:textId="52F84C5E" w:rsidR="003D0EC4" w:rsidRPr="001C6E7C" w:rsidRDefault="00A42DB9" w:rsidP="0018262D">
            <w:pPr>
              <w:spacing w:before="60" w:after="60"/>
              <w:rPr>
                <w:iCs/>
              </w:rPr>
            </w:pPr>
            <w:r>
              <w:t xml:space="preserve">The NCC </w:t>
            </w:r>
            <w:r w:rsidR="00594DD8">
              <w:t xml:space="preserve">supported Option 1 </w:t>
            </w:r>
            <w:r w:rsidR="00594DD8" w:rsidRPr="00DD1B35">
              <w:t xml:space="preserve">and </w:t>
            </w:r>
            <w:r w:rsidRPr="00DD1B35">
              <w:t xml:space="preserve">submitted that merits review </w:t>
            </w:r>
            <w:r w:rsidRPr="001148B8">
              <w:rPr>
                <w:i/>
                <w:iCs/>
              </w:rPr>
              <w:t>‘increases uncertainty for industry participants and adds unnecessary delay</w:t>
            </w:r>
            <w:r w:rsidR="0003220B" w:rsidRPr="00B029CE">
              <w:rPr>
                <w:iCs/>
              </w:rPr>
              <w:t xml:space="preserve"> to considerations </w:t>
            </w:r>
            <w:r w:rsidR="00036946" w:rsidRPr="00B029CE">
              <w:rPr>
                <w:iCs/>
              </w:rPr>
              <w:t xml:space="preserve">of whether services should be </w:t>
            </w:r>
            <w:r w:rsidR="0003220B" w:rsidRPr="00B029CE">
              <w:rPr>
                <w:iCs/>
              </w:rPr>
              <w:t>declar</w:t>
            </w:r>
            <w:r w:rsidR="00036946" w:rsidRPr="00B029CE">
              <w:rPr>
                <w:iCs/>
              </w:rPr>
              <w:t>ed</w:t>
            </w:r>
            <w:r w:rsidR="0003220B">
              <w:rPr>
                <w:iCs/>
              </w:rPr>
              <w:t>.</w:t>
            </w:r>
            <w:r w:rsidR="0003220B">
              <w:rPr>
                <w:rStyle w:val="FootnoteReference"/>
                <w:iCs/>
              </w:rPr>
              <w:footnoteReference w:id="45"/>
            </w:r>
            <w:r w:rsidR="0003220B">
              <w:rPr>
                <w:iCs/>
              </w:rPr>
              <w:t xml:space="preserve"> </w:t>
            </w:r>
            <w:r w:rsidR="003D0EC4">
              <w:t>It also stated that merits review</w:t>
            </w:r>
            <w:r w:rsidR="0003220B">
              <w:t xml:space="preserve"> of Ministerial decisions</w:t>
            </w:r>
            <w:r w:rsidR="003D0EC4">
              <w:t xml:space="preserve"> ‘</w:t>
            </w:r>
            <w:r w:rsidR="003D0EC4" w:rsidRPr="001148B8">
              <w:rPr>
                <w:i/>
                <w:iCs/>
              </w:rPr>
              <w:t xml:space="preserve">undermines the basis, as envisioned by the Hilmer Committee, </w:t>
            </w:r>
            <w:r w:rsidR="00B029CE">
              <w:rPr>
                <w:i/>
                <w:iCs/>
              </w:rPr>
              <w:t>for</w:t>
            </w:r>
            <w:r w:rsidR="003D0EC4" w:rsidRPr="001148B8">
              <w:rPr>
                <w:i/>
                <w:iCs/>
              </w:rPr>
              <w:t xml:space="preserve"> having declaration decisions made by an elected member of the Government acting on independent expert advice’</w:t>
            </w:r>
            <w:r w:rsidR="003D0EC4">
              <w:t>.</w:t>
            </w:r>
            <w:r w:rsidR="0003220B">
              <w:rPr>
                <w:rStyle w:val="FootnoteReference"/>
              </w:rPr>
              <w:footnoteReference w:id="46"/>
            </w:r>
          </w:p>
          <w:p w14:paraId="41FA6A6F" w14:textId="77777777" w:rsidR="00A42DB9" w:rsidRDefault="00A42DB9" w:rsidP="0018262D">
            <w:pPr>
              <w:spacing w:before="60" w:after="60"/>
              <w:rPr>
                <w:bCs/>
              </w:rPr>
            </w:pPr>
          </w:p>
          <w:p w14:paraId="2C16B0F2" w14:textId="29B3DAF0" w:rsidR="001E342A" w:rsidRPr="003B3BF1" w:rsidRDefault="005E356C" w:rsidP="0018262D">
            <w:pPr>
              <w:spacing w:before="60" w:after="60"/>
            </w:pPr>
            <w:r>
              <w:rPr>
                <w:bCs/>
              </w:rPr>
              <w:t xml:space="preserve">The ACCC </w:t>
            </w:r>
            <w:r w:rsidR="00A42DB9">
              <w:rPr>
                <w:bCs/>
              </w:rPr>
              <w:t xml:space="preserve">considered there </w:t>
            </w:r>
            <w:r w:rsidR="00A42DB9" w:rsidRPr="001148B8">
              <w:rPr>
                <w:bCs/>
                <w:i/>
                <w:iCs/>
              </w:rPr>
              <w:t>‘may be benefit’</w:t>
            </w:r>
            <w:r w:rsidR="00A42DB9">
              <w:rPr>
                <w:bCs/>
              </w:rPr>
              <w:t xml:space="preserve"> in removing merits review</w:t>
            </w:r>
            <w:r w:rsidR="00594DD8">
              <w:rPr>
                <w:bCs/>
              </w:rPr>
              <w:t xml:space="preserve">. It </w:t>
            </w:r>
            <w:r w:rsidR="004B4BA9">
              <w:rPr>
                <w:bCs/>
              </w:rPr>
              <w:t xml:space="preserve">submitted that it </w:t>
            </w:r>
            <w:r w:rsidR="004B4BA9" w:rsidRPr="001148B8">
              <w:rPr>
                <w:bCs/>
                <w:i/>
                <w:iCs/>
              </w:rPr>
              <w:t>‘</w:t>
            </w:r>
            <w:r w:rsidR="004B4BA9" w:rsidRPr="001148B8">
              <w:rPr>
                <w:i/>
                <w:iCs/>
              </w:rPr>
              <w:t>supports transparency and accountability of regulatory decision</w:t>
            </w:r>
            <w:r w:rsidR="00C10F37">
              <w:rPr>
                <w:i/>
                <w:iCs/>
              </w:rPr>
              <w:t>s’</w:t>
            </w:r>
            <w:r w:rsidR="00C10F37" w:rsidRPr="001148B8">
              <w:t xml:space="preserve"> but</w:t>
            </w:r>
            <w:r w:rsidR="00C10F37" w:rsidRPr="001148B8">
              <w:rPr>
                <w:iCs/>
              </w:rPr>
              <w:t xml:space="preserve"> </w:t>
            </w:r>
            <w:r w:rsidR="004B4BA9" w:rsidRPr="00366D22">
              <w:rPr>
                <w:iCs/>
              </w:rPr>
              <w:t xml:space="preserve">in </w:t>
            </w:r>
            <w:r w:rsidR="00366D22" w:rsidRPr="001148B8">
              <w:rPr>
                <w:iCs/>
              </w:rPr>
              <w:t xml:space="preserve">its </w:t>
            </w:r>
            <w:r w:rsidR="004B4BA9" w:rsidRPr="00366D22">
              <w:rPr>
                <w:iCs/>
              </w:rPr>
              <w:t>experience</w:t>
            </w:r>
            <w:r w:rsidR="004B4BA9" w:rsidRPr="001148B8">
              <w:rPr>
                <w:i/>
                <w:iCs/>
              </w:rPr>
              <w:t xml:space="preserve">, </w:t>
            </w:r>
            <w:r w:rsidR="004B4BA9" w:rsidRPr="00562B72">
              <w:rPr>
                <w:iCs/>
              </w:rPr>
              <w:t>access to merits review</w:t>
            </w:r>
            <w:r w:rsidR="004B4BA9" w:rsidRPr="001148B8">
              <w:rPr>
                <w:i/>
                <w:iCs/>
              </w:rPr>
              <w:t xml:space="preserve"> </w:t>
            </w:r>
            <w:r w:rsidR="00562B72">
              <w:rPr>
                <w:i/>
                <w:iCs/>
              </w:rPr>
              <w:t>‘</w:t>
            </w:r>
            <w:r w:rsidR="004B4BA9" w:rsidRPr="001148B8">
              <w:rPr>
                <w:i/>
                <w:iCs/>
              </w:rPr>
              <w:t>has not necessarily achieved these objectives’</w:t>
            </w:r>
            <w:r w:rsidR="00366D22">
              <w:rPr>
                <w:i/>
                <w:iCs/>
              </w:rPr>
              <w:t xml:space="preserve"> </w:t>
            </w:r>
            <w:r w:rsidR="00366D22" w:rsidRPr="001148B8">
              <w:rPr>
                <w:iCs/>
              </w:rPr>
              <w:t>and has</w:t>
            </w:r>
            <w:r w:rsidR="00366D22">
              <w:rPr>
                <w:i/>
                <w:iCs/>
              </w:rPr>
              <w:t xml:space="preserve"> ‘provided</w:t>
            </w:r>
            <w:r w:rsidR="00962B94">
              <w:rPr>
                <w:i/>
                <w:iCs/>
              </w:rPr>
              <w:t xml:space="preserve"> an opportunity for </w:t>
            </w:r>
            <w:r w:rsidR="00366D22">
              <w:rPr>
                <w:i/>
                <w:iCs/>
              </w:rPr>
              <w:t xml:space="preserve">monopoly infrastructure providers to slow the regulatory process by using </w:t>
            </w:r>
            <w:r w:rsidR="00366D22">
              <w:rPr>
                <w:i/>
                <w:iCs/>
              </w:rPr>
              <w:lastRenderedPageBreak/>
              <w:t>all legal avenues’</w:t>
            </w:r>
            <w:r w:rsidR="004B4BA9">
              <w:t>.</w:t>
            </w:r>
            <w:r w:rsidR="004B4BA9">
              <w:rPr>
                <w:rStyle w:val="FootnoteReference"/>
              </w:rPr>
              <w:footnoteReference w:id="47"/>
            </w:r>
            <w:r w:rsidR="004B4BA9">
              <w:t xml:space="preserve"> </w:t>
            </w:r>
            <w:r w:rsidR="00594DD8">
              <w:rPr>
                <w:bCs/>
              </w:rPr>
              <w:t>It also noted that review bodies may not have the benefit of the time, resources and expertise available to the original decision-maker</w:t>
            </w:r>
            <w:r w:rsidR="00C10F37">
              <w:t>.</w:t>
            </w:r>
            <w:r w:rsidR="00C10F37">
              <w:rPr>
                <w:rStyle w:val="FootnoteReference"/>
              </w:rPr>
              <w:footnoteReference w:id="48"/>
            </w:r>
          </w:p>
        </w:tc>
      </w:tr>
      <w:tr w:rsidR="001E342A" w14:paraId="46E43C7C" w14:textId="343C770E" w:rsidTr="001148B8">
        <w:trPr>
          <w:trHeight w:val="558"/>
        </w:trPr>
        <w:tc>
          <w:tcPr>
            <w:tcW w:w="2547" w:type="dxa"/>
          </w:tcPr>
          <w:p w14:paraId="4F903993" w14:textId="5CAF3B24" w:rsidR="001E342A" w:rsidRDefault="001E342A" w:rsidP="0018262D">
            <w:pPr>
              <w:spacing w:before="60" w:after="60"/>
              <w:rPr>
                <w:b/>
              </w:rPr>
            </w:pPr>
            <w:r>
              <w:rPr>
                <w:b/>
              </w:rPr>
              <w:lastRenderedPageBreak/>
              <w:t xml:space="preserve">Option </w:t>
            </w:r>
            <w:r w:rsidR="00913C6E">
              <w:rPr>
                <w:b/>
              </w:rPr>
              <w:t>2</w:t>
            </w:r>
            <w:r>
              <w:rPr>
                <w:b/>
              </w:rPr>
              <w:t xml:space="preserve">: </w:t>
            </w:r>
          </w:p>
          <w:p w14:paraId="462B15BE" w14:textId="64FB436F" w:rsidR="001E342A" w:rsidRDefault="001E342A" w:rsidP="00745E63">
            <w:pPr>
              <w:spacing w:before="60" w:after="60"/>
              <w:rPr>
                <w:b/>
              </w:rPr>
            </w:pPr>
            <w:r>
              <w:rPr>
                <w:b/>
                <w:bCs/>
              </w:rPr>
              <w:t xml:space="preserve">Removal of </w:t>
            </w:r>
            <w:r w:rsidR="00745E63">
              <w:rPr>
                <w:b/>
                <w:bCs/>
              </w:rPr>
              <w:t>m</w:t>
            </w:r>
            <w:r>
              <w:rPr>
                <w:b/>
                <w:bCs/>
              </w:rPr>
              <w:t xml:space="preserve">erits </w:t>
            </w:r>
            <w:r w:rsidR="00745E63">
              <w:rPr>
                <w:b/>
                <w:bCs/>
              </w:rPr>
              <w:t>r</w:t>
            </w:r>
            <w:r>
              <w:rPr>
                <w:b/>
                <w:bCs/>
              </w:rPr>
              <w:t xml:space="preserve">eview of </w:t>
            </w:r>
            <w:r w:rsidR="00745E63">
              <w:rPr>
                <w:b/>
                <w:bCs/>
              </w:rPr>
              <w:t>ACCC a</w:t>
            </w:r>
            <w:r>
              <w:rPr>
                <w:b/>
                <w:bCs/>
              </w:rPr>
              <w:t xml:space="preserve">rbitration </w:t>
            </w:r>
            <w:r w:rsidR="00745E63">
              <w:rPr>
                <w:b/>
                <w:bCs/>
              </w:rPr>
              <w:t>determinations</w:t>
            </w:r>
          </w:p>
        </w:tc>
        <w:tc>
          <w:tcPr>
            <w:tcW w:w="3827" w:type="dxa"/>
          </w:tcPr>
          <w:p w14:paraId="1A7F918B" w14:textId="56FE212E" w:rsidR="001E342A" w:rsidRDefault="00913C6E" w:rsidP="0018262D">
            <w:pPr>
              <w:spacing w:before="60" w:after="60"/>
              <w:rPr>
                <w:bCs/>
              </w:rPr>
            </w:pPr>
            <w:r w:rsidRPr="001138B9">
              <w:rPr>
                <w:bCs/>
              </w:rPr>
              <w:t>Infrastructure owners were not supportive of option 2</w:t>
            </w:r>
            <w:r w:rsidR="00E9612B">
              <w:rPr>
                <w:bCs/>
              </w:rPr>
              <w:t>.</w:t>
            </w:r>
          </w:p>
          <w:p w14:paraId="67B4BF76" w14:textId="1C21FAFE" w:rsidR="00D14650" w:rsidRDefault="00D14650" w:rsidP="0018262D">
            <w:pPr>
              <w:spacing w:before="60" w:after="60"/>
              <w:rPr>
                <w:bCs/>
              </w:rPr>
            </w:pPr>
          </w:p>
          <w:p w14:paraId="44F3B474" w14:textId="359965CE" w:rsidR="00132B49" w:rsidRPr="001148B8" w:rsidRDefault="00D14650" w:rsidP="0018262D">
            <w:pPr>
              <w:spacing w:before="60" w:after="60"/>
              <w:rPr>
                <w:i/>
                <w:iCs/>
              </w:rPr>
            </w:pPr>
            <w:r>
              <w:rPr>
                <w:bCs/>
              </w:rPr>
              <w:t xml:space="preserve">Port of Newcastle </w:t>
            </w:r>
            <w:r w:rsidR="00E9612B">
              <w:rPr>
                <w:bCs/>
              </w:rPr>
              <w:t xml:space="preserve">did not support option 2 and </w:t>
            </w:r>
            <w:r w:rsidR="0091023F">
              <w:rPr>
                <w:bCs/>
              </w:rPr>
              <w:t>submitted</w:t>
            </w:r>
            <w:r w:rsidR="00552FE2">
              <w:rPr>
                <w:bCs/>
              </w:rPr>
              <w:t xml:space="preserve"> that</w:t>
            </w:r>
            <w:r w:rsidR="00E9612B">
              <w:rPr>
                <w:bCs/>
              </w:rPr>
              <w:t xml:space="preserve"> </w:t>
            </w:r>
            <w:r w:rsidR="00B56F7C">
              <w:rPr>
                <w:bCs/>
              </w:rPr>
              <w:t xml:space="preserve">merits review by the Tribunal of arbitrations by the ACCC </w:t>
            </w:r>
            <w:r w:rsidR="00E9612B" w:rsidRPr="001148B8">
              <w:rPr>
                <w:bCs/>
                <w:i/>
                <w:iCs/>
              </w:rPr>
              <w:t>‘</w:t>
            </w:r>
            <w:r w:rsidR="00B56F7C">
              <w:rPr>
                <w:i/>
                <w:iCs/>
              </w:rPr>
              <w:t xml:space="preserve">provides </w:t>
            </w:r>
            <w:r w:rsidR="00E9612B" w:rsidRPr="001148B8">
              <w:rPr>
                <w:i/>
                <w:iCs/>
              </w:rPr>
              <w:t>an important safeguard</w:t>
            </w:r>
            <w:r w:rsidR="00B56F7C">
              <w:rPr>
                <w:i/>
                <w:iCs/>
              </w:rPr>
              <w:t xml:space="preserve"> for infrastructure owners and access seekers in</w:t>
            </w:r>
            <w:r w:rsidR="0006491B">
              <w:rPr>
                <w:bCs/>
              </w:rPr>
              <w:t xml:space="preserve"> </w:t>
            </w:r>
            <w:r w:rsidR="0006491B" w:rsidRPr="00575EC9">
              <w:rPr>
                <w:i/>
              </w:rPr>
              <w:t xml:space="preserve">complex contested </w:t>
            </w:r>
            <w:r w:rsidR="00B56F7C">
              <w:rPr>
                <w:bCs/>
                <w:i/>
              </w:rPr>
              <w:t>factual disputes</w:t>
            </w:r>
            <w:r w:rsidR="003F7666">
              <w:rPr>
                <w:bCs/>
                <w:i/>
              </w:rPr>
              <w:t>’</w:t>
            </w:r>
            <w:r w:rsidR="0006491B">
              <w:rPr>
                <w:bCs/>
              </w:rPr>
              <w:t xml:space="preserve">. </w:t>
            </w:r>
            <w:r w:rsidR="00B61408">
              <w:t>It submitted that</w:t>
            </w:r>
            <w:r w:rsidR="00B56F7C">
              <w:t xml:space="preserve"> in its absence</w:t>
            </w:r>
            <w:r w:rsidR="00B61408">
              <w:t>, ‘</w:t>
            </w:r>
            <w:r w:rsidR="00B61408" w:rsidRPr="001148B8">
              <w:rPr>
                <w:i/>
                <w:iCs/>
              </w:rPr>
              <w:t>the ACCC would be the single, final and binding arbitrator of access disputes, and its arbitral decisions would finally determine parties' rights, subject only to judicial review’</w:t>
            </w:r>
            <w:r w:rsidR="0006491B">
              <w:rPr>
                <w:i/>
                <w:iCs/>
              </w:rPr>
              <w:t>.</w:t>
            </w:r>
            <w:r w:rsidR="0006491B">
              <w:rPr>
                <w:rStyle w:val="FootnoteReference"/>
                <w:i/>
                <w:iCs/>
              </w:rPr>
              <w:footnoteReference w:id="49"/>
            </w:r>
          </w:p>
          <w:p w14:paraId="2FC876C1" w14:textId="46E942F9" w:rsidR="00552FE2" w:rsidRDefault="00552FE2" w:rsidP="0018262D">
            <w:pPr>
              <w:spacing w:before="60" w:after="60"/>
              <w:rPr>
                <w:bCs/>
              </w:rPr>
            </w:pPr>
          </w:p>
          <w:p w14:paraId="7DEDFAC1" w14:textId="6535074E" w:rsidR="001E342A" w:rsidRPr="001138B9" w:rsidRDefault="00552FE2" w:rsidP="0018262D">
            <w:pPr>
              <w:spacing w:before="60" w:after="60"/>
            </w:pPr>
            <w:r>
              <w:rPr>
                <w:bCs/>
              </w:rPr>
              <w:t>Other infrastructure owners, such as Sydney Airport</w:t>
            </w:r>
            <w:r w:rsidR="0006491B">
              <w:rPr>
                <w:bCs/>
              </w:rPr>
              <w:t xml:space="preserve">, </w:t>
            </w:r>
            <w:r>
              <w:rPr>
                <w:bCs/>
              </w:rPr>
              <w:t>the Australian Airports Association</w:t>
            </w:r>
            <w:r w:rsidR="0006491B">
              <w:rPr>
                <w:bCs/>
              </w:rPr>
              <w:t xml:space="preserve"> and the Australian Rail Track Corporation,</w:t>
            </w:r>
            <w:r>
              <w:rPr>
                <w:bCs/>
              </w:rPr>
              <w:t xml:space="preserve"> were not supportive of</w:t>
            </w:r>
            <w:r w:rsidR="00631AA9">
              <w:rPr>
                <w:bCs/>
              </w:rPr>
              <w:t xml:space="preserve"> option 2. The Australian Airports Association submitted that merits review is important to ensure decision</w:t>
            </w:r>
            <w:r w:rsidR="00A71A48">
              <w:rPr>
                <w:bCs/>
              </w:rPr>
              <w:t>s</w:t>
            </w:r>
            <w:r w:rsidR="00631AA9">
              <w:rPr>
                <w:bCs/>
              </w:rPr>
              <w:t xml:space="preserve"> are made based on </w:t>
            </w:r>
            <w:r w:rsidR="0006491B">
              <w:rPr>
                <w:bCs/>
                <w:i/>
                <w:iCs/>
              </w:rPr>
              <w:t>‘</w:t>
            </w:r>
            <w:r w:rsidR="00631AA9" w:rsidRPr="00631AA9">
              <w:rPr>
                <w:bCs/>
                <w:i/>
                <w:iCs/>
              </w:rPr>
              <w:t>an accurate understanding of the relevant facts, which is important given the significant potential economic consequences of these decisions</w:t>
            </w:r>
            <w:r w:rsidR="0006491B">
              <w:rPr>
                <w:bCs/>
                <w:i/>
                <w:iCs/>
              </w:rPr>
              <w:t>’</w:t>
            </w:r>
            <w:r w:rsidR="00631AA9">
              <w:rPr>
                <w:bCs/>
                <w:i/>
                <w:iCs/>
              </w:rPr>
              <w:t>.</w:t>
            </w:r>
            <w:r w:rsidR="003F443B">
              <w:rPr>
                <w:rStyle w:val="FootnoteReference"/>
                <w:bCs/>
                <w:i/>
                <w:iCs/>
              </w:rPr>
              <w:footnoteReference w:id="50"/>
            </w:r>
          </w:p>
        </w:tc>
        <w:tc>
          <w:tcPr>
            <w:tcW w:w="3827" w:type="dxa"/>
          </w:tcPr>
          <w:p w14:paraId="69C43C4C" w14:textId="0E9FCA39" w:rsidR="00FB7FFD" w:rsidRDefault="00FB7FFD" w:rsidP="0018262D">
            <w:pPr>
              <w:spacing w:before="60" w:after="60"/>
              <w:rPr>
                <w:bCs/>
              </w:rPr>
            </w:pPr>
            <w:r>
              <w:rPr>
                <w:bCs/>
              </w:rPr>
              <w:t>Infrastructure users expressed mixed views.</w:t>
            </w:r>
          </w:p>
          <w:p w14:paraId="6A740D2E" w14:textId="3154DE59" w:rsidR="005842DB" w:rsidRDefault="00631AA9" w:rsidP="0018262D">
            <w:pPr>
              <w:spacing w:before="60" w:after="60"/>
              <w:rPr>
                <w:bCs/>
              </w:rPr>
            </w:pPr>
            <w:r>
              <w:rPr>
                <w:bCs/>
              </w:rPr>
              <w:t xml:space="preserve">NSW Minerals Council opposed option 2 </w:t>
            </w:r>
            <w:r w:rsidR="001D7014">
              <w:rPr>
                <w:bCs/>
              </w:rPr>
              <w:t>because this</w:t>
            </w:r>
            <w:r w:rsidR="00310B90">
              <w:rPr>
                <w:bCs/>
              </w:rPr>
              <w:t xml:space="preserve"> </w:t>
            </w:r>
            <w:r w:rsidR="00EA5888">
              <w:rPr>
                <w:bCs/>
                <w:i/>
                <w:iCs/>
              </w:rPr>
              <w:t>‘</w:t>
            </w:r>
            <w:r w:rsidR="0078765F">
              <w:rPr>
                <w:bCs/>
                <w:i/>
                <w:iCs/>
              </w:rPr>
              <w:t xml:space="preserve">effectively </w:t>
            </w:r>
            <w:r w:rsidR="001D7014" w:rsidRPr="001D7014">
              <w:rPr>
                <w:bCs/>
                <w:i/>
                <w:iCs/>
              </w:rPr>
              <w:t>remove</w:t>
            </w:r>
            <w:r w:rsidR="0078765F">
              <w:rPr>
                <w:bCs/>
                <w:i/>
                <w:iCs/>
              </w:rPr>
              <w:t>s</w:t>
            </w:r>
            <w:r w:rsidR="001D7014" w:rsidRPr="001D7014">
              <w:rPr>
                <w:bCs/>
                <w:i/>
                <w:iCs/>
              </w:rPr>
              <w:t xml:space="preserve"> one of the few limited options currently available to have applications re-heard</w:t>
            </w:r>
            <w:r w:rsidR="00EA5888">
              <w:rPr>
                <w:bCs/>
              </w:rPr>
              <w:t>’</w:t>
            </w:r>
            <w:r w:rsidR="001D7014">
              <w:rPr>
                <w:bCs/>
              </w:rPr>
              <w:t>.</w:t>
            </w:r>
            <w:r w:rsidR="00EA5888">
              <w:rPr>
                <w:rStyle w:val="FootnoteReference"/>
                <w:bCs/>
              </w:rPr>
              <w:footnoteReference w:id="51"/>
            </w:r>
            <w:r w:rsidR="00EA5888">
              <w:rPr>
                <w:bCs/>
              </w:rPr>
              <w:t xml:space="preserve"> </w:t>
            </w:r>
          </w:p>
          <w:p w14:paraId="7A35C5C8" w14:textId="495009D2" w:rsidR="003C50F0" w:rsidRDefault="002E234E" w:rsidP="003C50F0">
            <w:pPr>
              <w:spacing w:before="60" w:after="60"/>
              <w:rPr>
                <w:bCs/>
              </w:rPr>
            </w:pPr>
            <w:r>
              <w:rPr>
                <w:bCs/>
              </w:rPr>
              <w:t xml:space="preserve">Glencore was </w:t>
            </w:r>
            <w:r w:rsidR="00910C55">
              <w:rPr>
                <w:bCs/>
              </w:rPr>
              <w:t>supportive of removing merits review by the Tribunal of ACCC arbitral decisions.</w:t>
            </w:r>
            <w:r w:rsidR="004807CB">
              <w:rPr>
                <w:bCs/>
              </w:rPr>
              <w:t xml:space="preserve"> It submitted that the ‘</w:t>
            </w:r>
            <w:r w:rsidR="004807CB" w:rsidRPr="001148B8">
              <w:rPr>
                <w:bCs/>
                <w:i/>
                <w:iCs/>
              </w:rPr>
              <w:t>ACCC is a competent body</w:t>
            </w:r>
            <w:r w:rsidR="003C57FE">
              <w:rPr>
                <w:bCs/>
                <w:i/>
                <w:iCs/>
              </w:rPr>
              <w:t xml:space="preserve"> …</w:t>
            </w:r>
            <w:r w:rsidR="005C7F7D" w:rsidRPr="001148B8">
              <w:rPr>
                <w:bCs/>
                <w:i/>
                <w:iCs/>
              </w:rPr>
              <w:t xml:space="preserve"> to make to make complex and significant economic and legal decisions such that there is no benefit in having the Tribunal reconsider the merits of the decision</w:t>
            </w:r>
            <w:r w:rsidR="005C7F7D">
              <w:rPr>
                <w:bCs/>
              </w:rPr>
              <w:t xml:space="preserve">’. </w:t>
            </w:r>
            <w:r w:rsidR="003C50F0">
              <w:rPr>
                <w:bCs/>
              </w:rPr>
              <w:t>Glencore also submitted, ‘</w:t>
            </w:r>
            <w:r w:rsidR="003C50F0" w:rsidRPr="001148B8">
              <w:rPr>
                <w:bCs/>
                <w:i/>
                <w:iCs/>
              </w:rPr>
              <w:t>any merits review (possibly de novo) by the Tribunal, which is simply another administrative decision maker, is of no to little utility’</w:t>
            </w:r>
            <w:r w:rsidR="003C50F0">
              <w:rPr>
                <w:bCs/>
              </w:rPr>
              <w:t>.</w:t>
            </w:r>
            <w:r w:rsidR="00D60388">
              <w:rPr>
                <w:rStyle w:val="FootnoteReference"/>
                <w:bCs/>
              </w:rPr>
              <w:footnoteReference w:id="52"/>
            </w:r>
          </w:p>
          <w:p w14:paraId="43184DD0" w14:textId="166DF50A" w:rsidR="003C50F0" w:rsidRDefault="003C50F0" w:rsidP="003C50F0">
            <w:pPr>
              <w:spacing w:before="60" w:after="60"/>
              <w:rPr>
                <w:bCs/>
              </w:rPr>
            </w:pPr>
          </w:p>
          <w:p w14:paraId="7483B8B2" w14:textId="7BC4145B" w:rsidR="002E234E" w:rsidRDefault="002E234E" w:rsidP="005C7F7D">
            <w:pPr>
              <w:spacing w:before="60" w:after="60"/>
              <w:rPr>
                <w:bCs/>
              </w:rPr>
            </w:pPr>
          </w:p>
          <w:p w14:paraId="28AE87AC" w14:textId="783CD097" w:rsidR="002E234E" w:rsidRDefault="002E234E" w:rsidP="0018262D">
            <w:pPr>
              <w:spacing w:before="60" w:after="60"/>
              <w:rPr>
                <w:bCs/>
              </w:rPr>
            </w:pPr>
          </w:p>
          <w:p w14:paraId="35E2545A" w14:textId="77777777" w:rsidR="002E234E" w:rsidRDefault="002E234E" w:rsidP="0018262D">
            <w:pPr>
              <w:spacing w:before="60" w:after="60"/>
              <w:rPr>
                <w:bCs/>
              </w:rPr>
            </w:pPr>
          </w:p>
          <w:p w14:paraId="24D9DE7B" w14:textId="77777777" w:rsidR="005842DB" w:rsidRDefault="005842DB" w:rsidP="0018262D">
            <w:pPr>
              <w:spacing w:before="60" w:after="60"/>
              <w:rPr>
                <w:bCs/>
              </w:rPr>
            </w:pPr>
          </w:p>
          <w:p w14:paraId="03EEDE4D" w14:textId="7DD2E731" w:rsidR="001D7014" w:rsidRDefault="001D7014" w:rsidP="0018262D">
            <w:pPr>
              <w:spacing w:before="60" w:after="60"/>
              <w:rPr>
                <w:bCs/>
              </w:rPr>
            </w:pPr>
          </w:p>
          <w:p w14:paraId="1EFC3DFC" w14:textId="77777777" w:rsidR="001D7014" w:rsidRDefault="001D7014" w:rsidP="0018262D">
            <w:pPr>
              <w:spacing w:before="60" w:after="60"/>
              <w:rPr>
                <w:bCs/>
              </w:rPr>
            </w:pPr>
          </w:p>
          <w:p w14:paraId="37F57959" w14:textId="77777777" w:rsidR="001138B9" w:rsidRDefault="001138B9" w:rsidP="0018262D">
            <w:pPr>
              <w:spacing w:before="60" w:after="60"/>
              <w:rPr>
                <w:bCs/>
              </w:rPr>
            </w:pPr>
          </w:p>
          <w:p w14:paraId="2DB9AB0F" w14:textId="146669CC" w:rsidR="001E342A" w:rsidRPr="001138B9" w:rsidRDefault="001E342A" w:rsidP="0018262D">
            <w:pPr>
              <w:spacing w:before="60" w:after="60"/>
            </w:pPr>
          </w:p>
        </w:tc>
        <w:tc>
          <w:tcPr>
            <w:tcW w:w="3828" w:type="dxa"/>
          </w:tcPr>
          <w:p w14:paraId="43402453" w14:textId="59C4AA42" w:rsidR="00ED7340" w:rsidRDefault="00ED7340" w:rsidP="0018262D">
            <w:pPr>
              <w:spacing w:before="60" w:after="60"/>
              <w:rPr>
                <w:bCs/>
              </w:rPr>
            </w:pPr>
            <w:r>
              <w:rPr>
                <w:bCs/>
              </w:rPr>
              <w:t xml:space="preserve">The ACCC </w:t>
            </w:r>
            <w:r w:rsidR="00D5441C">
              <w:rPr>
                <w:bCs/>
              </w:rPr>
              <w:t xml:space="preserve">considered </w:t>
            </w:r>
            <w:r w:rsidR="004D4559">
              <w:rPr>
                <w:bCs/>
              </w:rPr>
              <w:t xml:space="preserve">that there may be benefit in </w:t>
            </w:r>
            <w:r w:rsidR="00D5441C">
              <w:rPr>
                <w:bCs/>
              </w:rPr>
              <w:t xml:space="preserve">adopting </w:t>
            </w:r>
            <w:r>
              <w:rPr>
                <w:bCs/>
              </w:rPr>
              <w:t xml:space="preserve">option 2 and </w:t>
            </w:r>
            <w:r w:rsidR="007B1A8A">
              <w:rPr>
                <w:bCs/>
              </w:rPr>
              <w:t xml:space="preserve">submitted </w:t>
            </w:r>
            <w:r>
              <w:rPr>
                <w:bCs/>
              </w:rPr>
              <w:t xml:space="preserve">removal of merits review would bring the NAR, </w:t>
            </w:r>
            <w:r w:rsidR="00A76EBF">
              <w:rPr>
                <w:bCs/>
                <w:i/>
                <w:iCs/>
              </w:rPr>
              <w:t>‘</w:t>
            </w:r>
            <w:r w:rsidRPr="00ED7340">
              <w:rPr>
                <w:bCs/>
                <w:i/>
                <w:iCs/>
              </w:rPr>
              <w:t>in line with the telecommunications and energy access regimes</w:t>
            </w:r>
            <w:r w:rsidR="00A76EBF">
              <w:rPr>
                <w:bCs/>
              </w:rPr>
              <w:t>’</w:t>
            </w:r>
            <w:r>
              <w:rPr>
                <w:bCs/>
              </w:rPr>
              <w:t>.</w:t>
            </w:r>
            <w:r w:rsidR="00A76EBF">
              <w:rPr>
                <w:rStyle w:val="FootnoteReference"/>
                <w:bCs/>
              </w:rPr>
              <w:footnoteReference w:id="53"/>
            </w:r>
          </w:p>
          <w:p w14:paraId="5690EEBE" w14:textId="4A794286" w:rsidR="00ED7340" w:rsidRDefault="00ED7340" w:rsidP="0018262D">
            <w:pPr>
              <w:spacing w:before="60" w:after="60"/>
              <w:rPr>
                <w:bCs/>
              </w:rPr>
            </w:pPr>
          </w:p>
          <w:p w14:paraId="6392E67A" w14:textId="0ACE1885" w:rsidR="00A255AC" w:rsidRDefault="00D47734" w:rsidP="0018262D">
            <w:pPr>
              <w:spacing w:before="60" w:after="60"/>
              <w:rPr>
                <w:bCs/>
              </w:rPr>
            </w:pPr>
            <w:r>
              <w:rPr>
                <w:bCs/>
              </w:rPr>
              <w:t>The NCC submitt</w:t>
            </w:r>
            <w:r w:rsidR="00FB7FFD">
              <w:rPr>
                <w:bCs/>
              </w:rPr>
              <w:t>ed</w:t>
            </w:r>
            <w:r>
              <w:rPr>
                <w:bCs/>
              </w:rPr>
              <w:t xml:space="preserve"> that</w:t>
            </w:r>
            <w:r w:rsidR="00A76EBF">
              <w:rPr>
                <w:bCs/>
              </w:rPr>
              <w:t xml:space="preserve"> ‘</w:t>
            </w:r>
            <w:r w:rsidR="00A76EBF" w:rsidRPr="001148B8">
              <w:rPr>
                <w:bCs/>
                <w:i/>
                <w:iCs/>
              </w:rPr>
              <w:t>the rationale for removing merits review of Ministerial decisions on declarations is weaker in the case of ACCC arbitration determinations which are not made by an electorally accountable Minister’</w:t>
            </w:r>
            <w:r w:rsidR="00A76EBF">
              <w:rPr>
                <w:bCs/>
              </w:rPr>
              <w:t>.</w:t>
            </w:r>
            <w:r w:rsidR="00A76EBF">
              <w:rPr>
                <w:rStyle w:val="FootnoteReference"/>
                <w:bCs/>
              </w:rPr>
              <w:footnoteReference w:id="54"/>
            </w:r>
          </w:p>
          <w:p w14:paraId="452B1684" w14:textId="210BA677" w:rsidR="00A255AC" w:rsidRDefault="00A255AC" w:rsidP="0018262D">
            <w:pPr>
              <w:spacing w:before="60" w:after="60"/>
              <w:rPr>
                <w:bCs/>
              </w:rPr>
            </w:pPr>
          </w:p>
          <w:p w14:paraId="0EB03353" w14:textId="5B549CD2" w:rsidR="001E342A" w:rsidRPr="001138B9" w:rsidRDefault="00A255AC">
            <w:pPr>
              <w:spacing w:before="60" w:after="60"/>
            </w:pPr>
            <w:r>
              <w:rPr>
                <w:bCs/>
              </w:rPr>
              <w:t>The Business Law Section of the Law Council of Australia</w:t>
            </w:r>
            <w:r w:rsidR="00FA42F0">
              <w:rPr>
                <w:bCs/>
              </w:rPr>
              <w:t xml:space="preserve"> </w:t>
            </w:r>
            <w:r w:rsidR="0080775E">
              <w:rPr>
                <w:bCs/>
              </w:rPr>
              <w:t>considered that ‘</w:t>
            </w:r>
            <w:r w:rsidR="0080775E" w:rsidRPr="001148B8">
              <w:rPr>
                <w:bCs/>
                <w:i/>
                <w:iCs/>
              </w:rPr>
              <w:t>arbitration determinations can and do have a significant effect on the use of, operation of and investment in infrastructure facilities, and consequently, effects on the competitive process in upstream and downstream markets</w:t>
            </w:r>
            <w:r w:rsidR="0080775E">
              <w:rPr>
                <w:bCs/>
              </w:rPr>
              <w:t>’.</w:t>
            </w:r>
            <w:r w:rsidR="0080775E">
              <w:rPr>
                <w:rStyle w:val="FootnoteReference"/>
                <w:bCs/>
              </w:rPr>
              <w:footnoteReference w:id="55"/>
            </w:r>
            <w:r w:rsidR="002647D6">
              <w:rPr>
                <w:bCs/>
              </w:rPr>
              <w:t xml:space="preserve"> It</w:t>
            </w:r>
            <w:r w:rsidR="00006487">
              <w:rPr>
                <w:bCs/>
              </w:rPr>
              <w:t xml:space="preserve"> </w:t>
            </w:r>
            <w:r w:rsidR="002647D6">
              <w:rPr>
                <w:bCs/>
              </w:rPr>
              <w:t>submitted that, ‘</w:t>
            </w:r>
            <w:r w:rsidR="002647D6" w:rsidRPr="001148B8">
              <w:rPr>
                <w:i/>
                <w:iCs/>
              </w:rPr>
              <w:t>restricting the availability of review to matters of law risks significant errors in arbitration of disputes</w:t>
            </w:r>
            <w:r w:rsidR="00006487" w:rsidRPr="001148B8">
              <w:rPr>
                <w:i/>
                <w:iCs/>
              </w:rPr>
              <w:t xml:space="preserve"> … </w:t>
            </w:r>
            <w:r w:rsidR="00DF1BEE">
              <w:rPr>
                <w:i/>
                <w:iCs/>
              </w:rPr>
              <w:t>A</w:t>
            </w:r>
            <w:r w:rsidR="00006487" w:rsidRPr="001148B8">
              <w:rPr>
                <w:i/>
                <w:iCs/>
              </w:rPr>
              <w:t xml:space="preserve">ccess arbitration proceedings under the NAR are complex and technical, making the possibility of regulatory error </w:t>
            </w:r>
            <w:r w:rsidR="00DF1BEE">
              <w:rPr>
                <w:i/>
                <w:iCs/>
              </w:rPr>
              <w:t xml:space="preserve">is </w:t>
            </w:r>
            <w:r w:rsidR="00006487" w:rsidRPr="001148B8">
              <w:rPr>
                <w:i/>
                <w:iCs/>
              </w:rPr>
              <w:t>quite high</w:t>
            </w:r>
            <w:r w:rsidR="00006487">
              <w:t>’.</w:t>
            </w:r>
            <w:r w:rsidR="00006487">
              <w:rPr>
                <w:rStyle w:val="FootnoteReference"/>
              </w:rPr>
              <w:footnoteReference w:id="56"/>
            </w:r>
          </w:p>
        </w:tc>
      </w:tr>
      <w:tr w:rsidR="001E342A" w14:paraId="7FC2FAA9" w14:textId="7478B74F" w:rsidTr="001148B8">
        <w:tc>
          <w:tcPr>
            <w:tcW w:w="2547" w:type="dxa"/>
          </w:tcPr>
          <w:p w14:paraId="7D10A603" w14:textId="08B4E346" w:rsidR="001E342A" w:rsidRDefault="001E342A" w:rsidP="0018262D">
            <w:pPr>
              <w:spacing w:before="60" w:after="60"/>
              <w:rPr>
                <w:b/>
              </w:rPr>
            </w:pPr>
            <w:r>
              <w:rPr>
                <w:b/>
              </w:rPr>
              <w:t xml:space="preserve">Option </w:t>
            </w:r>
            <w:r w:rsidR="00571F5C">
              <w:rPr>
                <w:b/>
              </w:rPr>
              <w:t>3</w:t>
            </w:r>
            <w:r>
              <w:rPr>
                <w:b/>
              </w:rPr>
              <w:t xml:space="preserve">: </w:t>
            </w:r>
          </w:p>
          <w:p w14:paraId="651EED7A" w14:textId="77355887" w:rsidR="001E342A" w:rsidRDefault="001E342A" w:rsidP="0018262D">
            <w:pPr>
              <w:spacing w:before="60" w:after="60"/>
              <w:rPr>
                <w:b/>
              </w:rPr>
            </w:pPr>
            <w:r>
              <w:rPr>
                <w:b/>
              </w:rPr>
              <w:t>Shorten timeframes</w:t>
            </w:r>
          </w:p>
        </w:tc>
        <w:tc>
          <w:tcPr>
            <w:tcW w:w="3827" w:type="dxa"/>
          </w:tcPr>
          <w:p w14:paraId="137FD812" w14:textId="7964F858" w:rsidR="0015428D" w:rsidRDefault="005E7950" w:rsidP="0018262D">
            <w:pPr>
              <w:spacing w:before="60" w:after="60"/>
              <w:rPr>
                <w:bCs/>
              </w:rPr>
            </w:pPr>
            <w:r>
              <w:rPr>
                <w:bCs/>
              </w:rPr>
              <w:t xml:space="preserve">Infrastructure owners expressed mixed views </w:t>
            </w:r>
            <w:r w:rsidR="00C620E6">
              <w:rPr>
                <w:bCs/>
              </w:rPr>
              <w:t xml:space="preserve">about </w:t>
            </w:r>
            <w:r>
              <w:rPr>
                <w:bCs/>
              </w:rPr>
              <w:t xml:space="preserve">option 3. </w:t>
            </w:r>
          </w:p>
          <w:p w14:paraId="62735F27" w14:textId="77777777" w:rsidR="00A74908" w:rsidRDefault="00A74908" w:rsidP="0018262D">
            <w:pPr>
              <w:spacing w:before="60" w:after="60"/>
              <w:rPr>
                <w:bCs/>
              </w:rPr>
            </w:pPr>
          </w:p>
          <w:p w14:paraId="65FEC6E6" w14:textId="2FE76FFC" w:rsidR="005E7950" w:rsidRDefault="0015428D" w:rsidP="0018262D">
            <w:pPr>
              <w:spacing w:before="60" w:after="60"/>
              <w:rPr>
                <w:bCs/>
              </w:rPr>
            </w:pPr>
            <w:r>
              <w:rPr>
                <w:bCs/>
              </w:rPr>
              <w:t xml:space="preserve">Sydney Airport supported option 3 in principle, </w:t>
            </w:r>
            <w:r w:rsidR="00361506">
              <w:rPr>
                <w:bCs/>
              </w:rPr>
              <w:t>on the condition shorter timeframes ‘</w:t>
            </w:r>
            <w:r w:rsidR="00361506" w:rsidRPr="001148B8">
              <w:rPr>
                <w:bCs/>
                <w:i/>
                <w:iCs/>
              </w:rPr>
              <w:t xml:space="preserve">allow sufficient time and flexibility for the ACT to </w:t>
            </w:r>
            <w:r w:rsidR="00361506" w:rsidRPr="001148B8">
              <w:rPr>
                <w:bCs/>
                <w:i/>
                <w:iCs/>
              </w:rPr>
              <w:lastRenderedPageBreak/>
              <w:t>reconsider the facts and law thoroughly in order to make an informed decision’</w:t>
            </w:r>
            <w:r w:rsidR="00361506">
              <w:rPr>
                <w:bCs/>
              </w:rPr>
              <w:t>.</w:t>
            </w:r>
            <w:r w:rsidR="00361506">
              <w:rPr>
                <w:rStyle w:val="FootnoteReference"/>
                <w:bCs/>
              </w:rPr>
              <w:footnoteReference w:id="57"/>
            </w:r>
            <w:r w:rsidR="003A6449">
              <w:rPr>
                <w:bCs/>
              </w:rPr>
              <w:t xml:space="preserve"> </w:t>
            </w:r>
          </w:p>
          <w:p w14:paraId="16CA4897" w14:textId="694F9488" w:rsidR="000B0409" w:rsidRDefault="000B0409" w:rsidP="0018262D">
            <w:pPr>
              <w:spacing w:before="60" w:after="60"/>
              <w:rPr>
                <w:bCs/>
              </w:rPr>
            </w:pPr>
          </w:p>
          <w:p w14:paraId="03AA70F3" w14:textId="1F39E66E" w:rsidR="00A74908" w:rsidRDefault="000B0409" w:rsidP="0018262D">
            <w:pPr>
              <w:spacing w:before="60" w:after="60"/>
              <w:rPr>
                <w:bCs/>
              </w:rPr>
            </w:pPr>
            <w:r>
              <w:rPr>
                <w:bCs/>
              </w:rPr>
              <w:t>Australian Rail Track Corporation</w:t>
            </w:r>
            <w:r w:rsidR="007949E4">
              <w:rPr>
                <w:bCs/>
              </w:rPr>
              <w:t xml:space="preserve"> submitted that ‘</w:t>
            </w:r>
            <w:r w:rsidR="007949E4" w:rsidRPr="001148B8">
              <w:rPr>
                <w:bCs/>
                <w:i/>
                <w:iCs/>
              </w:rPr>
              <w:t>defined timelines can present difficulties however ART</w:t>
            </w:r>
            <w:r w:rsidR="00697062">
              <w:rPr>
                <w:bCs/>
                <w:i/>
                <w:iCs/>
              </w:rPr>
              <w:t>C</w:t>
            </w:r>
            <w:r w:rsidR="007949E4" w:rsidRPr="001148B8">
              <w:rPr>
                <w:bCs/>
                <w:i/>
                <w:iCs/>
              </w:rPr>
              <w:t xml:space="preserve"> supports a review of the process to see where it can be shortened</w:t>
            </w:r>
            <w:r w:rsidR="00697062">
              <w:rPr>
                <w:bCs/>
                <w:i/>
                <w:iCs/>
              </w:rPr>
              <w:t>,</w:t>
            </w:r>
            <w:r w:rsidR="007949E4" w:rsidRPr="001148B8">
              <w:rPr>
                <w:bCs/>
                <w:i/>
                <w:iCs/>
              </w:rPr>
              <w:t xml:space="preserve"> and burdens reduced’</w:t>
            </w:r>
            <w:r w:rsidR="007949E4">
              <w:rPr>
                <w:bCs/>
              </w:rPr>
              <w:t>.</w:t>
            </w:r>
            <w:r w:rsidR="007949E4">
              <w:rPr>
                <w:rStyle w:val="FootnoteReference"/>
                <w:bCs/>
              </w:rPr>
              <w:footnoteReference w:id="58"/>
            </w:r>
          </w:p>
          <w:p w14:paraId="2F15C1CB" w14:textId="70B848CF" w:rsidR="00C10D8A" w:rsidRDefault="00C10D8A" w:rsidP="0018262D">
            <w:pPr>
              <w:spacing w:before="60" w:after="60"/>
              <w:rPr>
                <w:bCs/>
              </w:rPr>
            </w:pPr>
          </w:p>
          <w:p w14:paraId="75BDF029" w14:textId="77777777" w:rsidR="004116D9" w:rsidRDefault="00C10D8A" w:rsidP="0018262D">
            <w:pPr>
              <w:spacing w:before="60" w:after="60"/>
              <w:rPr>
                <w:bCs/>
                <w:i/>
                <w:iCs/>
              </w:rPr>
            </w:pPr>
            <w:r>
              <w:rPr>
                <w:bCs/>
              </w:rPr>
              <w:t>Port of Newcastle did not support option 3</w:t>
            </w:r>
            <w:r w:rsidR="00D5113D">
              <w:rPr>
                <w:bCs/>
              </w:rPr>
              <w:t>. It submitted that, ‘</w:t>
            </w:r>
            <w:r w:rsidR="00D5113D" w:rsidRPr="001148B8">
              <w:rPr>
                <w:bCs/>
                <w:i/>
                <w:iCs/>
              </w:rPr>
              <w:t xml:space="preserve">Merits review proceedings concerning declaration decisions and access disputes raise complex matters of fact, economics and law pertaining to infrastructure of national significance… </w:t>
            </w:r>
          </w:p>
          <w:p w14:paraId="2C1B6366" w14:textId="4C608E39" w:rsidR="004116D9" w:rsidRDefault="004116D9" w:rsidP="0018262D">
            <w:pPr>
              <w:spacing w:before="60" w:after="60"/>
              <w:rPr>
                <w:bCs/>
              </w:rPr>
            </w:pPr>
            <w:r>
              <w:rPr>
                <w:bCs/>
                <w:iCs/>
              </w:rPr>
              <w:t>It further submitted that it ‘</w:t>
            </w:r>
            <w:r w:rsidRPr="004116D9">
              <w:rPr>
                <w:i/>
              </w:rPr>
              <w:t>recognises the importance for the Tribunal to be subject to an appropriate decision period, while proceeding efficiently, in order to justly determine the correct outcome</w:t>
            </w:r>
            <w:r>
              <w:rPr>
                <w:i/>
              </w:rPr>
              <w:t>’.</w:t>
            </w:r>
            <w:r w:rsidR="00AD2A1F">
              <w:rPr>
                <w:bCs/>
              </w:rPr>
              <w:t xml:space="preserve"> </w:t>
            </w:r>
          </w:p>
          <w:p w14:paraId="6E8952D6" w14:textId="3438486D" w:rsidR="001E342A" w:rsidRPr="00552AA0" w:rsidRDefault="00AD2A1F" w:rsidP="00AD250E">
            <w:pPr>
              <w:spacing w:before="60" w:after="60"/>
            </w:pPr>
            <w:r>
              <w:rPr>
                <w:bCs/>
              </w:rPr>
              <w:t>It also submitted, that ‘</w:t>
            </w:r>
            <w:r w:rsidRPr="001148B8">
              <w:rPr>
                <w:bCs/>
                <w:i/>
                <w:iCs/>
              </w:rPr>
              <w:t>i</w:t>
            </w:r>
            <w:r w:rsidRPr="001148B8">
              <w:rPr>
                <w:i/>
                <w:iCs/>
              </w:rPr>
              <w:t>n the context where arbitrations can determine the terms and conditions of access for lengthy periods (10 or 20 years) … a six month merits review period is not excessive’</w:t>
            </w:r>
            <w:r>
              <w:t>.</w:t>
            </w:r>
            <w:r w:rsidR="00AD250E">
              <w:rPr>
                <w:rStyle w:val="FootnoteReference"/>
                <w:bCs/>
              </w:rPr>
              <w:footnoteReference w:id="59"/>
            </w:r>
          </w:p>
        </w:tc>
        <w:tc>
          <w:tcPr>
            <w:tcW w:w="3827" w:type="dxa"/>
          </w:tcPr>
          <w:p w14:paraId="56B873E0" w14:textId="30B0C7CD" w:rsidR="00A74908" w:rsidRDefault="00571F5C" w:rsidP="0018262D">
            <w:pPr>
              <w:spacing w:before="60" w:after="60"/>
              <w:rPr>
                <w:bCs/>
              </w:rPr>
            </w:pPr>
            <w:r>
              <w:rPr>
                <w:bCs/>
              </w:rPr>
              <w:lastRenderedPageBreak/>
              <w:t>Infrastructure users expressed mixed opinions a</w:t>
            </w:r>
            <w:r w:rsidR="00C620E6">
              <w:rPr>
                <w:bCs/>
              </w:rPr>
              <w:t>bout</w:t>
            </w:r>
            <w:r>
              <w:rPr>
                <w:bCs/>
              </w:rPr>
              <w:t xml:space="preserve"> option 3</w:t>
            </w:r>
            <w:r w:rsidR="00120C6D">
              <w:rPr>
                <w:bCs/>
              </w:rPr>
              <w:t>.</w:t>
            </w:r>
          </w:p>
          <w:p w14:paraId="6E5F673B" w14:textId="77777777" w:rsidR="00A74908" w:rsidRDefault="00A74908" w:rsidP="0018262D">
            <w:pPr>
              <w:spacing w:before="60" w:after="60"/>
              <w:rPr>
                <w:bCs/>
              </w:rPr>
            </w:pPr>
          </w:p>
          <w:p w14:paraId="13F7BD93" w14:textId="72863C4B" w:rsidR="0081725D" w:rsidRDefault="00ED6E68" w:rsidP="0018262D">
            <w:pPr>
              <w:spacing w:before="60" w:after="60"/>
              <w:rPr>
                <w:bCs/>
              </w:rPr>
            </w:pPr>
            <w:r>
              <w:rPr>
                <w:bCs/>
              </w:rPr>
              <w:lastRenderedPageBreak/>
              <w:t xml:space="preserve">Both </w:t>
            </w:r>
            <w:r w:rsidR="00B14DB6">
              <w:rPr>
                <w:bCs/>
              </w:rPr>
              <w:t xml:space="preserve">Glencore </w:t>
            </w:r>
            <w:r>
              <w:rPr>
                <w:bCs/>
              </w:rPr>
              <w:t>and the Association of Mining and Exploration Companies were supportive of option 3.</w:t>
            </w:r>
            <w:r>
              <w:rPr>
                <w:rStyle w:val="FootnoteReference"/>
                <w:bCs/>
              </w:rPr>
              <w:footnoteReference w:id="60"/>
            </w:r>
          </w:p>
          <w:p w14:paraId="39349537" w14:textId="77777777" w:rsidR="0081725D" w:rsidRDefault="0081725D" w:rsidP="0018262D">
            <w:pPr>
              <w:spacing w:before="60" w:after="60"/>
              <w:rPr>
                <w:bCs/>
              </w:rPr>
            </w:pPr>
          </w:p>
          <w:p w14:paraId="07FFCC9B" w14:textId="06FBB5B6" w:rsidR="001E342A" w:rsidRDefault="0081725D" w:rsidP="0018262D">
            <w:pPr>
              <w:spacing w:before="60" w:after="60"/>
              <w:rPr>
                <w:i/>
                <w:iCs/>
              </w:rPr>
            </w:pPr>
            <w:r>
              <w:rPr>
                <w:bCs/>
              </w:rPr>
              <w:t>NSW Minerals Council submitted that</w:t>
            </w:r>
            <w:r w:rsidR="00120C6D">
              <w:rPr>
                <w:bCs/>
              </w:rPr>
              <w:t xml:space="preserve"> the ‘</w:t>
            </w:r>
            <w:r w:rsidR="00120C6D" w:rsidRPr="001148B8">
              <w:rPr>
                <w:bCs/>
                <w:i/>
                <w:iCs/>
              </w:rPr>
              <w:t>NCC should be able to take the time required to undertake a rigorous investigation of issues relating to an application. A</w:t>
            </w:r>
            <w:r w:rsidRPr="00120C6D">
              <w:rPr>
                <w:i/>
                <w:iCs/>
              </w:rPr>
              <w:t xml:space="preserve"> longer time frame that allows a full and proper investigation and robust outcome is far preferable to a shorter timeframe that results in a deficient investigation and outcome</w:t>
            </w:r>
            <w:r w:rsidR="004D515B" w:rsidRPr="00120C6D">
              <w:rPr>
                <w:i/>
                <w:iCs/>
              </w:rPr>
              <w:t>’</w:t>
            </w:r>
            <w:r w:rsidRPr="00272ECF">
              <w:rPr>
                <w:i/>
                <w:iCs/>
              </w:rPr>
              <w:t>.</w:t>
            </w:r>
            <w:r w:rsidR="004D515B">
              <w:rPr>
                <w:rStyle w:val="FootnoteReference"/>
                <w:i/>
                <w:iCs/>
              </w:rPr>
              <w:footnoteReference w:id="61"/>
            </w:r>
          </w:p>
          <w:p w14:paraId="2251F043" w14:textId="77777777" w:rsidR="00ED6E68" w:rsidRDefault="00ED6E68" w:rsidP="0018262D">
            <w:pPr>
              <w:spacing w:before="60" w:after="60"/>
              <w:rPr>
                <w:i/>
                <w:iCs/>
              </w:rPr>
            </w:pPr>
          </w:p>
          <w:p w14:paraId="253BBCB4" w14:textId="7B590CEE" w:rsidR="00ED6E68" w:rsidRPr="00272ECF" w:rsidRDefault="00ED6E68" w:rsidP="0018262D">
            <w:pPr>
              <w:spacing w:before="60" w:after="60"/>
              <w:rPr>
                <w:i/>
              </w:rPr>
            </w:pPr>
          </w:p>
        </w:tc>
        <w:tc>
          <w:tcPr>
            <w:tcW w:w="3828" w:type="dxa"/>
          </w:tcPr>
          <w:p w14:paraId="557E1027" w14:textId="73B9C2DA" w:rsidR="00C8250E" w:rsidRDefault="00AA1094" w:rsidP="00AA1094">
            <w:pPr>
              <w:spacing w:before="60" w:after="60"/>
            </w:pPr>
            <w:r>
              <w:rPr>
                <w:bCs/>
              </w:rPr>
              <w:lastRenderedPageBreak/>
              <w:t>The ACCC was not supportive of option 3 as it ‘</w:t>
            </w:r>
            <w:r w:rsidRPr="001148B8">
              <w:rPr>
                <w:i/>
                <w:iCs/>
              </w:rPr>
              <w:t>further reduces the time and resources available to the review body without materially improving timeliness’</w:t>
            </w:r>
            <w:r>
              <w:t>.</w:t>
            </w:r>
            <w:r w:rsidR="00B665DF">
              <w:rPr>
                <w:rStyle w:val="FootnoteReference"/>
              </w:rPr>
              <w:footnoteReference w:id="62"/>
            </w:r>
          </w:p>
          <w:p w14:paraId="01AEBDF0" w14:textId="1D5CBC68" w:rsidR="00672209" w:rsidRDefault="00672209" w:rsidP="00AA1094">
            <w:pPr>
              <w:spacing w:before="60" w:after="60"/>
              <w:rPr>
                <w:bCs/>
              </w:rPr>
            </w:pPr>
          </w:p>
          <w:p w14:paraId="561D3FEB" w14:textId="6E937F1D" w:rsidR="001E342A" w:rsidRPr="0088259A" w:rsidRDefault="0050233B" w:rsidP="001B1E33">
            <w:pPr>
              <w:spacing w:before="60" w:after="60"/>
              <w:rPr>
                <w:bCs/>
              </w:rPr>
            </w:pPr>
            <w:r>
              <w:rPr>
                <w:bCs/>
              </w:rPr>
              <w:t xml:space="preserve">The Business Law section of the Law Council of Australia </w:t>
            </w:r>
            <w:r w:rsidR="008837EF">
              <w:rPr>
                <w:bCs/>
              </w:rPr>
              <w:t>submitted</w:t>
            </w:r>
            <w:r w:rsidR="000A2C64">
              <w:rPr>
                <w:bCs/>
              </w:rPr>
              <w:t xml:space="preserve"> that ‘</w:t>
            </w:r>
            <w:r w:rsidR="000A2C64" w:rsidRPr="001148B8">
              <w:rPr>
                <w:bCs/>
                <w:i/>
                <w:iCs/>
              </w:rPr>
              <w:t xml:space="preserve">there </w:t>
            </w:r>
            <w:r w:rsidR="007014BC">
              <w:rPr>
                <w:bCs/>
                <w:i/>
                <w:iCs/>
              </w:rPr>
              <w:t>is arguably some</w:t>
            </w:r>
            <w:r w:rsidR="007014BC" w:rsidRPr="001148B8">
              <w:rPr>
                <w:bCs/>
                <w:i/>
                <w:iCs/>
              </w:rPr>
              <w:t xml:space="preserve"> </w:t>
            </w:r>
            <w:r w:rsidR="000A2C64" w:rsidRPr="001148B8">
              <w:rPr>
                <w:bCs/>
                <w:i/>
                <w:iCs/>
              </w:rPr>
              <w:lastRenderedPageBreak/>
              <w:t xml:space="preserve">scope to </w:t>
            </w:r>
            <w:r w:rsidR="000A2C64" w:rsidRPr="001148B8">
              <w:rPr>
                <w:i/>
                <w:iCs/>
              </w:rPr>
              <w:t xml:space="preserve">limit the extent to which the clock stopping provisions are exercised by the Tribunal and parties to review proceedings other than of access </w:t>
            </w:r>
            <w:r w:rsidR="00053633" w:rsidRPr="000A2C64">
              <w:rPr>
                <w:i/>
                <w:iCs/>
              </w:rPr>
              <w:t>determinations</w:t>
            </w:r>
            <w:r w:rsidR="00053633">
              <w:rPr>
                <w:i/>
                <w:iCs/>
              </w:rPr>
              <w:t>’</w:t>
            </w:r>
            <w:r w:rsidR="000A2C64">
              <w:t>. It also submitted, ‘</w:t>
            </w:r>
            <w:r w:rsidR="000A2C64" w:rsidRPr="001148B8">
              <w:rPr>
                <w:i/>
                <w:iCs/>
              </w:rPr>
              <w:t>a more commercial arbitration process could expedite the resolution of access disputes</w:t>
            </w:r>
            <w:r w:rsidR="00796851" w:rsidRPr="001148B8">
              <w:rPr>
                <w:i/>
                <w:iCs/>
              </w:rPr>
              <w:t>’</w:t>
            </w:r>
            <w:r w:rsidR="00796851">
              <w:t>.</w:t>
            </w:r>
            <w:r w:rsidR="000A2C64">
              <w:t xml:space="preserve"> However</w:t>
            </w:r>
            <w:r w:rsidR="00796851">
              <w:t xml:space="preserve">, it also </w:t>
            </w:r>
            <w:r w:rsidR="00053633">
              <w:t>recognised, ‘</w:t>
            </w:r>
            <w:r w:rsidR="00053633" w:rsidRPr="001148B8">
              <w:rPr>
                <w:i/>
                <w:iCs/>
              </w:rPr>
              <w:t>the need to balance the importance of timeliness against the long term and significant economic consequences</w:t>
            </w:r>
            <w:r w:rsidR="00053633">
              <w:t>’ of NAR decision-making.</w:t>
            </w:r>
            <w:r w:rsidR="00053633">
              <w:rPr>
                <w:rStyle w:val="FootnoteReference"/>
              </w:rPr>
              <w:footnoteReference w:id="63"/>
            </w:r>
          </w:p>
        </w:tc>
      </w:tr>
      <w:tr w:rsidR="001E342A" w14:paraId="0F33670D" w14:textId="18DC8657" w:rsidTr="001148B8">
        <w:tc>
          <w:tcPr>
            <w:tcW w:w="2547" w:type="dxa"/>
          </w:tcPr>
          <w:p w14:paraId="3A00AEC6" w14:textId="5820F13D" w:rsidR="00E87EB7" w:rsidRDefault="00E87EB7" w:rsidP="0018262D">
            <w:pPr>
              <w:spacing w:before="60" w:after="60"/>
              <w:rPr>
                <w:b/>
              </w:rPr>
            </w:pPr>
            <w:r>
              <w:rPr>
                <w:b/>
              </w:rPr>
              <w:lastRenderedPageBreak/>
              <w:t xml:space="preserve">Option </w:t>
            </w:r>
            <w:r w:rsidR="004113F0" w:rsidRPr="00E03E31">
              <w:rPr>
                <w:b/>
              </w:rPr>
              <w:t>4</w:t>
            </w:r>
            <w:r w:rsidR="001B68BD" w:rsidRPr="00E03E31">
              <w:rPr>
                <w:b/>
              </w:rPr>
              <w:t xml:space="preserve"> and </w:t>
            </w:r>
            <w:r>
              <w:rPr>
                <w:b/>
              </w:rPr>
              <w:t xml:space="preserve">5: </w:t>
            </w:r>
          </w:p>
          <w:p w14:paraId="3706B286" w14:textId="317CB492" w:rsidR="001E342A" w:rsidRDefault="00E87EB7" w:rsidP="0018262D">
            <w:pPr>
              <w:spacing w:before="60" w:after="60"/>
              <w:rPr>
                <w:b/>
              </w:rPr>
            </w:pPr>
            <w:r>
              <w:rPr>
                <w:b/>
              </w:rPr>
              <w:t xml:space="preserve">Limit </w:t>
            </w:r>
            <w:r w:rsidR="00745E63">
              <w:rPr>
                <w:b/>
              </w:rPr>
              <w:t>n</w:t>
            </w:r>
            <w:r>
              <w:rPr>
                <w:b/>
              </w:rPr>
              <w:t xml:space="preserve">ew </w:t>
            </w:r>
            <w:r w:rsidR="00745E63">
              <w:rPr>
                <w:b/>
              </w:rPr>
              <w:t>a</w:t>
            </w:r>
            <w:r>
              <w:rPr>
                <w:b/>
              </w:rPr>
              <w:t xml:space="preserve">pplications for </w:t>
            </w:r>
            <w:r w:rsidR="00745E63">
              <w:rPr>
                <w:b/>
              </w:rPr>
              <w:t>d</w:t>
            </w:r>
            <w:r>
              <w:rPr>
                <w:b/>
              </w:rPr>
              <w:t>eclaration</w:t>
            </w:r>
            <w:r w:rsidR="00244C00" w:rsidRPr="00E03E31">
              <w:rPr>
                <w:b/>
              </w:rPr>
              <w:t xml:space="preserve"> or </w:t>
            </w:r>
            <w:r w:rsidR="00745E63">
              <w:rPr>
                <w:b/>
              </w:rPr>
              <w:t>r</w:t>
            </w:r>
            <w:r w:rsidR="00244C00" w:rsidRPr="00E03E31">
              <w:rPr>
                <w:b/>
              </w:rPr>
              <w:t>evocation</w:t>
            </w:r>
          </w:p>
        </w:tc>
        <w:tc>
          <w:tcPr>
            <w:tcW w:w="3827" w:type="dxa"/>
          </w:tcPr>
          <w:p w14:paraId="2CE2B4AD" w14:textId="00D47E4F" w:rsidR="00A768D6" w:rsidRDefault="006B6AB1" w:rsidP="0018262D">
            <w:pPr>
              <w:spacing w:before="60" w:after="60"/>
              <w:rPr>
                <w:bCs/>
              </w:rPr>
            </w:pPr>
            <w:r>
              <w:rPr>
                <w:bCs/>
              </w:rPr>
              <w:t>All i</w:t>
            </w:r>
            <w:r w:rsidR="00244C00" w:rsidRPr="00E03E31">
              <w:rPr>
                <w:bCs/>
              </w:rPr>
              <w:t xml:space="preserve">nfrastructure </w:t>
            </w:r>
            <w:r w:rsidR="0041745D">
              <w:rPr>
                <w:bCs/>
              </w:rPr>
              <w:t>ow</w:t>
            </w:r>
            <w:r w:rsidR="00244C00" w:rsidRPr="00E03E31">
              <w:rPr>
                <w:bCs/>
              </w:rPr>
              <w:t xml:space="preserve">ners </w:t>
            </w:r>
            <w:r>
              <w:rPr>
                <w:bCs/>
              </w:rPr>
              <w:t xml:space="preserve">who provided submissions </w:t>
            </w:r>
            <w:r w:rsidR="00244C00" w:rsidRPr="00E03E31">
              <w:rPr>
                <w:bCs/>
              </w:rPr>
              <w:t>were supportive of options 4 and 5</w:t>
            </w:r>
            <w:r w:rsidR="00A768D6">
              <w:rPr>
                <w:bCs/>
              </w:rPr>
              <w:t xml:space="preserve">. </w:t>
            </w:r>
          </w:p>
          <w:p w14:paraId="22BDF106" w14:textId="77777777" w:rsidR="00A768D6" w:rsidRDefault="00A768D6" w:rsidP="0018262D">
            <w:pPr>
              <w:spacing w:before="60" w:after="60"/>
              <w:rPr>
                <w:bCs/>
              </w:rPr>
            </w:pPr>
          </w:p>
          <w:p w14:paraId="30B40FB8" w14:textId="545853F5" w:rsidR="00A768D6" w:rsidRDefault="00A768D6" w:rsidP="0018262D">
            <w:pPr>
              <w:spacing w:before="60" w:after="60"/>
            </w:pPr>
            <w:r>
              <w:rPr>
                <w:bCs/>
              </w:rPr>
              <w:t>Port of Newcastle supported options 4 and 5 and submitted, ‘</w:t>
            </w:r>
            <w:r w:rsidRPr="001148B8">
              <w:rPr>
                <w:bCs/>
                <w:i/>
                <w:iCs/>
              </w:rPr>
              <w:t xml:space="preserve">it is </w:t>
            </w:r>
            <w:r w:rsidRPr="001148B8">
              <w:rPr>
                <w:i/>
                <w:iCs/>
              </w:rPr>
              <w:t xml:space="preserve">entirely inconsistent with the objects of Part IIIA to promote efficient investment, and to encourage a consistent approach to access regulation, for a party (either itself or as part of a representative group) to be permitted to bring a new application for declaration for infrastructure where declaration has previously been refused or revoked, in the </w:t>
            </w:r>
            <w:r w:rsidRPr="001148B8">
              <w:rPr>
                <w:i/>
                <w:iCs/>
              </w:rPr>
              <w:lastRenderedPageBreak/>
              <w:t>absence of any material change in circumstances or the passage of a substantial period of time’</w:t>
            </w:r>
            <w:r>
              <w:t>.</w:t>
            </w:r>
            <w:r w:rsidR="00FF211F">
              <w:rPr>
                <w:rStyle w:val="FootnoteReference"/>
              </w:rPr>
              <w:footnoteReference w:id="64"/>
            </w:r>
          </w:p>
          <w:p w14:paraId="01D208C0" w14:textId="71A656E2" w:rsidR="00EF0543" w:rsidRDefault="00EF0543" w:rsidP="0018262D">
            <w:pPr>
              <w:spacing w:before="60" w:after="60"/>
              <w:rPr>
                <w:bCs/>
              </w:rPr>
            </w:pPr>
          </w:p>
          <w:p w14:paraId="657C2FAE" w14:textId="75C18B92" w:rsidR="007C223C" w:rsidRPr="00E03E31" w:rsidRDefault="00EF0543" w:rsidP="0018262D">
            <w:pPr>
              <w:spacing w:before="60" w:after="60"/>
              <w:rPr>
                <w:bCs/>
              </w:rPr>
            </w:pPr>
            <w:r>
              <w:rPr>
                <w:bCs/>
              </w:rPr>
              <w:t xml:space="preserve">The Australian Airports Association was broadly supportive </w:t>
            </w:r>
            <w:r w:rsidRPr="00E03E31">
              <w:rPr>
                <w:bCs/>
              </w:rPr>
              <w:t xml:space="preserve">of options 4 and 5 to </w:t>
            </w:r>
            <w:r>
              <w:rPr>
                <w:bCs/>
              </w:rPr>
              <w:t>‘</w:t>
            </w:r>
            <w:r w:rsidRPr="00E03E31">
              <w:rPr>
                <w:bCs/>
                <w:i/>
                <w:iCs/>
              </w:rPr>
              <w:t>reduce unnecessary, time-consuming and costly repeat applications for declaration</w:t>
            </w:r>
            <w:r>
              <w:rPr>
                <w:bCs/>
                <w:i/>
                <w:iCs/>
              </w:rPr>
              <w:t>’.</w:t>
            </w:r>
            <w:r w:rsidR="00435D80">
              <w:rPr>
                <w:rStyle w:val="FootnoteReference"/>
                <w:bCs/>
                <w:i/>
                <w:iCs/>
              </w:rPr>
              <w:footnoteReference w:id="65"/>
            </w:r>
          </w:p>
          <w:p w14:paraId="2561BEC6" w14:textId="566C4245" w:rsidR="008005DB" w:rsidRPr="00E03E31" w:rsidRDefault="008005DB" w:rsidP="0018262D">
            <w:pPr>
              <w:spacing w:before="60" w:after="60"/>
              <w:rPr>
                <w:bCs/>
              </w:rPr>
            </w:pPr>
          </w:p>
          <w:p w14:paraId="16FB9287" w14:textId="6EC816DD" w:rsidR="001E342A" w:rsidRPr="00E03E31" w:rsidRDefault="008005DB" w:rsidP="0018262D">
            <w:pPr>
              <w:spacing w:before="60" w:after="60"/>
            </w:pPr>
            <w:r w:rsidRPr="00E03E31">
              <w:rPr>
                <w:bCs/>
              </w:rPr>
              <w:t xml:space="preserve">Both Sydney Airport and </w:t>
            </w:r>
            <w:r w:rsidR="00D21C93">
              <w:rPr>
                <w:bCs/>
              </w:rPr>
              <w:t xml:space="preserve">the </w:t>
            </w:r>
            <w:r w:rsidRPr="00E03E31">
              <w:rPr>
                <w:bCs/>
              </w:rPr>
              <w:t>Australian Rail Track Corporation were also supportive of options 4 and 5.</w:t>
            </w:r>
          </w:p>
        </w:tc>
        <w:tc>
          <w:tcPr>
            <w:tcW w:w="3827" w:type="dxa"/>
          </w:tcPr>
          <w:p w14:paraId="6EB98B35" w14:textId="03D51590" w:rsidR="00707C88" w:rsidRDefault="007F32AA" w:rsidP="0018262D">
            <w:pPr>
              <w:spacing w:before="60" w:after="60"/>
              <w:rPr>
                <w:bCs/>
              </w:rPr>
            </w:pPr>
            <w:r>
              <w:rPr>
                <w:bCs/>
              </w:rPr>
              <w:lastRenderedPageBreak/>
              <w:t xml:space="preserve">Infrastructure users </w:t>
            </w:r>
            <w:r w:rsidR="005930AE">
              <w:rPr>
                <w:bCs/>
              </w:rPr>
              <w:t>expressed mixed views as to options 4 and 5.</w:t>
            </w:r>
          </w:p>
          <w:p w14:paraId="2C4352F9" w14:textId="40AFB25B" w:rsidR="00707C88" w:rsidRDefault="005524D3" w:rsidP="0018262D">
            <w:pPr>
              <w:spacing w:before="60" w:after="60"/>
            </w:pPr>
            <w:r>
              <w:rPr>
                <w:bCs/>
              </w:rPr>
              <w:t>Glencore did not support o</w:t>
            </w:r>
            <w:r w:rsidR="00707C88">
              <w:rPr>
                <w:bCs/>
              </w:rPr>
              <w:t>ption 4</w:t>
            </w:r>
            <w:r w:rsidR="00797283">
              <w:rPr>
                <w:bCs/>
              </w:rPr>
              <w:t xml:space="preserve"> submitt</w:t>
            </w:r>
            <w:r>
              <w:rPr>
                <w:bCs/>
              </w:rPr>
              <w:t>ing</w:t>
            </w:r>
            <w:r w:rsidR="00797283">
              <w:rPr>
                <w:bCs/>
              </w:rPr>
              <w:t xml:space="preserve"> that the ongoing dis</w:t>
            </w:r>
            <w:r>
              <w:rPr>
                <w:bCs/>
              </w:rPr>
              <w:t>pute with the Port of Newcastle</w:t>
            </w:r>
            <w:r w:rsidR="00740243">
              <w:rPr>
                <w:bCs/>
              </w:rPr>
              <w:t xml:space="preserve"> raised unique factual issues, and that, ‘</w:t>
            </w:r>
            <w:r w:rsidR="00740243" w:rsidRPr="001148B8">
              <w:rPr>
                <w:bCs/>
                <w:i/>
                <w:iCs/>
              </w:rPr>
              <w:t>t</w:t>
            </w:r>
            <w:r w:rsidR="00740243" w:rsidRPr="001148B8">
              <w:rPr>
                <w:i/>
                <w:iCs/>
              </w:rPr>
              <w:t>he ability to seek declaration again effectively provided the only means to appeal against this decision’</w:t>
            </w:r>
            <w:r w:rsidR="00740243">
              <w:t>.</w:t>
            </w:r>
            <w:r w:rsidR="00740243">
              <w:rPr>
                <w:rStyle w:val="FootnoteReference"/>
              </w:rPr>
              <w:footnoteReference w:id="66"/>
            </w:r>
          </w:p>
          <w:p w14:paraId="4A41B08A" w14:textId="6F1CE17B" w:rsidR="00B618A2" w:rsidRDefault="00B618A2" w:rsidP="00B618A2">
            <w:pPr>
              <w:spacing w:before="60" w:after="60"/>
              <w:rPr>
                <w:bCs/>
              </w:rPr>
            </w:pPr>
            <w:r>
              <w:rPr>
                <w:bCs/>
              </w:rPr>
              <w:t xml:space="preserve">Glencore and the Association of Mining Exploration Companies were supportive of option 5. </w:t>
            </w:r>
          </w:p>
          <w:p w14:paraId="6A692614" w14:textId="0EBF082E" w:rsidR="005C60CC" w:rsidRDefault="005C60CC" w:rsidP="0018262D">
            <w:pPr>
              <w:spacing w:before="60" w:after="60"/>
            </w:pPr>
          </w:p>
          <w:p w14:paraId="4FC62638" w14:textId="3C9DABD3" w:rsidR="00A8226C" w:rsidRDefault="00D62253" w:rsidP="0018262D">
            <w:pPr>
              <w:spacing w:before="60" w:after="60"/>
            </w:pPr>
            <w:r>
              <w:lastRenderedPageBreak/>
              <w:t>NSW Minerals Council was not supportive of options 4 or 5</w:t>
            </w:r>
            <w:r w:rsidR="00993A1D">
              <w:t xml:space="preserve"> and submitted that the options</w:t>
            </w:r>
            <w:r w:rsidR="00F63B83">
              <w:t xml:space="preserve"> would ‘</w:t>
            </w:r>
            <w:r w:rsidR="00A8226C" w:rsidRPr="001148B8">
              <w:rPr>
                <w:i/>
                <w:iCs/>
              </w:rPr>
              <w:t>remove existing safeguards for users of the Por</w:t>
            </w:r>
            <w:r w:rsidR="00F63B83" w:rsidRPr="001148B8">
              <w:rPr>
                <w:i/>
                <w:iCs/>
              </w:rPr>
              <w:t>t… and would introduce additional points in the process likely to result in litigation’</w:t>
            </w:r>
            <w:r w:rsidR="00F63B83">
              <w:t>.</w:t>
            </w:r>
            <w:r w:rsidR="00F63B83">
              <w:rPr>
                <w:rStyle w:val="FootnoteReference"/>
              </w:rPr>
              <w:footnoteReference w:id="67"/>
            </w:r>
          </w:p>
          <w:p w14:paraId="5A4E0BB9" w14:textId="1069DB38" w:rsidR="00F63B83" w:rsidRDefault="00F63B83" w:rsidP="0018262D">
            <w:pPr>
              <w:spacing w:before="60" w:after="60"/>
              <w:rPr>
                <w:bCs/>
              </w:rPr>
            </w:pPr>
          </w:p>
          <w:p w14:paraId="4C310255" w14:textId="2C12775C" w:rsidR="001E342A" w:rsidRPr="00552AA0" w:rsidRDefault="00F63B83" w:rsidP="0018262D">
            <w:pPr>
              <w:spacing w:before="60" w:after="60"/>
            </w:pPr>
            <w:r>
              <w:rPr>
                <w:bCs/>
              </w:rPr>
              <w:t xml:space="preserve">The Minerals Council of Australia submitted that option 4 </w:t>
            </w:r>
            <w:r w:rsidR="005423B9">
              <w:rPr>
                <w:bCs/>
              </w:rPr>
              <w:t xml:space="preserve">(and 1 and 6) </w:t>
            </w:r>
            <w:r w:rsidR="00705A29">
              <w:rPr>
                <w:bCs/>
              </w:rPr>
              <w:t>‘</w:t>
            </w:r>
            <w:r w:rsidR="00705A29" w:rsidRPr="001148B8">
              <w:rPr>
                <w:bCs/>
                <w:i/>
                <w:iCs/>
              </w:rPr>
              <w:t>could have the unintended consequence of entrenching private monopoly power over critical export infrastructure and the Australian Government should not proceed with them</w:t>
            </w:r>
            <w:r w:rsidR="00625CC0">
              <w:rPr>
                <w:bCs/>
              </w:rPr>
              <w:t>’</w:t>
            </w:r>
            <w:r w:rsidR="00705A29">
              <w:rPr>
                <w:bCs/>
              </w:rPr>
              <w:t>.</w:t>
            </w:r>
            <w:r w:rsidR="007D45B4">
              <w:rPr>
                <w:rStyle w:val="FootnoteReference"/>
                <w:bCs/>
              </w:rPr>
              <w:footnoteReference w:id="68"/>
            </w:r>
          </w:p>
        </w:tc>
        <w:tc>
          <w:tcPr>
            <w:tcW w:w="3828" w:type="dxa"/>
          </w:tcPr>
          <w:p w14:paraId="327A9AAE" w14:textId="71F2FA02" w:rsidR="001E342A" w:rsidRDefault="007F32AA" w:rsidP="0018262D">
            <w:pPr>
              <w:spacing w:before="60" w:after="60"/>
              <w:rPr>
                <w:bCs/>
              </w:rPr>
            </w:pPr>
            <w:r>
              <w:rPr>
                <w:bCs/>
              </w:rPr>
              <w:lastRenderedPageBreak/>
              <w:t>Other stakeholders were generally supportive of options 4 and 5.</w:t>
            </w:r>
          </w:p>
          <w:p w14:paraId="116E13C5" w14:textId="46F9158D" w:rsidR="008C6020" w:rsidRDefault="008C6020" w:rsidP="0018262D">
            <w:pPr>
              <w:spacing w:before="60" w:after="60"/>
              <w:rPr>
                <w:bCs/>
              </w:rPr>
            </w:pPr>
          </w:p>
          <w:p w14:paraId="7B530C01" w14:textId="2F88A9D7" w:rsidR="005A647C" w:rsidRPr="003F60F3" w:rsidRDefault="00751990" w:rsidP="0018262D">
            <w:pPr>
              <w:spacing w:before="60" w:after="60"/>
              <w:rPr>
                <w:bCs/>
              </w:rPr>
            </w:pPr>
            <w:r>
              <w:rPr>
                <w:bCs/>
              </w:rPr>
              <w:t>The</w:t>
            </w:r>
            <w:r w:rsidR="008C6020">
              <w:rPr>
                <w:bCs/>
              </w:rPr>
              <w:t xml:space="preserve"> NCC </w:t>
            </w:r>
            <w:r w:rsidR="005A647C">
              <w:rPr>
                <w:bCs/>
              </w:rPr>
              <w:t>submitted that the</w:t>
            </w:r>
            <w:r w:rsidR="003F60F3">
              <w:rPr>
                <w:bCs/>
              </w:rPr>
              <w:t xml:space="preserve"> lack of a ‘material change in circumstances’ requirement </w:t>
            </w:r>
            <w:r w:rsidR="003F60F3" w:rsidRPr="003F60F3">
              <w:rPr>
                <w:bCs/>
                <w:i/>
              </w:rPr>
              <w:t>‘</w:t>
            </w:r>
            <w:r w:rsidR="003F60F3" w:rsidRPr="003F60F3">
              <w:rPr>
                <w:i/>
              </w:rPr>
              <w:t>can encourage applications that have the effect of continually reconsidering declaration of essentially the same service. This is highly undesirable as it involves an inefficient use of resources and contributes to lengthy processes and ongoing uncertainty for infrastructure owners and users</w:t>
            </w:r>
            <w:r w:rsidR="003F60F3">
              <w:t>’</w:t>
            </w:r>
            <w:r w:rsidR="005A647C">
              <w:t>.</w:t>
            </w:r>
            <w:r w:rsidR="005A647C">
              <w:rPr>
                <w:rStyle w:val="FootnoteReference"/>
              </w:rPr>
              <w:footnoteReference w:id="69"/>
            </w:r>
          </w:p>
          <w:p w14:paraId="7D118E05" w14:textId="77777777" w:rsidR="006B4A25" w:rsidRDefault="006B4A25" w:rsidP="0018262D">
            <w:pPr>
              <w:spacing w:before="60" w:after="60"/>
              <w:rPr>
                <w:bCs/>
              </w:rPr>
            </w:pPr>
          </w:p>
          <w:p w14:paraId="0A3309D8" w14:textId="7EFADE26" w:rsidR="00B618A2" w:rsidRPr="00D759FA" w:rsidRDefault="008C6020">
            <w:pPr>
              <w:spacing w:before="60" w:after="60"/>
            </w:pPr>
            <w:r>
              <w:rPr>
                <w:bCs/>
              </w:rPr>
              <w:lastRenderedPageBreak/>
              <w:t>The Business Law Section of the Law Council of Australia was supportive of both options 4 and 5</w:t>
            </w:r>
            <w:r w:rsidR="00B618A2">
              <w:rPr>
                <w:bCs/>
              </w:rPr>
              <w:t>. It submitted, ‘</w:t>
            </w:r>
            <w:r w:rsidR="00B618A2" w:rsidRPr="001148B8">
              <w:rPr>
                <w:bCs/>
                <w:i/>
                <w:iCs/>
              </w:rPr>
              <w:t xml:space="preserve">the </w:t>
            </w:r>
            <w:r w:rsidR="00B618A2" w:rsidRPr="001148B8">
              <w:rPr>
                <w:i/>
                <w:iCs/>
              </w:rPr>
              <w:t>ability for repeated applications for declaration in respect of the same service is contrary to the fundamental objects of the NAR and, potentially, the common law doctrine of res judicata</w:t>
            </w:r>
            <w:r w:rsidR="00B618A2" w:rsidRPr="001148B8">
              <w:rPr>
                <w:bCs/>
                <w:i/>
                <w:iCs/>
              </w:rPr>
              <w:t xml:space="preserve"> … it fails to provide a consistent approach to access regulation and increases the risk of regulatory error</w:t>
            </w:r>
            <w:r w:rsidR="00B618A2">
              <w:rPr>
                <w:bCs/>
              </w:rPr>
              <w:t>’.</w:t>
            </w:r>
            <w:r w:rsidR="00B618A2">
              <w:rPr>
                <w:rStyle w:val="FootnoteReference"/>
                <w:bCs/>
              </w:rPr>
              <w:footnoteReference w:id="70"/>
            </w:r>
          </w:p>
          <w:p w14:paraId="2065FDA5" w14:textId="2AE4559A" w:rsidR="00B618A2" w:rsidRDefault="00B618A2">
            <w:pPr>
              <w:spacing w:before="60" w:after="60"/>
              <w:rPr>
                <w:bCs/>
              </w:rPr>
            </w:pPr>
          </w:p>
          <w:p w14:paraId="5F1A84EE" w14:textId="541E7993" w:rsidR="001E342A" w:rsidRPr="00552AA0" w:rsidRDefault="00396551" w:rsidP="00AD3980">
            <w:pPr>
              <w:spacing w:before="60" w:after="60"/>
            </w:pPr>
            <w:r>
              <w:rPr>
                <w:bCs/>
              </w:rPr>
              <w:t>The ACCC</w:t>
            </w:r>
            <w:r w:rsidR="00E13C47">
              <w:rPr>
                <w:bCs/>
              </w:rPr>
              <w:t xml:space="preserve"> </w:t>
            </w:r>
            <w:r w:rsidR="00F545E2">
              <w:rPr>
                <w:bCs/>
              </w:rPr>
              <w:t>supported options 4 and 5 to, ‘</w:t>
            </w:r>
            <w:r w:rsidR="00F545E2" w:rsidRPr="001148B8">
              <w:rPr>
                <w:bCs/>
                <w:i/>
                <w:iCs/>
              </w:rPr>
              <w:t xml:space="preserve">reduce regulatory costs from additional processes that are unlikely to yield a different </w:t>
            </w:r>
            <w:r w:rsidR="00AD3980">
              <w:rPr>
                <w:bCs/>
                <w:i/>
                <w:iCs/>
              </w:rPr>
              <w:t>result</w:t>
            </w:r>
            <w:r w:rsidR="00F545E2">
              <w:rPr>
                <w:bCs/>
              </w:rPr>
              <w:t>. However, the ACCC ‘</w:t>
            </w:r>
            <w:r w:rsidR="00F545E2" w:rsidRPr="001148B8">
              <w:rPr>
                <w:bCs/>
                <w:i/>
                <w:iCs/>
              </w:rPr>
              <w:t>does not support the use of time limits in this context, as it would be arbitrary and may frustrate a legitimate application for declaration being made’</w:t>
            </w:r>
            <w:r w:rsidR="00F545E2">
              <w:rPr>
                <w:bCs/>
              </w:rPr>
              <w:t>.</w:t>
            </w:r>
            <w:r w:rsidR="00F545E2">
              <w:rPr>
                <w:rStyle w:val="FootnoteReference"/>
                <w:bCs/>
              </w:rPr>
              <w:footnoteReference w:id="71"/>
            </w:r>
          </w:p>
        </w:tc>
      </w:tr>
      <w:tr w:rsidR="00E87EB7" w14:paraId="453DB4F8" w14:textId="77777777" w:rsidTr="001148B8">
        <w:trPr>
          <w:trHeight w:val="60"/>
        </w:trPr>
        <w:tc>
          <w:tcPr>
            <w:tcW w:w="2547" w:type="dxa"/>
          </w:tcPr>
          <w:p w14:paraId="3C4D23A2" w14:textId="3C0D7B5C" w:rsidR="00E87EB7" w:rsidRPr="003B3BF1" w:rsidRDefault="00E87EB7" w:rsidP="0018262D">
            <w:pPr>
              <w:spacing w:before="60" w:after="60"/>
              <w:rPr>
                <w:b/>
              </w:rPr>
            </w:pPr>
            <w:r w:rsidRPr="003B3BF1">
              <w:rPr>
                <w:b/>
              </w:rPr>
              <w:lastRenderedPageBreak/>
              <w:t xml:space="preserve">Option </w:t>
            </w:r>
            <w:r w:rsidR="001B68BD" w:rsidRPr="003B3BF1">
              <w:rPr>
                <w:b/>
              </w:rPr>
              <w:t>6</w:t>
            </w:r>
            <w:r w:rsidR="00353828">
              <w:rPr>
                <w:b/>
              </w:rPr>
              <w:t xml:space="preserve"> and</w:t>
            </w:r>
            <w:r w:rsidR="001B68BD" w:rsidRPr="003B3BF1">
              <w:rPr>
                <w:b/>
              </w:rPr>
              <w:t xml:space="preserve"> </w:t>
            </w:r>
            <w:r w:rsidRPr="003B3BF1">
              <w:rPr>
                <w:b/>
              </w:rPr>
              <w:t>7</w:t>
            </w:r>
            <w:r w:rsidRPr="003B3BF1">
              <w:rPr>
                <w:b/>
              </w:rPr>
              <w:br/>
            </w:r>
          </w:p>
          <w:p w14:paraId="0A0D3BA4" w14:textId="64383D07" w:rsidR="00E87EB7" w:rsidRPr="003B5E31" w:rsidRDefault="00C20C71" w:rsidP="0018262D">
            <w:pPr>
              <w:spacing w:before="60" w:after="60"/>
              <w:rPr>
                <w:b/>
                <w:highlight w:val="yellow"/>
              </w:rPr>
            </w:pPr>
            <w:r>
              <w:rPr>
                <w:b/>
              </w:rPr>
              <w:t>T</w:t>
            </w:r>
            <w:r w:rsidR="00E87EB7" w:rsidRPr="003B3BF1">
              <w:rPr>
                <w:b/>
              </w:rPr>
              <w:t xml:space="preserve">ermination of </w:t>
            </w:r>
            <w:r w:rsidR="00353828">
              <w:rPr>
                <w:b/>
              </w:rPr>
              <w:t>a</w:t>
            </w:r>
            <w:r w:rsidR="00E87EB7" w:rsidRPr="003B3BF1">
              <w:rPr>
                <w:b/>
              </w:rPr>
              <w:t>rbitra</w:t>
            </w:r>
            <w:r w:rsidR="00E03E31" w:rsidRPr="003B3BF1">
              <w:rPr>
                <w:b/>
              </w:rPr>
              <w:t>tion</w:t>
            </w:r>
            <w:r w:rsidR="004D7DD0">
              <w:rPr>
                <w:b/>
              </w:rPr>
              <w:t xml:space="preserve"> proceedings and determinations</w:t>
            </w:r>
            <w:r w:rsidR="00B85627">
              <w:rPr>
                <w:b/>
              </w:rPr>
              <w:t xml:space="preserve"> if declaration is revoked</w:t>
            </w:r>
          </w:p>
        </w:tc>
        <w:tc>
          <w:tcPr>
            <w:tcW w:w="3827" w:type="dxa"/>
          </w:tcPr>
          <w:p w14:paraId="2015E67D" w14:textId="6588AEB7" w:rsidR="00FE5131" w:rsidRDefault="00FF0531" w:rsidP="007F5FF6">
            <w:pPr>
              <w:spacing w:before="60" w:after="60"/>
              <w:rPr>
                <w:bCs/>
              </w:rPr>
            </w:pPr>
            <w:r>
              <w:rPr>
                <w:bCs/>
              </w:rPr>
              <w:t xml:space="preserve">The Port of Newcastle supported </w:t>
            </w:r>
            <w:r w:rsidR="009E4151">
              <w:rPr>
                <w:bCs/>
              </w:rPr>
              <w:t>amending Part IIIA so that arbitration</w:t>
            </w:r>
            <w:r>
              <w:rPr>
                <w:bCs/>
              </w:rPr>
              <w:t xml:space="preserve"> proceedings </w:t>
            </w:r>
            <w:r w:rsidR="006B4D7C">
              <w:rPr>
                <w:bCs/>
              </w:rPr>
              <w:t>on foot</w:t>
            </w:r>
            <w:r w:rsidR="009E4151">
              <w:rPr>
                <w:bCs/>
              </w:rPr>
              <w:t>,</w:t>
            </w:r>
            <w:r w:rsidR="006B4D7C">
              <w:rPr>
                <w:bCs/>
              </w:rPr>
              <w:t xml:space="preserve"> and final determinations under the NAR,</w:t>
            </w:r>
            <w:r>
              <w:rPr>
                <w:bCs/>
              </w:rPr>
              <w:t xml:space="preserve"> </w:t>
            </w:r>
            <w:r w:rsidR="009E4151">
              <w:rPr>
                <w:bCs/>
              </w:rPr>
              <w:t>would terminate automatically if declaration is revoked</w:t>
            </w:r>
            <w:r w:rsidR="006B4D7C">
              <w:rPr>
                <w:bCs/>
              </w:rPr>
              <w:t>.</w:t>
            </w:r>
            <w:r>
              <w:rPr>
                <w:bCs/>
              </w:rPr>
              <w:t xml:space="preserve"> </w:t>
            </w:r>
            <w:r w:rsidR="00921737">
              <w:rPr>
                <w:bCs/>
              </w:rPr>
              <w:t xml:space="preserve">It submits that the provisions of Part IIIA should only apply while the service is declared and that this </w:t>
            </w:r>
            <w:r>
              <w:rPr>
                <w:bCs/>
              </w:rPr>
              <w:t>would be ‘</w:t>
            </w:r>
            <w:r w:rsidRPr="001148B8">
              <w:rPr>
                <w:bCs/>
                <w:i/>
                <w:iCs/>
              </w:rPr>
              <w:t>consistent with the policy objectives of Part IIIA and minimising regulatory burden, because it is only during the period when the criteria for declaration remain satisfied that the objects of Part IIIA… can be achieved’</w:t>
            </w:r>
            <w:r>
              <w:rPr>
                <w:bCs/>
              </w:rPr>
              <w:t>.</w:t>
            </w:r>
            <w:r w:rsidR="00FE5131">
              <w:rPr>
                <w:rStyle w:val="FootnoteReference"/>
                <w:bCs/>
              </w:rPr>
              <w:footnoteReference w:id="72"/>
            </w:r>
          </w:p>
          <w:p w14:paraId="28F5110A" w14:textId="55A2A537" w:rsidR="00D34480" w:rsidRDefault="00D34480" w:rsidP="007F5FF6">
            <w:pPr>
              <w:spacing w:before="60" w:after="60"/>
              <w:rPr>
                <w:bCs/>
              </w:rPr>
            </w:pPr>
          </w:p>
          <w:p w14:paraId="5BA923DE" w14:textId="6D222A67" w:rsidR="00FE5131" w:rsidRDefault="00FE5131" w:rsidP="007F5FF6">
            <w:pPr>
              <w:spacing w:before="60" w:after="60"/>
              <w:rPr>
                <w:bCs/>
              </w:rPr>
            </w:pPr>
            <w:r>
              <w:rPr>
                <w:bCs/>
              </w:rPr>
              <w:t>Sydney Airport supported these options and su</w:t>
            </w:r>
            <w:r w:rsidR="00167818">
              <w:rPr>
                <w:bCs/>
              </w:rPr>
              <w:t>bmitted that it would be ‘</w:t>
            </w:r>
            <w:r w:rsidR="00167818" w:rsidRPr="001148B8">
              <w:rPr>
                <w:bCs/>
                <w:i/>
                <w:iCs/>
              </w:rPr>
              <w:t>inappropriate for infrastructure to be subject to an arbitration determination… after the infrastructure is found to no longer meet the declaration criteria set out in the regime and declaration is revoked</w:t>
            </w:r>
            <w:r w:rsidR="006A49AB" w:rsidRPr="001148B8">
              <w:rPr>
                <w:bCs/>
                <w:i/>
                <w:iCs/>
              </w:rPr>
              <w:t>’</w:t>
            </w:r>
            <w:r w:rsidR="00167818">
              <w:rPr>
                <w:bCs/>
              </w:rPr>
              <w:t>.</w:t>
            </w:r>
            <w:r w:rsidR="00167818">
              <w:rPr>
                <w:rStyle w:val="FootnoteReference"/>
                <w:bCs/>
              </w:rPr>
              <w:footnoteReference w:id="73"/>
            </w:r>
          </w:p>
          <w:p w14:paraId="624193C5" w14:textId="2555DA2D" w:rsidR="006A49AB" w:rsidRDefault="006A49AB" w:rsidP="007F5FF6">
            <w:pPr>
              <w:spacing w:before="60" w:after="60"/>
              <w:rPr>
                <w:bCs/>
              </w:rPr>
            </w:pPr>
          </w:p>
          <w:p w14:paraId="38B5A86B" w14:textId="6427627F" w:rsidR="00E87EB7" w:rsidRPr="003B3BF1" w:rsidRDefault="006A49AB" w:rsidP="0018262D">
            <w:pPr>
              <w:spacing w:before="60" w:after="60"/>
            </w:pPr>
            <w:r>
              <w:rPr>
                <w:bCs/>
              </w:rPr>
              <w:t>The Australian Airports Association supported options 6 and 7 as they would be ‘</w:t>
            </w:r>
            <w:r w:rsidRPr="001148B8">
              <w:rPr>
                <w:bCs/>
                <w:i/>
                <w:iCs/>
              </w:rPr>
              <w:t xml:space="preserve">sensible, </w:t>
            </w:r>
            <w:r w:rsidRPr="001148B8">
              <w:rPr>
                <w:bCs/>
                <w:i/>
                <w:iCs/>
              </w:rPr>
              <w:lastRenderedPageBreak/>
              <w:t>practical and aligned with the objectives of the Regime’</w:t>
            </w:r>
            <w:r>
              <w:rPr>
                <w:bCs/>
              </w:rPr>
              <w:t>.</w:t>
            </w:r>
            <w:r>
              <w:rPr>
                <w:rStyle w:val="FootnoteReference"/>
                <w:bCs/>
              </w:rPr>
              <w:footnoteReference w:id="74"/>
            </w:r>
          </w:p>
        </w:tc>
        <w:tc>
          <w:tcPr>
            <w:tcW w:w="3827" w:type="dxa"/>
          </w:tcPr>
          <w:p w14:paraId="318FDEAE" w14:textId="543BDD41" w:rsidR="007F5FF6" w:rsidRDefault="007E76BA" w:rsidP="007F5FF6">
            <w:pPr>
              <w:spacing w:before="60" w:after="60"/>
              <w:rPr>
                <w:bCs/>
              </w:rPr>
            </w:pPr>
            <w:r>
              <w:rPr>
                <w:bCs/>
              </w:rPr>
              <w:lastRenderedPageBreak/>
              <w:t>Glencore</w:t>
            </w:r>
            <w:r w:rsidR="0058610A">
              <w:rPr>
                <w:bCs/>
              </w:rPr>
              <w:t>, Minerals Council of Australia and the NSW Minerals Council were not supportive of termination of arbitral proceedings or determination</w:t>
            </w:r>
            <w:r w:rsidR="00664323">
              <w:rPr>
                <w:bCs/>
              </w:rPr>
              <w:t>s</w:t>
            </w:r>
            <w:r w:rsidR="0058610A">
              <w:rPr>
                <w:bCs/>
              </w:rPr>
              <w:t>.</w:t>
            </w:r>
          </w:p>
          <w:p w14:paraId="2F08FB0D" w14:textId="0693E5E9" w:rsidR="0058610A" w:rsidRDefault="0058610A" w:rsidP="007F5FF6">
            <w:pPr>
              <w:spacing w:before="60" w:after="60"/>
              <w:rPr>
                <w:bCs/>
              </w:rPr>
            </w:pPr>
          </w:p>
          <w:p w14:paraId="235047EE" w14:textId="40634011" w:rsidR="00664323" w:rsidRDefault="0058610A" w:rsidP="007F5FF6">
            <w:pPr>
              <w:spacing w:before="60" w:after="60"/>
              <w:rPr>
                <w:bCs/>
              </w:rPr>
            </w:pPr>
            <w:r>
              <w:rPr>
                <w:bCs/>
              </w:rPr>
              <w:t>Glenco</w:t>
            </w:r>
            <w:r w:rsidR="00581428">
              <w:rPr>
                <w:bCs/>
              </w:rPr>
              <w:t>re</w:t>
            </w:r>
            <w:r>
              <w:rPr>
                <w:bCs/>
              </w:rPr>
              <w:t xml:space="preserve"> </w:t>
            </w:r>
            <w:r w:rsidR="00354B5B">
              <w:rPr>
                <w:bCs/>
              </w:rPr>
              <w:t xml:space="preserve">was not supportive of </w:t>
            </w:r>
            <w:r w:rsidR="00664323">
              <w:rPr>
                <w:bCs/>
              </w:rPr>
              <w:t>these options</w:t>
            </w:r>
            <w:r w:rsidR="00EF115C">
              <w:rPr>
                <w:bCs/>
              </w:rPr>
              <w:t>, particularly where ‘</w:t>
            </w:r>
            <w:r w:rsidR="00EF115C" w:rsidRPr="001148B8">
              <w:rPr>
                <w:bCs/>
                <w:i/>
                <w:iCs/>
              </w:rPr>
              <w:t xml:space="preserve">there are very limited appeal rights from any revocation’. </w:t>
            </w:r>
            <w:r w:rsidR="00EF115C" w:rsidRPr="00111233">
              <w:t>Glencore submitted that these options would</w:t>
            </w:r>
            <w:r w:rsidR="00EF115C" w:rsidRPr="001148B8">
              <w:rPr>
                <w:bCs/>
                <w:i/>
                <w:iCs/>
              </w:rPr>
              <w:t xml:space="preserve"> ‘affect investment decisions by the access provider and access seeker(s)… [and] undermine the utility of parties seeking a declaration if “the rug could be take out from under them”</w:t>
            </w:r>
            <w:r w:rsidR="00EF115C">
              <w:rPr>
                <w:bCs/>
              </w:rPr>
              <w:t>’.</w:t>
            </w:r>
            <w:r w:rsidR="00EF115C">
              <w:rPr>
                <w:rStyle w:val="FootnoteReference"/>
                <w:bCs/>
              </w:rPr>
              <w:footnoteReference w:id="75"/>
            </w:r>
          </w:p>
          <w:p w14:paraId="76E0AB38" w14:textId="77777777" w:rsidR="00B44531" w:rsidRDefault="00B44531" w:rsidP="007F5FF6">
            <w:pPr>
              <w:spacing w:before="60" w:after="60"/>
              <w:rPr>
                <w:bCs/>
              </w:rPr>
            </w:pPr>
          </w:p>
          <w:p w14:paraId="2C0AE04C" w14:textId="6B2500E7" w:rsidR="00E87EB7" w:rsidRPr="00D759FA" w:rsidRDefault="001D35BB" w:rsidP="0018262D">
            <w:pPr>
              <w:spacing w:before="60" w:after="60"/>
              <w:rPr>
                <w:bCs/>
              </w:rPr>
            </w:pPr>
            <w:r>
              <w:rPr>
                <w:bCs/>
              </w:rPr>
              <w:t>The</w:t>
            </w:r>
            <w:r w:rsidR="00B44531">
              <w:rPr>
                <w:bCs/>
              </w:rPr>
              <w:t xml:space="preserve"> NSW Minerals Council </w:t>
            </w:r>
            <w:r w:rsidR="00EF115C">
              <w:rPr>
                <w:bCs/>
              </w:rPr>
              <w:t>did not support option</w:t>
            </w:r>
            <w:r w:rsidR="002C7F2E">
              <w:rPr>
                <w:bCs/>
              </w:rPr>
              <w:t>s</w:t>
            </w:r>
            <w:r w:rsidR="00EF115C">
              <w:rPr>
                <w:bCs/>
              </w:rPr>
              <w:t xml:space="preserve"> 6 and </w:t>
            </w:r>
            <w:r w:rsidR="000B1FAE">
              <w:rPr>
                <w:bCs/>
              </w:rPr>
              <w:t xml:space="preserve">7 </w:t>
            </w:r>
            <w:r w:rsidR="00EF115C">
              <w:rPr>
                <w:bCs/>
              </w:rPr>
              <w:t xml:space="preserve">and submitted it </w:t>
            </w:r>
            <w:r w:rsidR="00EF115C" w:rsidRPr="001148B8">
              <w:rPr>
                <w:bCs/>
                <w:i/>
                <w:iCs/>
              </w:rPr>
              <w:t xml:space="preserve">‘would undermine the legal rights </w:t>
            </w:r>
            <w:r w:rsidR="0050320E" w:rsidRPr="002F0B5A">
              <w:rPr>
                <w:i/>
                <w:iCs/>
              </w:rPr>
              <w:t>obtained through declaration and any binding ACCC arbitration determination</w:t>
            </w:r>
            <w:r w:rsidR="00C41853" w:rsidRPr="002F0B5A">
              <w:rPr>
                <w:i/>
                <w:iCs/>
              </w:rPr>
              <w:t xml:space="preserve">, </w:t>
            </w:r>
            <w:r w:rsidR="00C41853" w:rsidRPr="001148B8">
              <w:rPr>
                <w:i/>
                <w:iCs/>
              </w:rPr>
              <w:t xml:space="preserve">would create significant commercial uncertainty for both users and </w:t>
            </w:r>
            <w:r w:rsidR="00C41853" w:rsidRPr="001148B8">
              <w:rPr>
                <w:i/>
                <w:iCs/>
              </w:rPr>
              <w:lastRenderedPageBreak/>
              <w:t>operators that would affect investment in services</w:t>
            </w:r>
            <w:r w:rsidR="00C41853" w:rsidRPr="001148B8">
              <w:rPr>
                <w:bCs/>
                <w:i/>
                <w:iCs/>
              </w:rPr>
              <w:t>’</w:t>
            </w:r>
            <w:r w:rsidR="00C41853">
              <w:rPr>
                <w:bCs/>
              </w:rPr>
              <w:t>.</w:t>
            </w:r>
            <w:r w:rsidR="00C41853">
              <w:rPr>
                <w:rStyle w:val="FootnoteReference"/>
                <w:bCs/>
              </w:rPr>
              <w:footnoteReference w:id="76"/>
            </w:r>
          </w:p>
        </w:tc>
        <w:tc>
          <w:tcPr>
            <w:tcW w:w="3828" w:type="dxa"/>
          </w:tcPr>
          <w:p w14:paraId="4146BBEC" w14:textId="0CE1CBFD" w:rsidR="003D53AE" w:rsidRDefault="00B63321" w:rsidP="0018262D">
            <w:pPr>
              <w:spacing w:before="60" w:after="60"/>
              <w:rPr>
                <w:bCs/>
              </w:rPr>
            </w:pPr>
            <w:r>
              <w:rPr>
                <w:bCs/>
              </w:rPr>
              <w:lastRenderedPageBreak/>
              <w:t xml:space="preserve">Other </w:t>
            </w:r>
            <w:r w:rsidR="003D53AE">
              <w:rPr>
                <w:bCs/>
              </w:rPr>
              <w:t xml:space="preserve">stakeholders expressed mixed views on options 6 and 7. </w:t>
            </w:r>
          </w:p>
          <w:p w14:paraId="493FDC43" w14:textId="31F1CAA3" w:rsidR="003D53AE" w:rsidRDefault="003D53AE" w:rsidP="0018262D">
            <w:pPr>
              <w:spacing w:before="60" w:after="60"/>
              <w:rPr>
                <w:bCs/>
              </w:rPr>
            </w:pPr>
          </w:p>
          <w:p w14:paraId="203514EA" w14:textId="76D8EBCB" w:rsidR="003D53AE" w:rsidRDefault="003D53AE" w:rsidP="0018262D">
            <w:pPr>
              <w:spacing w:before="60" w:after="60"/>
              <w:rPr>
                <w:bCs/>
              </w:rPr>
            </w:pPr>
            <w:r>
              <w:rPr>
                <w:bCs/>
              </w:rPr>
              <w:t>The ACCC</w:t>
            </w:r>
            <w:r w:rsidR="00C50C66">
              <w:rPr>
                <w:bCs/>
              </w:rPr>
              <w:t xml:space="preserve"> submitted that it is, ‘</w:t>
            </w:r>
            <w:r w:rsidR="00C50C66" w:rsidRPr="001148B8">
              <w:rPr>
                <w:i/>
                <w:iCs/>
              </w:rPr>
              <w:t>incongruous for the determination to continue to have effect only in relation to certain parties if the underlying declaration is no longer in force</w:t>
            </w:r>
            <w:r w:rsidR="00C50C66">
              <w:t>’. The ACCC also submitted that if option 6 and 7 were to be implemented, a specified transitional period should also be implemented to allow for ongoing matters to be finalised.</w:t>
            </w:r>
            <w:r w:rsidR="00C50C66">
              <w:rPr>
                <w:rStyle w:val="FootnoteReference"/>
              </w:rPr>
              <w:footnoteReference w:id="77"/>
            </w:r>
          </w:p>
          <w:p w14:paraId="788AB7CF" w14:textId="7CBA6FEA" w:rsidR="00C50C66" w:rsidRDefault="00C50C66" w:rsidP="0018262D">
            <w:pPr>
              <w:spacing w:before="60" w:after="60"/>
              <w:rPr>
                <w:bCs/>
              </w:rPr>
            </w:pPr>
          </w:p>
          <w:p w14:paraId="384B8BC4" w14:textId="28D7CBA8" w:rsidR="00E87EB7" w:rsidRPr="003B3BF1" w:rsidRDefault="00C50C66">
            <w:pPr>
              <w:spacing w:before="60" w:after="60"/>
            </w:pPr>
            <w:r>
              <w:rPr>
                <w:bCs/>
              </w:rPr>
              <w:t>The NCC submitted it is ‘</w:t>
            </w:r>
            <w:r w:rsidRPr="001148B8">
              <w:rPr>
                <w:i/>
                <w:iCs/>
              </w:rPr>
              <w:t xml:space="preserve">arguably inconsistent for a service to be subject to regulation despite the Minister having found … that it is no longer appropriate </w:t>
            </w:r>
            <w:r w:rsidR="00C5450C" w:rsidRPr="001148B8">
              <w:rPr>
                <w:i/>
                <w:iCs/>
              </w:rPr>
              <w:t>for that service to be declared</w:t>
            </w:r>
            <w:r w:rsidR="00C5450C">
              <w:t>’.</w:t>
            </w:r>
            <w:r>
              <w:t xml:space="preserve"> </w:t>
            </w:r>
            <w:r w:rsidR="00F74682">
              <w:t>However, it also submitted that the ‘</w:t>
            </w:r>
            <w:r w:rsidR="00F74682" w:rsidRPr="001148B8">
              <w:rPr>
                <w:i/>
                <w:iCs/>
              </w:rPr>
              <w:t xml:space="preserve">ability to terminate an arbitration determination before it was initially intended to end could generate </w:t>
            </w:r>
            <w:r w:rsidR="00F74682" w:rsidRPr="001148B8">
              <w:rPr>
                <w:i/>
                <w:iCs/>
              </w:rPr>
              <w:lastRenderedPageBreak/>
              <w:t>regulatory uncertainty and negatively impact on efficient investment incentives</w:t>
            </w:r>
            <w:r w:rsidR="00F74682">
              <w:t>’.</w:t>
            </w:r>
            <w:r w:rsidR="00F74682">
              <w:rPr>
                <w:rStyle w:val="FootnoteReference"/>
              </w:rPr>
              <w:footnoteReference w:id="78"/>
            </w:r>
          </w:p>
        </w:tc>
      </w:tr>
    </w:tbl>
    <w:p w14:paraId="0C9AAA1F" w14:textId="77777777" w:rsidR="0093064D" w:rsidRDefault="0093064D" w:rsidP="0093064D">
      <w:pPr>
        <w:pStyle w:val="Heading1"/>
        <w:sectPr w:rsidR="0093064D" w:rsidSect="000D3372">
          <w:pgSz w:w="16838" w:h="11906" w:orient="landscape"/>
          <w:pgMar w:top="1440" w:right="1440" w:bottom="1440" w:left="1440" w:header="708" w:footer="708" w:gutter="0"/>
          <w:cols w:space="708"/>
          <w:docGrid w:linePitch="360"/>
        </w:sectPr>
      </w:pPr>
    </w:p>
    <w:p w14:paraId="3298D0BF" w14:textId="66881ACD" w:rsidR="0093064D" w:rsidRDefault="00D91A04" w:rsidP="0093064D">
      <w:pPr>
        <w:pStyle w:val="Heading1"/>
      </w:pPr>
      <w:bookmarkStart w:id="203" w:name="_Toc71270980"/>
      <w:bookmarkStart w:id="204" w:name="_Toc71282585"/>
      <w:bookmarkStart w:id="205" w:name="_Toc71282966"/>
      <w:bookmarkStart w:id="206" w:name="_Toc71294371"/>
      <w:bookmarkStart w:id="207" w:name="_Toc71299673"/>
      <w:bookmarkStart w:id="208" w:name="_Toc71301627"/>
      <w:bookmarkStart w:id="209" w:name="_Toc71310100"/>
      <w:bookmarkStart w:id="210" w:name="_Toc71317857"/>
      <w:r>
        <w:lastRenderedPageBreak/>
        <w:t>APPENDIX C</w:t>
      </w:r>
      <w:bookmarkEnd w:id="203"/>
      <w:bookmarkEnd w:id="204"/>
      <w:bookmarkEnd w:id="205"/>
      <w:bookmarkEnd w:id="206"/>
      <w:bookmarkEnd w:id="207"/>
      <w:bookmarkEnd w:id="208"/>
      <w:bookmarkEnd w:id="209"/>
      <w:bookmarkEnd w:id="210"/>
    </w:p>
    <w:p w14:paraId="0A611988" w14:textId="706F798A" w:rsidR="0093064D" w:rsidRDefault="0093064D" w:rsidP="0093064D">
      <w:pPr>
        <w:pStyle w:val="Heading2"/>
      </w:pPr>
      <w:bookmarkStart w:id="211" w:name="_Toc71270981"/>
      <w:bookmarkStart w:id="212" w:name="_Toc71282586"/>
      <w:bookmarkStart w:id="213" w:name="_Toc71282967"/>
      <w:bookmarkStart w:id="214" w:name="_Toc71294372"/>
      <w:bookmarkStart w:id="215" w:name="_Toc71299674"/>
      <w:bookmarkStart w:id="216" w:name="_Toc71301628"/>
      <w:bookmarkStart w:id="217" w:name="_Toc71310101"/>
      <w:bookmarkStart w:id="218" w:name="_Toc71317858"/>
      <w:r>
        <w:t>Regulatory costings – assumptions</w:t>
      </w:r>
      <w:bookmarkEnd w:id="211"/>
      <w:bookmarkEnd w:id="212"/>
      <w:bookmarkEnd w:id="213"/>
      <w:bookmarkEnd w:id="214"/>
      <w:bookmarkEnd w:id="215"/>
      <w:bookmarkEnd w:id="216"/>
      <w:bookmarkEnd w:id="217"/>
      <w:bookmarkEnd w:id="218"/>
    </w:p>
    <w:p w14:paraId="488DFD3B" w14:textId="37322DFF" w:rsidR="0093064D" w:rsidRDefault="0093064D" w:rsidP="0093064D">
      <w:r>
        <w:t>The following assumptions were used in costing. These are based on a desktop analysis of historical Part IIIA arbitration matters and have not been tested with stakeholders.</w:t>
      </w:r>
    </w:p>
    <w:p w14:paraId="1A89358A" w14:textId="17C66630" w:rsidR="008A52BC" w:rsidRDefault="008A52BC" w:rsidP="008A52BC">
      <w:pPr>
        <w:pStyle w:val="Heading5"/>
      </w:pPr>
      <w:r>
        <w:t>Option 1</w:t>
      </w:r>
    </w:p>
    <w:p w14:paraId="0F300EA7" w14:textId="48B9799F" w:rsidR="008A52BC" w:rsidRDefault="008A52BC" w:rsidP="008A52BC">
      <w:pPr>
        <w:pStyle w:val="Bullet"/>
      </w:pPr>
      <w:r>
        <w:rPr>
          <w:i/>
        </w:rPr>
        <w:t>Four</w:t>
      </w:r>
      <w:r>
        <w:t xml:space="preserve"> applications for merits review of a declaration would take place every ten years (based on historical observations of the frequency of </w:t>
      </w:r>
      <w:r w:rsidR="003130A1">
        <w:t>appeals to the tribunal</w:t>
      </w:r>
      <w:r>
        <w:t xml:space="preserve"> under the NAR).</w:t>
      </w:r>
    </w:p>
    <w:p w14:paraId="5C3244B7" w14:textId="6675D083" w:rsidR="008A52BC" w:rsidRPr="008A52BC" w:rsidRDefault="008A52BC" w:rsidP="008A52BC">
      <w:pPr>
        <w:pStyle w:val="Bullet"/>
      </w:pPr>
      <w:r>
        <w:rPr>
          <w:iCs/>
        </w:rPr>
        <w:t>The party making the application would be the only ones to experience a regulatory saving.</w:t>
      </w:r>
    </w:p>
    <w:p w14:paraId="50CD24E7" w14:textId="7DD01A61" w:rsidR="008A52BC" w:rsidRDefault="008A52BC" w:rsidP="008A52BC">
      <w:pPr>
        <w:pStyle w:val="Bullet"/>
      </w:pPr>
      <w:r>
        <w:rPr>
          <w:iCs/>
        </w:rPr>
        <w:t xml:space="preserve">On average, the applicant would engage the equivalent of </w:t>
      </w:r>
      <w:r>
        <w:rPr>
          <w:i/>
        </w:rPr>
        <w:t>one</w:t>
      </w:r>
      <w:r>
        <w:rPr>
          <w:iCs/>
        </w:rPr>
        <w:t xml:space="preserve"> full time </w:t>
      </w:r>
      <w:r>
        <w:t xml:space="preserve">lawyer at a senior associate lawyer level </w:t>
      </w:r>
      <w:r w:rsidR="003130A1">
        <w:t xml:space="preserve">for 40 hours </w:t>
      </w:r>
      <w:r>
        <w:t>to complete an application form</w:t>
      </w:r>
      <w:r w:rsidR="003130A1">
        <w:t>. This estimate reflects the fact that while the form itself is relatively simple, an applicant would have around 20 pages of supporting material attached to their application which could be expected to take around this length of time to prepare.</w:t>
      </w:r>
    </w:p>
    <w:p w14:paraId="314AED5F" w14:textId="2E595107" w:rsidR="008A52BC" w:rsidRDefault="003130A1" w:rsidP="00575EC9">
      <w:pPr>
        <w:pStyle w:val="Bullet"/>
      </w:pPr>
      <w:r>
        <w:t>Senior associate lawyer hourly rate: $376.88</w:t>
      </w:r>
    </w:p>
    <w:p w14:paraId="4D3F6CB1" w14:textId="450B8256" w:rsidR="008A52BC" w:rsidRDefault="008A52BC" w:rsidP="008A52BC">
      <w:pPr>
        <w:pStyle w:val="Heading5"/>
      </w:pPr>
      <w:r>
        <w:lastRenderedPageBreak/>
        <w:t>Option 2</w:t>
      </w:r>
    </w:p>
    <w:p w14:paraId="154950D8" w14:textId="32EDCF02" w:rsidR="003130A1" w:rsidRDefault="003130A1" w:rsidP="003130A1">
      <w:pPr>
        <w:pStyle w:val="Bullet"/>
      </w:pPr>
      <w:r>
        <w:rPr>
          <w:i/>
        </w:rPr>
        <w:t>One</w:t>
      </w:r>
      <w:r>
        <w:t xml:space="preserve"> application for merits review of an arbitration determination would take place every ten years (based on historical observations of the frequency of appeals to the tribunal under the NAR).</w:t>
      </w:r>
    </w:p>
    <w:p w14:paraId="38AF1941" w14:textId="77777777" w:rsidR="003130A1" w:rsidRPr="00D4135B" w:rsidRDefault="003130A1" w:rsidP="003130A1">
      <w:pPr>
        <w:pStyle w:val="Bullet"/>
      </w:pPr>
      <w:r>
        <w:rPr>
          <w:iCs/>
        </w:rPr>
        <w:t>The party making the application would be the only ones to experience a regulatory saving.</w:t>
      </w:r>
    </w:p>
    <w:p w14:paraId="3068A197" w14:textId="77777777" w:rsidR="003130A1" w:rsidRDefault="003130A1" w:rsidP="003130A1">
      <w:pPr>
        <w:pStyle w:val="Bullet"/>
      </w:pPr>
      <w:r>
        <w:rPr>
          <w:iCs/>
        </w:rPr>
        <w:t xml:space="preserve">On average, the applicant would engage the equivalent of </w:t>
      </w:r>
      <w:r>
        <w:rPr>
          <w:i/>
        </w:rPr>
        <w:t>one</w:t>
      </w:r>
      <w:r>
        <w:rPr>
          <w:iCs/>
        </w:rPr>
        <w:t xml:space="preserve"> full time </w:t>
      </w:r>
      <w:r>
        <w:t>lawyer at a senior associate lawyer level for 40 hours to complete an application form. This estimate reflects the fact that while the form itself is relatively simple, an applicant would have around 20 pages of supporting material attached to their application which could be expected to take around this length of time to prepare.</w:t>
      </w:r>
    </w:p>
    <w:p w14:paraId="6593EFBC" w14:textId="7A536685" w:rsidR="008A52BC" w:rsidRPr="00A566D6" w:rsidRDefault="003130A1" w:rsidP="00575EC9">
      <w:pPr>
        <w:pStyle w:val="Bullet"/>
      </w:pPr>
      <w:r>
        <w:t>Senior associate lawyer hourly rate: $376.88</w:t>
      </w:r>
    </w:p>
    <w:p w14:paraId="19EA50CD" w14:textId="4F8A7C1C" w:rsidR="008A52BC" w:rsidRDefault="008A52BC" w:rsidP="00575EC9">
      <w:pPr>
        <w:pStyle w:val="Heading5"/>
      </w:pPr>
      <w:r>
        <w:t>Option 6</w:t>
      </w:r>
    </w:p>
    <w:p w14:paraId="0A389807" w14:textId="77777777" w:rsidR="0093064D" w:rsidRDefault="0093064D" w:rsidP="00575EC9">
      <w:pPr>
        <w:pStyle w:val="Bullet"/>
      </w:pPr>
      <w:r>
        <w:rPr>
          <w:i/>
        </w:rPr>
        <w:t>One</w:t>
      </w:r>
      <w:r>
        <w:t xml:space="preserve"> arbitration would take place every ten years (based on historical observations of the frequency of arbitrations under the NAR).</w:t>
      </w:r>
    </w:p>
    <w:p w14:paraId="382D04FB" w14:textId="77777777" w:rsidR="0093064D" w:rsidRDefault="0093064D" w:rsidP="00575EC9">
      <w:pPr>
        <w:pStyle w:val="Bullet"/>
      </w:pPr>
      <w:r>
        <w:t>Each arbitration would have two parties: an access seeker and an asset owner.</w:t>
      </w:r>
    </w:p>
    <w:p w14:paraId="3224F31E" w14:textId="77777777" w:rsidR="0093064D" w:rsidRDefault="0093064D" w:rsidP="00575EC9">
      <w:pPr>
        <w:pStyle w:val="Bullet"/>
      </w:pPr>
      <w:r>
        <w:t xml:space="preserve">On average, each party would engage the equivalent of </w:t>
      </w:r>
      <w:r w:rsidRPr="003B3BF1">
        <w:rPr>
          <w:i/>
        </w:rPr>
        <w:t>three</w:t>
      </w:r>
      <w:r>
        <w:t xml:space="preserve"> full time lawyers at a senior associate lawyer level and </w:t>
      </w:r>
      <w:r w:rsidRPr="003B3BF1">
        <w:rPr>
          <w:i/>
        </w:rPr>
        <w:t>two</w:t>
      </w:r>
      <w:r>
        <w:t xml:space="preserve"> standard positions within the company to respond to ACCC directions and prepare material for the arbitration.</w:t>
      </w:r>
    </w:p>
    <w:p w14:paraId="4E8F88E2" w14:textId="77777777" w:rsidR="0093064D" w:rsidRDefault="0093064D" w:rsidP="00575EC9">
      <w:pPr>
        <w:pStyle w:val="Bullet"/>
      </w:pPr>
      <w:r>
        <w:t>Senior associate lawyer hourly rate: $376.88</w:t>
      </w:r>
    </w:p>
    <w:p w14:paraId="73832EC6" w14:textId="77777777" w:rsidR="0093064D" w:rsidRDefault="0093064D" w:rsidP="00575EC9">
      <w:pPr>
        <w:pStyle w:val="Bullet"/>
      </w:pPr>
      <w:r>
        <w:t>Standard hourly rate for the company: $73.05</w:t>
      </w:r>
    </w:p>
    <w:p w14:paraId="0AA6589F" w14:textId="21792FFB" w:rsidR="0093064D" w:rsidRDefault="000E742F" w:rsidP="00575EC9">
      <w:pPr>
        <w:pStyle w:val="Bullet"/>
      </w:pPr>
      <w:r>
        <w:lastRenderedPageBreak/>
        <w:t>T</w:t>
      </w:r>
      <w:r w:rsidR="0093064D">
        <w:t xml:space="preserve">he maximum cost saving </w:t>
      </w:r>
      <w:r w:rsidRPr="000E742F">
        <w:t>(-$659,295.45)</w:t>
      </w:r>
      <w:r w:rsidDel="004A7CEC">
        <w:rPr>
          <w:b/>
        </w:rPr>
        <w:t xml:space="preserve"> </w:t>
      </w:r>
      <w:r w:rsidR="0093064D">
        <w:t>is based on the parties spending a combined total of 644 days on the arbitration that would be avoided through revocation. This is based on an analysis of historical arbitrations, and covers proceedings from the ACCC announcing an arbitration will take place through to a final determination. In this scenario, the notifying party pays the $10,850 pre-hearing fee and the ACCC apportions its daily hearing rate of $4340 between the parties, based on one day of hearings.</w:t>
      </w:r>
      <w:r w:rsidR="00CA222B">
        <w:t xml:space="preserve"> The arbitration proceeding is assumed to be terminated (that is, revocation occurs) after the ACCC announces that arbitration will commence.</w:t>
      </w:r>
    </w:p>
    <w:p w14:paraId="2AA27473" w14:textId="12AB0FB6" w:rsidR="0093064D" w:rsidRDefault="000E742F" w:rsidP="00575EC9">
      <w:pPr>
        <w:pStyle w:val="Bullet"/>
      </w:pPr>
      <w:r>
        <w:t>T</w:t>
      </w:r>
      <w:r w:rsidR="0093064D">
        <w:t>he minimum cost saving</w:t>
      </w:r>
      <w:r>
        <w:t xml:space="preserve"> </w:t>
      </w:r>
      <w:r w:rsidRPr="000E742F">
        <w:t>(-$91,925.28)</w:t>
      </w:r>
      <w:r>
        <w:rPr>
          <w:b/>
        </w:rPr>
        <w:t xml:space="preserve"> </w:t>
      </w:r>
      <w:r w:rsidR="0093064D">
        <w:t>is based on the parties spending a combined 90 days on the arbitration that would be avoided through revocation. This is based on similar analysis to scenario A, and covers arbitration processes from the ACCC sending a draft determination to both parties through to a final determination.</w:t>
      </w:r>
      <w:r w:rsidR="00CA222B">
        <w:t xml:space="preserve"> The arbitration proceeding is assumed to be terminated after the ACCC releases a draft decision.</w:t>
      </w:r>
    </w:p>
    <w:p w14:paraId="7BA31305" w14:textId="2E0C88D5" w:rsidR="00E30FEA" w:rsidRDefault="00E30FEA">
      <w:r>
        <w:br w:type="page"/>
      </w:r>
    </w:p>
    <w:p w14:paraId="6CDE3A1E" w14:textId="38A709E6" w:rsidR="00E30FEA" w:rsidRDefault="00E30FEA" w:rsidP="00E30FEA">
      <w:pPr>
        <w:pStyle w:val="Heading1"/>
      </w:pPr>
      <w:bookmarkStart w:id="219" w:name="_Toc71270982"/>
      <w:bookmarkStart w:id="220" w:name="_Toc71282587"/>
      <w:bookmarkStart w:id="221" w:name="_Toc71282968"/>
      <w:bookmarkStart w:id="222" w:name="_Toc71294373"/>
      <w:bookmarkStart w:id="223" w:name="_Toc71299675"/>
      <w:bookmarkStart w:id="224" w:name="_Toc71301629"/>
      <w:bookmarkStart w:id="225" w:name="_Toc71310102"/>
      <w:bookmarkStart w:id="226" w:name="_Toc71317859"/>
      <w:r>
        <w:lastRenderedPageBreak/>
        <w:t>APPENDIX D</w:t>
      </w:r>
      <w:bookmarkEnd w:id="219"/>
      <w:bookmarkEnd w:id="220"/>
      <w:bookmarkEnd w:id="221"/>
      <w:bookmarkEnd w:id="222"/>
      <w:bookmarkEnd w:id="223"/>
      <w:bookmarkEnd w:id="224"/>
      <w:bookmarkEnd w:id="225"/>
      <w:bookmarkEnd w:id="226"/>
    </w:p>
    <w:p w14:paraId="305F22E5" w14:textId="75DF8A9B" w:rsidR="00E30FEA" w:rsidRDefault="00E30FEA" w:rsidP="00E30FEA">
      <w:pPr>
        <w:pStyle w:val="Heading2"/>
      </w:pPr>
      <w:bookmarkStart w:id="227" w:name="_Toc71270983"/>
      <w:bookmarkStart w:id="228" w:name="_Toc71282588"/>
      <w:bookmarkStart w:id="229" w:name="_Toc71282969"/>
      <w:bookmarkStart w:id="230" w:name="_Toc71294374"/>
      <w:bookmarkStart w:id="231" w:name="_Toc71299676"/>
      <w:bookmarkStart w:id="232" w:name="_Toc71301630"/>
      <w:bookmarkStart w:id="233" w:name="_Toc71310103"/>
      <w:bookmarkStart w:id="234" w:name="_Toc71317860"/>
      <w:r>
        <w:t>Status of the RIS at each decision point</w:t>
      </w:r>
      <w:bookmarkEnd w:id="227"/>
      <w:bookmarkEnd w:id="228"/>
      <w:bookmarkEnd w:id="229"/>
      <w:bookmarkEnd w:id="230"/>
      <w:bookmarkEnd w:id="231"/>
      <w:bookmarkEnd w:id="232"/>
      <w:bookmarkEnd w:id="233"/>
      <w:bookmarkEnd w:id="234"/>
    </w:p>
    <w:p w14:paraId="1BD565A8" w14:textId="77777777" w:rsidR="00EB453A" w:rsidRPr="00EB453A" w:rsidRDefault="00EB453A" w:rsidP="001148B8"/>
    <w:p w14:paraId="7B3393D8" w14:textId="1771FE60" w:rsidR="00E30FEA" w:rsidRDefault="00EB453A" w:rsidP="00E30FEA">
      <w:r w:rsidRPr="004B0C7B">
        <w:t>On 16 February 2021, the Treasurer, the Hon Josh Frydenberg MP, announced that Treasury would examin</w:t>
      </w:r>
      <w:r>
        <w:t>e</w:t>
      </w:r>
      <w:r w:rsidRPr="004B0C7B">
        <w:t xml:space="preserve"> processes under the </w:t>
      </w:r>
      <w:r>
        <w:t>NAR. This decision was not informed by a RIS.</w:t>
      </w:r>
    </w:p>
    <w:p w14:paraId="0B386858" w14:textId="78425D05" w:rsidR="00EB453A" w:rsidRDefault="00EB453A" w:rsidP="00E30FEA">
      <w:r>
        <w:t xml:space="preserve">On 19 March 2021, Treasury released a consultation paper on options to reform the NAR for stakeholder comment. </w:t>
      </w:r>
      <w:r w:rsidR="008D754A">
        <w:t>T</w:t>
      </w:r>
      <w:r>
        <w:t xml:space="preserve">he </w:t>
      </w:r>
      <w:r w:rsidR="008D754A">
        <w:t xml:space="preserve">options presented in the </w:t>
      </w:r>
      <w:r>
        <w:t xml:space="preserve">consultation </w:t>
      </w:r>
      <w:r w:rsidR="008D754A">
        <w:t>paper aligned with those in a draft preliminary assessment RIS.</w:t>
      </w:r>
    </w:p>
    <w:p w14:paraId="003C8D82" w14:textId="4EDFE5C0" w:rsidR="008D754A" w:rsidRPr="00E30FEA" w:rsidRDefault="00816C55" w:rsidP="001148B8">
      <w:r>
        <w:t>It is expected that the Government will announce the reforms o</w:t>
      </w:r>
      <w:r w:rsidR="008D754A">
        <w:t>n 11 May 2021</w:t>
      </w:r>
      <w:r>
        <w:t xml:space="preserve"> </w:t>
      </w:r>
      <w:r w:rsidR="008D754A">
        <w:t>as part of the 2021</w:t>
      </w:r>
      <w:r w:rsidR="00A67158">
        <w:noBreakHyphen/>
      </w:r>
      <w:r w:rsidR="008D754A">
        <w:t xml:space="preserve">22 Budget. </w:t>
      </w:r>
    </w:p>
    <w:p w14:paraId="31EA2BDF" w14:textId="77777777" w:rsidR="0093064D" w:rsidRPr="004F377E" w:rsidRDefault="0093064D" w:rsidP="00E605ED"/>
    <w:sectPr w:rsidR="0093064D" w:rsidRPr="004F377E" w:rsidSect="009306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7001C" w14:textId="77777777" w:rsidR="00AE33C3" w:rsidRDefault="00AE33C3" w:rsidP="00AE2122">
      <w:pPr>
        <w:spacing w:after="0" w:line="240" w:lineRule="auto"/>
      </w:pPr>
      <w:r>
        <w:separator/>
      </w:r>
    </w:p>
  </w:endnote>
  <w:endnote w:type="continuationSeparator" w:id="0">
    <w:p w14:paraId="78B732C0" w14:textId="77777777" w:rsidR="00AE33C3" w:rsidRDefault="00AE33C3" w:rsidP="00AE2122">
      <w:pPr>
        <w:spacing w:after="0" w:line="240" w:lineRule="auto"/>
      </w:pPr>
      <w:r>
        <w:continuationSeparator/>
      </w:r>
    </w:p>
  </w:endnote>
  <w:endnote w:type="continuationNotice" w:id="1">
    <w:p w14:paraId="02E62F2F" w14:textId="77777777" w:rsidR="00AE33C3" w:rsidRDefault="00AE3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07352"/>
      <w:docPartObj>
        <w:docPartGallery w:val="Page Numbers (Bottom of Page)"/>
        <w:docPartUnique/>
      </w:docPartObj>
    </w:sdtPr>
    <w:sdtEndPr>
      <w:rPr>
        <w:noProof/>
      </w:rPr>
    </w:sdtEndPr>
    <w:sdtContent>
      <w:p w14:paraId="18B3FD50" w14:textId="01F40462" w:rsidR="00AE33C3" w:rsidRDefault="00AE33C3">
        <w:pPr>
          <w:pStyle w:val="Footer"/>
          <w:jc w:val="right"/>
        </w:pPr>
        <w:r>
          <w:fldChar w:fldCharType="begin"/>
        </w:r>
        <w:r>
          <w:instrText xml:space="preserve"> PAGE   \* MERGEFORMAT </w:instrText>
        </w:r>
        <w:r>
          <w:fldChar w:fldCharType="separate"/>
        </w:r>
        <w:r w:rsidR="00035B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7E46" w14:textId="77777777" w:rsidR="00AE33C3" w:rsidRDefault="00AE33C3" w:rsidP="00AE2122">
      <w:pPr>
        <w:spacing w:after="0" w:line="240" w:lineRule="auto"/>
      </w:pPr>
      <w:r>
        <w:separator/>
      </w:r>
    </w:p>
  </w:footnote>
  <w:footnote w:type="continuationSeparator" w:id="0">
    <w:p w14:paraId="46FDC565" w14:textId="77777777" w:rsidR="00AE33C3" w:rsidRDefault="00AE33C3" w:rsidP="00AE2122">
      <w:pPr>
        <w:spacing w:after="0" w:line="240" w:lineRule="auto"/>
      </w:pPr>
      <w:r>
        <w:continuationSeparator/>
      </w:r>
    </w:p>
  </w:footnote>
  <w:footnote w:type="continuationNotice" w:id="1">
    <w:p w14:paraId="30361721" w14:textId="77777777" w:rsidR="00AE33C3" w:rsidRDefault="00AE33C3">
      <w:pPr>
        <w:spacing w:after="0" w:line="240" w:lineRule="auto"/>
      </w:pPr>
    </w:p>
  </w:footnote>
  <w:footnote w:id="2">
    <w:p w14:paraId="29EFF769" w14:textId="77777777" w:rsidR="00AE33C3" w:rsidRDefault="00AE33C3" w:rsidP="000D468B">
      <w:pPr>
        <w:pStyle w:val="FootnoteText"/>
      </w:pPr>
      <w:r>
        <w:rPr>
          <w:rStyle w:val="FootnoteReference"/>
        </w:rPr>
        <w:footnoteRef/>
      </w:r>
      <w:r>
        <w:t xml:space="preserve"> Section 44AA(a), </w:t>
      </w:r>
      <w:r w:rsidRPr="00F505FD">
        <w:rPr>
          <w:i/>
        </w:rPr>
        <w:t>Competition and Consumer Act 2010</w:t>
      </w:r>
      <w:r>
        <w:t>.</w:t>
      </w:r>
    </w:p>
  </w:footnote>
  <w:footnote w:id="3">
    <w:p w14:paraId="14717B88" w14:textId="7934DE83" w:rsidR="00AE33C3" w:rsidRDefault="00AE33C3">
      <w:pPr>
        <w:pStyle w:val="FootnoteText"/>
      </w:pPr>
      <w:r>
        <w:rPr>
          <w:rStyle w:val="FootnoteReference"/>
        </w:rPr>
        <w:footnoteRef/>
      </w:r>
      <w:r>
        <w:t xml:space="preserve"> </w:t>
      </w:r>
      <w:r w:rsidRPr="00575EC9">
        <w:t xml:space="preserve">A ‘matter’ under the NAR </w:t>
      </w:r>
      <w:r>
        <w:t xml:space="preserve">has been defined to </w:t>
      </w:r>
      <w:r w:rsidRPr="00575EC9">
        <w:t>comprise declaration, revocation and arbitration processes involving the same infrastructure.</w:t>
      </w:r>
      <w:r>
        <w:t xml:space="preserve"> </w:t>
      </w:r>
    </w:p>
  </w:footnote>
  <w:footnote w:id="4">
    <w:p w14:paraId="037D2396" w14:textId="7C495294" w:rsidR="00AE33C3" w:rsidRDefault="00AE33C3">
      <w:pPr>
        <w:pStyle w:val="FootnoteText"/>
      </w:pPr>
      <w:r>
        <w:rPr>
          <w:rStyle w:val="FootnoteReference"/>
        </w:rPr>
        <w:footnoteRef/>
      </w:r>
      <w:r>
        <w:t xml:space="preserve"> There were also delays in the Tribunal finalising merits review cases; for example, in the Goldsworthy Railway matter. Amendments to the CCA in </w:t>
      </w:r>
      <w:r w:rsidRPr="00977FB0">
        <w:t>2010</w:t>
      </w:r>
      <w:r>
        <w:t xml:space="preserve"> imposed binding time limits on Tribunal decisions.</w:t>
      </w:r>
    </w:p>
  </w:footnote>
  <w:footnote w:id="5">
    <w:p w14:paraId="52043F76" w14:textId="361C45A8" w:rsidR="00AE33C3" w:rsidRDefault="00AE33C3">
      <w:pPr>
        <w:pStyle w:val="FootnoteText"/>
      </w:pPr>
      <w:r>
        <w:rPr>
          <w:rStyle w:val="FootnoteReference"/>
        </w:rPr>
        <w:footnoteRef/>
      </w:r>
      <w:r>
        <w:t xml:space="preserve"> Parties may request the NCC to recommend to the designated Minister that a declaration be revoked (there is currently no formal application process). The NCC may not recommend that a declaration be revoked unless, among other things, the infrastructure in question no longer meets the NAR declaration criteria (in s44CA). If the Minister does not make a decision on an NCC recommendation within 60 days, the declaration is deemed to be revoked (s44J).</w:t>
      </w:r>
    </w:p>
  </w:footnote>
  <w:footnote w:id="6">
    <w:p w14:paraId="519AD751" w14:textId="6AED5262" w:rsidR="00AE33C3" w:rsidRDefault="00AE33C3">
      <w:pPr>
        <w:pStyle w:val="FootnoteText"/>
      </w:pPr>
      <w:r>
        <w:rPr>
          <w:rStyle w:val="FootnoteReference"/>
        </w:rPr>
        <w:footnoteRef/>
      </w:r>
      <w:r>
        <w:t xml:space="preserve"> NSW Minerals Council submission, 19 April 2021, p 1.</w:t>
      </w:r>
    </w:p>
  </w:footnote>
  <w:footnote w:id="7">
    <w:p w14:paraId="3572AB8F" w14:textId="2D7E56E4" w:rsidR="00AE33C3" w:rsidRDefault="00AE33C3" w:rsidP="00A40C4B">
      <w:pPr>
        <w:pStyle w:val="FootnoteText"/>
      </w:pPr>
      <w:r>
        <w:rPr>
          <w:rStyle w:val="FootnoteReference"/>
        </w:rPr>
        <w:footnoteRef/>
      </w:r>
      <w:r>
        <w:t xml:space="preserve"> Port of Newcastle submission, 19 April 2021, p 3.</w:t>
      </w:r>
    </w:p>
  </w:footnote>
  <w:footnote w:id="8">
    <w:p w14:paraId="0B2C5569" w14:textId="77777777" w:rsidR="00AE33C3" w:rsidRDefault="00AE33C3" w:rsidP="00A40C4B">
      <w:pPr>
        <w:pStyle w:val="FootnoteText"/>
      </w:pPr>
      <w:r>
        <w:rPr>
          <w:rStyle w:val="FootnoteReference"/>
        </w:rPr>
        <w:footnoteRef/>
      </w:r>
      <w:r>
        <w:t xml:space="preserve"> Port of Newcastle submission, ibid.</w:t>
      </w:r>
    </w:p>
  </w:footnote>
  <w:footnote w:id="9">
    <w:p w14:paraId="1420AF85" w14:textId="3635639A" w:rsidR="00AE33C3" w:rsidRDefault="00AE33C3" w:rsidP="00F9767D">
      <w:pPr>
        <w:pStyle w:val="FootnoteText"/>
      </w:pPr>
      <w:r>
        <w:rPr>
          <w:rStyle w:val="FootnoteReference"/>
        </w:rPr>
        <w:footnoteRef/>
      </w:r>
      <w:r>
        <w:t xml:space="preserve"> Glencore submission, 19 April 2021, p 1.</w:t>
      </w:r>
    </w:p>
  </w:footnote>
  <w:footnote w:id="10">
    <w:p w14:paraId="566CB1CB" w14:textId="493270CE" w:rsidR="00AE33C3" w:rsidRDefault="00AE33C3">
      <w:pPr>
        <w:pStyle w:val="FootnoteText"/>
      </w:pPr>
      <w:r>
        <w:rPr>
          <w:rStyle w:val="FootnoteReference"/>
        </w:rPr>
        <w:footnoteRef/>
      </w:r>
      <w:r>
        <w:t xml:space="preserve"> Airlines for Australia and New Zealand submission, 19 April 2021, p 2. </w:t>
      </w:r>
    </w:p>
  </w:footnote>
  <w:footnote w:id="11">
    <w:p w14:paraId="318FE35B" w14:textId="77777777" w:rsidR="00AE33C3" w:rsidRDefault="00AE33C3" w:rsidP="00AE33C3">
      <w:pPr>
        <w:pStyle w:val="FootnoteText"/>
      </w:pPr>
      <w:r>
        <w:rPr>
          <w:rStyle w:val="FootnoteReference"/>
        </w:rPr>
        <w:footnoteRef/>
      </w:r>
      <w:r>
        <w:t xml:space="preserve"> Glencore submission, 19 April 2021, p. 5. </w:t>
      </w:r>
    </w:p>
  </w:footnote>
  <w:footnote w:id="12">
    <w:p w14:paraId="678CB590" w14:textId="7D89C4A0" w:rsidR="00AE33C3" w:rsidRDefault="00AE33C3">
      <w:pPr>
        <w:pStyle w:val="FootnoteText"/>
      </w:pPr>
      <w:r>
        <w:rPr>
          <w:rStyle w:val="FootnoteReference"/>
        </w:rPr>
        <w:footnoteRef/>
      </w:r>
      <w:r>
        <w:t xml:space="preserve"> Business Law Section of the Law Council of Australia submission, 19 April 2021, </w:t>
      </w:r>
      <w:r w:rsidR="00A73593">
        <w:t>p</w:t>
      </w:r>
      <w:r w:rsidR="00D57C97">
        <w:t xml:space="preserve"> </w:t>
      </w:r>
      <w:r w:rsidR="00A73593">
        <w:t>21</w:t>
      </w:r>
      <w:r>
        <w:t>.</w:t>
      </w:r>
    </w:p>
  </w:footnote>
  <w:footnote w:id="13">
    <w:p w14:paraId="287679E4" w14:textId="68397FD1" w:rsidR="00AE33C3" w:rsidRDefault="00AE33C3" w:rsidP="007B627B">
      <w:pPr>
        <w:pStyle w:val="FootnoteText"/>
      </w:pPr>
      <w:r>
        <w:rPr>
          <w:rStyle w:val="FootnoteReference"/>
        </w:rPr>
        <w:footnoteRef/>
      </w:r>
      <w:r>
        <w:t xml:space="preserve"> Section 44I(4) of the CCA provides that the expiry or revocation of a declaration does not affect the arbitration of an access dispute that was notified before the expiry or revocation, or the operation or enforcement of any determination made in the arbitration of an access dispute that was notified before the expiry or revocation. The Port of Newcastle is the only matter where the operation of section 44I(4) has become contentious since the NAR was introduced in 1995 (noting that this arbitration matter is currently before the High Court).</w:t>
      </w:r>
    </w:p>
  </w:footnote>
  <w:footnote w:id="14">
    <w:p w14:paraId="39320D4F" w14:textId="77777777" w:rsidR="00AE33C3" w:rsidRDefault="00AE33C3" w:rsidP="0045078D">
      <w:pPr>
        <w:pStyle w:val="FootnoteText"/>
      </w:pPr>
      <w:r>
        <w:rPr>
          <w:rStyle w:val="FootnoteReference"/>
        </w:rPr>
        <w:footnoteRef/>
      </w:r>
      <w:r>
        <w:t xml:space="preserve"> These include decisions of the Minister to declare a service, not declare a service or to not revoke declaration of a service.</w:t>
      </w:r>
    </w:p>
  </w:footnote>
  <w:footnote w:id="15">
    <w:p w14:paraId="2C2184AD" w14:textId="77777777" w:rsidR="00AE33C3" w:rsidRDefault="00AE33C3" w:rsidP="0045078D">
      <w:pPr>
        <w:pStyle w:val="FootnoteText"/>
      </w:pPr>
      <w:r>
        <w:rPr>
          <w:rStyle w:val="FootnoteReference"/>
        </w:rPr>
        <w:footnoteRef/>
      </w:r>
      <w:r>
        <w:t xml:space="preserve"> Section 44K and 44L of the CCA.</w:t>
      </w:r>
    </w:p>
  </w:footnote>
  <w:footnote w:id="16">
    <w:p w14:paraId="1CEBB61E" w14:textId="77777777" w:rsidR="00AE33C3" w:rsidRDefault="00AE33C3" w:rsidP="0045078D">
      <w:pPr>
        <w:pStyle w:val="FootnoteText"/>
      </w:pPr>
      <w:r>
        <w:rPr>
          <w:rStyle w:val="FootnoteReference"/>
        </w:rPr>
        <w:footnoteRef/>
      </w:r>
      <w:r>
        <w:t xml:space="preserve"> Section 44ZP of the CCA.</w:t>
      </w:r>
    </w:p>
  </w:footnote>
  <w:footnote w:id="17">
    <w:p w14:paraId="19B66B80" w14:textId="77777777" w:rsidR="00AE33C3" w:rsidRDefault="00AE33C3" w:rsidP="0045078D">
      <w:pPr>
        <w:pStyle w:val="FootnoteText"/>
      </w:pPr>
      <w:r>
        <w:rPr>
          <w:rStyle w:val="FootnoteReference"/>
        </w:rPr>
        <w:footnoteRef/>
      </w:r>
      <w:r>
        <w:t xml:space="preserve"> Section 44ZZOAAA.</w:t>
      </w:r>
    </w:p>
  </w:footnote>
  <w:footnote w:id="18">
    <w:p w14:paraId="7FC70BB7" w14:textId="74802A23" w:rsidR="00AE33C3" w:rsidRDefault="00AE33C3">
      <w:pPr>
        <w:pStyle w:val="FootnoteText"/>
      </w:pPr>
      <w:r>
        <w:rPr>
          <w:rStyle w:val="FootnoteReference"/>
        </w:rPr>
        <w:footnoteRef/>
      </w:r>
      <w:r>
        <w:t xml:space="preserve"> Business Law Section of the Law Council of Australia submission, 19 April 2021, </w:t>
      </w:r>
      <w:r w:rsidR="00461ECA">
        <w:t>p</w:t>
      </w:r>
      <w:r w:rsidR="00D57C97">
        <w:t xml:space="preserve"> </w:t>
      </w:r>
      <w:r w:rsidR="00461ECA">
        <w:t>11</w:t>
      </w:r>
      <w:r>
        <w:t>.</w:t>
      </w:r>
    </w:p>
  </w:footnote>
  <w:footnote w:id="19">
    <w:p w14:paraId="63F90B0C" w14:textId="747D0B74" w:rsidR="00AE33C3" w:rsidRDefault="00AE33C3" w:rsidP="003D1DC6">
      <w:pPr>
        <w:pStyle w:val="FootnoteText"/>
      </w:pPr>
      <w:r>
        <w:rPr>
          <w:rStyle w:val="FootnoteReference"/>
        </w:rPr>
        <w:footnoteRef/>
      </w:r>
      <w:r>
        <w:t xml:space="preserve"> The option would not affect the timeframe for making applications to the Tribunal seeking review of declaration and arbitration decisions, which is 21 days after the Minister’s decision (s44K) or ACCC decision (s44KP).</w:t>
      </w:r>
    </w:p>
  </w:footnote>
  <w:footnote w:id="20">
    <w:p w14:paraId="16E155FB" w14:textId="2D50967D" w:rsidR="00AE33C3" w:rsidRDefault="00AE33C3">
      <w:pPr>
        <w:pStyle w:val="FootnoteText"/>
      </w:pPr>
      <w:r>
        <w:rPr>
          <w:rStyle w:val="FootnoteReference"/>
        </w:rPr>
        <w:footnoteRef/>
      </w:r>
      <w:r>
        <w:t xml:space="preserve"> Section 44CA(1), CCA.</w:t>
      </w:r>
    </w:p>
  </w:footnote>
  <w:footnote w:id="21">
    <w:p w14:paraId="690D41B7" w14:textId="45842DCB" w:rsidR="00AE33C3" w:rsidRDefault="00AE33C3">
      <w:pPr>
        <w:pStyle w:val="FootnoteText"/>
      </w:pPr>
      <w:r>
        <w:rPr>
          <w:rStyle w:val="FootnoteReference"/>
        </w:rPr>
        <w:footnoteRef/>
      </w:r>
      <w:r>
        <w:t xml:space="preserve"> Section 44CA(3), CCA.</w:t>
      </w:r>
    </w:p>
  </w:footnote>
  <w:footnote w:id="22">
    <w:p w14:paraId="2E3E1661" w14:textId="1D474F58" w:rsidR="00AE33C3" w:rsidRDefault="00AE33C3">
      <w:pPr>
        <w:pStyle w:val="FootnoteText"/>
      </w:pPr>
      <w:r>
        <w:rPr>
          <w:rStyle w:val="FootnoteReference"/>
        </w:rPr>
        <w:footnoteRef/>
      </w:r>
      <w:r>
        <w:t xml:space="preserve"> Hilmer Report, 1993, </w:t>
      </w:r>
      <w:r w:rsidR="00461ECA">
        <w:t>p</w:t>
      </w:r>
      <w:r w:rsidR="00D57C97">
        <w:t xml:space="preserve"> </w:t>
      </w:r>
      <w:r w:rsidR="00461ECA">
        <w:t>250</w:t>
      </w:r>
      <w:r>
        <w:t>.</w:t>
      </w:r>
    </w:p>
  </w:footnote>
  <w:footnote w:id="23">
    <w:p w14:paraId="7D57D471" w14:textId="77777777" w:rsidR="00AE33C3" w:rsidRDefault="00AE33C3">
      <w:pPr>
        <w:pStyle w:val="FootnoteText"/>
      </w:pPr>
      <w:r>
        <w:rPr>
          <w:rStyle w:val="FootnoteReference"/>
        </w:rPr>
        <w:footnoteRef/>
      </w:r>
      <w:r>
        <w:t xml:space="preserve"> Glencore submission, 19 April 2021, p 10.</w:t>
      </w:r>
    </w:p>
  </w:footnote>
  <w:footnote w:id="24">
    <w:p w14:paraId="37CF8CCE" w14:textId="549F9ADE" w:rsidR="00AE33C3" w:rsidRDefault="00AE33C3">
      <w:pPr>
        <w:pStyle w:val="FootnoteText"/>
      </w:pPr>
      <w:r>
        <w:rPr>
          <w:rStyle w:val="FootnoteReference"/>
        </w:rPr>
        <w:footnoteRef/>
      </w:r>
      <w:r>
        <w:t xml:space="preserve"> Business Law Section of the Law Council of Australia submission, 19 April 2021, p. 12.</w:t>
      </w:r>
    </w:p>
  </w:footnote>
  <w:footnote w:id="25">
    <w:p w14:paraId="23E6379A" w14:textId="0BDBC8A3" w:rsidR="00AE33C3" w:rsidRDefault="00AE33C3">
      <w:pPr>
        <w:pStyle w:val="FootnoteText"/>
      </w:pPr>
      <w:r>
        <w:rPr>
          <w:rStyle w:val="FootnoteReference"/>
        </w:rPr>
        <w:footnoteRef/>
      </w:r>
      <w:r>
        <w:t xml:space="preserve"> NCC submission, 19 April 2021, p 4.</w:t>
      </w:r>
    </w:p>
  </w:footnote>
  <w:footnote w:id="26">
    <w:p w14:paraId="62803C9E" w14:textId="09ACBF2E" w:rsidR="00AE33C3" w:rsidRDefault="00AE33C3">
      <w:pPr>
        <w:pStyle w:val="FootnoteText"/>
      </w:pPr>
      <w:r>
        <w:rPr>
          <w:rStyle w:val="FootnoteReference"/>
        </w:rPr>
        <w:footnoteRef/>
      </w:r>
      <w:r>
        <w:t xml:space="preserve"> NSW Minerals Council submission, 19 April 2021, p 6.</w:t>
      </w:r>
    </w:p>
  </w:footnote>
  <w:footnote w:id="27">
    <w:p w14:paraId="440F98D5" w14:textId="451E7AA4" w:rsidR="00AE33C3" w:rsidRDefault="00AE33C3" w:rsidP="005E4E30">
      <w:pPr>
        <w:pStyle w:val="FootnoteText"/>
      </w:pPr>
      <w:r>
        <w:rPr>
          <w:rStyle w:val="FootnoteReference"/>
        </w:rPr>
        <w:footnoteRef/>
      </w:r>
      <w:r>
        <w:t xml:space="preserve"> Port of Newcastle submission, 19 April 2021, p 4.</w:t>
      </w:r>
    </w:p>
  </w:footnote>
  <w:footnote w:id="28">
    <w:p w14:paraId="68595F96" w14:textId="22AE0049" w:rsidR="00AE33C3" w:rsidRDefault="00AE33C3">
      <w:pPr>
        <w:pStyle w:val="FootnoteText"/>
      </w:pPr>
      <w:r>
        <w:rPr>
          <w:rStyle w:val="FootnoteReference"/>
        </w:rPr>
        <w:footnoteRef/>
      </w:r>
      <w:r>
        <w:t xml:space="preserve"> Glencore submission, 19 April 2021, p 10.</w:t>
      </w:r>
    </w:p>
  </w:footnote>
  <w:footnote w:id="29">
    <w:p w14:paraId="29666AF1" w14:textId="121B27C2" w:rsidR="00AE33C3" w:rsidRDefault="00AE33C3">
      <w:pPr>
        <w:pStyle w:val="FootnoteText"/>
      </w:pPr>
      <w:r>
        <w:rPr>
          <w:rStyle w:val="FootnoteReference"/>
        </w:rPr>
        <w:footnoteRef/>
      </w:r>
      <w:r>
        <w:t xml:space="preserve"> Section 44F(1) and (1A). Section 44J provides that the NCC may recommend to the designated Minister that a declaration be revoked. It does not currently provide for parties to apply to the NCC seeking revocation.</w:t>
      </w:r>
    </w:p>
  </w:footnote>
  <w:footnote w:id="30">
    <w:p w14:paraId="37284135" w14:textId="641493FE" w:rsidR="00AE33C3" w:rsidRDefault="00AE33C3">
      <w:pPr>
        <w:pStyle w:val="FootnoteText"/>
      </w:pPr>
      <w:r>
        <w:rPr>
          <w:rStyle w:val="FootnoteReference"/>
        </w:rPr>
        <w:footnoteRef/>
      </w:r>
      <w:r>
        <w:t xml:space="preserve"> Australian Airports Association submission, 21 April 2021, p 2.</w:t>
      </w:r>
    </w:p>
  </w:footnote>
  <w:footnote w:id="31">
    <w:p w14:paraId="2EFD90AB" w14:textId="6EBC149A" w:rsidR="00AE33C3" w:rsidRDefault="00AE33C3">
      <w:pPr>
        <w:pStyle w:val="FootnoteText"/>
      </w:pPr>
      <w:r>
        <w:rPr>
          <w:rStyle w:val="FootnoteReference"/>
        </w:rPr>
        <w:footnoteRef/>
      </w:r>
      <w:r>
        <w:t xml:space="preserve"> Business Law Section, Law Council of Australia submission, 19 April 2021, p 7.</w:t>
      </w:r>
    </w:p>
  </w:footnote>
  <w:footnote w:id="32">
    <w:p w14:paraId="7E8753C8" w14:textId="664CD5A8" w:rsidR="00AE33C3" w:rsidRDefault="00AE33C3">
      <w:pPr>
        <w:pStyle w:val="FootnoteText"/>
      </w:pPr>
      <w:r>
        <w:rPr>
          <w:rStyle w:val="FootnoteReference"/>
        </w:rPr>
        <w:footnoteRef/>
      </w:r>
      <w:r>
        <w:t xml:space="preserve"> Australian Airports Association submission, 21 April 2021, p 2.</w:t>
      </w:r>
    </w:p>
  </w:footnote>
  <w:footnote w:id="33">
    <w:p w14:paraId="29BC3841" w14:textId="08EF216E" w:rsidR="00AE33C3" w:rsidRDefault="00AE33C3">
      <w:pPr>
        <w:pStyle w:val="FootnoteText"/>
      </w:pPr>
      <w:r>
        <w:rPr>
          <w:rStyle w:val="FootnoteReference"/>
        </w:rPr>
        <w:footnoteRef/>
      </w:r>
      <w:r>
        <w:t xml:space="preserve"> Glencore submission, 19 April 2021, p 15.</w:t>
      </w:r>
    </w:p>
  </w:footnote>
  <w:footnote w:id="34">
    <w:p w14:paraId="7DBF9839" w14:textId="77777777" w:rsidR="00AE33C3" w:rsidRDefault="00AE33C3" w:rsidP="009D2B43">
      <w:pPr>
        <w:pStyle w:val="FootnoteText"/>
      </w:pPr>
      <w:r>
        <w:rPr>
          <w:rStyle w:val="FootnoteReference"/>
        </w:rPr>
        <w:footnoteRef/>
      </w:r>
      <w:r>
        <w:t xml:space="preserve"> ACCC submission, April 2021, p 5.</w:t>
      </w:r>
    </w:p>
  </w:footnote>
  <w:footnote w:id="35">
    <w:p w14:paraId="71069824" w14:textId="06701102" w:rsidR="00AE33C3" w:rsidRDefault="00AE33C3">
      <w:pPr>
        <w:pStyle w:val="FootnoteText"/>
      </w:pPr>
      <w:r>
        <w:rPr>
          <w:rStyle w:val="FootnoteReference"/>
        </w:rPr>
        <w:footnoteRef/>
      </w:r>
      <w:r>
        <w:t xml:space="preserve"> These criteria are in section 44CA, CCA.</w:t>
      </w:r>
    </w:p>
  </w:footnote>
  <w:footnote w:id="36">
    <w:p w14:paraId="1602D81D" w14:textId="77777777" w:rsidR="00AE33C3" w:rsidRDefault="00AE33C3" w:rsidP="001829A7">
      <w:pPr>
        <w:pStyle w:val="FootnoteText"/>
      </w:pPr>
      <w:r>
        <w:rPr>
          <w:rStyle w:val="FootnoteReference"/>
        </w:rPr>
        <w:footnoteRef/>
      </w:r>
      <w:r>
        <w:t xml:space="preserve"> </w:t>
      </w:r>
      <w:r w:rsidRPr="007E62D0">
        <w:rPr>
          <w:i/>
        </w:rPr>
        <w:t>National Access Regime</w:t>
      </w:r>
      <w:r>
        <w:t>, Productivity Commission Inquiry Report, 25 October 2013, p 211.</w:t>
      </w:r>
    </w:p>
  </w:footnote>
  <w:footnote w:id="37">
    <w:p w14:paraId="06F372A5" w14:textId="5AC347B3" w:rsidR="00AE33C3" w:rsidRDefault="00AE33C3">
      <w:pPr>
        <w:pStyle w:val="FootnoteText"/>
      </w:pPr>
      <w:r>
        <w:rPr>
          <w:rStyle w:val="FootnoteReference"/>
        </w:rPr>
        <w:footnoteRef/>
      </w:r>
      <w:r>
        <w:t xml:space="preserve"> Forms are contained in the Competition and Consumer Regulations 2010.</w:t>
      </w:r>
    </w:p>
  </w:footnote>
  <w:footnote w:id="38">
    <w:p w14:paraId="434FA04A" w14:textId="432EF066" w:rsidR="00AE33C3" w:rsidRDefault="00AE33C3">
      <w:pPr>
        <w:pStyle w:val="FootnoteText"/>
      </w:pPr>
      <w:r>
        <w:rPr>
          <w:rStyle w:val="FootnoteReference"/>
        </w:rPr>
        <w:footnoteRef/>
      </w:r>
      <w:r>
        <w:t xml:space="preserve"> Port of Newcastle submission, 19 April 2021, p 4. </w:t>
      </w:r>
    </w:p>
  </w:footnote>
  <w:footnote w:id="39">
    <w:p w14:paraId="05F5F66B" w14:textId="165EA54F" w:rsidR="00AE33C3" w:rsidRDefault="00AE33C3">
      <w:pPr>
        <w:pStyle w:val="FootnoteText"/>
      </w:pPr>
      <w:r>
        <w:rPr>
          <w:rStyle w:val="FootnoteReference"/>
        </w:rPr>
        <w:footnoteRef/>
      </w:r>
      <w:r>
        <w:t xml:space="preserve"> Sydney Airport submission, 19 April 2021, p 1-2.</w:t>
      </w:r>
    </w:p>
  </w:footnote>
  <w:footnote w:id="40">
    <w:p w14:paraId="5C158CEA" w14:textId="24496B9F" w:rsidR="00AE33C3" w:rsidRDefault="00AE33C3">
      <w:pPr>
        <w:pStyle w:val="FootnoteText"/>
      </w:pPr>
      <w:r>
        <w:rPr>
          <w:rStyle w:val="FootnoteReference"/>
        </w:rPr>
        <w:footnoteRef/>
      </w:r>
      <w:r>
        <w:t xml:space="preserve"> Australian Airports Association submission, 21 April 2021, p 1. </w:t>
      </w:r>
    </w:p>
  </w:footnote>
  <w:footnote w:id="41">
    <w:p w14:paraId="27CD7BD2" w14:textId="6F10C9E4" w:rsidR="00AE33C3" w:rsidRDefault="00AE33C3">
      <w:pPr>
        <w:pStyle w:val="FootnoteText"/>
      </w:pPr>
      <w:r>
        <w:rPr>
          <w:rStyle w:val="FootnoteReference"/>
        </w:rPr>
        <w:footnoteRef/>
      </w:r>
      <w:r>
        <w:t xml:space="preserve"> Glencore submission, 19 April 2021, p 10.</w:t>
      </w:r>
    </w:p>
  </w:footnote>
  <w:footnote w:id="42">
    <w:p w14:paraId="21571042" w14:textId="0A5C3DB6" w:rsidR="00AE33C3" w:rsidRDefault="00AE33C3">
      <w:pPr>
        <w:pStyle w:val="FootnoteText"/>
      </w:pPr>
      <w:r>
        <w:rPr>
          <w:rStyle w:val="FootnoteReference"/>
        </w:rPr>
        <w:footnoteRef/>
      </w:r>
      <w:r>
        <w:t xml:space="preserve"> NSW Minerals Council submission, 19 April 2021, p 5.</w:t>
      </w:r>
    </w:p>
  </w:footnote>
  <w:footnote w:id="43">
    <w:p w14:paraId="78A0D59F" w14:textId="244DC753" w:rsidR="00AE33C3" w:rsidRDefault="00AE33C3">
      <w:pPr>
        <w:pStyle w:val="FootnoteText"/>
      </w:pPr>
      <w:r>
        <w:rPr>
          <w:rStyle w:val="FootnoteReference"/>
        </w:rPr>
        <w:footnoteRef/>
      </w:r>
      <w:r>
        <w:t xml:space="preserve"> Minerals Council of Australia submission, 19 April 2021, p 3. </w:t>
      </w:r>
    </w:p>
  </w:footnote>
  <w:footnote w:id="44">
    <w:p w14:paraId="0CD0F5FB" w14:textId="534EC87D" w:rsidR="00AE33C3" w:rsidRDefault="00AE33C3">
      <w:pPr>
        <w:pStyle w:val="FootnoteText"/>
      </w:pPr>
      <w:r>
        <w:rPr>
          <w:rStyle w:val="FootnoteReference"/>
        </w:rPr>
        <w:footnoteRef/>
      </w:r>
      <w:r>
        <w:t xml:space="preserve"> Business Law Section, Law Council of Australia submission, 19 April 2021, p 11.</w:t>
      </w:r>
    </w:p>
  </w:footnote>
  <w:footnote w:id="45">
    <w:p w14:paraId="70ED2BB2" w14:textId="470B3206" w:rsidR="00AE33C3" w:rsidRDefault="00AE33C3">
      <w:pPr>
        <w:pStyle w:val="FootnoteText"/>
      </w:pPr>
      <w:r>
        <w:rPr>
          <w:rStyle w:val="FootnoteReference"/>
        </w:rPr>
        <w:footnoteRef/>
      </w:r>
      <w:r>
        <w:t xml:space="preserve"> NCC submission, 19 April 2021, p 3. </w:t>
      </w:r>
    </w:p>
  </w:footnote>
  <w:footnote w:id="46">
    <w:p w14:paraId="4C81AF8D" w14:textId="751BA7FD" w:rsidR="00AE33C3" w:rsidRDefault="00AE33C3">
      <w:pPr>
        <w:pStyle w:val="FootnoteText"/>
      </w:pPr>
      <w:r>
        <w:rPr>
          <w:rStyle w:val="FootnoteReference"/>
        </w:rPr>
        <w:footnoteRef/>
      </w:r>
      <w:r>
        <w:t xml:space="preserve"> NCC submission, 19 April 2021, p 4. </w:t>
      </w:r>
    </w:p>
  </w:footnote>
  <w:footnote w:id="47">
    <w:p w14:paraId="5CF19598" w14:textId="0856EFAB" w:rsidR="00AE33C3" w:rsidRDefault="00AE33C3">
      <w:pPr>
        <w:pStyle w:val="FootnoteText"/>
      </w:pPr>
      <w:r>
        <w:rPr>
          <w:rStyle w:val="FootnoteReference"/>
        </w:rPr>
        <w:footnoteRef/>
      </w:r>
      <w:r>
        <w:t xml:space="preserve"> ACCC submission, April 2021, p 2.</w:t>
      </w:r>
    </w:p>
  </w:footnote>
  <w:footnote w:id="48">
    <w:p w14:paraId="47F7E7D8" w14:textId="7A937554" w:rsidR="00AE33C3" w:rsidRDefault="00AE33C3">
      <w:pPr>
        <w:pStyle w:val="FootnoteText"/>
      </w:pPr>
      <w:r>
        <w:rPr>
          <w:rStyle w:val="FootnoteReference"/>
        </w:rPr>
        <w:footnoteRef/>
      </w:r>
      <w:r>
        <w:t xml:space="preserve"> ACCC submission, April 2021, p 2.</w:t>
      </w:r>
    </w:p>
  </w:footnote>
  <w:footnote w:id="49">
    <w:p w14:paraId="3020631A" w14:textId="162A06ED" w:rsidR="00AE33C3" w:rsidRDefault="00AE33C3">
      <w:pPr>
        <w:pStyle w:val="FootnoteText"/>
      </w:pPr>
      <w:r>
        <w:rPr>
          <w:rStyle w:val="FootnoteReference"/>
        </w:rPr>
        <w:footnoteRef/>
      </w:r>
      <w:r>
        <w:t xml:space="preserve"> Port of Newcastle submission, 19 April 2021, p 1 and 5.</w:t>
      </w:r>
    </w:p>
  </w:footnote>
  <w:footnote w:id="50">
    <w:p w14:paraId="0C77682C" w14:textId="2A4EC3D5" w:rsidR="00AE33C3" w:rsidRDefault="00AE33C3">
      <w:pPr>
        <w:pStyle w:val="FootnoteText"/>
      </w:pPr>
      <w:r>
        <w:rPr>
          <w:rStyle w:val="FootnoteReference"/>
        </w:rPr>
        <w:footnoteRef/>
      </w:r>
      <w:r>
        <w:t xml:space="preserve"> Australian Airports Association submission, 21 April 2021, p 1.</w:t>
      </w:r>
    </w:p>
  </w:footnote>
  <w:footnote w:id="51">
    <w:p w14:paraId="0701AF96" w14:textId="7A032669" w:rsidR="00AE33C3" w:rsidRDefault="00AE33C3">
      <w:pPr>
        <w:pStyle w:val="FootnoteText"/>
      </w:pPr>
      <w:r>
        <w:rPr>
          <w:rStyle w:val="FootnoteReference"/>
        </w:rPr>
        <w:footnoteRef/>
      </w:r>
      <w:r>
        <w:t xml:space="preserve"> NSW Minerals Council submission, 19 April 2021, p 5.</w:t>
      </w:r>
    </w:p>
  </w:footnote>
  <w:footnote w:id="52">
    <w:p w14:paraId="633925F7" w14:textId="2FE861E0" w:rsidR="00AE33C3" w:rsidRDefault="00AE33C3">
      <w:pPr>
        <w:pStyle w:val="FootnoteText"/>
      </w:pPr>
      <w:r>
        <w:rPr>
          <w:rStyle w:val="FootnoteReference"/>
        </w:rPr>
        <w:footnoteRef/>
      </w:r>
      <w:r>
        <w:t xml:space="preserve"> Glencore submission, 19 April 2021, p 10.</w:t>
      </w:r>
    </w:p>
  </w:footnote>
  <w:footnote w:id="53">
    <w:p w14:paraId="63791783" w14:textId="63153172" w:rsidR="00AE33C3" w:rsidRDefault="00AE33C3">
      <w:pPr>
        <w:pStyle w:val="FootnoteText"/>
      </w:pPr>
      <w:r>
        <w:rPr>
          <w:rStyle w:val="FootnoteReference"/>
        </w:rPr>
        <w:footnoteRef/>
      </w:r>
      <w:r>
        <w:t xml:space="preserve"> ACCC submission, April 2021, p 4.</w:t>
      </w:r>
    </w:p>
  </w:footnote>
  <w:footnote w:id="54">
    <w:p w14:paraId="464E3275" w14:textId="50F94F8B" w:rsidR="00AE33C3" w:rsidRDefault="00AE33C3">
      <w:pPr>
        <w:pStyle w:val="FootnoteText"/>
      </w:pPr>
      <w:r>
        <w:rPr>
          <w:rStyle w:val="FootnoteReference"/>
        </w:rPr>
        <w:footnoteRef/>
      </w:r>
      <w:r>
        <w:t xml:space="preserve"> NCC submission, 19 April 2021, p 5.</w:t>
      </w:r>
    </w:p>
  </w:footnote>
  <w:footnote w:id="55">
    <w:p w14:paraId="226B6DBF" w14:textId="0A055460" w:rsidR="00AE33C3" w:rsidRDefault="00AE33C3">
      <w:pPr>
        <w:pStyle w:val="FootnoteText"/>
      </w:pPr>
      <w:r>
        <w:rPr>
          <w:rStyle w:val="FootnoteReference"/>
        </w:rPr>
        <w:footnoteRef/>
      </w:r>
      <w:r>
        <w:t xml:space="preserve"> Business Law Section, Law Council of Australia submission, 19 April 2021, p 14.</w:t>
      </w:r>
    </w:p>
  </w:footnote>
  <w:footnote w:id="56">
    <w:p w14:paraId="437A90EE" w14:textId="1A9A63E7" w:rsidR="00AE33C3" w:rsidRDefault="00AE33C3">
      <w:pPr>
        <w:pStyle w:val="FootnoteText"/>
      </w:pPr>
      <w:r>
        <w:rPr>
          <w:rStyle w:val="FootnoteReference"/>
        </w:rPr>
        <w:footnoteRef/>
      </w:r>
      <w:r>
        <w:t xml:space="preserve"> Business Law Section, Law Council of Australia submission, 19 April 2021, p 17.</w:t>
      </w:r>
    </w:p>
  </w:footnote>
  <w:footnote w:id="57">
    <w:p w14:paraId="301DD497" w14:textId="7C2D67EF" w:rsidR="00AE33C3" w:rsidRDefault="00AE33C3">
      <w:pPr>
        <w:pStyle w:val="FootnoteText"/>
      </w:pPr>
      <w:r>
        <w:rPr>
          <w:rStyle w:val="FootnoteReference"/>
        </w:rPr>
        <w:footnoteRef/>
      </w:r>
      <w:r>
        <w:t xml:space="preserve"> Sydney Airport submission, 19 April 2021, p 2.</w:t>
      </w:r>
    </w:p>
  </w:footnote>
  <w:footnote w:id="58">
    <w:p w14:paraId="4CAAD527" w14:textId="55F67D5A" w:rsidR="00AE33C3" w:rsidRDefault="00AE33C3">
      <w:pPr>
        <w:pStyle w:val="FootnoteText"/>
      </w:pPr>
      <w:r>
        <w:rPr>
          <w:rStyle w:val="FootnoteReference"/>
        </w:rPr>
        <w:footnoteRef/>
      </w:r>
      <w:r>
        <w:t xml:space="preserve"> Australian Rail Track Corporation submission, 19 April 2021, p 4.</w:t>
      </w:r>
    </w:p>
  </w:footnote>
  <w:footnote w:id="59">
    <w:p w14:paraId="40850DFC" w14:textId="77777777" w:rsidR="00AE33C3" w:rsidRDefault="00AE33C3" w:rsidP="00AD250E">
      <w:pPr>
        <w:pStyle w:val="FootnoteText"/>
      </w:pPr>
      <w:r>
        <w:rPr>
          <w:rStyle w:val="FootnoteReference"/>
        </w:rPr>
        <w:footnoteRef/>
      </w:r>
      <w:r>
        <w:t xml:space="preserve"> Port of Newcastle submission, 19 April 2021, p 7. </w:t>
      </w:r>
    </w:p>
  </w:footnote>
  <w:footnote w:id="60">
    <w:p w14:paraId="04BDA175" w14:textId="23D8605F" w:rsidR="00AE33C3" w:rsidRDefault="00AE33C3">
      <w:pPr>
        <w:pStyle w:val="FootnoteText"/>
      </w:pPr>
      <w:r>
        <w:rPr>
          <w:rStyle w:val="FootnoteReference"/>
        </w:rPr>
        <w:footnoteRef/>
      </w:r>
      <w:r>
        <w:t xml:space="preserve"> Glencore submission, 19 April 2021, p 10-11; Association of Mining and Exploration Companies submission, p 2.</w:t>
      </w:r>
    </w:p>
  </w:footnote>
  <w:footnote w:id="61">
    <w:p w14:paraId="6BDB941B" w14:textId="774D0DAC" w:rsidR="00AE33C3" w:rsidRDefault="00AE33C3">
      <w:pPr>
        <w:pStyle w:val="FootnoteText"/>
      </w:pPr>
      <w:r>
        <w:rPr>
          <w:rStyle w:val="FootnoteReference"/>
        </w:rPr>
        <w:footnoteRef/>
      </w:r>
      <w:r>
        <w:t xml:space="preserve"> NSW Minerals Council submission, 19 April 2021, p 6.</w:t>
      </w:r>
    </w:p>
  </w:footnote>
  <w:footnote w:id="62">
    <w:p w14:paraId="44EB7B98" w14:textId="1137F388" w:rsidR="00AE33C3" w:rsidRDefault="00AE33C3">
      <w:pPr>
        <w:pStyle w:val="FootnoteText"/>
      </w:pPr>
      <w:r>
        <w:rPr>
          <w:rStyle w:val="FootnoteReference"/>
        </w:rPr>
        <w:footnoteRef/>
      </w:r>
      <w:r>
        <w:t xml:space="preserve"> ACCC submission, April 2021, p 4.</w:t>
      </w:r>
    </w:p>
  </w:footnote>
  <w:footnote w:id="63">
    <w:p w14:paraId="4CA68573" w14:textId="7A23A5AD" w:rsidR="00AE33C3" w:rsidRDefault="00AE33C3">
      <w:pPr>
        <w:pStyle w:val="FootnoteText"/>
      </w:pPr>
      <w:r>
        <w:rPr>
          <w:rStyle w:val="FootnoteReference"/>
        </w:rPr>
        <w:footnoteRef/>
      </w:r>
      <w:r>
        <w:t xml:space="preserve"> Business Law Section, Law Council of Australia submission, 19 April 2021, pp 19, 20, 21.</w:t>
      </w:r>
    </w:p>
  </w:footnote>
  <w:footnote w:id="64">
    <w:p w14:paraId="3A4C4CB6" w14:textId="05F53E58" w:rsidR="00AE33C3" w:rsidRDefault="00AE33C3">
      <w:pPr>
        <w:pStyle w:val="FootnoteText"/>
      </w:pPr>
      <w:r>
        <w:rPr>
          <w:rStyle w:val="FootnoteReference"/>
        </w:rPr>
        <w:footnoteRef/>
      </w:r>
      <w:r>
        <w:t xml:space="preserve"> Port of Newcastle submission, 19 April 2021, p 8.</w:t>
      </w:r>
    </w:p>
  </w:footnote>
  <w:footnote w:id="65">
    <w:p w14:paraId="5E43D6E6" w14:textId="2C6565D9" w:rsidR="00AE33C3" w:rsidRDefault="00AE33C3">
      <w:pPr>
        <w:pStyle w:val="FootnoteText"/>
      </w:pPr>
      <w:r>
        <w:rPr>
          <w:rStyle w:val="FootnoteReference"/>
        </w:rPr>
        <w:footnoteRef/>
      </w:r>
      <w:r>
        <w:t xml:space="preserve"> Australian Airports Association submission, 21 April 2021, p 2.</w:t>
      </w:r>
    </w:p>
  </w:footnote>
  <w:footnote w:id="66">
    <w:p w14:paraId="28DBD2AC" w14:textId="05A3E10F" w:rsidR="00AE33C3" w:rsidRDefault="00AE33C3">
      <w:pPr>
        <w:pStyle w:val="FootnoteText"/>
      </w:pPr>
      <w:r>
        <w:rPr>
          <w:rStyle w:val="FootnoteReference"/>
        </w:rPr>
        <w:footnoteRef/>
      </w:r>
      <w:r>
        <w:t xml:space="preserve"> Glencore submission, 19 April 2021, p 10-11; Association of Mining and Exploration Companies submission, p 11.</w:t>
      </w:r>
    </w:p>
  </w:footnote>
  <w:footnote w:id="67">
    <w:p w14:paraId="64E3F01F" w14:textId="73BCECF6" w:rsidR="00AE33C3" w:rsidRDefault="00AE33C3">
      <w:pPr>
        <w:pStyle w:val="FootnoteText"/>
      </w:pPr>
      <w:r>
        <w:rPr>
          <w:rStyle w:val="FootnoteReference"/>
        </w:rPr>
        <w:footnoteRef/>
      </w:r>
      <w:r>
        <w:t xml:space="preserve"> NSW Minerals Council submission, 19 April 2021, p 6.</w:t>
      </w:r>
    </w:p>
  </w:footnote>
  <w:footnote w:id="68">
    <w:p w14:paraId="795C4FE9" w14:textId="50040EC5" w:rsidR="00AE33C3" w:rsidRDefault="00AE33C3">
      <w:pPr>
        <w:pStyle w:val="FootnoteText"/>
      </w:pPr>
      <w:r>
        <w:rPr>
          <w:rStyle w:val="FootnoteReference"/>
        </w:rPr>
        <w:footnoteRef/>
      </w:r>
      <w:r>
        <w:t xml:space="preserve"> Minerals Council of Australia submission, 19 April 2021, p 3. </w:t>
      </w:r>
    </w:p>
  </w:footnote>
  <w:footnote w:id="69">
    <w:p w14:paraId="14C37BB6" w14:textId="78054F2B" w:rsidR="00AE33C3" w:rsidRDefault="00AE33C3">
      <w:pPr>
        <w:pStyle w:val="FootnoteText"/>
      </w:pPr>
      <w:r>
        <w:rPr>
          <w:rStyle w:val="FootnoteReference"/>
        </w:rPr>
        <w:footnoteRef/>
      </w:r>
      <w:r>
        <w:t xml:space="preserve"> NCC submission, 19 April 2021, p 5. </w:t>
      </w:r>
    </w:p>
  </w:footnote>
  <w:footnote w:id="70">
    <w:p w14:paraId="59D91C85" w14:textId="3A3C06D9" w:rsidR="00AE33C3" w:rsidRDefault="00AE33C3">
      <w:pPr>
        <w:pStyle w:val="FootnoteText"/>
      </w:pPr>
      <w:r>
        <w:rPr>
          <w:rStyle w:val="FootnoteReference"/>
        </w:rPr>
        <w:footnoteRef/>
      </w:r>
      <w:r>
        <w:t xml:space="preserve"> Business Law Section, Law Council of Australia submission, 19 April 2021, p 21.</w:t>
      </w:r>
    </w:p>
  </w:footnote>
  <w:footnote w:id="71">
    <w:p w14:paraId="017215C4" w14:textId="078CF677" w:rsidR="00AE33C3" w:rsidRDefault="00AE33C3">
      <w:pPr>
        <w:pStyle w:val="FootnoteText"/>
      </w:pPr>
      <w:r>
        <w:rPr>
          <w:rStyle w:val="FootnoteReference"/>
        </w:rPr>
        <w:footnoteRef/>
      </w:r>
      <w:r>
        <w:t xml:space="preserve"> ACCC submission, April 2021, p 4. </w:t>
      </w:r>
    </w:p>
  </w:footnote>
  <w:footnote w:id="72">
    <w:p w14:paraId="184DD252" w14:textId="07A07515" w:rsidR="00AE33C3" w:rsidRDefault="00AE33C3">
      <w:pPr>
        <w:pStyle w:val="FootnoteText"/>
      </w:pPr>
      <w:r>
        <w:rPr>
          <w:rStyle w:val="FootnoteReference"/>
        </w:rPr>
        <w:footnoteRef/>
      </w:r>
      <w:r>
        <w:t xml:space="preserve"> Port of Newcastle submission, 19 April 2021, p 9.</w:t>
      </w:r>
    </w:p>
  </w:footnote>
  <w:footnote w:id="73">
    <w:p w14:paraId="7D2234E4" w14:textId="5FAC608E" w:rsidR="00AE33C3" w:rsidRDefault="00AE33C3">
      <w:pPr>
        <w:pStyle w:val="FootnoteText"/>
      </w:pPr>
      <w:r>
        <w:rPr>
          <w:rStyle w:val="FootnoteReference"/>
        </w:rPr>
        <w:footnoteRef/>
      </w:r>
      <w:r>
        <w:t xml:space="preserve"> Sydney Airport submission, 19 April 2021, p 3.</w:t>
      </w:r>
    </w:p>
  </w:footnote>
  <w:footnote w:id="74">
    <w:p w14:paraId="11A178C8" w14:textId="77A45F15" w:rsidR="00AE33C3" w:rsidRDefault="00AE33C3">
      <w:pPr>
        <w:pStyle w:val="FootnoteText"/>
      </w:pPr>
      <w:r>
        <w:rPr>
          <w:rStyle w:val="FootnoteReference"/>
        </w:rPr>
        <w:footnoteRef/>
      </w:r>
      <w:r>
        <w:t xml:space="preserve"> Australian Airports Association submission, 19 April 2021, p 2.</w:t>
      </w:r>
    </w:p>
  </w:footnote>
  <w:footnote w:id="75">
    <w:p w14:paraId="44D860EE" w14:textId="013DFF2E" w:rsidR="00AE33C3" w:rsidRDefault="00AE33C3">
      <w:pPr>
        <w:pStyle w:val="FootnoteText"/>
      </w:pPr>
      <w:r>
        <w:rPr>
          <w:rStyle w:val="FootnoteReference"/>
        </w:rPr>
        <w:footnoteRef/>
      </w:r>
      <w:r>
        <w:t xml:space="preserve"> Glencore submission, 19 April 2021, p 12. </w:t>
      </w:r>
    </w:p>
  </w:footnote>
  <w:footnote w:id="76">
    <w:p w14:paraId="02EAFEDE" w14:textId="5B05A2D9" w:rsidR="00AE33C3" w:rsidRDefault="00AE33C3">
      <w:pPr>
        <w:pStyle w:val="FootnoteText"/>
      </w:pPr>
      <w:r>
        <w:rPr>
          <w:rStyle w:val="FootnoteReference"/>
        </w:rPr>
        <w:footnoteRef/>
      </w:r>
      <w:r>
        <w:t xml:space="preserve"> NSW Minerals Council submission, 19 April 2021, p 8. </w:t>
      </w:r>
    </w:p>
  </w:footnote>
  <w:footnote w:id="77">
    <w:p w14:paraId="7ADABAE9" w14:textId="43DFDD6E" w:rsidR="00AE33C3" w:rsidRDefault="00AE33C3">
      <w:pPr>
        <w:pStyle w:val="FootnoteText"/>
      </w:pPr>
      <w:r>
        <w:rPr>
          <w:rStyle w:val="FootnoteReference"/>
        </w:rPr>
        <w:footnoteRef/>
      </w:r>
      <w:r>
        <w:t xml:space="preserve"> ACCC submission, April 2021, p 5.</w:t>
      </w:r>
    </w:p>
  </w:footnote>
  <w:footnote w:id="78">
    <w:p w14:paraId="17DAAF56" w14:textId="14E06FCA" w:rsidR="00AE33C3" w:rsidRDefault="00AE33C3">
      <w:pPr>
        <w:pStyle w:val="FootnoteText"/>
      </w:pPr>
      <w:r>
        <w:rPr>
          <w:rStyle w:val="FootnoteReference"/>
        </w:rPr>
        <w:footnoteRef/>
      </w:r>
      <w:r>
        <w:t xml:space="preserve"> NCC submission, 19 April 2021, p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A02A" w14:textId="14ECC648" w:rsidR="00AE33C3" w:rsidRDefault="00AE33C3">
    <w:pPr>
      <w:pStyle w:val="Header"/>
    </w:pPr>
    <w:r>
      <w:rPr>
        <w:noProof/>
        <w:lang w:eastAsia="en-AU"/>
      </w:rPr>
      <mc:AlternateContent>
        <mc:Choice Requires="wps">
          <w:drawing>
            <wp:anchor distT="0" distB="0" distL="114300" distR="114300" simplePos="0" relativeHeight="251658241" behindDoc="0" locked="1" layoutInCell="0" allowOverlap="1" wp14:anchorId="5A7F7812" wp14:editId="1EB5BAE8">
              <wp:simplePos x="0" y="0"/>
              <wp:positionH relativeFrom="margin">
                <wp:align>center</wp:align>
              </wp:positionH>
              <wp:positionV relativeFrom="bottomMargin">
                <wp:align>bottom</wp:align>
              </wp:positionV>
              <wp:extent cx="1129665" cy="426085"/>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112966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C09CF" w14:textId="012D5A79" w:rsidR="00AE33C3" w:rsidRPr="005B67B7" w:rsidRDefault="00AE33C3" w:rsidP="005B67B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7F7812" id="_x0000_t202" coordsize="21600,21600" o:spt="202" path="m,l,21600r21600,l21600,xe">
              <v:stroke joinstyle="miter"/>
              <v:path gradientshapeok="t" o:connecttype="rect"/>
            </v:shapetype>
            <v:shape id="janusSEAL SC Footer" o:spid="_x0000_s1026" type="#_x0000_t202" style="position:absolute;margin-left:0;margin-top:0;width:88.95pt;height:33.55pt;z-index:251658241;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" o:allowincell="f" filled="f" stroked="f" strokeweight=".5pt">
              <v:textbox style="mso-fit-shape-to-text:t">
                <w:txbxContent>
                  <w:p w14:paraId="064C09CF" w14:textId="012D5A79" w:rsidR="00AE33C3" w:rsidRPr="005B67B7" w:rsidRDefault="00AE33C3" w:rsidP="005B67B7">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0DF47EA0" wp14:editId="416A515F">
              <wp:simplePos x="0" y="0"/>
              <wp:positionH relativeFrom="margin">
                <wp:align>center</wp:align>
              </wp:positionH>
              <wp:positionV relativeFrom="topMargin">
                <wp:posOffset>101600</wp:posOffset>
              </wp:positionV>
              <wp:extent cx="1129665" cy="42608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12966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A3E76" w14:textId="43F48F60" w:rsidR="00AE33C3" w:rsidRPr="005B67B7" w:rsidRDefault="00AE33C3" w:rsidP="005B67B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F47EA0" id="janusSEAL SC Header" o:spid="_x0000_s1027" type="#_x0000_t202" style="position:absolute;margin-left:0;margin-top:8pt;width:88.95pt;height:33.55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" o:allowincell="f" filled="f" stroked="f" strokeweight=".5pt">
              <v:textbox style="mso-fit-shape-to-text:t">
                <w:txbxContent>
                  <w:p w14:paraId="078A3E76" w14:textId="43F48F60" w:rsidR="00AE33C3" w:rsidRPr="005B67B7" w:rsidRDefault="00AE33C3" w:rsidP="005B67B7">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B0"/>
    <w:multiLevelType w:val="hybridMultilevel"/>
    <w:tmpl w:val="0A26C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A7A0FD1"/>
    <w:multiLevelType w:val="hybridMultilevel"/>
    <w:tmpl w:val="051A1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A47BD"/>
    <w:multiLevelType w:val="multilevel"/>
    <w:tmpl w:val="B6E6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E6E71"/>
    <w:multiLevelType w:val="multilevel"/>
    <w:tmpl w:val="6EC0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902B5"/>
    <w:multiLevelType w:val="multilevel"/>
    <w:tmpl w:val="05E80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B4179A"/>
    <w:multiLevelType w:val="hybridMultilevel"/>
    <w:tmpl w:val="0FD832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lvl>
    <w:lvl w:ilvl="5">
      <w:start w:val="1"/>
      <w:numFmt w:val="none"/>
      <w:lvlText w:val=""/>
      <w:lvlJc w:val="left"/>
      <w:pPr>
        <w:tabs>
          <w:tab w:val="num" w:pos="1701"/>
        </w:tabs>
        <w:ind w:left="1701" w:hanging="281"/>
      </w:pPr>
    </w:lvl>
    <w:lvl w:ilvl="6">
      <w:start w:val="1"/>
      <w:numFmt w:val="none"/>
      <w:lvlText w:val=""/>
      <w:lvlJc w:val="left"/>
      <w:pPr>
        <w:tabs>
          <w:tab w:val="num" w:pos="1985"/>
        </w:tabs>
        <w:ind w:left="1985" w:hanging="281"/>
      </w:pPr>
    </w:lvl>
    <w:lvl w:ilvl="7">
      <w:start w:val="1"/>
      <w:numFmt w:val="none"/>
      <w:lvlText w:val=""/>
      <w:lvlJc w:val="left"/>
      <w:pPr>
        <w:tabs>
          <w:tab w:val="num" w:pos="2268"/>
        </w:tabs>
        <w:ind w:left="2268" w:hanging="280"/>
      </w:pPr>
    </w:lvl>
    <w:lvl w:ilvl="8">
      <w:start w:val="1"/>
      <w:numFmt w:val="none"/>
      <w:lvlRestart w:val="0"/>
      <w:lvlText w:val=""/>
      <w:lvlJc w:val="left"/>
      <w:pPr>
        <w:tabs>
          <w:tab w:val="num" w:pos="2552"/>
        </w:tabs>
        <w:ind w:left="2552" w:hanging="280"/>
      </w:pPr>
    </w:lvl>
  </w:abstractNum>
  <w:abstractNum w:abstractNumId="8" w15:restartNumberingAfterBreak="0">
    <w:nsid w:val="20686588"/>
    <w:multiLevelType w:val="hybridMultilevel"/>
    <w:tmpl w:val="4C6AD5A4"/>
    <w:lvl w:ilvl="0" w:tplc="F2460814">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02D19"/>
    <w:multiLevelType w:val="multilevel"/>
    <w:tmpl w:val="17D46268"/>
    <w:lvl w:ilvl="0">
      <w:start w:val="1"/>
      <w:numFmt w:val="decimal"/>
      <w:lvlText w:val="%1."/>
      <w:lvlJc w:val="left"/>
      <w:pPr>
        <w:tabs>
          <w:tab w:val="num" w:pos="1240"/>
        </w:tabs>
        <w:ind w:left="1240" w:hanging="520"/>
      </w:p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34951A5"/>
    <w:multiLevelType w:val="multilevel"/>
    <w:tmpl w:val="D522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46E0B"/>
    <w:multiLevelType w:val="multilevel"/>
    <w:tmpl w:val="E902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726B5"/>
    <w:multiLevelType w:val="multilevel"/>
    <w:tmpl w:val="43DC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3660C"/>
    <w:multiLevelType w:val="hybridMultilevel"/>
    <w:tmpl w:val="708E5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64E3C"/>
    <w:multiLevelType w:val="multilevel"/>
    <w:tmpl w:val="2FA6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1804B5D"/>
    <w:multiLevelType w:val="hybridMultilevel"/>
    <w:tmpl w:val="F1AAB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82C10"/>
    <w:multiLevelType w:val="hybridMultilevel"/>
    <w:tmpl w:val="0BC03878"/>
    <w:lvl w:ilvl="0" w:tplc="313C352A">
      <w:start w:val="4"/>
      <w:numFmt w:val="bulle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37E749BA"/>
    <w:multiLevelType w:val="hybridMultilevel"/>
    <w:tmpl w:val="52C4C4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DCA2FC0"/>
    <w:multiLevelType w:val="hybridMultilevel"/>
    <w:tmpl w:val="DE6C8722"/>
    <w:lvl w:ilvl="0" w:tplc="0C090001">
      <w:start w:val="1"/>
      <w:numFmt w:val="bullet"/>
      <w:lvlText w:val=""/>
      <w:lvlJc w:val="left"/>
      <w:pPr>
        <w:ind w:left="1080" w:hanging="360"/>
      </w:pPr>
      <w:rPr>
        <w:rFonts w:ascii="Symbol" w:hAnsi="Symbol" w:hint="default"/>
      </w:rPr>
    </w:lvl>
    <w:lvl w:ilvl="1" w:tplc="B6CE925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0FF3333"/>
    <w:multiLevelType w:val="hybridMultilevel"/>
    <w:tmpl w:val="B846D1BC"/>
    <w:lvl w:ilvl="0" w:tplc="1C403A88">
      <w:start w:val="1"/>
      <w:numFmt w:val="bullet"/>
      <w:lvlText w:val="­"/>
      <w:lvlJc w:val="left"/>
      <w:pPr>
        <w:ind w:left="1021" w:hanging="360"/>
      </w:pPr>
      <w:rPr>
        <w:rFonts w:ascii="Courier New" w:hAnsi="Courier New" w:hint="default"/>
      </w:rPr>
    </w:lvl>
    <w:lvl w:ilvl="1" w:tplc="0C090003">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2" w15:restartNumberingAfterBreak="0">
    <w:nsid w:val="45FD3C35"/>
    <w:multiLevelType w:val="hybridMultilevel"/>
    <w:tmpl w:val="E45A0B6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719507F"/>
    <w:multiLevelType w:val="multilevel"/>
    <w:tmpl w:val="B3F66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301FF"/>
    <w:multiLevelType w:val="hybridMultilevel"/>
    <w:tmpl w:val="9D1A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6332A"/>
    <w:multiLevelType w:val="multilevel"/>
    <w:tmpl w:val="3F54D816"/>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9D687B"/>
    <w:multiLevelType w:val="hybridMultilevel"/>
    <w:tmpl w:val="86781578"/>
    <w:lvl w:ilvl="0" w:tplc="3A924E7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426AE"/>
    <w:multiLevelType w:val="hybridMultilevel"/>
    <w:tmpl w:val="15F4BA5A"/>
    <w:lvl w:ilvl="0" w:tplc="69AA37D8">
      <w:start w:val="1"/>
      <w:numFmt w:val="bullet"/>
      <w:lvlText w:val=""/>
      <w:lvlJc w:val="left"/>
      <w:pPr>
        <w:ind w:left="720" w:hanging="360"/>
      </w:pPr>
      <w:rPr>
        <w:rFonts w:ascii="Symbol" w:hAnsi="Symbol" w:hint="default"/>
      </w:rPr>
    </w:lvl>
    <w:lvl w:ilvl="1" w:tplc="B6CE92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0F1254"/>
    <w:multiLevelType w:val="multilevel"/>
    <w:tmpl w:val="A862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71BB0"/>
    <w:multiLevelType w:val="hybridMultilevel"/>
    <w:tmpl w:val="EEB086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496768"/>
    <w:multiLevelType w:val="hybridMultilevel"/>
    <w:tmpl w:val="678832B0"/>
    <w:lvl w:ilvl="0" w:tplc="D234B3CA">
      <w:start w:val="1"/>
      <w:numFmt w:val="bullet"/>
      <w:pStyle w:val="Bulletpoint"/>
      <w:lvlText w:val=""/>
      <w:lvlJc w:val="left"/>
      <w:pPr>
        <w:ind w:left="1020" w:hanging="360"/>
      </w:pPr>
      <w:rPr>
        <w:rFonts w:ascii="Symbol" w:hAnsi="Symbol" w:hint="default"/>
      </w:rPr>
    </w:lvl>
    <w:lvl w:ilvl="1" w:tplc="0C090003">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31" w15:restartNumberingAfterBreak="0">
    <w:nsid w:val="71465A49"/>
    <w:multiLevelType w:val="hybridMultilevel"/>
    <w:tmpl w:val="DF902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2BA080A"/>
    <w:multiLevelType w:val="hybridMultilevel"/>
    <w:tmpl w:val="236A1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2D04B7"/>
    <w:multiLevelType w:val="multilevel"/>
    <w:tmpl w:val="0E94C86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3A22F3"/>
    <w:multiLevelType w:val="hybridMultilevel"/>
    <w:tmpl w:val="2370D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B16110"/>
    <w:multiLevelType w:val="multilevel"/>
    <w:tmpl w:val="9CC6073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sz w:val="22"/>
        <w:szCs w:val="22"/>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8B71B0"/>
    <w:multiLevelType w:val="hybridMultilevel"/>
    <w:tmpl w:val="9ED60DC2"/>
    <w:lvl w:ilvl="0" w:tplc="5BEAB9E2">
      <w:start w:val="29"/>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9"/>
  </w:num>
  <w:num w:numId="3">
    <w:abstractNumId w:val="7"/>
  </w:num>
  <w:num w:numId="4">
    <w:abstractNumId w:val="15"/>
  </w:num>
  <w:num w:numId="5">
    <w:abstractNumId w:val="20"/>
  </w:num>
  <w:num w:numId="6">
    <w:abstractNumId w:val="31"/>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6"/>
  </w:num>
  <w:num w:numId="10">
    <w:abstractNumId w:val="34"/>
  </w:num>
  <w:num w:numId="11">
    <w:abstractNumId w:val="24"/>
  </w:num>
  <w:num w:numId="12">
    <w:abstractNumId w:val="13"/>
  </w:num>
  <w:num w:numId="13">
    <w:abstractNumId w:val="32"/>
  </w:num>
  <w:num w:numId="14">
    <w:abstractNumId w:val="36"/>
  </w:num>
  <w:num w:numId="15">
    <w:abstractNumId w:val="16"/>
  </w:num>
  <w:num w:numId="16">
    <w:abstractNumId w:val="1"/>
  </w:num>
  <w:num w:numId="17">
    <w:abstractNumId w:val="10"/>
    <w:lvlOverride w:ilvl="0">
      <w:startOverride w:val="1"/>
    </w:lvlOverride>
  </w:num>
  <w:num w:numId="18">
    <w:abstractNumId w:val="28"/>
    <w:lvlOverride w:ilvl="0">
      <w:startOverride w:val="2"/>
    </w:lvlOverride>
  </w:num>
  <w:num w:numId="19">
    <w:abstractNumId w:val="23"/>
    <w:lvlOverride w:ilvl="0">
      <w:startOverride w:val="3"/>
    </w:lvlOverride>
  </w:num>
  <w:num w:numId="20">
    <w:abstractNumId w:val="3"/>
    <w:lvlOverride w:ilvl="0">
      <w:startOverride w:val="4"/>
    </w:lvlOverride>
  </w:num>
  <w:num w:numId="21">
    <w:abstractNumId w:val="12"/>
    <w:lvlOverride w:ilvl="0">
      <w:startOverride w:val="5"/>
    </w:lvlOverride>
  </w:num>
  <w:num w:numId="22">
    <w:abstractNumId w:val="14"/>
    <w:lvlOverride w:ilvl="0">
      <w:startOverride w:val="6"/>
    </w:lvlOverride>
  </w:num>
  <w:num w:numId="23">
    <w:abstractNumId w:val="4"/>
    <w:lvlOverride w:ilvl="0">
      <w:startOverride w:val="7"/>
    </w:lvlOverride>
  </w:num>
  <w:num w:numId="24">
    <w:abstractNumId w:val="11"/>
    <w:lvlOverride w:ilvl="0">
      <w:startOverride w:val="8"/>
    </w:lvlOverride>
  </w:num>
  <w:num w:numId="25">
    <w:abstractNumId w:val="5"/>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5"/>
  </w:num>
  <w:num w:numId="38">
    <w:abstractNumId w:val="35"/>
  </w:num>
  <w:num w:numId="39">
    <w:abstractNumId w:val="35"/>
  </w:num>
  <w:num w:numId="40">
    <w:abstractNumId w:val="35"/>
  </w:num>
  <w:num w:numId="41">
    <w:abstractNumId w:val="30"/>
  </w:num>
  <w:num w:numId="42">
    <w:abstractNumId w:val="27"/>
  </w:num>
  <w:num w:numId="43">
    <w:abstractNumId w:val="21"/>
  </w:num>
  <w:num w:numId="44">
    <w:abstractNumId w:val="30"/>
  </w:num>
  <w:num w:numId="45">
    <w:abstractNumId w:val="21"/>
  </w:num>
  <w:num w:numId="46">
    <w:abstractNumId w:val="21"/>
  </w:num>
  <w:num w:numId="47">
    <w:abstractNumId w:val="18"/>
  </w:num>
  <w:num w:numId="48">
    <w:abstractNumId w:val="8"/>
  </w:num>
  <w:num w:numId="49">
    <w:abstractNumId w:val="19"/>
  </w:num>
  <w:num w:numId="50">
    <w:abstractNumId w:val="0"/>
  </w:num>
  <w:num w:numId="51">
    <w:abstractNumId w:val="29"/>
  </w:num>
  <w:num w:numId="52">
    <w:abstractNumId w:val="22"/>
  </w:num>
  <w:num w:numId="53">
    <w:abstractNumId w:val="17"/>
  </w:num>
  <w:num w:numId="54">
    <w:abstractNumId w:val="30"/>
  </w:num>
  <w:num w:numId="55">
    <w:abstractNumId w:val="30"/>
  </w:num>
  <w:num w:numId="56">
    <w:abstractNumId w:val="35"/>
  </w:num>
  <w:num w:numId="57">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97"/>
    <w:rsid w:val="00000BD6"/>
    <w:rsid w:val="00000DF8"/>
    <w:rsid w:val="000013F0"/>
    <w:rsid w:val="00001680"/>
    <w:rsid w:val="000024FF"/>
    <w:rsid w:val="00002A34"/>
    <w:rsid w:val="000030A3"/>
    <w:rsid w:val="00003663"/>
    <w:rsid w:val="00003748"/>
    <w:rsid w:val="00003A09"/>
    <w:rsid w:val="00003DFE"/>
    <w:rsid w:val="00003E61"/>
    <w:rsid w:val="00004FFB"/>
    <w:rsid w:val="00005097"/>
    <w:rsid w:val="00005B5F"/>
    <w:rsid w:val="00006383"/>
    <w:rsid w:val="00006487"/>
    <w:rsid w:val="00006C53"/>
    <w:rsid w:val="0000746D"/>
    <w:rsid w:val="00007588"/>
    <w:rsid w:val="00007A97"/>
    <w:rsid w:val="00007D13"/>
    <w:rsid w:val="000103A8"/>
    <w:rsid w:val="00010DD0"/>
    <w:rsid w:val="00011307"/>
    <w:rsid w:val="000116E9"/>
    <w:rsid w:val="00013053"/>
    <w:rsid w:val="00014343"/>
    <w:rsid w:val="00014A0C"/>
    <w:rsid w:val="00014B19"/>
    <w:rsid w:val="00016052"/>
    <w:rsid w:val="00016A1D"/>
    <w:rsid w:val="0001735A"/>
    <w:rsid w:val="00017668"/>
    <w:rsid w:val="00017FD6"/>
    <w:rsid w:val="00017FF3"/>
    <w:rsid w:val="000203C9"/>
    <w:rsid w:val="00020B26"/>
    <w:rsid w:val="00020D21"/>
    <w:rsid w:val="00021619"/>
    <w:rsid w:val="00021729"/>
    <w:rsid w:val="000221F6"/>
    <w:rsid w:val="00022503"/>
    <w:rsid w:val="00022B49"/>
    <w:rsid w:val="00022BF6"/>
    <w:rsid w:val="0002318B"/>
    <w:rsid w:val="0002374F"/>
    <w:rsid w:val="0002567B"/>
    <w:rsid w:val="000259BD"/>
    <w:rsid w:val="00025C4A"/>
    <w:rsid w:val="00027CE5"/>
    <w:rsid w:val="00030553"/>
    <w:rsid w:val="000306E8"/>
    <w:rsid w:val="00031AA3"/>
    <w:rsid w:val="00031B9C"/>
    <w:rsid w:val="00032015"/>
    <w:rsid w:val="0003220B"/>
    <w:rsid w:val="00032D26"/>
    <w:rsid w:val="0003333B"/>
    <w:rsid w:val="000336C4"/>
    <w:rsid w:val="000338D0"/>
    <w:rsid w:val="00033FB7"/>
    <w:rsid w:val="00034000"/>
    <w:rsid w:val="0003408D"/>
    <w:rsid w:val="0003489E"/>
    <w:rsid w:val="00035B03"/>
    <w:rsid w:val="00036946"/>
    <w:rsid w:val="000379C7"/>
    <w:rsid w:val="00037AE1"/>
    <w:rsid w:val="000401B7"/>
    <w:rsid w:val="00041286"/>
    <w:rsid w:val="00041694"/>
    <w:rsid w:val="00041928"/>
    <w:rsid w:val="00041D0E"/>
    <w:rsid w:val="00041E70"/>
    <w:rsid w:val="00042AF6"/>
    <w:rsid w:val="00042FD6"/>
    <w:rsid w:val="00043941"/>
    <w:rsid w:val="00043F05"/>
    <w:rsid w:val="000444A2"/>
    <w:rsid w:val="00044771"/>
    <w:rsid w:val="00044FE9"/>
    <w:rsid w:val="0004559D"/>
    <w:rsid w:val="0004594A"/>
    <w:rsid w:val="00045BAD"/>
    <w:rsid w:val="00045BD8"/>
    <w:rsid w:val="00046505"/>
    <w:rsid w:val="00047040"/>
    <w:rsid w:val="00047325"/>
    <w:rsid w:val="00047533"/>
    <w:rsid w:val="00047A2F"/>
    <w:rsid w:val="00047E77"/>
    <w:rsid w:val="00050944"/>
    <w:rsid w:val="00050A5C"/>
    <w:rsid w:val="0005175D"/>
    <w:rsid w:val="00051991"/>
    <w:rsid w:val="00052A28"/>
    <w:rsid w:val="00052CA8"/>
    <w:rsid w:val="00052D6A"/>
    <w:rsid w:val="00053392"/>
    <w:rsid w:val="00053633"/>
    <w:rsid w:val="00053967"/>
    <w:rsid w:val="00053968"/>
    <w:rsid w:val="0005476A"/>
    <w:rsid w:val="000547D8"/>
    <w:rsid w:val="00054C84"/>
    <w:rsid w:val="00054DED"/>
    <w:rsid w:val="00054F39"/>
    <w:rsid w:val="000556EE"/>
    <w:rsid w:val="0005592E"/>
    <w:rsid w:val="00056BAC"/>
    <w:rsid w:val="00056CD8"/>
    <w:rsid w:val="00056D24"/>
    <w:rsid w:val="00057007"/>
    <w:rsid w:val="00060AB1"/>
    <w:rsid w:val="00061152"/>
    <w:rsid w:val="000612CF"/>
    <w:rsid w:val="000617B1"/>
    <w:rsid w:val="00061ABC"/>
    <w:rsid w:val="00061CF3"/>
    <w:rsid w:val="00062453"/>
    <w:rsid w:val="00063567"/>
    <w:rsid w:val="0006361B"/>
    <w:rsid w:val="0006398C"/>
    <w:rsid w:val="0006491B"/>
    <w:rsid w:val="00064D56"/>
    <w:rsid w:val="00065002"/>
    <w:rsid w:val="00065481"/>
    <w:rsid w:val="00065AF9"/>
    <w:rsid w:val="000660B8"/>
    <w:rsid w:val="000660DF"/>
    <w:rsid w:val="00066135"/>
    <w:rsid w:val="00066843"/>
    <w:rsid w:val="000668D7"/>
    <w:rsid w:val="00066CC2"/>
    <w:rsid w:val="00067048"/>
    <w:rsid w:val="0006723A"/>
    <w:rsid w:val="000707AC"/>
    <w:rsid w:val="00070A1D"/>
    <w:rsid w:val="0007148A"/>
    <w:rsid w:val="00071F73"/>
    <w:rsid w:val="00072675"/>
    <w:rsid w:val="00072809"/>
    <w:rsid w:val="00073903"/>
    <w:rsid w:val="00073929"/>
    <w:rsid w:val="00074739"/>
    <w:rsid w:val="00074E7C"/>
    <w:rsid w:val="00074E96"/>
    <w:rsid w:val="00074FB9"/>
    <w:rsid w:val="0007579F"/>
    <w:rsid w:val="000769E7"/>
    <w:rsid w:val="00077512"/>
    <w:rsid w:val="00077EB0"/>
    <w:rsid w:val="00080BA4"/>
    <w:rsid w:val="00081379"/>
    <w:rsid w:val="00081E2F"/>
    <w:rsid w:val="00082201"/>
    <w:rsid w:val="000834A7"/>
    <w:rsid w:val="00083DEA"/>
    <w:rsid w:val="00083ECC"/>
    <w:rsid w:val="000841A8"/>
    <w:rsid w:val="00084395"/>
    <w:rsid w:val="0008446F"/>
    <w:rsid w:val="000847D1"/>
    <w:rsid w:val="00084C62"/>
    <w:rsid w:val="000866B9"/>
    <w:rsid w:val="0008670E"/>
    <w:rsid w:val="00086A98"/>
    <w:rsid w:val="00086AAA"/>
    <w:rsid w:val="00086B93"/>
    <w:rsid w:val="00086DDC"/>
    <w:rsid w:val="00087413"/>
    <w:rsid w:val="00087427"/>
    <w:rsid w:val="00087802"/>
    <w:rsid w:val="000901C0"/>
    <w:rsid w:val="00090AE0"/>
    <w:rsid w:val="00090C3A"/>
    <w:rsid w:val="00090DEA"/>
    <w:rsid w:val="00090E60"/>
    <w:rsid w:val="0009115C"/>
    <w:rsid w:val="00091272"/>
    <w:rsid w:val="000916D4"/>
    <w:rsid w:val="00091801"/>
    <w:rsid w:val="00091E7A"/>
    <w:rsid w:val="00092AB4"/>
    <w:rsid w:val="00092BA3"/>
    <w:rsid w:val="00092E8A"/>
    <w:rsid w:val="00092EF4"/>
    <w:rsid w:val="00093620"/>
    <w:rsid w:val="00093CF9"/>
    <w:rsid w:val="00094001"/>
    <w:rsid w:val="000940E2"/>
    <w:rsid w:val="00094121"/>
    <w:rsid w:val="0009441C"/>
    <w:rsid w:val="0009456B"/>
    <w:rsid w:val="00094BE9"/>
    <w:rsid w:val="00094DF0"/>
    <w:rsid w:val="00094EB2"/>
    <w:rsid w:val="000951DE"/>
    <w:rsid w:val="000959B3"/>
    <w:rsid w:val="00095C21"/>
    <w:rsid w:val="000960E9"/>
    <w:rsid w:val="000966F2"/>
    <w:rsid w:val="00096A41"/>
    <w:rsid w:val="00096C4D"/>
    <w:rsid w:val="00097C96"/>
    <w:rsid w:val="00097F75"/>
    <w:rsid w:val="000A02C8"/>
    <w:rsid w:val="000A06FC"/>
    <w:rsid w:val="000A0D2F"/>
    <w:rsid w:val="000A1E7A"/>
    <w:rsid w:val="000A2C64"/>
    <w:rsid w:val="000A2ECA"/>
    <w:rsid w:val="000A32CD"/>
    <w:rsid w:val="000A33C9"/>
    <w:rsid w:val="000A3642"/>
    <w:rsid w:val="000A37E2"/>
    <w:rsid w:val="000A451E"/>
    <w:rsid w:val="000A530D"/>
    <w:rsid w:val="000A5A88"/>
    <w:rsid w:val="000A601E"/>
    <w:rsid w:val="000A737E"/>
    <w:rsid w:val="000B01EF"/>
    <w:rsid w:val="000B03F9"/>
    <w:rsid w:val="000B0409"/>
    <w:rsid w:val="000B0D82"/>
    <w:rsid w:val="000B1FAE"/>
    <w:rsid w:val="000B2332"/>
    <w:rsid w:val="000B2550"/>
    <w:rsid w:val="000B2C36"/>
    <w:rsid w:val="000B47AE"/>
    <w:rsid w:val="000B4833"/>
    <w:rsid w:val="000B49BD"/>
    <w:rsid w:val="000B4D34"/>
    <w:rsid w:val="000B4F6C"/>
    <w:rsid w:val="000B5088"/>
    <w:rsid w:val="000B6256"/>
    <w:rsid w:val="000B670D"/>
    <w:rsid w:val="000B72E8"/>
    <w:rsid w:val="000B77FF"/>
    <w:rsid w:val="000B7BE1"/>
    <w:rsid w:val="000C01CD"/>
    <w:rsid w:val="000C0614"/>
    <w:rsid w:val="000C0A4E"/>
    <w:rsid w:val="000C11BD"/>
    <w:rsid w:val="000C12C1"/>
    <w:rsid w:val="000C199D"/>
    <w:rsid w:val="000C1E5A"/>
    <w:rsid w:val="000C29BF"/>
    <w:rsid w:val="000C3129"/>
    <w:rsid w:val="000C346C"/>
    <w:rsid w:val="000C4267"/>
    <w:rsid w:val="000C5805"/>
    <w:rsid w:val="000C5A16"/>
    <w:rsid w:val="000C67A9"/>
    <w:rsid w:val="000C77F9"/>
    <w:rsid w:val="000C799A"/>
    <w:rsid w:val="000C7E68"/>
    <w:rsid w:val="000C7FFE"/>
    <w:rsid w:val="000D0947"/>
    <w:rsid w:val="000D1C23"/>
    <w:rsid w:val="000D226D"/>
    <w:rsid w:val="000D237F"/>
    <w:rsid w:val="000D2888"/>
    <w:rsid w:val="000D297B"/>
    <w:rsid w:val="000D2C51"/>
    <w:rsid w:val="000D2CDA"/>
    <w:rsid w:val="000D30E3"/>
    <w:rsid w:val="000D3372"/>
    <w:rsid w:val="000D43AE"/>
    <w:rsid w:val="000D468B"/>
    <w:rsid w:val="000D4E40"/>
    <w:rsid w:val="000D5615"/>
    <w:rsid w:val="000D60C4"/>
    <w:rsid w:val="000D62C9"/>
    <w:rsid w:val="000D6913"/>
    <w:rsid w:val="000D6F90"/>
    <w:rsid w:val="000D7981"/>
    <w:rsid w:val="000D7DD1"/>
    <w:rsid w:val="000E025A"/>
    <w:rsid w:val="000E0357"/>
    <w:rsid w:val="000E0586"/>
    <w:rsid w:val="000E07E1"/>
    <w:rsid w:val="000E1DE4"/>
    <w:rsid w:val="000E1EB1"/>
    <w:rsid w:val="000E2469"/>
    <w:rsid w:val="000E2505"/>
    <w:rsid w:val="000E2A96"/>
    <w:rsid w:val="000E2CE1"/>
    <w:rsid w:val="000E334F"/>
    <w:rsid w:val="000E339F"/>
    <w:rsid w:val="000E35CA"/>
    <w:rsid w:val="000E375F"/>
    <w:rsid w:val="000E426A"/>
    <w:rsid w:val="000E51BE"/>
    <w:rsid w:val="000E5B1A"/>
    <w:rsid w:val="000E61C6"/>
    <w:rsid w:val="000E6B3A"/>
    <w:rsid w:val="000E6BC4"/>
    <w:rsid w:val="000E71E3"/>
    <w:rsid w:val="000E742F"/>
    <w:rsid w:val="000E7495"/>
    <w:rsid w:val="000E7B73"/>
    <w:rsid w:val="000F0CEB"/>
    <w:rsid w:val="000F15FE"/>
    <w:rsid w:val="000F19EB"/>
    <w:rsid w:val="000F22A2"/>
    <w:rsid w:val="000F2A88"/>
    <w:rsid w:val="000F34DF"/>
    <w:rsid w:val="000F39A8"/>
    <w:rsid w:val="000F3E03"/>
    <w:rsid w:val="000F49F8"/>
    <w:rsid w:val="000F4F77"/>
    <w:rsid w:val="000F50B0"/>
    <w:rsid w:val="000F5733"/>
    <w:rsid w:val="000F5734"/>
    <w:rsid w:val="000F5E72"/>
    <w:rsid w:val="000F5F8D"/>
    <w:rsid w:val="000F6853"/>
    <w:rsid w:val="000F7437"/>
    <w:rsid w:val="000F75EE"/>
    <w:rsid w:val="000F7DAC"/>
    <w:rsid w:val="001002B0"/>
    <w:rsid w:val="0010044D"/>
    <w:rsid w:val="00100A9C"/>
    <w:rsid w:val="00100EEA"/>
    <w:rsid w:val="001015B9"/>
    <w:rsid w:val="0010267B"/>
    <w:rsid w:val="001026EB"/>
    <w:rsid w:val="00102A84"/>
    <w:rsid w:val="0010303E"/>
    <w:rsid w:val="001031DF"/>
    <w:rsid w:val="0010329C"/>
    <w:rsid w:val="0010356B"/>
    <w:rsid w:val="001035EF"/>
    <w:rsid w:val="001037B0"/>
    <w:rsid w:val="001047A2"/>
    <w:rsid w:val="00104F73"/>
    <w:rsid w:val="00105256"/>
    <w:rsid w:val="0010564E"/>
    <w:rsid w:val="00105998"/>
    <w:rsid w:val="00105B4A"/>
    <w:rsid w:val="00106265"/>
    <w:rsid w:val="001067EB"/>
    <w:rsid w:val="00106B39"/>
    <w:rsid w:val="00106CC9"/>
    <w:rsid w:val="00106D40"/>
    <w:rsid w:val="00106F0D"/>
    <w:rsid w:val="001074FD"/>
    <w:rsid w:val="001103D1"/>
    <w:rsid w:val="0011098C"/>
    <w:rsid w:val="00111233"/>
    <w:rsid w:val="001112E5"/>
    <w:rsid w:val="00111404"/>
    <w:rsid w:val="00111B1F"/>
    <w:rsid w:val="001124C3"/>
    <w:rsid w:val="00112CB0"/>
    <w:rsid w:val="00112EBE"/>
    <w:rsid w:val="0011340A"/>
    <w:rsid w:val="001137AF"/>
    <w:rsid w:val="001138B9"/>
    <w:rsid w:val="00114214"/>
    <w:rsid w:val="0011459B"/>
    <w:rsid w:val="001148B8"/>
    <w:rsid w:val="001153F5"/>
    <w:rsid w:val="00115810"/>
    <w:rsid w:val="00115944"/>
    <w:rsid w:val="0011594C"/>
    <w:rsid w:val="001159C0"/>
    <w:rsid w:val="00115FED"/>
    <w:rsid w:val="00116C8F"/>
    <w:rsid w:val="00116D88"/>
    <w:rsid w:val="0011716C"/>
    <w:rsid w:val="001174CE"/>
    <w:rsid w:val="001175A3"/>
    <w:rsid w:val="0012031B"/>
    <w:rsid w:val="00120822"/>
    <w:rsid w:val="00120C6D"/>
    <w:rsid w:val="001213B4"/>
    <w:rsid w:val="00121437"/>
    <w:rsid w:val="0012273B"/>
    <w:rsid w:val="00122D35"/>
    <w:rsid w:val="00122E32"/>
    <w:rsid w:val="00123260"/>
    <w:rsid w:val="001235BA"/>
    <w:rsid w:val="00124855"/>
    <w:rsid w:val="00124D02"/>
    <w:rsid w:val="00124F1C"/>
    <w:rsid w:val="00125302"/>
    <w:rsid w:val="0012543C"/>
    <w:rsid w:val="00125812"/>
    <w:rsid w:val="00126485"/>
    <w:rsid w:val="00126974"/>
    <w:rsid w:val="00126AC9"/>
    <w:rsid w:val="00127D8B"/>
    <w:rsid w:val="00130689"/>
    <w:rsid w:val="00131180"/>
    <w:rsid w:val="00131E03"/>
    <w:rsid w:val="00132B49"/>
    <w:rsid w:val="00132B7E"/>
    <w:rsid w:val="00132DBB"/>
    <w:rsid w:val="00133256"/>
    <w:rsid w:val="001336CC"/>
    <w:rsid w:val="001339A1"/>
    <w:rsid w:val="0013469E"/>
    <w:rsid w:val="0013471E"/>
    <w:rsid w:val="00134E39"/>
    <w:rsid w:val="00134F97"/>
    <w:rsid w:val="0013509B"/>
    <w:rsid w:val="00135198"/>
    <w:rsid w:val="001351E8"/>
    <w:rsid w:val="0013570C"/>
    <w:rsid w:val="0013586F"/>
    <w:rsid w:val="00137130"/>
    <w:rsid w:val="00137508"/>
    <w:rsid w:val="001375ED"/>
    <w:rsid w:val="001400FC"/>
    <w:rsid w:val="0014015F"/>
    <w:rsid w:val="00141315"/>
    <w:rsid w:val="001413F3"/>
    <w:rsid w:val="00142158"/>
    <w:rsid w:val="0014284B"/>
    <w:rsid w:val="00142939"/>
    <w:rsid w:val="00142FA0"/>
    <w:rsid w:val="001437BC"/>
    <w:rsid w:val="001447ED"/>
    <w:rsid w:val="00144F04"/>
    <w:rsid w:val="00146021"/>
    <w:rsid w:val="001465C6"/>
    <w:rsid w:val="00146707"/>
    <w:rsid w:val="001469B7"/>
    <w:rsid w:val="00146BC2"/>
    <w:rsid w:val="0014771B"/>
    <w:rsid w:val="001504D3"/>
    <w:rsid w:val="001506D0"/>
    <w:rsid w:val="00151D4D"/>
    <w:rsid w:val="00151DF7"/>
    <w:rsid w:val="0015214F"/>
    <w:rsid w:val="00152AAC"/>
    <w:rsid w:val="00153305"/>
    <w:rsid w:val="001535F5"/>
    <w:rsid w:val="00153640"/>
    <w:rsid w:val="00153F10"/>
    <w:rsid w:val="00153F78"/>
    <w:rsid w:val="0015428D"/>
    <w:rsid w:val="00154FB5"/>
    <w:rsid w:val="00155645"/>
    <w:rsid w:val="00155BA3"/>
    <w:rsid w:val="00156482"/>
    <w:rsid w:val="00156D04"/>
    <w:rsid w:val="00156E67"/>
    <w:rsid w:val="00157268"/>
    <w:rsid w:val="001578AA"/>
    <w:rsid w:val="00157B0A"/>
    <w:rsid w:val="001605CC"/>
    <w:rsid w:val="00160B86"/>
    <w:rsid w:val="00162288"/>
    <w:rsid w:val="00162470"/>
    <w:rsid w:val="001625CE"/>
    <w:rsid w:val="00163690"/>
    <w:rsid w:val="00163B23"/>
    <w:rsid w:val="00163B9D"/>
    <w:rsid w:val="00164035"/>
    <w:rsid w:val="00164128"/>
    <w:rsid w:val="00164330"/>
    <w:rsid w:val="0016506C"/>
    <w:rsid w:val="00165172"/>
    <w:rsid w:val="001652AD"/>
    <w:rsid w:val="001656E9"/>
    <w:rsid w:val="00165937"/>
    <w:rsid w:val="00165BA5"/>
    <w:rsid w:val="00165BAD"/>
    <w:rsid w:val="00166198"/>
    <w:rsid w:val="00166295"/>
    <w:rsid w:val="00166330"/>
    <w:rsid w:val="001668C7"/>
    <w:rsid w:val="00167336"/>
    <w:rsid w:val="00167818"/>
    <w:rsid w:val="00167ADB"/>
    <w:rsid w:val="00170306"/>
    <w:rsid w:val="001703F2"/>
    <w:rsid w:val="0017082B"/>
    <w:rsid w:val="001709B5"/>
    <w:rsid w:val="001715AA"/>
    <w:rsid w:val="00171972"/>
    <w:rsid w:val="00171CFB"/>
    <w:rsid w:val="00172392"/>
    <w:rsid w:val="001736DC"/>
    <w:rsid w:val="00173AAF"/>
    <w:rsid w:val="00173E41"/>
    <w:rsid w:val="001741F2"/>
    <w:rsid w:val="00174374"/>
    <w:rsid w:val="001747E7"/>
    <w:rsid w:val="001749D0"/>
    <w:rsid w:val="001751D5"/>
    <w:rsid w:val="00175240"/>
    <w:rsid w:val="001756CD"/>
    <w:rsid w:val="0017587B"/>
    <w:rsid w:val="0017591F"/>
    <w:rsid w:val="0017617C"/>
    <w:rsid w:val="001774BE"/>
    <w:rsid w:val="00177650"/>
    <w:rsid w:val="001777C4"/>
    <w:rsid w:val="00177E96"/>
    <w:rsid w:val="001800AD"/>
    <w:rsid w:val="00180DA4"/>
    <w:rsid w:val="001819AB"/>
    <w:rsid w:val="00181A1B"/>
    <w:rsid w:val="00182502"/>
    <w:rsid w:val="001825F5"/>
    <w:rsid w:val="0018262D"/>
    <w:rsid w:val="001829A7"/>
    <w:rsid w:val="0018316A"/>
    <w:rsid w:val="0018337D"/>
    <w:rsid w:val="001838EB"/>
    <w:rsid w:val="00184565"/>
    <w:rsid w:val="00184964"/>
    <w:rsid w:val="00184BC2"/>
    <w:rsid w:val="00184BCB"/>
    <w:rsid w:val="00185856"/>
    <w:rsid w:val="00186058"/>
    <w:rsid w:val="001867CF"/>
    <w:rsid w:val="00186EFA"/>
    <w:rsid w:val="00187339"/>
    <w:rsid w:val="001878DD"/>
    <w:rsid w:val="00187995"/>
    <w:rsid w:val="00187B5D"/>
    <w:rsid w:val="0019055A"/>
    <w:rsid w:val="00191F1A"/>
    <w:rsid w:val="0019212D"/>
    <w:rsid w:val="00192C11"/>
    <w:rsid w:val="00192EB5"/>
    <w:rsid w:val="0019360B"/>
    <w:rsid w:val="00193AF1"/>
    <w:rsid w:val="0019462E"/>
    <w:rsid w:val="00194AAC"/>
    <w:rsid w:val="00196436"/>
    <w:rsid w:val="00196919"/>
    <w:rsid w:val="00196A74"/>
    <w:rsid w:val="0019723E"/>
    <w:rsid w:val="00197785"/>
    <w:rsid w:val="00197C33"/>
    <w:rsid w:val="001A05B1"/>
    <w:rsid w:val="001A05F2"/>
    <w:rsid w:val="001A0D1E"/>
    <w:rsid w:val="001A1BCD"/>
    <w:rsid w:val="001A2BD0"/>
    <w:rsid w:val="001A3EF3"/>
    <w:rsid w:val="001A3F0E"/>
    <w:rsid w:val="001A40F4"/>
    <w:rsid w:val="001A42CC"/>
    <w:rsid w:val="001A480A"/>
    <w:rsid w:val="001A4810"/>
    <w:rsid w:val="001A4B36"/>
    <w:rsid w:val="001A4C6B"/>
    <w:rsid w:val="001A4DD0"/>
    <w:rsid w:val="001A54E9"/>
    <w:rsid w:val="001A5720"/>
    <w:rsid w:val="001A60EB"/>
    <w:rsid w:val="001A62B7"/>
    <w:rsid w:val="001A62FA"/>
    <w:rsid w:val="001A6B26"/>
    <w:rsid w:val="001A7E00"/>
    <w:rsid w:val="001B0227"/>
    <w:rsid w:val="001B034C"/>
    <w:rsid w:val="001B045A"/>
    <w:rsid w:val="001B0E6B"/>
    <w:rsid w:val="001B0E6E"/>
    <w:rsid w:val="001B17C5"/>
    <w:rsid w:val="001B1D8A"/>
    <w:rsid w:val="001B1E33"/>
    <w:rsid w:val="001B2B97"/>
    <w:rsid w:val="001B316B"/>
    <w:rsid w:val="001B3841"/>
    <w:rsid w:val="001B44DB"/>
    <w:rsid w:val="001B451D"/>
    <w:rsid w:val="001B4AE4"/>
    <w:rsid w:val="001B68BD"/>
    <w:rsid w:val="001B6B11"/>
    <w:rsid w:val="001B73D6"/>
    <w:rsid w:val="001B7766"/>
    <w:rsid w:val="001B7B42"/>
    <w:rsid w:val="001C0107"/>
    <w:rsid w:val="001C17A2"/>
    <w:rsid w:val="001C1A8C"/>
    <w:rsid w:val="001C1D9D"/>
    <w:rsid w:val="001C1F80"/>
    <w:rsid w:val="001C204A"/>
    <w:rsid w:val="001C2489"/>
    <w:rsid w:val="001C3392"/>
    <w:rsid w:val="001C33D6"/>
    <w:rsid w:val="001C3B75"/>
    <w:rsid w:val="001C3F71"/>
    <w:rsid w:val="001C3FE3"/>
    <w:rsid w:val="001C4A7D"/>
    <w:rsid w:val="001C5484"/>
    <w:rsid w:val="001C5531"/>
    <w:rsid w:val="001C63E4"/>
    <w:rsid w:val="001C66B6"/>
    <w:rsid w:val="001C6E7C"/>
    <w:rsid w:val="001C6FAF"/>
    <w:rsid w:val="001C77EF"/>
    <w:rsid w:val="001C79ED"/>
    <w:rsid w:val="001D05EC"/>
    <w:rsid w:val="001D0CFF"/>
    <w:rsid w:val="001D10D4"/>
    <w:rsid w:val="001D2839"/>
    <w:rsid w:val="001D30E1"/>
    <w:rsid w:val="001D3225"/>
    <w:rsid w:val="001D35BB"/>
    <w:rsid w:val="001D3AD5"/>
    <w:rsid w:val="001D3EA5"/>
    <w:rsid w:val="001D55B4"/>
    <w:rsid w:val="001D63EC"/>
    <w:rsid w:val="001D6D8A"/>
    <w:rsid w:val="001D7014"/>
    <w:rsid w:val="001D7162"/>
    <w:rsid w:val="001D7FAC"/>
    <w:rsid w:val="001E078B"/>
    <w:rsid w:val="001E1451"/>
    <w:rsid w:val="001E21D6"/>
    <w:rsid w:val="001E2555"/>
    <w:rsid w:val="001E2B0C"/>
    <w:rsid w:val="001E3033"/>
    <w:rsid w:val="001E32F8"/>
    <w:rsid w:val="001E3389"/>
    <w:rsid w:val="001E342A"/>
    <w:rsid w:val="001E47A5"/>
    <w:rsid w:val="001E493A"/>
    <w:rsid w:val="001E4D19"/>
    <w:rsid w:val="001E585F"/>
    <w:rsid w:val="001E5A46"/>
    <w:rsid w:val="001E5B76"/>
    <w:rsid w:val="001E7097"/>
    <w:rsid w:val="001E72DB"/>
    <w:rsid w:val="001E75C2"/>
    <w:rsid w:val="001E7771"/>
    <w:rsid w:val="001E7858"/>
    <w:rsid w:val="001F0CA0"/>
    <w:rsid w:val="001F1039"/>
    <w:rsid w:val="001F19C6"/>
    <w:rsid w:val="001F280B"/>
    <w:rsid w:val="001F2C1D"/>
    <w:rsid w:val="001F2CBB"/>
    <w:rsid w:val="001F3B57"/>
    <w:rsid w:val="001F4DB2"/>
    <w:rsid w:val="001F4E2C"/>
    <w:rsid w:val="001F5DDE"/>
    <w:rsid w:val="001F78C3"/>
    <w:rsid w:val="001F7C88"/>
    <w:rsid w:val="001F7EBB"/>
    <w:rsid w:val="002006DC"/>
    <w:rsid w:val="00200B75"/>
    <w:rsid w:val="00202EC2"/>
    <w:rsid w:val="00203545"/>
    <w:rsid w:val="00203E51"/>
    <w:rsid w:val="00203EF7"/>
    <w:rsid w:val="00204165"/>
    <w:rsid w:val="002046D9"/>
    <w:rsid w:val="0020590F"/>
    <w:rsid w:val="00205B3E"/>
    <w:rsid w:val="002073EE"/>
    <w:rsid w:val="00207B25"/>
    <w:rsid w:val="00210448"/>
    <w:rsid w:val="0021078F"/>
    <w:rsid w:val="0021115F"/>
    <w:rsid w:val="00211787"/>
    <w:rsid w:val="00211B68"/>
    <w:rsid w:val="00211EE8"/>
    <w:rsid w:val="00212583"/>
    <w:rsid w:val="00212DE6"/>
    <w:rsid w:val="00213C7E"/>
    <w:rsid w:val="0021471B"/>
    <w:rsid w:val="00214E0B"/>
    <w:rsid w:val="0021595B"/>
    <w:rsid w:val="00217287"/>
    <w:rsid w:val="00220405"/>
    <w:rsid w:val="00220986"/>
    <w:rsid w:val="00220A9F"/>
    <w:rsid w:val="00220E62"/>
    <w:rsid w:val="0022123F"/>
    <w:rsid w:val="00221A90"/>
    <w:rsid w:val="002227E8"/>
    <w:rsid w:val="00222D70"/>
    <w:rsid w:val="00222DC5"/>
    <w:rsid w:val="00223CA8"/>
    <w:rsid w:val="00223EF3"/>
    <w:rsid w:val="00224320"/>
    <w:rsid w:val="00224EF2"/>
    <w:rsid w:val="00225659"/>
    <w:rsid w:val="00225BFF"/>
    <w:rsid w:val="00225E4E"/>
    <w:rsid w:val="002260C7"/>
    <w:rsid w:val="002264B5"/>
    <w:rsid w:val="0022681C"/>
    <w:rsid w:val="00227327"/>
    <w:rsid w:val="00227992"/>
    <w:rsid w:val="00227A41"/>
    <w:rsid w:val="00227CD5"/>
    <w:rsid w:val="00227D6A"/>
    <w:rsid w:val="002308E9"/>
    <w:rsid w:val="002308F7"/>
    <w:rsid w:val="002309BE"/>
    <w:rsid w:val="00231127"/>
    <w:rsid w:val="0023249C"/>
    <w:rsid w:val="00232500"/>
    <w:rsid w:val="00232CA2"/>
    <w:rsid w:val="00232E2B"/>
    <w:rsid w:val="002334AA"/>
    <w:rsid w:val="0023350B"/>
    <w:rsid w:val="002335CA"/>
    <w:rsid w:val="0023383E"/>
    <w:rsid w:val="002341F0"/>
    <w:rsid w:val="00234D51"/>
    <w:rsid w:val="00234D78"/>
    <w:rsid w:val="0023539B"/>
    <w:rsid w:val="00235478"/>
    <w:rsid w:val="00235A1B"/>
    <w:rsid w:val="00235E14"/>
    <w:rsid w:val="002370AE"/>
    <w:rsid w:val="00237573"/>
    <w:rsid w:val="00237919"/>
    <w:rsid w:val="00237E40"/>
    <w:rsid w:val="002406D9"/>
    <w:rsid w:val="00240D9E"/>
    <w:rsid w:val="002410FE"/>
    <w:rsid w:val="002412E1"/>
    <w:rsid w:val="00241922"/>
    <w:rsid w:val="00241C39"/>
    <w:rsid w:val="00242490"/>
    <w:rsid w:val="0024349D"/>
    <w:rsid w:val="002436E5"/>
    <w:rsid w:val="00243C06"/>
    <w:rsid w:val="00243D9D"/>
    <w:rsid w:val="002441F2"/>
    <w:rsid w:val="0024426D"/>
    <w:rsid w:val="002448AA"/>
    <w:rsid w:val="00244AAB"/>
    <w:rsid w:val="00244C00"/>
    <w:rsid w:val="00245F4C"/>
    <w:rsid w:val="002465A8"/>
    <w:rsid w:val="00246E58"/>
    <w:rsid w:val="002475C2"/>
    <w:rsid w:val="0024776D"/>
    <w:rsid w:val="002477BF"/>
    <w:rsid w:val="002478C5"/>
    <w:rsid w:val="00247AF4"/>
    <w:rsid w:val="00247D5F"/>
    <w:rsid w:val="00250237"/>
    <w:rsid w:val="00250932"/>
    <w:rsid w:val="00251768"/>
    <w:rsid w:val="002517A9"/>
    <w:rsid w:val="0025301B"/>
    <w:rsid w:val="002530F2"/>
    <w:rsid w:val="0025438B"/>
    <w:rsid w:val="002543C8"/>
    <w:rsid w:val="00255018"/>
    <w:rsid w:val="0025597B"/>
    <w:rsid w:val="002559D2"/>
    <w:rsid w:val="0025761C"/>
    <w:rsid w:val="0025792F"/>
    <w:rsid w:val="002601DF"/>
    <w:rsid w:val="00260CD5"/>
    <w:rsid w:val="00261316"/>
    <w:rsid w:val="00261BCD"/>
    <w:rsid w:val="00262B95"/>
    <w:rsid w:val="00262DB5"/>
    <w:rsid w:val="00263932"/>
    <w:rsid w:val="00263A4A"/>
    <w:rsid w:val="00263B26"/>
    <w:rsid w:val="00264320"/>
    <w:rsid w:val="002647D6"/>
    <w:rsid w:val="00264806"/>
    <w:rsid w:val="002650E5"/>
    <w:rsid w:val="002651F4"/>
    <w:rsid w:val="00265450"/>
    <w:rsid w:val="00265FF0"/>
    <w:rsid w:val="00266D6E"/>
    <w:rsid w:val="002671B8"/>
    <w:rsid w:val="00267754"/>
    <w:rsid w:val="0026791A"/>
    <w:rsid w:val="00270065"/>
    <w:rsid w:val="002705AF"/>
    <w:rsid w:val="002705E8"/>
    <w:rsid w:val="002707A5"/>
    <w:rsid w:val="00270930"/>
    <w:rsid w:val="00270C08"/>
    <w:rsid w:val="00270F58"/>
    <w:rsid w:val="00271CAD"/>
    <w:rsid w:val="00272A6A"/>
    <w:rsid w:val="00272D5E"/>
    <w:rsid w:val="00272ECF"/>
    <w:rsid w:val="002733E9"/>
    <w:rsid w:val="00273586"/>
    <w:rsid w:val="00273AEF"/>
    <w:rsid w:val="00273C0F"/>
    <w:rsid w:val="00276ABE"/>
    <w:rsid w:val="0027779C"/>
    <w:rsid w:val="002810DD"/>
    <w:rsid w:val="002811C1"/>
    <w:rsid w:val="00281D6E"/>
    <w:rsid w:val="00281DCC"/>
    <w:rsid w:val="0028200D"/>
    <w:rsid w:val="0028209C"/>
    <w:rsid w:val="00282105"/>
    <w:rsid w:val="00282C93"/>
    <w:rsid w:val="00282D48"/>
    <w:rsid w:val="00282E3B"/>
    <w:rsid w:val="00283108"/>
    <w:rsid w:val="00283923"/>
    <w:rsid w:val="00284392"/>
    <w:rsid w:val="00284C78"/>
    <w:rsid w:val="00284F93"/>
    <w:rsid w:val="00285555"/>
    <w:rsid w:val="0028592C"/>
    <w:rsid w:val="002865E4"/>
    <w:rsid w:val="00287852"/>
    <w:rsid w:val="002879A2"/>
    <w:rsid w:val="00290EF8"/>
    <w:rsid w:val="00290F7B"/>
    <w:rsid w:val="002915A3"/>
    <w:rsid w:val="002932A7"/>
    <w:rsid w:val="002936D6"/>
    <w:rsid w:val="002937E6"/>
    <w:rsid w:val="00293B04"/>
    <w:rsid w:val="002945EB"/>
    <w:rsid w:val="00294BAE"/>
    <w:rsid w:val="00294D35"/>
    <w:rsid w:val="00295384"/>
    <w:rsid w:val="00295F47"/>
    <w:rsid w:val="002962C9"/>
    <w:rsid w:val="002963B5"/>
    <w:rsid w:val="002963D6"/>
    <w:rsid w:val="00296817"/>
    <w:rsid w:val="00296A0B"/>
    <w:rsid w:val="002A09B9"/>
    <w:rsid w:val="002A17DA"/>
    <w:rsid w:val="002A25D6"/>
    <w:rsid w:val="002A2607"/>
    <w:rsid w:val="002A267D"/>
    <w:rsid w:val="002A278B"/>
    <w:rsid w:val="002A3355"/>
    <w:rsid w:val="002A52AE"/>
    <w:rsid w:val="002A591E"/>
    <w:rsid w:val="002A5A5B"/>
    <w:rsid w:val="002A5AC0"/>
    <w:rsid w:val="002A62E2"/>
    <w:rsid w:val="002A72AC"/>
    <w:rsid w:val="002A75B0"/>
    <w:rsid w:val="002A76CE"/>
    <w:rsid w:val="002A7FB5"/>
    <w:rsid w:val="002B042B"/>
    <w:rsid w:val="002B070E"/>
    <w:rsid w:val="002B0860"/>
    <w:rsid w:val="002B0B9A"/>
    <w:rsid w:val="002B0CBF"/>
    <w:rsid w:val="002B0FB9"/>
    <w:rsid w:val="002B1E2C"/>
    <w:rsid w:val="002B26FD"/>
    <w:rsid w:val="002B3A6F"/>
    <w:rsid w:val="002B3CAF"/>
    <w:rsid w:val="002B5A6D"/>
    <w:rsid w:val="002B5F0A"/>
    <w:rsid w:val="002B5F4B"/>
    <w:rsid w:val="002B6685"/>
    <w:rsid w:val="002B762B"/>
    <w:rsid w:val="002B7653"/>
    <w:rsid w:val="002B7C40"/>
    <w:rsid w:val="002B7DE8"/>
    <w:rsid w:val="002B7EE0"/>
    <w:rsid w:val="002C003F"/>
    <w:rsid w:val="002C065A"/>
    <w:rsid w:val="002C0A26"/>
    <w:rsid w:val="002C0E7C"/>
    <w:rsid w:val="002C279B"/>
    <w:rsid w:val="002C2B44"/>
    <w:rsid w:val="002C2C26"/>
    <w:rsid w:val="002C37F0"/>
    <w:rsid w:val="002C39BC"/>
    <w:rsid w:val="002C3C12"/>
    <w:rsid w:val="002C4524"/>
    <w:rsid w:val="002C4673"/>
    <w:rsid w:val="002C6ED2"/>
    <w:rsid w:val="002C6FEC"/>
    <w:rsid w:val="002C770B"/>
    <w:rsid w:val="002C7C12"/>
    <w:rsid w:val="002C7F2E"/>
    <w:rsid w:val="002D0187"/>
    <w:rsid w:val="002D056C"/>
    <w:rsid w:val="002D12E5"/>
    <w:rsid w:val="002D188E"/>
    <w:rsid w:val="002D1C81"/>
    <w:rsid w:val="002D1FA5"/>
    <w:rsid w:val="002D209F"/>
    <w:rsid w:val="002D21E6"/>
    <w:rsid w:val="002D23D3"/>
    <w:rsid w:val="002D2D13"/>
    <w:rsid w:val="002D3221"/>
    <w:rsid w:val="002D5311"/>
    <w:rsid w:val="002D537B"/>
    <w:rsid w:val="002D5706"/>
    <w:rsid w:val="002D5739"/>
    <w:rsid w:val="002D5C4D"/>
    <w:rsid w:val="002D606C"/>
    <w:rsid w:val="002D6302"/>
    <w:rsid w:val="002D643C"/>
    <w:rsid w:val="002D6B22"/>
    <w:rsid w:val="002D6C9A"/>
    <w:rsid w:val="002D6F4B"/>
    <w:rsid w:val="002D6FFE"/>
    <w:rsid w:val="002E07E2"/>
    <w:rsid w:val="002E08BA"/>
    <w:rsid w:val="002E096C"/>
    <w:rsid w:val="002E0A38"/>
    <w:rsid w:val="002E0AB5"/>
    <w:rsid w:val="002E1379"/>
    <w:rsid w:val="002E1D57"/>
    <w:rsid w:val="002E234E"/>
    <w:rsid w:val="002E23BD"/>
    <w:rsid w:val="002E2515"/>
    <w:rsid w:val="002E4008"/>
    <w:rsid w:val="002E438E"/>
    <w:rsid w:val="002E5C4E"/>
    <w:rsid w:val="002E5F4C"/>
    <w:rsid w:val="002E602A"/>
    <w:rsid w:val="002E632A"/>
    <w:rsid w:val="002E659E"/>
    <w:rsid w:val="002E688F"/>
    <w:rsid w:val="002F0014"/>
    <w:rsid w:val="002F0114"/>
    <w:rsid w:val="002F06E0"/>
    <w:rsid w:val="002F0AE5"/>
    <w:rsid w:val="002F0B5A"/>
    <w:rsid w:val="002F12D4"/>
    <w:rsid w:val="002F13D3"/>
    <w:rsid w:val="002F2062"/>
    <w:rsid w:val="002F26E8"/>
    <w:rsid w:val="002F26FE"/>
    <w:rsid w:val="002F2BAE"/>
    <w:rsid w:val="002F3A43"/>
    <w:rsid w:val="002F45F8"/>
    <w:rsid w:val="002F4D1D"/>
    <w:rsid w:val="002F503E"/>
    <w:rsid w:val="002F54B0"/>
    <w:rsid w:val="002F5B23"/>
    <w:rsid w:val="002F5DCC"/>
    <w:rsid w:val="002F5E68"/>
    <w:rsid w:val="002F5EBE"/>
    <w:rsid w:val="002F6227"/>
    <w:rsid w:val="002F627B"/>
    <w:rsid w:val="002F6E03"/>
    <w:rsid w:val="002F6E31"/>
    <w:rsid w:val="002F723D"/>
    <w:rsid w:val="002F7745"/>
    <w:rsid w:val="00300807"/>
    <w:rsid w:val="00301013"/>
    <w:rsid w:val="00301FDF"/>
    <w:rsid w:val="0030239F"/>
    <w:rsid w:val="00302FF0"/>
    <w:rsid w:val="0030313A"/>
    <w:rsid w:val="00303992"/>
    <w:rsid w:val="00303B6B"/>
    <w:rsid w:val="00304451"/>
    <w:rsid w:val="003045CA"/>
    <w:rsid w:val="00304867"/>
    <w:rsid w:val="00304924"/>
    <w:rsid w:val="00304EEE"/>
    <w:rsid w:val="003055FA"/>
    <w:rsid w:val="0030571A"/>
    <w:rsid w:val="00305920"/>
    <w:rsid w:val="00305BE7"/>
    <w:rsid w:val="00305D3A"/>
    <w:rsid w:val="003060E4"/>
    <w:rsid w:val="0030615F"/>
    <w:rsid w:val="00307CF8"/>
    <w:rsid w:val="00307F92"/>
    <w:rsid w:val="003105EC"/>
    <w:rsid w:val="00310ABF"/>
    <w:rsid w:val="00310B90"/>
    <w:rsid w:val="00310E54"/>
    <w:rsid w:val="00311734"/>
    <w:rsid w:val="00311756"/>
    <w:rsid w:val="00311D0B"/>
    <w:rsid w:val="003123B7"/>
    <w:rsid w:val="00312C7C"/>
    <w:rsid w:val="003130A1"/>
    <w:rsid w:val="003136EB"/>
    <w:rsid w:val="00313ADF"/>
    <w:rsid w:val="00313F11"/>
    <w:rsid w:val="00314573"/>
    <w:rsid w:val="003153CB"/>
    <w:rsid w:val="0031547C"/>
    <w:rsid w:val="003157EE"/>
    <w:rsid w:val="00316D24"/>
    <w:rsid w:val="00316DDE"/>
    <w:rsid w:val="00317029"/>
    <w:rsid w:val="003173B0"/>
    <w:rsid w:val="003205E1"/>
    <w:rsid w:val="0032064A"/>
    <w:rsid w:val="00320A65"/>
    <w:rsid w:val="00320C82"/>
    <w:rsid w:val="0032157E"/>
    <w:rsid w:val="003230DD"/>
    <w:rsid w:val="0032372F"/>
    <w:rsid w:val="0032514D"/>
    <w:rsid w:val="003256EE"/>
    <w:rsid w:val="00325781"/>
    <w:rsid w:val="003259AF"/>
    <w:rsid w:val="00325C6D"/>
    <w:rsid w:val="00326434"/>
    <w:rsid w:val="0032697F"/>
    <w:rsid w:val="00326A25"/>
    <w:rsid w:val="00326B8F"/>
    <w:rsid w:val="00327475"/>
    <w:rsid w:val="00331001"/>
    <w:rsid w:val="003313C9"/>
    <w:rsid w:val="00331D77"/>
    <w:rsid w:val="003321CE"/>
    <w:rsid w:val="0033424D"/>
    <w:rsid w:val="0033427E"/>
    <w:rsid w:val="003363DC"/>
    <w:rsid w:val="003363E6"/>
    <w:rsid w:val="00336BD9"/>
    <w:rsid w:val="00336EB5"/>
    <w:rsid w:val="003373AA"/>
    <w:rsid w:val="00337E57"/>
    <w:rsid w:val="003402A3"/>
    <w:rsid w:val="00340420"/>
    <w:rsid w:val="00341280"/>
    <w:rsid w:val="00341636"/>
    <w:rsid w:val="003416C7"/>
    <w:rsid w:val="00341BC0"/>
    <w:rsid w:val="00342537"/>
    <w:rsid w:val="00342B62"/>
    <w:rsid w:val="00343073"/>
    <w:rsid w:val="0034327C"/>
    <w:rsid w:val="00343E33"/>
    <w:rsid w:val="00344A5E"/>
    <w:rsid w:val="00344AA5"/>
    <w:rsid w:val="00345398"/>
    <w:rsid w:val="00345BD6"/>
    <w:rsid w:val="00346D04"/>
    <w:rsid w:val="00346E99"/>
    <w:rsid w:val="00346F10"/>
    <w:rsid w:val="0034769C"/>
    <w:rsid w:val="00350949"/>
    <w:rsid w:val="00350A6E"/>
    <w:rsid w:val="00351178"/>
    <w:rsid w:val="003512BE"/>
    <w:rsid w:val="0035152A"/>
    <w:rsid w:val="003519DF"/>
    <w:rsid w:val="003522C2"/>
    <w:rsid w:val="0035298C"/>
    <w:rsid w:val="00352AD1"/>
    <w:rsid w:val="00352EFA"/>
    <w:rsid w:val="00353828"/>
    <w:rsid w:val="00353E0D"/>
    <w:rsid w:val="00354280"/>
    <w:rsid w:val="00354A74"/>
    <w:rsid w:val="00354B5B"/>
    <w:rsid w:val="00355489"/>
    <w:rsid w:val="00356681"/>
    <w:rsid w:val="003567CE"/>
    <w:rsid w:val="00356CDB"/>
    <w:rsid w:val="00356EFC"/>
    <w:rsid w:val="00357533"/>
    <w:rsid w:val="00357857"/>
    <w:rsid w:val="00360BF2"/>
    <w:rsid w:val="00361309"/>
    <w:rsid w:val="0036134C"/>
    <w:rsid w:val="00361506"/>
    <w:rsid w:val="00361AB7"/>
    <w:rsid w:val="00361ED8"/>
    <w:rsid w:val="00361F79"/>
    <w:rsid w:val="00362386"/>
    <w:rsid w:val="003626B2"/>
    <w:rsid w:val="00362B08"/>
    <w:rsid w:val="003640EF"/>
    <w:rsid w:val="0036428E"/>
    <w:rsid w:val="00364420"/>
    <w:rsid w:val="00364C68"/>
    <w:rsid w:val="00364DCB"/>
    <w:rsid w:val="00365A06"/>
    <w:rsid w:val="00365A9B"/>
    <w:rsid w:val="00365D27"/>
    <w:rsid w:val="003664F2"/>
    <w:rsid w:val="00366D22"/>
    <w:rsid w:val="003679B9"/>
    <w:rsid w:val="003705BC"/>
    <w:rsid w:val="00370D1E"/>
    <w:rsid w:val="00370FBD"/>
    <w:rsid w:val="003716E8"/>
    <w:rsid w:val="0037240B"/>
    <w:rsid w:val="00372997"/>
    <w:rsid w:val="003743B5"/>
    <w:rsid w:val="003745F3"/>
    <w:rsid w:val="00375EA0"/>
    <w:rsid w:val="00376052"/>
    <w:rsid w:val="00376505"/>
    <w:rsid w:val="00376CDD"/>
    <w:rsid w:val="00377266"/>
    <w:rsid w:val="00377C0F"/>
    <w:rsid w:val="00377CB1"/>
    <w:rsid w:val="00377F84"/>
    <w:rsid w:val="00380619"/>
    <w:rsid w:val="00380BA5"/>
    <w:rsid w:val="00381837"/>
    <w:rsid w:val="00381870"/>
    <w:rsid w:val="00382546"/>
    <w:rsid w:val="00382A87"/>
    <w:rsid w:val="003830C4"/>
    <w:rsid w:val="00383A57"/>
    <w:rsid w:val="00383F5B"/>
    <w:rsid w:val="00384640"/>
    <w:rsid w:val="00384ED6"/>
    <w:rsid w:val="00385C94"/>
    <w:rsid w:val="003865E0"/>
    <w:rsid w:val="00386956"/>
    <w:rsid w:val="00386C12"/>
    <w:rsid w:val="003875CB"/>
    <w:rsid w:val="00387653"/>
    <w:rsid w:val="00387E93"/>
    <w:rsid w:val="00391277"/>
    <w:rsid w:val="00391567"/>
    <w:rsid w:val="003916DE"/>
    <w:rsid w:val="00391B13"/>
    <w:rsid w:val="00391D3E"/>
    <w:rsid w:val="00391ECF"/>
    <w:rsid w:val="0039241A"/>
    <w:rsid w:val="0039277E"/>
    <w:rsid w:val="00392F26"/>
    <w:rsid w:val="00393176"/>
    <w:rsid w:val="003936F7"/>
    <w:rsid w:val="003939EB"/>
    <w:rsid w:val="003940CD"/>
    <w:rsid w:val="00394A64"/>
    <w:rsid w:val="00395116"/>
    <w:rsid w:val="003951A1"/>
    <w:rsid w:val="00395FF5"/>
    <w:rsid w:val="00396551"/>
    <w:rsid w:val="0039740B"/>
    <w:rsid w:val="003974E8"/>
    <w:rsid w:val="003A0129"/>
    <w:rsid w:val="003A053B"/>
    <w:rsid w:val="003A0759"/>
    <w:rsid w:val="003A0BB6"/>
    <w:rsid w:val="003A23C1"/>
    <w:rsid w:val="003A2947"/>
    <w:rsid w:val="003A2980"/>
    <w:rsid w:val="003A3495"/>
    <w:rsid w:val="003A4478"/>
    <w:rsid w:val="003A44C6"/>
    <w:rsid w:val="003A4DDD"/>
    <w:rsid w:val="003A569B"/>
    <w:rsid w:val="003A5FBC"/>
    <w:rsid w:val="003A6449"/>
    <w:rsid w:val="003A7B6D"/>
    <w:rsid w:val="003B09AD"/>
    <w:rsid w:val="003B1128"/>
    <w:rsid w:val="003B24FA"/>
    <w:rsid w:val="003B2509"/>
    <w:rsid w:val="003B294F"/>
    <w:rsid w:val="003B3BF1"/>
    <w:rsid w:val="003B4244"/>
    <w:rsid w:val="003B42BC"/>
    <w:rsid w:val="003B4306"/>
    <w:rsid w:val="003B5124"/>
    <w:rsid w:val="003B56FF"/>
    <w:rsid w:val="003B5E31"/>
    <w:rsid w:val="003B680F"/>
    <w:rsid w:val="003B72F5"/>
    <w:rsid w:val="003B7493"/>
    <w:rsid w:val="003C01C5"/>
    <w:rsid w:val="003C08F1"/>
    <w:rsid w:val="003C09C5"/>
    <w:rsid w:val="003C0E28"/>
    <w:rsid w:val="003C11FF"/>
    <w:rsid w:val="003C1404"/>
    <w:rsid w:val="003C153A"/>
    <w:rsid w:val="003C1E27"/>
    <w:rsid w:val="003C26FE"/>
    <w:rsid w:val="003C2E85"/>
    <w:rsid w:val="003C3688"/>
    <w:rsid w:val="003C4C30"/>
    <w:rsid w:val="003C50F0"/>
    <w:rsid w:val="003C5316"/>
    <w:rsid w:val="003C57FE"/>
    <w:rsid w:val="003C5BC0"/>
    <w:rsid w:val="003C6347"/>
    <w:rsid w:val="003C6547"/>
    <w:rsid w:val="003C65F0"/>
    <w:rsid w:val="003C73B5"/>
    <w:rsid w:val="003D0249"/>
    <w:rsid w:val="003D0EC4"/>
    <w:rsid w:val="003D1364"/>
    <w:rsid w:val="003D1DC6"/>
    <w:rsid w:val="003D1DE9"/>
    <w:rsid w:val="003D206F"/>
    <w:rsid w:val="003D2B09"/>
    <w:rsid w:val="003D3917"/>
    <w:rsid w:val="003D39A8"/>
    <w:rsid w:val="003D429F"/>
    <w:rsid w:val="003D500F"/>
    <w:rsid w:val="003D51A1"/>
    <w:rsid w:val="003D53AE"/>
    <w:rsid w:val="003D54ED"/>
    <w:rsid w:val="003D5CDF"/>
    <w:rsid w:val="003D671F"/>
    <w:rsid w:val="003D678A"/>
    <w:rsid w:val="003E0030"/>
    <w:rsid w:val="003E0153"/>
    <w:rsid w:val="003E0764"/>
    <w:rsid w:val="003E0C95"/>
    <w:rsid w:val="003E0DC8"/>
    <w:rsid w:val="003E1103"/>
    <w:rsid w:val="003E121A"/>
    <w:rsid w:val="003E1428"/>
    <w:rsid w:val="003E2B5A"/>
    <w:rsid w:val="003E33A1"/>
    <w:rsid w:val="003E3586"/>
    <w:rsid w:val="003E3748"/>
    <w:rsid w:val="003E3EA1"/>
    <w:rsid w:val="003E42E7"/>
    <w:rsid w:val="003E4CFA"/>
    <w:rsid w:val="003E4D5A"/>
    <w:rsid w:val="003E5703"/>
    <w:rsid w:val="003E5869"/>
    <w:rsid w:val="003E5957"/>
    <w:rsid w:val="003E6497"/>
    <w:rsid w:val="003E7220"/>
    <w:rsid w:val="003E7738"/>
    <w:rsid w:val="003E792F"/>
    <w:rsid w:val="003E7B88"/>
    <w:rsid w:val="003F0ECE"/>
    <w:rsid w:val="003F1B89"/>
    <w:rsid w:val="003F1C71"/>
    <w:rsid w:val="003F2734"/>
    <w:rsid w:val="003F2DD3"/>
    <w:rsid w:val="003F30A1"/>
    <w:rsid w:val="003F34FF"/>
    <w:rsid w:val="003F35F3"/>
    <w:rsid w:val="003F3984"/>
    <w:rsid w:val="003F3DD0"/>
    <w:rsid w:val="003F3FC4"/>
    <w:rsid w:val="003F443B"/>
    <w:rsid w:val="003F4506"/>
    <w:rsid w:val="003F465C"/>
    <w:rsid w:val="003F48EB"/>
    <w:rsid w:val="003F4ED0"/>
    <w:rsid w:val="003F555D"/>
    <w:rsid w:val="003F58B1"/>
    <w:rsid w:val="003F60F3"/>
    <w:rsid w:val="003F69B6"/>
    <w:rsid w:val="003F7280"/>
    <w:rsid w:val="003F757C"/>
    <w:rsid w:val="003F7666"/>
    <w:rsid w:val="003F770F"/>
    <w:rsid w:val="003F7D64"/>
    <w:rsid w:val="00400C33"/>
    <w:rsid w:val="00400D2F"/>
    <w:rsid w:val="00401F50"/>
    <w:rsid w:val="00402E0E"/>
    <w:rsid w:val="00402EFD"/>
    <w:rsid w:val="004038E4"/>
    <w:rsid w:val="00403B5E"/>
    <w:rsid w:val="0040533D"/>
    <w:rsid w:val="0040581F"/>
    <w:rsid w:val="00405EAD"/>
    <w:rsid w:val="0040736F"/>
    <w:rsid w:val="00410341"/>
    <w:rsid w:val="00410399"/>
    <w:rsid w:val="0041075D"/>
    <w:rsid w:val="00410D66"/>
    <w:rsid w:val="004113F0"/>
    <w:rsid w:val="004116D9"/>
    <w:rsid w:val="004123D7"/>
    <w:rsid w:val="00412E35"/>
    <w:rsid w:val="00412ED5"/>
    <w:rsid w:val="00413B3C"/>
    <w:rsid w:val="00413E24"/>
    <w:rsid w:val="00414894"/>
    <w:rsid w:val="00414BCB"/>
    <w:rsid w:val="004151A4"/>
    <w:rsid w:val="00415B26"/>
    <w:rsid w:val="00415EB6"/>
    <w:rsid w:val="00416A78"/>
    <w:rsid w:val="0041745D"/>
    <w:rsid w:val="004176E9"/>
    <w:rsid w:val="004203EC"/>
    <w:rsid w:val="00420CE3"/>
    <w:rsid w:val="004217B0"/>
    <w:rsid w:val="00421CCB"/>
    <w:rsid w:val="004224AB"/>
    <w:rsid w:val="004225C6"/>
    <w:rsid w:val="00423B1C"/>
    <w:rsid w:val="00424292"/>
    <w:rsid w:val="00424854"/>
    <w:rsid w:val="00424AB7"/>
    <w:rsid w:val="00424B7F"/>
    <w:rsid w:val="00424E6D"/>
    <w:rsid w:val="004253D5"/>
    <w:rsid w:val="00425411"/>
    <w:rsid w:val="00425749"/>
    <w:rsid w:val="00425922"/>
    <w:rsid w:val="00426207"/>
    <w:rsid w:val="004264D5"/>
    <w:rsid w:val="00426A94"/>
    <w:rsid w:val="0042747E"/>
    <w:rsid w:val="004275B3"/>
    <w:rsid w:val="004277CE"/>
    <w:rsid w:val="0042793C"/>
    <w:rsid w:val="00427E38"/>
    <w:rsid w:val="00430032"/>
    <w:rsid w:val="0043020F"/>
    <w:rsid w:val="00430702"/>
    <w:rsid w:val="00430F1F"/>
    <w:rsid w:val="0043101E"/>
    <w:rsid w:val="00432285"/>
    <w:rsid w:val="00432695"/>
    <w:rsid w:val="004326DC"/>
    <w:rsid w:val="00432BDA"/>
    <w:rsid w:val="00432DE4"/>
    <w:rsid w:val="00433324"/>
    <w:rsid w:val="0043344C"/>
    <w:rsid w:val="00433A1D"/>
    <w:rsid w:val="00433AA7"/>
    <w:rsid w:val="00433F0F"/>
    <w:rsid w:val="00434632"/>
    <w:rsid w:val="004346C7"/>
    <w:rsid w:val="00435483"/>
    <w:rsid w:val="00435D80"/>
    <w:rsid w:val="00436150"/>
    <w:rsid w:val="004373E4"/>
    <w:rsid w:val="00437419"/>
    <w:rsid w:val="0043782A"/>
    <w:rsid w:val="00437C66"/>
    <w:rsid w:val="00437CBC"/>
    <w:rsid w:val="00440CBE"/>
    <w:rsid w:val="004413F4"/>
    <w:rsid w:val="00441585"/>
    <w:rsid w:val="00441734"/>
    <w:rsid w:val="004422E0"/>
    <w:rsid w:val="004424E8"/>
    <w:rsid w:val="00442B22"/>
    <w:rsid w:val="00443100"/>
    <w:rsid w:val="0044324F"/>
    <w:rsid w:val="004437E0"/>
    <w:rsid w:val="00444211"/>
    <w:rsid w:val="004444F5"/>
    <w:rsid w:val="00445B76"/>
    <w:rsid w:val="0044633F"/>
    <w:rsid w:val="00446341"/>
    <w:rsid w:val="004466AB"/>
    <w:rsid w:val="00446BF4"/>
    <w:rsid w:val="00447041"/>
    <w:rsid w:val="004478EB"/>
    <w:rsid w:val="00447966"/>
    <w:rsid w:val="00450145"/>
    <w:rsid w:val="0045059B"/>
    <w:rsid w:val="0045078D"/>
    <w:rsid w:val="00450E42"/>
    <w:rsid w:val="004514F7"/>
    <w:rsid w:val="0045166B"/>
    <w:rsid w:val="00451839"/>
    <w:rsid w:val="004518AB"/>
    <w:rsid w:val="004519C7"/>
    <w:rsid w:val="004532A2"/>
    <w:rsid w:val="0045336A"/>
    <w:rsid w:val="00453D09"/>
    <w:rsid w:val="004548F4"/>
    <w:rsid w:val="0045498C"/>
    <w:rsid w:val="00454B8B"/>
    <w:rsid w:val="004558CE"/>
    <w:rsid w:val="00455A21"/>
    <w:rsid w:val="004563CA"/>
    <w:rsid w:val="00457118"/>
    <w:rsid w:val="00457CAD"/>
    <w:rsid w:val="0046029E"/>
    <w:rsid w:val="004603D3"/>
    <w:rsid w:val="0046051C"/>
    <w:rsid w:val="00460C30"/>
    <w:rsid w:val="00460F4A"/>
    <w:rsid w:val="004616ED"/>
    <w:rsid w:val="00461ECA"/>
    <w:rsid w:val="004620F6"/>
    <w:rsid w:val="00462150"/>
    <w:rsid w:val="00462620"/>
    <w:rsid w:val="00462A0B"/>
    <w:rsid w:val="00463D01"/>
    <w:rsid w:val="00463F25"/>
    <w:rsid w:val="004647C8"/>
    <w:rsid w:val="00464D3B"/>
    <w:rsid w:val="00464F70"/>
    <w:rsid w:val="00465B17"/>
    <w:rsid w:val="00466DF5"/>
    <w:rsid w:val="00467356"/>
    <w:rsid w:val="004674E8"/>
    <w:rsid w:val="0046791C"/>
    <w:rsid w:val="00470A6E"/>
    <w:rsid w:val="00471367"/>
    <w:rsid w:val="004714DB"/>
    <w:rsid w:val="00471F1F"/>
    <w:rsid w:val="00472058"/>
    <w:rsid w:val="004720FE"/>
    <w:rsid w:val="004735BA"/>
    <w:rsid w:val="0047373B"/>
    <w:rsid w:val="0047409B"/>
    <w:rsid w:val="00474EC1"/>
    <w:rsid w:val="00476AAB"/>
    <w:rsid w:val="00476FD7"/>
    <w:rsid w:val="0048029B"/>
    <w:rsid w:val="004807CB"/>
    <w:rsid w:val="00481290"/>
    <w:rsid w:val="00482833"/>
    <w:rsid w:val="00482CED"/>
    <w:rsid w:val="004830F6"/>
    <w:rsid w:val="00483FF3"/>
    <w:rsid w:val="004846F1"/>
    <w:rsid w:val="004849DC"/>
    <w:rsid w:val="00485A97"/>
    <w:rsid w:val="0048604B"/>
    <w:rsid w:val="0048611F"/>
    <w:rsid w:val="00487A71"/>
    <w:rsid w:val="00487E05"/>
    <w:rsid w:val="00490586"/>
    <w:rsid w:val="0049070E"/>
    <w:rsid w:val="004910CE"/>
    <w:rsid w:val="00492970"/>
    <w:rsid w:val="00492ABB"/>
    <w:rsid w:val="00492AE4"/>
    <w:rsid w:val="00492FEB"/>
    <w:rsid w:val="00493237"/>
    <w:rsid w:val="004932C4"/>
    <w:rsid w:val="004937E1"/>
    <w:rsid w:val="0049441B"/>
    <w:rsid w:val="00494F8C"/>
    <w:rsid w:val="004953A2"/>
    <w:rsid w:val="00495F12"/>
    <w:rsid w:val="004960E0"/>
    <w:rsid w:val="00496330"/>
    <w:rsid w:val="004966C5"/>
    <w:rsid w:val="004967E6"/>
    <w:rsid w:val="0049716C"/>
    <w:rsid w:val="0049718E"/>
    <w:rsid w:val="004A03B2"/>
    <w:rsid w:val="004A0673"/>
    <w:rsid w:val="004A13AB"/>
    <w:rsid w:val="004A190F"/>
    <w:rsid w:val="004A239B"/>
    <w:rsid w:val="004A2590"/>
    <w:rsid w:val="004A28CA"/>
    <w:rsid w:val="004A36BA"/>
    <w:rsid w:val="004A37BE"/>
    <w:rsid w:val="004A404C"/>
    <w:rsid w:val="004A47FE"/>
    <w:rsid w:val="004A4868"/>
    <w:rsid w:val="004A4C8E"/>
    <w:rsid w:val="004A4F62"/>
    <w:rsid w:val="004A5798"/>
    <w:rsid w:val="004A5876"/>
    <w:rsid w:val="004A5B2E"/>
    <w:rsid w:val="004A637E"/>
    <w:rsid w:val="004A689E"/>
    <w:rsid w:val="004A6C6F"/>
    <w:rsid w:val="004A73C1"/>
    <w:rsid w:val="004A7CEC"/>
    <w:rsid w:val="004B0C7B"/>
    <w:rsid w:val="004B0CC4"/>
    <w:rsid w:val="004B13AC"/>
    <w:rsid w:val="004B1B1B"/>
    <w:rsid w:val="004B1C0C"/>
    <w:rsid w:val="004B1CB3"/>
    <w:rsid w:val="004B3481"/>
    <w:rsid w:val="004B375B"/>
    <w:rsid w:val="004B3A07"/>
    <w:rsid w:val="004B4BA9"/>
    <w:rsid w:val="004B4CB2"/>
    <w:rsid w:val="004B4F2E"/>
    <w:rsid w:val="004B555A"/>
    <w:rsid w:val="004B5948"/>
    <w:rsid w:val="004B61F4"/>
    <w:rsid w:val="004B7857"/>
    <w:rsid w:val="004C02F1"/>
    <w:rsid w:val="004C0D57"/>
    <w:rsid w:val="004C12C1"/>
    <w:rsid w:val="004C1BE8"/>
    <w:rsid w:val="004C2CA3"/>
    <w:rsid w:val="004C3033"/>
    <w:rsid w:val="004C36EC"/>
    <w:rsid w:val="004C3A0C"/>
    <w:rsid w:val="004C3B9B"/>
    <w:rsid w:val="004C4E21"/>
    <w:rsid w:val="004C5592"/>
    <w:rsid w:val="004C590A"/>
    <w:rsid w:val="004C5C3B"/>
    <w:rsid w:val="004C5F20"/>
    <w:rsid w:val="004C63B6"/>
    <w:rsid w:val="004C6A40"/>
    <w:rsid w:val="004C730A"/>
    <w:rsid w:val="004C75B7"/>
    <w:rsid w:val="004C7610"/>
    <w:rsid w:val="004C7BA5"/>
    <w:rsid w:val="004D0415"/>
    <w:rsid w:val="004D04F6"/>
    <w:rsid w:val="004D0DF3"/>
    <w:rsid w:val="004D19A5"/>
    <w:rsid w:val="004D1BFC"/>
    <w:rsid w:val="004D25F0"/>
    <w:rsid w:val="004D283D"/>
    <w:rsid w:val="004D2E72"/>
    <w:rsid w:val="004D2F0C"/>
    <w:rsid w:val="004D3926"/>
    <w:rsid w:val="004D4019"/>
    <w:rsid w:val="004D4559"/>
    <w:rsid w:val="004D4834"/>
    <w:rsid w:val="004D515B"/>
    <w:rsid w:val="004D6285"/>
    <w:rsid w:val="004D675C"/>
    <w:rsid w:val="004D6A48"/>
    <w:rsid w:val="004D6AF4"/>
    <w:rsid w:val="004D6C45"/>
    <w:rsid w:val="004D7966"/>
    <w:rsid w:val="004D7DD0"/>
    <w:rsid w:val="004E046D"/>
    <w:rsid w:val="004E075E"/>
    <w:rsid w:val="004E08B4"/>
    <w:rsid w:val="004E0AE7"/>
    <w:rsid w:val="004E219A"/>
    <w:rsid w:val="004E3470"/>
    <w:rsid w:val="004E3820"/>
    <w:rsid w:val="004E3B23"/>
    <w:rsid w:val="004E4407"/>
    <w:rsid w:val="004E45C6"/>
    <w:rsid w:val="004E4D7B"/>
    <w:rsid w:val="004E4DDA"/>
    <w:rsid w:val="004E4DDE"/>
    <w:rsid w:val="004E5E0C"/>
    <w:rsid w:val="004E5FFF"/>
    <w:rsid w:val="004E621A"/>
    <w:rsid w:val="004E6317"/>
    <w:rsid w:val="004E65AB"/>
    <w:rsid w:val="004E7B9E"/>
    <w:rsid w:val="004F032F"/>
    <w:rsid w:val="004F06B1"/>
    <w:rsid w:val="004F074D"/>
    <w:rsid w:val="004F0B8A"/>
    <w:rsid w:val="004F14AE"/>
    <w:rsid w:val="004F1717"/>
    <w:rsid w:val="004F2A87"/>
    <w:rsid w:val="004F36BA"/>
    <w:rsid w:val="004F3712"/>
    <w:rsid w:val="004F377E"/>
    <w:rsid w:val="004F3BDB"/>
    <w:rsid w:val="004F4226"/>
    <w:rsid w:val="004F4FE2"/>
    <w:rsid w:val="004F50E3"/>
    <w:rsid w:val="004F5374"/>
    <w:rsid w:val="004F5A4A"/>
    <w:rsid w:val="004F6066"/>
    <w:rsid w:val="004F615D"/>
    <w:rsid w:val="004F62CD"/>
    <w:rsid w:val="004F6432"/>
    <w:rsid w:val="004F646B"/>
    <w:rsid w:val="004F6A10"/>
    <w:rsid w:val="005005D1"/>
    <w:rsid w:val="00500A75"/>
    <w:rsid w:val="00500DBE"/>
    <w:rsid w:val="00500EE8"/>
    <w:rsid w:val="00501076"/>
    <w:rsid w:val="005011A5"/>
    <w:rsid w:val="00501E64"/>
    <w:rsid w:val="00501F78"/>
    <w:rsid w:val="00502090"/>
    <w:rsid w:val="005022F0"/>
    <w:rsid w:val="0050233B"/>
    <w:rsid w:val="0050320E"/>
    <w:rsid w:val="005038FE"/>
    <w:rsid w:val="00503954"/>
    <w:rsid w:val="00503C3E"/>
    <w:rsid w:val="00503EF3"/>
    <w:rsid w:val="0050470D"/>
    <w:rsid w:val="00504C00"/>
    <w:rsid w:val="00504DB3"/>
    <w:rsid w:val="00506288"/>
    <w:rsid w:val="00507305"/>
    <w:rsid w:val="00507533"/>
    <w:rsid w:val="005078DD"/>
    <w:rsid w:val="00507A33"/>
    <w:rsid w:val="00507AF3"/>
    <w:rsid w:val="00510543"/>
    <w:rsid w:val="00510A1A"/>
    <w:rsid w:val="00510C99"/>
    <w:rsid w:val="00510D36"/>
    <w:rsid w:val="00510E9F"/>
    <w:rsid w:val="00510ED9"/>
    <w:rsid w:val="005111E3"/>
    <w:rsid w:val="005125B6"/>
    <w:rsid w:val="0051279D"/>
    <w:rsid w:val="00513052"/>
    <w:rsid w:val="00513A68"/>
    <w:rsid w:val="00514664"/>
    <w:rsid w:val="0051482E"/>
    <w:rsid w:val="00515063"/>
    <w:rsid w:val="005158E2"/>
    <w:rsid w:val="00515ADF"/>
    <w:rsid w:val="00516608"/>
    <w:rsid w:val="00516660"/>
    <w:rsid w:val="0051677F"/>
    <w:rsid w:val="00517378"/>
    <w:rsid w:val="005178E5"/>
    <w:rsid w:val="00517C6F"/>
    <w:rsid w:val="005209CF"/>
    <w:rsid w:val="00520DA1"/>
    <w:rsid w:val="00520DB0"/>
    <w:rsid w:val="005213E3"/>
    <w:rsid w:val="00521494"/>
    <w:rsid w:val="00521521"/>
    <w:rsid w:val="0052190D"/>
    <w:rsid w:val="00521A19"/>
    <w:rsid w:val="00521CBE"/>
    <w:rsid w:val="00522024"/>
    <w:rsid w:val="005220A7"/>
    <w:rsid w:val="00522622"/>
    <w:rsid w:val="00522EC6"/>
    <w:rsid w:val="005234B5"/>
    <w:rsid w:val="005239AA"/>
    <w:rsid w:val="005245A0"/>
    <w:rsid w:val="00524E54"/>
    <w:rsid w:val="00525668"/>
    <w:rsid w:val="00525B22"/>
    <w:rsid w:val="00525BBD"/>
    <w:rsid w:val="0052621E"/>
    <w:rsid w:val="0052635B"/>
    <w:rsid w:val="005267F0"/>
    <w:rsid w:val="00526AA9"/>
    <w:rsid w:val="0052716F"/>
    <w:rsid w:val="005275FC"/>
    <w:rsid w:val="0053062A"/>
    <w:rsid w:val="00530BC8"/>
    <w:rsid w:val="005313DA"/>
    <w:rsid w:val="00531715"/>
    <w:rsid w:val="005329E4"/>
    <w:rsid w:val="00532B5E"/>
    <w:rsid w:val="00533210"/>
    <w:rsid w:val="005334B6"/>
    <w:rsid w:val="00533F08"/>
    <w:rsid w:val="00534140"/>
    <w:rsid w:val="005357E4"/>
    <w:rsid w:val="00535D30"/>
    <w:rsid w:val="00535D9D"/>
    <w:rsid w:val="0053610F"/>
    <w:rsid w:val="00537235"/>
    <w:rsid w:val="00537B78"/>
    <w:rsid w:val="005406D1"/>
    <w:rsid w:val="0054077C"/>
    <w:rsid w:val="00540A32"/>
    <w:rsid w:val="00540DB7"/>
    <w:rsid w:val="00541226"/>
    <w:rsid w:val="005423B9"/>
    <w:rsid w:val="00542738"/>
    <w:rsid w:val="00542AC5"/>
    <w:rsid w:val="0054333C"/>
    <w:rsid w:val="005433FC"/>
    <w:rsid w:val="0054387A"/>
    <w:rsid w:val="005440B2"/>
    <w:rsid w:val="005449F1"/>
    <w:rsid w:val="00545054"/>
    <w:rsid w:val="005451A6"/>
    <w:rsid w:val="00545B5C"/>
    <w:rsid w:val="005469D0"/>
    <w:rsid w:val="0054791D"/>
    <w:rsid w:val="00547A2A"/>
    <w:rsid w:val="00547D7D"/>
    <w:rsid w:val="00547E34"/>
    <w:rsid w:val="00547ED5"/>
    <w:rsid w:val="00551AD0"/>
    <w:rsid w:val="00551C2F"/>
    <w:rsid w:val="005524D3"/>
    <w:rsid w:val="00552A9B"/>
    <w:rsid w:val="00552AA0"/>
    <w:rsid w:val="00552B2E"/>
    <w:rsid w:val="00552FE2"/>
    <w:rsid w:val="0055304E"/>
    <w:rsid w:val="0055318D"/>
    <w:rsid w:val="005535F8"/>
    <w:rsid w:val="00553CFF"/>
    <w:rsid w:val="005541BB"/>
    <w:rsid w:val="00554956"/>
    <w:rsid w:val="00554BE8"/>
    <w:rsid w:val="00554E6D"/>
    <w:rsid w:val="00555CD5"/>
    <w:rsid w:val="00555CFE"/>
    <w:rsid w:val="005562AA"/>
    <w:rsid w:val="005565A0"/>
    <w:rsid w:val="00557739"/>
    <w:rsid w:val="00557835"/>
    <w:rsid w:val="005608C2"/>
    <w:rsid w:val="0056129C"/>
    <w:rsid w:val="00561954"/>
    <w:rsid w:val="00561BA9"/>
    <w:rsid w:val="00562B72"/>
    <w:rsid w:val="00562E0E"/>
    <w:rsid w:val="00563864"/>
    <w:rsid w:val="0056549C"/>
    <w:rsid w:val="005662C4"/>
    <w:rsid w:val="00566442"/>
    <w:rsid w:val="00566D3D"/>
    <w:rsid w:val="0057070E"/>
    <w:rsid w:val="005708D8"/>
    <w:rsid w:val="0057165F"/>
    <w:rsid w:val="0057190E"/>
    <w:rsid w:val="00571F5C"/>
    <w:rsid w:val="005722CA"/>
    <w:rsid w:val="00572C5D"/>
    <w:rsid w:val="0057398D"/>
    <w:rsid w:val="00573A6D"/>
    <w:rsid w:val="00575373"/>
    <w:rsid w:val="00575BA7"/>
    <w:rsid w:val="00575D59"/>
    <w:rsid w:val="00575EC9"/>
    <w:rsid w:val="00576010"/>
    <w:rsid w:val="00576E17"/>
    <w:rsid w:val="005772A1"/>
    <w:rsid w:val="005774BF"/>
    <w:rsid w:val="00577DF4"/>
    <w:rsid w:val="00580C19"/>
    <w:rsid w:val="005811CD"/>
    <w:rsid w:val="005812CC"/>
    <w:rsid w:val="00581428"/>
    <w:rsid w:val="00581591"/>
    <w:rsid w:val="00581943"/>
    <w:rsid w:val="00582BDE"/>
    <w:rsid w:val="00582F54"/>
    <w:rsid w:val="005834C8"/>
    <w:rsid w:val="005836F1"/>
    <w:rsid w:val="00583EF9"/>
    <w:rsid w:val="005842DB"/>
    <w:rsid w:val="00584877"/>
    <w:rsid w:val="005850E2"/>
    <w:rsid w:val="00585AE0"/>
    <w:rsid w:val="0058610A"/>
    <w:rsid w:val="0058661D"/>
    <w:rsid w:val="00586640"/>
    <w:rsid w:val="00586B90"/>
    <w:rsid w:val="00586C4E"/>
    <w:rsid w:val="00586CDE"/>
    <w:rsid w:val="0058731C"/>
    <w:rsid w:val="00587354"/>
    <w:rsid w:val="0058763A"/>
    <w:rsid w:val="00587854"/>
    <w:rsid w:val="00587C00"/>
    <w:rsid w:val="00587E4C"/>
    <w:rsid w:val="005901C1"/>
    <w:rsid w:val="00590985"/>
    <w:rsid w:val="00590E2C"/>
    <w:rsid w:val="00590F7C"/>
    <w:rsid w:val="005911B8"/>
    <w:rsid w:val="0059193B"/>
    <w:rsid w:val="00592823"/>
    <w:rsid w:val="00592E6D"/>
    <w:rsid w:val="00592F74"/>
    <w:rsid w:val="00593018"/>
    <w:rsid w:val="00593091"/>
    <w:rsid w:val="005930AE"/>
    <w:rsid w:val="0059349E"/>
    <w:rsid w:val="00593DEA"/>
    <w:rsid w:val="00593E09"/>
    <w:rsid w:val="005940A9"/>
    <w:rsid w:val="00594295"/>
    <w:rsid w:val="00594C1E"/>
    <w:rsid w:val="00594DD8"/>
    <w:rsid w:val="00594F55"/>
    <w:rsid w:val="0059507E"/>
    <w:rsid w:val="005951B0"/>
    <w:rsid w:val="00595637"/>
    <w:rsid w:val="0059565A"/>
    <w:rsid w:val="00595D59"/>
    <w:rsid w:val="00596A02"/>
    <w:rsid w:val="00597482"/>
    <w:rsid w:val="005A06D2"/>
    <w:rsid w:val="005A0770"/>
    <w:rsid w:val="005A0C14"/>
    <w:rsid w:val="005A15BA"/>
    <w:rsid w:val="005A1717"/>
    <w:rsid w:val="005A1E22"/>
    <w:rsid w:val="005A25B4"/>
    <w:rsid w:val="005A286F"/>
    <w:rsid w:val="005A2F53"/>
    <w:rsid w:val="005A31E4"/>
    <w:rsid w:val="005A3394"/>
    <w:rsid w:val="005A36EC"/>
    <w:rsid w:val="005A4884"/>
    <w:rsid w:val="005A647C"/>
    <w:rsid w:val="005A664B"/>
    <w:rsid w:val="005A71C9"/>
    <w:rsid w:val="005A79E4"/>
    <w:rsid w:val="005B04AA"/>
    <w:rsid w:val="005B0564"/>
    <w:rsid w:val="005B05AA"/>
    <w:rsid w:val="005B1A58"/>
    <w:rsid w:val="005B2DEC"/>
    <w:rsid w:val="005B3264"/>
    <w:rsid w:val="005B329A"/>
    <w:rsid w:val="005B3473"/>
    <w:rsid w:val="005B34C9"/>
    <w:rsid w:val="005B3A7A"/>
    <w:rsid w:val="005B4292"/>
    <w:rsid w:val="005B5265"/>
    <w:rsid w:val="005B5B89"/>
    <w:rsid w:val="005B5CEB"/>
    <w:rsid w:val="005B5F9E"/>
    <w:rsid w:val="005B62D2"/>
    <w:rsid w:val="005B67B7"/>
    <w:rsid w:val="005B7385"/>
    <w:rsid w:val="005C01F1"/>
    <w:rsid w:val="005C0568"/>
    <w:rsid w:val="005C1436"/>
    <w:rsid w:val="005C1BDD"/>
    <w:rsid w:val="005C2F9E"/>
    <w:rsid w:val="005C3901"/>
    <w:rsid w:val="005C3A1E"/>
    <w:rsid w:val="005C3B37"/>
    <w:rsid w:val="005C4091"/>
    <w:rsid w:val="005C473A"/>
    <w:rsid w:val="005C4A64"/>
    <w:rsid w:val="005C5C0E"/>
    <w:rsid w:val="005C60CC"/>
    <w:rsid w:val="005C60EE"/>
    <w:rsid w:val="005C70B0"/>
    <w:rsid w:val="005C7322"/>
    <w:rsid w:val="005C7741"/>
    <w:rsid w:val="005C7F7D"/>
    <w:rsid w:val="005D003B"/>
    <w:rsid w:val="005D0211"/>
    <w:rsid w:val="005D07BE"/>
    <w:rsid w:val="005D13F9"/>
    <w:rsid w:val="005D1CCF"/>
    <w:rsid w:val="005D1F12"/>
    <w:rsid w:val="005D21C7"/>
    <w:rsid w:val="005D2D05"/>
    <w:rsid w:val="005D34DD"/>
    <w:rsid w:val="005D392B"/>
    <w:rsid w:val="005D3B27"/>
    <w:rsid w:val="005D3B45"/>
    <w:rsid w:val="005D3D64"/>
    <w:rsid w:val="005D3FAD"/>
    <w:rsid w:val="005D4017"/>
    <w:rsid w:val="005D4499"/>
    <w:rsid w:val="005D44BF"/>
    <w:rsid w:val="005D46AD"/>
    <w:rsid w:val="005D4715"/>
    <w:rsid w:val="005D547A"/>
    <w:rsid w:val="005D561A"/>
    <w:rsid w:val="005D5C3A"/>
    <w:rsid w:val="005D72F9"/>
    <w:rsid w:val="005D73FF"/>
    <w:rsid w:val="005D7682"/>
    <w:rsid w:val="005E04D0"/>
    <w:rsid w:val="005E056B"/>
    <w:rsid w:val="005E05B2"/>
    <w:rsid w:val="005E078E"/>
    <w:rsid w:val="005E0B69"/>
    <w:rsid w:val="005E0C52"/>
    <w:rsid w:val="005E1BAE"/>
    <w:rsid w:val="005E1EBF"/>
    <w:rsid w:val="005E356C"/>
    <w:rsid w:val="005E38CF"/>
    <w:rsid w:val="005E3A28"/>
    <w:rsid w:val="005E4A0D"/>
    <w:rsid w:val="005E4A2E"/>
    <w:rsid w:val="005E4E30"/>
    <w:rsid w:val="005E4E76"/>
    <w:rsid w:val="005E526E"/>
    <w:rsid w:val="005E5512"/>
    <w:rsid w:val="005E6220"/>
    <w:rsid w:val="005E6AE7"/>
    <w:rsid w:val="005E6E5F"/>
    <w:rsid w:val="005E74AB"/>
    <w:rsid w:val="005E7950"/>
    <w:rsid w:val="005F0707"/>
    <w:rsid w:val="005F0FDF"/>
    <w:rsid w:val="005F1550"/>
    <w:rsid w:val="005F1630"/>
    <w:rsid w:val="005F17D2"/>
    <w:rsid w:val="005F2089"/>
    <w:rsid w:val="005F268D"/>
    <w:rsid w:val="005F2DA6"/>
    <w:rsid w:val="005F3041"/>
    <w:rsid w:val="005F322A"/>
    <w:rsid w:val="005F3874"/>
    <w:rsid w:val="005F39A6"/>
    <w:rsid w:val="005F54BE"/>
    <w:rsid w:val="005F54F2"/>
    <w:rsid w:val="005F5571"/>
    <w:rsid w:val="005F56AD"/>
    <w:rsid w:val="005F5796"/>
    <w:rsid w:val="005F57C5"/>
    <w:rsid w:val="005F587C"/>
    <w:rsid w:val="005F5D38"/>
    <w:rsid w:val="005F6B58"/>
    <w:rsid w:val="005F7663"/>
    <w:rsid w:val="005F78F2"/>
    <w:rsid w:val="00600588"/>
    <w:rsid w:val="00600936"/>
    <w:rsid w:val="00601149"/>
    <w:rsid w:val="006015C3"/>
    <w:rsid w:val="00601602"/>
    <w:rsid w:val="006018B0"/>
    <w:rsid w:val="00601CFD"/>
    <w:rsid w:val="00601D4B"/>
    <w:rsid w:val="00601ECA"/>
    <w:rsid w:val="0060264D"/>
    <w:rsid w:val="00602E75"/>
    <w:rsid w:val="00603019"/>
    <w:rsid w:val="006048E7"/>
    <w:rsid w:val="00604EE4"/>
    <w:rsid w:val="006055CB"/>
    <w:rsid w:val="00606112"/>
    <w:rsid w:val="006066F9"/>
    <w:rsid w:val="00606DC1"/>
    <w:rsid w:val="00606DE3"/>
    <w:rsid w:val="006071C4"/>
    <w:rsid w:val="00607BF2"/>
    <w:rsid w:val="0061044E"/>
    <w:rsid w:val="00612164"/>
    <w:rsid w:val="00612178"/>
    <w:rsid w:val="0061222A"/>
    <w:rsid w:val="006122B8"/>
    <w:rsid w:val="00612724"/>
    <w:rsid w:val="00613D42"/>
    <w:rsid w:val="006141A8"/>
    <w:rsid w:val="00614818"/>
    <w:rsid w:val="00614BDC"/>
    <w:rsid w:val="00615AFC"/>
    <w:rsid w:val="00615C6F"/>
    <w:rsid w:val="00616392"/>
    <w:rsid w:val="00616CC7"/>
    <w:rsid w:val="00616FE1"/>
    <w:rsid w:val="00617A98"/>
    <w:rsid w:val="00617BAC"/>
    <w:rsid w:val="00620272"/>
    <w:rsid w:val="0062042B"/>
    <w:rsid w:val="00620A5E"/>
    <w:rsid w:val="006212CD"/>
    <w:rsid w:val="00621348"/>
    <w:rsid w:val="00621769"/>
    <w:rsid w:val="00621CA7"/>
    <w:rsid w:val="00623327"/>
    <w:rsid w:val="00624302"/>
    <w:rsid w:val="00625057"/>
    <w:rsid w:val="0062546E"/>
    <w:rsid w:val="0062549E"/>
    <w:rsid w:val="00625BB3"/>
    <w:rsid w:val="00625CC0"/>
    <w:rsid w:val="00625D6D"/>
    <w:rsid w:val="00625FCC"/>
    <w:rsid w:val="006260CF"/>
    <w:rsid w:val="006277A6"/>
    <w:rsid w:val="00630B2D"/>
    <w:rsid w:val="00631462"/>
    <w:rsid w:val="0063161B"/>
    <w:rsid w:val="00631AA9"/>
    <w:rsid w:val="00632039"/>
    <w:rsid w:val="006321E0"/>
    <w:rsid w:val="00632E51"/>
    <w:rsid w:val="006332A2"/>
    <w:rsid w:val="00633B8B"/>
    <w:rsid w:val="00633E3F"/>
    <w:rsid w:val="00633F36"/>
    <w:rsid w:val="006349A0"/>
    <w:rsid w:val="00634A90"/>
    <w:rsid w:val="006352A3"/>
    <w:rsid w:val="0063612A"/>
    <w:rsid w:val="006366C4"/>
    <w:rsid w:val="00636D74"/>
    <w:rsid w:val="006374F8"/>
    <w:rsid w:val="00637556"/>
    <w:rsid w:val="00637859"/>
    <w:rsid w:val="00637D59"/>
    <w:rsid w:val="00637D7A"/>
    <w:rsid w:val="0064053B"/>
    <w:rsid w:val="0064155C"/>
    <w:rsid w:val="0064173B"/>
    <w:rsid w:val="006418CB"/>
    <w:rsid w:val="0064204D"/>
    <w:rsid w:val="0064276D"/>
    <w:rsid w:val="006428C0"/>
    <w:rsid w:val="00642DC3"/>
    <w:rsid w:val="00643B02"/>
    <w:rsid w:val="00644B1A"/>
    <w:rsid w:val="0064511F"/>
    <w:rsid w:val="006453FC"/>
    <w:rsid w:val="006458BF"/>
    <w:rsid w:val="00646958"/>
    <w:rsid w:val="00646DF5"/>
    <w:rsid w:val="006473E5"/>
    <w:rsid w:val="006475C9"/>
    <w:rsid w:val="00650C74"/>
    <w:rsid w:val="00651913"/>
    <w:rsid w:val="0065193F"/>
    <w:rsid w:val="0065288B"/>
    <w:rsid w:val="00652A7B"/>
    <w:rsid w:val="00653234"/>
    <w:rsid w:val="00653597"/>
    <w:rsid w:val="00653844"/>
    <w:rsid w:val="006538D5"/>
    <w:rsid w:val="00653F4D"/>
    <w:rsid w:val="00655DC3"/>
    <w:rsid w:val="00656B52"/>
    <w:rsid w:val="00656D67"/>
    <w:rsid w:val="00657410"/>
    <w:rsid w:val="0065750C"/>
    <w:rsid w:val="00657F6A"/>
    <w:rsid w:val="00657FB6"/>
    <w:rsid w:val="00660204"/>
    <w:rsid w:val="006604E5"/>
    <w:rsid w:val="00660F4B"/>
    <w:rsid w:val="00661338"/>
    <w:rsid w:val="00661EC7"/>
    <w:rsid w:val="0066229F"/>
    <w:rsid w:val="0066277D"/>
    <w:rsid w:val="006632E0"/>
    <w:rsid w:val="0066389B"/>
    <w:rsid w:val="00663CDE"/>
    <w:rsid w:val="006640FA"/>
    <w:rsid w:val="00664231"/>
    <w:rsid w:val="00664323"/>
    <w:rsid w:val="006652B8"/>
    <w:rsid w:val="00665343"/>
    <w:rsid w:val="00666AA2"/>
    <w:rsid w:val="00666AFD"/>
    <w:rsid w:val="00667070"/>
    <w:rsid w:val="00667F3D"/>
    <w:rsid w:val="0067060A"/>
    <w:rsid w:val="00670E69"/>
    <w:rsid w:val="006710D8"/>
    <w:rsid w:val="006716C7"/>
    <w:rsid w:val="0067193E"/>
    <w:rsid w:val="00672087"/>
    <w:rsid w:val="00672209"/>
    <w:rsid w:val="0067273A"/>
    <w:rsid w:val="00672939"/>
    <w:rsid w:val="00672F70"/>
    <w:rsid w:val="00673B84"/>
    <w:rsid w:val="00674686"/>
    <w:rsid w:val="00674A52"/>
    <w:rsid w:val="00675194"/>
    <w:rsid w:val="0067549A"/>
    <w:rsid w:val="0067555F"/>
    <w:rsid w:val="00675F05"/>
    <w:rsid w:val="00676132"/>
    <w:rsid w:val="00676B45"/>
    <w:rsid w:val="006773DA"/>
    <w:rsid w:val="00677CD8"/>
    <w:rsid w:val="00677ECF"/>
    <w:rsid w:val="006801C1"/>
    <w:rsid w:val="00681D80"/>
    <w:rsid w:val="00683AEE"/>
    <w:rsid w:val="006840BE"/>
    <w:rsid w:val="00684E16"/>
    <w:rsid w:val="00685009"/>
    <w:rsid w:val="00685063"/>
    <w:rsid w:val="00686EE7"/>
    <w:rsid w:val="006871B0"/>
    <w:rsid w:val="006873A4"/>
    <w:rsid w:val="006876BD"/>
    <w:rsid w:val="00687A6F"/>
    <w:rsid w:val="00687CE2"/>
    <w:rsid w:val="00687E9F"/>
    <w:rsid w:val="0069092F"/>
    <w:rsid w:val="0069114D"/>
    <w:rsid w:val="006912EC"/>
    <w:rsid w:val="00691DDC"/>
    <w:rsid w:val="006922E2"/>
    <w:rsid w:val="006923CE"/>
    <w:rsid w:val="006923E1"/>
    <w:rsid w:val="006924C5"/>
    <w:rsid w:val="00692AF7"/>
    <w:rsid w:val="00692B70"/>
    <w:rsid w:val="006934F8"/>
    <w:rsid w:val="00693EC4"/>
    <w:rsid w:val="006941A8"/>
    <w:rsid w:val="0069485D"/>
    <w:rsid w:val="00694C17"/>
    <w:rsid w:val="00695377"/>
    <w:rsid w:val="00695897"/>
    <w:rsid w:val="0069591D"/>
    <w:rsid w:val="00695B3F"/>
    <w:rsid w:val="00695BB2"/>
    <w:rsid w:val="00695CB7"/>
    <w:rsid w:val="00695D8C"/>
    <w:rsid w:val="006966EF"/>
    <w:rsid w:val="00697062"/>
    <w:rsid w:val="00697647"/>
    <w:rsid w:val="006A0418"/>
    <w:rsid w:val="006A0B14"/>
    <w:rsid w:val="006A139D"/>
    <w:rsid w:val="006A29D6"/>
    <w:rsid w:val="006A2DC6"/>
    <w:rsid w:val="006A341B"/>
    <w:rsid w:val="006A39B7"/>
    <w:rsid w:val="006A3D6A"/>
    <w:rsid w:val="006A4485"/>
    <w:rsid w:val="006A49AB"/>
    <w:rsid w:val="006A4F41"/>
    <w:rsid w:val="006A6432"/>
    <w:rsid w:val="006A6DD4"/>
    <w:rsid w:val="006A79CC"/>
    <w:rsid w:val="006B00B7"/>
    <w:rsid w:val="006B06B4"/>
    <w:rsid w:val="006B0E13"/>
    <w:rsid w:val="006B123A"/>
    <w:rsid w:val="006B1BDE"/>
    <w:rsid w:val="006B1D8D"/>
    <w:rsid w:val="006B1EEF"/>
    <w:rsid w:val="006B226A"/>
    <w:rsid w:val="006B2638"/>
    <w:rsid w:val="006B2C4A"/>
    <w:rsid w:val="006B2E23"/>
    <w:rsid w:val="006B396C"/>
    <w:rsid w:val="006B3BA8"/>
    <w:rsid w:val="006B3BF9"/>
    <w:rsid w:val="006B3C03"/>
    <w:rsid w:val="006B4A25"/>
    <w:rsid w:val="006B4B39"/>
    <w:rsid w:val="006B4D7C"/>
    <w:rsid w:val="006B57C1"/>
    <w:rsid w:val="006B5BFE"/>
    <w:rsid w:val="006B5F49"/>
    <w:rsid w:val="006B6AB1"/>
    <w:rsid w:val="006B78F0"/>
    <w:rsid w:val="006B7AAA"/>
    <w:rsid w:val="006B7C5C"/>
    <w:rsid w:val="006C16D7"/>
    <w:rsid w:val="006C19C6"/>
    <w:rsid w:val="006C1B19"/>
    <w:rsid w:val="006C2A42"/>
    <w:rsid w:val="006C2B3A"/>
    <w:rsid w:val="006C2F1C"/>
    <w:rsid w:val="006C33E9"/>
    <w:rsid w:val="006C3B60"/>
    <w:rsid w:val="006C3C68"/>
    <w:rsid w:val="006C4075"/>
    <w:rsid w:val="006C43E1"/>
    <w:rsid w:val="006C4407"/>
    <w:rsid w:val="006C4BD1"/>
    <w:rsid w:val="006C6834"/>
    <w:rsid w:val="006C6CB4"/>
    <w:rsid w:val="006C7702"/>
    <w:rsid w:val="006C7C23"/>
    <w:rsid w:val="006D176D"/>
    <w:rsid w:val="006D18A1"/>
    <w:rsid w:val="006D1AD4"/>
    <w:rsid w:val="006D1B96"/>
    <w:rsid w:val="006D1CF7"/>
    <w:rsid w:val="006D24E5"/>
    <w:rsid w:val="006D24F5"/>
    <w:rsid w:val="006D293E"/>
    <w:rsid w:val="006D2BB4"/>
    <w:rsid w:val="006D2F7A"/>
    <w:rsid w:val="006D4009"/>
    <w:rsid w:val="006D4ABF"/>
    <w:rsid w:val="006D4AE8"/>
    <w:rsid w:val="006D5E39"/>
    <w:rsid w:val="006D6294"/>
    <w:rsid w:val="006D6856"/>
    <w:rsid w:val="006D6957"/>
    <w:rsid w:val="006D6C91"/>
    <w:rsid w:val="006D7510"/>
    <w:rsid w:val="006D7675"/>
    <w:rsid w:val="006E13E6"/>
    <w:rsid w:val="006E2361"/>
    <w:rsid w:val="006E429B"/>
    <w:rsid w:val="006E44A7"/>
    <w:rsid w:val="006E457E"/>
    <w:rsid w:val="006E4E38"/>
    <w:rsid w:val="006E51CA"/>
    <w:rsid w:val="006E5C61"/>
    <w:rsid w:val="006E5CD6"/>
    <w:rsid w:val="006E64D2"/>
    <w:rsid w:val="006E6A26"/>
    <w:rsid w:val="006E6CCA"/>
    <w:rsid w:val="006E7652"/>
    <w:rsid w:val="006E76C7"/>
    <w:rsid w:val="006E7F81"/>
    <w:rsid w:val="006F1227"/>
    <w:rsid w:val="006F1521"/>
    <w:rsid w:val="006F17C4"/>
    <w:rsid w:val="006F20FD"/>
    <w:rsid w:val="006F23CE"/>
    <w:rsid w:val="006F2589"/>
    <w:rsid w:val="006F25A0"/>
    <w:rsid w:val="006F37E1"/>
    <w:rsid w:val="006F3CDC"/>
    <w:rsid w:val="006F43FD"/>
    <w:rsid w:val="006F48F7"/>
    <w:rsid w:val="006F4BC7"/>
    <w:rsid w:val="006F4D08"/>
    <w:rsid w:val="006F595A"/>
    <w:rsid w:val="006F5CB2"/>
    <w:rsid w:val="006F5DFF"/>
    <w:rsid w:val="006F6274"/>
    <w:rsid w:val="006F6568"/>
    <w:rsid w:val="006F7D0F"/>
    <w:rsid w:val="00700351"/>
    <w:rsid w:val="00700876"/>
    <w:rsid w:val="007014BC"/>
    <w:rsid w:val="007023AB"/>
    <w:rsid w:val="00702960"/>
    <w:rsid w:val="00702DF6"/>
    <w:rsid w:val="00703601"/>
    <w:rsid w:val="00703C71"/>
    <w:rsid w:val="0070475E"/>
    <w:rsid w:val="00704F0C"/>
    <w:rsid w:val="00705072"/>
    <w:rsid w:val="00705A29"/>
    <w:rsid w:val="00705BE2"/>
    <w:rsid w:val="00706EB2"/>
    <w:rsid w:val="00707172"/>
    <w:rsid w:val="00707C88"/>
    <w:rsid w:val="00710230"/>
    <w:rsid w:val="00710FD5"/>
    <w:rsid w:val="00711696"/>
    <w:rsid w:val="00711C7F"/>
    <w:rsid w:val="00712A11"/>
    <w:rsid w:val="00713C27"/>
    <w:rsid w:val="007143A2"/>
    <w:rsid w:val="00714535"/>
    <w:rsid w:val="007159D0"/>
    <w:rsid w:val="00715B32"/>
    <w:rsid w:val="007162D1"/>
    <w:rsid w:val="00716683"/>
    <w:rsid w:val="00716AA4"/>
    <w:rsid w:val="00716FFE"/>
    <w:rsid w:val="00717BF4"/>
    <w:rsid w:val="00717C7B"/>
    <w:rsid w:val="00717EAC"/>
    <w:rsid w:val="00720CB1"/>
    <w:rsid w:val="00721339"/>
    <w:rsid w:val="007215B2"/>
    <w:rsid w:val="00721631"/>
    <w:rsid w:val="00721652"/>
    <w:rsid w:val="00722754"/>
    <w:rsid w:val="00723277"/>
    <w:rsid w:val="007240BF"/>
    <w:rsid w:val="00724124"/>
    <w:rsid w:val="00724BC2"/>
    <w:rsid w:val="00724E07"/>
    <w:rsid w:val="00725769"/>
    <w:rsid w:val="007266D9"/>
    <w:rsid w:val="00727855"/>
    <w:rsid w:val="00730053"/>
    <w:rsid w:val="007305BF"/>
    <w:rsid w:val="00730ACB"/>
    <w:rsid w:val="0073114E"/>
    <w:rsid w:val="00731E12"/>
    <w:rsid w:val="00732943"/>
    <w:rsid w:val="0073332A"/>
    <w:rsid w:val="0073338F"/>
    <w:rsid w:val="00733854"/>
    <w:rsid w:val="00733C11"/>
    <w:rsid w:val="0073438F"/>
    <w:rsid w:val="0073460F"/>
    <w:rsid w:val="0073482E"/>
    <w:rsid w:val="007350DD"/>
    <w:rsid w:val="00735468"/>
    <w:rsid w:val="00735FD7"/>
    <w:rsid w:val="007360F6"/>
    <w:rsid w:val="007372F4"/>
    <w:rsid w:val="007373AA"/>
    <w:rsid w:val="00740243"/>
    <w:rsid w:val="00740C6D"/>
    <w:rsid w:val="0074122A"/>
    <w:rsid w:val="0074183E"/>
    <w:rsid w:val="00741C8B"/>
    <w:rsid w:val="00741CC2"/>
    <w:rsid w:val="00741FA5"/>
    <w:rsid w:val="0074277F"/>
    <w:rsid w:val="007427AA"/>
    <w:rsid w:val="00743124"/>
    <w:rsid w:val="007446F0"/>
    <w:rsid w:val="00744A91"/>
    <w:rsid w:val="00744B69"/>
    <w:rsid w:val="0074551C"/>
    <w:rsid w:val="00745E63"/>
    <w:rsid w:val="007469F1"/>
    <w:rsid w:val="00746F80"/>
    <w:rsid w:val="00747142"/>
    <w:rsid w:val="00747196"/>
    <w:rsid w:val="00747C94"/>
    <w:rsid w:val="00747F68"/>
    <w:rsid w:val="007508BB"/>
    <w:rsid w:val="00751990"/>
    <w:rsid w:val="00751B66"/>
    <w:rsid w:val="007521A6"/>
    <w:rsid w:val="007522A0"/>
    <w:rsid w:val="0075242A"/>
    <w:rsid w:val="00752714"/>
    <w:rsid w:val="007528F0"/>
    <w:rsid w:val="00752EAF"/>
    <w:rsid w:val="007534B7"/>
    <w:rsid w:val="00753AB7"/>
    <w:rsid w:val="007541F1"/>
    <w:rsid w:val="00754234"/>
    <w:rsid w:val="00755680"/>
    <w:rsid w:val="00755FA3"/>
    <w:rsid w:val="007562AA"/>
    <w:rsid w:val="00757CE9"/>
    <w:rsid w:val="00760114"/>
    <w:rsid w:val="00760D86"/>
    <w:rsid w:val="00761F15"/>
    <w:rsid w:val="00762033"/>
    <w:rsid w:val="00762073"/>
    <w:rsid w:val="00762459"/>
    <w:rsid w:val="007626F6"/>
    <w:rsid w:val="00762812"/>
    <w:rsid w:val="00762E4E"/>
    <w:rsid w:val="0076382D"/>
    <w:rsid w:val="00763B92"/>
    <w:rsid w:val="007641D1"/>
    <w:rsid w:val="00764D53"/>
    <w:rsid w:val="007657C4"/>
    <w:rsid w:val="0076599A"/>
    <w:rsid w:val="00765BB9"/>
    <w:rsid w:val="007661D7"/>
    <w:rsid w:val="0076628E"/>
    <w:rsid w:val="0076668A"/>
    <w:rsid w:val="00766EDF"/>
    <w:rsid w:val="0076739A"/>
    <w:rsid w:val="0076799A"/>
    <w:rsid w:val="00767AAD"/>
    <w:rsid w:val="00770E93"/>
    <w:rsid w:val="00771221"/>
    <w:rsid w:val="00771DBB"/>
    <w:rsid w:val="007720A4"/>
    <w:rsid w:val="0077228E"/>
    <w:rsid w:val="00772874"/>
    <w:rsid w:val="00773541"/>
    <w:rsid w:val="007739A4"/>
    <w:rsid w:val="00773ADC"/>
    <w:rsid w:val="00774721"/>
    <w:rsid w:val="00774733"/>
    <w:rsid w:val="0077486B"/>
    <w:rsid w:val="00774AF3"/>
    <w:rsid w:val="00774BB2"/>
    <w:rsid w:val="007753D2"/>
    <w:rsid w:val="0077613C"/>
    <w:rsid w:val="007762EC"/>
    <w:rsid w:val="00776984"/>
    <w:rsid w:val="0077755F"/>
    <w:rsid w:val="0077790F"/>
    <w:rsid w:val="007806DA"/>
    <w:rsid w:val="00780794"/>
    <w:rsid w:val="00780FAA"/>
    <w:rsid w:val="00781549"/>
    <w:rsid w:val="00781CEE"/>
    <w:rsid w:val="00781DEF"/>
    <w:rsid w:val="00783252"/>
    <w:rsid w:val="00783740"/>
    <w:rsid w:val="007837E4"/>
    <w:rsid w:val="00783C63"/>
    <w:rsid w:val="00784174"/>
    <w:rsid w:val="00785AF4"/>
    <w:rsid w:val="00785B95"/>
    <w:rsid w:val="0078619F"/>
    <w:rsid w:val="00786F9D"/>
    <w:rsid w:val="007870DB"/>
    <w:rsid w:val="007873C4"/>
    <w:rsid w:val="0078765F"/>
    <w:rsid w:val="00787E07"/>
    <w:rsid w:val="00790482"/>
    <w:rsid w:val="00791BF5"/>
    <w:rsid w:val="00792091"/>
    <w:rsid w:val="007925C6"/>
    <w:rsid w:val="007931E2"/>
    <w:rsid w:val="0079374C"/>
    <w:rsid w:val="00793AEE"/>
    <w:rsid w:val="00793DA9"/>
    <w:rsid w:val="007942E3"/>
    <w:rsid w:val="007949E4"/>
    <w:rsid w:val="00794D7B"/>
    <w:rsid w:val="00795136"/>
    <w:rsid w:val="0079550F"/>
    <w:rsid w:val="00795AD5"/>
    <w:rsid w:val="00795C5C"/>
    <w:rsid w:val="007964D6"/>
    <w:rsid w:val="00796851"/>
    <w:rsid w:val="00796966"/>
    <w:rsid w:val="00796E27"/>
    <w:rsid w:val="00797283"/>
    <w:rsid w:val="0079749B"/>
    <w:rsid w:val="00797969"/>
    <w:rsid w:val="00797A7D"/>
    <w:rsid w:val="00797AF9"/>
    <w:rsid w:val="00797E28"/>
    <w:rsid w:val="007A0731"/>
    <w:rsid w:val="007A115D"/>
    <w:rsid w:val="007A144F"/>
    <w:rsid w:val="007A2441"/>
    <w:rsid w:val="007A42C8"/>
    <w:rsid w:val="007A43FF"/>
    <w:rsid w:val="007A4734"/>
    <w:rsid w:val="007A5131"/>
    <w:rsid w:val="007A5193"/>
    <w:rsid w:val="007A5BD6"/>
    <w:rsid w:val="007A5F38"/>
    <w:rsid w:val="007A6887"/>
    <w:rsid w:val="007A70B9"/>
    <w:rsid w:val="007A7295"/>
    <w:rsid w:val="007A7EAC"/>
    <w:rsid w:val="007B04E5"/>
    <w:rsid w:val="007B0669"/>
    <w:rsid w:val="007B08B9"/>
    <w:rsid w:val="007B0B57"/>
    <w:rsid w:val="007B1A8A"/>
    <w:rsid w:val="007B1EA9"/>
    <w:rsid w:val="007B2D9B"/>
    <w:rsid w:val="007B2E26"/>
    <w:rsid w:val="007B3315"/>
    <w:rsid w:val="007B37E5"/>
    <w:rsid w:val="007B493C"/>
    <w:rsid w:val="007B4A0D"/>
    <w:rsid w:val="007B4DD3"/>
    <w:rsid w:val="007B4E2B"/>
    <w:rsid w:val="007B627B"/>
    <w:rsid w:val="007B7618"/>
    <w:rsid w:val="007B7CE2"/>
    <w:rsid w:val="007C0439"/>
    <w:rsid w:val="007C0734"/>
    <w:rsid w:val="007C114F"/>
    <w:rsid w:val="007C1B89"/>
    <w:rsid w:val="007C20E2"/>
    <w:rsid w:val="007C223C"/>
    <w:rsid w:val="007C2890"/>
    <w:rsid w:val="007C2D84"/>
    <w:rsid w:val="007C306C"/>
    <w:rsid w:val="007C4399"/>
    <w:rsid w:val="007C523C"/>
    <w:rsid w:val="007C5292"/>
    <w:rsid w:val="007C5363"/>
    <w:rsid w:val="007C574D"/>
    <w:rsid w:val="007C6780"/>
    <w:rsid w:val="007C7996"/>
    <w:rsid w:val="007C7A20"/>
    <w:rsid w:val="007C7FD3"/>
    <w:rsid w:val="007D0366"/>
    <w:rsid w:val="007D06C6"/>
    <w:rsid w:val="007D1771"/>
    <w:rsid w:val="007D192E"/>
    <w:rsid w:val="007D1AA1"/>
    <w:rsid w:val="007D1EFA"/>
    <w:rsid w:val="007D21E6"/>
    <w:rsid w:val="007D2270"/>
    <w:rsid w:val="007D2CAB"/>
    <w:rsid w:val="007D3A97"/>
    <w:rsid w:val="007D3DE7"/>
    <w:rsid w:val="007D45B4"/>
    <w:rsid w:val="007D46ED"/>
    <w:rsid w:val="007D4E64"/>
    <w:rsid w:val="007D5502"/>
    <w:rsid w:val="007D599B"/>
    <w:rsid w:val="007D61B6"/>
    <w:rsid w:val="007D6E60"/>
    <w:rsid w:val="007D7028"/>
    <w:rsid w:val="007D78BA"/>
    <w:rsid w:val="007D7B22"/>
    <w:rsid w:val="007D7BDB"/>
    <w:rsid w:val="007D7E66"/>
    <w:rsid w:val="007E07F5"/>
    <w:rsid w:val="007E1816"/>
    <w:rsid w:val="007E2B2C"/>
    <w:rsid w:val="007E2BE4"/>
    <w:rsid w:val="007E4C0B"/>
    <w:rsid w:val="007E4F85"/>
    <w:rsid w:val="007E5338"/>
    <w:rsid w:val="007E588B"/>
    <w:rsid w:val="007E5E54"/>
    <w:rsid w:val="007E62ED"/>
    <w:rsid w:val="007E76BA"/>
    <w:rsid w:val="007E78C1"/>
    <w:rsid w:val="007E7E18"/>
    <w:rsid w:val="007F01AF"/>
    <w:rsid w:val="007F05E6"/>
    <w:rsid w:val="007F0CF3"/>
    <w:rsid w:val="007F110E"/>
    <w:rsid w:val="007F181A"/>
    <w:rsid w:val="007F1DD5"/>
    <w:rsid w:val="007F26B5"/>
    <w:rsid w:val="007F2CD8"/>
    <w:rsid w:val="007F3079"/>
    <w:rsid w:val="007F3115"/>
    <w:rsid w:val="007F32AA"/>
    <w:rsid w:val="007F3BEE"/>
    <w:rsid w:val="007F4473"/>
    <w:rsid w:val="007F49D0"/>
    <w:rsid w:val="007F5005"/>
    <w:rsid w:val="007F50FB"/>
    <w:rsid w:val="007F5FF6"/>
    <w:rsid w:val="007F624A"/>
    <w:rsid w:val="007F65C9"/>
    <w:rsid w:val="007F667D"/>
    <w:rsid w:val="007F7C42"/>
    <w:rsid w:val="00800419"/>
    <w:rsid w:val="00800511"/>
    <w:rsid w:val="008005DB"/>
    <w:rsid w:val="00800C58"/>
    <w:rsid w:val="00801216"/>
    <w:rsid w:val="00801261"/>
    <w:rsid w:val="00801FDE"/>
    <w:rsid w:val="00802FD8"/>
    <w:rsid w:val="008031DE"/>
    <w:rsid w:val="008042EE"/>
    <w:rsid w:val="00804635"/>
    <w:rsid w:val="00804F8A"/>
    <w:rsid w:val="00804FFD"/>
    <w:rsid w:val="00806193"/>
    <w:rsid w:val="00806701"/>
    <w:rsid w:val="00807231"/>
    <w:rsid w:val="008072E2"/>
    <w:rsid w:val="0080732F"/>
    <w:rsid w:val="0080775E"/>
    <w:rsid w:val="00807FA5"/>
    <w:rsid w:val="0081017D"/>
    <w:rsid w:val="00810DE9"/>
    <w:rsid w:val="00811435"/>
    <w:rsid w:val="00811B5C"/>
    <w:rsid w:val="008121B0"/>
    <w:rsid w:val="00812C30"/>
    <w:rsid w:val="008146BA"/>
    <w:rsid w:val="008149CC"/>
    <w:rsid w:val="00814AB0"/>
    <w:rsid w:val="00814B86"/>
    <w:rsid w:val="00815F8E"/>
    <w:rsid w:val="008160E1"/>
    <w:rsid w:val="00816C55"/>
    <w:rsid w:val="0081725D"/>
    <w:rsid w:val="00817326"/>
    <w:rsid w:val="00820337"/>
    <w:rsid w:val="00820422"/>
    <w:rsid w:val="00820463"/>
    <w:rsid w:val="00820735"/>
    <w:rsid w:val="00820B34"/>
    <w:rsid w:val="00820BFF"/>
    <w:rsid w:val="00820CF4"/>
    <w:rsid w:val="00820DB9"/>
    <w:rsid w:val="0082166F"/>
    <w:rsid w:val="008218D3"/>
    <w:rsid w:val="008226DE"/>
    <w:rsid w:val="00822A78"/>
    <w:rsid w:val="00823124"/>
    <w:rsid w:val="00824369"/>
    <w:rsid w:val="00824432"/>
    <w:rsid w:val="008246AA"/>
    <w:rsid w:val="00824924"/>
    <w:rsid w:val="00824FA8"/>
    <w:rsid w:val="00825850"/>
    <w:rsid w:val="00825911"/>
    <w:rsid w:val="00825F53"/>
    <w:rsid w:val="008260F9"/>
    <w:rsid w:val="008262E1"/>
    <w:rsid w:val="00826A75"/>
    <w:rsid w:val="0083083F"/>
    <w:rsid w:val="00831F9E"/>
    <w:rsid w:val="00832457"/>
    <w:rsid w:val="00832505"/>
    <w:rsid w:val="00832C36"/>
    <w:rsid w:val="008332B3"/>
    <w:rsid w:val="00833D47"/>
    <w:rsid w:val="00833F1C"/>
    <w:rsid w:val="008342B9"/>
    <w:rsid w:val="00834D47"/>
    <w:rsid w:val="00835122"/>
    <w:rsid w:val="00835E1C"/>
    <w:rsid w:val="00836B37"/>
    <w:rsid w:val="008370BA"/>
    <w:rsid w:val="00837CCF"/>
    <w:rsid w:val="008400D2"/>
    <w:rsid w:val="00840302"/>
    <w:rsid w:val="00840C94"/>
    <w:rsid w:val="00840DFE"/>
    <w:rsid w:val="00840E2F"/>
    <w:rsid w:val="00841030"/>
    <w:rsid w:val="00841162"/>
    <w:rsid w:val="008415F6"/>
    <w:rsid w:val="00841B6E"/>
    <w:rsid w:val="00842445"/>
    <w:rsid w:val="008435C9"/>
    <w:rsid w:val="00843ADB"/>
    <w:rsid w:val="00843F48"/>
    <w:rsid w:val="00844786"/>
    <w:rsid w:val="00845760"/>
    <w:rsid w:val="00845BB6"/>
    <w:rsid w:val="00846D7E"/>
    <w:rsid w:val="008474B4"/>
    <w:rsid w:val="00850745"/>
    <w:rsid w:val="00850895"/>
    <w:rsid w:val="00851441"/>
    <w:rsid w:val="0085184C"/>
    <w:rsid w:val="00852510"/>
    <w:rsid w:val="008525C3"/>
    <w:rsid w:val="008525DF"/>
    <w:rsid w:val="00852ABC"/>
    <w:rsid w:val="00852C65"/>
    <w:rsid w:val="00852DC5"/>
    <w:rsid w:val="008535CF"/>
    <w:rsid w:val="00853E2C"/>
    <w:rsid w:val="00853F55"/>
    <w:rsid w:val="00854B63"/>
    <w:rsid w:val="00854D7D"/>
    <w:rsid w:val="00855AC6"/>
    <w:rsid w:val="00855D2E"/>
    <w:rsid w:val="00855E50"/>
    <w:rsid w:val="008562F9"/>
    <w:rsid w:val="00856AB9"/>
    <w:rsid w:val="00856FF6"/>
    <w:rsid w:val="0085777C"/>
    <w:rsid w:val="008601F0"/>
    <w:rsid w:val="00861F13"/>
    <w:rsid w:val="00862AC0"/>
    <w:rsid w:val="00863321"/>
    <w:rsid w:val="00863641"/>
    <w:rsid w:val="00863A05"/>
    <w:rsid w:val="00863C6F"/>
    <w:rsid w:val="008659B0"/>
    <w:rsid w:val="008661CC"/>
    <w:rsid w:val="008662B2"/>
    <w:rsid w:val="00866FEB"/>
    <w:rsid w:val="00867230"/>
    <w:rsid w:val="008678A6"/>
    <w:rsid w:val="00867D29"/>
    <w:rsid w:val="00870EBA"/>
    <w:rsid w:val="0087123B"/>
    <w:rsid w:val="0087312E"/>
    <w:rsid w:val="00873489"/>
    <w:rsid w:val="00873669"/>
    <w:rsid w:val="008741AF"/>
    <w:rsid w:val="008761C7"/>
    <w:rsid w:val="00876410"/>
    <w:rsid w:val="00876F9B"/>
    <w:rsid w:val="00877EA2"/>
    <w:rsid w:val="008800A3"/>
    <w:rsid w:val="00880A6E"/>
    <w:rsid w:val="00881CFC"/>
    <w:rsid w:val="00881FD3"/>
    <w:rsid w:val="0088259A"/>
    <w:rsid w:val="00882B9A"/>
    <w:rsid w:val="008837EF"/>
    <w:rsid w:val="008848B4"/>
    <w:rsid w:val="00884F3E"/>
    <w:rsid w:val="00885680"/>
    <w:rsid w:val="008857A9"/>
    <w:rsid w:val="00885905"/>
    <w:rsid w:val="00886CBD"/>
    <w:rsid w:val="008873DF"/>
    <w:rsid w:val="008877D6"/>
    <w:rsid w:val="00890681"/>
    <w:rsid w:val="0089125C"/>
    <w:rsid w:val="00891944"/>
    <w:rsid w:val="00892450"/>
    <w:rsid w:val="00892742"/>
    <w:rsid w:val="008929FD"/>
    <w:rsid w:val="00892F7A"/>
    <w:rsid w:val="0089331E"/>
    <w:rsid w:val="00893FB4"/>
    <w:rsid w:val="008944C0"/>
    <w:rsid w:val="008956E7"/>
    <w:rsid w:val="00896604"/>
    <w:rsid w:val="00896A8E"/>
    <w:rsid w:val="00896B68"/>
    <w:rsid w:val="00896D64"/>
    <w:rsid w:val="0089751A"/>
    <w:rsid w:val="0089792F"/>
    <w:rsid w:val="008A0915"/>
    <w:rsid w:val="008A094F"/>
    <w:rsid w:val="008A14B3"/>
    <w:rsid w:val="008A1AD4"/>
    <w:rsid w:val="008A1D05"/>
    <w:rsid w:val="008A1FF0"/>
    <w:rsid w:val="008A231B"/>
    <w:rsid w:val="008A36D0"/>
    <w:rsid w:val="008A3DF0"/>
    <w:rsid w:val="008A5030"/>
    <w:rsid w:val="008A52BC"/>
    <w:rsid w:val="008A571D"/>
    <w:rsid w:val="008A5C79"/>
    <w:rsid w:val="008A6544"/>
    <w:rsid w:val="008A7F98"/>
    <w:rsid w:val="008B00BE"/>
    <w:rsid w:val="008B0433"/>
    <w:rsid w:val="008B16B7"/>
    <w:rsid w:val="008B1768"/>
    <w:rsid w:val="008B2D1A"/>
    <w:rsid w:val="008B3D2B"/>
    <w:rsid w:val="008B408B"/>
    <w:rsid w:val="008B63E0"/>
    <w:rsid w:val="008B6AC0"/>
    <w:rsid w:val="008B6E5D"/>
    <w:rsid w:val="008B6E72"/>
    <w:rsid w:val="008B77BA"/>
    <w:rsid w:val="008B7910"/>
    <w:rsid w:val="008B7FAC"/>
    <w:rsid w:val="008C0F87"/>
    <w:rsid w:val="008C1574"/>
    <w:rsid w:val="008C16F9"/>
    <w:rsid w:val="008C1C87"/>
    <w:rsid w:val="008C234A"/>
    <w:rsid w:val="008C2AF2"/>
    <w:rsid w:val="008C50A5"/>
    <w:rsid w:val="008C6020"/>
    <w:rsid w:val="008C67FB"/>
    <w:rsid w:val="008C7356"/>
    <w:rsid w:val="008C7567"/>
    <w:rsid w:val="008C7662"/>
    <w:rsid w:val="008D0DB9"/>
    <w:rsid w:val="008D0F96"/>
    <w:rsid w:val="008D1048"/>
    <w:rsid w:val="008D1AD1"/>
    <w:rsid w:val="008D1B1A"/>
    <w:rsid w:val="008D1F10"/>
    <w:rsid w:val="008D2554"/>
    <w:rsid w:val="008D261B"/>
    <w:rsid w:val="008D2703"/>
    <w:rsid w:val="008D28D8"/>
    <w:rsid w:val="008D2D1B"/>
    <w:rsid w:val="008D3075"/>
    <w:rsid w:val="008D311F"/>
    <w:rsid w:val="008D32F5"/>
    <w:rsid w:val="008D3F24"/>
    <w:rsid w:val="008D4A50"/>
    <w:rsid w:val="008D4E93"/>
    <w:rsid w:val="008D754A"/>
    <w:rsid w:val="008E11B0"/>
    <w:rsid w:val="008E1C1B"/>
    <w:rsid w:val="008E1C73"/>
    <w:rsid w:val="008E1CF2"/>
    <w:rsid w:val="008E21B0"/>
    <w:rsid w:val="008E23F5"/>
    <w:rsid w:val="008E25B3"/>
    <w:rsid w:val="008E269B"/>
    <w:rsid w:val="008E2C63"/>
    <w:rsid w:val="008E324B"/>
    <w:rsid w:val="008E3519"/>
    <w:rsid w:val="008E4530"/>
    <w:rsid w:val="008E4878"/>
    <w:rsid w:val="008E4C68"/>
    <w:rsid w:val="008E5521"/>
    <w:rsid w:val="008E6575"/>
    <w:rsid w:val="008E6B29"/>
    <w:rsid w:val="008E6B70"/>
    <w:rsid w:val="008E6B9B"/>
    <w:rsid w:val="008E6D39"/>
    <w:rsid w:val="008E733A"/>
    <w:rsid w:val="008E79BE"/>
    <w:rsid w:val="008E7A93"/>
    <w:rsid w:val="008F0CB5"/>
    <w:rsid w:val="008F22EA"/>
    <w:rsid w:val="008F4191"/>
    <w:rsid w:val="008F45A7"/>
    <w:rsid w:val="008F5686"/>
    <w:rsid w:val="008F5818"/>
    <w:rsid w:val="008F5DD2"/>
    <w:rsid w:val="008F5F39"/>
    <w:rsid w:val="008F68B3"/>
    <w:rsid w:val="008F7300"/>
    <w:rsid w:val="008F7301"/>
    <w:rsid w:val="00900479"/>
    <w:rsid w:val="00900810"/>
    <w:rsid w:val="00902039"/>
    <w:rsid w:val="009028DD"/>
    <w:rsid w:val="00903B90"/>
    <w:rsid w:val="00903F03"/>
    <w:rsid w:val="00904AB0"/>
    <w:rsid w:val="00904CCE"/>
    <w:rsid w:val="00904E89"/>
    <w:rsid w:val="00905211"/>
    <w:rsid w:val="00905265"/>
    <w:rsid w:val="00905826"/>
    <w:rsid w:val="00905CF2"/>
    <w:rsid w:val="009070F0"/>
    <w:rsid w:val="0090797E"/>
    <w:rsid w:val="00907C7C"/>
    <w:rsid w:val="009101E7"/>
    <w:rsid w:val="0091023F"/>
    <w:rsid w:val="00910566"/>
    <w:rsid w:val="009107FA"/>
    <w:rsid w:val="00910C55"/>
    <w:rsid w:val="00910D94"/>
    <w:rsid w:val="00911085"/>
    <w:rsid w:val="0091116C"/>
    <w:rsid w:val="0091128F"/>
    <w:rsid w:val="00911CA5"/>
    <w:rsid w:val="009120A8"/>
    <w:rsid w:val="009120B7"/>
    <w:rsid w:val="00912A72"/>
    <w:rsid w:val="00912B10"/>
    <w:rsid w:val="00912D0F"/>
    <w:rsid w:val="00912EEF"/>
    <w:rsid w:val="00913814"/>
    <w:rsid w:val="00913C6E"/>
    <w:rsid w:val="0091419B"/>
    <w:rsid w:val="009144F5"/>
    <w:rsid w:val="00914926"/>
    <w:rsid w:val="00914AEA"/>
    <w:rsid w:val="00914D74"/>
    <w:rsid w:val="00914DBB"/>
    <w:rsid w:val="0091511A"/>
    <w:rsid w:val="0091544D"/>
    <w:rsid w:val="00915F95"/>
    <w:rsid w:val="0091607C"/>
    <w:rsid w:val="00916627"/>
    <w:rsid w:val="00917192"/>
    <w:rsid w:val="0091723A"/>
    <w:rsid w:val="00917744"/>
    <w:rsid w:val="00920D14"/>
    <w:rsid w:val="009213D9"/>
    <w:rsid w:val="00921737"/>
    <w:rsid w:val="00922453"/>
    <w:rsid w:val="00922993"/>
    <w:rsid w:val="00922BFC"/>
    <w:rsid w:val="00922FB3"/>
    <w:rsid w:val="00923FDD"/>
    <w:rsid w:val="00924950"/>
    <w:rsid w:val="00925965"/>
    <w:rsid w:val="00925AD3"/>
    <w:rsid w:val="00925AF4"/>
    <w:rsid w:val="00925CBA"/>
    <w:rsid w:val="00926C4B"/>
    <w:rsid w:val="00926D94"/>
    <w:rsid w:val="00927318"/>
    <w:rsid w:val="00927880"/>
    <w:rsid w:val="00927D47"/>
    <w:rsid w:val="009304BF"/>
    <w:rsid w:val="0093064D"/>
    <w:rsid w:val="00930F61"/>
    <w:rsid w:val="00931156"/>
    <w:rsid w:val="009312DF"/>
    <w:rsid w:val="0093179D"/>
    <w:rsid w:val="00931E08"/>
    <w:rsid w:val="0093208B"/>
    <w:rsid w:val="009322E9"/>
    <w:rsid w:val="00932B10"/>
    <w:rsid w:val="00932D51"/>
    <w:rsid w:val="009330E4"/>
    <w:rsid w:val="0093374A"/>
    <w:rsid w:val="00933D5E"/>
    <w:rsid w:val="00934BF5"/>
    <w:rsid w:val="009353F8"/>
    <w:rsid w:val="009357F3"/>
    <w:rsid w:val="009358C0"/>
    <w:rsid w:val="00935D34"/>
    <w:rsid w:val="00936276"/>
    <w:rsid w:val="00936585"/>
    <w:rsid w:val="0093712D"/>
    <w:rsid w:val="0093712F"/>
    <w:rsid w:val="0093734B"/>
    <w:rsid w:val="009379A2"/>
    <w:rsid w:val="00940914"/>
    <w:rsid w:val="00940B5E"/>
    <w:rsid w:val="00940C84"/>
    <w:rsid w:val="009414F3"/>
    <w:rsid w:val="00941650"/>
    <w:rsid w:val="00941686"/>
    <w:rsid w:val="00941DA5"/>
    <w:rsid w:val="00942F44"/>
    <w:rsid w:val="009433F9"/>
    <w:rsid w:val="00944097"/>
    <w:rsid w:val="009451CA"/>
    <w:rsid w:val="0094585C"/>
    <w:rsid w:val="00945AE2"/>
    <w:rsid w:val="0094646F"/>
    <w:rsid w:val="00946820"/>
    <w:rsid w:val="00946EAB"/>
    <w:rsid w:val="00947BF3"/>
    <w:rsid w:val="00947C5B"/>
    <w:rsid w:val="009500E3"/>
    <w:rsid w:val="009507EA"/>
    <w:rsid w:val="00950913"/>
    <w:rsid w:val="00950FF4"/>
    <w:rsid w:val="00951E92"/>
    <w:rsid w:val="00952479"/>
    <w:rsid w:val="009525A9"/>
    <w:rsid w:val="0095503F"/>
    <w:rsid w:val="009559EC"/>
    <w:rsid w:val="00955ADC"/>
    <w:rsid w:val="0095623C"/>
    <w:rsid w:val="00956CA7"/>
    <w:rsid w:val="009601E9"/>
    <w:rsid w:val="00960415"/>
    <w:rsid w:val="009607F0"/>
    <w:rsid w:val="00961DE0"/>
    <w:rsid w:val="009621FA"/>
    <w:rsid w:val="009623DC"/>
    <w:rsid w:val="00962719"/>
    <w:rsid w:val="00962B75"/>
    <w:rsid w:val="00962B94"/>
    <w:rsid w:val="00962F90"/>
    <w:rsid w:val="0096312E"/>
    <w:rsid w:val="00963307"/>
    <w:rsid w:val="00963519"/>
    <w:rsid w:val="0096392E"/>
    <w:rsid w:val="00963935"/>
    <w:rsid w:val="00963CBD"/>
    <w:rsid w:val="00963D9D"/>
    <w:rsid w:val="009654EE"/>
    <w:rsid w:val="009660BA"/>
    <w:rsid w:val="00966280"/>
    <w:rsid w:val="00966CB0"/>
    <w:rsid w:val="00967A28"/>
    <w:rsid w:val="00970258"/>
    <w:rsid w:val="00970370"/>
    <w:rsid w:val="009707D7"/>
    <w:rsid w:val="009720F5"/>
    <w:rsid w:val="0097232B"/>
    <w:rsid w:val="00972F9B"/>
    <w:rsid w:val="0097314A"/>
    <w:rsid w:val="009732F0"/>
    <w:rsid w:val="00973A40"/>
    <w:rsid w:val="00973F8A"/>
    <w:rsid w:val="009745B9"/>
    <w:rsid w:val="0097513A"/>
    <w:rsid w:val="00975D5E"/>
    <w:rsid w:val="0097606F"/>
    <w:rsid w:val="00976795"/>
    <w:rsid w:val="009774DE"/>
    <w:rsid w:val="00977AF7"/>
    <w:rsid w:val="00977DC9"/>
    <w:rsid w:val="00977FB0"/>
    <w:rsid w:val="0098018B"/>
    <w:rsid w:val="00980FF6"/>
    <w:rsid w:val="00981216"/>
    <w:rsid w:val="00981365"/>
    <w:rsid w:val="009816F6"/>
    <w:rsid w:val="009819B9"/>
    <w:rsid w:val="0098216D"/>
    <w:rsid w:val="00982B58"/>
    <w:rsid w:val="00982D1D"/>
    <w:rsid w:val="00982D57"/>
    <w:rsid w:val="00982EE4"/>
    <w:rsid w:val="0098309F"/>
    <w:rsid w:val="009830B6"/>
    <w:rsid w:val="009841C8"/>
    <w:rsid w:val="00984415"/>
    <w:rsid w:val="00984F95"/>
    <w:rsid w:val="00985131"/>
    <w:rsid w:val="00985CC5"/>
    <w:rsid w:val="00985CC7"/>
    <w:rsid w:val="00986869"/>
    <w:rsid w:val="00986989"/>
    <w:rsid w:val="009875AD"/>
    <w:rsid w:val="00987680"/>
    <w:rsid w:val="00987CFF"/>
    <w:rsid w:val="00987F59"/>
    <w:rsid w:val="009908AD"/>
    <w:rsid w:val="00990CD3"/>
    <w:rsid w:val="0099169E"/>
    <w:rsid w:val="00991F21"/>
    <w:rsid w:val="009925C3"/>
    <w:rsid w:val="00993A1D"/>
    <w:rsid w:val="0099443B"/>
    <w:rsid w:val="009944A9"/>
    <w:rsid w:val="009945B8"/>
    <w:rsid w:val="00994760"/>
    <w:rsid w:val="00994865"/>
    <w:rsid w:val="00994FCE"/>
    <w:rsid w:val="009958D4"/>
    <w:rsid w:val="00995DEF"/>
    <w:rsid w:val="00996015"/>
    <w:rsid w:val="00996420"/>
    <w:rsid w:val="009966BA"/>
    <w:rsid w:val="009967E3"/>
    <w:rsid w:val="00996C7A"/>
    <w:rsid w:val="00996D9D"/>
    <w:rsid w:val="0099754A"/>
    <w:rsid w:val="00997A22"/>
    <w:rsid w:val="009A07B9"/>
    <w:rsid w:val="009A0B46"/>
    <w:rsid w:val="009A110E"/>
    <w:rsid w:val="009A1213"/>
    <w:rsid w:val="009A16E9"/>
    <w:rsid w:val="009A23BA"/>
    <w:rsid w:val="009A3640"/>
    <w:rsid w:val="009A37D0"/>
    <w:rsid w:val="009A3C75"/>
    <w:rsid w:val="009A3EE0"/>
    <w:rsid w:val="009A4F34"/>
    <w:rsid w:val="009A512B"/>
    <w:rsid w:val="009A52FE"/>
    <w:rsid w:val="009A6426"/>
    <w:rsid w:val="009A668E"/>
    <w:rsid w:val="009A6CAE"/>
    <w:rsid w:val="009A6F1F"/>
    <w:rsid w:val="009A725A"/>
    <w:rsid w:val="009A7FAF"/>
    <w:rsid w:val="009B09EE"/>
    <w:rsid w:val="009B0B55"/>
    <w:rsid w:val="009B0E87"/>
    <w:rsid w:val="009B0F8C"/>
    <w:rsid w:val="009B25B5"/>
    <w:rsid w:val="009B33BD"/>
    <w:rsid w:val="009B3763"/>
    <w:rsid w:val="009B3849"/>
    <w:rsid w:val="009B3F74"/>
    <w:rsid w:val="009B4173"/>
    <w:rsid w:val="009B537B"/>
    <w:rsid w:val="009B6022"/>
    <w:rsid w:val="009C0732"/>
    <w:rsid w:val="009C1713"/>
    <w:rsid w:val="009C186A"/>
    <w:rsid w:val="009C186D"/>
    <w:rsid w:val="009C1BA1"/>
    <w:rsid w:val="009C2446"/>
    <w:rsid w:val="009C2BAE"/>
    <w:rsid w:val="009C3188"/>
    <w:rsid w:val="009C40A4"/>
    <w:rsid w:val="009C43CA"/>
    <w:rsid w:val="009C459D"/>
    <w:rsid w:val="009C4C19"/>
    <w:rsid w:val="009C4ED4"/>
    <w:rsid w:val="009C562A"/>
    <w:rsid w:val="009C5A7A"/>
    <w:rsid w:val="009C5E91"/>
    <w:rsid w:val="009C66F2"/>
    <w:rsid w:val="009C66FC"/>
    <w:rsid w:val="009C7237"/>
    <w:rsid w:val="009C744B"/>
    <w:rsid w:val="009C7559"/>
    <w:rsid w:val="009D03D8"/>
    <w:rsid w:val="009D06E5"/>
    <w:rsid w:val="009D08FF"/>
    <w:rsid w:val="009D12DF"/>
    <w:rsid w:val="009D1E72"/>
    <w:rsid w:val="009D1F26"/>
    <w:rsid w:val="009D1F38"/>
    <w:rsid w:val="009D219A"/>
    <w:rsid w:val="009D2B1E"/>
    <w:rsid w:val="009D2B43"/>
    <w:rsid w:val="009D4699"/>
    <w:rsid w:val="009D4F92"/>
    <w:rsid w:val="009D5649"/>
    <w:rsid w:val="009D5C7D"/>
    <w:rsid w:val="009D5F54"/>
    <w:rsid w:val="009D76CD"/>
    <w:rsid w:val="009D7713"/>
    <w:rsid w:val="009D7FCB"/>
    <w:rsid w:val="009E04F1"/>
    <w:rsid w:val="009E2776"/>
    <w:rsid w:val="009E31A8"/>
    <w:rsid w:val="009E32AF"/>
    <w:rsid w:val="009E3EFA"/>
    <w:rsid w:val="009E4151"/>
    <w:rsid w:val="009E4782"/>
    <w:rsid w:val="009E4C9D"/>
    <w:rsid w:val="009E55C8"/>
    <w:rsid w:val="009E57EE"/>
    <w:rsid w:val="009E5936"/>
    <w:rsid w:val="009E5D50"/>
    <w:rsid w:val="009E77CA"/>
    <w:rsid w:val="009E7F4B"/>
    <w:rsid w:val="009F047B"/>
    <w:rsid w:val="009F1128"/>
    <w:rsid w:val="009F1176"/>
    <w:rsid w:val="009F19E3"/>
    <w:rsid w:val="009F1E62"/>
    <w:rsid w:val="009F23E6"/>
    <w:rsid w:val="009F2981"/>
    <w:rsid w:val="009F2D2C"/>
    <w:rsid w:val="009F2D39"/>
    <w:rsid w:val="009F48B4"/>
    <w:rsid w:val="009F54B1"/>
    <w:rsid w:val="009F554A"/>
    <w:rsid w:val="009F5992"/>
    <w:rsid w:val="009F5A38"/>
    <w:rsid w:val="009F5DFC"/>
    <w:rsid w:val="009F723F"/>
    <w:rsid w:val="009F7242"/>
    <w:rsid w:val="009F7364"/>
    <w:rsid w:val="00A01154"/>
    <w:rsid w:val="00A011C0"/>
    <w:rsid w:val="00A012D3"/>
    <w:rsid w:val="00A014FB"/>
    <w:rsid w:val="00A01989"/>
    <w:rsid w:val="00A01CB5"/>
    <w:rsid w:val="00A01DD5"/>
    <w:rsid w:val="00A02075"/>
    <w:rsid w:val="00A02C49"/>
    <w:rsid w:val="00A02DB6"/>
    <w:rsid w:val="00A03534"/>
    <w:rsid w:val="00A03875"/>
    <w:rsid w:val="00A04387"/>
    <w:rsid w:val="00A04AC6"/>
    <w:rsid w:val="00A052C5"/>
    <w:rsid w:val="00A058C5"/>
    <w:rsid w:val="00A05E99"/>
    <w:rsid w:val="00A065CF"/>
    <w:rsid w:val="00A06DB9"/>
    <w:rsid w:val="00A0714A"/>
    <w:rsid w:val="00A07452"/>
    <w:rsid w:val="00A07B41"/>
    <w:rsid w:val="00A1005E"/>
    <w:rsid w:val="00A10337"/>
    <w:rsid w:val="00A10349"/>
    <w:rsid w:val="00A10A5D"/>
    <w:rsid w:val="00A10D42"/>
    <w:rsid w:val="00A10DAE"/>
    <w:rsid w:val="00A116DE"/>
    <w:rsid w:val="00A11C8D"/>
    <w:rsid w:val="00A12060"/>
    <w:rsid w:val="00A12216"/>
    <w:rsid w:val="00A129C4"/>
    <w:rsid w:val="00A130BF"/>
    <w:rsid w:val="00A13BC7"/>
    <w:rsid w:val="00A13C66"/>
    <w:rsid w:val="00A13F78"/>
    <w:rsid w:val="00A14191"/>
    <w:rsid w:val="00A147C8"/>
    <w:rsid w:val="00A1488A"/>
    <w:rsid w:val="00A15489"/>
    <w:rsid w:val="00A15698"/>
    <w:rsid w:val="00A15905"/>
    <w:rsid w:val="00A15C98"/>
    <w:rsid w:val="00A162FF"/>
    <w:rsid w:val="00A164D9"/>
    <w:rsid w:val="00A16793"/>
    <w:rsid w:val="00A169FA"/>
    <w:rsid w:val="00A16B2D"/>
    <w:rsid w:val="00A17816"/>
    <w:rsid w:val="00A17EAB"/>
    <w:rsid w:val="00A20708"/>
    <w:rsid w:val="00A21397"/>
    <w:rsid w:val="00A21A62"/>
    <w:rsid w:val="00A21D73"/>
    <w:rsid w:val="00A22050"/>
    <w:rsid w:val="00A223D6"/>
    <w:rsid w:val="00A2328C"/>
    <w:rsid w:val="00A23FFA"/>
    <w:rsid w:val="00A240D5"/>
    <w:rsid w:val="00A2463F"/>
    <w:rsid w:val="00A2500B"/>
    <w:rsid w:val="00A255AC"/>
    <w:rsid w:val="00A25D8F"/>
    <w:rsid w:val="00A2655F"/>
    <w:rsid w:val="00A26751"/>
    <w:rsid w:val="00A27235"/>
    <w:rsid w:val="00A2739F"/>
    <w:rsid w:val="00A2752F"/>
    <w:rsid w:val="00A27691"/>
    <w:rsid w:val="00A27ED2"/>
    <w:rsid w:val="00A27EE8"/>
    <w:rsid w:val="00A30124"/>
    <w:rsid w:val="00A30329"/>
    <w:rsid w:val="00A30ABF"/>
    <w:rsid w:val="00A30CCC"/>
    <w:rsid w:val="00A311D7"/>
    <w:rsid w:val="00A323BF"/>
    <w:rsid w:val="00A33A75"/>
    <w:rsid w:val="00A33C49"/>
    <w:rsid w:val="00A3409F"/>
    <w:rsid w:val="00A34121"/>
    <w:rsid w:val="00A35BB7"/>
    <w:rsid w:val="00A35CBE"/>
    <w:rsid w:val="00A3669A"/>
    <w:rsid w:val="00A36A62"/>
    <w:rsid w:val="00A3715C"/>
    <w:rsid w:val="00A371FE"/>
    <w:rsid w:val="00A378DC"/>
    <w:rsid w:val="00A37E9A"/>
    <w:rsid w:val="00A40A56"/>
    <w:rsid w:val="00A40C4B"/>
    <w:rsid w:val="00A41D25"/>
    <w:rsid w:val="00A41EFE"/>
    <w:rsid w:val="00A42CF3"/>
    <w:rsid w:val="00A42DB9"/>
    <w:rsid w:val="00A43352"/>
    <w:rsid w:val="00A4345B"/>
    <w:rsid w:val="00A44529"/>
    <w:rsid w:val="00A445DF"/>
    <w:rsid w:val="00A44E2C"/>
    <w:rsid w:val="00A4506C"/>
    <w:rsid w:val="00A45D9C"/>
    <w:rsid w:val="00A46634"/>
    <w:rsid w:val="00A46814"/>
    <w:rsid w:val="00A472E0"/>
    <w:rsid w:val="00A47419"/>
    <w:rsid w:val="00A47585"/>
    <w:rsid w:val="00A47633"/>
    <w:rsid w:val="00A502E8"/>
    <w:rsid w:val="00A50B4C"/>
    <w:rsid w:val="00A50F0A"/>
    <w:rsid w:val="00A513CC"/>
    <w:rsid w:val="00A5142F"/>
    <w:rsid w:val="00A5173A"/>
    <w:rsid w:val="00A51790"/>
    <w:rsid w:val="00A51A33"/>
    <w:rsid w:val="00A51E53"/>
    <w:rsid w:val="00A52530"/>
    <w:rsid w:val="00A529B3"/>
    <w:rsid w:val="00A52B0B"/>
    <w:rsid w:val="00A52FED"/>
    <w:rsid w:val="00A531CD"/>
    <w:rsid w:val="00A53589"/>
    <w:rsid w:val="00A54BEA"/>
    <w:rsid w:val="00A558D1"/>
    <w:rsid w:val="00A562F6"/>
    <w:rsid w:val="00A56309"/>
    <w:rsid w:val="00A565BD"/>
    <w:rsid w:val="00A56607"/>
    <w:rsid w:val="00A5666F"/>
    <w:rsid w:val="00A566D6"/>
    <w:rsid w:val="00A57489"/>
    <w:rsid w:val="00A605D0"/>
    <w:rsid w:val="00A60AD5"/>
    <w:rsid w:val="00A61BD8"/>
    <w:rsid w:val="00A61D91"/>
    <w:rsid w:val="00A6281F"/>
    <w:rsid w:val="00A631C7"/>
    <w:rsid w:val="00A637E2"/>
    <w:rsid w:val="00A648E2"/>
    <w:rsid w:val="00A65602"/>
    <w:rsid w:val="00A65E60"/>
    <w:rsid w:val="00A6623A"/>
    <w:rsid w:val="00A66B3C"/>
    <w:rsid w:val="00A67158"/>
    <w:rsid w:val="00A674FC"/>
    <w:rsid w:val="00A676A1"/>
    <w:rsid w:val="00A67CDD"/>
    <w:rsid w:val="00A67E0D"/>
    <w:rsid w:val="00A67F04"/>
    <w:rsid w:val="00A67FC9"/>
    <w:rsid w:val="00A703DD"/>
    <w:rsid w:val="00A706B6"/>
    <w:rsid w:val="00A706B7"/>
    <w:rsid w:val="00A70D02"/>
    <w:rsid w:val="00A70F8F"/>
    <w:rsid w:val="00A71379"/>
    <w:rsid w:val="00A71713"/>
    <w:rsid w:val="00A719DA"/>
    <w:rsid w:val="00A71A48"/>
    <w:rsid w:val="00A72837"/>
    <w:rsid w:val="00A72EE7"/>
    <w:rsid w:val="00A734D2"/>
    <w:rsid w:val="00A73593"/>
    <w:rsid w:val="00A736C3"/>
    <w:rsid w:val="00A74305"/>
    <w:rsid w:val="00A74446"/>
    <w:rsid w:val="00A7451C"/>
    <w:rsid w:val="00A74908"/>
    <w:rsid w:val="00A74A58"/>
    <w:rsid w:val="00A755B2"/>
    <w:rsid w:val="00A7560E"/>
    <w:rsid w:val="00A75682"/>
    <w:rsid w:val="00A75FD3"/>
    <w:rsid w:val="00A768B0"/>
    <w:rsid w:val="00A768D6"/>
    <w:rsid w:val="00A76989"/>
    <w:rsid w:val="00A76EBF"/>
    <w:rsid w:val="00A777DE"/>
    <w:rsid w:val="00A80345"/>
    <w:rsid w:val="00A8086C"/>
    <w:rsid w:val="00A8095E"/>
    <w:rsid w:val="00A80B0F"/>
    <w:rsid w:val="00A80C94"/>
    <w:rsid w:val="00A80EB4"/>
    <w:rsid w:val="00A818E4"/>
    <w:rsid w:val="00A81934"/>
    <w:rsid w:val="00A81CC4"/>
    <w:rsid w:val="00A81CFB"/>
    <w:rsid w:val="00A8226C"/>
    <w:rsid w:val="00A82684"/>
    <w:rsid w:val="00A827A6"/>
    <w:rsid w:val="00A8450D"/>
    <w:rsid w:val="00A84755"/>
    <w:rsid w:val="00A8485B"/>
    <w:rsid w:val="00A848E6"/>
    <w:rsid w:val="00A84A18"/>
    <w:rsid w:val="00A84AA9"/>
    <w:rsid w:val="00A84AF8"/>
    <w:rsid w:val="00A8543A"/>
    <w:rsid w:val="00A85D60"/>
    <w:rsid w:val="00A86476"/>
    <w:rsid w:val="00A86BEA"/>
    <w:rsid w:val="00A873A4"/>
    <w:rsid w:val="00A9070F"/>
    <w:rsid w:val="00A90727"/>
    <w:rsid w:val="00A90D77"/>
    <w:rsid w:val="00A92742"/>
    <w:rsid w:val="00A92DCE"/>
    <w:rsid w:val="00A93383"/>
    <w:rsid w:val="00A93CF9"/>
    <w:rsid w:val="00A93DD1"/>
    <w:rsid w:val="00A941D7"/>
    <w:rsid w:val="00A947FB"/>
    <w:rsid w:val="00A94DC6"/>
    <w:rsid w:val="00A9781A"/>
    <w:rsid w:val="00A97B28"/>
    <w:rsid w:val="00A97F14"/>
    <w:rsid w:val="00AA04C4"/>
    <w:rsid w:val="00AA05CD"/>
    <w:rsid w:val="00AA06F5"/>
    <w:rsid w:val="00AA0829"/>
    <w:rsid w:val="00AA0AEE"/>
    <w:rsid w:val="00AA0B92"/>
    <w:rsid w:val="00AA1094"/>
    <w:rsid w:val="00AA1502"/>
    <w:rsid w:val="00AA232C"/>
    <w:rsid w:val="00AA3C5A"/>
    <w:rsid w:val="00AA3EF6"/>
    <w:rsid w:val="00AA5963"/>
    <w:rsid w:val="00AA5A4D"/>
    <w:rsid w:val="00AA6A07"/>
    <w:rsid w:val="00AA6A15"/>
    <w:rsid w:val="00AA7824"/>
    <w:rsid w:val="00AB0011"/>
    <w:rsid w:val="00AB0F2B"/>
    <w:rsid w:val="00AB0F47"/>
    <w:rsid w:val="00AB1090"/>
    <w:rsid w:val="00AB1187"/>
    <w:rsid w:val="00AB1286"/>
    <w:rsid w:val="00AB1680"/>
    <w:rsid w:val="00AB1BBC"/>
    <w:rsid w:val="00AB1FE3"/>
    <w:rsid w:val="00AB3F4B"/>
    <w:rsid w:val="00AB5051"/>
    <w:rsid w:val="00AB55F1"/>
    <w:rsid w:val="00AB5D5C"/>
    <w:rsid w:val="00AB67BF"/>
    <w:rsid w:val="00AB6940"/>
    <w:rsid w:val="00AB7656"/>
    <w:rsid w:val="00AB7FE4"/>
    <w:rsid w:val="00AC0BF9"/>
    <w:rsid w:val="00AC18E7"/>
    <w:rsid w:val="00AC1BCA"/>
    <w:rsid w:val="00AC1FE9"/>
    <w:rsid w:val="00AC2FE3"/>
    <w:rsid w:val="00AC306C"/>
    <w:rsid w:val="00AC35CF"/>
    <w:rsid w:val="00AC3EB2"/>
    <w:rsid w:val="00AC4453"/>
    <w:rsid w:val="00AC45B6"/>
    <w:rsid w:val="00AC46B7"/>
    <w:rsid w:val="00AC4FEC"/>
    <w:rsid w:val="00AC56E3"/>
    <w:rsid w:val="00AC5925"/>
    <w:rsid w:val="00AC6329"/>
    <w:rsid w:val="00AC661C"/>
    <w:rsid w:val="00AC6966"/>
    <w:rsid w:val="00AC6EA1"/>
    <w:rsid w:val="00AC723E"/>
    <w:rsid w:val="00AC72E6"/>
    <w:rsid w:val="00AC7595"/>
    <w:rsid w:val="00AC7753"/>
    <w:rsid w:val="00AD07F9"/>
    <w:rsid w:val="00AD0AAC"/>
    <w:rsid w:val="00AD0C4F"/>
    <w:rsid w:val="00AD0D80"/>
    <w:rsid w:val="00AD118B"/>
    <w:rsid w:val="00AD1295"/>
    <w:rsid w:val="00AD163D"/>
    <w:rsid w:val="00AD250E"/>
    <w:rsid w:val="00AD2A1F"/>
    <w:rsid w:val="00AD360E"/>
    <w:rsid w:val="00AD3980"/>
    <w:rsid w:val="00AD437D"/>
    <w:rsid w:val="00AD46C3"/>
    <w:rsid w:val="00AD491B"/>
    <w:rsid w:val="00AD4D57"/>
    <w:rsid w:val="00AD51AA"/>
    <w:rsid w:val="00AD546C"/>
    <w:rsid w:val="00AD5DC8"/>
    <w:rsid w:val="00AD6067"/>
    <w:rsid w:val="00AD619D"/>
    <w:rsid w:val="00AD68EF"/>
    <w:rsid w:val="00AD7E9C"/>
    <w:rsid w:val="00AE0B8E"/>
    <w:rsid w:val="00AE17BC"/>
    <w:rsid w:val="00AE2122"/>
    <w:rsid w:val="00AE2590"/>
    <w:rsid w:val="00AE261E"/>
    <w:rsid w:val="00AE29F1"/>
    <w:rsid w:val="00AE2F9C"/>
    <w:rsid w:val="00AE33C3"/>
    <w:rsid w:val="00AE3683"/>
    <w:rsid w:val="00AE3BF1"/>
    <w:rsid w:val="00AE402A"/>
    <w:rsid w:val="00AE4A73"/>
    <w:rsid w:val="00AE5052"/>
    <w:rsid w:val="00AE565B"/>
    <w:rsid w:val="00AE5BEA"/>
    <w:rsid w:val="00AE6992"/>
    <w:rsid w:val="00AE766C"/>
    <w:rsid w:val="00AE7B86"/>
    <w:rsid w:val="00AE7DDB"/>
    <w:rsid w:val="00AE7FB5"/>
    <w:rsid w:val="00AF0A90"/>
    <w:rsid w:val="00AF24E7"/>
    <w:rsid w:val="00AF26D9"/>
    <w:rsid w:val="00AF315E"/>
    <w:rsid w:val="00AF3239"/>
    <w:rsid w:val="00AF3738"/>
    <w:rsid w:val="00AF3DC9"/>
    <w:rsid w:val="00AF3F94"/>
    <w:rsid w:val="00AF5762"/>
    <w:rsid w:val="00AF6069"/>
    <w:rsid w:val="00AF614A"/>
    <w:rsid w:val="00AF61A0"/>
    <w:rsid w:val="00AF6254"/>
    <w:rsid w:val="00AF65AC"/>
    <w:rsid w:val="00AF66E5"/>
    <w:rsid w:val="00AF6795"/>
    <w:rsid w:val="00AF68D5"/>
    <w:rsid w:val="00B00F00"/>
    <w:rsid w:val="00B01792"/>
    <w:rsid w:val="00B01D88"/>
    <w:rsid w:val="00B025A5"/>
    <w:rsid w:val="00B029CE"/>
    <w:rsid w:val="00B02A3A"/>
    <w:rsid w:val="00B02C6F"/>
    <w:rsid w:val="00B03879"/>
    <w:rsid w:val="00B03978"/>
    <w:rsid w:val="00B03CEF"/>
    <w:rsid w:val="00B0449F"/>
    <w:rsid w:val="00B0517E"/>
    <w:rsid w:val="00B05180"/>
    <w:rsid w:val="00B057FD"/>
    <w:rsid w:val="00B058CA"/>
    <w:rsid w:val="00B05E0D"/>
    <w:rsid w:val="00B0642D"/>
    <w:rsid w:val="00B06A42"/>
    <w:rsid w:val="00B06ABE"/>
    <w:rsid w:val="00B075F3"/>
    <w:rsid w:val="00B07925"/>
    <w:rsid w:val="00B104CF"/>
    <w:rsid w:val="00B105A5"/>
    <w:rsid w:val="00B10639"/>
    <w:rsid w:val="00B114B7"/>
    <w:rsid w:val="00B1150D"/>
    <w:rsid w:val="00B127F3"/>
    <w:rsid w:val="00B138C6"/>
    <w:rsid w:val="00B13E68"/>
    <w:rsid w:val="00B14036"/>
    <w:rsid w:val="00B1432A"/>
    <w:rsid w:val="00B144B0"/>
    <w:rsid w:val="00B14C57"/>
    <w:rsid w:val="00B14CEB"/>
    <w:rsid w:val="00B14DB6"/>
    <w:rsid w:val="00B15083"/>
    <w:rsid w:val="00B15594"/>
    <w:rsid w:val="00B15B4B"/>
    <w:rsid w:val="00B15FF8"/>
    <w:rsid w:val="00B1691A"/>
    <w:rsid w:val="00B16B81"/>
    <w:rsid w:val="00B16C2A"/>
    <w:rsid w:val="00B16FA7"/>
    <w:rsid w:val="00B16FC4"/>
    <w:rsid w:val="00B17AA8"/>
    <w:rsid w:val="00B17E9C"/>
    <w:rsid w:val="00B2038D"/>
    <w:rsid w:val="00B2089B"/>
    <w:rsid w:val="00B20CA0"/>
    <w:rsid w:val="00B20E64"/>
    <w:rsid w:val="00B21C55"/>
    <w:rsid w:val="00B21E90"/>
    <w:rsid w:val="00B228F4"/>
    <w:rsid w:val="00B22F2A"/>
    <w:rsid w:val="00B23328"/>
    <w:rsid w:val="00B251AB"/>
    <w:rsid w:val="00B2570E"/>
    <w:rsid w:val="00B25882"/>
    <w:rsid w:val="00B26185"/>
    <w:rsid w:val="00B262BA"/>
    <w:rsid w:val="00B26BBC"/>
    <w:rsid w:val="00B272A8"/>
    <w:rsid w:val="00B27321"/>
    <w:rsid w:val="00B27A4B"/>
    <w:rsid w:val="00B27CBE"/>
    <w:rsid w:val="00B30980"/>
    <w:rsid w:val="00B30B3B"/>
    <w:rsid w:val="00B31072"/>
    <w:rsid w:val="00B31DAA"/>
    <w:rsid w:val="00B3223A"/>
    <w:rsid w:val="00B32E97"/>
    <w:rsid w:val="00B32EE8"/>
    <w:rsid w:val="00B32F54"/>
    <w:rsid w:val="00B332E3"/>
    <w:rsid w:val="00B33541"/>
    <w:rsid w:val="00B33FE2"/>
    <w:rsid w:val="00B347E6"/>
    <w:rsid w:val="00B348B4"/>
    <w:rsid w:val="00B34DCD"/>
    <w:rsid w:val="00B35350"/>
    <w:rsid w:val="00B35B2E"/>
    <w:rsid w:val="00B3631B"/>
    <w:rsid w:val="00B365A5"/>
    <w:rsid w:val="00B374EC"/>
    <w:rsid w:val="00B37ACB"/>
    <w:rsid w:val="00B41272"/>
    <w:rsid w:val="00B421FA"/>
    <w:rsid w:val="00B4247B"/>
    <w:rsid w:val="00B43F8C"/>
    <w:rsid w:val="00B44531"/>
    <w:rsid w:val="00B45345"/>
    <w:rsid w:val="00B4536A"/>
    <w:rsid w:val="00B45C55"/>
    <w:rsid w:val="00B463E4"/>
    <w:rsid w:val="00B46499"/>
    <w:rsid w:val="00B4769F"/>
    <w:rsid w:val="00B47EC6"/>
    <w:rsid w:val="00B501AC"/>
    <w:rsid w:val="00B503C4"/>
    <w:rsid w:val="00B5057F"/>
    <w:rsid w:val="00B50DA0"/>
    <w:rsid w:val="00B5101E"/>
    <w:rsid w:val="00B5201C"/>
    <w:rsid w:val="00B525C6"/>
    <w:rsid w:val="00B52B15"/>
    <w:rsid w:val="00B53911"/>
    <w:rsid w:val="00B53926"/>
    <w:rsid w:val="00B5434D"/>
    <w:rsid w:val="00B55DE9"/>
    <w:rsid w:val="00B56F7C"/>
    <w:rsid w:val="00B57A6A"/>
    <w:rsid w:val="00B60024"/>
    <w:rsid w:val="00B6126E"/>
    <w:rsid w:val="00B612FF"/>
    <w:rsid w:val="00B61408"/>
    <w:rsid w:val="00B618A2"/>
    <w:rsid w:val="00B61D83"/>
    <w:rsid w:val="00B6220E"/>
    <w:rsid w:val="00B62264"/>
    <w:rsid w:val="00B62288"/>
    <w:rsid w:val="00B62354"/>
    <w:rsid w:val="00B62518"/>
    <w:rsid w:val="00B629C0"/>
    <w:rsid w:val="00B629C4"/>
    <w:rsid w:val="00B63321"/>
    <w:rsid w:val="00B63E72"/>
    <w:rsid w:val="00B64031"/>
    <w:rsid w:val="00B64220"/>
    <w:rsid w:val="00B642B9"/>
    <w:rsid w:val="00B642F5"/>
    <w:rsid w:val="00B64A0C"/>
    <w:rsid w:val="00B65BF9"/>
    <w:rsid w:val="00B66454"/>
    <w:rsid w:val="00B665A0"/>
    <w:rsid w:val="00B665DF"/>
    <w:rsid w:val="00B67262"/>
    <w:rsid w:val="00B67681"/>
    <w:rsid w:val="00B67D3D"/>
    <w:rsid w:val="00B7015E"/>
    <w:rsid w:val="00B70582"/>
    <w:rsid w:val="00B70FEA"/>
    <w:rsid w:val="00B710E5"/>
    <w:rsid w:val="00B71289"/>
    <w:rsid w:val="00B7168C"/>
    <w:rsid w:val="00B71725"/>
    <w:rsid w:val="00B71C8F"/>
    <w:rsid w:val="00B72487"/>
    <w:rsid w:val="00B73079"/>
    <w:rsid w:val="00B73516"/>
    <w:rsid w:val="00B73813"/>
    <w:rsid w:val="00B73B04"/>
    <w:rsid w:val="00B73C86"/>
    <w:rsid w:val="00B742B8"/>
    <w:rsid w:val="00B74B79"/>
    <w:rsid w:val="00B76BEC"/>
    <w:rsid w:val="00B76E7C"/>
    <w:rsid w:val="00B772B7"/>
    <w:rsid w:val="00B7754C"/>
    <w:rsid w:val="00B8001D"/>
    <w:rsid w:val="00B814B1"/>
    <w:rsid w:val="00B81B60"/>
    <w:rsid w:val="00B83D22"/>
    <w:rsid w:val="00B84705"/>
    <w:rsid w:val="00B8493E"/>
    <w:rsid w:val="00B8560B"/>
    <w:rsid w:val="00B85627"/>
    <w:rsid w:val="00B85CDC"/>
    <w:rsid w:val="00B85E5F"/>
    <w:rsid w:val="00B8657E"/>
    <w:rsid w:val="00B86621"/>
    <w:rsid w:val="00B8796A"/>
    <w:rsid w:val="00B87ADE"/>
    <w:rsid w:val="00B90435"/>
    <w:rsid w:val="00B908C0"/>
    <w:rsid w:val="00B913FC"/>
    <w:rsid w:val="00B917D6"/>
    <w:rsid w:val="00B92A55"/>
    <w:rsid w:val="00B92CBD"/>
    <w:rsid w:val="00B92FE7"/>
    <w:rsid w:val="00B931D3"/>
    <w:rsid w:val="00B93928"/>
    <w:rsid w:val="00B93B6F"/>
    <w:rsid w:val="00B93E76"/>
    <w:rsid w:val="00B9464E"/>
    <w:rsid w:val="00B94960"/>
    <w:rsid w:val="00B94F1A"/>
    <w:rsid w:val="00B95163"/>
    <w:rsid w:val="00B95A1E"/>
    <w:rsid w:val="00B95B22"/>
    <w:rsid w:val="00B95D9A"/>
    <w:rsid w:val="00B96263"/>
    <w:rsid w:val="00B96895"/>
    <w:rsid w:val="00B97C0A"/>
    <w:rsid w:val="00B97C3C"/>
    <w:rsid w:val="00B97FB6"/>
    <w:rsid w:val="00BA07BF"/>
    <w:rsid w:val="00BA11EE"/>
    <w:rsid w:val="00BA1720"/>
    <w:rsid w:val="00BA1931"/>
    <w:rsid w:val="00BA1E17"/>
    <w:rsid w:val="00BA254A"/>
    <w:rsid w:val="00BA2A22"/>
    <w:rsid w:val="00BA34F5"/>
    <w:rsid w:val="00BA421A"/>
    <w:rsid w:val="00BA4D92"/>
    <w:rsid w:val="00BA5157"/>
    <w:rsid w:val="00BA53E1"/>
    <w:rsid w:val="00BA5552"/>
    <w:rsid w:val="00BA5A5F"/>
    <w:rsid w:val="00BA5AA2"/>
    <w:rsid w:val="00BA6C40"/>
    <w:rsid w:val="00BA7059"/>
    <w:rsid w:val="00BA76FC"/>
    <w:rsid w:val="00BA7B1B"/>
    <w:rsid w:val="00BA7C9E"/>
    <w:rsid w:val="00BA7CA2"/>
    <w:rsid w:val="00BB0439"/>
    <w:rsid w:val="00BB07F3"/>
    <w:rsid w:val="00BB0A09"/>
    <w:rsid w:val="00BB11B9"/>
    <w:rsid w:val="00BB12D3"/>
    <w:rsid w:val="00BB139B"/>
    <w:rsid w:val="00BB1415"/>
    <w:rsid w:val="00BB1995"/>
    <w:rsid w:val="00BB1C2F"/>
    <w:rsid w:val="00BB287C"/>
    <w:rsid w:val="00BB2DC2"/>
    <w:rsid w:val="00BB367A"/>
    <w:rsid w:val="00BB3B6D"/>
    <w:rsid w:val="00BB3D5C"/>
    <w:rsid w:val="00BB3D66"/>
    <w:rsid w:val="00BB3F82"/>
    <w:rsid w:val="00BB42C8"/>
    <w:rsid w:val="00BB4509"/>
    <w:rsid w:val="00BB4922"/>
    <w:rsid w:val="00BB49A7"/>
    <w:rsid w:val="00BB580D"/>
    <w:rsid w:val="00BB5E8C"/>
    <w:rsid w:val="00BB681F"/>
    <w:rsid w:val="00BB6912"/>
    <w:rsid w:val="00BB6FCC"/>
    <w:rsid w:val="00BB6FE3"/>
    <w:rsid w:val="00BB70DF"/>
    <w:rsid w:val="00BB7625"/>
    <w:rsid w:val="00BB78FC"/>
    <w:rsid w:val="00BC1B0E"/>
    <w:rsid w:val="00BC1E52"/>
    <w:rsid w:val="00BC1F31"/>
    <w:rsid w:val="00BC201C"/>
    <w:rsid w:val="00BC2150"/>
    <w:rsid w:val="00BC3432"/>
    <w:rsid w:val="00BC6A1E"/>
    <w:rsid w:val="00BC6C80"/>
    <w:rsid w:val="00BC6E56"/>
    <w:rsid w:val="00BC76E8"/>
    <w:rsid w:val="00BC7F4B"/>
    <w:rsid w:val="00BD03F2"/>
    <w:rsid w:val="00BD0C0E"/>
    <w:rsid w:val="00BD106A"/>
    <w:rsid w:val="00BD1218"/>
    <w:rsid w:val="00BD1D46"/>
    <w:rsid w:val="00BD28DD"/>
    <w:rsid w:val="00BD2E33"/>
    <w:rsid w:val="00BD3747"/>
    <w:rsid w:val="00BD561B"/>
    <w:rsid w:val="00BD5671"/>
    <w:rsid w:val="00BD5F00"/>
    <w:rsid w:val="00BD6803"/>
    <w:rsid w:val="00BD693E"/>
    <w:rsid w:val="00BD7991"/>
    <w:rsid w:val="00BD7DD8"/>
    <w:rsid w:val="00BD7FC2"/>
    <w:rsid w:val="00BE01A4"/>
    <w:rsid w:val="00BE0C81"/>
    <w:rsid w:val="00BE0D67"/>
    <w:rsid w:val="00BE17BF"/>
    <w:rsid w:val="00BE2547"/>
    <w:rsid w:val="00BE2642"/>
    <w:rsid w:val="00BE2DDE"/>
    <w:rsid w:val="00BE330A"/>
    <w:rsid w:val="00BE3D22"/>
    <w:rsid w:val="00BE43D7"/>
    <w:rsid w:val="00BE44F0"/>
    <w:rsid w:val="00BE481B"/>
    <w:rsid w:val="00BE54D3"/>
    <w:rsid w:val="00BE591E"/>
    <w:rsid w:val="00BE5DB7"/>
    <w:rsid w:val="00BE5F83"/>
    <w:rsid w:val="00BE67EC"/>
    <w:rsid w:val="00BE6B82"/>
    <w:rsid w:val="00BE6D5C"/>
    <w:rsid w:val="00BF05BB"/>
    <w:rsid w:val="00BF1BAB"/>
    <w:rsid w:val="00BF1BAE"/>
    <w:rsid w:val="00BF2D39"/>
    <w:rsid w:val="00BF3811"/>
    <w:rsid w:val="00BF4259"/>
    <w:rsid w:val="00BF4A07"/>
    <w:rsid w:val="00BF5188"/>
    <w:rsid w:val="00BF5738"/>
    <w:rsid w:val="00BF57F6"/>
    <w:rsid w:val="00BF5D00"/>
    <w:rsid w:val="00BF6076"/>
    <w:rsid w:val="00BF6727"/>
    <w:rsid w:val="00BF699C"/>
    <w:rsid w:val="00BF7485"/>
    <w:rsid w:val="00C0046D"/>
    <w:rsid w:val="00C00685"/>
    <w:rsid w:val="00C00916"/>
    <w:rsid w:val="00C015EE"/>
    <w:rsid w:val="00C01B8A"/>
    <w:rsid w:val="00C02620"/>
    <w:rsid w:val="00C02768"/>
    <w:rsid w:val="00C02952"/>
    <w:rsid w:val="00C02D6D"/>
    <w:rsid w:val="00C02E1D"/>
    <w:rsid w:val="00C0374C"/>
    <w:rsid w:val="00C03A7A"/>
    <w:rsid w:val="00C03AD9"/>
    <w:rsid w:val="00C03B1C"/>
    <w:rsid w:val="00C04CAB"/>
    <w:rsid w:val="00C054DB"/>
    <w:rsid w:val="00C0555C"/>
    <w:rsid w:val="00C0595E"/>
    <w:rsid w:val="00C06671"/>
    <w:rsid w:val="00C0677B"/>
    <w:rsid w:val="00C0689E"/>
    <w:rsid w:val="00C06C71"/>
    <w:rsid w:val="00C06E8E"/>
    <w:rsid w:val="00C06FDE"/>
    <w:rsid w:val="00C078C1"/>
    <w:rsid w:val="00C07F9F"/>
    <w:rsid w:val="00C10520"/>
    <w:rsid w:val="00C10D8A"/>
    <w:rsid w:val="00C10F37"/>
    <w:rsid w:val="00C11317"/>
    <w:rsid w:val="00C11D24"/>
    <w:rsid w:val="00C120A0"/>
    <w:rsid w:val="00C12421"/>
    <w:rsid w:val="00C127DB"/>
    <w:rsid w:val="00C129B4"/>
    <w:rsid w:val="00C130D2"/>
    <w:rsid w:val="00C13244"/>
    <w:rsid w:val="00C13B36"/>
    <w:rsid w:val="00C13FB4"/>
    <w:rsid w:val="00C14C32"/>
    <w:rsid w:val="00C1527F"/>
    <w:rsid w:val="00C15C8E"/>
    <w:rsid w:val="00C16617"/>
    <w:rsid w:val="00C16BEE"/>
    <w:rsid w:val="00C170EC"/>
    <w:rsid w:val="00C17172"/>
    <w:rsid w:val="00C17329"/>
    <w:rsid w:val="00C20204"/>
    <w:rsid w:val="00C2043E"/>
    <w:rsid w:val="00C20606"/>
    <w:rsid w:val="00C207D3"/>
    <w:rsid w:val="00C20C71"/>
    <w:rsid w:val="00C217E9"/>
    <w:rsid w:val="00C21E6C"/>
    <w:rsid w:val="00C2276C"/>
    <w:rsid w:val="00C22832"/>
    <w:rsid w:val="00C22AD5"/>
    <w:rsid w:val="00C22FF7"/>
    <w:rsid w:val="00C24204"/>
    <w:rsid w:val="00C24553"/>
    <w:rsid w:val="00C25829"/>
    <w:rsid w:val="00C25ADA"/>
    <w:rsid w:val="00C25E4C"/>
    <w:rsid w:val="00C2627E"/>
    <w:rsid w:val="00C26D5A"/>
    <w:rsid w:val="00C27754"/>
    <w:rsid w:val="00C27BF7"/>
    <w:rsid w:val="00C30185"/>
    <w:rsid w:val="00C30689"/>
    <w:rsid w:val="00C309CF"/>
    <w:rsid w:val="00C31143"/>
    <w:rsid w:val="00C318D2"/>
    <w:rsid w:val="00C31B96"/>
    <w:rsid w:val="00C321EB"/>
    <w:rsid w:val="00C322CF"/>
    <w:rsid w:val="00C3401B"/>
    <w:rsid w:val="00C34469"/>
    <w:rsid w:val="00C352B2"/>
    <w:rsid w:val="00C3594C"/>
    <w:rsid w:val="00C35F1F"/>
    <w:rsid w:val="00C35F42"/>
    <w:rsid w:val="00C36A6E"/>
    <w:rsid w:val="00C37562"/>
    <w:rsid w:val="00C377E9"/>
    <w:rsid w:val="00C40F70"/>
    <w:rsid w:val="00C41853"/>
    <w:rsid w:val="00C43381"/>
    <w:rsid w:val="00C43A72"/>
    <w:rsid w:val="00C43EE0"/>
    <w:rsid w:val="00C4474D"/>
    <w:rsid w:val="00C44D5E"/>
    <w:rsid w:val="00C44E10"/>
    <w:rsid w:val="00C452AB"/>
    <w:rsid w:val="00C45591"/>
    <w:rsid w:val="00C45B53"/>
    <w:rsid w:val="00C45E46"/>
    <w:rsid w:val="00C46400"/>
    <w:rsid w:val="00C46622"/>
    <w:rsid w:val="00C46AB0"/>
    <w:rsid w:val="00C46FD7"/>
    <w:rsid w:val="00C47187"/>
    <w:rsid w:val="00C471F6"/>
    <w:rsid w:val="00C474AE"/>
    <w:rsid w:val="00C47C6F"/>
    <w:rsid w:val="00C47CD7"/>
    <w:rsid w:val="00C501A3"/>
    <w:rsid w:val="00C502D6"/>
    <w:rsid w:val="00C50501"/>
    <w:rsid w:val="00C50C66"/>
    <w:rsid w:val="00C50D10"/>
    <w:rsid w:val="00C519D0"/>
    <w:rsid w:val="00C51E6E"/>
    <w:rsid w:val="00C52076"/>
    <w:rsid w:val="00C52132"/>
    <w:rsid w:val="00C52355"/>
    <w:rsid w:val="00C5278A"/>
    <w:rsid w:val="00C52C42"/>
    <w:rsid w:val="00C531A7"/>
    <w:rsid w:val="00C53408"/>
    <w:rsid w:val="00C5347E"/>
    <w:rsid w:val="00C5450C"/>
    <w:rsid w:val="00C5558D"/>
    <w:rsid w:val="00C5675B"/>
    <w:rsid w:val="00C56D5C"/>
    <w:rsid w:val="00C577A4"/>
    <w:rsid w:val="00C611A8"/>
    <w:rsid w:val="00C620E6"/>
    <w:rsid w:val="00C62B76"/>
    <w:rsid w:val="00C62D4E"/>
    <w:rsid w:val="00C6399A"/>
    <w:rsid w:val="00C652D8"/>
    <w:rsid w:val="00C65960"/>
    <w:rsid w:val="00C65EBE"/>
    <w:rsid w:val="00C66097"/>
    <w:rsid w:val="00C661B6"/>
    <w:rsid w:val="00C662CF"/>
    <w:rsid w:val="00C666C2"/>
    <w:rsid w:val="00C6682F"/>
    <w:rsid w:val="00C66C77"/>
    <w:rsid w:val="00C66CB9"/>
    <w:rsid w:val="00C66D08"/>
    <w:rsid w:val="00C70931"/>
    <w:rsid w:val="00C713D1"/>
    <w:rsid w:val="00C71F82"/>
    <w:rsid w:val="00C729AF"/>
    <w:rsid w:val="00C72F3F"/>
    <w:rsid w:val="00C730E4"/>
    <w:rsid w:val="00C73229"/>
    <w:rsid w:val="00C73242"/>
    <w:rsid w:val="00C73325"/>
    <w:rsid w:val="00C73AC3"/>
    <w:rsid w:val="00C73C37"/>
    <w:rsid w:val="00C73DB3"/>
    <w:rsid w:val="00C73F9D"/>
    <w:rsid w:val="00C744D4"/>
    <w:rsid w:val="00C749FB"/>
    <w:rsid w:val="00C74F3C"/>
    <w:rsid w:val="00C75338"/>
    <w:rsid w:val="00C75CB5"/>
    <w:rsid w:val="00C76F48"/>
    <w:rsid w:val="00C77344"/>
    <w:rsid w:val="00C77D0D"/>
    <w:rsid w:val="00C81C0D"/>
    <w:rsid w:val="00C81FC8"/>
    <w:rsid w:val="00C8250E"/>
    <w:rsid w:val="00C825A0"/>
    <w:rsid w:val="00C82BC8"/>
    <w:rsid w:val="00C82FD5"/>
    <w:rsid w:val="00C830F6"/>
    <w:rsid w:val="00C832EF"/>
    <w:rsid w:val="00C838BD"/>
    <w:rsid w:val="00C84150"/>
    <w:rsid w:val="00C84FA5"/>
    <w:rsid w:val="00C85030"/>
    <w:rsid w:val="00C852F4"/>
    <w:rsid w:val="00C85834"/>
    <w:rsid w:val="00C85853"/>
    <w:rsid w:val="00C86581"/>
    <w:rsid w:val="00C86A1D"/>
    <w:rsid w:val="00C86FAC"/>
    <w:rsid w:val="00C8738D"/>
    <w:rsid w:val="00C87612"/>
    <w:rsid w:val="00C87FD6"/>
    <w:rsid w:val="00C90068"/>
    <w:rsid w:val="00C9006C"/>
    <w:rsid w:val="00C9033C"/>
    <w:rsid w:val="00C90999"/>
    <w:rsid w:val="00C909F2"/>
    <w:rsid w:val="00C90D09"/>
    <w:rsid w:val="00C911EE"/>
    <w:rsid w:val="00C91645"/>
    <w:rsid w:val="00C91D75"/>
    <w:rsid w:val="00C91DBA"/>
    <w:rsid w:val="00C92E51"/>
    <w:rsid w:val="00C9391E"/>
    <w:rsid w:val="00C94640"/>
    <w:rsid w:val="00C94CB5"/>
    <w:rsid w:val="00C94D55"/>
    <w:rsid w:val="00C95A0B"/>
    <w:rsid w:val="00C96184"/>
    <w:rsid w:val="00C9652C"/>
    <w:rsid w:val="00C97823"/>
    <w:rsid w:val="00C9795E"/>
    <w:rsid w:val="00CA04DC"/>
    <w:rsid w:val="00CA075B"/>
    <w:rsid w:val="00CA134D"/>
    <w:rsid w:val="00CA1BA2"/>
    <w:rsid w:val="00CA2127"/>
    <w:rsid w:val="00CA222B"/>
    <w:rsid w:val="00CA2AC8"/>
    <w:rsid w:val="00CA341C"/>
    <w:rsid w:val="00CA3709"/>
    <w:rsid w:val="00CA3916"/>
    <w:rsid w:val="00CA3D4F"/>
    <w:rsid w:val="00CA3F62"/>
    <w:rsid w:val="00CA5A40"/>
    <w:rsid w:val="00CA6ABA"/>
    <w:rsid w:val="00CA7457"/>
    <w:rsid w:val="00CA78BE"/>
    <w:rsid w:val="00CA7EE7"/>
    <w:rsid w:val="00CB016E"/>
    <w:rsid w:val="00CB1B7A"/>
    <w:rsid w:val="00CB2447"/>
    <w:rsid w:val="00CB3FE8"/>
    <w:rsid w:val="00CB4093"/>
    <w:rsid w:val="00CB4A18"/>
    <w:rsid w:val="00CB556A"/>
    <w:rsid w:val="00CB56D3"/>
    <w:rsid w:val="00CB58C0"/>
    <w:rsid w:val="00CB62D9"/>
    <w:rsid w:val="00CB69F4"/>
    <w:rsid w:val="00CB6BF2"/>
    <w:rsid w:val="00CB6F6D"/>
    <w:rsid w:val="00CB730C"/>
    <w:rsid w:val="00CC0ACF"/>
    <w:rsid w:val="00CC0F0D"/>
    <w:rsid w:val="00CC1E78"/>
    <w:rsid w:val="00CC24ED"/>
    <w:rsid w:val="00CC2CD9"/>
    <w:rsid w:val="00CC31AA"/>
    <w:rsid w:val="00CC379E"/>
    <w:rsid w:val="00CC4728"/>
    <w:rsid w:val="00CC526D"/>
    <w:rsid w:val="00CC55ED"/>
    <w:rsid w:val="00CC5B09"/>
    <w:rsid w:val="00CC5CF3"/>
    <w:rsid w:val="00CC60EA"/>
    <w:rsid w:val="00CC63A6"/>
    <w:rsid w:val="00CC6848"/>
    <w:rsid w:val="00CC6A6F"/>
    <w:rsid w:val="00CC7E7D"/>
    <w:rsid w:val="00CD045D"/>
    <w:rsid w:val="00CD04A6"/>
    <w:rsid w:val="00CD0F98"/>
    <w:rsid w:val="00CD17DC"/>
    <w:rsid w:val="00CD18EE"/>
    <w:rsid w:val="00CD28BB"/>
    <w:rsid w:val="00CD3458"/>
    <w:rsid w:val="00CD4570"/>
    <w:rsid w:val="00CD5650"/>
    <w:rsid w:val="00CD6049"/>
    <w:rsid w:val="00CD60BD"/>
    <w:rsid w:val="00CD6491"/>
    <w:rsid w:val="00CD6679"/>
    <w:rsid w:val="00CD6C31"/>
    <w:rsid w:val="00CD6E8F"/>
    <w:rsid w:val="00CD7D9D"/>
    <w:rsid w:val="00CE0EE8"/>
    <w:rsid w:val="00CE1767"/>
    <w:rsid w:val="00CE2386"/>
    <w:rsid w:val="00CE2BDB"/>
    <w:rsid w:val="00CE3262"/>
    <w:rsid w:val="00CE3AA1"/>
    <w:rsid w:val="00CE3BCB"/>
    <w:rsid w:val="00CE3CE6"/>
    <w:rsid w:val="00CE5BB0"/>
    <w:rsid w:val="00CE5F7F"/>
    <w:rsid w:val="00CF0016"/>
    <w:rsid w:val="00CF00E2"/>
    <w:rsid w:val="00CF01A5"/>
    <w:rsid w:val="00CF04D3"/>
    <w:rsid w:val="00CF0797"/>
    <w:rsid w:val="00CF087C"/>
    <w:rsid w:val="00CF0C60"/>
    <w:rsid w:val="00CF15A4"/>
    <w:rsid w:val="00CF1B73"/>
    <w:rsid w:val="00CF1CC9"/>
    <w:rsid w:val="00CF20C5"/>
    <w:rsid w:val="00CF236C"/>
    <w:rsid w:val="00CF262D"/>
    <w:rsid w:val="00CF2C98"/>
    <w:rsid w:val="00CF3569"/>
    <w:rsid w:val="00CF3CDB"/>
    <w:rsid w:val="00CF44EB"/>
    <w:rsid w:val="00CF467E"/>
    <w:rsid w:val="00CF495C"/>
    <w:rsid w:val="00CF49A2"/>
    <w:rsid w:val="00CF53E9"/>
    <w:rsid w:val="00CF5801"/>
    <w:rsid w:val="00CF6782"/>
    <w:rsid w:val="00CF6E61"/>
    <w:rsid w:val="00CF7378"/>
    <w:rsid w:val="00CF76CA"/>
    <w:rsid w:val="00CF7B11"/>
    <w:rsid w:val="00CF7DEF"/>
    <w:rsid w:val="00CF7E30"/>
    <w:rsid w:val="00D00055"/>
    <w:rsid w:val="00D0060B"/>
    <w:rsid w:val="00D00ABB"/>
    <w:rsid w:val="00D01104"/>
    <w:rsid w:val="00D018A2"/>
    <w:rsid w:val="00D01B59"/>
    <w:rsid w:val="00D03029"/>
    <w:rsid w:val="00D03494"/>
    <w:rsid w:val="00D03502"/>
    <w:rsid w:val="00D0402D"/>
    <w:rsid w:val="00D0406B"/>
    <w:rsid w:val="00D04260"/>
    <w:rsid w:val="00D0466B"/>
    <w:rsid w:val="00D04BB1"/>
    <w:rsid w:val="00D05CFD"/>
    <w:rsid w:val="00D066A4"/>
    <w:rsid w:val="00D068A0"/>
    <w:rsid w:val="00D077DC"/>
    <w:rsid w:val="00D07D67"/>
    <w:rsid w:val="00D07DCE"/>
    <w:rsid w:val="00D103D7"/>
    <w:rsid w:val="00D10792"/>
    <w:rsid w:val="00D107BC"/>
    <w:rsid w:val="00D108F7"/>
    <w:rsid w:val="00D1091A"/>
    <w:rsid w:val="00D10A34"/>
    <w:rsid w:val="00D10F18"/>
    <w:rsid w:val="00D1280A"/>
    <w:rsid w:val="00D1297E"/>
    <w:rsid w:val="00D12B37"/>
    <w:rsid w:val="00D13D4B"/>
    <w:rsid w:val="00D14650"/>
    <w:rsid w:val="00D14665"/>
    <w:rsid w:val="00D148EB"/>
    <w:rsid w:val="00D14B61"/>
    <w:rsid w:val="00D14C19"/>
    <w:rsid w:val="00D14E91"/>
    <w:rsid w:val="00D15126"/>
    <w:rsid w:val="00D15185"/>
    <w:rsid w:val="00D15A2A"/>
    <w:rsid w:val="00D165D0"/>
    <w:rsid w:val="00D174D8"/>
    <w:rsid w:val="00D2040A"/>
    <w:rsid w:val="00D20D0D"/>
    <w:rsid w:val="00D20D9C"/>
    <w:rsid w:val="00D211ED"/>
    <w:rsid w:val="00D21BEA"/>
    <w:rsid w:val="00D21C93"/>
    <w:rsid w:val="00D22426"/>
    <w:rsid w:val="00D23D63"/>
    <w:rsid w:val="00D242FA"/>
    <w:rsid w:val="00D24C20"/>
    <w:rsid w:val="00D24FDC"/>
    <w:rsid w:val="00D251E2"/>
    <w:rsid w:val="00D2696B"/>
    <w:rsid w:val="00D26AB1"/>
    <w:rsid w:val="00D275D3"/>
    <w:rsid w:val="00D27637"/>
    <w:rsid w:val="00D27DB7"/>
    <w:rsid w:val="00D3044B"/>
    <w:rsid w:val="00D307D8"/>
    <w:rsid w:val="00D308AC"/>
    <w:rsid w:val="00D31309"/>
    <w:rsid w:val="00D31CDA"/>
    <w:rsid w:val="00D3314D"/>
    <w:rsid w:val="00D334C2"/>
    <w:rsid w:val="00D3432A"/>
    <w:rsid w:val="00D34480"/>
    <w:rsid w:val="00D350DB"/>
    <w:rsid w:val="00D350F5"/>
    <w:rsid w:val="00D351E7"/>
    <w:rsid w:val="00D3537B"/>
    <w:rsid w:val="00D356B7"/>
    <w:rsid w:val="00D35CF5"/>
    <w:rsid w:val="00D36246"/>
    <w:rsid w:val="00D3630D"/>
    <w:rsid w:val="00D36F44"/>
    <w:rsid w:val="00D377BD"/>
    <w:rsid w:val="00D37C31"/>
    <w:rsid w:val="00D37EAF"/>
    <w:rsid w:val="00D405E8"/>
    <w:rsid w:val="00D40C8C"/>
    <w:rsid w:val="00D426CB"/>
    <w:rsid w:val="00D4468F"/>
    <w:rsid w:val="00D44BF3"/>
    <w:rsid w:val="00D44E7C"/>
    <w:rsid w:val="00D4586A"/>
    <w:rsid w:val="00D46E13"/>
    <w:rsid w:val="00D473D7"/>
    <w:rsid w:val="00D47413"/>
    <w:rsid w:val="00D475C4"/>
    <w:rsid w:val="00D47734"/>
    <w:rsid w:val="00D50B91"/>
    <w:rsid w:val="00D5113D"/>
    <w:rsid w:val="00D51895"/>
    <w:rsid w:val="00D51A22"/>
    <w:rsid w:val="00D51D72"/>
    <w:rsid w:val="00D52855"/>
    <w:rsid w:val="00D529D1"/>
    <w:rsid w:val="00D529D8"/>
    <w:rsid w:val="00D52B64"/>
    <w:rsid w:val="00D52CCA"/>
    <w:rsid w:val="00D53CA4"/>
    <w:rsid w:val="00D543CE"/>
    <w:rsid w:val="00D5441C"/>
    <w:rsid w:val="00D54516"/>
    <w:rsid w:val="00D54D6E"/>
    <w:rsid w:val="00D5518F"/>
    <w:rsid w:val="00D57199"/>
    <w:rsid w:val="00D57C97"/>
    <w:rsid w:val="00D60388"/>
    <w:rsid w:val="00D60AA2"/>
    <w:rsid w:val="00D617B8"/>
    <w:rsid w:val="00D62253"/>
    <w:rsid w:val="00D6242F"/>
    <w:rsid w:val="00D626E0"/>
    <w:rsid w:val="00D62C4F"/>
    <w:rsid w:val="00D630E9"/>
    <w:rsid w:val="00D637CE"/>
    <w:rsid w:val="00D63C00"/>
    <w:rsid w:val="00D64220"/>
    <w:rsid w:val="00D64330"/>
    <w:rsid w:val="00D64998"/>
    <w:rsid w:val="00D64EB0"/>
    <w:rsid w:val="00D65174"/>
    <w:rsid w:val="00D6527A"/>
    <w:rsid w:val="00D65896"/>
    <w:rsid w:val="00D65A17"/>
    <w:rsid w:val="00D65B4D"/>
    <w:rsid w:val="00D66BDE"/>
    <w:rsid w:val="00D673A1"/>
    <w:rsid w:val="00D70070"/>
    <w:rsid w:val="00D70109"/>
    <w:rsid w:val="00D70248"/>
    <w:rsid w:val="00D702EC"/>
    <w:rsid w:val="00D70647"/>
    <w:rsid w:val="00D71269"/>
    <w:rsid w:val="00D71AF3"/>
    <w:rsid w:val="00D71E65"/>
    <w:rsid w:val="00D731E0"/>
    <w:rsid w:val="00D73689"/>
    <w:rsid w:val="00D740A2"/>
    <w:rsid w:val="00D749DE"/>
    <w:rsid w:val="00D74DBA"/>
    <w:rsid w:val="00D750A3"/>
    <w:rsid w:val="00D759FA"/>
    <w:rsid w:val="00D7616D"/>
    <w:rsid w:val="00D769D6"/>
    <w:rsid w:val="00D7769F"/>
    <w:rsid w:val="00D80161"/>
    <w:rsid w:val="00D80EFD"/>
    <w:rsid w:val="00D8122A"/>
    <w:rsid w:val="00D8130E"/>
    <w:rsid w:val="00D8132E"/>
    <w:rsid w:val="00D81992"/>
    <w:rsid w:val="00D81D6F"/>
    <w:rsid w:val="00D81F88"/>
    <w:rsid w:val="00D82571"/>
    <w:rsid w:val="00D82863"/>
    <w:rsid w:val="00D82947"/>
    <w:rsid w:val="00D8298D"/>
    <w:rsid w:val="00D833A5"/>
    <w:rsid w:val="00D83AAD"/>
    <w:rsid w:val="00D83BC7"/>
    <w:rsid w:val="00D845AE"/>
    <w:rsid w:val="00D84784"/>
    <w:rsid w:val="00D848B3"/>
    <w:rsid w:val="00D850A9"/>
    <w:rsid w:val="00D85265"/>
    <w:rsid w:val="00D85A9B"/>
    <w:rsid w:val="00D85CD5"/>
    <w:rsid w:val="00D863CA"/>
    <w:rsid w:val="00D86484"/>
    <w:rsid w:val="00D8783A"/>
    <w:rsid w:val="00D901C4"/>
    <w:rsid w:val="00D908F4"/>
    <w:rsid w:val="00D9148D"/>
    <w:rsid w:val="00D9186C"/>
    <w:rsid w:val="00D91A04"/>
    <w:rsid w:val="00D92B51"/>
    <w:rsid w:val="00D9318A"/>
    <w:rsid w:val="00D93650"/>
    <w:rsid w:val="00D9448C"/>
    <w:rsid w:val="00D94680"/>
    <w:rsid w:val="00D94B56"/>
    <w:rsid w:val="00D94C30"/>
    <w:rsid w:val="00D94E2A"/>
    <w:rsid w:val="00D9589B"/>
    <w:rsid w:val="00D95C68"/>
    <w:rsid w:val="00D95D18"/>
    <w:rsid w:val="00D95D39"/>
    <w:rsid w:val="00D95F47"/>
    <w:rsid w:val="00D9606D"/>
    <w:rsid w:val="00D97BEF"/>
    <w:rsid w:val="00D97FF8"/>
    <w:rsid w:val="00DA0ECC"/>
    <w:rsid w:val="00DA1092"/>
    <w:rsid w:val="00DA120D"/>
    <w:rsid w:val="00DA123A"/>
    <w:rsid w:val="00DA13B3"/>
    <w:rsid w:val="00DA2C51"/>
    <w:rsid w:val="00DA2FF8"/>
    <w:rsid w:val="00DA30C6"/>
    <w:rsid w:val="00DA4781"/>
    <w:rsid w:val="00DA5375"/>
    <w:rsid w:val="00DA5516"/>
    <w:rsid w:val="00DA562F"/>
    <w:rsid w:val="00DA5E4B"/>
    <w:rsid w:val="00DA5E98"/>
    <w:rsid w:val="00DA6B07"/>
    <w:rsid w:val="00DA6FFE"/>
    <w:rsid w:val="00DA7309"/>
    <w:rsid w:val="00DA74E4"/>
    <w:rsid w:val="00DA787A"/>
    <w:rsid w:val="00DA7BDD"/>
    <w:rsid w:val="00DB035B"/>
    <w:rsid w:val="00DB0F11"/>
    <w:rsid w:val="00DB1B49"/>
    <w:rsid w:val="00DB21CA"/>
    <w:rsid w:val="00DB21E8"/>
    <w:rsid w:val="00DB2952"/>
    <w:rsid w:val="00DB3D1F"/>
    <w:rsid w:val="00DB4492"/>
    <w:rsid w:val="00DB55BD"/>
    <w:rsid w:val="00DB56EB"/>
    <w:rsid w:val="00DB571F"/>
    <w:rsid w:val="00DB573E"/>
    <w:rsid w:val="00DB5B9B"/>
    <w:rsid w:val="00DB66D0"/>
    <w:rsid w:val="00DB6C65"/>
    <w:rsid w:val="00DB75CC"/>
    <w:rsid w:val="00DB761C"/>
    <w:rsid w:val="00DB7A82"/>
    <w:rsid w:val="00DC0087"/>
    <w:rsid w:val="00DC0609"/>
    <w:rsid w:val="00DC0B70"/>
    <w:rsid w:val="00DC1842"/>
    <w:rsid w:val="00DC2202"/>
    <w:rsid w:val="00DC2723"/>
    <w:rsid w:val="00DC2A11"/>
    <w:rsid w:val="00DC3F8D"/>
    <w:rsid w:val="00DC3F92"/>
    <w:rsid w:val="00DC4012"/>
    <w:rsid w:val="00DC4483"/>
    <w:rsid w:val="00DC4528"/>
    <w:rsid w:val="00DC4536"/>
    <w:rsid w:val="00DC53BA"/>
    <w:rsid w:val="00DC548A"/>
    <w:rsid w:val="00DC59F0"/>
    <w:rsid w:val="00DC5AF6"/>
    <w:rsid w:val="00DC6551"/>
    <w:rsid w:val="00DC69CF"/>
    <w:rsid w:val="00DC6E7E"/>
    <w:rsid w:val="00DC7A40"/>
    <w:rsid w:val="00DC7CBC"/>
    <w:rsid w:val="00DD02EA"/>
    <w:rsid w:val="00DD0C1C"/>
    <w:rsid w:val="00DD0CCC"/>
    <w:rsid w:val="00DD0FE7"/>
    <w:rsid w:val="00DD113E"/>
    <w:rsid w:val="00DD130D"/>
    <w:rsid w:val="00DD17FE"/>
    <w:rsid w:val="00DD1839"/>
    <w:rsid w:val="00DD1866"/>
    <w:rsid w:val="00DD1AD2"/>
    <w:rsid w:val="00DD1AF4"/>
    <w:rsid w:val="00DD1B35"/>
    <w:rsid w:val="00DD2580"/>
    <w:rsid w:val="00DD2B65"/>
    <w:rsid w:val="00DD2E92"/>
    <w:rsid w:val="00DD2F36"/>
    <w:rsid w:val="00DD307C"/>
    <w:rsid w:val="00DD3BE2"/>
    <w:rsid w:val="00DD3E29"/>
    <w:rsid w:val="00DD3EE0"/>
    <w:rsid w:val="00DD406B"/>
    <w:rsid w:val="00DD4296"/>
    <w:rsid w:val="00DD4DF7"/>
    <w:rsid w:val="00DD50D5"/>
    <w:rsid w:val="00DD5E3C"/>
    <w:rsid w:val="00DD5F6B"/>
    <w:rsid w:val="00DD60F6"/>
    <w:rsid w:val="00DD6C64"/>
    <w:rsid w:val="00DD73E9"/>
    <w:rsid w:val="00DD767B"/>
    <w:rsid w:val="00DD7722"/>
    <w:rsid w:val="00DD799D"/>
    <w:rsid w:val="00DD7BDC"/>
    <w:rsid w:val="00DE070A"/>
    <w:rsid w:val="00DE07BB"/>
    <w:rsid w:val="00DE2EE8"/>
    <w:rsid w:val="00DE37CF"/>
    <w:rsid w:val="00DE381F"/>
    <w:rsid w:val="00DE38CA"/>
    <w:rsid w:val="00DE3E9F"/>
    <w:rsid w:val="00DE43E7"/>
    <w:rsid w:val="00DE4753"/>
    <w:rsid w:val="00DE4D5D"/>
    <w:rsid w:val="00DE5796"/>
    <w:rsid w:val="00DE65CB"/>
    <w:rsid w:val="00DE7A15"/>
    <w:rsid w:val="00DE7C0E"/>
    <w:rsid w:val="00DF102E"/>
    <w:rsid w:val="00DF1AF7"/>
    <w:rsid w:val="00DF1BEE"/>
    <w:rsid w:val="00DF2517"/>
    <w:rsid w:val="00DF31B1"/>
    <w:rsid w:val="00DF3A96"/>
    <w:rsid w:val="00DF5095"/>
    <w:rsid w:val="00DF5169"/>
    <w:rsid w:val="00DF59FA"/>
    <w:rsid w:val="00DF5B7B"/>
    <w:rsid w:val="00DF5D09"/>
    <w:rsid w:val="00DF5F68"/>
    <w:rsid w:val="00DF5FC1"/>
    <w:rsid w:val="00DF64F7"/>
    <w:rsid w:val="00DF6C52"/>
    <w:rsid w:val="00DF7D8E"/>
    <w:rsid w:val="00DF7EA8"/>
    <w:rsid w:val="00E00136"/>
    <w:rsid w:val="00E00BB4"/>
    <w:rsid w:val="00E00F0F"/>
    <w:rsid w:val="00E01566"/>
    <w:rsid w:val="00E015FC"/>
    <w:rsid w:val="00E01897"/>
    <w:rsid w:val="00E029F7"/>
    <w:rsid w:val="00E02D25"/>
    <w:rsid w:val="00E02FBB"/>
    <w:rsid w:val="00E03C4F"/>
    <w:rsid w:val="00E03E31"/>
    <w:rsid w:val="00E03E36"/>
    <w:rsid w:val="00E0450A"/>
    <w:rsid w:val="00E04721"/>
    <w:rsid w:val="00E05265"/>
    <w:rsid w:val="00E0550C"/>
    <w:rsid w:val="00E05988"/>
    <w:rsid w:val="00E062FB"/>
    <w:rsid w:val="00E0795B"/>
    <w:rsid w:val="00E0796E"/>
    <w:rsid w:val="00E10498"/>
    <w:rsid w:val="00E10ADD"/>
    <w:rsid w:val="00E11D80"/>
    <w:rsid w:val="00E12116"/>
    <w:rsid w:val="00E12584"/>
    <w:rsid w:val="00E12C7B"/>
    <w:rsid w:val="00E13AFD"/>
    <w:rsid w:val="00E13C47"/>
    <w:rsid w:val="00E13CCA"/>
    <w:rsid w:val="00E152E8"/>
    <w:rsid w:val="00E15968"/>
    <w:rsid w:val="00E15A82"/>
    <w:rsid w:val="00E15EC3"/>
    <w:rsid w:val="00E16054"/>
    <w:rsid w:val="00E166F8"/>
    <w:rsid w:val="00E16931"/>
    <w:rsid w:val="00E16D4F"/>
    <w:rsid w:val="00E17122"/>
    <w:rsid w:val="00E20052"/>
    <w:rsid w:val="00E20B5B"/>
    <w:rsid w:val="00E214ED"/>
    <w:rsid w:val="00E218B8"/>
    <w:rsid w:val="00E21AD1"/>
    <w:rsid w:val="00E21E26"/>
    <w:rsid w:val="00E21EA4"/>
    <w:rsid w:val="00E21F18"/>
    <w:rsid w:val="00E220EB"/>
    <w:rsid w:val="00E222C0"/>
    <w:rsid w:val="00E26035"/>
    <w:rsid w:val="00E26138"/>
    <w:rsid w:val="00E26909"/>
    <w:rsid w:val="00E26A45"/>
    <w:rsid w:val="00E26B18"/>
    <w:rsid w:val="00E26D53"/>
    <w:rsid w:val="00E27444"/>
    <w:rsid w:val="00E27C1E"/>
    <w:rsid w:val="00E27CFF"/>
    <w:rsid w:val="00E30FEA"/>
    <w:rsid w:val="00E31460"/>
    <w:rsid w:val="00E31774"/>
    <w:rsid w:val="00E32598"/>
    <w:rsid w:val="00E327BC"/>
    <w:rsid w:val="00E32AE1"/>
    <w:rsid w:val="00E32F71"/>
    <w:rsid w:val="00E33278"/>
    <w:rsid w:val="00E33DA4"/>
    <w:rsid w:val="00E34F5C"/>
    <w:rsid w:val="00E351B7"/>
    <w:rsid w:val="00E354C3"/>
    <w:rsid w:val="00E360F2"/>
    <w:rsid w:val="00E3613A"/>
    <w:rsid w:val="00E362C3"/>
    <w:rsid w:val="00E3642F"/>
    <w:rsid w:val="00E40707"/>
    <w:rsid w:val="00E4148D"/>
    <w:rsid w:val="00E41680"/>
    <w:rsid w:val="00E41FBC"/>
    <w:rsid w:val="00E4251E"/>
    <w:rsid w:val="00E425C8"/>
    <w:rsid w:val="00E42D08"/>
    <w:rsid w:val="00E42D6E"/>
    <w:rsid w:val="00E42FE8"/>
    <w:rsid w:val="00E430FE"/>
    <w:rsid w:val="00E43620"/>
    <w:rsid w:val="00E43BE1"/>
    <w:rsid w:val="00E44354"/>
    <w:rsid w:val="00E44BCA"/>
    <w:rsid w:val="00E45008"/>
    <w:rsid w:val="00E4582E"/>
    <w:rsid w:val="00E45F45"/>
    <w:rsid w:val="00E4615E"/>
    <w:rsid w:val="00E46BF7"/>
    <w:rsid w:val="00E516EA"/>
    <w:rsid w:val="00E51A0B"/>
    <w:rsid w:val="00E528F1"/>
    <w:rsid w:val="00E52E23"/>
    <w:rsid w:val="00E538D1"/>
    <w:rsid w:val="00E54038"/>
    <w:rsid w:val="00E54B2F"/>
    <w:rsid w:val="00E54D8B"/>
    <w:rsid w:val="00E54E4E"/>
    <w:rsid w:val="00E54E56"/>
    <w:rsid w:val="00E551D2"/>
    <w:rsid w:val="00E5580E"/>
    <w:rsid w:val="00E5682D"/>
    <w:rsid w:val="00E56B3A"/>
    <w:rsid w:val="00E5700D"/>
    <w:rsid w:val="00E57F9D"/>
    <w:rsid w:val="00E60253"/>
    <w:rsid w:val="00E60520"/>
    <w:rsid w:val="00E605ED"/>
    <w:rsid w:val="00E60BFF"/>
    <w:rsid w:val="00E60FA4"/>
    <w:rsid w:val="00E618C4"/>
    <w:rsid w:val="00E61AEC"/>
    <w:rsid w:val="00E62414"/>
    <w:rsid w:val="00E6273C"/>
    <w:rsid w:val="00E62B65"/>
    <w:rsid w:val="00E63C5B"/>
    <w:rsid w:val="00E64759"/>
    <w:rsid w:val="00E64BB9"/>
    <w:rsid w:val="00E64FA6"/>
    <w:rsid w:val="00E656AC"/>
    <w:rsid w:val="00E658B9"/>
    <w:rsid w:val="00E65EC1"/>
    <w:rsid w:val="00E66841"/>
    <w:rsid w:val="00E66884"/>
    <w:rsid w:val="00E66A5C"/>
    <w:rsid w:val="00E66AE1"/>
    <w:rsid w:val="00E66D04"/>
    <w:rsid w:val="00E67045"/>
    <w:rsid w:val="00E6744C"/>
    <w:rsid w:val="00E674C5"/>
    <w:rsid w:val="00E70243"/>
    <w:rsid w:val="00E7045E"/>
    <w:rsid w:val="00E70851"/>
    <w:rsid w:val="00E70C8E"/>
    <w:rsid w:val="00E70D6D"/>
    <w:rsid w:val="00E71D63"/>
    <w:rsid w:val="00E728A8"/>
    <w:rsid w:val="00E737B2"/>
    <w:rsid w:val="00E74336"/>
    <w:rsid w:val="00E74846"/>
    <w:rsid w:val="00E758D6"/>
    <w:rsid w:val="00E7602E"/>
    <w:rsid w:val="00E763EE"/>
    <w:rsid w:val="00E76426"/>
    <w:rsid w:val="00E766C6"/>
    <w:rsid w:val="00E76984"/>
    <w:rsid w:val="00E76997"/>
    <w:rsid w:val="00E76E25"/>
    <w:rsid w:val="00E81553"/>
    <w:rsid w:val="00E815AD"/>
    <w:rsid w:val="00E815BD"/>
    <w:rsid w:val="00E8160D"/>
    <w:rsid w:val="00E817B3"/>
    <w:rsid w:val="00E81802"/>
    <w:rsid w:val="00E81815"/>
    <w:rsid w:val="00E81BF3"/>
    <w:rsid w:val="00E829F2"/>
    <w:rsid w:val="00E83D10"/>
    <w:rsid w:val="00E84442"/>
    <w:rsid w:val="00E84470"/>
    <w:rsid w:val="00E847BC"/>
    <w:rsid w:val="00E84C16"/>
    <w:rsid w:val="00E84C3B"/>
    <w:rsid w:val="00E85325"/>
    <w:rsid w:val="00E854C3"/>
    <w:rsid w:val="00E85763"/>
    <w:rsid w:val="00E861D9"/>
    <w:rsid w:val="00E866D5"/>
    <w:rsid w:val="00E87298"/>
    <w:rsid w:val="00E87486"/>
    <w:rsid w:val="00E8773E"/>
    <w:rsid w:val="00E87EB7"/>
    <w:rsid w:val="00E90528"/>
    <w:rsid w:val="00E916B3"/>
    <w:rsid w:val="00E92400"/>
    <w:rsid w:val="00E92597"/>
    <w:rsid w:val="00E9291D"/>
    <w:rsid w:val="00E93A79"/>
    <w:rsid w:val="00E93BE9"/>
    <w:rsid w:val="00E94147"/>
    <w:rsid w:val="00E945E3"/>
    <w:rsid w:val="00E94D4E"/>
    <w:rsid w:val="00E94F52"/>
    <w:rsid w:val="00E9556B"/>
    <w:rsid w:val="00E9564F"/>
    <w:rsid w:val="00E958AB"/>
    <w:rsid w:val="00E9612B"/>
    <w:rsid w:val="00E964A4"/>
    <w:rsid w:val="00E965EE"/>
    <w:rsid w:val="00E96F7A"/>
    <w:rsid w:val="00E97D26"/>
    <w:rsid w:val="00E97F28"/>
    <w:rsid w:val="00EA0065"/>
    <w:rsid w:val="00EA0884"/>
    <w:rsid w:val="00EA0DDA"/>
    <w:rsid w:val="00EA0E66"/>
    <w:rsid w:val="00EA1560"/>
    <w:rsid w:val="00EA1D91"/>
    <w:rsid w:val="00EA20A9"/>
    <w:rsid w:val="00EA25B0"/>
    <w:rsid w:val="00EA2AD7"/>
    <w:rsid w:val="00EA2CF3"/>
    <w:rsid w:val="00EA368C"/>
    <w:rsid w:val="00EA39AD"/>
    <w:rsid w:val="00EA3B3E"/>
    <w:rsid w:val="00EA3D66"/>
    <w:rsid w:val="00EA3DBE"/>
    <w:rsid w:val="00EA4490"/>
    <w:rsid w:val="00EA46F1"/>
    <w:rsid w:val="00EA4894"/>
    <w:rsid w:val="00EA4E9C"/>
    <w:rsid w:val="00EA5697"/>
    <w:rsid w:val="00EA5888"/>
    <w:rsid w:val="00EA5DBA"/>
    <w:rsid w:val="00EA6F1F"/>
    <w:rsid w:val="00EA778C"/>
    <w:rsid w:val="00EB0374"/>
    <w:rsid w:val="00EB08D7"/>
    <w:rsid w:val="00EB1015"/>
    <w:rsid w:val="00EB14A8"/>
    <w:rsid w:val="00EB15CA"/>
    <w:rsid w:val="00EB182B"/>
    <w:rsid w:val="00EB204A"/>
    <w:rsid w:val="00EB222D"/>
    <w:rsid w:val="00EB2788"/>
    <w:rsid w:val="00EB280D"/>
    <w:rsid w:val="00EB305E"/>
    <w:rsid w:val="00EB3F5C"/>
    <w:rsid w:val="00EB4434"/>
    <w:rsid w:val="00EB453A"/>
    <w:rsid w:val="00EB461D"/>
    <w:rsid w:val="00EB5333"/>
    <w:rsid w:val="00EB5A09"/>
    <w:rsid w:val="00EB5E91"/>
    <w:rsid w:val="00EB6D40"/>
    <w:rsid w:val="00EB700C"/>
    <w:rsid w:val="00EC00AF"/>
    <w:rsid w:val="00EC0356"/>
    <w:rsid w:val="00EC074D"/>
    <w:rsid w:val="00EC141F"/>
    <w:rsid w:val="00EC25D9"/>
    <w:rsid w:val="00EC32BC"/>
    <w:rsid w:val="00EC3345"/>
    <w:rsid w:val="00EC363A"/>
    <w:rsid w:val="00EC3CB4"/>
    <w:rsid w:val="00EC4756"/>
    <w:rsid w:val="00EC4991"/>
    <w:rsid w:val="00EC4E23"/>
    <w:rsid w:val="00EC4ED2"/>
    <w:rsid w:val="00EC5024"/>
    <w:rsid w:val="00EC530C"/>
    <w:rsid w:val="00EC5C25"/>
    <w:rsid w:val="00EC5F02"/>
    <w:rsid w:val="00EC70AA"/>
    <w:rsid w:val="00EC7A20"/>
    <w:rsid w:val="00ED1399"/>
    <w:rsid w:val="00ED17EB"/>
    <w:rsid w:val="00ED1931"/>
    <w:rsid w:val="00ED2188"/>
    <w:rsid w:val="00ED2A41"/>
    <w:rsid w:val="00ED356D"/>
    <w:rsid w:val="00ED36A5"/>
    <w:rsid w:val="00ED4524"/>
    <w:rsid w:val="00ED4618"/>
    <w:rsid w:val="00ED4BD1"/>
    <w:rsid w:val="00ED5D0E"/>
    <w:rsid w:val="00ED5EE0"/>
    <w:rsid w:val="00ED6288"/>
    <w:rsid w:val="00ED646C"/>
    <w:rsid w:val="00ED64B6"/>
    <w:rsid w:val="00ED6752"/>
    <w:rsid w:val="00ED6A87"/>
    <w:rsid w:val="00ED6E68"/>
    <w:rsid w:val="00ED7340"/>
    <w:rsid w:val="00ED73E0"/>
    <w:rsid w:val="00ED7904"/>
    <w:rsid w:val="00ED7A3A"/>
    <w:rsid w:val="00ED7FF7"/>
    <w:rsid w:val="00EE01E8"/>
    <w:rsid w:val="00EE07E5"/>
    <w:rsid w:val="00EE1768"/>
    <w:rsid w:val="00EE17E2"/>
    <w:rsid w:val="00EE2A23"/>
    <w:rsid w:val="00EE30FD"/>
    <w:rsid w:val="00EE37EE"/>
    <w:rsid w:val="00EE3F8A"/>
    <w:rsid w:val="00EE4413"/>
    <w:rsid w:val="00EE4C1E"/>
    <w:rsid w:val="00EE56A7"/>
    <w:rsid w:val="00EE5F5D"/>
    <w:rsid w:val="00EE5F80"/>
    <w:rsid w:val="00EE5F86"/>
    <w:rsid w:val="00EE61FC"/>
    <w:rsid w:val="00EE7CFB"/>
    <w:rsid w:val="00EF0543"/>
    <w:rsid w:val="00EF0C7F"/>
    <w:rsid w:val="00EF0CCE"/>
    <w:rsid w:val="00EF115C"/>
    <w:rsid w:val="00EF1259"/>
    <w:rsid w:val="00EF1354"/>
    <w:rsid w:val="00EF15D3"/>
    <w:rsid w:val="00EF1B13"/>
    <w:rsid w:val="00EF24E7"/>
    <w:rsid w:val="00EF3EFE"/>
    <w:rsid w:val="00EF4EB3"/>
    <w:rsid w:val="00EF52C5"/>
    <w:rsid w:val="00EF53D0"/>
    <w:rsid w:val="00EF5A73"/>
    <w:rsid w:val="00EF766B"/>
    <w:rsid w:val="00EF7679"/>
    <w:rsid w:val="00EF76FC"/>
    <w:rsid w:val="00EF7F3E"/>
    <w:rsid w:val="00F009B5"/>
    <w:rsid w:val="00F0148A"/>
    <w:rsid w:val="00F017B9"/>
    <w:rsid w:val="00F019B1"/>
    <w:rsid w:val="00F0265D"/>
    <w:rsid w:val="00F026D6"/>
    <w:rsid w:val="00F0351C"/>
    <w:rsid w:val="00F0455E"/>
    <w:rsid w:val="00F056AA"/>
    <w:rsid w:val="00F075E3"/>
    <w:rsid w:val="00F07F31"/>
    <w:rsid w:val="00F10BBB"/>
    <w:rsid w:val="00F12150"/>
    <w:rsid w:val="00F13BEB"/>
    <w:rsid w:val="00F151B6"/>
    <w:rsid w:val="00F15316"/>
    <w:rsid w:val="00F15AC9"/>
    <w:rsid w:val="00F17350"/>
    <w:rsid w:val="00F1759F"/>
    <w:rsid w:val="00F17A04"/>
    <w:rsid w:val="00F20124"/>
    <w:rsid w:val="00F21ADA"/>
    <w:rsid w:val="00F22F25"/>
    <w:rsid w:val="00F23625"/>
    <w:rsid w:val="00F237EB"/>
    <w:rsid w:val="00F239B8"/>
    <w:rsid w:val="00F23BA4"/>
    <w:rsid w:val="00F24462"/>
    <w:rsid w:val="00F26145"/>
    <w:rsid w:val="00F26472"/>
    <w:rsid w:val="00F26B65"/>
    <w:rsid w:val="00F273FB"/>
    <w:rsid w:val="00F279B0"/>
    <w:rsid w:val="00F3047C"/>
    <w:rsid w:val="00F30B8F"/>
    <w:rsid w:val="00F30DDE"/>
    <w:rsid w:val="00F31318"/>
    <w:rsid w:val="00F314A5"/>
    <w:rsid w:val="00F32168"/>
    <w:rsid w:val="00F32D9A"/>
    <w:rsid w:val="00F338E0"/>
    <w:rsid w:val="00F342F6"/>
    <w:rsid w:val="00F350BA"/>
    <w:rsid w:val="00F35AE8"/>
    <w:rsid w:val="00F35F57"/>
    <w:rsid w:val="00F364B1"/>
    <w:rsid w:val="00F36C73"/>
    <w:rsid w:val="00F370C8"/>
    <w:rsid w:val="00F3719A"/>
    <w:rsid w:val="00F372C6"/>
    <w:rsid w:val="00F3750A"/>
    <w:rsid w:val="00F37537"/>
    <w:rsid w:val="00F37F99"/>
    <w:rsid w:val="00F409AE"/>
    <w:rsid w:val="00F40A21"/>
    <w:rsid w:val="00F40C85"/>
    <w:rsid w:val="00F412B3"/>
    <w:rsid w:val="00F41300"/>
    <w:rsid w:val="00F41415"/>
    <w:rsid w:val="00F415C2"/>
    <w:rsid w:val="00F41951"/>
    <w:rsid w:val="00F42220"/>
    <w:rsid w:val="00F422B1"/>
    <w:rsid w:val="00F4243A"/>
    <w:rsid w:val="00F4279A"/>
    <w:rsid w:val="00F427B5"/>
    <w:rsid w:val="00F43A85"/>
    <w:rsid w:val="00F44193"/>
    <w:rsid w:val="00F4432B"/>
    <w:rsid w:val="00F44754"/>
    <w:rsid w:val="00F44D6A"/>
    <w:rsid w:val="00F4542E"/>
    <w:rsid w:val="00F455BC"/>
    <w:rsid w:val="00F4591D"/>
    <w:rsid w:val="00F45B91"/>
    <w:rsid w:val="00F45BF2"/>
    <w:rsid w:val="00F46444"/>
    <w:rsid w:val="00F47AFC"/>
    <w:rsid w:val="00F500FA"/>
    <w:rsid w:val="00F505FD"/>
    <w:rsid w:val="00F5136A"/>
    <w:rsid w:val="00F51D03"/>
    <w:rsid w:val="00F51D5C"/>
    <w:rsid w:val="00F51F00"/>
    <w:rsid w:val="00F523C5"/>
    <w:rsid w:val="00F53383"/>
    <w:rsid w:val="00F53D28"/>
    <w:rsid w:val="00F53E4A"/>
    <w:rsid w:val="00F53F4D"/>
    <w:rsid w:val="00F545E2"/>
    <w:rsid w:val="00F548EA"/>
    <w:rsid w:val="00F55920"/>
    <w:rsid w:val="00F559E7"/>
    <w:rsid w:val="00F55ADD"/>
    <w:rsid w:val="00F55B84"/>
    <w:rsid w:val="00F56B1C"/>
    <w:rsid w:val="00F577E6"/>
    <w:rsid w:val="00F57D15"/>
    <w:rsid w:val="00F60EBC"/>
    <w:rsid w:val="00F612E6"/>
    <w:rsid w:val="00F613AF"/>
    <w:rsid w:val="00F6144D"/>
    <w:rsid w:val="00F61513"/>
    <w:rsid w:val="00F61923"/>
    <w:rsid w:val="00F6199D"/>
    <w:rsid w:val="00F61A2D"/>
    <w:rsid w:val="00F6218F"/>
    <w:rsid w:val="00F623DB"/>
    <w:rsid w:val="00F633FC"/>
    <w:rsid w:val="00F63B0C"/>
    <w:rsid w:val="00F63B83"/>
    <w:rsid w:val="00F63C68"/>
    <w:rsid w:val="00F64577"/>
    <w:rsid w:val="00F65354"/>
    <w:rsid w:val="00F67273"/>
    <w:rsid w:val="00F67CB0"/>
    <w:rsid w:val="00F70B0E"/>
    <w:rsid w:val="00F71DCF"/>
    <w:rsid w:val="00F7211D"/>
    <w:rsid w:val="00F7356D"/>
    <w:rsid w:val="00F736E1"/>
    <w:rsid w:val="00F74682"/>
    <w:rsid w:val="00F74D28"/>
    <w:rsid w:val="00F7516F"/>
    <w:rsid w:val="00F756B8"/>
    <w:rsid w:val="00F75D6C"/>
    <w:rsid w:val="00F765C7"/>
    <w:rsid w:val="00F76AEC"/>
    <w:rsid w:val="00F76E2B"/>
    <w:rsid w:val="00F77CBC"/>
    <w:rsid w:val="00F80A37"/>
    <w:rsid w:val="00F81275"/>
    <w:rsid w:val="00F81688"/>
    <w:rsid w:val="00F81791"/>
    <w:rsid w:val="00F8217E"/>
    <w:rsid w:val="00F82982"/>
    <w:rsid w:val="00F82C6D"/>
    <w:rsid w:val="00F8315F"/>
    <w:rsid w:val="00F832AC"/>
    <w:rsid w:val="00F83695"/>
    <w:rsid w:val="00F83D9C"/>
    <w:rsid w:val="00F844A8"/>
    <w:rsid w:val="00F8463B"/>
    <w:rsid w:val="00F85333"/>
    <w:rsid w:val="00F85FB1"/>
    <w:rsid w:val="00F8620E"/>
    <w:rsid w:val="00F863DB"/>
    <w:rsid w:val="00F90700"/>
    <w:rsid w:val="00F90CD5"/>
    <w:rsid w:val="00F91518"/>
    <w:rsid w:val="00F91B6F"/>
    <w:rsid w:val="00F9277A"/>
    <w:rsid w:val="00F92E89"/>
    <w:rsid w:val="00F93A1A"/>
    <w:rsid w:val="00F9433A"/>
    <w:rsid w:val="00F95168"/>
    <w:rsid w:val="00F951B5"/>
    <w:rsid w:val="00F95698"/>
    <w:rsid w:val="00F95FAE"/>
    <w:rsid w:val="00F96169"/>
    <w:rsid w:val="00F964D3"/>
    <w:rsid w:val="00F96998"/>
    <w:rsid w:val="00F96B55"/>
    <w:rsid w:val="00F971CF"/>
    <w:rsid w:val="00F9750E"/>
    <w:rsid w:val="00F9767D"/>
    <w:rsid w:val="00F97EAA"/>
    <w:rsid w:val="00FA043E"/>
    <w:rsid w:val="00FA08C2"/>
    <w:rsid w:val="00FA0F1E"/>
    <w:rsid w:val="00FA1612"/>
    <w:rsid w:val="00FA1628"/>
    <w:rsid w:val="00FA184A"/>
    <w:rsid w:val="00FA238B"/>
    <w:rsid w:val="00FA2AA3"/>
    <w:rsid w:val="00FA40AC"/>
    <w:rsid w:val="00FA42F0"/>
    <w:rsid w:val="00FA43D2"/>
    <w:rsid w:val="00FA4783"/>
    <w:rsid w:val="00FA48B0"/>
    <w:rsid w:val="00FA5171"/>
    <w:rsid w:val="00FA5ED9"/>
    <w:rsid w:val="00FA6C7F"/>
    <w:rsid w:val="00FA73C6"/>
    <w:rsid w:val="00FA7EDA"/>
    <w:rsid w:val="00FA7EF1"/>
    <w:rsid w:val="00FB01C5"/>
    <w:rsid w:val="00FB1238"/>
    <w:rsid w:val="00FB1A5A"/>
    <w:rsid w:val="00FB374C"/>
    <w:rsid w:val="00FB4804"/>
    <w:rsid w:val="00FB5358"/>
    <w:rsid w:val="00FB5FDB"/>
    <w:rsid w:val="00FB616C"/>
    <w:rsid w:val="00FB654E"/>
    <w:rsid w:val="00FB68E2"/>
    <w:rsid w:val="00FB6A91"/>
    <w:rsid w:val="00FB6C28"/>
    <w:rsid w:val="00FB71AB"/>
    <w:rsid w:val="00FB7A12"/>
    <w:rsid w:val="00FB7FFD"/>
    <w:rsid w:val="00FC03BC"/>
    <w:rsid w:val="00FC0436"/>
    <w:rsid w:val="00FC1347"/>
    <w:rsid w:val="00FC18B6"/>
    <w:rsid w:val="00FC18BA"/>
    <w:rsid w:val="00FC1BB7"/>
    <w:rsid w:val="00FC1C37"/>
    <w:rsid w:val="00FC2265"/>
    <w:rsid w:val="00FC24B2"/>
    <w:rsid w:val="00FC2B11"/>
    <w:rsid w:val="00FC32AC"/>
    <w:rsid w:val="00FC451D"/>
    <w:rsid w:val="00FC5F4F"/>
    <w:rsid w:val="00FC613E"/>
    <w:rsid w:val="00FC673F"/>
    <w:rsid w:val="00FC6950"/>
    <w:rsid w:val="00FC6A82"/>
    <w:rsid w:val="00FC6A84"/>
    <w:rsid w:val="00FC6BFF"/>
    <w:rsid w:val="00FC6CFC"/>
    <w:rsid w:val="00FC76B0"/>
    <w:rsid w:val="00FC795C"/>
    <w:rsid w:val="00FC7FD5"/>
    <w:rsid w:val="00FD1263"/>
    <w:rsid w:val="00FD2083"/>
    <w:rsid w:val="00FD2558"/>
    <w:rsid w:val="00FD25C9"/>
    <w:rsid w:val="00FD261C"/>
    <w:rsid w:val="00FD2B94"/>
    <w:rsid w:val="00FD3A1F"/>
    <w:rsid w:val="00FD423F"/>
    <w:rsid w:val="00FD48BB"/>
    <w:rsid w:val="00FD5BDD"/>
    <w:rsid w:val="00FD668A"/>
    <w:rsid w:val="00FD6966"/>
    <w:rsid w:val="00FD6A6A"/>
    <w:rsid w:val="00FD6C36"/>
    <w:rsid w:val="00FD6F61"/>
    <w:rsid w:val="00FD70AD"/>
    <w:rsid w:val="00FD7563"/>
    <w:rsid w:val="00FD7725"/>
    <w:rsid w:val="00FD7AFF"/>
    <w:rsid w:val="00FD7E58"/>
    <w:rsid w:val="00FE0B9D"/>
    <w:rsid w:val="00FE0C15"/>
    <w:rsid w:val="00FE0EE6"/>
    <w:rsid w:val="00FE1F41"/>
    <w:rsid w:val="00FE27E2"/>
    <w:rsid w:val="00FE2A9F"/>
    <w:rsid w:val="00FE3ABE"/>
    <w:rsid w:val="00FE3DD0"/>
    <w:rsid w:val="00FE45A4"/>
    <w:rsid w:val="00FE4AB6"/>
    <w:rsid w:val="00FE503D"/>
    <w:rsid w:val="00FE5131"/>
    <w:rsid w:val="00FE53C6"/>
    <w:rsid w:val="00FE5849"/>
    <w:rsid w:val="00FE5960"/>
    <w:rsid w:val="00FE5D63"/>
    <w:rsid w:val="00FE70AC"/>
    <w:rsid w:val="00FE7167"/>
    <w:rsid w:val="00FE74AD"/>
    <w:rsid w:val="00FE76E8"/>
    <w:rsid w:val="00FE76EC"/>
    <w:rsid w:val="00FF0531"/>
    <w:rsid w:val="00FF1F52"/>
    <w:rsid w:val="00FF211F"/>
    <w:rsid w:val="00FF337B"/>
    <w:rsid w:val="00FF34A9"/>
    <w:rsid w:val="00FF372D"/>
    <w:rsid w:val="00FF3737"/>
    <w:rsid w:val="00FF377C"/>
    <w:rsid w:val="00FF48E5"/>
    <w:rsid w:val="00FF4D92"/>
    <w:rsid w:val="00FF52AD"/>
    <w:rsid w:val="00FF55D6"/>
    <w:rsid w:val="00FF5A29"/>
    <w:rsid w:val="00FF7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B2F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5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0A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48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1419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line="240" w:lineRule="auto"/>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EA56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69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A56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551D2"/>
    <w:pPr>
      <w:outlineLvl w:val="9"/>
    </w:pPr>
    <w:rPr>
      <w:lang w:val="en-US" w:eastAsia="ja-JP"/>
    </w:rPr>
  </w:style>
  <w:style w:type="paragraph" w:styleId="TOC1">
    <w:name w:val="toc 1"/>
    <w:basedOn w:val="Normal"/>
    <w:next w:val="Normal"/>
    <w:autoRedefine/>
    <w:uiPriority w:val="39"/>
    <w:unhideWhenUsed/>
    <w:rsid w:val="00E551D2"/>
    <w:pPr>
      <w:spacing w:after="100"/>
    </w:pPr>
  </w:style>
  <w:style w:type="character" w:styleId="Hyperlink">
    <w:name w:val="Hyperlink"/>
    <w:basedOn w:val="DefaultParagraphFont"/>
    <w:uiPriority w:val="99"/>
    <w:unhideWhenUsed/>
    <w:rsid w:val="00E551D2"/>
    <w:rPr>
      <w:color w:val="0000FF" w:themeColor="hyperlink"/>
      <w:u w:val="single"/>
    </w:rPr>
  </w:style>
  <w:style w:type="paragraph" w:styleId="BalloonText">
    <w:name w:val="Balloon Text"/>
    <w:basedOn w:val="Normal"/>
    <w:link w:val="BalloonTextChar"/>
    <w:uiPriority w:val="99"/>
    <w:semiHidden/>
    <w:unhideWhenUsed/>
    <w:rsid w:val="00E55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D2"/>
    <w:rPr>
      <w:rFonts w:ascii="Tahoma" w:hAnsi="Tahoma" w:cs="Tahoma"/>
      <w:sz w:val="16"/>
      <w:szCs w:val="16"/>
    </w:rPr>
  </w:style>
  <w:style w:type="paragraph" w:customStyle="1" w:styleId="Bullet">
    <w:name w:val="Bullet"/>
    <w:aliases w:val="Body,b,b + line,b1,level 1,Bullet + line"/>
    <w:basedOn w:val="Normal"/>
    <w:link w:val="BulletChar"/>
    <w:qFormat/>
    <w:rsid w:val="00925AD3"/>
    <w:pPr>
      <w:numPr>
        <w:numId w:val="1"/>
      </w:numPr>
    </w:pPr>
    <w:rPr>
      <w:rFonts w:ascii="Calibri" w:eastAsiaTheme="majorEastAsia" w:hAnsi="Calibri" w:cstheme="majorBidi"/>
      <w:szCs w:val="28"/>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Heading1Char"/>
    <w:link w:val="Bullet"/>
    <w:rsid w:val="00925AD3"/>
    <w:rPr>
      <w:rFonts w:ascii="Calibri" w:eastAsiaTheme="majorEastAsia" w:hAnsi="Calibri" w:cstheme="majorBidi"/>
      <w:b w:val="0"/>
      <w:bCs w:val="0"/>
      <w:color w:val="365F91" w:themeColor="accent1" w:themeShade="BF"/>
      <w:sz w:val="28"/>
      <w:szCs w:val="28"/>
    </w:rPr>
  </w:style>
  <w:style w:type="paragraph" w:customStyle="1" w:styleId="Dash">
    <w:name w:val="Dash"/>
    <w:basedOn w:val="Normal"/>
    <w:link w:val="DashChar"/>
    <w:qFormat/>
    <w:rsid w:val="00703C71"/>
    <w:pPr>
      <w:numPr>
        <w:ilvl w:val="1"/>
        <w:numId w:val="1"/>
      </w:numPr>
    </w:pPr>
    <w:rPr>
      <w:rFonts w:cstheme="majorBidi"/>
      <w:szCs w:val="28"/>
    </w:rPr>
  </w:style>
  <w:style w:type="character" w:customStyle="1" w:styleId="DashChar">
    <w:name w:val="Dash Char"/>
    <w:basedOn w:val="Heading1Char"/>
    <w:link w:val="Dash"/>
    <w:rsid w:val="00703C71"/>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qFormat/>
    <w:rsid w:val="00BB5E8C"/>
    <w:pPr>
      <w:numPr>
        <w:ilvl w:val="2"/>
        <w:numId w:val="1"/>
      </w:numPr>
    </w:pPr>
    <w:rPr>
      <w:rFonts w:eastAsiaTheme="majorEastAsia" w:cstheme="majorBidi"/>
      <w:szCs w:val="28"/>
    </w:rPr>
  </w:style>
  <w:style w:type="character" w:customStyle="1" w:styleId="DoubleDotChar">
    <w:name w:val="Double Dot Char"/>
    <w:basedOn w:val="Heading1Char"/>
    <w:link w:val="DoubleDot"/>
    <w:rsid w:val="00BB5E8C"/>
    <w:rPr>
      <w:rFonts w:asciiTheme="majorHAnsi" w:eastAsiaTheme="majorEastAsia" w:hAnsiTheme="majorHAnsi" w:cstheme="majorBidi"/>
      <w:b w:val="0"/>
      <w:bCs w:val="0"/>
      <w:color w:val="365F91" w:themeColor="accent1" w:themeShade="BF"/>
      <w:sz w:val="28"/>
      <w:szCs w:val="28"/>
    </w:rPr>
  </w:style>
  <w:style w:type="character" w:styleId="FollowedHyperlink">
    <w:name w:val="FollowedHyperlink"/>
    <w:basedOn w:val="DefaultParagraphFont"/>
    <w:uiPriority w:val="99"/>
    <w:semiHidden/>
    <w:unhideWhenUsed/>
    <w:rsid w:val="000E2505"/>
    <w:rPr>
      <w:color w:val="800080" w:themeColor="followedHyperlink"/>
      <w:u w:val="single"/>
    </w:rPr>
  </w:style>
  <w:style w:type="paragraph" w:styleId="ListParagraph">
    <w:name w:val="List Paragraph"/>
    <w:basedOn w:val="Normal"/>
    <w:uiPriority w:val="34"/>
    <w:qFormat/>
    <w:rsid w:val="0064511F"/>
    <w:pPr>
      <w:spacing w:after="0" w:line="240" w:lineRule="auto"/>
      <w:ind w:left="720"/>
    </w:pPr>
    <w:rPr>
      <w:rFonts w:ascii="Calibri" w:hAnsi="Calibri" w:cs="Times New Roman"/>
    </w:rPr>
  </w:style>
  <w:style w:type="paragraph" w:customStyle="1" w:styleId="OutlineNumbered1">
    <w:name w:val="Outline Numbered 1"/>
    <w:basedOn w:val="Normal"/>
    <w:link w:val="OutlineNumbered1Char"/>
    <w:rsid w:val="0064511F"/>
    <w:pPr>
      <w:numPr>
        <w:numId w:val="30"/>
      </w:numPr>
      <w:tabs>
        <w:tab w:val="num" w:pos="1240"/>
      </w:tabs>
    </w:pPr>
  </w:style>
  <w:style w:type="character" w:customStyle="1" w:styleId="OutlineNumbered1Char">
    <w:name w:val="Outline Numbered 1 Char"/>
    <w:basedOn w:val="DefaultParagraphFont"/>
    <w:link w:val="OutlineNumbered1"/>
    <w:rsid w:val="0064511F"/>
  </w:style>
  <w:style w:type="paragraph" w:customStyle="1" w:styleId="OutlineNumbered2">
    <w:name w:val="Outline Numbered 2"/>
    <w:basedOn w:val="Normal"/>
    <w:link w:val="OutlineNumbered2Char"/>
    <w:rsid w:val="0064511F"/>
    <w:pPr>
      <w:numPr>
        <w:ilvl w:val="1"/>
        <w:numId w:val="30"/>
      </w:numPr>
      <w:tabs>
        <w:tab w:val="num" w:pos="1760"/>
      </w:tabs>
    </w:pPr>
  </w:style>
  <w:style w:type="character" w:customStyle="1" w:styleId="OutlineNumbered2Char">
    <w:name w:val="Outline Numbered 2 Char"/>
    <w:basedOn w:val="DefaultParagraphFont"/>
    <w:link w:val="OutlineNumbered2"/>
    <w:rsid w:val="0064511F"/>
  </w:style>
  <w:style w:type="paragraph" w:customStyle="1" w:styleId="OutlineNumbered3">
    <w:name w:val="Outline Numbered 3"/>
    <w:basedOn w:val="Normal"/>
    <w:link w:val="OutlineNumbered3Char"/>
    <w:rsid w:val="0064511F"/>
    <w:pPr>
      <w:numPr>
        <w:ilvl w:val="2"/>
        <w:numId w:val="30"/>
      </w:numPr>
      <w:tabs>
        <w:tab w:val="num" w:pos="2280"/>
      </w:tabs>
    </w:pPr>
  </w:style>
  <w:style w:type="character" w:customStyle="1" w:styleId="OutlineNumbered3Char">
    <w:name w:val="Outline Numbered 3 Char"/>
    <w:basedOn w:val="DefaultParagraphFont"/>
    <w:link w:val="OutlineNumbered3"/>
    <w:rsid w:val="0064511F"/>
  </w:style>
  <w:style w:type="character" w:styleId="CommentReference">
    <w:name w:val="annotation reference"/>
    <w:basedOn w:val="DefaultParagraphFont"/>
    <w:uiPriority w:val="99"/>
    <w:semiHidden/>
    <w:unhideWhenUsed/>
    <w:rsid w:val="00E66841"/>
    <w:rPr>
      <w:sz w:val="16"/>
      <w:szCs w:val="16"/>
    </w:rPr>
  </w:style>
  <w:style w:type="paragraph" w:styleId="CommentText">
    <w:name w:val="annotation text"/>
    <w:basedOn w:val="Normal"/>
    <w:link w:val="CommentTextChar"/>
    <w:uiPriority w:val="99"/>
    <w:unhideWhenUsed/>
    <w:rsid w:val="00E66841"/>
    <w:pPr>
      <w:spacing w:line="240" w:lineRule="auto"/>
    </w:pPr>
    <w:rPr>
      <w:sz w:val="20"/>
      <w:szCs w:val="20"/>
    </w:rPr>
  </w:style>
  <w:style w:type="character" w:customStyle="1" w:styleId="CommentTextChar">
    <w:name w:val="Comment Text Char"/>
    <w:basedOn w:val="DefaultParagraphFont"/>
    <w:link w:val="CommentText"/>
    <w:uiPriority w:val="99"/>
    <w:rsid w:val="00E66841"/>
    <w:rPr>
      <w:sz w:val="20"/>
      <w:szCs w:val="20"/>
    </w:rPr>
  </w:style>
  <w:style w:type="paragraph" w:styleId="CommentSubject">
    <w:name w:val="annotation subject"/>
    <w:basedOn w:val="CommentText"/>
    <w:next w:val="CommentText"/>
    <w:link w:val="CommentSubjectChar"/>
    <w:uiPriority w:val="99"/>
    <w:semiHidden/>
    <w:unhideWhenUsed/>
    <w:rsid w:val="00E66841"/>
    <w:rPr>
      <w:b/>
      <w:bCs/>
    </w:rPr>
  </w:style>
  <w:style w:type="character" w:customStyle="1" w:styleId="CommentSubjectChar">
    <w:name w:val="Comment Subject Char"/>
    <w:basedOn w:val="CommentTextChar"/>
    <w:link w:val="CommentSubject"/>
    <w:uiPriority w:val="99"/>
    <w:semiHidden/>
    <w:rsid w:val="00E66841"/>
    <w:rPr>
      <w:b/>
      <w:bCs/>
      <w:sz w:val="20"/>
      <w:szCs w:val="20"/>
    </w:rPr>
  </w:style>
  <w:style w:type="paragraph" w:styleId="Revision">
    <w:name w:val="Revision"/>
    <w:hidden/>
    <w:uiPriority w:val="99"/>
    <w:semiHidden/>
    <w:rsid w:val="00C52076"/>
    <w:pPr>
      <w:spacing w:after="0" w:line="240" w:lineRule="auto"/>
    </w:pPr>
  </w:style>
  <w:style w:type="character" w:customStyle="1" w:styleId="Heading2Char">
    <w:name w:val="Heading 2 Char"/>
    <w:basedOn w:val="DefaultParagraphFont"/>
    <w:link w:val="Heading2"/>
    <w:uiPriority w:val="9"/>
    <w:rsid w:val="00090A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0AE0"/>
    <w:rPr>
      <w:rFonts w:asciiTheme="majorHAnsi" w:eastAsiaTheme="majorEastAsia" w:hAnsiTheme="majorHAnsi" w:cstheme="majorBidi"/>
      <w:b/>
      <w:bCs/>
      <w:color w:val="4F81BD" w:themeColor="accent1"/>
    </w:rPr>
  </w:style>
  <w:style w:type="paragraph" w:customStyle="1" w:styleId="TableText">
    <w:name w:val="TableText"/>
    <w:basedOn w:val="Normal"/>
    <w:qFormat/>
    <w:rsid w:val="00364C68"/>
    <w:pPr>
      <w:spacing w:before="120" w:after="120" w:line="240" w:lineRule="auto"/>
    </w:pPr>
    <w:rPr>
      <w:rFonts w:ascii="Arial" w:eastAsiaTheme="majorEastAsia" w:hAnsi="Arial" w:cs="Arial"/>
      <w:bCs/>
      <w:sz w:val="20"/>
      <w:szCs w:val="20"/>
    </w:rPr>
  </w:style>
  <w:style w:type="table" w:styleId="LightGrid-Accent2">
    <w:name w:val="Light Grid Accent 2"/>
    <w:basedOn w:val="TableNormal"/>
    <w:uiPriority w:val="62"/>
    <w:rsid w:val="00364C68"/>
    <w:pPr>
      <w:spacing w:after="0" w:line="240" w:lineRule="auto"/>
    </w:pPr>
    <w:rPr>
      <w:rFonts w:eastAsiaTheme="minorEastAsia"/>
      <w:sz w:val="24"/>
      <w:szCs w:val="24"/>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ullet2">
    <w:name w:val="Bullet 2"/>
    <w:basedOn w:val="Normal"/>
    <w:rsid w:val="00606DC1"/>
    <w:pPr>
      <w:tabs>
        <w:tab w:val="num" w:pos="568"/>
      </w:tabs>
      <w:spacing w:after="120" w:line="240" w:lineRule="auto"/>
      <w:ind w:left="568" w:hanging="284"/>
    </w:pPr>
    <w:rPr>
      <w:rFonts w:ascii="Calibri" w:eastAsia="Calibri" w:hAnsi="Calibri" w:cs="Times New Roman"/>
    </w:rPr>
  </w:style>
  <w:style w:type="paragraph" w:customStyle="1" w:styleId="Bullet3">
    <w:name w:val="Bullet 3"/>
    <w:basedOn w:val="Normal"/>
    <w:rsid w:val="00606DC1"/>
    <w:pPr>
      <w:tabs>
        <w:tab w:val="num" w:pos="852"/>
      </w:tabs>
      <w:spacing w:after="120" w:line="240" w:lineRule="auto"/>
      <w:ind w:left="852" w:hanging="284"/>
    </w:pPr>
    <w:rPr>
      <w:rFonts w:ascii="Calibri" w:eastAsia="Calibri" w:hAnsi="Calibri" w:cs="Times New Roman"/>
    </w:rPr>
  </w:style>
  <w:style w:type="numbering" w:customStyle="1" w:styleId="Bulletlist">
    <w:name w:val="Bullet list"/>
    <w:uiPriority w:val="99"/>
    <w:rsid w:val="00606DC1"/>
    <w:pPr>
      <w:numPr>
        <w:numId w:val="3"/>
      </w:numPr>
    </w:pPr>
  </w:style>
  <w:style w:type="paragraph" w:styleId="FootnoteText">
    <w:name w:val="footnote text"/>
    <w:basedOn w:val="Normal"/>
    <w:link w:val="FootnoteTextChar"/>
    <w:uiPriority w:val="99"/>
    <w:unhideWhenUsed/>
    <w:rsid w:val="00AE2122"/>
    <w:pPr>
      <w:spacing w:after="0" w:line="240" w:lineRule="auto"/>
    </w:pPr>
    <w:rPr>
      <w:sz w:val="20"/>
      <w:szCs w:val="20"/>
    </w:rPr>
  </w:style>
  <w:style w:type="character" w:customStyle="1" w:styleId="FootnoteTextChar">
    <w:name w:val="Footnote Text Char"/>
    <w:basedOn w:val="DefaultParagraphFont"/>
    <w:link w:val="FootnoteText"/>
    <w:uiPriority w:val="99"/>
    <w:rsid w:val="00AE2122"/>
    <w:rPr>
      <w:sz w:val="20"/>
      <w:szCs w:val="20"/>
    </w:rPr>
  </w:style>
  <w:style w:type="character" w:styleId="FootnoteReference">
    <w:name w:val="footnote reference"/>
    <w:basedOn w:val="DefaultParagraphFont"/>
    <w:uiPriority w:val="99"/>
    <w:unhideWhenUsed/>
    <w:rsid w:val="00AE2122"/>
    <w:rPr>
      <w:vertAlign w:val="superscript"/>
    </w:rPr>
  </w:style>
  <w:style w:type="paragraph" w:styleId="Header">
    <w:name w:val="header"/>
    <w:basedOn w:val="Normal"/>
    <w:link w:val="HeaderChar"/>
    <w:uiPriority w:val="99"/>
    <w:unhideWhenUsed/>
    <w:rsid w:val="00A52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0B"/>
  </w:style>
  <w:style w:type="paragraph" w:styleId="Footer">
    <w:name w:val="footer"/>
    <w:basedOn w:val="Normal"/>
    <w:link w:val="FooterChar"/>
    <w:uiPriority w:val="99"/>
    <w:unhideWhenUsed/>
    <w:rsid w:val="00A52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0B"/>
  </w:style>
  <w:style w:type="numbering" w:customStyle="1" w:styleId="BulletedList">
    <w:name w:val="Bulleted List"/>
    <w:uiPriority w:val="99"/>
    <w:rsid w:val="006D7510"/>
    <w:pPr>
      <w:numPr>
        <w:numId w:val="4"/>
      </w:numPr>
    </w:pPr>
  </w:style>
  <w:style w:type="paragraph" w:styleId="NormalWeb">
    <w:name w:val="Normal (Web)"/>
    <w:basedOn w:val="Normal"/>
    <w:uiPriority w:val="99"/>
    <w:unhideWhenUsed/>
    <w:rsid w:val="00066C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66CC2"/>
    <w:rPr>
      <w:b/>
      <w:bCs/>
    </w:rPr>
  </w:style>
  <w:style w:type="paragraph" w:styleId="NoSpacing">
    <w:name w:val="No Spacing"/>
    <w:uiPriority w:val="1"/>
    <w:qFormat/>
    <w:rsid w:val="00BB0439"/>
    <w:pPr>
      <w:spacing w:after="0" w:line="240" w:lineRule="auto"/>
    </w:pPr>
  </w:style>
  <w:style w:type="table" w:styleId="TableGrid">
    <w:name w:val="Table Grid"/>
    <w:basedOn w:val="TableNormal"/>
    <w:uiPriority w:val="59"/>
    <w:rsid w:val="009C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D56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point">
    <w:name w:val="Bullet point"/>
    <w:basedOn w:val="ListBullet"/>
    <w:qFormat/>
    <w:rsid w:val="007E5338"/>
    <w:pPr>
      <w:numPr>
        <w:numId w:val="41"/>
      </w:numPr>
      <w:tabs>
        <w:tab w:val="left" w:pos="340"/>
      </w:tabs>
      <w:spacing w:after="240"/>
      <w:ind w:left="357" w:hanging="357"/>
      <w:contextualSpacing w:val="0"/>
    </w:pPr>
    <w:rPr>
      <w:rFonts w:cs="Times New Roman"/>
    </w:rPr>
  </w:style>
  <w:style w:type="paragraph" w:styleId="ListBullet">
    <w:name w:val="List Bullet"/>
    <w:basedOn w:val="Normal"/>
    <w:uiPriority w:val="99"/>
    <w:semiHidden/>
    <w:unhideWhenUsed/>
    <w:rsid w:val="00C66D08"/>
    <w:pPr>
      <w:ind w:left="360" w:hanging="360"/>
      <w:contextualSpacing/>
    </w:pPr>
  </w:style>
  <w:style w:type="paragraph" w:styleId="EndnoteText">
    <w:name w:val="endnote text"/>
    <w:basedOn w:val="Normal"/>
    <w:link w:val="EndnoteTextChar"/>
    <w:uiPriority w:val="99"/>
    <w:semiHidden/>
    <w:unhideWhenUsed/>
    <w:rsid w:val="000E03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357"/>
    <w:rPr>
      <w:sz w:val="20"/>
      <w:szCs w:val="20"/>
    </w:rPr>
  </w:style>
  <w:style w:type="character" w:styleId="EndnoteReference">
    <w:name w:val="endnote reference"/>
    <w:basedOn w:val="DefaultParagraphFont"/>
    <w:uiPriority w:val="99"/>
    <w:semiHidden/>
    <w:unhideWhenUsed/>
    <w:rsid w:val="000E0357"/>
    <w:rPr>
      <w:vertAlign w:val="superscript"/>
    </w:rPr>
  </w:style>
  <w:style w:type="paragraph" w:styleId="TOC2">
    <w:name w:val="toc 2"/>
    <w:basedOn w:val="Normal"/>
    <w:next w:val="Normal"/>
    <w:autoRedefine/>
    <w:uiPriority w:val="39"/>
    <w:unhideWhenUsed/>
    <w:rsid w:val="00882B9A"/>
    <w:pPr>
      <w:spacing w:after="100"/>
      <w:ind w:left="220"/>
    </w:pPr>
  </w:style>
  <w:style w:type="paragraph" w:styleId="TOC3">
    <w:name w:val="toc 3"/>
    <w:basedOn w:val="Normal"/>
    <w:next w:val="Normal"/>
    <w:autoRedefine/>
    <w:uiPriority w:val="39"/>
    <w:unhideWhenUsed/>
    <w:rsid w:val="00882B9A"/>
    <w:pPr>
      <w:spacing w:after="100"/>
      <w:ind w:left="440"/>
    </w:pPr>
  </w:style>
  <w:style w:type="paragraph" w:styleId="Subtitle">
    <w:name w:val="Subtitle"/>
    <w:basedOn w:val="Normal"/>
    <w:next w:val="Normal"/>
    <w:link w:val="SubtitleChar"/>
    <w:uiPriority w:val="11"/>
    <w:qFormat/>
    <w:rsid w:val="009A6CA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6CAE"/>
    <w:rPr>
      <w:rFonts w:eastAsiaTheme="minorEastAsia"/>
      <w:color w:val="5A5A5A" w:themeColor="text1" w:themeTint="A5"/>
      <w:spacing w:val="15"/>
    </w:rPr>
  </w:style>
  <w:style w:type="paragraph" w:customStyle="1" w:styleId="Default">
    <w:name w:val="Default"/>
    <w:basedOn w:val="Normal"/>
    <w:uiPriority w:val="99"/>
    <w:rsid w:val="00EC3CB4"/>
    <w:pPr>
      <w:autoSpaceDE w:val="0"/>
      <w:autoSpaceDN w:val="0"/>
      <w:spacing w:after="0" w:line="240" w:lineRule="auto"/>
    </w:pPr>
    <w:rPr>
      <w:rFonts w:ascii="Symbol" w:hAnsi="Symbol" w:cs="Times New Roman"/>
      <w:color w:val="000000"/>
      <w:sz w:val="24"/>
      <w:szCs w:val="24"/>
      <w:lang w:eastAsia="en-AU"/>
    </w:rPr>
  </w:style>
  <w:style w:type="paragraph" w:customStyle="1" w:styleId="BoxListBullet">
    <w:name w:val="Box List Bullet"/>
    <w:basedOn w:val="BodyText"/>
    <w:rsid w:val="00EC3CB4"/>
    <w:pPr>
      <w:keepNext/>
      <w:numPr>
        <w:numId w:val="15"/>
      </w:numPr>
      <w:tabs>
        <w:tab w:val="clear" w:pos="284"/>
        <w:tab w:val="num" w:pos="360"/>
        <w:tab w:val="num" w:pos="661"/>
      </w:tabs>
      <w:spacing w:before="60" w:after="0" w:line="280" w:lineRule="atLeast"/>
      <w:jc w:val="both"/>
    </w:pPr>
    <w:rPr>
      <w:rFonts w:ascii="Arial" w:eastAsia="Times New Roman" w:hAnsi="Arial" w:cs="Times New Roman"/>
      <w:szCs w:val="20"/>
      <w:lang w:eastAsia="en-AU"/>
    </w:rPr>
  </w:style>
  <w:style w:type="paragraph" w:customStyle="1" w:styleId="BoxListBullet2">
    <w:name w:val="Box List Bullet 2"/>
    <w:basedOn w:val="BodyText"/>
    <w:rsid w:val="00EC3CB4"/>
    <w:pPr>
      <w:keepNext/>
      <w:numPr>
        <w:numId w:val="16"/>
      </w:numPr>
      <w:tabs>
        <w:tab w:val="clear" w:pos="567"/>
        <w:tab w:val="num" w:pos="360"/>
        <w:tab w:val="num" w:pos="1240"/>
      </w:tabs>
      <w:spacing w:before="60" w:after="0" w:line="280" w:lineRule="atLeast"/>
      <w:jc w:val="both"/>
    </w:pPr>
    <w:rPr>
      <w:rFonts w:ascii="Arial" w:eastAsia="Times New Roman" w:hAnsi="Arial" w:cs="Times New Roman"/>
      <w:szCs w:val="20"/>
      <w:lang w:eastAsia="en-AU"/>
    </w:rPr>
  </w:style>
  <w:style w:type="paragraph" w:styleId="BodyText">
    <w:name w:val="Body Text"/>
    <w:basedOn w:val="Normal"/>
    <w:link w:val="BodyTextChar"/>
    <w:uiPriority w:val="99"/>
    <w:semiHidden/>
    <w:unhideWhenUsed/>
    <w:rsid w:val="00EC3CB4"/>
    <w:pPr>
      <w:spacing w:after="120"/>
    </w:pPr>
  </w:style>
  <w:style w:type="character" w:customStyle="1" w:styleId="BodyTextChar">
    <w:name w:val="Body Text Char"/>
    <w:basedOn w:val="DefaultParagraphFont"/>
    <w:link w:val="BodyText"/>
    <w:uiPriority w:val="99"/>
    <w:semiHidden/>
    <w:rsid w:val="00EC3CB4"/>
  </w:style>
  <w:style w:type="table" w:styleId="GridTable4-Accent2">
    <w:name w:val="Grid Table 4 Accent 2"/>
    <w:basedOn w:val="TableNormal"/>
    <w:uiPriority w:val="49"/>
    <w:rsid w:val="000A451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4Char">
    <w:name w:val="Heading 4 Char"/>
    <w:basedOn w:val="DefaultParagraphFont"/>
    <w:link w:val="Heading4"/>
    <w:uiPriority w:val="9"/>
    <w:rsid w:val="003F48E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1419B"/>
    <w:rPr>
      <w:rFonts w:asciiTheme="majorHAnsi" w:eastAsiaTheme="majorEastAsia" w:hAnsiTheme="majorHAnsi" w:cstheme="majorBidi"/>
      <w:color w:val="365F91" w:themeColor="accent1" w:themeShade="BF"/>
    </w:rPr>
  </w:style>
  <w:style w:type="table" w:styleId="PlainTable2">
    <w:name w:val="Plain Table 2"/>
    <w:basedOn w:val="TableNormal"/>
    <w:uiPriority w:val="42"/>
    <w:rsid w:val="000F5F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2F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137">
      <w:bodyDiv w:val="1"/>
      <w:marLeft w:val="0"/>
      <w:marRight w:val="0"/>
      <w:marTop w:val="0"/>
      <w:marBottom w:val="0"/>
      <w:divBdr>
        <w:top w:val="none" w:sz="0" w:space="0" w:color="auto"/>
        <w:left w:val="none" w:sz="0" w:space="0" w:color="auto"/>
        <w:bottom w:val="none" w:sz="0" w:space="0" w:color="auto"/>
        <w:right w:val="none" w:sz="0" w:space="0" w:color="auto"/>
      </w:divBdr>
    </w:div>
    <w:div w:id="29769933">
      <w:bodyDiv w:val="1"/>
      <w:marLeft w:val="0"/>
      <w:marRight w:val="0"/>
      <w:marTop w:val="0"/>
      <w:marBottom w:val="0"/>
      <w:divBdr>
        <w:top w:val="none" w:sz="0" w:space="0" w:color="auto"/>
        <w:left w:val="none" w:sz="0" w:space="0" w:color="auto"/>
        <w:bottom w:val="none" w:sz="0" w:space="0" w:color="auto"/>
        <w:right w:val="none" w:sz="0" w:space="0" w:color="auto"/>
      </w:divBdr>
    </w:div>
    <w:div w:id="160392990">
      <w:bodyDiv w:val="1"/>
      <w:marLeft w:val="0"/>
      <w:marRight w:val="0"/>
      <w:marTop w:val="0"/>
      <w:marBottom w:val="0"/>
      <w:divBdr>
        <w:top w:val="none" w:sz="0" w:space="0" w:color="auto"/>
        <w:left w:val="none" w:sz="0" w:space="0" w:color="auto"/>
        <w:bottom w:val="none" w:sz="0" w:space="0" w:color="auto"/>
        <w:right w:val="none" w:sz="0" w:space="0" w:color="auto"/>
      </w:divBdr>
    </w:div>
    <w:div w:id="164907539">
      <w:bodyDiv w:val="1"/>
      <w:marLeft w:val="0"/>
      <w:marRight w:val="0"/>
      <w:marTop w:val="0"/>
      <w:marBottom w:val="0"/>
      <w:divBdr>
        <w:top w:val="none" w:sz="0" w:space="0" w:color="auto"/>
        <w:left w:val="none" w:sz="0" w:space="0" w:color="auto"/>
        <w:bottom w:val="none" w:sz="0" w:space="0" w:color="auto"/>
        <w:right w:val="none" w:sz="0" w:space="0" w:color="auto"/>
      </w:divBdr>
    </w:div>
    <w:div w:id="199174200">
      <w:bodyDiv w:val="1"/>
      <w:marLeft w:val="0"/>
      <w:marRight w:val="0"/>
      <w:marTop w:val="0"/>
      <w:marBottom w:val="0"/>
      <w:divBdr>
        <w:top w:val="none" w:sz="0" w:space="0" w:color="auto"/>
        <w:left w:val="none" w:sz="0" w:space="0" w:color="auto"/>
        <w:bottom w:val="none" w:sz="0" w:space="0" w:color="auto"/>
        <w:right w:val="none" w:sz="0" w:space="0" w:color="auto"/>
      </w:divBdr>
    </w:div>
    <w:div w:id="204484982">
      <w:bodyDiv w:val="1"/>
      <w:marLeft w:val="0"/>
      <w:marRight w:val="0"/>
      <w:marTop w:val="0"/>
      <w:marBottom w:val="0"/>
      <w:divBdr>
        <w:top w:val="none" w:sz="0" w:space="0" w:color="auto"/>
        <w:left w:val="none" w:sz="0" w:space="0" w:color="auto"/>
        <w:bottom w:val="none" w:sz="0" w:space="0" w:color="auto"/>
        <w:right w:val="none" w:sz="0" w:space="0" w:color="auto"/>
      </w:divBdr>
    </w:div>
    <w:div w:id="215550358">
      <w:bodyDiv w:val="1"/>
      <w:marLeft w:val="0"/>
      <w:marRight w:val="0"/>
      <w:marTop w:val="0"/>
      <w:marBottom w:val="0"/>
      <w:divBdr>
        <w:top w:val="none" w:sz="0" w:space="0" w:color="auto"/>
        <w:left w:val="none" w:sz="0" w:space="0" w:color="auto"/>
        <w:bottom w:val="none" w:sz="0" w:space="0" w:color="auto"/>
        <w:right w:val="none" w:sz="0" w:space="0" w:color="auto"/>
      </w:divBdr>
    </w:div>
    <w:div w:id="371030343">
      <w:bodyDiv w:val="1"/>
      <w:marLeft w:val="0"/>
      <w:marRight w:val="0"/>
      <w:marTop w:val="0"/>
      <w:marBottom w:val="0"/>
      <w:divBdr>
        <w:top w:val="none" w:sz="0" w:space="0" w:color="auto"/>
        <w:left w:val="none" w:sz="0" w:space="0" w:color="auto"/>
        <w:bottom w:val="none" w:sz="0" w:space="0" w:color="auto"/>
        <w:right w:val="none" w:sz="0" w:space="0" w:color="auto"/>
      </w:divBdr>
    </w:div>
    <w:div w:id="446584899">
      <w:bodyDiv w:val="1"/>
      <w:marLeft w:val="0"/>
      <w:marRight w:val="0"/>
      <w:marTop w:val="0"/>
      <w:marBottom w:val="0"/>
      <w:divBdr>
        <w:top w:val="none" w:sz="0" w:space="0" w:color="auto"/>
        <w:left w:val="none" w:sz="0" w:space="0" w:color="auto"/>
        <w:bottom w:val="none" w:sz="0" w:space="0" w:color="auto"/>
        <w:right w:val="none" w:sz="0" w:space="0" w:color="auto"/>
      </w:divBdr>
    </w:div>
    <w:div w:id="447117074">
      <w:bodyDiv w:val="1"/>
      <w:marLeft w:val="0"/>
      <w:marRight w:val="0"/>
      <w:marTop w:val="0"/>
      <w:marBottom w:val="0"/>
      <w:divBdr>
        <w:top w:val="none" w:sz="0" w:space="0" w:color="auto"/>
        <w:left w:val="none" w:sz="0" w:space="0" w:color="auto"/>
        <w:bottom w:val="none" w:sz="0" w:space="0" w:color="auto"/>
        <w:right w:val="none" w:sz="0" w:space="0" w:color="auto"/>
      </w:divBdr>
    </w:div>
    <w:div w:id="476841645">
      <w:bodyDiv w:val="1"/>
      <w:marLeft w:val="0"/>
      <w:marRight w:val="0"/>
      <w:marTop w:val="0"/>
      <w:marBottom w:val="0"/>
      <w:divBdr>
        <w:top w:val="none" w:sz="0" w:space="0" w:color="auto"/>
        <w:left w:val="none" w:sz="0" w:space="0" w:color="auto"/>
        <w:bottom w:val="none" w:sz="0" w:space="0" w:color="auto"/>
        <w:right w:val="none" w:sz="0" w:space="0" w:color="auto"/>
      </w:divBdr>
    </w:div>
    <w:div w:id="507597186">
      <w:bodyDiv w:val="1"/>
      <w:marLeft w:val="0"/>
      <w:marRight w:val="0"/>
      <w:marTop w:val="0"/>
      <w:marBottom w:val="0"/>
      <w:divBdr>
        <w:top w:val="none" w:sz="0" w:space="0" w:color="auto"/>
        <w:left w:val="none" w:sz="0" w:space="0" w:color="auto"/>
        <w:bottom w:val="none" w:sz="0" w:space="0" w:color="auto"/>
        <w:right w:val="none" w:sz="0" w:space="0" w:color="auto"/>
      </w:divBdr>
    </w:div>
    <w:div w:id="528566416">
      <w:bodyDiv w:val="1"/>
      <w:marLeft w:val="0"/>
      <w:marRight w:val="0"/>
      <w:marTop w:val="0"/>
      <w:marBottom w:val="0"/>
      <w:divBdr>
        <w:top w:val="none" w:sz="0" w:space="0" w:color="auto"/>
        <w:left w:val="none" w:sz="0" w:space="0" w:color="auto"/>
        <w:bottom w:val="none" w:sz="0" w:space="0" w:color="auto"/>
        <w:right w:val="none" w:sz="0" w:space="0" w:color="auto"/>
      </w:divBdr>
    </w:div>
    <w:div w:id="533152861">
      <w:bodyDiv w:val="1"/>
      <w:marLeft w:val="0"/>
      <w:marRight w:val="0"/>
      <w:marTop w:val="0"/>
      <w:marBottom w:val="0"/>
      <w:divBdr>
        <w:top w:val="none" w:sz="0" w:space="0" w:color="auto"/>
        <w:left w:val="none" w:sz="0" w:space="0" w:color="auto"/>
        <w:bottom w:val="none" w:sz="0" w:space="0" w:color="auto"/>
        <w:right w:val="none" w:sz="0" w:space="0" w:color="auto"/>
      </w:divBdr>
    </w:div>
    <w:div w:id="568344941">
      <w:bodyDiv w:val="1"/>
      <w:marLeft w:val="0"/>
      <w:marRight w:val="0"/>
      <w:marTop w:val="0"/>
      <w:marBottom w:val="0"/>
      <w:divBdr>
        <w:top w:val="none" w:sz="0" w:space="0" w:color="auto"/>
        <w:left w:val="none" w:sz="0" w:space="0" w:color="auto"/>
        <w:bottom w:val="none" w:sz="0" w:space="0" w:color="auto"/>
        <w:right w:val="none" w:sz="0" w:space="0" w:color="auto"/>
      </w:divBdr>
    </w:div>
    <w:div w:id="576937876">
      <w:bodyDiv w:val="1"/>
      <w:marLeft w:val="0"/>
      <w:marRight w:val="0"/>
      <w:marTop w:val="0"/>
      <w:marBottom w:val="0"/>
      <w:divBdr>
        <w:top w:val="none" w:sz="0" w:space="0" w:color="auto"/>
        <w:left w:val="none" w:sz="0" w:space="0" w:color="auto"/>
        <w:bottom w:val="none" w:sz="0" w:space="0" w:color="auto"/>
        <w:right w:val="none" w:sz="0" w:space="0" w:color="auto"/>
      </w:divBdr>
    </w:div>
    <w:div w:id="593512469">
      <w:bodyDiv w:val="1"/>
      <w:marLeft w:val="0"/>
      <w:marRight w:val="0"/>
      <w:marTop w:val="0"/>
      <w:marBottom w:val="0"/>
      <w:divBdr>
        <w:top w:val="none" w:sz="0" w:space="0" w:color="auto"/>
        <w:left w:val="none" w:sz="0" w:space="0" w:color="auto"/>
        <w:bottom w:val="none" w:sz="0" w:space="0" w:color="auto"/>
        <w:right w:val="none" w:sz="0" w:space="0" w:color="auto"/>
      </w:divBdr>
    </w:div>
    <w:div w:id="611327111">
      <w:bodyDiv w:val="1"/>
      <w:marLeft w:val="0"/>
      <w:marRight w:val="0"/>
      <w:marTop w:val="0"/>
      <w:marBottom w:val="0"/>
      <w:divBdr>
        <w:top w:val="none" w:sz="0" w:space="0" w:color="auto"/>
        <w:left w:val="none" w:sz="0" w:space="0" w:color="auto"/>
        <w:bottom w:val="none" w:sz="0" w:space="0" w:color="auto"/>
        <w:right w:val="none" w:sz="0" w:space="0" w:color="auto"/>
      </w:divBdr>
    </w:div>
    <w:div w:id="622346571">
      <w:bodyDiv w:val="1"/>
      <w:marLeft w:val="0"/>
      <w:marRight w:val="0"/>
      <w:marTop w:val="0"/>
      <w:marBottom w:val="0"/>
      <w:divBdr>
        <w:top w:val="none" w:sz="0" w:space="0" w:color="auto"/>
        <w:left w:val="none" w:sz="0" w:space="0" w:color="auto"/>
        <w:bottom w:val="none" w:sz="0" w:space="0" w:color="auto"/>
        <w:right w:val="none" w:sz="0" w:space="0" w:color="auto"/>
      </w:divBdr>
    </w:div>
    <w:div w:id="635259381">
      <w:bodyDiv w:val="1"/>
      <w:marLeft w:val="0"/>
      <w:marRight w:val="0"/>
      <w:marTop w:val="0"/>
      <w:marBottom w:val="0"/>
      <w:divBdr>
        <w:top w:val="none" w:sz="0" w:space="0" w:color="auto"/>
        <w:left w:val="none" w:sz="0" w:space="0" w:color="auto"/>
        <w:bottom w:val="none" w:sz="0" w:space="0" w:color="auto"/>
        <w:right w:val="none" w:sz="0" w:space="0" w:color="auto"/>
      </w:divBdr>
    </w:div>
    <w:div w:id="676350030">
      <w:bodyDiv w:val="1"/>
      <w:marLeft w:val="0"/>
      <w:marRight w:val="0"/>
      <w:marTop w:val="0"/>
      <w:marBottom w:val="0"/>
      <w:divBdr>
        <w:top w:val="none" w:sz="0" w:space="0" w:color="auto"/>
        <w:left w:val="none" w:sz="0" w:space="0" w:color="auto"/>
        <w:bottom w:val="none" w:sz="0" w:space="0" w:color="auto"/>
        <w:right w:val="none" w:sz="0" w:space="0" w:color="auto"/>
      </w:divBdr>
    </w:div>
    <w:div w:id="734664133">
      <w:bodyDiv w:val="1"/>
      <w:marLeft w:val="0"/>
      <w:marRight w:val="0"/>
      <w:marTop w:val="0"/>
      <w:marBottom w:val="0"/>
      <w:divBdr>
        <w:top w:val="none" w:sz="0" w:space="0" w:color="auto"/>
        <w:left w:val="none" w:sz="0" w:space="0" w:color="auto"/>
        <w:bottom w:val="none" w:sz="0" w:space="0" w:color="auto"/>
        <w:right w:val="none" w:sz="0" w:space="0" w:color="auto"/>
      </w:divBdr>
    </w:div>
    <w:div w:id="768231460">
      <w:bodyDiv w:val="1"/>
      <w:marLeft w:val="0"/>
      <w:marRight w:val="0"/>
      <w:marTop w:val="0"/>
      <w:marBottom w:val="0"/>
      <w:divBdr>
        <w:top w:val="none" w:sz="0" w:space="0" w:color="auto"/>
        <w:left w:val="none" w:sz="0" w:space="0" w:color="auto"/>
        <w:bottom w:val="none" w:sz="0" w:space="0" w:color="auto"/>
        <w:right w:val="none" w:sz="0" w:space="0" w:color="auto"/>
      </w:divBdr>
    </w:div>
    <w:div w:id="786586530">
      <w:bodyDiv w:val="1"/>
      <w:marLeft w:val="0"/>
      <w:marRight w:val="0"/>
      <w:marTop w:val="0"/>
      <w:marBottom w:val="0"/>
      <w:divBdr>
        <w:top w:val="none" w:sz="0" w:space="0" w:color="auto"/>
        <w:left w:val="none" w:sz="0" w:space="0" w:color="auto"/>
        <w:bottom w:val="none" w:sz="0" w:space="0" w:color="auto"/>
        <w:right w:val="none" w:sz="0" w:space="0" w:color="auto"/>
      </w:divBdr>
    </w:div>
    <w:div w:id="810635341">
      <w:bodyDiv w:val="1"/>
      <w:marLeft w:val="0"/>
      <w:marRight w:val="0"/>
      <w:marTop w:val="0"/>
      <w:marBottom w:val="0"/>
      <w:divBdr>
        <w:top w:val="none" w:sz="0" w:space="0" w:color="auto"/>
        <w:left w:val="none" w:sz="0" w:space="0" w:color="auto"/>
        <w:bottom w:val="none" w:sz="0" w:space="0" w:color="auto"/>
        <w:right w:val="none" w:sz="0" w:space="0" w:color="auto"/>
      </w:divBdr>
    </w:div>
    <w:div w:id="820461340">
      <w:bodyDiv w:val="1"/>
      <w:marLeft w:val="0"/>
      <w:marRight w:val="0"/>
      <w:marTop w:val="0"/>
      <w:marBottom w:val="0"/>
      <w:divBdr>
        <w:top w:val="none" w:sz="0" w:space="0" w:color="auto"/>
        <w:left w:val="none" w:sz="0" w:space="0" w:color="auto"/>
        <w:bottom w:val="none" w:sz="0" w:space="0" w:color="auto"/>
        <w:right w:val="none" w:sz="0" w:space="0" w:color="auto"/>
      </w:divBdr>
    </w:div>
    <w:div w:id="826243661">
      <w:bodyDiv w:val="1"/>
      <w:marLeft w:val="0"/>
      <w:marRight w:val="0"/>
      <w:marTop w:val="0"/>
      <w:marBottom w:val="0"/>
      <w:divBdr>
        <w:top w:val="none" w:sz="0" w:space="0" w:color="auto"/>
        <w:left w:val="none" w:sz="0" w:space="0" w:color="auto"/>
        <w:bottom w:val="none" w:sz="0" w:space="0" w:color="auto"/>
        <w:right w:val="none" w:sz="0" w:space="0" w:color="auto"/>
      </w:divBdr>
    </w:div>
    <w:div w:id="850601987">
      <w:bodyDiv w:val="1"/>
      <w:marLeft w:val="0"/>
      <w:marRight w:val="0"/>
      <w:marTop w:val="0"/>
      <w:marBottom w:val="0"/>
      <w:divBdr>
        <w:top w:val="none" w:sz="0" w:space="0" w:color="auto"/>
        <w:left w:val="none" w:sz="0" w:space="0" w:color="auto"/>
        <w:bottom w:val="none" w:sz="0" w:space="0" w:color="auto"/>
        <w:right w:val="none" w:sz="0" w:space="0" w:color="auto"/>
      </w:divBdr>
    </w:div>
    <w:div w:id="943461183">
      <w:bodyDiv w:val="1"/>
      <w:marLeft w:val="0"/>
      <w:marRight w:val="0"/>
      <w:marTop w:val="0"/>
      <w:marBottom w:val="0"/>
      <w:divBdr>
        <w:top w:val="none" w:sz="0" w:space="0" w:color="auto"/>
        <w:left w:val="none" w:sz="0" w:space="0" w:color="auto"/>
        <w:bottom w:val="none" w:sz="0" w:space="0" w:color="auto"/>
        <w:right w:val="none" w:sz="0" w:space="0" w:color="auto"/>
      </w:divBdr>
    </w:div>
    <w:div w:id="949439004">
      <w:bodyDiv w:val="1"/>
      <w:marLeft w:val="0"/>
      <w:marRight w:val="0"/>
      <w:marTop w:val="0"/>
      <w:marBottom w:val="0"/>
      <w:divBdr>
        <w:top w:val="none" w:sz="0" w:space="0" w:color="auto"/>
        <w:left w:val="none" w:sz="0" w:space="0" w:color="auto"/>
        <w:bottom w:val="none" w:sz="0" w:space="0" w:color="auto"/>
        <w:right w:val="none" w:sz="0" w:space="0" w:color="auto"/>
      </w:divBdr>
    </w:div>
    <w:div w:id="950934131">
      <w:bodyDiv w:val="1"/>
      <w:marLeft w:val="0"/>
      <w:marRight w:val="0"/>
      <w:marTop w:val="0"/>
      <w:marBottom w:val="0"/>
      <w:divBdr>
        <w:top w:val="none" w:sz="0" w:space="0" w:color="auto"/>
        <w:left w:val="none" w:sz="0" w:space="0" w:color="auto"/>
        <w:bottom w:val="none" w:sz="0" w:space="0" w:color="auto"/>
        <w:right w:val="none" w:sz="0" w:space="0" w:color="auto"/>
      </w:divBdr>
    </w:div>
    <w:div w:id="953052842">
      <w:bodyDiv w:val="1"/>
      <w:marLeft w:val="0"/>
      <w:marRight w:val="0"/>
      <w:marTop w:val="0"/>
      <w:marBottom w:val="0"/>
      <w:divBdr>
        <w:top w:val="none" w:sz="0" w:space="0" w:color="auto"/>
        <w:left w:val="none" w:sz="0" w:space="0" w:color="auto"/>
        <w:bottom w:val="none" w:sz="0" w:space="0" w:color="auto"/>
        <w:right w:val="none" w:sz="0" w:space="0" w:color="auto"/>
      </w:divBdr>
    </w:div>
    <w:div w:id="998383601">
      <w:bodyDiv w:val="1"/>
      <w:marLeft w:val="0"/>
      <w:marRight w:val="0"/>
      <w:marTop w:val="0"/>
      <w:marBottom w:val="0"/>
      <w:divBdr>
        <w:top w:val="none" w:sz="0" w:space="0" w:color="auto"/>
        <w:left w:val="none" w:sz="0" w:space="0" w:color="auto"/>
        <w:bottom w:val="none" w:sz="0" w:space="0" w:color="auto"/>
        <w:right w:val="none" w:sz="0" w:space="0" w:color="auto"/>
      </w:divBdr>
    </w:div>
    <w:div w:id="1044132355">
      <w:bodyDiv w:val="1"/>
      <w:marLeft w:val="0"/>
      <w:marRight w:val="0"/>
      <w:marTop w:val="0"/>
      <w:marBottom w:val="0"/>
      <w:divBdr>
        <w:top w:val="none" w:sz="0" w:space="0" w:color="auto"/>
        <w:left w:val="none" w:sz="0" w:space="0" w:color="auto"/>
        <w:bottom w:val="none" w:sz="0" w:space="0" w:color="auto"/>
        <w:right w:val="none" w:sz="0" w:space="0" w:color="auto"/>
      </w:divBdr>
    </w:div>
    <w:div w:id="1060709703">
      <w:bodyDiv w:val="1"/>
      <w:marLeft w:val="0"/>
      <w:marRight w:val="0"/>
      <w:marTop w:val="0"/>
      <w:marBottom w:val="0"/>
      <w:divBdr>
        <w:top w:val="none" w:sz="0" w:space="0" w:color="auto"/>
        <w:left w:val="none" w:sz="0" w:space="0" w:color="auto"/>
        <w:bottom w:val="none" w:sz="0" w:space="0" w:color="auto"/>
        <w:right w:val="none" w:sz="0" w:space="0" w:color="auto"/>
      </w:divBdr>
    </w:div>
    <w:div w:id="1062679096">
      <w:bodyDiv w:val="1"/>
      <w:marLeft w:val="0"/>
      <w:marRight w:val="0"/>
      <w:marTop w:val="0"/>
      <w:marBottom w:val="0"/>
      <w:divBdr>
        <w:top w:val="none" w:sz="0" w:space="0" w:color="auto"/>
        <w:left w:val="none" w:sz="0" w:space="0" w:color="auto"/>
        <w:bottom w:val="none" w:sz="0" w:space="0" w:color="auto"/>
        <w:right w:val="none" w:sz="0" w:space="0" w:color="auto"/>
      </w:divBdr>
    </w:div>
    <w:div w:id="1186016845">
      <w:bodyDiv w:val="1"/>
      <w:marLeft w:val="0"/>
      <w:marRight w:val="0"/>
      <w:marTop w:val="0"/>
      <w:marBottom w:val="0"/>
      <w:divBdr>
        <w:top w:val="none" w:sz="0" w:space="0" w:color="auto"/>
        <w:left w:val="none" w:sz="0" w:space="0" w:color="auto"/>
        <w:bottom w:val="none" w:sz="0" w:space="0" w:color="auto"/>
        <w:right w:val="none" w:sz="0" w:space="0" w:color="auto"/>
      </w:divBdr>
    </w:div>
    <w:div w:id="1211259638">
      <w:bodyDiv w:val="1"/>
      <w:marLeft w:val="0"/>
      <w:marRight w:val="0"/>
      <w:marTop w:val="0"/>
      <w:marBottom w:val="0"/>
      <w:divBdr>
        <w:top w:val="none" w:sz="0" w:space="0" w:color="auto"/>
        <w:left w:val="none" w:sz="0" w:space="0" w:color="auto"/>
        <w:bottom w:val="none" w:sz="0" w:space="0" w:color="auto"/>
        <w:right w:val="none" w:sz="0" w:space="0" w:color="auto"/>
      </w:divBdr>
      <w:divsChild>
        <w:div w:id="1680349372">
          <w:marLeft w:val="403"/>
          <w:marRight w:val="0"/>
          <w:marTop w:val="115"/>
          <w:marBottom w:val="0"/>
          <w:divBdr>
            <w:top w:val="none" w:sz="0" w:space="0" w:color="auto"/>
            <w:left w:val="none" w:sz="0" w:space="0" w:color="auto"/>
            <w:bottom w:val="none" w:sz="0" w:space="0" w:color="auto"/>
            <w:right w:val="none" w:sz="0" w:space="0" w:color="auto"/>
          </w:divBdr>
        </w:div>
        <w:div w:id="1218083382">
          <w:marLeft w:val="878"/>
          <w:marRight w:val="0"/>
          <w:marTop w:val="101"/>
          <w:marBottom w:val="0"/>
          <w:divBdr>
            <w:top w:val="none" w:sz="0" w:space="0" w:color="auto"/>
            <w:left w:val="none" w:sz="0" w:space="0" w:color="auto"/>
            <w:bottom w:val="none" w:sz="0" w:space="0" w:color="auto"/>
            <w:right w:val="none" w:sz="0" w:space="0" w:color="auto"/>
          </w:divBdr>
        </w:div>
        <w:div w:id="1867719294">
          <w:marLeft w:val="403"/>
          <w:marRight w:val="0"/>
          <w:marTop w:val="115"/>
          <w:marBottom w:val="0"/>
          <w:divBdr>
            <w:top w:val="none" w:sz="0" w:space="0" w:color="auto"/>
            <w:left w:val="none" w:sz="0" w:space="0" w:color="auto"/>
            <w:bottom w:val="none" w:sz="0" w:space="0" w:color="auto"/>
            <w:right w:val="none" w:sz="0" w:space="0" w:color="auto"/>
          </w:divBdr>
        </w:div>
      </w:divsChild>
    </w:div>
    <w:div w:id="1341619444">
      <w:bodyDiv w:val="1"/>
      <w:marLeft w:val="0"/>
      <w:marRight w:val="0"/>
      <w:marTop w:val="0"/>
      <w:marBottom w:val="0"/>
      <w:divBdr>
        <w:top w:val="none" w:sz="0" w:space="0" w:color="auto"/>
        <w:left w:val="none" w:sz="0" w:space="0" w:color="auto"/>
        <w:bottom w:val="none" w:sz="0" w:space="0" w:color="auto"/>
        <w:right w:val="none" w:sz="0" w:space="0" w:color="auto"/>
      </w:divBdr>
    </w:div>
    <w:div w:id="1344896034">
      <w:bodyDiv w:val="1"/>
      <w:marLeft w:val="0"/>
      <w:marRight w:val="0"/>
      <w:marTop w:val="0"/>
      <w:marBottom w:val="0"/>
      <w:divBdr>
        <w:top w:val="none" w:sz="0" w:space="0" w:color="auto"/>
        <w:left w:val="none" w:sz="0" w:space="0" w:color="auto"/>
        <w:bottom w:val="none" w:sz="0" w:space="0" w:color="auto"/>
        <w:right w:val="none" w:sz="0" w:space="0" w:color="auto"/>
      </w:divBdr>
    </w:div>
    <w:div w:id="1352224215">
      <w:bodyDiv w:val="1"/>
      <w:marLeft w:val="0"/>
      <w:marRight w:val="0"/>
      <w:marTop w:val="0"/>
      <w:marBottom w:val="0"/>
      <w:divBdr>
        <w:top w:val="none" w:sz="0" w:space="0" w:color="auto"/>
        <w:left w:val="none" w:sz="0" w:space="0" w:color="auto"/>
        <w:bottom w:val="none" w:sz="0" w:space="0" w:color="auto"/>
        <w:right w:val="none" w:sz="0" w:space="0" w:color="auto"/>
      </w:divBdr>
    </w:div>
    <w:div w:id="1369376915">
      <w:bodyDiv w:val="1"/>
      <w:marLeft w:val="0"/>
      <w:marRight w:val="0"/>
      <w:marTop w:val="0"/>
      <w:marBottom w:val="0"/>
      <w:divBdr>
        <w:top w:val="none" w:sz="0" w:space="0" w:color="auto"/>
        <w:left w:val="none" w:sz="0" w:space="0" w:color="auto"/>
        <w:bottom w:val="none" w:sz="0" w:space="0" w:color="auto"/>
        <w:right w:val="none" w:sz="0" w:space="0" w:color="auto"/>
      </w:divBdr>
    </w:div>
    <w:div w:id="1392537845">
      <w:bodyDiv w:val="1"/>
      <w:marLeft w:val="0"/>
      <w:marRight w:val="0"/>
      <w:marTop w:val="0"/>
      <w:marBottom w:val="0"/>
      <w:divBdr>
        <w:top w:val="none" w:sz="0" w:space="0" w:color="auto"/>
        <w:left w:val="none" w:sz="0" w:space="0" w:color="auto"/>
        <w:bottom w:val="none" w:sz="0" w:space="0" w:color="auto"/>
        <w:right w:val="none" w:sz="0" w:space="0" w:color="auto"/>
      </w:divBdr>
    </w:div>
    <w:div w:id="1438908695">
      <w:bodyDiv w:val="1"/>
      <w:marLeft w:val="0"/>
      <w:marRight w:val="0"/>
      <w:marTop w:val="0"/>
      <w:marBottom w:val="0"/>
      <w:divBdr>
        <w:top w:val="none" w:sz="0" w:space="0" w:color="auto"/>
        <w:left w:val="none" w:sz="0" w:space="0" w:color="auto"/>
        <w:bottom w:val="none" w:sz="0" w:space="0" w:color="auto"/>
        <w:right w:val="none" w:sz="0" w:space="0" w:color="auto"/>
      </w:divBdr>
    </w:div>
    <w:div w:id="1442795667">
      <w:bodyDiv w:val="1"/>
      <w:marLeft w:val="0"/>
      <w:marRight w:val="0"/>
      <w:marTop w:val="0"/>
      <w:marBottom w:val="0"/>
      <w:divBdr>
        <w:top w:val="none" w:sz="0" w:space="0" w:color="auto"/>
        <w:left w:val="none" w:sz="0" w:space="0" w:color="auto"/>
        <w:bottom w:val="none" w:sz="0" w:space="0" w:color="auto"/>
        <w:right w:val="none" w:sz="0" w:space="0" w:color="auto"/>
      </w:divBdr>
    </w:div>
    <w:div w:id="1452553416">
      <w:bodyDiv w:val="1"/>
      <w:marLeft w:val="0"/>
      <w:marRight w:val="0"/>
      <w:marTop w:val="0"/>
      <w:marBottom w:val="0"/>
      <w:divBdr>
        <w:top w:val="none" w:sz="0" w:space="0" w:color="auto"/>
        <w:left w:val="none" w:sz="0" w:space="0" w:color="auto"/>
        <w:bottom w:val="none" w:sz="0" w:space="0" w:color="auto"/>
        <w:right w:val="none" w:sz="0" w:space="0" w:color="auto"/>
      </w:divBdr>
    </w:div>
    <w:div w:id="1501576666">
      <w:bodyDiv w:val="1"/>
      <w:marLeft w:val="0"/>
      <w:marRight w:val="0"/>
      <w:marTop w:val="0"/>
      <w:marBottom w:val="0"/>
      <w:divBdr>
        <w:top w:val="none" w:sz="0" w:space="0" w:color="auto"/>
        <w:left w:val="none" w:sz="0" w:space="0" w:color="auto"/>
        <w:bottom w:val="none" w:sz="0" w:space="0" w:color="auto"/>
        <w:right w:val="none" w:sz="0" w:space="0" w:color="auto"/>
      </w:divBdr>
    </w:div>
    <w:div w:id="1509368582">
      <w:bodyDiv w:val="1"/>
      <w:marLeft w:val="0"/>
      <w:marRight w:val="0"/>
      <w:marTop w:val="0"/>
      <w:marBottom w:val="0"/>
      <w:divBdr>
        <w:top w:val="none" w:sz="0" w:space="0" w:color="auto"/>
        <w:left w:val="none" w:sz="0" w:space="0" w:color="auto"/>
        <w:bottom w:val="none" w:sz="0" w:space="0" w:color="auto"/>
        <w:right w:val="none" w:sz="0" w:space="0" w:color="auto"/>
      </w:divBdr>
    </w:div>
    <w:div w:id="1521973427">
      <w:bodyDiv w:val="1"/>
      <w:marLeft w:val="0"/>
      <w:marRight w:val="0"/>
      <w:marTop w:val="0"/>
      <w:marBottom w:val="0"/>
      <w:divBdr>
        <w:top w:val="none" w:sz="0" w:space="0" w:color="auto"/>
        <w:left w:val="none" w:sz="0" w:space="0" w:color="auto"/>
        <w:bottom w:val="none" w:sz="0" w:space="0" w:color="auto"/>
        <w:right w:val="none" w:sz="0" w:space="0" w:color="auto"/>
      </w:divBdr>
    </w:div>
    <w:div w:id="1526408074">
      <w:bodyDiv w:val="1"/>
      <w:marLeft w:val="0"/>
      <w:marRight w:val="0"/>
      <w:marTop w:val="0"/>
      <w:marBottom w:val="0"/>
      <w:divBdr>
        <w:top w:val="none" w:sz="0" w:space="0" w:color="auto"/>
        <w:left w:val="none" w:sz="0" w:space="0" w:color="auto"/>
        <w:bottom w:val="none" w:sz="0" w:space="0" w:color="auto"/>
        <w:right w:val="none" w:sz="0" w:space="0" w:color="auto"/>
      </w:divBdr>
    </w:div>
    <w:div w:id="1614556958">
      <w:bodyDiv w:val="1"/>
      <w:marLeft w:val="0"/>
      <w:marRight w:val="0"/>
      <w:marTop w:val="0"/>
      <w:marBottom w:val="0"/>
      <w:divBdr>
        <w:top w:val="none" w:sz="0" w:space="0" w:color="auto"/>
        <w:left w:val="none" w:sz="0" w:space="0" w:color="auto"/>
        <w:bottom w:val="none" w:sz="0" w:space="0" w:color="auto"/>
        <w:right w:val="none" w:sz="0" w:space="0" w:color="auto"/>
      </w:divBdr>
    </w:div>
    <w:div w:id="1627345757">
      <w:bodyDiv w:val="1"/>
      <w:marLeft w:val="0"/>
      <w:marRight w:val="0"/>
      <w:marTop w:val="0"/>
      <w:marBottom w:val="0"/>
      <w:divBdr>
        <w:top w:val="none" w:sz="0" w:space="0" w:color="auto"/>
        <w:left w:val="none" w:sz="0" w:space="0" w:color="auto"/>
        <w:bottom w:val="none" w:sz="0" w:space="0" w:color="auto"/>
        <w:right w:val="none" w:sz="0" w:space="0" w:color="auto"/>
      </w:divBdr>
    </w:div>
    <w:div w:id="1639071131">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 w:id="1750617799">
      <w:bodyDiv w:val="1"/>
      <w:marLeft w:val="0"/>
      <w:marRight w:val="0"/>
      <w:marTop w:val="0"/>
      <w:marBottom w:val="0"/>
      <w:divBdr>
        <w:top w:val="none" w:sz="0" w:space="0" w:color="auto"/>
        <w:left w:val="none" w:sz="0" w:space="0" w:color="auto"/>
        <w:bottom w:val="none" w:sz="0" w:space="0" w:color="auto"/>
        <w:right w:val="none" w:sz="0" w:space="0" w:color="auto"/>
      </w:divBdr>
    </w:div>
    <w:div w:id="1756197160">
      <w:bodyDiv w:val="1"/>
      <w:marLeft w:val="0"/>
      <w:marRight w:val="0"/>
      <w:marTop w:val="0"/>
      <w:marBottom w:val="0"/>
      <w:divBdr>
        <w:top w:val="none" w:sz="0" w:space="0" w:color="auto"/>
        <w:left w:val="none" w:sz="0" w:space="0" w:color="auto"/>
        <w:bottom w:val="none" w:sz="0" w:space="0" w:color="auto"/>
        <w:right w:val="none" w:sz="0" w:space="0" w:color="auto"/>
      </w:divBdr>
    </w:div>
    <w:div w:id="1836527336">
      <w:bodyDiv w:val="1"/>
      <w:marLeft w:val="0"/>
      <w:marRight w:val="0"/>
      <w:marTop w:val="0"/>
      <w:marBottom w:val="0"/>
      <w:divBdr>
        <w:top w:val="none" w:sz="0" w:space="0" w:color="auto"/>
        <w:left w:val="none" w:sz="0" w:space="0" w:color="auto"/>
        <w:bottom w:val="none" w:sz="0" w:space="0" w:color="auto"/>
        <w:right w:val="none" w:sz="0" w:space="0" w:color="auto"/>
      </w:divBdr>
    </w:div>
    <w:div w:id="1841002010">
      <w:bodyDiv w:val="1"/>
      <w:marLeft w:val="0"/>
      <w:marRight w:val="0"/>
      <w:marTop w:val="0"/>
      <w:marBottom w:val="0"/>
      <w:divBdr>
        <w:top w:val="none" w:sz="0" w:space="0" w:color="auto"/>
        <w:left w:val="none" w:sz="0" w:space="0" w:color="auto"/>
        <w:bottom w:val="none" w:sz="0" w:space="0" w:color="auto"/>
        <w:right w:val="none" w:sz="0" w:space="0" w:color="auto"/>
      </w:divBdr>
    </w:div>
    <w:div w:id="1862623854">
      <w:bodyDiv w:val="1"/>
      <w:marLeft w:val="0"/>
      <w:marRight w:val="0"/>
      <w:marTop w:val="0"/>
      <w:marBottom w:val="0"/>
      <w:divBdr>
        <w:top w:val="none" w:sz="0" w:space="0" w:color="auto"/>
        <w:left w:val="none" w:sz="0" w:space="0" w:color="auto"/>
        <w:bottom w:val="none" w:sz="0" w:space="0" w:color="auto"/>
        <w:right w:val="none" w:sz="0" w:space="0" w:color="auto"/>
      </w:divBdr>
    </w:div>
    <w:div w:id="1913199312">
      <w:bodyDiv w:val="1"/>
      <w:marLeft w:val="0"/>
      <w:marRight w:val="0"/>
      <w:marTop w:val="0"/>
      <w:marBottom w:val="0"/>
      <w:divBdr>
        <w:top w:val="none" w:sz="0" w:space="0" w:color="auto"/>
        <w:left w:val="none" w:sz="0" w:space="0" w:color="auto"/>
        <w:bottom w:val="none" w:sz="0" w:space="0" w:color="auto"/>
        <w:right w:val="none" w:sz="0" w:space="0" w:color="auto"/>
      </w:divBdr>
    </w:div>
    <w:div w:id="1914116618">
      <w:bodyDiv w:val="1"/>
      <w:marLeft w:val="0"/>
      <w:marRight w:val="0"/>
      <w:marTop w:val="0"/>
      <w:marBottom w:val="0"/>
      <w:divBdr>
        <w:top w:val="none" w:sz="0" w:space="0" w:color="auto"/>
        <w:left w:val="none" w:sz="0" w:space="0" w:color="auto"/>
        <w:bottom w:val="none" w:sz="0" w:space="0" w:color="auto"/>
        <w:right w:val="none" w:sz="0" w:space="0" w:color="auto"/>
      </w:divBdr>
    </w:div>
    <w:div w:id="1922520595">
      <w:bodyDiv w:val="1"/>
      <w:marLeft w:val="0"/>
      <w:marRight w:val="0"/>
      <w:marTop w:val="0"/>
      <w:marBottom w:val="0"/>
      <w:divBdr>
        <w:top w:val="none" w:sz="0" w:space="0" w:color="auto"/>
        <w:left w:val="none" w:sz="0" w:space="0" w:color="auto"/>
        <w:bottom w:val="none" w:sz="0" w:space="0" w:color="auto"/>
        <w:right w:val="none" w:sz="0" w:space="0" w:color="auto"/>
      </w:divBdr>
    </w:div>
    <w:div w:id="1932353876">
      <w:bodyDiv w:val="1"/>
      <w:marLeft w:val="0"/>
      <w:marRight w:val="0"/>
      <w:marTop w:val="0"/>
      <w:marBottom w:val="0"/>
      <w:divBdr>
        <w:top w:val="none" w:sz="0" w:space="0" w:color="auto"/>
        <w:left w:val="none" w:sz="0" w:space="0" w:color="auto"/>
        <w:bottom w:val="none" w:sz="0" w:space="0" w:color="auto"/>
        <w:right w:val="none" w:sz="0" w:space="0" w:color="auto"/>
      </w:divBdr>
    </w:div>
    <w:div w:id="1962223789">
      <w:bodyDiv w:val="1"/>
      <w:marLeft w:val="0"/>
      <w:marRight w:val="0"/>
      <w:marTop w:val="0"/>
      <w:marBottom w:val="0"/>
      <w:divBdr>
        <w:top w:val="none" w:sz="0" w:space="0" w:color="auto"/>
        <w:left w:val="none" w:sz="0" w:space="0" w:color="auto"/>
        <w:bottom w:val="none" w:sz="0" w:space="0" w:color="auto"/>
        <w:right w:val="none" w:sz="0" w:space="0" w:color="auto"/>
      </w:divBdr>
    </w:div>
    <w:div w:id="1988243709">
      <w:bodyDiv w:val="1"/>
      <w:marLeft w:val="0"/>
      <w:marRight w:val="0"/>
      <w:marTop w:val="0"/>
      <w:marBottom w:val="0"/>
      <w:divBdr>
        <w:top w:val="none" w:sz="0" w:space="0" w:color="auto"/>
        <w:left w:val="none" w:sz="0" w:space="0" w:color="auto"/>
        <w:bottom w:val="none" w:sz="0" w:space="0" w:color="auto"/>
        <w:right w:val="none" w:sz="0" w:space="0" w:color="auto"/>
      </w:divBdr>
    </w:div>
    <w:div w:id="2023585405">
      <w:bodyDiv w:val="1"/>
      <w:marLeft w:val="0"/>
      <w:marRight w:val="0"/>
      <w:marTop w:val="0"/>
      <w:marBottom w:val="0"/>
      <w:divBdr>
        <w:top w:val="none" w:sz="0" w:space="0" w:color="auto"/>
        <w:left w:val="none" w:sz="0" w:space="0" w:color="auto"/>
        <w:bottom w:val="none" w:sz="0" w:space="0" w:color="auto"/>
        <w:right w:val="none" w:sz="0" w:space="0" w:color="auto"/>
      </w:divBdr>
    </w:div>
    <w:div w:id="2076273022">
      <w:bodyDiv w:val="1"/>
      <w:marLeft w:val="0"/>
      <w:marRight w:val="0"/>
      <w:marTop w:val="0"/>
      <w:marBottom w:val="0"/>
      <w:divBdr>
        <w:top w:val="none" w:sz="0" w:space="0" w:color="auto"/>
        <w:left w:val="none" w:sz="0" w:space="0" w:color="auto"/>
        <w:bottom w:val="none" w:sz="0" w:space="0" w:color="auto"/>
        <w:right w:val="none" w:sz="0" w:space="0" w:color="auto"/>
      </w:divBdr>
    </w:div>
    <w:div w:id="2112430767">
      <w:bodyDiv w:val="1"/>
      <w:marLeft w:val="0"/>
      <w:marRight w:val="0"/>
      <w:marTop w:val="0"/>
      <w:marBottom w:val="0"/>
      <w:divBdr>
        <w:top w:val="none" w:sz="0" w:space="0" w:color="auto"/>
        <w:left w:val="none" w:sz="0" w:space="0" w:color="auto"/>
        <w:bottom w:val="none" w:sz="0" w:space="0" w:color="auto"/>
        <w:right w:val="none" w:sz="0" w:space="0" w:color="auto"/>
      </w:divBdr>
    </w:div>
    <w:div w:id="21455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cp.ncc.gov.au/docs/National%20Competition%20Policy%20Review%20report%2c%20The%20Hilmer%20Report%2c%20August%201993.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6.austlii.edu.au/cgi-bin/viewdb/au/legis/cth/num_act/cpra1995292/"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cp.ncc.gov.au/docs/National%20Competition%20Policy%20Review%20report%2c%20The%20Hilmer%20Report%2c%20August%201993.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6.austlii.edu.au/cgi-bin/viewdb/au/legis/cth/num_act/cpra1995292/" TargetMode="External"/><Relationship Id="rId14" Type="http://schemas.openxmlformats.org/officeDocument/2006/relationships/hyperlink" Target="http://ncp.ncc.gov.au/docs/Competition%20Principles%20Agreement%2c%2011%20April%201995%20as%20amended%20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ada5df43-bbd8-4643-b265-b63d63fe5e92" xsi:nil="true"/>
    <_dlc_DocId xmlns="ada5df43-bbd8-4643-b265-b63d63fe5e92">SP7UQ5V26J4T-15-77841</_dlc_DocId>
    <_dlc_DocIdUrl xmlns="ada5df43-bbd8-4643-b265-b63d63fe5e92">
      <Url>https://corporateapps.internal.pmc.gov.au/sites/OBPR/RIA/_layouts/15/DocIdRedir.aspx?ID=SP7UQ5V26J4T-15-77841</Url>
      <Description>SP7UQ5V26J4T-15-77841</Description>
    </_dlc_DocIdUrl>
  </documentManagement>
</p:properties>
</file>

<file path=customXml/itemProps1.xml><?xml version="1.0" encoding="utf-8"?>
<ds:datastoreItem xmlns:ds="http://schemas.openxmlformats.org/officeDocument/2006/customXml" ds:itemID="{1C2AEFD3-A8EA-4F75-BBF5-A24D01CA5C58}"/>
</file>

<file path=customXml/itemProps2.xml><?xml version="1.0" encoding="utf-8"?>
<ds:datastoreItem xmlns:ds="http://schemas.openxmlformats.org/officeDocument/2006/customXml" ds:itemID="{0A5C9577-73D1-458D-8FA4-66043940D2E9}"/>
</file>

<file path=customXml/itemProps3.xml><?xml version="1.0" encoding="utf-8"?>
<ds:datastoreItem xmlns:ds="http://schemas.openxmlformats.org/officeDocument/2006/customXml" ds:itemID="{BF9777F2-2F85-42F2-992E-53060E56AAB9}"/>
</file>

<file path=customXml/itemProps4.xml><?xml version="1.0" encoding="utf-8"?>
<ds:datastoreItem xmlns:ds="http://schemas.openxmlformats.org/officeDocument/2006/customXml" ds:itemID="{2C9CF27C-7568-4AFF-B50D-14600468B82D}"/>
</file>

<file path=docProps/app.xml><?xml version="1.0" encoding="utf-8"?>
<Properties xmlns="http://schemas.openxmlformats.org/officeDocument/2006/extended-properties" xmlns:vt="http://schemas.openxmlformats.org/officeDocument/2006/docPropsVTypes">
  <Template>Normal.dotm</Template>
  <TotalTime>0</TotalTime>
  <Pages>40</Pages>
  <Words>9742</Words>
  <Characters>55531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2021-05-17T06:21:00Z</dcterms:created>
  <dcterms:modified xsi:type="dcterms:W3CDTF">2021-05-17T06:21:00Z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5617e426-fca2-4014-8cd3-067b2b66862e</vt:lpwstr>
  </property>
  <property fmtid="{D5CDD505-2E9C-101B-9397-08002B2CF9AE}" pid="3" name="ContentTypeId">
    <vt:lpwstr>0x010100B8596EF1E1B53D4DB650581373C5AE0B</vt:lpwstr>
  </property>
</Properties>
</file>