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rect style="position:absolute;margin-left:481.890015pt;margin-top:133.228119pt;width:99.212pt;height:5.6699pt;mso-position-horizontal-relative:page;mso-position-vertical-relative:page;z-index:15728640" filled="true" fillcolor="#00acec" stroked="false">
            <v:fill type="solid"/>
            <w10:wrap type="none"/>
          </v:rect>
        </w:pict>
      </w:r>
      <w:r>
        <w:rPr/>
        <w:pict>
          <v:group style="position:absolute;margin-left:498.294952pt;margin-top:26.497246pt;width:68.75pt;height:89.05pt;mso-position-horizontal-relative:page;mso-position-vertical-relative:page;z-index:15729152" coordorigin="9966,530" coordsize="1375,1781">
            <v:shape style="position:absolute;left:10161;top:861;width:889;height:847" type="#_x0000_t75" stroked="false">
              <v:imagedata r:id="rId5" o:title=""/>
            </v:shape>
            <v:shape style="position:absolute;left:9992;top:534;width:1118;height:1241" coordorigin="9993,534" coordsize="1118,1241" path="m10905,539l10842,535,10773,534,10700,538,10622,546,10541,561,10459,582,10374,612,10301,645,10234,685,10176,730,10124,780,10081,835,10046,896,10020,961,10002,1030,9993,1104,9993,1181,10002,1253,10018,1328,10043,1402,10076,1475,10117,1544,10166,1606,10222,1661,10285,1706,10356,1738,10423,1757,10495,1770,10569,1775,10645,1773,10719,1763,10792,1745,10861,1719,10923,1684,10979,1640,11031,1580,11069,1514,11095,1443,11109,1369,11111,1293,11102,1217,11082,1142,11053,1071,11019,1008,10978,946,10929,885,10875,829,10816,779,10751,739,10683,711,10612,697,10551,702,10488,725,10425,764,10363,815,10306,875,10254,941,10210,1010,10175,1078,10151,1142e" filled="false" stroked="true" strokeweight=".422pt" strokecolor="#1f1d1d">
              <v:path arrowok="t"/>
              <v:stroke dashstyle="solid"/>
            </v:shape>
            <v:shape style="position:absolute;left:9970;top:786;width:1170;height:1521" coordorigin="9970,786" coordsize="1170,1521" path="m10671,2306l10599,2293,10526,2272,10453,2244,10382,2210,10315,2171,10253,2128,10197,2083,10145,2029,10101,1971,10063,1907,10032,1840,10008,1771,9990,1698,9978,1625,9971,1550,9970,1476,9974,1402,9983,1329,9999,1254,10023,1182,10054,1113,10092,1049,10137,990,10190,938,10248,892,10314,853,10385,823,10452,804,10524,792,10598,786,10674,788,10748,798,10821,816,10889,842,10952,877,11008,921,11060,981,11098,1048,11124,1118,11138,1193,11140,1269,11131,1345,11111,1419,11082,1491,11048,1553,11007,1616,10958,1676,10904,1733,10845,1782,10780,1822,10712,1850,10641,1865,10557,1862,10483,1840,10418,1801,10362,1749,10312,1686,10269,1615e" filled="false" stroked="true" strokeweight=".422pt" strokecolor="#1f1d1d">
              <v:path arrowok="t"/>
              <v:stroke dashstyle="solid"/>
            </v:shape>
            <v:shape style="position:absolute;left:10714;top:1936;width:626;height:150" type="#_x0000_t75" stroked="false">
              <v:imagedata r:id="rId6" o:title=""/>
            </v:shape>
            <w10:wrap type="none"/>
          </v:group>
        </w:pict>
      </w:r>
      <w:r>
        <w:rPr/>
        <w:pict>
          <v:shapetype id="_x0000_t202" o:spt="202" coordsize="21600,21600" path="m,l,21600r21600,l21600,xe">
            <v:stroke joinstyle="miter"/>
            <v:path gradientshapeok="t" o:connecttype="rect"/>
          </v:shapetype>
          <v:shape style="position:absolute;margin-left:488.603302pt;margin-top:158.06015pt;width:92.55pt;height:162.6pt;mso-position-horizontal-relative:page;mso-position-vertical-relative:page;z-index:15729664" type="#_x0000_t202" filled="false" stroked="false">
            <v:textbox inset="0,0,0,0" style="layout-flow:vertical;mso-layout-flow-alt:bottom-to-top">
              <w:txbxContent>
                <w:p>
                  <w:pPr>
                    <w:spacing w:before="99"/>
                    <w:ind w:left="20" w:right="0" w:firstLine="0"/>
                    <w:jc w:val="left"/>
                    <w:rPr>
                      <w:b/>
                      <w:sz w:val="122"/>
                    </w:rPr>
                  </w:pPr>
                  <w:r>
                    <w:rPr>
                      <w:b/>
                      <w:color w:val="878787"/>
                      <w:spacing w:val="-7"/>
                      <w:sz w:val="122"/>
                    </w:rPr>
                    <w:t>RULE</w:t>
                  </w:r>
                </w:p>
              </w:txbxContent>
            </v:textbox>
            <w10:wrap type="none"/>
          </v:shape>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
        <w:rPr>
          <w:rFonts w:ascii="Times New Roman"/>
          <w:sz w:val="24"/>
        </w:rPr>
      </w:pPr>
    </w:p>
    <w:p>
      <w:pPr>
        <w:tabs>
          <w:tab w:pos="1247" w:val="left" w:leader="none"/>
        </w:tabs>
        <w:spacing w:before="0"/>
        <w:ind w:left="7" w:right="0" w:firstLine="0"/>
        <w:jc w:val="left"/>
        <w:rPr>
          <w:b/>
          <w:sz w:val="20"/>
        </w:rPr>
      </w:pPr>
      <w:r>
        <w:rPr>
          <w:b/>
          <w:color w:val="878787"/>
          <w:sz w:val="20"/>
          <w:u w:val="single" w:color="878787"/>
        </w:rPr>
        <w:t> </w:t>
        <w:tab/>
        <w:t>Australian Energy Market</w:t>
      </w:r>
      <w:r>
        <w:rPr>
          <w:b/>
          <w:color w:val="878787"/>
          <w:spacing w:val="-3"/>
          <w:sz w:val="20"/>
          <w:u w:val="single" w:color="878787"/>
        </w:rPr>
        <w:t> </w:t>
      </w:r>
      <w:r>
        <w:rPr>
          <w:b/>
          <w:color w:val="878787"/>
          <w:sz w:val="20"/>
          <w:u w:val="single" w:color="878787"/>
        </w:rPr>
        <w:t>Commission</w:t>
      </w:r>
    </w:p>
    <w:p>
      <w:pPr>
        <w:pStyle w:val="BodyText"/>
        <w:rPr>
          <w:b/>
        </w:rPr>
      </w:pPr>
    </w:p>
    <w:p>
      <w:pPr>
        <w:pStyle w:val="BodyText"/>
        <w:rPr>
          <w:b/>
        </w:rPr>
      </w:pPr>
    </w:p>
    <w:p>
      <w:pPr>
        <w:pStyle w:val="BodyText"/>
        <w:rPr>
          <w:b/>
        </w:rPr>
      </w:pPr>
    </w:p>
    <w:p>
      <w:pPr>
        <w:spacing w:before="266"/>
        <w:ind w:left="1159" w:right="0" w:firstLine="0"/>
        <w:jc w:val="left"/>
        <w:rPr>
          <w:b/>
          <w:sz w:val="32"/>
        </w:rPr>
      </w:pPr>
      <w:r>
        <w:rPr>
          <w:b/>
          <w:color w:val="00ACEC"/>
          <w:sz w:val="32"/>
        </w:rPr>
        <w:t>DRAFT RULE DETERMINATION</w:t>
      </w:r>
    </w:p>
    <w:p>
      <w:pPr>
        <w:spacing w:line="237" w:lineRule="auto" w:before="294"/>
        <w:ind w:left="1159" w:right="2191" w:firstLine="0"/>
        <w:jc w:val="left"/>
        <w:rPr>
          <w:sz w:val="46"/>
        </w:rPr>
      </w:pPr>
      <w:r>
        <w:rPr>
          <w:color w:val="262526"/>
          <w:spacing w:val="-4"/>
          <w:sz w:val="46"/>
        </w:rPr>
        <w:t>NATIONAL </w:t>
      </w:r>
      <w:r>
        <w:rPr>
          <w:color w:val="262526"/>
          <w:spacing w:val="-3"/>
          <w:sz w:val="46"/>
        </w:rPr>
        <w:t>ELECTRICITY </w:t>
      </w:r>
      <w:r>
        <w:rPr>
          <w:color w:val="262526"/>
          <w:sz w:val="46"/>
        </w:rPr>
        <w:t>AMENDMENT (IMPLEMENTING A GENERAL POWER SYSTEM RISK REVIEW (GPSRR)) RULE 2021</w:t>
      </w:r>
    </w:p>
    <w:p>
      <w:pPr>
        <w:spacing w:before="401"/>
        <w:ind w:left="1159" w:right="0" w:firstLine="0"/>
        <w:jc w:val="left"/>
        <w:rPr>
          <w:b/>
          <w:sz w:val="22"/>
        </w:rPr>
      </w:pPr>
      <w:r>
        <w:rPr>
          <w:b/>
          <w:color w:val="262526"/>
          <w:sz w:val="22"/>
        </w:rPr>
        <w:t>PROPONENT</w:t>
      </w:r>
    </w:p>
    <w:p>
      <w:pPr>
        <w:spacing w:line="456" w:lineRule="auto" w:before="56"/>
        <w:ind w:left="1159" w:right="7915" w:firstLine="0"/>
        <w:jc w:val="left"/>
        <w:rPr>
          <w:sz w:val="22"/>
        </w:rPr>
      </w:pPr>
      <w:r>
        <w:rPr>
          <w:color w:val="262526"/>
          <w:sz w:val="22"/>
        </w:rPr>
        <w:t>COAG Energy Council 04 FEBRUARY 2021</w:t>
      </w:r>
    </w:p>
    <w:p>
      <w:pPr>
        <w:spacing w:after="0" w:line="456" w:lineRule="auto"/>
        <w:jc w:val="left"/>
        <w:rPr>
          <w:sz w:val="22"/>
        </w:rPr>
        <w:sectPr>
          <w:type w:val="continuous"/>
          <w:pgSz w:w="11910" w:h="16840"/>
          <w:pgMar w:top="520" w:bottom="28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5"/>
        </w:rPr>
      </w:pPr>
    </w:p>
    <w:p>
      <w:pPr>
        <w:pStyle w:val="Heading2"/>
        <w:spacing w:before="110"/>
        <w:ind w:firstLine="0"/>
      </w:pPr>
      <w:r>
        <w:rPr>
          <w:color w:val="00ACEC"/>
        </w:rPr>
        <w:t>INQUIRIES</w:t>
      </w:r>
    </w:p>
    <w:p>
      <w:pPr>
        <w:pStyle w:val="BodyText"/>
        <w:spacing w:line="278" w:lineRule="auto" w:before="22"/>
        <w:ind w:left="2692" w:right="5129"/>
      </w:pPr>
      <w:r>
        <w:rPr>
          <w:color w:val="262526"/>
        </w:rPr>
        <w:t>Australian Energy Market Commission GPO Box</w:t>
      </w:r>
      <w:r>
        <w:rPr>
          <w:color w:val="262526"/>
          <w:spacing w:val="-1"/>
        </w:rPr>
        <w:t> </w:t>
      </w:r>
      <w:r>
        <w:rPr>
          <w:color w:val="262526"/>
        </w:rPr>
        <w:t>2603</w:t>
      </w:r>
    </w:p>
    <w:p>
      <w:pPr>
        <w:pStyle w:val="BodyText"/>
        <w:ind w:left="2692"/>
      </w:pPr>
      <w:r>
        <w:rPr>
          <w:color w:val="262526"/>
        </w:rPr>
        <w:t>Sydney NSW</w:t>
      </w:r>
      <w:r>
        <w:rPr>
          <w:color w:val="262526"/>
          <w:spacing w:val="-4"/>
        </w:rPr>
        <w:t> </w:t>
      </w:r>
      <w:r>
        <w:rPr>
          <w:color w:val="262526"/>
        </w:rPr>
        <w:t>2000</w:t>
      </w:r>
    </w:p>
    <w:p>
      <w:pPr>
        <w:pStyle w:val="BodyText"/>
        <w:spacing w:before="5"/>
        <w:rPr>
          <w:sz w:val="26"/>
        </w:rPr>
      </w:pPr>
    </w:p>
    <w:p>
      <w:pPr>
        <w:pStyle w:val="BodyText"/>
        <w:spacing w:line="278" w:lineRule="auto"/>
        <w:ind w:left="2692" w:right="6455"/>
      </w:pPr>
      <w:r>
        <w:rPr>
          <w:color w:val="00ACEC"/>
        </w:rPr>
        <w:t>E </w:t>
      </w:r>
      <w:hyperlink r:id="rId8">
        <w:r>
          <w:rPr>
            <w:color w:val="262526"/>
            <w:spacing w:val="-3"/>
          </w:rPr>
          <w:t>aemc@aemc.gov.au</w:t>
        </w:r>
      </w:hyperlink>
      <w:r>
        <w:rPr>
          <w:color w:val="00ACEC"/>
          <w:spacing w:val="-3"/>
        </w:rPr>
        <w:t> </w:t>
      </w:r>
      <w:r>
        <w:rPr>
          <w:color w:val="00ACEC"/>
        </w:rPr>
        <w:t>T </w:t>
      </w:r>
      <w:r>
        <w:rPr>
          <w:color w:val="262526"/>
        </w:rPr>
        <w:t>(02) 8296</w:t>
      </w:r>
      <w:r>
        <w:rPr>
          <w:color w:val="262526"/>
          <w:spacing w:val="-21"/>
        </w:rPr>
        <w:t> </w:t>
      </w:r>
      <w:r>
        <w:rPr>
          <w:color w:val="262526"/>
        </w:rPr>
        <w:t>7800</w:t>
      </w:r>
    </w:p>
    <w:p>
      <w:pPr>
        <w:pStyle w:val="BodyText"/>
        <w:spacing w:before="2"/>
        <w:rPr>
          <w:sz w:val="23"/>
        </w:rPr>
      </w:pPr>
    </w:p>
    <w:p>
      <w:pPr>
        <w:pStyle w:val="BodyText"/>
        <w:ind w:left="2692"/>
      </w:pPr>
      <w:r>
        <w:rPr>
          <w:color w:val="262526"/>
        </w:rPr>
        <w:t>Reference: ERC0303</w:t>
      </w:r>
    </w:p>
    <w:p>
      <w:pPr>
        <w:pStyle w:val="BodyText"/>
        <w:spacing w:before="6"/>
        <w:rPr>
          <w:sz w:val="26"/>
        </w:rPr>
      </w:pPr>
    </w:p>
    <w:p>
      <w:pPr>
        <w:pStyle w:val="Heading2"/>
        <w:ind w:firstLine="0"/>
      </w:pPr>
      <w:r>
        <w:rPr>
          <w:color w:val="00ACEC"/>
        </w:rPr>
        <w:t>CITATION</w:t>
      </w:r>
    </w:p>
    <w:p>
      <w:pPr>
        <w:pStyle w:val="BodyText"/>
        <w:spacing w:line="278" w:lineRule="auto" w:before="22"/>
        <w:ind w:left="2692" w:right="295"/>
      </w:pPr>
      <w:r>
        <w:rPr>
          <w:color w:val="262526"/>
        </w:rPr>
        <w:t>AEMC, Implementing a general power system risk review (GPSRR), Draft rule determination, 04 February 2021</w:t>
      </w:r>
    </w:p>
    <w:p>
      <w:pPr>
        <w:pStyle w:val="BodyText"/>
        <w:spacing w:before="4"/>
        <w:rPr>
          <w:sz w:val="23"/>
        </w:rPr>
      </w:pPr>
    </w:p>
    <w:p>
      <w:pPr>
        <w:pStyle w:val="Heading2"/>
        <w:ind w:firstLine="0"/>
      </w:pPr>
      <w:r>
        <w:rPr>
          <w:color w:val="00ACEC"/>
        </w:rPr>
        <w:t>ABOUT THE AEMC</w:t>
      </w:r>
    </w:p>
    <w:p>
      <w:pPr>
        <w:pStyle w:val="BodyText"/>
        <w:spacing w:line="278" w:lineRule="auto" w:before="22"/>
        <w:ind w:left="2692"/>
      </w:pPr>
      <w:r>
        <w:rPr>
          <w:color w:val="262526"/>
        </w:rPr>
        <w:t>The AEMC reports to the Council of Australian Governments (COAG) through the COAG Energy Council. We have two functions. We make and amend the national electricity, gas and energy retail rules and conduct independent reviews for the COAG Energy Council.</w:t>
      </w:r>
    </w:p>
    <w:p>
      <w:pPr>
        <w:pStyle w:val="BodyText"/>
        <w:spacing w:before="2"/>
        <w:rPr>
          <w:sz w:val="23"/>
        </w:rPr>
      </w:pPr>
    </w:p>
    <w:p>
      <w:pPr>
        <w:pStyle w:val="BodyText"/>
        <w:spacing w:line="278" w:lineRule="auto"/>
        <w:ind w:left="2692" w:right="246"/>
        <w:jc w:val="both"/>
      </w:pPr>
      <w:r>
        <w:rPr>
          <w:color w:val="262526"/>
        </w:rPr>
        <w:t>This work is copyright. The Copyright Act 1968 permits fair dealing for </w:t>
      </w:r>
      <w:r>
        <w:rPr>
          <w:color w:val="262526"/>
          <w:spacing w:val="-4"/>
        </w:rPr>
        <w:t>study, </w:t>
      </w:r>
      <w:r>
        <w:rPr>
          <w:color w:val="262526"/>
        </w:rPr>
        <w:t>research, news reporting,</w:t>
      </w:r>
      <w:r>
        <w:rPr>
          <w:color w:val="262526"/>
          <w:spacing w:val="-6"/>
        </w:rPr>
        <w:t> </w:t>
      </w:r>
      <w:r>
        <w:rPr>
          <w:color w:val="262526"/>
        </w:rPr>
        <w:t>criticism</w:t>
      </w:r>
      <w:r>
        <w:rPr>
          <w:color w:val="262526"/>
          <w:spacing w:val="-6"/>
        </w:rPr>
        <w:t> </w:t>
      </w:r>
      <w:r>
        <w:rPr>
          <w:color w:val="262526"/>
        </w:rPr>
        <w:t>and</w:t>
      </w:r>
      <w:r>
        <w:rPr>
          <w:color w:val="262526"/>
          <w:spacing w:val="-4"/>
        </w:rPr>
        <w:t> </w:t>
      </w:r>
      <w:r>
        <w:rPr>
          <w:color w:val="262526"/>
        </w:rPr>
        <w:t>review.</w:t>
      </w:r>
      <w:r>
        <w:rPr>
          <w:color w:val="262526"/>
          <w:spacing w:val="-5"/>
        </w:rPr>
        <w:t> </w:t>
      </w:r>
      <w:r>
        <w:rPr>
          <w:color w:val="262526"/>
        </w:rPr>
        <w:t>Selected</w:t>
      </w:r>
      <w:r>
        <w:rPr>
          <w:color w:val="262526"/>
          <w:spacing w:val="-5"/>
        </w:rPr>
        <w:t> </w:t>
      </w:r>
      <w:r>
        <w:rPr>
          <w:color w:val="262526"/>
        </w:rPr>
        <w:t>passages,</w:t>
      </w:r>
      <w:r>
        <w:rPr>
          <w:color w:val="262526"/>
          <w:spacing w:val="-5"/>
        </w:rPr>
        <w:t> </w:t>
      </w:r>
      <w:r>
        <w:rPr>
          <w:color w:val="262526"/>
        </w:rPr>
        <w:t>tables</w:t>
      </w:r>
      <w:r>
        <w:rPr>
          <w:color w:val="262526"/>
          <w:spacing w:val="-5"/>
        </w:rPr>
        <w:t> </w:t>
      </w:r>
      <w:r>
        <w:rPr>
          <w:color w:val="262526"/>
        </w:rPr>
        <w:t>or</w:t>
      </w:r>
      <w:r>
        <w:rPr>
          <w:color w:val="262526"/>
          <w:spacing w:val="-5"/>
        </w:rPr>
        <w:t> </w:t>
      </w:r>
      <w:r>
        <w:rPr>
          <w:color w:val="262526"/>
        </w:rPr>
        <w:t>diagrams</w:t>
      </w:r>
      <w:r>
        <w:rPr>
          <w:color w:val="262526"/>
          <w:spacing w:val="-5"/>
        </w:rPr>
        <w:t> </w:t>
      </w:r>
      <w:r>
        <w:rPr>
          <w:color w:val="262526"/>
        </w:rPr>
        <w:t>may</w:t>
      </w:r>
      <w:r>
        <w:rPr>
          <w:color w:val="262526"/>
          <w:spacing w:val="-4"/>
        </w:rPr>
        <w:t> </w:t>
      </w:r>
      <w:r>
        <w:rPr>
          <w:color w:val="262526"/>
        </w:rPr>
        <w:t>be</w:t>
      </w:r>
      <w:r>
        <w:rPr>
          <w:color w:val="262526"/>
          <w:spacing w:val="-5"/>
        </w:rPr>
        <w:t> </w:t>
      </w:r>
      <w:r>
        <w:rPr>
          <w:color w:val="262526"/>
        </w:rPr>
        <w:t>reproduced</w:t>
      </w:r>
      <w:r>
        <w:rPr>
          <w:color w:val="262526"/>
          <w:spacing w:val="-6"/>
        </w:rPr>
        <w:t> </w:t>
      </w:r>
      <w:r>
        <w:rPr>
          <w:color w:val="262526"/>
        </w:rPr>
        <w:t>for such purposes provided acknowledgement of the source is</w:t>
      </w:r>
      <w:r>
        <w:rPr>
          <w:color w:val="262526"/>
          <w:spacing w:val="-7"/>
        </w:rPr>
        <w:t> </w:t>
      </w:r>
      <w:r>
        <w:rPr>
          <w:color w:val="262526"/>
        </w:rPr>
        <w:t>included.</w:t>
      </w:r>
    </w:p>
    <w:p>
      <w:pPr>
        <w:spacing w:after="0" w:line="278" w:lineRule="auto"/>
        <w:jc w:val="both"/>
        <w:sectPr>
          <w:headerReference w:type="default" r:id="rId7"/>
          <w:pgSz w:w="11910" w:h="16840"/>
          <w:pgMar w:header="808" w:footer="0" w:top="1460" w:bottom="28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Heading1"/>
        <w:ind w:firstLine="0"/>
      </w:pPr>
      <w:r>
        <w:rPr>
          <w:color w:val="00ACEC"/>
        </w:rPr>
        <w:t>SUMMARY</w:t>
      </w:r>
    </w:p>
    <w:p>
      <w:pPr>
        <w:pStyle w:val="ListParagraph"/>
        <w:numPr>
          <w:ilvl w:val="0"/>
          <w:numId w:val="1"/>
        </w:numPr>
        <w:tabs>
          <w:tab w:pos="2692" w:val="left" w:leader="none"/>
          <w:tab w:pos="2693" w:val="left" w:leader="none"/>
        </w:tabs>
        <w:spacing w:line="278" w:lineRule="auto" w:before="233" w:after="0"/>
        <w:ind w:left="2692" w:right="196" w:hanging="1560"/>
        <w:jc w:val="left"/>
        <w:rPr>
          <w:sz w:val="20"/>
        </w:rPr>
      </w:pPr>
      <w:r>
        <w:rPr>
          <w:color w:val="262526"/>
          <w:sz w:val="20"/>
        </w:rPr>
        <w:t>On 4 February 2020, the Australian Energy Market Commission (AEMC or Commission) made a draft determination and draft rule to amend the national electricity rules (NER or Rules) to implement a holistic General Power System Risk Review (GPSRR) that would replace the existing Power System Frequency Risk Review</w:t>
      </w:r>
      <w:r>
        <w:rPr>
          <w:color w:val="262526"/>
          <w:spacing w:val="1"/>
          <w:sz w:val="20"/>
        </w:rPr>
        <w:t> </w:t>
      </w:r>
      <w:r>
        <w:rPr>
          <w:color w:val="262526"/>
          <w:sz w:val="20"/>
        </w:rPr>
        <w:t>(PSFRR).</w:t>
      </w:r>
    </w:p>
    <w:p>
      <w:pPr>
        <w:pStyle w:val="ListParagraph"/>
        <w:numPr>
          <w:ilvl w:val="0"/>
          <w:numId w:val="1"/>
        </w:numPr>
        <w:tabs>
          <w:tab w:pos="2692" w:val="left" w:leader="none"/>
          <w:tab w:pos="2693" w:val="left" w:leader="none"/>
        </w:tabs>
        <w:spacing w:line="278" w:lineRule="auto" w:before="113" w:after="0"/>
        <w:ind w:left="2692" w:right="183" w:hanging="1560"/>
        <w:jc w:val="left"/>
        <w:rPr>
          <w:sz w:val="20"/>
        </w:rPr>
      </w:pPr>
      <w:r>
        <w:rPr>
          <w:color w:val="262526"/>
          <w:sz w:val="20"/>
        </w:rPr>
        <w:t>The draft rule seeks to implement a GPSRR. This would be an annual review that would involve the Australian Energy Market Operator (AEMO), in collaboration with Network Service Providers (NSPs), identifying and assessing risks to power system security (that are likely to result in cascading outages or major supply disruptions) associated with five key risk areas,  in addition to frequency risks. This would increase the transparency of emerging system security risks that may need to be managed, helping AEMO, NSPs and market participants better understand the nature of new risks as they emerge. AEMO must complete the first GPSRR within 18 months of the rule</w:t>
      </w:r>
      <w:r>
        <w:rPr>
          <w:color w:val="262526"/>
          <w:spacing w:val="1"/>
          <w:sz w:val="20"/>
        </w:rPr>
        <w:t> </w:t>
      </w:r>
      <w:r>
        <w:rPr>
          <w:color w:val="262526"/>
          <w:sz w:val="20"/>
        </w:rPr>
        <w:t>commencing.</w:t>
      </w:r>
    </w:p>
    <w:p>
      <w:pPr>
        <w:pStyle w:val="ListParagraph"/>
        <w:numPr>
          <w:ilvl w:val="0"/>
          <w:numId w:val="1"/>
        </w:numPr>
        <w:tabs>
          <w:tab w:pos="2692" w:val="left" w:leader="none"/>
          <w:tab w:pos="2693" w:val="left" w:leader="none"/>
        </w:tabs>
        <w:spacing w:line="278" w:lineRule="auto" w:before="113" w:after="0"/>
        <w:ind w:left="2692" w:right="459" w:hanging="1560"/>
        <w:jc w:val="left"/>
        <w:rPr>
          <w:sz w:val="12"/>
        </w:rPr>
      </w:pPr>
      <w:r>
        <w:rPr>
          <w:color w:val="262526"/>
          <w:sz w:val="20"/>
        </w:rPr>
        <w:t>This rule change is part of a wider Commission work program on system </w:t>
      </w:r>
      <w:r>
        <w:rPr>
          <w:color w:val="262526"/>
          <w:spacing w:val="-3"/>
          <w:sz w:val="20"/>
        </w:rPr>
        <w:t>security, </w:t>
      </w:r>
      <w:r>
        <w:rPr>
          <w:color w:val="262526"/>
          <w:sz w:val="20"/>
        </w:rPr>
        <w:t>which includes this and two other rule changes seeking to action the recommendations made by the Commission in its </w:t>
      </w:r>
      <w:r>
        <w:rPr>
          <w:i/>
          <w:color w:val="262526"/>
          <w:sz w:val="20"/>
        </w:rPr>
        <w:t>Review of the South Australian Black System Event </w:t>
      </w:r>
      <w:r>
        <w:rPr>
          <w:color w:val="262526"/>
          <w:sz w:val="20"/>
        </w:rPr>
        <w:t>report (BSE review).</w:t>
      </w:r>
      <w:r>
        <w:rPr>
          <w:color w:val="262526"/>
          <w:position w:val="8"/>
          <w:sz w:val="12"/>
        </w:rPr>
        <w:t>1</w:t>
      </w:r>
    </w:p>
    <w:p>
      <w:pPr>
        <w:pStyle w:val="BodyText"/>
        <w:spacing w:before="9"/>
        <w:rPr>
          <w:sz w:val="21"/>
        </w:rPr>
      </w:pPr>
    </w:p>
    <w:p>
      <w:pPr>
        <w:pStyle w:val="Heading2"/>
        <w:ind w:firstLine="0"/>
      </w:pPr>
      <w:r>
        <w:rPr>
          <w:color w:val="00ACEC"/>
        </w:rPr>
        <w:t>The rule change request</w:t>
      </w:r>
    </w:p>
    <w:p>
      <w:pPr>
        <w:pStyle w:val="ListParagraph"/>
        <w:numPr>
          <w:ilvl w:val="0"/>
          <w:numId w:val="1"/>
        </w:numPr>
        <w:tabs>
          <w:tab w:pos="2692" w:val="left" w:leader="none"/>
          <w:tab w:pos="2693" w:val="left" w:leader="none"/>
        </w:tabs>
        <w:spacing w:line="278" w:lineRule="auto" w:before="79" w:after="0"/>
        <w:ind w:left="2692" w:right="278" w:hanging="1560"/>
        <w:jc w:val="left"/>
        <w:rPr>
          <w:sz w:val="20"/>
        </w:rPr>
      </w:pPr>
      <w:r>
        <w:rPr>
          <w:color w:val="262526"/>
          <w:sz w:val="20"/>
        </w:rPr>
        <w:t>In its BSE review the Commission recommended expanding existing frameworks to enhance prompt identification by AEMO of risks to system security from all sources through the implementation of a GPSRR. The GPSRR would be a front-end risk identification process to inform risk management actions undertaken through other</w:t>
      </w:r>
      <w:r>
        <w:rPr>
          <w:color w:val="262526"/>
          <w:spacing w:val="7"/>
          <w:sz w:val="20"/>
        </w:rPr>
        <w:t> </w:t>
      </w:r>
      <w:r>
        <w:rPr>
          <w:color w:val="262526"/>
          <w:sz w:val="20"/>
        </w:rPr>
        <w:t>processes.</w:t>
      </w:r>
    </w:p>
    <w:p>
      <w:pPr>
        <w:pStyle w:val="ListParagraph"/>
        <w:numPr>
          <w:ilvl w:val="0"/>
          <w:numId w:val="1"/>
        </w:numPr>
        <w:tabs>
          <w:tab w:pos="2692" w:val="left" w:leader="none"/>
          <w:tab w:pos="2693" w:val="left" w:leader="none"/>
        </w:tabs>
        <w:spacing w:line="278" w:lineRule="auto" w:before="113" w:after="0"/>
        <w:ind w:left="2692" w:right="253" w:hanging="1560"/>
        <w:jc w:val="left"/>
        <w:rPr>
          <w:sz w:val="12"/>
        </w:rPr>
      </w:pPr>
      <w:r>
        <w:rPr>
          <w:color w:val="262526"/>
          <w:sz w:val="20"/>
        </w:rPr>
        <w:t>Following the BSE review, the Council of Australian Governments (COAG) Energy Council</w:t>
      </w:r>
      <w:r>
        <w:rPr>
          <w:color w:val="262526"/>
          <w:position w:val="8"/>
          <w:sz w:val="12"/>
        </w:rPr>
        <w:t>2</w:t>
      </w:r>
      <w:r>
        <w:rPr>
          <w:color w:val="262526"/>
          <w:sz w:val="12"/>
        </w:rPr>
        <w:t> </w:t>
      </w:r>
      <w:r>
        <w:rPr>
          <w:color w:val="262526"/>
          <w:sz w:val="20"/>
        </w:rPr>
        <w:t>submitted a rule change request on 26 May 2020 to implement this recommendation. The COAG Energy Council considers there are a range of shortcomings with the existing PSFRR given the changing power system risk and resilience profile.</w:t>
      </w:r>
      <w:r>
        <w:rPr>
          <w:color w:val="262526"/>
          <w:position w:val="8"/>
          <w:sz w:val="12"/>
        </w:rPr>
        <w:t>3 </w:t>
      </w:r>
      <w:r>
        <w:rPr>
          <w:color w:val="262526"/>
          <w:sz w:val="20"/>
        </w:rPr>
        <w:t>The COAG Energy Council is of the view that there is a need to broaden the scope of the existing PSFRR beyond </w:t>
      </w:r>
      <w:r>
        <w:rPr>
          <w:color w:val="262526"/>
          <w:spacing w:val="-3"/>
          <w:sz w:val="20"/>
        </w:rPr>
        <w:t>frequency, </w:t>
      </w:r>
      <w:r>
        <w:rPr>
          <w:color w:val="262526"/>
          <w:sz w:val="20"/>
        </w:rPr>
        <w:t>to become a more frequent and holistic GPSRR process for effectively identifying a range of emerging risks to the power system. In </w:t>
      </w:r>
      <w:r>
        <w:rPr>
          <w:color w:val="262526"/>
          <w:spacing w:val="-3"/>
          <w:sz w:val="20"/>
        </w:rPr>
        <w:t>particular, </w:t>
      </w:r>
      <w:r>
        <w:rPr>
          <w:color w:val="262526"/>
          <w:sz w:val="20"/>
        </w:rPr>
        <w:t>the COAG Energy Council seeks to amend the rules in order:</w:t>
      </w:r>
      <w:r>
        <w:rPr>
          <w:color w:val="262526"/>
          <w:position w:val="8"/>
          <w:sz w:val="12"/>
        </w:rPr>
        <w:t>4</w:t>
      </w:r>
    </w:p>
    <w:p>
      <w:pPr>
        <w:pStyle w:val="ListParagraph"/>
        <w:numPr>
          <w:ilvl w:val="1"/>
          <w:numId w:val="1"/>
        </w:numPr>
        <w:tabs>
          <w:tab w:pos="3034" w:val="left" w:leader="none"/>
        </w:tabs>
        <w:spacing w:line="278" w:lineRule="auto" w:before="114" w:after="0"/>
        <w:ind w:left="3033" w:right="569" w:hanging="341"/>
        <w:jc w:val="both"/>
        <w:rPr>
          <w:sz w:val="20"/>
        </w:rPr>
      </w:pPr>
      <w:r>
        <w:rPr>
          <w:color w:val="262526"/>
          <w:sz w:val="20"/>
        </w:rPr>
        <w:t>for the GPSRR to consider all events and conditions (including contingency events as defined in the NER) the occurrence of which AEMO expects, alone or in combination, would be likely to lead to cascading outages, or major supply</w:t>
      </w:r>
      <w:r>
        <w:rPr>
          <w:color w:val="262526"/>
          <w:spacing w:val="13"/>
          <w:sz w:val="20"/>
        </w:rPr>
        <w:t> </w:t>
      </w:r>
      <w:r>
        <w:rPr>
          <w:color w:val="262526"/>
          <w:sz w:val="20"/>
        </w:rPr>
        <w:t>disruptions</w:t>
      </w:r>
    </w:p>
    <w:p>
      <w:pPr>
        <w:pStyle w:val="BodyText"/>
        <w:spacing w:before="9"/>
        <w:rPr>
          <w:sz w:val="21"/>
        </w:rPr>
      </w:pPr>
      <w:r>
        <w:rPr/>
        <w:pict>
          <v:shape style="position:absolute;margin-left:134.645996pt;margin-top:15.579pt;width:49.65pt;height:.1pt;mso-position-horizontal-relative:page;mso-position-vertical-relative:paragraph;z-index:-15727104;mso-wrap-distance-left:0;mso-wrap-distance-right:0" coordorigin="2693,312" coordsize="993,0" path="m2693,312l3685,312e" filled="false" stroked="true" strokeweight="1pt" strokecolor="#262526">
            <v:path arrowok="t"/>
            <v:stroke dashstyle="solid"/>
            <w10:wrap type="topAndBottom"/>
          </v:shape>
        </w:pict>
      </w:r>
    </w:p>
    <w:p>
      <w:pPr>
        <w:pStyle w:val="ListParagraph"/>
        <w:numPr>
          <w:ilvl w:val="0"/>
          <w:numId w:val="2"/>
        </w:numPr>
        <w:tabs>
          <w:tab w:pos="3032" w:val="left" w:leader="none"/>
          <w:tab w:pos="3034" w:val="left" w:leader="none"/>
        </w:tabs>
        <w:spacing w:line="240" w:lineRule="auto" w:before="98" w:after="0"/>
        <w:ind w:left="3033" w:right="143" w:hanging="341"/>
        <w:jc w:val="left"/>
        <w:rPr>
          <w:sz w:val="14"/>
        </w:rPr>
      </w:pPr>
      <w:r>
        <w:rPr>
          <w:color w:val="262526"/>
          <w:sz w:val="14"/>
        </w:rPr>
        <w:t>For</w:t>
      </w:r>
      <w:r>
        <w:rPr>
          <w:color w:val="262526"/>
          <w:spacing w:val="-21"/>
          <w:sz w:val="14"/>
        </w:rPr>
        <w:t> </w:t>
      </w:r>
      <w:r>
        <w:rPr>
          <w:color w:val="262526"/>
          <w:sz w:val="14"/>
        </w:rPr>
        <w:t>more</w:t>
      </w:r>
      <w:r>
        <w:rPr>
          <w:color w:val="262526"/>
          <w:spacing w:val="-20"/>
          <w:sz w:val="14"/>
        </w:rPr>
        <w:t> </w:t>
      </w:r>
      <w:r>
        <w:rPr>
          <w:color w:val="262526"/>
          <w:sz w:val="14"/>
        </w:rPr>
        <w:t>information,</w:t>
      </w:r>
      <w:r>
        <w:rPr>
          <w:color w:val="262526"/>
          <w:spacing w:val="-20"/>
          <w:sz w:val="14"/>
        </w:rPr>
        <w:t> </w:t>
      </w:r>
      <w:r>
        <w:rPr>
          <w:color w:val="262526"/>
          <w:sz w:val="14"/>
        </w:rPr>
        <w:t>see:</w:t>
      </w:r>
      <w:r>
        <w:rPr>
          <w:color w:val="0000FF"/>
          <w:spacing w:val="-21"/>
          <w:sz w:val="14"/>
        </w:rPr>
        <w:t> </w:t>
      </w:r>
      <w:hyperlink r:id="rId11">
        <w:r>
          <w:rPr>
            <w:color w:val="0000FF"/>
            <w:sz w:val="14"/>
            <w:u w:val="single" w:color="0000FF"/>
          </w:rPr>
          <w:t>https://www.aemc.gov.au/markets-reviews-advice/review-of-the-system-black-event-in-south-austral</w:t>
        </w:r>
        <w:r>
          <w:rPr>
            <w:color w:val="0000FF"/>
            <w:sz w:val="14"/>
          </w:rPr>
          <w:t>i</w:t>
        </w:r>
      </w:hyperlink>
      <w:r>
        <w:rPr>
          <w:color w:val="262526"/>
          <w:sz w:val="14"/>
        </w:rPr>
        <w:t>. For more information, see section 1.6 and appendix</w:t>
      </w:r>
      <w:r>
        <w:rPr>
          <w:color w:val="262526"/>
          <w:spacing w:val="-4"/>
          <w:sz w:val="14"/>
        </w:rPr>
        <w:t> </w:t>
      </w:r>
      <w:r>
        <w:rPr>
          <w:color w:val="262526"/>
          <w:sz w:val="14"/>
        </w:rPr>
        <w:t>B.</w:t>
      </w:r>
    </w:p>
    <w:p>
      <w:pPr>
        <w:pStyle w:val="ListParagraph"/>
        <w:numPr>
          <w:ilvl w:val="0"/>
          <w:numId w:val="2"/>
        </w:numPr>
        <w:tabs>
          <w:tab w:pos="3032" w:val="left" w:leader="none"/>
          <w:tab w:pos="3034" w:val="left" w:leader="none"/>
        </w:tabs>
        <w:spacing w:line="240" w:lineRule="auto" w:before="54" w:after="0"/>
        <w:ind w:left="3033" w:right="192" w:hanging="341"/>
        <w:jc w:val="left"/>
        <w:rPr>
          <w:sz w:val="14"/>
        </w:rPr>
      </w:pPr>
      <w:r>
        <w:rPr>
          <w:color w:val="262526"/>
          <w:sz w:val="14"/>
        </w:rPr>
        <w:t>On</w:t>
      </w:r>
      <w:r>
        <w:rPr>
          <w:color w:val="262526"/>
          <w:spacing w:val="-3"/>
          <w:sz w:val="14"/>
        </w:rPr>
        <w:t> </w:t>
      </w:r>
      <w:r>
        <w:rPr>
          <w:color w:val="262526"/>
          <w:sz w:val="14"/>
        </w:rPr>
        <w:t>29</w:t>
      </w:r>
      <w:r>
        <w:rPr>
          <w:color w:val="262526"/>
          <w:spacing w:val="-2"/>
          <w:sz w:val="14"/>
        </w:rPr>
        <w:t> </w:t>
      </w:r>
      <w:r>
        <w:rPr>
          <w:color w:val="262526"/>
          <w:sz w:val="14"/>
        </w:rPr>
        <w:t>May</w:t>
      </w:r>
      <w:r>
        <w:rPr>
          <w:color w:val="262526"/>
          <w:spacing w:val="-2"/>
          <w:sz w:val="14"/>
        </w:rPr>
        <w:t> </w:t>
      </w:r>
      <w:r>
        <w:rPr>
          <w:color w:val="262526"/>
          <w:sz w:val="14"/>
        </w:rPr>
        <w:t>2020,</w:t>
      </w:r>
      <w:r>
        <w:rPr>
          <w:color w:val="262526"/>
          <w:spacing w:val="-2"/>
          <w:sz w:val="14"/>
        </w:rPr>
        <w:t> </w:t>
      </w:r>
      <w:r>
        <w:rPr>
          <w:color w:val="262526"/>
          <w:sz w:val="14"/>
        </w:rPr>
        <w:t>the</w:t>
      </w:r>
      <w:r>
        <w:rPr>
          <w:color w:val="262526"/>
          <w:spacing w:val="-3"/>
          <w:sz w:val="14"/>
        </w:rPr>
        <w:t> </w:t>
      </w:r>
      <w:r>
        <w:rPr>
          <w:color w:val="262526"/>
          <w:sz w:val="14"/>
        </w:rPr>
        <w:t>Prime</w:t>
      </w:r>
      <w:r>
        <w:rPr>
          <w:color w:val="262526"/>
          <w:spacing w:val="-2"/>
          <w:sz w:val="14"/>
        </w:rPr>
        <w:t> </w:t>
      </w:r>
      <w:r>
        <w:rPr>
          <w:color w:val="262526"/>
          <w:sz w:val="14"/>
        </w:rPr>
        <w:t>Minister</w:t>
      </w:r>
      <w:r>
        <w:rPr>
          <w:color w:val="262526"/>
          <w:spacing w:val="-3"/>
          <w:sz w:val="14"/>
        </w:rPr>
        <w:t> </w:t>
      </w:r>
      <w:r>
        <w:rPr>
          <w:color w:val="262526"/>
          <w:sz w:val="14"/>
        </w:rPr>
        <w:t>announced</w:t>
      </w:r>
      <w:r>
        <w:rPr>
          <w:color w:val="262526"/>
          <w:spacing w:val="-2"/>
          <w:sz w:val="14"/>
        </w:rPr>
        <w:t> </w:t>
      </w:r>
      <w:r>
        <w:rPr>
          <w:color w:val="262526"/>
          <w:sz w:val="14"/>
        </w:rPr>
        <w:t>the</w:t>
      </w:r>
      <w:r>
        <w:rPr>
          <w:color w:val="262526"/>
          <w:spacing w:val="-3"/>
          <w:sz w:val="14"/>
        </w:rPr>
        <w:t> </w:t>
      </w:r>
      <w:r>
        <w:rPr>
          <w:color w:val="262526"/>
          <w:sz w:val="14"/>
        </w:rPr>
        <w:t>establishment</w:t>
      </w:r>
      <w:r>
        <w:rPr>
          <w:color w:val="262526"/>
          <w:spacing w:val="-3"/>
          <w:sz w:val="14"/>
        </w:rPr>
        <w:t> </w:t>
      </w:r>
      <w:r>
        <w:rPr>
          <w:color w:val="262526"/>
          <w:sz w:val="14"/>
        </w:rPr>
        <w:t>of</w:t>
      </w:r>
      <w:r>
        <w:rPr>
          <w:color w:val="262526"/>
          <w:spacing w:val="-2"/>
          <w:sz w:val="14"/>
        </w:rPr>
        <w:t> </w:t>
      </w:r>
      <w:r>
        <w:rPr>
          <w:color w:val="262526"/>
          <w:sz w:val="14"/>
        </w:rPr>
        <w:t>the</w:t>
      </w:r>
      <w:r>
        <w:rPr>
          <w:color w:val="262526"/>
          <w:spacing w:val="-3"/>
          <w:sz w:val="14"/>
        </w:rPr>
        <w:t> </w:t>
      </w:r>
      <w:r>
        <w:rPr>
          <w:color w:val="262526"/>
          <w:sz w:val="14"/>
        </w:rPr>
        <w:t>National</w:t>
      </w:r>
      <w:r>
        <w:rPr>
          <w:color w:val="262526"/>
          <w:spacing w:val="-2"/>
          <w:sz w:val="14"/>
        </w:rPr>
        <w:t> </w:t>
      </w:r>
      <w:r>
        <w:rPr>
          <w:color w:val="262526"/>
          <w:sz w:val="14"/>
        </w:rPr>
        <w:t>Federation</w:t>
      </w:r>
      <w:r>
        <w:rPr>
          <w:color w:val="262526"/>
          <w:spacing w:val="-3"/>
          <w:sz w:val="14"/>
        </w:rPr>
        <w:t> </w:t>
      </w:r>
      <w:r>
        <w:rPr>
          <w:color w:val="262526"/>
          <w:sz w:val="14"/>
        </w:rPr>
        <w:t>Reform</w:t>
      </w:r>
      <w:r>
        <w:rPr>
          <w:color w:val="262526"/>
          <w:spacing w:val="-2"/>
          <w:sz w:val="14"/>
        </w:rPr>
        <w:t> </w:t>
      </w:r>
      <w:r>
        <w:rPr>
          <w:color w:val="262526"/>
          <w:sz w:val="14"/>
        </w:rPr>
        <w:t>Council</w:t>
      </w:r>
      <w:r>
        <w:rPr>
          <w:color w:val="262526"/>
          <w:spacing w:val="-2"/>
          <w:sz w:val="14"/>
        </w:rPr>
        <w:t> </w:t>
      </w:r>
      <w:r>
        <w:rPr>
          <w:color w:val="262526"/>
          <w:sz w:val="14"/>
        </w:rPr>
        <w:t>and</w:t>
      </w:r>
      <w:r>
        <w:rPr>
          <w:color w:val="262526"/>
          <w:spacing w:val="-2"/>
          <w:sz w:val="14"/>
        </w:rPr>
        <w:t> </w:t>
      </w:r>
      <w:r>
        <w:rPr>
          <w:color w:val="262526"/>
          <w:sz w:val="14"/>
        </w:rPr>
        <w:t>the</w:t>
      </w:r>
      <w:r>
        <w:rPr>
          <w:color w:val="262526"/>
          <w:spacing w:val="-3"/>
          <w:sz w:val="14"/>
        </w:rPr>
        <w:t> </w:t>
      </w:r>
      <w:r>
        <w:rPr>
          <w:color w:val="262526"/>
          <w:sz w:val="14"/>
        </w:rPr>
        <w:t>disbanding of the COAG. New arrangements for the former COAG Energy Council will be finalised following the National Cabinet Review of COAG Councils and Ministerial Forums. The Prime Minister has advised that, while this change is being implemented, former Councils may continue meeting as a Ministerial Forum to progress critical and/or well-developed</w:t>
      </w:r>
      <w:r>
        <w:rPr>
          <w:color w:val="262526"/>
          <w:spacing w:val="-14"/>
          <w:sz w:val="14"/>
        </w:rPr>
        <w:t> </w:t>
      </w:r>
      <w:r>
        <w:rPr>
          <w:color w:val="262526"/>
          <w:sz w:val="14"/>
        </w:rPr>
        <w:t>work.</w:t>
      </w:r>
    </w:p>
    <w:p>
      <w:pPr>
        <w:pStyle w:val="ListParagraph"/>
        <w:numPr>
          <w:ilvl w:val="0"/>
          <w:numId w:val="2"/>
        </w:numPr>
        <w:tabs>
          <w:tab w:pos="3032" w:val="left" w:leader="none"/>
          <w:tab w:pos="3034" w:val="left" w:leader="none"/>
        </w:tabs>
        <w:spacing w:line="240" w:lineRule="auto" w:before="53" w:after="0"/>
        <w:ind w:left="3033" w:right="0" w:hanging="342"/>
        <w:jc w:val="left"/>
        <w:rPr>
          <w:sz w:val="14"/>
        </w:rPr>
      </w:pPr>
      <w:r>
        <w:rPr>
          <w:color w:val="262526"/>
          <w:sz w:val="14"/>
        </w:rPr>
        <w:t>COAG Energy Council, rule change request, p.</w:t>
      </w:r>
      <w:r>
        <w:rPr>
          <w:color w:val="262526"/>
          <w:spacing w:val="-5"/>
          <w:sz w:val="14"/>
        </w:rPr>
        <w:t> </w:t>
      </w:r>
      <w:r>
        <w:rPr>
          <w:color w:val="262526"/>
          <w:sz w:val="14"/>
        </w:rPr>
        <w:t>3.</w:t>
      </w:r>
    </w:p>
    <w:p>
      <w:pPr>
        <w:pStyle w:val="ListParagraph"/>
        <w:numPr>
          <w:ilvl w:val="0"/>
          <w:numId w:val="2"/>
        </w:numPr>
        <w:tabs>
          <w:tab w:pos="3032" w:val="left" w:leader="none"/>
          <w:tab w:pos="3034" w:val="left" w:leader="none"/>
        </w:tabs>
        <w:spacing w:line="240" w:lineRule="auto" w:before="56" w:after="0"/>
        <w:ind w:left="3033" w:right="0" w:hanging="342"/>
        <w:jc w:val="left"/>
        <w:rPr>
          <w:sz w:val="14"/>
        </w:rPr>
      </w:pPr>
      <w:r>
        <w:rPr>
          <w:color w:val="262526"/>
          <w:sz w:val="14"/>
        </w:rPr>
        <w:t>Ibid,</w:t>
      </w:r>
      <w:r>
        <w:rPr>
          <w:color w:val="262526"/>
          <w:spacing w:val="-1"/>
          <w:sz w:val="14"/>
        </w:rPr>
        <w:t> </w:t>
      </w:r>
      <w:r>
        <w:rPr>
          <w:color w:val="262526"/>
          <w:sz w:val="14"/>
        </w:rPr>
        <w:t>p.1.</w:t>
      </w:r>
    </w:p>
    <w:p>
      <w:pPr>
        <w:spacing w:after="0" w:line="240" w:lineRule="auto"/>
        <w:jc w:val="left"/>
        <w:rPr>
          <w:sz w:val="14"/>
        </w:rPr>
        <w:sectPr>
          <w:headerReference w:type="default" r:id="rId9"/>
          <w:footerReference w:type="default" r:id="rId10"/>
          <w:pgSz w:w="11910" w:h="16840"/>
          <w:pgMar w:header="808" w:footer="767" w:top="1460" w:bottom="960" w:left="0" w:right="74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ListParagraph"/>
        <w:numPr>
          <w:ilvl w:val="1"/>
          <w:numId w:val="1"/>
        </w:numPr>
        <w:tabs>
          <w:tab w:pos="3033" w:val="left" w:leader="none"/>
          <w:tab w:pos="3034" w:val="left" w:leader="none"/>
        </w:tabs>
        <w:spacing w:line="278" w:lineRule="auto" w:before="107" w:after="0"/>
        <w:ind w:left="3033" w:right="189" w:hanging="341"/>
        <w:jc w:val="left"/>
        <w:rPr>
          <w:sz w:val="20"/>
        </w:rPr>
      </w:pPr>
      <w:r>
        <w:rPr>
          <w:color w:val="262526"/>
          <w:sz w:val="20"/>
        </w:rPr>
        <w:t>to enhance the breadth of the sources of risk considered in the GPSRR to include a wider range of sources of risk beyond frequency</w:t>
      </w:r>
    </w:p>
    <w:p>
      <w:pPr>
        <w:pStyle w:val="ListParagraph"/>
        <w:numPr>
          <w:ilvl w:val="1"/>
          <w:numId w:val="1"/>
        </w:numPr>
        <w:tabs>
          <w:tab w:pos="3033" w:val="left" w:leader="none"/>
          <w:tab w:pos="3034" w:val="left" w:leader="none"/>
        </w:tabs>
        <w:spacing w:line="240" w:lineRule="auto" w:before="56" w:after="0"/>
        <w:ind w:left="3033" w:right="0" w:hanging="341"/>
        <w:jc w:val="left"/>
        <w:rPr>
          <w:sz w:val="20"/>
        </w:rPr>
      </w:pPr>
      <w:r>
        <w:rPr>
          <w:color w:val="262526"/>
          <w:sz w:val="20"/>
        </w:rPr>
        <w:t>to deepen the review to formally include</w:t>
      </w:r>
      <w:r>
        <w:rPr>
          <w:color w:val="262526"/>
          <w:spacing w:val="2"/>
          <w:sz w:val="20"/>
        </w:rPr>
        <w:t> </w:t>
      </w:r>
      <w:r>
        <w:rPr>
          <w:color w:val="262526"/>
          <w:sz w:val="20"/>
        </w:rPr>
        <w:t>DNSPs</w:t>
      </w:r>
    </w:p>
    <w:p>
      <w:pPr>
        <w:pStyle w:val="ListParagraph"/>
        <w:numPr>
          <w:ilvl w:val="1"/>
          <w:numId w:val="1"/>
        </w:numPr>
        <w:tabs>
          <w:tab w:pos="3033" w:val="left" w:leader="none"/>
          <w:tab w:pos="3034" w:val="left" w:leader="none"/>
        </w:tabs>
        <w:spacing w:line="240" w:lineRule="auto" w:before="96" w:after="0"/>
        <w:ind w:left="3033" w:right="0" w:hanging="341"/>
        <w:jc w:val="left"/>
        <w:rPr>
          <w:sz w:val="20"/>
        </w:rPr>
      </w:pPr>
      <w:r>
        <w:rPr>
          <w:color w:val="262526"/>
          <w:sz w:val="20"/>
        </w:rPr>
        <w:t>to increase the speed and frequency of the review process,</w:t>
      </w:r>
      <w:r>
        <w:rPr>
          <w:color w:val="262526"/>
          <w:spacing w:val="4"/>
          <w:sz w:val="20"/>
        </w:rPr>
        <w:t> </w:t>
      </w:r>
      <w:r>
        <w:rPr>
          <w:color w:val="262526"/>
          <w:sz w:val="20"/>
        </w:rPr>
        <w:t>and</w:t>
      </w:r>
    </w:p>
    <w:p>
      <w:pPr>
        <w:pStyle w:val="ListParagraph"/>
        <w:numPr>
          <w:ilvl w:val="1"/>
          <w:numId w:val="1"/>
        </w:numPr>
        <w:tabs>
          <w:tab w:pos="3033" w:val="left" w:leader="none"/>
          <w:tab w:pos="3034" w:val="left" w:leader="none"/>
        </w:tabs>
        <w:spacing w:line="240" w:lineRule="auto" w:before="95" w:after="0"/>
        <w:ind w:left="3033" w:right="0" w:hanging="341"/>
        <w:jc w:val="left"/>
        <w:rPr>
          <w:sz w:val="20"/>
        </w:rPr>
      </w:pPr>
      <w:r>
        <w:rPr>
          <w:color w:val="262526"/>
          <w:sz w:val="20"/>
        </w:rPr>
        <w:t>to integrate the review with other AEMO and NSP planning</w:t>
      </w:r>
      <w:r>
        <w:rPr>
          <w:color w:val="262526"/>
          <w:spacing w:val="9"/>
          <w:sz w:val="20"/>
        </w:rPr>
        <w:t> </w:t>
      </w:r>
      <w:r>
        <w:rPr>
          <w:color w:val="262526"/>
          <w:sz w:val="20"/>
        </w:rPr>
        <w:t>processes.</w:t>
      </w:r>
    </w:p>
    <w:p>
      <w:pPr>
        <w:pStyle w:val="BodyText"/>
        <w:spacing w:before="9"/>
        <w:rPr>
          <w:sz w:val="12"/>
        </w:rPr>
      </w:pPr>
    </w:p>
    <w:p>
      <w:pPr>
        <w:pStyle w:val="Heading2"/>
        <w:spacing w:before="109"/>
        <w:ind w:firstLine="0"/>
      </w:pPr>
      <w:r>
        <w:rPr>
          <w:color w:val="00ACEC"/>
        </w:rPr>
        <w:t>The draft rule</w:t>
      </w:r>
    </w:p>
    <w:p>
      <w:pPr>
        <w:pStyle w:val="ListParagraph"/>
        <w:numPr>
          <w:ilvl w:val="0"/>
          <w:numId w:val="1"/>
        </w:numPr>
        <w:tabs>
          <w:tab w:pos="2692" w:val="left" w:leader="none"/>
          <w:tab w:pos="2693" w:val="left" w:leader="none"/>
        </w:tabs>
        <w:spacing w:line="278" w:lineRule="auto" w:before="79" w:after="0"/>
        <w:ind w:left="2692" w:right="108" w:hanging="1560"/>
        <w:jc w:val="left"/>
        <w:rPr>
          <w:sz w:val="20"/>
        </w:rPr>
      </w:pPr>
      <w:r>
        <w:rPr>
          <w:color w:val="262526"/>
          <w:sz w:val="20"/>
        </w:rPr>
        <w:t>The Commission has determined to make a more preferable draft rule that largely reflects the rule proposed by the COAG Energy Council. The draft rule seeks to implement a broader review – called the ‘general power system risk review’ - to replace the current</w:t>
      </w:r>
      <w:r>
        <w:rPr>
          <w:color w:val="262526"/>
          <w:spacing w:val="6"/>
          <w:sz w:val="20"/>
        </w:rPr>
        <w:t> </w:t>
      </w:r>
      <w:r>
        <w:rPr>
          <w:color w:val="262526"/>
          <w:sz w:val="20"/>
        </w:rPr>
        <w:t>PSFRR.</w:t>
      </w:r>
    </w:p>
    <w:p>
      <w:pPr>
        <w:pStyle w:val="ListParagraph"/>
        <w:numPr>
          <w:ilvl w:val="0"/>
          <w:numId w:val="1"/>
        </w:numPr>
        <w:tabs>
          <w:tab w:pos="2692" w:val="left" w:leader="none"/>
          <w:tab w:pos="2693" w:val="left" w:leader="none"/>
        </w:tabs>
        <w:spacing w:line="278" w:lineRule="auto" w:before="113" w:after="0"/>
        <w:ind w:left="2692" w:right="459" w:hanging="1560"/>
        <w:jc w:val="left"/>
        <w:rPr>
          <w:sz w:val="20"/>
        </w:rPr>
      </w:pPr>
      <w:r>
        <w:rPr>
          <w:color w:val="262526"/>
          <w:sz w:val="20"/>
        </w:rPr>
        <w:t>In relation to the scope of the GPSRR, the draft rule would require AEMO to consider on a prioritised basis:</w:t>
      </w:r>
    </w:p>
    <w:p>
      <w:pPr>
        <w:pStyle w:val="ListParagraph"/>
        <w:numPr>
          <w:ilvl w:val="1"/>
          <w:numId w:val="1"/>
        </w:numPr>
        <w:tabs>
          <w:tab w:pos="3033" w:val="left" w:leader="none"/>
          <w:tab w:pos="3034" w:val="left" w:leader="none"/>
        </w:tabs>
        <w:spacing w:line="278" w:lineRule="auto" w:before="114" w:after="0"/>
        <w:ind w:left="3033" w:right="278" w:hanging="341"/>
        <w:jc w:val="left"/>
        <w:rPr>
          <w:sz w:val="20"/>
        </w:rPr>
      </w:pPr>
      <w:r>
        <w:rPr>
          <w:color w:val="262526"/>
          <w:sz w:val="20"/>
        </w:rPr>
        <w:t>non-credible contingency events, the occurrence of which AEMO expects would be likely to involve uncontrolled increases or decreases in </w:t>
      </w:r>
      <w:r>
        <w:rPr>
          <w:color w:val="262526"/>
          <w:spacing w:val="-3"/>
          <w:sz w:val="20"/>
        </w:rPr>
        <w:t>frequency, </w:t>
      </w:r>
      <w:r>
        <w:rPr>
          <w:color w:val="262526"/>
          <w:sz w:val="20"/>
        </w:rPr>
        <w:t>alone or in combination, leading to cascading outages, or major supply disruptions,</w:t>
      </w:r>
      <w:r>
        <w:rPr>
          <w:color w:val="262526"/>
          <w:spacing w:val="6"/>
          <w:sz w:val="20"/>
        </w:rPr>
        <w:t> </w:t>
      </w:r>
      <w:r>
        <w:rPr>
          <w:color w:val="262526"/>
          <w:sz w:val="20"/>
        </w:rPr>
        <w:t>and</w:t>
      </w:r>
    </w:p>
    <w:p>
      <w:pPr>
        <w:pStyle w:val="ListParagraph"/>
        <w:numPr>
          <w:ilvl w:val="1"/>
          <w:numId w:val="1"/>
        </w:numPr>
        <w:tabs>
          <w:tab w:pos="3033" w:val="left" w:leader="none"/>
          <w:tab w:pos="3034" w:val="left" w:leader="none"/>
        </w:tabs>
        <w:spacing w:line="278" w:lineRule="auto" w:before="56" w:after="0"/>
        <w:ind w:left="3033" w:right="275" w:hanging="341"/>
        <w:jc w:val="left"/>
        <w:rPr>
          <w:sz w:val="12"/>
        </w:rPr>
      </w:pPr>
      <w:r>
        <w:rPr>
          <w:color w:val="262526"/>
          <w:sz w:val="20"/>
        </w:rPr>
        <w:t>other events and conditions (including contingency events) the occurrence of which AEMO expects, alone or in combination, would be likely to lead to cascading outages, or major supply disruptions.</w:t>
      </w:r>
      <w:r>
        <w:rPr>
          <w:color w:val="262526"/>
          <w:position w:val="8"/>
          <w:sz w:val="12"/>
        </w:rPr>
        <w:t>5</w:t>
      </w:r>
    </w:p>
    <w:p>
      <w:pPr>
        <w:pStyle w:val="ListParagraph"/>
        <w:numPr>
          <w:ilvl w:val="0"/>
          <w:numId w:val="1"/>
        </w:numPr>
        <w:tabs>
          <w:tab w:pos="2692" w:val="left" w:leader="none"/>
          <w:tab w:pos="2693" w:val="left" w:leader="none"/>
        </w:tabs>
        <w:spacing w:line="278" w:lineRule="auto" w:before="57" w:after="0"/>
        <w:ind w:left="2692" w:right="435" w:hanging="1560"/>
        <w:jc w:val="left"/>
        <w:rPr>
          <w:sz w:val="20"/>
        </w:rPr>
      </w:pPr>
      <w:r>
        <w:rPr>
          <w:color w:val="262526"/>
          <w:sz w:val="20"/>
        </w:rPr>
        <w:t>In relation to the risks identified, the draft rule would require AEMO to review current arrangements and identify options for future management of these events and</w:t>
      </w:r>
      <w:r>
        <w:rPr>
          <w:color w:val="262526"/>
          <w:spacing w:val="36"/>
          <w:sz w:val="20"/>
        </w:rPr>
        <w:t> </w:t>
      </w:r>
      <w:r>
        <w:rPr>
          <w:color w:val="262526"/>
          <w:sz w:val="20"/>
        </w:rPr>
        <w:t>conditions.</w:t>
      </w:r>
    </w:p>
    <w:p>
      <w:pPr>
        <w:pStyle w:val="ListParagraph"/>
        <w:numPr>
          <w:ilvl w:val="0"/>
          <w:numId w:val="1"/>
        </w:numPr>
        <w:tabs>
          <w:tab w:pos="2692" w:val="left" w:leader="none"/>
          <w:tab w:pos="2693" w:val="left" w:leader="none"/>
        </w:tabs>
        <w:spacing w:line="240" w:lineRule="auto" w:before="113" w:after="0"/>
        <w:ind w:left="2693" w:right="0" w:hanging="1560"/>
        <w:jc w:val="left"/>
        <w:rPr>
          <w:sz w:val="20"/>
        </w:rPr>
      </w:pPr>
      <w:r>
        <w:rPr>
          <w:color w:val="262526"/>
          <w:sz w:val="20"/>
        </w:rPr>
        <w:t>In relation to the process for the GPSRR, the draft rule requires AEMO</w:t>
      </w:r>
      <w:r>
        <w:rPr>
          <w:color w:val="262526"/>
          <w:spacing w:val="5"/>
          <w:sz w:val="20"/>
        </w:rPr>
        <w:t> </w:t>
      </w:r>
      <w:r>
        <w:rPr>
          <w:color w:val="262526"/>
          <w:sz w:val="20"/>
        </w:rPr>
        <w:t>to:</w:t>
      </w:r>
    </w:p>
    <w:p>
      <w:pPr>
        <w:pStyle w:val="ListParagraph"/>
        <w:numPr>
          <w:ilvl w:val="1"/>
          <w:numId w:val="1"/>
        </w:numPr>
        <w:tabs>
          <w:tab w:pos="3033" w:val="left" w:leader="none"/>
          <w:tab w:pos="3034" w:val="left" w:leader="none"/>
        </w:tabs>
        <w:spacing w:line="240" w:lineRule="auto" w:before="152" w:after="0"/>
        <w:ind w:left="3033" w:right="0" w:hanging="341"/>
        <w:jc w:val="left"/>
        <w:rPr>
          <w:sz w:val="20"/>
        </w:rPr>
      </w:pPr>
      <w:r>
        <w:rPr>
          <w:color w:val="262526"/>
          <w:sz w:val="20"/>
        </w:rPr>
        <w:t>undertake the GPSRR no less than</w:t>
      </w:r>
      <w:r>
        <w:rPr>
          <w:color w:val="262526"/>
          <w:spacing w:val="2"/>
          <w:sz w:val="20"/>
        </w:rPr>
        <w:t> </w:t>
      </w:r>
      <w:r>
        <w:rPr>
          <w:color w:val="262526"/>
          <w:sz w:val="20"/>
        </w:rPr>
        <w:t>annually</w:t>
      </w:r>
    </w:p>
    <w:p>
      <w:pPr>
        <w:pStyle w:val="ListParagraph"/>
        <w:numPr>
          <w:ilvl w:val="1"/>
          <w:numId w:val="1"/>
        </w:numPr>
        <w:tabs>
          <w:tab w:pos="3033" w:val="left" w:leader="none"/>
          <w:tab w:pos="3034" w:val="left" w:leader="none"/>
        </w:tabs>
        <w:spacing w:line="278" w:lineRule="auto" w:before="96" w:after="0"/>
        <w:ind w:left="3033" w:right="416" w:hanging="341"/>
        <w:jc w:val="left"/>
        <w:rPr>
          <w:sz w:val="20"/>
        </w:rPr>
      </w:pPr>
      <w:r>
        <w:rPr>
          <w:color w:val="262526"/>
          <w:sz w:val="20"/>
        </w:rPr>
        <w:t>consult with, and take into account the views </w:t>
      </w:r>
      <w:r>
        <w:rPr>
          <w:color w:val="262526"/>
          <w:spacing w:val="-5"/>
          <w:sz w:val="20"/>
        </w:rPr>
        <w:t>of, </w:t>
      </w:r>
      <w:r>
        <w:rPr>
          <w:color w:val="262526"/>
          <w:sz w:val="20"/>
        </w:rPr>
        <w:t>relevant NSPs (both transmission and distribution) in the conduct of the GPSRR,</w:t>
      </w:r>
      <w:r>
        <w:rPr>
          <w:color w:val="262526"/>
          <w:spacing w:val="2"/>
          <w:sz w:val="20"/>
        </w:rPr>
        <w:t> </w:t>
      </w:r>
      <w:r>
        <w:rPr>
          <w:color w:val="262526"/>
          <w:sz w:val="20"/>
        </w:rPr>
        <w:t>and</w:t>
      </w:r>
    </w:p>
    <w:p>
      <w:pPr>
        <w:pStyle w:val="ListParagraph"/>
        <w:numPr>
          <w:ilvl w:val="1"/>
          <w:numId w:val="1"/>
        </w:numPr>
        <w:tabs>
          <w:tab w:pos="3033" w:val="left" w:leader="none"/>
          <w:tab w:pos="3034" w:val="left" w:leader="none"/>
        </w:tabs>
        <w:spacing w:line="278" w:lineRule="auto" w:before="56" w:after="0"/>
        <w:ind w:left="3033" w:right="138" w:hanging="341"/>
        <w:jc w:val="left"/>
        <w:rPr>
          <w:sz w:val="20"/>
        </w:rPr>
      </w:pPr>
      <w:r>
        <w:rPr>
          <w:color w:val="262526"/>
          <w:sz w:val="20"/>
        </w:rPr>
        <w:t>publish and consult on an approach paper at the commencement of the review specifying priorities in the events and conditions to be assessed, the approach and methodologies in assessing each risk, information inputs and assumptions used, and approach to  interacting with NSPs.</w:t>
      </w:r>
    </w:p>
    <w:p>
      <w:pPr>
        <w:pStyle w:val="ListParagraph"/>
        <w:numPr>
          <w:ilvl w:val="0"/>
          <w:numId w:val="1"/>
        </w:numPr>
        <w:tabs>
          <w:tab w:pos="2692" w:val="left" w:leader="none"/>
          <w:tab w:pos="2693" w:val="left" w:leader="none"/>
        </w:tabs>
        <w:spacing w:line="278" w:lineRule="auto" w:before="57" w:after="0"/>
        <w:ind w:left="2692" w:right="262" w:hanging="1560"/>
        <w:jc w:val="left"/>
        <w:rPr>
          <w:sz w:val="20"/>
        </w:rPr>
      </w:pPr>
      <w:r>
        <w:rPr>
          <w:color w:val="262526"/>
          <w:sz w:val="20"/>
        </w:rPr>
        <w:t>The draft rule also requires NSPs to co-operate with AEMO in the conduct of the GPSRR and provide to AEMO all information and assistance reasonably requested by</w:t>
      </w:r>
      <w:r>
        <w:rPr>
          <w:color w:val="262526"/>
          <w:spacing w:val="10"/>
          <w:sz w:val="20"/>
        </w:rPr>
        <w:t> </w:t>
      </w:r>
      <w:r>
        <w:rPr>
          <w:color w:val="262526"/>
          <w:sz w:val="20"/>
        </w:rPr>
        <w:t>AEMO.</w:t>
      </w:r>
    </w:p>
    <w:p>
      <w:pPr>
        <w:pStyle w:val="ListParagraph"/>
        <w:numPr>
          <w:ilvl w:val="0"/>
          <w:numId w:val="1"/>
        </w:numPr>
        <w:tabs>
          <w:tab w:pos="2692" w:val="left" w:leader="none"/>
          <w:tab w:pos="2693" w:val="left" w:leader="none"/>
        </w:tabs>
        <w:spacing w:line="278" w:lineRule="auto" w:before="113" w:after="0"/>
        <w:ind w:left="2692" w:right="512" w:hanging="1560"/>
        <w:jc w:val="left"/>
        <w:rPr>
          <w:sz w:val="20"/>
        </w:rPr>
      </w:pPr>
      <w:r>
        <w:rPr>
          <w:color w:val="262526"/>
          <w:sz w:val="20"/>
        </w:rPr>
        <w:t>In relation to the coordination and integration of planning processes, the draft rule would require:</w:t>
      </w:r>
    </w:p>
    <w:p>
      <w:pPr>
        <w:pStyle w:val="ListParagraph"/>
        <w:numPr>
          <w:ilvl w:val="1"/>
          <w:numId w:val="1"/>
        </w:numPr>
        <w:tabs>
          <w:tab w:pos="3033" w:val="left" w:leader="none"/>
          <w:tab w:pos="3034" w:val="left" w:leader="none"/>
        </w:tabs>
        <w:spacing w:line="240" w:lineRule="auto" w:before="113" w:after="0"/>
        <w:ind w:left="3033" w:right="0" w:hanging="341"/>
        <w:jc w:val="left"/>
        <w:rPr>
          <w:sz w:val="20"/>
        </w:rPr>
      </w:pPr>
      <w:r>
        <w:rPr>
          <w:color w:val="262526"/>
          <w:sz w:val="20"/>
        </w:rPr>
        <w:t>NSPs to:</w:t>
      </w:r>
    </w:p>
    <w:p>
      <w:pPr>
        <w:pStyle w:val="ListParagraph"/>
        <w:numPr>
          <w:ilvl w:val="2"/>
          <w:numId w:val="1"/>
        </w:numPr>
        <w:tabs>
          <w:tab w:pos="3373" w:val="left" w:leader="none"/>
          <w:tab w:pos="3374" w:val="left" w:leader="none"/>
        </w:tabs>
        <w:spacing w:line="278" w:lineRule="auto" w:before="96" w:after="0"/>
        <w:ind w:left="3373" w:right="688" w:hanging="341"/>
        <w:jc w:val="left"/>
        <w:rPr>
          <w:sz w:val="20"/>
        </w:rPr>
      </w:pPr>
      <w:r>
        <w:rPr>
          <w:color w:val="262526"/>
          <w:sz w:val="20"/>
        </w:rPr>
        <w:t>take into account the outcomes from the recent GPSRR in their annual planning reviews</w:t>
      </w:r>
    </w:p>
    <w:p>
      <w:pPr>
        <w:pStyle w:val="BodyText"/>
      </w:pPr>
    </w:p>
    <w:p>
      <w:pPr>
        <w:pStyle w:val="BodyText"/>
        <w:spacing w:before="4"/>
        <w:rPr>
          <w:sz w:val="19"/>
        </w:rPr>
      </w:pPr>
      <w:r>
        <w:rPr/>
        <w:pict>
          <v:shape style="position:absolute;margin-left:134.645996pt;margin-top:14.144719pt;width:49.65pt;height:.1pt;mso-position-horizontal-relative:page;mso-position-vertical-relative:paragraph;z-index:-15726592;mso-wrap-distance-left:0;mso-wrap-distance-right:0" coordorigin="2693,283" coordsize="993,0" path="m2693,283l3685,283e" filled="false" stroked="true" strokeweight="1pt" strokecolor="#262526">
            <v:path arrowok="t"/>
            <v:stroke dashstyle="solid"/>
            <w10:wrap type="topAndBottom"/>
          </v:shape>
        </w:pict>
      </w:r>
    </w:p>
    <w:p>
      <w:pPr>
        <w:tabs>
          <w:tab w:pos="3032" w:val="left" w:leader="none"/>
        </w:tabs>
        <w:spacing w:before="98"/>
        <w:ind w:left="3033" w:right="171" w:hanging="341"/>
        <w:jc w:val="left"/>
        <w:rPr>
          <w:sz w:val="14"/>
        </w:rPr>
      </w:pPr>
      <w:r>
        <w:rPr>
          <w:color w:val="262526"/>
          <w:sz w:val="14"/>
        </w:rPr>
        <w:t>5</w:t>
        <w:tab/>
        <w:t>As part of this requirement, AEMO must consider risks associated with any or a combination of: increases or decreases in voltage, levels of inertia, the availability of system strength services, the operation and interaction of emergency frequency control</w:t>
      </w:r>
      <w:r>
        <w:rPr>
          <w:color w:val="262526"/>
          <w:spacing w:val="-5"/>
          <w:sz w:val="14"/>
        </w:rPr>
        <w:t> </w:t>
      </w:r>
      <w:r>
        <w:rPr>
          <w:color w:val="262526"/>
          <w:sz w:val="14"/>
        </w:rPr>
        <w:t>schemes</w:t>
      </w:r>
      <w:r>
        <w:rPr>
          <w:color w:val="262526"/>
          <w:spacing w:val="-4"/>
          <w:sz w:val="14"/>
        </w:rPr>
        <w:t> </w:t>
      </w:r>
      <w:r>
        <w:rPr>
          <w:color w:val="262526"/>
          <w:sz w:val="14"/>
        </w:rPr>
        <w:t>and</w:t>
      </w:r>
      <w:r>
        <w:rPr>
          <w:color w:val="262526"/>
          <w:spacing w:val="-4"/>
          <w:sz w:val="14"/>
        </w:rPr>
        <w:t> </w:t>
      </w:r>
      <w:r>
        <w:rPr>
          <w:color w:val="262526"/>
          <w:sz w:val="14"/>
        </w:rPr>
        <w:t>emergency</w:t>
      </w:r>
      <w:r>
        <w:rPr>
          <w:color w:val="262526"/>
          <w:spacing w:val="-4"/>
          <w:sz w:val="14"/>
        </w:rPr>
        <w:t> </w:t>
      </w:r>
      <w:r>
        <w:rPr>
          <w:color w:val="262526"/>
          <w:sz w:val="14"/>
        </w:rPr>
        <w:t>controls,</w:t>
      </w:r>
      <w:r>
        <w:rPr>
          <w:color w:val="262526"/>
          <w:spacing w:val="-4"/>
          <w:sz w:val="14"/>
        </w:rPr>
        <w:t> </w:t>
      </w:r>
      <w:r>
        <w:rPr>
          <w:color w:val="262526"/>
          <w:sz w:val="14"/>
        </w:rPr>
        <w:t>and</w:t>
      </w:r>
      <w:r>
        <w:rPr>
          <w:color w:val="262526"/>
          <w:spacing w:val="-4"/>
          <w:sz w:val="14"/>
        </w:rPr>
        <w:t> </w:t>
      </w:r>
      <w:r>
        <w:rPr>
          <w:color w:val="262526"/>
          <w:sz w:val="14"/>
        </w:rPr>
        <w:t>any</w:t>
      </w:r>
      <w:r>
        <w:rPr>
          <w:color w:val="262526"/>
          <w:spacing w:val="-3"/>
          <w:sz w:val="14"/>
        </w:rPr>
        <w:t> </w:t>
      </w:r>
      <w:r>
        <w:rPr>
          <w:color w:val="262526"/>
          <w:sz w:val="14"/>
        </w:rPr>
        <w:t>other</w:t>
      </w:r>
      <w:r>
        <w:rPr>
          <w:color w:val="262526"/>
          <w:spacing w:val="-3"/>
          <w:sz w:val="14"/>
        </w:rPr>
        <w:t> </w:t>
      </w:r>
      <w:r>
        <w:rPr>
          <w:color w:val="262526"/>
          <w:sz w:val="14"/>
        </w:rPr>
        <w:t>events</w:t>
      </w:r>
      <w:r>
        <w:rPr>
          <w:color w:val="262526"/>
          <w:spacing w:val="-5"/>
          <w:sz w:val="14"/>
        </w:rPr>
        <w:t> </w:t>
      </w:r>
      <w:r>
        <w:rPr>
          <w:color w:val="262526"/>
          <w:sz w:val="14"/>
        </w:rPr>
        <w:t>and</w:t>
      </w:r>
      <w:r>
        <w:rPr>
          <w:color w:val="262526"/>
          <w:spacing w:val="-3"/>
          <w:sz w:val="14"/>
        </w:rPr>
        <w:t> </w:t>
      </w:r>
      <w:r>
        <w:rPr>
          <w:color w:val="262526"/>
          <w:sz w:val="14"/>
        </w:rPr>
        <w:t>conditions</w:t>
      </w:r>
      <w:r>
        <w:rPr>
          <w:color w:val="262526"/>
          <w:spacing w:val="-5"/>
          <w:sz w:val="14"/>
        </w:rPr>
        <w:t> </w:t>
      </w:r>
      <w:r>
        <w:rPr>
          <w:color w:val="262526"/>
          <w:sz w:val="14"/>
        </w:rPr>
        <w:t>AEMO</w:t>
      </w:r>
      <w:r>
        <w:rPr>
          <w:color w:val="262526"/>
          <w:spacing w:val="-3"/>
          <w:sz w:val="14"/>
        </w:rPr>
        <w:t> </w:t>
      </w:r>
      <w:r>
        <w:rPr>
          <w:color w:val="262526"/>
          <w:sz w:val="14"/>
        </w:rPr>
        <w:t>deems</w:t>
      </w:r>
      <w:r>
        <w:rPr>
          <w:color w:val="262526"/>
          <w:spacing w:val="-3"/>
          <w:sz w:val="14"/>
        </w:rPr>
        <w:t> </w:t>
      </w:r>
      <w:r>
        <w:rPr>
          <w:color w:val="262526"/>
          <w:sz w:val="14"/>
        </w:rPr>
        <w:t>necessary,</w:t>
      </w:r>
      <w:r>
        <w:rPr>
          <w:color w:val="262526"/>
          <w:spacing w:val="-4"/>
          <w:sz w:val="14"/>
        </w:rPr>
        <w:t> </w:t>
      </w:r>
      <w:r>
        <w:rPr>
          <w:color w:val="262526"/>
          <w:sz w:val="14"/>
        </w:rPr>
        <w:t>including</w:t>
      </w:r>
      <w:r>
        <w:rPr>
          <w:color w:val="262526"/>
          <w:spacing w:val="-3"/>
          <w:sz w:val="14"/>
        </w:rPr>
        <w:t> </w:t>
      </w:r>
      <w:r>
        <w:rPr>
          <w:color w:val="262526"/>
          <w:sz w:val="14"/>
        </w:rPr>
        <w:t>risks</w:t>
      </w:r>
      <w:r>
        <w:rPr>
          <w:color w:val="262526"/>
          <w:spacing w:val="-4"/>
          <w:sz w:val="14"/>
        </w:rPr>
        <w:t> </w:t>
      </w:r>
      <w:r>
        <w:rPr>
          <w:color w:val="262526"/>
          <w:sz w:val="14"/>
        </w:rPr>
        <w:t>arising</w:t>
      </w:r>
      <w:r>
        <w:rPr>
          <w:color w:val="262526"/>
          <w:spacing w:val="-4"/>
          <w:sz w:val="14"/>
        </w:rPr>
        <w:t> </w:t>
      </w:r>
      <w:r>
        <w:rPr>
          <w:color w:val="262526"/>
          <w:sz w:val="14"/>
        </w:rPr>
        <w:t>on distribution network.</w:t>
      </w:r>
    </w:p>
    <w:p>
      <w:pPr>
        <w:spacing w:after="0"/>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ListParagraph"/>
        <w:numPr>
          <w:ilvl w:val="0"/>
          <w:numId w:val="3"/>
        </w:numPr>
        <w:tabs>
          <w:tab w:pos="3373" w:val="left" w:leader="none"/>
          <w:tab w:pos="3374" w:val="left" w:leader="none"/>
        </w:tabs>
        <w:spacing w:line="278" w:lineRule="auto" w:before="107" w:after="0"/>
        <w:ind w:left="3373" w:right="179" w:hanging="341"/>
        <w:jc w:val="left"/>
        <w:rPr>
          <w:sz w:val="20"/>
        </w:rPr>
      </w:pPr>
      <w:r>
        <w:rPr>
          <w:color w:val="262526"/>
          <w:sz w:val="20"/>
        </w:rPr>
        <w:t>assess the interactions between emergency frequency control schemes or emergency controls; and settings of protection systems or control systems of plant connected to their respective networks and consider whether they are fit for purpose for the future operation of the network</w:t>
      </w:r>
    </w:p>
    <w:p>
      <w:pPr>
        <w:pStyle w:val="ListParagraph"/>
        <w:numPr>
          <w:ilvl w:val="1"/>
          <w:numId w:val="1"/>
        </w:numPr>
        <w:tabs>
          <w:tab w:pos="3033" w:val="left" w:leader="none"/>
          <w:tab w:pos="3034" w:val="left" w:leader="none"/>
        </w:tabs>
        <w:spacing w:line="278" w:lineRule="auto" w:before="56" w:after="0"/>
        <w:ind w:left="3033" w:right="654" w:hanging="341"/>
        <w:jc w:val="left"/>
        <w:rPr>
          <w:sz w:val="20"/>
        </w:rPr>
      </w:pPr>
      <w:r>
        <w:rPr>
          <w:color w:val="262526"/>
          <w:sz w:val="20"/>
        </w:rPr>
        <w:t>AEMO to consider and have regard to the outcomes of the GPSRR in conducting the Integrated System</w:t>
      </w:r>
      <w:r>
        <w:rPr>
          <w:color w:val="262526"/>
          <w:spacing w:val="-1"/>
          <w:sz w:val="20"/>
        </w:rPr>
        <w:t> </w:t>
      </w:r>
      <w:r>
        <w:rPr>
          <w:color w:val="262526"/>
          <w:sz w:val="20"/>
        </w:rPr>
        <w:t>Plan.</w:t>
      </w:r>
    </w:p>
    <w:p>
      <w:pPr>
        <w:pStyle w:val="ListParagraph"/>
        <w:numPr>
          <w:ilvl w:val="0"/>
          <w:numId w:val="1"/>
        </w:numPr>
        <w:tabs>
          <w:tab w:pos="2692" w:val="left" w:leader="none"/>
          <w:tab w:pos="2693" w:val="left" w:leader="none"/>
        </w:tabs>
        <w:spacing w:line="278" w:lineRule="auto" w:before="57" w:after="0"/>
        <w:ind w:left="2692" w:right="201" w:hanging="1560"/>
        <w:jc w:val="left"/>
        <w:rPr>
          <w:sz w:val="20"/>
        </w:rPr>
      </w:pPr>
      <w:r>
        <w:rPr>
          <w:color w:val="262526"/>
          <w:sz w:val="20"/>
        </w:rPr>
        <w:t>The Commission has determined to make a more preferable draft rule that varies from the proposed rule. In its rule change request, the COAG Energy Council proposes to require AEMO to review significant risks associated with all system conditions and events (including contingency events). The Commission has determined to retain the current framework in the NER whereby AEMO must consider non-credible contingency events the occurrence of which AEMO expects, alone or in combination, would be likely to involve uncontrolled increases or decreases in frequency leading to cascading outages, or major supply disruptions; and introduce a new requirement for AEMO to consider all events and conditions (including contingency events) for all other risks that AEMO considers could lead to cascading outages and major supply disruptions. The Commission considers that with this change the draft rule would better:</w:t>
      </w:r>
    </w:p>
    <w:p>
      <w:pPr>
        <w:pStyle w:val="ListParagraph"/>
        <w:numPr>
          <w:ilvl w:val="1"/>
          <w:numId w:val="1"/>
        </w:numPr>
        <w:tabs>
          <w:tab w:pos="3034" w:val="left" w:leader="none"/>
        </w:tabs>
        <w:spacing w:line="278" w:lineRule="auto" w:before="113" w:after="0"/>
        <w:ind w:left="3033" w:right="110" w:hanging="341"/>
        <w:jc w:val="both"/>
        <w:rPr>
          <w:sz w:val="20"/>
        </w:rPr>
      </w:pPr>
      <w:r>
        <w:rPr>
          <w:color w:val="262526"/>
          <w:sz w:val="20"/>
        </w:rPr>
        <w:t>maintain the delineation between the existing protected event framework that is designed for management of frequency risks arising from non-credible contingency events, and the assessment of risks associated with all other events and conditions (including contingency events)</w:t>
      </w:r>
    </w:p>
    <w:p>
      <w:pPr>
        <w:pStyle w:val="ListParagraph"/>
        <w:numPr>
          <w:ilvl w:val="1"/>
          <w:numId w:val="1"/>
        </w:numPr>
        <w:tabs>
          <w:tab w:pos="3033" w:val="left" w:leader="none"/>
          <w:tab w:pos="3034" w:val="left" w:leader="none"/>
        </w:tabs>
        <w:spacing w:line="278" w:lineRule="auto" w:before="57" w:after="0"/>
        <w:ind w:left="3033" w:right="718" w:hanging="341"/>
        <w:jc w:val="left"/>
        <w:rPr>
          <w:sz w:val="20"/>
        </w:rPr>
      </w:pPr>
      <w:r>
        <w:rPr>
          <w:color w:val="262526"/>
          <w:sz w:val="20"/>
        </w:rPr>
        <w:t>recognise the existing arrangements that allow AEMO to manage frequency risks associated with credible contingency events through the frequency control ancillary services (FCAS) markets.</w:t>
      </w:r>
    </w:p>
    <w:p>
      <w:pPr>
        <w:pStyle w:val="ListParagraph"/>
        <w:numPr>
          <w:ilvl w:val="0"/>
          <w:numId w:val="1"/>
        </w:numPr>
        <w:tabs>
          <w:tab w:pos="2692" w:val="left" w:leader="none"/>
          <w:tab w:pos="2693" w:val="left" w:leader="none"/>
        </w:tabs>
        <w:spacing w:line="278" w:lineRule="auto" w:before="56" w:after="0"/>
        <w:ind w:left="2692" w:right="554" w:hanging="1560"/>
        <w:jc w:val="left"/>
        <w:rPr>
          <w:sz w:val="20"/>
        </w:rPr>
      </w:pPr>
      <w:r>
        <w:rPr>
          <w:color w:val="262526"/>
          <w:sz w:val="20"/>
        </w:rPr>
        <w:t>The change to the proposed rule does not materially alter the intent of the Commission’s recommendation from the BSE report nor the policy position reflected in the rule change request. The more preferable draft rule is broadly consistent with the proposed rule in respect of the GPSRR scope, frequency and coordination and integration of planning arrangements.</w:t>
      </w:r>
    </w:p>
    <w:p>
      <w:pPr>
        <w:pStyle w:val="ListParagraph"/>
        <w:numPr>
          <w:ilvl w:val="0"/>
          <w:numId w:val="1"/>
        </w:numPr>
        <w:tabs>
          <w:tab w:pos="2692" w:val="left" w:leader="none"/>
          <w:tab w:pos="2693" w:val="left" w:leader="none"/>
        </w:tabs>
        <w:spacing w:line="278" w:lineRule="auto" w:before="113" w:after="0"/>
        <w:ind w:left="2692" w:right="235" w:hanging="1560"/>
        <w:jc w:val="left"/>
        <w:rPr>
          <w:sz w:val="20"/>
        </w:rPr>
      </w:pPr>
      <w:r>
        <w:rPr>
          <w:color w:val="262526"/>
          <w:sz w:val="20"/>
        </w:rPr>
        <w:t>The Commission considers that the draft rule would contribute to the achievement of the National Electricity Objective (NEO) with respect to the efficient operation and use of electricity services in the long-term interests of consumers of electricity with respect to the safety and security of the national electricity system. The Commission is of the view that the need for a comprehensive risk review is now greater than </w:t>
      </w:r>
      <w:r>
        <w:rPr>
          <w:color w:val="262526"/>
          <w:spacing w:val="-7"/>
          <w:sz w:val="20"/>
        </w:rPr>
        <w:t>ever, </w:t>
      </w:r>
      <w:r>
        <w:rPr>
          <w:color w:val="262526"/>
          <w:sz w:val="20"/>
        </w:rPr>
        <w:t>given the changing generation mix that impacts the power system risk and resilience profile. It is in the long- term interests of consumers that emerging risks from all possible sources are identified promptly and are effectively assessed.</w:t>
      </w:r>
    </w:p>
    <w:p>
      <w:pPr>
        <w:pStyle w:val="BodyText"/>
        <w:spacing w:before="4"/>
        <w:rPr>
          <w:sz w:val="23"/>
        </w:rPr>
      </w:pPr>
    </w:p>
    <w:p>
      <w:pPr>
        <w:pStyle w:val="Heading2"/>
        <w:ind w:firstLine="0"/>
      </w:pPr>
      <w:r>
        <w:rPr>
          <w:color w:val="00ACEC"/>
        </w:rPr>
        <w:t>The rule change process</w:t>
      </w:r>
    </w:p>
    <w:p>
      <w:pPr>
        <w:pStyle w:val="ListParagraph"/>
        <w:numPr>
          <w:ilvl w:val="0"/>
          <w:numId w:val="1"/>
        </w:numPr>
        <w:tabs>
          <w:tab w:pos="2692" w:val="left" w:leader="none"/>
          <w:tab w:pos="2693" w:val="left" w:leader="none"/>
        </w:tabs>
        <w:spacing w:line="278" w:lineRule="auto" w:before="79" w:after="0"/>
        <w:ind w:left="2692" w:right="146" w:hanging="1560"/>
        <w:jc w:val="left"/>
        <w:rPr>
          <w:sz w:val="20"/>
        </w:rPr>
      </w:pPr>
      <w:r>
        <w:rPr>
          <w:color w:val="262526"/>
          <w:sz w:val="20"/>
        </w:rPr>
        <w:t>The COAG Energy Council has submitted this rule change request in response to the recommendation made by the Commission in its BSE review. While the COAG Energy Council did not request the rule change request be fast tracked, the rule change request is</w:t>
      </w:r>
      <w:r>
        <w:rPr>
          <w:color w:val="262526"/>
          <w:spacing w:val="10"/>
          <w:sz w:val="20"/>
        </w:rPr>
        <w:t> </w:t>
      </w:r>
      <w:r>
        <w:rPr>
          <w:color w:val="262526"/>
          <w:sz w:val="20"/>
        </w:rPr>
        <w:t>consistent</w:t>
      </w:r>
    </w:p>
    <w:p>
      <w:pPr>
        <w:spacing w:after="0" w:line="278" w:lineRule="auto"/>
        <w:jc w:val="left"/>
        <w:rPr>
          <w:sz w:val="20"/>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pPr>
      <w:r>
        <w:rPr>
          <w:color w:val="262526"/>
        </w:rPr>
        <w:t>with the recommendation made in the BSE review, and that recommendation was made following significant consultation as part of the Commission’s BSE review. Therefore, the rule change request submitted by the COAG Energy Council meets the criteria to be fast tracked.</w:t>
      </w:r>
    </w:p>
    <w:p>
      <w:pPr>
        <w:pStyle w:val="ListParagraph"/>
        <w:numPr>
          <w:ilvl w:val="0"/>
          <w:numId w:val="1"/>
        </w:numPr>
        <w:tabs>
          <w:tab w:pos="2692" w:val="left" w:leader="none"/>
          <w:tab w:pos="2693" w:val="left" w:leader="none"/>
        </w:tabs>
        <w:spacing w:line="278" w:lineRule="auto" w:before="113" w:after="0"/>
        <w:ind w:left="2692" w:right="120" w:hanging="1560"/>
        <w:jc w:val="left"/>
        <w:rPr>
          <w:sz w:val="20"/>
        </w:rPr>
      </w:pPr>
      <w:r>
        <w:rPr>
          <w:color w:val="262526"/>
          <w:sz w:val="20"/>
        </w:rPr>
        <w:t>Given the consultation already undertaken, the Commission determined that a fast track process was appropriate and initiated the rule change process with the publication of a notice on 14 January 2021.</w:t>
      </w:r>
    </w:p>
    <w:p>
      <w:pPr>
        <w:pStyle w:val="ListParagraph"/>
        <w:numPr>
          <w:ilvl w:val="0"/>
          <w:numId w:val="1"/>
        </w:numPr>
        <w:tabs>
          <w:tab w:pos="2692" w:val="left" w:leader="none"/>
          <w:tab w:pos="2693" w:val="left" w:leader="none"/>
        </w:tabs>
        <w:spacing w:line="278" w:lineRule="auto" w:before="113" w:after="0"/>
        <w:ind w:left="2692" w:right="187" w:hanging="1560"/>
        <w:jc w:val="left"/>
        <w:rPr>
          <w:sz w:val="20"/>
        </w:rPr>
      </w:pPr>
      <w:r>
        <w:rPr>
          <w:color w:val="262526"/>
          <w:sz w:val="20"/>
        </w:rPr>
        <w:t>Fast-tracking means that the rule change process moves straight to the draft determination stage i.e. this draft determination and rule. Submissions on the draft determination and draft rule are invited by </w:t>
      </w:r>
      <w:r>
        <w:rPr>
          <w:b/>
          <w:color w:val="262526"/>
          <w:sz w:val="20"/>
        </w:rPr>
        <w:t>18 March 2021 </w:t>
      </w:r>
      <w:r>
        <w:rPr>
          <w:color w:val="262526"/>
          <w:sz w:val="20"/>
        </w:rPr>
        <w:t>via the AEMC</w:t>
      </w:r>
      <w:r>
        <w:rPr>
          <w:color w:val="262526"/>
          <w:spacing w:val="-1"/>
          <w:sz w:val="20"/>
        </w:rPr>
        <w:t> </w:t>
      </w:r>
      <w:r>
        <w:rPr>
          <w:color w:val="262526"/>
          <w:sz w:val="20"/>
        </w:rPr>
        <w:t>website.</w:t>
      </w:r>
    </w:p>
    <w:p>
      <w:pPr>
        <w:spacing w:after="0" w:line="278" w:lineRule="auto"/>
        <w:jc w:val="left"/>
        <w:rPr>
          <w:sz w:val="20"/>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Heading1"/>
        <w:ind w:firstLine="0"/>
      </w:pPr>
      <w:bookmarkStart w:name="TOC_mainBody" w:id="1"/>
      <w:bookmarkEnd w:id="1"/>
      <w:r>
        <w:rPr/>
      </w:r>
      <w:bookmarkStart w:name="TOC_appendices" w:id="2"/>
      <w:bookmarkEnd w:id="2"/>
      <w:r>
        <w:rPr/>
      </w:r>
      <w:bookmarkStart w:name="TOC_tables" w:id="3"/>
      <w:bookmarkEnd w:id="3"/>
      <w:r>
        <w:rPr/>
      </w:r>
      <w:bookmarkStart w:name="TOC_figures" w:id="4"/>
      <w:bookmarkEnd w:id="4"/>
      <w:r>
        <w:rPr/>
      </w:r>
      <w:r>
        <w:rPr>
          <w:color w:val="00ACEC"/>
        </w:rPr>
        <w:t>CONTENTS</w:t>
      </w:r>
    </w:p>
    <w:sdt>
      <w:sdtPr>
        <w:docPartObj>
          <w:docPartGallery w:val="Table of Contents"/>
          <w:docPartUnique/>
        </w:docPartObj>
      </w:sdtPr>
      <w:sdtEndPr/>
      <w:sdtContent>
        <w:p>
          <w:pPr>
            <w:pStyle w:val="TOC2"/>
            <w:numPr>
              <w:ilvl w:val="0"/>
              <w:numId w:val="4"/>
            </w:numPr>
            <w:tabs>
              <w:tab w:pos="3373" w:val="left" w:leader="none"/>
              <w:tab w:pos="3374" w:val="left" w:leader="none"/>
              <w:tab w:pos="11026" w:val="right" w:leader="none"/>
            </w:tabs>
            <w:spacing w:line="240" w:lineRule="auto" w:before="371" w:after="0"/>
            <w:ind w:left="3373" w:right="0" w:hanging="682"/>
            <w:jc w:val="left"/>
          </w:pPr>
          <w:hyperlink w:history="true" w:anchor="_bookmark0">
            <w:r>
              <w:rPr>
                <w:color w:val="00ACEC"/>
              </w:rPr>
              <w:t>COAG Energy Council’s rule</w:t>
            </w:r>
            <w:r>
              <w:rPr>
                <w:color w:val="00ACEC"/>
                <w:spacing w:val="-5"/>
              </w:rPr>
              <w:t> </w:t>
            </w:r>
            <w:r>
              <w:rPr>
                <w:color w:val="00ACEC"/>
              </w:rPr>
              <w:t>change</w:t>
            </w:r>
            <w:r>
              <w:rPr>
                <w:color w:val="00ACEC"/>
                <w:spacing w:val="-1"/>
              </w:rPr>
              <w:t> </w:t>
            </w:r>
            <w:r>
              <w:rPr>
                <w:color w:val="00ACEC"/>
              </w:rPr>
              <w:t>request</w:t>
              <w:tab/>
              <w:t>1</w:t>
            </w:r>
          </w:hyperlink>
        </w:p>
        <w:p>
          <w:pPr>
            <w:pStyle w:val="TOC3"/>
            <w:numPr>
              <w:ilvl w:val="1"/>
              <w:numId w:val="4"/>
            </w:numPr>
            <w:tabs>
              <w:tab w:pos="3373" w:val="left" w:leader="none"/>
              <w:tab w:pos="3374" w:val="left" w:leader="none"/>
              <w:tab w:pos="11026" w:val="right" w:leader="none"/>
            </w:tabs>
            <w:spacing w:line="217" w:lineRule="exact" w:before="8" w:after="0"/>
            <w:ind w:left="3373" w:right="0" w:hanging="682"/>
            <w:jc w:val="left"/>
          </w:pPr>
          <w:hyperlink w:history="true" w:anchor="_bookmark0">
            <w:r>
              <w:rPr>
                <w:color w:val="262526"/>
              </w:rPr>
              <w:t>Context and background</w:t>
              <w:tab/>
              <w:t>1</w:t>
            </w:r>
          </w:hyperlink>
        </w:p>
        <w:p>
          <w:pPr>
            <w:pStyle w:val="TOC3"/>
            <w:numPr>
              <w:ilvl w:val="1"/>
              <w:numId w:val="4"/>
            </w:numPr>
            <w:tabs>
              <w:tab w:pos="3373" w:val="left" w:leader="none"/>
              <w:tab w:pos="3374" w:val="left" w:leader="none"/>
              <w:tab w:pos="11026" w:val="right" w:leader="none"/>
            </w:tabs>
            <w:spacing w:line="216" w:lineRule="exact" w:before="0" w:after="0"/>
            <w:ind w:left="3373" w:right="0" w:hanging="682"/>
            <w:jc w:val="left"/>
          </w:pPr>
          <w:hyperlink w:history="true" w:anchor="_bookmark1">
            <w:r>
              <w:rPr>
                <w:color w:val="262526"/>
              </w:rPr>
              <w:t>South Australian black system</w:t>
            </w:r>
            <w:r>
              <w:rPr>
                <w:color w:val="262526"/>
                <w:spacing w:val="-3"/>
              </w:rPr>
              <w:t> </w:t>
            </w:r>
            <w:r>
              <w:rPr>
                <w:color w:val="262526"/>
              </w:rPr>
              <w:t>event</w:t>
            </w:r>
            <w:r>
              <w:rPr>
                <w:color w:val="262526"/>
                <w:spacing w:val="-1"/>
              </w:rPr>
              <w:t> </w:t>
            </w:r>
            <w:r>
              <w:rPr>
                <w:color w:val="262526"/>
              </w:rPr>
              <w:t>review</w:t>
              <w:tab/>
              <w:t>3</w:t>
            </w:r>
          </w:hyperlink>
        </w:p>
        <w:p>
          <w:pPr>
            <w:pStyle w:val="TOC3"/>
            <w:numPr>
              <w:ilvl w:val="1"/>
              <w:numId w:val="4"/>
            </w:numPr>
            <w:tabs>
              <w:tab w:pos="3373" w:val="left" w:leader="none"/>
              <w:tab w:pos="3374" w:val="left" w:leader="none"/>
              <w:tab w:pos="11026" w:val="right" w:leader="none"/>
            </w:tabs>
            <w:spacing w:line="216" w:lineRule="exact" w:before="0" w:after="0"/>
            <w:ind w:left="3373" w:right="0" w:hanging="682"/>
            <w:jc w:val="left"/>
          </w:pPr>
          <w:hyperlink w:history="true" w:anchor="_bookmark2">
            <w:r>
              <w:rPr>
                <w:color w:val="262526"/>
              </w:rPr>
              <w:t>Rationale for the rule</w:t>
            </w:r>
            <w:r>
              <w:rPr>
                <w:color w:val="262526"/>
                <w:spacing w:val="-3"/>
              </w:rPr>
              <w:t> </w:t>
            </w:r>
            <w:r>
              <w:rPr>
                <w:color w:val="262526"/>
              </w:rPr>
              <w:t>change</w:t>
            </w:r>
            <w:r>
              <w:rPr>
                <w:color w:val="262526"/>
                <w:spacing w:val="-2"/>
              </w:rPr>
              <w:t> </w:t>
            </w:r>
            <w:r>
              <w:rPr>
                <w:color w:val="262526"/>
              </w:rPr>
              <w:t>request</w:t>
              <w:tab/>
              <w:t>4</w:t>
            </w:r>
          </w:hyperlink>
        </w:p>
        <w:p>
          <w:pPr>
            <w:pStyle w:val="TOC3"/>
            <w:numPr>
              <w:ilvl w:val="1"/>
              <w:numId w:val="4"/>
            </w:numPr>
            <w:tabs>
              <w:tab w:pos="3373" w:val="left" w:leader="none"/>
              <w:tab w:pos="3374" w:val="left" w:leader="none"/>
              <w:tab w:pos="11026" w:val="right" w:leader="none"/>
            </w:tabs>
            <w:spacing w:line="216" w:lineRule="exact" w:before="0" w:after="0"/>
            <w:ind w:left="3373" w:right="0" w:hanging="682"/>
            <w:jc w:val="left"/>
          </w:pPr>
          <w:hyperlink w:history="true" w:anchor="_bookmark2">
            <w:r>
              <w:rPr>
                <w:color w:val="262526"/>
              </w:rPr>
              <w:t>Solution proposed in the rule</w:t>
            </w:r>
            <w:r>
              <w:rPr>
                <w:color w:val="262526"/>
                <w:spacing w:val="-4"/>
              </w:rPr>
              <w:t> </w:t>
            </w:r>
            <w:r>
              <w:rPr>
                <w:color w:val="262526"/>
              </w:rPr>
              <w:t>change</w:t>
            </w:r>
            <w:r>
              <w:rPr>
                <w:color w:val="262526"/>
                <w:spacing w:val="-1"/>
              </w:rPr>
              <w:t> </w:t>
            </w:r>
            <w:r>
              <w:rPr>
                <w:color w:val="262526"/>
              </w:rPr>
              <w:t>request</w:t>
              <w:tab/>
              <w:t>4</w:t>
            </w:r>
          </w:hyperlink>
        </w:p>
        <w:p>
          <w:pPr>
            <w:pStyle w:val="TOC3"/>
            <w:numPr>
              <w:ilvl w:val="1"/>
              <w:numId w:val="4"/>
            </w:numPr>
            <w:tabs>
              <w:tab w:pos="3373" w:val="left" w:leader="none"/>
              <w:tab w:pos="3374" w:val="left" w:leader="none"/>
              <w:tab w:pos="11026" w:val="right" w:leader="none"/>
            </w:tabs>
            <w:spacing w:line="216" w:lineRule="exact" w:before="0" w:after="0"/>
            <w:ind w:left="3373" w:right="0" w:hanging="682"/>
            <w:jc w:val="left"/>
          </w:pPr>
          <w:hyperlink w:history="true" w:anchor="_bookmark3">
            <w:r>
              <w:rPr>
                <w:color w:val="262526"/>
              </w:rPr>
              <w:t>The rule</w:t>
            </w:r>
            <w:r>
              <w:rPr>
                <w:color w:val="262526"/>
                <w:spacing w:val="-2"/>
              </w:rPr>
              <w:t> </w:t>
            </w:r>
            <w:r>
              <w:rPr>
                <w:color w:val="262526"/>
              </w:rPr>
              <w:t>making process</w:t>
              <w:tab/>
              <w:t>6</w:t>
            </w:r>
          </w:hyperlink>
        </w:p>
        <w:p>
          <w:pPr>
            <w:pStyle w:val="TOC3"/>
            <w:numPr>
              <w:ilvl w:val="1"/>
              <w:numId w:val="4"/>
            </w:numPr>
            <w:tabs>
              <w:tab w:pos="3373" w:val="left" w:leader="none"/>
              <w:tab w:pos="3374" w:val="left" w:leader="none"/>
              <w:tab w:pos="11026" w:val="right" w:leader="none"/>
            </w:tabs>
            <w:spacing w:line="216" w:lineRule="exact" w:before="0" w:after="0"/>
            <w:ind w:left="3373" w:right="0" w:hanging="682"/>
            <w:jc w:val="left"/>
          </w:pPr>
          <w:hyperlink w:history="true" w:anchor="_bookmark3">
            <w:r>
              <w:rPr>
                <w:color w:val="262526"/>
              </w:rPr>
              <w:t>Consultation on draft</w:t>
            </w:r>
            <w:r>
              <w:rPr>
                <w:color w:val="262526"/>
                <w:spacing w:val="-1"/>
              </w:rPr>
              <w:t> </w:t>
            </w:r>
            <w:r>
              <w:rPr>
                <w:color w:val="262526"/>
              </w:rPr>
              <w:t>rule</w:t>
            </w:r>
            <w:r>
              <w:rPr>
                <w:color w:val="262526"/>
                <w:spacing w:val="-1"/>
              </w:rPr>
              <w:t> </w:t>
            </w:r>
            <w:r>
              <w:rPr>
                <w:color w:val="262526"/>
              </w:rPr>
              <w:t>determination</w:t>
              <w:tab/>
              <w:t>6</w:t>
            </w:r>
          </w:hyperlink>
        </w:p>
        <w:p>
          <w:pPr>
            <w:pStyle w:val="TOC3"/>
            <w:numPr>
              <w:ilvl w:val="1"/>
              <w:numId w:val="4"/>
            </w:numPr>
            <w:tabs>
              <w:tab w:pos="3373" w:val="left" w:leader="none"/>
              <w:tab w:pos="3374" w:val="left" w:leader="none"/>
              <w:tab w:pos="11026" w:val="right" w:leader="none"/>
            </w:tabs>
            <w:spacing w:line="217" w:lineRule="exact" w:before="0" w:after="0"/>
            <w:ind w:left="3373" w:right="0" w:hanging="682"/>
            <w:jc w:val="left"/>
          </w:pPr>
          <w:hyperlink w:history="true" w:anchor="_bookmark3">
            <w:r>
              <w:rPr>
                <w:color w:val="262526"/>
              </w:rPr>
              <w:t>Related</w:t>
            </w:r>
            <w:r>
              <w:rPr>
                <w:color w:val="262526"/>
                <w:spacing w:val="-2"/>
              </w:rPr>
              <w:t> </w:t>
            </w:r>
            <w:r>
              <w:rPr>
                <w:color w:val="262526"/>
              </w:rPr>
              <w:t>Commission work</w:t>
              <w:tab/>
              <w:t>6</w:t>
            </w:r>
          </w:hyperlink>
        </w:p>
        <w:p>
          <w:pPr>
            <w:pStyle w:val="TOC2"/>
            <w:numPr>
              <w:ilvl w:val="0"/>
              <w:numId w:val="4"/>
            </w:numPr>
            <w:tabs>
              <w:tab w:pos="3373" w:val="left" w:leader="none"/>
              <w:tab w:pos="3374" w:val="left" w:leader="none"/>
              <w:tab w:pos="11026" w:val="right" w:leader="none"/>
            </w:tabs>
            <w:spacing w:line="240" w:lineRule="auto" w:before="216" w:after="0"/>
            <w:ind w:left="3373" w:right="0" w:hanging="682"/>
            <w:jc w:val="left"/>
          </w:pPr>
          <w:hyperlink w:history="true" w:anchor="_bookmark4">
            <w:r>
              <w:rPr>
                <w:color w:val="00ACEC"/>
              </w:rPr>
              <w:t>Draft</w:t>
            </w:r>
            <w:r>
              <w:rPr>
                <w:color w:val="00ACEC"/>
                <w:spacing w:val="-1"/>
              </w:rPr>
              <w:t> </w:t>
            </w:r>
            <w:r>
              <w:rPr>
                <w:color w:val="00ACEC"/>
              </w:rPr>
              <w:t>rule</w:t>
            </w:r>
            <w:r>
              <w:rPr>
                <w:color w:val="00ACEC"/>
                <w:spacing w:val="-1"/>
              </w:rPr>
              <w:t> </w:t>
            </w:r>
            <w:r>
              <w:rPr>
                <w:color w:val="00ACEC"/>
              </w:rPr>
              <w:t>determination</w:t>
              <w:tab/>
              <w:t>8</w:t>
            </w:r>
          </w:hyperlink>
        </w:p>
        <w:p>
          <w:pPr>
            <w:pStyle w:val="TOC3"/>
            <w:numPr>
              <w:ilvl w:val="1"/>
              <w:numId w:val="4"/>
            </w:numPr>
            <w:tabs>
              <w:tab w:pos="3373" w:val="left" w:leader="none"/>
              <w:tab w:pos="3374" w:val="left" w:leader="none"/>
              <w:tab w:pos="11026" w:val="right" w:leader="none"/>
            </w:tabs>
            <w:spacing w:line="217" w:lineRule="exact" w:before="8" w:after="0"/>
            <w:ind w:left="3373" w:right="0" w:hanging="682"/>
            <w:jc w:val="left"/>
          </w:pPr>
          <w:hyperlink w:history="true" w:anchor="_bookmark4">
            <w:r>
              <w:rPr>
                <w:color w:val="262526"/>
              </w:rPr>
              <w:t>The Commission’s draft</w:t>
            </w:r>
            <w:r>
              <w:rPr>
                <w:color w:val="262526"/>
                <w:spacing w:val="-2"/>
              </w:rPr>
              <w:t> </w:t>
            </w:r>
            <w:r>
              <w:rPr>
                <w:color w:val="262526"/>
              </w:rPr>
              <w:t>rule</w:t>
            </w:r>
            <w:r>
              <w:rPr>
                <w:color w:val="262526"/>
                <w:spacing w:val="-1"/>
              </w:rPr>
              <w:t> </w:t>
            </w:r>
            <w:r>
              <w:rPr>
                <w:color w:val="262526"/>
              </w:rPr>
              <w:t>determination</w:t>
              <w:tab/>
              <w:t>8</w:t>
            </w:r>
          </w:hyperlink>
        </w:p>
        <w:p>
          <w:pPr>
            <w:pStyle w:val="TOC3"/>
            <w:numPr>
              <w:ilvl w:val="1"/>
              <w:numId w:val="4"/>
            </w:numPr>
            <w:tabs>
              <w:tab w:pos="3373" w:val="left" w:leader="none"/>
              <w:tab w:pos="3374" w:val="left" w:leader="none"/>
              <w:tab w:pos="11026" w:val="right" w:leader="none"/>
            </w:tabs>
            <w:spacing w:line="216" w:lineRule="exact" w:before="0" w:after="0"/>
            <w:ind w:left="3373" w:right="0" w:hanging="682"/>
            <w:jc w:val="left"/>
          </w:pPr>
          <w:hyperlink w:history="true" w:anchor="_bookmark6">
            <w:r>
              <w:rPr>
                <w:color w:val="262526"/>
              </w:rPr>
              <w:t>Rule</w:t>
            </w:r>
            <w:r>
              <w:rPr>
                <w:color w:val="262526"/>
                <w:spacing w:val="-1"/>
              </w:rPr>
              <w:t> </w:t>
            </w:r>
            <w:r>
              <w:rPr>
                <w:color w:val="262526"/>
              </w:rPr>
              <w:t>making test</w:t>
              <w:tab/>
              <w:t>11</w:t>
            </w:r>
          </w:hyperlink>
        </w:p>
        <w:p>
          <w:pPr>
            <w:pStyle w:val="TOC3"/>
            <w:numPr>
              <w:ilvl w:val="1"/>
              <w:numId w:val="4"/>
            </w:numPr>
            <w:tabs>
              <w:tab w:pos="3373" w:val="left" w:leader="none"/>
              <w:tab w:pos="3374" w:val="left" w:leader="none"/>
              <w:tab w:pos="11026" w:val="right" w:leader="none"/>
            </w:tabs>
            <w:spacing w:line="216" w:lineRule="exact" w:before="0" w:after="0"/>
            <w:ind w:left="3373" w:right="0" w:hanging="682"/>
            <w:jc w:val="left"/>
          </w:pPr>
          <w:hyperlink w:history="true" w:anchor="_bookmark7">
            <w:r>
              <w:rPr>
                <w:color w:val="262526"/>
              </w:rPr>
              <w:t>Assessment</w:t>
            </w:r>
            <w:r>
              <w:rPr>
                <w:color w:val="262526"/>
                <w:spacing w:val="-1"/>
              </w:rPr>
              <w:t> </w:t>
            </w:r>
            <w:r>
              <w:rPr>
                <w:color w:val="262526"/>
              </w:rPr>
              <w:t>framework</w:t>
              <w:tab/>
              <w:t>13</w:t>
            </w:r>
          </w:hyperlink>
        </w:p>
        <w:p>
          <w:pPr>
            <w:pStyle w:val="TOC3"/>
            <w:numPr>
              <w:ilvl w:val="1"/>
              <w:numId w:val="4"/>
            </w:numPr>
            <w:tabs>
              <w:tab w:pos="3373" w:val="left" w:leader="none"/>
              <w:tab w:pos="3374" w:val="left" w:leader="none"/>
              <w:tab w:pos="11026" w:val="right" w:leader="none"/>
            </w:tabs>
            <w:spacing w:line="216" w:lineRule="exact" w:before="0" w:after="0"/>
            <w:ind w:left="3373" w:right="0" w:hanging="682"/>
            <w:jc w:val="left"/>
          </w:pPr>
          <w:hyperlink w:history="true" w:anchor="_bookmark8">
            <w:r>
              <w:rPr>
                <w:color w:val="262526"/>
              </w:rPr>
              <w:t>Summary</w:t>
            </w:r>
            <w:r>
              <w:rPr>
                <w:color w:val="262526"/>
                <w:spacing w:val="-2"/>
              </w:rPr>
              <w:t> </w:t>
            </w:r>
            <w:r>
              <w:rPr>
                <w:color w:val="262526"/>
              </w:rPr>
              <w:t>of reasons</w:t>
              <w:tab/>
              <w:t>14</w:t>
            </w:r>
          </w:hyperlink>
        </w:p>
        <w:p>
          <w:pPr>
            <w:pStyle w:val="TOC3"/>
            <w:numPr>
              <w:ilvl w:val="1"/>
              <w:numId w:val="4"/>
            </w:numPr>
            <w:tabs>
              <w:tab w:pos="3373" w:val="left" w:leader="none"/>
              <w:tab w:pos="3374" w:val="left" w:leader="none"/>
              <w:tab w:pos="11026" w:val="right" w:leader="none"/>
            </w:tabs>
            <w:spacing w:line="217" w:lineRule="exact" w:before="0" w:after="0"/>
            <w:ind w:left="3373" w:right="0" w:hanging="682"/>
            <w:jc w:val="left"/>
          </w:pPr>
          <w:hyperlink w:history="true" w:anchor="_bookmark9">
            <w:r>
              <w:rPr>
                <w:color w:val="262526"/>
              </w:rPr>
              <w:t>Transitional</w:t>
            </w:r>
            <w:r>
              <w:rPr>
                <w:color w:val="262526"/>
                <w:spacing w:val="-1"/>
              </w:rPr>
              <w:t> </w:t>
            </w:r>
            <w:r>
              <w:rPr>
                <w:color w:val="262526"/>
              </w:rPr>
              <w:t>arrangements</w:t>
              <w:tab/>
              <w:t>16</w:t>
            </w:r>
          </w:hyperlink>
        </w:p>
        <w:p>
          <w:pPr>
            <w:pStyle w:val="TOC2"/>
            <w:numPr>
              <w:ilvl w:val="0"/>
              <w:numId w:val="4"/>
            </w:numPr>
            <w:tabs>
              <w:tab w:pos="3373" w:val="left" w:leader="none"/>
              <w:tab w:pos="3374" w:val="left" w:leader="none"/>
              <w:tab w:pos="11026" w:val="right" w:leader="none"/>
            </w:tabs>
            <w:spacing w:line="240" w:lineRule="auto" w:before="216" w:after="0"/>
            <w:ind w:left="3373" w:right="0" w:hanging="682"/>
            <w:jc w:val="left"/>
          </w:pPr>
          <w:hyperlink w:history="true" w:anchor="_bookmark10">
            <w:r>
              <w:rPr>
                <w:color w:val="00ACEC"/>
              </w:rPr>
              <w:t>Commission</w:t>
            </w:r>
            <w:r>
              <w:rPr>
                <w:color w:val="00ACEC"/>
                <w:spacing w:val="-1"/>
              </w:rPr>
              <w:t> </w:t>
            </w:r>
            <w:r>
              <w:rPr>
                <w:color w:val="00ACEC"/>
              </w:rPr>
              <w:t>considerations</w:t>
              <w:tab/>
              <w:t>17</w:t>
            </w:r>
          </w:hyperlink>
        </w:p>
        <w:p>
          <w:pPr>
            <w:pStyle w:val="TOC3"/>
            <w:numPr>
              <w:ilvl w:val="1"/>
              <w:numId w:val="4"/>
            </w:numPr>
            <w:tabs>
              <w:tab w:pos="3373" w:val="left" w:leader="none"/>
              <w:tab w:pos="3374" w:val="left" w:leader="none"/>
              <w:tab w:pos="11026" w:val="right" w:leader="none"/>
            </w:tabs>
            <w:spacing w:line="217" w:lineRule="exact" w:before="8" w:after="0"/>
            <w:ind w:left="3373" w:right="0" w:hanging="682"/>
            <w:jc w:val="left"/>
          </w:pPr>
          <w:hyperlink w:history="true" w:anchor="_bookmark10">
            <w:r>
              <w:rPr>
                <w:color w:val="262526"/>
              </w:rPr>
              <w:t>Scope of and requirements for</w:t>
            </w:r>
            <w:r>
              <w:rPr>
                <w:color w:val="262526"/>
                <w:spacing w:val="-3"/>
              </w:rPr>
              <w:t> </w:t>
            </w:r>
            <w:r>
              <w:rPr>
                <w:color w:val="262526"/>
              </w:rPr>
              <w:t>the</w:t>
            </w:r>
            <w:r>
              <w:rPr>
                <w:color w:val="262526"/>
                <w:spacing w:val="-1"/>
              </w:rPr>
              <w:t> </w:t>
            </w:r>
            <w:r>
              <w:rPr>
                <w:color w:val="262526"/>
              </w:rPr>
              <w:t>GPSRR</w:t>
              <w:tab/>
              <w:t>17</w:t>
            </w:r>
          </w:hyperlink>
        </w:p>
        <w:p>
          <w:pPr>
            <w:pStyle w:val="TOC3"/>
            <w:numPr>
              <w:ilvl w:val="1"/>
              <w:numId w:val="4"/>
            </w:numPr>
            <w:tabs>
              <w:tab w:pos="3373" w:val="left" w:leader="none"/>
              <w:tab w:pos="3374" w:val="left" w:leader="none"/>
              <w:tab w:pos="11026" w:val="right" w:leader="none"/>
            </w:tabs>
            <w:spacing w:line="216" w:lineRule="exact" w:before="0" w:after="0"/>
            <w:ind w:left="3373" w:right="0" w:hanging="682"/>
            <w:jc w:val="left"/>
          </w:pPr>
          <w:hyperlink w:history="true" w:anchor="_bookmark11">
            <w:r>
              <w:rPr>
                <w:color w:val="262526"/>
              </w:rPr>
              <w:t>The</w:t>
            </w:r>
            <w:r>
              <w:rPr>
                <w:color w:val="262526"/>
                <w:spacing w:val="-1"/>
              </w:rPr>
              <w:t> </w:t>
            </w:r>
            <w:r>
              <w:rPr>
                <w:color w:val="262526"/>
              </w:rPr>
              <w:t>GPSRR process</w:t>
              <w:tab/>
              <w:t>23</w:t>
            </w:r>
          </w:hyperlink>
        </w:p>
        <w:p>
          <w:pPr>
            <w:pStyle w:val="TOC3"/>
            <w:numPr>
              <w:ilvl w:val="1"/>
              <w:numId w:val="4"/>
            </w:numPr>
            <w:tabs>
              <w:tab w:pos="3373" w:val="left" w:leader="none"/>
              <w:tab w:pos="3374" w:val="left" w:leader="none"/>
              <w:tab w:pos="11026" w:val="right" w:leader="none"/>
            </w:tabs>
            <w:spacing w:line="217" w:lineRule="exact" w:before="0" w:after="0"/>
            <w:ind w:left="3373" w:right="0" w:hanging="682"/>
            <w:jc w:val="left"/>
          </w:pPr>
          <w:hyperlink w:history="true" w:anchor="_bookmark12">
            <w:r>
              <w:rPr>
                <w:color w:val="262526"/>
              </w:rPr>
              <w:t>Links to the existing</w:t>
            </w:r>
            <w:r>
              <w:rPr>
                <w:color w:val="262526"/>
                <w:spacing w:val="-4"/>
              </w:rPr>
              <w:t> </w:t>
            </w:r>
            <w:r>
              <w:rPr>
                <w:color w:val="262526"/>
              </w:rPr>
              <w:t>planning process</w:t>
              <w:tab/>
              <w:t>26</w:t>
            </w:r>
          </w:hyperlink>
        </w:p>
        <w:p>
          <w:pPr>
            <w:pStyle w:val="TOC2"/>
            <w:tabs>
              <w:tab w:pos="11026" w:val="right" w:leader="none"/>
            </w:tabs>
            <w:ind w:left="2692" w:firstLine="0"/>
          </w:pPr>
          <w:hyperlink w:history="true" w:anchor="_bookmark13">
            <w:r>
              <w:rPr>
                <w:color w:val="00ACEC"/>
              </w:rPr>
              <w:t>Abbreviations</w:t>
              <w:tab/>
              <w:t>29</w:t>
            </w:r>
          </w:hyperlink>
        </w:p>
        <w:p>
          <w:pPr>
            <w:pStyle w:val="TOC1"/>
            <w:spacing w:line="316" w:lineRule="exact" w:before="324"/>
          </w:pPr>
          <w:r>
            <w:rPr>
              <w:color w:val="00ACEC"/>
            </w:rPr>
            <w:t>APPENDICES</w:t>
          </w:r>
        </w:p>
        <w:p>
          <w:pPr>
            <w:pStyle w:val="TOC2"/>
            <w:numPr>
              <w:ilvl w:val="0"/>
              <w:numId w:val="5"/>
            </w:numPr>
            <w:tabs>
              <w:tab w:pos="3373" w:val="left" w:leader="none"/>
              <w:tab w:pos="3374" w:val="left" w:leader="none"/>
            </w:tabs>
            <w:spacing w:line="242" w:lineRule="exact" w:before="0" w:after="0"/>
            <w:ind w:left="3373" w:right="0" w:hanging="682"/>
            <w:jc w:val="left"/>
          </w:pPr>
          <w:hyperlink w:history="true" w:anchor="_bookmark14">
            <w:r>
              <w:rPr>
                <w:color w:val="00ACEC"/>
              </w:rPr>
              <w:t>Existing arrangements for reviewing and managing frequency risks</w:t>
            </w:r>
            <w:r>
              <w:rPr>
                <w:color w:val="00ACEC"/>
                <w:spacing w:val="-23"/>
              </w:rPr>
              <w:t> </w:t>
            </w:r>
            <w:r>
              <w:rPr>
                <w:color w:val="00ACEC"/>
              </w:rPr>
              <w:t>arising</w:t>
            </w:r>
          </w:hyperlink>
        </w:p>
        <w:p>
          <w:pPr>
            <w:pStyle w:val="TOC4"/>
            <w:tabs>
              <w:tab w:pos="11026" w:val="right" w:leader="none"/>
            </w:tabs>
          </w:pPr>
          <w:hyperlink w:history="true" w:anchor="_bookmark14">
            <w:r>
              <w:rPr>
                <w:color w:val="00ACEC"/>
              </w:rPr>
              <w:t>from non-credible</w:t>
            </w:r>
            <w:r>
              <w:rPr>
                <w:color w:val="00ACEC"/>
                <w:spacing w:val="-2"/>
              </w:rPr>
              <w:t> </w:t>
            </w:r>
            <w:r>
              <w:rPr>
                <w:color w:val="00ACEC"/>
              </w:rPr>
              <w:t>contingency</w:t>
            </w:r>
            <w:r>
              <w:rPr>
                <w:color w:val="00ACEC"/>
                <w:spacing w:val="-2"/>
              </w:rPr>
              <w:t> </w:t>
            </w:r>
            <w:r>
              <w:rPr>
                <w:color w:val="00ACEC"/>
              </w:rPr>
              <w:t>events</w:t>
              <w:tab/>
              <w:t>30</w:t>
            </w:r>
          </w:hyperlink>
        </w:p>
        <w:p>
          <w:pPr>
            <w:pStyle w:val="TOC2"/>
            <w:numPr>
              <w:ilvl w:val="0"/>
              <w:numId w:val="5"/>
            </w:numPr>
            <w:tabs>
              <w:tab w:pos="3373" w:val="left" w:leader="none"/>
              <w:tab w:pos="3374" w:val="left" w:leader="none"/>
              <w:tab w:pos="11026" w:val="right" w:leader="none"/>
            </w:tabs>
            <w:spacing w:line="240" w:lineRule="auto" w:before="226" w:after="0"/>
            <w:ind w:left="3373" w:right="0" w:hanging="682"/>
            <w:jc w:val="left"/>
          </w:pPr>
          <w:hyperlink w:history="true" w:anchor="_bookmark16">
            <w:r>
              <w:rPr>
                <w:color w:val="00ACEC"/>
              </w:rPr>
              <w:t>Related</w:t>
            </w:r>
            <w:r>
              <w:rPr>
                <w:color w:val="00ACEC"/>
                <w:spacing w:val="-2"/>
              </w:rPr>
              <w:t> </w:t>
            </w:r>
            <w:r>
              <w:rPr>
                <w:color w:val="00ACEC"/>
              </w:rPr>
              <w:t>Commission work</w:t>
              <w:tab/>
              <w:t>32</w:t>
            </w:r>
          </w:hyperlink>
        </w:p>
        <w:p>
          <w:pPr>
            <w:pStyle w:val="TOC3"/>
            <w:numPr>
              <w:ilvl w:val="1"/>
              <w:numId w:val="5"/>
            </w:numPr>
            <w:tabs>
              <w:tab w:pos="3373" w:val="left" w:leader="none"/>
              <w:tab w:pos="3374" w:val="left" w:leader="none"/>
              <w:tab w:pos="11026" w:val="right" w:leader="none"/>
            </w:tabs>
            <w:spacing w:line="217" w:lineRule="exact" w:before="7" w:after="0"/>
            <w:ind w:left="3373" w:right="0" w:hanging="682"/>
            <w:jc w:val="left"/>
          </w:pPr>
          <w:hyperlink w:history="true" w:anchor="_bookmark16">
            <w:r>
              <w:rPr>
                <w:color w:val="262526"/>
              </w:rPr>
              <w:t>Enhancing operational resilience in relation to</w:t>
            </w:r>
            <w:r>
              <w:rPr>
                <w:color w:val="262526"/>
                <w:spacing w:val="-8"/>
              </w:rPr>
              <w:t> </w:t>
            </w:r>
            <w:r>
              <w:rPr>
                <w:color w:val="262526"/>
              </w:rPr>
              <w:t>indistinct</w:t>
            </w:r>
            <w:r>
              <w:rPr>
                <w:color w:val="262526"/>
                <w:spacing w:val="-1"/>
              </w:rPr>
              <w:t> </w:t>
            </w:r>
            <w:r>
              <w:rPr>
                <w:color w:val="262526"/>
              </w:rPr>
              <w:t>events</w:t>
              <w:tab/>
              <w:t>32</w:t>
            </w:r>
          </w:hyperlink>
        </w:p>
        <w:p>
          <w:pPr>
            <w:pStyle w:val="TOC3"/>
            <w:numPr>
              <w:ilvl w:val="1"/>
              <w:numId w:val="5"/>
            </w:numPr>
            <w:tabs>
              <w:tab w:pos="3373" w:val="left" w:leader="none"/>
              <w:tab w:pos="3374" w:val="left" w:leader="none"/>
              <w:tab w:pos="11026" w:val="right" w:leader="none"/>
            </w:tabs>
            <w:spacing w:line="217" w:lineRule="exact" w:before="0" w:after="0"/>
            <w:ind w:left="3373" w:right="0" w:hanging="682"/>
            <w:jc w:val="left"/>
          </w:pPr>
          <w:hyperlink w:history="true" w:anchor="_bookmark17">
            <w:r>
              <w:rPr>
                <w:color w:val="262526"/>
              </w:rPr>
              <w:t>Prioritising arrangements for system security during</w:t>
            </w:r>
            <w:r>
              <w:rPr>
                <w:color w:val="262526"/>
                <w:spacing w:val="-7"/>
              </w:rPr>
              <w:t> </w:t>
            </w:r>
            <w:r>
              <w:rPr>
                <w:color w:val="262526"/>
              </w:rPr>
              <w:t>market</w:t>
            </w:r>
            <w:r>
              <w:rPr>
                <w:color w:val="262526"/>
                <w:spacing w:val="-2"/>
              </w:rPr>
              <w:t> </w:t>
            </w:r>
            <w:r>
              <w:rPr>
                <w:color w:val="262526"/>
              </w:rPr>
              <w:t>suspension</w:t>
              <w:tab/>
              <w:t>33</w:t>
            </w:r>
          </w:hyperlink>
        </w:p>
        <w:p>
          <w:pPr>
            <w:pStyle w:val="TOC2"/>
            <w:numPr>
              <w:ilvl w:val="0"/>
              <w:numId w:val="5"/>
            </w:numPr>
            <w:tabs>
              <w:tab w:pos="3373" w:val="left" w:leader="none"/>
              <w:tab w:pos="3374" w:val="left" w:leader="none"/>
              <w:tab w:pos="11026" w:val="right" w:leader="none"/>
            </w:tabs>
            <w:spacing w:line="240" w:lineRule="auto" w:before="217" w:after="0"/>
            <w:ind w:left="3373" w:right="0" w:hanging="682"/>
            <w:jc w:val="left"/>
          </w:pPr>
          <w:hyperlink w:history="true" w:anchor="_bookmark18">
            <w:r>
              <w:rPr>
                <w:color w:val="00ACEC"/>
              </w:rPr>
              <w:t>Legal requirements under</w:t>
            </w:r>
            <w:r>
              <w:rPr>
                <w:color w:val="00ACEC"/>
                <w:spacing w:val="-2"/>
              </w:rPr>
              <w:t> </w:t>
            </w:r>
            <w:r>
              <w:rPr>
                <w:color w:val="00ACEC"/>
              </w:rPr>
              <w:t>the</w:t>
            </w:r>
            <w:r>
              <w:rPr>
                <w:color w:val="00ACEC"/>
                <w:spacing w:val="-1"/>
              </w:rPr>
              <w:t> </w:t>
            </w:r>
            <w:r>
              <w:rPr>
                <w:color w:val="00ACEC"/>
              </w:rPr>
              <w:t>NEL</w:t>
              <w:tab/>
              <w:t>34</w:t>
            </w:r>
          </w:hyperlink>
        </w:p>
        <w:p>
          <w:pPr>
            <w:pStyle w:val="TOC3"/>
            <w:numPr>
              <w:ilvl w:val="1"/>
              <w:numId w:val="5"/>
            </w:numPr>
            <w:tabs>
              <w:tab w:pos="3373" w:val="left" w:leader="none"/>
              <w:tab w:pos="3374" w:val="left" w:leader="none"/>
              <w:tab w:pos="11026" w:val="right" w:leader="none"/>
            </w:tabs>
            <w:spacing w:line="217" w:lineRule="exact" w:before="7" w:after="0"/>
            <w:ind w:left="3373" w:right="0" w:hanging="682"/>
            <w:jc w:val="left"/>
          </w:pPr>
          <w:hyperlink w:history="true" w:anchor="_bookmark18">
            <w:r>
              <w:rPr>
                <w:color w:val="262526"/>
              </w:rPr>
              <w:t>Draft</w:t>
            </w:r>
            <w:r>
              <w:rPr>
                <w:color w:val="262526"/>
                <w:spacing w:val="-1"/>
              </w:rPr>
              <w:t> </w:t>
            </w:r>
            <w:r>
              <w:rPr>
                <w:color w:val="262526"/>
              </w:rPr>
              <w:t>rule</w:t>
            </w:r>
            <w:r>
              <w:rPr>
                <w:color w:val="262526"/>
                <w:spacing w:val="-1"/>
              </w:rPr>
              <w:t> </w:t>
            </w:r>
            <w:r>
              <w:rPr>
                <w:color w:val="262526"/>
              </w:rPr>
              <w:t>determination</w:t>
              <w:tab/>
              <w:t>34</w:t>
            </w:r>
          </w:hyperlink>
        </w:p>
        <w:p>
          <w:pPr>
            <w:pStyle w:val="TOC3"/>
            <w:numPr>
              <w:ilvl w:val="1"/>
              <w:numId w:val="5"/>
            </w:numPr>
            <w:tabs>
              <w:tab w:pos="3373" w:val="left" w:leader="none"/>
              <w:tab w:pos="3374" w:val="left" w:leader="none"/>
              <w:tab w:pos="11026" w:val="right" w:leader="none"/>
            </w:tabs>
            <w:spacing w:line="216" w:lineRule="exact" w:before="0" w:after="0"/>
            <w:ind w:left="3373" w:right="0" w:hanging="682"/>
            <w:jc w:val="left"/>
          </w:pPr>
          <w:hyperlink w:history="true" w:anchor="_bookmark18">
            <w:r>
              <w:rPr>
                <w:color w:val="262526"/>
              </w:rPr>
              <w:t>Power to make</w:t>
            </w:r>
            <w:r>
              <w:rPr>
                <w:color w:val="262526"/>
                <w:spacing w:val="-3"/>
              </w:rPr>
              <w:t> </w:t>
            </w:r>
            <w:r>
              <w:rPr>
                <w:color w:val="262526"/>
              </w:rPr>
              <w:t>the</w:t>
            </w:r>
            <w:r>
              <w:rPr>
                <w:color w:val="262526"/>
                <w:spacing w:val="-1"/>
              </w:rPr>
              <w:t> </w:t>
            </w:r>
            <w:r>
              <w:rPr>
                <w:color w:val="262526"/>
              </w:rPr>
              <w:t>rule</w:t>
              <w:tab/>
              <w:t>34</w:t>
            </w:r>
          </w:hyperlink>
        </w:p>
        <w:p>
          <w:pPr>
            <w:pStyle w:val="TOC3"/>
            <w:numPr>
              <w:ilvl w:val="1"/>
              <w:numId w:val="5"/>
            </w:numPr>
            <w:tabs>
              <w:tab w:pos="3373" w:val="left" w:leader="none"/>
              <w:tab w:pos="3374" w:val="left" w:leader="none"/>
              <w:tab w:pos="11026" w:val="right" w:leader="none"/>
            </w:tabs>
            <w:spacing w:line="216" w:lineRule="exact" w:before="0" w:after="0"/>
            <w:ind w:left="3373" w:right="0" w:hanging="682"/>
            <w:jc w:val="left"/>
          </w:pPr>
          <w:hyperlink w:history="true" w:anchor="_bookmark18">
            <w:r>
              <w:rPr>
                <w:color w:val="262526"/>
              </w:rPr>
              <w:t>Commission’s</w:t>
            </w:r>
            <w:r>
              <w:rPr>
                <w:color w:val="262526"/>
                <w:spacing w:val="-2"/>
              </w:rPr>
              <w:t> </w:t>
            </w:r>
            <w:r>
              <w:rPr>
                <w:color w:val="262526"/>
              </w:rPr>
              <w:t>considerations</w:t>
              <w:tab/>
              <w:t>34</w:t>
            </w:r>
          </w:hyperlink>
        </w:p>
        <w:p>
          <w:pPr>
            <w:pStyle w:val="TOC3"/>
            <w:numPr>
              <w:ilvl w:val="1"/>
              <w:numId w:val="5"/>
            </w:numPr>
            <w:tabs>
              <w:tab w:pos="3373" w:val="left" w:leader="none"/>
              <w:tab w:pos="3374" w:val="left" w:leader="none"/>
              <w:tab w:pos="11026" w:val="right" w:leader="none"/>
            </w:tabs>
            <w:spacing w:line="216" w:lineRule="exact" w:before="0" w:after="0"/>
            <w:ind w:left="3373" w:right="0" w:hanging="682"/>
            <w:jc w:val="left"/>
          </w:pPr>
          <w:hyperlink w:history="true" w:anchor="_bookmark19">
            <w:r>
              <w:rPr>
                <w:color w:val="262526"/>
              </w:rPr>
              <w:t>Civil penalties</w:t>
              <w:tab/>
              <w:t>35</w:t>
            </w:r>
          </w:hyperlink>
        </w:p>
        <w:p>
          <w:pPr>
            <w:pStyle w:val="TOC3"/>
            <w:numPr>
              <w:ilvl w:val="1"/>
              <w:numId w:val="5"/>
            </w:numPr>
            <w:tabs>
              <w:tab w:pos="3373" w:val="left" w:leader="none"/>
              <w:tab w:pos="3374" w:val="left" w:leader="none"/>
              <w:tab w:pos="11026" w:val="right" w:leader="none"/>
            </w:tabs>
            <w:spacing w:line="217" w:lineRule="exact" w:before="0" w:after="0"/>
            <w:ind w:left="3373" w:right="0" w:hanging="682"/>
            <w:jc w:val="left"/>
          </w:pPr>
          <w:hyperlink w:history="true" w:anchor="_bookmark19">
            <w:r>
              <w:rPr>
                <w:color w:val="262526"/>
              </w:rPr>
              <w:t>Conduct</w:t>
            </w:r>
            <w:r>
              <w:rPr>
                <w:color w:val="262526"/>
                <w:spacing w:val="-1"/>
              </w:rPr>
              <w:t> </w:t>
            </w:r>
            <w:r>
              <w:rPr>
                <w:color w:val="262526"/>
              </w:rPr>
              <w:t>provisions</w:t>
              <w:tab/>
              <w:t>35</w:t>
            </w:r>
          </w:hyperlink>
        </w:p>
        <w:p>
          <w:pPr>
            <w:pStyle w:val="TOC1"/>
            <w:spacing w:before="259"/>
          </w:pPr>
          <w:r>
            <w:rPr>
              <w:color w:val="00ACEC"/>
            </w:rPr>
            <w:t>TABLES</w:t>
          </w:r>
        </w:p>
        <w:p>
          <w:pPr>
            <w:pStyle w:val="TOC3"/>
            <w:tabs>
              <w:tab w:pos="3826" w:val="left" w:leader="none"/>
              <w:tab w:pos="11026" w:val="right" w:leader="none"/>
            </w:tabs>
            <w:spacing w:line="240" w:lineRule="auto" w:before="22"/>
            <w:ind w:left="2692" w:firstLine="0"/>
          </w:pPr>
          <w:hyperlink w:history="true" w:anchor="_bookmark5">
            <w:r>
              <w:rPr>
                <w:color w:val="262526"/>
                <w:spacing w:val="-4"/>
              </w:rPr>
              <w:t>Table</w:t>
            </w:r>
            <w:r>
              <w:rPr>
                <w:color w:val="262526"/>
              </w:rPr>
              <w:t> 2.1:</w:t>
              <w:tab/>
              <w:t>Summary of Commission’s more preferable</w:t>
            </w:r>
            <w:r>
              <w:rPr>
                <w:color w:val="262526"/>
                <w:spacing w:val="-4"/>
              </w:rPr>
              <w:t> </w:t>
            </w:r>
            <w:r>
              <w:rPr>
                <w:color w:val="262526"/>
              </w:rPr>
              <w:t>draft rule</w:t>
              <w:tab/>
              <w:t>9</w:t>
            </w:r>
          </w:hyperlink>
        </w:p>
        <w:p>
          <w:pPr>
            <w:pStyle w:val="TOC1"/>
          </w:pPr>
          <w:r>
            <w:rPr>
              <w:color w:val="00ACEC"/>
            </w:rPr>
            <w:t>FIGURES</w:t>
          </w:r>
        </w:p>
        <w:p>
          <w:pPr>
            <w:pStyle w:val="TOC3"/>
            <w:tabs>
              <w:tab w:pos="3826" w:val="left" w:leader="none"/>
              <w:tab w:pos="11026" w:val="right" w:leader="none"/>
            </w:tabs>
            <w:spacing w:line="240" w:lineRule="auto" w:before="22"/>
            <w:ind w:left="2692" w:firstLine="0"/>
          </w:pPr>
          <w:hyperlink w:history="true" w:anchor="_bookmark15">
            <w:r>
              <w:rPr>
                <w:color w:val="262526"/>
              </w:rPr>
              <w:t>Figure A.1:</w:t>
              <w:tab/>
              <w:t>Process flow of</w:t>
            </w:r>
            <w:r>
              <w:rPr>
                <w:color w:val="262526"/>
                <w:spacing w:val="-3"/>
              </w:rPr>
              <w:t> </w:t>
            </w:r>
            <w:r>
              <w:rPr>
                <w:color w:val="262526"/>
              </w:rPr>
              <w:t>the</w:t>
            </w:r>
            <w:r>
              <w:rPr>
                <w:color w:val="262526"/>
                <w:spacing w:val="-1"/>
              </w:rPr>
              <w:t> </w:t>
            </w:r>
            <w:r>
              <w:rPr>
                <w:color w:val="262526"/>
              </w:rPr>
              <w:t>PSFRR</w:t>
              <w:tab/>
              <w:t>31</w:t>
            </w:r>
          </w:hyperlink>
        </w:p>
      </w:sdtContent>
    </w:sdt>
    <w:p>
      <w:pPr>
        <w:spacing w:after="0" w:line="240" w:lineRule="auto"/>
        <w:sectPr>
          <w:headerReference w:type="default" r:id="rId12"/>
          <w:footerReference w:type="default" r:id="rId13"/>
          <w:pgSz w:w="11910" w:h="16840"/>
          <w:pgMar w:header="808" w:footer="0" w:top="1460" w:bottom="280" w:left="0" w:right="740"/>
        </w:sectPr>
      </w:pPr>
    </w:p>
    <w:p>
      <w:pPr>
        <w:pStyle w:val="BodyText"/>
        <w:rPr>
          <w:sz w:val="52"/>
        </w:rPr>
      </w:pPr>
    </w:p>
    <w:p>
      <w:pPr>
        <w:pStyle w:val="BodyText"/>
        <w:rPr>
          <w:sz w:val="52"/>
        </w:rPr>
      </w:pPr>
    </w:p>
    <w:p>
      <w:pPr>
        <w:pStyle w:val="BodyText"/>
        <w:spacing w:before="7"/>
        <w:rPr>
          <w:sz w:val="48"/>
        </w:rPr>
      </w:pPr>
    </w:p>
    <w:p>
      <w:pPr>
        <w:pStyle w:val="Heading1"/>
        <w:numPr>
          <w:ilvl w:val="0"/>
          <w:numId w:val="6"/>
        </w:numPr>
        <w:tabs>
          <w:tab w:pos="2692" w:val="left" w:leader="none"/>
          <w:tab w:pos="2693" w:val="left" w:leader="none"/>
        </w:tabs>
        <w:spacing w:line="240" w:lineRule="auto" w:before="1" w:after="0"/>
        <w:ind w:left="2692" w:right="0" w:hanging="1560"/>
        <w:jc w:val="left"/>
      </w:pPr>
      <w:bookmarkStart w:name="1 COAG Energy Council’s rule change requ" w:id="5"/>
      <w:bookmarkEnd w:id="5"/>
      <w:r>
        <w:rPr/>
      </w:r>
      <w:bookmarkStart w:name="1.1 Context and background " w:id="6"/>
      <w:bookmarkEnd w:id="6"/>
      <w:r>
        <w:rPr/>
      </w:r>
      <w:bookmarkStart w:name="_bookmark0" w:id="7"/>
      <w:bookmarkEnd w:id="7"/>
      <w:r>
        <w:rPr/>
      </w:r>
      <w:bookmarkStart w:name="_bookmark0" w:id="8"/>
      <w:bookmarkEnd w:id="8"/>
      <w:r>
        <w:rPr>
          <w:color w:val="00ACEC"/>
        </w:rPr>
        <w:t>COAG</w:t>
      </w:r>
      <w:r>
        <w:rPr>
          <w:color w:val="00ACEC"/>
        </w:rPr>
        <w:t> ENERGY </w:t>
      </w:r>
      <w:r>
        <w:rPr>
          <w:color w:val="00ACEC"/>
          <w:spacing w:val="-3"/>
        </w:rPr>
        <w:t>COUNCIL’S </w:t>
      </w:r>
      <w:r>
        <w:rPr>
          <w:color w:val="00ACEC"/>
        </w:rPr>
        <w:t>RULE CHANGE</w:t>
      </w:r>
      <w:r>
        <w:rPr>
          <w:color w:val="00ACEC"/>
          <w:spacing w:val="1"/>
        </w:rPr>
        <w:t> </w:t>
      </w:r>
      <w:r>
        <w:rPr>
          <w:color w:val="00ACEC"/>
        </w:rPr>
        <w:t>REQUEST</w:t>
      </w:r>
    </w:p>
    <w:p>
      <w:pPr>
        <w:pStyle w:val="BodyText"/>
        <w:spacing w:line="278" w:lineRule="auto" w:before="232"/>
        <w:ind w:left="2692" w:right="295"/>
      </w:pPr>
      <w:r>
        <w:rPr>
          <w:color w:val="262526"/>
        </w:rPr>
        <w:t>On 26 May 2020, the Australian Energy Market Commission (AEMC or Commission) received a rule change request from the Council of Australian Governments (COAG) Energy Council</w:t>
      </w:r>
      <w:r>
        <w:rPr>
          <w:color w:val="262526"/>
          <w:position w:val="8"/>
          <w:sz w:val="12"/>
        </w:rPr>
        <w:t>6 </w:t>
      </w:r>
      <w:r>
        <w:rPr>
          <w:color w:val="262526"/>
        </w:rPr>
        <w:t>seeking to implement a General Power System Risk Review (GPSRR) into the National Electricity Rules (NER).</w:t>
      </w:r>
    </w:p>
    <w:p>
      <w:pPr>
        <w:pStyle w:val="BodyText"/>
        <w:spacing w:line="278" w:lineRule="auto" w:before="113"/>
        <w:ind w:left="2692" w:right="295"/>
        <w:rPr>
          <w:sz w:val="12"/>
        </w:rPr>
      </w:pPr>
      <w:r>
        <w:rPr>
          <w:color w:val="262526"/>
        </w:rPr>
        <w:t>The rule change request seeks to enhance the breadth of the sources of risk considered in the existing Power System Frequency Risk Review (PSFRR), increase the speed and frequency of the review and integrate the review with other Australian Energy Market Operator (AEMO) and Network Service Providers (NSPs) planning processes.</w:t>
      </w:r>
      <w:r>
        <w:rPr>
          <w:color w:val="262526"/>
          <w:position w:val="8"/>
          <w:sz w:val="12"/>
        </w:rPr>
        <w:t>7</w:t>
      </w:r>
    </w:p>
    <w:p>
      <w:pPr>
        <w:spacing w:line="278" w:lineRule="auto" w:before="114"/>
        <w:ind w:left="2692" w:right="0" w:firstLine="0"/>
        <w:jc w:val="left"/>
        <w:rPr>
          <w:sz w:val="12"/>
        </w:rPr>
      </w:pPr>
      <w:r>
        <w:rPr>
          <w:color w:val="262526"/>
          <w:sz w:val="20"/>
        </w:rPr>
        <w:t>The COAG Energy Council’s rule change request reflects the recommendation made by the Commission in its </w:t>
      </w:r>
      <w:r>
        <w:rPr>
          <w:i/>
          <w:color w:val="262526"/>
          <w:sz w:val="20"/>
        </w:rPr>
        <w:t>Review of the South Australian Black System Event </w:t>
      </w:r>
      <w:r>
        <w:rPr>
          <w:color w:val="262526"/>
          <w:sz w:val="20"/>
        </w:rPr>
        <w:t>report (BSE report).</w:t>
      </w:r>
      <w:r>
        <w:rPr>
          <w:color w:val="262526"/>
          <w:position w:val="8"/>
          <w:sz w:val="12"/>
        </w:rPr>
        <w:t>8</w:t>
      </w:r>
    </w:p>
    <w:p>
      <w:pPr>
        <w:pStyle w:val="BodyText"/>
        <w:spacing w:before="113"/>
        <w:ind w:left="2692"/>
      </w:pPr>
      <w:r>
        <w:rPr>
          <w:color w:val="262526"/>
        </w:rPr>
        <w:t>This chapter outlines:</w:t>
      </w:r>
    </w:p>
    <w:p>
      <w:pPr>
        <w:pStyle w:val="ListParagraph"/>
        <w:numPr>
          <w:ilvl w:val="1"/>
          <w:numId w:val="6"/>
        </w:numPr>
        <w:tabs>
          <w:tab w:pos="3033" w:val="left" w:leader="none"/>
          <w:tab w:pos="3034" w:val="left" w:leader="none"/>
        </w:tabs>
        <w:spacing w:line="240" w:lineRule="auto" w:before="152" w:after="0"/>
        <w:ind w:left="3033" w:right="0" w:hanging="341"/>
        <w:jc w:val="left"/>
        <w:rPr>
          <w:sz w:val="20"/>
        </w:rPr>
      </w:pPr>
      <w:r>
        <w:rPr>
          <w:color w:val="262526"/>
          <w:sz w:val="20"/>
        </w:rPr>
        <w:t>context and background</w:t>
      </w:r>
    </w:p>
    <w:p>
      <w:pPr>
        <w:pStyle w:val="ListParagraph"/>
        <w:numPr>
          <w:ilvl w:val="1"/>
          <w:numId w:val="6"/>
        </w:numPr>
        <w:tabs>
          <w:tab w:pos="3033" w:val="left" w:leader="none"/>
          <w:tab w:pos="3034" w:val="left" w:leader="none"/>
        </w:tabs>
        <w:spacing w:line="278" w:lineRule="auto" w:before="95" w:after="0"/>
        <w:ind w:left="3033" w:right="206" w:hanging="341"/>
        <w:jc w:val="left"/>
        <w:rPr>
          <w:sz w:val="20"/>
        </w:rPr>
      </w:pPr>
      <w:r>
        <w:rPr>
          <w:color w:val="262526"/>
          <w:sz w:val="20"/>
        </w:rPr>
        <w:t>a summary of the AEMC’s recommendation on reviewing power system risks made in the BSE report</w:t>
      </w:r>
    </w:p>
    <w:p>
      <w:pPr>
        <w:pStyle w:val="ListParagraph"/>
        <w:numPr>
          <w:ilvl w:val="1"/>
          <w:numId w:val="6"/>
        </w:numPr>
        <w:tabs>
          <w:tab w:pos="3033" w:val="left" w:leader="none"/>
          <w:tab w:pos="3034" w:val="left" w:leader="none"/>
        </w:tabs>
        <w:spacing w:line="240" w:lineRule="auto" w:before="57" w:after="0"/>
        <w:ind w:left="3033" w:right="0" w:hanging="341"/>
        <w:jc w:val="left"/>
        <w:rPr>
          <w:sz w:val="20"/>
        </w:rPr>
      </w:pPr>
      <w:r>
        <w:rPr>
          <w:color w:val="262526"/>
          <w:sz w:val="20"/>
        </w:rPr>
        <w:t>the rationale for the rule change request and the solutions</w:t>
      </w:r>
      <w:r>
        <w:rPr>
          <w:color w:val="262526"/>
          <w:spacing w:val="4"/>
          <w:sz w:val="20"/>
        </w:rPr>
        <w:t> </w:t>
      </w:r>
      <w:r>
        <w:rPr>
          <w:color w:val="262526"/>
          <w:sz w:val="20"/>
        </w:rPr>
        <w:t>proposed</w:t>
      </w:r>
    </w:p>
    <w:p>
      <w:pPr>
        <w:pStyle w:val="ListParagraph"/>
        <w:numPr>
          <w:ilvl w:val="1"/>
          <w:numId w:val="6"/>
        </w:numPr>
        <w:tabs>
          <w:tab w:pos="3033" w:val="left" w:leader="none"/>
          <w:tab w:pos="3034" w:val="left" w:leader="none"/>
        </w:tabs>
        <w:spacing w:line="278" w:lineRule="auto" w:before="95" w:after="0"/>
        <w:ind w:left="3033" w:right="315" w:hanging="341"/>
        <w:jc w:val="left"/>
        <w:rPr>
          <w:sz w:val="20"/>
        </w:rPr>
      </w:pPr>
      <w:r>
        <w:rPr>
          <w:color w:val="262526"/>
          <w:sz w:val="20"/>
        </w:rPr>
        <w:t>an overview of the rule making process, including the consultation process for this draft determination, and</w:t>
      </w:r>
    </w:p>
    <w:p>
      <w:pPr>
        <w:pStyle w:val="ListParagraph"/>
        <w:numPr>
          <w:ilvl w:val="1"/>
          <w:numId w:val="6"/>
        </w:numPr>
        <w:tabs>
          <w:tab w:pos="3033" w:val="left" w:leader="none"/>
          <w:tab w:pos="3034" w:val="left" w:leader="none"/>
        </w:tabs>
        <w:spacing w:line="240" w:lineRule="auto" w:before="57" w:after="0"/>
        <w:ind w:left="3033" w:right="0" w:hanging="341"/>
        <w:jc w:val="left"/>
        <w:rPr>
          <w:sz w:val="20"/>
        </w:rPr>
      </w:pPr>
      <w:r>
        <w:rPr>
          <w:color w:val="262526"/>
          <w:sz w:val="20"/>
        </w:rPr>
        <w:t>related Commission work.</w:t>
      </w:r>
    </w:p>
    <w:p>
      <w:pPr>
        <w:pStyle w:val="BodyText"/>
        <w:spacing w:before="8"/>
        <w:rPr>
          <w:sz w:val="12"/>
        </w:rPr>
      </w:pPr>
    </w:p>
    <w:p>
      <w:pPr>
        <w:pStyle w:val="Heading2"/>
        <w:numPr>
          <w:ilvl w:val="1"/>
          <w:numId w:val="7"/>
        </w:numPr>
        <w:tabs>
          <w:tab w:pos="2692" w:val="left" w:leader="none"/>
          <w:tab w:pos="2693" w:val="left" w:leader="none"/>
        </w:tabs>
        <w:spacing w:line="240" w:lineRule="auto" w:before="110" w:after="0"/>
        <w:ind w:left="2692" w:right="0" w:hanging="1560"/>
        <w:jc w:val="left"/>
      </w:pPr>
      <w:r>
        <w:rPr>
          <w:color w:val="00ACEC"/>
        </w:rPr>
        <w:t>Context and background</w:t>
      </w:r>
    </w:p>
    <w:p>
      <w:pPr>
        <w:pStyle w:val="BodyText"/>
        <w:spacing w:line="278" w:lineRule="auto" w:before="79"/>
        <w:ind w:left="2692"/>
      </w:pPr>
      <w:r>
        <w:rPr>
          <w:color w:val="262526"/>
        </w:rPr>
        <w:t>The PSFRR was introduced in 2017 as a part of the Emergency Frequency Control Schemes (EFCS) rule.</w:t>
      </w:r>
      <w:r>
        <w:rPr>
          <w:color w:val="262526"/>
          <w:position w:val="8"/>
          <w:sz w:val="12"/>
        </w:rPr>
        <w:t>9 </w:t>
      </w:r>
      <w:r>
        <w:rPr>
          <w:color w:val="262526"/>
        </w:rPr>
        <w:t>The PSFRR is an integrated, transparent framework for the consideration and management of frequency risks that AEMO expects would be likely to involve uncontrolled increases or decreases in frequency leading to cascading outages or major supply disruptions associated with non-credible contingencies. It requires AEMO to consider non-credible contingency events</w:t>
      </w:r>
      <w:r>
        <w:rPr>
          <w:color w:val="262526"/>
          <w:position w:val="8"/>
          <w:sz w:val="12"/>
        </w:rPr>
        <w:t>10 </w:t>
      </w:r>
      <w:r>
        <w:rPr>
          <w:color w:val="262526"/>
        </w:rPr>
        <w:t>that could involve uncontrolled increases or decreases in frequency. The current PSFRR does not oblige AEMO to consider any other non-credible contingency risks to power system security.</w:t>
      </w:r>
    </w:p>
    <w:p>
      <w:pPr>
        <w:pStyle w:val="BodyText"/>
        <w:spacing w:line="278" w:lineRule="auto" w:before="113"/>
        <w:ind w:left="2692" w:right="490"/>
        <w:jc w:val="both"/>
      </w:pPr>
      <w:r>
        <w:rPr>
          <w:color w:val="262526"/>
        </w:rPr>
        <w:t>The 2017 EFCS rule required AEMO to undertake a PSFRR at least every two years.</w:t>
      </w:r>
      <w:r>
        <w:rPr>
          <w:color w:val="262526"/>
          <w:position w:val="8"/>
          <w:sz w:val="12"/>
        </w:rPr>
        <w:t>11 </w:t>
      </w:r>
      <w:r>
        <w:rPr>
          <w:color w:val="262526"/>
        </w:rPr>
        <w:t>This was considered appropriate because it mirrored AEMO’s current practice of reviewing the existing under frequency load shedding settings every two years.</w:t>
      </w:r>
    </w:p>
    <w:p>
      <w:pPr>
        <w:pStyle w:val="BodyText"/>
        <w:spacing w:before="10"/>
        <w:rPr>
          <w:sz w:val="19"/>
        </w:rPr>
      </w:pPr>
      <w:r>
        <w:rPr/>
        <w:pict>
          <v:shape style="position:absolute;margin-left:134.645996pt;margin-top:14.438125pt;width:49.65pt;height:.1pt;mso-position-horizontal-relative:page;mso-position-vertical-relative:paragraph;z-index:-15726080;mso-wrap-distance-left:0;mso-wrap-distance-right:0" coordorigin="2693,289" coordsize="993,0" path="m2693,289l3685,289e" filled="false" stroked="true" strokeweight="1pt" strokecolor="#262526">
            <v:path arrowok="t"/>
            <v:stroke dashstyle="solid"/>
            <w10:wrap type="topAndBottom"/>
          </v:shape>
        </w:pict>
      </w:r>
    </w:p>
    <w:p>
      <w:pPr>
        <w:pStyle w:val="ListParagraph"/>
        <w:numPr>
          <w:ilvl w:val="0"/>
          <w:numId w:val="8"/>
        </w:numPr>
        <w:tabs>
          <w:tab w:pos="3032" w:val="left" w:leader="none"/>
          <w:tab w:pos="3034" w:val="left" w:leader="none"/>
        </w:tabs>
        <w:spacing w:line="240" w:lineRule="auto" w:before="98" w:after="0"/>
        <w:ind w:left="3033" w:right="192" w:hanging="341"/>
        <w:jc w:val="left"/>
        <w:rPr>
          <w:sz w:val="14"/>
        </w:rPr>
      </w:pPr>
      <w:r>
        <w:rPr>
          <w:color w:val="262526"/>
          <w:sz w:val="14"/>
        </w:rPr>
        <w:t>On</w:t>
      </w:r>
      <w:r>
        <w:rPr>
          <w:color w:val="262526"/>
          <w:spacing w:val="-3"/>
          <w:sz w:val="14"/>
        </w:rPr>
        <w:t> </w:t>
      </w:r>
      <w:r>
        <w:rPr>
          <w:color w:val="262526"/>
          <w:sz w:val="14"/>
        </w:rPr>
        <w:t>29</w:t>
      </w:r>
      <w:r>
        <w:rPr>
          <w:color w:val="262526"/>
          <w:spacing w:val="-2"/>
          <w:sz w:val="14"/>
        </w:rPr>
        <w:t> </w:t>
      </w:r>
      <w:r>
        <w:rPr>
          <w:color w:val="262526"/>
          <w:sz w:val="14"/>
        </w:rPr>
        <w:t>May</w:t>
      </w:r>
      <w:r>
        <w:rPr>
          <w:color w:val="262526"/>
          <w:spacing w:val="-2"/>
          <w:sz w:val="14"/>
        </w:rPr>
        <w:t> </w:t>
      </w:r>
      <w:r>
        <w:rPr>
          <w:color w:val="262526"/>
          <w:sz w:val="14"/>
        </w:rPr>
        <w:t>2020,</w:t>
      </w:r>
      <w:r>
        <w:rPr>
          <w:color w:val="262526"/>
          <w:spacing w:val="-2"/>
          <w:sz w:val="14"/>
        </w:rPr>
        <w:t> </w:t>
      </w:r>
      <w:r>
        <w:rPr>
          <w:color w:val="262526"/>
          <w:sz w:val="14"/>
        </w:rPr>
        <w:t>the</w:t>
      </w:r>
      <w:r>
        <w:rPr>
          <w:color w:val="262526"/>
          <w:spacing w:val="-3"/>
          <w:sz w:val="14"/>
        </w:rPr>
        <w:t> </w:t>
      </w:r>
      <w:r>
        <w:rPr>
          <w:color w:val="262526"/>
          <w:sz w:val="14"/>
        </w:rPr>
        <w:t>Prime</w:t>
      </w:r>
      <w:r>
        <w:rPr>
          <w:color w:val="262526"/>
          <w:spacing w:val="-2"/>
          <w:sz w:val="14"/>
        </w:rPr>
        <w:t> </w:t>
      </w:r>
      <w:r>
        <w:rPr>
          <w:color w:val="262526"/>
          <w:sz w:val="14"/>
        </w:rPr>
        <w:t>Minister</w:t>
      </w:r>
      <w:r>
        <w:rPr>
          <w:color w:val="262526"/>
          <w:spacing w:val="-3"/>
          <w:sz w:val="14"/>
        </w:rPr>
        <w:t> </w:t>
      </w:r>
      <w:r>
        <w:rPr>
          <w:color w:val="262526"/>
          <w:sz w:val="14"/>
        </w:rPr>
        <w:t>announced</w:t>
      </w:r>
      <w:r>
        <w:rPr>
          <w:color w:val="262526"/>
          <w:spacing w:val="-2"/>
          <w:sz w:val="14"/>
        </w:rPr>
        <w:t> </w:t>
      </w:r>
      <w:r>
        <w:rPr>
          <w:color w:val="262526"/>
          <w:sz w:val="14"/>
        </w:rPr>
        <w:t>the</w:t>
      </w:r>
      <w:r>
        <w:rPr>
          <w:color w:val="262526"/>
          <w:spacing w:val="-3"/>
          <w:sz w:val="14"/>
        </w:rPr>
        <w:t> </w:t>
      </w:r>
      <w:r>
        <w:rPr>
          <w:color w:val="262526"/>
          <w:sz w:val="14"/>
        </w:rPr>
        <w:t>establishment</w:t>
      </w:r>
      <w:r>
        <w:rPr>
          <w:color w:val="262526"/>
          <w:spacing w:val="-3"/>
          <w:sz w:val="14"/>
        </w:rPr>
        <w:t> </w:t>
      </w:r>
      <w:r>
        <w:rPr>
          <w:color w:val="262526"/>
          <w:sz w:val="14"/>
        </w:rPr>
        <w:t>of</w:t>
      </w:r>
      <w:r>
        <w:rPr>
          <w:color w:val="262526"/>
          <w:spacing w:val="-2"/>
          <w:sz w:val="14"/>
        </w:rPr>
        <w:t> </w:t>
      </w:r>
      <w:r>
        <w:rPr>
          <w:color w:val="262526"/>
          <w:sz w:val="14"/>
        </w:rPr>
        <w:t>the</w:t>
      </w:r>
      <w:r>
        <w:rPr>
          <w:color w:val="262526"/>
          <w:spacing w:val="-3"/>
          <w:sz w:val="14"/>
        </w:rPr>
        <w:t> </w:t>
      </w:r>
      <w:r>
        <w:rPr>
          <w:color w:val="262526"/>
          <w:sz w:val="14"/>
        </w:rPr>
        <w:t>National</w:t>
      </w:r>
      <w:r>
        <w:rPr>
          <w:color w:val="262526"/>
          <w:spacing w:val="-2"/>
          <w:sz w:val="14"/>
        </w:rPr>
        <w:t> </w:t>
      </w:r>
      <w:r>
        <w:rPr>
          <w:color w:val="262526"/>
          <w:sz w:val="14"/>
        </w:rPr>
        <w:t>Federation</w:t>
      </w:r>
      <w:r>
        <w:rPr>
          <w:color w:val="262526"/>
          <w:spacing w:val="-3"/>
          <w:sz w:val="14"/>
        </w:rPr>
        <w:t> </w:t>
      </w:r>
      <w:r>
        <w:rPr>
          <w:color w:val="262526"/>
          <w:sz w:val="14"/>
        </w:rPr>
        <w:t>Reform</w:t>
      </w:r>
      <w:r>
        <w:rPr>
          <w:color w:val="262526"/>
          <w:spacing w:val="-2"/>
          <w:sz w:val="14"/>
        </w:rPr>
        <w:t> </w:t>
      </w:r>
      <w:r>
        <w:rPr>
          <w:color w:val="262526"/>
          <w:sz w:val="14"/>
        </w:rPr>
        <w:t>Council</w:t>
      </w:r>
      <w:r>
        <w:rPr>
          <w:color w:val="262526"/>
          <w:spacing w:val="-2"/>
          <w:sz w:val="14"/>
        </w:rPr>
        <w:t> </w:t>
      </w:r>
      <w:r>
        <w:rPr>
          <w:color w:val="262526"/>
          <w:sz w:val="14"/>
        </w:rPr>
        <w:t>and</w:t>
      </w:r>
      <w:r>
        <w:rPr>
          <w:color w:val="262526"/>
          <w:spacing w:val="-2"/>
          <w:sz w:val="14"/>
        </w:rPr>
        <w:t> </w:t>
      </w:r>
      <w:r>
        <w:rPr>
          <w:color w:val="262526"/>
          <w:sz w:val="14"/>
        </w:rPr>
        <w:t>the</w:t>
      </w:r>
      <w:r>
        <w:rPr>
          <w:color w:val="262526"/>
          <w:spacing w:val="-3"/>
          <w:sz w:val="14"/>
        </w:rPr>
        <w:t> </w:t>
      </w:r>
      <w:r>
        <w:rPr>
          <w:color w:val="262526"/>
          <w:sz w:val="14"/>
        </w:rPr>
        <w:t>disbanding of the COAG. New arrangements for the former COAG Energy Council will be finalised following the National Cabinet Review of COAG Councils and Ministerial Forums. The Prime Minister has advised that, while this change is being implemented, former Councils may continue meeting as a Ministerial Forum to progress critical and/or well-developed</w:t>
      </w:r>
      <w:r>
        <w:rPr>
          <w:color w:val="262526"/>
          <w:spacing w:val="-14"/>
          <w:sz w:val="14"/>
        </w:rPr>
        <w:t> </w:t>
      </w:r>
      <w:r>
        <w:rPr>
          <w:color w:val="262526"/>
          <w:sz w:val="14"/>
        </w:rPr>
        <w:t>work.</w:t>
      </w:r>
    </w:p>
    <w:p>
      <w:pPr>
        <w:pStyle w:val="ListParagraph"/>
        <w:numPr>
          <w:ilvl w:val="0"/>
          <w:numId w:val="8"/>
        </w:numPr>
        <w:tabs>
          <w:tab w:pos="3032" w:val="left" w:leader="none"/>
          <w:tab w:pos="3034" w:val="left" w:leader="none"/>
        </w:tabs>
        <w:spacing w:line="240" w:lineRule="auto" w:before="52" w:after="0"/>
        <w:ind w:left="3033" w:right="0" w:hanging="342"/>
        <w:jc w:val="left"/>
        <w:rPr>
          <w:sz w:val="14"/>
        </w:rPr>
      </w:pPr>
      <w:r>
        <w:rPr>
          <w:color w:val="262526"/>
          <w:sz w:val="14"/>
        </w:rPr>
        <w:t>COAG Energy Council, rule change request, p.</w:t>
      </w:r>
      <w:r>
        <w:rPr>
          <w:color w:val="262526"/>
          <w:spacing w:val="-5"/>
          <w:sz w:val="14"/>
        </w:rPr>
        <w:t> </w:t>
      </w:r>
      <w:r>
        <w:rPr>
          <w:color w:val="262526"/>
          <w:sz w:val="14"/>
        </w:rPr>
        <w:t>1.</w:t>
      </w:r>
    </w:p>
    <w:p>
      <w:pPr>
        <w:pStyle w:val="ListParagraph"/>
        <w:numPr>
          <w:ilvl w:val="0"/>
          <w:numId w:val="8"/>
        </w:numPr>
        <w:tabs>
          <w:tab w:pos="3032" w:val="left" w:leader="none"/>
          <w:tab w:pos="3034" w:val="left" w:leader="none"/>
        </w:tabs>
        <w:spacing w:line="240" w:lineRule="auto" w:before="56" w:after="0"/>
        <w:ind w:left="3033" w:right="0" w:hanging="342"/>
        <w:jc w:val="left"/>
        <w:rPr>
          <w:sz w:val="14"/>
        </w:rPr>
      </w:pPr>
      <w:r>
        <w:rPr>
          <w:color w:val="262526"/>
          <w:sz w:val="14"/>
        </w:rPr>
        <w:t>For</w:t>
      </w:r>
      <w:r>
        <w:rPr>
          <w:color w:val="262526"/>
          <w:spacing w:val="-12"/>
          <w:sz w:val="14"/>
        </w:rPr>
        <w:t> </w:t>
      </w:r>
      <w:r>
        <w:rPr>
          <w:color w:val="262526"/>
          <w:sz w:val="14"/>
        </w:rPr>
        <w:t>more</w:t>
      </w:r>
      <w:r>
        <w:rPr>
          <w:color w:val="262526"/>
          <w:spacing w:val="-12"/>
          <w:sz w:val="14"/>
        </w:rPr>
        <w:t> </w:t>
      </w:r>
      <w:r>
        <w:rPr>
          <w:color w:val="262526"/>
          <w:sz w:val="14"/>
        </w:rPr>
        <w:t>information,</w:t>
      </w:r>
      <w:r>
        <w:rPr>
          <w:color w:val="262526"/>
          <w:spacing w:val="-11"/>
          <w:sz w:val="14"/>
        </w:rPr>
        <w:t> </w:t>
      </w:r>
      <w:r>
        <w:rPr>
          <w:color w:val="262526"/>
          <w:sz w:val="14"/>
        </w:rPr>
        <w:t>see:</w:t>
      </w:r>
      <w:r>
        <w:rPr>
          <w:color w:val="0000FF"/>
          <w:spacing w:val="-13"/>
          <w:sz w:val="14"/>
        </w:rPr>
        <w:t> </w:t>
      </w:r>
      <w:hyperlink r:id="rId11">
        <w:r>
          <w:rPr>
            <w:color w:val="0000FF"/>
            <w:sz w:val="14"/>
            <w:u w:val="single" w:color="0000FF"/>
          </w:rPr>
          <w:t>https://www.aemc.gov.au/markets-reviews-advice/review-of-the-system-black-event-in-south-austral</w:t>
        </w:r>
        <w:r>
          <w:rPr>
            <w:color w:val="0000FF"/>
            <w:sz w:val="14"/>
          </w:rPr>
          <w:t>i</w:t>
        </w:r>
      </w:hyperlink>
    </w:p>
    <w:p>
      <w:pPr>
        <w:pStyle w:val="ListParagraph"/>
        <w:numPr>
          <w:ilvl w:val="0"/>
          <w:numId w:val="8"/>
        </w:numPr>
        <w:tabs>
          <w:tab w:pos="3032" w:val="left" w:leader="none"/>
          <w:tab w:pos="3034" w:val="left" w:leader="none"/>
        </w:tabs>
        <w:spacing w:line="240" w:lineRule="auto" w:before="56" w:after="0"/>
        <w:ind w:left="3033" w:right="0" w:hanging="342"/>
        <w:jc w:val="left"/>
        <w:rPr>
          <w:sz w:val="14"/>
        </w:rPr>
      </w:pPr>
      <w:r>
        <w:rPr>
          <w:color w:val="262526"/>
          <w:sz w:val="14"/>
        </w:rPr>
        <w:t>National Electricity Amendment (Emergency frequency control schemes) Rule 2017 No.</w:t>
      </w:r>
      <w:r>
        <w:rPr>
          <w:color w:val="262526"/>
          <w:spacing w:val="-9"/>
          <w:sz w:val="14"/>
        </w:rPr>
        <w:t> </w:t>
      </w:r>
      <w:r>
        <w:rPr>
          <w:color w:val="262526"/>
          <w:sz w:val="14"/>
        </w:rPr>
        <w:t>2.</w:t>
      </w:r>
    </w:p>
    <w:p>
      <w:pPr>
        <w:pStyle w:val="ListParagraph"/>
        <w:numPr>
          <w:ilvl w:val="0"/>
          <w:numId w:val="8"/>
        </w:numPr>
        <w:tabs>
          <w:tab w:pos="3034" w:val="left" w:leader="none"/>
        </w:tabs>
        <w:spacing w:line="240" w:lineRule="auto" w:before="56" w:after="0"/>
        <w:ind w:left="3033" w:right="0" w:hanging="342"/>
        <w:jc w:val="left"/>
        <w:rPr>
          <w:sz w:val="14"/>
        </w:rPr>
      </w:pPr>
      <w:r>
        <w:rPr>
          <w:color w:val="262526"/>
          <w:sz w:val="14"/>
        </w:rPr>
        <w:t>For the definition of a non-credible contingency event, see box</w:t>
      </w:r>
      <w:r>
        <w:rPr>
          <w:color w:val="262526"/>
          <w:spacing w:val="-7"/>
          <w:sz w:val="14"/>
        </w:rPr>
        <w:t> </w:t>
      </w:r>
      <w:r>
        <w:rPr>
          <w:color w:val="262526"/>
          <w:sz w:val="14"/>
        </w:rPr>
        <w:t>1.</w:t>
      </w:r>
    </w:p>
    <w:p>
      <w:pPr>
        <w:pStyle w:val="ListParagraph"/>
        <w:numPr>
          <w:ilvl w:val="0"/>
          <w:numId w:val="8"/>
        </w:numPr>
        <w:tabs>
          <w:tab w:pos="3034" w:val="left" w:leader="none"/>
        </w:tabs>
        <w:spacing w:line="240" w:lineRule="auto" w:before="55" w:after="0"/>
        <w:ind w:left="3033" w:right="0" w:hanging="342"/>
        <w:jc w:val="left"/>
        <w:rPr>
          <w:sz w:val="14"/>
        </w:rPr>
      </w:pPr>
      <w:r>
        <w:rPr>
          <w:color w:val="262526"/>
          <w:sz w:val="14"/>
        </w:rPr>
        <w:t>National Electricity Amendment (Emergency frequency control schemes) Rule 2017 No.</w:t>
      </w:r>
      <w:r>
        <w:rPr>
          <w:color w:val="262526"/>
          <w:spacing w:val="-9"/>
          <w:sz w:val="14"/>
        </w:rPr>
        <w:t> </w:t>
      </w:r>
      <w:r>
        <w:rPr>
          <w:color w:val="262526"/>
          <w:sz w:val="14"/>
        </w:rPr>
        <w:t>2.</w:t>
      </w:r>
    </w:p>
    <w:p>
      <w:pPr>
        <w:spacing w:after="0" w:line="240" w:lineRule="auto"/>
        <w:jc w:val="left"/>
        <w:rPr>
          <w:sz w:val="14"/>
        </w:rPr>
        <w:sectPr>
          <w:headerReference w:type="default" r:id="rId14"/>
          <w:footerReference w:type="default" r:id="rId15"/>
          <w:pgSz w:w="11910" w:h="16840"/>
          <w:pgMar w:header="808" w:footer="767" w:top="1460" w:bottom="960" w:left="0" w:right="74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5"/>
        </w:rPr>
      </w:pPr>
    </w:p>
    <w:p>
      <w:pPr>
        <w:pStyle w:val="Heading3"/>
        <w:ind w:left="2929"/>
      </w:pPr>
      <w:r>
        <w:rPr/>
        <w:pict>
          <v:rect style="position:absolute;margin-left:134.895996pt;margin-top:-3.07715pt;width:416.5pt;height:474.276pt;mso-position-horizontal-relative:page;mso-position-vertical-relative:paragraph;z-index:-16631296" filled="false" stroked="true" strokeweight=".5pt" strokecolor="#00acec">
            <v:stroke dashstyle="solid"/>
            <w10:wrap type="none"/>
          </v:rect>
        </w:pict>
      </w:r>
      <w:r>
        <w:rPr>
          <w:color w:val="00ACEC"/>
        </w:rPr>
        <w:t>BOX 1: </w:t>
      </w:r>
      <w:r>
        <w:rPr>
          <w:color w:val="262526"/>
        </w:rPr>
        <w:t>SECURE OPERATING ENVIRONMENT</w:t>
      </w:r>
    </w:p>
    <w:p>
      <w:pPr>
        <w:pStyle w:val="BodyText"/>
        <w:spacing w:line="278" w:lineRule="auto" w:before="148"/>
        <w:ind w:left="2929" w:right="295"/>
      </w:pPr>
      <w:r>
        <w:rPr>
          <w:color w:val="464646"/>
        </w:rPr>
        <w:t>When</w:t>
      </w:r>
      <w:r>
        <w:rPr>
          <w:color w:val="464646"/>
          <w:spacing w:val="-25"/>
        </w:rPr>
        <w:t> </w:t>
      </w:r>
      <w:r>
        <w:rPr>
          <w:color w:val="464646"/>
        </w:rPr>
        <w:t>the</w:t>
      </w:r>
      <w:r>
        <w:rPr>
          <w:color w:val="464646"/>
          <w:spacing w:val="-24"/>
        </w:rPr>
        <w:t> </w:t>
      </w:r>
      <w:r>
        <w:rPr>
          <w:color w:val="464646"/>
        </w:rPr>
        <w:t>system</w:t>
      </w:r>
      <w:r>
        <w:rPr>
          <w:color w:val="464646"/>
          <w:spacing w:val="-24"/>
        </w:rPr>
        <w:t> </w:t>
      </w:r>
      <w:r>
        <w:rPr>
          <w:color w:val="464646"/>
        </w:rPr>
        <w:t>is</w:t>
      </w:r>
      <w:r>
        <w:rPr>
          <w:color w:val="464646"/>
          <w:spacing w:val="-25"/>
        </w:rPr>
        <w:t> </w:t>
      </w:r>
      <w:r>
        <w:rPr>
          <w:color w:val="464646"/>
        </w:rPr>
        <w:t>operating</w:t>
      </w:r>
      <w:r>
        <w:rPr>
          <w:color w:val="464646"/>
          <w:spacing w:val="-24"/>
        </w:rPr>
        <w:t> </w:t>
      </w:r>
      <w:r>
        <w:rPr>
          <w:color w:val="464646"/>
        </w:rPr>
        <w:t>within</w:t>
      </w:r>
      <w:r>
        <w:rPr>
          <w:color w:val="464646"/>
          <w:spacing w:val="-24"/>
        </w:rPr>
        <w:t> </w:t>
      </w:r>
      <w:r>
        <w:rPr>
          <w:color w:val="464646"/>
        </w:rPr>
        <w:t>the</w:t>
      </w:r>
      <w:r>
        <w:rPr>
          <w:color w:val="464646"/>
          <w:spacing w:val="-25"/>
        </w:rPr>
        <w:t> </w:t>
      </w:r>
      <w:r>
        <w:rPr>
          <w:color w:val="464646"/>
        </w:rPr>
        <w:t>range</w:t>
      </w:r>
      <w:r>
        <w:rPr>
          <w:color w:val="464646"/>
          <w:spacing w:val="-24"/>
        </w:rPr>
        <w:t> </w:t>
      </w:r>
      <w:r>
        <w:rPr>
          <w:color w:val="464646"/>
        </w:rPr>
        <w:t>of</w:t>
      </w:r>
      <w:r>
        <w:rPr>
          <w:color w:val="464646"/>
          <w:spacing w:val="-24"/>
        </w:rPr>
        <w:t> </w:t>
      </w:r>
      <w:r>
        <w:rPr>
          <w:color w:val="464646"/>
        </w:rPr>
        <w:t>acceptable</w:t>
      </w:r>
      <w:r>
        <w:rPr>
          <w:color w:val="464646"/>
          <w:spacing w:val="-25"/>
        </w:rPr>
        <w:t> </w:t>
      </w:r>
      <w:r>
        <w:rPr>
          <w:color w:val="464646"/>
        </w:rPr>
        <w:t>limits</w:t>
      </w:r>
      <w:r>
        <w:rPr>
          <w:color w:val="464646"/>
          <w:spacing w:val="-24"/>
        </w:rPr>
        <w:t> </w:t>
      </w:r>
      <w:r>
        <w:rPr>
          <w:color w:val="464646"/>
        </w:rPr>
        <w:t>it</w:t>
      </w:r>
      <w:r>
        <w:rPr>
          <w:color w:val="464646"/>
          <w:spacing w:val="-24"/>
        </w:rPr>
        <w:t> </w:t>
      </w:r>
      <w:r>
        <w:rPr>
          <w:color w:val="464646"/>
        </w:rPr>
        <w:t>is</w:t>
      </w:r>
      <w:r>
        <w:rPr>
          <w:color w:val="464646"/>
          <w:spacing w:val="-24"/>
        </w:rPr>
        <w:t> </w:t>
      </w:r>
      <w:r>
        <w:rPr>
          <w:color w:val="464646"/>
        </w:rPr>
        <w:t>considered</w:t>
      </w:r>
      <w:r>
        <w:rPr>
          <w:color w:val="464646"/>
          <w:spacing w:val="-25"/>
        </w:rPr>
        <w:t> </w:t>
      </w:r>
      <w:r>
        <w:rPr>
          <w:color w:val="464646"/>
        </w:rPr>
        <w:t>to</w:t>
      </w:r>
      <w:r>
        <w:rPr>
          <w:color w:val="464646"/>
          <w:spacing w:val="-24"/>
        </w:rPr>
        <w:t> </w:t>
      </w:r>
      <w:r>
        <w:rPr>
          <w:color w:val="464646"/>
        </w:rPr>
        <w:t>be secure.</w:t>
      </w:r>
      <w:r>
        <w:rPr>
          <w:color w:val="464646"/>
          <w:spacing w:val="-26"/>
        </w:rPr>
        <w:t> </w:t>
      </w:r>
      <w:r>
        <w:rPr>
          <w:color w:val="464646"/>
        </w:rPr>
        <w:t>For</w:t>
      </w:r>
      <w:r>
        <w:rPr>
          <w:color w:val="464646"/>
          <w:spacing w:val="-26"/>
        </w:rPr>
        <w:t> </w:t>
      </w:r>
      <w:r>
        <w:rPr>
          <w:color w:val="464646"/>
          <w:spacing w:val="-3"/>
        </w:rPr>
        <w:t>frequency,</w:t>
      </w:r>
      <w:r>
        <w:rPr>
          <w:color w:val="464646"/>
          <w:spacing w:val="-26"/>
        </w:rPr>
        <w:t> </w:t>
      </w:r>
      <w:r>
        <w:rPr>
          <w:color w:val="464646"/>
        </w:rPr>
        <w:t>the</w:t>
      </w:r>
      <w:r>
        <w:rPr>
          <w:color w:val="464646"/>
          <w:spacing w:val="-25"/>
        </w:rPr>
        <w:t> </w:t>
      </w:r>
      <w:r>
        <w:rPr>
          <w:color w:val="464646"/>
        </w:rPr>
        <w:t>optimal</w:t>
      </w:r>
      <w:r>
        <w:rPr>
          <w:color w:val="464646"/>
          <w:spacing w:val="-26"/>
        </w:rPr>
        <w:t> </w:t>
      </w:r>
      <w:r>
        <w:rPr>
          <w:color w:val="464646"/>
        </w:rPr>
        <w:t>operation</w:t>
      </w:r>
      <w:r>
        <w:rPr>
          <w:color w:val="464646"/>
          <w:spacing w:val="-26"/>
        </w:rPr>
        <w:t> </w:t>
      </w:r>
      <w:r>
        <w:rPr>
          <w:color w:val="464646"/>
        </w:rPr>
        <w:t>of</w:t>
      </w:r>
      <w:r>
        <w:rPr>
          <w:color w:val="464646"/>
          <w:spacing w:val="-26"/>
        </w:rPr>
        <w:t> </w:t>
      </w:r>
      <w:r>
        <w:rPr>
          <w:color w:val="464646"/>
        </w:rPr>
        <w:t>the</w:t>
      </w:r>
      <w:r>
        <w:rPr>
          <w:color w:val="464646"/>
          <w:spacing w:val="-25"/>
        </w:rPr>
        <w:t> </w:t>
      </w:r>
      <w:r>
        <w:rPr>
          <w:color w:val="464646"/>
        </w:rPr>
        <w:t>system</w:t>
      </w:r>
      <w:r>
        <w:rPr>
          <w:color w:val="464646"/>
          <w:spacing w:val="-26"/>
        </w:rPr>
        <w:t> </w:t>
      </w:r>
      <w:r>
        <w:rPr>
          <w:color w:val="464646"/>
        </w:rPr>
        <w:t>is</w:t>
      </w:r>
      <w:r>
        <w:rPr>
          <w:color w:val="464646"/>
          <w:spacing w:val="-26"/>
        </w:rPr>
        <w:t> </w:t>
      </w:r>
      <w:r>
        <w:rPr>
          <w:color w:val="464646"/>
        </w:rPr>
        <w:t>50</w:t>
      </w:r>
      <w:r>
        <w:rPr>
          <w:color w:val="464646"/>
          <w:spacing w:val="-25"/>
        </w:rPr>
        <w:t> </w:t>
      </w:r>
      <w:r>
        <w:rPr>
          <w:color w:val="464646"/>
        </w:rPr>
        <w:t>cycles</w:t>
      </w:r>
      <w:r>
        <w:rPr>
          <w:color w:val="464646"/>
          <w:spacing w:val="-26"/>
        </w:rPr>
        <w:t> </w:t>
      </w:r>
      <w:r>
        <w:rPr>
          <w:color w:val="464646"/>
        </w:rPr>
        <w:t>per</w:t>
      </w:r>
      <w:r>
        <w:rPr>
          <w:color w:val="464646"/>
          <w:spacing w:val="-26"/>
        </w:rPr>
        <w:t> </w:t>
      </w:r>
      <w:r>
        <w:rPr>
          <w:color w:val="464646"/>
        </w:rPr>
        <w:t>second,</w:t>
      </w:r>
      <w:r>
        <w:rPr>
          <w:color w:val="464646"/>
          <w:spacing w:val="-26"/>
        </w:rPr>
        <w:t> </w:t>
      </w:r>
      <w:r>
        <w:rPr>
          <w:color w:val="464646"/>
        </w:rPr>
        <w:t>or</w:t>
      </w:r>
      <w:r>
        <w:rPr>
          <w:color w:val="464646"/>
          <w:spacing w:val="-25"/>
        </w:rPr>
        <w:t> </w:t>
      </w:r>
      <w:r>
        <w:rPr>
          <w:color w:val="464646"/>
        </w:rPr>
        <w:t>50 Hertz.</w:t>
      </w:r>
      <w:r>
        <w:rPr>
          <w:color w:val="464646"/>
          <w:spacing w:val="-36"/>
        </w:rPr>
        <w:t> </w:t>
      </w:r>
      <w:r>
        <w:rPr>
          <w:color w:val="464646"/>
        </w:rPr>
        <w:t>A</w:t>
      </w:r>
      <w:r>
        <w:rPr>
          <w:color w:val="464646"/>
          <w:spacing w:val="-36"/>
        </w:rPr>
        <w:t> </w:t>
      </w:r>
      <w:r>
        <w:rPr>
          <w:color w:val="464646"/>
        </w:rPr>
        <w:t>secure</w:t>
      </w:r>
      <w:r>
        <w:rPr>
          <w:color w:val="464646"/>
          <w:spacing w:val="-36"/>
        </w:rPr>
        <w:t> </w:t>
      </w:r>
      <w:r>
        <w:rPr>
          <w:color w:val="464646"/>
        </w:rPr>
        <w:t>power</w:t>
      </w:r>
      <w:r>
        <w:rPr>
          <w:color w:val="464646"/>
          <w:spacing w:val="-36"/>
        </w:rPr>
        <w:t> </w:t>
      </w:r>
      <w:r>
        <w:rPr>
          <w:color w:val="464646"/>
        </w:rPr>
        <w:t>system</w:t>
      </w:r>
      <w:r>
        <w:rPr>
          <w:color w:val="464646"/>
          <w:spacing w:val="-35"/>
        </w:rPr>
        <w:t> </w:t>
      </w:r>
      <w:r>
        <w:rPr>
          <w:color w:val="464646"/>
        </w:rPr>
        <w:t>is</w:t>
      </w:r>
      <w:r>
        <w:rPr>
          <w:color w:val="464646"/>
          <w:spacing w:val="-36"/>
        </w:rPr>
        <w:t> </w:t>
      </w:r>
      <w:r>
        <w:rPr>
          <w:color w:val="464646"/>
        </w:rPr>
        <w:t>designed</w:t>
      </w:r>
      <w:r>
        <w:rPr>
          <w:color w:val="464646"/>
          <w:spacing w:val="-36"/>
        </w:rPr>
        <w:t> </w:t>
      </w:r>
      <w:r>
        <w:rPr>
          <w:color w:val="464646"/>
        </w:rPr>
        <w:t>to</w:t>
      </w:r>
      <w:r>
        <w:rPr>
          <w:color w:val="464646"/>
          <w:spacing w:val="-36"/>
        </w:rPr>
        <w:t> </w:t>
      </w:r>
      <w:r>
        <w:rPr>
          <w:color w:val="464646"/>
        </w:rPr>
        <w:t>withstand</w:t>
      </w:r>
      <w:r>
        <w:rPr>
          <w:color w:val="464646"/>
          <w:spacing w:val="-36"/>
        </w:rPr>
        <w:t> </w:t>
      </w:r>
      <w:r>
        <w:rPr>
          <w:color w:val="464646"/>
        </w:rPr>
        <w:t>a</w:t>
      </w:r>
      <w:r>
        <w:rPr>
          <w:color w:val="464646"/>
          <w:spacing w:val="-35"/>
        </w:rPr>
        <w:t> </w:t>
      </w:r>
      <w:r>
        <w:rPr>
          <w:color w:val="464646"/>
        </w:rPr>
        <w:t>single</w:t>
      </w:r>
      <w:r>
        <w:rPr>
          <w:color w:val="464646"/>
          <w:spacing w:val="-36"/>
        </w:rPr>
        <w:t> </w:t>
      </w:r>
      <w:r>
        <w:rPr>
          <w:color w:val="464646"/>
        </w:rPr>
        <w:t>credible</w:t>
      </w:r>
      <w:r>
        <w:rPr>
          <w:color w:val="464646"/>
          <w:spacing w:val="-36"/>
        </w:rPr>
        <w:t> </w:t>
      </w:r>
      <w:r>
        <w:rPr>
          <w:color w:val="464646"/>
        </w:rPr>
        <w:t>contingency</w:t>
      </w:r>
      <w:r>
        <w:rPr>
          <w:color w:val="464646"/>
          <w:spacing w:val="-36"/>
        </w:rPr>
        <w:t> </w:t>
      </w:r>
      <w:r>
        <w:rPr>
          <w:color w:val="464646"/>
        </w:rPr>
        <w:t>event.</w:t>
      </w:r>
    </w:p>
    <w:p>
      <w:pPr>
        <w:pStyle w:val="Heading4"/>
        <w:ind w:left="2929"/>
      </w:pPr>
      <w:r>
        <w:rPr>
          <w:color w:val="464646"/>
        </w:rPr>
        <w:t>Contingency events</w:t>
      </w:r>
    </w:p>
    <w:p>
      <w:pPr>
        <w:pStyle w:val="BodyText"/>
        <w:spacing w:line="278" w:lineRule="auto" w:before="152"/>
        <w:ind w:left="2929" w:right="295"/>
      </w:pPr>
      <w:r>
        <w:rPr>
          <w:color w:val="464646"/>
        </w:rPr>
        <w:t>A contingency event is defined in clause 4.2.3(a) of the NER as an event that affects the power system in a way which would likely involve the failure or sudden and unexpected removal</w:t>
      </w:r>
      <w:r>
        <w:rPr>
          <w:color w:val="464646"/>
          <w:spacing w:val="-32"/>
        </w:rPr>
        <w:t> </w:t>
      </w:r>
      <w:r>
        <w:rPr>
          <w:color w:val="464646"/>
        </w:rPr>
        <w:t>from</w:t>
      </w:r>
      <w:r>
        <w:rPr>
          <w:color w:val="464646"/>
          <w:spacing w:val="-31"/>
        </w:rPr>
        <w:t> </w:t>
      </w:r>
      <w:r>
        <w:rPr>
          <w:color w:val="464646"/>
        </w:rPr>
        <w:t>operational</w:t>
      </w:r>
      <w:r>
        <w:rPr>
          <w:color w:val="464646"/>
          <w:spacing w:val="-31"/>
        </w:rPr>
        <w:t> </w:t>
      </w:r>
      <w:r>
        <w:rPr>
          <w:color w:val="464646"/>
        </w:rPr>
        <w:t>service</w:t>
      </w:r>
      <w:r>
        <w:rPr>
          <w:color w:val="464646"/>
          <w:spacing w:val="-32"/>
        </w:rPr>
        <w:t> </w:t>
      </w:r>
      <w:r>
        <w:rPr>
          <w:color w:val="464646"/>
        </w:rPr>
        <w:t>of</w:t>
      </w:r>
      <w:r>
        <w:rPr>
          <w:color w:val="464646"/>
          <w:spacing w:val="-31"/>
        </w:rPr>
        <w:t> </w:t>
      </w:r>
      <w:r>
        <w:rPr>
          <w:color w:val="464646"/>
        </w:rPr>
        <w:t>one</w:t>
      </w:r>
      <w:r>
        <w:rPr>
          <w:color w:val="464646"/>
          <w:spacing w:val="-31"/>
        </w:rPr>
        <w:t> </w:t>
      </w:r>
      <w:r>
        <w:rPr>
          <w:color w:val="464646"/>
        </w:rPr>
        <w:t>or</w:t>
      </w:r>
      <w:r>
        <w:rPr>
          <w:color w:val="464646"/>
          <w:spacing w:val="-32"/>
        </w:rPr>
        <w:t> </w:t>
      </w:r>
      <w:r>
        <w:rPr>
          <w:color w:val="464646"/>
        </w:rPr>
        <w:t>more</w:t>
      </w:r>
      <w:r>
        <w:rPr>
          <w:color w:val="464646"/>
          <w:spacing w:val="-31"/>
        </w:rPr>
        <w:t> </w:t>
      </w:r>
      <w:r>
        <w:rPr>
          <w:color w:val="464646"/>
        </w:rPr>
        <w:t>generating</w:t>
      </w:r>
      <w:r>
        <w:rPr>
          <w:color w:val="464646"/>
          <w:spacing w:val="-31"/>
        </w:rPr>
        <w:t> </w:t>
      </w:r>
      <w:r>
        <w:rPr>
          <w:color w:val="464646"/>
        </w:rPr>
        <w:t>units</w:t>
      </w:r>
      <w:r>
        <w:rPr>
          <w:color w:val="464646"/>
          <w:spacing w:val="-31"/>
        </w:rPr>
        <w:t> </w:t>
      </w:r>
      <w:r>
        <w:rPr>
          <w:color w:val="464646"/>
        </w:rPr>
        <w:t>or</w:t>
      </w:r>
      <w:r>
        <w:rPr>
          <w:color w:val="464646"/>
          <w:spacing w:val="-32"/>
        </w:rPr>
        <w:t> </w:t>
      </w:r>
      <w:r>
        <w:rPr>
          <w:color w:val="464646"/>
        </w:rPr>
        <w:t>transmission</w:t>
      </w:r>
      <w:r>
        <w:rPr>
          <w:color w:val="464646"/>
          <w:spacing w:val="-31"/>
        </w:rPr>
        <w:t> </w:t>
      </w:r>
      <w:r>
        <w:rPr>
          <w:color w:val="464646"/>
        </w:rPr>
        <w:t>elements. </w:t>
      </w:r>
      <w:r>
        <w:rPr>
          <w:color w:val="464646"/>
          <w:w w:val="95"/>
        </w:rPr>
        <w:t>There</w:t>
      </w:r>
      <w:r>
        <w:rPr>
          <w:color w:val="464646"/>
          <w:spacing w:val="-9"/>
          <w:w w:val="95"/>
        </w:rPr>
        <w:t> </w:t>
      </w:r>
      <w:r>
        <w:rPr>
          <w:color w:val="464646"/>
          <w:w w:val="95"/>
        </w:rPr>
        <w:t>are</w:t>
      </w:r>
      <w:r>
        <w:rPr>
          <w:color w:val="464646"/>
          <w:spacing w:val="-8"/>
          <w:w w:val="95"/>
        </w:rPr>
        <w:t> </w:t>
      </w:r>
      <w:r>
        <w:rPr>
          <w:color w:val="464646"/>
          <w:w w:val="95"/>
        </w:rPr>
        <w:t>two</w:t>
      </w:r>
      <w:r>
        <w:rPr>
          <w:color w:val="464646"/>
          <w:spacing w:val="-8"/>
          <w:w w:val="95"/>
        </w:rPr>
        <w:t> </w:t>
      </w:r>
      <w:r>
        <w:rPr>
          <w:color w:val="464646"/>
          <w:w w:val="95"/>
        </w:rPr>
        <w:t>categories</w:t>
      </w:r>
      <w:r>
        <w:rPr>
          <w:color w:val="464646"/>
          <w:spacing w:val="-9"/>
          <w:w w:val="95"/>
        </w:rPr>
        <w:t> </w:t>
      </w:r>
      <w:r>
        <w:rPr>
          <w:color w:val="464646"/>
          <w:w w:val="95"/>
        </w:rPr>
        <w:t>of</w:t>
      </w:r>
      <w:r>
        <w:rPr>
          <w:color w:val="464646"/>
          <w:spacing w:val="-8"/>
          <w:w w:val="95"/>
        </w:rPr>
        <w:t> </w:t>
      </w:r>
      <w:r>
        <w:rPr>
          <w:color w:val="464646"/>
          <w:w w:val="95"/>
        </w:rPr>
        <w:t>contingency</w:t>
      </w:r>
      <w:r>
        <w:rPr>
          <w:color w:val="464646"/>
          <w:spacing w:val="-8"/>
          <w:w w:val="95"/>
        </w:rPr>
        <w:t> </w:t>
      </w:r>
      <w:r>
        <w:rPr>
          <w:color w:val="464646"/>
          <w:w w:val="95"/>
        </w:rPr>
        <w:t>events:</w:t>
      </w:r>
      <w:r>
        <w:rPr>
          <w:color w:val="464646"/>
          <w:spacing w:val="-8"/>
          <w:w w:val="95"/>
        </w:rPr>
        <w:t> </w:t>
      </w:r>
      <w:r>
        <w:rPr>
          <w:color w:val="464646"/>
          <w:w w:val="95"/>
        </w:rPr>
        <w:t>credible</w:t>
      </w:r>
      <w:r>
        <w:rPr>
          <w:color w:val="464646"/>
          <w:spacing w:val="-9"/>
          <w:w w:val="95"/>
        </w:rPr>
        <w:t> </w:t>
      </w:r>
      <w:r>
        <w:rPr>
          <w:color w:val="464646"/>
          <w:w w:val="95"/>
        </w:rPr>
        <w:t>contingency</w:t>
      </w:r>
      <w:r>
        <w:rPr>
          <w:color w:val="464646"/>
          <w:spacing w:val="-8"/>
          <w:w w:val="95"/>
        </w:rPr>
        <w:t> </w:t>
      </w:r>
      <w:r>
        <w:rPr>
          <w:color w:val="464646"/>
          <w:w w:val="95"/>
        </w:rPr>
        <w:t>events</w:t>
      </w:r>
      <w:r>
        <w:rPr>
          <w:color w:val="464646"/>
          <w:spacing w:val="-8"/>
          <w:w w:val="95"/>
        </w:rPr>
        <w:t> </w:t>
      </w:r>
      <w:r>
        <w:rPr>
          <w:color w:val="464646"/>
          <w:w w:val="95"/>
        </w:rPr>
        <w:t>and</w:t>
      </w:r>
      <w:r>
        <w:rPr>
          <w:color w:val="464646"/>
          <w:spacing w:val="-9"/>
          <w:w w:val="95"/>
        </w:rPr>
        <w:t> </w:t>
      </w:r>
      <w:r>
        <w:rPr>
          <w:color w:val="464646"/>
          <w:w w:val="95"/>
        </w:rPr>
        <w:t>non-credible </w:t>
      </w:r>
      <w:r>
        <w:rPr>
          <w:color w:val="464646"/>
        </w:rPr>
        <w:t>contingency</w:t>
      </w:r>
      <w:r>
        <w:rPr>
          <w:color w:val="464646"/>
          <w:spacing w:val="-6"/>
        </w:rPr>
        <w:t> </w:t>
      </w:r>
      <w:r>
        <w:rPr>
          <w:color w:val="464646"/>
        </w:rPr>
        <w:t>events.</w:t>
      </w:r>
    </w:p>
    <w:p>
      <w:pPr>
        <w:pStyle w:val="Heading4"/>
        <w:spacing w:before="114"/>
        <w:ind w:left="2929"/>
      </w:pPr>
      <w:r>
        <w:rPr>
          <w:color w:val="464646"/>
        </w:rPr>
        <w:t>Credible contingency events</w:t>
      </w:r>
    </w:p>
    <w:p>
      <w:pPr>
        <w:pStyle w:val="BodyText"/>
        <w:spacing w:line="278" w:lineRule="auto" w:before="152"/>
        <w:ind w:left="2929" w:right="412"/>
      </w:pPr>
      <w:r>
        <w:rPr>
          <w:color w:val="464646"/>
        </w:rPr>
        <w:t>Credible</w:t>
      </w:r>
      <w:r>
        <w:rPr>
          <w:color w:val="464646"/>
          <w:spacing w:val="-36"/>
        </w:rPr>
        <w:t> </w:t>
      </w:r>
      <w:r>
        <w:rPr>
          <w:color w:val="464646"/>
        </w:rPr>
        <w:t>contingency</w:t>
      </w:r>
      <w:r>
        <w:rPr>
          <w:color w:val="464646"/>
          <w:spacing w:val="-36"/>
        </w:rPr>
        <w:t> </w:t>
      </w:r>
      <w:r>
        <w:rPr>
          <w:color w:val="464646"/>
        </w:rPr>
        <w:t>events</w:t>
      </w:r>
      <w:r>
        <w:rPr>
          <w:color w:val="464646"/>
          <w:spacing w:val="-36"/>
        </w:rPr>
        <w:t> </w:t>
      </w:r>
      <w:r>
        <w:rPr>
          <w:color w:val="464646"/>
        </w:rPr>
        <w:t>are</w:t>
      </w:r>
      <w:r>
        <w:rPr>
          <w:color w:val="464646"/>
          <w:spacing w:val="-35"/>
        </w:rPr>
        <w:t> </w:t>
      </w:r>
      <w:r>
        <w:rPr>
          <w:color w:val="464646"/>
        </w:rPr>
        <w:t>events</w:t>
      </w:r>
      <w:r>
        <w:rPr>
          <w:color w:val="464646"/>
          <w:spacing w:val="-36"/>
        </w:rPr>
        <w:t> </w:t>
      </w:r>
      <w:r>
        <w:rPr>
          <w:color w:val="464646"/>
        </w:rPr>
        <w:t>the</w:t>
      </w:r>
      <w:r>
        <w:rPr>
          <w:color w:val="464646"/>
          <w:spacing w:val="-36"/>
        </w:rPr>
        <w:t> </w:t>
      </w:r>
      <w:r>
        <w:rPr>
          <w:color w:val="464646"/>
        </w:rPr>
        <w:t>occurrence</w:t>
      </w:r>
      <w:r>
        <w:rPr>
          <w:color w:val="464646"/>
          <w:spacing w:val="-35"/>
        </w:rPr>
        <w:t> </w:t>
      </w:r>
      <w:r>
        <w:rPr>
          <w:color w:val="464646"/>
        </w:rPr>
        <w:t>of</w:t>
      </w:r>
      <w:r>
        <w:rPr>
          <w:color w:val="464646"/>
          <w:spacing w:val="-36"/>
        </w:rPr>
        <w:t> </w:t>
      </w:r>
      <w:r>
        <w:rPr>
          <w:color w:val="464646"/>
        </w:rPr>
        <w:t>which</w:t>
      </w:r>
      <w:r>
        <w:rPr>
          <w:color w:val="464646"/>
          <w:spacing w:val="-36"/>
        </w:rPr>
        <w:t> </w:t>
      </w:r>
      <w:r>
        <w:rPr>
          <w:color w:val="464646"/>
        </w:rPr>
        <w:t>that</w:t>
      </w:r>
      <w:r>
        <w:rPr>
          <w:color w:val="464646"/>
          <w:spacing w:val="-35"/>
        </w:rPr>
        <w:t> </w:t>
      </w:r>
      <w:r>
        <w:rPr>
          <w:color w:val="464646"/>
        </w:rPr>
        <w:t>AEMO</w:t>
      </w:r>
      <w:r>
        <w:rPr>
          <w:color w:val="464646"/>
          <w:spacing w:val="-36"/>
        </w:rPr>
        <w:t> </w:t>
      </w:r>
      <w:r>
        <w:rPr>
          <w:color w:val="464646"/>
        </w:rPr>
        <w:t>considers</w:t>
      </w:r>
      <w:r>
        <w:rPr>
          <w:color w:val="464646"/>
          <w:spacing w:val="-36"/>
        </w:rPr>
        <w:t> </w:t>
      </w:r>
      <w:r>
        <w:rPr>
          <w:color w:val="464646"/>
        </w:rPr>
        <w:t>to</w:t>
      </w:r>
      <w:r>
        <w:rPr>
          <w:color w:val="464646"/>
          <w:spacing w:val="-35"/>
        </w:rPr>
        <w:t> </w:t>
      </w:r>
      <w:r>
        <w:rPr>
          <w:color w:val="464646"/>
        </w:rPr>
        <w:t>be reasonably</w:t>
      </w:r>
      <w:r>
        <w:rPr>
          <w:color w:val="464646"/>
          <w:spacing w:val="-42"/>
        </w:rPr>
        <w:t> </w:t>
      </w:r>
      <w:r>
        <w:rPr>
          <w:color w:val="464646"/>
        </w:rPr>
        <w:t>possible</w:t>
      </w:r>
      <w:r>
        <w:rPr>
          <w:color w:val="464646"/>
          <w:spacing w:val="-41"/>
        </w:rPr>
        <w:t> </w:t>
      </w:r>
      <w:r>
        <w:rPr>
          <w:color w:val="464646"/>
        </w:rPr>
        <w:t>in</w:t>
      </w:r>
      <w:r>
        <w:rPr>
          <w:color w:val="464646"/>
          <w:spacing w:val="-42"/>
        </w:rPr>
        <w:t> </w:t>
      </w:r>
      <w:r>
        <w:rPr>
          <w:color w:val="464646"/>
        </w:rPr>
        <w:t>the</w:t>
      </w:r>
      <w:r>
        <w:rPr>
          <w:color w:val="464646"/>
          <w:spacing w:val="-41"/>
        </w:rPr>
        <w:t> </w:t>
      </w:r>
      <w:r>
        <w:rPr>
          <w:color w:val="464646"/>
        </w:rPr>
        <w:t>surrounding</w:t>
      </w:r>
      <w:r>
        <w:rPr>
          <w:color w:val="464646"/>
          <w:spacing w:val="-42"/>
        </w:rPr>
        <w:t> </w:t>
      </w:r>
      <w:r>
        <w:rPr>
          <w:color w:val="464646"/>
        </w:rPr>
        <w:t>circumstances.</w:t>
      </w:r>
      <w:r>
        <w:rPr>
          <w:color w:val="464646"/>
          <w:spacing w:val="-41"/>
        </w:rPr>
        <w:t> </w:t>
      </w:r>
      <w:r>
        <w:rPr>
          <w:color w:val="464646"/>
        </w:rPr>
        <w:t>Examples</w:t>
      </w:r>
      <w:r>
        <w:rPr>
          <w:color w:val="464646"/>
          <w:spacing w:val="-41"/>
        </w:rPr>
        <w:t> </w:t>
      </w:r>
      <w:r>
        <w:rPr>
          <w:color w:val="464646"/>
        </w:rPr>
        <w:t>of</w:t>
      </w:r>
      <w:r>
        <w:rPr>
          <w:color w:val="464646"/>
          <w:spacing w:val="-42"/>
        </w:rPr>
        <w:t> </w:t>
      </w:r>
      <w:r>
        <w:rPr>
          <w:color w:val="464646"/>
        </w:rPr>
        <w:t>credible</w:t>
      </w:r>
      <w:r>
        <w:rPr>
          <w:color w:val="464646"/>
          <w:spacing w:val="-41"/>
        </w:rPr>
        <w:t> </w:t>
      </w:r>
      <w:r>
        <w:rPr>
          <w:color w:val="464646"/>
        </w:rPr>
        <w:t>contingencies are: the unexpected disconnection or unplanned reduction in capacity of an operating generating</w:t>
      </w:r>
      <w:r>
        <w:rPr>
          <w:color w:val="464646"/>
          <w:spacing w:val="-33"/>
        </w:rPr>
        <w:t> </w:t>
      </w:r>
      <w:r>
        <w:rPr>
          <w:color w:val="464646"/>
        </w:rPr>
        <w:t>unit,</w:t>
      </w:r>
      <w:r>
        <w:rPr>
          <w:color w:val="464646"/>
          <w:spacing w:val="-33"/>
        </w:rPr>
        <w:t> </w:t>
      </w:r>
      <w:r>
        <w:rPr>
          <w:color w:val="464646"/>
        </w:rPr>
        <w:t>or</w:t>
      </w:r>
      <w:r>
        <w:rPr>
          <w:color w:val="464646"/>
          <w:spacing w:val="-33"/>
        </w:rPr>
        <w:t> </w:t>
      </w:r>
      <w:r>
        <w:rPr>
          <w:color w:val="464646"/>
        </w:rPr>
        <w:t>the</w:t>
      </w:r>
      <w:r>
        <w:rPr>
          <w:color w:val="464646"/>
          <w:spacing w:val="-33"/>
        </w:rPr>
        <w:t> </w:t>
      </w:r>
      <w:r>
        <w:rPr>
          <w:color w:val="464646"/>
        </w:rPr>
        <w:t>unexpected</w:t>
      </w:r>
      <w:r>
        <w:rPr>
          <w:color w:val="464646"/>
          <w:spacing w:val="-32"/>
        </w:rPr>
        <w:t> </w:t>
      </w:r>
      <w:r>
        <w:rPr>
          <w:color w:val="464646"/>
        </w:rPr>
        <w:t>disconnection</w:t>
      </w:r>
      <w:r>
        <w:rPr>
          <w:color w:val="464646"/>
          <w:spacing w:val="-33"/>
        </w:rPr>
        <w:t> </w:t>
      </w:r>
      <w:r>
        <w:rPr>
          <w:color w:val="464646"/>
        </w:rPr>
        <w:t>of</w:t>
      </w:r>
      <w:r>
        <w:rPr>
          <w:color w:val="464646"/>
          <w:spacing w:val="-33"/>
        </w:rPr>
        <w:t> </w:t>
      </w:r>
      <w:r>
        <w:rPr>
          <w:color w:val="464646"/>
        </w:rPr>
        <w:t>one</w:t>
      </w:r>
      <w:r>
        <w:rPr>
          <w:color w:val="464646"/>
          <w:spacing w:val="-33"/>
        </w:rPr>
        <w:t> </w:t>
      </w:r>
      <w:r>
        <w:rPr>
          <w:color w:val="464646"/>
        </w:rPr>
        <w:t>major</w:t>
      </w:r>
      <w:r>
        <w:rPr>
          <w:color w:val="464646"/>
          <w:spacing w:val="-33"/>
        </w:rPr>
        <w:t> </w:t>
      </w:r>
      <w:r>
        <w:rPr>
          <w:color w:val="464646"/>
        </w:rPr>
        <w:t>item</w:t>
      </w:r>
      <w:r>
        <w:rPr>
          <w:color w:val="464646"/>
          <w:spacing w:val="-32"/>
        </w:rPr>
        <w:t> </w:t>
      </w:r>
      <w:r>
        <w:rPr>
          <w:color w:val="464646"/>
        </w:rPr>
        <w:t>of</w:t>
      </w:r>
      <w:r>
        <w:rPr>
          <w:color w:val="464646"/>
          <w:spacing w:val="-33"/>
        </w:rPr>
        <w:t> </w:t>
      </w:r>
      <w:r>
        <w:rPr>
          <w:color w:val="464646"/>
        </w:rPr>
        <w:t>transmission</w:t>
      </w:r>
      <w:r>
        <w:rPr>
          <w:color w:val="464646"/>
          <w:spacing w:val="-33"/>
        </w:rPr>
        <w:t> </w:t>
      </w:r>
      <w:r>
        <w:rPr>
          <w:color w:val="464646"/>
        </w:rPr>
        <w:t>plant.</w:t>
      </w:r>
    </w:p>
    <w:p>
      <w:pPr>
        <w:pStyle w:val="Heading4"/>
        <w:ind w:left="2929"/>
      </w:pPr>
      <w:r>
        <w:rPr>
          <w:color w:val="464646"/>
        </w:rPr>
        <w:t>Non-credible contingency events</w:t>
      </w:r>
    </w:p>
    <w:p>
      <w:pPr>
        <w:pStyle w:val="BodyText"/>
        <w:spacing w:line="278" w:lineRule="auto" w:before="152"/>
        <w:ind w:left="2929" w:right="412"/>
      </w:pPr>
      <w:r>
        <w:rPr>
          <w:color w:val="464646"/>
        </w:rPr>
        <w:t>Non-credible</w:t>
      </w:r>
      <w:r>
        <w:rPr>
          <w:color w:val="464646"/>
          <w:spacing w:val="-34"/>
        </w:rPr>
        <w:t> </w:t>
      </w:r>
      <w:r>
        <w:rPr>
          <w:color w:val="464646"/>
        </w:rPr>
        <w:t>contingency</w:t>
      </w:r>
      <w:r>
        <w:rPr>
          <w:color w:val="464646"/>
          <w:spacing w:val="-34"/>
        </w:rPr>
        <w:t> </w:t>
      </w:r>
      <w:r>
        <w:rPr>
          <w:color w:val="464646"/>
        </w:rPr>
        <w:t>events</w:t>
      </w:r>
      <w:r>
        <w:rPr>
          <w:color w:val="464646"/>
          <w:spacing w:val="-33"/>
        </w:rPr>
        <w:t> </w:t>
      </w:r>
      <w:r>
        <w:rPr>
          <w:color w:val="464646"/>
        </w:rPr>
        <w:t>are</w:t>
      </w:r>
      <w:r>
        <w:rPr>
          <w:color w:val="464646"/>
          <w:spacing w:val="-34"/>
        </w:rPr>
        <w:t> </w:t>
      </w:r>
      <w:r>
        <w:rPr>
          <w:color w:val="464646"/>
        </w:rPr>
        <w:t>contingency</w:t>
      </w:r>
      <w:r>
        <w:rPr>
          <w:color w:val="464646"/>
          <w:spacing w:val="-33"/>
        </w:rPr>
        <w:t> </w:t>
      </w:r>
      <w:r>
        <w:rPr>
          <w:color w:val="464646"/>
        </w:rPr>
        <w:t>events</w:t>
      </w:r>
      <w:r>
        <w:rPr>
          <w:color w:val="464646"/>
          <w:spacing w:val="-34"/>
        </w:rPr>
        <w:t> </w:t>
      </w:r>
      <w:r>
        <w:rPr>
          <w:color w:val="464646"/>
        </w:rPr>
        <w:t>other</w:t>
      </w:r>
      <w:r>
        <w:rPr>
          <w:color w:val="464646"/>
          <w:spacing w:val="-33"/>
        </w:rPr>
        <w:t> </w:t>
      </w:r>
      <w:r>
        <w:rPr>
          <w:color w:val="464646"/>
        </w:rPr>
        <w:t>than</w:t>
      </w:r>
      <w:r>
        <w:rPr>
          <w:color w:val="464646"/>
          <w:spacing w:val="-34"/>
        </w:rPr>
        <w:t> </w:t>
      </w:r>
      <w:r>
        <w:rPr>
          <w:color w:val="464646"/>
        </w:rPr>
        <w:t>credible</w:t>
      </w:r>
      <w:r>
        <w:rPr>
          <w:color w:val="464646"/>
          <w:spacing w:val="-33"/>
        </w:rPr>
        <w:t> </w:t>
      </w:r>
      <w:r>
        <w:rPr>
          <w:color w:val="464646"/>
        </w:rPr>
        <w:t>contingency events.</w:t>
      </w:r>
      <w:r>
        <w:rPr>
          <w:color w:val="464646"/>
          <w:spacing w:val="-33"/>
        </w:rPr>
        <w:t> </w:t>
      </w:r>
      <w:r>
        <w:rPr>
          <w:color w:val="464646"/>
        </w:rPr>
        <w:t>These</w:t>
      </w:r>
      <w:r>
        <w:rPr>
          <w:color w:val="464646"/>
          <w:spacing w:val="-32"/>
        </w:rPr>
        <w:t> </w:t>
      </w:r>
      <w:r>
        <w:rPr>
          <w:color w:val="464646"/>
        </w:rPr>
        <w:t>are</w:t>
      </w:r>
      <w:r>
        <w:rPr>
          <w:color w:val="464646"/>
          <w:spacing w:val="-32"/>
        </w:rPr>
        <w:t> </w:t>
      </w:r>
      <w:r>
        <w:rPr>
          <w:color w:val="464646"/>
        </w:rPr>
        <w:t>generally</w:t>
      </w:r>
      <w:r>
        <w:rPr>
          <w:color w:val="464646"/>
          <w:spacing w:val="-32"/>
        </w:rPr>
        <w:t> </w:t>
      </w:r>
      <w:r>
        <w:rPr>
          <w:color w:val="464646"/>
        </w:rPr>
        <w:t>considered</w:t>
      </w:r>
      <w:r>
        <w:rPr>
          <w:color w:val="464646"/>
          <w:spacing w:val="-32"/>
        </w:rPr>
        <w:t> </w:t>
      </w:r>
      <w:r>
        <w:rPr>
          <w:color w:val="464646"/>
        </w:rPr>
        <w:t>to</w:t>
      </w:r>
      <w:r>
        <w:rPr>
          <w:color w:val="464646"/>
          <w:spacing w:val="-32"/>
        </w:rPr>
        <w:t> </w:t>
      </w:r>
      <w:r>
        <w:rPr>
          <w:color w:val="464646"/>
        </w:rPr>
        <w:t>be</w:t>
      </w:r>
      <w:r>
        <w:rPr>
          <w:color w:val="464646"/>
          <w:spacing w:val="-32"/>
        </w:rPr>
        <w:t> </w:t>
      </w:r>
      <w:r>
        <w:rPr>
          <w:color w:val="464646"/>
        </w:rPr>
        <w:t>events</w:t>
      </w:r>
      <w:r>
        <w:rPr>
          <w:color w:val="464646"/>
          <w:spacing w:val="-31"/>
        </w:rPr>
        <w:t> </w:t>
      </w:r>
      <w:r>
        <w:rPr>
          <w:color w:val="464646"/>
        </w:rPr>
        <w:t>that</w:t>
      </w:r>
      <w:r>
        <w:rPr>
          <w:color w:val="464646"/>
          <w:spacing w:val="-32"/>
        </w:rPr>
        <w:t> </w:t>
      </w:r>
      <w:r>
        <w:rPr>
          <w:color w:val="464646"/>
        </w:rPr>
        <w:t>are</w:t>
      </w:r>
      <w:r>
        <w:rPr>
          <w:color w:val="464646"/>
          <w:spacing w:val="-32"/>
        </w:rPr>
        <w:t> </w:t>
      </w:r>
      <w:r>
        <w:rPr>
          <w:color w:val="464646"/>
        </w:rPr>
        <w:t>rare</w:t>
      </w:r>
      <w:r>
        <w:rPr>
          <w:color w:val="464646"/>
          <w:spacing w:val="-32"/>
        </w:rPr>
        <w:t> </w:t>
      </w:r>
      <w:r>
        <w:rPr>
          <w:color w:val="464646"/>
        </w:rPr>
        <w:t>in</w:t>
      </w:r>
      <w:r>
        <w:rPr>
          <w:color w:val="464646"/>
          <w:spacing w:val="-32"/>
        </w:rPr>
        <w:t> </w:t>
      </w:r>
      <w:r>
        <w:rPr>
          <w:color w:val="464646"/>
        </w:rPr>
        <w:t>occurrence,</w:t>
      </w:r>
      <w:r>
        <w:rPr>
          <w:color w:val="464646"/>
          <w:spacing w:val="-32"/>
        </w:rPr>
        <w:t> </w:t>
      </w:r>
      <w:r>
        <w:rPr>
          <w:color w:val="464646"/>
        </w:rPr>
        <w:t>such</w:t>
      </w:r>
      <w:r>
        <w:rPr>
          <w:color w:val="464646"/>
          <w:spacing w:val="-32"/>
        </w:rPr>
        <w:t> </w:t>
      </w:r>
      <w:r>
        <w:rPr>
          <w:color w:val="464646"/>
        </w:rPr>
        <w:t>as</w:t>
      </w:r>
      <w:r>
        <w:rPr>
          <w:color w:val="464646"/>
          <w:spacing w:val="-33"/>
        </w:rPr>
        <w:t> </w:t>
      </w:r>
      <w:r>
        <w:rPr>
          <w:color w:val="464646"/>
        </w:rPr>
        <w:t>the combination</w:t>
      </w:r>
      <w:r>
        <w:rPr>
          <w:color w:val="464646"/>
          <w:spacing w:val="-33"/>
        </w:rPr>
        <w:t> </w:t>
      </w:r>
      <w:r>
        <w:rPr>
          <w:color w:val="464646"/>
        </w:rPr>
        <w:t>of</w:t>
      </w:r>
      <w:r>
        <w:rPr>
          <w:color w:val="464646"/>
          <w:spacing w:val="-32"/>
        </w:rPr>
        <w:t> </w:t>
      </w:r>
      <w:r>
        <w:rPr>
          <w:color w:val="464646"/>
        </w:rPr>
        <w:t>a</w:t>
      </w:r>
      <w:r>
        <w:rPr>
          <w:color w:val="464646"/>
          <w:spacing w:val="-32"/>
        </w:rPr>
        <w:t> </w:t>
      </w:r>
      <w:r>
        <w:rPr>
          <w:color w:val="464646"/>
        </w:rPr>
        <w:t>number</w:t>
      </w:r>
      <w:r>
        <w:rPr>
          <w:color w:val="464646"/>
          <w:spacing w:val="-32"/>
        </w:rPr>
        <w:t> </w:t>
      </w:r>
      <w:r>
        <w:rPr>
          <w:color w:val="464646"/>
        </w:rPr>
        <w:t>of</w:t>
      </w:r>
      <w:r>
        <w:rPr>
          <w:color w:val="464646"/>
          <w:spacing w:val="-32"/>
        </w:rPr>
        <w:t> </w:t>
      </w:r>
      <w:r>
        <w:rPr>
          <w:color w:val="464646"/>
        </w:rPr>
        <w:t>credible</w:t>
      </w:r>
      <w:r>
        <w:rPr>
          <w:color w:val="464646"/>
          <w:spacing w:val="-32"/>
        </w:rPr>
        <w:t> </w:t>
      </w:r>
      <w:r>
        <w:rPr>
          <w:color w:val="464646"/>
        </w:rPr>
        <w:t>contingency</w:t>
      </w:r>
      <w:r>
        <w:rPr>
          <w:color w:val="464646"/>
          <w:spacing w:val="-32"/>
        </w:rPr>
        <w:t> </w:t>
      </w:r>
      <w:r>
        <w:rPr>
          <w:color w:val="464646"/>
        </w:rPr>
        <w:t>events</w:t>
      </w:r>
      <w:r>
        <w:rPr>
          <w:color w:val="464646"/>
          <w:spacing w:val="-32"/>
        </w:rPr>
        <w:t> </w:t>
      </w:r>
      <w:r>
        <w:rPr>
          <w:color w:val="464646"/>
        </w:rPr>
        <w:t>occurring</w:t>
      </w:r>
      <w:r>
        <w:rPr>
          <w:color w:val="464646"/>
          <w:spacing w:val="-32"/>
        </w:rPr>
        <w:t> </w:t>
      </w:r>
      <w:r>
        <w:rPr>
          <w:color w:val="464646"/>
        </w:rPr>
        <w:t>at</w:t>
      </w:r>
      <w:r>
        <w:rPr>
          <w:color w:val="464646"/>
          <w:spacing w:val="-33"/>
        </w:rPr>
        <w:t> </w:t>
      </w:r>
      <w:r>
        <w:rPr>
          <w:color w:val="464646"/>
        </w:rPr>
        <w:t>the</w:t>
      </w:r>
      <w:r>
        <w:rPr>
          <w:color w:val="464646"/>
          <w:spacing w:val="-32"/>
        </w:rPr>
        <w:t> </w:t>
      </w:r>
      <w:r>
        <w:rPr>
          <w:color w:val="464646"/>
        </w:rPr>
        <w:t>same</w:t>
      </w:r>
      <w:r>
        <w:rPr>
          <w:color w:val="464646"/>
          <w:spacing w:val="-32"/>
        </w:rPr>
        <w:t> </w:t>
      </w:r>
      <w:r>
        <w:rPr>
          <w:color w:val="464646"/>
        </w:rPr>
        <w:t>time.</w:t>
      </w:r>
      <w:r>
        <w:rPr>
          <w:color w:val="464646"/>
          <w:spacing w:val="-32"/>
        </w:rPr>
        <w:t> </w:t>
      </w:r>
      <w:r>
        <w:rPr>
          <w:color w:val="464646"/>
        </w:rPr>
        <w:t>AEMO can</w:t>
      </w:r>
      <w:r>
        <w:rPr>
          <w:color w:val="464646"/>
          <w:spacing w:val="-30"/>
        </w:rPr>
        <w:t> </w:t>
      </w:r>
      <w:r>
        <w:rPr>
          <w:color w:val="464646"/>
        </w:rPr>
        <w:t>re-classify</w:t>
      </w:r>
      <w:r>
        <w:rPr>
          <w:color w:val="464646"/>
          <w:spacing w:val="-30"/>
        </w:rPr>
        <w:t> </w:t>
      </w:r>
      <w:r>
        <w:rPr>
          <w:color w:val="464646"/>
        </w:rPr>
        <w:t>non-credible</w:t>
      </w:r>
      <w:r>
        <w:rPr>
          <w:color w:val="464646"/>
          <w:spacing w:val="-29"/>
        </w:rPr>
        <w:t> </w:t>
      </w:r>
      <w:r>
        <w:rPr>
          <w:color w:val="464646"/>
        </w:rPr>
        <w:t>events</w:t>
      </w:r>
      <w:r>
        <w:rPr>
          <w:color w:val="464646"/>
          <w:spacing w:val="-30"/>
        </w:rPr>
        <w:t> </w:t>
      </w:r>
      <w:r>
        <w:rPr>
          <w:color w:val="464646"/>
        </w:rPr>
        <w:t>as</w:t>
      </w:r>
      <w:r>
        <w:rPr>
          <w:color w:val="464646"/>
          <w:spacing w:val="-30"/>
        </w:rPr>
        <w:t> </w:t>
      </w:r>
      <w:r>
        <w:rPr>
          <w:color w:val="464646"/>
        </w:rPr>
        <w:t>credible</w:t>
      </w:r>
      <w:r>
        <w:rPr>
          <w:color w:val="464646"/>
          <w:spacing w:val="-29"/>
        </w:rPr>
        <w:t> </w:t>
      </w:r>
      <w:r>
        <w:rPr>
          <w:color w:val="464646"/>
        </w:rPr>
        <w:t>when</w:t>
      </w:r>
      <w:r>
        <w:rPr>
          <w:color w:val="464646"/>
          <w:spacing w:val="-30"/>
        </w:rPr>
        <w:t> </w:t>
      </w:r>
      <w:r>
        <w:rPr>
          <w:color w:val="464646"/>
        </w:rPr>
        <w:t>the</w:t>
      </w:r>
      <w:r>
        <w:rPr>
          <w:color w:val="464646"/>
          <w:spacing w:val="-30"/>
        </w:rPr>
        <w:t> </w:t>
      </w:r>
      <w:r>
        <w:rPr>
          <w:color w:val="464646"/>
        </w:rPr>
        <w:t>risk</w:t>
      </w:r>
      <w:r>
        <w:rPr>
          <w:color w:val="464646"/>
          <w:spacing w:val="-29"/>
        </w:rPr>
        <w:t> </w:t>
      </w:r>
      <w:r>
        <w:rPr>
          <w:color w:val="464646"/>
        </w:rPr>
        <w:t>of</w:t>
      </w:r>
      <w:r>
        <w:rPr>
          <w:color w:val="464646"/>
          <w:spacing w:val="-30"/>
        </w:rPr>
        <w:t> </w:t>
      </w:r>
      <w:r>
        <w:rPr>
          <w:color w:val="464646"/>
        </w:rPr>
        <w:t>rare</w:t>
      </w:r>
      <w:r>
        <w:rPr>
          <w:color w:val="464646"/>
          <w:spacing w:val="-30"/>
        </w:rPr>
        <w:t> </w:t>
      </w:r>
      <w:r>
        <w:rPr>
          <w:color w:val="464646"/>
        </w:rPr>
        <w:t>events</w:t>
      </w:r>
      <w:r>
        <w:rPr>
          <w:color w:val="464646"/>
          <w:spacing w:val="-29"/>
        </w:rPr>
        <w:t> </w:t>
      </w:r>
      <w:r>
        <w:rPr>
          <w:color w:val="464646"/>
        </w:rPr>
        <w:t>becomes</w:t>
      </w:r>
      <w:r>
        <w:rPr>
          <w:color w:val="464646"/>
          <w:spacing w:val="-30"/>
        </w:rPr>
        <w:t> </w:t>
      </w:r>
      <w:r>
        <w:rPr>
          <w:color w:val="464646"/>
        </w:rPr>
        <w:t>more </w:t>
      </w:r>
      <w:r>
        <w:rPr>
          <w:color w:val="464646"/>
          <w:spacing w:val="-3"/>
        </w:rPr>
        <w:t>likely,</w:t>
      </w:r>
      <w:r>
        <w:rPr>
          <w:color w:val="464646"/>
          <w:spacing w:val="-12"/>
        </w:rPr>
        <w:t> </w:t>
      </w:r>
      <w:r>
        <w:rPr>
          <w:color w:val="464646"/>
        </w:rPr>
        <w:t>including</w:t>
      </w:r>
      <w:r>
        <w:rPr>
          <w:color w:val="464646"/>
          <w:spacing w:val="-11"/>
        </w:rPr>
        <w:t> </w:t>
      </w:r>
      <w:r>
        <w:rPr>
          <w:color w:val="464646"/>
        </w:rPr>
        <w:t>during</w:t>
      </w:r>
      <w:r>
        <w:rPr>
          <w:color w:val="464646"/>
          <w:spacing w:val="-12"/>
        </w:rPr>
        <w:t> </w:t>
      </w:r>
      <w:r>
        <w:rPr>
          <w:color w:val="464646"/>
        </w:rPr>
        <w:t>extreme</w:t>
      </w:r>
      <w:r>
        <w:rPr>
          <w:color w:val="464646"/>
          <w:spacing w:val="-11"/>
        </w:rPr>
        <w:t> </w:t>
      </w:r>
      <w:r>
        <w:rPr>
          <w:color w:val="464646"/>
        </w:rPr>
        <w:t>weather</w:t>
      </w:r>
      <w:r>
        <w:rPr>
          <w:color w:val="464646"/>
          <w:spacing w:val="-12"/>
        </w:rPr>
        <w:t> </w:t>
      </w:r>
      <w:r>
        <w:rPr>
          <w:color w:val="464646"/>
        </w:rPr>
        <w:t>such</w:t>
      </w:r>
      <w:r>
        <w:rPr>
          <w:color w:val="464646"/>
          <w:spacing w:val="-11"/>
        </w:rPr>
        <w:t> </w:t>
      </w:r>
      <w:r>
        <w:rPr>
          <w:color w:val="464646"/>
        </w:rPr>
        <w:t>as</w:t>
      </w:r>
      <w:r>
        <w:rPr>
          <w:color w:val="464646"/>
          <w:spacing w:val="-12"/>
        </w:rPr>
        <w:t> </w:t>
      </w:r>
      <w:r>
        <w:rPr>
          <w:color w:val="464646"/>
        </w:rPr>
        <w:t>bushfires</w:t>
      </w:r>
      <w:r>
        <w:rPr>
          <w:color w:val="464646"/>
          <w:spacing w:val="-11"/>
        </w:rPr>
        <w:t> </w:t>
      </w:r>
      <w:r>
        <w:rPr>
          <w:color w:val="464646"/>
        </w:rPr>
        <w:t>or</w:t>
      </w:r>
      <w:r>
        <w:rPr>
          <w:color w:val="464646"/>
          <w:spacing w:val="-11"/>
        </w:rPr>
        <w:t> </w:t>
      </w:r>
      <w:r>
        <w:rPr>
          <w:color w:val="464646"/>
        </w:rPr>
        <w:t>storms.</w:t>
      </w:r>
    </w:p>
    <w:p>
      <w:pPr>
        <w:pStyle w:val="Heading4"/>
        <w:ind w:left="2929"/>
      </w:pPr>
      <w:r>
        <w:rPr>
          <w:color w:val="464646"/>
        </w:rPr>
        <w:t>Protected events</w:t>
      </w:r>
    </w:p>
    <w:p>
      <w:pPr>
        <w:pStyle w:val="BodyText"/>
        <w:spacing w:line="278" w:lineRule="auto" w:before="152"/>
        <w:ind w:left="2929" w:right="412"/>
      </w:pPr>
      <w:r>
        <w:rPr>
          <w:color w:val="464646"/>
        </w:rPr>
        <w:t>A</w:t>
      </w:r>
      <w:r>
        <w:rPr>
          <w:color w:val="464646"/>
          <w:spacing w:val="-33"/>
        </w:rPr>
        <w:t> </w:t>
      </w:r>
      <w:r>
        <w:rPr>
          <w:color w:val="464646"/>
        </w:rPr>
        <w:t>protected</w:t>
      </w:r>
      <w:r>
        <w:rPr>
          <w:color w:val="464646"/>
          <w:spacing w:val="-33"/>
        </w:rPr>
        <w:t> </w:t>
      </w:r>
      <w:r>
        <w:rPr>
          <w:color w:val="464646"/>
        </w:rPr>
        <w:t>event</w:t>
      </w:r>
      <w:r>
        <w:rPr>
          <w:color w:val="464646"/>
          <w:spacing w:val="-32"/>
        </w:rPr>
        <w:t> </w:t>
      </w:r>
      <w:r>
        <w:rPr>
          <w:color w:val="464646"/>
        </w:rPr>
        <w:t>is</w:t>
      </w:r>
      <w:r>
        <w:rPr>
          <w:color w:val="464646"/>
          <w:spacing w:val="-33"/>
        </w:rPr>
        <w:t> </w:t>
      </w:r>
      <w:r>
        <w:rPr>
          <w:color w:val="464646"/>
        </w:rPr>
        <w:t>a</w:t>
      </w:r>
      <w:r>
        <w:rPr>
          <w:color w:val="464646"/>
          <w:spacing w:val="-33"/>
        </w:rPr>
        <w:t> </w:t>
      </w:r>
      <w:r>
        <w:rPr>
          <w:color w:val="464646"/>
        </w:rPr>
        <w:t>non-credible</w:t>
      </w:r>
      <w:r>
        <w:rPr>
          <w:color w:val="464646"/>
          <w:spacing w:val="-32"/>
        </w:rPr>
        <w:t> </w:t>
      </w:r>
      <w:r>
        <w:rPr>
          <w:color w:val="464646"/>
        </w:rPr>
        <w:t>contingency</w:t>
      </w:r>
      <w:r>
        <w:rPr>
          <w:color w:val="464646"/>
          <w:spacing w:val="-33"/>
        </w:rPr>
        <w:t> </w:t>
      </w:r>
      <w:r>
        <w:rPr>
          <w:color w:val="464646"/>
        </w:rPr>
        <w:t>event</w:t>
      </w:r>
      <w:r>
        <w:rPr>
          <w:color w:val="464646"/>
          <w:spacing w:val="-33"/>
        </w:rPr>
        <w:t> </w:t>
      </w:r>
      <w:r>
        <w:rPr>
          <w:color w:val="464646"/>
        </w:rPr>
        <w:t>the</w:t>
      </w:r>
      <w:r>
        <w:rPr>
          <w:color w:val="464646"/>
          <w:spacing w:val="-32"/>
        </w:rPr>
        <w:t> </w:t>
      </w:r>
      <w:r>
        <w:rPr>
          <w:color w:val="464646"/>
        </w:rPr>
        <w:t>Reliability</w:t>
      </w:r>
      <w:r>
        <w:rPr>
          <w:color w:val="464646"/>
          <w:spacing w:val="-33"/>
        </w:rPr>
        <w:t> </w:t>
      </w:r>
      <w:r>
        <w:rPr>
          <w:color w:val="464646"/>
        </w:rPr>
        <w:t>Panel</w:t>
      </w:r>
      <w:r>
        <w:rPr>
          <w:color w:val="464646"/>
          <w:spacing w:val="-33"/>
        </w:rPr>
        <w:t> </w:t>
      </w:r>
      <w:r>
        <w:rPr>
          <w:color w:val="464646"/>
        </w:rPr>
        <w:t>has</w:t>
      </w:r>
      <w:r>
        <w:rPr>
          <w:color w:val="464646"/>
          <w:spacing w:val="-32"/>
        </w:rPr>
        <w:t> </w:t>
      </w:r>
      <w:r>
        <w:rPr>
          <w:color w:val="464646"/>
        </w:rPr>
        <w:t>declared</w:t>
      </w:r>
      <w:r>
        <w:rPr>
          <w:color w:val="464646"/>
          <w:spacing w:val="-33"/>
        </w:rPr>
        <w:t> </w:t>
      </w:r>
      <w:r>
        <w:rPr>
          <w:color w:val="464646"/>
        </w:rPr>
        <w:t>to</w:t>
      </w:r>
      <w:r>
        <w:rPr>
          <w:color w:val="464646"/>
          <w:spacing w:val="-33"/>
        </w:rPr>
        <w:t> </w:t>
      </w:r>
      <w:r>
        <w:rPr>
          <w:color w:val="464646"/>
        </w:rPr>
        <w:t>be a</w:t>
      </w:r>
      <w:r>
        <w:rPr>
          <w:color w:val="464646"/>
          <w:spacing w:val="-30"/>
        </w:rPr>
        <w:t> </w:t>
      </w:r>
      <w:r>
        <w:rPr>
          <w:color w:val="464646"/>
        </w:rPr>
        <w:t>protected</w:t>
      </w:r>
      <w:r>
        <w:rPr>
          <w:color w:val="464646"/>
          <w:spacing w:val="-30"/>
        </w:rPr>
        <w:t> </w:t>
      </w:r>
      <w:r>
        <w:rPr>
          <w:color w:val="464646"/>
        </w:rPr>
        <w:t>event.</w:t>
      </w:r>
      <w:r>
        <w:rPr>
          <w:color w:val="464646"/>
          <w:spacing w:val="-29"/>
        </w:rPr>
        <w:t> </w:t>
      </w:r>
      <w:r>
        <w:rPr>
          <w:color w:val="464646"/>
        </w:rPr>
        <w:t>The</w:t>
      </w:r>
      <w:r>
        <w:rPr>
          <w:color w:val="464646"/>
          <w:spacing w:val="-30"/>
        </w:rPr>
        <w:t> </w:t>
      </w:r>
      <w:r>
        <w:rPr>
          <w:color w:val="464646"/>
        </w:rPr>
        <w:t>category</w:t>
      </w:r>
      <w:r>
        <w:rPr>
          <w:color w:val="464646"/>
          <w:spacing w:val="-30"/>
        </w:rPr>
        <w:t> </w:t>
      </w:r>
      <w:r>
        <w:rPr>
          <w:color w:val="464646"/>
        </w:rPr>
        <w:t>of</w:t>
      </w:r>
      <w:r>
        <w:rPr>
          <w:color w:val="464646"/>
          <w:spacing w:val="-29"/>
        </w:rPr>
        <w:t> </w:t>
      </w:r>
      <w:r>
        <w:rPr>
          <w:color w:val="464646"/>
        </w:rPr>
        <w:t>protected</w:t>
      </w:r>
      <w:r>
        <w:rPr>
          <w:color w:val="464646"/>
          <w:spacing w:val="-30"/>
        </w:rPr>
        <w:t> </w:t>
      </w:r>
      <w:r>
        <w:rPr>
          <w:color w:val="464646"/>
        </w:rPr>
        <w:t>event</w:t>
      </w:r>
      <w:r>
        <w:rPr>
          <w:color w:val="464646"/>
          <w:spacing w:val="-30"/>
        </w:rPr>
        <w:t> </w:t>
      </w:r>
      <w:r>
        <w:rPr>
          <w:color w:val="464646"/>
        </w:rPr>
        <w:t>was</w:t>
      </w:r>
      <w:r>
        <w:rPr>
          <w:color w:val="464646"/>
          <w:spacing w:val="-29"/>
        </w:rPr>
        <w:t> </w:t>
      </w:r>
      <w:r>
        <w:rPr>
          <w:color w:val="464646"/>
        </w:rPr>
        <w:t>introduced</w:t>
      </w:r>
      <w:r>
        <w:rPr>
          <w:color w:val="464646"/>
          <w:spacing w:val="-30"/>
        </w:rPr>
        <w:t> </w:t>
      </w:r>
      <w:r>
        <w:rPr>
          <w:color w:val="464646"/>
        </w:rPr>
        <w:t>to</w:t>
      </w:r>
      <w:r>
        <w:rPr>
          <w:color w:val="464646"/>
          <w:spacing w:val="-30"/>
        </w:rPr>
        <w:t> </w:t>
      </w:r>
      <w:r>
        <w:rPr>
          <w:color w:val="464646"/>
        </w:rPr>
        <w:t>give</w:t>
      </w:r>
      <w:r>
        <w:rPr>
          <w:color w:val="464646"/>
          <w:spacing w:val="-29"/>
        </w:rPr>
        <w:t> </w:t>
      </w:r>
      <w:r>
        <w:rPr>
          <w:color w:val="464646"/>
        </w:rPr>
        <w:t>AEMO</w:t>
      </w:r>
      <w:r>
        <w:rPr>
          <w:color w:val="464646"/>
          <w:spacing w:val="-30"/>
        </w:rPr>
        <w:t> </w:t>
      </w:r>
      <w:r>
        <w:rPr>
          <w:color w:val="464646"/>
        </w:rPr>
        <w:t>additional tools</w:t>
      </w:r>
      <w:r>
        <w:rPr>
          <w:color w:val="464646"/>
          <w:spacing w:val="-39"/>
        </w:rPr>
        <w:t> </w:t>
      </w:r>
      <w:r>
        <w:rPr>
          <w:color w:val="464646"/>
        </w:rPr>
        <w:t>to</w:t>
      </w:r>
      <w:r>
        <w:rPr>
          <w:color w:val="464646"/>
          <w:spacing w:val="-39"/>
        </w:rPr>
        <w:t> </w:t>
      </w:r>
      <w:r>
        <w:rPr>
          <w:color w:val="464646"/>
        </w:rPr>
        <w:t>manage</w:t>
      </w:r>
      <w:r>
        <w:rPr>
          <w:color w:val="464646"/>
          <w:spacing w:val="-39"/>
        </w:rPr>
        <w:t> </w:t>
      </w:r>
      <w:r>
        <w:rPr>
          <w:color w:val="464646"/>
        </w:rPr>
        <w:t>certain</w:t>
      </w:r>
      <w:r>
        <w:rPr>
          <w:color w:val="464646"/>
          <w:spacing w:val="-39"/>
        </w:rPr>
        <w:t> </w:t>
      </w:r>
      <w:r>
        <w:rPr>
          <w:color w:val="464646"/>
        </w:rPr>
        <w:t>high</w:t>
      </w:r>
      <w:r>
        <w:rPr>
          <w:color w:val="464646"/>
          <w:spacing w:val="-39"/>
        </w:rPr>
        <w:t> </w:t>
      </w:r>
      <w:r>
        <w:rPr>
          <w:color w:val="464646"/>
        </w:rPr>
        <w:t>consequence</w:t>
      </w:r>
      <w:r>
        <w:rPr>
          <w:color w:val="464646"/>
          <w:spacing w:val="-39"/>
        </w:rPr>
        <w:t> </w:t>
      </w:r>
      <w:r>
        <w:rPr>
          <w:color w:val="464646"/>
        </w:rPr>
        <w:t>non-credible</w:t>
      </w:r>
      <w:r>
        <w:rPr>
          <w:color w:val="464646"/>
          <w:spacing w:val="-39"/>
        </w:rPr>
        <w:t> </w:t>
      </w:r>
      <w:r>
        <w:rPr>
          <w:color w:val="464646"/>
        </w:rPr>
        <w:t>contingency</w:t>
      </w:r>
      <w:r>
        <w:rPr>
          <w:color w:val="464646"/>
          <w:spacing w:val="-39"/>
        </w:rPr>
        <w:t> </w:t>
      </w:r>
      <w:r>
        <w:rPr>
          <w:color w:val="464646"/>
        </w:rPr>
        <w:t>events.</w:t>
      </w:r>
      <w:r>
        <w:rPr>
          <w:color w:val="464646"/>
          <w:spacing w:val="-39"/>
        </w:rPr>
        <w:t> </w:t>
      </w:r>
      <w:r>
        <w:rPr>
          <w:color w:val="464646"/>
        </w:rPr>
        <w:t>AEMO</w:t>
      </w:r>
      <w:r>
        <w:rPr>
          <w:color w:val="464646"/>
          <w:spacing w:val="-39"/>
        </w:rPr>
        <w:t> </w:t>
      </w:r>
      <w:r>
        <w:rPr>
          <w:color w:val="464646"/>
        </w:rPr>
        <w:t>may</w:t>
      </w:r>
      <w:r>
        <w:rPr>
          <w:color w:val="464646"/>
          <w:spacing w:val="-39"/>
        </w:rPr>
        <w:t> </w:t>
      </w:r>
      <w:r>
        <w:rPr>
          <w:color w:val="464646"/>
        </w:rPr>
        <w:t>use</w:t>
      </w:r>
      <w:r>
        <w:rPr>
          <w:color w:val="464646"/>
          <w:spacing w:val="-39"/>
        </w:rPr>
        <w:t> </w:t>
      </w:r>
      <w:r>
        <w:rPr>
          <w:color w:val="464646"/>
        </w:rPr>
        <w:t>a mixture</w:t>
      </w:r>
      <w:r>
        <w:rPr>
          <w:color w:val="464646"/>
          <w:spacing w:val="-25"/>
        </w:rPr>
        <w:t> </w:t>
      </w:r>
      <w:r>
        <w:rPr>
          <w:color w:val="464646"/>
        </w:rPr>
        <w:t>of</w:t>
      </w:r>
      <w:r>
        <w:rPr>
          <w:color w:val="464646"/>
          <w:spacing w:val="-24"/>
        </w:rPr>
        <w:t> </w:t>
      </w:r>
      <w:r>
        <w:rPr>
          <w:color w:val="464646"/>
        </w:rPr>
        <w:t>ex-ante</w:t>
      </w:r>
      <w:r>
        <w:rPr>
          <w:color w:val="464646"/>
          <w:spacing w:val="-25"/>
        </w:rPr>
        <w:t> </w:t>
      </w:r>
      <w:r>
        <w:rPr>
          <w:color w:val="464646"/>
        </w:rPr>
        <w:t>actions</w:t>
      </w:r>
      <w:r>
        <w:rPr>
          <w:color w:val="464646"/>
          <w:spacing w:val="-24"/>
        </w:rPr>
        <w:t> </w:t>
      </w:r>
      <w:r>
        <w:rPr>
          <w:color w:val="464646"/>
        </w:rPr>
        <w:t>to</w:t>
      </w:r>
      <w:r>
        <w:rPr>
          <w:color w:val="464646"/>
          <w:spacing w:val="-25"/>
        </w:rPr>
        <w:t> </w:t>
      </w:r>
      <w:r>
        <w:rPr>
          <w:color w:val="464646"/>
        </w:rPr>
        <w:t>manage</w:t>
      </w:r>
      <w:r>
        <w:rPr>
          <w:color w:val="464646"/>
          <w:spacing w:val="-24"/>
        </w:rPr>
        <w:t> </w:t>
      </w:r>
      <w:r>
        <w:rPr>
          <w:color w:val="464646"/>
        </w:rPr>
        <w:t>a</w:t>
      </w:r>
      <w:r>
        <w:rPr>
          <w:color w:val="464646"/>
          <w:spacing w:val="-25"/>
        </w:rPr>
        <w:t> </w:t>
      </w:r>
      <w:r>
        <w:rPr>
          <w:color w:val="464646"/>
        </w:rPr>
        <w:t>protected</w:t>
      </w:r>
      <w:r>
        <w:rPr>
          <w:color w:val="464646"/>
          <w:spacing w:val="-24"/>
        </w:rPr>
        <w:t> </w:t>
      </w:r>
      <w:r>
        <w:rPr>
          <w:color w:val="464646"/>
        </w:rPr>
        <w:t>event</w:t>
      </w:r>
      <w:r>
        <w:rPr>
          <w:color w:val="464646"/>
          <w:spacing w:val="-25"/>
        </w:rPr>
        <w:t> </w:t>
      </w:r>
      <w:r>
        <w:rPr>
          <w:color w:val="464646"/>
        </w:rPr>
        <w:t>declared</w:t>
      </w:r>
      <w:r>
        <w:rPr>
          <w:color w:val="464646"/>
          <w:spacing w:val="-24"/>
        </w:rPr>
        <w:t> </w:t>
      </w:r>
      <w:r>
        <w:rPr>
          <w:color w:val="464646"/>
        </w:rPr>
        <w:t>by</w:t>
      </w:r>
      <w:r>
        <w:rPr>
          <w:color w:val="464646"/>
          <w:spacing w:val="-25"/>
        </w:rPr>
        <w:t> </w:t>
      </w:r>
      <w:r>
        <w:rPr>
          <w:color w:val="464646"/>
        </w:rPr>
        <w:t>the</w:t>
      </w:r>
      <w:r>
        <w:rPr>
          <w:color w:val="464646"/>
          <w:spacing w:val="-24"/>
        </w:rPr>
        <w:t> </w:t>
      </w:r>
      <w:r>
        <w:rPr>
          <w:color w:val="464646"/>
        </w:rPr>
        <w:t>Reliability</w:t>
      </w:r>
      <w:r>
        <w:rPr>
          <w:color w:val="464646"/>
          <w:spacing w:val="-25"/>
        </w:rPr>
        <w:t> </w:t>
      </w:r>
      <w:r>
        <w:rPr>
          <w:color w:val="464646"/>
        </w:rPr>
        <w:t>Panel.</w:t>
      </w:r>
    </w:p>
    <w:p>
      <w:pPr>
        <w:pStyle w:val="BodyText"/>
        <w:spacing w:line="278" w:lineRule="auto"/>
        <w:ind w:left="2929" w:right="295"/>
      </w:pPr>
      <w:r>
        <w:rPr>
          <w:color w:val="464646"/>
        </w:rPr>
        <w:t>These</w:t>
      </w:r>
      <w:r>
        <w:rPr>
          <w:color w:val="464646"/>
          <w:spacing w:val="-39"/>
        </w:rPr>
        <w:t> </w:t>
      </w:r>
      <w:r>
        <w:rPr>
          <w:color w:val="464646"/>
        </w:rPr>
        <w:t>actions</w:t>
      </w:r>
      <w:r>
        <w:rPr>
          <w:color w:val="464646"/>
          <w:spacing w:val="-38"/>
        </w:rPr>
        <w:t> </w:t>
      </w:r>
      <w:r>
        <w:rPr>
          <w:color w:val="464646"/>
        </w:rPr>
        <w:t>include</w:t>
      </w:r>
      <w:r>
        <w:rPr>
          <w:color w:val="464646"/>
          <w:spacing w:val="-38"/>
        </w:rPr>
        <w:t> </w:t>
      </w:r>
      <w:r>
        <w:rPr>
          <w:color w:val="464646"/>
        </w:rPr>
        <w:t>the</w:t>
      </w:r>
      <w:r>
        <w:rPr>
          <w:color w:val="464646"/>
          <w:spacing w:val="-39"/>
        </w:rPr>
        <w:t> </w:t>
      </w:r>
      <w:r>
        <w:rPr>
          <w:color w:val="464646"/>
        </w:rPr>
        <w:t>purchase</w:t>
      </w:r>
      <w:r>
        <w:rPr>
          <w:color w:val="464646"/>
          <w:spacing w:val="-38"/>
        </w:rPr>
        <w:t> </w:t>
      </w:r>
      <w:r>
        <w:rPr>
          <w:color w:val="464646"/>
        </w:rPr>
        <w:t>of</w:t>
      </w:r>
      <w:r>
        <w:rPr>
          <w:color w:val="464646"/>
          <w:spacing w:val="-38"/>
        </w:rPr>
        <w:t> </w:t>
      </w:r>
      <w:r>
        <w:rPr>
          <w:color w:val="464646"/>
        </w:rPr>
        <w:t>Frequency</w:t>
      </w:r>
      <w:r>
        <w:rPr>
          <w:color w:val="464646"/>
          <w:spacing w:val="-38"/>
        </w:rPr>
        <w:t> </w:t>
      </w:r>
      <w:r>
        <w:rPr>
          <w:color w:val="464646"/>
        </w:rPr>
        <w:t>Control</w:t>
      </w:r>
      <w:r>
        <w:rPr>
          <w:color w:val="464646"/>
          <w:spacing w:val="-39"/>
        </w:rPr>
        <w:t> </w:t>
      </w:r>
      <w:r>
        <w:rPr>
          <w:color w:val="464646"/>
        </w:rPr>
        <w:t>Ancillary</w:t>
      </w:r>
      <w:r>
        <w:rPr>
          <w:color w:val="464646"/>
          <w:spacing w:val="-38"/>
        </w:rPr>
        <w:t> </w:t>
      </w:r>
      <w:r>
        <w:rPr>
          <w:color w:val="464646"/>
        </w:rPr>
        <w:t>Services,</w:t>
      </w:r>
      <w:r>
        <w:rPr>
          <w:color w:val="464646"/>
          <w:spacing w:val="-38"/>
        </w:rPr>
        <w:t> </w:t>
      </w:r>
      <w:r>
        <w:rPr>
          <w:color w:val="464646"/>
        </w:rPr>
        <w:t>constraining generation</w:t>
      </w:r>
      <w:r>
        <w:rPr>
          <w:color w:val="464646"/>
          <w:spacing w:val="-34"/>
        </w:rPr>
        <w:t> </w:t>
      </w:r>
      <w:r>
        <w:rPr>
          <w:color w:val="464646"/>
        </w:rPr>
        <w:t>dispatch,</w:t>
      </w:r>
      <w:r>
        <w:rPr>
          <w:color w:val="464646"/>
          <w:spacing w:val="-34"/>
        </w:rPr>
        <w:t> </w:t>
      </w:r>
      <w:r>
        <w:rPr>
          <w:color w:val="464646"/>
        </w:rPr>
        <w:t>and</w:t>
      </w:r>
      <w:r>
        <w:rPr>
          <w:color w:val="464646"/>
          <w:spacing w:val="-34"/>
        </w:rPr>
        <w:t> </w:t>
      </w:r>
      <w:r>
        <w:rPr>
          <w:color w:val="464646"/>
        </w:rPr>
        <w:t>the</w:t>
      </w:r>
      <w:r>
        <w:rPr>
          <w:color w:val="464646"/>
          <w:spacing w:val="-34"/>
        </w:rPr>
        <w:t> </w:t>
      </w:r>
      <w:r>
        <w:rPr>
          <w:color w:val="464646"/>
        </w:rPr>
        <w:t>use</w:t>
      </w:r>
      <w:r>
        <w:rPr>
          <w:color w:val="464646"/>
          <w:spacing w:val="-34"/>
        </w:rPr>
        <w:t> </w:t>
      </w:r>
      <w:r>
        <w:rPr>
          <w:color w:val="464646"/>
        </w:rPr>
        <w:t>of</w:t>
      </w:r>
      <w:r>
        <w:rPr>
          <w:color w:val="464646"/>
          <w:spacing w:val="-34"/>
        </w:rPr>
        <w:t> </w:t>
      </w:r>
      <w:r>
        <w:rPr>
          <w:color w:val="464646"/>
        </w:rPr>
        <w:t>an</w:t>
      </w:r>
      <w:r>
        <w:rPr>
          <w:color w:val="464646"/>
          <w:spacing w:val="-34"/>
        </w:rPr>
        <w:t> </w:t>
      </w:r>
      <w:r>
        <w:rPr>
          <w:color w:val="464646"/>
        </w:rPr>
        <w:t>Emergency</w:t>
      </w:r>
      <w:r>
        <w:rPr>
          <w:color w:val="464646"/>
          <w:spacing w:val="-33"/>
        </w:rPr>
        <w:t> </w:t>
      </w:r>
      <w:r>
        <w:rPr>
          <w:color w:val="464646"/>
        </w:rPr>
        <w:t>Frequency</w:t>
      </w:r>
      <w:r>
        <w:rPr>
          <w:color w:val="464646"/>
          <w:spacing w:val="-34"/>
        </w:rPr>
        <w:t> </w:t>
      </w:r>
      <w:r>
        <w:rPr>
          <w:color w:val="464646"/>
        </w:rPr>
        <w:t>Control</w:t>
      </w:r>
      <w:r>
        <w:rPr>
          <w:color w:val="464646"/>
          <w:spacing w:val="-34"/>
        </w:rPr>
        <w:t> </w:t>
      </w:r>
      <w:r>
        <w:rPr>
          <w:color w:val="464646"/>
        </w:rPr>
        <w:t>Scheme</w:t>
      </w:r>
      <w:r>
        <w:rPr>
          <w:color w:val="464646"/>
          <w:spacing w:val="-34"/>
        </w:rPr>
        <w:t> </w:t>
      </w:r>
      <w:r>
        <w:rPr>
          <w:color w:val="464646"/>
        </w:rPr>
        <w:t>in</w:t>
      </w:r>
      <w:r>
        <w:rPr>
          <w:color w:val="464646"/>
          <w:spacing w:val="-34"/>
        </w:rPr>
        <w:t> </w:t>
      </w:r>
      <w:r>
        <w:rPr>
          <w:color w:val="464646"/>
        </w:rPr>
        <w:t>order</w:t>
      </w:r>
      <w:r>
        <w:rPr>
          <w:color w:val="464646"/>
          <w:spacing w:val="-34"/>
        </w:rPr>
        <w:t> </w:t>
      </w:r>
      <w:r>
        <w:rPr>
          <w:color w:val="464646"/>
        </w:rPr>
        <w:t>to maintain</w:t>
      </w:r>
      <w:r>
        <w:rPr>
          <w:color w:val="464646"/>
          <w:spacing w:val="-18"/>
        </w:rPr>
        <w:t> </w:t>
      </w:r>
      <w:r>
        <w:rPr>
          <w:color w:val="464646"/>
        </w:rPr>
        <w:t>the</w:t>
      </w:r>
      <w:r>
        <w:rPr>
          <w:color w:val="464646"/>
          <w:spacing w:val="-17"/>
        </w:rPr>
        <w:t> </w:t>
      </w:r>
      <w:r>
        <w:rPr>
          <w:color w:val="464646"/>
        </w:rPr>
        <w:t>frequency</w:t>
      </w:r>
      <w:r>
        <w:rPr>
          <w:color w:val="464646"/>
          <w:spacing w:val="-17"/>
        </w:rPr>
        <w:t> </w:t>
      </w:r>
      <w:r>
        <w:rPr>
          <w:color w:val="464646"/>
        </w:rPr>
        <w:t>operating</w:t>
      </w:r>
      <w:r>
        <w:rPr>
          <w:color w:val="464646"/>
          <w:spacing w:val="-17"/>
        </w:rPr>
        <w:t> </w:t>
      </w:r>
      <w:r>
        <w:rPr>
          <w:color w:val="464646"/>
        </w:rPr>
        <w:t>standards</w:t>
      </w:r>
      <w:r>
        <w:rPr>
          <w:color w:val="464646"/>
          <w:spacing w:val="-17"/>
        </w:rPr>
        <w:t> </w:t>
      </w:r>
      <w:r>
        <w:rPr>
          <w:color w:val="464646"/>
        </w:rPr>
        <w:t>applicable</w:t>
      </w:r>
      <w:r>
        <w:rPr>
          <w:color w:val="464646"/>
          <w:spacing w:val="-17"/>
        </w:rPr>
        <w:t> </w:t>
      </w:r>
      <w:r>
        <w:rPr>
          <w:color w:val="464646"/>
        </w:rPr>
        <w:t>to</w:t>
      </w:r>
      <w:r>
        <w:rPr>
          <w:color w:val="464646"/>
          <w:spacing w:val="-18"/>
        </w:rPr>
        <w:t> </w:t>
      </w:r>
      <w:r>
        <w:rPr>
          <w:color w:val="464646"/>
        </w:rPr>
        <w:t>protected</w:t>
      </w:r>
      <w:r>
        <w:rPr>
          <w:color w:val="464646"/>
          <w:spacing w:val="-17"/>
        </w:rPr>
        <w:t> </w:t>
      </w:r>
      <w:r>
        <w:rPr>
          <w:color w:val="464646"/>
        </w:rPr>
        <w:t>events.</w:t>
      </w:r>
    </w:p>
    <w:p>
      <w:pPr>
        <w:pStyle w:val="BodyText"/>
        <w:spacing w:before="8"/>
        <w:rPr>
          <w:sz w:val="27"/>
        </w:rPr>
      </w:pPr>
    </w:p>
    <w:p>
      <w:pPr>
        <w:pStyle w:val="BodyText"/>
        <w:spacing w:line="278" w:lineRule="auto" w:before="107"/>
        <w:ind w:left="2692" w:right="238"/>
        <w:rPr>
          <w:sz w:val="12"/>
        </w:rPr>
      </w:pPr>
      <w:r>
        <w:rPr>
          <w:color w:val="262526"/>
        </w:rPr>
        <w:t>AEMO must have in place arrangements it considers appropriate to consult with, and take into account the views of, Transmission Network Service Providers (TNSPs) in the conduct of the PSFRR.</w:t>
      </w:r>
      <w:r>
        <w:rPr>
          <w:color w:val="262526"/>
          <w:position w:val="8"/>
          <w:sz w:val="12"/>
        </w:rPr>
        <w:t>12 </w:t>
      </w:r>
      <w:r>
        <w:rPr>
          <w:color w:val="262526"/>
        </w:rPr>
        <w:t>AEMO is currently required to collaborate with Distribution Network Service Providers (DNSPs) only in limited circumstances. When considering the development of a new, or modification of an existing emergency frequency control scheme, AEMO must also consult with DNSPs whose networks are likely to be affected by the scheme.</w:t>
      </w:r>
      <w:r>
        <w:rPr>
          <w:color w:val="262526"/>
          <w:position w:val="8"/>
          <w:sz w:val="12"/>
        </w:rPr>
        <w:t>13</w:t>
      </w:r>
    </w:p>
    <w:p>
      <w:pPr>
        <w:pStyle w:val="BodyText"/>
        <w:spacing w:before="10"/>
        <w:rPr>
          <w:sz w:val="26"/>
        </w:rPr>
      </w:pPr>
      <w:r>
        <w:rPr/>
        <w:pict>
          <v:shape style="position:absolute;margin-left:134.645996pt;margin-top:18.667532pt;width:49.65pt;height:.1pt;mso-position-horizontal-relative:page;mso-position-vertical-relative:paragraph;z-index:-15725568;mso-wrap-distance-left:0;mso-wrap-distance-right:0" coordorigin="2693,373" coordsize="993,0" path="m2693,373l3685,373e" filled="false" stroked="true" strokeweight="1pt" strokecolor="#262526">
            <v:path arrowok="t"/>
            <v:stroke dashstyle="solid"/>
            <w10:wrap type="topAndBottom"/>
          </v:shape>
        </w:pict>
      </w:r>
    </w:p>
    <w:p>
      <w:pPr>
        <w:pStyle w:val="ListParagraph"/>
        <w:numPr>
          <w:ilvl w:val="0"/>
          <w:numId w:val="8"/>
        </w:numPr>
        <w:tabs>
          <w:tab w:pos="3034" w:val="left" w:leader="none"/>
        </w:tabs>
        <w:spacing w:line="240" w:lineRule="auto" w:before="98" w:after="0"/>
        <w:ind w:left="3033" w:right="0" w:hanging="342"/>
        <w:jc w:val="left"/>
        <w:rPr>
          <w:sz w:val="14"/>
        </w:rPr>
      </w:pPr>
      <w:r>
        <w:rPr>
          <w:color w:val="262526"/>
          <w:sz w:val="14"/>
        </w:rPr>
        <w:t>Clause 5.20A.2(b) of the</w:t>
      </w:r>
      <w:r>
        <w:rPr>
          <w:color w:val="262526"/>
          <w:spacing w:val="-3"/>
          <w:sz w:val="14"/>
        </w:rPr>
        <w:t> </w:t>
      </w:r>
      <w:r>
        <w:rPr>
          <w:color w:val="262526"/>
          <w:sz w:val="14"/>
        </w:rPr>
        <w:t>NER.</w:t>
      </w:r>
    </w:p>
    <w:p>
      <w:pPr>
        <w:pStyle w:val="ListParagraph"/>
        <w:numPr>
          <w:ilvl w:val="0"/>
          <w:numId w:val="8"/>
        </w:numPr>
        <w:tabs>
          <w:tab w:pos="3034" w:val="left" w:leader="none"/>
        </w:tabs>
        <w:spacing w:line="240" w:lineRule="auto" w:before="55" w:after="0"/>
        <w:ind w:left="3033" w:right="0" w:hanging="342"/>
        <w:jc w:val="left"/>
        <w:rPr>
          <w:sz w:val="14"/>
        </w:rPr>
      </w:pPr>
      <w:r>
        <w:rPr>
          <w:color w:val="262526"/>
          <w:sz w:val="14"/>
        </w:rPr>
        <w:t>Clause 5.20A.2(c) of the</w:t>
      </w:r>
      <w:r>
        <w:rPr>
          <w:color w:val="262526"/>
          <w:spacing w:val="-3"/>
          <w:sz w:val="14"/>
        </w:rPr>
        <w:t> </w:t>
      </w:r>
      <w:r>
        <w:rPr>
          <w:color w:val="262526"/>
          <w:sz w:val="14"/>
        </w:rPr>
        <w:t>NER.</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ight="571"/>
        <w:jc w:val="both"/>
      </w:pPr>
      <w:bookmarkStart w:name="1.2 South Australian black system event " w:id="9"/>
      <w:bookmarkEnd w:id="9"/>
      <w:r>
        <w:rPr/>
      </w:r>
      <w:bookmarkStart w:name="_bookmark1" w:id="10"/>
      <w:bookmarkEnd w:id="10"/>
      <w:r>
        <w:rPr/>
      </w:r>
      <w:r>
        <w:rPr>
          <w:color w:val="262526"/>
        </w:rPr>
        <w:t>The PSFRR is not formally integrated into broader planning arrangements undertaken by AEMO and NSPs, such as AEMO’s Integrated System Plan (ISP) or NSPs’ annual planning reviews.</w:t>
      </w:r>
    </w:p>
    <w:p>
      <w:pPr>
        <w:pStyle w:val="BodyText"/>
        <w:spacing w:line="278" w:lineRule="auto" w:before="113"/>
        <w:ind w:left="2692" w:right="417"/>
        <w:jc w:val="both"/>
      </w:pPr>
      <w:r>
        <w:rPr>
          <w:color w:val="262526"/>
        </w:rPr>
        <w:t>For more information on the existing arrangements for reviewing and managing frequency risks arising from non-credible contingency events, see Appendix A.</w:t>
      </w:r>
    </w:p>
    <w:p>
      <w:pPr>
        <w:pStyle w:val="BodyText"/>
        <w:spacing w:before="4"/>
        <w:rPr>
          <w:sz w:val="23"/>
        </w:rPr>
      </w:pPr>
    </w:p>
    <w:p>
      <w:pPr>
        <w:pStyle w:val="Heading2"/>
        <w:numPr>
          <w:ilvl w:val="1"/>
          <w:numId w:val="7"/>
        </w:numPr>
        <w:tabs>
          <w:tab w:pos="2692" w:val="left" w:leader="none"/>
          <w:tab w:pos="2693" w:val="left" w:leader="none"/>
        </w:tabs>
        <w:spacing w:line="240" w:lineRule="auto" w:before="0" w:after="0"/>
        <w:ind w:left="2692" w:right="0" w:hanging="1560"/>
        <w:jc w:val="left"/>
      </w:pPr>
      <w:r>
        <w:rPr>
          <w:color w:val="00ACEC"/>
        </w:rPr>
        <w:t>South Australian black system event</w:t>
      </w:r>
      <w:r>
        <w:rPr>
          <w:color w:val="00ACEC"/>
          <w:spacing w:val="-6"/>
        </w:rPr>
        <w:t> </w:t>
      </w:r>
      <w:r>
        <w:rPr>
          <w:color w:val="00ACEC"/>
        </w:rPr>
        <w:t>review</w:t>
      </w:r>
    </w:p>
    <w:p>
      <w:pPr>
        <w:pStyle w:val="BodyText"/>
        <w:spacing w:line="278" w:lineRule="auto" w:before="78"/>
        <w:ind w:left="2692"/>
      </w:pPr>
      <w:r>
        <w:rPr>
          <w:color w:val="262526"/>
        </w:rPr>
        <w:t>On 12 December 2019, the AEMC published a final BSE review report.</w:t>
      </w:r>
      <w:r>
        <w:rPr>
          <w:color w:val="262526"/>
          <w:position w:val="8"/>
          <w:sz w:val="12"/>
        </w:rPr>
        <w:t>14 </w:t>
      </w:r>
      <w:r>
        <w:rPr>
          <w:color w:val="262526"/>
        </w:rPr>
        <w:t>The report included several recommendations that were designed to enhance the resilience of the power system.</w:t>
      </w:r>
    </w:p>
    <w:p>
      <w:pPr>
        <w:pStyle w:val="BodyText"/>
        <w:spacing w:line="278" w:lineRule="auto" w:before="114"/>
        <w:ind w:left="2692" w:right="171"/>
      </w:pPr>
      <w:r>
        <w:rPr>
          <w:color w:val="262526"/>
        </w:rPr>
        <w:t>Through its consultation with stakeholders in the review, the Commission identified a number of issues in relation to the current PSFRR.</w:t>
      </w:r>
      <w:r>
        <w:rPr>
          <w:color w:val="262526"/>
          <w:position w:val="8"/>
          <w:sz w:val="12"/>
        </w:rPr>
        <w:t>15 </w:t>
      </w:r>
      <w:r>
        <w:rPr>
          <w:color w:val="262526"/>
        </w:rPr>
        <w:t>The issues identified relate to:</w:t>
      </w:r>
    </w:p>
    <w:p>
      <w:pPr>
        <w:pStyle w:val="ListParagraph"/>
        <w:numPr>
          <w:ilvl w:val="2"/>
          <w:numId w:val="7"/>
        </w:numPr>
        <w:tabs>
          <w:tab w:pos="3033" w:val="left" w:leader="none"/>
          <w:tab w:pos="3034" w:val="left" w:leader="none"/>
        </w:tabs>
        <w:spacing w:line="240" w:lineRule="auto" w:before="113" w:after="0"/>
        <w:ind w:left="3033" w:right="0" w:hanging="341"/>
        <w:jc w:val="left"/>
        <w:rPr>
          <w:sz w:val="20"/>
        </w:rPr>
      </w:pPr>
      <w:r>
        <w:rPr>
          <w:b/>
          <w:color w:val="262526"/>
          <w:sz w:val="20"/>
        </w:rPr>
        <w:t>Scope of the PSFRR: </w:t>
      </w:r>
      <w:r>
        <w:rPr>
          <w:color w:val="262526"/>
          <w:sz w:val="20"/>
        </w:rPr>
        <w:t>The range of risks currently considered is limited to</w:t>
      </w:r>
      <w:r>
        <w:rPr>
          <w:color w:val="262526"/>
          <w:spacing w:val="23"/>
          <w:sz w:val="20"/>
        </w:rPr>
        <w:t> </w:t>
      </w:r>
      <w:r>
        <w:rPr>
          <w:color w:val="262526"/>
          <w:spacing w:val="-3"/>
          <w:sz w:val="20"/>
        </w:rPr>
        <w:t>frequency.</w:t>
      </w:r>
    </w:p>
    <w:p>
      <w:pPr>
        <w:pStyle w:val="ListParagraph"/>
        <w:numPr>
          <w:ilvl w:val="2"/>
          <w:numId w:val="7"/>
        </w:numPr>
        <w:tabs>
          <w:tab w:pos="3033" w:val="left" w:leader="none"/>
          <w:tab w:pos="3034" w:val="left" w:leader="none"/>
        </w:tabs>
        <w:spacing w:line="278" w:lineRule="auto" w:before="95" w:after="0"/>
        <w:ind w:left="3033" w:right="143" w:hanging="341"/>
        <w:jc w:val="left"/>
        <w:rPr>
          <w:sz w:val="20"/>
        </w:rPr>
      </w:pPr>
      <w:r>
        <w:rPr>
          <w:b/>
          <w:color w:val="262526"/>
          <w:sz w:val="20"/>
        </w:rPr>
        <w:t>Process for conducting the PSFRR: </w:t>
      </w:r>
      <w:r>
        <w:rPr>
          <w:color w:val="262526"/>
          <w:sz w:val="20"/>
        </w:rPr>
        <w:t>The requirement to conduct the review every two years takes too long to translate findings into outcomes, for example, an application to the Reliability Panel for declaring a protected event, if</w:t>
      </w:r>
      <w:r>
        <w:rPr>
          <w:color w:val="262526"/>
          <w:spacing w:val="4"/>
          <w:sz w:val="20"/>
        </w:rPr>
        <w:t> </w:t>
      </w:r>
      <w:r>
        <w:rPr>
          <w:color w:val="262526"/>
          <w:sz w:val="20"/>
        </w:rPr>
        <w:t>needed.</w:t>
      </w:r>
    </w:p>
    <w:p>
      <w:pPr>
        <w:pStyle w:val="ListParagraph"/>
        <w:numPr>
          <w:ilvl w:val="2"/>
          <w:numId w:val="7"/>
        </w:numPr>
        <w:tabs>
          <w:tab w:pos="3033" w:val="left" w:leader="none"/>
          <w:tab w:pos="3034" w:val="left" w:leader="none"/>
        </w:tabs>
        <w:spacing w:line="278" w:lineRule="auto" w:before="57" w:after="0"/>
        <w:ind w:left="3033" w:right="255" w:hanging="341"/>
        <w:jc w:val="left"/>
        <w:rPr>
          <w:sz w:val="20"/>
        </w:rPr>
      </w:pPr>
      <w:r>
        <w:rPr>
          <w:b/>
          <w:color w:val="262526"/>
          <w:sz w:val="20"/>
        </w:rPr>
        <w:t>Integration of the PSFRR into other planning processes: </w:t>
      </w:r>
      <w:r>
        <w:rPr>
          <w:color w:val="262526"/>
          <w:sz w:val="20"/>
        </w:rPr>
        <w:t>The PSFRR is not sufficiently integrated into the broader planning arrangements undertaken by AEMO and NSPs. </w:t>
      </w:r>
      <w:r>
        <w:rPr>
          <w:color w:val="262526"/>
          <w:spacing w:val="-4"/>
          <w:sz w:val="20"/>
        </w:rPr>
        <w:t>Further, </w:t>
      </w:r>
      <w:r>
        <w:rPr>
          <w:color w:val="262526"/>
          <w:sz w:val="20"/>
        </w:rPr>
        <w:t>current arrangements require AEMO to collaborate only with TNSPs but not DNSPs. Therefore, the PSFRR considers the impacts of distributed energy resources (DER) in a limited </w:t>
      </w:r>
      <w:r>
        <w:rPr>
          <w:color w:val="262526"/>
          <w:spacing w:val="-4"/>
          <w:sz w:val="20"/>
        </w:rPr>
        <w:t>manner.</w:t>
      </w:r>
    </w:p>
    <w:p>
      <w:pPr>
        <w:pStyle w:val="BodyText"/>
        <w:spacing w:line="278" w:lineRule="auto" w:before="57"/>
        <w:ind w:left="2692"/>
        <w:rPr>
          <w:sz w:val="12"/>
        </w:rPr>
      </w:pPr>
      <w:r>
        <w:rPr>
          <w:color w:val="262526"/>
        </w:rPr>
        <w:t>The Commission’s final BSE review report therefore identified the opportunity to expand the scope of the PSFRR to become a GPSRR. The GPSRR was proposed with the following elements:</w:t>
      </w:r>
      <w:r>
        <w:rPr>
          <w:color w:val="262526"/>
          <w:position w:val="8"/>
          <w:sz w:val="12"/>
        </w:rPr>
        <w:t>16</w:t>
      </w:r>
    </w:p>
    <w:p>
      <w:pPr>
        <w:pStyle w:val="ListParagraph"/>
        <w:numPr>
          <w:ilvl w:val="2"/>
          <w:numId w:val="7"/>
        </w:numPr>
        <w:tabs>
          <w:tab w:pos="3033" w:val="left" w:leader="none"/>
          <w:tab w:pos="3034" w:val="left" w:leader="none"/>
        </w:tabs>
        <w:spacing w:line="278" w:lineRule="auto" w:before="113" w:after="0"/>
        <w:ind w:left="3033" w:right="276" w:hanging="341"/>
        <w:jc w:val="left"/>
        <w:rPr>
          <w:sz w:val="20"/>
        </w:rPr>
      </w:pPr>
      <w:r>
        <w:rPr>
          <w:color w:val="262526"/>
          <w:sz w:val="20"/>
        </w:rPr>
        <w:t>The GPSRR was recommended to </w:t>
      </w:r>
      <w:r>
        <w:rPr>
          <w:color w:val="262526"/>
          <w:spacing w:val="-4"/>
          <w:sz w:val="20"/>
        </w:rPr>
        <w:t>consider, </w:t>
      </w:r>
      <w:r>
        <w:rPr>
          <w:color w:val="262526"/>
          <w:sz w:val="20"/>
        </w:rPr>
        <w:t>and identify options for the future management </w:t>
      </w:r>
      <w:r>
        <w:rPr>
          <w:color w:val="262526"/>
          <w:spacing w:val="-5"/>
          <w:sz w:val="20"/>
        </w:rPr>
        <w:t>of, </w:t>
      </w:r>
      <w:r>
        <w:rPr>
          <w:color w:val="262526"/>
          <w:sz w:val="20"/>
        </w:rPr>
        <w:t>all events and conditions (including contingency events and indistinct events) the occurrence of which AEMO expects, alone or in combination, would be likely to lead to cascading outages, or major supply</w:t>
      </w:r>
      <w:r>
        <w:rPr>
          <w:color w:val="262526"/>
          <w:spacing w:val="4"/>
          <w:sz w:val="20"/>
        </w:rPr>
        <w:t> </w:t>
      </w:r>
      <w:r>
        <w:rPr>
          <w:color w:val="262526"/>
          <w:sz w:val="20"/>
        </w:rPr>
        <w:t>disruptions.</w:t>
      </w:r>
    </w:p>
    <w:p>
      <w:pPr>
        <w:pStyle w:val="ListParagraph"/>
        <w:numPr>
          <w:ilvl w:val="2"/>
          <w:numId w:val="7"/>
        </w:numPr>
        <w:tabs>
          <w:tab w:pos="3033" w:val="left" w:leader="none"/>
          <w:tab w:pos="3034" w:val="left" w:leader="none"/>
        </w:tabs>
        <w:spacing w:line="278" w:lineRule="auto" w:before="56" w:after="0"/>
        <w:ind w:left="3033" w:right="297" w:hanging="341"/>
        <w:jc w:val="left"/>
        <w:rPr>
          <w:sz w:val="20"/>
        </w:rPr>
      </w:pPr>
      <w:r>
        <w:rPr>
          <w:color w:val="262526"/>
          <w:sz w:val="20"/>
        </w:rPr>
        <w:t>The GPSRR should be conducted annually with AEMO required to consult with, and take into account, the views of TNSPs and DNSPs in conducting the</w:t>
      </w:r>
      <w:r>
        <w:rPr>
          <w:color w:val="262526"/>
          <w:spacing w:val="5"/>
          <w:sz w:val="20"/>
        </w:rPr>
        <w:t> </w:t>
      </w:r>
      <w:r>
        <w:rPr>
          <w:color w:val="262526"/>
          <w:sz w:val="20"/>
        </w:rPr>
        <w:t>review.</w:t>
      </w:r>
    </w:p>
    <w:p>
      <w:pPr>
        <w:pStyle w:val="ListParagraph"/>
        <w:numPr>
          <w:ilvl w:val="2"/>
          <w:numId w:val="7"/>
        </w:numPr>
        <w:tabs>
          <w:tab w:pos="3033" w:val="left" w:leader="none"/>
          <w:tab w:pos="3034" w:val="left" w:leader="none"/>
        </w:tabs>
        <w:spacing w:line="240" w:lineRule="auto" w:before="57" w:after="0"/>
        <w:ind w:left="3033" w:right="0" w:hanging="341"/>
        <w:jc w:val="left"/>
        <w:rPr>
          <w:sz w:val="20"/>
        </w:rPr>
      </w:pPr>
      <w:r>
        <w:rPr>
          <w:color w:val="262526"/>
          <w:sz w:val="20"/>
        </w:rPr>
        <w:t>The GPSRR should be integrated into relevant AEMO and NSPs planning</w:t>
      </w:r>
      <w:r>
        <w:rPr>
          <w:color w:val="262526"/>
          <w:spacing w:val="22"/>
          <w:sz w:val="20"/>
        </w:rPr>
        <w:t> </w:t>
      </w:r>
      <w:r>
        <w:rPr>
          <w:color w:val="262526"/>
          <w:sz w:val="20"/>
        </w:rPr>
        <w:t>processes.</w:t>
      </w:r>
    </w:p>
    <w:p>
      <w:pPr>
        <w:pStyle w:val="BodyText"/>
        <w:spacing w:line="278" w:lineRule="auto" w:before="95"/>
        <w:ind w:left="2692"/>
        <w:rPr>
          <w:sz w:val="12"/>
        </w:rPr>
      </w:pPr>
      <w:r>
        <w:rPr>
          <w:color w:val="262526"/>
        </w:rPr>
        <w:t>Stakeholder views on the discussion paper proposal for the BSE review to expand the PSFRR into GPSRR were generally supportive, with the main concerns centred around:</w:t>
      </w:r>
      <w:r>
        <w:rPr>
          <w:color w:val="262526"/>
          <w:position w:val="8"/>
          <w:sz w:val="12"/>
        </w:rPr>
        <w:t>17</w:t>
      </w:r>
    </w:p>
    <w:p>
      <w:pPr>
        <w:pStyle w:val="ListParagraph"/>
        <w:numPr>
          <w:ilvl w:val="2"/>
          <w:numId w:val="7"/>
        </w:numPr>
        <w:tabs>
          <w:tab w:pos="3033" w:val="left" w:leader="none"/>
          <w:tab w:pos="3034" w:val="left" w:leader="none"/>
        </w:tabs>
        <w:spacing w:line="240" w:lineRule="auto" w:before="114" w:after="0"/>
        <w:ind w:left="3033" w:right="0" w:hanging="341"/>
        <w:jc w:val="left"/>
        <w:rPr>
          <w:sz w:val="20"/>
        </w:rPr>
      </w:pPr>
      <w:r>
        <w:rPr>
          <w:color w:val="262526"/>
          <w:sz w:val="20"/>
        </w:rPr>
        <w:t>complexity and cumbersome unmanageable</w:t>
      </w:r>
      <w:r>
        <w:rPr>
          <w:color w:val="262526"/>
          <w:spacing w:val="1"/>
          <w:sz w:val="20"/>
        </w:rPr>
        <w:t> </w:t>
      </w:r>
      <w:r>
        <w:rPr>
          <w:color w:val="262526"/>
          <w:sz w:val="20"/>
        </w:rPr>
        <w:t>processes</w:t>
      </w:r>
    </w:p>
    <w:p>
      <w:pPr>
        <w:pStyle w:val="ListParagraph"/>
        <w:numPr>
          <w:ilvl w:val="2"/>
          <w:numId w:val="7"/>
        </w:numPr>
        <w:tabs>
          <w:tab w:pos="3033" w:val="left" w:leader="none"/>
          <w:tab w:pos="3034" w:val="left" w:leader="none"/>
        </w:tabs>
        <w:spacing w:line="240" w:lineRule="auto" w:before="95" w:after="0"/>
        <w:ind w:left="3033" w:right="0" w:hanging="341"/>
        <w:jc w:val="left"/>
        <w:rPr>
          <w:sz w:val="20"/>
        </w:rPr>
      </w:pPr>
      <w:r>
        <w:rPr>
          <w:color w:val="262526"/>
          <w:sz w:val="20"/>
        </w:rPr>
        <w:t>costs, and</w:t>
      </w:r>
    </w:p>
    <w:p>
      <w:pPr>
        <w:pStyle w:val="BodyText"/>
      </w:pPr>
    </w:p>
    <w:p>
      <w:pPr>
        <w:pStyle w:val="BodyText"/>
        <w:spacing w:before="11"/>
        <w:rPr>
          <w:sz w:val="17"/>
        </w:rPr>
      </w:pPr>
      <w:r>
        <w:rPr/>
        <w:pict>
          <v:shape style="position:absolute;margin-left:134.645996pt;margin-top:13.291109pt;width:49.65pt;height:.1pt;mso-position-horizontal-relative:page;mso-position-vertical-relative:paragraph;z-index:-15724544;mso-wrap-distance-left:0;mso-wrap-distance-right:0" coordorigin="2693,266" coordsize="993,0" path="m2693,266l3685,266e" filled="false" stroked="true" strokeweight="1pt" strokecolor="#262526">
            <v:path arrowok="t"/>
            <v:stroke dashstyle="solid"/>
            <w10:wrap type="topAndBottom"/>
          </v:shape>
        </w:pict>
      </w:r>
    </w:p>
    <w:p>
      <w:pPr>
        <w:pStyle w:val="ListParagraph"/>
        <w:numPr>
          <w:ilvl w:val="0"/>
          <w:numId w:val="8"/>
        </w:numPr>
        <w:tabs>
          <w:tab w:pos="3034" w:val="left" w:leader="none"/>
        </w:tabs>
        <w:spacing w:line="168" w:lineRule="exact" w:before="98" w:after="0"/>
        <w:ind w:left="3033" w:right="0" w:hanging="342"/>
        <w:jc w:val="left"/>
        <w:rPr>
          <w:sz w:val="14"/>
        </w:rPr>
      </w:pPr>
      <w:r>
        <w:rPr>
          <w:color w:val="262526"/>
          <w:sz w:val="14"/>
        </w:rPr>
        <w:t>For more information, see:</w:t>
      </w:r>
      <w:r>
        <w:rPr>
          <w:color w:val="262526"/>
          <w:spacing w:val="-8"/>
          <w:sz w:val="14"/>
        </w:rPr>
        <w:t> </w:t>
      </w:r>
      <w:r>
        <w:rPr>
          <w:color w:val="262526"/>
          <w:sz w:val="14"/>
        </w:rPr>
        <w:t>ht</w:t>
      </w:r>
      <w:hyperlink r:id="rId16">
        <w:r>
          <w:rPr>
            <w:color w:val="262526"/>
            <w:sz w:val="14"/>
          </w:rPr>
          <w:t>tps://www.aemc.go</w:t>
        </w:r>
      </w:hyperlink>
      <w:r>
        <w:rPr>
          <w:color w:val="262526"/>
          <w:sz w:val="14"/>
        </w:rPr>
        <w:t>v</w:t>
      </w:r>
      <w:hyperlink r:id="rId16">
        <w:r>
          <w:rPr>
            <w:color w:val="262526"/>
            <w:sz w:val="14"/>
          </w:rPr>
          <w:t>.au/sites/default/files/documents/aemc_-_sa_black_system_review_-</w:t>
        </w:r>
      </w:hyperlink>
    </w:p>
    <w:p>
      <w:pPr>
        <w:spacing w:line="168" w:lineRule="exact" w:before="0"/>
        <w:ind w:left="3033" w:right="0" w:firstLine="0"/>
        <w:jc w:val="left"/>
        <w:rPr>
          <w:sz w:val="14"/>
        </w:rPr>
      </w:pPr>
      <w:r>
        <w:rPr>
          <w:color w:val="262526"/>
          <w:sz w:val="14"/>
        </w:rPr>
        <w:t>_final_report.pdf</w:t>
      </w:r>
    </w:p>
    <w:p>
      <w:pPr>
        <w:pStyle w:val="ListParagraph"/>
        <w:numPr>
          <w:ilvl w:val="0"/>
          <w:numId w:val="8"/>
        </w:numPr>
        <w:tabs>
          <w:tab w:pos="3034" w:val="left" w:leader="none"/>
        </w:tabs>
        <w:spacing w:line="240" w:lineRule="auto" w:before="55" w:after="0"/>
        <w:ind w:left="3033" w:right="0" w:hanging="342"/>
        <w:jc w:val="left"/>
        <w:rPr>
          <w:sz w:val="14"/>
        </w:rPr>
      </w:pPr>
      <w:r>
        <w:rPr>
          <w:color w:val="262526"/>
          <w:sz w:val="14"/>
        </w:rPr>
        <w:t>See section 1.3 and chapter 3 for the detailed description of issues identified in the BSE</w:t>
      </w:r>
      <w:r>
        <w:rPr>
          <w:color w:val="262526"/>
          <w:spacing w:val="-12"/>
          <w:sz w:val="14"/>
        </w:rPr>
        <w:t> </w:t>
      </w:r>
      <w:r>
        <w:rPr>
          <w:color w:val="262526"/>
          <w:sz w:val="14"/>
        </w:rPr>
        <w:t>report.</w:t>
      </w:r>
    </w:p>
    <w:p>
      <w:pPr>
        <w:pStyle w:val="ListParagraph"/>
        <w:numPr>
          <w:ilvl w:val="0"/>
          <w:numId w:val="8"/>
        </w:numPr>
        <w:tabs>
          <w:tab w:pos="3034" w:val="left" w:leader="none"/>
        </w:tabs>
        <w:spacing w:line="240" w:lineRule="auto" w:before="56" w:after="0"/>
        <w:ind w:left="3033" w:right="133" w:hanging="341"/>
        <w:jc w:val="left"/>
        <w:rPr>
          <w:sz w:val="14"/>
        </w:rPr>
      </w:pPr>
      <w:r>
        <w:rPr>
          <w:color w:val="262526"/>
          <w:sz w:val="14"/>
        </w:rPr>
        <w:t>AEMC,</w:t>
      </w:r>
      <w:r>
        <w:rPr>
          <w:color w:val="262526"/>
          <w:spacing w:val="-4"/>
          <w:sz w:val="14"/>
        </w:rPr>
        <w:t> </w:t>
      </w:r>
      <w:r>
        <w:rPr>
          <w:color w:val="262526"/>
          <w:sz w:val="14"/>
        </w:rPr>
        <w:t>Mechanisms</w:t>
      </w:r>
      <w:r>
        <w:rPr>
          <w:color w:val="262526"/>
          <w:spacing w:val="-3"/>
          <w:sz w:val="14"/>
        </w:rPr>
        <w:t> </w:t>
      </w:r>
      <w:r>
        <w:rPr>
          <w:color w:val="262526"/>
          <w:sz w:val="14"/>
        </w:rPr>
        <w:t>to</w:t>
      </w:r>
      <w:r>
        <w:rPr>
          <w:color w:val="262526"/>
          <w:spacing w:val="-4"/>
          <w:sz w:val="14"/>
        </w:rPr>
        <w:t> </w:t>
      </w:r>
      <w:r>
        <w:rPr>
          <w:color w:val="262526"/>
          <w:sz w:val="14"/>
        </w:rPr>
        <w:t>Enhance</w:t>
      </w:r>
      <w:r>
        <w:rPr>
          <w:color w:val="262526"/>
          <w:spacing w:val="-3"/>
          <w:sz w:val="14"/>
        </w:rPr>
        <w:t> </w:t>
      </w:r>
      <w:r>
        <w:rPr>
          <w:color w:val="262526"/>
          <w:sz w:val="14"/>
        </w:rPr>
        <w:t>Resilience</w:t>
      </w:r>
      <w:r>
        <w:rPr>
          <w:color w:val="262526"/>
          <w:spacing w:val="-4"/>
          <w:sz w:val="14"/>
        </w:rPr>
        <w:t> </w:t>
      </w:r>
      <w:r>
        <w:rPr>
          <w:color w:val="262526"/>
          <w:sz w:val="14"/>
        </w:rPr>
        <w:t>in</w:t>
      </w:r>
      <w:r>
        <w:rPr>
          <w:color w:val="262526"/>
          <w:spacing w:val="-3"/>
          <w:sz w:val="14"/>
        </w:rPr>
        <w:t> </w:t>
      </w:r>
      <w:r>
        <w:rPr>
          <w:color w:val="262526"/>
          <w:sz w:val="14"/>
        </w:rPr>
        <w:t>the</w:t>
      </w:r>
      <w:r>
        <w:rPr>
          <w:color w:val="262526"/>
          <w:spacing w:val="-4"/>
          <w:sz w:val="14"/>
        </w:rPr>
        <w:t> </w:t>
      </w:r>
      <w:r>
        <w:rPr>
          <w:color w:val="262526"/>
          <w:sz w:val="14"/>
        </w:rPr>
        <w:t>Power</w:t>
      </w:r>
      <w:r>
        <w:rPr>
          <w:color w:val="262526"/>
          <w:spacing w:val="-3"/>
          <w:sz w:val="14"/>
        </w:rPr>
        <w:t> </w:t>
      </w:r>
      <w:r>
        <w:rPr>
          <w:color w:val="262526"/>
          <w:sz w:val="14"/>
        </w:rPr>
        <w:t>System</w:t>
      </w:r>
      <w:r>
        <w:rPr>
          <w:color w:val="262526"/>
          <w:spacing w:val="-3"/>
          <w:sz w:val="14"/>
        </w:rPr>
        <w:t> </w:t>
      </w:r>
      <w:r>
        <w:rPr>
          <w:color w:val="262526"/>
          <w:sz w:val="14"/>
        </w:rPr>
        <w:t>–</w:t>
      </w:r>
      <w:r>
        <w:rPr>
          <w:color w:val="262526"/>
          <w:spacing w:val="-3"/>
          <w:sz w:val="14"/>
        </w:rPr>
        <w:t> </w:t>
      </w:r>
      <w:r>
        <w:rPr>
          <w:color w:val="262526"/>
          <w:sz w:val="14"/>
        </w:rPr>
        <w:t>Review</w:t>
      </w:r>
      <w:r>
        <w:rPr>
          <w:color w:val="262526"/>
          <w:spacing w:val="-4"/>
          <w:sz w:val="14"/>
        </w:rPr>
        <w:t> </w:t>
      </w:r>
      <w:r>
        <w:rPr>
          <w:color w:val="262526"/>
          <w:sz w:val="14"/>
        </w:rPr>
        <w:t>of</w:t>
      </w:r>
      <w:r>
        <w:rPr>
          <w:color w:val="262526"/>
          <w:spacing w:val="-3"/>
          <w:sz w:val="14"/>
        </w:rPr>
        <w:t> </w:t>
      </w:r>
      <w:r>
        <w:rPr>
          <w:color w:val="262526"/>
          <w:sz w:val="14"/>
        </w:rPr>
        <w:t>the</w:t>
      </w:r>
      <w:r>
        <w:rPr>
          <w:color w:val="262526"/>
          <w:spacing w:val="-4"/>
          <w:sz w:val="14"/>
        </w:rPr>
        <w:t> </w:t>
      </w:r>
      <w:r>
        <w:rPr>
          <w:color w:val="262526"/>
          <w:sz w:val="14"/>
        </w:rPr>
        <w:t>South</w:t>
      </w:r>
      <w:r>
        <w:rPr>
          <w:color w:val="262526"/>
          <w:spacing w:val="-3"/>
          <w:sz w:val="14"/>
        </w:rPr>
        <w:t> </w:t>
      </w:r>
      <w:r>
        <w:rPr>
          <w:color w:val="262526"/>
          <w:sz w:val="14"/>
        </w:rPr>
        <w:t>Australian</w:t>
      </w:r>
      <w:r>
        <w:rPr>
          <w:color w:val="262526"/>
          <w:spacing w:val="-3"/>
          <w:sz w:val="14"/>
        </w:rPr>
        <w:t> </w:t>
      </w:r>
      <w:r>
        <w:rPr>
          <w:color w:val="262526"/>
          <w:sz w:val="14"/>
        </w:rPr>
        <w:t>Black</w:t>
      </w:r>
      <w:r>
        <w:rPr>
          <w:color w:val="262526"/>
          <w:spacing w:val="-3"/>
          <w:sz w:val="14"/>
        </w:rPr>
        <w:t> </w:t>
      </w:r>
      <w:r>
        <w:rPr>
          <w:color w:val="262526"/>
          <w:sz w:val="14"/>
        </w:rPr>
        <w:t>System</w:t>
      </w:r>
      <w:r>
        <w:rPr>
          <w:color w:val="262526"/>
          <w:spacing w:val="-3"/>
          <w:sz w:val="14"/>
        </w:rPr>
        <w:t> </w:t>
      </w:r>
      <w:r>
        <w:rPr>
          <w:color w:val="262526"/>
          <w:sz w:val="14"/>
        </w:rPr>
        <w:t>Event,</w:t>
      </w:r>
      <w:r>
        <w:rPr>
          <w:color w:val="262526"/>
          <w:spacing w:val="-5"/>
          <w:sz w:val="14"/>
        </w:rPr>
        <w:t> </w:t>
      </w:r>
      <w:r>
        <w:rPr>
          <w:color w:val="262526"/>
          <w:sz w:val="14"/>
        </w:rPr>
        <w:t>final</w:t>
      </w:r>
      <w:r>
        <w:rPr>
          <w:color w:val="262526"/>
          <w:spacing w:val="-4"/>
          <w:sz w:val="14"/>
        </w:rPr>
        <w:t> </w:t>
      </w:r>
      <w:r>
        <w:rPr>
          <w:color w:val="262526"/>
          <w:sz w:val="14"/>
        </w:rPr>
        <w:t>report, December 2019, p.</w:t>
      </w:r>
      <w:r>
        <w:rPr>
          <w:color w:val="262526"/>
          <w:spacing w:val="-1"/>
          <w:sz w:val="14"/>
        </w:rPr>
        <w:t> </w:t>
      </w:r>
      <w:r>
        <w:rPr>
          <w:color w:val="262526"/>
          <w:spacing w:val="-4"/>
          <w:sz w:val="14"/>
        </w:rPr>
        <w:t>77.</w:t>
      </w:r>
    </w:p>
    <w:p>
      <w:pPr>
        <w:pStyle w:val="ListParagraph"/>
        <w:numPr>
          <w:ilvl w:val="0"/>
          <w:numId w:val="8"/>
        </w:numPr>
        <w:tabs>
          <w:tab w:pos="3034" w:val="left" w:leader="none"/>
        </w:tabs>
        <w:spacing w:line="240" w:lineRule="auto" w:before="55" w:after="0"/>
        <w:ind w:left="3033" w:right="0" w:hanging="342"/>
        <w:jc w:val="left"/>
        <w:rPr>
          <w:sz w:val="14"/>
        </w:rPr>
      </w:pPr>
      <w:r>
        <w:rPr>
          <w:color w:val="262526"/>
          <w:sz w:val="14"/>
        </w:rPr>
        <w:t>Ibid, p.</w:t>
      </w:r>
      <w:r>
        <w:rPr>
          <w:color w:val="262526"/>
          <w:spacing w:val="-1"/>
          <w:sz w:val="14"/>
        </w:rPr>
        <w:t> </w:t>
      </w:r>
      <w:r>
        <w:rPr>
          <w:color w:val="262526"/>
          <w:sz w:val="14"/>
        </w:rPr>
        <w:t>84.</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ListParagraph"/>
        <w:numPr>
          <w:ilvl w:val="2"/>
          <w:numId w:val="7"/>
        </w:numPr>
        <w:tabs>
          <w:tab w:pos="3033" w:val="left" w:leader="none"/>
          <w:tab w:pos="3034" w:val="left" w:leader="none"/>
        </w:tabs>
        <w:spacing w:line="240" w:lineRule="auto" w:before="107" w:after="0"/>
        <w:ind w:left="3033" w:right="0" w:hanging="341"/>
        <w:jc w:val="left"/>
        <w:rPr>
          <w:sz w:val="20"/>
        </w:rPr>
      </w:pPr>
      <w:bookmarkStart w:name="1.3 Rationale for the rule change reques" w:id="11"/>
      <w:bookmarkEnd w:id="11"/>
      <w:r>
        <w:rPr/>
      </w:r>
      <w:bookmarkStart w:name="1.4 Solution proposed in the rule change" w:id="12"/>
      <w:bookmarkEnd w:id="12"/>
      <w:r>
        <w:rPr/>
      </w:r>
      <w:bookmarkStart w:name="_bookmark2" w:id="13"/>
      <w:bookmarkEnd w:id="13"/>
      <w:r>
        <w:rPr/>
      </w:r>
      <w:bookmarkStart w:name="_bookmark2" w:id="14"/>
      <w:bookmarkEnd w:id="14"/>
      <w:r>
        <w:rPr>
          <w:color w:val="262526"/>
          <w:sz w:val="20"/>
        </w:rPr>
        <w:t>resource</w:t>
      </w:r>
      <w:r>
        <w:rPr>
          <w:color w:val="262526"/>
          <w:sz w:val="20"/>
        </w:rPr>
        <w:t>s</w:t>
      </w:r>
      <w:r>
        <w:rPr>
          <w:color w:val="262526"/>
          <w:spacing w:val="-1"/>
          <w:sz w:val="20"/>
        </w:rPr>
        <w:t> </w:t>
      </w:r>
      <w:r>
        <w:rPr>
          <w:color w:val="262526"/>
          <w:sz w:val="20"/>
        </w:rPr>
        <w:t>involved.</w:t>
      </w:r>
    </w:p>
    <w:p>
      <w:pPr>
        <w:pStyle w:val="BodyText"/>
        <w:spacing w:line="278" w:lineRule="auto" w:before="95"/>
        <w:ind w:left="2692" w:right="295"/>
        <w:rPr>
          <w:sz w:val="12"/>
        </w:rPr>
      </w:pPr>
      <w:r>
        <w:rPr>
          <w:color w:val="262526"/>
        </w:rPr>
        <w:t>Stakeholders supported inclusion of DNSPs and capturing risks associated with DER in the GPSRR. They also highlighted the importance of integrating the review into existing and future planning processes and including clear linkages.</w:t>
      </w:r>
      <w:r>
        <w:rPr>
          <w:color w:val="262526"/>
          <w:position w:val="8"/>
          <w:sz w:val="12"/>
        </w:rPr>
        <w:t>18</w:t>
      </w:r>
    </w:p>
    <w:p>
      <w:pPr>
        <w:pStyle w:val="BodyText"/>
        <w:spacing w:line="278" w:lineRule="auto" w:before="113"/>
        <w:ind w:left="2692" w:right="171"/>
        <w:rPr>
          <w:sz w:val="12"/>
        </w:rPr>
      </w:pPr>
      <w:r>
        <w:rPr>
          <w:color w:val="262526"/>
        </w:rPr>
        <w:t>AEMO supported the recommendation but noted that it is important for there to be flexibility to prioritise different sources of risk in each review, promoting efficiency and value in reporting, and to balance the impacts of operational and institutional changes (such as rule changes) that may alter reporting processes.</w:t>
      </w:r>
      <w:r>
        <w:rPr>
          <w:color w:val="262526"/>
          <w:position w:val="8"/>
          <w:sz w:val="12"/>
        </w:rPr>
        <w:t>19</w:t>
      </w:r>
    </w:p>
    <w:p>
      <w:pPr>
        <w:pStyle w:val="BodyText"/>
        <w:spacing w:before="10"/>
        <w:rPr>
          <w:sz w:val="21"/>
        </w:rPr>
      </w:pPr>
    </w:p>
    <w:p>
      <w:pPr>
        <w:pStyle w:val="Heading2"/>
        <w:numPr>
          <w:ilvl w:val="1"/>
          <w:numId w:val="7"/>
        </w:numPr>
        <w:tabs>
          <w:tab w:pos="2692" w:val="left" w:leader="none"/>
          <w:tab w:pos="2693" w:val="left" w:leader="none"/>
        </w:tabs>
        <w:spacing w:line="240" w:lineRule="auto" w:before="0" w:after="0"/>
        <w:ind w:left="2692" w:right="0" w:hanging="1560"/>
        <w:jc w:val="left"/>
      </w:pPr>
      <w:r>
        <w:rPr>
          <w:color w:val="00ACEC"/>
        </w:rPr>
        <w:t>Rationale for the rule change</w:t>
      </w:r>
      <w:r>
        <w:rPr>
          <w:color w:val="00ACEC"/>
          <w:spacing w:val="-6"/>
        </w:rPr>
        <w:t> </w:t>
      </w:r>
      <w:r>
        <w:rPr>
          <w:color w:val="00ACEC"/>
        </w:rPr>
        <w:t>request</w:t>
      </w:r>
    </w:p>
    <w:p>
      <w:pPr>
        <w:pStyle w:val="BodyText"/>
        <w:spacing w:line="278" w:lineRule="auto" w:before="79"/>
        <w:ind w:left="2692" w:right="112"/>
        <w:jc w:val="both"/>
        <w:rPr>
          <w:sz w:val="12"/>
        </w:rPr>
      </w:pPr>
      <w:r>
        <w:rPr>
          <w:color w:val="262526"/>
        </w:rPr>
        <w:t>In its rule change request, the COAG Energy Council agreed with the AEMC that there were a range of shortcomings with the existing PSFRR in light of the changing power system risk and resilience profile. In particular, the PSFRR was identified as being:</w:t>
      </w:r>
      <w:r>
        <w:rPr>
          <w:color w:val="262526"/>
          <w:position w:val="8"/>
          <w:sz w:val="12"/>
        </w:rPr>
        <w:t>20</w:t>
      </w:r>
    </w:p>
    <w:p>
      <w:pPr>
        <w:pStyle w:val="ListParagraph"/>
        <w:numPr>
          <w:ilvl w:val="0"/>
          <w:numId w:val="9"/>
        </w:numPr>
        <w:tabs>
          <w:tab w:pos="3034" w:val="left" w:leader="none"/>
        </w:tabs>
        <w:spacing w:line="278" w:lineRule="auto" w:before="113" w:after="0"/>
        <w:ind w:left="3033" w:right="202" w:hanging="341"/>
        <w:jc w:val="left"/>
        <w:rPr>
          <w:sz w:val="20"/>
        </w:rPr>
      </w:pPr>
      <w:r>
        <w:rPr>
          <w:color w:val="262526"/>
          <w:sz w:val="20"/>
        </w:rPr>
        <w:t>too narrow - the range of risks it considers are limited to only frequency risks for a range of non-credible contingency events</w:t>
      </w:r>
    </w:p>
    <w:p>
      <w:pPr>
        <w:pStyle w:val="ListParagraph"/>
        <w:numPr>
          <w:ilvl w:val="0"/>
          <w:numId w:val="9"/>
        </w:numPr>
        <w:tabs>
          <w:tab w:pos="3034" w:val="left" w:leader="none"/>
        </w:tabs>
        <w:spacing w:line="278" w:lineRule="auto" w:before="56" w:after="0"/>
        <w:ind w:left="3033" w:right="190" w:hanging="341"/>
        <w:jc w:val="left"/>
        <w:rPr>
          <w:sz w:val="20"/>
        </w:rPr>
      </w:pPr>
      <w:r>
        <w:rPr>
          <w:color w:val="262526"/>
          <w:sz w:val="20"/>
        </w:rPr>
        <w:t>too shallow - it only requires AEMO to collaborate with TNSPs but not DNSPs. This does not provide for detailed consideration of system security risks arising from increased DER penetration</w:t>
      </w:r>
    </w:p>
    <w:p>
      <w:pPr>
        <w:pStyle w:val="ListParagraph"/>
        <w:numPr>
          <w:ilvl w:val="0"/>
          <w:numId w:val="9"/>
        </w:numPr>
        <w:tabs>
          <w:tab w:pos="3034" w:val="left" w:leader="none"/>
        </w:tabs>
        <w:spacing w:line="278" w:lineRule="auto" w:before="57" w:after="0"/>
        <w:ind w:left="3033" w:right="532" w:hanging="341"/>
        <w:jc w:val="left"/>
        <w:rPr>
          <w:sz w:val="20"/>
        </w:rPr>
      </w:pPr>
      <w:r>
        <w:rPr>
          <w:color w:val="262526"/>
          <w:sz w:val="20"/>
        </w:rPr>
        <w:t>too slow - the existing PSFRR process occurs too infrequently and it takes too long to effectively identify emerging risks in a rapidly changing power system,</w:t>
      </w:r>
      <w:r>
        <w:rPr>
          <w:color w:val="262526"/>
          <w:spacing w:val="5"/>
          <w:sz w:val="20"/>
        </w:rPr>
        <w:t> </w:t>
      </w:r>
      <w:r>
        <w:rPr>
          <w:color w:val="262526"/>
          <w:sz w:val="20"/>
        </w:rPr>
        <w:t>and</w:t>
      </w:r>
    </w:p>
    <w:p>
      <w:pPr>
        <w:pStyle w:val="ListParagraph"/>
        <w:numPr>
          <w:ilvl w:val="0"/>
          <w:numId w:val="9"/>
        </w:numPr>
        <w:tabs>
          <w:tab w:pos="3034" w:val="left" w:leader="none"/>
        </w:tabs>
        <w:spacing w:line="278" w:lineRule="auto" w:before="57" w:after="0"/>
        <w:ind w:left="3033" w:right="140" w:hanging="341"/>
        <w:jc w:val="left"/>
        <w:rPr>
          <w:sz w:val="20"/>
        </w:rPr>
      </w:pPr>
      <w:r>
        <w:rPr>
          <w:color w:val="262526"/>
          <w:sz w:val="20"/>
        </w:rPr>
        <w:t>not integrated - the existing PSFRR is not sufficiently integrated into the broader planning arrangements undertaken by AEMO and</w:t>
      </w:r>
      <w:r>
        <w:rPr>
          <w:color w:val="262526"/>
          <w:spacing w:val="2"/>
          <w:sz w:val="20"/>
        </w:rPr>
        <w:t> </w:t>
      </w:r>
      <w:r>
        <w:rPr>
          <w:color w:val="262526"/>
          <w:sz w:val="20"/>
        </w:rPr>
        <w:t>NSPs.</w:t>
      </w:r>
    </w:p>
    <w:p>
      <w:pPr>
        <w:pStyle w:val="BodyText"/>
        <w:spacing w:line="278" w:lineRule="auto" w:before="56"/>
        <w:ind w:left="2692" w:right="295"/>
      </w:pPr>
      <w:r>
        <w:rPr>
          <w:color w:val="262526"/>
        </w:rPr>
        <w:t>Given the changing power system risk and resilience profile, the rule change request proposes changes to the NER to broaden the existing PSFRR beyond frequency to become a more frequent and holistic GPSRR process for effectively identifying emerging risks to the power system from all sources.</w:t>
      </w:r>
    </w:p>
    <w:p>
      <w:pPr>
        <w:pStyle w:val="BodyText"/>
        <w:spacing w:before="4"/>
        <w:rPr>
          <w:sz w:val="23"/>
        </w:rPr>
      </w:pPr>
    </w:p>
    <w:p>
      <w:pPr>
        <w:pStyle w:val="Heading2"/>
        <w:numPr>
          <w:ilvl w:val="1"/>
          <w:numId w:val="7"/>
        </w:numPr>
        <w:tabs>
          <w:tab w:pos="2692" w:val="left" w:leader="none"/>
          <w:tab w:pos="2693" w:val="left" w:leader="none"/>
        </w:tabs>
        <w:spacing w:line="240" w:lineRule="auto" w:before="0" w:after="0"/>
        <w:ind w:left="2692" w:right="0" w:hanging="1560"/>
        <w:jc w:val="left"/>
      </w:pPr>
      <w:r>
        <w:rPr>
          <w:color w:val="00ACEC"/>
        </w:rPr>
        <w:t>Solution proposed in the rule change</w:t>
      </w:r>
      <w:r>
        <w:rPr>
          <w:color w:val="00ACEC"/>
          <w:spacing w:val="-7"/>
        </w:rPr>
        <w:t> </w:t>
      </w:r>
      <w:r>
        <w:rPr>
          <w:color w:val="00ACEC"/>
        </w:rPr>
        <w:t>request</w:t>
      </w:r>
    </w:p>
    <w:p>
      <w:pPr>
        <w:spacing w:before="79"/>
        <w:ind w:left="2692" w:right="0" w:firstLine="0"/>
        <w:jc w:val="left"/>
        <w:rPr>
          <w:sz w:val="12"/>
        </w:rPr>
      </w:pPr>
      <w:r>
        <w:rPr>
          <w:color w:val="262526"/>
          <w:sz w:val="20"/>
        </w:rPr>
        <w:t>In relation to the </w:t>
      </w:r>
      <w:r>
        <w:rPr>
          <w:b/>
          <w:color w:val="262526"/>
          <w:sz w:val="20"/>
        </w:rPr>
        <w:t>scope of the review</w:t>
      </w:r>
      <w:r>
        <w:rPr>
          <w:color w:val="262526"/>
          <w:sz w:val="20"/>
        </w:rPr>
        <w:t>, the proposed rule would:</w:t>
      </w:r>
      <w:r>
        <w:rPr>
          <w:color w:val="262526"/>
          <w:position w:val="8"/>
          <w:sz w:val="12"/>
        </w:rPr>
        <w:t>21</w:t>
      </w:r>
    </w:p>
    <w:p>
      <w:pPr>
        <w:pStyle w:val="ListParagraph"/>
        <w:numPr>
          <w:ilvl w:val="2"/>
          <w:numId w:val="7"/>
        </w:numPr>
        <w:tabs>
          <w:tab w:pos="3033" w:val="left" w:leader="none"/>
          <w:tab w:pos="3034" w:val="left" w:leader="none"/>
        </w:tabs>
        <w:spacing w:line="278" w:lineRule="auto" w:before="152" w:after="0"/>
        <w:ind w:left="3033" w:right="432" w:hanging="341"/>
        <w:jc w:val="left"/>
        <w:rPr>
          <w:sz w:val="20"/>
        </w:rPr>
      </w:pPr>
      <w:r>
        <w:rPr>
          <w:color w:val="262526"/>
          <w:sz w:val="20"/>
        </w:rPr>
        <w:t>amend existing arrangements for the PSFRR to </w:t>
      </w:r>
      <w:r>
        <w:rPr>
          <w:color w:val="262526"/>
          <w:spacing w:val="-4"/>
          <w:sz w:val="20"/>
        </w:rPr>
        <w:t>consider, </w:t>
      </w:r>
      <w:r>
        <w:rPr>
          <w:color w:val="262526"/>
          <w:sz w:val="20"/>
        </w:rPr>
        <w:t>and identify options for the future management </w:t>
      </w:r>
      <w:r>
        <w:rPr>
          <w:color w:val="262526"/>
          <w:spacing w:val="-5"/>
          <w:sz w:val="20"/>
        </w:rPr>
        <w:t>of, </w:t>
      </w:r>
      <w:r>
        <w:rPr>
          <w:color w:val="262526"/>
          <w:sz w:val="20"/>
        </w:rPr>
        <w:t>all events and conditions (including contingency events) the occurrence of which AEMO expects, alone or in combination, would be likely to lead to cascading outages, or major supply</w:t>
      </w:r>
      <w:r>
        <w:rPr>
          <w:color w:val="262526"/>
          <w:spacing w:val="2"/>
          <w:sz w:val="20"/>
        </w:rPr>
        <w:t> </w:t>
      </w:r>
      <w:r>
        <w:rPr>
          <w:color w:val="262526"/>
          <w:sz w:val="20"/>
        </w:rPr>
        <w:t>disruptions</w:t>
      </w:r>
    </w:p>
    <w:p>
      <w:pPr>
        <w:pStyle w:val="ListParagraph"/>
        <w:numPr>
          <w:ilvl w:val="2"/>
          <w:numId w:val="7"/>
        </w:numPr>
        <w:tabs>
          <w:tab w:pos="3033" w:val="left" w:leader="none"/>
          <w:tab w:pos="3034" w:val="left" w:leader="none"/>
        </w:tabs>
        <w:spacing w:line="278" w:lineRule="auto" w:before="56" w:after="0"/>
        <w:ind w:left="3033" w:right="305" w:hanging="341"/>
        <w:jc w:val="left"/>
        <w:rPr>
          <w:sz w:val="20"/>
        </w:rPr>
      </w:pPr>
      <w:r>
        <w:rPr>
          <w:color w:val="262526"/>
          <w:sz w:val="20"/>
        </w:rPr>
        <w:t>specify six key risk areas which AEMO is required to consider when specifying the scope of the GPSRR in each jurisdiction in which it is</w:t>
      </w:r>
      <w:r>
        <w:rPr>
          <w:color w:val="262526"/>
          <w:spacing w:val="4"/>
          <w:sz w:val="20"/>
        </w:rPr>
        <w:t> </w:t>
      </w:r>
      <w:r>
        <w:rPr>
          <w:color w:val="262526"/>
          <w:sz w:val="20"/>
        </w:rPr>
        <w:t>conducted:</w:t>
      </w:r>
    </w:p>
    <w:p>
      <w:pPr>
        <w:pStyle w:val="ListParagraph"/>
        <w:numPr>
          <w:ilvl w:val="3"/>
          <w:numId w:val="7"/>
        </w:numPr>
        <w:tabs>
          <w:tab w:pos="3373" w:val="left" w:leader="none"/>
          <w:tab w:pos="3374" w:val="left" w:leader="none"/>
        </w:tabs>
        <w:spacing w:line="240" w:lineRule="auto" w:before="57" w:after="0"/>
        <w:ind w:left="3373" w:right="0" w:hanging="341"/>
        <w:jc w:val="left"/>
        <w:rPr>
          <w:sz w:val="20"/>
        </w:rPr>
      </w:pPr>
      <w:r>
        <w:rPr>
          <w:color w:val="262526"/>
          <w:sz w:val="20"/>
        </w:rPr>
        <w:t>increases or decreases in frequency;</w:t>
      </w:r>
    </w:p>
    <w:p>
      <w:pPr>
        <w:pStyle w:val="BodyText"/>
        <w:spacing w:before="3"/>
        <w:rPr>
          <w:sz w:val="28"/>
        </w:rPr>
      </w:pPr>
      <w:r>
        <w:rPr/>
        <w:pict>
          <v:shape style="position:absolute;margin-left:134.645996pt;margin-top:19.507906pt;width:49.65pt;height:.1pt;mso-position-horizontal-relative:page;mso-position-vertical-relative:paragraph;z-index:-15724032;mso-wrap-distance-left:0;mso-wrap-distance-right:0" coordorigin="2693,390" coordsize="993,0" path="m2693,390l3685,390e" filled="false" stroked="true" strokeweight="1pt" strokecolor="#262526">
            <v:path arrowok="t"/>
            <v:stroke dashstyle="solid"/>
            <w10:wrap type="topAndBottom"/>
          </v:shape>
        </w:pict>
      </w:r>
    </w:p>
    <w:p>
      <w:pPr>
        <w:pStyle w:val="ListParagraph"/>
        <w:numPr>
          <w:ilvl w:val="0"/>
          <w:numId w:val="8"/>
        </w:numPr>
        <w:tabs>
          <w:tab w:pos="3034" w:val="left" w:leader="none"/>
        </w:tabs>
        <w:spacing w:line="240" w:lineRule="auto" w:before="98" w:after="0"/>
        <w:ind w:left="3033" w:right="0" w:hanging="342"/>
        <w:jc w:val="left"/>
        <w:rPr>
          <w:sz w:val="14"/>
        </w:rPr>
      </w:pPr>
      <w:r>
        <w:rPr>
          <w:color w:val="262526"/>
          <w:sz w:val="14"/>
        </w:rPr>
        <w:t>Ibid.</w:t>
      </w:r>
    </w:p>
    <w:p>
      <w:pPr>
        <w:pStyle w:val="ListParagraph"/>
        <w:numPr>
          <w:ilvl w:val="0"/>
          <w:numId w:val="8"/>
        </w:numPr>
        <w:tabs>
          <w:tab w:pos="3034" w:val="left" w:leader="none"/>
        </w:tabs>
        <w:spacing w:line="240" w:lineRule="auto" w:before="55" w:after="0"/>
        <w:ind w:left="3033" w:right="0" w:hanging="342"/>
        <w:jc w:val="left"/>
        <w:rPr>
          <w:sz w:val="14"/>
        </w:rPr>
      </w:pPr>
      <w:r>
        <w:rPr>
          <w:color w:val="262526"/>
          <w:sz w:val="14"/>
        </w:rPr>
        <w:t>Ibid.</w:t>
      </w:r>
    </w:p>
    <w:p>
      <w:pPr>
        <w:pStyle w:val="ListParagraph"/>
        <w:numPr>
          <w:ilvl w:val="0"/>
          <w:numId w:val="8"/>
        </w:numPr>
        <w:tabs>
          <w:tab w:pos="3034" w:val="left" w:leader="none"/>
        </w:tabs>
        <w:spacing w:line="240" w:lineRule="auto" w:before="56" w:after="0"/>
        <w:ind w:left="3033" w:right="0" w:hanging="342"/>
        <w:jc w:val="left"/>
        <w:rPr>
          <w:sz w:val="14"/>
        </w:rPr>
      </w:pPr>
      <w:r>
        <w:rPr>
          <w:color w:val="262526"/>
          <w:sz w:val="14"/>
        </w:rPr>
        <w:t>COAG Energy Council, rule change request, p.</w:t>
      </w:r>
      <w:r>
        <w:rPr>
          <w:color w:val="262526"/>
          <w:spacing w:val="-5"/>
          <w:sz w:val="14"/>
        </w:rPr>
        <w:t> </w:t>
      </w:r>
      <w:r>
        <w:rPr>
          <w:color w:val="262526"/>
          <w:sz w:val="14"/>
        </w:rPr>
        <w:t>3-4.</w:t>
      </w:r>
    </w:p>
    <w:p>
      <w:pPr>
        <w:pStyle w:val="ListParagraph"/>
        <w:numPr>
          <w:ilvl w:val="0"/>
          <w:numId w:val="8"/>
        </w:numPr>
        <w:tabs>
          <w:tab w:pos="3034" w:val="left" w:leader="none"/>
        </w:tabs>
        <w:spacing w:line="240" w:lineRule="auto" w:before="56" w:after="0"/>
        <w:ind w:left="3033" w:right="0" w:hanging="342"/>
        <w:jc w:val="left"/>
        <w:rPr>
          <w:sz w:val="14"/>
        </w:rPr>
      </w:pPr>
      <w:r>
        <w:rPr>
          <w:color w:val="262526"/>
          <w:sz w:val="14"/>
        </w:rPr>
        <w:t>Ibid, p.</w:t>
      </w:r>
      <w:r>
        <w:rPr>
          <w:color w:val="262526"/>
          <w:spacing w:val="-1"/>
          <w:sz w:val="14"/>
        </w:rPr>
        <w:t> </w:t>
      </w:r>
      <w:r>
        <w:rPr>
          <w:color w:val="262526"/>
          <w:sz w:val="14"/>
        </w:rPr>
        <w:t>2.</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ListParagraph"/>
        <w:numPr>
          <w:ilvl w:val="1"/>
          <w:numId w:val="8"/>
        </w:numPr>
        <w:tabs>
          <w:tab w:pos="3373" w:val="left" w:leader="none"/>
          <w:tab w:pos="3374" w:val="left" w:leader="none"/>
        </w:tabs>
        <w:spacing w:line="240" w:lineRule="auto" w:before="107" w:after="0"/>
        <w:ind w:left="3373" w:right="0" w:hanging="341"/>
        <w:jc w:val="left"/>
        <w:rPr>
          <w:sz w:val="20"/>
        </w:rPr>
      </w:pPr>
      <w:r>
        <w:rPr>
          <w:color w:val="262526"/>
          <w:sz w:val="20"/>
        </w:rPr>
        <w:t>increases or decreases in</w:t>
      </w:r>
      <w:r>
        <w:rPr>
          <w:color w:val="262526"/>
          <w:spacing w:val="1"/>
          <w:sz w:val="20"/>
        </w:rPr>
        <w:t> </w:t>
      </w:r>
      <w:r>
        <w:rPr>
          <w:color w:val="262526"/>
          <w:sz w:val="20"/>
        </w:rPr>
        <w:t>voltage;</w:t>
      </w:r>
    </w:p>
    <w:p>
      <w:pPr>
        <w:pStyle w:val="ListParagraph"/>
        <w:numPr>
          <w:ilvl w:val="1"/>
          <w:numId w:val="8"/>
        </w:numPr>
        <w:tabs>
          <w:tab w:pos="3373" w:val="left" w:leader="none"/>
          <w:tab w:pos="3374" w:val="left" w:leader="none"/>
        </w:tabs>
        <w:spacing w:line="240" w:lineRule="auto" w:before="95" w:after="0"/>
        <w:ind w:left="3373" w:right="0" w:hanging="341"/>
        <w:jc w:val="left"/>
        <w:rPr>
          <w:sz w:val="20"/>
        </w:rPr>
      </w:pPr>
      <w:r>
        <w:rPr>
          <w:color w:val="262526"/>
          <w:sz w:val="20"/>
        </w:rPr>
        <w:t>levels of inertia;</w:t>
      </w:r>
    </w:p>
    <w:p>
      <w:pPr>
        <w:pStyle w:val="ListParagraph"/>
        <w:numPr>
          <w:ilvl w:val="1"/>
          <w:numId w:val="8"/>
        </w:numPr>
        <w:tabs>
          <w:tab w:pos="3373" w:val="left" w:leader="none"/>
          <w:tab w:pos="3374" w:val="left" w:leader="none"/>
        </w:tabs>
        <w:spacing w:line="240" w:lineRule="auto" w:before="95" w:after="0"/>
        <w:ind w:left="3373" w:right="0" w:hanging="341"/>
        <w:jc w:val="left"/>
        <w:rPr>
          <w:sz w:val="20"/>
        </w:rPr>
      </w:pPr>
      <w:r>
        <w:rPr>
          <w:color w:val="262526"/>
          <w:sz w:val="20"/>
        </w:rPr>
        <w:t>the availability of system strength services</w:t>
      </w:r>
    </w:p>
    <w:p>
      <w:pPr>
        <w:pStyle w:val="ListParagraph"/>
        <w:numPr>
          <w:ilvl w:val="1"/>
          <w:numId w:val="8"/>
        </w:numPr>
        <w:tabs>
          <w:tab w:pos="3373" w:val="left" w:leader="none"/>
          <w:tab w:pos="3374" w:val="left" w:leader="none"/>
        </w:tabs>
        <w:spacing w:line="240" w:lineRule="auto" w:before="96" w:after="0"/>
        <w:ind w:left="3373" w:right="0" w:hanging="341"/>
        <w:jc w:val="left"/>
        <w:rPr>
          <w:sz w:val="20"/>
        </w:rPr>
      </w:pPr>
      <w:r>
        <w:rPr>
          <w:color w:val="262526"/>
          <w:sz w:val="20"/>
        </w:rPr>
        <w:t>the operation and interaction of special protection schemes;</w:t>
      </w:r>
      <w:r>
        <w:rPr>
          <w:color w:val="262526"/>
          <w:spacing w:val="5"/>
          <w:sz w:val="20"/>
        </w:rPr>
        <w:t> </w:t>
      </w:r>
      <w:r>
        <w:rPr>
          <w:color w:val="262526"/>
          <w:sz w:val="20"/>
        </w:rPr>
        <w:t>and</w:t>
      </w:r>
    </w:p>
    <w:p>
      <w:pPr>
        <w:pStyle w:val="ListParagraph"/>
        <w:numPr>
          <w:ilvl w:val="1"/>
          <w:numId w:val="8"/>
        </w:numPr>
        <w:tabs>
          <w:tab w:pos="3373" w:val="left" w:leader="none"/>
          <w:tab w:pos="3374" w:val="left" w:leader="none"/>
        </w:tabs>
        <w:spacing w:line="278" w:lineRule="auto" w:before="95" w:after="0"/>
        <w:ind w:left="3373" w:right="485" w:hanging="341"/>
        <w:jc w:val="left"/>
        <w:rPr>
          <w:sz w:val="20"/>
        </w:rPr>
      </w:pPr>
      <w:r>
        <w:rPr>
          <w:color w:val="262526"/>
          <w:sz w:val="20"/>
        </w:rPr>
        <w:t>any other factors AEMO deems appropriate, including those arising on distribution network.</w:t>
      </w:r>
    </w:p>
    <w:p>
      <w:pPr>
        <w:pStyle w:val="ListParagraph"/>
        <w:numPr>
          <w:ilvl w:val="2"/>
          <w:numId w:val="7"/>
        </w:numPr>
        <w:tabs>
          <w:tab w:pos="3033" w:val="left" w:leader="none"/>
          <w:tab w:pos="3034" w:val="left" w:leader="none"/>
        </w:tabs>
        <w:spacing w:line="278" w:lineRule="auto" w:before="57" w:after="0"/>
        <w:ind w:left="3033" w:right="350" w:hanging="341"/>
        <w:jc w:val="left"/>
        <w:rPr>
          <w:sz w:val="20"/>
        </w:rPr>
      </w:pPr>
      <w:r>
        <w:rPr>
          <w:color w:val="262526"/>
          <w:sz w:val="20"/>
        </w:rPr>
        <w:t>upon consultation with NSPs, allow AEMO to prioritise certain risks over others, or elect not to consider some of the six key risks.</w:t>
      </w:r>
    </w:p>
    <w:p>
      <w:pPr>
        <w:spacing w:before="56"/>
        <w:ind w:left="2419" w:right="2615" w:firstLine="0"/>
        <w:jc w:val="center"/>
        <w:rPr>
          <w:sz w:val="12"/>
        </w:rPr>
      </w:pPr>
      <w:r>
        <w:rPr>
          <w:color w:val="262526"/>
          <w:sz w:val="20"/>
        </w:rPr>
        <w:t>In relation to the </w:t>
      </w:r>
      <w:r>
        <w:rPr>
          <w:b/>
          <w:color w:val="262526"/>
          <w:sz w:val="20"/>
        </w:rPr>
        <w:t>review process</w:t>
      </w:r>
      <w:r>
        <w:rPr>
          <w:color w:val="262526"/>
          <w:sz w:val="20"/>
        </w:rPr>
        <w:t>, the proposed rule would:</w:t>
      </w:r>
      <w:r>
        <w:rPr>
          <w:color w:val="262526"/>
          <w:position w:val="8"/>
          <w:sz w:val="12"/>
        </w:rPr>
        <w:t>22</w:t>
      </w:r>
    </w:p>
    <w:p>
      <w:pPr>
        <w:pStyle w:val="ListParagraph"/>
        <w:numPr>
          <w:ilvl w:val="2"/>
          <w:numId w:val="7"/>
        </w:numPr>
        <w:tabs>
          <w:tab w:pos="3033" w:val="left" w:leader="none"/>
          <w:tab w:pos="3034" w:val="left" w:leader="none"/>
        </w:tabs>
        <w:spacing w:line="240" w:lineRule="auto" w:before="152" w:after="0"/>
        <w:ind w:left="3033" w:right="0" w:hanging="341"/>
        <w:jc w:val="left"/>
        <w:rPr>
          <w:sz w:val="20"/>
        </w:rPr>
      </w:pPr>
      <w:r>
        <w:rPr>
          <w:color w:val="262526"/>
          <w:sz w:val="20"/>
        </w:rPr>
        <w:t>require the GPSRR review to be conducted no less than</w:t>
      </w:r>
      <w:r>
        <w:rPr>
          <w:color w:val="262526"/>
          <w:spacing w:val="3"/>
          <w:sz w:val="20"/>
        </w:rPr>
        <w:t> </w:t>
      </w:r>
      <w:r>
        <w:rPr>
          <w:color w:val="262526"/>
          <w:sz w:val="20"/>
        </w:rPr>
        <w:t>annually</w:t>
      </w:r>
    </w:p>
    <w:p>
      <w:pPr>
        <w:pStyle w:val="ListParagraph"/>
        <w:numPr>
          <w:ilvl w:val="2"/>
          <w:numId w:val="7"/>
        </w:numPr>
        <w:tabs>
          <w:tab w:pos="3033" w:val="left" w:leader="none"/>
          <w:tab w:pos="3034" w:val="left" w:leader="none"/>
        </w:tabs>
        <w:spacing w:line="278" w:lineRule="auto" w:before="95" w:after="0"/>
        <w:ind w:left="3033" w:right="178" w:hanging="341"/>
        <w:jc w:val="left"/>
        <w:rPr>
          <w:sz w:val="20"/>
        </w:rPr>
      </w:pPr>
      <w:r>
        <w:rPr>
          <w:color w:val="262526"/>
          <w:sz w:val="20"/>
        </w:rPr>
        <w:t>require AEMO to publish an approach paper before the review commences (removing the requirement for AEMO to publish a draft report during the course of the review) which, among other things, would prioritise the risks AEMO proposes to assess in each region, methods for assessing risks, and their approach to</w:t>
      </w:r>
      <w:r>
        <w:rPr>
          <w:color w:val="262526"/>
          <w:spacing w:val="4"/>
          <w:sz w:val="20"/>
        </w:rPr>
        <w:t> </w:t>
      </w:r>
      <w:r>
        <w:rPr>
          <w:color w:val="262526"/>
          <w:sz w:val="20"/>
        </w:rPr>
        <w:t>collaboration</w:t>
      </w:r>
    </w:p>
    <w:p>
      <w:pPr>
        <w:pStyle w:val="ListParagraph"/>
        <w:numPr>
          <w:ilvl w:val="2"/>
          <w:numId w:val="7"/>
        </w:numPr>
        <w:tabs>
          <w:tab w:pos="3033" w:val="left" w:leader="none"/>
          <w:tab w:pos="3034" w:val="left" w:leader="none"/>
        </w:tabs>
        <w:spacing w:line="240" w:lineRule="auto" w:before="57" w:after="0"/>
        <w:ind w:left="3033" w:right="0" w:hanging="341"/>
        <w:jc w:val="left"/>
        <w:rPr>
          <w:sz w:val="20"/>
        </w:rPr>
      </w:pPr>
      <w:r>
        <w:rPr>
          <w:color w:val="262526"/>
          <w:sz w:val="20"/>
        </w:rPr>
        <w:t>require AEMO to consult on the approach paper for a period of at least 10 working</w:t>
      </w:r>
      <w:r>
        <w:rPr>
          <w:color w:val="262526"/>
          <w:spacing w:val="27"/>
          <w:sz w:val="20"/>
        </w:rPr>
        <w:t> </w:t>
      </w:r>
      <w:r>
        <w:rPr>
          <w:color w:val="262526"/>
          <w:sz w:val="20"/>
        </w:rPr>
        <w:t>days</w:t>
      </w:r>
    </w:p>
    <w:p>
      <w:pPr>
        <w:pStyle w:val="ListParagraph"/>
        <w:numPr>
          <w:ilvl w:val="2"/>
          <w:numId w:val="7"/>
        </w:numPr>
        <w:tabs>
          <w:tab w:pos="3033" w:val="left" w:leader="none"/>
          <w:tab w:pos="3034" w:val="left" w:leader="none"/>
        </w:tabs>
        <w:spacing w:line="278" w:lineRule="auto" w:before="95" w:after="0"/>
        <w:ind w:left="3033" w:right="228" w:hanging="341"/>
        <w:jc w:val="left"/>
        <w:rPr>
          <w:sz w:val="20"/>
        </w:rPr>
      </w:pPr>
      <w:r>
        <w:rPr>
          <w:color w:val="262526"/>
          <w:sz w:val="20"/>
        </w:rPr>
        <w:t>require AEMO to publish a final report setting out its findings and recommendations, and time and cost of the option’s</w:t>
      </w:r>
      <w:r>
        <w:rPr>
          <w:color w:val="262526"/>
          <w:spacing w:val="1"/>
          <w:sz w:val="20"/>
        </w:rPr>
        <w:t> </w:t>
      </w:r>
      <w:r>
        <w:rPr>
          <w:color w:val="262526"/>
          <w:sz w:val="20"/>
        </w:rPr>
        <w:t>implementation.</w:t>
      </w:r>
    </w:p>
    <w:p>
      <w:pPr>
        <w:spacing w:line="278" w:lineRule="auto" w:before="57"/>
        <w:ind w:left="2692" w:right="0" w:firstLine="0"/>
        <w:jc w:val="left"/>
        <w:rPr>
          <w:sz w:val="12"/>
        </w:rPr>
      </w:pPr>
      <w:r>
        <w:rPr>
          <w:color w:val="262526"/>
          <w:sz w:val="20"/>
        </w:rPr>
        <w:t>In relation to the </w:t>
      </w:r>
      <w:r>
        <w:rPr>
          <w:b/>
          <w:color w:val="262526"/>
          <w:sz w:val="20"/>
        </w:rPr>
        <w:t>links to the other existing planning processes</w:t>
      </w:r>
      <w:r>
        <w:rPr>
          <w:color w:val="262526"/>
          <w:sz w:val="20"/>
        </w:rPr>
        <w:t>, the proposed rule would:</w:t>
      </w:r>
      <w:r>
        <w:rPr>
          <w:color w:val="262526"/>
          <w:position w:val="8"/>
          <w:sz w:val="12"/>
        </w:rPr>
        <w:t>23</w:t>
      </w:r>
    </w:p>
    <w:p>
      <w:pPr>
        <w:pStyle w:val="ListParagraph"/>
        <w:numPr>
          <w:ilvl w:val="2"/>
          <w:numId w:val="7"/>
        </w:numPr>
        <w:tabs>
          <w:tab w:pos="3033" w:val="left" w:leader="none"/>
          <w:tab w:pos="3034" w:val="left" w:leader="none"/>
        </w:tabs>
        <w:spacing w:line="278" w:lineRule="auto" w:before="113" w:after="0"/>
        <w:ind w:left="3033" w:right="410" w:hanging="341"/>
        <w:jc w:val="left"/>
        <w:rPr>
          <w:sz w:val="20"/>
        </w:rPr>
      </w:pPr>
      <w:r>
        <w:rPr>
          <w:color w:val="262526"/>
          <w:sz w:val="20"/>
        </w:rPr>
        <w:t>require NSPs to take into account the outcomes from the recent GPSRR in their annual planning reviews</w:t>
      </w:r>
    </w:p>
    <w:p>
      <w:pPr>
        <w:pStyle w:val="ListParagraph"/>
        <w:numPr>
          <w:ilvl w:val="2"/>
          <w:numId w:val="7"/>
        </w:numPr>
        <w:tabs>
          <w:tab w:pos="3033" w:val="left" w:leader="none"/>
          <w:tab w:pos="3034" w:val="left" w:leader="none"/>
        </w:tabs>
        <w:spacing w:line="240" w:lineRule="auto" w:before="57" w:after="0"/>
        <w:ind w:left="3033" w:right="0" w:hanging="341"/>
        <w:jc w:val="left"/>
        <w:rPr>
          <w:sz w:val="20"/>
        </w:rPr>
      </w:pPr>
      <w:r>
        <w:rPr>
          <w:color w:val="262526"/>
          <w:sz w:val="20"/>
        </w:rPr>
        <w:t>require NSPs in their annual planning reviews</w:t>
      </w:r>
      <w:r>
        <w:rPr>
          <w:color w:val="262526"/>
          <w:spacing w:val="1"/>
          <w:sz w:val="20"/>
        </w:rPr>
        <w:t> </w:t>
      </w:r>
      <w:r>
        <w:rPr>
          <w:color w:val="262526"/>
          <w:sz w:val="20"/>
        </w:rPr>
        <w:t>to:</w:t>
      </w:r>
    </w:p>
    <w:p>
      <w:pPr>
        <w:pStyle w:val="ListParagraph"/>
        <w:numPr>
          <w:ilvl w:val="3"/>
          <w:numId w:val="7"/>
        </w:numPr>
        <w:tabs>
          <w:tab w:pos="3373" w:val="left" w:leader="none"/>
          <w:tab w:pos="3374" w:val="left" w:leader="none"/>
        </w:tabs>
        <w:spacing w:line="278" w:lineRule="auto" w:before="95" w:after="0"/>
        <w:ind w:left="3373" w:right="215" w:hanging="341"/>
        <w:jc w:val="left"/>
        <w:rPr>
          <w:sz w:val="20"/>
        </w:rPr>
      </w:pPr>
      <w:r>
        <w:rPr>
          <w:color w:val="262526"/>
          <w:sz w:val="20"/>
        </w:rPr>
        <w:t>consider whether any special protection schemes and settings of protection systems or control systems of plant connected to its network are fit for purpose for the future operation of its network</w:t>
      </w:r>
    </w:p>
    <w:p>
      <w:pPr>
        <w:pStyle w:val="ListParagraph"/>
        <w:numPr>
          <w:ilvl w:val="3"/>
          <w:numId w:val="7"/>
        </w:numPr>
        <w:tabs>
          <w:tab w:pos="3373" w:val="left" w:leader="none"/>
          <w:tab w:pos="3374" w:val="left" w:leader="none"/>
        </w:tabs>
        <w:spacing w:line="278" w:lineRule="auto" w:before="57" w:after="0"/>
        <w:ind w:left="3373" w:right="153" w:hanging="341"/>
        <w:jc w:val="left"/>
        <w:rPr>
          <w:sz w:val="20"/>
        </w:rPr>
      </w:pPr>
      <w:r>
        <w:rPr>
          <w:color w:val="262526"/>
          <w:sz w:val="20"/>
        </w:rPr>
        <w:t>assess the interactions between special protection schemes and settings of protection systems or control systems of plant connected to their respective networks, with a view to identifying the potential for adverse</w:t>
      </w:r>
      <w:r>
        <w:rPr>
          <w:color w:val="262526"/>
          <w:spacing w:val="2"/>
          <w:sz w:val="20"/>
        </w:rPr>
        <w:t> </w:t>
      </w:r>
      <w:r>
        <w:rPr>
          <w:color w:val="262526"/>
          <w:sz w:val="20"/>
        </w:rPr>
        <w:t>interactions</w:t>
      </w:r>
    </w:p>
    <w:p>
      <w:pPr>
        <w:pStyle w:val="ListParagraph"/>
        <w:numPr>
          <w:ilvl w:val="2"/>
          <w:numId w:val="7"/>
        </w:numPr>
        <w:tabs>
          <w:tab w:pos="3033" w:val="left" w:leader="none"/>
          <w:tab w:pos="3034" w:val="left" w:leader="none"/>
        </w:tabs>
        <w:spacing w:line="278" w:lineRule="auto" w:before="56" w:after="0"/>
        <w:ind w:left="3033" w:right="313" w:hanging="341"/>
        <w:jc w:val="left"/>
        <w:rPr>
          <w:sz w:val="20"/>
        </w:rPr>
      </w:pPr>
      <w:r>
        <w:rPr>
          <w:color w:val="262526"/>
          <w:sz w:val="20"/>
        </w:rPr>
        <w:t>require AEMO to consider and have regard to the outcomes of the GPSRR in conducting the </w:t>
      </w:r>
      <w:r>
        <w:rPr>
          <w:color w:val="262526"/>
          <w:spacing w:val="-8"/>
          <w:sz w:val="20"/>
        </w:rPr>
        <w:t>ISP.</w:t>
      </w:r>
    </w:p>
    <w:p>
      <w:pPr>
        <w:pStyle w:val="BodyText"/>
        <w:spacing w:line="278" w:lineRule="auto" w:before="57"/>
        <w:ind w:left="2692"/>
        <w:rPr>
          <w:sz w:val="12"/>
        </w:rPr>
      </w:pPr>
      <w:r>
        <w:rPr>
          <w:color w:val="262526"/>
        </w:rPr>
        <w:t>In the COAG Energy Council’s view, the recommended GPSRR would promote the efficient operation and use of electricity services in the long-term interests of consumers of electricity with respect to the safety and security of the national electricity system.</w:t>
      </w:r>
      <w:r>
        <w:rPr>
          <w:color w:val="262526"/>
          <w:position w:val="8"/>
          <w:sz w:val="12"/>
        </w:rPr>
        <w:t>24</w:t>
      </w:r>
    </w:p>
    <w:p>
      <w:pPr>
        <w:pStyle w:val="BodyText"/>
        <w:spacing w:line="278" w:lineRule="auto" w:before="113"/>
        <w:ind w:left="2692" w:right="295"/>
      </w:pPr>
      <w:r>
        <w:rPr>
          <w:color w:val="262526"/>
        </w:rPr>
        <w:t>The COAG Energy Council considers that customers would benefit from an improvement in the security of supply from the early identification of emerging risks and uncertainties to the power system thereby enabling their effective and efficient management. It was noted that</w:t>
      </w:r>
    </w:p>
    <w:p>
      <w:pPr>
        <w:pStyle w:val="BodyText"/>
        <w:spacing w:before="6"/>
        <w:rPr>
          <w:sz w:val="27"/>
        </w:rPr>
      </w:pPr>
      <w:r>
        <w:rPr/>
        <w:pict>
          <v:shape style="position:absolute;margin-left:134.645996pt;margin-top:19.044468pt;width:49.65pt;height:.1pt;mso-position-horizontal-relative:page;mso-position-vertical-relative:paragraph;z-index:-15723520;mso-wrap-distance-left:0;mso-wrap-distance-right:0" coordorigin="2693,381" coordsize="993,0" path="m2693,381l3685,381e" filled="false" stroked="true" strokeweight="1pt" strokecolor="#262526">
            <v:path arrowok="t"/>
            <v:stroke dashstyle="solid"/>
            <w10:wrap type="topAndBottom"/>
          </v:shape>
        </w:pict>
      </w:r>
    </w:p>
    <w:p>
      <w:pPr>
        <w:pStyle w:val="ListParagraph"/>
        <w:numPr>
          <w:ilvl w:val="0"/>
          <w:numId w:val="8"/>
        </w:numPr>
        <w:tabs>
          <w:tab w:pos="3034" w:val="left" w:leader="none"/>
        </w:tabs>
        <w:spacing w:line="240" w:lineRule="auto" w:before="98" w:after="0"/>
        <w:ind w:left="3033" w:right="0" w:hanging="342"/>
        <w:jc w:val="left"/>
        <w:rPr>
          <w:sz w:val="14"/>
        </w:rPr>
      </w:pPr>
      <w:r>
        <w:rPr>
          <w:color w:val="262526"/>
          <w:sz w:val="14"/>
        </w:rPr>
        <w:t>Ibid.</w:t>
      </w:r>
    </w:p>
    <w:p>
      <w:pPr>
        <w:spacing w:before="55"/>
        <w:ind w:left="2692" w:right="0" w:firstLine="0"/>
        <w:jc w:val="left"/>
        <w:rPr>
          <w:sz w:val="14"/>
        </w:rPr>
      </w:pPr>
      <w:r>
        <w:rPr>
          <w:color w:val="262526"/>
          <w:sz w:val="14"/>
        </w:rPr>
        <w:t>23 Ibid, p. 2-3.</w:t>
      </w:r>
    </w:p>
    <w:p>
      <w:pPr>
        <w:pStyle w:val="ListParagraph"/>
        <w:numPr>
          <w:ilvl w:val="0"/>
          <w:numId w:val="10"/>
        </w:numPr>
        <w:tabs>
          <w:tab w:pos="3034" w:val="left" w:leader="none"/>
        </w:tabs>
        <w:spacing w:line="240" w:lineRule="auto" w:before="56" w:after="0"/>
        <w:ind w:left="3033" w:right="0" w:hanging="342"/>
        <w:jc w:val="left"/>
        <w:rPr>
          <w:sz w:val="14"/>
        </w:rPr>
      </w:pPr>
      <w:r>
        <w:rPr>
          <w:color w:val="262526"/>
          <w:sz w:val="14"/>
        </w:rPr>
        <w:t>Ibid, p.</w:t>
      </w:r>
      <w:r>
        <w:rPr>
          <w:color w:val="262526"/>
          <w:spacing w:val="-1"/>
          <w:sz w:val="14"/>
        </w:rPr>
        <w:t> </w:t>
      </w:r>
      <w:r>
        <w:rPr>
          <w:color w:val="262526"/>
          <w:sz w:val="14"/>
        </w:rPr>
        <w:t>4.</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ight="295"/>
        <w:rPr>
          <w:sz w:val="12"/>
        </w:rPr>
      </w:pPr>
      <w:bookmarkStart w:name="1.5 The rule making process " w:id="15"/>
      <w:bookmarkEnd w:id="15"/>
      <w:r>
        <w:rPr/>
      </w:r>
      <w:bookmarkStart w:name="1.6 Consultation on draft rule determina" w:id="16"/>
      <w:bookmarkEnd w:id="16"/>
      <w:r>
        <w:rPr/>
      </w:r>
      <w:bookmarkStart w:name="1.7 Related Commission work " w:id="17"/>
      <w:bookmarkEnd w:id="17"/>
      <w:r>
        <w:rPr/>
      </w:r>
      <w:bookmarkStart w:name="_bookmark3" w:id="18"/>
      <w:bookmarkEnd w:id="18"/>
      <w:r>
        <w:rPr/>
      </w:r>
      <w:r>
        <w:rPr>
          <w:color w:val="262526"/>
        </w:rPr>
        <w:t>while the additional costs incurred by NSPs and AEMO in conducting the review would ultimately be borne by consumers, these additional resources are likely to be efficient given the improvement in system security from early identification and prompt management of such risks.</w:t>
      </w:r>
      <w:r>
        <w:rPr>
          <w:color w:val="262526"/>
          <w:position w:val="8"/>
          <w:sz w:val="12"/>
        </w:rPr>
        <w:t>25</w:t>
      </w:r>
    </w:p>
    <w:p>
      <w:pPr>
        <w:pStyle w:val="BodyText"/>
        <w:spacing w:line="278" w:lineRule="auto" w:before="113"/>
        <w:ind w:left="2692" w:right="295"/>
        <w:rPr>
          <w:sz w:val="12"/>
        </w:rPr>
      </w:pPr>
      <w:r>
        <w:rPr>
          <w:color w:val="262526"/>
        </w:rPr>
        <w:t>The COAG Energy Council also notes that the proposed review is an incremental expansion that builds on existing arrangements and not a process that needs to be established from scratch. The costs involved are not entirely additional to those that would be incurred in the absence of the rule as all parties can adapt and expand existing processes.</w:t>
      </w:r>
      <w:r>
        <w:rPr>
          <w:color w:val="262526"/>
          <w:position w:val="8"/>
          <w:sz w:val="12"/>
        </w:rPr>
        <w:t>26</w:t>
      </w:r>
    </w:p>
    <w:p>
      <w:pPr>
        <w:pStyle w:val="BodyText"/>
        <w:spacing w:line="278" w:lineRule="auto" w:before="113"/>
        <w:ind w:left="2692" w:right="295"/>
        <w:rPr>
          <w:sz w:val="12"/>
        </w:rPr>
      </w:pPr>
      <w:r>
        <w:rPr>
          <w:color w:val="262526"/>
        </w:rPr>
        <w:t>The rule change request (which can be found on the AEMC website) included a proposed rule.</w:t>
      </w:r>
      <w:r>
        <w:rPr>
          <w:color w:val="262526"/>
          <w:position w:val="8"/>
          <w:sz w:val="12"/>
        </w:rPr>
        <w:t>27</w:t>
      </w:r>
    </w:p>
    <w:p>
      <w:pPr>
        <w:pStyle w:val="BodyText"/>
        <w:spacing w:before="10"/>
        <w:rPr>
          <w:sz w:val="21"/>
        </w:rPr>
      </w:pPr>
    </w:p>
    <w:p>
      <w:pPr>
        <w:pStyle w:val="Heading2"/>
        <w:numPr>
          <w:ilvl w:val="1"/>
          <w:numId w:val="7"/>
        </w:numPr>
        <w:tabs>
          <w:tab w:pos="2692" w:val="left" w:leader="none"/>
          <w:tab w:pos="2693" w:val="left" w:leader="none"/>
        </w:tabs>
        <w:spacing w:line="240" w:lineRule="auto" w:before="0" w:after="0"/>
        <w:ind w:left="2692" w:right="0" w:hanging="1560"/>
        <w:jc w:val="left"/>
      </w:pPr>
      <w:r>
        <w:rPr>
          <w:color w:val="00ACEC"/>
        </w:rPr>
        <w:t>The rule making</w:t>
      </w:r>
      <w:r>
        <w:rPr>
          <w:color w:val="00ACEC"/>
          <w:spacing w:val="-2"/>
        </w:rPr>
        <w:t> </w:t>
      </w:r>
      <w:r>
        <w:rPr>
          <w:color w:val="00ACEC"/>
        </w:rPr>
        <w:t>process</w:t>
      </w:r>
    </w:p>
    <w:p>
      <w:pPr>
        <w:pStyle w:val="BodyText"/>
        <w:spacing w:line="278" w:lineRule="auto" w:before="79"/>
        <w:ind w:left="2692" w:right="295"/>
      </w:pPr>
      <w:r>
        <w:rPr>
          <w:color w:val="262526"/>
        </w:rPr>
        <w:t>On 14 January 2021, the Commission published a notice advising of its intention to commence the rule making process in respect of the rule change request.</w:t>
      </w:r>
      <w:r>
        <w:rPr>
          <w:color w:val="262526"/>
          <w:position w:val="8"/>
          <w:sz w:val="12"/>
        </w:rPr>
        <w:t>28 </w:t>
      </w:r>
      <w:r>
        <w:rPr>
          <w:color w:val="262526"/>
        </w:rPr>
        <w:t>The Commission decided to fast-track this rule change request. This is because it concluded that the rule change request reflects the relevant recommendation of the BSE review and adequate consultation with the public was undertaken during that review.</w:t>
      </w:r>
      <w:r>
        <w:rPr>
          <w:color w:val="262526"/>
          <w:position w:val="8"/>
          <w:sz w:val="12"/>
        </w:rPr>
        <w:t>29 </w:t>
      </w:r>
      <w:r>
        <w:rPr>
          <w:color w:val="262526"/>
        </w:rPr>
        <w:t>Accordingly, the AEMC did not publish a consultation paper upon initiation of the rule change process and there has been no formal consultation carried out in this rule change process to date.</w:t>
      </w:r>
    </w:p>
    <w:p>
      <w:pPr>
        <w:pStyle w:val="BodyText"/>
        <w:spacing w:before="3"/>
        <w:rPr>
          <w:sz w:val="23"/>
        </w:rPr>
      </w:pPr>
    </w:p>
    <w:p>
      <w:pPr>
        <w:pStyle w:val="Heading2"/>
        <w:numPr>
          <w:ilvl w:val="1"/>
          <w:numId w:val="7"/>
        </w:numPr>
        <w:tabs>
          <w:tab w:pos="2692" w:val="left" w:leader="none"/>
          <w:tab w:pos="2693" w:val="left" w:leader="none"/>
        </w:tabs>
        <w:spacing w:line="240" w:lineRule="auto" w:before="0" w:after="0"/>
        <w:ind w:left="2692" w:right="0" w:hanging="1560"/>
        <w:jc w:val="left"/>
      </w:pPr>
      <w:r>
        <w:rPr>
          <w:color w:val="00ACEC"/>
        </w:rPr>
        <w:t>Consultation on draft rule</w:t>
      </w:r>
      <w:r>
        <w:rPr>
          <w:color w:val="00ACEC"/>
          <w:spacing w:val="-2"/>
        </w:rPr>
        <w:t> </w:t>
      </w:r>
      <w:r>
        <w:rPr>
          <w:color w:val="00ACEC"/>
        </w:rPr>
        <w:t>determination</w:t>
      </w:r>
    </w:p>
    <w:p>
      <w:pPr>
        <w:pStyle w:val="BodyText"/>
        <w:spacing w:line="278" w:lineRule="auto" w:before="79"/>
        <w:ind w:left="2692"/>
      </w:pPr>
      <w:r>
        <w:rPr>
          <w:color w:val="262526"/>
        </w:rPr>
        <w:t>The Commission invites submissions on this draft rule determination, including a more preferable draft rule, by 18 March 2021.</w:t>
      </w:r>
    </w:p>
    <w:p>
      <w:pPr>
        <w:pStyle w:val="BodyText"/>
        <w:spacing w:line="278" w:lineRule="auto" w:before="113"/>
        <w:ind w:left="2692" w:right="171"/>
      </w:pPr>
      <w:r>
        <w:rPr>
          <w:color w:val="262526"/>
        </w:rPr>
        <w:t>Any person or body may request that the Commission hold a hearing in relation to the draft rule determination. Any request for a hearing must be made in writing and must be received by the Commission no later than 11 February 2021.</w:t>
      </w:r>
    </w:p>
    <w:p>
      <w:pPr>
        <w:pStyle w:val="BodyText"/>
        <w:spacing w:line="278" w:lineRule="auto" w:before="113"/>
        <w:ind w:left="2692"/>
      </w:pPr>
      <w:r>
        <w:rPr>
          <w:color w:val="262526"/>
        </w:rPr>
        <w:t>Submissions and requests for a hearing should quote project number ERC0303 and may be lodged online at </w:t>
      </w:r>
      <w:hyperlink r:id="rId17">
        <w:r>
          <w:rPr>
            <w:color w:val="262526"/>
          </w:rPr>
          <w:t>www.aemc.gov.au.</w:t>
        </w:r>
      </w:hyperlink>
    </w:p>
    <w:p>
      <w:pPr>
        <w:pStyle w:val="BodyText"/>
        <w:spacing w:before="4"/>
        <w:rPr>
          <w:sz w:val="23"/>
        </w:rPr>
      </w:pPr>
    </w:p>
    <w:p>
      <w:pPr>
        <w:pStyle w:val="Heading2"/>
        <w:numPr>
          <w:ilvl w:val="1"/>
          <w:numId w:val="7"/>
        </w:numPr>
        <w:tabs>
          <w:tab w:pos="2692" w:val="left" w:leader="none"/>
          <w:tab w:pos="2693" w:val="left" w:leader="none"/>
        </w:tabs>
        <w:spacing w:line="240" w:lineRule="auto" w:before="0" w:after="0"/>
        <w:ind w:left="2692" w:right="0" w:hanging="1560"/>
        <w:jc w:val="left"/>
      </w:pPr>
      <w:r>
        <w:rPr>
          <w:color w:val="00ACEC"/>
        </w:rPr>
        <w:t>Related Commission</w:t>
      </w:r>
      <w:r>
        <w:rPr>
          <w:color w:val="00ACEC"/>
          <w:spacing w:val="-2"/>
        </w:rPr>
        <w:t> </w:t>
      </w:r>
      <w:r>
        <w:rPr>
          <w:color w:val="00ACEC"/>
        </w:rPr>
        <w:t>work</w:t>
      </w:r>
    </w:p>
    <w:p>
      <w:pPr>
        <w:pStyle w:val="BodyText"/>
        <w:spacing w:line="278" w:lineRule="auto" w:before="79"/>
        <w:ind w:left="2692" w:right="171"/>
      </w:pPr>
      <w:r>
        <w:rPr>
          <w:color w:val="262526"/>
        </w:rPr>
        <w:t>This rule change is part of a wider Commission work program on system security, which includes those rule changes seeking to action the recommendations made by the Commission in its BSE review report. Three rule change requests were submitted by the COAG Energy Council:</w:t>
      </w:r>
    </w:p>
    <w:p>
      <w:pPr>
        <w:pStyle w:val="BodyText"/>
      </w:pPr>
    </w:p>
    <w:p>
      <w:pPr>
        <w:pStyle w:val="BodyText"/>
      </w:pPr>
    </w:p>
    <w:p>
      <w:pPr>
        <w:pStyle w:val="BodyText"/>
        <w:spacing w:before="10"/>
        <w:rPr>
          <w:sz w:val="24"/>
        </w:rPr>
      </w:pPr>
      <w:r>
        <w:rPr/>
        <w:pict>
          <v:shape style="position:absolute;margin-left:134.645996pt;margin-top:17.465485pt;width:49.65pt;height:.1pt;mso-position-horizontal-relative:page;mso-position-vertical-relative:paragraph;z-index:-15723008;mso-wrap-distance-left:0;mso-wrap-distance-right:0" coordorigin="2693,349" coordsize="993,0" path="m2693,349l3685,349e" filled="false" stroked="true" strokeweight="1pt" strokecolor="#262526">
            <v:path arrowok="t"/>
            <v:stroke dashstyle="solid"/>
            <w10:wrap type="topAndBottom"/>
          </v:shape>
        </w:pict>
      </w:r>
    </w:p>
    <w:p>
      <w:pPr>
        <w:pStyle w:val="ListParagraph"/>
        <w:numPr>
          <w:ilvl w:val="0"/>
          <w:numId w:val="10"/>
        </w:numPr>
        <w:tabs>
          <w:tab w:pos="3034" w:val="left" w:leader="none"/>
        </w:tabs>
        <w:spacing w:line="240" w:lineRule="auto" w:before="98" w:after="0"/>
        <w:ind w:left="3033" w:right="0" w:hanging="342"/>
        <w:jc w:val="left"/>
        <w:rPr>
          <w:sz w:val="14"/>
        </w:rPr>
      </w:pPr>
      <w:r>
        <w:rPr>
          <w:color w:val="262526"/>
          <w:sz w:val="14"/>
        </w:rPr>
        <w:t>Ibid, p.</w:t>
      </w:r>
      <w:r>
        <w:rPr>
          <w:color w:val="262526"/>
          <w:spacing w:val="-1"/>
          <w:sz w:val="14"/>
        </w:rPr>
        <w:t> </w:t>
      </w:r>
      <w:r>
        <w:rPr>
          <w:color w:val="262526"/>
          <w:sz w:val="14"/>
        </w:rPr>
        <w:t>5.</w:t>
      </w:r>
    </w:p>
    <w:p>
      <w:pPr>
        <w:pStyle w:val="ListParagraph"/>
        <w:numPr>
          <w:ilvl w:val="0"/>
          <w:numId w:val="10"/>
        </w:numPr>
        <w:tabs>
          <w:tab w:pos="3034" w:val="left" w:leader="none"/>
        </w:tabs>
        <w:spacing w:line="240" w:lineRule="auto" w:before="55" w:after="0"/>
        <w:ind w:left="3033" w:right="0" w:hanging="342"/>
        <w:jc w:val="left"/>
        <w:rPr>
          <w:sz w:val="14"/>
        </w:rPr>
      </w:pPr>
      <w:r>
        <w:rPr>
          <w:color w:val="262526"/>
          <w:sz w:val="14"/>
        </w:rPr>
        <w:t>Ibid.</w:t>
      </w:r>
    </w:p>
    <w:p>
      <w:pPr>
        <w:pStyle w:val="ListParagraph"/>
        <w:numPr>
          <w:ilvl w:val="0"/>
          <w:numId w:val="10"/>
        </w:numPr>
        <w:tabs>
          <w:tab w:pos="3034" w:val="left" w:leader="none"/>
        </w:tabs>
        <w:spacing w:line="240" w:lineRule="auto" w:before="56" w:after="0"/>
        <w:ind w:left="3033" w:right="0" w:hanging="342"/>
        <w:jc w:val="left"/>
        <w:rPr>
          <w:sz w:val="14"/>
        </w:rPr>
      </w:pPr>
      <w:r>
        <w:rPr>
          <w:color w:val="262526"/>
          <w:sz w:val="14"/>
        </w:rPr>
        <w:t>ht</w:t>
      </w:r>
      <w:hyperlink r:id="rId18">
        <w:r>
          <w:rPr>
            <w:color w:val="262526"/>
            <w:sz w:val="14"/>
          </w:rPr>
          <w:t>tps://www.aemc.go</w:t>
        </w:r>
      </w:hyperlink>
      <w:r>
        <w:rPr>
          <w:color w:val="262526"/>
          <w:sz w:val="14"/>
        </w:rPr>
        <w:t>v</w:t>
      </w:r>
      <w:hyperlink r:id="rId18">
        <w:r>
          <w:rPr>
            <w:color w:val="262526"/>
            <w:sz w:val="14"/>
          </w:rPr>
          <w:t>.au/rule-changes/implementing-general-power-system-risk-review</w:t>
        </w:r>
      </w:hyperlink>
    </w:p>
    <w:p>
      <w:pPr>
        <w:pStyle w:val="ListParagraph"/>
        <w:numPr>
          <w:ilvl w:val="0"/>
          <w:numId w:val="10"/>
        </w:numPr>
        <w:tabs>
          <w:tab w:pos="3034" w:val="left" w:leader="none"/>
        </w:tabs>
        <w:spacing w:line="240" w:lineRule="auto" w:before="56" w:after="0"/>
        <w:ind w:left="3033" w:right="0" w:hanging="342"/>
        <w:jc w:val="left"/>
        <w:rPr>
          <w:sz w:val="14"/>
        </w:rPr>
      </w:pPr>
      <w:r>
        <w:rPr>
          <w:color w:val="262526"/>
          <w:sz w:val="14"/>
        </w:rPr>
        <w:t>This notice was published under s 95 of the National Electricity Law</w:t>
      </w:r>
      <w:r>
        <w:rPr>
          <w:color w:val="262526"/>
          <w:spacing w:val="-3"/>
          <w:sz w:val="14"/>
        </w:rPr>
        <w:t> </w:t>
      </w:r>
      <w:r>
        <w:rPr>
          <w:color w:val="262526"/>
          <w:sz w:val="14"/>
        </w:rPr>
        <w:t>(NEL).</w:t>
      </w:r>
    </w:p>
    <w:p>
      <w:pPr>
        <w:pStyle w:val="ListParagraph"/>
        <w:numPr>
          <w:ilvl w:val="0"/>
          <w:numId w:val="10"/>
        </w:numPr>
        <w:tabs>
          <w:tab w:pos="3034" w:val="left" w:leader="none"/>
        </w:tabs>
        <w:spacing w:line="240" w:lineRule="auto" w:before="56" w:after="0"/>
        <w:ind w:left="3033" w:right="0" w:hanging="342"/>
        <w:jc w:val="left"/>
        <w:rPr>
          <w:sz w:val="14"/>
        </w:rPr>
      </w:pPr>
      <w:r>
        <w:rPr>
          <w:color w:val="262526"/>
          <w:sz w:val="14"/>
        </w:rPr>
        <w:t>The decision to fast-track the rule change request was made under s. 96A(1)(b) of the</w:t>
      </w:r>
      <w:r>
        <w:rPr>
          <w:color w:val="262526"/>
          <w:spacing w:val="-14"/>
          <w:sz w:val="14"/>
        </w:rPr>
        <w:t> </w:t>
      </w:r>
      <w:r>
        <w:rPr>
          <w:color w:val="262526"/>
          <w:sz w:val="14"/>
        </w:rPr>
        <w:t>NEL.</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ListParagraph"/>
        <w:numPr>
          <w:ilvl w:val="2"/>
          <w:numId w:val="7"/>
        </w:numPr>
        <w:tabs>
          <w:tab w:pos="3033" w:val="left" w:leader="none"/>
          <w:tab w:pos="3034" w:val="left" w:leader="none"/>
        </w:tabs>
        <w:spacing w:line="278" w:lineRule="auto" w:before="107" w:after="0"/>
        <w:ind w:left="3033" w:right="487" w:hanging="341"/>
        <w:jc w:val="left"/>
        <w:rPr>
          <w:sz w:val="20"/>
        </w:rPr>
      </w:pPr>
      <w:r>
        <w:rPr>
          <w:color w:val="262526"/>
          <w:sz w:val="20"/>
        </w:rPr>
        <w:t>Implementing a general power system risk review rule change request (the subject of this draft determination)</w:t>
      </w:r>
    </w:p>
    <w:p>
      <w:pPr>
        <w:pStyle w:val="ListParagraph"/>
        <w:numPr>
          <w:ilvl w:val="2"/>
          <w:numId w:val="7"/>
        </w:numPr>
        <w:tabs>
          <w:tab w:pos="3033" w:val="left" w:leader="none"/>
          <w:tab w:pos="3034" w:val="left" w:leader="none"/>
        </w:tabs>
        <w:spacing w:line="240" w:lineRule="auto" w:before="56" w:after="0"/>
        <w:ind w:left="3033" w:right="0" w:hanging="341"/>
        <w:jc w:val="left"/>
        <w:rPr>
          <w:sz w:val="20"/>
        </w:rPr>
      </w:pPr>
      <w:r>
        <w:rPr>
          <w:color w:val="262526"/>
          <w:sz w:val="20"/>
        </w:rPr>
        <w:t>Enhancing operational resilience in relation to indistinct</w:t>
      </w:r>
      <w:r>
        <w:rPr>
          <w:color w:val="262526"/>
          <w:spacing w:val="1"/>
          <w:sz w:val="20"/>
        </w:rPr>
        <w:t> </w:t>
      </w:r>
      <w:r>
        <w:rPr>
          <w:color w:val="262526"/>
          <w:sz w:val="20"/>
        </w:rPr>
        <w:t>events</w:t>
      </w:r>
    </w:p>
    <w:p>
      <w:pPr>
        <w:pStyle w:val="ListParagraph"/>
        <w:numPr>
          <w:ilvl w:val="2"/>
          <w:numId w:val="7"/>
        </w:numPr>
        <w:tabs>
          <w:tab w:pos="3033" w:val="left" w:leader="none"/>
          <w:tab w:pos="3034" w:val="left" w:leader="none"/>
        </w:tabs>
        <w:spacing w:line="240" w:lineRule="auto" w:before="96" w:after="0"/>
        <w:ind w:left="3033" w:right="0" w:hanging="341"/>
        <w:jc w:val="left"/>
        <w:rPr>
          <w:sz w:val="20"/>
        </w:rPr>
      </w:pPr>
      <w:r>
        <w:rPr>
          <w:color w:val="262526"/>
          <w:sz w:val="20"/>
        </w:rPr>
        <w:t>Prioritising arrangements for system security during market</w:t>
      </w:r>
      <w:r>
        <w:rPr>
          <w:color w:val="262526"/>
          <w:spacing w:val="2"/>
          <w:sz w:val="20"/>
        </w:rPr>
        <w:t> </w:t>
      </w:r>
      <w:r>
        <w:rPr>
          <w:color w:val="262526"/>
          <w:sz w:val="20"/>
        </w:rPr>
        <w:t>suspension.</w:t>
      </w:r>
    </w:p>
    <w:p>
      <w:pPr>
        <w:pStyle w:val="BodyText"/>
        <w:spacing w:line="278" w:lineRule="auto" w:before="95"/>
        <w:ind w:left="2692"/>
      </w:pPr>
      <w:r>
        <w:rPr>
          <w:color w:val="262526"/>
        </w:rPr>
        <w:t>The other two rule change projects related to this draft determination are discussed at a high level in Appendix B.</w:t>
      </w:r>
    </w:p>
    <w:p>
      <w:pPr>
        <w:spacing w:after="0" w:line="278" w:lineRule="auto"/>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Heading1"/>
        <w:numPr>
          <w:ilvl w:val="0"/>
          <w:numId w:val="6"/>
        </w:numPr>
        <w:tabs>
          <w:tab w:pos="2692" w:val="left" w:leader="none"/>
          <w:tab w:pos="2693" w:val="left" w:leader="none"/>
        </w:tabs>
        <w:spacing w:line="240" w:lineRule="auto" w:before="112" w:after="0"/>
        <w:ind w:left="2692" w:right="0" w:hanging="1560"/>
        <w:jc w:val="left"/>
      </w:pPr>
      <w:bookmarkStart w:name="2 Draft rule determination " w:id="19"/>
      <w:bookmarkEnd w:id="19"/>
      <w:r>
        <w:rPr/>
      </w:r>
      <w:bookmarkStart w:name="2.1 The Commission’s draft rule determin" w:id="20"/>
      <w:bookmarkEnd w:id="20"/>
      <w:r>
        <w:rPr/>
      </w:r>
      <w:bookmarkStart w:name="_bookmark4" w:id="21"/>
      <w:bookmarkEnd w:id="21"/>
      <w:r>
        <w:rPr/>
      </w:r>
      <w:bookmarkStart w:name="_bookmark4" w:id="22"/>
      <w:bookmarkEnd w:id="22"/>
      <w:r>
        <w:rPr>
          <w:color w:val="00ACEC"/>
        </w:rPr>
        <w:t>DRA</w:t>
      </w:r>
      <w:r>
        <w:rPr>
          <w:color w:val="00ACEC"/>
        </w:rPr>
        <w:t>FT RULE </w:t>
      </w:r>
      <w:r>
        <w:rPr>
          <w:color w:val="00ACEC"/>
          <w:spacing w:val="-3"/>
        </w:rPr>
        <w:t>DETERMINATION</w:t>
      </w:r>
    </w:p>
    <w:p>
      <w:pPr>
        <w:pStyle w:val="BodyText"/>
        <w:spacing w:line="391" w:lineRule="auto" w:before="233"/>
        <w:ind w:left="2692" w:right="412"/>
      </w:pPr>
      <w:r>
        <w:rPr>
          <w:color w:val="262526"/>
        </w:rPr>
        <w:t>This chapter sets out the Commission’s draft determination with a summary of reasons. This chapter includes the following:</w:t>
      </w:r>
    </w:p>
    <w:p>
      <w:pPr>
        <w:pStyle w:val="ListParagraph"/>
        <w:numPr>
          <w:ilvl w:val="1"/>
          <w:numId w:val="6"/>
        </w:numPr>
        <w:tabs>
          <w:tab w:pos="3033" w:val="left" w:leader="none"/>
          <w:tab w:pos="3034" w:val="left" w:leader="none"/>
        </w:tabs>
        <w:spacing w:line="241" w:lineRule="exact" w:before="0" w:after="0"/>
        <w:ind w:left="3033" w:right="0" w:hanging="341"/>
        <w:jc w:val="left"/>
        <w:rPr>
          <w:sz w:val="20"/>
        </w:rPr>
      </w:pPr>
      <w:r>
        <w:rPr>
          <w:color w:val="262526"/>
          <w:sz w:val="20"/>
        </w:rPr>
        <w:t>the Commission’s draft rule determination</w:t>
      </w:r>
    </w:p>
    <w:p>
      <w:pPr>
        <w:pStyle w:val="ListParagraph"/>
        <w:numPr>
          <w:ilvl w:val="1"/>
          <w:numId w:val="6"/>
        </w:numPr>
        <w:tabs>
          <w:tab w:pos="3033" w:val="left" w:leader="none"/>
          <w:tab w:pos="3034" w:val="left" w:leader="none"/>
        </w:tabs>
        <w:spacing w:line="240" w:lineRule="auto" w:before="95" w:after="0"/>
        <w:ind w:left="3033" w:right="0" w:hanging="341"/>
        <w:jc w:val="left"/>
        <w:rPr>
          <w:sz w:val="20"/>
        </w:rPr>
      </w:pPr>
      <w:r>
        <w:rPr>
          <w:color w:val="262526"/>
          <w:sz w:val="20"/>
        </w:rPr>
        <w:t>key features of the more preferable draft rule</w:t>
      </w:r>
    </w:p>
    <w:p>
      <w:pPr>
        <w:pStyle w:val="ListParagraph"/>
        <w:numPr>
          <w:ilvl w:val="1"/>
          <w:numId w:val="6"/>
        </w:numPr>
        <w:tabs>
          <w:tab w:pos="3033" w:val="left" w:leader="none"/>
          <w:tab w:pos="3034" w:val="left" w:leader="none"/>
        </w:tabs>
        <w:spacing w:line="240" w:lineRule="auto" w:before="95" w:after="0"/>
        <w:ind w:left="3033" w:right="0" w:hanging="341"/>
        <w:jc w:val="left"/>
        <w:rPr>
          <w:sz w:val="20"/>
        </w:rPr>
      </w:pPr>
      <w:r>
        <w:rPr>
          <w:color w:val="262526"/>
          <w:sz w:val="20"/>
        </w:rPr>
        <w:t>the rule making test</w:t>
      </w:r>
    </w:p>
    <w:p>
      <w:pPr>
        <w:pStyle w:val="ListParagraph"/>
        <w:numPr>
          <w:ilvl w:val="1"/>
          <w:numId w:val="6"/>
        </w:numPr>
        <w:tabs>
          <w:tab w:pos="3033" w:val="left" w:leader="none"/>
          <w:tab w:pos="3034" w:val="left" w:leader="none"/>
        </w:tabs>
        <w:spacing w:line="240" w:lineRule="auto" w:before="96" w:after="0"/>
        <w:ind w:left="3033" w:right="0" w:hanging="341"/>
        <w:jc w:val="left"/>
        <w:rPr>
          <w:sz w:val="20"/>
        </w:rPr>
      </w:pPr>
      <w:r>
        <w:rPr>
          <w:color w:val="262526"/>
          <w:sz w:val="20"/>
        </w:rPr>
        <w:t>the assessment framework used</w:t>
      </w:r>
    </w:p>
    <w:p>
      <w:pPr>
        <w:pStyle w:val="ListParagraph"/>
        <w:numPr>
          <w:ilvl w:val="1"/>
          <w:numId w:val="6"/>
        </w:numPr>
        <w:tabs>
          <w:tab w:pos="3033" w:val="left" w:leader="none"/>
          <w:tab w:pos="3034" w:val="left" w:leader="none"/>
        </w:tabs>
        <w:spacing w:line="240" w:lineRule="auto" w:before="95" w:after="0"/>
        <w:ind w:left="3033" w:right="0" w:hanging="341"/>
        <w:jc w:val="left"/>
        <w:rPr>
          <w:sz w:val="20"/>
        </w:rPr>
      </w:pPr>
      <w:r>
        <w:rPr>
          <w:color w:val="262526"/>
          <w:sz w:val="20"/>
        </w:rPr>
        <w:t>a summary of the Commission’s reasons,</w:t>
      </w:r>
      <w:r>
        <w:rPr>
          <w:color w:val="262526"/>
          <w:spacing w:val="1"/>
          <w:sz w:val="20"/>
        </w:rPr>
        <w:t> </w:t>
      </w:r>
      <w:r>
        <w:rPr>
          <w:color w:val="262526"/>
          <w:sz w:val="20"/>
        </w:rPr>
        <w:t>and</w:t>
      </w:r>
    </w:p>
    <w:p>
      <w:pPr>
        <w:pStyle w:val="ListParagraph"/>
        <w:numPr>
          <w:ilvl w:val="1"/>
          <w:numId w:val="6"/>
        </w:numPr>
        <w:tabs>
          <w:tab w:pos="3033" w:val="left" w:leader="none"/>
          <w:tab w:pos="3034" w:val="left" w:leader="none"/>
        </w:tabs>
        <w:spacing w:line="240" w:lineRule="auto" w:before="95" w:after="0"/>
        <w:ind w:left="3033" w:right="0" w:hanging="341"/>
        <w:jc w:val="left"/>
        <w:rPr>
          <w:sz w:val="20"/>
        </w:rPr>
      </w:pPr>
      <w:r>
        <w:rPr>
          <w:color w:val="262526"/>
          <w:sz w:val="20"/>
        </w:rPr>
        <w:t>transitional arrangements.</w:t>
      </w:r>
    </w:p>
    <w:p>
      <w:pPr>
        <w:pStyle w:val="BodyText"/>
        <w:spacing w:line="278" w:lineRule="auto" w:before="95"/>
        <w:ind w:left="2692" w:right="295"/>
      </w:pPr>
      <w:r>
        <w:rPr>
          <w:color w:val="262526"/>
        </w:rPr>
        <w:t>The Commission considerations of the key aspects of the proposed rule are described in Chapter 3 and provide additional details supporting the Commission’s decision.</w:t>
      </w:r>
    </w:p>
    <w:p>
      <w:pPr>
        <w:pStyle w:val="BodyText"/>
        <w:spacing w:before="4"/>
        <w:rPr>
          <w:sz w:val="23"/>
        </w:rPr>
      </w:pPr>
    </w:p>
    <w:p>
      <w:pPr>
        <w:pStyle w:val="Heading2"/>
        <w:numPr>
          <w:ilvl w:val="1"/>
          <w:numId w:val="11"/>
        </w:numPr>
        <w:tabs>
          <w:tab w:pos="2692" w:val="left" w:leader="none"/>
          <w:tab w:pos="2693" w:val="left" w:leader="none"/>
        </w:tabs>
        <w:spacing w:line="240" w:lineRule="auto" w:before="0" w:after="0"/>
        <w:ind w:left="2692" w:right="0" w:hanging="1560"/>
        <w:jc w:val="left"/>
      </w:pPr>
      <w:r>
        <w:rPr>
          <w:color w:val="00ACEC"/>
        </w:rPr>
        <w:t>The Commission’s draft rule</w:t>
      </w:r>
      <w:r>
        <w:rPr>
          <w:color w:val="00ACEC"/>
          <w:spacing w:val="-4"/>
        </w:rPr>
        <w:t> </w:t>
      </w:r>
      <w:r>
        <w:rPr>
          <w:color w:val="00ACEC"/>
        </w:rPr>
        <w:t>determination</w:t>
      </w:r>
    </w:p>
    <w:p>
      <w:pPr>
        <w:pStyle w:val="BodyText"/>
        <w:spacing w:line="278" w:lineRule="auto" w:before="79"/>
        <w:ind w:left="2692" w:right="238"/>
      </w:pPr>
      <w:r>
        <w:rPr>
          <w:color w:val="262526"/>
        </w:rPr>
        <w:t>The Commission’s draft rule determination is to make a more preferable draft rule. The draft rule made by the Commission is published with this draft rule determination. The key features of the draft rule</w:t>
      </w:r>
      <w:r>
        <w:rPr>
          <w:color w:val="262526"/>
          <w:spacing w:val="-1"/>
        </w:rPr>
        <w:t> </w:t>
      </w:r>
      <w:r>
        <w:rPr>
          <w:color w:val="262526"/>
        </w:rPr>
        <w:t>are:</w:t>
      </w:r>
    </w:p>
    <w:p>
      <w:pPr>
        <w:pStyle w:val="ListParagraph"/>
        <w:numPr>
          <w:ilvl w:val="2"/>
          <w:numId w:val="11"/>
        </w:numPr>
        <w:tabs>
          <w:tab w:pos="3033" w:val="left" w:leader="none"/>
          <w:tab w:pos="3034" w:val="left" w:leader="none"/>
        </w:tabs>
        <w:spacing w:line="278" w:lineRule="auto" w:before="113" w:after="0"/>
        <w:ind w:left="3033" w:right="275" w:hanging="341"/>
        <w:jc w:val="left"/>
        <w:rPr>
          <w:sz w:val="20"/>
        </w:rPr>
      </w:pPr>
      <w:r>
        <w:rPr>
          <w:color w:val="262526"/>
          <w:sz w:val="20"/>
        </w:rPr>
        <w:t>It would implement a holistic GPSRR process, to effectively identify emerging material risks to power system security from all sources. The draft rule would require AEMO to review all events and conditions (including contingency events) the occurrence of which AEMO expects, alone or in combination, would be likely to lead to cascading outages, or major supply disruptions as part of the</w:t>
      </w:r>
      <w:r>
        <w:rPr>
          <w:color w:val="262526"/>
          <w:spacing w:val="3"/>
          <w:sz w:val="20"/>
        </w:rPr>
        <w:t> </w:t>
      </w:r>
      <w:r>
        <w:rPr>
          <w:color w:val="262526"/>
          <w:sz w:val="20"/>
        </w:rPr>
        <w:t>GPSRR.</w:t>
      </w:r>
    </w:p>
    <w:p>
      <w:pPr>
        <w:pStyle w:val="ListParagraph"/>
        <w:numPr>
          <w:ilvl w:val="2"/>
          <w:numId w:val="11"/>
        </w:numPr>
        <w:tabs>
          <w:tab w:pos="3033" w:val="left" w:leader="none"/>
          <w:tab w:pos="3034" w:val="left" w:leader="none"/>
        </w:tabs>
        <w:spacing w:line="278" w:lineRule="auto" w:before="57" w:after="0"/>
        <w:ind w:left="3033" w:right="112" w:hanging="341"/>
        <w:jc w:val="left"/>
        <w:rPr>
          <w:sz w:val="20"/>
        </w:rPr>
      </w:pPr>
      <w:r>
        <w:rPr>
          <w:color w:val="262526"/>
          <w:sz w:val="20"/>
        </w:rPr>
        <w:t>The GPSRR would be an annual review, integrated with existing planning frameworks that would involve AEMO, TNSPs, and DNSPs transparently assessing risks to power system security associated with five key risk areas in addition to frequency risks.</w:t>
      </w:r>
      <w:r>
        <w:rPr>
          <w:color w:val="262526"/>
          <w:position w:val="8"/>
          <w:sz w:val="12"/>
        </w:rPr>
        <w:t>30 </w:t>
      </w:r>
      <w:r>
        <w:rPr>
          <w:color w:val="262526"/>
          <w:sz w:val="20"/>
        </w:rPr>
        <w:t>These would increase the transparency of emerging system security risks that may need to be managed, helping AEMO, NSPs and market participants better understand the nature of new risks as they emerge. AEMO must complete the first GPSRR within 18 months of the rule commencing.</w:t>
      </w:r>
    </w:p>
    <w:p>
      <w:pPr>
        <w:pStyle w:val="BodyText"/>
        <w:spacing w:before="56"/>
        <w:ind w:left="2692"/>
      </w:pPr>
      <w:r>
        <w:rPr>
          <w:color w:val="262526"/>
        </w:rPr>
        <w:t>The key features of the more preferable draft rule are set out in the table below.</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1"/>
        </w:rPr>
      </w:pPr>
      <w:r>
        <w:rPr/>
        <w:pict>
          <v:shape style="position:absolute;margin-left:134.645996pt;margin-top:15.158819pt;width:49.65pt;height:.1pt;mso-position-horizontal-relative:page;mso-position-vertical-relative:paragraph;z-index:-15722496;mso-wrap-distance-left:0;mso-wrap-distance-right:0" coordorigin="2693,303" coordsize="993,0" path="m2693,303l3685,303e" filled="false" stroked="true" strokeweight="1pt" strokecolor="#262526">
            <v:path arrowok="t"/>
            <v:stroke dashstyle="solid"/>
            <w10:wrap type="topAndBottom"/>
          </v:shape>
        </w:pict>
      </w:r>
    </w:p>
    <w:p>
      <w:pPr>
        <w:pStyle w:val="ListParagraph"/>
        <w:numPr>
          <w:ilvl w:val="0"/>
          <w:numId w:val="12"/>
        </w:numPr>
        <w:tabs>
          <w:tab w:pos="3034" w:val="left" w:leader="none"/>
        </w:tabs>
        <w:spacing w:line="240" w:lineRule="auto" w:before="98" w:after="0"/>
        <w:ind w:left="3033" w:right="166" w:hanging="341"/>
        <w:jc w:val="left"/>
        <w:rPr>
          <w:sz w:val="14"/>
        </w:rPr>
      </w:pPr>
      <w:r>
        <w:rPr>
          <w:color w:val="262526"/>
          <w:sz w:val="14"/>
        </w:rPr>
        <w:t>As part of this requirement, AEMO must consider risks associated with any or a combination of: increases or decreases in voltage, levels of inertia, the availability of system strength services, the operation and interaction of emergency frequency control</w:t>
      </w:r>
      <w:r>
        <w:rPr>
          <w:color w:val="262526"/>
          <w:spacing w:val="-5"/>
          <w:sz w:val="14"/>
        </w:rPr>
        <w:t> </w:t>
      </w:r>
      <w:r>
        <w:rPr>
          <w:color w:val="262526"/>
          <w:sz w:val="14"/>
        </w:rPr>
        <w:t>schemes</w:t>
      </w:r>
      <w:r>
        <w:rPr>
          <w:color w:val="262526"/>
          <w:spacing w:val="-4"/>
          <w:sz w:val="14"/>
        </w:rPr>
        <w:t> </w:t>
      </w:r>
      <w:r>
        <w:rPr>
          <w:color w:val="262526"/>
          <w:sz w:val="14"/>
        </w:rPr>
        <w:t>and</w:t>
      </w:r>
      <w:r>
        <w:rPr>
          <w:color w:val="262526"/>
          <w:spacing w:val="-4"/>
          <w:sz w:val="14"/>
        </w:rPr>
        <w:t> </w:t>
      </w:r>
      <w:r>
        <w:rPr>
          <w:color w:val="262526"/>
          <w:sz w:val="14"/>
        </w:rPr>
        <w:t>emergency</w:t>
      </w:r>
      <w:r>
        <w:rPr>
          <w:color w:val="262526"/>
          <w:spacing w:val="-4"/>
          <w:sz w:val="14"/>
        </w:rPr>
        <w:t> </w:t>
      </w:r>
      <w:r>
        <w:rPr>
          <w:color w:val="262526"/>
          <w:sz w:val="14"/>
        </w:rPr>
        <w:t>controls,</w:t>
      </w:r>
      <w:r>
        <w:rPr>
          <w:color w:val="262526"/>
          <w:spacing w:val="-4"/>
          <w:sz w:val="14"/>
        </w:rPr>
        <w:t> </w:t>
      </w:r>
      <w:r>
        <w:rPr>
          <w:color w:val="262526"/>
          <w:sz w:val="14"/>
        </w:rPr>
        <w:t>and</w:t>
      </w:r>
      <w:r>
        <w:rPr>
          <w:color w:val="262526"/>
          <w:spacing w:val="-4"/>
          <w:sz w:val="14"/>
        </w:rPr>
        <w:t> </w:t>
      </w:r>
      <w:r>
        <w:rPr>
          <w:color w:val="262526"/>
          <w:sz w:val="14"/>
        </w:rPr>
        <w:t>any</w:t>
      </w:r>
      <w:r>
        <w:rPr>
          <w:color w:val="262526"/>
          <w:spacing w:val="-3"/>
          <w:sz w:val="14"/>
        </w:rPr>
        <w:t> </w:t>
      </w:r>
      <w:r>
        <w:rPr>
          <w:color w:val="262526"/>
          <w:sz w:val="14"/>
        </w:rPr>
        <w:t>other</w:t>
      </w:r>
      <w:r>
        <w:rPr>
          <w:color w:val="262526"/>
          <w:spacing w:val="-3"/>
          <w:sz w:val="14"/>
        </w:rPr>
        <w:t> </w:t>
      </w:r>
      <w:r>
        <w:rPr>
          <w:color w:val="262526"/>
          <w:sz w:val="14"/>
        </w:rPr>
        <w:t>events</w:t>
      </w:r>
      <w:r>
        <w:rPr>
          <w:color w:val="262526"/>
          <w:spacing w:val="-5"/>
          <w:sz w:val="14"/>
        </w:rPr>
        <w:t> </w:t>
      </w:r>
      <w:r>
        <w:rPr>
          <w:color w:val="262526"/>
          <w:sz w:val="14"/>
        </w:rPr>
        <w:t>and</w:t>
      </w:r>
      <w:r>
        <w:rPr>
          <w:color w:val="262526"/>
          <w:spacing w:val="-3"/>
          <w:sz w:val="14"/>
        </w:rPr>
        <w:t> </w:t>
      </w:r>
      <w:r>
        <w:rPr>
          <w:color w:val="262526"/>
          <w:sz w:val="14"/>
        </w:rPr>
        <w:t>conditions</w:t>
      </w:r>
      <w:r>
        <w:rPr>
          <w:color w:val="262526"/>
          <w:spacing w:val="-5"/>
          <w:sz w:val="14"/>
        </w:rPr>
        <w:t> </w:t>
      </w:r>
      <w:r>
        <w:rPr>
          <w:color w:val="262526"/>
          <w:sz w:val="14"/>
        </w:rPr>
        <w:t>AEMO</w:t>
      </w:r>
      <w:r>
        <w:rPr>
          <w:color w:val="262526"/>
          <w:spacing w:val="-3"/>
          <w:sz w:val="14"/>
        </w:rPr>
        <w:t> </w:t>
      </w:r>
      <w:r>
        <w:rPr>
          <w:color w:val="262526"/>
          <w:sz w:val="14"/>
        </w:rPr>
        <w:t>deems</w:t>
      </w:r>
      <w:r>
        <w:rPr>
          <w:color w:val="262526"/>
          <w:spacing w:val="-3"/>
          <w:sz w:val="14"/>
        </w:rPr>
        <w:t> </w:t>
      </w:r>
      <w:r>
        <w:rPr>
          <w:color w:val="262526"/>
          <w:sz w:val="14"/>
        </w:rPr>
        <w:t>necessary,</w:t>
      </w:r>
      <w:r>
        <w:rPr>
          <w:color w:val="262526"/>
          <w:spacing w:val="-4"/>
          <w:sz w:val="14"/>
        </w:rPr>
        <w:t> </w:t>
      </w:r>
      <w:r>
        <w:rPr>
          <w:color w:val="262526"/>
          <w:sz w:val="14"/>
        </w:rPr>
        <w:t>including</w:t>
      </w:r>
      <w:r>
        <w:rPr>
          <w:color w:val="262526"/>
          <w:spacing w:val="-3"/>
          <w:sz w:val="14"/>
        </w:rPr>
        <w:t> </w:t>
      </w:r>
      <w:r>
        <w:rPr>
          <w:color w:val="262526"/>
          <w:sz w:val="14"/>
        </w:rPr>
        <w:t>risks</w:t>
      </w:r>
      <w:r>
        <w:rPr>
          <w:color w:val="262526"/>
          <w:spacing w:val="-4"/>
          <w:sz w:val="14"/>
        </w:rPr>
        <w:t> </w:t>
      </w:r>
      <w:r>
        <w:rPr>
          <w:color w:val="262526"/>
          <w:sz w:val="14"/>
        </w:rPr>
        <w:t>arising</w:t>
      </w:r>
      <w:r>
        <w:rPr>
          <w:color w:val="262526"/>
          <w:spacing w:val="-4"/>
          <w:sz w:val="14"/>
        </w:rPr>
        <w:t> </w:t>
      </w:r>
      <w:r>
        <w:rPr>
          <w:color w:val="262526"/>
          <w:sz w:val="14"/>
        </w:rPr>
        <w:t>on distribution network.</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7"/>
        </w:rPr>
      </w:pPr>
    </w:p>
    <w:p>
      <w:pPr>
        <w:spacing w:before="109"/>
        <w:ind w:left="2492" w:right="2615" w:firstLine="0"/>
        <w:jc w:val="center"/>
        <w:rPr>
          <w:rFonts w:ascii="Trebuchet MS" w:hAnsi="Trebuchet MS"/>
          <w:b/>
          <w:sz w:val="20"/>
        </w:rPr>
      </w:pPr>
      <w:bookmarkStart w:name="Table 2.1:  Summary of Commission’s more" w:id="23"/>
      <w:bookmarkEnd w:id="23"/>
      <w:r>
        <w:rPr/>
      </w:r>
      <w:bookmarkStart w:name="_bookmark5" w:id="24"/>
      <w:bookmarkEnd w:id="24"/>
      <w:r>
        <w:rPr/>
      </w:r>
      <w:r>
        <w:rPr>
          <w:rFonts w:ascii="Trebuchet MS" w:hAnsi="Trebuchet MS"/>
          <w:b/>
          <w:color w:val="00ACEC"/>
          <w:sz w:val="20"/>
        </w:rPr>
        <w:t>Table 2.1: </w:t>
      </w:r>
      <w:r>
        <w:rPr>
          <w:rFonts w:ascii="Trebuchet MS" w:hAnsi="Trebuchet MS"/>
          <w:b/>
          <w:color w:val="262526"/>
          <w:sz w:val="20"/>
        </w:rPr>
        <w:t>Summary of Commission’s more preferable draft rule</w:t>
      </w:r>
    </w:p>
    <w:p>
      <w:pPr>
        <w:pStyle w:val="BodyText"/>
        <w:rPr>
          <w:rFonts w:ascii="Trebuchet MS"/>
          <w:b/>
          <w:sz w:val="9"/>
        </w:rPr>
      </w:pPr>
    </w:p>
    <w:tbl>
      <w:tblPr>
        <w:tblW w:w="0" w:type="auto"/>
        <w:jc w:val="left"/>
        <w:tblInd w:w="2697" w:type="dxa"/>
        <w:tblBorders>
          <w:top w:val="single" w:sz="4" w:space="0" w:color="00ACEC"/>
          <w:left w:val="single" w:sz="4" w:space="0" w:color="00ACEC"/>
          <w:bottom w:val="single" w:sz="4" w:space="0" w:color="00ACEC"/>
          <w:right w:val="single" w:sz="4" w:space="0" w:color="00ACEC"/>
          <w:insideH w:val="single" w:sz="4" w:space="0" w:color="00ACEC"/>
          <w:insideV w:val="single" w:sz="4" w:space="0" w:color="00ACEC"/>
        </w:tblBorders>
        <w:tblLayout w:type="fixed"/>
        <w:tblCellMar>
          <w:top w:w="0" w:type="dxa"/>
          <w:left w:w="0" w:type="dxa"/>
          <w:bottom w:w="0" w:type="dxa"/>
          <w:right w:w="0" w:type="dxa"/>
        </w:tblCellMar>
        <w:tblLook w:val="01E0"/>
      </w:tblPr>
      <w:tblGrid>
        <w:gridCol w:w="1765"/>
        <w:gridCol w:w="3541"/>
        <w:gridCol w:w="3048"/>
      </w:tblGrid>
      <w:tr>
        <w:trPr>
          <w:trHeight w:val="593" w:hRule="atLeast"/>
        </w:trPr>
        <w:tc>
          <w:tcPr>
            <w:tcW w:w="1765" w:type="dxa"/>
            <w:tcBorders>
              <w:left w:val="single" w:sz="2" w:space="0" w:color="262526"/>
              <w:bottom w:val="single" w:sz="8" w:space="0" w:color="00ACEC"/>
              <w:right w:val="single" w:sz="2" w:space="0" w:color="262526"/>
            </w:tcBorders>
          </w:tcPr>
          <w:p>
            <w:pPr>
              <w:pStyle w:val="TableParagraph"/>
              <w:spacing w:line="278" w:lineRule="auto" w:before="12"/>
              <w:ind w:right="643"/>
              <w:rPr>
                <w:b/>
                <w:sz w:val="20"/>
              </w:rPr>
            </w:pPr>
            <w:r>
              <w:rPr>
                <w:b/>
                <w:color w:val="00ACEC"/>
                <w:sz w:val="20"/>
              </w:rPr>
              <w:t>RULE ELE- MENTS</w:t>
            </w:r>
          </w:p>
        </w:tc>
        <w:tc>
          <w:tcPr>
            <w:tcW w:w="3541" w:type="dxa"/>
            <w:tcBorders>
              <w:left w:val="single" w:sz="2" w:space="0" w:color="262526"/>
              <w:bottom w:val="single" w:sz="8" w:space="0" w:color="00ACEC"/>
              <w:right w:val="single" w:sz="2" w:space="0" w:color="262526"/>
            </w:tcBorders>
          </w:tcPr>
          <w:p>
            <w:pPr>
              <w:pStyle w:val="TableParagraph"/>
              <w:spacing w:before="152"/>
              <w:rPr>
                <w:b/>
                <w:sz w:val="20"/>
              </w:rPr>
            </w:pPr>
            <w:r>
              <w:rPr>
                <w:b/>
                <w:color w:val="00ACEC"/>
                <w:sz w:val="20"/>
              </w:rPr>
              <w:t>DRAFT RULE REQUIREMENTS</w:t>
            </w:r>
          </w:p>
        </w:tc>
        <w:tc>
          <w:tcPr>
            <w:tcW w:w="3048" w:type="dxa"/>
            <w:tcBorders>
              <w:left w:val="single" w:sz="2" w:space="0" w:color="262526"/>
              <w:bottom w:val="single" w:sz="8" w:space="0" w:color="00ACEC"/>
              <w:right w:val="single" w:sz="2" w:space="0" w:color="262526"/>
            </w:tcBorders>
          </w:tcPr>
          <w:p>
            <w:pPr>
              <w:pStyle w:val="TableParagraph"/>
              <w:spacing w:line="278" w:lineRule="auto" w:before="12"/>
              <w:ind w:right="457"/>
              <w:rPr>
                <w:b/>
                <w:sz w:val="20"/>
              </w:rPr>
            </w:pPr>
            <w:r>
              <w:rPr>
                <w:b/>
                <w:color w:val="00ACEC"/>
                <w:sz w:val="20"/>
              </w:rPr>
              <w:t>COMPARISON WITH THE PROPOSED RULE</w:t>
            </w:r>
          </w:p>
        </w:tc>
      </w:tr>
      <w:tr>
        <w:trPr>
          <w:trHeight w:val="5296" w:hRule="atLeast"/>
        </w:trPr>
        <w:tc>
          <w:tcPr>
            <w:tcW w:w="1765" w:type="dxa"/>
            <w:vMerge w:val="restart"/>
            <w:tcBorders>
              <w:top w:val="single" w:sz="8" w:space="0" w:color="00ACEC"/>
              <w:left w:val="single" w:sz="2" w:space="0" w:color="262526"/>
              <w:bottom w:val="single" w:sz="12" w:space="0" w:color="262526"/>
              <w:right w:val="single" w:sz="2" w:space="0" w:color="262526"/>
            </w:tcBorders>
          </w:tcPr>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ind w:left="0"/>
              <w:rPr>
                <w:rFonts w:ascii="Trebuchet MS"/>
                <w:b/>
                <w:sz w:val="30"/>
              </w:rPr>
            </w:pPr>
          </w:p>
          <w:p>
            <w:pPr>
              <w:pStyle w:val="TableParagraph"/>
              <w:spacing w:before="9"/>
              <w:ind w:left="0"/>
              <w:rPr>
                <w:rFonts w:ascii="Trebuchet MS"/>
                <w:b/>
                <w:sz w:val="29"/>
              </w:rPr>
            </w:pPr>
          </w:p>
          <w:p>
            <w:pPr>
              <w:pStyle w:val="TableParagraph"/>
              <w:spacing w:line="278" w:lineRule="auto" w:before="1"/>
              <w:ind w:right="431"/>
              <w:rPr>
                <w:b/>
                <w:sz w:val="20"/>
              </w:rPr>
            </w:pPr>
            <w:r>
              <w:rPr>
                <w:b/>
                <w:color w:val="262526"/>
                <w:sz w:val="20"/>
              </w:rPr>
              <w:t>Scope of the GPSRR</w:t>
            </w:r>
          </w:p>
        </w:tc>
        <w:tc>
          <w:tcPr>
            <w:tcW w:w="3541" w:type="dxa"/>
            <w:tcBorders>
              <w:top w:val="single" w:sz="8" w:space="0" w:color="00ACEC"/>
              <w:left w:val="single" w:sz="2" w:space="0" w:color="262526"/>
              <w:bottom w:val="single" w:sz="8" w:space="0" w:color="262526"/>
              <w:right w:val="single" w:sz="2" w:space="0" w:color="262526"/>
            </w:tcBorders>
          </w:tcPr>
          <w:p>
            <w:pPr>
              <w:pStyle w:val="TableParagraph"/>
              <w:spacing w:line="278" w:lineRule="auto" w:before="13"/>
              <w:ind w:right="429"/>
              <w:rPr>
                <w:sz w:val="20"/>
              </w:rPr>
            </w:pPr>
            <w:r>
              <w:rPr>
                <w:color w:val="262526"/>
                <w:sz w:val="20"/>
              </w:rPr>
              <w:t>1. AEMO must through the GPSRR consider:</w:t>
            </w:r>
          </w:p>
          <w:p>
            <w:pPr>
              <w:pStyle w:val="TableParagraph"/>
              <w:numPr>
                <w:ilvl w:val="0"/>
                <w:numId w:val="13"/>
              </w:numPr>
              <w:tabs>
                <w:tab w:pos="401" w:val="left" w:leader="none"/>
                <w:tab w:pos="402" w:val="left" w:leader="none"/>
              </w:tabs>
              <w:spacing w:line="278" w:lineRule="auto" w:before="113" w:after="0"/>
              <w:ind w:left="401" w:right="101" w:hanging="341"/>
              <w:jc w:val="left"/>
              <w:rPr>
                <w:sz w:val="20"/>
              </w:rPr>
            </w:pPr>
            <w:r>
              <w:rPr>
                <w:color w:val="262526"/>
                <w:sz w:val="20"/>
              </w:rPr>
              <w:t>non-credible contingency events the occurrence of which AEMO expects would be likely to involve uncontrolled changes in</w:t>
            </w:r>
            <w:r>
              <w:rPr>
                <w:color w:val="262526"/>
                <w:spacing w:val="-15"/>
                <w:sz w:val="20"/>
              </w:rPr>
              <w:t> </w:t>
            </w:r>
            <w:r>
              <w:rPr>
                <w:color w:val="262526"/>
                <w:sz w:val="20"/>
              </w:rPr>
              <w:t>frequency leading to cascading outages, or major supply</w:t>
            </w:r>
            <w:r>
              <w:rPr>
                <w:color w:val="262526"/>
                <w:spacing w:val="-2"/>
                <w:sz w:val="20"/>
              </w:rPr>
              <w:t> </w:t>
            </w:r>
            <w:r>
              <w:rPr>
                <w:color w:val="262526"/>
                <w:sz w:val="20"/>
              </w:rPr>
              <w:t>disruptions</w:t>
            </w:r>
          </w:p>
          <w:p>
            <w:pPr>
              <w:pStyle w:val="TableParagraph"/>
              <w:numPr>
                <w:ilvl w:val="0"/>
                <w:numId w:val="13"/>
              </w:numPr>
              <w:tabs>
                <w:tab w:pos="401" w:val="left" w:leader="none"/>
                <w:tab w:pos="402" w:val="left" w:leader="none"/>
              </w:tabs>
              <w:spacing w:line="278" w:lineRule="auto" w:before="56" w:after="0"/>
              <w:ind w:left="401" w:right="92" w:hanging="341"/>
              <w:jc w:val="left"/>
              <w:rPr>
                <w:sz w:val="20"/>
              </w:rPr>
            </w:pPr>
            <w:r>
              <w:rPr>
                <w:color w:val="262526"/>
                <w:sz w:val="20"/>
              </w:rPr>
              <w:t>other events and conditions (including contingency events)</w:t>
            </w:r>
            <w:r>
              <w:rPr>
                <w:color w:val="262526"/>
                <w:spacing w:val="-20"/>
                <w:sz w:val="20"/>
              </w:rPr>
              <w:t> </w:t>
            </w:r>
            <w:r>
              <w:rPr>
                <w:color w:val="262526"/>
                <w:sz w:val="20"/>
              </w:rPr>
              <w:t>the occurrence of which AEMO expects, alone or in combination, would be likely to lead to cascading outages, or major supply</w:t>
            </w:r>
            <w:r>
              <w:rPr>
                <w:color w:val="262526"/>
                <w:spacing w:val="-2"/>
                <w:sz w:val="20"/>
              </w:rPr>
              <w:t> </w:t>
            </w:r>
            <w:r>
              <w:rPr>
                <w:color w:val="262526"/>
                <w:sz w:val="20"/>
              </w:rPr>
              <w:t>disruptions</w:t>
            </w:r>
          </w:p>
          <w:p>
            <w:pPr>
              <w:pStyle w:val="TableParagraph"/>
              <w:numPr>
                <w:ilvl w:val="0"/>
                <w:numId w:val="13"/>
              </w:numPr>
              <w:tabs>
                <w:tab w:pos="401" w:val="left" w:leader="none"/>
                <w:tab w:pos="402" w:val="left" w:leader="none"/>
              </w:tabs>
              <w:spacing w:line="280" w:lineRule="atLeast" w:before="18" w:after="0"/>
              <w:ind w:left="401" w:right="61" w:hanging="341"/>
              <w:jc w:val="left"/>
              <w:rPr>
                <w:sz w:val="20"/>
              </w:rPr>
            </w:pPr>
            <w:r>
              <w:rPr>
                <w:color w:val="262526"/>
                <w:sz w:val="20"/>
              </w:rPr>
              <w:t>current and future arrangements for management of the events</w:t>
            </w:r>
            <w:r>
              <w:rPr>
                <w:color w:val="262526"/>
                <w:spacing w:val="-13"/>
                <w:sz w:val="20"/>
              </w:rPr>
              <w:t> </w:t>
            </w:r>
            <w:r>
              <w:rPr>
                <w:color w:val="262526"/>
                <w:sz w:val="20"/>
              </w:rPr>
              <w:t>and conditions mentioned</w:t>
            </w:r>
            <w:r>
              <w:rPr>
                <w:color w:val="262526"/>
                <w:spacing w:val="-4"/>
                <w:sz w:val="20"/>
              </w:rPr>
              <w:t> </w:t>
            </w:r>
            <w:r>
              <w:rPr>
                <w:color w:val="262526"/>
                <w:sz w:val="20"/>
              </w:rPr>
              <w:t>above.</w:t>
            </w:r>
          </w:p>
        </w:tc>
        <w:tc>
          <w:tcPr>
            <w:tcW w:w="3048" w:type="dxa"/>
            <w:tcBorders>
              <w:top w:val="single" w:sz="8" w:space="0" w:color="00ACEC"/>
              <w:left w:val="single" w:sz="2" w:space="0" w:color="262526"/>
              <w:bottom w:val="single" w:sz="8" w:space="0" w:color="262526"/>
              <w:right w:val="single" w:sz="2" w:space="0" w:color="262526"/>
            </w:tcBorders>
          </w:tcPr>
          <w:p>
            <w:pPr>
              <w:pStyle w:val="TableParagraph"/>
              <w:spacing w:line="278" w:lineRule="auto" w:before="126"/>
              <w:ind w:right="131"/>
              <w:rPr>
                <w:sz w:val="20"/>
              </w:rPr>
            </w:pPr>
            <w:r>
              <w:rPr>
                <w:color w:val="262526"/>
                <w:sz w:val="20"/>
              </w:rPr>
              <w:t>In relation to this requirement, the Commission has made a change to the proposed rule by requiring AEMO to consider only non-credible contingency events in relation to frequency risks.</w:t>
            </w:r>
          </w:p>
          <w:p>
            <w:pPr>
              <w:pStyle w:val="TableParagraph"/>
              <w:spacing w:line="278" w:lineRule="auto"/>
              <w:ind w:right="53"/>
              <w:rPr>
                <w:sz w:val="20"/>
              </w:rPr>
            </w:pPr>
            <w:r>
              <w:rPr>
                <w:color w:val="262526"/>
                <w:sz w:val="20"/>
              </w:rPr>
              <w:t>The change aims to maintain the current frameworks for the consideration of frequency risks (the protected events and EFCS frameworks) which give AEMO the tools to manage those risks. The Commission considers the more preferable draft rule better delineates between the existing arrangements to manage frequency and the review of all other risks.</w:t>
            </w:r>
          </w:p>
        </w:tc>
      </w:tr>
      <w:tr>
        <w:trPr>
          <w:trHeight w:val="5686" w:hRule="atLeast"/>
        </w:trPr>
        <w:tc>
          <w:tcPr>
            <w:tcW w:w="1765" w:type="dxa"/>
            <w:vMerge/>
            <w:tcBorders>
              <w:top w:val="nil"/>
              <w:left w:val="single" w:sz="2" w:space="0" w:color="262526"/>
              <w:bottom w:val="single" w:sz="12" w:space="0" w:color="262526"/>
              <w:right w:val="single" w:sz="2" w:space="0" w:color="262526"/>
            </w:tcBorders>
          </w:tcPr>
          <w:p>
            <w:pPr>
              <w:rPr>
                <w:sz w:val="2"/>
                <w:szCs w:val="2"/>
              </w:rPr>
            </w:pPr>
          </w:p>
        </w:tc>
        <w:tc>
          <w:tcPr>
            <w:tcW w:w="3541" w:type="dxa"/>
            <w:tcBorders>
              <w:top w:val="single" w:sz="8" w:space="0" w:color="262526"/>
              <w:left w:val="single" w:sz="2" w:space="0" w:color="262526"/>
              <w:bottom w:val="single" w:sz="12" w:space="0" w:color="262526"/>
              <w:right w:val="single" w:sz="2" w:space="0" w:color="262526"/>
            </w:tcBorders>
          </w:tcPr>
          <w:p>
            <w:pPr>
              <w:pStyle w:val="TableParagraph"/>
              <w:spacing w:line="278" w:lineRule="auto" w:before="8"/>
              <w:ind w:right="91"/>
              <w:rPr>
                <w:sz w:val="20"/>
              </w:rPr>
            </w:pPr>
            <w:r>
              <w:rPr>
                <w:color w:val="262526"/>
                <w:sz w:val="20"/>
              </w:rPr>
              <w:t>2. When conducting a GPSRR, AEMO must consider whether the risk of cascading outages or major supply disruptions is associated with any or a combination of:</w:t>
            </w:r>
          </w:p>
          <w:p>
            <w:pPr>
              <w:pStyle w:val="TableParagraph"/>
              <w:numPr>
                <w:ilvl w:val="0"/>
                <w:numId w:val="14"/>
              </w:numPr>
              <w:tabs>
                <w:tab w:pos="401" w:val="left" w:leader="none"/>
                <w:tab w:pos="402" w:val="left" w:leader="none"/>
              </w:tabs>
              <w:spacing w:line="240" w:lineRule="auto" w:before="113" w:after="0"/>
              <w:ind w:left="401" w:right="0" w:hanging="341"/>
              <w:jc w:val="left"/>
              <w:rPr>
                <w:sz w:val="20"/>
              </w:rPr>
            </w:pPr>
            <w:r>
              <w:rPr>
                <w:color w:val="262526"/>
                <w:sz w:val="20"/>
              </w:rPr>
              <w:t>increases or decreases in</w:t>
            </w:r>
            <w:r>
              <w:rPr>
                <w:color w:val="262526"/>
                <w:spacing w:val="-2"/>
                <w:sz w:val="20"/>
              </w:rPr>
              <w:t> </w:t>
            </w:r>
            <w:r>
              <w:rPr>
                <w:color w:val="262526"/>
                <w:sz w:val="20"/>
              </w:rPr>
              <w:t>voltage;</w:t>
            </w:r>
          </w:p>
          <w:p>
            <w:pPr>
              <w:pStyle w:val="TableParagraph"/>
              <w:numPr>
                <w:ilvl w:val="0"/>
                <w:numId w:val="14"/>
              </w:numPr>
              <w:tabs>
                <w:tab w:pos="401" w:val="left" w:leader="none"/>
                <w:tab w:pos="402" w:val="left" w:leader="none"/>
              </w:tabs>
              <w:spacing w:line="240" w:lineRule="auto" w:before="95" w:after="0"/>
              <w:ind w:left="401" w:right="0" w:hanging="341"/>
              <w:jc w:val="left"/>
              <w:rPr>
                <w:sz w:val="20"/>
              </w:rPr>
            </w:pPr>
            <w:r>
              <w:rPr>
                <w:color w:val="262526"/>
                <w:sz w:val="20"/>
              </w:rPr>
              <w:t>levels of</w:t>
            </w:r>
            <w:r>
              <w:rPr>
                <w:color w:val="262526"/>
                <w:spacing w:val="-2"/>
                <w:sz w:val="20"/>
              </w:rPr>
              <w:t> </w:t>
            </w:r>
            <w:r>
              <w:rPr>
                <w:color w:val="262526"/>
                <w:sz w:val="20"/>
              </w:rPr>
              <w:t>inertia;</w:t>
            </w:r>
          </w:p>
          <w:p>
            <w:pPr>
              <w:pStyle w:val="TableParagraph"/>
              <w:numPr>
                <w:ilvl w:val="0"/>
                <w:numId w:val="14"/>
              </w:numPr>
              <w:tabs>
                <w:tab w:pos="401" w:val="left" w:leader="none"/>
                <w:tab w:pos="402" w:val="left" w:leader="none"/>
              </w:tabs>
              <w:spacing w:line="278" w:lineRule="auto" w:before="95" w:after="0"/>
              <w:ind w:left="401" w:right="162" w:hanging="341"/>
              <w:jc w:val="left"/>
              <w:rPr>
                <w:sz w:val="20"/>
              </w:rPr>
            </w:pPr>
            <w:r>
              <w:rPr>
                <w:color w:val="262526"/>
                <w:sz w:val="20"/>
              </w:rPr>
              <w:t>the availability of system</w:t>
            </w:r>
            <w:r>
              <w:rPr>
                <w:color w:val="262526"/>
                <w:spacing w:val="-24"/>
                <w:sz w:val="20"/>
              </w:rPr>
              <w:t> </w:t>
            </w:r>
            <w:r>
              <w:rPr>
                <w:color w:val="262526"/>
                <w:sz w:val="20"/>
              </w:rPr>
              <w:t>strength services;</w:t>
            </w:r>
          </w:p>
          <w:p>
            <w:pPr>
              <w:pStyle w:val="TableParagraph"/>
              <w:numPr>
                <w:ilvl w:val="0"/>
                <w:numId w:val="14"/>
              </w:numPr>
              <w:tabs>
                <w:tab w:pos="401" w:val="left" w:leader="none"/>
                <w:tab w:pos="402" w:val="left" w:leader="none"/>
              </w:tabs>
              <w:spacing w:line="278" w:lineRule="auto" w:before="57" w:after="0"/>
              <w:ind w:left="401" w:right="136" w:hanging="341"/>
              <w:jc w:val="left"/>
              <w:rPr>
                <w:sz w:val="20"/>
              </w:rPr>
            </w:pPr>
            <w:r>
              <w:rPr>
                <w:color w:val="262526"/>
                <w:sz w:val="20"/>
              </w:rPr>
              <w:t>the operation or interaction of emergency frequency control schemes, emergency controls</w:t>
            </w:r>
            <w:r>
              <w:rPr>
                <w:color w:val="262526"/>
                <w:spacing w:val="-25"/>
                <w:sz w:val="20"/>
              </w:rPr>
              <w:t> </w:t>
            </w:r>
            <w:r>
              <w:rPr>
                <w:color w:val="262526"/>
                <w:sz w:val="20"/>
              </w:rPr>
              <w:t>and special protection</w:t>
            </w:r>
            <w:r>
              <w:rPr>
                <w:color w:val="262526"/>
                <w:spacing w:val="-4"/>
                <w:sz w:val="20"/>
              </w:rPr>
              <w:t> </w:t>
            </w:r>
            <w:r>
              <w:rPr>
                <w:color w:val="262526"/>
                <w:sz w:val="20"/>
              </w:rPr>
              <w:t>schemes.</w:t>
            </w:r>
          </w:p>
          <w:p>
            <w:pPr>
              <w:pStyle w:val="TableParagraph"/>
              <w:spacing w:line="280" w:lineRule="atLeast" w:before="18"/>
              <w:ind w:right="153"/>
              <w:rPr>
                <w:sz w:val="20"/>
              </w:rPr>
            </w:pPr>
            <w:r>
              <w:rPr>
                <w:color w:val="262526"/>
                <w:sz w:val="20"/>
              </w:rPr>
              <w:t>AEMO may consider whether the risk of cascading outages or major supply disruptions is associated with any other factors, including events or conditions that may arise on distribution networks</w:t>
            </w:r>
          </w:p>
        </w:tc>
        <w:tc>
          <w:tcPr>
            <w:tcW w:w="3048" w:type="dxa"/>
            <w:tcBorders>
              <w:top w:val="single" w:sz="8" w:space="0" w:color="262526"/>
              <w:left w:val="single" w:sz="2" w:space="0" w:color="262526"/>
              <w:bottom w:val="single" w:sz="12" w:space="0" w:color="262526"/>
              <w:right w:val="single" w:sz="2" w:space="0" w:color="262526"/>
            </w:tcBorders>
          </w:tcPr>
          <w:p>
            <w:pPr>
              <w:pStyle w:val="TableParagraph"/>
              <w:ind w:left="0"/>
              <w:rPr>
                <w:rFonts w:ascii="Trebuchet MS"/>
                <w:b/>
                <w:sz w:val="28"/>
              </w:rPr>
            </w:pPr>
          </w:p>
          <w:p>
            <w:pPr>
              <w:pStyle w:val="TableParagraph"/>
              <w:ind w:left="0"/>
              <w:rPr>
                <w:rFonts w:ascii="Trebuchet MS"/>
                <w:b/>
                <w:sz w:val="28"/>
              </w:rPr>
            </w:pPr>
          </w:p>
          <w:p>
            <w:pPr>
              <w:pStyle w:val="TableParagraph"/>
              <w:ind w:left="0"/>
              <w:rPr>
                <w:rFonts w:ascii="Trebuchet MS"/>
                <w:b/>
                <w:sz w:val="28"/>
              </w:rPr>
            </w:pPr>
          </w:p>
          <w:p>
            <w:pPr>
              <w:pStyle w:val="TableParagraph"/>
              <w:spacing w:line="278" w:lineRule="auto" w:before="182"/>
              <w:ind w:right="53"/>
              <w:rPr>
                <w:sz w:val="20"/>
              </w:rPr>
            </w:pPr>
            <w:r>
              <w:rPr>
                <w:color w:val="262526"/>
                <w:sz w:val="20"/>
              </w:rPr>
              <w:t>This requirement largely reflects the rule proposed by the COAG Energy Council but removes frequency risks from the proposed list of risks to be considered under this clause.</w:t>
            </w:r>
          </w:p>
          <w:p>
            <w:pPr>
              <w:pStyle w:val="TableParagraph"/>
              <w:spacing w:line="278" w:lineRule="auto"/>
              <w:ind w:right="46"/>
              <w:rPr>
                <w:sz w:val="20"/>
              </w:rPr>
            </w:pPr>
            <w:r>
              <w:rPr>
                <w:color w:val="262526"/>
                <w:sz w:val="20"/>
              </w:rPr>
              <w:t>This is because frequency risks are covered by a different clause in the more preferable draft rule to maintain the current frameworks for addressing those risks.</w:t>
            </w:r>
          </w:p>
        </w:tc>
      </w:tr>
    </w:tbl>
    <w:p>
      <w:pPr>
        <w:spacing w:after="0" w:line="278" w:lineRule="auto"/>
        <w:rPr>
          <w:sz w:val="20"/>
        </w:rPr>
        <w:sectPr>
          <w:pgSz w:w="11910" w:h="16840"/>
          <w:pgMar w:header="808" w:footer="767" w:top="1460" w:bottom="960" w:left="0" w:right="740"/>
        </w:sect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sz w:val="26"/>
        </w:rPr>
      </w:pPr>
    </w:p>
    <w:tbl>
      <w:tblPr>
        <w:tblW w:w="0" w:type="auto"/>
        <w:jc w:val="left"/>
        <w:tblInd w:w="2697" w:type="dxa"/>
        <w:tblBorders>
          <w:top w:val="single" w:sz="4" w:space="0" w:color="00ACEC"/>
          <w:left w:val="single" w:sz="4" w:space="0" w:color="00ACEC"/>
          <w:bottom w:val="single" w:sz="4" w:space="0" w:color="00ACEC"/>
          <w:right w:val="single" w:sz="4" w:space="0" w:color="00ACEC"/>
          <w:insideH w:val="single" w:sz="4" w:space="0" w:color="00ACEC"/>
          <w:insideV w:val="single" w:sz="4" w:space="0" w:color="00ACEC"/>
        </w:tblBorders>
        <w:tblLayout w:type="fixed"/>
        <w:tblCellMar>
          <w:top w:w="0" w:type="dxa"/>
          <w:left w:w="0" w:type="dxa"/>
          <w:bottom w:w="0" w:type="dxa"/>
          <w:right w:w="0" w:type="dxa"/>
        </w:tblCellMar>
        <w:tblLook w:val="01E0"/>
      </w:tblPr>
      <w:tblGrid>
        <w:gridCol w:w="1765"/>
        <w:gridCol w:w="3541"/>
        <w:gridCol w:w="3048"/>
      </w:tblGrid>
      <w:tr>
        <w:trPr>
          <w:trHeight w:val="593" w:hRule="atLeast"/>
        </w:trPr>
        <w:tc>
          <w:tcPr>
            <w:tcW w:w="1765" w:type="dxa"/>
            <w:tcBorders>
              <w:left w:val="single" w:sz="2" w:space="0" w:color="262526"/>
              <w:bottom w:val="single" w:sz="8" w:space="0" w:color="00ACEC"/>
              <w:right w:val="single" w:sz="2" w:space="0" w:color="262526"/>
            </w:tcBorders>
          </w:tcPr>
          <w:p>
            <w:pPr>
              <w:pStyle w:val="TableParagraph"/>
              <w:spacing w:line="278" w:lineRule="auto" w:before="12"/>
              <w:ind w:right="643"/>
              <w:rPr>
                <w:b/>
                <w:sz w:val="20"/>
              </w:rPr>
            </w:pPr>
            <w:r>
              <w:rPr>
                <w:b/>
                <w:color w:val="00ACEC"/>
                <w:sz w:val="20"/>
              </w:rPr>
              <w:t>RULE ELE- MENTS</w:t>
            </w:r>
          </w:p>
        </w:tc>
        <w:tc>
          <w:tcPr>
            <w:tcW w:w="3541" w:type="dxa"/>
            <w:tcBorders>
              <w:left w:val="single" w:sz="2" w:space="0" w:color="262526"/>
              <w:bottom w:val="single" w:sz="8" w:space="0" w:color="00ACEC"/>
              <w:right w:val="single" w:sz="2" w:space="0" w:color="262526"/>
            </w:tcBorders>
          </w:tcPr>
          <w:p>
            <w:pPr>
              <w:pStyle w:val="TableParagraph"/>
              <w:spacing w:before="152"/>
              <w:rPr>
                <w:b/>
                <w:sz w:val="20"/>
              </w:rPr>
            </w:pPr>
            <w:r>
              <w:rPr>
                <w:b/>
                <w:color w:val="00ACEC"/>
                <w:sz w:val="20"/>
              </w:rPr>
              <w:t>DRAFT RULE REQUIREMENTS</w:t>
            </w:r>
          </w:p>
        </w:tc>
        <w:tc>
          <w:tcPr>
            <w:tcW w:w="3048" w:type="dxa"/>
            <w:tcBorders>
              <w:left w:val="single" w:sz="2" w:space="0" w:color="262526"/>
              <w:bottom w:val="single" w:sz="8" w:space="0" w:color="00ACEC"/>
              <w:right w:val="single" w:sz="2" w:space="0" w:color="262526"/>
            </w:tcBorders>
          </w:tcPr>
          <w:p>
            <w:pPr>
              <w:pStyle w:val="TableParagraph"/>
              <w:spacing w:line="278" w:lineRule="auto" w:before="12"/>
              <w:ind w:right="457"/>
              <w:rPr>
                <w:b/>
                <w:sz w:val="20"/>
              </w:rPr>
            </w:pPr>
            <w:r>
              <w:rPr>
                <w:b/>
                <w:color w:val="00ACEC"/>
                <w:sz w:val="20"/>
              </w:rPr>
              <w:t>COMPARISON WITH THE PROPOSED RULE</w:t>
            </w:r>
          </w:p>
        </w:tc>
      </w:tr>
      <w:tr>
        <w:trPr>
          <w:trHeight w:val="4067" w:hRule="atLeast"/>
        </w:trPr>
        <w:tc>
          <w:tcPr>
            <w:tcW w:w="1765" w:type="dxa"/>
            <w:tcBorders>
              <w:top w:val="single" w:sz="8" w:space="0" w:color="00ACEC"/>
              <w:left w:val="single" w:sz="2" w:space="0" w:color="262526"/>
              <w:bottom w:val="single" w:sz="8" w:space="0" w:color="262526"/>
              <w:right w:val="single" w:sz="2" w:space="0" w:color="262526"/>
            </w:tcBorders>
          </w:tcPr>
          <w:p>
            <w:pPr>
              <w:pStyle w:val="TableParagraph"/>
              <w:ind w:left="0"/>
              <w:rPr>
                <w:rFonts w:ascii="Times New Roman"/>
                <w:sz w:val="18"/>
              </w:rPr>
            </w:pPr>
          </w:p>
        </w:tc>
        <w:tc>
          <w:tcPr>
            <w:tcW w:w="3541" w:type="dxa"/>
            <w:tcBorders>
              <w:top w:val="single" w:sz="8" w:space="0" w:color="00ACEC"/>
              <w:left w:val="single" w:sz="2" w:space="0" w:color="262526"/>
              <w:bottom w:val="single" w:sz="8" w:space="0" w:color="262526"/>
              <w:right w:val="single" w:sz="2" w:space="0" w:color="262526"/>
            </w:tcBorders>
          </w:tcPr>
          <w:p>
            <w:pPr>
              <w:pStyle w:val="TableParagraph"/>
              <w:ind w:left="0"/>
              <w:rPr>
                <w:rFonts w:ascii="Trebuchet MS"/>
                <w:b/>
                <w:sz w:val="28"/>
              </w:rPr>
            </w:pPr>
          </w:p>
          <w:p>
            <w:pPr>
              <w:pStyle w:val="TableParagraph"/>
              <w:spacing w:before="3"/>
              <w:ind w:left="0"/>
              <w:rPr>
                <w:rFonts w:ascii="Trebuchet MS"/>
                <w:b/>
                <w:sz w:val="38"/>
              </w:rPr>
            </w:pPr>
          </w:p>
          <w:p>
            <w:pPr>
              <w:pStyle w:val="TableParagraph"/>
              <w:spacing w:line="278" w:lineRule="auto"/>
              <w:ind w:right="53"/>
              <w:rPr>
                <w:sz w:val="20"/>
              </w:rPr>
            </w:pPr>
            <w:r>
              <w:rPr>
                <w:color w:val="262526"/>
                <w:sz w:val="20"/>
              </w:rPr>
              <w:t>3. AEMO may prioritise certain risks over others or elect not to consider some risks in the GPSRR. AEMO is required to consult with relevant TNSPs and DNSPs in relation to these priorities. AEMO is required to consult on its choice of risks and provide an explanation should certain risks not be considered.</w:t>
            </w:r>
          </w:p>
        </w:tc>
        <w:tc>
          <w:tcPr>
            <w:tcW w:w="3048" w:type="dxa"/>
            <w:tcBorders>
              <w:top w:val="single" w:sz="8" w:space="0" w:color="00ACEC"/>
              <w:left w:val="single" w:sz="2" w:space="0" w:color="262526"/>
              <w:bottom w:val="single" w:sz="8" w:space="0" w:color="262526"/>
              <w:right w:val="single" w:sz="2" w:space="0" w:color="262526"/>
            </w:tcBorders>
          </w:tcPr>
          <w:p>
            <w:pPr>
              <w:pStyle w:val="TableParagraph"/>
              <w:spacing w:line="278" w:lineRule="auto" w:before="13"/>
              <w:ind w:right="86"/>
              <w:rPr>
                <w:sz w:val="20"/>
              </w:rPr>
            </w:pPr>
            <w:r>
              <w:rPr>
                <w:color w:val="262526"/>
                <w:sz w:val="20"/>
              </w:rPr>
              <w:t>This requirement reflects the proposed rule but requires AEMO to consult with relevant NSPs, as opposed to all NSPs. This change was made to allow for better allocation of resources, and for</w:t>
            </w:r>
            <w:r>
              <w:rPr>
                <w:color w:val="262526"/>
                <w:spacing w:val="-29"/>
                <w:sz w:val="20"/>
              </w:rPr>
              <w:t> </w:t>
            </w:r>
            <w:r>
              <w:rPr>
                <w:color w:val="262526"/>
                <w:sz w:val="20"/>
              </w:rPr>
              <w:t>administrative </w:t>
            </w:r>
            <w:r>
              <w:rPr>
                <w:color w:val="262526"/>
                <w:spacing w:val="-3"/>
                <w:sz w:val="20"/>
              </w:rPr>
              <w:t>efficiency.</w:t>
            </w:r>
          </w:p>
          <w:p>
            <w:pPr>
              <w:pStyle w:val="TableParagraph"/>
              <w:spacing w:line="278" w:lineRule="auto" w:before="113"/>
              <w:ind w:right="208"/>
              <w:rPr>
                <w:sz w:val="20"/>
              </w:rPr>
            </w:pPr>
            <w:r>
              <w:rPr>
                <w:color w:val="262526"/>
                <w:sz w:val="20"/>
              </w:rPr>
              <w:t>The requirement also allows AEMO to prioritise its consideration of certain risks over others. AEMO is not required to assess all risks with the same degree of rigour.</w:t>
            </w:r>
          </w:p>
        </w:tc>
      </w:tr>
      <w:tr>
        <w:trPr>
          <w:trHeight w:val="348" w:hRule="atLeast"/>
        </w:trPr>
        <w:tc>
          <w:tcPr>
            <w:tcW w:w="1765" w:type="dxa"/>
            <w:tcBorders>
              <w:top w:val="single" w:sz="8" w:space="0" w:color="262526"/>
              <w:left w:val="single" w:sz="2" w:space="0" w:color="262526"/>
              <w:bottom w:val="nil"/>
              <w:right w:val="single" w:sz="2" w:space="0" w:color="262526"/>
            </w:tcBorders>
          </w:tcPr>
          <w:p>
            <w:pPr>
              <w:pStyle w:val="TableParagraph"/>
              <w:ind w:left="0"/>
              <w:rPr>
                <w:rFonts w:ascii="Times New Roman"/>
                <w:sz w:val="18"/>
              </w:rPr>
            </w:pPr>
          </w:p>
        </w:tc>
        <w:tc>
          <w:tcPr>
            <w:tcW w:w="3541" w:type="dxa"/>
            <w:tcBorders>
              <w:top w:val="single" w:sz="8" w:space="0" w:color="262526"/>
              <w:left w:val="single" w:sz="2" w:space="0" w:color="262526"/>
              <w:bottom w:val="nil"/>
              <w:right w:val="single" w:sz="2" w:space="0" w:color="262526"/>
            </w:tcBorders>
          </w:tcPr>
          <w:p>
            <w:pPr>
              <w:pStyle w:val="TableParagraph"/>
              <w:spacing w:before="13"/>
              <w:rPr>
                <w:sz w:val="20"/>
              </w:rPr>
            </w:pPr>
            <w:r>
              <w:rPr>
                <w:color w:val="262526"/>
                <w:sz w:val="20"/>
              </w:rPr>
              <w:t>AEMO must:</w:t>
            </w:r>
          </w:p>
        </w:tc>
        <w:tc>
          <w:tcPr>
            <w:tcW w:w="3048" w:type="dxa"/>
            <w:tcBorders>
              <w:top w:val="single" w:sz="8" w:space="0" w:color="262526"/>
              <w:left w:val="single" w:sz="2" w:space="0" w:color="262526"/>
              <w:bottom w:val="nil"/>
              <w:right w:val="single" w:sz="2" w:space="0" w:color="262526"/>
            </w:tcBorders>
          </w:tcPr>
          <w:p>
            <w:pPr>
              <w:pStyle w:val="TableParagraph"/>
              <w:ind w:left="0"/>
              <w:rPr>
                <w:rFonts w:ascii="Times New Roman"/>
                <w:sz w:val="18"/>
              </w:rPr>
            </w:pPr>
          </w:p>
        </w:tc>
      </w:tr>
      <w:tr>
        <w:trPr>
          <w:trHeight w:val="673" w:hRule="atLeast"/>
        </w:trPr>
        <w:tc>
          <w:tcPr>
            <w:tcW w:w="1765" w:type="dxa"/>
            <w:tcBorders>
              <w:top w:val="nil"/>
              <w:left w:val="single" w:sz="2" w:space="0" w:color="262526"/>
              <w:bottom w:val="nil"/>
              <w:right w:val="single" w:sz="2" w:space="0" w:color="262526"/>
            </w:tcBorders>
          </w:tcPr>
          <w:p>
            <w:pPr>
              <w:pStyle w:val="TableParagraph"/>
              <w:ind w:left="0"/>
              <w:rPr>
                <w:rFonts w:ascii="Times New Roman"/>
                <w:sz w:val="18"/>
              </w:rPr>
            </w:pPr>
          </w:p>
        </w:tc>
        <w:tc>
          <w:tcPr>
            <w:tcW w:w="3541" w:type="dxa"/>
            <w:tcBorders>
              <w:top w:val="nil"/>
              <w:left w:val="single" w:sz="2" w:space="0" w:color="262526"/>
              <w:bottom w:val="nil"/>
              <w:right w:val="single" w:sz="2" w:space="0" w:color="262526"/>
            </w:tcBorders>
          </w:tcPr>
          <w:p>
            <w:pPr>
              <w:pStyle w:val="TableParagraph"/>
              <w:spacing w:line="278" w:lineRule="auto" w:before="58"/>
              <w:ind w:right="369"/>
              <w:rPr>
                <w:sz w:val="20"/>
              </w:rPr>
            </w:pPr>
            <w:r>
              <w:rPr>
                <w:color w:val="262526"/>
                <w:sz w:val="20"/>
              </w:rPr>
              <w:t>1. undertake a GPSRR no less than annually</w:t>
            </w:r>
          </w:p>
        </w:tc>
        <w:tc>
          <w:tcPr>
            <w:tcW w:w="3048" w:type="dxa"/>
            <w:tcBorders>
              <w:top w:val="nil"/>
              <w:left w:val="single" w:sz="2" w:space="0" w:color="262526"/>
              <w:bottom w:val="nil"/>
              <w:right w:val="single" w:sz="2" w:space="0" w:color="262526"/>
            </w:tcBorders>
          </w:tcPr>
          <w:p>
            <w:pPr>
              <w:pStyle w:val="TableParagraph"/>
              <w:ind w:left="0"/>
              <w:rPr>
                <w:rFonts w:ascii="Times New Roman"/>
                <w:sz w:val="18"/>
              </w:rPr>
            </w:pPr>
          </w:p>
        </w:tc>
      </w:tr>
      <w:tr>
        <w:trPr>
          <w:trHeight w:val="953" w:hRule="atLeast"/>
        </w:trPr>
        <w:tc>
          <w:tcPr>
            <w:tcW w:w="1765" w:type="dxa"/>
            <w:tcBorders>
              <w:top w:val="nil"/>
              <w:left w:val="single" w:sz="2" w:space="0" w:color="262526"/>
              <w:bottom w:val="nil"/>
              <w:right w:val="single" w:sz="2" w:space="0" w:color="262526"/>
            </w:tcBorders>
          </w:tcPr>
          <w:p>
            <w:pPr>
              <w:pStyle w:val="TableParagraph"/>
              <w:ind w:left="0"/>
              <w:rPr>
                <w:rFonts w:ascii="Times New Roman"/>
                <w:sz w:val="18"/>
              </w:rPr>
            </w:pPr>
          </w:p>
        </w:tc>
        <w:tc>
          <w:tcPr>
            <w:tcW w:w="3541" w:type="dxa"/>
            <w:tcBorders>
              <w:top w:val="nil"/>
              <w:left w:val="single" w:sz="2" w:space="0" w:color="262526"/>
              <w:bottom w:val="nil"/>
              <w:right w:val="single" w:sz="2" w:space="0" w:color="262526"/>
            </w:tcBorders>
          </w:tcPr>
          <w:p>
            <w:pPr>
              <w:pStyle w:val="TableParagraph"/>
              <w:spacing w:line="278" w:lineRule="auto" w:before="58"/>
              <w:ind w:right="66"/>
              <w:rPr>
                <w:sz w:val="20"/>
              </w:rPr>
            </w:pPr>
            <w:r>
              <w:rPr>
                <w:color w:val="262526"/>
                <w:sz w:val="20"/>
              </w:rPr>
              <w:t>2. consult with, and take into account, the views of relevant TNSPs and DNSPs in the conduct of a GPSRR</w:t>
            </w:r>
          </w:p>
        </w:tc>
        <w:tc>
          <w:tcPr>
            <w:tcW w:w="3048" w:type="dxa"/>
            <w:tcBorders>
              <w:top w:val="nil"/>
              <w:left w:val="single" w:sz="2" w:space="0" w:color="262526"/>
              <w:bottom w:val="nil"/>
              <w:right w:val="single" w:sz="2" w:space="0" w:color="262526"/>
            </w:tcBorders>
          </w:tcPr>
          <w:p>
            <w:pPr>
              <w:pStyle w:val="TableParagraph"/>
              <w:ind w:left="0"/>
              <w:rPr>
                <w:rFonts w:ascii="Times New Roman"/>
                <w:sz w:val="18"/>
              </w:rPr>
            </w:pPr>
          </w:p>
        </w:tc>
      </w:tr>
      <w:tr>
        <w:trPr>
          <w:trHeight w:val="2831" w:hRule="atLeast"/>
        </w:trPr>
        <w:tc>
          <w:tcPr>
            <w:tcW w:w="1765" w:type="dxa"/>
            <w:tcBorders>
              <w:top w:val="nil"/>
              <w:left w:val="single" w:sz="2" w:space="0" w:color="262526"/>
              <w:bottom w:val="nil"/>
              <w:right w:val="single" w:sz="2" w:space="0" w:color="262526"/>
            </w:tcBorders>
          </w:tcPr>
          <w:p>
            <w:pPr>
              <w:pStyle w:val="TableParagraph"/>
              <w:ind w:left="0"/>
              <w:rPr>
                <w:rFonts w:ascii="Trebuchet MS"/>
                <w:b/>
                <w:sz w:val="30"/>
              </w:rPr>
            </w:pPr>
          </w:p>
          <w:p>
            <w:pPr>
              <w:pStyle w:val="TableParagraph"/>
              <w:ind w:left="0"/>
              <w:rPr>
                <w:rFonts w:ascii="Trebuchet MS"/>
                <w:b/>
                <w:sz w:val="30"/>
              </w:rPr>
            </w:pPr>
          </w:p>
          <w:p>
            <w:pPr>
              <w:pStyle w:val="TableParagraph"/>
              <w:spacing w:before="5"/>
              <w:ind w:left="0"/>
              <w:rPr>
                <w:rFonts w:ascii="Trebuchet MS"/>
                <w:b/>
                <w:sz w:val="41"/>
              </w:rPr>
            </w:pPr>
          </w:p>
          <w:p>
            <w:pPr>
              <w:pStyle w:val="TableParagraph"/>
              <w:spacing w:line="278" w:lineRule="auto"/>
              <w:ind w:right="173"/>
              <w:rPr>
                <w:b/>
                <w:sz w:val="20"/>
              </w:rPr>
            </w:pPr>
            <w:r>
              <w:rPr>
                <w:b/>
                <w:color w:val="262526"/>
                <w:sz w:val="20"/>
              </w:rPr>
              <w:t>Process for the GPSRR</w:t>
            </w:r>
          </w:p>
        </w:tc>
        <w:tc>
          <w:tcPr>
            <w:tcW w:w="3541" w:type="dxa"/>
            <w:tcBorders>
              <w:top w:val="nil"/>
              <w:left w:val="single" w:sz="2" w:space="0" w:color="262526"/>
              <w:bottom w:val="nil"/>
              <w:right w:val="single" w:sz="2" w:space="0" w:color="262526"/>
            </w:tcBorders>
          </w:tcPr>
          <w:p>
            <w:pPr>
              <w:pStyle w:val="TableParagraph"/>
              <w:spacing w:line="278" w:lineRule="auto" w:before="58"/>
              <w:ind w:right="294"/>
              <w:rPr>
                <w:sz w:val="20"/>
              </w:rPr>
            </w:pPr>
            <w:r>
              <w:rPr>
                <w:color w:val="262526"/>
                <w:sz w:val="20"/>
              </w:rPr>
              <w:t>3. publish an approach paper at the commencement of the review specifying:</w:t>
            </w:r>
          </w:p>
          <w:p>
            <w:pPr>
              <w:pStyle w:val="TableParagraph"/>
              <w:numPr>
                <w:ilvl w:val="0"/>
                <w:numId w:val="15"/>
              </w:numPr>
              <w:tabs>
                <w:tab w:pos="401" w:val="left" w:leader="none"/>
                <w:tab w:pos="402" w:val="left" w:leader="none"/>
              </w:tabs>
              <w:spacing w:line="278" w:lineRule="auto" w:before="113" w:after="0"/>
              <w:ind w:left="401" w:right="828" w:hanging="341"/>
              <w:jc w:val="left"/>
              <w:rPr>
                <w:sz w:val="20"/>
              </w:rPr>
            </w:pPr>
            <w:r>
              <w:rPr>
                <w:color w:val="262526"/>
                <w:sz w:val="20"/>
              </w:rPr>
              <w:t>priorities in the risks to be assessed</w:t>
            </w:r>
          </w:p>
          <w:p>
            <w:pPr>
              <w:pStyle w:val="TableParagraph"/>
              <w:numPr>
                <w:ilvl w:val="0"/>
                <w:numId w:val="15"/>
              </w:numPr>
              <w:tabs>
                <w:tab w:pos="401" w:val="left" w:leader="none"/>
                <w:tab w:pos="402" w:val="left" w:leader="none"/>
              </w:tabs>
              <w:spacing w:line="278" w:lineRule="auto" w:before="57" w:after="0"/>
              <w:ind w:left="401" w:right="234" w:hanging="341"/>
              <w:jc w:val="left"/>
              <w:rPr>
                <w:sz w:val="20"/>
              </w:rPr>
            </w:pPr>
            <w:r>
              <w:rPr>
                <w:color w:val="262526"/>
                <w:sz w:val="20"/>
              </w:rPr>
              <w:t>the approach and </w:t>
            </w:r>
            <w:r>
              <w:rPr>
                <w:color w:val="262526"/>
                <w:spacing w:val="-2"/>
                <w:sz w:val="20"/>
              </w:rPr>
              <w:t>methodologies </w:t>
            </w:r>
            <w:r>
              <w:rPr>
                <w:color w:val="262526"/>
                <w:sz w:val="20"/>
              </w:rPr>
              <w:t>used in assessing each</w:t>
            </w:r>
            <w:r>
              <w:rPr>
                <w:color w:val="262526"/>
                <w:spacing w:val="-4"/>
                <w:sz w:val="20"/>
              </w:rPr>
              <w:t> </w:t>
            </w:r>
            <w:r>
              <w:rPr>
                <w:color w:val="262526"/>
                <w:sz w:val="20"/>
              </w:rPr>
              <w:t>risk</w:t>
            </w:r>
          </w:p>
          <w:p>
            <w:pPr>
              <w:pStyle w:val="TableParagraph"/>
              <w:numPr>
                <w:ilvl w:val="0"/>
                <w:numId w:val="15"/>
              </w:numPr>
              <w:tabs>
                <w:tab w:pos="401" w:val="left" w:leader="none"/>
                <w:tab w:pos="402" w:val="left" w:leader="none"/>
              </w:tabs>
              <w:spacing w:line="278" w:lineRule="auto" w:before="56" w:after="0"/>
              <w:ind w:left="401" w:right="1106" w:hanging="341"/>
              <w:jc w:val="left"/>
              <w:rPr>
                <w:sz w:val="20"/>
              </w:rPr>
            </w:pPr>
            <w:r>
              <w:rPr>
                <w:color w:val="262526"/>
                <w:sz w:val="20"/>
              </w:rPr>
              <w:t>information inputs and assumptions used,</w:t>
            </w:r>
            <w:r>
              <w:rPr>
                <w:color w:val="262526"/>
                <w:spacing w:val="1"/>
                <w:sz w:val="20"/>
              </w:rPr>
              <w:t> </w:t>
            </w:r>
            <w:r>
              <w:rPr>
                <w:color w:val="262526"/>
                <w:spacing w:val="-6"/>
                <w:sz w:val="20"/>
              </w:rPr>
              <w:t>and</w:t>
            </w:r>
          </w:p>
        </w:tc>
        <w:tc>
          <w:tcPr>
            <w:tcW w:w="3048" w:type="dxa"/>
            <w:tcBorders>
              <w:top w:val="nil"/>
              <w:left w:val="single" w:sz="2" w:space="0" w:color="262526"/>
              <w:bottom w:val="nil"/>
              <w:right w:val="single" w:sz="2" w:space="0" w:color="262526"/>
            </w:tcBorders>
          </w:tcPr>
          <w:p>
            <w:pPr>
              <w:pStyle w:val="TableParagraph"/>
              <w:spacing w:before="1"/>
              <w:ind w:left="0"/>
              <w:rPr>
                <w:rFonts w:ascii="Trebuchet MS"/>
                <w:b/>
                <w:sz w:val="29"/>
              </w:rPr>
            </w:pPr>
          </w:p>
          <w:p>
            <w:pPr>
              <w:pStyle w:val="TableParagraph"/>
              <w:spacing w:line="278" w:lineRule="auto"/>
              <w:ind w:right="46"/>
              <w:rPr>
                <w:sz w:val="20"/>
              </w:rPr>
            </w:pPr>
            <w:r>
              <w:rPr>
                <w:color w:val="262526"/>
                <w:sz w:val="20"/>
              </w:rPr>
              <w:t>This obligation reflects the proposed rule but removes the requirement for submissions to be written. This change was made to provide AEMO and stakeholders with some flexibility in relation to the consultation process.</w:t>
            </w:r>
          </w:p>
        </w:tc>
      </w:tr>
      <w:tr>
        <w:trPr>
          <w:trHeight w:val="896" w:hRule="atLeast"/>
        </w:trPr>
        <w:tc>
          <w:tcPr>
            <w:tcW w:w="1765" w:type="dxa"/>
            <w:tcBorders>
              <w:top w:val="nil"/>
              <w:left w:val="single" w:sz="2" w:space="0" w:color="262526"/>
              <w:bottom w:val="nil"/>
              <w:right w:val="single" w:sz="2" w:space="0" w:color="262526"/>
            </w:tcBorders>
          </w:tcPr>
          <w:p>
            <w:pPr>
              <w:pStyle w:val="TableParagraph"/>
              <w:ind w:left="0"/>
              <w:rPr>
                <w:rFonts w:ascii="Times New Roman"/>
                <w:sz w:val="18"/>
              </w:rPr>
            </w:pPr>
          </w:p>
        </w:tc>
        <w:tc>
          <w:tcPr>
            <w:tcW w:w="3541" w:type="dxa"/>
            <w:tcBorders>
              <w:top w:val="nil"/>
              <w:left w:val="single" w:sz="2" w:space="0" w:color="262526"/>
              <w:bottom w:val="nil"/>
              <w:right w:val="single" w:sz="2" w:space="0" w:color="262526"/>
            </w:tcBorders>
          </w:tcPr>
          <w:p>
            <w:pPr>
              <w:pStyle w:val="TableParagraph"/>
              <w:numPr>
                <w:ilvl w:val="0"/>
                <w:numId w:val="16"/>
              </w:numPr>
              <w:tabs>
                <w:tab w:pos="401" w:val="left" w:leader="none"/>
                <w:tab w:pos="402" w:val="left" w:leader="none"/>
              </w:tabs>
              <w:spacing w:line="278" w:lineRule="auto" w:before="29" w:after="0"/>
              <w:ind w:left="401" w:right="371" w:hanging="341"/>
              <w:jc w:val="left"/>
              <w:rPr>
                <w:sz w:val="20"/>
              </w:rPr>
            </w:pPr>
            <w:r>
              <w:rPr>
                <w:color w:val="262526"/>
                <w:sz w:val="20"/>
              </w:rPr>
              <w:t>AEMO’s approach to</w:t>
            </w:r>
            <w:r>
              <w:rPr>
                <w:color w:val="262526"/>
                <w:spacing w:val="-19"/>
                <w:sz w:val="20"/>
              </w:rPr>
              <w:t> </w:t>
            </w:r>
            <w:r>
              <w:rPr>
                <w:color w:val="262526"/>
                <w:sz w:val="20"/>
              </w:rPr>
              <w:t>interacting with TNSPs and DNSPs in conducting the</w:t>
            </w:r>
            <w:r>
              <w:rPr>
                <w:color w:val="262526"/>
                <w:spacing w:val="-5"/>
                <w:sz w:val="20"/>
              </w:rPr>
              <w:t> </w:t>
            </w:r>
            <w:r>
              <w:rPr>
                <w:color w:val="262526"/>
                <w:sz w:val="20"/>
              </w:rPr>
              <w:t>review</w:t>
            </w:r>
          </w:p>
        </w:tc>
        <w:tc>
          <w:tcPr>
            <w:tcW w:w="3048" w:type="dxa"/>
            <w:tcBorders>
              <w:top w:val="nil"/>
              <w:left w:val="single" w:sz="2" w:space="0" w:color="262526"/>
              <w:bottom w:val="nil"/>
              <w:right w:val="single" w:sz="2" w:space="0" w:color="262526"/>
            </w:tcBorders>
          </w:tcPr>
          <w:p>
            <w:pPr>
              <w:pStyle w:val="TableParagraph"/>
              <w:ind w:left="0"/>
              <w:rPr>
                <w:rFonts w:ascii="Times New Roman"/>
                <w:sz w:val="18"/>
              </w:rPr>
            </w:pPr>
          </w:p>
        </w:tc>
      </w:tr>
      <w:tr>
        <w:trPr>
          <w:trHeight w:val="1171" w:hRule="atLeast"/>
        </w:trPr>
        <w:tc>
          <w:tcPr>
            <w:tcW w:w="1765" w:type="dxa"/>
            <w:tcBorders>
              <w:top w:val="nil"/>
              <w:left w:val="single" w:sz="2" w:space="0" w:color="262526"/>
              <w:bottom w:val="single" w:sz="8" w:space="0" w:color="262526"/>
              <w:right w:val="single" w:sz="2" w:space="0" w:color="262526"/>
            </w:tcBorders>
          </w:tcPr>
          <w:p>
            <w:pPr>
              <w:pStyle w:val="TableParagraph"/>
              <w:ind w:left="0"/>
              <w:rPr>
                <w:rFonts w:ascii="Times New Roman"/>
                <w:sz w:val="18"/>
              </w:rPr>
            </w:pPr>
          </w:p>
        </w:tc>
        <w:tc>
          <w:tcPr>
            <w:tcW w:w="3541" w:type="dxa"/>
            <w:tcBorders>
              <w:top w:val="nil"/>
              <w:left w:val="single" w:sz="2" w:space="0" w:color="262526"/>
              <w:bottom w:val="single" w:sz="8" w:space="0" w:color="262526"/>
              <w:right w:val="single" w:sz="2" w:space="0" w:color="262526"/>
            </w:tcBorders>
          </w:tcPr>
          <w:p>
            <w:pPr>
              <w:pStyle w:val="TableParagraph"/>
              <w:spacing w:line="278" w:lineRule="auto" w:before="29"/>
              <w:rPr>
                <w:sz w:val="20"/>
              </w:rPr>
            </w:pPr>
            <w:r>
              <w:rPr>
                <w:color w:val="262526"/>
                <w:sz w:val="20"/>
              </w:rPr>
              <w:t>4. invite submissions to be made for a period of at least 10 days following publication of the GPSRR approach paper.</w:t>
            </w:r>
          </w:p>
        </w:tc>
        <w:tc>
          <w:tcPr>
            <w:tcW w:w="3048" w:type="dxa"/>
            <w:tcBorders>
              <w:top w:val="nil"/>
              <w:left w:val="single" w:sz="2" w:space="0" w:color="262526"/>
              <w:bottom w:val="single" w:sz="8" w:space="0" w:color="262526"/>
              <w:right w:val="single" w:sz="2" w:space="0" w:color="262526"/>
            </w:tcBorders>
          </w:tcPr>
          <w:p>
            <w:pPr>
              <w:pStyle w:val="TableParagraph"/>
              <w:ind w:left="0"/>
              <w:rPr>
                <w:rFonts w:ascii="Times New Roman"/>
                <w:sz w:val="18"/>
              </w:rPr>
            </w:pPr>
          </w:p>
        </w:tc>
      </w:tr>
      <w:tr>
        <w:trPr>
          <w:trHeight w:val="677" w:hRule="atLeast"/>
        </w:trPr>
        <w:tc>
          <w:tcPr>
            <w:tcW w:w="1765" w:type="dxa"/>
            <w:tcBorders>
              <w:top w:val="single" w:sz="8" w:space="0" w:color="262526"/>
              <w:left w:val="single" w:sz="2" w:space="0" w:color="262526"/>
              <w:bottom w:val="single" w:sz="12" w:space="0" w:color="262526"/>
              <w:right w:val="single" w:sz="2" w:space="0" w:color="262526"/>
            </w:tcBorders>
          </w:tcPr>
          <w:p>
            <w:pPr>
              <w:pStyle w:val="TableParagraph"/>
              <w:spacing w:line="278" w:lineRule="auto" w:before="55"/>
              <w:ind w:right="129"/>
              <w:rPr>
                <w:b/>
                <w:sz w:val="20"/>
              </w:rPr>
            </w:pPr>
            <w:r>
              <w:rPr>
                <w:b/>
                <w:color w:val="262526"/>
                <w:sz w:val="20"/>
              </w:rPr>
              <w:t>Coordination and integration</w:t>
            </w:r>
          </w:p>
        </w:tc>
        <w:tc>
          <w:tcPr>
            <w:tcW w:w="3541" w:type="dxa"/>
            <w:tcBorders>
              <w:top w:val="single" w:sz="8" w:space="0" w:color="262526"/>
              <w:left w:val="single" w:sz="2" w:space="0" w:color="262526"/>
              <w:bottom w:val="single" w:sz="12" w:space="0" w:color="262526"/>
              <w:right w:val="single" w:sz="2" w:space="0" w:color="262526"/>
            </w:tcBorders>
          </w:tcPr>
          <w:p>
            <w:pPr>
              <w:pStyle w:val="TableParagraph"/>
              <w:spacing w:line="278" w:lineRule="auto" w:before="55"/>
              <w:ind w:right="566"/>
              <w:rPr>
                <w:sz w:val="20"/>
              </w:rPr>
            </w:pPr>
            <w:r>
              <w:rPr>
                <w:color w:val="262526"/>
                <w:sz w:val="20"/>
              </w:rPr>
              <w:t>1. NSPs, in their annual planning reviews, must</w:t>
            </w:r>
          </w:p>
        </w:tc>
        <w:tc>
          <w:tcPr>
            <w:tcW w:w="3048" w:type="dxa"/>
            <w:tcBorders>
              <w:top w:val="single" w:sz="8" w:space="0" w:color="262526"/>
              <w:left w:val="single" w:sz="2" w:space="0" w:color="262526"/>
              <w:bottom w:val="single" w:sz="12" w:space="0" w:color="262526"/>
              <w:right w:val="single" w:sz="2" w:space="0" w:color="262526"/>
            </w:tcBorders>
          </w:tcPr>
          <w:p>
            <w:pPr>
              <w:pStyle w:val="TableParagraph"/>
              <w:spacing w:line="278" w:lineRule="auto" w:before="55"/>
              <w:ind w:right="438"/>
              <w:rPr>
                <w:sz w:val="20"/>
              </w:rPr>
            </w:pPr>
            <w:r>
              <w:rPr>
                <w:color w:val="262526"/>
                <w:sz w:val="20"/>
              </w:rPr>
              <w:t>These requirements largely reflect the proposed rule but</w:t>
            </w:r>
          </w:p>
        </w:tc>
      </w:tr>
    </w:tbl>
    <w:p>
      <w:pPr>
        <w:spacing w:after="0" w:line="278" w:lineRule="auto"/>
        <w:rPr>
          <w:sz w:val="20"/>
        </w:rPr>
        <w:sectPr>
          <w:pgSz w:w="11910" w:h="16840"/>
          <w:pgMar w:header="808" w:footer="767" w:top="1460" w:bottom="960" w:left="0" w:right="740"/>
        </w:sect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sz w:val="26"/>
        </w:rPr>
      </w:pPr>
    </w:p>
    <w:tbl>
      <w:tblPr>
        <w:tblW w:w="0" w:type="auto"/>
        <w:jc w:val="left"/>
        <w:tblInd w:w="2697" w:type="dxa"/>
        <w:tblBorders>
          <w:top w:val="single" w:sz="4" w:space="0" w:color="00ACEC"/>
          <w:left w:val="single" w:sz="4" w:space="0" w:color="00ACEC"/>
          <w:bottom w:val="single" w:sz="4" w:space="0" w:color="00ACEC"/>
          <w:right w:val="single" w:sz="4" w:space="0" w:color="00ACEC"/>
          <w:insideH w:val="single" w:sz="4" w:space="0" w:color="00ACEC"/>
          <w:insideV w:val="single" w:sz="4" w:space="0" w:color="00ACEC"/>
        </w:tblBorders>
        <w:tblLayout w:type="fixed"/>
        <w:tblCellMar>
          <w:top w:w="0" w:type="dxa"/>
          <w:left w:w="0" w:type="dxa"/>
          <w:bottom w:w="0" w:type="dxa"/>
          <w:right w:w="0" w:type="dxa"/>
        </w:tblCellMar>
        <w:tblLook w:val="01E0"/>
      </w:tblPr>
      <w:tblGrid>
        <w:gridCol w:w="1765"/>
        <w:gridCol w:w="3541"/>
        <w:gridCol w:w="3048"/>
      </w:tblGrid>
      <w:tr>
        <w:trPr>
          <w:trHeight w:val="593" w:hRule="atLeast"/>
        </w:trPr>
        <w:tc>
          <w:tcPr>
            <w:tcW w:w="1765" w:type="dxa"/>
            <w:tcBorders>
              <w:left w:val="single" w:sz="2" w:space="0" w:color="262526"/>
              <w:bottom w:val="single" w:sz="8" w:space="0" w:color="00ACEC"/>
              <w:right w:val="single" w:sz="2" w:space="0" w:color="262526"/>
            </w:tcBorders>
          </w:tcPr>
          <w:p>
            <w:pPr>
              <w:pStyle w:val="TableParagraph"/>
              <w:spacing w:line="278" w:lineRule="auto" w:before="12"/>
              <w:ind w:right="643"/>
              <w:rPr>
                <w:b/>
                <w:sz w:val="20"/>
              </w:rPr>
            </w:pPr>
            <w:bookmarkStart w:name="2.2 Rule making test " w:id="25"/>
            <w:bookmarkEnd w:id="25"/>
            <w:r>
              <w:rPr/>
            </w:r>
            <w:bookmarkStart w:name="_bookmark6" w:id="26"/>
            <w:bookmarkEnd w:id="26"/>
            <w:r>
              <w:rPr/>
            </w:r>
            <w:r>
              <w:rPr>
                <w:b/>
                <w:color w:val="00ACEC"/>
                <w:sz w:val="20"/>
              </w:rPr>
              <w:t>RULE ELE- MENTS</w:t>
            </w:r>
          </w:p>
        </w:tc>
        <w:tc>
          <w:tcPr>
            <w:tcW w:w="3541" w:type="dxa"/>
            <w:tcBorders>
              <w:left w:val="single" w:sz="2" w:space="0" w:color="262526"/>
              <w:bottom w:val="single" w:sz="8" w:space="0" w:color="00ACEC"/>
              <w:right w:val="single" w:sz="2" w:space="0" w:color="262526"/>
            </w:tcBorders>
          </w:tcPr>
          <w:p>
            <w:pPr>
              <w:pStyle w:val="TableParagraph"/>
              <w:spacing w:before="152"/>
              <w:rPr>
                <w:b/>
                <w:sz w:val="20"/>
              </w:rPr>
            </w:pPr>
            <w:r>
              <w:rPr>
                <w:b/>
                <w:color w:val="00ACEC"/>
                <w:sz w:val="20"/>
              </w:rPr>
              <w:t>DRAFT RULE REQUIREMENTS</w:t>
            </w:r>
          </w:p>
        </w:tc>
        <w:tc>
          <w:tcPr>
            <w:tcW w:w="3048" w:type="dxa"/>
            <w:tcBorders>
              <w:left w:val="single" w:sz="2" w:space="0" w:color="262526"/>
              <w:bottom w:val="single" w:sz="8" w:space="0" w:color="00ACEC"/>
              <w:right w:val="single" w:sz="2" w:space="0" w:color="262526"/>
            </w:tcBorders>
          </w:tcPr>
          <w:p>
            <w:pPr>
              <w:pStyle w:val="TableParagraph"/>
              <w:spacing w:line="278" w:lineRule="auto" w:before="12"/>
              <w:ind w:right="457"/>
              <w:rPr>
                <w:b/>
                <w:sz w:val="20"/>
              </w:rPr>
            </w:pPr>
            <w:r>
              <w:rPr>
                <w:b/>
                <w:color w:val="00ACEC"/>
                <w:sz w:val="20"/>
              </w:rPr>
              <w:t>COMPARISON WITH THE PROPOSED RULE</w:t>
            </w:r>
          </w:p>
        </w:tc>
      </w:tr>
      <w:tr>
        <w:trPr>
          <w:trHeight w:val="4627" w:hRule="atLeast"/>
        </w:trPr>
        <w:tc>
          <w:tcPr>
            <w:tcW w:w="1765" w:type="dxa"/>
            <w:tcBorders>
              <w:top w:val="single" w:sz="8" w:space="0" w:color="00ACEC"/>
              <w:left w:val="single" w:sz="2" w:space="0" w:color="262526"/>
              <w:bottom w:val="single" w:sz="8" w:space="0" w:color="262526"/>
              <w:right w:val="single" w:sz="2" w:space="0" w:color="262526"/>
            </w:tcBorders>
          </w:tcPr>
          <w:p>
            <w:pPr>
              <w:pStyle w:val="TableParagraph"/>
              <w:ind w:left="0"/>
              <w:rPr>
                <w:rFonts w:ascii="Times New Roman"/>
                <w:sz w:val="18"/>
              </w:rPr>
            </w:pPr>
          </w:p>
        </w:tc>
        <w:tc>
          <w:tcPr>
            <w:tcW w:w="3541" w:type="dxa"/>
            <w:tcBorders>
              <w:top w:val="single" w:sz="8" w:space="0" w:color="00ACEC"/>
              <w:left w:val="single" w:sz="2" w:space="0" w:color="262526"/>
              <w:bottom w:val="single" w:sz="8" w:space="0" w:color="262526"/>
              <w:right w:val="single" w:sz="2" w:space="0" w:color="262526"/>
            </w:tcBorders>
          </w:tcPr>
          <w:p>
            <w:pPr>
              <w:pStyle w:val="TableParagraph"/>
              <w:numPr>
                <w:ilvl w:val="0"/>
                <w:numId w:val="17"/>
              </w:numPr>
              <w:tabs>
                <w:tab w:pos="401" w:val="left" w:leader="none"/>
                <w:tab w:pos="402" w:val="left" w:leader="none"/>
              </w:tabs>
              <w:spacing w:line="278" w:lineRule="auto" w:before="13" w:after="0"/>
              <w:ind w:left="401" w:right="352" w:hanging="341"/>
              <w:jc w:val="left"/>
              <w:rPr>
                <w:sz w:val="20"/>
              </w:rPr>
            </w:pPr>
            <w:r>
              <w:rPr>
                <w:color w:val="262526"/>
                <w:sz w:val="20"/>
              </w:rPr>
              <w:t>take into account the</w:t>
            </w:r>
            <w:r>
              <w:rPr>
                <w:color w:val="262526"/>
                <w:spacing w:val="-16"/>
                <w:sz w:val="20"/>
              </w:rPr>
              <w:t> </w:t>
            </w:r>
            <w:r>
              <w:rPr>
                <w:color w:val="262526"/>
                <w:sz w:val="20"/>
              </w:rPr>
              <w:t>outcomes from the recent</w:t>
            </w:r>
            <w:r>
              <w:rPr>
                <w:color w:val="262526"/>
                <w:spacing w:val="-6"/>
                <w:sz w:val="20"/>
              </w:rPr>
              <w:t> </w:t>
            </w:r>
            <w:r>
              <w:rPr>
                <w:color w:val="262526"/>
                <w:sz w:val="20"/>
              </w:rPr>
              <w:t>GPSRR</w:t>
            </w:r>
          </w:p>
          <w:p>
            <w:pPr>
              <w:pStyle w:val="TableParagraph"/>
              <w:numPr>
                <w:ilvl w:val="0"/>
                <w:numId w:val="17"/>
              </w:numPr>
              <w:tabs>
                <w:tab w:pos="401" w:val="left" w:leader="none"/>
                <w:tab w:pos="402" w:val="left" w:leader="none"/>
              </w:tabs>
              <w:spacing w:line="278" w:lineRule="auto" w:before="56" w:after="0"/>
              <w:ind w:left="401" w:right="98" w:hanging="341"/>
              <w:jc w:val="left"/>
              <w:rPr>
                <w:sz w:val="20"/>
              </w:rPr>
            </w:pPr>
            <w:r>
              <w:rPr>
                <w:color w:val="262526"/>
                <w:sz w:val="20"/>
              </w:rPr>
              <w:t>conduct a review </w:t>
            </w:r>
            <w:r>
              <w:rPr>
                <w:color w:val="262526"/>
                <w:spacing w:val="-6"/>
                <w:sz w:val="20"/>
              </w:rPr>
              <w:t>of, </w:t>
            </w:r>
            <w:r>
              <w:rPr>
                <w:color w:val="262526"/>
                <w:sz w:val="20"/>
              </w:rPr>
              <w:t>and interactions between, emergency frequency control schemes or emergency controls on their network, and the settings of protection systems or control systems of plant connected to their networks (including consideration of whether such settings are fit for purpose for the future operation of their</w:t>
            </w:r>
            <w:r>
              <w:rPr>
                <w:color w:val="262526"/>
                <w:spacing w:val="-15"/>
                <w:sz w:val="20"/>
              </w:rPr>
              <w:t> </w:t>
            </w:r>
            <w:r>
              <w:rPr>
                <w:color w:val="262526"/>
                <w:sz w:val="20"/>
              </w:rPr>
              <w:t>network).</w:t>
            </w:r>
          </w:p>
          <w:p>
            <w:pPr>
              <w:pStyle w:val="TableParagraph"/>
              <w:spacing w:line="278" w:lineRule="auto" w:before="57"/>
              <w:ind w:right="135"/>
              <w:rPr>
                <w:sz w:val="20"/>
              </w:rPr>
            </w:pPr>
            <w:r>
              <w:rPr>
                <w:color w:val="262526"/>
                <w:sz w:val="20"/>
              </w:rPr>
              <w:t>2. AEMO must consider and have regard to the outcomes of the GPSRR in conducting the ISP.</w:t>
            </w:r>
          </w:p>
        </w:tc>
        <w:tc>
          <w:tcPr>
            <w:tcW w:w="3048" w:type="dxa"/>
            <w:tcBorders>
              <w:top w:val="single" w:sz="8" w:space="0" w:color="00ACEC"/>
              <w:left w:val="single" w:sz="2" w:space="0" w:color="262526"/>
              <w:bottom w:val="single" w:sz="8" w:space="0" w:color="262526"/>
              <w:right w:val="single" w:sz="2" w:space="0" w:color="262526"/>
            </w:tcBorders>
          </w:tcPr>
          <w:p>
            <w:pPr>
              <w:pStyle w:val="TableParagraph"/>
              <w:spacing w:line="278" w:lineRule="auto" w:before="13"/>
              <w:ind w:right="86"/>
              <w:rPr>
                <w:sz w:val="20"/>
              </w:rPr>
            </w:pPr>
            <w:r>
              <w:rPr>
                <w:color w:val="262526"/>
                <w:sz w:val="20"/>
              </w:rPr>
              <w:t>clarify certain terms. References to “Special protection schemes” in the proposed rule have been substituted in the more preferable draft rule with “emergency frequency control schemes” and “emergency controls”. This is because these terms are used elsewhere in the NER, and special protection schemes are a subset of these schemes.</w:t>
            </w:r>
          </w:p>
        </w:tc>
      </w:tr>
      <w:tr>
        <w:trPr>
          <w:trHeight w:val="2501" w:hRule="atLeast"/>
        </w:trPr>
        <w:tc>
          <w:tcPr>
            <w:tcW w:w="1765" w:type="dxa"/>
            <w:tcBorders>
              <w:top w:val="single" w:sz="8" w:space="0" w:color="262526"/>
              <w:left w:val="single" w:sz="2" w:space="0" w:color="262526"/>
              <w:bottom w:val="single" w:sz="8" w:space="0" w:color="262526"/>
              <w:right w:val="single" w:sz="2" w:space="0" w:color="262526"/>
            </w:tcBorders>
          </w:tcPr>
          <w:p>
            <w:pPr>
              <w:pStyle w:val="TableParagraph"/>
              <w:ind w:left="0"/>
              <w:rPr>
                <w:rFonts w:ascii="Trebuchet MS"/>
                <w:b/>
                <w:sz w:val="30"/>
              </w:rPr>
            </w:pPr>
          </w:p>
          <w:p>
            <w:pPr>
              <w:pStyle w:val="TableParagraph"/>
              <w:ind w:left="0"/>
              <w:rPr>
                <w:rFonts w:ascii="Trebuchet MS"/>
                <w:b/>
                <w:sz w:val="30"/>
              </w:rPr>
            </w:pPr>
          </w:p>
          <w:p>
            <w:pPr>
              <w:pStyle w:val="TableParagraph"/>
              <w:spacing w:line="278" w:lineRule="auto" w:before="269"/>
              <w:ind w:right="60"/>
              <w:rPr>
                <w:b/>
                <w:sz w:val="20"/>
              </w:rPr>
            </w:pPr>
            <w:r>
              <w:rPr>
                <w:b/>
                <w:color w:val="262526"/>
                <w:sz w:val="20"/>
              </w:rPr>
              <w:t>New Chapter 10 terms</w:t>
            </w:r>
          </w:p>
        </w:tc>
        <w:tc>
          <w:tcPr>
            <w:tcW w:w="3541" w:type="dxa"/>
            <w:tcBorders>
              <w:top w:val="single" w:sz="8" w:space="0" w:color="262526"/>
              <w:left w:val="single" w:sz="2" w:space="0" w:color="262526"/>
              <w:bottom w:val="single" w:sz="8" w:space="0" w:color="262526"/>
              <w:right w:val="single" w:sz="2" w:space="0" w:color="262526"/>
            </w:tcBorders>
          </w:tcPr>
          <w:p>
            <w:pPr>
              <w:pStyle w:val="TableParagraph"/>
              <w:spacing w:line="278" w:lineRule="auto" w:before="13"/>
              <w:ind w:right="78"/>
              <w:rPr>
                <w:sz w:val="20"/>
              </w:rPr>
            </w:pPr>
            <w:r>
              <w:rPr>
                <w:color w:val="262526"/>
                <w:sz w:val="20"/>
              </w:rPr>
              <w:t>The General Power System Risk Review is defined in Chapter 10 of the NER as follows:</w:t>
            </w:r>
          </w:p>
          <w:p>
            <w:pPr>
              <w:pStyle w:val="TableParagraph"/>
              <w:spacing w:line="278" w:lineRule="auto" w:before="113"/>
              <w:rPr>
                <w:sz w:val="20"/>
              </w:rPr>
            </w:pPr>
            <w:r>
              <w:rPr>
                <w:color w:val="262526"/>
                <w:sz w:val="20"/>
              </w:rPr>
              <w:t>“A review described in clause 5.20A.1(c)”</w:t>
            </w:r>
          </w:p>
          <w:p>
            <w:pPr>
              <w:pStyle w:val="TableParagraph"/>
              <w:spacing w:line="278" w:lineRule="auto" w:before="113"/>
              <w:rPr>
                <w:sz w:val="20"/>
              </w:rPr>
            </w:pPr>
            <w:r>
              <w:rPr>
                <w:color w:val="262526"/>
                <w:sz w:val="20"/>
              </w:rPr>
              <w:t>The Power System Frequency Risk Review definition in Chapter 10 is omitted.</w:t>
            </w:r>
          </w:p>
        </w:tc>
        <w:tc>
          <w:tcPr>
            <w:tcW w:w="3048" w:type="dxa"/>
            <w:tcBorders>
              <w:top w:val="single" w:sz="8" w:space="0" w:color="262526"/>
              <w:left w:val="single" w:sz="2" w:space="0" w:color="262526"/>
              <w:bottom w:val="single" w:sz="8" w:space="0" w:color="262526"/>
              <w:right w:val="single" w:sz="2" w:space="0" w:color="262526"/>
            </w:tcBorders>
          </w:tcPr>
          <w:p>
            <w:pPr>
              <w:pStyle w:val="TableParagraph"/>
              <w:ind w:left="0"/>
              <w:rPr>
                <w:rFonts w:ascii="Trebuchet MS"/>
                <w:b/>
                <w:sz w:val="28"/>
              </w:rPr>
            </w:pPr>
          </w:p>
          <w:p>
            <w:pPr>
              <w:pStyle w:val="TableParagraph"/>
              <w:ind w:left="0"/>
              <w:rPr>
                <w:rFonts w:ascii="Trebuchet MS"/>
                <w:b/>
                <w:sz w:val="28"/>
              </w:rPr>
            </w:pPr>
          </w:p>
          <w:p>
            <w:pPr>
              <w:pStyle w:val="TableParagraph"/>
              <w:spacing w:line="278" w:lineRule="auto" w:before="176"/>
              <w:ind w:right="691"/>
              <w:jc w:val="both"/>
              <w:rPr>
                <w:sz w:val="20"/>
              </w:rPr>
            </w:pPr>
            <w:r>
              <w:rPr>
                <w:color w:val="262526"/>
                <w:sz w:val="20"/>
              </w:rPr>
              <w:t>The proposed rule did not include a new Chapter 10 definition.</w:t>
            </w:r>
          </w:p>
        </w:tc>
      </w:tr>
      <w:tr>
        <w:trPr>
          <w:trHeight w:val="871" w:hRule="atLeast"/>
        </w:trPr>
        <w:tc>
          <w:tcPr>
            <w:tcW w:w="1765" w:type="dxa"/>
            <w:tcBorders>
              <w:top w:val="single" w:sz="8" w:space="0" w:color="262526"/>
              <w:left w:val="single" w:sz="2" w:space="0" w:color="262526"/>
              <w:bottom w:val="single" w:sz="12" w:space="0" w:color="262526"/>
              <w:right w:val="single" w:sz="2" w:space="0" w:color="262526"/>
            </w:tcBorders>
          </w:tcPr>
          <w:p>
            <w:pPr>
              <w:pStyle w:val="TableParagraph"/>
              <w:spacing w:line="278" w:lineRule="auto" w:before="153"/>
              <w:ind w:right="269"/>
              <w:rPr>
                <w:b/>
                <w:sz w:val="20"/>
              </w:rPr>
            </w:pPr>
            <w:r>
              <w:rPr>
                <w:b/>
                <w:color w:val="262526"/>
                <w:sz w:val="20"/>
              </w:rPr>
              <w:t>Transitional arrangements</w:t>
            </w:r>
          </w:p>
        </w:tc>
        <w:tc>
          <w:tcPr>
            <w:tcW w:w="3541" w:type="dxa"/>
            <w:tcBorders>
              <w:top w:val="single" w:sz="8" w:space="0" w:color="262526"/>
              <w:left w:val="single" w:sz="2" w:space="0" w:color="262526"/>
              <w:bottom w:val="single" w:sz="12" w:space="0" w:color="262526"/>
              <w:right w:val="single" w:sz="2" w:space="0" w:color="262526"/>
            </w:tcBorders>
          </w:tcPr>
          <w:p>
            <w:pPr>
              <w:pStyle w:val="TableParagraph"/>
              <w:spacing w:before="13"/>
              <w:rPr>
                <w:sz w:val="20"/>
              </w:rPr>
            </w:pPr>
            <w:r>
              <w:rPr>
                <w:color w:val="262526"/>
                <w:sz w:val="20"/>
              </w:rPr>
              <w:t>AEMO must complete the first GPSRR</w:t>
            </w:r>
          </w:p>
          <w:p>
            <w:pPr>
              <w:pStyle w:val="TableParagraph"/>
              <w:spacing w:line="280" w:lineRule="atLeast"/>
              <w:ind w:right="948"/>
              <w:rPr>
                <w:sz w:val="20"/>
              </w:rPr>
            </w:pPr>
            <w:r>
              <w:rPr>
                <w:color w:val="262526"/>
                <w:sz w:val="20"/>
              </w:rPr>
              <w:t>within 18 months of the rule commencement date.</w:t>
            </w:r>
          </w:p>
        </w:tc>
        <w:tc>
          <w:tcPr>
            <w:tcW w:w="3048" w:type="dxa"/>
            <w:tcBorders>
              <w:top w:val="single" w:sz="8" w:space="0" w:color="262526"/>
              <w:left w:val="single" w:sz="2" w:space="0" w:color="262526"/>
              <w:bottom w:val="single" w:sz="12" w:space="0" w:color="262526"/>
              <w:right w:val="single" w:sz="2" w:space="0" w:color="262526"/>
            </w:tcBorders>
          </w:tcPr>
          <w:p>
            <w:pPr>
              <w:pStyle w:val="TableParagraph"/>
              <w:spacing w:line="278" w:lineRule="auto" w:before="153"/>
              <w:ind w:right="674"/>
              <w:rPr>
                <w:sz w:val="20"/>
              </w:rPr>
            </w:pPr>
            <w:r>
              <w:rPr>
                <w:color w:val="262526"/>
                <w:sz w:val="20"/>
              </w:rPr>
              <w:t>The proposed rule did not include transitional rules.</w:t>
            </w:r>
          </w:p>
        </w:tc>
      </w:tr>
    </w:tbl>
    <w:p>
      <w:pPr>
        <w:pStyle w:val="BodyText"/>
        <w:rPr>
          <w:rFonts w:ascii="Trebuchet MS"/>
          <w:b/>
        </w:rPr>
      </w:pPr>
    </w:p>
    <w:p>
      <w:pPr>
        <w:pStyle w:val="BodyText"/>
        <w:spacing w:before="3"/>
        <w:rPr>
          <w:rFonts w:ascii="Trebuchet MS"/>
          <w:b/>
          <w:sz w:val="18"/>
        </w:rPr>
      </w:pPr>
    </w:p>
    <w:p>
      <w:pPr>
        <w:pStyle w:val="Heading2"/>
        <w:numPr>
          <w:ilvl w:val="1"/>
          <w:numId w:val="11"/>
        </w:numPr>
        <w:tabs>
          <w:tab w:pos="2692" w:val="left" w:leader="none"/>
          <w:tab w:pos="2693" w:val="left" w:leader="none"/>
        </w:tabs>
        <w:spacing w:line="240" w:lineRule="auto" w:before="109" w:after="0"/>
        <w:ind w:left="2692" w:right="0" w:hanging="1560"/>
        <w:jc w:val="left"/>
      </w:pPr>
      <w:r>
        <w:rPr>
          <w:color w:val="00ACEC"/>
        </w:rPr>
        <w:t>Rule making</w:t>
      </w:r>
      <w:r>
        <w:rPr>
          <w:color w:val="00ACEC"/>
          <w:spacing w:val="-1"/>
        </w:rPr>
        <w:t> </w:t>
      </w:r>
      <w:r>
        <w:rPr>
          <w:color w:val="00ACEC"/>
        </w:rPr>
        <w:t>test</w:t>
      </w:r>
    </w:p>
    <w:p>
      <w:pPr>
        <w:pStyle w:val="ListParagraph"/>
        <w:numPr>
          <w:ilvl w:val="2"/>
          <w:numId w:val="18"/>
        </w:numPr>
        <w:tabs>
          <w:tab w:pos="2692" w:val="left" w:leader="none"/>
          <w:tab w:pos="2693" w:val="left" w:leader="none"/>
        </w:tabs>
        <w:spacing w:line="240" w:lineRule="auto" w:before="79" w:after="0"/>
        <w:ind w:left="2692" w:right="0" w:hanging="1560"/>
        <w:jc w:val="left"/>
        <w:rPr>
          <w:b/>
          <w:sz w:val="18"/>
        </w:rPr>
      </w:pPr>
      <w:r>
        <w:rPr>
          <w:b/>
          <w:color w:val="00ACEC"/>
          <w:sz w:val="18"/>
        </w:rPr>
        <w:t>Achieving the NEO</w:t>
      </w:r>
    </w:p>
    <w:p>
      <w:pPr>
        <w:pStyle w:val="BodyText"/>
        <w:spacing w:line="278" w:lineRule="auto" w:before="99"/>
        <w:ind w:left="2692" w:right="171"/>
      </w:pPr>
      <w:r>
        <w:rPr>
          <w:color w:val="262526"/>
        </w:rPr>
        <w:t>Under the NEL the Commission may only make a rule if it is satisfied that the rule will, or is likely to,contribute to the achievement of the national electricity objective (NEO).</w:t>
      </w:r>
      <w:r>
        <w:rPr>
          <w:color w:val="262526"/>
          <w:position w:val="8"/>
          <w:sz w:val="12"/>
        </w:rPr>
        <w:t>31 </w:t>
      </w:r>
      <w:r>
        <w:rPr>
          <w:color w:val="262526"/>
        </w:rPr>
        <w:t>This is the decision making framework that the Commission must apply.</w:t>
      </w:r>
    </w:p>
    <w:p>
      <w:pPr>
        <w:pStyle w:val="BodyText"/>
        <w:spacing w:before="114"/>
        <w:ind w:left="2692"/>
        <w:rPr>
          <w:sz w:val="12"/>
        </w:rPr>
      </w:pPr>
      <w:r>
        <w:rPr>
          <w:color w:val="262526"/>
        </w:rPr>
        <w:t>The NEO is:</w:t>
      </w:r>
      <w:r>
        <w:rPr>
          <w:color w:val="262526"/>
          <w:position w:val="8"/>
          <w:sz w:val="12"/>
        </w:rPr>
        <w:t>32</w:t>
      </w:r>
    </w:p>
    <w:p>
      <w:pPr>
        <w:pStyle w:val="BodyText"/>
      </w:pPr>
    </w:p>
    <w:p>
      <w:pPr>
        <w:pStyle w:val="BodyText"/>
      </w:pPr>
    </w:p>
    <w:p>
      <w:pPr>
        <w:pStyle w:val="BodyText"/>
        <w:spacing w:before="4"/>
        <w:rPr>
          <w:sz w:val="10"/>
        </w:rPr>
      </w:pPr>
      <w:r>
        <w:rPr/>
        <w:pict>
          <v:shape style="position:absolute;margin-left:134.645996pt;margin-top:8.726132pt;width:49.65pt;height:.1pt;mso-position-horizontal-relative:page;mso-position-vertical-relative:paragraph;z-index:-15721984;mso-wrap-distance-left:0;mso-wrap-distance-right:0" coordorigin="2693,175" coordsize="993,0" path="m2693,175l3685,175e" filled="false" stroked="true" strokeweight="1pt" strokecolor="#262526">
            <v:path arrowok="t"/>
            <v:stroke dashstyle="solid"/>
            <w10:wrap type="topAndBottom"/>
          </v:shape>
        </w:pict>
      </w:r>
    </w:p>
    <w:p>
      <w:pPr>
        <w:pStyle w:val="ListParagraph"/>
        <w:numPr>
          <w:ilvl w:val="0"/>
          <w:numId w:val="12"/>
        </w:numPr>
        <w:tabs>
          <w:tab w:pos="3034" w:val="left" w:leader="none"/>
        </w:tabs>
        <w:spacing w:line="240" w:lineRule="auto" w:before="98" w:after="0"/>
        <w:ind w:left="3033" w:right="0" w:hanging="342"/>
        <w:jc w:val="left"/>
        <w:rPr>
          <w:sz w:val="14"/>
        </w:rPr>
      </w:pPr>
      <w:r>
        <w:rPr>
          <w:color w:val="262526"/>
          <w:sz w:val="14"/>
        </w:rPr>
        <w:t>Section 88 of the</w:t>
      </w:r>
      <w:r>
        <w:rPr>
          <w:color w:val="262526"/>
          <w:spacing w:val="-2"/>
          <w:sz w:val="14"/>
        </w:rPr>
        <w:t> </w:t>
      </w:r>
      <w:r>
        <w:rPr>
          <w:color w:val="262526"/>
          <w:sz w:val="14"/>
        </w:rPr>
        <w:t>NEL.</w:t>
      </w:r>
    </w:p>
    <w:p>
      <w:pPr>
        <w:pStyle w:val="ListParagraph"/>
        <w:numPr>
          <w:ilvl w:val="0"/>
          <w:numId w:val="12"/>
        </w:numPr>
        <w:tabs>
          <w:tab w:pos="3034" w:val="left" w:leader="none"/>
        </w:tabs>
        <w:spacing w:line="240" w:lineRule="auto" w:before="55" w:after="0"/>
        <w:ind w:left="3033" w:right="0" w:hanging="342"/>
        <w:jc w:val="left"/>
        <w:rPr>
          <w:sz w:val="14"/>
        </w:rPr>
      </w:pPr>
      <w:r>
        <w:rPr>
          <w:color w:val="262526"/>
          <w:sz w:val="14"/>
        </w:rPr>
        <w:t>Section 7 of the</w:t>
      </w:r>
      <w:r>
        <w:rPr>
          <w:color w:val="262526"/>
          <w:spacing w:val="-2"/>
          <w:sz w:val="14"/>
        </w:rPr>
        <w:t> </w:t>
      </w:r>
      <w:r>
        <w:rPr>
          <w:color w:val="262526"/>
          <w:sz w:val="14"/>
        </w:rPr>
        <w:t>NEL.</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8"/>
        </w:rPr>
      </w:pPr>
    </w:p>
    <w:p>
      <w:pPr>
        <w:pStyle w:val="BodyText"/>
        <w:spacing w:line="278" w:lineRule="auto" w:before="107"/>
        <w:ind w:left="3147" w:right="295"/>
      </w:pPr>
      <w:r>
        <w:rPr>
          <w:color w:val="00ACEC"/>
        </w:rPr>
        <w:t>to promote efficient investment in, and efficient operation and use of, electricity services for the long term interests of consumers of electricity with respect to:</w:t>
      </w:r>
    </w:p>
    <w:p>
      <w:pPr>
        <w:pStyle w:val="ListParagraph"/>
        <w:numPr>
          <w:ilvl w:val="1"/>
          <w:numId w:val="12"/>
        </w:numPr>
        <w:tabs>
          <w:tab w:pos="3472" w:val="left" w:leader="none"/>
        </w:tabs>
        <w:spacing w:line="240" w:lineRule="auto" w:before="113" w:after="0"/>
        <w:ind w:left="3471" w:right="0" w:hanging="325"/>
        <w:jc w:val="left"/>
        <w:rPr>
          <w:sz w:val="20"/>
        </w:rPr>
      </w:pPr>
      <w:r>
        <w:rPr>
          <w:color w:val="00ACEC"/>
          <w:sz w:val="20"/>
        </w:rPr>
        <w:t>price, </w:t>
      </w:r>
      <w:r>
        <w:rPr>
          <w:color w:val="00ACEC"/>
          <w:spacing w:val="-3"/>
          <w:sz w:val="20"/>
        </w:rPr>
        <w:t>quality, </w:t>
      </w:r>
      <w:r>
        <w:rPr>
          <w:color w:val="00ACEC"/>
          <w:spacing w:val="-4"/>
          <w:sz w:val="20"/>
        </w:rPr>
        <w:t>safety, </w:t>
      </w:r>
      <w:r>
        <w:rPr>
          <w:color w:val="00ACEC"/>
          <w:sz w:val="20"/>
        </w:rPr>
        <w:t>reliability and security of supply of electricity;</w:t>
      </w:r>
      <w:r>
        <w:rPr>
          <w:color w:val="00ACEC"/>
          <w:spacing w:val="14"/>
          <w:sz w:val="20"/>
        </w:rPr>
        <w:t> </w:t>
      </w:r>
      <w:r>
        <w:rPr>
          <w:color w:val="00ACEC"/>
          <w:sz w:val="20"/>
        </w:rPr>
        <w:t>and</w:t>
      </w:r>
    </w:p>
    <w:p>
      <w:pPr>
        <w:pStyle w:val="ListParagraph"/>
        <w:numPr>
          <w:ilvl w:val="1"/>
          <w:numId w:val="12"/>
        </w:numPr>
        <w:tabs>
          <w:tab w:pos="3477" w:val="left" w:leader="none"/>
        </w:tabs>
        <w:spacing w:line="240" w:lineRule="auto" w:before="152" w:after="0"/>
        <w:ind w:left="3477" w:right="0" w:hanging="330"/>
        <w:jc w:val="left"/>
        <w:rPr>
          <w:sz w:val="20"/>
        </w:rPr>
      </w:pPr>
      <w:r>
        <w:rPr>
          <w:color w:val="00ACEC"/>
          <w:sz w:val="20"/>
        </w:rPr>
        <w:t>the </w:t>
      </w:r>
      <w:r>
        <w:rPr>
          <w:color w:val="00ACEC"/>
          <w:spacing w:val="-3"/>
          <w:sz w:val="20"/>
        </w:rPr>
        <w:t>reliability, </w:t>
      </w:r>
      <w:r>
        <w:rPr>
          <w:color w:val="00ACEC"/>
          <w:sz w:val="20"/>
        </w:rPr>
        <w:t>safety and security of the national electricity</w:t>
      </w:r>
      <w:r>
        <w:rPr>
          <w:color w:val="00ACEC"/>
          <w:spacing w:val="7"/>
          <w:sz w:val="20"/>
        </w:rPr>
        <w:t> </w:t>
      </w:r>
      <w:r>
        <w:rPr>
          <w:color w:val="00ACEC"/>
          <w:sz w:val="20"/>
        </w:rPr>
        <w:t>system.</w:t>
      </w:r>
    </w:p>
    <w:p>
      <w:pPr>
        <w:pStyle w:val="BodyText"/>
        <w:spacing w:before="11"/>
        <w:rPr>
          <w:sz w:val="25"/>
        </w:rPr>
      </w:pPr>
    </w:p>
    <w:p>
      <w:pPr>
        <w:pStyle w:val="BodyText"/>
        <w:spacing w:line="278" w:lineRule="auto" w:before="1"/>
        <w:ind w:left="2692" w:right="295"/>
      </w:pPr>
      <w:r>
        <w:rPr>
          <w:color w:val="262526"/>
        </w:rPr>
        <w:t>The Commission considers that the relevant aspects of the NEO are the efficient operation and use of electricity services in the long-term interests of consumers of electricity with respect to the safety and security of the national electricity system because:</w:t>
      </w:r>
    </w:p>
    <w:p>
      <w:pPr>
        <w:pStyle w:val="ListParagraph"/>
        <w:numPr>
          <w:ilvl w:val="3"/>
          <w:numId w:val="18"/>
        </w:numPr>
        <w:tabs>
          <w:tab w:pos="3033" w:val="left" w:leader="none"/>
          <w:tab w:pos="3034" w:val="left" w:leader="none"/>
        </w:tabs>
        <w:spacing w:line="278" w:lineRule="auto" w:before="113" w:after="0"/>
        <w:ind w:left="3033" w:right="195" w:hanging="341"/>
        <w:jc w:val="left"/>
        <w:rPr>
          <w:sz w:val="20"/>
        </w:rPr>
      </w:pPr>
      <w:r>
        <w:rPr>
          <w:color w:val="262526"/>
          <w:sz w:val="20"/>
        </w:rPr>
        <w:t>the objective of the proposed GPSRR is to promptly identify and assess emerging risks to power system security from all possible sources,</w:t>
      </w:r>
      <w:r>
        <w:rPr>
          <w:color w:val="262526"/>
          <w:spacing w:val="2"/>
          <w:sz w:val="20"/>
        </w:rPr>
        <w:t> </w:t>
      </w:r>
      <w:r>
        <w:rPr>
          <w:color w:val="262526"/>
          <w:sz w:val="20"/>
        </w:rPr>
        <w:t>and</w:t>
      </w:r>
    </w:p>
    <w:p>
      <w:pPr>
        <w:pStyle w:val="ListParagraph"/>
        <w:numPr>
          <w:ilvl w:val="3"/>
          <w:numId w:val="18"/>
        </w:numPr>
        <w:tabs>
          <w:tab w:pos="3033" w:val="left" w:leader="none"/>
          <w:tab w:pos="3034" w:val="left" w:leader="none"/>
        </w:tabs>
        <w:spacing w:line="278" w:lineRule="auto" w:before="56" w:after="0"/>
        <w:ind w:left="3033" w:right="180" w:hanging="341"/>
        <w:jc w:val="left"/>
        <w:rPr>
          <w:sz w:val="20"/>
        </w:rPr>
      </w:pPr>
      <w:r>
        <w:rPr>
          <w:color w:val="262526"/>
          <w:sz w:val="20"/>
        </w:rPr>
        <w:t>the direct and indirect costs of a reduction in the security of supply due to a failure to promptly and effectively identify emerging risks can be significant and are ultimately paid for by consumers through higher prices for</w:t>
      </w:r>
      <w:r>
        <w:rPr>
          <w:color w:val="262526"/>
          <w:spacing w:val="3"/>
          <w:sz w:val="20"/>
        </w:rPr>
        <w:t> </w:t>
      </w:r>
      <w:r>
        <w:rPr>
          <w:color w:val="262526"/>
          <w:spacing w:val="-3"/>
          <w:sz w:val="20"/>
        </w:rPr>
        <w:t>electricity.</w:t>
      </w:r>
    </w:p>
    <w:p>
      <w:pPr>
        <w:pStyle w:val="BodyText"/>
        <w:spacing w:before="4"/>
        <w:rPr>
          <w:sz w:val="11"/>
        </w:rPr>
      </w:pPr>
    </w:p>
    <w:p>
      <w:pPr>
        <w:pStyle w:val="ListParagraph"/>
        <w:numPr>
          <w:ilvl w:val="2"/>
          <w:numId w:val="18"/>
        </w:numPr>
        <w:tabs>
          <w:tab w:pos="2692" w:val="left" w:leader="none"/>
          <w:tab w:pos="2693" w:val="left" w:leader="none"/>
        </w:tabs>
        <w:spacing w:line="240" w:lineRule="auto" w:before="112" w:after="0"/>
        <w:ind w:left="2692" w:right="0" w:hanging="1560"/>
        <w:jc w:val="left"/>
        <w:rPr>
          <w:b/>
          <w:sz w:val="18"/>
        </w:rPr>
      </w:pPr>
      <w:r>
        <w:rPr>
          <w:b/>
          <w:color w:val="00ACEC"/>
          <w:sz w:val="18"/>
        </w:rPr>
        <w:t>Making a more preferable</w:t>
      </w:r>
      <w:r>
        <w:rPr>
          <w:b/>
          <w:color w:val="00ACEC"/>
          <w:spacing w:val="-3"/>
          <w:sz w:val="18"/>
        </w:rPr>
        <w:t> </w:t>
      </w:r>
      <w:r>
        <w:rPr>
          <w:b/>
          <w:color w:val="00ACEC"/>
          <w:sz w:val="18"/>
        </w:rPr>
        <w:t>rule</w:t>
      </w:r>
    </w:p>
    <w:p>
      <w:pPr>
        <w:pStyle w:val="BodyText"/>
        <w:spacing w:line="278" w:lineRule="auto" w:before="99"/>
        <w:ind w:left="2692" w:right="295"/>
      </w:pPr>
      <w:r>
        <w:rPr>
          <w:color w:val="262526"/>
        </w:rPr>
        <w:t>Under s. 91A of the NEL, the Commission may make a rule that is different (including materially different) to a proposed rule (a more preferable rule) if it is satisfied that, having regard to the issue or issues raised in the rule change request, the more preferable rule will or is likely to better contribute to the achievement of the NEO.</w:t>
      </w:r>
    </w:p>
    <w:p>
      <w:pPr>
        <w:pStyle w:val="BodyText"/>
        <w:spacing w:line="278" w:lineRule="auto" w:before="113"/>
        <w:ind w:left="2692" w:right="295"/>
      </w:pPr>
      <w:r>
        <w:rPr>
          <w:color w:val="262526"/>
        </w:rPr>
        <w:t>In this instance, the Commission has made a more preferable rule. The Commission considers that the changes made to the rule as proposed will better contribute to the achievement of the NEO. The reasons are summarised in section 2.4 and detailed further in chapter 3.</w:t>
      </w:r>
    </w:p>
    <w:p>
      <w:pPr>
        <w:pStyle w:val="BodyText"/>
        <w:spacing w:line="278" w:lineRule="auto" w:before="114"/>
        <w:ind w:left="2692" w:right="295"/>
      </w:pPr>
      <w:r>
        <w:rPr>
          <w:color w:val="262526"/>
        </w:rPr>
        <w:t>Further information on the legal requirements for making this final rule determination is set out in Appendix C.</w:t>
      </w:r>
    </w:p>
    <w:p>
      <w:pPr>
        <w:pStyle w:val="BodyText"/>
        <w:spacing w:before="3"/>
        <w:rPr>
          <w:sz w:val="25"/>
        </w:rPr>
      </w:pPr>
    </w:p>
    <w:p>
      <w:pPr>
        <w:pStyle w:val="ListParagraph"/>
        <w:numPr>
          <w:ilvl w:val="2"/>
          <w:numId w:val="18"/>
        </w:numPr>
        <w:tabs>
          <w:tab w:pos="2692" w:val="left" w:leader="none"/>
          <w:tab w:pos="2693" w:val="left" w:leader="none"/>
        </w:tabs>
        <w:spacing w:line="240" w:lineRule="auto" w:before="0" w:after="0"/>
        <w:ind w:left="2692" w:right="0" w:hanging="1560"/>
        <w:jc w:val="left"/>
        <w:rPr>
          <w:b/>
          <w:sz w:val="18"/>
        </w:rPr>
      </w:pPr>
      <w:r>
        <w:rPr>
          <w:b/>
          <w:color w:val="00ACEC"/>
          <w:sz w:val="18"/>
        </w:rPr>
        <w:t>Making a differential</w:t>
      </w:r>
      <w:r>
        <w:rPr>
          <w:b/>
          <w:color w:val="00ACEC"/>
          <w:spacing w:val="-3"/>
          <w:sz w:val="18"/>
        </w:rPr>
        <w:t> </w:t>
      </w:r>
      <w:r>
        <w:rPr>
          <w:b/>
          <w:color w:val="00ACEC"/>
          <w:sz w:val="18"/>
        </w:rPr>
        <w:t>rule</w:t>
      </w:r>
    </w:p>
    <w:p>
      <w:pPr>
        <w:pStyle w:val="BodyText"/>
        <w:spacing w:line="278" w:lineRule="auto" w:before="99"/>
        <w:ind w:left="2692" w:right="295"/>
      </w:pPr>
      <w:r>
        <w:rPr>
          <w:color w:val="262526"/>
        </w:rPr>
        <w:t>Under the Northern Territory legislation adopting the NEL, the Commission may make a differential rule if, having regard to any relevant MCE statement of policy principles, a different rule will, or is likely to,better contribute to the achievement of the NEO than a uniform rule. A differential rule is a rule that:</w:t>
      </w:r>
    </w:p>
    <w:p>
      <w:pPr>
        <w:pStyle w:val="ListParagraph"/>
        <w:numPr>
          <w:ilvl w:val="3"/>
          <w:numId w:val="18"/>
        </w:numPr>
        <w:tabs>
          <w:tab w:pos="3033" w:val="left" w:leader="none"/>
          <w:tab w:pos="3034" w:val="left" w:leader="none"/>
        </w:tabs>
        <w:spacing w:line="240" w:lineRule="auto" w:before="113" w:after="0"/>
        <w:ind w:left="3033" w:right="0" w:hanging="341"/>
        <w:jc w:val="left"/>
        <w:rPr>
          <w:sz w:val="20"/>
        </w:rPr>
      </w:pPr>
      <w:r>
        <w:rPr>
          <w:color w:val="262526"/>
          <w:sz w:val="20"/>
        </w:rPr>
        <w:t>varies in its term as between:</w:t>
      </w:r>
    </w:p>
    <w:p>
      <w:pPr>
        <w:pStyle w:val="ListParagraph"/>
        <w:numPr>
          <w:ilvl w:val="4"/>
          <w:numId w:val="18"/>
        </w:numPr>
        <w:tabs>
          <w:tab w:pos="3373" w:val="left" w:leader="none"/>
          <w:tab w:pos="3374" w:val="left" w:leader="none"/>
        </w:tabs>
        <w:spacing w:line="240" w:lineRule="auto" w:before="96" w:after="0"/>
        <w:ind w:left="3373" w:right="0" w:hanging="341"/>
        <w:jc w:val="left"/>
        <w:rPr>
          <w:sz w:val="20"/>
        </w:rPr>
      </w:pPr>
      <w:r>
        <w:rPr>
          <w:color w:val="262526"/>
          <w:sz w:val="20"/>
        </w:rPr>
        <w:t>the national electricity system, and</w:t>
      </w:r>
    </w:p>
    <w:p>
      <w:pPr>
        <w:pStyle w:val="ListParagraph"/>
        <w:numPr>
          <w:ilvl w:val="4"/>
          <w:numId w:val="18"/>
        </w:numPr>
        <w:tabs>
          <w:tab w:pos="3373" w:val="left" w:leader="none"/>
          <w:tab w:pos="3374" w:val="left" w:leader="none"/>
        </w:tabs>
        <w:spacing w:line="240" w:lineRule="auto" w:before="95" w:after="0"/>
        <w:ind w:left="3373" w:right="0" w:hanging="341"/>
        <w:jc w:val="left"/>
        <w:rPr>
          <w:sz w:val="20"/>
        </w:rPr>
      </w:pPr>
      <w:r>
        <w:rPr>
          <w:color w:val="262526"/>
          <w:sz w:val="20"/>
        </w:rPr>
        <w:t>one or more, or all, of the local electricity systems,</w:t>
      </w:r>
      <w:r>
        <w:rPr>
          <w:color w:val="262526"/>
          <w:spacing w:val="3"/>
          <w:sz w:val="20"/>
        </w:rPr>
        <w:t> </w:t>
      </w:r>
      <w:r>
        <w:rPr>
          <w:color w:val="262526"/>
          <w:sz w:val="20"/>
        </w:rPr>
        <w:t>or</w:t>
      </w:r>
    </w:p>
    <w:p>
      <w:pPr>
        <w:pStyle w:val="ListParagraph"/>
        <w:numPr>
          <w:ilvl w:val="3"/>
          <w:numId w:val="18"/>
        </w:numPr>
        <w:tabs>
          <w:tab w:pos="3033" w:val="left" w:leader="none"/>
          <w:tab w:pos="3034" w:val="left" w:leader="none"/>
        </w:tabs>
        <w:spacing w:line="240" w:lineRule="auto" w:before="95" w:after="0"/>
        <w:ind w:left="3033" w:right="0" w:hanging="341"/>
        <w:jc w:val="left"/>
        <w:rPr>
          <w:sz w:val="20"/>
        </w:rPr>
      </w:pPr>
      <w:r>
        <w:rPr>
          <w:color w:val="262526"/>
          <w:sz w:val="20"/>
        </w:rPr>
        <w:t>does not have effect with respect to one or more of those</w:t>
      </w:r>
      <w:r>
        <w:rPr>
          <w:color w:val="262526"/>
          <w:spacing w:val="4"/>
          <w:sz w:val="20"/>
        </w:rPr>
        <w:t> </w:t>
      </w:r>
      <w:r>
        <w:rPr>
          <w:color w:val="262526"/>
          <w:sz w:val="20"/>
        </w:rPr>
        <w:t>systems</w:t>
      </w:r>
    </w:p>
    <w:p>
      <w:pPr>
        <w:pStyle w:val="BodyText"/>
        <w:spacing w:line="278" w:lineRule="auto" w:before="96"/>
        <w:ind w:left="2692" w:right="295"/>
      </w:pPr>
      <w:r>
        <w:rPr>
          <w:color w:val="262526"/>
        </w:rPr>
        <w:t>but is not a jurisdictional derogation, participant derogation or rule that has effect with respect to an adoptive jurisdiction for the purpose of s. 91(8) of the NEL.</w:t>
      </w:r>
    </w:p>
    <w:p>
      <w:pPr>
        <w:spacing w:after="0" w:line="278" w:lineRule="auto"/>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Pr>
          <w:sz w:val="12"/>
        </w:rPr>
      </w:pPr>
      <w:bookmarkStart w:name="2.3 Assessment framework " w:id="27"/>
      <w:bookmarkEnd w:id="27"/>
      <w:r>
        <w:rPr/>
      </w:r>
      <w:bookmarkStart w:name="_bookmark7" w:id="28"/>
      <w:bookmarkEnd w:id="28"/>
      <w:r>
        <w:rPr/>
      </w:r>
      <w:r>
        <w:rPr>
          <w:color w:val="262526"/>
        </w:rPr>
        <w:t>As the proposed rule related to parts of the NER that apply in the Norther Territory, the Commission has assessed the draft rule against additional elements required by the Northern Territory legislation.</w:t>
      </w:r>
      <w:r>
        <w:rPr>
          <w:color w:val="262526"/>
          <w:position w:val="8"/>
          <w:sz w:val="12"/>
        </w:rPr>
        <w:t>33</w:t>
      </w:r>
    </w:p>
    <w:p>
      <w:pPr>
        <w:pStyle w:val="BodyText"/>
        <w:spacing w:line="278" w:lineRule="auto" w:before="113"/>
        <w:ind w:left="2692" w:right="253"/>
      </w:pPr>
      <w:r>
        <w:rPr>
          <w:color w:val="262526"/>
        </w:rPr>
        <w:t>The Commission has determined not to make a differential rule. </w:t>
      </w:r>
      <w:r>
        <w:rPr>
          <w:color w:val="262526"/>
          <w:spacing w:val="-5"/>
        </w:rPr>
        <w:t>However, </w:t>
      </w:r>
      <w:r>
        <w:rPr>
          <w:color w:val="262526"/>
        </w:rPr>
        <w:t>as some parts of Chapter 5 of the NER apply in the Northern </w:t>
      </w:r>
      <w:r>
        <w:rPr>
          <w:color w:val="262526"/>
          <w:spacing w:val="-5"/>
        </w:rPr>
        <w:t>Territory, </w:t>
      </w:r>
      <w:r>
        <w:rPr>
          <w:color w:val="262526"/>
        </w:rPr>
        <w:t>some of the amendments made by this rule change will have application in the Northern </w:t>
      </w:r>
      <w:r>
        <w:rPr>
          <w:color w:val="262526"/>
          <w:spacing w:val="-5"/>
        </w:rPr>
        <w:t>Territory. </w:t>
      </w:r>
      <w:r>
        <w:rPr>
          <w:color w:val="262526"/>
        </w:rPr>
        <w:t>The rules relating to the general power system review will not apply in the Northern </w:t>
      </w:r>
      <w:r>
        <w:rPr>
          <w:color w:val="262526"/>
          <w:spacing w:val="-4"/>
        </w:rPr>
        <w:t>Territory </w:t>
      </w:r>
      <w:r>
        <w:rPr>
          <w:color w:val="262526"/>
        </w:rPr>
        <w:t>and therefore the changes to Chapter 10 made by this rule will also not </w:t>
      </w:r>
      <w:r>
        <w:rPr>
          <w:color w:val="262526"/>
          <w:spacing w:val="-3"/>
        </w:rPr>
        <w:t>apply. </w:t>
      </w:r>
      <w:r>
        <w:rPr>
          <w:color w:val="262526"/>
          <w:spacing w:val="-5"/>
        </w:rPr>
        <w:t>However, </w:t>
      </w:r>
      <w:r>
        <w:rPr>
          <w:color w:val="262526"/>
        </w:rPr>
        <w:t>some of the changes to the NSP planning arrangements will </w:t>
      </w:r>
      <w:r>
        <w:rPr>
          <w:color w:val="262526"/>
          <w:spacing w:val="-3"/>
        </w:rPr>
        <w:t>apply, </w:t>
      </w:r>
      <w:r>
        <w:rPr>
          <w:color w:val="262526"/>
        </w:rPr>
        <w:t>as modified. The Northern </w:t>
      </w:r>
      <w:r>
        <w:rPr>
          <w:color w:val="262526"/>
          <w:spacing w:val="-4"/>
        </w:rPr>
        <w:t>Territory </w:t>
      </w:r>
      <w:r>
        <w:rPr>
          <w:color w:val="262526"/>
        </w:rPr>
        <w:t>modification regulations modify the application of certain provisions of the NER as it applies in the Northern </w:t>
      </w:r>
      <w:r>
        <w:rPr>
          <w:color w:val="262526"/>
          <w:spacing w:val="-5"/>
        </w:rPr>
        <w:t>Territory, </w:t>
      </w:r>
      <w:r>
        <w:rPr>
          <w:color w:val="262526"/>
        </w:rPr>
        <w:t>and therefore, further changes may be required to those regulations as a result of this rule change. The Commission will liaise with the Northern </w:t>
      </w:r>
      <w:r>
        <w:rPr>
          <w:color w:val="262526"/>
          <w:spacing w:val="-4"/>
        </w:rPr>
        <w:t>Territory </w:t>
      </w:r>
      <w:r>
        <w:rPr>
          <w:color w:val="262526"/>
        </w:rPr>
        <w:t>in this regard.</w:t>
      </w:r>
    </w:p>
    <w:p>
      <w:pPr>
        <w:pStyle w:val="BodyText"/>
        <w:spacing w:before="3"/>
        <w:rPr>
          <w:sz w:val="23"/>
        </w:rPr>
      </w:pPr>
    </w:p>
    <w:p>
      <w:pPr>
        <w:pStyle w:val="Heading2"/>
        <w:numPr>
          <w:ilvl w:val="1"/>
          <w:numId w:val="11"/>
        </w:numPr>
        <w:tabs>
          <w:tab w:pos="2692" w:val="left" w:leader="none"/>
          <w:tab w:pos="2693" w:val="left" w:leader="none"/>
        </w:tabs>
        <w:spacing w:line="240" w:lineRule="auto" w:before="0" w:after="0"/>
        <w:ind w:left="2692" w:right="0" w:hanging="1560"/>
        <w:jc w:val="left"/>
      </w:pPr>
      <w:r>
        <w:rPr>
          <w:color w:val="00ACEC"/>
        </w:rPr>
        <w:t>Assessment</w:t>
      </w:r>
      <w:r>
        <w:rPr>
          <w:color w:val="00ACEC"/>
          <w:spacing w:val="-1"/>
        </w:rPr>
        <w:t> </w:t>
      </w:r>
      <w:r>
        <w:rPr>
          <w:color w:val="00ACEC"/>
        </w:rPr>
        <w:t>framework</w:t>
      </w:r>
    </w:p>
    <w:p>
      <w:pPr>
        <w:pStyle w:val="BodyText"/>
        <w:spacing w:line="278" w:lineRule="auto" w:before="79"/>
        <w:ind w:left="2692"/>
      </w:pPr>
      <w:r>
        <w:rPr>
          <w:color w:val="262526"/>
        </w:rPr>
        <w:t>In assessing the rule change request against the NEO the Commission has considered the following principles:</w:t>
      </w:r>
    </w:p>
    <w:p>
      <w:pPr>
        <w:pStyle w:val="ListParagraph"/>
        <w:numPr>
          <w:ilvl w:val="2"/>
          <w:numId w:val="11"/>
        </w:numPr>
        <w:tabs>
          <w:tab w:pos="3033" w:val="left" w:leader="none"/>
          <w:tab w:pos="3034" w:val="left" w:leader="none"/>
        </w:tabs>
        <w:spacing w:line="278" w:lineRule="auto" w:before="114" w:after="0"/>
        <w:ind w:left="3033" w:right="351" w:hanging="341"/>
        <w:jc w:val="left"/>
        <w:rPr>
          <w:sz w:val="20"/>
        </w:rPr>
      </w:pPr>
      <w:r>
        <w:rPr>
          <w:b/>
          <w:color w:val="262526"/>
          <w:sz w:val="20"/>
        </w:rPr>
        <w:t>Effective risk identification and assessment: </w:t>
      </w:r>
      <w:r>
        <w:rPr>
          <w:color w:val="262526"/>
          <w:sz w:val="20"/>
        </w:rPr>
        <w:t>The power system’s transition to supply provided predominately by intermittent renewable generation and the closure of existing synchronous generation is changing the power system’s risk and resilience profile. New risks are emerging as this process occurs. A risk assessment framework should aim to account for the full range of possible risks to power system security and </w:t>
      </w:r>
      <w:r>
        <w:rPr>
          <w:color w:val="262526"/>
          <w:spacing w:val="-4"/>
          <w:sz w:val="20"/>
        </w:rPr>
        <w:t>safety. </w:t>
      </w:r>
      <w:r>
        <w:rPr>
          <w:color w:val="262526"/>
          <w:sz w:val="20"/>
        </w:rPr>
        <w:t>It should also constitute an integrated, transparent framework that allows recommendations to be developed for addressing all risks in a systematic</w:t>
      </w:r>
      <w:r>
        <w:rPr>
          <w:color w:val="262526"/>
          <w:spacing w:val="15"/>
          <w:sz w:val="20"/>
        </w:rPr>
        <w:t> </w:t>
      </w:r>
      <w:r>
        <w:rPr>
          <w:color w:val="262526"/>
          <w:spacing w:val="-4"/>
          <w:sz w:val="20"/>
        </w:rPr>
        <w:t>manner.</w:t>
      </w:r>
    </w:p>
    <w:p>
      <w:pPr>
        <w:pStyle w:val="ListParagraph"/>
        <w:numPr>
          <w:ilvl w:val="2"/>
          <w:numId w:val="11"/>
        </w:numPr>
        <w:tabs>
          <w:tab w:pos="3033" w:val="left" w:leader="none"/>
          <w:tab w:pos="3034" w:val="left" w:leader="none"/>
        </w:tabs>
        <w:spacing w:line="278" w:lineRule="auto" w:before="56" w:after="0"/>
        <w:ind w:left="3033" w:right="133" w:hanging="341"/>
        <w:jc w:val="left"/>
        <w:rPr>
          <w:sz w:val="20"/>
        </w:rPr>
      </w:pPr>
      <w:r>
        <w:rPr>
          <w:b/>
          <w:color w:val="262526"/>
          <w:sz w:val="20"/>
        </w:rPr>
        <w:t>Transparency and clear accountabilities: </w:t>
      </w:r>
      <w:r>
        <w:rPr>
          <w:color w:val="262526"/>
          <w:sz w:val="20"/>
        </w:rPr>
        <w:t>A risk assessment framework should promote clear accountabilities and effective coordination among all parties responsible for managing the changing power system risk and resilience profile. Any new components of the risk assessment framework should be accounted for in the planning processes carried out by AEMO and NSPs. This may assist in the implementation of the lowest cost management processes overall.</w:t>
      </w:r>
    </w:p>
    <w:p>
      <w:pPr>
        <w:pStyle w:val="ListParagraph"/>
        <w:numPr>
          <w:ilvl w:val="2"/>
          <w:numId w:val="11"/>
        </w:numPr>
        <w:tabs>
          <w:tab w:pos="3033" w:val="left" w:leader="none"/>
          <w:tab w:pos="3034" w:val="left" w:leader="none"/>
        </w:tabs>
        <w:spacing w:line="278" w:lineRule="auto" w:before="57" w:after="0"/>
        <w:ind w:left="3033" w:right="138" w:hanging="341"/>
        <w:jc w:val="left"/>
        <w:rPr>
          <w:sz w:val="20"/>
        </w:rPr>
      </w:pPr>
      <w:r>
        <w:rPr>
          <w:b/>
          <w:color w:val="262526"/>
          <w:sz w:val="20"/>
        </w:rPr>
        <w:t>Flexibility and efficiency: </w:t>
      </w:r>
      <w:r>
        <w:rPr>
          <w:color w:val="262526"/>
          <w:sz w:val="20"/>
        </w:rPr>
        <w:t>There should be flexibility to prioritise certain risks over others when undertaking a risk assessment. Some risks may not be relevant in the region being considered or cease to be relevant, while others as yet unidentified will assume greater importance. This flexibility would allow AEMO and NSPs to make the most  efficient use of resources in responding to the most pressing risks present in a particular region of the NEM. </w:t>
      </w:r>
      <w:r>
        <w:rPr>
          <w:color w:val="262526"/>
          <w:spacing w:val="-4"/>
          <w:sz w:val="20"/>
        </w:rPr>
        <w:t>Further, </w:t>
      </w:r>
      <w:r>
        <w:rPr>
          <w:color w:val="262526"/>
          <w:sz w:val="20"/>
        </w:rPr>
        <w:t>given the pace of regulatory reform, it is important to ensure that the processes adopted for the risk review, including consultation process, are</w:t>
      </w:r>
      <w:r>
        <w:rPr>
          <w:color w:val="262526"/>
          <w:spacing w:val="24"/>
          <w:sz w:val="20"/>
        </w:rPr>
        <w:t> </w:t>
      </w:r>
      <w:r>
        <w:rPr>
          <w:color w:val="262526"/>
          <w:sz w:val="20"/>
        </w:rPr>
        <w:t>flexible</w:t>
      </w:r>
    </w:p>
    <w:p>
      <w:pPr>
        <w:pStyle w:val="BodyText"/>
      </w:pPr>
    </w:p>
    <w:p>
      <w:pPr>
        <w:pStyle w:val="BodyText"/>
      </w:pPr>
    </w:p>
    <w:p>
      <w:pPr>
        <w:pStyle w:val="BodyText"/>
        <w:spacing w:before="8"/>
        <w:rPr>
          <w:sz w:val="18"/>
        </w:rPr>
      </w:pPr>
      <w:r>
        <w:rPr/>
        <w:pict>
          <v:shape style="position:absolute;margin-left:134.645996pt;margin-top:13.74511pt;width:49.65pt;height:.1pt;mso-position-horizontal-relative:page;mso-position-vertical-relative:paragraph;z-index:-15721472;mso-wrap-distance-left:0;mso-wrap-distance-right:0" coordorigin="2693,275" coordsize="993,0" path="m2693,275l3685,275e" filled="false" stroked="true" strokeweight="1pt" strokecolor="#262526">
            <v:path arrowok="t"/>
            <v:stroke dashstyle="solid"/>
            <w10:wrap type="topAndBottom"/>
          </v:shape>
        </w:pict>
      </w:r>
    </w:p>
    <w:p>
      <w:pPr>
        <w:pStyle w:val="ListParagraph"/>
        <w:numPr>
          <w:ilvl w:val="0"/>
          <w:numId w:val="12"/>
        </w:numPr>
        <w:tabs>
          <w:tab w:pos="3034" w:val="left" w:leader="none"/>
        </w:tabs>
        <w:spacing w:line="240" w:lineRule="auto" w:before="98" w:after="0"/>
        <w:ind w:left="3033" w:right="206" w:hanging="341"/>
        <w:jc w:val="left"/>
        <w:rPr>
          <w:sz w:val="14"/>
        </w:rPr>
      </w:pPr>
      <w:r>
        <w:rPr>
          <w:color w:val="262526"/>
          <w:sz w:val="14"/>
        </w:rPr>
        <w:t>From 1 July 2016, the NER, as amended from time to time, apply in the </w:t>
      </w:r>
      <w:r>
        <w:rPr>
          <w:color w:val="262526"/>
          <w:spacing w:val="-7"/>
          <w:sz w:val="14"/>
        </w:rPr>
        <w:t>NT, </w:t>
      </w:r>
      <w:r>
        <w:rPr>
          <w:color w:val="262526"/>
          <w:sz w:val="14"/>
        </w:rPr>
        <w:t>subject to derogations set out in regulations made under the NT legislation adopting the NEL. Under those regulations, only certain parts of the NER have been adopted in the </w:t>
      </w:r>
      <w:r>
        <w:rPr>
          <w:color w:val="262526"/>
          <w:spacing w:val="-7"/>
          <w:sz w:val="14"/>
        </w:rPr>
        <w:t>NT. </w:t>
      </w:r>
      <w:r>
        <w:rPr>
          <w:color w:val="262526"/>
          <w:sz w:val="14"/>
        </w:rPr>
        <w:t>(See the AEMC website for the NER that applies in the </w:t>
      </w:r>
      <w:r>
        <w:rPr>
          <w:color w:val="262526"/>
          <w:spacing w:val="-7"/>
          <w:sz w:val="14"/>
        </w:rPr>
        <w:t>NT.) </w:t>
      </w:r>
      <w:r>
        <w:rPr>
          <w:color w:val="262526"/>
          <w:sz w:val="14"/>
        </w:rPr>
        <w:t>National Electricity(Northern </w:t>
      </w:r>
      <w:r>
        <w:rPr>
          <w:color w:val="262526"/>
          <w:spacing w:val="-3"/>
          <w:sz w:val="14"/>
        </w:rPr>
        <w:t>Territory) </w:t>
      </w:r>
      <w:r>
        <w:rPr>
          <w:color w:val="262526"/>
          <w:sz w:val="14"/>
        </w:rPr>
        <w:t>(National Uniform Legislation) Act 2015.</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3033"/>
      </w:pPr>
      <w:bookmarkStart w:name="2.4 Summary of reasons " w:id="29"/>
      <w:bookmarkEnd w:id="29"/>
      <w:r>
        <w:rPr/>
      </w:r>
      <w:bookmarkStart w:name="_bookmark8" w:id="30"/>
      <w:bookmarkEnd w:id="30"/>
      <w:r>
        <w:rPr/>
      </w:r>
      <w:r>
        <w:rPr>
          <w:color w:val="262526"/>
        </w:rPr>
        <w:t>enough and do not impose unnecessary or extended procedural steps. Allowing a certain level of flexibility would promote efficiency and value in reporting.</w:t>
      </w:r>
    </w:p>
    <w:p>
      <w:pPr>
        <w:pStyle w:val="Heading2"/>
        <w:numPr>
          <w:ilvl w:val="1"/>
          <w:numId w:val="11"/>
        </w:numPr>
        <w:tabs>
          <w:tab w:pos="2692" w:val="left" w:leader="none"/>
          <w:tab w:pos="2693" w:val="left" w:leader="none"/>
        </w:tabs>
        <w:spacing w:line="240" w:lineRule="auto" w:before="224" w:after="0"/>
        <w:ind w:left="2692" w:right="0" w:hanging="1560"/>
        <w:jc w:val="left"/>
      </w:pPr>
      <w:r>
        <w:rPr>
          <w:color w:val="00ACEC"/>
        </w:rPr>
        <w:t>Summary of</w:t>
      </w:r>
      <w:r>
        <w:rPr>
          <w:color w:val="00ACEC"/>
          <w:spacing w:val="-2"/>
        </w:rPr>
        <w:t> </w:t>
      </w:r>
      <w:r>
        <w:rPr>
          <w:color w:val="00ACEC"/>
        </w:rPr>
        <w:t>reasons</w:t>
      </w:r>
    </w:p>
    <w:p>
      <w:pPr>
        <w:pStyle w:val="BodyText"/>
        <w:spacing w:line="278" w:lineRule="auto" w:before="79"/>
        <w:ind w:left="2692"/>
      </w:pPr>
      <w:r>
        <w:rPr>
          <w:color w:val="262526"/>
        </w:rPr>
        <w:t>The Commission has determined to make a more preferable draft rule on the basis that the more preferable rule is likely to better contribute to the achievement of the NEO than the proposed rule. In making its draft rule determination and more preferable draft rule, the Commission made some changes to the proposed rule submitted by the proponent.</w:t>
      </w:r>
    </w:p>
    <w:p>
      <w:pPr>
        <w:pStyle w:val="BodyText"/>
        <w:spacing w:line="278" w:lineRule="auto" w:before="113"/>
        <w:ind w:left="2692" w:right="171"/>
      </w:pPr>
      <w:r>
        <w:rPr>
          <w:color w:val="262526"/>
        </w:rPr>
        <w:t>These changes do not materially alter the intent of the Commission’s recommendation from the BSE review report or to the policy position reflected in the rule change request. The more preferable draft rule is broadly consistent with the proposed rule in respect of the GPSRR scope, frequency and coordination and integration of planning arrangements.</w:t>
      </w:r>
    </w:p>
    <w:p>
      <w:pPr>
        <w:pStyle w:val="BodyText"/>
        <w:spacing w:line="278" w:lineRule="auto" w:before="114"/>
        <w:ind w:left="2692"/>
        <w:rPr>
          <w:sz w:val="12"/>
        </w:rPr>
      </w:pPr>
      <w:r>
        <w:rPr>
          <w:color w:val="262526"/>
        </w:rPr>
        <w:t>This section summarises the Commission’s reasons for making the more preferable draft rule including consideration of how it better contributes to the achievement of the NEO than the proposed rule.</w:t>
      </w:r>
      <w:r>
        <w:rPr>
          <w:color w:val="262526"/>
          <w:position w:val="8"/>
          <w:sz w:val="12"/>
        </w:rPr>
        <w:t>34</w:t>
      </w:r>
    </w:p>
    <w:p>
      <w:pPr>
        <w:pStyle w:val="Heading4"/>
      </w:pPr>
      <w:r>
        <w:rPr>
          <w:color w:val="262526"/>
        </w:rPr>
        <w:t>Effective risk identification and assessment</w:t>
      </w:r>
    </w:p>
    <w:p>
      <w:pPr>
        <w:pStyle w:val="BodyText"/>
        <w:spacing w:line="278" w:lineRule="auto" w:before="152"/>
        <w:ind w:left="2692" w:right="295"/>
      </w:pPr>
      <w:r>
        <w:rPr>
          <w:color w:val="262526"/>
        </w:rPr>
        <w:t>The Commission has determined that the more preferable draft rule is likely to promote better identification and assessment of emerging system risks through expanding the scope of the PSFRR into a GPSRR, streamlining the process for the GPSRR and making the review more frequent. This is because:</w:t>
      </w:r>
    </w:p>
    <w:p>
      <w:pPr>
        <w:pStyle w:val="ListParagraph"/>
        <w:numPr>
          <w:ilvl w:val="0"/>
          <w:numId w:val="19"/>
        </w:numPr>
        <w:tabs>
          <w:tab w:pos="3034" w:val="left" w:leader="none"/>
        </w:tabs>
        <w:spacing w:line="278" w:lineRule="auto" w:before="113" w:after="0"/>
        <w:ind w:left="3033" w:right="405" w:hanging="341"/>
        <w:jc w:val="both"/>
        <w:rPr>
          <w:sz w:val="20"/>
        </w:rPr>
      </w:pPr>
      <w:r>
        <w:rPr>
          <w:color w:val="262526"/>
          <w:sz w:val="20"/>
        </w:rPr>
        <w:t>Individual system services are frequently capable of addressing more than one system need. A coordinated assessment of all system security risks, through the GPSRR, could assist in a more efficient deployment of system services to address system</w:t>
      </w:r>
      <w:r>
        <w:rPr>
          <w:color w:val="262526"/>
          <w:spacing w:val="19"/>
          <w:sz w:val="20"/>
        </w:rPr>
        <w:t> </w:t>
      </w:r>
      <w:r>
        <w:rPr>
          <w:color w:val="262526"/>
          <w:sz w:val="20"/>
        </w:rPr>
        <w:t>needs.</w:t>
      </w:r>
    </w:p>
    <w:p>
      <w:pPr>
        <w:pStyle w:val="ListParagraph"/>
        <w:numPr>
          <w:ilvl w:val="0"/>
          <w:numId w:val="19"/>
        </w:numPr>
        <w:tabs>
          <w:tab w:pos="3034" w:val="left" w:leader="none"/>
        </w:tabs>
        <w:spacing w:line="278" w:lineRule="auto" w:before="57" w:after="0"/>
        <w:ind w:left="3033" w:right="538" w:hanging="341"/>
        <w:jc w:val="left"/>
        <w:rPr>
          <w:sz w:val="20"/>
        </w:rPr>
      </w:pPr>
      <w:r>
        <w:rPr>
          <w:color w:val="262526"/>
          <w:sz w:val="20"/>
        </w:rPr>
        <w:t>Including the ability to consider events and conditions on distribution networks in the GPSRR would provide better visibility of the performance of DER and inform AEMO’s understanding of the effectiveness of emergency response</w:t>
      </w:r>
      <w:r>
        <w:rPr>
          <w:color w:val="262526"/>
          <w:spacing w:val="7"/>
          <w:sz w:val="20"/>
        </w:rPr>
        <w:t> </w:t>
      </w:r>
      <w:r>
        <w:rPr>
          <w:color w:val="262526"/>
          <w:sz w:val="20"/>
        </w:rPr>
        <w:t>mechanisms.</w:t>
      </w:r>
    </w:p>
    <w:p>
      <w:pPr>
        <w:pStyle w:val="ListParagraph"/>
        <w:numPr>
          <w:ilvl w:val="0"/>
          <w:numId w:val="19"/>
        </w:numPr>
        <w:tabs>
          <w:tab w:pos="3034" w:val="left" w:leader="none"/>
        </w:tabs>
        <w:spacing w:line="278" w:lineRule="auto" w:before="56" w:after="0"/>
        <w:ind w:left="3033" w:right="326" w:hanging="341"/>
        <w:jc w:val="left"/>
        <w:rPr>
          <w:sz w:val="20"/>
        </w:rPr>
      </w:pPr>
      <w:r>
        <w:rPr>
          <w:color w:val="262526"/>
          <w:sz w:val="20"/>
        </w:rPr>
        <w:t>A streamlined, a more frequent review process would allow AEMO to sufficiently quickly identify emerging risks in order to effectively manage</w:t>
      </w:r>
      <w:r>
        <w:rPr>
          <w:color w:val="262526"/>
          <w:spacing w:val="2"/>
          <w:sz w:val="20"/>
        </w:rPr>
        <w:t> </w:t>
      </w:r>
      <w:r>
        <w:rPr>
          <w:color w:val="262526"/>
          <w:sz w:val="20"/>
        </w:rPr>
        <w:t>them.</w:t>
      </w:r>
    </w:p>
    <w:p>
      <w:pPr>
        <w:pStyle w:val="BodyText"/>
        <w:spacing w:line="278" w:lineRule="auto" w:before="57"/>
        <w:ind w:left="2692"/>
      </w:pPr>
      <w:r>
        <w:rPr>
          <w:color w:val="262526"/>
        </w:rPr>
        <w:t>The Commission considers that the more preferable draft rule is likely to achieve the NEO through promoting effective system security risk identification and assessment.</w:t>
      </w:r>
    </w:p>
    <w:p>
      <w:pPr>
        <w:pStyle w:val="BodyText"/>
        <w:spacing w:line="278" w:lineRule="auto" w:before="113"/>
        <w:ind w:left="2692" w:right="295"/>
      </w:pPr>
      <w:r>
        <w:rPr>
          <w:color w:val="262526"/>
        </w:rPr>
        <w:t>These risks would be identified in a more timely manner, although the Commission acknowledges that some additional costs may be incurred through the requirement for annual reviews.</w:t>
      </w:r>
    </w:p>
    <w:p>
      <w:pPr>
        <w:pStyle w:val="Heading4"/>
        <w:spacing w:before="114"/>
      </w:pPr>
      <w:r>
        <w:rPr>
          <w:color w:val="262526"/>
        </w:rPr>
        <w:t>Transparency and clear accountabilities</w:t>
      </w:r>
    </w:p>
    <w:p>
      <w:pPr>
        <w:pStyle w:val="BodyText"/>
        <w:spacing w:line="278" w:lineRule="auto" w:before="152"/>
        <w:ind w:left="2692" w:right="295"/>
      </w:pPr>
      <w:r>
        <w:rPr>
          <w:color w:val="262526"/>
        </w:rPr>
        <w:t>The Commission has determined that the more explicit links between NSP annual planning reviews, the ISP and GPSRR would promote transparency of planning processes and clear accountabilities of parties involved in the system security risk management. In the Commission’s view, the more preferable draft rule is likely to:</w:t>
      </w:r>
    </w:p>
    <w:p>
      <w:pPr>
        <w:pStyle w:val="BodyText"/>
        <w:spacing w:before="11"/>
      </w:pPr>
      <w:r>
        <w:rPr/>
        <w:pict>
          <v:shape style="position:absolute;margin-left:134.645996pt;margin-top:15.077531pt;width:49.65pt;height:.1pt;mso-position-horizontal-relative:page;mso-position-vertical-relative:paragraph;z-index:-15720960;mso-wrap-distance-left:0;mso-wrap-distance-right:0" coordorigin="2693,302" coordsize="993,0" path="m2693,302l3685,302e" filled="false" stroked="true" strokeweight="1pt" strokecolor="#262526">
            <v:path arrowok="t"/>
            <v:stroke dashstyle="solid"/>
            <w10:wrap type="topAndBottom"/>
          </v:shape>
        </w:pict>
      </w:r>
    </w:p>
    <w:p>
      <w:pPr>
        <w:pStyle w:val="ListParagraph"/>
        <w:numPr>
          <w:ilvl w:val="0"/>
          <w:numId w:val="12"/>
        </w:numPr>
        <w:tabs>
          <w:tab w:pos="3034" w:val="left" w:leader="none"/>
        </w:tabs>
        <w:spacing w:line="240" w:lineRule="auto" w:before="98" w:after="0"/>
        <w:ind w:left="3033" w:right="0" w:hanging="342"/>
        <w:jc w:val="left"/>
        <w:rPr>
          <w:sz w:val="14"/>
        </w:rPr>
      </w:pPr>
      <w:r>
        <w:rPr>
          <w:color w:val="262526"/>
          <w:sz w:val="14"/>
        </w:rPr>
        <w:t>Further detail on the Commission’s reasons for making the draft rule in each of these areas are presented in Chapter</w:t>
      </w:r>
      <w:r>
        <w:rPr>
          <w:color w:val="262526"/>
          <w:spacing w:val="-26"/>
          <w:sz w:val="14"/>
        </w:rPr>
        <w:t> </w:t>
      </w:r>
      <w:r>
        <w:rPr>
          <w:color w:val="262526"/>
          <w:sz w:val="14"/>
        </w:rPr>
        <w:t>3.</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ListParagraph"/>
        <w:numPr>
          <w:ilvl w:val="2"/>
          <w:numId w:val="11"/>
        </w:numPr>
        <w:tabs>
          <w:tab w:pos="3033" w:val="left" w:leader="none"/>
          <w:tab w:pos="3034" w:val="left" w:leader="none"/>
        </w:tabs>
        <w:spacing w:line="240" w:lineRule="auto" w:before="107" w:after="0"/>
        <w:ind w:left="3033" w:right="0" w:hanging="341"/>
        <w:jc w:val="left"/>
        <w:rPr>
          <w:sz w:val="20"/>
        </w:rPr>
      </w:pPr>
      <w:r>
        <w:rPr>
          <w:color w:val="262526"/>
          <w:sz w:val="20"/>
        </w:rPr>
        <w:t>assist in the implementation of the lowest cost management processes</w:t>
      </w:r>
      <w:r>
        <w:rPr>
          <w:color w:val="262526"/>
          <w:spacing w:val="16"/>
          <w:sz w:val="20"/>
        </w:rPr>
        <w:t> </w:t>
      </w:r>
      <w:r>
        <w:rPr>
          <w:color w:val="262526"/>
          <w:sz w:val="20"/>
        </w:rPr>
        <w:t>overall</w:t>
      </w:r>
    </w:p>
    <w:p>
      <w:pPr>
        <w:pStyle w:val="ListParagraph"/>
        <w:numPr>
          <w:ilvl w:val="2"/>
          <w:numId w:val="11"/>
        </w:numPr>
        <w:tabs>
          <w:tab w:pos="3033" w:val="left" w:leader="none"/>
          <w:tab w:pos="3034" w:val="left" w:leader="none"/>
        </w:tabs>
        <w:spacing w:line="240" w:lineRule="auto" w:before="95" w:after="0"/>
        <w:ind w:left="3033" w:right="0" w:hanging="341"/>
        <w:jc w:val="left"/>
        <w:rPr>
          <w:sz w:val="20"/>
        </w:rPr>
      </w:pPr>
      <w:r>
        <w:rPr>
          <w:color w:val="262526"/>
          <w:sz w:val="20"/>
        </w:rPr>
        <w:t>allow AEMO to more fully consider risks arising from increasing</w:t>
      </w:r>
      <w:r>
        <w:rPr>
          <w:color w:val="262526"/>
          <w:spacing w:val="7"/>
          <w:sz w:val="20"/>
        </w:rPr>
        <w:t> </w:t>
      </w:r>
      <w:r>
        <w:rPr>
          <w:color w:val="262526"/>
          <w:sz w:val="20"/>
        </w:rPr>
        <w:t>DER</w:t>
      </w:r>
    </w:p>
    <w:p>
      <w:pPr>
        <w:pStyle w:val="ListParagraph"/>
        <w:numPr>
          <w:ilvl w:val="2"/>
          <w:numId w:val="11"/>
        </w:numPr>
        <w:tabs>
          <w:tab w:pos="3033" w:val="left" w:leader="none"/>
          <w:tab w:pos="3034" w:val="left" w:leader="none"/>
        </w:tabs>
        <w:spacing w:line="278" w:lineRule="auto" w:before="95" w:after="0"/>
        <w:ind w:left="3033" w:right="195" w:hanging="341"/>
        <w:jc w:val="left"/>
        <w:rPr>
          <w:sz w:val="20"/>
        </w:rPr>
      </w:pPr>
      <w:r>
        <w:rPr>
          <w:color w:val="262526"/>
          <w:sz w:val="20"/>
        </w:rPr>
        <w:t>provide for capturing the learnings from a GPSRR in broader NEM planning and reporting processes, and</w:t>
      </w:r>
    </w:p>
    <w:p>
      <w:pPr>
        <w:pStyle w:val="ListParagraph"/>
        <w:numPr>
          <w:ilvl w:val="2"/>
          <w:numId w:val="11"/>
        </w:numPr>
        <w:tabs>
          <w:tab w:pos="3033" w:val="left" w:leader="none"/>
          <w:tab w:pos="3034" w:val="left" w:leader="none"/>
        </w:tabs>
        <w:spacing w:line="278" w:lineRule="auto" w:before="57" w:after="0"/>
        <w:ind w:left="3033" w:right="470" w:hanging="341"/>
        <w:jc w:val="left"/>
        <w:rPr>
          <w:sz w:val="20"/>
        </w:rPr>
      </w:pPr>
      <w:r>
        <w:rPr>
          <w:color w:val="262526"/>
          <w:sz w:val="20"/>
        </w:rPr>
        <w:t>assist in the identification of regulatory changes required to manage risks that are not recognised under the existing risk management</w:t>
      </w:r>
      <w:r>
        <w:rPr>
          <w:color w:val="262526"/>
          <w:spacing w:val="2"/>
          <w:sz w:val="20"/>
        </w:rPr>
        <w:t> </w:t>
      </w:r>
      <w:r>
        <w:rPr>
          <w:color w:val="262526"/>
          <w:sz w:val="20"/>
        </w:rPr>
        <w:t>frameworks.</w:t>
      </w:r>
    </w:p>
    <w:p>
      <w:pPr>
        <w:pStyle w:val="BodyText"/>
        <w:spacing w:line="278" w:lineRule="auto" w:before="57"/>
        <w:ind w:left="2692"/>
      </w:pPr>
      <w:r>
        <w:rPr>
          <w:color w:val="262526"/>
        </w:rPr>
        <w:t>The Commission considers that the more preferable draft rule would contribute to the achievement of the NEO as it promotes coordination among parties responsible for system security and resilience and coordinated management of the identified risks.</w:t>
      </w:r>
    </w:p>
    <w:p>
      <w:pPr>
        <w:pStyle w:val="Heading4"/>
      </w:pPr>
      <w:r>
        <w:rPr>
          <w:color w:val="262526"/>
        </w:rPr>
        <w:t>Flexibility and efficiency</w:t>
      </w:r>
    </w:p>
    <w:p>
      <w:pPr>
        <w:pStyle w:val="BodyText"/>
        <w:spacing w:line="278" w:lineRule="auto" w:before="152"/>
        <w:ind w:left="2692" w:right="171"/>
      </w:pPr>
      <w:r>
        <w:rPr>
          <w:color w:val="262526"/>
        </w:rPr>
        <w:t>The more preferable draft rule would allow flexibility for AEMO to prioritise certain risks over others when undertaking the GPSRR. AEMO would not be required to identify or undertake a detailed assessment of all conceivable risks. Some risks may not be relevant in the region being considered or cease to be relevant, while others as yet unidentified will assume greater importance.</w:t>
      </w:r>
    </w:p>
    <w:p>
      <w:pPr>
        <w:pStyle w:val="BodyText"/>
        <w:spacing w:before="113"/>
        <w:ind w:left="2692"/>
      </w:pPr>
      <w:r>
        <w:rPr>
          <w:color w:val="262526"/>
        </w:rPr>
        <w:t>The Commission considers that such flexibility would:</w:t>
      </w:r>
    </w:p>
    <w:p>
      <w:pPr>
        <w:pStyle w:val="ListParagraph"/>
        <w:numPr>
          <w:ilvl w:val="2"/>
          <w:numId w:val="11"/>
        </w:numPr>
        <w:tabs>
          <w:tab w:pos="3033" w:val="left" w:leader="none"/>
          <w:tab w:pos="3034" w:val="left" w:leader="none"/>
        </w:tabs>
        <w:spacing w:line="278" w:lineRule="auto" w:before="152" w:after="0"/>
        <w:ind w:left="3033" w:right="383" w:hanging="341"/>
        <w:jc w:val="left"/>
        <w:rPr>
          <w:sz w:val="20"/>
        </w:rPr>
      </w:pPr>
      <w:r>
        <w:rPr>
          <w:color w:val="262526"/>
          <w:sz w:val="20"/>
        </w:rPr>
        <w:t>allow AEMO and NSPs to make the most efficient use of resources in responding to the most pressing risks present in a particular region of the NEM,</w:t>
      </w:r>
      <w:r>
        <w:rPr>
          <w:color w:val="262526"/>
          <w:spacing w:val="9"/>
          <w:sz w:val="20"/>
        </w:rPr>
        <w:t> </w:t>
      </w:r>
      <w:r>
        <w:rPr>
          <w:color w:val="262526"/>
          <w:sz w:val="20"/>
        </w:rPr>
        <w:t>and</w:t>
      </w:r>
    </w:p>
    <w:p>
      <w:pPr>
        <w:pStyle w:val="ListParagraph"/>
        <w:numPr>
          <w:ilvl w:val="2"/>
          <w:numId w:val="11"/>
        </w:numPr>
        <w:tabs>
          <w:tab w:pos="3033" w:val="left" w:leader="none"/>
          <w:tab w:pos="3034" w:val="left" w:leader="none"/>
        </w:tabs>
        <w:spacing w:line="240" w:lineRule="auto" w:before="57" w:after="0"/>
        <w:ind w:left="3033" w:right="0" w:hanging="341"/>
        <w:jc w:val="left"/>
        <w:rPr>
          <w:sz w:val="20"/>
        </w:rPr>
      </w:pPr>
      <w:r>
        <w:rPr>
          <w:color w:val="262526"/>
          <w:sz w:val="20"/>
        </w:rPr>
        <w:t>promote efficiency and value in reporting.</w:t>
      </w:r>
    </w:p>
    <w:p>
      <w:pPr>
        <w:pStyle w:val="BodyText"/>
        <w:spacing w:line="278" w:lineRule="auto" w:before="95"/>
        <w:ind w:left="2692" w:right="256"/>
        <w:jc w:val="both"/>
      </w:pPr>
      <w:r>
        <w:rPr>
          <w:color w:val="262526"/>
        </w:rPr>
        <w:t>The Commission has determined that the more preferable rule would promote the NEO as it would allow for efficient allocation of resources. This would provide for the greatest possible value to come from the review and the investment of resources in conducting the review.</w:t>
      </w:r>
    </w:p>
    <w:p>
      <w:pPr>
        <w:pStyle w:val="Heading4"/>
        <w:jc w:val="both"/>
      </w:pPr>
      <w:r>
        <w:rPr>
          <w:color w:val="262526"/>
        </w:rPr>
        <w:t>More preferable draft rule</w:t>
      </w:r>
    </w:p>
    <w:p>
      <w:pPr>
        <w:pStyle w:val="BodyText"/>
        <w:spacing w:line="278" w:lineRule="auto" w:before="152"/>
        <w:ind w:left="2692" w:right="162"/>
      </w:pPr>
      <w:r>
        <w:rPr>
          <w:color w:val="262526"/>
        </w:rPr>
        <w:t>The Commission has made a change to the COAG Energy Council’s proposed rule by retaining the requirement for AEMO to consider non-credible contingency events for the risks  associated with frequency variations (as is currently the case), and all events and conditions (including contingency events) for all other types of risks, that AEMO considers are likely to lead to cascading outages or major supply disruptions. The Commission considers that this change better:</w:t>
      </w:r>
    </w:p>
    <w:p>
      <w:pPr>
        <w:pStyle w:val="ListParagraph"/>
        <w:numPr>
          <w:ilvl w:val="2"/>
          <w:numId w:val="11"/>
        </w:numPr>
        <w:tabs>
          <w:tab w:pos="3033" w:val="left" w:leader="none"/>
          <w:tab w:pos="3034" w:val="left" w:leader="none"/>
        </w:tabs>
        <w:spacing w:line="278" w:lineRule="auto" w:before="114" w:after="0"/>
        <w:ind w:left="3033" w:right="727" w:hanging="341"/>
        <w:jc w:val="left"/>
        <w:rPr>
          <w:sz w:val="20"/>
        </w:rPr>
      </w:pPr>
      <w:r>
        <w:rPr>
          <w:color w:val="262526"/>
          <w:sz w:val="20"/>
        </w:rPr>
        <w:t>maintains the delineation between the existing protected event framework that is designed for management of frequency risks arising from non-credible contingency events, and the assessment of risks associated with all other events and conditions (including contingency events), and</w:t>
      </w:r>
    </w:p>
    <w:p>
      <w:pPr>
        <w:pStyle w:val="ListParagraph"/>
        <w:numPr>
          <w:ilvl w:val="2"/>
          <w:numId w:val="11"/>
        </w:numPr>
        <w:tabs>
          <w:tab w:pos="3033" w:val="left" w:leader="none"/>
          <w:tab w:pos="3034" w:val="left" w:leader="none"/>
        </w:tabs>
        <w:spacing w:line="278" w:lineRule="auto" w:before="56" w:after="0"/>
        <w:ind w:left="3033" w:right="718" w:hanging="341"/>
        <w:jc w:val="left"/>
        <w:rPr>
          <w:sz w:val="20"/>
        </w:rPr>
      </w:pPr>
      <w:r>
        <w:rPr>
          <w:color w:val="262526"/>
          <w:sz w:val="20"/>
        </w:rPr>
        <w:t>recognises the existing arrangements that allow AEMO to manage frequency risks associated with credible contingency events through the frequency control ancillary services (FCAS) markets.</w:t>
      </w:r>
    </w:p>
    <w:p>
      <w:pPr>
        <w:pStyle w:val="BodyText"/>
        <w:spacing w:line="278" w:lineRule="auto" w:before="57"/>
        <w:ind w:left="2692" w:right="228"/>
        <w:jc w:val="both"/>
      </w:pPr>
      <w:r>
        <w:rPr>
          <w:color w:val="262526"/>
        </w:rPr>
        <w:t>The Commission has determined that the more preferable draft rule promotes the NEO as it aligns with other parts of the regulatory framework without making any unintended changes to them.</w:t>
      </w:r>
    </w:p>
    <w:p>
      <w:pPr>
        <w:spacing w:after="0" w:line="278" w:lineRule="auto"/>
        <w:jc w:val="both"/>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5"/>
        </w:rPr>
      </w:pPr>
    </w:p>
    <w:p>
      <w:pPr>
        <w:pStyle w:val="Heading2"/>
        <w:numPr>
          <w:ilvl w:val="1"/>
          <w:numId w:val="11"/>
        </w:numPr>
        <w:tabs>
          <w:tab w:pos="2692" w:val="left" w:leader="none"/>
          <w:tab w:pos="2693" w:val="left" w:leader="none"/>
        </w:tabs>
        <w:spacing w:line="240" w:lineRule="auto" w:before="110" w:after="0"/>
        <w:ind w:left="2692" w:right="0" w:hanging="1560"/>
        <w:jc w:val="left"/>
      </w:pPr>
      <w:bookmarkStart w:name="2.5 Transitional arrangements " w:id="31"/>
      <w:bookmarkEnd w:id="31"/>
      <w:r>
        <w:rPr/>
      </w:r>
      <w:bookmarkStart w:name="_bookmark9" w:id="32"/>
      <w:bookmarkEnd w:id="32"/>
      <w:r>
        <w:rPr/>
      </w:r>
      <w:bookmarkStart w:name="_bookmark9" w:id="33"/>
      <w:bookmarkEnd w:id="33"/>
      <w:r>
        <w:rPr>
          <w:color w:val="00ACEC"/>
          <w:spacing w:val="-3"/>
        </w:rPr>
        <w:t>T</w:t>
      </w:r>
      <w:r>
        <w:rPr>
          <w:color w:val="00ACEC"/>
          <w:spacing w:val="-3"/>
        </w:rPr>
        <w:t>ransitional</w:t>
      </w:r>
      <w:r>
        <w:rPr>
          <w:color w:val="00ACEC"/>
        </w:rPr>
        <w:t> arrangements</w:t>
      </w:r>
    </w:p>
    <w:p>
      <w:pPr>
        <w:pStyle w:val="BodyText"/>
        <w:spacing w:line="278" w:lineRule="auto" w:before="79"/>
        <w:ind w:left="2692"/>
      </w:pPr>
      <w:r>
        <w:rPr>
          <w:color w:val="262526"/>
        </w:rPr>
        <w:t>The proposed rule submitted by the COAG Energy Council does not include any proposed transitional arrangements for the first GPSRR.</w:t>
      </w:r>
    </w:p>
    <w:p>
      <w:pPr>
        <w:pStyle w:val="BodyText"/>
        <w:spacing w:line="278" w:lineRule="auto" w:before="113"/>
        <w:ind w:left="2692" w:right="171"/>
      </w:pPr>
      <w:r>
        <w:rPr>
          <w:color w:val="262526"/>
        </w:rPr>
        <w:t>The more preferable draft rule made by the Commission replaces the existing requirement to undertake the PSFRR with the requirement to do the GPSRR. The more preferable draft rule also sets out transitional arrangements for the first GPSRR requiring AEMO to complete the first GPSRR within 18 months of the date the rule is made. With the recent publication of a PSFRR final report,</w:t>
      </w:r>
      <w:r>
        <w:rPr>
          <w:color w:val="262526"/>
          <w:position w:val="8"/>
          <w:sz w:val="12"/>
        </w:rPr>
        <w:t>35 </w:t>
      </w:r>
      <w:r>
        <w:rPr>
          <w:color w:val="262526"/>
        </w:rPr>
        <w:t>this means that AEMO would not be required to undertake another PSFRR.</w:t>
      </w:r>
    </w:p>
    <w:p>
      <w:pPr>
        <w:pStyle w:val="BodyText"/>
        <w:spacing w:line="278" w:lineRule="auto" w:before="113"/>
        <w:ind w:left="2692"/>
      </w:pPr>
      <w:r>
        <w:rPr>
          <w:color w:val="262526"/>
        </w:rPr>
        <w:t>Given that the rule change significantly broadens the scope of the existing review, the Commission considers it appropriate to allow AEMO an 18 month period to develop methodologies and assumptions, consult with stakeholders and assess identified risks and options to manage them.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8"/>
        </w:rPr>
      </w:pPr>
      <w:r>
        <w:rPr/>
        <w:pict>
          <v:shape style="position:absolute;margin-left:134.645996pt;margin-top:19.556047pt;width:49.65pt;height:.1pt;mso-position-horizontal-relative:page;mso-position-vertical-relative:paragraph;z-index:-15720448;mso-wrap-distance-left:0;mso-wrap-distance-right:0" coordorigin="2693,391" coordsize="993,0" path="m2693,391l3685,391e" filled="false" stroked="true" strokeweight="1pt" strokecolor="#262526">
            <v:path arrowok="t"/>
            <v:stroke dashstyle="solid"/>
            <w10:wrap type="topAndBottom"/>
          </v:shape>
        </w:pict>
      </w:r>
    </w:p>
    <w:p>
      <w:pPr>
        <w:pStyle w:val="ListParagraph"/>
        <w:numPr>
          <w:ilvl w:val="0"/>
          <w:numId w:val="12"/>
        </w:numPr>
        <w:tabs>
          <w:tab w:pos="3034" w:val="left" w:leader="none"/>
        </w:tabs>
        <w:spacing w:line="240" w:lineRule="auto" w:before="98" w:after="0"/>
        <w:ind w:left="3033" w:right="0" w:hanging="342"/>
        <w:jc w:val="left"/>
        <w:rPr>
          <w:sz w:val="14"/>
        </w:rPr>
      </w:pPr>
      <w:r>
        <w:rPr>
          <w:color w:val="262526"/>
          <w:sz w:val="14"/>
        </w:rPr>
        <w:t>AEMO, </w:t>
      </w:r>
      <w:r>
        <w:rPr>
          <w:i/>
          <w:color w:val="262526"/>
          <w:sz w:val="14"/>
        </w:rPr>
        <w:t>Power System Frequency Risk Review</w:t>
      </w:r>
      <w:r>
        <w:rPr>
          <w:color w:val="262526"/>
          <w:sz w:val="14"/>
        </w:rPr>
        <w:t>, Stage 2 Final Report, December</w:t>
      </w:r>
      <w:r>
        <w:rPr>
          <w:color w:val="262526"/>
          <w:spacing w:val="-9"/>
          <w:sz w:val="14"/>
        </w:rPr>
        <w:t> </w:t>
      </w:r>
      <w:r>
        <w:rPr>
          <w:color w:val="262526"/>
          <w:sz w:val="14"/>
        </w:rPr>
        <w:t>2020.</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Heading1"/>
        <w:numPr>
          <w:ilvl w:val="0"/>
          <w:numId w:val="6"/>
        </w:numPr>
        <w:tabs>
          <w:tab w:pos="2692" w:val="left" w:leader="none"/>
          <w:tab w:pos="2693" w:val="left" w:leader="none"/>
        </w:tabs>
        <w:spacing w:line="240" w:lineRule="auto" w:before="112" w:after="0"/>
        <w:ind w:left="2692" w:right="0" w:hanging="1560"/>
        <w:jc w:val="left"/>
      </w:pPr>
      <w:bookmarkStart w:name="3 Commission considerations " w:id="34"/>
      <w:bookmarkEnd w:id="34"/>
      <w:r>
        <w:rPr/>
      </w:r>
      <w:bookmarkStart w:name="3.1 Scope of and requirements for the GP" w:id="35"/>
      <w:bookmarkEnd w:id="35"/>
      <w:r>
        <w:rPr/>
      </w:r>
      <w:bookmarkStart w:name="_bookmark10" w:id="36"/>
      <w:bookmarkEnd w:id="36"/>
      <w:r>
        <w:rPr/>
      </w:r>
      <w:bookmarkStart w:name="_bookmark10" w:id="37"/>
      <w:bookmarkEnd w:id="37"/>
      <w:r>
        <w:rPr>
          <w:color w:val="00ACEC"/>
        </w:rPr>
        <w:t>COMMI</w:t>
      </w:r>
      <w:r>
        <w:rPr>
          <w:color w:val="00ACEC"/>
        </w:rPr>
        <w:t>SSION</w:t>
      </w:r>
      <w:r>
        <w:rPr>
          <w:color w:val="00ACEC"/>
          <w:spacing w:val="-1"/>
        </w:rPr>
        <w:t> </w:t>
      </w:r>
      <w:r>
        <w:rPr>
          <w:color w:val="00ACEC"/>
        </w:rPr>
        <w:t>CONSIDERATIONS</w:t>
      </w:r>
    </w:p>
    <w:p>
      <w:pPr>
        <w:pStyle w:val="BodyText"/>
        <w:spacing w:line="278" w:lineRule="auto" w:before="233"/>
        <w:ind w:left="2692"/>
      </w:pPr>
      <w:r>
        <w:rPr>
          <w:color w:val="262526"/>
        </w:rPr>
        <w:t>This chapter sets out the Commission’s considerations and analysis in forming its draft determination. The Commission’s considerations are divided into the following sections:</w:t>
      </w:r>
    </w:p>
    <w:p>
      <w:pPr>
        <w:pStyle w:val="ListParagraph"/>
        <w:numPr>
          <w:ilvl w:val="1"/>
          <w:numId w:val="6"/>
        </w:numPr>
        <w:tabs>
          <w:tab w:pos="3033" w:val="left" w:leader="none"/>
          <w:tab w:pos="3034" w:val="left" w:leader="none"/>
        </w:tabs>
        <w:spacing w:line="240" w:lineRule="auto" w:before="113" w:after="0"/>
        <w:ind w:left="3033" w:right="0" w:hanging="341"/>
        <w:jc w:val="left"/>
        <w:rPr>
          <w:sz w:val="20"/>
        </w:rPr>
      </w:pPr>
      <w:r>
        <w:rPr>
          <w:color w:val="262526"/>
          <w:sz w:val="20"/>
        </w:rPr>
        <w:t>scope of and requirements for the GPSRR</w:t>
      </w:r>
    </w:p>
    <w:p>
      <w:pPr>
        <w:pStyle w:val="ListParagraph"/>
        <w:numPr>
          <w:ilvl w:val="1"/>
          <w:numId w:val="6"/>
        </w:numPr>
        <w:tabs>
          <w:tab w:pos="3033" w:val="left" w:leader="none"/>
          <w:tab w:pos="3034" w:val="left" w:leader="none"/>
        </w:tabs>
        <w:spacing w:line="240" w:lineRule="auto" w:before="95" w:after="0"/>
        <w:ind w:left="3033" w:right="0" w:hanging="341"/>
        <w:jc w:val="left"/>
        <w:rPr>
          <w:sz w:val="20"/>
        </w:rPr>
      </w:pPr>
      <w:r>
        <w:rPr>
          <w:color w:val="262526"/>
          <w:sz w:val="20"/>
        </w:rPr>
        <w:t>the GPSRR process, and</w:t>
      </w:r>
    </w:p>
    <w:p>
      <w:pPr>
        <w:pStyle w:val="ListParagraph"/>
        <w:numPr>
          <w:ilvl w:val="1"/>
          <w:numId w:val="6"/>
        </w:numPr>
        <w:tabs>
          <w:tab w:pos="3033" w:val="left" w:leader="none"/>
          <w:tab w:pos="3034" w:val="left" w:leader="none"/>
        </w:tabs>
        <w:spacing w:line="240" w:lineRule="auto" w:before="96" w:after="0"/>
        <w:ind w:left="3033" w:right="0" w:hanging="341"/>
        <w:jc w:val="left"/>
        <w:rPr>
          <w:sz w:val="20"/>
        </w:rPr>
      </w:pPr>
      <w:r>
        <w:rPr>
          <w:color w:val="262526"/>
          <w:sz w:val="20"/>
        </w:rPr>
        <w:t>links to the existing planning</w:t>
      </w:r>
      <w:r>
        <w:rPr>
          <w:color w:val="262526"/>
          <w:spacing w:val="1"/>
          <w:sz w:val="20"/>
        </w:rPr>
        <w:t> </w:t>
      </w:r>
      <w:r>
        <w:rPr>
          <w:color w:val="262526"/>
          <w:sz w:val="20"/>
        </w:rPr>
        <w:t>processes.</w:t>
      </w:r>
    </w:p>
    <w:p>
      <w:pPr>
        <w:pStyle w:val="BodyText"/>
        <w:spacing w:before="8"/>
        <w:rPr>
          <w:sz w:val="12"/>
        </w:rPr>
      </w:pPr>
    </w:p>
    <w:p>
      <w:pPr>
        <w:pStyle w:val="Heading2"/>
        <w:numPr>
          <w:ilvl w:val="1"/>
          <w:numId w:val="20"/>
        </w:numPr>
        <w:tabs>
          <w:tab w:pos="2692" w:val="left" w:leader="none"/>
          <w:tab w:pos="2693" w:val="left" w:leader="none"/>
        </w:tabs>
        <w:spacing w:line="240" w:lineRule="auto" w:before="110" w:after="0"/>
        <w:ind w:left="2692" w:right="0" w:hanging="1560"/>
        <w:jc w:val="left"/>
      </w:pPr>
      <w:r>
        <w:rPr>
          <w:color w:val="00ACEC"/>
        </w:rPr>
        <w:t>Scope of and requirements for the</w:t>
      </w:r>
      <w:r>
        <w:rPr>
          <w:color w:val="00ACEC"/>
          <w:spacing w:val="-5"/>
        </w:rPr>
        <w:t> </w:t>
      </w:r>
      <w:r>
        <w:rPr>
          <w:color w:val="00ACEC"/>
        </w:rPr>
        <w:t>GPSRR</w:t>
      </w:r>
    </w:p>
    <w:p>
      <w:pPr>
        <w:pStyle w:val="BodyText"/>
        <w:spacing w:before="7"/>
        <w:rPr>
          <w:sz w:val="29"/>
        </w:rPr>
      </w:pPr>
    </w:p>
    <w:p>
      <w:pPr>
        <w:pStyle w:val="Heading3"/>
        <w:spacing w:line="252" w:lineRule="auto"/>
        <w:ind w:left="2929" w:right="503"/>
      </w:pPr>
      <w:r>
        <w:rPr/>
        <w:pict>
          <v:rect style="position:absolute;margin-left:134.895996pt;margin-top:-3.077229pt;width:416.5pt;height:395.945pt;mso-position-horizontal-relative:page;mso-position-vertical-relative:paragraph;z-index:-16626176" filled="false" stroked="true" strokeweight=".5pt" strokecolor="#00acec">
            <v:stroke dashstyle="solid"/>
            <w10:wrap type="none"/>
          </v:rect>
        </w:pict>
      </w:r>
      <w:r>
        <w:rPr>
          <w:color w:val="00ACEC"/>
        </w:rPr>
        <w:t>BOX 2: </w:t>
      </w:r>
      <w:r>
        <w:rPr>
          <w:color w:val="262526"/>
        </w:rPr>
        <w:t>DRAFT DETERMINATION ON THE INTRODUCTION OF THE GPSRR AND ITS SCOPE</w:t>
      </w:r>
    </w:p>
    <w:p>
      <w:pPr>
        <w:pStyle w:val="BodyText"/>
        <w:spacing w:line="278" w:lineRule="auto" w:before="136"/>
        <w:ind w:left="2929" w:right="412"/>
      </w:pPr>
      <w:r>
        <w:rPr>
          <w:color w:val="464646"/>
        </w:rPr>
        <w:t>The</w:t>
      </w:r>
      <w:r>
        <w:rPr>
          <w:color w:val="464646"/>
          <w:spacing w:val="-40"/>
        </w:rPr>
        <w:t> </w:t>
      </w:r>
      <w:r>
        <w:rPr>
          <w:color w:val="464646"/>
        </w:rPr>
        <w:t>Commission’s</w:t>
      </w:r>
      <w:r>
        <w:rPr>
          <w:color w:val="464646"/>
          <w:spacing w:val="-39"/>
        </w:rPr>
        <w:t> </w:t>
      </w:r>
      <w:r>
        <w:rPr>
          <w:color w:val="464646"/>
        </w:rPr>
        <w:t>draft</w:t>
      </w:r>
      <w:r>
        <w:rPr>
          <w:color w:val="464646"/>
          <w:spacing w:val="-40"/>
        </w:rPr>
        <w:t> </w:t>
      </w:r>
      <w:r>
        <w:rPr>
          <w:color w:val="464646"/>
        </w:rPr>
        <w:t>determination</w:t>
      </w:r>
      <w:r>
        <w:rPr>
          <w:color w:val="464646"/>
          <w:spacing w:val="-39"/>
        </w:rPr>
        <w:t> </w:t>
      </w:r>
      <w:r>
        <w:rPr>
          <w:color w:val="464646"/>
        </w:rPr>
        <w:t>is</w:t>
      </w:r>
      <w:r>
        <w:rPr>
          <w:color w:val="464646"/>
          <w:spacing w:val="-40"/>
        </w:rPr>
        <w:t> </w:t>
      </w:r>
      <w:r>
        <w:rPr>
          <w:color w:val="464646"/>
        </w:rPr>
        <w:t>to</w:t>
      </w:r>
      <w:r>
        <w:rPr>
          <w:color w:val="464646"/>
          <w:spacing w:val="-39"/>
        </w:rPr>
        <w:t> </w:t>
      </w:r>
      <w:r>
        <w:rPr>
          <w:color w:val="464646"/>
        </w:rPr>
        <w:t>implement</w:t>
      </w:r>
      <w:r>
        <w:rPr>
          <w:color w:val="464646"/>
          <w:spacing w:val="-40"/>
        </w:rPr>
        <w:t> </w:t>
      </w:r>
      <w:r>
        <w:rPr>
          <w:color w:val="464646"/>
        </w:rPr>
        <w:t>the</w:t>
      </w:r>
      <w:r>
        <w:rPr>
          <w:color w:val="464646"/>
          <w:spacing w:val="-39"/>
        </w:rPr>
        <w:t> </w:t>
      </w:r>
      <w:r>
        <w:rPr>
          <w:color w:val="464646"/>
        </w:rPr>
        <w:t>General</w:t>
      </w:r>
      <w:r>
        <w:rPr>
          <w:color w:val="464646"/>
          <w:spacing w:val="-40"/>
        </w:rPr>
        <w:t> </w:t>
      </w:r>
      <w:r>
        <w:rPr>
          <w:color w:val="464646"/>
        </w:rPr>
        <w:t>Power</w:t>
      </w:r>
      <w:r>
        <w:rPr>
          <w:color w:val="464646"/>
          <w:spacing w:val="-39"/>
        </w:rPr>
        <w:t> </w:t>
      </w:r>
      <w:r>
        <w:rPr>
          <w:color w:val="464646"/>
        </w:rPr>
        <w:t>System</w:t>
      </w:r>
      <w:r>
        <w:rPr>
          <w:color w:val="464646"/>
          <w:spacing w:val="-40"/>
        </w:rPr>
        <w:t> </w:t>
      </w:r>
      <w:r>
        <w:rPr>
          <w:color w:val="464646"/>
        </w:rPr>
        <w:t>Risk</w:t>
      </w:r>
      <w:r>
        <w:rPr>
          <w:color w:val="464646"/>
          <w:spacing w:val="-39"/>
        </w:rPr>
        <w:t> </w:t>
      </w:r>
      <w:r>
        <w:rPr>
          <w:color w:val="464646"/>
        </w:rPr>
        <w:t>Review and</w:t>
      </w:r>
      <w:r>
        <w:rPr>
          <w:color w:val="464646"/>
          <w:spacing w:val="-17"/>
        </w:rPr>
        <w:t> </w:t>
      </w:r>
      <w:r>
        <w:rPr>
          <w:color w:val="464646"/>
        </w:rPr>
        <w:t>require</w:t>
      </w:r>
      <w:r>
        <w:rPr>
          <w:color w:val="464646"/>
          <w:spacing w:val="-17"/>
        </w:rPr>
        <w:t> </w:t>
      </w:r>
      <w:r>
        <w:rPr>
          <w:color w:val="464646"/>
        </w:rPr>
        <w:t>AEMO</w:t>
      </w:r>
      <w:r>
        <w:rPr>
          <w:color w:val="464646"/>
          <w:spacing w:val="-17"/>
        </w:rPr>
        <w:t> </w:t>
      </w:r>
      <w:r>
        <w:rPr>
          <w:color w:val="464646"/>
        </w:rPr>
        <w:t>to</w:t>
      </w:r>
      <w:r>
        <w:rPr>
          <w:color w:val="464646"/>
          <w:spacing w:val="-17"/>
        </w:rPr>
        <w:t> </w:t>
      </w:r>
      <w:r>
        <w:rPr>
          <w:color w:val="464646"/>
        </w:rPr>
        <w:t>consider</w:t>
      </w:r>
      <w:r>
        <w:rPr>
          <w:color w:val="464646"/>
          <w:spacing w:val="-17"/>
        </w:rPr>
        <w:t> </w:t>
      </w:r>
      <w:r>
        <w:rPr>
          <w:color w:val="464646"/>
        </w:rPr>
        <w:t>and</w:t>
      </w:r>
      <w:r>
        <w:rPr>
          <w:color w:val="464646"/>
          <w:spacing w:val="-17"/>
        </w:rPr>
        <w:t> </w:t>
      </w:r>
      <w:r>
        <w:rPr>
          <w:color w:val="464646"/>
        </w:rPr>
        <w:t>identify</w:t>
      </w:r>
      <w:r>
        <w:rPr>
          <w:color w:val="464646"/>
          <w:spacing w:val="-17"/>
        </w:rPr>
        <w:t> </w:t>
      </w:r>
      <w:r>
        <w:rPr>
          <w:color w:val="464646"/>
        </w:rPr>
        <w:t>options</w:t>
      </w:r>
      <w:r>
        <w:rPr>
          <w:color w:val="464646"/>
          <w:spacing w:val="-17"/>
        </w:rPr>
        <w:t> </w:t>
      </w:r>
      <w:r>
        <w:rPr>
          <w:color w:val="464646"/>
        </w:rPr>
        <w:t>for</w:t>
      </w:r>
      <w:r>
        <w:rPr>
          <w:color w:val="464646"/>
          <w:spacing w:val="-16"/>
        </w:rPr>
        <w:t> </w:t>
      </w:r>
      <w:r>
        <w:rPr>
          <w:color w:val="464646"/>
        </w:rPr>
        <w:t>the</w:t>
      </w:r>
      <w:r>
        <w:rPr>
          <w:color w:val="464646"/>
          <w:spacing w:val="-17"/>
        </w:rPr>
        <w:t> </w:t>
      </w:r>
      <w:r>
        <w:rPr>
          <w:color w:val="464646"/>
        </w:rPr>
        <w:t>future</w:t>
      </w:r>
      <w:r>
        <w:rPr>
          <w:color w:val="464646"/>
          <w:spacing w:val="-17"/>
        </w:rPr>
        <w:t> </w:t>
      </w:r>
      <w:r>
        <w:rPr>
          <w:color w:val="464646"/>
        </w:rPr>
        <w:t>management</w:t>
      </w:r>
      <w:r>
        <w:rPr>
          <w:color w:val="464646"/>
          <w:spacing w:val="-17"/>
        </w:rPr>
        <w:t> </w:t>
      </w:r>
      <w:r>
        <w:rPr>
          <w:color w:val="464646"/>
        </w:rPr>
        <w:t>of:</w:t>
      </w:r>
    </w:p>
    <w:p>
      <w:pPr>
        <w:pStyle w:val="ListParagraph"/>
        <w:numPr>
          <w:ilvl w:val="2"/>
          <w:numId w:val="20"/>
        </w:numPr>
        <w:tabs>
          <w:tab w:pos="3058" w:val="left" w:leader="none"/>
        </w:tabs>
        <w:spacing w:line="278" w:lineRule="auto" w:before="113" w:after="0"/>
        <w:ind w:left="2929" w:right="585" w:firstLine="0"/>
        <w:jc w:val="left"/>
        <w:rPr>
          <w:sz w:val="20"/>
        </w:rPr>
      </w:pPr>
      <w:r>
        <w:rPr>
          <w:color w:val="464646"/>
          <w:sz w:val="20"/>
        </w:rPr>
        <w:t>non-credible</w:t>
      </w:r>
      <w:r>
        <w:rPr>
          <w:color w:val="464646"/>
          <w:spacing w:val="-38"/>
          <w:sz w:val="20"/>
        </w:rPr>
        <w:t> </w:t>
      </w:r>
      <w:r>
        <w:rPr>
          <w:color w:val="464646"/>
          <w:sz w:val="20"/>
        </w:rPr>
        <w:t>contingency</w:t>
      </w:r>
      <w:r>
        <w:rPr>
          <w:color w:val="464646"/>
          <w:spacing w:val="-38"/>
          <w:sz w:val="20"/>
        </w:rPr>
        <w:t> </w:t>
      </w:r>
      <w:r>
        <w:rPr>
          <w:color w:val="464646"/>
          <w:sz w:val="20"/>
        </w:rPr>
        <w:t>events</w:t>
      </w:r>
      <w:r>
        <w:rPr>
          <w:color w:val="464646"/>
          <w:spacing w:val="-37"/>
          <w:sz w:val="20"/>
        </w:rPr>
        <w:t> </w:t>
      </w:r>
      <w:r>
        <w:rPr>
          <w:color w:val="464646"/>
          <w:sz w:val="20"/>
        </w:rPr>
        <w:t>the</w:t>
      </w:r>
      <w:r>
        <w:rPr>
          <w:color w:val="464646"/>
          <w:spacing w:val="-38"/>
          <w:sz w:val="20"/>
        </w:rPr>
        <w:t> </w:t>
      </w:r>
      <w:r>
        <w:rPr>
          <w:color w:val="464646"/>
          <w:sz w:val="20"/>
        </w:rPr>
        <w:t>occurrence</w:t>
      </w:r>
      <w:r>
        <w:rPr>
          <w:color w:val="464646"/>
          <w:spacing w:val="-37"/>
          <w:sz w:val="20"/>
        </w:rPr>
        <w:t> </w:t>
      </w:r>
      <w:r>
        <w:rPr>
          <w:color w:val="464646"/>
          <w:sz w:val="20"/>
        </w:rPr>
        <w:t>of</w:t>
      </w:r>
      <w:r>
        <w:rPr>
          <w:color w:val="464646"/>
          <w:spacing w:val="-38"/>
          <w:sz w:val="20"/>
        </w:rPr>
        <w:t> </w:t>
      </w:r>
      <w:r>
        <w:rPr>
          <w:color w:val="464646"/>
          <w:sz w:val="20"/>
        </w:rPr>
        <w:t>which</w:t>
      </w:r>
      <w:r>
        <w:rPr>
          <w:color w:val="464646"/>
          <w:spacing w:val="-37"/>
          <w:sz w:val="20"/>
        </w:rPr>
        <w:t> </w:t>
      </w:r>
      <w:r>
        <w:rPr>
          <w:color w:val="464646"/>
          <w:sz w:val="20"/>
        </w:rPr>
        <w:t>AEMO</w:t>
      </w:r>
      <w:r>
        <w:rPr>
          <w:color w:val="464646"/>
          <w:spacing w:val="-38"/>
          <w:sz w:val="20"/>
        </w:rPr>
        <w:t> </w:t>
      </w:r>
      <w:r>
        <w:rPr>
          <w:color w:val="464646"/>
          <w:sz w:val="20"/>
        </w:rPr>
        <w:t>expects</w:t>
      </w:r>
      <w:r>
        <w:rPr>
          <w:color w:val="464646"/>
          <w:spacing w:val="-37"/>
          <w:sz w:val="20"/>
        </w:rPr>
        <w:t> </w:t>
      </w:r>
      <w:r>
        <w:rPr>
          <w:color w:val="464646"/>
          <w:sz w:val="20"/>
        </w:rPr>
        <w:t>would</w:t>
      </w:r>
      <w:r>
        <w:rPr>
          <w:color w:val="464646"/>
          <w:spacing w:val="-38"/>
          <w:sz w:val="20"/>
        </w:rPr>
        <w:t> </w:t>
      </w:r>
      <w:r>
        <w:rPr>
          <w:color w:val="464646"/>
          <w:sz w:val="20"/>
        </w:rPr>
        <w:t>be</w:t>
      </w:r>
      <w:r>
        <w:rPr>
          <w:color w:val="464646"/>
          <w:spacing w:val="-37"/>
          <w:sz w:val="20"/>
        </w:rPr>
        <w:t> </w:t>
      </w:r>
      <w:r>
        <w:rPr>
          <w:color w:val="464646"/>
          <w:sz w:val="20"/>
        </w:rPr>
        <w:t>likely</w:t>
      </w:r>
      <w:r>
        <w:rPr>
          <w:color w:val="464646"/>
          <w:spacing w:val="-38"/>
          <w:sz w:val="20"/>
        </w:rPr>
        <w:t> </w:t>
      </w:r>
      <w:r>
        <w:rPr>
          <w:color w:val="464646"/>
          <w:sz w:val="20"/>
        </w:rPr>
        <w:t>to involve</w:t>
      </w:r>
      <w:r>
        <w:rPr>
          <w:color w:val="464646"/>
          <w:spacing w:val="-34"/>
          <w:sz w:val="20"/>
        </w:rPr>
        <w:t> </w:t>
      </w:r>
      <w:r>
        <w:rPr>
          <w:color w:val="464646"/>
          <w:sz w:val="20"/>
        </w:rPr>
        <w:t>uncontrolled</w:t>
      </w:r>
      <w:r>
        <w:rPr>
          <w:color w:val="464646"/>
          <w:spacing w:val="-33"/>
          <w:sz w:val="20"/>
        </w:rPr>
        <w:t> </w:t>
      </w:r>
      <w:r>
        <w:rPr>
          <w:color w:val="464646"/>
          <w:sz w:val="20"/>
        </w:rPr>
        <w:t>increases</w:t>
      </w:r>
      <w:r>
        <w:rPr>
          <w:color w:val="464646"/>
          <w:spacing w:val="-33"/>
          <w:sz w:val="20"/>
        </w:rPr>
        <w:t> </w:t>
      </w:r>
      <w:r>
        <w:rPr>
          <w:color w:val="464646"/>
          <w:sz w:val="20"/>
        </w:rPr>
        <w:t>or</w:t>
      </w:r>
      <w:r>
        <w:rPr>
          <w:color w:val="464646"/>
          <w:spacing w:val="-33"/>
          <w:sz w:val="20"/>
        </w:rPr>
        <w:t> </w:t>
      </w:r>
      <w:r>
        <w:rPr>
          <w:color w:val="464646"/>
          <w:sz w:val="20"/>
        </w:rPr>
        <w:t>decreases</w:t>
      </w:r>
      <w:r>
        <w:rPr>
          <w:color w:val="464646"/>
          <w:spacing w:val="-33"/>
          <w:sz w:val="20"/>
        </w:rPr>
        <w:t> </w:t>
      </w:r>
      <w:r>
        <w:rPr>
          <w:color w:val="464646"/>
          <w:sz w:val="20"/>
        </w:rPr>
        <w:t>in</w:t>
      </w:r>
      <w:r>
        <w:rPr>
          <w:color w:val="464646"/>
          <w:spacing w:val="-33"/>
          <w:sz w:val="20"/>
        </w:rPr>
        <w:t> </w:t>
      </w:r>
      <w:r>
        <w:rPr>
          <w:color w:val="464646"/>
          <w:spacing w:val="-3"/>
          <w:sz w:val="20"/>
        </w:rPr>
        <w:t>frequency,</w:t>
      </w:r>
      <w:r>
        <w:rPr>
          <w:color w:val="464646"/>
          <w:spacing w:val="-33"/>
          <w:sz w:val="20"/>
        </w:rPr>
        <w:t> </w:t>
      </w:r>
      <w:r>
        <w:rPr>
          <w:color w:val="464646"/>
          <w:sz w:val="20"/>
        </w:rPr>
        <w:t>alone</w:t>
      </w:r>
      <w:r>
        <w:rPr>
          <w:color w:val="464646"/>
          <w:spacing w:val="-33"/>
          <w:sz w:val="20"/>
        </w:rPr>
        <w:t> </w:t>
      </w:r>
      <w:r>
        <w:rPr>
          <w:color w:val="464646"/>
          <w:sz w:val="20"/>
        </w:rPr>
        <w:t>or</w:t>
      </w:r>
      <w:r>
        <w:rPr>
          <w:color w:val="464646"/>
          <w:spacing w:val="-33"/>
          <w:sz w:val="20"/>
        </w:rPr>
        <w:t> </w:t>
      </w:r>
      <w:r>
        <w:rPr>
          <w:color w:val="464646"/>
          <w:sz w:val="20"/>
        </w:rPr>
        <w:t>combination,</w:t>
      </w:r>
      <w:r>
        <w:rPr>
          <w:color w:val="464646"/>
          <w:spacing w:val="-33"/>
          <w:sz w:val="20"/>
        </w:rPr>
        <w:t> </w:t>
      </w:r>
      <w:r>
        <w:rPr>
          <w:color w:val="464646"/>
          <w:sz w:val="20"/>
        </w:rPr>
        <w:t>leading</w:t>
      </w:r>
      <w:r>
        <w:rPr>
          <w:color w:val="464646"/>
          <w:spacing w:val="-33"/>
          <w:sz w:val="20"/>
        </w:rPr>
        <w:t> </w:t>
      </w:r>
      <w:r>
        <w:rPr>
          <w:color w:val="464646"/>
          <w:sz w:val="20"/>
        </w:rPr>
        <w:t>to cascading outages, or major supply</w:t>
      </w:r>
      <w:r>
        <w:rPr>
          <w:color w:val="464646"/>
          <w:spacing w:val="-37"/>
          <w:sz w:val="20"/>
        </w:rPr>
        <w:t> </w:t>
      </w:r>
      <w:r>
        <w:rPr>
          <w:color w:val="464646"/>
          <w:sz w:val="20"/>
        </w:rPr>
        <w:t>disruptions;</w:t>
      </w:r>
    </w:p>
    <w:p>
      <w:pPr>
        <w:pStyle w:val="ListParagraph"/>
        <w:numPr>
          <w:ilvl w:val="2"/>
          <w:numId w:val="20"/>
        </w:numPr>
        <w:tabs>
          <w:tab w:pos="3058" w:val="left" w:leader="none"/>
        </w:tabs>
        <w:spacing w:line="278" w:lineRule="auto" w:before="114" w:after="0"/>
        <w:ind w:left="2929" w:right="571" w:firstLine="0"/>
        <w:jc w:val="left"/>
        <w:rPr>
          <w:sz w:val="20"/>
        </w:rPr>
      </w:pPr>
      <w:r>
        <w:rPr>
          <w:color w:val="464646"/>
          <w:sz w:val="20"/>
        </w:rPr>
        <w:t>other</w:t>
      </w:r>
      <w:r>
        <w:rPr>
          <w:color w:val="464646"/>
          <w:spacing w:val="-41"/>
          <w:sz w:val="20"/>
        </w:rPr>
        <w:t> </w:t>
      </w:r>
      <w:r>
        <w:rPr>
          <w:color w:val="464646"/>
          <w:sz w:val="20"/>
        </w:rPr>
        <w:t>events</w:t>
      </w:r>
      <w:r>
        <w:rPr>
          <w:color w:val="464646"/>
          <w:spacing w:val="-41"/>
          <w:sz w:val="20"/>
        </w:rPr>
        <w:t> </w:t>
      </w:r>
      <w:r>
        <w:rPr>
          <w:color w:val="464646"/>
          <w:sz w:val="20"/>
        </w:rPr>
        <w:t>and</w:t>
      </w:r>
      <w:r>
        <w:rPr>
          <w:color w:val="464646"/>
          <w:spacing w:val="-41"/>
          <w:sz w:val="20"/>
        </w:rPr>
        <w:t> </w:t>
      </w:r>
      <w:r>
        <w:rPr>
          <w:color w:val="464646"/>
          <w:sz w:val="20"/>
        </w:rPr>
        <w:t>conditions</w:t>
      </w:r>
      <w:r>
        <w:rPr>
          <w:color w:val="464646"/>
          <w:spacing w:val="-41"/>
          <w:sz w:val="20"/>
        </w:rPr>
        <w:t> </w:t>
      </w:r>
      <w:r>
        <w:rPr>
          <w:color w:val="464646"/>
          <w:sz w:val="20"/>
        </w:rPr>
        <w:t>(including</w:t>
      </w:r>
      <w:r>
        <w:rPr>
          <w:color w:val="464646"/>
          <w:spacing w:val="-41"/>
          <w:sz w:val="20"/>
        </w:rPr>
        <w:t> </w:t>
      </w:r>
      <w:r>
        <w:rPr>
          <w:color w:val="464646"/>
          <w:sz w:val="20"/>
        </w:rPr>
        <w:t>contingency</w:t>
      </w:r>
      <w:r>
        <w:rPr>
          <w:color w:val="464646"/>
          <w:spacing w:val="-41"/>
          <w:sz w:val="20"/>
        </w:rPr>
        <w:t> </w:t>
      </w:r>
      <w:r>
        <w:rPr>
          <w:color w:val="464646"/>
          <w:sz w:val="20"/>
        </w:rPr>
        <w:t>events)</w:t>
      </w:r>
      <w:r>
        <w:rPr>
          <w:color w:val="464646"/>
          <w:spacing w:val="-41"/>
          <w:sz w:val="20"/>
        </w:rPr>
        <w:t> </w:t>
      </w:r>
      <w:r>
        <w:rPr>
          <w:color w:val="464646"/>
          <w:sz w:val="20"/>
        </w:rPr>
        <w:t>the</w:t>
      </w:r>
      <w:r>
        <w:rPr>
          <w:color w:val="464646"/>
          <w:spacing w:val="-41"/>
          <w:sz w:val="20"/>
        </w:rPr>
        <w:t> </w:t>
      </w:r>
      <w:r>
        <w:rPr>
          <w:color w:val="464646"/>
          <w:sz w:val="20"/>
        </w:rPr>
        <w:t>occurrence</w:t>
      </w:r>
      <w:r>
        <w:rPr>
          <w:color w:val="464646"/>
          <w:spacing w:val="-41"/>
          <w:sz w:val="20"/>
        </w:rPr>
        <w:t> </w:t>
      </w:r>
      <w:r>
        <w:rPr>
          <w:color w:val="464646"/>
          <w:sz w:val="20"/>
        </w:rPr>
        <w:t>of</w:t>
      </w:r>
      <w:r>
        <w:rPr>
          <w:color w:val="464646"/>
          <w:spacing w:val="-40"/>
          <w:sz w:val="20"/>
        </w:rPr>
        <w:t> </w:t>
      </w:r>
      <w:r>
        <w:rPr>
          <w:color w:val="464646"/>
          <w:sz w:val="20"/>
        </w:rPr>
        <w:t>which</w:t>
      </w:r>
      <w:r>
        <w:rPr>
          <w:color w:val="464646"/>
          <w:spacing w:val="-41"/>
          <w:sz w:val="20"/>
        </w:rPr>
        <w:t> </w:t>
      </w:r>
      <w:r>
        <w:rPr>
          <w:color w:val="464646"/>
          <w:sz w:val="20"/>
        </w:rPr>
        <w:t>AEMO expects,</w:t>
      </w:r>
      <w:r>
        <w:rPr>
          <w:color w:val="464646"/>
          <w:spacing w:val="-25"/>
          <w:sz w:val="20"/>
        </w:rPr>
        <w:t> </w:t>
      </w:r>
      <w:r>
        <w:rPr>
          <w:color w:val="464646"/>
          <w:sz w:val="20"/>
        </w:rPr>
        <w:t>alone</w:t>
      </w:r>
      <w:r>
        <w:rPr>
          <w:color w:val="464646"/>
          <w:spacing w:val="-24"/>
          <w:sz w:val="20"/>
        </w:rPr>
        <w:t> </w:t>
      </w:r>
      <w:r>
        <w:rPr>
          <w:color w:val="464646"/>
          <w:sz w:val="20"/>
        </w:rPr>
        <w:t>or</w:t>
      </w:r>
      <w:r>
        <w:rPr>
          <w:color w:val="464646"/>
          <w:spacing w:val="-24"/>
          <w:sz w:val="20"/>
        </w:rPr>
        <w:t> </w:t>
      </w:r>
      <w:r>
        <w:rPr>
          <w:color w:val="464646"/>
          <w:sz w:val="20"/>
        </w:rPr>
        <w:t>in</w:t>
      </w:r>
      <w:r>
        <w:rPr>
          <w:color w:val="464646"/>
          <w:spacing w:val="-24"/>
          <w:sz w:val="20"/>
        </w:rPr>
        <w:t> </w:t>
      </w:r>
      <w:r>
        <w:rPr>
          <w:color w:val="464646"/>
          <w:sz w:val="20"/>
        </w:rPr>
        <w:t>combination,</w:t>
      </w:r>
      <w:r>
        <w:rPr>
          <w:color w:val="464646"/>
          <w:spacing w:val="-24"/>
          <w:sz w:val="20"/>
        </w:rPr>
        <w:t> </w:t>
      </w:r>
      <w:r>
        <w:rPr>
          <w:color w:val="464646"/>
          <w:sz w:val="20"/>
        </w:rPr>
        <w:t>would</w:t>
      </w:r>
      <w:r>
        <w:rPr>
          <w:color w:val="464646"/>
          <w:spacing w:val="-24"/>
          <w:sz w:val="20"/>
        </w:rPr>
        <w:t> </w:t>
      </w:r>
      <w:r>
        <w:rPr>
          <w:color w:val="464646"/>
          <w:sz w:val="20"/>
        </w:rPr>
        <w:t>be</w:t>
      </w:r>
      <w:r>
        <w:rPr>
          <w:color w:val="464646"/>
          <w:spacing w:val="-24"/>
          <w:sz w:val="20"/>
        </w:rPr>
        <w:t> </w:t>
      </w:r>
      <w:r>
        <w:rPr>
          <w:color w:val="464646"/>
          <w:sz w:val="20"/>
        </w:rPr>
        <w:t>likely</w:t>
      </w:r>
      <w:r>
        <w:rPr>
          <w:color w:val="464646"/>
          <w:spacing w:val="-24"/>
          <w:sz w:val="20"/>
        </w:rPr>
        <w:t> </w:t>
      </w:r>
      <w:r>
        <w:rPr>
          <w:color w:val="464646"/>
          <w:sz w:val="20"/>
        </w:rPr>
        <w:t>to</w:t>
      </w:r>
      <w:r>
        <w:rPr>
          <w:color w:val="464646"/>
          <w:spacing w:val="-25"/>
          <w:sz w:val="20"/>
        </w:rPr>
        <w:t> </w:t>
      </w:r>
      <w:r>
        <w:rPr>
          <w:color w:val="464646"/>
          <w:sz w:val="20"/>
        </w:rPr>
        <w:t>lead</w:t>
      </w:r>
      <w:r>
        <w:rPr>
          <w:color w:val="464646"/>
          <w:spacing w:val="-24"/>
          <w:sz w:val="20"/>
        </w:rPr>
        <w:t> </w:t>
      </w:r>
      <w:r>
        <w:rPr>
          <w:color w:val="464646"/>
          <w:sz w:val="20"/>
        </w:rPr>
        <w:t>to</w:t>
      </w:r>
      <w:r>
        <w:rPr>
          <w:color w:val="464646"/>
          <w:spacing w:val="-24"/>
          <w:sz w:val="20"/>
        </w:rPr>
        <w:t> </w:t>
      </w:r>
      <w:r>
        <w:rPr>
          <w:color w:val="464646"/>
          <w:sz w:val="20"/>
        </w:rPr>
        <w:t>cascading</w:t>
      </w:r>
      <w:r>
        <w:rPr>
          <w:color w:val="464646"/>
          <w:spacing w:val="-24"/>
          <w:sz w:val="20"/>
        </w:rPr>
        <w:t> </w:t>
      </w:r>
      <w:r>
        <w:rPr>
          <w:color w:val="464646"/>
          <w:sz w:val="20"/>
        </w:rPr>
        <w:t>outages,</w:t>
      </w:r>
      <w:r>
        <w:rPr>
          <w:color w:val="464646"/>
          <w:spacing w:val="-24"/>
          <w:sz w:val="20"/>
        </w:rPr>
        <w:t> </w:t>
      </w:r>
      <w:r>
        <w:rPr>
          <w:color w:val="464646"/>
          <w:sz w:val="20"/>
        </w:rPr>
        <w:t>or</w:t>
      </w:r>
      <w:r>
        <w:rPr>
          <w:color w:val="464646"/>
          <w:spacing w:val="-24"/>
          <w:sz w:val="20"/>
        </w:rPr>
        <w:t> </w:t>
      </w:r>
      <w:r>
        <w:rPr>
          <w:color w:val="464646"/>
          <w:sz w:val="20"/>
        </w:rPr>
        <w:t>major supply</w:t>
      </w:r>
      <w:r>
        <w:rPr>
          <w:color w:val="464646"/>
          <w:spacing w:val="-5"/>
          <w:sz w:val="20"/>
        </w:rPr>
        <w:t> </w:t>
      </w:r>
      <w:r>
        <w:rPr>
          <w:color w:val="464646"/>
          <w:sz w:val="20"/>
        </w:rPr>
        <w:t>disruptions.</w:t>
      </w:r>
    </w:p>
    <w:p>
      <w:pPr>
        <w:pStyle w:val="BodyText"/>
        <w:spacing w:line="278" w:lineRule="auto" w:before="113"/>
        <w:ind w:left="2929" w:right="295"/>
      </w:pPr>
      <w:r>
        <w:rPr>
          <w:color w:val="464646"/>
        </w:rPr>
        <w:t>In</w:t>
      </w:r>
      <w:r>
        <w:rPr>
          <w:color w:val="464646"/>
          <w:spacing w:val="-27"/>
        </w:rPr>
        <w:t> </w:t>
      </w:r>
      <w:r>
        <w:rPr>
          <w:color w:val="464646"/>
        </w:rPr>
        <w:t>addition</w:t>
      </w:r>
      <w:r>
        <w:rPr>
          <w:color w:val="464646"/>
          <w:spacing w:val="-27"/>
        </w:rPr>
        <w:t> </w:t>
      </w:r>
      <w:r>
        <w:rPr>
          <w:color w:val="464646"/>
        </w:rPr>
        <w:t>to</w:t>
      </w:r>
      <w:r>
        <w:rPr>
          <w:color w:val="464646"/>
          <w:spacing w:val="-27"/>
        </w:rPr>
        <w:t> </w:t>
      </w:r>
      <w:r>
        <w:rPr>
          <w:color w:val="464646"/>
        </w:rPr>
        <w:t>frequency-related</w:t>
      </w:r>
      <w:r>
        <w:rPr>
          <w:color w:val="464646"/>
          <w:spacing w:val="-27"/>
        </w:rPr>
        <w:t> </w:t>
      </w:r>
      <w:r>
        <w:rPr>
          <w:color w:val="464646"/>
        </w:rPr>
        <w:t>risks,</w:t>
      </w:r>
      <w:r>
        <w:rPr>
          <w:color w:val="464646"/>
          <w:spacing w:val="-26"/>
        </w:rPr>
        <w:t> </w:t>
      </w:r>
      <w:r>
        <w:rPr>
          <w:color w:val="464646"/>
        </w:rPr>
        <w:t>the</w:t>
      </w:r>
      <w:r>
        <w:rPr>
          <w:color w:val="464646"/>
          <w:spacing w:val="-27"/>
        </w:rPr>
        <w:t> </w:t>
      </w:r>
      <w:r>
        <w:rPr>
          <w:color w:val="464646"/>
        </w:rPr>
        <w:t>GPSRR</w:t>
      </w:r>
      <w:r>
        <w:rPr>
          <w:color w:val="464646"/>
          <w:spacing w:val="-27"/>
        </w:rPr>
        <w:t> </w:t>
      </w:r>
      <w:r>
        <w:rPr>
          <w:color w:val="464646"/>
        </w:rPr>
        <w:t>would</w:t>
      </w:r>
      <w:r>
        <w:rPr>
          <w:color w:val="464646"/>
          <w:spacing w:val="-27"/>
        </w:rPr>
        <w:t> </w:t>
      </w:r>
      <w:r>
        <w:rPr>
          <w:color w:val="464646"/>
        </w:rPr>
        <w:t>specify</w:t>
      </w:r>
      <w:r>
        <w:rPr>
          <w:color w:val="464646"/>
          <w:spacing w:val="-26"/>
        </w:rPr>
        <w:t> </w:t>
      </w:r>
      <w:r>
        <w:rPr>
          <w:color w:val="464646"/>
        </w:rPr>
        <w:t>five</w:t>
      </w:r>
      <w:r>
        <w:rPr>
          <w:color w:val="464646"/>
          <w:spacing w:val="-27"/>
        </w:rPr>
        <w:t> </w:t>
      </w:r>
      <w:r>
        <w:rPr>
          <w:color w:val="464646"/>
        </w:rPr>
        <w:t>key</w:t>
      </w:r>
      <w:r>
        <w:rPr>
          <w:color w:val="464646"/>
          <w:spacing w:val="-27"/>
        </w:rPr>
        <w:t> </w:t>
      </w:r>
      <w:r>
        <w:rPr>
          <w:color w:val="464646"/>
        </w:rPr>
        <w:t>risk</w:t>
      </w:r>
      <w:r>
        <w:rPr>
          <w:color w:val="464646"/>
          <w:spacing w:val="-27"/>
        </w:rPr>
        <w:t> </w:t>
      </w:r>
      <w:r>
        <w:rPr>
          <w:color w:val="464646"/>
        </w:rPr>
        <w:t>areas</w:t>
      </w:r>
      <w:r>
        <w:rPr>
          <w:color w:val="464646"/>
          <w:spacing w:val="-26"/>
        </w:rPr>
        <w:t> </w:t>
      </w:r>
      <w:r>
        <w:rPr>
          <w:color w:val="464646"/>
        </w:rPr>
        <w:t>which AEMO</w:t>
      </w:r>
      <w:r>
        <w:rPr>
          <w:color w:val="464646"/>
          <w:spacing w:val="-32"/>
        </w:rPr>
        <w:t> </w:t>
      </w:r>
      <w:r>
        <w:rPr>
          <w:color w:val="464646"/>
        </w:rPr>
        <w:t>is</w:t>
      </w:r>
      <w:r>
        <w:rPr>
          <w:color w:val="464646"/>
          <w:spacing w:val="-31"/>
        </w:rPr>
        <w:t> </w:t>
      </w:r>
      <w:r>
        <w:rPr>
          <w:color w:val="464646"/>
        </w:rPr>
        <w:t>required</w:t>
      </w:r>
      <w:r>
        <w:rPr>
          <w:color w:val="464646"/>
          <w:spacing w:val="-31"/>
        </w:rPr>
        <w:t> </w:t>
      </w:r>
      <w:r>
        <w:rPr>
          <w:color w:val="464646"/>
        </w:rPr>
        <w:t>to</w:t>
      </w:r>
      <w:r>
        <w:rPr>
          <w:color w:val="464646"/>
          <w:spacing w:val="-31"/>
        </w:rPr>
        <w:t> </w:t>
      </w:r>
      <w:r>
        <w:rPr>
          <w:color w:val="464646"/>
        </w:rPr>
        <w:t>consider</w:t>
      </w:r>
      <w:r>
        <w:rPr>
          <w:color w:val="464646"/>
          <w:spacing w:val="-31"/>
        </w:rPr>
        <w:t> </w:t>
      </w:r>
      <w:r>
        <w:rPr>
          <w:color w:val="464646"/>
        </w:rPr>
        <w:t>when</w:t>
      </w:r>
      <w:r>
        <w:rPr>
          <w:color w:val="464646"/>
          <w:spacing w:val="-31"/>
        </w:rPr>
        <w:t> </w:t>
      </w:r>
      <w:r>
        <w:rPr>
          <w:color w:val="464646"/>
        </w:rPr>
        <w:t>specifying</w:t>
      </w:r>
      <w:r>
        <w:rPr>
          <w:color w:val="464646"/>
          <w:spacing w:val="-31"/>
        </w:rPr>
        <w:t> </w:t>
      </w:r>
      <w:r>
        <w:rPr>
          <w:color w:val="464646"/>
        </w:rPr>
        <w:t>the</w:t>
      </w:r>
      <w:r>
        <w:rPr>
          <w:color w:val="464646"/>
          <w:spacing w:val="-31"/>
        </w:rPr>
        <w:t> </w:t>
      </w:r>
      <w:r>
        <w:rPr>
          <w:color w:val="464646"/>
        </w:rPr>
        <w:t>scope</w:t>
      </w:r>
      <w:r>
        <w:rPr>
          <w:color w:val="464646"/>
          <w:spacing w:val="-31"/>
        </w:rPr>
        <w:t> </w:t>
      </w:r>
      <w:r>
        <w:rPr>
          <w:color w:val="464646"/>
        </w:rPr>
        <w:t>of</w:t>
      </w:r>
      <w:r>
        <w:rPr>
          <w:color w:val="464646"/>
          <w:spacing w:val="-31"/>
        </w:rPr>
        <w:t> </w:t>
      </w:r>
      <w:r>
        <w:rPr>
          <w:color w:val="464646"/>
        </w:rPr>
        <w:t>the</w:t>
      </w:r>
      <w:r>
        <w:rPr>
          <w:color w:val="464646"/>
          <w:spacing w:val="-31"/>
        </w:rPr>
        <w:t> </w:t>
      </w:r>
      <w:r>
        <w:rPr>
          <w:color w:val="464646"/>
        </w:rPr>
        <w:t>GPSRR</w:t>
      </w:r>
      <w:r>
        <w:rPr>
          <w:color w:val="464646"/>
          <w:spacing w:val="-31"/>
        </w:rPr>
        <w:t> </w:t>
      </w:r>
      <w:r>
        <w:rPr>
          <w:color w:val="464646"/>
        </w:rPr>
        <w:t>in</w:t>
      </w:r>
      <w:r>
        <w:rPr>
          <w:color w:val="464646"/>
          <w:spacing w:val="-31"/>
        </w:rPr>
        <w:t> </w:t>
      </w:r>
      <w:r>
        <w:rPr>
          <w:color w:val="464646"/>
        </w:rPr>
        <w:t>each</w:t>
      </w:r>
      <w:r>
        <w:rPr>
          <w:color w:val="464646"/>
          <w:spacing w:val="-31"/>
        </w:rPr>
        <w:t> </w:t>
      </w:r>
      <w:r>
        <w:rPr>
          <w:color w:val="464646"/>
        </w:rPr>
        <w:t>jurisdiction</w:t>
      </w:r>
      <w:r>
        <w:rPr>
          <w:color w:val="464646"/>
          <w:spacing w:val="-31"/>
        </w:rPr>
        <w:t> </w:t>
      </w:r>
      <w:r>
        <w:rPr>
          <w:color w:val="464646"/>
        </w:rPr>
        <w:t>in which</w:t>
      </w:r>
      <w:r>
        <w:rPr>
          <w:color w:val="464646"/>
          <w:spacing w:val="-10"/>
        </w:rPr>
        <w:t> </w:t>
      </w:r>
      <w:r>
        <w:rPr>
          <w:color w:val="464646"/>
        </w:rPr>
        <w:t>it</w:t>
      </w:r>
      <w:r>
        <w:rPr>
          <w:color w:val="464646"/>
          <w:spacing w:val="-9"/>
        </w:rPr>
        <w:t> </w:t>
      </w:r>
      <w:r>
        <w:rPr>
          <w:color w:val="464646"/>
        </w:rPr>
        <w:t>is</w:t>
      </w:r>
      <w:r>
        <w:rPr>
          <w:color w:val="464646"/>
          <w:spacing w:val="-10"/>
        </w:rPr>
        <w:t> </w:t>
      </w:r>
      <w:r>
        <w:rPr>
          <w:color w:val="464646"/>
        </w:rPr>
        <w:t>conducted.</w:t>
      </w:r>
      <w:r>
        <w:rPr>
          <w:color w:val="464646"/>
          <w:spacing w:val="-9"/>
        </w:rPr>
        <w:t> </w:t>
      </w:r>
      <w:r>
        <w:rPr>
          <w:color w:val="464646"/>
        </w:rPr>
        <w:t>These</w:t>
      </w:r>
      <w:r>
        <w:rPr>
          <w:color w:val="464646"/>
          <w:spacing w:val="-10"/>
        </w:rPr>
        <w:t> </w:t>
      </w:r>
      <w:r>
        <w:rPr>
          <w:color w:val="464646"/>
        </w:rPr>
        <w:t>five</w:t>
      </w:r>
      <w:r>
        <w:rPr>
          <w:color w:val="464646"/>
          <w:spacing w:val="-9"/>
        </w:rPr>
        <w:t> </w:t>
      </w:r>
      <w:r>
        <w:rPr>
          <w:color w:val="464646"/>
        </w:rPr>
        <w:t>additional</w:t>
      </w:r>
      <w:r>
        <w:rPr>
          <w:color w:val="464646"/>
          <w:spacing w:val="-10"/>
        </w:rPr>
        <w:t> </w:t>
      </w:r>
      <w:r>
        <w:rPr>
          <w:color w:val="464646"/>
        </w:rPr>
        <w:t>key</w:t>
      </w:r>
      <w:r>
        <w:rPr>
          <w:color w:val="464646"/>
          <w:spacing w:val="-9"/>
        </w:rPr>
        <w:t> </w:t>
      </w:r>
      <w:r>
        <w:rPr>
          <w:color w:val="464646"/>
        </w:rPr>
        <w:t>risk</w:t>
      </w:r>
      <w:r>
        <w:rPr>
          <w:color w:val="464646"/>
          <w:spacing w:val="-10"/>
        </w:rPr>
        <w:t> </w:t>
      </w:r>
      <w:r>
        <w:rPr>
          <w:color w:val="464646"/>
        </w:rPr>
        <w:t>areas</w:t>
      </w:r>
      <w:r>
        <w:rPr>
          <w:color w:val="464646"/>
          <w:spacing w:val="-9"/>
        </w:rPr>
        <w:t> </w:t>
      </w:r>
      <w:r>
        <w:rPr>
          <w:color w:val="464646"/>
        </w:rPr>
        <w:t>are:</w:t>
      </w:r>
    </w:p>
    <w:p>
      <w:pPr>
        <w:pStyle w:val="ListParagraph"/>
        <w:numPr>
          <w:ilvl w:val="2"/>
          <w:numId w:val="20"/>
        </w:numPr>
        <w:tabs>
          <w:tab w:pos="3058" w:val="left" w:leader="none"/>
        </w:tabs>
        <w:spacing w:line="240" w:lineRule="auto" w:before="113" w:after="0"/>
        <w:ind w:left="3057" w:right="0" w:hanging="129"/>
        <w:jc w:val="left"/>
        <w:rPr>
          <w:sz w:val="20"/>
        </w:rPr>
      </w:pPr>
      <w:r>
        <w:rPr>
          <w:color w:val="464646"/>
          <w:sz w:val="20"/>
        </w:rPr>
        <w:t>increases or decreases in</w:t>
      </w:r>
      <w:r>
        <w:rPr>
          <w:color w:val="464646"/>
          <w:spacing w:val="-23"/>
          <w:sz w:val="20"/>
        </w:rPr>
        <w:t> </w:t>
      </w:r>
      <w:r>
        <w:rPr>
          <w:color w:val="464646"/>
          <w:sz w:val="20"/>
        </w:rPr>
        <w:t>voltage</w:t>
      </w:r>
    </w:p>
    <w:p>
      <w:pPr>
        <w:pStyle w:val="ListParagraph"/>
        <w:numPr>
          <w:ilvl w:val="2"/>
          <w:numId w:val="20"/>
        </w:numPr>
        <w:tabs>
          <w:tab w:pos="3058" w:val="left" w:leader="none"/>
        </w:tabs>
        <w:spacing w:line="240" w:lineRule="auto" w:before="152" w:after="0"/>
        <w:ind w:left="3057" w:right="0" w:hanging="129"/>
        <w:jc w:val="left"/>
        <w:rPr>
          <w:sz w:val="20"/>
        </w:rPr>
      </w:pPr>
      <w:r>
        <w:rPr>
          <w:color w:val="464646"/>
          <w:sz w:val="20"/>
        </w:rPr>
        <w:t>levels of</w:t>
      </w:r>
      <w:r>
        <w:rPr>
          <w:color w:val="464646"/>
          <w:spacing w:val="-10"/>
          <w:sz w:val="20"/>
        </w:rPr>
        <w:t> </w:t>
      </w:r>
      <w:r>
        <w:rPr>
          <w:color w:val="464646"/>
          <w:sz w:val="20"/>
        </w:rPr>
        <w:t>inertia</w:t>
      </w:r>
    </w:p>
    <w:p>
      <w:pPr>
        <w:pStyle w:val="ListParagraph"/>
        <w:numPr>
          <w:ilvl w:val="2"/>
          <w:numId w:val="20"/>
        </w:numPr>
        <w:tabs>
          <w:tab w:pos="3058" w:val="left" w:leader="none"/>
        </w:tabs>
        <w:spacing w:line="240" w:lineRule="auto" w:before="152" w:after="0"/>
        <w:ind w:left="3057" w:right="0" w:hanging="129"/>
        <w:jc w:val="left"/>
        <w:rPr>
          <w:sz w:val="20"/>
        </w:rPr>
      </w:pPr>
      <w:r>
        <w:rPr>
          <w:color w:val="464646"/>
          <w:sz w:val="20"/>
        </w:rPr>
        <w:t>the availability of system strength</w:t>
      </w:r>
      <w:r>
        <w:rPr>
          <w:color w:val="464646"/>
          <w:spacing w:val="-33"/>
          <w:sz w:val="20"/>
        </w:rPr>
        <w:t> </w:t>
      </w:r>
      <w:r>
        <w:rPr>
          <w:color w:val="464646"/>
          <w:sz w:val="20"/>
        </w:rPr>
        <w:t>services</w:t>
      </w:r>
    </w:p>
    <w:p>
      <w:pPr>
        <w:pStyle w:val="ListParagraph"/>
        <w:numPr>
          <w:ilvl w:val="2"/>
          <w:numId w:val="20"/>
        </w:numPr>
        <w:tabs>
          <w:tab w:pos="3058" w:val="left" w:leader="none"/>
        </w:tabs>
        <w:spacing w:line="278" w:lineRule="auto" w:before="152" w:after="0"/>
        <w:ind w:left="2929" w:right="996" w:firstLine="0"/>
        <w:jc w:val="left"/>
        <w:rPr>
          <w:sz w:val="20"/>
        </w:rPr>
      </w:pPr>
      <w:r>
        <w:rPr>
          <w:color w:val="464646"/>
          <w:w w:val="95"/>
          <w:sz w:val="20"/>
        </w:rPr>
        <w:t>the</w:t>
      </w:r>
      <w:r>
        <w:rPr>
          <w:color w:val="464646"/>
          <w:spacing w:val="-10"/>
          <w:w w:val="95"/>
          <w:sz w:val="20"/>
        </w:rPr>
        <w:t> </w:t>
      </w:r>
      <w:r>
        <w:rPr>
          <w:color w:val="464646"/>
          <w:w w:val="95"/>
          <w:sz w:val="20"/>
        </w:rPr>
        <w:t>operation</w:t>
      </w:r>
      <w:r>
        <w:rPr>
          <w:color w:val="464646"/>
          <w:spacing w:val="-9"/>
          <w:w w:val="95"/>
          <w:sz w:val="20"/>
        </w:rPr>
        <w:t> </w:t>
      </w:r>
      <w:r>
        <w:rPr>
          <w:color w:val="464646"/>
          <w:w w:val="95"/>
          <w:sz w:val="20"/>
        </w:rPr>
        <w:t>or</w:t>
      </w:r>
      <w:r>
        <w:rPr>
          <w:color w:val="464646"/>
          <w:spacing w:val="-9"/>
          <w:w w:val="95"/>
          <w:sz w:val="20"/>
        </w:rPr>
        <w:t> </w:t>
      </w:r>
      <w:r>
        <w:rPr>
          <w:color w:val="464646"/>
          <w:w w:val="95"/>
          <w:sz w:val="20"/>
        </w:rPr>
        <w:t>interaction</w:t>
      </w:r>
      <w:r>
        <w:rPr>
          <w:color w:val="464646"/>
          <w:spacing w:val="-9"/>
          <w:w w:val="95"/>
          <w:sz w:val="20"/>
        </w:rPr>
        <w:t> </w:t>
      </w:r>
      <w:r>
        <w:rPr>
          <w:color w:val="464646"/>
          <w:w w:val="95"/>
          <w:sz w:val="20"/>
        </w:rPr>
        <w:t>of</w:t>
      </w:r>
      <w:r>
        <w:rPr>
          <w:color w:val="464646"/>
          <w:spacing w:val="-10"/>
          <w:w w:val="95"/>
          <w:sz w:val="20"/>
        </w:rPr>
        <w:t> </w:t>
      </w:r>
      <w:r>
        <w:rPr>
          <w:color w:val="464646"/>
          <w:w w:val="95"/>
          <w:sz w:val="20"/>
        </w:rPr>
        <w:t>emergency</w:t>
      </w:r>
      <w:r>
        <w:rPr>
          <w:color w:val="464646"/>
          <w:spacing w:val="-9"/>
          <w:w w:val="95"/>
          <w:sz w:val="20"/>
        </w:rPr>
        <w:t> </w:t>
      </w:r>
      <w:r>
        <w:rPr>
          <w:color w:val="464646"/>
          <w:w w:val="95"/>
          <w:sz w:val="20"/>
        </w:rPr>
        <w:t>frequency</w:t>
      </w:r>
      <w:r>
        <w:rPr>
          <w:color w:val="464646"/>
          <w:spacing w:val="-9"/>
          <w:w w:val="95"/>
          <w:sz w:val="20"/>
        </w:rPr>
        <w:t> </w:t>
      </w:r>
      <w:r>
        <w:rPr>
          <w:color w:val="464646"/>
          <w:w w:val="95"/>
          <w:sz w:val="20"/>
        </w:rPr>
        <w:t>control</w:t>
      </w:r>
      <w:r>
        <w:rPr>
          <w:color w:val="464646"/>
          <w:spacing w:val="-9"/>
          <w:w w:val="95"/>
          <w:sz w:val="20"/>
        </w:rPr>
        <w:t> </w:t>
      </w:r>
      <w:r>
        <w:rPr>
          <w:color w:val="464646"/>
          <w:w w:val="95"/>
          <w:sz w:val="20"/>
        </w:rPr>
        <w:t>schemes</w:t>
      </w:r>
      <w:r>
        <w:rPr>
          <w:color w:val="464646"/>
          <w:spacing w:val="-10"/>
          <w:w w:val="95"/>
          <w:sz w:val="20"/>
        </w:rPr>
        <w:t> </w:t>
      </w:r>
      <w:r>
        <w:rPr>
          <w:color w:val="464646"/>
          <w:w w:val="95"/>
          <w:sz w:val="20"/>
        </w:rPr>
        <w:t>and</w:t>
      </w:r>
      <w:r>
        <w:rPr>
          <w:color w:val="464646"/>
          <w:spacing w:val="-9"/>
          <w:w w:val="95"/>
          <w:sz w:val="20"/>
        </w:rPr>
        <w:t> </w:t>
      </w:r>
      <w:r>
        <w:rPr>
          <w:color w:val="464646"/>
          <w:w w:val="95"/>
          <w:sz w:val="20"/>
        </w:rPr>
        <w:t>emergency </w:t>
      </w:r>
      <w:r>
        <w:rPr>
          <w:color w:val="464646"/>
          <w:sz w:val="20"/>
        </w:rPr>
        <w:t>controls,</w:t>
      </w:r>
      <w:r>
        <w:rPr>
          <w:color w:val="464646"/>
          <w:spacing w:val="-5"/>
          <w:sz w:val="20"/>
        </w:rPr>
        <w:t> </w:t>
      </w:r>
      <w:r>
        <w:rPr>
          <w:color w:val="464646"/>
          <w:sz w:val="20"/>
        </w:rPr>
        <w:t>and</w:t>
      </w:r>
    </w:p>
    <w:p>
      <w:pPr>
        <w:pStyle w:val="ListParagraph"/>
        <w:numPr>
          <w:ilvl w:val="2"/>
          <w:numId w:val="20"/>
        </w:numPr>
        <w:tabs>
          <w:tab w:pos="3058" w:val="left" w:leader="none"/>
        </w:tabs>
        <w:spacing w:line="240" w:lineRule="auto" w:before="113" w:after="0"/>
        <w:ind w:left="3057" w:right="0" w:hanging="129"/>
        <w:jc w:val="left"/>
        <w:rPr>
          <w:sz w:val="20"/>
        </w:rPr>
      </w:pPr>
      <w:r>
        <w:rPr>
          <w:color w:val="464646"/>
          <w:sz w:val="20"/>
        </w:rPr>
        <w:t>any</w:t>
      </w:r>
      <w:r>
        <w:rPr>
          <w:color w:val="464646"/>
          <w:spacing w:val="-20"/>
          <w:sz w:val="20"/>
        </w:rPr>
        <w:t> </w:t>
      </w:r>
      <w:r>
        <w:rPr>
          <w:color w:val="464646"/>
          <w:sz w:val="20"/>
        </w:rPr>
        <w:t>other</w:t>
      </w:r>
      <w:r>
        <w:rPr>
          <w:color w:val="464646"/>
          <w:spacing w:val="-19"/>
          <w:sz w:val="20"/>
        </w:rPr>
        <w:t> </w:t>
      </w:r>
      <w:r>
        <w:rPr>
          <w:color w:val="464646"/>
          <w:sz w:val="20"/>
        </w:rPr>
        <w:t>risks</w:t>
      </w:r>
      <w:r>
        <w:rPr>
          <w:color w:val="464646"/>
          <w:spacing w:val="-19"/>
          <w:sz w:val="20"/>
        </w:rPr>
        <w:t> </w:t>
      </w:r>
      <w:r>
        <w:rPr>
          <w:color w:val="464646"/>
          <w:sz w:val="20"/>
        </w:rPr>
        <w:t>AEMO</w:t>
      </w:r>
      <w:r>
        <w:rPr>
          <w:color w:val="464646"/>
          <w:spacing w:val="-19"/>
          <w:sz w:val="20"/>
        </w:rPr>
        <w:t> </w:t>
      </w:r>
      <w:r>
        <w:rPr>
          <w:color w:val="464646"/>
          <w:sz w:val="20"/>
        </w:rPr>
        <w:t>deems</w:t>
      </w:r>
      <w:r>
        <w:rPr>
          <w:color w:val="464646"/>
          <w:spacing w:val="-19"/>
          <w:sz w:val="20"/>
        </w:rPr>
        <w:t> </w:t>
      </w:r>
      <w:r>
        <w:rPr>
          <w:color w:val="464646"/>
          <w:sz w:val="20"/>
        </w:rPr>
        <w:t>necessary,</w:t>
      </w:r>
      <w:r>
        <w:rPr>
          <w:color w:val="464646"/>
          <w:spacing w:val="-19"/>
          <w:sz w:val="20"/>
        </w:rPr>
        <w:t> </w:t>
      </w:r>
      <w:r>
        <w:rPr>
          <w:color w:val="464646"/>
          <w:sz w:val="20"/>
        </w:rPr>
        <w:t>including</w:t>
      </w:r>
      <w:r>
        <w:rPr>
          <w:color w:val="464646"/>
          <w:spacing w:val="-19"/>
          <w:sz w:val="20"/>
        </w:rPr>
        <w:t> </w:t>
      </w:r>
      <w:r>
        <w:rPr>
          <w:color w:val="464646"/>
          <w:sz w:val="20"/>
        </w:rPr>
        <w:t>risks</w:t>
      </w:r>
      <w:r>
        <w:rPr>
          <w:color w:val="464646"/>
          <w:spacing w:val="-19"/>
          <w:sz w:val="20"/>
        </w:rPr>
        <w:t> </w:t>
      </w:r>
      <w:r>
        <w:rPr>
          <w:color w:val="464646"/>
          <w:sz w:val="20"/>
        </w:rPr>
        <w:t>arising</w:t>
      </w:r>
      <w:r>
        <w:rPr>
          <w:color w:val="464646"/>
          <w:spacing w:val="-19"/>
          <w:sz w:val="20"/>
        </w:rPr>
        <w:t> </w:t>
      </w:r>
      <w:r>
        <w:rPr>
          <w:color w:val="464646"/>
          <w:sz w:val="20"/>
        </w:rPr>
        <w:t>on</w:t>
      </w:r>
      <w:r>
        <w:rPr>
          <w:color w:val="464646"/>
          <w:spacing w:val="-20"/>
          <w:sz w:val="20"/>
        </w:rPr>
        <w:t> </w:t>
      </w:r>
      <w:r>
        <w:rPr>
          <w:color w:val="464646"/>
          <w:sz w:val="20"/>
        </w:rPr>
        <w:t>distribution</w:t>
      </w:r>
      <w:r>
        <w:rPr>
          <w:color w:val="464646"/>
          <w:spacing w:val="-19"/>
          <w:sz w:val="20"/>
        </w:rPr>
        <w:t> </w:t>
      </w:r>
      <w:r>
        <w:rPr>
          <w:color w:val="464646"/>
          <w:sz w:val="20"/>
        </w:rPr>
        <w:t>network.</w:t>
      </w:r>
    </w:p>
    <w:p>
      <w:pPr>
        <w:pStyle w:val="BodyText"/>
        <w:spacing w:line="278" w:lineRule="auto" w:before="152"/>
        <w:ind w:left="2929" w:right="295"/>
      </w:pPr>
      <w:r>
        <w:rPr>
          <w:color w:val="464646"/>
        </w:rPr>
        <w:t>In conducting the GPSRR, AEMO may prioritise certain risks over others, or elect not to consider</w:t>
      </w:r>
      <w:r>
        <w:rPr>
          <w:color w:val="464646"/>
          <w:spacing w:val="-22"/>
        </w:rPr>
        <w:t> </w:t>
      </w:r>
      <w:r>
        <w:rPr>
          <w:color w:val="464646"/>
        </w:rPr>
        <w:t>some</w:t>
      </w:r>
      <w:r>
        <w:rPr>
          <w:color w:val="464646"/>
          <w:spacing w:val="-22"/>
        </w:rPr>
        <w:t> </w:t>
      </w:r>
      <w:r>
        <w:rPr>
          <w:color w:val="464646"/>
        </w:rPr>
        <w:t>of</w:t>
      </w:r>
      <w:r>
        <w:rPr>
          <w:color w:val="464646"/>
          <w:spacing w:val="-21"/>
        </w:rPr>
        <w:t> </w:t>
      </w:r>
      <w:r>
        <w:rPr>
          <w:color w:val="464646"/>
        </w:rPr>
        <w:t>the</w:t>
      </w:r>
      <w:r>
        <w:rPr>
          <w:color w:val="464646"/>
          <w:spacing w:val="-22"/>
        </w:rPr>
        <w:t> </w:t>
      </w:r>
      <w:r>
        <w:rPr>
          <w:color w:val="464646"/>
        </w:rPr>
        <w:t>risks.</w:t>
      </w:r>
      <w:r>
        <w:rPr>
          <w:color w:val="464646"/>
          <w:spacing w:val="-21"/>
        </w:rPr>
        <w:t> </w:t>
      </w:r>
      <w:r>
        <w:rPr>
          <w:color w:val="464646"/>
        </w:rPr>
        <w:t>AEMO</w:t>
      </w:r>
      <w:r>
        <w:rPr>
          <w:color w:val="464646"/>
          <w:spacing w:val="-22"/>
        </w:rPr>
        <w:t> </w:t>
      </w:r>
      <w:r>
        <w:rPr>
          <w:color w:val="464646"/>
        </w:rPr>
        <w:t>would</w:t>
      </w:r>
      <w:r>
        <w:rPr>
          <w:color w:val="464646"/>
          <w:spacing w:val="-22"/>
        </w:rPr>
        <w:t> </w:t>
      </w:r>
      <w:r>
        <w:rPr>
          <w:color w:val="464646"/>
        </w:rPr>
        <w:t>be</w:t>
      </w:r>
      <w:r>
        <w:rPr>
          <w:color w:val="464646"/>
          <w:spacing w:val="-21"/>
        </w:rPr>
        <w:t> </w:t>
      </w:r>
      <w:r>
        <w:rPr>
          <w:color w:val="464646"/>
        </w:rPr>
        <w:t>required</w:t>
      </w:r>
      <w:r>
        <w:rPr>
          <w:color w:val="464646"/>
          <w:spacing w:val="-22"/>
        </w:rPr>
        <w:t> </w:t>
      </w:r>
      <w:r>
        <w:rPr>
          <w:color w:val="464646"/>
        </w:rPr>
        <w:t>to</w:t>
      </w:r>
      <w:r>
        <w:rPr>
          <w:color w:val="464646"/>
          <w:spacing w:val="-21"/>
        </w:rPr>
        <w:t> </w:t>
      </w:r>
      <w:r>
        <w:rPr>
          <w:color w:val="464646"/>
        </w:rPr>
        <w:t>consult</w:t>
      </w:r>
      <w:r>
        <w:rPr>
          <w:color w:val="464646"/>
          <w:spacing w:val="-22"/>
        </w:rPr>
        <w:t> </w:t>
      </w:r>
      <w:r>
        <w:rPr>
          <w:color w:val="464646"/>
        </w:rPr>
        <w:t>on</w:t>
      </w:r>
      <w:r>
        <w:rPr>
          <w:color w:val="464646"/>
          <w:spacing w:val="-22"/>
        </w:rPr>
        <w:t> </w:t>
      </w:r>
      <w:r>
        <w:rPr>
          <w:color w:val="464646"/>
        </w:rPr>
        <w:t>its</w:t>
      </w:r>
      <w:r>
        <w:rPr>
          <w:color w:val="464646"/>
          <w:spacing w:val="-21"/>
        </w:rPr>
        <w:t> </w:t>
      </w:r>
      <w:r>
        <w:rPr>
          <w:color w:val="464646"/>
        </w:rPr>
        <w:t>choice</w:t>
      </w:r>
      <w:r>
        <w:rPr>
          <w:color w:val="464646"/>
          <w:spacing w:val="-22"/>
        </w:rPr>
        <w:t> </w:t>
      </w:r>
      <w:r>
        <w:rPr>
          <w:color w:val="464646"/>
        </w:rPr>
        <w:t>of</w:t>
      </w:r>
      <w:r>
        <w:rPr>
          <w:color w:val="464646"/>
          <w:spacing w:val="-21"/>
        </w:rPr>
        <w:t> </w:t>
      </w:r>
      <w:r>
        <w:rPr>
          <w:color w:val="464646"/>
        </w:rPr>
        <w:t>risks</w:t>
      </w:r>
      <w:r>
        <w:rPr>
          <w:color w:val="464646"/>
          <w:spacing w:val="-22"/>
        </w:rPr>
        <w:t> </w:t>
      </w:r>
      <w:r>
        <w:rPr>
          <w:color w:val="464646"/>
        </w:rPr>
        <w:t>and provide</w:t>
      </w:r>
      <w:r>
        <w:rPr>
          <w:color w:val="464646"/>
          <w:spacing w:val="-40"/>
        </w:rPr>
        <w:t> </w:t>
      </w:r>
      <w:r>
        <w:rPr>
          <w:color w:val="464646"/>
        </w:rPr>
        <w:t>an</w:t>
      </w:r>
      <w:r>
        <w:rPr>
          <w:color w:val="464646"/>
          <w:spacing w:val="-39"/>
        </w:rPr>
        <w:t> </w:t>
      </w:r>
      <w:r>
        <w:rPr>
          <w:color w:val="464646"/>
        </w:rPr>
        <w:t>explanation</w:t>
      </w:r>
      <w:r>
        <w:rPr>
          <w:color w:val="464646"/>
          <w:spacing w:val="-40"/>
        </w:rPr>
        <w:t> </w:t>
      </w:r>
      <w:r>
        <w:rPr>
          <w:color w:val="464646"/>
        </w:rPr>
        <w:t>should</w:t>
      </w:r>
      <w:r>
        <w:rPr>
          <w:color w:val="464646"/>
          <w:spacing w:val="-40"/>
        </w:rPr>
        <w:t> </w:t>
      </w:r>
      <w:r>
        <w:rPr>
          <w:color w:val="464646"/>
        </w:rPr>
        <w:t>certain</w:t>
      </w:r>
      <w:r>
        <w:rPr>
          <w:color w:val="464646"/>
          <w:spacing w:val="-39"/>
        </w:rPr>
        <w:t> </w:t>
      </w:r>
      <w:r>
        <w:rPr>
          <w:color w:val="464646"/>
        </w:rPr>
        <w:t>risks</w:t>
      </w:r>
      <w:r>
        <w:rPr>
          <w:color w:val="464646"/>
          <w:spacing w:val="-40"/>
        </w:rPr>
        <w:t> </w:t>
      </w:r>
      <w:r>
        <w:rPr>
          <w:color w:val="464646"/>
        </w:rPr>
        <w:t>not</w:t>
      </w:r>
      <w:r>
        <w:rPr>
          <w:color w:val="464646"/>
          <w:spacing w:val="-39"/>
        </w:rPr>
        <w:t> </w:t>
      </w:r>
      <w:r>
        <w:rPr>
          <w:color w:val="464646"/>
        </w:rPr>
        <w:t>be</w:t>
      </w:r>
      <w:r>
        <w:rPr>
          <w:color w:val="464646"/>
          <w:spacing w:val="-40"/>
        </w:rPr>
        <w:t> </w:t>
      </w:r>
      <w:r>
        <w:rPr>
          <w:color w:val="464646"/>
        </w:rPr>
        <w:t>considered.</w:t>
      </w:r>
      <w:r>
        <w:rPr>
          <w:color w:val="464646"/>
          <w:spacing w:val="-39"/>
        </w:rPr>
        <w:t> </w:t>
      </w:r>
      <w:r>
        <w:rPr>
          <w:color w:val="464646"/>
        </w:rPr>
        <w:t>This</w:t>
      </w:r>
      <w:r>
        <w:rPr>
          <w:color w:val="464646"/>
          <w:spacing w:val="-40"/>
        </w:rPr>
        <w:t> </w:t>
      </w:r>
      <w:r>
        <w:rPr>
          <w:color w:val="464646"/>
        </w:rPr>
        <w:t>consultation</w:t>
      </w:r>
      <w:r>
        <w:rPr>
          <w:color w:val="464646"/>
          <w:spacing w:val="-39"/>
        </w:rPr>
        <w:t> </w:t>
      </w:r>
      <w:r>
        <w:rPr>
          <w:color w:val="464646"/>
        </w:rPr>
        <w:t>should</w:t>
      </w:r>
      <w:r>
        <w:rPr>
          <w:color w:val="464646"/>
          <w:spacing w:val="-40"/>
        </w:rPr>
        <w:t> </w:t>
      </w:r>
      <w:r>
        <w:rPr>
          <w:color w:val="464646"/>
        </w:rPr>
        <w:t>occur following publication of an approach</w:t>
      </w:r>
      <w:r>
        <w:rPr>
          <w:color w:val="464646"/>
          <w:spacing w:val="-33"/>
        </w:rPr>
        <w:t> </w:t>
      </w:r>
      <w:r>
        <w:rPr>
          <w:color w:val="464646"/>
          <w:spacing w:val="-5"/>
        </w:rPr>
        <w:t>paper.</w:t>
      </w:r>
    </w:p>
    <w:p>
      <w:pPr>
        <w:pStyle w:val="BodyText"/>
      </w:pPr>
    </w:p>
    <w:p>
      <w:pPr>
        <w:pStyle w:val="BodyText"/>
        <w:spacing w:before="1"/>
        <w:rPr>
          <w:sz w:val="26"/>
        </w:rPr>
      </w:pPr>
    </w:p>
    <w:p>
      <w:pPr>
        <w:pStyle w:val="ListParagraph"/>
        <w:numPr>
          <w:ilvl w:val="2"/>
          <w:numId w:val="21"/>
        </w:numPr>
        <w:tabs>
          <w:tab w:pos="2692" w:val="left" w:leader="none"/>
          <w:tab w:pos="2693" w:val="left" w:leader="none"/>
        </w:tabs>
        <w:spacing w:line="240" w:lineRule="auto" w:before="112" w:after="0"/>
        <w:ind w:left="2692" w:right="0" w:hanging="1560"/>
        <w:jc w:val="left"/>
        <w:rPr>
          <w:b/>
          <w:sz w:val="18"/>
        </w:rPr>
      </w:pPr>
      <w:r>
        <w:rPr>
          <w:b/>
          <w:color w:val="00ACEC"/>
          <w:sz w:val="18"/>
        </w:rPr>
        <w:t>Issue</w:t>
      </w:r>
      <w:r>
        <w:rPr>
          <w:b/>
          <w:color w:val="00ACEC"/>
          <w:spacing w:val="-5"/>
          <w:sz w:val="18"/>
        </w:rPr>
        <w:t> </w:t>
      </w:r>
      <w:r>
        <w:rPr>
          <w:b/>
          <w:color w:val="00ACEC"/>
          <w:sz w:val="18"/>
        </w:rPr>
        <w:t>raised</w:t>
      </w:r>
    </w:p>
    <w:p>
      <w:pPr>
        <w:pStyle w:val="BodyText"/>
        <w:spacing w:line="278" w:lineRule="auto" w:before="99"/>
        <w:ind w:left="2692" w:right="295"/>
      </w:pPr>
      <w:r>
        <w:rPr>
          <w:color w:val="262526"/>
        </w:rPr>
        <w:t>AEMO is currently required to publish a PSFRR focused on frequency risks only. In collaboration with TNSPs, AEMO must consider non-credible contingency events that involve</w:t>
      </w:r>
    </w:p>
    <w:p>
      <w:pPr>
        <w:spacing w:after="0" w:line="278" w:lineRule="auto"/>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ight="295"/>
      </w:pPr>
      <w:r>
        <w:rPr>
          <w:color w:val="262526"/>
        </w:rPr>
        <w:t>uncontrolled increases or decreases in frequency, leading to cascading outages or major supply disruptions.</w:t>
      </w:r>
      <w:r>
        <w:rPr>
          <w:color w:val="262526"/>
          <w:position w:val="8"/>
          <w:sz w:val="12"/>
        </w:rPr>
        <w:t>36 </w:t>
      </w:r>
      <w:r>
        <w:rPr>
          <w:color w:val="262526"/>
        </w:rPr>
        <w:t>The current PSFRR does not consider any other non-credible contingency risks to power system security.</w:t>
      </w:r>
    </w:p>
    <w:p>
      <w:pPr>
        <w:pStyle w:val="BodyText"/>
        <w:spacing w:line="278" w:lineRule="auto" w:before="113"/>
        <w:ind w:left="2692"/>
        <w:rPr>
          <w:sz w:val="12"/>
        </w:rPr>
      </w:pPr>
      <w:r>
        <w:rPr>
          <w:color w:val="262526"/>
        </w:rPr>
        <w:t>The COAG Energy Council considers that the set of system security risks is changing and are significantly different to those managed in the past. According to the Council, the changing generation mix is changing the power system risk and resilience profile which includes increasing levels of:</w:t>
      </w:r>
      <w:r>
        <w:rPr>
          <w:color w:val="262526"/>
          <w:position w:val="8"/>
          <w:sz w:val="12"/>
        </w:rPr>
        <w:t>37</w:t>
      </w:r>
    </w:p>
    <w:p>
      <w:pPr>
        <w:pStyle w:val="ListParagraph"/>
        <w:numPr>
          <w:ilvl w:val="3"/>
          <w:numId w:val="21"/>
        </w:numPr>
        <w:tabs>
          <w:tab w:pos="3033" w:val="left" w:leader="none"/>
          <w:tab w:pos="3034" w:val="left" w:leader="none"/>
        </w:tabs>
        <w:spacing w:line="278" w:lineRule="auto" w:before="113" w:after="0"/>
        <w:ind w:left="3033" w:right="194" w:hanging="341"/>
        <w:jc w:val="left"/>
        <w:rPr>
          <w:sz w:val="20"/>
        </w:rPr>
      </w:pPr>
      <w:r>
        <w:rPr>
          <w:color w:val="262526"/>
          <w:sz w:val="20"/>
        </w:rPr>
        <w:t>generation and load risk and uncertainty - The changing generation mix is changing both the events and types of uncertainty regarding generation output. Unlike the failure of thermal generators, unexpected variation from variable generation is often not related to internal failure of the unit, but rather involves weather conditions, such as changes in sunlight intensity or wind speeds. These changes are generally distributed and can affect a significant number of units and systems in a surrounding area. This means that system security risks may arise from an external event, such as a storm front passing across a region, and require the aggregate impact across all the generating units in the affected area to be considered, rather than the loss of a specific</w:t>
      </w:r>
      <w:r>
        <w:rPr>
          <w:color w:val="262526"/>
          <w:spacing w:val="4"/>
          <w:sz w:val="20"/>
        </w:rPr>
        <w:t> </w:t>
      </w:r>
      <w:r>
        <w:rPr>
          <w:color w:val="262526"/>
          <w:sz w:val="20"/>
        </w:rPr>
        <w:t>unit.</w:t>
      </w:r>
    </w:p>
    <w:p>
      <w:pPr>
        <w:pStyle w:val="ListParagraph"/>
        <w:numPr>
          <w:ilvl w:val="3"/>
          <w:numId w:val="21"/>
        </w:numPr>
        <w:tabs>
          <w:tab w:pos="3033" w:val="left" w:leader="none"/>
          <w:tab w:pos="3034" w:val="left" w:leader="none"/>
        </w:tabs>
        <w:spacing w:line="278" w:lineRule="auto" w:before="57" w:after="0"/>
        <w:ind w:left="3033" w:right="367" w:hanging="341"/>
        <w:jc w:val="left"/>
        <w:rPr>
          <w:sz w:val="20"/>
        </w:rPr>
      </w:pPr>
      <w:r>
        <w:rPr>
          <w:color w:val="262526"/>
          <w:sz w:val="20"/>
        </w:rPr>
        <w:t>system response risk and uncertainty - In addition to new types of generation and load uncertainty, the response of the power system itself to disturbances is also becoming more uncertain. This increase in uncertainty is due to factors including reduction in the level of inertia and fault level as synchronous units have retired, as well as a more complex demand side, due to an increased prevalence of DER. Other factors, such as increasing prevalence of network protection schemes, also increase the complexity and therefore the uncertainty, of power system response to a</w:t>
      </w:r>
      <w:r>
        <w:rPr>
          <w:color w:val="262526"/>
          <w:spacing w:val="2"/>
          <w:sz w:val="20"/>
        </w:rPr>
        <w:t> </w:t>
      </w:r>
      <w:r>
        <w:rPr>
          <w:color w:val="262526"/>
          <w:sz w:val="20"/>
        </w:rPr>
        <w:t>disturbance.</w:t>
      </w:r>
    </w:p>
    <w:p>
      <w:pPr>
        <w:pStyle w:val="BodyText"/>
        <w:spacing w:line="278" w:lineRule="auto" w:before="56"/>
        <w:ind w:left="2692" w:right="295"/>
        <w:rPr>
          <w:sz w:val="12"/>
        </w:rPr>
      </w:pPr>
      <w:r>
        <w:rPr>
          <w:color w:val="262526"/>
        </w:rPr>
        <w:t>Given these changes, the COAG Energy Council is of the view that a risk assessment framework should account for the full range of risks to power system security. To achieve this, the COAG Energy Council proposes to require AEMO to consider six key risk areas and identify options for the future management of all events and conditions (including contingency events) which would likely lead to cascading outages, or major supply disruptions.</w:t>
      </w:r>
      <w:r>
        <w:rPr>
          <w:color w:val="262526"/>
          <w:position w:val="8"/>
          <w:sz w:val="12"/>
        </w:rPr>
        <w:t>38 </w:t>
      </w:r>
      <w:r>
        <w:rPr>
          <w:color w:val="262526"/>
        </w:rPr>
        <w:t>These key six areas are:</w:t>
      </w:r>
      <w:r>
        <w:rPr>
          <w:color w:val="262526"/>
          <w:position w:val="8"/>
          <w:sz w:val="12"/>
        </w:rPr>
        <w:t>39</w:t>
      </w:r>
    </w:p>
    <w:p>
      <w:pPr>
        <w:pStyle w:val="ListParagraph"/>
        <w:numPr>
          <w:ilvl w:val="0"/>
          <w:numId w:val="22"/>
        </w:numPr>
        <w:tabs>
          <w:tab w:pos="3034" w:val="left" w:leader="none"/>
        </w:tabs>
        <w:spacing w:line="240" w:lineRule="auto" w:before="113" w:after="0"/>
        <w:ind w:left="3033" w:right="0" w:hanging="342"/>
        <w:jc w:val="left"/>
        <w:rPr>
          <w:sz w:val="20"/>
        </w:rPr>
      </w:pPr>
      <w:r>
        <w:rPr>
          <w:color w:val="262526"/>
          <w:sz w:val="20"/>
        </w:rPr>
        <w:t>power system frequency risks (as currently considered in the</w:t>
      </w:r>
      <w:r>
        <w:rPr>
          <w:color w:val="262526"/>
          <w:spacing w:val="2"/>
          <w:sz w:val="20"/>
        </w:rPr>
        <w:t> </w:t>
      </w:r>
      <w:r>
        <w:rPr>
          <w:color w:val="262526"/>
          <w:sz w:val="20"/>
        </w:rPr>
        <w:t>PSFRR)</w:t>
      </w:r>
    </w:p>
    <w:p>
      <w:pPr>
        <w:pStyle w:val="ListParagraph"/>
        <w:numPr>
          <w:ilvl w:val="0"/>
          <w:numId w:val="22"/>
        </w:numPr>
        <w:tabs>
          <w:tab w:pos="3034" w:val="left" w:leader="none"/>
        </w:tabs>
        <w:spacing w:line="240" w:lineRule="auto" w:before="96" w:after="0"/>
        <w:ind w:left="3033" w:right="0" w:hanging="342"/>
        <w:jc w:val="left"/>
        <w:rPr>
          <w:sz w:val="20"/>
        </w:rPr>
      </w:pPr>
      <w:r>
        <w:rPr>
          <w:color w:val="262526"/>
          <w:sz w:val="20"/>
        </w:rPr>
        <w:t>power system voltage risks</w:t>
      </w:r>
    </w:p>
    <w:p>
      <w:pPr>
        <w:pStyle w:val="ListParagraph"/>
        <w:numPr>
          <w:ilvl w:val="0"/>
          <w:numId w:val="22"/>
        </w:numPr>
        <w:tabs>
          <w:tab w:pos="3034" w:val="left" w:leader="none"/>
        </w:tabs>
        <w:spacing w:line="240" w:lineRule="auto" w:before="95" w:after="0"/>
        <w:ind w:left="3033" w:right="0" w:hanging="342"/>
        <w:jc w:val="left"/>
        <w:rPr>
          <w:sz w:val="20"/>
        </w:rPr>
      </w:pPr>
      <w:r>
        <w:rPr>
          <w:color w:val="262526"/>
          <w:sz w:val="20"/>
        </w:rPr>
        <w:t>risks arising from system strength</w:t>
      </w:r>
    </w:p>
    <w:p>
      <w:pPr>
        <w:pStyle w:val="ListParagraph"/>
        <w:numPr>
          <w:ilvl w:val="0"/>
          <w:numId w:val="22"/>
        </w:numPr>
        <w:tabs>
          <w:tab w:pos="3034" w:val="left" w:leader="none"/>
        </w:tabs>
        <w:spacing w:line="240" w:lineRule="auto" w:before="95" w:after="0"/>
        <w:ind w:left="3033" w:right="0" w:hanging="342"/>
        <w:jc w:val="left"/>
        <w:rPr>
          <w:sz w:val="20"/>
        </w:rPr>
      </w:pPr>
      <w:r>
        <w:rPr>
          <w:color w:val="262526"/>
          <w:sz w:val="20"/>
        </w:rPr>
        <w:t>risks arising from levels of synchronous inertia</w:t>
      </w:r>
    </w:p>
    <w:p>
      <w:pPr>
        <w:pStyle w:val="ListParagraph"/>
        <w:numPr>
          <w:ilvl w:val="0"/>
          <w:numId w:val="22"/>
        </w:numPr>
        <w:tabs>
          <w:tab w:pos="3034" w:val="left" w:leader="none"/>
        </w:tabs>
        <w:spacing w:line="278" w:lineRule="auto" w:before="96" w:after="0"/>
        <w:ind w:left="3033" w:right="224" w:hanging="341"/>
        <w:jc w:val="left"/>
        <w:rPr>
          <w:sz w:val="20"/>
        </w:rPr>
      </w:pPr>
      <w:r>
        <w:rPr>
          <w:color w:val="262526"/>
          <w:sz w:val="20"/>
        </w:rPr>
        <w:t>risks arising from the effect of DER penetration and the potential for DER to increase the probability of cascading outages or major supply disruptions,</w:t>
      </w:r>
      <w:r>
        <w:rPr>
          <w:color w:val="262526"/>
          <w:spacing w:val="7"/>
          <w:sz w:val="20"/>
        </w:rPr>
        <w:t> </w:t>
      </w:r>
      <w:r>
        <w:rPr>
          <w:color w:val="262526"/>
          <w:sz w:val="20"/>
        </w:rPr>
        <w:t>and</w:t>
      </w:r>
    </w:p>
    <w:p>
      <w:pPr>
        <w:pStyle w:val="ListParagraph"/>
        <w:numPr>
          <w:ilvl w:val="0"/>
          <w:numId w:val="22"/>
        </w:numPr>
        <w:tabs>
          <w:tab w:pos="3034" w:val="left" w:leader="none"/>
        </w:tabs>
        <w:spacing w:line="278" w:lineRule="auto" w:before="56" w:after="0"/>
        <w:ind w:left="3033" w:right="912" w:hanging="341"/>
        <w:jc w:val="left"/>
        <w:rPr>
          <w:sz w:val="20"/>
        </w:rPr>
      </w:pPr>
      <w:r>
        <w:rPr>
          <w:color w:val="262526"/>
          <w:sz w:val="20"/>
        </w:rPr>
        <w:t>risks arising from interactions between settings on Emergency Frequency Control schemes and connected plant control and protection</w:t>
      </w:r>
      <w:r>
        <w:rPr>
          <w:color w:val="262526"/>
          <w:spacing w:val="4"/>
          <w:sz w:val="20"/>
        </w:rPr>
        <w:t> </w:t>
      </w:r>
      <w:r>
        <w:rPr>
          <w:color w:val="262526"/>
          <w:sz w:val="20"/>
        </w:rPr>
        <w:t>schemes.</w:t>
      </w:r>
    </w:p>
    <w:p>
      <w:pPr>
        <w:pStyle w:val="BodyText"/>
        <w:spacing w:before="3"/>
        <w:rPr>
          <w:sz w:val="23"/>
        </w:rPr>
      </w:pPr>
      <w:r>
        <w:rPr/>
        <w:pict>
          <v:shape style="position:absolute;margin-left:134.645996pt;margin-top:16.482906pt;width:49.65pt;height:.1pt;mso-position-horizontal-relative:page;mso-position-vertical-relative:paragraph;z-index:-15719424;mso-wrap-distance-left:0;mso-wrap-distance-right:0" coordorigin="2693,330" coordsize="993,0" path="m2693,330l3685,330e" filled="false" stroked="true" strokeweight="1pt" strokecolor="#262526">
            <v:path arrowok="t"/>
            <v:stroke dashstyle="solid"/>
            <w10:wrap type="topAndBottom"/>
          </v:shape>
        </w:pict>
      </w:r>
    </w:p>
    <w:p>
      <w:pPr>
        <w:pStyle w:val="ListParagraph"/>
        <w:numPr>
          <w:ilvl w:val="0"/>
          <w:numId w:val="23"/>
        </w:numPr>
        <w:tabs>
          <w:tab w:pos="3034" w:val="left" w:leader="none"/>
        </w:tabs>
        <w:spacing w:line="240" w:lineRule="auto" w:before="98" w:after="0"/>
        <w:ind w:left="3033" w:right="0" w:hanging="342"/>
        <w:jc w:val="left"/>
        <w:rPr>
          <w:sz w:val="14"/>
        </w:rPr>
      </w:pPr>
      <w:r>
        <w:rPr>
          <w:color w:val="262526"/>
          <w:sz w:val="14"/>
        </w:rPr>
        <w:t>Clause 5.20A.1(a)(1) of the</w:t>
      </w:r>
      <w:r>
        <w:rPr>
          <w:color w:val="262526"/>
          <w:spacing w:val="-2"/>
          <w:sz w:val="14"/>
        </w:rPr>
        <w:t> </w:t>
      </w:r>
      <w:r>
        <w:rPr>
          <w:color w:val="262526"/>
          <w:sz w:val="14"/>
        </w:rPr>
        <w:t>NER.</w:t>
      </w:r>
    </w:p>
    <w:p>
      <w:pPr>
        <w:pStyle w:val="ListParagraph"/>
        <w:numPr>
          <w:ilvl w:val="0"/>
          <w:numId w:val="23"/>
        </w:numPr>
        <w:tabs>
          <w:tab w:pos="3034" w:val="left" w:leader="none"/>
        </w:tabs>
        <w:spacing w:line="240" w:lineRule="auto" w:before="55" w:after="0"/>
        <w:ind w:left="3033" w:right="0" w:hanging="342"/>
        <w:jc w:val="left"/>
        <w:rPr>
          <w:sz w:val="14"/>
        </w:rPr>
      </w:pPr>
      <w:r>
        <w:rPr>
          <w:color w:val="262526"/>
          <w:sz w:val="14"/>
        </w:rPr>
        <w:t>COAG Energy Council, rule change request, p.</w:t>
      </w:r>
      <w:r>
        <w:rPr>
          <w:color w:val="262526"/>
          <w:spacing w:val="-5"/>
          <w:sz w:val="14"/>
        </w:rPr>
        <w:t> </w:t>
      </w:r>
      <w:r>
        <w:rPr>
          <w:color w:val="262526"/>
          <w:sz w:val="14"/>
        </w:rPr>
        <w:t>3.</w:t>
      </w:r>
    </w:p>
    <w:p>
      <w:pPr>
        <w:pStyle w:val="ListParagraph"/>
        <w:numPr>
          <w:ilvl w:val="0"/>
          <w:numId w:val="23"/>
        </w:numPr>
        <w:tabs>
          <w:tab w:pos="3034" w:val="left" w:leader="none"/>
        </w:tabs>
        <w:spacing w:line="319" w:lineRule="auto" w:before="56" w:after="0"/>
        <w:ind w:left="2692" w:right="7396" w:firstLine="0"/>
        <w:jc w:val="left"/>
        <w:rPr>
          <w:sz w:val="14"/>
        </w:rPr>
      </w:pPr>
      <w:r>
        <w:rPr>
          <w:color w:val="262526"/>
          <w:sz w:val="14"/>
        </w:rPr>
        <w:t>Ibid, p.1. 39 Ibid, p.</w:t>
      </w:r>
      <w:r>
        <w:rPr>
          <w:color w:val="262526"/>
          <w:spacing w:val="7"/>
          <w:sz w:val="14"/>
        </w:rPr>
        <w:t> </w:t>
      </w:r>
      <w:r>
        <w:rPr>
          <w:color w:val="262526"/>
          <w:spacing w:val="-3"/>
          <w:sz w:val="14"/>
        </w:rPr>
        <w:t>1-2.</w:t>
      </w:r>
    </w:p>
    <w:p>
      <w:pPr>
        <w:spacing w:after="0" w:line="319"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Pr>
          <w:sz w:val="12"/>
        </w:rPr>
      </w:pPr>
      <w:r>
        <w:rPr>
          <w:color w:val="262526"/>
        </w:rPr>
        <w:t>The COAG Energy Council proposes to provide AEMO with flexibility to prioritise certain risks over others or elect not to consider some of the six key risks. In establishing priorities, AEMO would be required to consult with both TNSPs and DNSPs.</w:t>
      </w:r>
      <w:r>
        <w:rPr>
          <w:color w:val="262526"/>
          <w:position w:val="8"/>
          <w:sz w:val="12"/>
        </w:rPr>
        <w:t>40</w:t>
      </w:r>
    </w:p>
    <w:p>
      <w:pPr>
        <w:pStyle w:val="BodyText"/>
        <w:spacing w:before="8"/>
        <w:rPr>
          <w:sz w:val="23"/>
        </w:rPr>
      </w:pPr>
    </w:p>
    <w:p>
      <w:pPr>
        <w:pStyle w:val="ListParagraph"/>
        <w:numPr>
          <w:ilvl w:val="2"/>
          <w:numId w:val="21"/>
        </w:numPr>
        <w:tabs>
          <w:tab w:pos="2692" w:val="left" w:leader="none"/>
          <w:tab w:pos="2693" w:val="left" w:leader="none"/>
        </w:tabs>
        <w:spacing w:line="240" w:lineRule="auto" w:before="1" w:after="0"/>
        <w:ind w:left="2692" w:right="0" w:hanging="1560"/>
        <w:jc w:val="left"/>
        <w:rPr>
          <w:b/>
          <w:sz w:val="18"/>
        </w:rPr>
      </w:pPr>
      <w:r>
        <w:rPr>
          <w:b/>
          <w:color w:val="00ACEC"/>
          <w:sz w:val="18"/>
        </w:rPr>
        <w:t>Stakeholder</w:t>
      </w:r>
      <w:r>
        <w:rPr>
          <w:b/>
          <w:color w:val="00ACEC"/>
          <w:spacing w:val="-2"/>
          <w:sz w:val="18"/>
        </w:rPr>
        <w:t> </w:t>
      </w:r>
      <w:r>
        <w:rPr>
          <w:b/>
          <w:color w:val="00ACEC"/>
          <w:sz w:val="18"/>
        </w:rPr>
        <w:t>views</w:t>
      </w:r>
    </w:p>
    <w:p>
      <w:pPr>
        <w:pStyle w:val="BodyText"/>
        <w:spacing w:line="278" w:lineRule="auto" w:before="99"/>
        <w:ind w:left="2692" w:right="295"/>
        <w:rPr>
          <w:sz w:val="12"/>
        </w:rPr>
      </w:pPr>
      <w:r>
        <w:rPr>
          <w:color w:val="262526"/>
        </w:rPr>
        <w:t>Generally, through the AEMC’s BSE review, stakeholders supported expanding the scope of the risk review process beyond frequency to include voltage, inertia, fault level and other factors that create risks to power system security and resilience.</w:t>
      </w:r>
      <w:r>
        <w:rPr>
          <w:color w:val="262526"/>
          <w:position w:val="8"/>
          <w:sz w:val="12"/>
        </w:rPr>
        <w:t>41</w:t>
      </w:r>
    </w:p>
    <w:p>
      <w:pPr>
        <w:pStyle w:val="BodyText"/>
        <w:spacing w:line="278" w:lineRule="auto" w:before="113"/>
        <w:ind w:left="2692"/>
        <w:rPr>
          <w:sz w:val="12"/>
        </w:rPr>
      </w:pPr>
      <w:r>
        <w:rPr>
          <w:color w:val="262526"/>
        </w:rPr>
        <w:t>In particular, the Australian Energy Council supported the expansion, considering the PSFRR already a “beneficial process”;</w:t>
      </w:r>
      <w:r>
        <w:rPr>
          <w:color w:val="262526"/>
          <w:position w:val="8"/>
          <w:sz w:val="12"/>
        </w:rPr>
        <w:t>42 </w:t>
      </w:r>
      <w:r>
        <w:rPr>
          <w:color w:val="262526"/>
        </w:rPr>
        <w:t>Stanwell Corporation considered the PSFRR should be broadened and “embedded within AEMO’s operational processes”;</w:t>
      </w:r>
      <w:r>
        <w:rPr>
          <w:color w:val="262526"/>
          <w:position w:val="8"/>
          <w:sz w:val="12"/>
        </w:rPr>
        <w:t>43 </w:t>
      </w:r>
      <w:r>
        <w:rPr>
          <w:color w:val="262526"/>
        </w:rPr>
        <w:t>and Ergon Energy and Energex suggested “the risk review should include all relevant elements”.</w:t>
      </w:r>
      <w:r>
        <w:rPr>
          <w:color w:val="262526"/>
          <w:position w:val="8"/>
          <w:sz w:val="12"/>
        </w:rPr>
        <w:t>44</w:t>
      </w:r>
    </w:p>
    <w:p>
      <w:pPr>
        <w:pStyle w:val="BodyText"/>
        <w:spacing w:line="278" w:lineRule="auto" w:before="114"/>
        <w:ind w:left="2692" w:right="295"/>
        <w:rPr>
          <w:sz w:val="12"/>
        </w:rPr>
      </w:pPr>
      <w:r>
        <w:rPr>
          <w:color w:val="262526"/>
        </w:rPr>
        <w:t>While supporting the proposal, AEMO considered it important for there to be flexibility to prioritise different sources of risk between reviews, promoting efficiency and value in reporting, and to balance the impacts of operational and institutional changes (such as rule changes) that may alter reporting processes.</w:t>
      </w:r>
      <w:r>
        <w:rPr>
          <w:color w:val="262526"/>
          <w:position w:val="8"/>
          <w:sz w:val="12"/>
        </w:rPr>
        <w:t>45</w:t>
      </w:r>
    </w:p>
    <w:p>
      <w:pPr>
        <w:pStyle w:val="BodyText"/>
        <w:spacing w:line="278" w:lineRule="auto" w:before="113"/>
        <w:ind w:left="2692" w:right="137"/>
        <w:rPr>
          <w:sz w:val="12"/>
        </w:rPr>
      </w:pPr>
      <w:r>
        <w:rPr>
          <w:color w:val="262526"/>
        </w:rPr>
        <w:t>Stakeholders strongly supported including DNSPs and risks associated with DER in the GPSRR.</w:t>
      </w:r>
      <w:r>
        <w:rPr>
          <w:color w:val="262526"/>
          <w:position w:val="8"/>
          <w:sz w:val="12"/>
        </w:rPr>
        <w:t>46 </w:t>
      </w:r>
      <w:r>
        <w:rPr>
          <w:color w:val="262526"/>
        </w:rPr>
        <w:t>SA Power Networks noted concerns over the management of reverse energy flows from high DER penetration and the implications for under frequency load shedding  schemes.</w:t>
      </w:r>
      <w:r>
        <w:rPr>
          <w:color w:val="262526"/>
          <w:position w:val="8"/>
          <w:sz w:val="12"/>
        </w:rPr>
        <w:t>47 </w:t>
      </w:r>
      <w:r>
        <w:rPr>
          <w:color w:val="262526"/>
        </w:rPr>
        <w:t>Ergon Energy and Energex particularly noted the importance of risks to be considered by DNSPs, including “generation at risk, load shedding required to facilitate frequency or other contingency management activities, and voltage constraints in a particular </w:t>
      </w:r>
      <w:r>
        <w:rPr>
          <w:color w:val="262526"/>
          <w:spacing w:val="-4"/>
        </w:rPr>
        <w:t>area.”</w:t>
      </w:r>
      <w:r>
        <w:rPr>
          <w:color w:val="262526"/>
          <w:spacing w:val="-4"/>
          <w:position w:val="8"/>
          <w:sz w:val="12"/>
        </w:rPr>
        <w:t>48</w:t>
      </w:r>
    </w:p>
    <w:p>
      <w:pPr>
        <w:pStyle w:val="BodyText"/>
        <w:spacing w:before="3"/>
        <w:rPr>
          <w:sz w:val="25"/>
        </w:rPr>
      </w:pPr>
    </w:p>
    <w:p>
      <w:pPr>
        <w:pStyle w:val="ListParagraph"/>
        <w:numPr>
          <w:ilvl w:val="2"/>
          <w:numId w:val="21"/>
        </w:numPr>
        <w:tabs>
          <w:tab w:pos="2692" w:val="left" w:leader="none"/>
          <w:tab w:pos="2693" w:val="left" w:leader="none"/>
        </w:tabs>
        <w:spacing w:line="240" w:lineRule="auto" w:before="0" w:after="0"/>
        <w:ind w:left="2692" w:right="0" w:hanging="1560"/>
        <w:jc w:val="left"/>
        <w:rPr>
          <w:b/>
          <w:sz w:val="18"/>
        </w:rPr>
      </w:pPr>
      <w:r>
        <w:rPr>
          <w:b/>
          <w:color w:val="00ACEC"/>
          <w:sz w:val="18"/>
        </w:rPr>
        <w:t>Commission’s analysis and</w:t>
      </w:r>
      <w:r>
        <w:rPr>
          <w:b/>
          <w:color w:val="00ACEC"/>
          <w:spacing w:val="-1"/>
          <w:sz w:val="18"/>
        </w:rPr>
        <w:t> </w:t>
      </w:r>
      <w:r>
        <w:rPr>
          <w:b/>
          <w:color w:val="00ACEC"/>
          <w:sz w:val="18"/>
        </w:rPr>
        <w:t>determination</w:t>
      </w:r>
    </w:p>
    <w:p>
      <w:pPr>
        <w:pStyle w:val="BodyText"/>
        <w:spacing w:line="278" w:lineRule="auto" w:before="99"/>
        <w:ind w:left="2692"/>
      </w:pPr>
      <w:r>
        <w:rPr>
          <w:color w:val="262526"/>
        </w:rPr>
        <w:t>The Commission considers that the introduction of a GPSRR will allow for the effective recognition of emerging risks, and faster development of solutions to address these risks.</w:t>
      </w:r>
    </w:p>
    <w:p>
      <w:pPr>
        <w:pStyle w:val="BodyText"/>
        <w:spacing w:line="278" w:lineRule="auto" w:before="114"/>
        <w:ind w:left="2692" w:right="295"/>
      </w:pPr>
      <w:r>
        <w:rPr>
          <w:color w:val="262526"/>
        </w:rPr>
        <w:t>In coming to this conclusion, the Commission has taken stakeholder views into account including their general support for the concept of a GPSRR. In particular, stakeholders supported the proposals to:</w:t>
      </w:r>
    </w:p>
    <w:p>
      <w:pPr>
        <w:pStyle w:val="ListParagraph"/>
        <w:numPr>
          <w:ilvl w:val="3"/>
          <w:numId w:val="21"/>
        </w:numPr>
        <w:tabs>
          <w:tab w:pos="3033" w:val="left" w:leader="none"/>
          <w:tab w:pos="3034" w:val="left" w:leader="none"/>
        </w:tabs>
        <w:spacing w:line="240" w:lineRule="auto" w:before="113" w:after="0"/>
        <w:ind w:left="3033" w:right="0" w:hanging="341"/>
        <w:jc w:val="left"/>
        <w:rPr>
          <w:sz w:val="20"/>
        </w:rPr>
      </w:pPr>
      <w:r>
        <w:rPr>
          <w:color w:val="262526"/>
          <w:sz w:val="20"/>
        </w:rPr>
        <w:t>expand the range of system security risks considered by the review,</w:t>
      </w:r>
      <w:r>
        <w:rPr>
          <w:color w:val="262526"/>
          <w:spacing w:val="1"/>
          <w:sz w:val="20"/>
        </w:rPr>
        <w:t> </w:t>
      </w:r>
      <w:r>
        <w:rPr>
          <w:color w:val="262526"/>
          <w:sz w:val="20"/>
        </w:rPr>
        <w:t>and</w:t>
      </w:r>
    </w:p>
    <w:p>
      <w:pPr>
        <w:pStyle w:val="ListParagraph"/>
        <w:numPr>
          <w:ilvl w:val="3"/>
          <w:numId w:val="21"/>
        </w:numPr>
        <w:tabs>
          <w:tab w:pos="3033" w:val="left" w:leader="none"/>
          <w:tab w:pos="3034" w:val="left" w:leader="none"/>
        </w:tabs>
        <w:spacing w:line="240" w:lineRule="auto" w:before="95" w:after="0"/>
        <w:ind w:left="3033" w:right="0" w:hanging="341"/>
        <w:jc w:val="left"/>
        <w:rPr>
          <w:sz w:val="20"/>
        </w:rPr>
      </w:pPr>
      <w:r>
        <w:rPr>
          <w:color w:val="262526"/>
          <w:sz w:val="20"/>
        </w:rPr>
        <w:t>include DNSP and DER related issues within the</w:t>
      </w:r>
      <w:r>
        <w:rPr>
          <w:color w:val="262526"/>
          <w:spacing w:val="1"/>
          <w:sz w:val="20"/>
        </w:rPr>
        <w:t> </w:t>
      </w:r>
      <w:r>
        <w:rPr>
          <w:color w:val="262526"/>
          <w:sz w:val="20"/>
        </w:rPr>
        <w:t>review.</w:t>
      </w:r>
    </w:p>
    <w:p>
      <w:pPr>
        <w:pStyle w:val="BodyText"/>
      </w:pPr>
    </w:p>
    <w:p>
      <w:pPr>
        <w:pStyle w:val="BodyText"/>
        <w:spacing w:before="1"/>
        <w:rPr>
          <w:sz w:val="16"/>
        </w:rPr>
      </w:pPr>
      <w:r>
        <w:rPr/>
        <w:pict>
          <v:shape style="position:absolute;margin-left:134.645996pt;margin-top:12.195844pt;width:49.65pt;height:.1pt;mso-position-horizontal-relative:page;mso-position-vertical-relative:paragraph;z-index:-15718912;mso-wrap-distance-left:0;mso-wrap-distance-right:0" coordorigin="2693,244" coordsize="993,0" path="m2693,244l3685,244e" filled="false" stroked="true" strokeweight="1pt" strokecolor="#262526">
            <v:path arrowok="t"/>
            <v:stroke dashstyle="solid"/>
            <w10:wrap type="topAndBottom"/>
          </v:shape>
        </w:pict>
      </w:r>
    </w:p>
    <w:p>
      <w:pPr>
        <w:pStyle w:val="ListParagraph"/>
        <w:numPr>
          <w:ilvl w:val="0"/>
          <w:numId w:val="24"/>
        </w:numPr>
        <w:tabs>
          <w:tab w:pos="3034" w:val="left" w:leader="none"/>
        </w:tabs>
        <w:spacing w:line="240" w:lineRule="auto" w:before="98" w:after="0"/>
        <w:ind w:left="3033" w:right="0" w:hanging="342"/>
        <w:jc w:val="left"/>
        <w:rPr>
          <w:sz w:val="14"/>
        </w:rPr>
      </w:pPr>
      <w:r>
        <w:rPr>
          <w:color w:val="262526"/>
          <w:sz w:val="14"/>
        </w:rPr>
        <w:t>Ibid, p.</w:t>
      </w:r>
      <w:r>
        <w:rPr>
          <w:color w:val="262526"/>
          <w:spacing w:val="-1"/>
          <w:sz w:val="14"/>
        </w:rPr>
        <w:t> </w:t>
      </w:r>
      <w:r>
        <w:rPr>
          <w:color w:val="262526"/>
          <w:sz w:val="14"/>
        </w:rPr>
        <w:t>2.</w:t>
      </w:r>
    </w:p>
    <w:p>
      <w:pPr>
        <w:pStyle w:val="ListParagraph"/>
        <w:numPr>
          <w:ilvl w:val="0"/>
          <w:numId w:val="24"/>
        </w:numPr>
        <w:tabs>
          <w:tab w:pos="3034" w:val="left" w:leader="none"/>
        </w:tabs>
        <w:spacing w:line="240" w:lineRule="auto" w:before="55" w:after="0"/>
        <w:ind w:left="3033" w:right="324" w:hanging="341"/>
        <w:jc w:val="left"/>
        <w:rPr>
          <w:sz w:val="14"/>
        </w:rPr>
      </w:pPr>
      <w:r>
        <w:rPr>
          <w:color w:val="262526"/>
          <w:sz w:val="14"/>
        </w:rPr>
        <w:t>Submissions</w:t>
      </w:r>
      <w:r>
        <w:rPr>
          <w:color w:val="262526"/>
          <w:spacing w:val="-4"/>
          <w:sz w:val="14"/>
        </w:rPr>
        <w:t> </w:t>
      </w:r>
      <w:r>
        <w:rPr>
          <w:color w:val="262526"/>
          <w:sz w:val="14"/>
        </w:rPr>
        <w:t>to</w:t>
      </w:r>
      <w:r>
        <w:rPr>
          <w:color w:val="262526"/>
          <w:spacing w:val="-4"/>
          <w:sz w:val="14"/>
        </w:rPr>
        <w:t> </w:t>
      </w:r>
      <w:r>
        <w:rPr>
          <w:color w:val="262526"/>
          <w:sz w:val="14"/>
        </w:rPr>
        <w:t>the</w:t>
      </w:r>
      <w:r>
        <w:rPr>
          <w:color w:val="262526"/>
          <w:spacing w:val="-4"/>
          <w:sz w:val="14"/>
        </w:rPr>
        <w:t> </w:t>
      </w:r>
      <w:r>
        <w:rPr>
          <w:color w:val="262526"/>
          <w:sz w:val="14"/>
        </w:rPr>
        <w:t>AEMC’s</w:t>
      </w:r>
      <w:r>
        <w:rPr>
          <w:color w:val="262526"/>
          <w:spacing w:val="-4"/>
          <w:sz w:val="14"/>
        </w:rPr>
        <w:t> </w:t>
      </w:r>
      <w:r>
        <w:rPr>
          <w:color w:val="262526"/>
          <w:sz w:val="14"/>
        </w:rPr>
        <w:t>Mechanisms</w:t>
      </w:r>
      <w:r>
        <w:rPr>
          <w:color w:val="262526"/>
          <w:spacing w:val="-3"/>
          <w:sz w:val="14"/>
        </w:rPr>
        <w:t> </w:t>
      </w:r>
      <w:r>
        <w:rPr>
          <w:color w:val="262526"/>
          <w:sz w:val="14"/>
        </w:rPr>
        <w:t>to</w:t>
      </w:r>
      <w:r>
        <w:rPr>
          <w:color w:val="262526"/>
          <w:spacing w:val="-4"/>
          <w:sz w:val="14"/>
        </w:rPr>
        <w:t> </w:t>
      </w:r>
      <w:r>
        <w:rPr>
          <w:color w:val="262526"/>
          <w:sz w:val="14"/>
        </w:rPr>
        <w:t>enhance</w:t>
      </w:r>
      <w:r>
        <w:rPr>
          <w:color w:val="262526"/>
          <w:spacing w:val="-4"/>
          <w:sz w:val="14"/>
        </w:rPr>
        <w:t> </w:t>
      </w:r>
      <w:r>
        <w:rPr>
          <w:color w:val="262526"/>
          <w:sz w:val="14"/>
        </w:rPr>
        <w:t>resilience</w:t>
      </w:r>
      <w:r>
        <w:rPr>
          <w:color w:val="262526"/>
          <w:spacing w:val="-5"/>
          <w:sz w:val="14"/>
        </w:rPr>
        <w:t> </w:t>
      </w:r>
      <w:r>
        <w:rPr>
          <w:color w:val="262526"/>
          <w:sz w:val="14"/>
        </w:rPr>
        <w:t>in</w:t>
      </w:r>
      <w:r>
        <w:rPr>
          <w:color w:val="262526"/>
          <w:spacing w:val="-3"/>
          <w:sz w:val="14"/>
        </w:rPr>
        <w:t> </w:t>
      </w:r>
      <w:r>
        <w:rPr>
          <w:color w:val="262526"/>
          <w:sz w:val="14"/>
        </w:rPr>
        <w:t>the</w:t>
      </w:r>
      <w:r>
        <w:rPr>
          <w:color w:val="262526"/>
          <w:spacing w:val="-4"/>
          <w:sz w:val="14"/>
        </w:rPr>
        <w:t> </w:t>
      </w:r>
      <w:r>
        <w:rPr>
          <w:color w:val="262526"/>
          <w:sz w:val="14"/>
        </w:rPr>
        <w:t>power</w:t>
      </w:r>
      <w:r>
        <w:rPr>
          <w:color w:val="262526"/>
          <w:spacing w:val="-3"/>
          <w:sz w:val="14"/>
        </w:rPr>
        <w:t> </w:t>
      </w:r>
      <w:r>
        <w:rPr>
          <w:color w:val="262526"/>
          <w:sz w:val="14"/>
        </w:rPr>
        <w:t>system</w:t>
      </w:r>
      <w:r>
        <w:rPr>
          <w:color w:val="262526"/>
          <w:spacing w:val="-4"/>
          <w:sz w:val="14"/>
        </w:rPr>
        <w:t> </w:t>
      </w:r>
      <w:r>
        <w:rPr>
          <w:color w:val="262526"/>
          <w:sz w:val="14"/>
        </w:rPr>
        <w:t>(Review</w:t>
      </w:r>
      <w:r>
        <w:rPr>
          <w:color w:val="262526"/>
          <w:spacing w:val="-4"/>
          <w:sz w:val="14"/>
        </w:rPr>
        <w:t> </w:t>
      </w:r>
      <w:r>
        <w:rPr>
          <w:color w:val="262526"/>
          <w:sz w:val="14"/>
        </w:rPr>
        <w:t>of</w:t>
      </w:r>
      <w:r>
        <w:rPr>
          <w:color w:val="262526"/>
          <w:spacing w:val="-3"/>
          <w:sz w:val="14"/>
        </w:rPr>
        <w:t> </w:t>
      </w:r>
      <w:r>
        <w:rPr>
          <w:color w:val="262526"/>
          <w:sz w:val="14"/>
        </w:rPr>
        <w:t>the</w:t>
      </w:r>
      <w:r>
        <w:rPr>
          <w:color w:val="262526"/>
          <w:spacing w:val="-4"/>
          <w:sz w:val="14"/>
        </w:rPr>
        <w:t> </w:t>
      </w:r>
      <w:r>
        <w:rPr>
          <w:color w:val="262526"/>
          <w:sz w:val="14"/>
        </w:rPr>
        <w:t>black</w:t>
      </w:r>
      <w:r>
        <w:rPr>
          <w:color w:val="262526"/>
          <w:spacing w:val="-4"/>
          <w:sz w:val="14"/>
        </w:rPr>
        <w:t> </w:t>
      </w:r>
      <w:r>
        <w:rPr>
          <w:color w:val="262526"/>
          <w:sz w:val="14"/>
        </w:rPr>
        <w:t>system</w:t>
      </w:r>
      <w:r>
        <w:rPr>
          <w:color w:val="262526"/>
          <w:spacing w:val="-4"/>
          <w:sz w:val="14"/>
        </w:rPr>
        <w:t> </w:t>
      </w:r>
      <w:r>
        <w:rPr>
          <w:color w:val="262526"/>
          <w:sz w:val="14"/>
        </w:rPr>
        <w:t>event</w:t>
      </w:r>
      <w:r>
        <w:rPr>
          <w:color w:val="262526"/>
          <w:spacing w:val="-4"/>
          <w:sz w:val="14"/>
        </w:rPr>
        <w:t> </w:t>
      </w:r>
      <w:r>
        <w:rPr>
          <w:color w:val="262526"/>
          <w:sz w:val="14"/>
        </w:rPr>
        <w:t>in</w:t>
      </w:r>
      <w:r>
        <w:rPr>
          <w:color w:val="262526"/>
          <w:spacing w:val="-3"/>
          <w:sz w:val="14"/>
        </w:rPr>
        <w:t> </w:t>
      </w:r>
      <w:r>
        <w:rPr>
          <w:color w:val="262526"/>
          <w:sz w:val="14"/>
        </w:rPr>
        <w:t>South Australia) discussion paper: AEMO, p. 15; PIAC, p. 6; AEC, p. 3; Ergon and Energex, p.</w:t>
      </w:r>
      <w:r>
        <w:rPr>
          <w:color w:val="262526"/>
          <w:spacing w:val="-8"/>
          <w:sz w:val="14"/>
        </w:rPr>
        <w:t> </w:t>
      </w:r>
      <w:r>
        <w:rPr>
          <w:color w:val="262526"/>
          <w:spacing w:val="-6"/>
          <w:sz w:val="14"/>
        </w:rPr>
        <w:t>7.</w:t>
      </w:r>
    </w:p>
    <w:p>
      <w:pPr>
        <w:pStyle w:val="ListParagraph"/>
        <w:numPr>
          <w:ilvl w:val="0"/>
          <w:numId w:val="24"/>
        </w:numPr>
        <w:tabs>
          <w:tab w:pos="3034" w:val="left" w:leader="none"/>
        </w:tabs>
        <w:spacing w:line="240" w:lineRule="auto" w:before="55" w:after="0"/>
        <w:ind w:left="3033" w:right="0" w:hanging="342"/>
        <w:jc w:val="left"/>
        <w:rPr>
          <w:sz w:val="14"/>
        </w:rPr>
      </w:pPr>
      <w:r>
        <w:rPr>
          <w:color w:val="262526"/>
          <w:sz w:val="14"/>
        </w:rPr>
        <w:t>AEC, submission to the AEMC’s BSE review discussion </w:t>
      </w:r>
      <w:r>
        <w:rPr>
          <w:color w:val="262526"/>
          <w:spacing w:val="-4"/>
          <w:sz w:val="14"/>
        </w:rPr>
        <w:t>paper, </w:t>
      </w:r>
      <w:r>
        <w:rPr>
          <w:color w:val="262526"/>
          <w:sz w:val="14"/>
        </w:rPr>
        <w:t>p.</w:t>
      </w:r>
      <w:r>
        <w:rPr>
          <w:color w:val="262526"/>
          <w:spacing w:val="-4"/>
          <w:sz w:val="14"/>
        </w:rPr>
        <w:t> </w:t>
      </w:r>
      <w:r>
        <w:rPr>
          <w:color w:val="262526"/>
          <w:sz w:val="14"/>
        </w:rPr>
        <w:t>3.</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Stanwell, submission to the AEMC’s BSE review discussion </w:t>
      </w:r>
      <w:r>
        <w:rPr>
          <w:color w:val="262526"/>
          <w:spacing w:val="-4"/>
          <w:sz w:val="14"/>
        </w:rPr>
        <w:t>paper, </w:t>
      </w:r>
      <w:r>
        <w:rPr>
          <w:color w:val="262526"/>
          <w:sz w:val="14"/>
        </w:rPr>
        <w:t>p.</w:t>
      </w:r>
      <w:r>
        <w:rPr>
          <w:color w:val="262526"/>
          <w:spacing w:val="-5"/>
          <w:sz w:val="14"/>
        </w:rPr>
        <w:t> </w:t>
      </w:r>
      <w:r>
        <w:rPr>
          <w:color w:val="262526"/>
          <w:sz w:val="14"/>
        </w:rPr>
        <w:t>2.</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Ergon and Energex, submission to the AEMC’s BSE review discussion </w:t>
      </w:r>
      <w:r>
        <w:rPr>
          <w:color w:val="262526"/>
          <w:spacing w:val="-4"/>
          <w:sz w:val="14"/>
        </w:rPr>
        <w:t>paper, </w:t>
      </w:r>
      <w:r>
        <w:rPr>
          <w:color w:val="262526"/>
          <w:sz w:val="14"/>
        </w:rPr>
        <w:t>p.</w:t>
      </w:r>
      <w:r>
        <w:rPr>
          <w:color w:val="262526"/>
          <w:spacing w:val="-7"/>
          <w:sz w:val="14"/>
        </w:rPr>
        <w:t> </w:t>
      </w:r>
      <w:r>
        <w:rPr>
          <w:color w:val="262526"/>
          <w:spacing w:val="-6"/>
          <w:sz w:val="14"/>
        </w:rPr>
        <w:t>7.</w:t>
      </w:r>
    </w:p>
    <w:p>
      <w:pPr>
        <w:pStyle w:val="ListParagraph"/>
        <w:numPr>
          <w:ilvl w:val="0"/>
          <w:numId w:val="24"/>
        </w:numPr>
        <w:tabs>
          <w:tab w:pos="3034" w:val="left" w:leader="none"/>
        </w:tabs>
        <w:spacing w:line="240" w:lineRule="auto" w:before="55" w:after="0"/>
        <w:ind w:left="3033" w:right="0" w:hanging="342"/>
        <w:jc w:val="left"/>
        <w:rPr>
          <w:sz w:val="14"/>
        </w:rPr>
      </w:pPr>
      <w:r>
        <w:rPr>
          <w:color w:val="262526"/>
          <w:sz w:val="14"/>
        </w:rPr>
        <w:t>AEMO, submission to the AEMC’s BSE review discussion </w:t>
      </w:r>
      <w:r>
        <w:rPr>
          <w:color w:val="262526"/>
          <w:spacing w:val="-4"/>
          <w:sz w:val="14"/>
        </w:rPr>
        <w:t>paper, </w:t>
      </w:r>
      <w:r>
        <w:rPr>
          <w:color w:val="262526"/>
          <w:sz w:val="14"/>
        </w:rPr>
        <w:t>p.</w:t>
      </w:r>
      <w:r>
        <w:rPr>
          <w:color w:val="262526"/>
          <w:spacing w:val="-5"/>
          <w:sz w:val="14"/>
        </w:rPr>
        <w:t> </w:t>
      </w:r>
      <w:r>
        <w:rPr>
          <w:color w:val="262526"/>
          <w:sz w:val="14"/>
        </w:rPr>
        <w:t>15.</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Submissions</w:t>
      </w:r>
      <w:r>
        <w:rPr>
          <w:color w:val="262526"/>
          <w:spacing w:val="-3"/>
          <w:sz w:val="14"/>
        </w:rPr>
        <w:t> </w:t>
      </w:r>
      <w:r>
        <w:rPr>
          <w:color w:val="262526"/>
          <w:sz w:val="14"/>
        </w:rPr>
        <w:t>to</w:t>
      </w:r>
      <w:r>
        <w:rPr>
          <w:color w:val="262526"/>
          <w:spacing w:val="-3"/>
          <w:sz w:val="14"/>
        </w:rPr>
        <w:t> </w:t>
      </w:r>
      <w:r>
        <w:rPr>
          <w:color w:val="262526"/>
          <w:sz w:val="14"/>
        </w:rPr>
        <w:t>the</w:t>
      </w:r>
      <w:r>
        <w:rPr>
          <w:color w:val="262526"/>
          <w:spacing w:val="-3"/>
          <w:sz w:val="14"/>
        </w:rPr>
        <w:t> </w:t>
      </w:r>
      <w:r>
        <w:rPr>
          <w:color w:val="262526"/>
          <w:sz w:val="14"/>
        </w:rPr>
        <w:t>AEMC’s</w:t>
      </w:r>
      <w:r>
        <w:rPr>
          <w:color w:val="262526"/>
          <w:spacing w:val="-3"/>
          <w:sz w:val="14"/>
        </w:rPr>
        <w:t> </w:t>
      </w:r>
      <w:r>
        <w:rPr>
          <w:color w:val="262526"/>
          <w:sz w:val="14"/>
        </w:rPr>
        <w:t>BSE</w:t>
      </w:r>
      <w:r>
        <w:rPr>
          <w:color w:val="262526"/>
          <w:spacing w:val="-3"/>
          <w:sz w:val="14"/>
        </w:rPr>
        <w:t> </w:t>
      </w:r>
      <w:r>
        <w:rPr>
          <w:color w:val="262526"/>
          <w:sz w:val="14"/>
        </w:rPr>
        <w:t>review</w:t>
      </w:r>
      <w:r>
        <w:rPr>
          <w:color w:val="262526"/>
          <w:spacing w:val="-3"/>
          <w:sz w:val="14"/>
        </w:rPr>
        <w:t> </w:t>
      </w:r>
      <w:r>
        <w:rPr>
          <w:color w:val="262526"/>
          <w:sz w:val="14"/>
        </w:rPr>
        <w:t>discussion</w:t>
      </w:r>
      <w:r>
        <w:rPr>
          <w:color w:val="262526"/>
          <w:spacing w:val="-2"/>
          <w:sz w:val="14"/>
        </w:rPr>
        <w:t> </w:t>
      </w:r>
      <w:r>
        <w:rPr>
          <w:color w:val="262526"/>
          <w:sz w:val="14"/>
        </w:rPr>
        <w:t>paper:</w:t>
      </w:r>
      <w:r>
        <w:rPr>
          <w:color w:val="262526"/>
          <w:spacing w:val="-2"/>
          <w:sz w:val="14"/>
        </w:rPr>
        <w:t> </w:t>
      </w:r>
      <w:r>
        <w:rPr>
          <w:color w:val="262526"/>
          <w:sz w:val="14"/>
        </w:rPr>
        <w:t>TasNetworks,</w:t>
      </w:r>
      <w:r>
        <w:rPr>
          <w:color w:val="262526"/>
          <w:spacing w:val="-2"/>
          <w:sz w:val="14"/>
        </w:rPr>
        <w:t> </w:t>
      </w:r>
      <w:r>
        <w:rPr>
          <w:color w:val="262526"/>
          <w:sz w:val="14"/>
        </w:rPr>
        <w:t>p.</w:t>
      </w:r>
      <w:r>
        <w:rPr>
          <w:color w:val="262526"/>
          <w:spacing w:val="-2"/>
          <w:sz w:val="14"/>
        </w:rPr>
        <w:t> </w:t>
      </w:r>
      <w:r>
        <w:rPr>
          <w:color w:val="262526"/>
          <w:sz w:val="14"/>
        </w:rPr>
        <w:t>6;</w:t>
      </w:r>
      <w:r>
        <w:rPr>
          <w:color w:val="262526"/>
          <w:spacing w:val="-2"/>
          <w:sz w:val="14"/>
        </w:rPr>
        <w:t> </w:t>
      </w:r>
      <w:r>
        <w:rPr>
          <w:color w:val="262526"/>
          <w:sz w:val="14"/>
        </w:rPr>
        <w:t>SAPN,</w:t>
      </w:r>
      <w:r>
        <w:rPr>
          <w:color w:val="262526"/>
          <w:spacing w:val="-2"/>
          <w:sz w:val="14"/>
        </w:rPr>
        <w:t> </w:t>
      </w:r>
      <w:r>
        <w:rPr>
          <w:color w:val="262526"/>
          <w:sz w:val="14"/>
        </w:rPr>
        <w:t>p.</w:t>
      </w:r>
      <w:r>
        <w:rPr>
          <w:color w:val="262526"/>
          <w:spacing w:val="-2"/>
          <w:sz w:val="14"/>
        </w:rPr>
        <w:t> </w:t>
      </w:r>
      <w:r>
        <w:rPr>
          <w:color w:val="262526"/>
          <w:sz w:val="14"/>
        </w:rPr>
        <w:t>2;</w:t>
      </w:r>
      <w:r>
        <w:rPr>
          <w:color w:val="262526"/>
          <w:spacing w:val="-2"/>
          <w:sz w:val="14"/>
        </w:rPr>
        <w:t> </w:t>
      </w:r>
      <w:r>
        <w:rPr>
          <w:color w:val="262526"/>
          <w:sz w:val="14"/>
        </w:rPr>
        <w:t>Ergon</w:t>
      </w:r>
      <w:r>
        <w:rPr>
          <w:color w:val="262526"/>
          <w:spacing w:val="-2"/>
          <w:sz w:val="14"/>
        </w:rPr>
        <w:t> </w:t>
      </w:r>
      <w:r>
        <w:rPr>
          <w:color w:val="262526"/>
          <w:sz w:val="14"/>
        </w:rPr>
        <w:t>and</w:t>
      </w:r>
      <w:r>
        <w:rPr>
          <w:color w:val="262526"/>
          <w:spacing w:val="-2"/>
          <w:sz w:val="14"/>
        </w:rPr>
        <w:t> </w:t>
      </w:r>
      <w:r>
        <w:rPr>
          <w:color w:val="262526"/>
          <w:sz w:val="14"/>
        </w:rPr>
        <w:t>Energex,</w:t>
      </w:r>
      <w:r>
        <w:rPr>
          <w:color w:val="262526"/>
          <w:spacing w:val="-2"/>
          <w:sz w:val="14"/>
        </w:rPr>
        <w:t> </w:t>
      </w:r>
      <w:r>
        <w:rPr>
          <w:color w:val="262526"/>
          <w:sz w:val="14"/>
        </w:rPr>
        <w:t>p.</w:t>
      </w:r>
      <w:r>
        <w:rPr>
          <w:color w:val="262526"/>
          <w:spacing w:val="-2"/>
          <w:sz w:val="14"/>
        </w:rPr>
        <w:t> </w:t>
      </w:r>
      <w:r>
        <w:rPr>
          <w:color w:val="262526"/>
          <w:sz w:val="14"/>
        </w:rPr>
        <w:t>7;</w:t>
      </w:r>
      <w:r>
        <w:rPr>
          <w:color w:val="262526"/>
          <w:spacing w:val="-2"/>
          <w:sz w:val="14"/>
        </w:rPr>
        <w:t> </w:t>
      </w:r>
      <w:r>
        <w:rPr>
          <w:color w:val="262526"/>
          <w:sz w:val="14"/>
        </w:rPr>
        <w:t>PIAC,</w:t>
      </w:r>
      <w:r>
        <w:rPr>
          <w:color w:val="262526"/>
          <w:spacing w:val="-3"/>
          <w:sz w:val="14"/>
        </w:rPr>
        <w:t> </w:t>
      </w:r>
      <w:r>
        <w:rPr>
          <w:color w:val="262526"/>
          <w:sz w:val="14"/>
        </w:rPr>
        <w:t>p.</w:t>
      </w:r>
      <w:r>
        <w:rPr>
          <w:color w:val="262526"/>
          <w:spacing w:val="-2"/>
          <w:sz w:val="14"/>
        </w:rPr>
        <w:t> </w:t>
      </w:r>
      <w:r>
        <w:rPr>
          <w:color w:val="262526"/>
          <w:sz w:val="14"/>
        </w:rPr>
        <w:t>6</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SAPN, submission to the AEMC’s BSE review discussion </w:t>
      </w:r>
      <w:r>
        <w:rPr>
          <w:color w:val="262526"/>
          <w:spacing w:val="-4"/>
          <w:sz w:val="14"/>
        </w:rPr>
        <w:t>paper, </w:t>
      </w:r>
      <w:r>
        <w:rPr>
          <w:color w:val="262526"/>
          <w:sz w:val="14"/>
        </w:rPr>
        <w:t>p.</w:t>
      </w:r>
      <w:r>
        <w:rPr>
          <w:color w:val="262526"/>
          <w:spacing w:val="-5"/>
          <w:sz w:val="14"/>
        </w:rPr>
        <w:t> </w:t>
      </w:r>
      <w:r>
        <w:rPr>
          <w:color w:val="262526"/>
          <w:sz w:val="14"/>
        </w:rPr>
        <w:t>2.</w:t>
      </w:r>
    </w:p>
    <w:p>
      <w:pPr>
        <w:pStyle w:val="ListParagraph"/>
        <w:numPr>
          <w:ilvl w:val="0"/>
          <w:numId w:val="24"/>
        </w:numPr>
        <w:tabs>
          <w:tab w:pos="3034" w:val="left" w:leader="none"/>
        </w:tabs>
        <w:spacing w:line="240" w:lineRule="auto" w:before="55" w:after="0"/>
        <w:ind w:left="3033" w:right="0" w:hanging="342"/>
        <w:jc w:val="left"/>
        <w:rPr>
          <w:sz w:val="14"/>
        </w:rPr>
      </w:pPr>
      <w:r>
        <w:rPr>
          <w:color w:val="262526"/>
          <w:sz w:val="14"/>
        </w:rPr>
        <w:t>Ergon and Energex, submission to the AEMC’s BSE review discussion </w:t>
      </w:r>
      <w:r>
        <w:rPr>
          <w:color w:val="262526"/>
          <w:spacing w:val="-4"/>
          <w:sz w:val="14"/>
        </w:rPr>
        <w:t>paper, </w:t>
      </w:r>
      <w:r>
        <w:rPr>
          <w:color w:val="262526"/>
          <w:sz w:val="14"/>
        </w:rPr>
        <w:t>p.</w:t>
      </w:r>
      <w:r>
        <w:rPr>
          <w:color w:val="262526"/>
          <w:spacing w:val="-7"/>
          <w:sz w:val="14"/>
        </w:rPr>
        <w:t> </w:t>
      </w:r>
      <w:r>
        <w:rPr>
          <w:color w:val="262526"/>
          <w:spacing w:val="-6"/>
          <w:sz w:val="14"/>
        </w:rPr>
        <w:t>7.</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ight="171"/>
      </w:pPr>
      <w:r>
        <w:rPr>
          <w:color w:val="262526"/>
        </w:rPr>
        <w:t>The stakeholder concerns expressed in submissions to the BSE discussion paper were also addressed in the final BSE report and the rule change request submitted by the COAG Energy Council by expanding the range of system security risks to be considered but with flexibility for AEMO to prioritise and consider new</w:t>
      </w:r>
      <w:r>
        <w:rPr>
          <w:color w:val="262526"/>
          <w:spacing w:val="1"/>
        </w:rPr>
        <w:t> </w:t>
      </w:r>
      <w:r>
        <w:rPr>
          <w:color w:val="262526"/>
        </w:rPr>
        <w:t>risks.</w:t>
      </w:r>
    </w:p>
    <w:p>
      <w:pPr>
        <w:pStyle w:val="Heading4"/>
      </w:pPr>
      <w:r>
        <w:rPr>
          <w:color w:val="262526"/>
        </w:rPr>
        <w:t>Better coordination of system risks and services</w:t>
      </w:r>
    </w:p>
    <w:p>
      <w:pPr>
        <w:pStyle w:val="BodyText"/>
        <w:spacing w:line="278" w:lineRule="auto" w:before="152"/>
        <w:ind w:left="2692" w:right="171"/>
      </w:pPr>
      <w:r>
        <w:rPr>
          <w:color w:val="262526"/>
        </w:rPr>
        <w:t>The Commission considers any framework that seeks to describe system security arrangements should aim to account for as many risks to power system security as possible. The PSFRR specifically considers non-credible contingency events associated with frequency risks. However, this may not capture all possible risks in the NEM.</w:t>
      </w:r>
    </w:p>
    <w:p>
      <w:pPr>
        <w:pStyle w:val="BodyText"/>
        <w:spacing w:line="278" w:lineRule="auto" w:before="113"/>
        <w:ind w:left="2692"/>
      </w:pPr>
      <w:r>
        <w:rPr>
          <w:color w:val="262526"/>
        </w:rPr>
        <w:t>The NER outlines, and AEMO operationalises, system security services and mechanisms that respond to meet the system needs of the NEM to survive and recover from different types of disturbances. These may be grouped into three broad categories of frequency management, voltage management and system restoration. AEMO is also required to consider the minimum inertia</w:t>
      </w:r>
      <w:r>
        <w:rPr>
          <w:color w:val="262526"/>
          <w:position w:val="8"/>
          <w:sz w:val="12"/>
        </w:rPr>
        <w:t>49 </w:t>
      </w:r>
      <w:r>
        <w:rPr>
          <w:color w:val="262526"/>
        </w:rPr>
        <w:t>and minimum fault level</w:t>
      </w:r>
      <w:r>
        <w:rPr>
          <w:color w:val="262526"/>
          <w:position w:val="8"/>
          <w:sz w:val="12"/>
        </w:rPr>
        <w:t>50 </w:t>
      </w:r>
      <w:r>
        <w:rPr>
          <w:color w:val="262526"/>
        </w:rPr>
        <w:t>requirements of the power system and declare shortfalls where these are identified.</w:t>
      </w:r>
    </w:p>
    <w:p>
      <w:pPr>
        <w:pStyle w:val="BodyText"/>
        <w:spacing w:line="278" w:lineRule="auto" w:before="114"/>
        <w:ind w:left="2692" w:right="203"/>
      </w:pPr>
      <w:r>
        <w:rPr>
          <w:color w:val="262526"/>
        </w:rPr>
        <w:t>While the system needs outlined above are detailed </w:t>
      </w:r>
      <w:r>
        <w:rPr>
          <w:color w:val="262526"/>
          <w:spacing w:val="-3"/>
        </w:rPr>
        <w:t>separately, </w:t>
      </w:r>
      <w:r>
        <w:rPr>
          <w:color w:val="262526"/>
        </w:rPr>
        <w:t>individual system services are frequently capable of addressing more than one system need. There are overlaps and interplays between the benefits system services may provide for system </w:t>
      </w:r>
      <w:r>
        <w:rPr>
          <w:color w:val="262526"/>
          <w:spacing w:val="-3"/>
        </w:rPr>
        <w:t>security, </w:t>
      </w:r>
      <w:r>
        <w:rPr>
          <w:color w:val="262526"/>
        </w:rPr>
        <w:t>while a deficiency in one system service may lead to issues in several system need categories. A coordinated assessment of all system security risks, through the GPSRR, could therefore  assist in a more efficient deployment of system services to address system</w:t>
      </w:r>
      <w:r>
        <w:rPr>
          <w:color w:val="262526"/>
          <w:spacing w:val="13"/>
        </w:rPr>
        <w:t> </w:t>
      </w:r>
      <w:r>
        <w:rPr>
          <w:color w:val="262526"/>
        </w:rPr>
        <w:t>needs.</w:t>
      </w:r>
    </w:p>
    <w:p>
      <w:pPr>
        <w:pStyle w:val="BodyText"/>
        <w:spacing w:line="278" w:lineRule="auto" w:before="113"/>
        <w:ind w:left="2692" w:right="218"/>
        <w:jc w:val="both"/>
      </w:pPr>
      <w:r>
        <w:rPr>
          <w:color w:val="262526"/>
        </w:rPr>
        <w:t>The Commission considers that the risk assessment framework would benefit from the Rules being amended to expand the scope of the current PSFRR to require AEMO to undertake the GPSRR that considers a broader range of risks, in addition to frequency risks. Therefore, the Commission has determined to implement the GPSRR into the regulatory framework.</w:t>
      </w:r>
    </w:p>
    <w:p>
      <w:pPr>
        <w:pStyle w:val="BodyText"/>
        <w:spacing w:line="278" w:lineRule="auto" w:before="113"/>
        <w:ind w:left="2692"/>
      </w:pPr>
      <w:r>
        <w:rPr>
          <w:color w:val="262526"/>
        </w:rPr>
        <w:t>Further, the Commission agrees with the COAG Energy Council that there would be a benefit from evaluating risks arising from contingency events in addition to non-credible contingency events.</w:t>
      </w:r>
      <w:r>
        <w:rPr>
          <w:color w:val="262526"/>
          <w:position w:val="8"/>
          <w:sz w:val="12"/>
        </w:rPr>
        <w:t>51 </w:t>
      </w:r>
      <w:r>
        <w:rPr>
          <w:color w:val="262526"/>
        </w:rPr>
        <w:t>The Commission is of the view that emerging risks that are not identified cannot be effectively managed. The GPSRR should focus on creating a comprehensive stock-take of all security related risks existing in the NEM. This would provide AEMO with some flexibility to explore all kinds of risks in the NEM and flag to stakeholders what the options would be to address them.</w:t>
      </w:r>
    </w:p>
    <w:p>
      <w:pPr>
        <w:pStyle w:val="BodyText"/>
        <w:spacing w:line="278" w:lineRule="auto" w:before="113"/>
        <w:ind w:left="2692" w:right="205"/>
      </w:pPr>
      <w:r>
        <w:rPr>
          <w:color w:val="262526"/>
        </w:rPr>
        <w:t>The Commission recognises that currently the risk management framework may not cover all risks that potentially could be identified by AEMO through the GPSRR. For example, in the BSE review, the AEMC found that the existing system security framework may be ill-suited</w:t>
      </w:r>
      <w:r>
        <w:rPr>
          <w:color w:val="262526"/>
          <w:spacing w:val="17"/>
        </w:rPr>
        <w:t> </w:t>
      </w:r>
      <w:r>
        <w:rPr>
          <w:color w:val="262526"/>
        </w:rPr>
        <w:t>to</w:t>
      </w:r>
    </w:p>
    <w:p>
      <w:pPr>
        <w:pStyle w:val="BodyText"/>
      </w:pPr>
    </w:p>
    <w:p>
      <w:pPr>
        <w:pStyle w:val="BodyText"/>
      </w:pPr>
    </w:p>
    <w:p>
      <w:pPr>
        <w:pStyle w:val="BodyText"/>
        <w:spacing w:before="7"/>
        <w:rPr>
          <w:sz w:val="29"/>
        </w:rPr>
      </w:pPr>
      <w:r>
        <w:rPr/>
        <w:pict>
          <v:shape style="position:absolute;margin-left:134.645996pt;margin-top:20.336657pt;width:49.65pt;height:.1pt;mso-position-horizontal-relative:page;mso-position-vertical-relative:paragraph;z-index:-15718400;mso-wrap-distance-left:0;mso-wrap-distance-right:0" coordorigin="2693,407" coordsize="993,0" path="m2693,407l3685,407e" filled="false" stroked="true" strokeweight="1pt" strokecolor="#262526">
            <v:path arrowok="t"/>
            <v:stroke dashstyle="solid"/>
            <w10:wrap type="topAndBottom"/>
          </v:shape>
        </w:pict>
      </w:r>
    </w:p>
    <w:p>
      <w:pPr>
        <w:pStyle w:val="ListParagraph"/>
        <w:numPr>
          <w:ilvl w:val="0"/>
          <w:numId w:val="24"/>
        </w:numPr>
        <w:tabs>
          <w:tab w:pos="3034" w:val="left" w:leader="none"/>
        </w:tabs>
        <w:spacing w:line="240" w:lineRule="auto" w:before="98" w:after="0"/>
        <w:ind w:left="3033" w:right="0" w:hanging="342"/>
        <w:jc w:val="left"/>
        <w:rPr>
          <w:sz w:val="14"/>
        </w:rPr>
      </w:pPr>
      <w:r>
        <w:rPr>
          <w:color w:val="262526"/>
          <w:sz w:val="14"/>
        </w:rPr>
        <w:t>Clause 5.20B.2 of the</w:t>
      </w:r>
      <w:r>
        <w:rPr>
          <w:color w:val="262526"/>
          <w:spacing w:val="-5"/>
          <w:sz w:val="14"/>
        </w:rPr>
        <w:t> </w:t>
      </w:r>
      <w:r>
        <w:rPr>
          <w:color w:val="262526"/>
          <w:sz w:val="14"/>
        </w:rPr>
        <w:t>NER.</w:t>
      </w:r>
    </w:p>
    <w:p>
      <w:pPr>
        <w:pStyle w:val="ListParagraph"/>
        <w:numPr>
          <w:ilvl w:val="0"/>
          <w:numId w:val="24"/>
        </w:numPr>
        <w:tabs>
          <w:tab w:pos="3034" w:val="left" w:leader="none"/>
        </w:tabs>
        <w:spacing w:line="240" w:lineRule="auto" w:before="55" w:after="0"/>
        <w:ind w:left="3033" w:right="0" w:hanging="342"/>
        <w:jc w:val="left"/>
        <w:rPr>
          <w:sz w:val="14"/>
        </w:rPr>
      </w:pPr>
      <w:r>
        <w:rPr>
          <w:color w:val="262526"/>
          <w:sz w:val="14"/>
        </w:rPr>
        <w:t>Clause 5.20C.1 of the</w:t>
      </w:r>
      <w:r>
        <w:rPr>
          <w:color w:val="262526"/>
          <w:spacing w:val="-3"/>
          <w:sz w:val="14"/>
        </w:rPr>
        <w:t> </w:t>
      </w:r>
      <w:r>
        <w:rPr>
          <w:color w:val="262526"/>
          <w:sz w:val="14"/>
        </w:rPr>
        <w:t>NER.</w:t>
      </w:r>
    </w:p>
    <w:p>
      <w:pPr>
        <w:pStyle w:val="ListParagraph"/>
        <w:numPr>
          <w:ilvl w:val="0"/>
          <w:numId w:val="24"/>
        </w:numPr>
        <w:tabs>
          <w:tab w:pos="3034" w:val="left" w:leader="none"/>
        </w:tabs>
        <w:spacing w:line="240" w:lineRule="auto" w:before="56" w:after="0"/>
        <w:ind w:left="3033" w:right="714" w:hanging="341"/>
        <w:jc w:val="left"/>
        <w:rPr>
          <w:sz w:val="14"/>
        </w:rPr>
      </w:pPr>
      <w:r>
        <w:rPr>
          <w:color w:val="262526"/>
          <w:sz w:val="14"/>
        </w:rPr>
        <w:t>With the exception of frequency risks, where there are already robust mechanisms in place to identify and manage risks associated with credible contingency events. This is discussed in detail on p.</w:t>
      </w:r>
      <w:r>
        <w:rPr>
          <w:color w:val="262526"/>
          <w:spacing w:val="-8"/>
          <w:sz w:val="14"/>
        </w:rPr>
        <w:t> </w:t>
      </w:r>
      <w:r>
        <w:rPr>
          <w:color w:val="262526"/>
          <w:sz w:val="14"/>
        </w:rPr>
        <w:t>29.</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spacing w:line="278" w:lineRule="auto" w:before="107"/>
        <w:ind w:left="2692" w:right="207" w:firstLine="0"/>
        <w:jc w:val="left"/>
        <w:rPr>
          <w:sz w:val="20"/>
        </w:rPr>
      </w:pPr>
      <w:r>
        <w:rPr>
          <w:color w:val="262526"/>
          <w:sz w:val="20"/>
        </w:rPr>
        <w:t>manage indistinct events.</w:t>
      </w:r>
      <w:r>
        <w:rPr>
          <w:color w:val="262526"/>
          <w:position w:val="8"/>
          <w:sz w:val="12"/>
        </w:rPr>
        <w:t>52 </w:t>
      </w:r>
      <w:r>
        <w:rPr>
          <w:color w:val="262526"/>
          <w:spacing w:val="-11"/>
          <w:sz w:val="20"/>
        </w:rPr>
        <w:t>To </w:t>
      </w:r>
      <w:r>
        <w:rPr>
          <w:color w:val="262526"/>
          <w:sz w:val="20"/>
        </w:rPr>
        <w:t>address this identified issue, the Commission is currently progressing the </w:t>
      </w:r>
      <w:r>
        <w:rPr>
          <w:i/>
          <w:color w:val="262526"/>
          <w:sz w:val="20"/>
        </w:rPr>
        <w:t>Enhancing operational resilience in relation to indistinct events </w:t>
      </w:r>
      <w:r>
        <w:rPr>
          <w:color w:val="262526"/>
          <w:sz w:val="20"/>
        </w:rPr>
        <w:t>rule change.</w:t>
      </w:r>
      <w:r>
        <w:rPr>
          <w:color w:val="262526"/>
          <w:position w:val="8"/>
          <w:sz w:val="12"/>
        </w:rPr>
        <w:t>53 </w:t>
      </w:r>
      <w:r>
        <w:rPr>
          <w:color w:val="262526"/>
          <w:sz w:val="20"/>
        </w:rPr>
        <w:t>Among other things, the rule change considers providing AEMO with more tools to prepare for and manage indistinct events.</w:t>
      </w:r>
    </w:p>
    <w:p>
      <w:pPr>
        <w:pStyle w:val="BodyText"/>
        <w:spacing w:line="278" w:lineRule="auto" w:before="113"/>
        <w:ind w:left="2692" w:right="171"/>
      </w:pPr>
      <w:r>
        <w:rPr>
          <w:color w:val="262526"/>
        </w:rPr>
        <w:t>Further, the Commission considers that the GPSRR could be a suitable tool for AEMO to identify and flag to stakeholders what kind of risks (if there are any) could not be addressed through the existing risk management frameworks and what regulatory changes are required to manage those risks.</w:t>
      </w:r>
    </w:p>
    <w:p>
      <w:pPr>
        <w:pStyle w:val="Heading4"/>
      </w:pPr>
      <w:r>
        <w:rPr>
          <w:color w:val="262526"/>
        </w:rPr>
        <w:t>Consideration of risks associated with DER</w:t>
      </w:r>
    </w:p>
    <w:p>
      <w:pPr>
        <w:pStyle w:val="BodyText"/>
        <w:spacing w:line="278" w:lineRule="auto" w:before="152"/>
        <w:ind w:left="2692" w:right="295"/>
      </w:pPr>
      <w:r>
        <w:rPr>
          <w:color w:val="262526"/>
        </w:rPr>
        <w:t>AEMO has identified that high DER penetration, in particular small rooftop PV, may have increasing implications for the secure operation of the system.</w:t>
      </w:r>
      <w:r>
        <w:rPr>
          <w:color w:val="262526"/>
          <w:position w:val="8"/>
          <w:sz w:val="12"/>
        </w:rPr>
        <w:t>54 </w:t>
      </w:r>
      <w:r>
        <w:rPr>
          <w:color w:val="262526"/>
        </w:rPr>
        <w:t>The Commission considers that the existing PSFRR may not fully consider the impact of DER on system security outcomes.</w:t>
      </w:r>
    </w:p>
    <w:p>
      <w:pPr>
        <w:pStyle w:val="BodyText"/>
        <w:spacing w:line="278" w:lineRule="auto" w:before="114"/>
        <w:ind w:left="2692" w:right="171"/>
      </w:pPr>
      <w:r>
        <w:rPr>
          <w:color w:val="262526"/>
        </w:rPr>
        <w:t>Existing arrangements for the PSFRR require AEMO to put in place arrangements to consult with and take into account the views of TNSPs in conducting the PSFRR.</w:t>
      </w:r>
      <w:r>
        <w:rPr>
          <w:color w:val="262526"/>
          <w:position w:val="8"/>
          <w:sz w:val="12"/>
        </w:rPr>
        <w:t>55 </w:t>
      </w:r>
      <w:r>
        <w:rPr>
          <w:color w:val="262526"/>
        </w:rPr>
        <w:t>While consultation with DNSPs is not precluded by existing rule arrangements, the omission of a requirement to explicitly consult with DNSPs may mean that risks associated with increasing levels of DER penetration are not fully considered.</w:t>
      </w:r>
    </w:p>
    <w:p>
      <w:pPr>
        <w:pStyle w:val="BodyText"/>
        <w:spacing w:line="278" w:lineRule="auto" w:before="113"/>
        <w:ind w:left="2692" w:right="205"/>
      </w:pPr>
      <w:r>
        <w:rPr>
          <w:color w:val="262526"/>
        </w:rPr>
        <w:t>The draft rule requires AEMO to collaborate with both TNSPs and DNSPs in developing the GPSRR. This includes a requirement for consideration of risks related to increased DER, both in terms of how DER might exacerbate events that have occurred on the transmission  system, and whether increased DER could itself potentially trigger events on the transmission system. This would provide better visibility of the performance of DER during contingency events.</w:t>
      </w:r>
    </w:p>
    <w:p>
      <w:pPr>
        <w:pStyle w:val="BodyText"/>
        <w:spacing w:line="278" w:lineRule="auto" w:before="113"/>
        <w:ind w:left="2692" w:right="238"/>
      </w:pPr>
      <w:r>
        <w:rPr>
          <w:color w:val="262526"/>
          <w:spacing w:val="-4"/>
        </w:rPr>
        <w:t>Further, </w:t>
      </w:r>
      <w:r>
        <w:rPr>
          <w:color w:val="262526"/>
        </w:rPr>
        <w:t>given that as part of the PSFRR AEMO is already required to consider the effective functioning of under-frequency load shedding schemes and over frequency generator shedding schemes, including consideration of DER in the GPSRR would better inform AEMO’s understanding of emergency response mechanisms’ effectiveness. The Commission is interested in the views of DNSPs regarding the draft rule and how it seeks to incorporate their input into the GPSRR process in a collaborative</w:t>
      </w:r>
      <w:r>
        <w:rPr>
          <w:color w:val="262526"/>
          <w:spacing w:val="4"/>
        </w:rPr>
        <w:t> </w:t>
      </w:r>
      <w:r>
        <w:rPr>
          <w:color w:val="262526"/>
          <w:spacing w:val="-4"/>
        </w:rPr>
        <w:t>manner.</w:t>
      </w:r>
    </w:p>
    <w:p>
      <w:pPr>
        <w:pStyle w:val="Heading4"/>
      </w:pPr>
      <w:r>
        <w:rPr>
          <w:color w:val="262526"/>
        </w:rPr>
        <w:t>Differences between the proposed rule and more preferable draft rule</w:t>
      </w:r>
    </w:p>
    <w:p>
      <w:pPr>
        <w:pStyle w:val="BodyText"/>
        <w:spacing w:line="278" w:lineRule="auto" w:before="152"/>
        <w:ind w:left="2692" w:right="295"/>
      </w:pPr>
      <w:r>
        <w:rPr>
          <w:color w:val="262526"/>
        </w:rPr>
        <w:t>The Commission has made a change to the proposed rule to clarify the scope of the GPSRR and ensure that the draft rule is consistent with the existing frameworks.</w:t>
      </w:r>
    </w:p>
    <w:p>
      <w:pPr>
        <w:pStyle w:val="BodyText"/>
        <w:spacing w:before="114"/>
        <w:ind w:left="2692"/>
      </w:pPr>
      <w:r>
        <w:rPr>
          <w:color w:val="262526"/>
        </w:rPr>
        <w:t>The draft rule requires AEMO to review:</w:t>
      </w:r>
    </w:p>
    <w:p>
      <w:pPr>
        <w:pStyle w:val="BodyText"/>
      </w:pPr>
    </w:p>
    <w:p>
      <w:pPr>
        <w:pStyle w:val="BodyText"/>
        <w:spacing w:before="9"/>
        <w:rPr>
          <w:sz w:val="10"/>
        </w:rPr>
      </w:pPr>
      <w:r>
        <w:rPr/>
        <w:pict>
          <v:shape style="position:absolute;margin-left:134.645996pt;margin-top:8.936031pt;width:49.65pt;height:.1pt;mso-position-horizontal-relative:page;mso-position-vertical-relative:paragraph;z-index:-15717888;mso-wrap-distance-left:0;mso-wrap-distance-right:0" coordorigin="2693,179" coordsize="993,0" path="m2693,179l3685,179e" filled="false" stroked="true" strokeweight="1pt" strokecolor="#262526">
            <v:path arrowok="t"/>
            <v:stroke dashstyle="solid"/>
            <w10:wrap type="topAndBottom"/>
          </v:shape>
        </w:pict>
      </w:r>
    </w:p>
    <w:p>
      <w:pPr>
        <w:pStyle w:val="ListParagraph"/>
        <w:numPr>
          <w:ilvl w:val="0"/>
          <w:numId w:val="24"/>
        </w:numPr>
        <w:tabs>
          <w:tab w:pos="3034" w:val="left" w:leader="none"/>
        </w:tabs>
        <w:spacing w:line="168" w:lineRule="exact" w:before="98" w:after="0"/>
        <w:ind w:left="3033" w:right="0" w:hanging="342"/>
        <w:jc w:val="left"/>
        <w:rPr>
          <w:sz w:val="14"/>
        </w:rPr>
      </w:pPr>
      <w:r>
        <w:rPr>
          <w:color w:val="262526"/>
          <w:sz w:val="14"/>
        </w:rPr>
        <w:t>For more information see:</w:t>
      </w:r>
      <w:r>
        <w:rPr>
          <w:color w:val="0000FF"/>
          <w:spacing w:val="-9"/>
          <w:sz w:val="14"/>
        </w:rPr>
        <w:t> </w:t>
      </w:r>
      <w:hyperlink r:id="rId19">
        <w:r>
          <w:rPr>
            <w:color w:val="0000FF"/>
            <w:sz w:val="14"/>
            <w:u w:val="single" w:color="0000FF"/>
          </w:rPr>
          <w:t>https://www.aemc.gov.au/sites/default/files/documents/aemc_-_sa_black_system_review_-</w:t>
        </w:r>
      </w:hyperlink>
    </w:p>
    <w:p>
      <w:pPr>
        <w:spacing w:line="168" w:lineRule="exact" w:before="0"/>
        <w:ind w:left="3033" w:right="0" w:firstLine="0"/>
        <w:jc w:val="left"/>
        <w:rPr>
          <w:sz w:val="14"/>
        </w:rPr>
      </w:pPr>
      <w:hyperlink r:id="rId19">
        <w:r>
          <w:rPr>
            <w:color w:val="0000FF"/>
            <w:sz w:val="14"/>
            <w:u w:val="single" w:color="0000FF"/>
          </w:rPr>
          <w:t>_final_report.pdf</w:t>
        </w:r>
      </w:hyperlink>
    </w:p>
    <w:p>
      <w:pPr>
        <w:pStyle w:val="ListParagraph"/>
        <w:numPr>
          <w:ilvl w:val="0"/>
          <w:numId w:val="24"/>
        </w:numPr>
        <w:tabs>
          <w:tab w:pos="3034" w:val="left" w:leader="none"/>
        </w:tabs>
        <w:spacing w:line="168" w:lineRule="exact" w:before="55" w:after="0"/>
        <w:ind w:left="3033" w:right="0" w:hanging="342"/>
        <w:jc w:val="left"/>
        <w:rPr>
          <w:sz w:val="14"/>
        </w:rPr>
      </w:pPr>
      <w:r>
        <w:rPr>
          <w:color w:val="262526"/>
          <w:sz w:val="14"/>
        </w:rPr>
        <w:t>For more information, see:</w:t>
      </w:r>
      <w:r>
        <w:rPr>
          <w:color w:val="0000FF"/>
          <w:spacing w:val="-7"/>
          <w:sz w:val="14"/>
        </w:rPr>
        <w:t> </w:t>
      </w:r>
      <w:hyperlink r:id="rId20">
        <w:r>
          <w:rPr>
            <w:color w:val="0000FF"/>
            <w:sz w:val="14"/>
            <w:u w:val="single" w:color="0000FF"/>
          </w:rPr>
          <w:t>https://www.aemc.gov.au/sites/default/files/2020-12/Information%20sheet%20-</w:t>
        </w:r>
      </w:hyperlink>
    </w:p>
    <w:p>
      <w:pPr>
        <w:spacing w:before="0"/>
        <w:ind w:left="3033" w:right="134" w:firstLine="0"/>
        <w:jc w:val="left"/>
        <w:rPr>
          <w:sz w:val="14"/>
        </w:rPr>
      </w:pPr>
      <w:hyperlink r:id="rId20">
        <w:r>
          <w:rPr>
            <w:color w:val="0000FF"/>
            <w:sz w:val="14"/>
            <w:u w:val="single" w:color="0000FF"/>
          </w:rPr>
          <w:t>%20Enhancing%20operational%20resilience%20in%20relation%20to%20indistinct%20events%20-%20ERC0304%20-%20Cons</w:t>
        </w:r>
      </w:hyperlink>
      <w:r>
        <w:rPr>
          <w:color w:val="0000FF"/>
          <w:sz w:val="14"/>
        </w:rPr>
        <w:t> </w:t>
      </w:r>
      <w:hyperlink r:id="rId20">
        <w:r>
          <w:rPr>
            <w:color w:val="0000FF"/>
            <w:sz w:val="14"/>
            <w:u w:val="single" w:color="0000FF"/>
          </w:rPr>
          <w:t>ultation%20Paper.pdf</w:t>
        </w:r>
      </w:hyperlink>
    </w:p>
    <w:p>
      <w:pPr>
        <w:pStyle w:val="ListParagraph"/>
        <w:numPr>
          <w:ilvl w:val="0"/>
          <w:numId w:val="24"/>
        </w:numPr>
        <w:tabs>
          <w:tab w:pos="3034" w:val="left" w:leader="none"/>
        </w:tabs>
        <w:spacing w:line="240" w:lineRule="auto" w:before="55" w:after="0"/>
        <w:ind w:left="3033" w:right="0" w:hanging="342"/>
        <w:jc w:val="left"/>
        <w:rPr>
          <w:sz w:val="14"/>
        </w:rPr>
      </w:pPr>
      <w:r>
        <w:rPr>
          <w:color w:val="262526"/>
          <w:sz w:val="14"/>
        </w:rPr>
        <w:t>AEMO’s </w:t>
      </w:r>
      <w:r>
        <w:rPr>
          <w:color w:val="262526"/>
          <w:spacing w:val="-3"/>
          <w:sz w:val="14"/>
        </w:rPr>
        <w:t>Technical </w:t>
      </w:r>
      <w:r>
        <w:rPr>
          <w:color w:val="262526"/>
          <w:sz w:val="14"/>
        </w:rPr>
        <w:t>Integration of Distributed Energy Resources 2019, p.</w:t>
      </w:r>
      <w:r>
        <w:rPr>
          <w:color w:val="262526"/>
          <w:spacing w:val="-5"/>
          <w:sz w:val="14"/>
        </w:rPr>
        <w:t> </w:t>
      </w:r>
      <w:r>
        <w:rPr>
          <w:color w:val="262526"/>
          <w:sz w:val="14"/>
        </w:rPr>
        <w:t>4.</w:t>
      </w:r>
    </w:p>
    <w:p>
      <w:pPr>
        <w:pStyle w:val="ListParagraph"/>
        <w:numPr>
          <w:ilvl w:val="0"/>
          <w:numId w:val="24"/>
        </w:numPr>
        <w:tabs>
          <w:tab w:pos="3034" w:val="left" w:leader="none"/>
        </w:tabs>
        <w:spacing w:line="240" w:lineRule="auto" w:before="55" w:after="0"/>
        <w:ind w:left="3033" w:right="0" w:hanging="342"/>
        <w:jc w:val="left"/>
        <w:rPr>
          <w:sz w:val="14"/>
        </w:rPr>
      </w:pPr>
      <w:r>
        <w:rPr>
          <w:color w:val="262526"/>
          <w:sz w:val="14"/>
        </w:rPr>
        <w:t>Clause 5.20A.2(b) of the</w:t>
      </w:r>
      <w:r>
        <w:rPr>
          <w:color w:val="262526"/>
          <w:spacing w:val="-2"/>
          <w:sz w:val="14"/>
        </w:rPr>
        <w:t> </w:t>
      </w:r>
      <w:r>
        <w:rPr>
          <w:color w:val="262526"/>
          <w:sz w:val="14"/>
        </w:rPr>
        <w:t>NER.</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ListParagraph"/>
        <w:numPr>
          <w:ilvl w:val="3"/>
          <w:numId w:val="21"/>
        </w:numPr>
        <w:tabs>
          <w:tab w:pos="3033" w:val="left" w:leader="none"/>
          <w:tab w:pos="3034" w:val="left" w:leader="none"/>
        </w:tabs>
        <w:spacing w:line="278" w:lineRule="auto" w:before="107" w:after="0"/>
        <w:ind w:left="3033" w:right="630" w:hanging="341"/>
        <w:jc w:val="left"/>
        <w:rPr>
          <w:sz w:val="20"/>
        </w:rPr>
      </w:pPr>
      <w:r>
        <w:rPr>
          <w:color w:val="262526"/>
          <w:sz w:val="20"/>
        </w:rPr>
        <w:t>non-credible contingency events for the risks associated with frequency increases or decreases (as currently is the case),</w:t>
      </w:r>
      <w:r>
        <w:rPr>
          <w:color w:val="262526"/>
          <w:spacing w:val="1"/>
          <w:sz w:val="20"/>
        </w:rPr>
        <w:t> </w:t>
      </w:r>
      <w:r>
        <w:rPr>
          <w:color w:val="262526"/>
          <w:sz w:val="20"/>
        </w:rPr>
        <w:t>and</w:t>
      </w:r>
    </w:p>
    <w:p>
      <w:pPr>
        <w:pStyle w:val="ListParagraph"/>
        <w:numPr>
          <w:ilvl w:val="3"/>
          <w:numId w:val="21"/>
        </w:numPr>
        <w:tabs>
          <w:tab w:pos="3033" w:val="left" w:leader="none"/>
          <w:tab w:pos="3034" w:val="left" w:leader="none"/>
        </w:tabs>
        <w:spacing w:line="240" w:lineRule="auto" w:before="56" w:after="0"/>
        <w:ind w:left="3033" w:right="0" w:hanging="341"/>
        <w:jc w:val="left"/>
        <w:rPr>
          <w:sz w:val="12"/>
        </w:rPr>
      </w:pPr>
      <w:r>
        <w:rPr>
          <w:color w:val="262526"/>
          <w:sz w:val="20"/>
        </w:rPr>
        <w:t>events and conditions (including contingency events) for all other</w:t>
      </w:r>
      <w:r>
        <w:rPr>
          <w:color w:val="262526"/>
          <w:spacing w:val="5"/>
          <w:sz w:val="20"/>
        </w:rPr>
        <w:t> </w:t>
      </w:r>
      <w:r>
        <w:rPr>
          <w:color w:val="262526"/>
          <w:sz w:val="20"/>
        </w:rPr>
        <w:t>risks.</w:t>
      </w:r>
      <w:r>
        <w:rPr>
          <w:color w:val="262526"/>
          <w:position w:val="8"/>
          <w:sz w:val="12"/>
        </w:rPr>
        <w:t>56</w:t>
      </w:r>
    </w:p>
    <w:p>
      <w:pPr>
        <w:pStyle w:val="BodyText"/>
        <w:spacing w:before="96"/>
        <w:ind w:left="2500" w:right="2417"/>
        <w:jc w:val="center"/>
      </w:pPr>
      <w:r>
        <w:rPr>
          <w:color w:val="262526"/>
        </w:rPr>
        <w:t>The more preferable draft rule better promotes the NEO because:</w:t>
      </w:r>
    </w:p>
    <w:p>
      <w:pPr>
        <w:pStyle w:val="ListParagraph"/>
        <w:numPr>
          <w:ilvl w:val="0"/>
          <w:numId w:val="25"/>
        </w:numPr>
        <w:tabs>
          <w:tab w:pos="3034" w:val="left" w:leader="none"/>
        </w:tabs>
        <w:spacing w:line="278" w:lineRule="auto" w:before="152" w:after="0"/>
        <w:ind w:left="3033" w:right="265" w:hanging="341"/>
        <w:jc w:val="left"/>
        <w:rPr>
          <w:sz w:val="12"/>
        </w:rPr>
      </w:pPr>
      <w:r>
        <w:rPr>
          <w:color w:val="262526"/>
          <w:sz w:val="20"/>
        </w:rPr>
        <w:t>The existing PSFRR is an important component of the protected event framework that is designed for management of frequency risks arising from non-credible contingency events. Through the PSFRR, AEMO identifies non-credible contingency events which it considers it may be economically efficient to manage using certain ex-ante measures.</w:t>
      </w:r>
      <w:r>
        <w:rPr>
          <w:color w:val="262526"/>
          <w:position w:val="8"/>
          <w:sz w:val="12"/>
        </w:rPr>
        <w:t>57</w:t>
      </w:r>
      <w:r>
        <w:rPr>
          <w:color w:val="262526"/>
          <w:sz w:val="12"/>
        </w:rPr>
        <w:t> </w:t>
      </w:r>
      <w:r>
        <w:rPr>
          <w:color w:val="262526"/>
          <w:sz w:val="20"/>
        </w:rPr>
        <w:t>AEMO then submits a request to the Reliability Panel to have the event declared to be a “protected </w:t>
      </w:r>
      <w:r>
        <w:rPr>
          <w:color w:val="262526"/>
          <w:spacing w:val="-3"/>
          <w:sz w:val="20"/>
        </w:rPr>
        <w:t>event”.</w:t>
      </w:r>
      <w:r>
        <w:rPr>
          <w:color w:val="262526"/>
          <w:spacing w:val="-3"/>
          <w:position w:val="8"/>
          <w:sz w:val="12"/>
        </w:rPr>
        <w:t>58</w:t>
      </w:r>
    </w:p>
    <w:p>
      <w:pPr>
        <w:pStyle w:val="BodyText"/>
        <w:spacing w:line="278" w:lineRule="auto" w:before="56"/>
        <w:ind w:left="3033"/>
      </w:pPr>
      <w:r>
        <w:rPr>
          <w:color w:val="262526"/>
        </w:rPr>
        <w:t>The Commission considers it is important to ensure that no changes are made to the protected event framework through this rule change process. The clarity should be maintained in the Rules that the GPSRR would become an important component of the protected event framework, substituting for the PSFRR.</w:t>
      </w:r>
    </w:p>
    <w:p>
      <w:pPr>
        <w:pStyle w:val="BodyText"/>
        <w:spacing w:line="278" w:lineRule="auto" w:before="113"/>
        <w:ind w:left="3033"/>
      </w:pPr>
      <w:r>
        <w:rPr>
          <w:color w:val="262526"/>
        </w:rPr>
        <w:t>The Commission considers there should be a clear delineation in the Rules between two roles of the GPSRR: as a component of the protected event framework and as a comprehensive stock-take review of all security related risks existing in the NEM.</w:t>
      </w:r>
    </w:p>
    <w:p>
      <w:pPr>
        <w:pStyle w:val="ListParagraph"/>
        <w:numPr>
          <w:ilvl w:val="0"/>
          <w:numId w:val="25"/>
        </w:numPr>
        <w:tabs>
          <w:tab w:pos="3034" w:val="left" w:leader="none"/>
        </w:tabs>
        <w:spacing w:line="278" w:lineRule="auto" w:before="114" w:after="0"/>
        <w:ind w:left="3033" w:right="137" w:hanging="341"/>
        <w:jc w:val="left"/>
        <w:rPr>
          <w:sz w:val="20"/>
        </w:rPr>
      </w:pPr>
      <w:r>
        <w:rPr>
          <w:color w:val="262526"/>
          <w:sz w:val="20"/>
        </w:rPr>
        <w:t>Under the current rules, AEMO is required to maintain the power system frequency within the operational frequency tolerance band when reasonably possible disturbances occur and must return the frequency to the normal operating frequency band within a specified time period. These reasonable disturbances are credible contingency events which AEMO manages through the procurement of contingency raise and lower FCAS. These services increase or decrease the frequency in response to these frequency</w:t>
      </w:r>
      <w:r>
        <w:rPr>
          <w:color w:val="262526"/>
          <w:spacing w:val="4"/>
          <w:sz w:val="20"/>
        </w:rPr>
        <w:t> </w:t>
      </w:r>
      <w:r>
        <w:rPr>
          <w:color w:val="262526"/>
          <w:sz w:val="20"/>
        </w:rPr>
        <w:t>variations.</w:t>
      </w:r>
    </w:p>
    <w:p>
      <w:pPr>
        <w:pStyle w:val="BodyText"/>
        <w:spacing w:line="278" w:lineRule="auto" w:before="56"/>
        <w:ind w:left="3033" w:right="157"/>
      </w:pPr>
      <w:r>
        <w:rPr>
          <w:color w:val="262526"/>
        </w:rPr>
        <w:t>Given this existing mechanism, the Commission does not see a rationale in requiring AEMO to review risks associated with credible contingency events for frequency variations and identifying options to address those</w:t>
      </w:r>
      <w:r>
        <w:rPr>
          <w:color w:val="262526"/>
          <w:spacing w:val="1"/>
        </w:rPr>
        <w:t> </w:t>
      </w:r>
      <w:r>
        <w:rPr>
          <w:color w:val="262526"/>
        </w:rPr>
        <w:t>risks.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7"/>
        </w:rPr>
      </w:pPr>
      <w:r>
        <w:rPr/>
        <w:pict>
          <v:shape style="position:absolute;margin-left:134.645996pt;margin-top:12.838219pt;width:49.65pt;height:.1pt;mso-position-horizontal-relative:page;mso-position-vertical-relative:paragraph;z-index:-15717376;mso-wrap-distance-left:0;mso-wrap-distance-right:0" coordorigin="2693,257" coordsize="993,0" path="m2693,257l3685,257e" filled="false" stroked="true" strokeweight="1pt" strokecolor="#262526">
            <v:path arrowok="t"/>
            <v:stroke dashstyle="solid"/>
            <w10:wrap type="topAndBottom"/>
          </v:shape>
        </w:pict>
      </w:r>
    </w:p>
    <w:p>
      <w:pPr>
        <w:pStyle w:val="ListParagraph"/>
        <w:numPr>
          <w:ilvl w:val="0"/>
          <w:numId w:val="24"/>
        </w:numPr>
        <w:tabs>
          <w:tab w:pos="3034" w:val="left" w:leader="none"/>
        </w:tabs>
        <w:spacing w:line="240" w:lineRule="auto" w:before="98" w:after="0"/>
        <w:ind w:left="3033" w:right="613" w:hanging="341"/>
        <w:jc w:val="left"/>
        <w:rPr>
          <w:sz w:val="14"/>
        </w:rPr>
      </w:pPr>
      <w:r>
        <w:rPr>
          <w:color w:val="262526"/>
          <w:sz w:val="14"/>
        </w:rPr>
        <w:t>Other risks include increases or decreases in voltage, levels of inertia, the availability of system strength services, and the operation and interaction of emergency frequency control schemes and emergency</w:t>
      </w:r>
      <w:r>
        <w:rPr>
          <w:color w:val="262526"/>
          <w:spacing w:val="-18"/>
          <w:sz w:val="14"/>
        </w:rPr>
        <w:t> </w:t>
      </w:r>
      <w:r>
        <w:rPr>
          <w:color w:val="262526"/>
          <w:sz w:val="14"/>
        </w:rPr>
        <w:t>controls.</w:t>
      </w:r>
    </w:p>
    <w:p>
      <w:pPr>
        <w:pStyle w:val="ListParagraph"/>
        <w:numPr>
          <w:ilvl w:val="0"/>
          <w:numId w:val="24"/>
        </w:numPr>
        <w:tabs>
          <w:tab w:pos="3034" w:val="left" w:leader="none"/>
        </w:tabs>
        <w:spacing w:line="240" w:lineRule="auto" w:before="54" w:after="0"/>
        <w:ind w:left="3033" w:right="0" w:hanging="342"/>
        <w:jc w:val="left"/>
        <w:rPr>
          <w:sz w:val="14"/>
        </w:rPr>
      </w:pPr>
      <w:r>
        <w:rPr>
          <w:color w:val="262526"/>
          <w:sz w:val="14"/>
        </w:rPr>
        <w:t>The measures may include a new or modified Emergency Frequency Control</w:t>
      </w:r>
      <w:r>
        <w:rPr>
          <w:color w:val="262526"/>
          <w:spacing w:val="-3"/>
          <w:sz w:val="14"/>
        </w:rPr>
        <w:t> </w:t>
      </w:r>
      <w:r>
        <w:rPr>
          <w:color w:val="262526"/>
          <w:sz w:val="14"/>
        </w:rPr>
        <w:t>Scheme.</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For more information, see section</w:t>
      </w:r>
      <w:r>
        <w:rPr>
          <w:color w:val="262526"/>
          <w:spacing w:val="-3"/>
          <w:sz w:val="14"/>
        </w:rPr>
        <w:t> </w:t>
      </w:r>
      <w:r>
        <w:rPr>
          <w:color w:val="262526"/>
          <w:sz w:val="14"/>
        </w:rPr>
        <w:t>1.2.</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5"/>
        </w:rPr>
      </w:pPr>
    </w:p>
    <w:p>
      <w:pPr>
        <w:pStyle w:val="Heading2"/>
        <w:numPr>
          <w:ilvl w:val="1"/>
          <w:numId w:val="20"/>
        </w:numPr>
        <w:tabs>
          <w:tab w:pos="2692" w:val="left" w:leader="none"/>
          <w:tab w:pos="2693" w:val="left" w:leader="none"/>
        </w:tabs>
        <w:spacing w:line="240" w:lineRule="auto" w:before="110" w:after="0"/>
        <w:ind w:left="2692" w:right="0" w:hanging="1560"/>
        <w:jc w:val="left"/>
      </w:pPr>
      <w:bookmarkStart w:name="3.2 The GPSRR process " w:id="38"/>
      <w:bookmarkEnd w:id="38"/>
      <w:r>
        <w:rPr/>
      </w:r>
      <w:bookmarkStart w:name="_bookmark11" w:id="39"/>
      <w:bookmarkEnd w:id="39"/>
      <w:r>
        <w:rPr/>
      </w:r>
      <w:bookmarkStart w:name="_bookmark11" w:id="40"/>
      <w:bookmarkEnd w:id="40"/>
      <w:r>
        <w:rPr>
          <w:color w:val="00ACEC"/>
        </w:rPr>
        <w:t>Th</w:t>
      </w:r>
      <w:r>
        <w:rPr>
          <w:color w:val="00ACEC"/>
        </w:rPr>
        <w:t>e GPSRR</w:t>
      </w:r>
      <w:r>
        <w:rPr>
          <w:color w:val="00ACEC"/>
          <w:spacing w:val="-1"/>
        </w:rPr>
        <w:t> </w:t>
      </w:r>
      <w:r>
        <w:rPr>
          <w:color w:val="00ACEC"/>
        </w:rPr>
        <w:t>process</w:t>
      </w:r>
    </w:p>
    <w:p>
      <w:pPr>
        <w:pStyle w:val="BodyText"/>
        <w:spacing w:before="10"/>
      </w:pPr>
      <w:r>
        <w:rPr/>
        <w:pict>
          <v:shape style="position:absolute;margin-left:134.895996pt;margin-top:14.807796pt;width:416.5pt;height:126.6pt;mso-position-horizontal-relative:page;mso-position-vertical-relative:paragraph;z-index:-15716864;mso-wrap-distance-left:0;mso-wrap-distance-right:0" type="#_x0000_t202" filled="false" stroked="true" strokeweight=".5pt" strokecolor="#00acec">
            <v:textbox inset="0,0,0,0">
              <w:txbxContent>
                <w:p>
                  <w:pPr>
                    <w:spacing w:before="163"/>
                    <w:ind w:left="226" w:right="0" w:firstLine="0"/>
                    <w:jc w:val="left"/>
                    <w:rPr>
                      <w:sz w:val="22"/>
                    </w:rPr>
                  </w:pPr>
                  <w:r>
                    <w:rPr>
                      <w:color w:val="00ACEC"/>
                      <w:sz w:val="22"/>
                    </w:rPr>
                    <w:t>BOX 3: </w:t>
                  </w:r>
                  <w:r>
                    <w:rPr>
                      <w:color w:val="262526"/>
                      <w:sz w:val="22"/>
                    </w:rPr>
                    <w:t>DRAFT DETERMINATION ON THE PROCESS FOR THE GPSRR</w:t>
                  </w:r>
                </w:p>
                <w:p>
                  <w:pPr>
                    <w:pStyle w:val="BodyText"/>
                    <w:spacing w:line="278" w:lineRule="auto" w:before="148"/>
                    <w:ind w:left="226" w:right="478"/>
                  </w:pPr>
                  <w:r>
                    <w:rPr>
                      <w:color w:val="464646"/>
                    </w:rPr>
                    <w:t>The</w:t>
                  </w:r>
                  <w:r>
                    <w:rPr>
                      <w:color w:val="464646"/>
                      <w:spacing w:val="-35"/>
                    </w:rPr>
                    <w:t> </w:t>
                  </w:r>
                  <w:r>
                    <w:rPr>
                      <w:color w:val="464646"/>
                    </w:rPr>
                    <w:t>Commission</w:t>
                  </w:r>
                  <w:r>
                    <w:rPr>
                      <w:color w:val="464646"/>
                      <w:spacing w:val="-35"/>
                    </w:rPr>
                    <w:t> </w:t>
                  </w:r>
                  <w:r>
                    <w:rPr>
                      <w:color w:val="464646"/>
                    </w:rPr>
                    <w:t>draft</w:t>
                  </w:r>
                  <w:r>
                    <w:rPr>
                      <w:color w:val="464646"/>
                      <w:spacing w:val="-34"/>
                    </w:rPr>
                    <w:t> </w:t>
                  </w:r>
                  <w:r>
                    <w:rPr>
                      <w:color w:val="464646"/>
                    </w:rPr>
                    <w:t>determination</w:t>
                  </w:r>
                  <w:r>
                    <w:rPr>
                      <w:color w:val="464646"/>
                      <w:spacing w:val="-35"/>
                    </w:rPr>
                    <w:t> </w:t>
                  </w:r>
                  <w:r>
                    <w:rPr>
                      <w:color w:val="464646"/>
                    </w:rPr>
                    <w:t>is</w:t>
                  </w:r>
                  <w:r>
                    <w:rPr>
                      <w:color w:val="464646"/>
                      <w:spacing w:val="-34"/>
                    </w:rPr>
                    <w:t> </w:t>
                  </w:r>
                  <w:r>
                    <w:rPr>
                      <w:color w:val="464646"/>
                    </w:rPr>
                    <w:t>for</w:t>
                  </w:r>
                  <w:r>
                    <w:rPr>
                      <w:color w:val="464646"/>
                      <w:spacing w:val="-35"/>
                    </w:rPr>
                    <w:t> </w:t>
                  </w:r>
                  <w:r>
                    <w:rPr>
                      <w:color w:val="464646"/>
                    </w:rPr>
                    <w:t>the</w:t>
                  </w:r>
                  <w:r>
                    <w:rPr>
                      <w:color w:val="464646"/>
                      <w:spacing w:val="-34"/>
                    </w:rPr>
                    <w:t> </w:t>
                  </w:r>
                  <w:r>
                    <w:rPr>
                      <w:color w:val="464646"/>
                    </w:rPr>
                    <w:t>GPSRR</w:t>
                  </w:r>
                  <w:r>
                    <w:rPr>
                      <w:color w:val="464646"/>
                      <w:spacing w:val="-35"/>
                    </w:rPr>
                    <w:t> </w:t>
                  </w:r>
                  <w:r>
                    <w:rPr>
                      <w:color w:val="464646"/>
                    </w:rPr>
                    <w:t>to</w:t>
                  </w:r>
                  <w:r>
                    <w:rPr>
                      <w:color w:val="464646"/>
                      <w:spacing w:val="-34"/>
                    </w:rPr>
                    <w:t> </w:t>
                  </w:r>
                  <w:r>
                    <w:rPr>
                      <w:color w:val="464646"/>
                    </w:rPr>
                    <w:t>be</w:t>
                  </w:r>
                  <w:r>
                    <w:rPr>
                      <w:color w:val="464646"/>
                      <w:spacing w:val="-35"/>
                    </w:rPr>
                    <w:t> </w:t>
                  </w:r>
                  <w:r>
                    <w:rPr>
                      <w:color w:val="464646"/>
                    </w:rPr>
                    <w:t>conducted</w:t>
                  </w:r>
                  <w:r>
                    <w:rPr>
                      <w:color w:val="464646"/>
                      <w:spacing w:val="-34"/>
                    </w:rPr>
                    <w:t> </w:t>
                  </w:r>
                  <w:r>
                    <w:rPr>
                      <w:color w:val="464646"/>
                    </w:rPr>
                    <w:t>annually</w:t>
                  </w:r>
                  <w:r>
                    <w:rPr>
                      <w:color w:val="464646"/>
                      <w:spacing w:val="-35"/>
                    </w:rPr>
                    <w:t> </w:t>
                  </w:r>
                  <w:r>
                    <w:rPr>
                      <w:color w:val="464646"/>
                    </w:rPr>
                    <w:t>with</w:t>
                  </w:r>
                  <w:r>
                    <w:rPr>
                      <w:color w:val="464646"/>
                      <w:spacing w:val="-34"/>
                    </w:rPr>
                    <w:t> </w:t>
                  </w:r>
                  <w:r>
                    <w:rPr>
                      <w:color w:val="464646"/>
                    </w:rPr>
                    <w:t>AEMO required</w:t>
                  </w:r>
                  <w:r>
                    <w:rPr>
                      <w:color w:val="464646"/>
                      <w:spacing w:val="-29"/>
                    </w:rPr>
                    <w:t> </w:t>
                  </w:r>
                  <w:r>
                    <w:rPr>
                      <w:color w:val="464646"/>
                    </w:rPr>
                    <w:t>to</w:t>
                  </w:r>
                  <w:r>
                    <w:rPr>
                      <w:color w:val="464646"/>
                      <w:spacing w:val="-29"/>
                    </w:rPr>
                    <w:t> </w:t>
                  </w:r>
                  <w:r>
                    <w:rPr>
                      <w:color w:val="464646"/>
                    </w:rPr>
                    <w:t>consult</w:t>
                  </w:r>
                  <w:r>
                    <w:rPr>
                      <w:color w:val="464646"/>
                      <w:spacing w:val="-29"/>
                    </w:rPr>
                    <w:t> </w:t>
                  </w:r>
                  <w:r>
                    <w:rPr>
                      <w:color w:val="464646"/>
                    </w:rPr>
                    <w:t>with,</w:t>
                  </w:r>
                  <w:r>
                    <w:rPr>
                      <w:color w:val="464646"/>
                      <w:spacing w:val="-29"/>
                    </w:rPr>
                    <w:t> </w:t>
                  </w:r>
                  <w:r>
                    <w:rPr>
                      <w:color w:val="464646"/>
                    </w:rPr>
                    <w:t>and</w:t>
                  </w:r>
                  <w:r>
                    <w:rPr>
                      <w:color w:val="464646"/>
                      <w:spacing w:val="-29"/>
                    </w:rPr>
                    <w:t> </w:t>
                  </w:r>
                  <w:r>
                    <w:rPr>
                      <w:color w:val="464646"/>
                    </w:rPr>
                    <w:t>take</w:t>
                  </w:r>
                  <w:r>
                    <w:rPr>
                      <w:color w:val="464646"/>
                      <w:spacing w:val="-29"/>
                    </w:rPr>
                    <w:t> </w:t>
                  </w:r>
                  <w:r>
                    <w:rPr>
                      <w:color w:val="464646"/>
                    </w:rPr>
                    <w:t>into</w:t>
                  </w:r>
                  <w:r>
                    <w:rPr>
                      <w:color w:val="464646"/>
                      <w:spacing w:val="-29"/>
                    </w:rPr>
                    <w:t> </w:t>
                  </w:r>
                  <w:r>
                    <w:rPr>
                      <w:color w:val="464646"/>
                    </w:rPr>
                    <w:t>account,</w:t>
                  </w:r>
                  <w:r>
                    <w:rPr>
                      <w:color w:val="464646"/>
                      <w:spacing w:val="-28"/>
                    </w:rPr>
                    <w:t> </w:t>
                  </w:r>
                  <w:r>
                    <w:rPr>
                      <w:color w:val="464646"/>
                    </w:rPr>
                    <w:t>the</w:t>
                  </w:r>
                  <w:r>
                    <w:rPr>
                      <w:color w:val="464646"/>
                      <w:spacing w:val="-29"/>
                    </w:rPr>
                    <w:t> </w:t>
                  </w:r>
                  <w:r>
                    <w:rPr>
                      <w:color w:val="464646"/>
                    </w:rPr>
                    <w:t>views</w:t>
                  </w:r>
                  <w:r>
                    <w:rPr>
                      <w:color w:val="464646"/>
                      <w:spacing w:val="-29"/>
                    </w:rPr>
                    <w:t> </w:t>
                  </w:r>
                  <w:r>
                    <w:rPr>
                      <w:color w:val="464646"/>
                    </w:rPr>
                    <w:t>of</w:t>
                  </w:r>
                  <w:r>
                    <w:rPr>
                      <w:color w:val="464646"/>
                      <w:spacing w:val="-29"/>
                    </w:rPr>
                    <w:t> </w:t>
                  </w:r>
                  <w:r>
                    <w:rPr>
                      <w:color w:val="464646"/>
                    </w:rPr>
                    <w:t>relevant</w:t>
                  </w:r>
                  <w:r>
                    <w:rPr>
                      <w:color w:val="464646"/>
                      <w:spacing w:val="-29"/>
                    </w:rPr>
                    <w:t> </w:t>
                  </w:r>
                  <w:r>
                    <w:rPr>
                      <w:color w:val="464646"/>
                    </w:rPr>
                    <w:t>TNSPs</w:t>
                  </w:r>
                  <w:r>
                    <w:rPr>
                      <w:color w:val="464646"/>
                      <w:spacing w:val="-29"/>
                    </w:rPr>
                    <w:t> </w:t>
                  </w:r>
                  <w:r>
                    <w:rPr>
                      <w:color w:val="464646"/>
                    </w:rPr>
                    <w:t>and</w:t>
                  </w:r>
                  <w:r>
                    <w:rPr>
                      <w:color w:val="464646"/>
                      <w:spacing w:val="-29"/>
                    </w:rPr>
                    <w:t> </w:t>
                  </w:r>
                  <w:r>
                    <w:rPr>
                      <w:color w:val="464646"/>
                    </w:rPr>
                    <w:t>DNSPs</w:t>
                  </w:r>
                  <w:r>
                    <w:rPr>
                      <w:color w:val="464646"/>
                      <w:spacing w:val="-29"/>
                    </w:rPr>
                    <w:t> </w:t>
                  </w:r>
                  <w:r>
                    <w:rPr>
                      <w:color w:val="464646"/>
                    </w:rPr>
                    <w:t>in conducting the</w:t>
                  </w:r>
                  <w:r>
                    <w:rPr>
                      <w:color w:val="464646"/>
                      <w:spacing w:val="-11"/>
                    </w:rPr>
                    <w:t> </w:t>
                  </w:r>
                  <w:r>
                    <w:rPr>
                      <w:color w:val="464646"/>
                    </w:rPr>
                    <w:t>review.</w:t>
                  </w:r>
                </w:p>
                <w:p>
                  <w:pPr>
                    <w:pStyle w:val="BodyText"/>
                    <w:spacing w:line="278" w:lineRule="auto" w:before="113"/>
                    <w:ind w:left="226" w:right="156"/>
                  </w:pPr>
                  <w:r>
                    <w:rPr>
                      <w:color w:val="464646"/>
                    </w:rPr>
                    <w:t>A</w:t>
                  </w:r>
                  <w:r>
                    <w:rPr>
                      <w:color w:val="464646"/>
                      <w:spacing w:val="-23"/>
                    </w:rPr>
                    <w:t> </w:t>
                  </w:r>
                  <w:r>
                    <w:rPr>
                      <w:color w:val="464646"/>
                    </w:rPr>
                    <w:t>single</w:t>
                  </w:r>
                  <w:r>
                    <w:rPr>
                      <w:color w:val="464646"/>
                      <w:spacing w:val="-22"/>
                    </w:rPr>
                    <w:t> </w:t>
                  </w:r>
                  <w:r>
                    <w:rPr>
                      <w:color w:val="464646"/>
                    </w:rPr>
                    <w:t>final</w:t>
                  </w:r>
                  <w:r>
                    <w:rPr>
                      <w:color w:val="464646"/>
                      <w:spacing w:val="-22"/>
                    </w:rPr>
                    <w:t> </w:t>
                  </w:r>
                  <w:r>
                    <w:rPr>
                      <w:color w:val="464646"/>
                    </w:rPr>
                    <w:t>report</w:t>
                  </w:r>
                  <w:r>
                    <w:rPr>
                      <w:color w:val="464646"/>
                      <w:spacing w:val="-22"/>
                    </w:rPr>
                    <w:t> </w:t>
                  </w:r>
                  <w:r>
                    <w:rPr>
                      <w:color w:val="464646"/>
                    </w:rPr>
                    <w:t>would</w:t>
                  </w:r>
                  <w:r>
                    <w:rPr>
                      <w:color w:val="464646"/>
                      <w:spacing w:val="-22"/>
                    </w:rPr>
                    <w:t> </w:t>
                  </w:r>
                  <w:r>
                    <w:rPr>
                      <w:color w:val="464646"/>
                    </w:rPr>
                    <w:t>be</w:t>
                  </w:r>
                  <w:r>
                    <w:rPr>
                      <w:color w:val="464646"/>
                      <w:spacing w:val="-23"/>
                    </w:rPr>
                    <w:t> </w:t>
                  </w:r>
                  <w:r>
                    <w:rPr>
                      <w:color w:val="464646"/>
                    </w:rPr>
                    <w:t>published</w:t>
                  </w:r>
                  <w:r>
                    <w:rPr>
                      <w:color w:val="464646"/>
                      <w:spacing w:val="-22"/>
                    </w:rPr>
                    <w:t> </w:t>
                  </w:r>
                  <w:r>
                    <w:rPr>
                      <w:color w:val="464646"/>
                    </w:rPr>
                    <w:t>at</w:t>
                  </w:r>
                  <w:r>
                    <w:rPr>
                      <w:color w:val="464646"/>
                      <w:spacing w:val="-22"/>
                    </w:rPr>
                    <w:t> </w:t>
                  </w:r>
                  <w:r>
                    <w:rPr>
                      <w:color w:val="464646"/>
                    </w:rPr>
                    <w:t>the</w:t>
                  </w:r>
                  <w:r>
                    <w:rPr>
                      <w:color w:val="464646"/>
                      <w:spacing w:val="-22"/>
                    </w:rPr>
                    <w:t> </w:t>
                  </w:r>
                  <w:r>
                    <w:rPr>
                      <w:color w:val="464646"/>
                    </w:rPr>
                    <w:t>conclusion</w:t>
                  </w:r>
                  <w:r>
                    <w:rPr>
                      <w:color w:val="464646"/>
                      <w:spacing w:val="-22"/>
                    </w:rPr>
                    <w:t> </w:t>
                  </w:r>
                  <w:r>
                    <w:rPr>
                      <w:color w:val="464646"/>
                    </w:rPr>
                    <w:t>of</w:t>
                  </w:r>
                  <w:r>
                    <w:rPr>
                      <w:color w:val="464646"/>
                      <w:spacing w:val="-23"/>
                    </w:rPr>
                    <w:t> </w:t>
                  </w:r>
                  <w:r>
                    <w:rPr>
                      <w:color w:val="464646"/>
                    </w:rPr>
                    <w:t>the</w:t>
                  </w:r>
                  <w:r>
                    <w:rPr>
                      <w:color w:val="464646"/>
                      <w:spacing w:val="-22"/>
                    </w:rPr>
                    <w:t> </w:t>
                  </w:r>
                  <w:r>
                    <w:rPr>
                      <w:color w:val="464646"/>
                    </w:rPr>
                    <w:t>GPSRR</w:t>
                  </w:r>
                  <w:r>
                    <w:rPr>
                      <w:color w:val="464646"/>
                      <w:spacing w:val="-22"/>
                    </w:rPr>
                    <w:t> </w:t>
                  </w:r>
                  <w:r>
                    <w:rPr>
                      <w:color w:val="464646"/>
                    </w:rPr>
                    <w:t>and</w:t>
                  </w:r>
                  <w:r>
                    <w:rPr>
                      <w:color w:val="464646"/>
                      <w:spacing w:val="-22"/>
                    </w:rPr>
                    <w:t> </w:t>
                  </w:r>
                  <w:r>
                    <w:rPr>
                      <w:color w:val="464646"/>
                    </w:rPr>
                    <w:t>an</w:t>
                  </w:r>
                  <w:r>
                    <w:rPr>
                      <w:color w:val="464646"/>
                      <w:spacing w:val="-22"/>
                    </w:rPr>
                    <w:t> </w:t>
                  </w:r>
                  <w:r>
                    <w:rPr>
                      <w:color w:val="464646"/>
                    </w:rPr>
                    <w:t>approach paper</w:t>
                  </w:r>
                  <w:r>
                    <w:rPr>
                      <w:color w:val="464646"/>
                      <w:spacing w:val="-32"/>
                    </w:rPr>
                    <w:t> </w:t>
                  </w:r>
                  <w:r>
                    <w:rPr>
                      <w:color w:val="464646"/>
                    </w:rPr>
                    <w:t>published</w:t>
                  </w:r>
                  <w:r>
                    <w:rPr>
                      <w:color w:val="464646"/>
                      <w:spacing w:val="-32"/>
                    </w:rPr>
                    <w:t> </w:t>
                  </w:r>
                  <w:r>
                    <w:rPr>
                      <w:color w:val="464646"/>
                    </w:rPr>
                    <w:t>at</w:t>
                  </w:r>
                  <w:r>
                    <w:rPr>
                      <w:color w:val="464646"/>
                      <w:spacing w:val="-31"/>
                    </w:rPr>
                    <w:t> </w:t>
                  </w:r>
                  <w:r>
                    <w:rPr>
                      <w:color w:val="464646"/>
                    </w:rPr>
                    <w:t>the</w:t>
                  </w:r>
                  <w:r>
                    <w:rPr>
                      <w:color w:val="464646"/>
                      <w:spacing w:val="-32"/>
                    </w:rPr>
                    <w:t> </w:t>
                  </w:r>
                  <w:r>
                    <w:rPr>
                      <w:color w:val="464646"/>
                    </w:rPr>
                    <w:t>commencement</w:t>
                  </w:r>
                  <w:r>
                    <w:rPr>
                      <w:color w:val="464646"/>
                      <w:spacing w:val="-32"/>
                    </w:rPr>
                    <w:t> </w:t>
                  </w:r>
                  <w:r>
                    <w:rPr>
                      <w:color w:val="464646"/>
                    </w:rPr>
                    <w:t>of</w:t>
                  </w:r>
                  <w:r>
                    <w:rPr>
                      <w:color w:val="464646"/>
                      <w:spacing w:val="-31"/>
                    </w:rPr>
                    <w:t> </w:t>
                  </w:r>
                  <w:r>
                    <w:rPr>
                      <w:color w:val="464646"/>
                    </w:rPr>
                    <w:t>the</w:t>
                  </w:r>
                  <w:r>
                    <w:rPr>
                      <w:color w:val="464646"/>
                      <w:spacing w:val="-32"/>
                    </w:rPr>
                    <w:t> </w:t>
                  </w:r>
                  <w:r>
                    <w:rPr>
                      <w:color w:val="464646"/>
                    </w:rPr>
                    <w:t>review.</w:t>
                  </w:r>
                  <w:r>
                    <w:rPr>
                      <w:color w:val="464646"/>
                      <w:spacing w:val="-32"/>
                    </w:rPr>
                    <w:t> </w:t>
                  </w:r>
                  <w:r>
                    <w:rPr>
                      <w:color w:val="464646"/>
                    </w:rPr>
                    <w:t>AEMO</w:t>
                  </w:r>
                  <w:r>
                    <w:rPr>
                      <w:color w:val="464646"/>
                      <w:spacing w:val="-31"/>
                    </w:rPr>
                    <w:t> </w:t>
                  </w:r>
                  <w:r>
                    <w:rPr>
                      <w:color w:val="464646"/>
                    </w:rPr>
                    <w:t>is</w:t>
                  </w:r>
                  <w:r>
                    <w:rPr>
                      <w:color w:val="464646"/>
                      <w:spacing w:val="-32"/>
                    </w:rPr>
                    <w:t> </w:t>
                  </w:r>
                  <w:r>
                    <w:rPr>
                      <w:color w:val="464646"/>
                    </w:rPr>
                    <w:t>to</w:t>
                  </w:r>
                  <w:r>
                    <w:rPr>
                      <w:color w:val="464646"/>
                      <w:spacing w:val="-32"/>
                    </w:rPr>
                    <w:t> </w:t>
                  </w:r>
                  <w:r>
                    <w:rPr>
                      <w:color w:val="464646"/>
                    </w:rPr>
                    <w:t>publicly</w:t>
                  </w:r>
                  <w:r>
                    <w:rPr>
                      <w:color w:val="464646"/>
                      <w:spacing w:val="-31"/>
                    </w:rPr>
                    <w:t> </w:t>
                  </w:r>
                  <w:r>
                    <w:rPr>
                      <w:color w:val="464646"/>
                    </w:rPr>
                    <w:t>consult</w:t>
                  </w:r>
                  <w:r>
                    <w:rPr>
                      <w:color w:val="464646"/>
                      <w:spacing w:val="-32"/>
                    </w:rPr>
                    <w:t> </w:t>
                  </w:r>
                  <w:r>
                    <w:rPr>
                      <w:color w:val="464646"/>
                    </w:rPr>
                    <w:t>for</w:t>
                  </w:r>
                  <w:r>
                    <w:rPr>
                      <w:color w:val="464646"/>
                      <w:spacing w:val="-31"/>
                    </w:rPr>
                    <w:t> </w:t>
                  </w:r>
                  <w:r>
                    <w:rPr>
                      <w:color w:val="464646"/>
                    </w:rPr>
                    <w:t>a</w:t>
                  </w:r>
                  <w:r>
                    <w:rPr>
                      <w:color w:val="464646"/>
                      <w:spacing w:val="-32"/>
                    </w:rPr>
                    <w:t> </w:t>
                  </w:r>
                  <w:r>
                    <w:rPr>
                      <w:color w:val="464646"/>
                    </w:rPr>
                    <w:t>period of</w:t>
                  </w:r>
                  <w:r>
                    <w:rPr>
                      <w:color w:val="464646"/>
                      <w:spacing w:val="-11"/>
                    </w:rPr>
                    <w:t> </w:t>
                  </w:r>
                  <w:r>
                    <w:rPr>
                      <w:color w:val="464646"/>
                    </w:rPr>
                    <w:t>at</w:t>
                  </w:r>
                  <w:r>
                    <w:rPr>
                      <w:color w:val="464646"/>
                      <w:spacing w:val="-11"/>
                    </w:rPr>
                    <w:t> </w:t>
                  </w:r>
                  <w:r>
                    <w:rPr>
                      <w:color w:val="464646"/>
                    </w:rPr>
                    <w:t>least</w:t>
                  </w:r>
                  <w:r>
                    <w:rPr>
                      <w:color w:val="464646"/>
                      <w:spacing w:val="-11"/>
                    </w:rPr>
                    <w:t> </w:t>
                  </w:r>
                  <w:r>
                    <w:rPr>
                      <w:color w:val="464646"/>
                    </w:rPr>
                    <w:t>10</w:t>
                  </w:r>
                  <w:r>
                    <w:rPr>
                      <w:color w:val="464646"/>
                      <w:spacing w:val="-11"/>
                    </w:rPr>
                    <w:t> </w:t>
                  </w:r>
                  <w:r>
                    <w:rPr>
                      <w:color w:val="464646"/>
                    </w:rPr>
                    <w:t>days</w:t>
                  </w:r>
                  <w:r>
                    <w:rPr>
                      <w:color w:val="464646"/>
                      <w:spacing w:val="-11"/>
                    </w:rPr>
                    <w:t> </w:t>
                  </w:r>
                  <w:r>
                    <w:rPr>
                      <w:color w:val="464646"/>
                    </w:rPr>
                    <w:t>following</w:t>
                  </w:r>
                  <w:r>
                    <w:rPr>
                      <w:color w:val="464646"/>
                      <w:spacing w:val="-11"/>
                    </w:rPr>
                    <w:t> </w:t>
                  </w:r>
                  <w:r>
                    <w:rPr>
                      <w:color w:val="464646"/>
                    </w:rPr>
                    <w:t>publication</w:t>
                  </w:r>
                  <w:r>
                    <w:rPr>
                      <w:color w:val="464646"/>
                      <w:spacing w:val="-11"/>
                    </w:rPr>
                    <w:t> </w:t>
                  </w:r>
                  <w:r>
                    <w:rPr>
                      <w:color w:val="464646"/>
                    </w:rPr>
                    <w:t>of</w:t>
                  </w:r>
                  <w:r>
                    <w:rPr>
                      <w:color w:val="464646"/>
                      <w:spacing w:val="-11"/>
                    </w:rPr>
                    <w:t> </w:t>
                  </w:r>
                  <w:r>
                    <w:rPr>
                      <w:color w:val="464646"/>
                    </w:rPr>
                    <w:t>the</w:t>
                  </w:r>
                  <w:r>
                    <w:rPr>
                      <w:color w:val="464646"/>
                      <w:spacing w:val="-11"/>
                    </w:rPr>
                    <w:t> </w:t>
                  </w:r>
                  <w:r>
                    <w:rPr>
                      <w:color w:val="464646"/>
                    </w:rPr>
                    <w:t>GPSRR</w:t>
                  </w:r>
                  <w:r>
                    <w:rPr>
                      <w:color w:val="464646"/>
                      <w:spacing w:val="-11"/>
                    </w:rPr>
                    <w:t> </w:t>
                  </w:r>
                  <w:r>
                    <w:rPr>
                      <w:color w:val="464646"/>
                    </w:rPr>
                    <w:t>approach</w:t>
                  </w:r>
                  <w:r>
                    <w:rPr>
                      <w:color w:val="464646"/>
                      <w:spacing w:val="-10"/>
                    </w:rPr>
                    <w:t> </w:t>
                  </w:r>
                  <w:r>
                    <w:rPr>
                      <w:color w:val="464646"/>
                      <w:spacing w:val="-5"/>
                    </w:rPr>
                    <w:t>paper.</w:t>
                  </w:r>
                </w:p>
              </w:txbxContent>
            </v:textbox>
            <v:stroke dashstyle="solid"/>
            <w10:wrap type="topAndBottom"/>
          </v:shape>
        </w:pict>
      </w:r>
    </w:p>
    <w:p>
      <w:pPr>
        <w:pStyle w:val="BodyText"/>
        <w:spacing w:before="6"/>
        <w:rPr>
          <w:sz w:val="39"/>
        </w:rPr>
      </w:pPr>
    </w:p>
    <w:p>
      <w:pPr>
        <w:pStyle w:val="ListParagraph"/>
        <w:numPr>
          <w:ilvl w:val="2"/>
          <w:numId w:val="26"/>
        </w:numPr>
        <w:tabs>
          <w:tab w:pos="2692" w:val="left" w:leader="none"/>
          <w:tab w:pos="2693" w:val="left" w:leader="none"/>
        </w:tabs>
        <w:spacing w:line="240" w:lineRule="auto" w:before="0" w:after="0"/>
        <w:ind w:left="2692" w:right="0" w:hanging="1560"/>
        <w:jc w:val="left"/>
        <w:rPr>
          <w:b/>
          <w:sz w:val="18"/>
        </w:rPr>
      </w:pPr>
      <w:r>
        <w:rPr>
          <w:b/>
          <w:color w:val="00ACEC"/>
          <w:sz w:val="18"/>
        </w:rPr>
        <w:t>Issue</w:t>
      </w:r>
      <w:r>
        <w:rPr>
          <w:b/>
          <w:color w:val="00ACEC"/>
          <w:spacing w:val="-2"/>
          <w:sz w:val="18"/>
        </w:rPr>
        <w:t> </w:t>
      </w:r>
      <w:r>
        <w:rPr>
          <w:b/>
          <w:color w:val="00ACEC"/>
          <w:sz w:val="18"/>
        </w:rPr>
        <w:t>raised</w:t>
      </w:r>
    </w:p>
    <w:p>
      <w:pPr>
        <w:pStyle w:val="BodyText"/>
        <w:spacing w:line="278" w:lineRule="auto" w:before="100"/>
        <w:ind w:left="2692" w:right="171"/>
      </w:pPr>
      <w:r>
        <w:rPr>
          <w:color w:val="262526"/>
        </w:rPr>
        <w:t>AEMO is currently required to publish the PSFRR at least every two years. The NER also specify that a PSFRR is conducted according to a two stage draft and final report process.</w:t>
      </w:r>
      <w:r>
        <w:rPr>
          <w:color w:val="262526"/>
          <w:position w:val="8"/>
          <w:sz w:val="12"/>
        </w:rPr>
        <w:t>59 </w:t>
      </w:r>
      <w:r>
        <w:rPr>
          <w:color w:val="262526"/>
        </w:rPr>
        <w:t>Over this two stage process, AEMO must hold full consultations with TNSPs to assess system risks. Following the publication of a draft report, AEMO must invite written submissions from stakeholders on its report, only after which it can submit recommendations to the Reliability Panel for new or modified Emergency Frequency Control Schemes, or the declaration of a protected event.</w:t>
      </w:r>
    </w:p>
    <w:p>
      <w:pPr>
        <w:pStyle w:val="BodyText"/>
        <w:spacing w:line="278" w:lineRule="auto" w:before="113"/>
        <w:ind w:left="2692" w:right="163"/>
      </w:pPr>
      <w:r>
        <w:rPr>
          <w:color w:val="262526"/>
        </w:rPr>
        <w:t>In its rule change request, the COAG Energy Council considers that the existing PSFRR process occurs too infrequently and it takes too long to effectively identify emerging risks in a rapidly changing power system. Therefore, the COAG Energy Council</w:t>
      </w:r>
      <w:r>
        <w:rPr>
          <w:color w:val="262526"/>
          <w:spacing w:val="7"/>
        </w:rPr>
        <w:t> </w:t>
      </w:r>
      <w:r>
        <w:rPr>
          <w:color w:val="262526"/>
        </w:rPr>
        <w:t>proposes:</w:t>
      </w:r>
    </w:p>
    <w:p>
      <w:pPr>
        <w:pStyle w:val="ListParagraph"/>
        <w:numPr>
          <w:ilvl w:val="3"/>
          <w:numId w:val="26"/>
        </w:numPr>
        <w:tabs>
          <w:tab w:pos="3033" w:val="left" w:leader="none"/>
          <w:tab w:pos="3034" w:val="left" w:leader="none"/>
        </w:tabs>
        <w:spacing w:line="240" w:lineRule="auto" w:before="113" w:after="0"/>
        <w:ind w:left="3033" w:right="0" w:hanging="341"/>
        <w:jc w:val="left"/>
        <w:rPr>
          <w:sz w:val="20"/>
        </w:rPr>
      </w:pPr>
      <w:r>
        <w:rPr>
          <w:color w:val="262526"/>
          <w:sz w:val="20"/>
        </w:rPr>
        <w:t>that AEMO should conduct the GPSRR on an annual basis,</w:t>
      </w:r>
      <w:r>
        <w:rPr>
          <w:color w:val="262526"/>
          <w:spacing w:val="6"/>
          <w:sz w:val="20"/>
        </w:rPr>
        <w:t> </w:t>
      </w:r>
      <w:r>
        <w:rPr>
          <w:color w:val="262526"/>
          <w:sz w:val="20"/>
        </w:rPr>
        <w:t>and</w:t>
      </w:r>
    </w:p>
    <w:p>
      <w:pPr>
        <w:pStyle w:val="ListParagraph"/>
        <w:numPr>
          <w:ilvl w:val="3"/>
          <w:numId w:val="26"/>
        </w:numPr>
        <w:tabs>
          <w:tab w:pos="3033" w:val="left" w:leader="none"/>
          <w:tab w:pos="3034" w:val="left" w:leader="none"/>
        </w:tabs>
        <w:spacing w:line="278" w:lineRule="auto" w:before="95" w:after="0"/>
        <w:ind w:left="3033" w:right="207" w:hanging="341"/>
        <w:jc w:val="left"/>
        <w:rPr>
          <w:sz w:val="20"/>
        </w:rPr>
      </w:pPr>
      <w:r>
        <w:rPr>
          <w:color w:val="262526"/>
          <w:sz w:val="20"/>
        </w:rPr>
        <w:t>for the process to be streamlined via introduction of a single stage expedited process to support faster identification of risks, and development of solutions to identify those</w:t>
      </w:r>
      <w:r>
        <w:rPr>
          <w:color w:val="262526"/>
          <w:spacing w:val="24"/>
          <w:sz w:val="20"/>
        </w:rPr>
        <w:t> </w:t>
      </w:r>
      <w:r>
        <w:rPr>
          <w:color w:val="262526"/>
          <w:sz w:val="20"/>
        </w:rPr>
        <w:t>risks.</w:t>
      </w:r>
    </w:p>
    <w:p>
      <w:pPr>
        <w:pStyle w:val="BodyText"/>
        <w:spacing w:before="4"/>
        <w:rPr>
          <w:sz w:val="11"/>
        </w:rPr>
      </w:pPr>
    </w:p>
    <w:p>
      <w:pPr>
        <w:pStyle w:val="ListParagraph"/>
        <w:numPr>
          <w:ilvl w:val="2"/>
          <w:numId w:val="26"/>
        </w:numPr>
        <w:tabs>
          <w:tab w:pos="2692" w:val="left" w:leader="none"/>
          <w:tab w:pos="2693" w:val="left" w:leader="none"/>
        </w:tabs>
        <w:spacing w:line="240" w:lineRule="auto" w:before="112" w:after="0"/>
        <w:ind w:left="2692" w:right="0" w:hanging="1560"/>
        <w:jc w:val="left"/>
        <w:rPr>
          <w:b/>
          <w:sz w:val="18"/>
        </w:rPr>
      </w:pPr>
      <w:r>
        <w:rPr>
          <w:b/>
          <w:color w:val="00ACEC"/>
          <w:sz w:val="18"/>
        </w:rPr>
        <w:t>Stakeholder</w:t>
      </w:r>
      <w:r>
        <w:rPr>
          <w:b/>
          <w:color w:val="00ACEC"/>
          <w:spacing w:val="-2"/>
          <w:sz w:val="18"/>
        </w:rPr>
        <w:t> </w:t>
      </w:r>
      <w:r>
        <w:rPr>
          <w:b/>
          <w:color w:val="00ACEC"/>
          <w:sz w:val="18"/>
        </w:rPr>
        <w:t>views</w:t>
      </w:r>
    </w:p>
    <w:p>
      <w:pPr>
        <w:pStyle w:val="BodyText"/>
        <w:spacing w:line="278" w:lineRule="auto" w:before="99"/>
        <w:ind w:left="2692" w:right="241"/>
        <w:rPr>
          <w:sz w:val="12"/>
        </w:rPr>
      </w:pPr>
      <w:r>
        <w:rPr>
          <w:color w:val="262526"/>
        </w:rPr>
        <w:t>Through the AEMC’s BSE review, there were a range of views regarding the frequency of the proposed review. Stanwell considered annual publication to be insufficient, instead favouring publication “at least quarterly to account for seasonal weather </w:t>
      </w:r>
      <w:r>
        <w:rPr>
          <w:color w:val="262526"/>
          <w:spacing w:val="-3"/>
        </w:rPr>
        <w:t>forecasts”.</w:t>
      </w:r>
      <w:r>
        <w:rPr>
          <w:color w:val="262526"/>
          <w:spacing w:val="-3"/>
          <w:position w:val="8"/>
          <w:sz w:val="12"/>
        </w:rPr>
        <w:t>60 </w:t>
      </w:r>
      <w:r>
        <w:rPr>
          <w:color w:val="262526"/>
        </w:rPr>
        <w:t>AEMO, Ergon Energy and Energex, and </w:t>
      </w:r>
      <w:r>
        <w:rPr>
          <w:color w:val="262526"/>
          <w:spacing w:val="-3"/>
        </w:rPr>
        <w:t>TasNetworks </w:t>
      </w:r>
      <w:r>
        <w:rPr>
          <w:color w:val="262526"/>
        </w:rPr>
        <w:t>were concerned about the burden of time and effort required in identifying a broad scope of risks, and the feasibility of doing this in a 12-month time frame.</w:t>
      </w:r>
      <w:r>
        <w:rPr>
          <w:color w:val="262526"/>
          <w:position w:val="8"/>
          <w:sz w:val="12"/>
        </w:rPr>
        <w:t>61 </w:t>
      </w:r>
      <w:r>
        <w:rPr>
          <w:color w:val="262526"/>
        </w:rPr>
        <w:t>Ergon Energy and Energex considered an annual publication would require “new processes for extensive forecasts and analysis in addition to existing DNSP functions.</w:t>
      </w:r>
      <w:r>
        <w:rPr>
          <w:color w:val="262526"/>
          <w:position w:val="8"/>
          <w:sz w:val="12"/>
        </w:rPr>
        <w:t>62 </w:t>
      </w:r>
      <w:r>
        <w:rPr>
          <w:color w:val="262526"/>
        </w:rPr>
        <w:t>AEMO suggested that the division of responsibilities between TNSPs, DNSPs and AEMO be clearly set out to facilitate an annual review</w:t>
      </w:r>
      <w:r>
        <w:rPr>
          <w:color w:val="262526"/>
          <w:spacing w:val="2"/>
        </w:rPr>
        <w:t> </w:t>
      </w:r>
      <w:r>
        <w:rPr>
          <w:color w:val="262526"/>
        </w:rPr>
        <w:t>cycle.</w:t>
      </w:r>
      <w:r>
        <w:rPr>
          <w:color w:val="262526"/>
          <w:position w:val="8"/>
          <w:sz w:val="12"/>
        </w:rPr>
        <w:t>63</w:t>
      </w:r>
    </w:p>
    <w:p>
      <w:pPr>
        <w:pStyle w:val="BodyText"/>
        <w:rPr>
          <w:sz w:val="14"/>
        </w:rPr>
      </w:pPr>
      <w:r>
        <w:rPr/>
        <w:pict>
          <v:shape style="position:absolute;margin-left:134.645996pt;margin-top:10.931531pt;width:49.65pt;height:.1pt;mso-position-horizontal-relative:page;mso-position-vertical-relative:paragraph;z-index:-15716352;mso-wrap-distance-left:0;mso-wrap-distance-right:0" coordorigin="2693,219" coordsize="993,0" path="m2693,219l3685,219e" filled="false" stroked="true" strokeweight="1pt" strokecolor="#262526">
            <v:path arrowok="t"/>
            <v:stroke dashstyle="solid"/>
            <w10:wrap type="topAndBottom"/>
          </v:shape>
        </w:pict>
      </w:r>
    </w:p>
    <w:p>
      <w:pPr>
        <w:pStyle w:val="ListParagraph"/>
        <w:numPr>
          <w:ilvl w:val="0"/>
          <w:numId w:val="24"/>
        </w:numPr>
        <w:tabs>
          <w:tab w:pos="3034" w:val="left" w:leader="none"/>
        </w:tabs>
        <w:spacing w:line="240" w:lineRule="auto" w:before="98" w:after="0"/>
        <w:ind w:left="3033" w:right="0" w:hanging="342"/>
        <w:jc w:val="left"/>
        <w:rPr>
          <w:sz w:val="14"/>
        </w:rPr>
      </w:pPr>
      <w:r>
        <w:rPr>
          <w:color w:val="262526"/>
          <w:sz w:val="14"/>
        </w:rPr>
        <w:t>Clause 5.20A.3 of the</w:t>
      </w:r>
      <w:r>
        <w:rPr>
          <w:color w:val="262526"/>
          <w:spacing w:val="-2"/>
          <w:sz w:val="14"/>
        </w:rPr>
        <w:t> </w:t>
      </w:r>
      <w:r>
        <w:rPr>
          <w:color w:val="262526"/>
          <w:sz w:val="14"/>
        </w:rPr>
        <w:t>NER.</w:t>
      </w:r>
    </w:p>
    <w:p>
      <w:pPr>
        <w:pStyle w:val="ListParagraph"/>
        <w:numPr>
          <w:ilvl w:val="0"/>
          <w:numId w:val="24"/>
        </w:numPr>
        <w:tabs>
          <w:tab w:pos="3076" w:val="left" w:leader="none"/>
          <w:tab w:pos="3077" w:val="left" w:leader="none"/>
        </w:tabs>
        <w:spacing w:line="240" w:lineRule="auto" w:before="55" w:after="0"/>
        <w:ind w:left="3076" w:right="0" w:hanging="385"/>
        <w:jc w:val="left"/>
        <w:rPr>
          <w:sz w:val="14"/>
        </w:rPr>
      </w:pPr>
      <w:r>
        <w:rPr>
          <w:color w:val="262526"/>
          <w:sz w:val="14"/>
        </w:rPr>
        <w:t>Stanwell, submission to the AEMC’s BSE review discussion </w:t>
      </w:r>
      <w:r>
        <w:rPr>
          <w:color w:val="262526"/>
          <w:spacing w:val="-4"/>
          <w:sz w:val="14"/>
        </w:rPr>
        <w:t>paper, </w:t>
      </w:r>
      <w:r>
        <w:rPr>
          <w:color w:val="262526"/>
          <w:sz w:val="14"/>
        </w:rPr>
        <w:t>p.</w:t>
      </w:r>
      <w:r>
        <w:rPr>
          <w:color w:val="262526"/>
          <w:spacing w:val="-5"/>
          <w:sz w:val="14"/>
        </w:rPr>
        <w:t> </w:t>
      </w:r>
      <w:r>
        <w:rPr>
          <w:color w:val="262526"/>
          <w:sz w:val="14"/>
        </w:rPr>
        <w:t>2.</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Submissions</w:t>
      </w:r>
      <w:r>
        <w:rPr>
          <w:color w:val="262526"/>
          <w:spacing w:val="-2"/>
          <w:sz w:val="14"/>
        </w:rPr>
        <w:t> </w:t>
      </w:r>
      <w:r>
        <w:rPr>
          <w:color w:val="262526"/>
          <w:sz w:val="14"/>
        </w:rPr>
        <w:t>to</w:t>
      </w:r>
      <w:r>
        <w:rPr>
          <w:color w:val="262526"/>
          <w:spacing w:val="-3"/>
          <w:sz w:val="14"/>
        </w:rPr>
        <w:t> </w:t>
      </w:r>
      <w:r>
        <w:rPr>
          <w:color w:val="262526"/>
          <w:sz w:val="14"/>
        </w:rPr>
        <w:t>the</w:t>
      </w:r>
      <w:r>
        <w:rPr>
          <w:color w:val="262526"/>
          <w:spacing w:val="-3"/>
          <w:sz w:val="14"/>
        </w:rPr>
        <w:t> </w:t>
      </w:r>
      <w:r>
        <w:rPr>
          <w:color w:val="262526"/>
          <w:sz w:val="14"/>
        </w:rPr>
        <w:t>AEMC’s</w:t>
      </w:r>
      <w:r>
        <w:rPr>
          <w:color w:val="262526"/>
          <w:spacing w:val="-3"/>
          <w:sz w:val="14"/>
        </w:rPr>
        <w:t> </w:t>
      </w:r>
      <w:r>
        <w:rPr>
          <w:color w:val="262526"/>
          <w:sz w:val="14"/>
        </w:rPr>
        <w:t>BSE</w:t>
      </w:r>
      <w:r>
        <w:rPr>
          <w:color w:val="262526"/>
          <w:spacing w:val="-3"/>
          <w:sz w:val="14"/>
        </w:rPr>
        <w:t> </w:t>
      </w:r>
      <w:r>
        <w:rPr>
          <w:color w:val="262526"/>
          <w:sz w:val="14"/>
        </w:rPr>
        <w:t>review</w:t>
      </w:r>
      <w:r>
        <w:rPr>
          <w:color w:val="262526"/>
          <w:spacing w:val="-3"/>
          <w:sz w:val="14"/>
        </w:rPr>
        <w:t> </w:t>
      </w:r>
      <w:r>
        <w:rPr>
          <w:color w:val="262526"/>
          <w:sz w:val="14"/>
        </w:rPr>
        <w:t>discussion</w:t>
      </w:r>
      <w:r>
        <w:rPr>
          <w:color w:val="262526"/>
          <w:spacing w:val="-2"/>
          <w:sz w:val="14"/>
        </w:rPr>
        <w:t> </w:t>
      </w:r>
      <w:r>
        <w:rPr>
          <w:color w:val="262526"/>
          <w:sz w:val="14"/>
        </w:rPr>
        <w:t>paper:</w:t>
      </w:r>
      <w:r>
        <w:rPr>
          <w:color w:val="262526"/>
          <w:spacing w:val="-2"/>
          <w:sz w:val="14"/>
        </w:rPr>
        <w:t> </w:t>
      </w:r>
      <w:r>
        <w:rPr>
          <w:color w:val="262526"/>
          <w:sz w:val="14"/>
        </w:rPr>
        <w:t>TasNetworks,</w:t>
      </w:r>
      <w:r>
        <w:rPr>
          <w:color w:val="262526"/>
          <w:spacing w:val="-2"/>
          <w:sz w:val="14"/>
        </w:rPr>
        <w:t> </w:t>
      </w:r>
      <w:r>
        <w:rPr>
          <w:color w:val="262526"/>
          <w:sz w:val="14"/>
        </w:rPr>
        <w:t>p.</w:t>
      </w:r>
      <w:r>
        <w:rPr>
          <w:color w:val="262526"/>
          <w:spacing w:val="-2"/>
          <w:sz w:val="14"/>
        </w:rPr>
        <w:t> </w:t>
      </w:r>
      <w:r>
        <w:rPr>
          <w:color w:val="262526"/>
          <w:sz w:val="14"/>
        </w:rPr>
        <w:t>6;</w:t>
      </w:r>
      <w:r>
        <w:rPr>
          <w:color w:val="262526"/>
          <w:spacing w:val="-2"/>
          <w:sz w:val="14"/>
        </w:rPr>
        <w:t> </w:t>
      </w:r>
      <w:r>
        <w:rPr>
          <w:color w:val="262526"/>
          <w:sz w:val="14"/>
        </w:rPr>
        <w:t>AEMO,</w:t>
      </w:r>
      <w:r>
        <w:rPr>
          <w:color w:val="262526"/>
          <w:spacing w:val="-2"/>
          <w:sz w:val="14"/>
        </w:rPr>
        <w:t> </w:t>
      </w:r>
      <w:r>
        <w:rPr>
          <w:color w:val="262526"/>
          <w:sz w:val="14"/>
        </w:rPr>
        <w:t>p.</w:t>
      </w:r>
      <w:r>
        <w:rPr>
          <w:color w:val="262526"/>
          <w:spacing w:val="-2"/>
          <w:sz w:val="14"/>
        </w:rPr>
        <w:t> </w:t>
      </w:r>
      <w:r>
        <w:rPr>
          <w:color w:val="262526"/>
          <w:sz w:val="14"/>
        </w:rPr>
        <w:t>15;</w:t>
      </w:r>
      <w:r>
        <w:rPr>
          <w:color w:val="262526"/>
          <w:spacing w:val="-2"/>
          <w:sz w:val="14"/>
        </w:rPr>
        <w:t> </w:t>
      </w:r>
      <w:r>
        <w:rPr>
          <w:color w:val="262526"/>
          <w:sz w:val="14"/>
        </w:rPr>
        <w:t>Ergon</w:t>
      </w:r>
      <w:r>
        <w:rPr>
          <w:color w:val="262526"/>
          <w:spacing w:val="-2"/>
          <w:sz w:val="14"/>
        </w:rPr>
        <w:t> </w:t>
      </w:r>
      <w:r>
        <w:rPr>
          <w:color w:val="262526"/>
          <w:sz w:val="14"/>
        </w:rPr>
        <w:t>Energy</w:t>
      </w:r>
      <w:r>
        <w:rPr>
          <w:color w:val="262526"/>
          <w:spacing w:val="-2"/>
          <w:sz w:val="14"/>
        </w:rPr>
        <w:t> </w:t>
      </w:r>
      <w:r>
        <w:rPr>
          <w:color w:val="262526"/>
          <w:sz w:val="14"/>
        </w:rPr>
        <w:t>and</w:t>
      </w:r>
      <w:r>
        <w:rPr>
          <w:color w:val="262526"/>
          <w:spacing w:val="-2"/>
          <w:sz w:val="14"/>
        </w:rPr>
        <w:t> </w:t>
      </w:r>
      <w:r>
        <w:rPr>
          <w:color w:val="262526"/>
          <w:sz w:val="14"/>
        </w:rPr>
        <w:t>Energex,</w:t>
      </w:r>
      <w:r>
        <w:rPr>
          <w:color w:val="262526"/>
          <w:spacing w:val="-2"/>
          <w:sz w:val="14"/>
        </w:rPr>
        <w:t> </w:t>
      </w:r>
      <w:r>
        <w:rPr>
          <w:color w:val="262526"/>
          <w:sz w:val="14"/>
        </w:rPr>
        <w:t>p.</w:t>
      </w:r>
      <w:r>
        <w:rPr>
          <w:color w:val="262526"/>
          <w:spacing w:val="-2"/>
          <w:sz w:val="14"/>
        </w:rPr>
        <w:t> </w:t>
      </w:r>
      <w:r>
        <w:rPr>
          <w:color w:val="262526"/>
          <w:spacing w:val="-6"/>
          <w:sz w:val="14"/>
        </w:rPr>
        <w:t>7.</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Ergon Energy and Energex, submission to the AEMC’s BSE review discussion </w:t>
      </w:r>
      <w:r>
        <w:rPr>
          <w:color w:val="262526"/>
          <w:spacing w:val="-4"/>
          <w:sz w:val="14"/>
        </w:rPr>
        <w:t>paper, </w:t>
      </w:r>
      <w:r>
        <w:rPr>
          <w:color w:val="262526"/>
          <w:sz w:val="14"/>
        </w:rPr>
        <w:t>p.</w:t>
      </w:r>
      <w:r>
        <w:rPr>
          <w:color w:val="262526"/>
          <w:spacing w:val="-9"/>
          <w:sz w:val="14"/>
        </w:rPr>
        <w:t> </w:t>
      </w:r>
      <w:r>
        <w:rPr>
          <w:color w:val="262526"/>
          <w:spacing w:val="-6"/>
          <w:sz w:val="14"/>
        </w:rPr>
        <w:t>7.</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AEMO, submission to the AEMC’s BSE review discussion </w:t>
      </w:r>
      <w:r>
        <w:rPr>
          <w:color w:val="262526"/>
          <w:spacing w:val="-4"/>
          <w:sz w:val="14"/>
        </w:rPr>
        <w:t>paper, </w:t>
      </w:r>
      <w:r>
        <w:rPr>
          <w:color w:val="262526"/>
          <w:sz w:val="14"/>
        </w:rPr>
        <w:t>p.</w:t>
      </w:r>
      <w:r>
        <w:rPr>
          <w:color w:val="262526"/>
          <w:spacing w:val="-5"/>
          <w:sz w:val="14"/>
        </w:rPr>
        <w:t> </w:t>
      </w:r>
      <w:r>
        <w:rPr>
          <w:color w:val="262526"/>
          <w:sz w:val="14"/>
        </w:rPr>
        <w:t>15.</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ight="238"/>
        <w:rPr>
          <w:sz w:val="12"/>
        </w:rPr>
      </w:pPr>
      <w:r>
        <w:rPr>
          <w:color w:val="262526"/>
        </w:rPr>
        <w:t>PIAC was concerned that the number of DNSPs may make the process complex and potentially unmanageable. PIAC recommended exploring alternative mechanisms that would not make the process cumbersome or unmanageable, while still gathering “insight and data on DER from DNSPs without requiring all DNSPs in the NEM to be involved”.</w:t>
      </w:r>
      <w:r>
        <w:rPr>
          <w:color w:val="262526"/>
          <w:position w:val="8"/>
          <w:sz w:val="12"/>
        </w:rPr>
        <w:t>64</w:t>
      </w:r>
    </w:p>
    <w:p>
      <w:pPr>
        <w:pStyle w:val="BodyText"/>
        <w:spacing w:before="8"/>
        <w:rPr>
          <w:sz w:val="23"/>
        </w:rPr>
      </w:pPr>
    </w:p>
    <w:p>
      <w:pPr>
        <w:pStyle w:val="ListParagraph"/>
        <w:numPr>
          <w:ilvl w:val="2"/>
          <w:numId w:val="26"/>
        </w:numPr>
        <w:tabs>
          <w:tab w:pos="2692" w:val="left" w:leader="none"/>
          <w:tab w:pos="2693" w:val="left" w:leader="none"/>
        </w:tabs>
        <w:spacing w:line="240" w:lineRule="auto" w:before="1" w:after="0"/>
        <w:ind w:left="2692" w:right="0" w:hanging="1560"/>
        <w:jc w:val="left"/>
        <w:rPr>
          <w:b/>
          <w:sz w:val="18"/>
        </w:rPr>
      </w:pPr>
      <w:r>
        <w:rPr>
          <w:b/>
          <w:color w:val="00ACEC"/>
          <w:sz w:val="18"/>
        </w:rPr>
        <w:t>Commission’s analysis and</w:t>
      </w:r>
      <w:r>
        <w:rPr>
          <w:b/>
          <w:color w:val="00ACEC"/>
          <w:spacing w:val="-1"/>
          <w:sz w:val="18"/>
        </w:rPr>
        <w:t> </w:t>
      </w:r>
      <w:r>
        <w:rPr>
          <w:b/>
          <w:color w:val="00ACEC"/>
          <w:sz w:val="18"/>
        </w:rPr>
        <w:t>determination</w:t>
      </w:r>
    </w:p>
    <w:p>
      <w:pPr>
        <w:pStyle w:val="BodyText"/>
        <w:spacing w:line="278" w:lineRule="auto" w:before="99"/>
        <w:ind w:left="2692" w:right="295"/>
      </w:pPr>
      <w:r>
        <w:rPr>
          <w:color w:val="262526"/>
        </w:rPr>
        <w:t>Through the PSFRR, AEMO can recommend the declaration of a protected event, if AEMO considers it economic to operate the power system in a way that limits the consequences of certain high impact non-credible contingency events. The Commission considers that the current process for identification, declaration and management of a protected event is transparent and systematic, but also prone to potentially unnecessary delays that may detract from AEMO’s ability to respond flexibly to power system security risks in a way that may be more optimal.</w:t>
      </w:r>
    </w:p>
    <w:p>
      <w:pPr>
        <w:pStyle w:val="BodyText"/>
        <w:spacing w:line="278" w:lineRule="auto" w:before="113"/>
        <w:ind w:left="2692" w:right="171"/>
      </w:pPr>
      <w:r>
        <w:rPr>
          <w:color w:val="262526"/>
        </w:rPr>
        <w:t>The Commission has identified potentially unnecessary delays existing in the current process. In particular, the Commission considers that processes could be sped up for AEMO to undertake the PSFRR process to identify a system need.</w:t>
      </w:r>
    </w:p>
    <w:p>
      <w:pPr>
        <w:pStyle w:val="Heading4"/>
        <w:spacing w:before="114"/>
      </w:pPr>
      <w:r>
        <w:rPr>
          <w:color w:val="262526"/>
        </w:rPr>
        <w:t>Frequency of the review</w:t>
      </w:r>
    </w:p>
    <w:p>
      <w:pPr>
        <w:pStyle w:val="BodyText"/>
        <w:spacing w:line="278" w:lineRule="auto" w:before="152"/>
        <w:ind w:left="2692" w:right="295"/>
      </w:pPr>
      <w:r>
        <w:rPr>
          <w:color w:val="262526"/>
        </w:rPr>
        <w:t>The requirement to conduct the PSFRR at least every two years was imposed as part of the 2017 EFCS rule change and, at that time, was considered appropriate because it mirrored AEMO’s practice of reviewing the existing under frequency load shedding schemes settings every two years.</w:t>
      </w:r>
    </w:p>
    <w:p>
      <w:pPr>
        <w:pStyle w:val="BodyText"/>
        <w:spacing w:line="278" w:lineRule="auto" w:before="113"/>
        <w:ind w:left="2692" w:right="171"/>
      </w:pPr>
      <w:r>
        <w:rPr>
          <w:color w:val="262526"/>
        </w:rPr>
        <w:t>Over a two-stage draft-final process, AEMO must hold full consultations with TNSPs to assess system risks and, in the event of recommending new or modifications to existing emergency frequency control schemes, full consultations with affected DNSPs also. Following the publication of a draft report, AEMO must invite written submissions from stakeholders on its report, only after which it can submit recommendations to the Reliability Panel for new or modified emergency frequency control schemes, or the declaration of a protected event.</w:t>
      </w:r>
    </w:p>
    <w:p>
      <w:pPr>
        <w:pStyle w:val="BodyText"/>
        <w:spacing w:line="278" w:lineRule="auto" w:before="113"/>
        <w:ind w:left="2692" w:right="136"/>
      </w:pPr>
      <w:r>
        <w:rPr>
          <w:color w:val="262526"/>
        </w:rPr>
        <w:t>This ex-ante process provides a transparent and systematic framework to identify anticipated power system security risks well in advance of their occurrence. </w:t>
      </w:r>
      <w:r>
        <w:rPr>
          <w:color w:val="262526"/>
          <w:spacing w:val="-5"/>
        </w:rPr>
        <w:t>However, </w:t>
      </w:r>
      <w:r>
        <w:rPr>
          <w:color w:val="262526"/>
        </w:rPr>
        <w:t>the process also makes delivery of the solutions to address these identified risks contingent on completion of  a lengthy review process. The Commission considers changes included in a GPSRR could help alleviate these concerns.</w:t>
      </w:r>
    </w:p>
    <w:p>
      <w:pPr>
        <w:pStyle w:val="BodyText"/>
        <w:spacing w:line="278" w:lineRule="auto" w:before="113"/>
        <w:ind w:left="2692" w:right="171"/>
        <w:rPr>
          <w:sz w:val="12"/>
        </w:rPr>
      </w:pPr>
      <w:r>
        <w:rPr>
          <w:color w:val="262526"/>
        </w:rPr>
        <w:t>After completion of its review process, AEMO can submit a request to the Reliability Panel for an event to be declared a protected event, if it considers it economically efficient to manage one or more non-credible contingency events using existing ex-ante measures.</w:t>
      </w:r>
      <w:r>
        <w:rPr>
          <w:color w:val="262526"/>
          <w:position w:val="8"/>
          <w:sz w:val="12"/>
        </w:rPr>
        <w:t>65</w:t>
      </w:r>
    </w:p>
    <w:p>
      <w:pPr>
        <w:pStyle w:val="BodyText"/>
        <w:spacing w:line="278" w:lineRule="auto" w:before="113"/>
        <w:ind w:left="2692" w:right="295"/>
      </w:pPr>
      <w:r>
        <w:rPr>
          <w:color w:val="262526"/>
        </w:rPr>
        <w:t>Although comprehensive, stakeholders have argued that the existing process is overly lengthy. Given the pace of change in the power system, and the speed at which new risks</w:t>
      </w:r>
    </w:p>
    <w:p>
      <w:pPr>
        <w:pStyle w:val="BodyText"/>
      </w:pPr>
    </w:p>
    <w:p>
      <w:pPr>
        <w:pStyle w:val="BodyText"/>
      </w:pPr>
    </w:p>
    <w:p>
      <w:pPr>
        <w:pStyle w:val="BodyText"/>
        <w:spacing w:before="2"/>
        <w:rPr>
          <w:sz w:val="12"/>
        </w:rPr>
      </w:pPr>
      <w:r>
        <w:rPr/>
        <w:pict>
          <v:shape style="position:absolute;margin-left:134.645996pt;margin-top:9.826515pt;width:49.65pt;height:.1pt;mso-position-horizontal-relative:page;mso-position-vertical-relative:paragraph;z-index:-15715840;mso-wrap-distance-left:0;mso-wrap-distance-right:0" coordorigin="2693,197" coordsize="993,0" path="m2693,197l3685,197e" filled="false" stroked="true" strokeweight="1pt" strokecolor="#262526">
            <v:path arrowok="t"/>
            <v:stroke dashstyle="solid"/>
            <w10:wrap type="topAndBottom"/>
          </v:shape>
        </w:pict>
      </w:r>
    </w:p>
    <w:p>
      <w:pPr>
        <w:pStyle w:val="ListParagraph"/>
        <w:numPr>
          <w:ilvl w:val="0"/>
          <w:numId w:val="24"/>
        </w:numPr>
        <w:tabs>
          <w:tab w:pos="3034" w:val="left" w:leader="none"/>
        </w:tabs>
        <w:spacing w:line="240" w:lineRule="auto" w:before="98" w:after="0"/>
        <w:ind w:left="3033" w:right="0" w:hanging="342"/>
        <w:jc w:val="left"/>
        <w:rPr>
          <w:sz w:val="14"/>
        </w:rPr>
      </w:pPr>
      <w:r>
        <w:rPr>
          <w:color w:val="262526"/>
          <w:sz w:val="14"/>
        </w:rPr>
        <w:t>PIAC, submission to the AEMC’s BSE review discussion </w:t>
      </w:r>
      <w:r>
        <w:rPr>
          <w:color w:val="262526"/>
          <w:spacing w:val="-4"/>
          <w:sz w:val="14"/>
        </w:rPr>
        <w:t>paper, </w:t>
      </w:r>
      <w:r>
        <w:rPr>
          <w:color w:val="262526"/>
          <w:sz w:val="14"/>
        </w:rPr>
        <w:t>p.</w:t>
      </w:r>
      <w:r>
        <w:rPr>
          <w:color w:val="262526"/>
          <w:spacing w:val="-6"/>
          <w:sz w:val="14"/>
        </w:rPr>
        <w:t> </w:t>
      </w:r>
      <w:r>
        <w:rPr>
          <w:color w:val="262526"/>
          <w:sz w:val="14"/>
        </w:rPr>
        <w:t>6.</w:t>
      </w:r>
    </w:p>
    <w:p>
      <w:pPr>
        <w:pStyle w:val="ListParagraph"/>
        <w:numPr>
          <w:ilvl w:val="0"/>
          <w:numId w:val="24"/>
        </w:numPr>
        <w:tabs>
          <w:tab w:pos="3034" w:val="left" w:leader="none"/>
        </w:tabs>
        <w:spacing w:line="240" w:lineRule="auto" w:before="55" w:after="0"/>
        <w:ind w:left="3033" w:right="0" w:hanging="342"/>
        <w:jc w:val="left"/>
        <w:rPr>
          <w:sz w:val="14"/>
        </w:rPr>
      </w:pPr>
      <w:r>
        <w:rPr>
          <w:color w:val="262526"/>
          <w:sz w:val="14"/>
        </w:rPr>
        <w:t>AEMC </w:t>
      </w:r>
      <w:r>
        <w:rPr>
          <w:color w:val="262526"/>
          <w:spacing w:val="-3"/>
          <w:sz w:val="14"/>
        </w:rPr>
        <w:t>2017, </w:t>
      </w:r>
      <w:r>
        <w:rPr>
          <w:color w:val="262526"/>
          <w:sz w:val="14"/>
        </w:rPr>
        <w:t>Emergency frequency control schemes, Rule Determination, 30 March </w:t>
      </w:r>
      <w:r>
        <w:rPr>
          <w:color w:val="262526"/>
          <w:spacing w:val="-3"/>
          <w:sz w:val="14"/>
        </w:rPr>
        <w:t>2017, </w:t>
      </w:r>
      <w:r>
        <w:rPr>
          <w:color w:val="262526"/>
          <w:sz w:val="14"/>
        </w:rPr>
        <w:t>p.</w:t>
      </w:r>
      <w:r>
        <w:rPr>
          <w:color w:val="262526"/>
          <w:spacing w:val="-6"/>
          <w:sz w:val="14"/>
        </w:rPr>
        <w:t> </w:t>
      </w:r>
      <w:r>
        <w:rPr>
          <w:color w:val="262526"/>
          <w:sz w:val="14"/>
        </w:rPr>
        <w:t>ii</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ight="295"/>
      </w:pPr>
      <w:r>
        <w:rPr>
          <w:color w:val="262526"/>
        </w:rPr>
        <w:t>can emerge, this may result in inefficient outcomes and create risks to the secure operation of the power system.</w:t>
      </w:r>
    </w:p>
    <w:p>
      <w:pPr>
        <w:pStyle w:val="BodyText"/>
        <w:spacing w:line="278" w:lineRule="auto" w:before="113"/>
        <w:ind w:left="2692" w:right="171"/>
      </w:pPr>
      <w:r>
        <w:rPr>
          <w:color w:val="262526"/>
        </w:rPr>
        <w:t>The Commission has therefore determined that an annual review cycle is required to identify emerging risks sufficiently quickly to allow for their effective management. While the Commission notes stakeholder concerns regarding the resource requirements involved in an annual GPSRR, the speed and scope of current, and expected, changes in the power system makes a biennial review not frequent enough. Further, as discussed above, AEMO will also have scope to prioritise and focus its resources on the consideration of those specific risks it considers material in the jurisdiction being considered.</w:t>
      </w:r>
    </w:p>
    <w:p>
      <w:pPr>
        <w:pStyle w:val="Heading4"/>
      </w:pPr>
      <w:r>
        <w:rPr>
          <w:color w:val="262526"/>
        </w:rPr>
        <w:t>Process for the review</w:t>
      </w:r>
    </w:p>
    <w:p>
      <w:pPr>
        <w:pStyle w:val="BodyText"/>
        <w:spacing w:line="278" w:lineRule="auto" w:before="152"/>
        <w:ind w:left="2692" w:right="295"/>
      </w:pPr>
      <w:r>
        <w:rPr>
          <w:color w:val="262526"/>
        </w:rPr>
        <w:t>To address stakeholder concerns regarding resource implications, the Commission has also introduced other measures in the draft rule to streamline the review process. The existing NER arrangements for the PSFRR require a two-stage process. This involves publication and consultation on a draft report prior to publication of a final report. To streamline the review, the Commission recommends removing the requirement to publish and consult on a draft report. Removing the draft report requirement should streamline and reduce the administrative complexity of the review process. The proposed streamlined review process would instead require publication of:</w:t>
      </w:r>
    </w:p>
    <w:p>
      <w:pPr>
        <w:pStyle w:val="ListParagraph"/>
        <w:numPr>
          <w:ilvl w:val="3"/>
          <w:numId w:val="26"/>
        </w:numPr>
        <w:tabs>
          <w:tab w:pos="3033" w:val="left" w:leader="none"/>
          <w:tab w:pos="3034" w:val="left" w:leader="none"/>
        </w:tabs>
        <w:spacing w:line="240" w:lineRule="auto" w:before="113" w:after="0"/>
        <w:ind w:left="3033" w:right="0" w:hanging="341"/>
        <w:jc w:val="left"/>
        <w:rPr>
          <w:sz w:val="20"/>
        </w:rPr>
      </w:pPr>
      <w:r>
        <w:rPr>
          <w:color w:val="262526"/>
          <w:sz w:val="20"/>
        </w:rPr>
        <w:t>an approach paper at the commencement of the review process,</w:t>
      </w:r>
      <w:r>
        <w:rPr>
          <w:color w:val="262526"/>
          <w:spacing w:val="7"/>
          <w:sz w:val="20"/>
        </w:rPr>
        <w:t> </w:t>
      </w:r>
      <w:r>
        <w:rPr>
          <w:color w:val="262526"/>
          <w:sz w:val="20"/>
        </w:rPr>
        <w:t>and</w:t>
      </w:r>
    </w:p>
    <w:p>
      <w:pPr>
        <w:pStyle w:val="ListParagraph"/>
        <w:numPr>
          <w:ilvl w:val="3"/>
          <w:numId w:val="26"/>
        </w:numPr>
        <w:tabs>
          <w:tab w:pos="3033" w:val="left" w:leader="none"/>
          <w:tab w:pos="3034" w:val="left" w:leader="none"/>
        </w:tabs>
        <w:spacing w:line="240" w:lineRule="auto" w:before="96" w:after="0"/>
        <w:ind w:left="3033" w:right="0" w:hanging="341"/>
        <w:jc w:val="left"/>
        <w:rPr>
          <w:sz w:val="20"/>
        </w:rPr>
      </w:pPr>
      <w:r>
        <w:rPr>
          <w:color w:val="262526"/>
          <w:sz w:val="20"/>
        </w:rPr>
        <w:t>a single final report at the review’s</w:t>
      </w:r>
      <w:r>
        <w:rPr>
          <w:color w:val="262526"/>
          <w:spacing w:val="-2"/>
          <w:sz w:val="20"/>
        </w:rPr>
        <w:t> </w:t>
      </w:r>
      <w:r>
        <w:rPr>
          <w:color w:val="262526"/>
          <w:sz w:val="20"/>
        </w:rPr>
        <w:t>conclusion.</w:t>
      </w:r>
    </w:p>
    <w:p>
      <w:pPr>
        <w:pStyle w:val="BodyText"/>
        <w:spacing w:line="278" w:lineRule="auto" w:before="95"/>
        <w:ind w:left="2692" w:right="171"/>
      </w:pPr>
      <w:r>
        <w:rPr>
          <w:color w:val="262526"/>
        </w:rPr>
        <w:t>An approach paper would enhance transparency for all stakeholders and improve the process of interacting with TNSPs and DNSPs in conducting the review. The approach paper would assist the efficiency of the review process by promoting a common understanding of the process amongst stakeholders. The approach paper would require AEMO to set</w:t>
      </w:r>
      <w:r>
        <w:rPr>
          <w:color w:val="262526"/>
          <w:spacing w:val="15"/>
        </w:rPr>
        <w:t> </w:t>
      </w:r>
      <w:r>
        <w:rPr>
          <w:color w:val="262526"/>
        </w:rPr>
        <w:t>out:</w:t>
      </w:r>
    </w:p>
    <w:p>
      <w:pPr>
        <w:pStyle w:val="ListParagraph"/>
        <w:numPr>
          <w:ilvl w:val="3"/>
          <w:numId w:val="26"/>
        </w:numPr>
        <w:tabs>
          <w:tab w:pos="3033" w:val="left" w:leader="none"/>
          <w:tab w:pos="3034" w:val="left" w:leader="none"/>
        </w:tabs>
        <w:spacing w:line="240" w:lineRule="auto" w:before="113" w:after="0"/>
        <w:ind w:left="3033" w:right="0" w:hanging="341"/>
        <w:jc w:val="left"/>
        <w:rPr>
          <w:sz w:val="20"/>
        </w:rPr>
      </w:pPr>
      <w:r>
        <w:rPr>
          <w:color w:val="262526"/>
          <w:sz w:val="20"/>
        </w:rPr>
        <w:t>the system security risks it proposes to prioritise in each region of the</w:t>
      </w:r>
      <w:r>
        <w:rPr>
          <w:color w:val="262526"/>
          <w:spacing w:val="9"/>
          <w:sz w:val="20"/>
        </w:rPr>
        <w:t> </w:t>
      </w:r>
      <w:r>
        <w:rPr>
          <w:color w:val="262526"/>
          <w:sz w:val="20"/>
        </w:rPr>
        <w:t>NEM</w:t>
      </w:r>
    </w:p>
    <w:p>
      <w:pPr>
        <w:pStyle w:val="ListParagraph"/>
        <w:numPr>
          <w:ilvl w:val="3"/>
          <w:numId w:val="26"/>
        </w:numPr>
        <w:tabs>
          <w:tab w:pos="3033" w:val="left" w:leader="none"/>
          <w:tab w:pos="3034" w:val="left" w:leader="none"/>
        </w:tabs>
        <w:spacing w:line="240" w:lineRule="auto" w:before="96" w:after="0"/>
        <w:ind w:left="3033" w:right="0" w:hanging="341"/>
        <w:jc w:val="left"/>
        <w:rPr>
          <w:sz w:val="20"/>
        </w:rPr>
      </w:pPr>
      <w:r>
        <w:rPr>
          <w:color w:val="262526"/>
          <w:sz w:val="20"/>
        </w:rPr>
        <w:t>the proposed methods for assessing the prioritised risks,</w:t>
      </w:r>
      <w:r>
        <w:rPr>
          <w:color w:val="262526"/>
          <w:spacing w:val="5"/>
          <w:sz w:val="20"/>
        </w:rPr>
        <w:t> </w:t>
      </w:r>
      <w:r>
        <w:rPr>
          <w:color w:val="262526"/>
          <w:sz w:val="20"/>
        </w:rPr>
        <w:t>and</w:t>
      </w:r>
    </w:p>
    <w:p>
      <w:pPr>
        <w:pStyle w:val="ListParagraph"/>
        <w:numPr>
          <w:ilvl w:val="3"/>
          <w:numId w:val="26"/>
        </w:numPr>
        <w:tabs>
          <w:tab w:pos="3033" w:val="left" w:leader="none"/>
          <w:tab w:pos="3034" w:val="left" w:leader="none"/>
        </w:tabs>
        <w:spacing w:line="240" w:lineRule="auto" w:before="95" w:after="0"/>
        <w:ind w:left="3033" w:right="0" w:hanging="341"/>
        <w:jc w:val="left"/>
        <w:rPr>
          <w:sz w:val="20"/>
        </w:rPr>
      </w:pPr>
      <w:r>
        <w:rPr>
          <w:color w:val="262526"/>
          <w:sz w:val="20"/>
        </w:rPr>
        <w:t>its approach to collaborating with TNSPs and DNSPs during the review</w:t>
      </w:r>
      <w:r>
        <w:rPr>
          <w:color w:val="262526"/>
          <w:spacing w:val="12"/>
          <w:sz w:val="20"/>
        </w:rPr>
        <w:t> </w:t>
      </w:r>
      <w:r>
        <w:rPr>
          <w:color w:val="262526"/>
          <w:sz w:val="20"/>
        </w:rPr>
        <w:t>process.</w:t>
      </w:r>
    </w:p>
    <w:p>
      <w:pPr>
        <w:pStyle w:val="BodyText"/>
        <w:spacing w:line="278" w:lineRule="auto" w:before="95"/>
        <w:ind w:left="2692" w:right="171"/>
      </w:pPr>
      <w:r>
        <w:rPr>
          <w:color w:val="262526"/>
        </w:rPr>
        <w:t>Following publication of the approach paper, stakeholders would have a minimum 10-day period to comment on AEMO’s priorities and methods. A 10-day consultation period is consistent with current arrangements for consultation on the draft PSFRR report. AEMO may extend the consultation period if it chooses.</w:t>
      </w:r>
    </w:p>
    <w:p>
      <w:pPr>
        <w:pStyle w:val="Heading4"/>
      </w:pPr>
      <w:r>
        <w:rPr>
          <w:color w:val="262526"/>
        </w:rPr>
        <w:t>Differences between the proposed rule and more preferable draft rule</w:t>
      </w:r>
    </w:p>
    <w:p>
      <w:pPr>
        <w:pStyle w:val="BodyText"/>
        <w:spacing w:before="152"/>
        <w:ind w:left="2692"/>
      </w:pPr>
      <w:r>
        <w:rPr>
          <w:color w:val="262526"/>
        </w:rPr>
        <w:t>The Commission is of the view that the consultation process should:</w:t>
      </w:r>
    </w:p>
    <w:p>
      <w:pPr>
        <w:pStyle w:val="ListParagraph"/>
        <w:numPr>
          <w:ilvl w:val="3"/>
          <w:numId w:val="26"/>
        </w:numPr>
        <w:tabs>
          <w:tab w:pos="3033" w:val="left" w:leader="none"/>
          <w:tab w:pos="3034" w:val="left" w:leader="none"/>
        </w:tabs>
        <w:spacing w:line="278" w:lineRule="auto" w:before="152" w:after="0"/>
        <w:ind w:left="3033" w:right="434" w:hanging="341"/>
        <w:jc w:val="left"/>
        <w:rPr>
          <w:sz w:val="20"/>
        </w:rPr>
      </w:pPr>
      <w:r>
        <w:rPr>
          <w:color w:val="262526"/>
          <w:sz w:val="20"/>
        </w:rPr>
        <w:t>allow stakeholders an adequate opportunity to have their views heard and considered, and</w:t>
      </w:r>
    </w:p>
    <w:p>
      <w:pPr>
        <w:pStyle w:val="ListParagraph"/>
        <w:numPr>
          <w:ilvl w:val="3"/>
          <w:numId w:val="26"/>
        </w:numPr>
        <w:tabs>
          <w:tab w:pos="3033" w:val="left" w:leader="none"/>
          <w:tab w:pos="3034" w:val="left" w:leader="none"/>
        </w:tabs>
        <w:spacing w:line="278" w:lineRule="auto" w:before="57" w:after="0"/>
        <w:ind w:left="3033" w:right="203" w:hanging="341"/>
        <w:jc w:val="left"/>
        <w:rPr>
          <w:sz w:val="20"/>
        </w:rPr>
      </w:pPr>
      <w:r>
        <w:rPr>
          <w:color w:val="262526"/>
          <w:sz w:val="20"/>
        </w:rPr>
        <w:t>not require market bodies or participants to waste time and resources on unnecessary or extended procedural steps.</w:t>
      </w:r>
    </w:p>
    <w:p>
      <w:pPr>
        <w:pStyle w:val="BodyText"/>
        <w:spacing w:line="278" w:lineRule="auto" w:before="57"/>
        <w:ind w:left="2692" w:right="295"/>
      </w:pPr>
      <w:r>
        <w:rPr>
          <w:color w:val="262526"/>
        </w:rPr>
        <w:t>The Commission has determined to make a number of changes to the proposed rule in relation to the consultation process AEMO must adhere to. The changes are to:</w:t>
      </w:r>
    </w:p>
    <w:p>
      <w:pPr>
        <w:spacing w:after="0" w:line="278" w:lineRule="auto"/>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ListParagraph"/>
        <w:numPr>
          <w:ilvl w:val="3"/>
          <w:numId w:val="26"/>
        </w:numPr>
        <w:tabs>
          <w:tab w:pos="3033" w:val="left" w:leader="none"/>
          <w:tab w:pos="3034" w:val="left" w:leader="none"/>
        </w:tabs>
        <w:spacing w:line="278" w:lineRule="auto" w:before="107" w:after="0"/>
        <w:ind w:left="3033" w:right="262" w:hanging="341"/>
        <w:jc w:val="left"/>
        <w:rPr>
          <w:sz w:val="20"/>
        </w:rPr>
      </w:pPr>
      <w:bookmarkStart w:name="3.3 Links to the existing planning proce" w:id="41"/>
      <w:bookmarkEnd w:id="41"/>
      <w:r>
        <w:rPr/>
      </w:r>
      <w:bookmarkStart w:name="_bookmark12" w:id="42"/>
      <w:bookmarkEnd w:id="42"/>
      <w:r>
        <w:rPr/>
      </w:r>
      <w:bookmarkStart w:name="_bookmark12" w:id="43"/>
      <w:bookmarkEnd w:id="43"/>
      <w:r>
        <w:rPr>
          <w:color w:val="262526"/>
          <w:sz w:val="20"/>
        </w:rPr>
        <w:t>requir</w:t>
      </w:r>
      <w:r>
        <w:rPr>
          <w:color w:val="262526"/>
          <w:sz w:val="20"/>
        </w:rPr>
        <w:t>e AEMO to consult with relevant NSPs in relation to a risk identified, not all NSPs – this change was made with a view to ensuring that the consultation process would not become cumbersome or unmanageable given the number of NSPs in the</w:t>
      </w:r>
      <w:r>
        <w:rPr>
          <w:color w:val="262526"/>
          <w:spacing w:val="19"/>
          <w:sz w:val="20"/>
        </w:rPr>
        <w:t> </w:t>
      </w:r>
      <w:r>
        <w:rPr>
          <w:color w:val="262526"/>
          <w:sz w:val="20"/>
        </w:rPr>
        <w:t>NEM</w:t>
      </w:r>
    </w:p>
    <w:p>
      <w:pPr>
        <w:pStyle w:val="ListParagraph"/>
        <w:numPr>
          <w:ilvl w:val="3"/>
          <w:numId w:val="26"/>
        </w:numPr>
        <w:tabs>
          <w:tab w:pos="3033" w:val="left" w:leader="none"/>
          <w:tab w:pos="3034" w:val="left" w:leader="none"/>
        </w:tabs>
        <w:spacing w:line="278" w:lineRule="auto" w:before="56" w:after="0"/>
        <w:ind w:left="3033" w:right="178" w:hanging="341"/>
        <w:jc w:val="left"/>
        <w:rPr>
          <w:sz w:val="20"/>
        </w:rPr>
      </w:pPr>
      <w:r>
        <w:rPr>
          <w:color w:val="262526"/>
          <w:sz w:val="20"/>
        </w:rPr>
        <w:t>remove the requirement to comment on AEMO’s priorities and methods only in a written form – the Commission considers that there should be flexibility for stakeholders to share their comments with AEMO via different methods, including meetings and</w:t>
      </w:r>
      <w:r>
        <w:rPr>
          <w:color w:val="262526"/>
          <w:spacing w:val="17"/>
          <w:sz w:val="20"/>
        </w:rPr>
        <w:t> </w:t>
      </w:r>
      <w:r>
        <w:rPr>
          <w:color w:val="262526"/>
          <w:sz w:val="20"/>
        </w:rPr>
        <w:t>others</w:t>
      </w:r>
    </w:p>
    <w:p>
      <w:pPr>
        <w:pStyle w:val="BodyText"/>
        <w:spacing w:before="7"/>
        <w:rPr>
          <w:sz w:val="9"/>
        </w:rPr>
      </w:pPr>
    </w:p>
    <w:p>
      <w:pPr>
        <w:pStyle w:val="Heading2"/>
        <w:numPr>
          <w:ilvl w:val="1"/>
          <w:numId w:val="20"/>
        </w:numPr>
        <w:tabs>
          <w:tab w:pos="2692" w:val="left" w:leader="none"/>
          <w:tab w:pos="2693" w:val="left" w:leader="none"/>
        </w:tabs>
        <w:spacing w:line="240" w:lineRule="auto" w:before="109" w:after="0"/>
        <w:ind w:left="2692" w:right="0" w:hanging="1560"/>
        <w:jc w:val="left"/>
      </w:pPr>
      <w:r>
        <w:rPr>
          <w:color w:val="00ACEC"/>
        </w:rPr>
        <w:t>Links to the existing planning</w:t>
      </w:r>
      <w:r>
        <w:rPr>
          <w:color w:val="00ACEC"/>
          <w:spacing w:val="-5"/>
        </w:rPr>
        <w:t> </w:t>
      </w:r>
      <w:r>
        <w:rPr>
          <w:color w:val="00ACEC"/>
        </w:rPr>
        <w:t>process</w:t>
      </w:r>
    </w:p>
    <w:p>
      <w:pPr>
        <w:pStyle w:val="BodyText"/>
        <w:spacing w:before="11"/>
      </w:pPr>
      <w:r>
        <w:rPr/>
        <w:pict>
          <v:shape style="position:absolute;margin-left:134.895996pt;margin-top:14.821265pt;width:416.5pt;height:193.95pt;mso-position-horizontal-relative:page;mso-position-vertical-relative:paragraph;z-index:-15715328;mso-wrap-distance-left:0;mso-wrap-distance-right:0" type="#_x0000_t202" filled="false" stroked="true" strokeweight=".5pt" strokecolor="#00acec">
            <v:textbox inset="0,0,0,0">
              <w:txbxContent>
                <w:p>
                  <w:pPr>
                    <w:spacing w:line="252" w:lineRule="auto" w:before="163"/>
                    <w:ind w:left="226" w:right="0" w:firstLine="0"/>
                    <w:jc w:val="left"/>
                    <w:rPr>
                      <w:sz w:val="22"/>
                    </w:rPr>
                  </w:pPr>
                  <w:r>
                    <w:rPr>
                      <w:color w:val="00ACEC"/>
                      <w:sz w:val="22"/>
                    </w:rPr>
                    <w:t>BOX 4: </w:t>
                  </w:r>
                  <w:r>
                    <w:rPr>
                      <w:color w:val="262526"/>
                      <w:sz w:val="22"/>
                    </w:rPr>
                    <w:t>DRAFT DETERMINATION ON THE LINKS TO THE EXISTING PLANNING PROCESSES</w:t>
                  </w:r>
                </w:p>
                <w:p>
                  <w:pPr>
                    <w:pStyle w:val="BodyText"/>
                    <w:spacing w:before="136"/>
                    <w:ind w:left="226"/>
                  </w:pPr>
                  <w:r>
                    <w:rPr>
                      <w:color w:val="464646"/>
                    </w:rPr>
                    <w:t>The Commission draft determination is for the draft rule to require:</w:t>
                  </w:r>
                </w:p>
                <w:p>
                  <w:pPr>
                    <w:pStyle w:val="BodyText"/>
                    <w:numPr>
                      <w:ilvl w:val="0"/>
                      <w:numId w:val="27"/>
                    </w:numPr>
                    <w:tabs>
                      <w:tab w:pos="355" w:val="left" w:leader="none"/>
                    </w:tabs>
                    <w:spacing w:line="278" w:lineRule="auto" w:before="152" w:after="0"/>
                    <w:ind w:left="226" w:right="595" w:firstLine="0"/>
                    <w:jc w:val="left"/>
                  </w:pPr>
                  <w:r>
                    <w:rPr>
                      <w:color w:val="464646"/>
                    </w:rPr>
                    <w:t>NSPs</w:t>
                  </w:r>
                  <w:r>
                    <w:rPr>
                      <w:color w:val="464646"/>
                      <w:spacing w:val="-32"/>
                    </w:rPr>
                    <w:t> </w:t>
                  </w:r>
                  <w:r>
                    <w:rPr>
                      <w:color w:val="464646"/>
                    </w:rPr>
                    <w:t>to</w:t>
                  </w:r>
                  <w:r>
                    <w:rPr>
                      <w:color w:val="464646"/>
                      <w:spacing w:val="-32"/>
                    </w:rPr>
                    <w:t> </w:t>
                  </w:r>
                  <w:r>
                    <w:rPr>
                      <w:color w:val="464646"/>
                    </w:rPr>
                    <w:t>take</w:t>
                  </w:r>
                  <w:r>
                    <w:rPr>
                      <w:color w:val="464646"/>
                      <w:spacing w:val="-32"/>
                    </w:rPr>
                    <w:t> </w:t>
                  </w:r>
                  <w:r>
                    <w:rPr>
                      <w:color w:val="464646"/>
                    </w:rPr>
                    <w:t>into</w:t>
                  </w:r>
                  <w:r>
                    <w:rPr>
                      <w:color w:val="464646"/>
                      <w:spacing w:val="-32"/>
                    </w:rPr>
                    <w:t> </w:t>
                  </w:r>
                  <w:r>
                    <w:rPr>
                      <w:color w:val="464646"/>
                    </w:rPr>
                    <w:t>account</w:t>
                  </w:r>
                  <w:r>
                    <w:rPr>
                      <w:color w:val="464646"/>
                      <w:spacing w:val="-32"/>
                    </w:rPr>
                    <w:t> </w:t>
                  </w:r>
                  <w:r>
                    <w:rPr>
                      <w:color w:val="464646"/>
                    </w:rPr>
                    <w:t>the</w:t>
                  </w:r>
                  <w:r>
                    <w:rPr>
                      <w:color w:val="464646"/>
                      <w:spacing w:val="-32"/>
                    </w:rPr>
                    <w:t> </w:t>
                  </w:r>
                  <w:r>
                    <w:rPr>
                      <w:color w:val="464646"/>
                    </w:rPr>
                    <w:t>outcomes</w:t>
                  </w:r>
                  <w:r>
                    <w:rPr>
                      <w:color w:val="464646"/>
                      <w:spacing w:val="-32"/>
                    </w:rPr>
                    <w:t> </w:t>
                  </w:r>
                  <w:r>
                    <w:rPr>
                      <w:color w:val="464646"/>
                    </w:rPr>
                    <w:t>from</w:t>
                  </w:r>
                  <w:r>
                    <w:rPr>
                      <w:color w:val="464646"/>
                      <w:spacing w:val="-32"/>
                    </w:rPr>
                    <w:t> </w:t>
                  </w:r>
                  <w:r>
                    <w:rPr>
                      <w:color w:val="464646"/>
                    </w:rPr>
                    <w:t>the</w:t>
                  </w:r>
                  <w:r>
                    <w:rPr>
                      <w:color w:val="464646"/>
                      <w:spacing w:val="-32"/>
                    </w:rPr>
                    <w:t> </w:t>
                  </w:r>
                  <w:r>
                    <w:rPr>
                      <w:color w:val="464646"/>
                    </w:rPr>
                    <w:t>recent</w:t>
                  </w:r>
                  <w:r>
                    <w:rPr>
                      <w:color w:val="464646"/>
                      <w:spacing w:val="-32"/>
                    </w:rPr>
                    <w:t> </w:t>
                  </w:r>
                  <w:r>
                    <w:rPr>
                      <w:color w:val="464646"/>
                    </w:rPr>
                    <w:t>GPSRR</w:t>
                  </w:r>
                  <w:r>
                    <w:rPr>
                      <w:color w:val="464646"/>
                      <w:spacing w:val="-32"/>
                    </w:rPr>
                    <w:t> </w:t>
                  </w:r>
                  <w:r>
                    <w:rPr>
                      <w:color w:val="464646"/>
                    </w:rPr>
                    <w:t>in</w:t>
                  </w:r>
                  <w:r>
                    <w:rPr>
                      <w:color w:val="464646"/>
                      <w:spacing w:val="-31"/>
                    </w:rPr>
                    <w:t> </w:t>
                  </w:r>
                  <w:r>
                    <w:rPr>
                      <w:color w:val="464646"/>
                    </w:rPr>
                    <w:t>their</w:t>
                  </w:r>
                  <w:r>
                    <w:rPr>
                      <w:color w:val="464646"/>
                      <w:spacing w:val="-32"/>
                    </w:rPr>
                    <w:t> </w:t>
                  </w:r>
                  <w:r>
                    <w:rPr>
                      <w:color w:val="464646"/>
                    </w:rPr>
                    <w:t>Annual</w:t>
                  </w:r>
                  <w:r>
                    <w:rPr>
                      <w:color w:val="464646"/>
                      <w:spacing w:val="-32"/>
                    </w:rPr>
                    <w:t> </w:t>
                  </w:r>
                  <w:r>
                    <w:rPr>
                      <w:color w:val="464646"/>
                    </w:rPr>
                    <w:t>Planning Reviews</w:t>
                  </w:r>
                </w:p>
                <w:p>
                  <w:pPr>
                    <w:pStyle w:val="BodyText"/>
                    <w:numPr>
                      <w:ilvl w:val="0"/>
                      <w:numId w:val="27"/>
                    </w:numPr>
                    <w:tabs>
                      <w:tab w:pos="355" w:val="left" w:leader="none"/>
                    </w:tabs>
                    <w:spacing w:line="278" w:lineRule="auto" w:before="113" w:after="0"/>
                    <w:ind w:left="226" w:right="281" w:firstLine="0"/>
                    <w:jc w:val="left"/>
                  </w:pPr>
                  <w:r>
                    <w:rPr>
                      <w:color w:val="464646"/>
                    </w:rPr>
                    <w:t>NSPs to </w:t>
                  </w:r>
                  <w:r>
                    <w:rPr>
                      <w:color w:val="464646"/>
                      <w:spacing w:val="-4"/>
                    </w:rPr>
                    <w:t>consider, </w:t>
                  </w:r>
                  <w:r>
                    <w:rPr>
                      <w:color w:val="464646"/>
                    </w:rPr>
                    <w:t>in their annual planning reviews, whether any emergency frequency control</w:t>
                  </w:r>
                  <w:r>
                    <w:rPr>
                      <w:color w:val="464646"/>
                      <w:spacing w:val="-39"/>
                    </w:rPr>
                    <w:t> </w:t>
                  </w:r>
                  <w:r>
                    <w:rPr>
                      <w:color w:val="464646"/>
                    </w:rPr>
                    <w:t>schemes</w:t>
                  </w:r>
                  <w:r>
                    <w:rPr>
                      <w:color w:val="464646"/>
                      <w:spacing w:val="-38"/>
                    </w:rPr>
                    <w:t> </w:t>
                  </w:r>
                  <w:r>
                    <w:rPr>
                      <w:color w:val="464646"/>
                    </w:rPr>
                    <w:t>or</w:t>
                  </w:r>
                  <w:r>
                    <w:rPr>
                      <w:color w:val="464646"/>
                      <w:spacing w:val="-38"/>
                    </w:rPr>
                    <w:t> </w:t>
                  </w:r>
                  <w:r>
                    <w:rPr>
                      <w:color w:val="464646"/>
                    </w:rPr>
                    <w:t>emergency</w:t>
                  </w:r>
                  <w:r>
                    <w:rPr>
                      <w:color w:val="464646"/>
                      <w:spacing w:val="-39"/>
                    </w:rPr>
                    <w:t> </w:t>
                  </w:r>
                  <w:r>
                    <w:rPr>
                      <w:color w:val="464646"/>
                    </w:rPr>
                    <w:t>controls</w:t>
                  </w:r>
                  <w:r>
                    <w:rPr>
                      <w:color w:val="464646"/>
                      <w:spacing w:val="-38"/>
                    </w:rPr>
                    <w:t> </w:t>
                  </w:r>
                  <w:r>
                    <w:rPr>
                      <w:color w:val="464646"/>
                    </w:rPr>
                    <w:t>and</w:t>
                  </w:r>
                  <w:r>
                    <w:rPr>
                      <w:color w:val="464646"/>
                      <w:spacing w:val="-38"/>
                    </w:rPr>
                    <w:t> </w:t>
                  </w:r>
                  <w:r>
                    <w:rPr>
                      <w:color w:val="464646"/>
                    </w:rPr>
                    <w:t>settings</w:t>
                  </w:r>
                  <w:r>
                    <w:rPr>
                      <w:color w:val="464646"/>
                      <w:spacing w:val="-38"/>
                    </w:rPr>
                    <w:t> </w:t>
                  </w:r>
                  <w:r>
                    <w:rPr>
                      <w:color w:val="464646"/>
                    </w:rPr>
                    <w:t>of</w:t>
                  </w:r>
                  <w:r>
                    <w:rPr>
                      <w:color w:val="464646"/>
                      <w:spacing w:val="-39"/>
                    </w:rPr>
                    <w:t> </w:t>
                  </w:r>
                  <w:r>
                    <w:rPr>
                      <w:color w:val="464646"/>
                    </w:rPr>
                    <w:t>protection</w:t>
                  </w:r>
                  <w:r>
                    <w:rPr>
                      <w:color w:val="464646"/>
                      <w:spacing w:val="-38"/>
                    </w:rPr>
                    <w:t> </w:t>
                  </w:r>
                  <w:r>
                    <w:rPr>
                      <w:color w:val="464646"/>
                    </w:rPr>
                    <w:t>systems</w:t>
                  </w:r>
                  <w:r>
                    <w:rPr>
                      <w:color w:val="464646"/>
                      <w:spacing w:val="-38"/>
                    </w:rPr>
                    <w:t> </w:t>
                  </w:r>
                  <w:r>
                    <w:rPr>
                      <w:color w:val="464646"/>
                    </w:rPr>
                    <w:t>or</w:t>
                  </w:r>
                  <w:r>
                    <w:rPr>
                      <w:color w:val="464646"/>
                      <w:spacing w:val="-39"/>
                    </w:rPr>
                    <w:t> </w:t>
                  </w:r>
                  <w:r>
                    <w:rPr>
                      <w:color w:val="464646"/>
                    </w:rPr>
                    <w:t>control</w:t>
                  </w:r>
                  <w:r>
                    <w:rPr>
                      <w:color w:val="464646"/>
                      <w:spacing w:val="-38"/>
                    </w:rPr>
                    <w:t> </w:t>
                  </w:r>
                  <w:r>
                    <w:rPr>
                      <w:color w:val="464646"/>
                    </w:rPr>
                    <w:t>systems of</w:t>
                  </w:r>
                  <w:r>
                    <w:rPr>
                      <w:color w:val="464646"/>
                      <w:spacing w:val="-30"/>
                    </w:rPr>
                    <w:t> </w:t>
                  </w:r>
                  <w:r>
                    <w:rPr>
                      <w:color w:val="464646"/>
                    </w:rPr>
                    <w:t>plant</w:t>
                  </w:r>
                  <w:r>
                    <w:rPr>
                      <w:color w:val="464646"/>
                      <w:spacing w:val="-30"/>
                    </w:rPr>
                    <w:t> </w:t>
                  </w:r>
                  <w:r>
                    <w:rPr>
                      <w:color w:val="464646"/>
                    </w:rPr>
                    <w:t>connected</w:t>
                  </w:r>
                  <w:r>
                    <w:rPr>
                      <w:color w:val="464646"/>
                      <w:spacing w:val="-29"/>
                    </w:rPr>
                    <w:t> </w:t>
                  </w:r>
                  <w:r>
                    <w:rPr>
                      <w:color w:val="464646"/>
                    </w:rPr>
                    <w:t>to</w:t>
                  </w:r>
                  <w:r>
                    <w:rPr>
                      <w:color w:val="464646"/>
                      <w:spacing w:val="-30"/>
                    </w:rPr>
                    <w:t> </w:t>
                  </w:r>
                  <w:r>
                    <w:rPr>
                      <w:color w:val="464646"/>
                    </w:rPr>
                    <w:t>its</w:t>
                  </w:r>
                  <w:r>
                    <w:rPr>
                      <w:color w:val="464646"/>
                      <w:spacing w:val="-29"/>
                    </w:rPr>
                    <w:t> </w:t>
                  </w:r>
                  <w:r>
                    <w:rPr>
                      <w:color w:val="464646"/>
                    </w:rPr>
                    <w:t>network</w:t>
                  </w:r>
                  <w:r>
                    <w:rPr>
                      <w:color w:val="464646"/>
                      <w:spacing w:val="-30"/>
                    </w:rPr>
                    <w:t> </w:t>
                  </w:r>
                  <w:r>
                    <w:rPr>
                      <w:color w:val="464646"/>
                    </w:rPr>
                    <w:t>are</w:t>
                  </w:r>
                  <w:r>
                    <w:rPr>
                      <w:color w:val="464646"/>
                      <w:spacing w:val="-30"/>
                    </w:rPr>
                    <w:t> </w:t>
                  </w:r>
                  <w:r>
                    <w:rPr>
                      <w:color w:val="464646"/>
                    </w:rPr>
                    <w:t>fit</w:t>
                  </w:r>
                  <w:r>
                    <w:rPr>
                      <w:color w:val="464646"/>
                      <w:spacing w:val="-29"/>
                    </w:rPr>
                    <w:t> </w:t>
                  </w:r>
                  <w:r>
                    <w:rPr>
                      <w:color w:val="464646"/>
                    </w:rPr>
                    <w:t>for</w:t>
                  </w:r>
                  <w:r>
                    <w:rPr>
                      <w:color w:val="464646"/>
                      <w:spacing w:val="-30"/>
                    </w:rPr>
                    <w:t> </w:t>
                  </w:r>
                  <w:r>
                    <w:rPr>
                      <w:color w:val="464646"/>
                    </w:rPr>
                    <w:t>purpose</w:t>
                  </w:r>
                  <w:r>
                    <w:rPr>
                      <w:color w:val="464646"/>
                      <w:spacing w:val="-29"/>
                    </w:rPr>
                    <w:t> </w:t>
                  </w:r>
                  <w:r>
                    <w:rPr>
                      <w:color w:val="464646"/>
                    </w:rPr>
                    <w:t>for</w:t>
                  </w:r>
                  <w:r>
                    <w:rPr>
                      <w:color w:val="464646"/>
                      <w:spacing w:val="-30"/>
                    </w:rPr>
                    <w:t> </w:t>
                  </w:r>
                  <w:r>
                    <w:rPr>
                      <w:color w:val="464646"/>
                    </w:rPr>
                    <w:t>the</w:t>
                  </w:r>
                  <w:r>
                    <w:rPr>
                      <w:color w:val="464646"/>
                      <w:spacing w:val="-29"/>
                    </w:rPr>
                    <w:t> </w:t>
                  </w:r>
                  <w:r>
                    <w:rPr>
                      <w:color w:val="464646"/>
                    </w:rPr>
                    <w:t>future</w:t>
                  </w:r>
                  <w:r>
                    <w:rPr>
                      <w:color w:val="464646"/>
                      <w:spacing w:val="-30"/>
                    </w:rPr>
                    <w:t> </w:t>
                  </w:r>
                  <w:r>
                    <w:rPr>
                      <w:color w:val="464646"/>
                    </w:rPr>
                    <w:t>operation</w:t>
                  </w:r>
                  <w:r>
                    <w:rPr>
                      <w:color w:val="464646"/>
                      <w:spacing w:val="-30"/>
                    </w:rPr>
                    <w:t> </w:t>
                  </w:r>
                  <w:r>
                    <w:rPr>
                      <w:color w:val="464646"/>
                    </w:rPr>
                    <w:t>of</w:t>
                  </w:r>
                  <w:r>
                    <w:rPr>
                      <w:color w:val="464646"/>
                      <w:spacing w:val="-29"/>
                    </w:rPr>
                    <w:t> </w:t>
                  </w:r>
                  <w:r>
                    <w:rPr>
                      <w:color w:val="464646"/>
                    </w:rPr>
                    <w:t>their</w:t>
                  </w:r>
                  <w:r>
                    <w:rPr>
                      <w:color w:val="464646"/>
                      <w:spacing w:val="-30"/>
                    </w:rPr>
                    <w:t> </w:t>
                  </w:r>
                  <w:r>
                    <w:rPr>
                      <w:color w:val="464646"/>
                    </w:rPr>
                    <w:t>network; and whether there is a risk of any adverse interactions of those schemes, controls and settings</w:t>
                  </w:r>
                </w:p>
                <w:p>
                  <w:pPr>
                    <w:pStyle w:val="BodyText"/>
                    <w:numPr>
                      <w:ilvl w:val="0"/>
                      <w:numId w:val="27"/>
                    </w:numPr>
                    <w:tabs>
                      <w:tab w:pos="355" w:val="left" w:leader="none"/>
                    </w:tabs>
                    <w:spacing w:line="240" w:lineRule="auto" w:before="114" w:after="0"/>
                    <w:ind w:left="354" w:right="0" w:hanging="129"/>
                    <w:jc w:val="left"/>
                  </w:pPr>
                  <w:r>
                    <w:rPr>
                      <w:color w:val="464646"/>
                    </w:rPr>
                    <w:t>AEMO</w:t>
                  </w:r>
                  <w:r>
                    <w:rPr>
                      <w:color w:val="464646"/>
                      <w:spacing w:val="-20"/>
                    </w:rPr>
                    <w:t> </w:t>
                  </w:r>
                  <w:r>
                    <w:rPr>
                      <w:color w:val="464646"/>
                    </w:rPr>
                    <w:t>to</w:t>
                  </w:r>
                  <w:r>
                    <w:rPr>
                      <w:color w:val="464646"/>
                      <w:spacing w:val="-20"/>
                    </w:rPr>
                    <w:t> </w:t>
                  </w:r>
                  <w:r>
                    <w:rPr>
                      <w:color w:val="464646"/>
                    </w:rPr>
                    <w:t>consider</w:t>
                  </w:r>
                  <w:r>
                    <w:rPr>
                      <w:color w:val="464646"/>
                      <w:spacing w:val="-19"/>
                    </w:rPr>
                    <w:t> </w:t>
                  </w:r>
                  <w:r>
                    <w:rPr>
                      <w:color w:val="464646"/>
                    </w:rPr>
                    <w:t>and</w:t>
                  </w:r>
                  <w:r>
                    <w:rPr>
                      <w:color w:val="464646"/>
                      <w:spacing w:val="-20"/>
                    </w:rPr>
                    <w:t> </w:t>
                  </w:r>
                  <w:r>
                    <w:rPr>
                      <w:color w:val="464646"/>
                    </w:rPr>
                    <w:t>have</w:t>
                  </w:r>
                  <w:r>
                    <w:rPr>
                      <w:color w:val="464646"/>
                      <w:spacing w:val="-20"/>
                    </w:rPr>
                    <w:t> </w:t>
                  </w:r>
                  <w:r>
                    <w:rPr>
                      <w:color w:val="464646"/>
                    </w:rPr>
                    <w:t>regard</w:t>
                  </w:r>
                  <w:r>
                    <w:rPr>
                      <w:color w:val="464646"/>
                      <w:spacing w:val="-19"/>
                    </w:rPr>
                    <w:t> </w:t>
                  </w:r>
                  <w:r>
                    <w:rPr>
                      <w:color w:val="464646"/>
                    </w:rPr>
                    <w:t>to</w:t>
                  </w:r>
                  <w:r>
                    <w:rPr>
                      <w:color w:val="464646"/>
                      <w:spacing w:val="-20"/>
                    </w:rPr>
                    <w:t> </w:t>
                  </w:r>
                  <w:r>
                    <w:rPr>
                      <w:color w:val="464646"/>
                    </w:rPr>
                    <w:t>the</w:t>
                  </w:r>
                  <w:r>
                    <w:rPr>
                      <w:color w:val="464646"/>
                      <w:spacing w:val="-20"/>
                    </w:rPr>
                    <w:t> </w:t>
                  </w:r>
                  <w:r>
                    <w:rPr>
                      <w:color w:val="464646"/>
                    </w:rPr>
                    <w:t>outcomes</w:t>
                  </w:r>
                  <w:r>
                    <w:rPr>
                      <w:color w:val="464646"/>
                      <w:spacing w:val="-19"/>
                    </w:rPr>
                    <w:t> </w:t>
                  </w:r>
                  <w:r>
                    <w:rPr>
                      <w:color w:val="464646"/>
                    </w:rPr>
                    <w:t>of</w:t>
                  </w:r>
                  <w:r>
                    <w:rPr>
                      <w:color w:val="464646"/>
                      <w:spacing w:val="-20"/>
                    </w:rPr>
                    <w:t> </w:t>
                  </w:r>
                  <w:r>
                    <w:rPr>
                      <w:color w:val="464646"/>
                    </w:rPr>
                    <w:t>the</w:t>
                  </w:r>
                  <w:r>
                    <w:rPr>
                      <w:color w:val="464646"/>
                      <w:spacing w:val="-20"/>
                    </w:rPr>
                    <w:t> </w:t>
                  </w:r>
                  <w:r>
                    <w:rPr>
                      <w:color w:val="464646"/>
                    </w:rPr>
                    <w:t>GPSRR</w:t>
                  </w:r>
                  <w:r>
                    <w:rPr>
                      <w:color w:val="464646"/>
                      <w:spacing w:val="-19"/>
                    </w:rPr>
                    <w:t> </w:t>
                  </w:r>
                  <w:r>
                    <w:rPr>
                      <w:color w:val="464646"/>
                    </w:rPr>
                    <w:t>in</w:t>
                  </w:r>
                  <w:r>
                    <w:rPr>
                      <w:color w:val="464646"/>
                      <w:spacing w:val="-20"/>
                    </w:rPr>
                    <w:t> </w:t>
                  </w:r>
                  <w:r>
                    <w:rPr>
                      <w:color w:val="464646"/>
                    </w:rPr>
                    <w:t>conducting</w:t>
                  </w:r>
                  <w:r>
                    <w:rPr>
                      <w:color w:val="464646"/>
                      <w:spacing w:val="-19"/>
                    </w:rPr>
                    <w:t> </w:t>
                  </w:r>
                  <w:r>
                    <w:rPr>
                      <w:color w:val="464646"/>
                    </w:rPr>
                    <w:t>the</w:t>
                  </w:r>
                  <w:r>
                    <w:rPr>
                      <w:color w:val="464646"/>
                      <w:spacing w:val="-20"/>
                    </w:rPr>
                    <w:t> </w:t>
                  </w:r>
                  <w:r>
                    <w:rPr>
                      <w:color w:val="464646"/>
                      <w:spacing w:val="-8"/>
                    </w:rPr>
                    <w:t>ISP.</w:t>
                  </w:r>
                </w:p>
              </w:txbxContent>
            </v:textbox>
            <v:stroke dashstyle="solid"/>
            <w10:wrap type="topAndBottom"/>
          </v:shape>
        </w:pict>
      </w:r>
    </w:p>
    <w:p>
      <w:pPr>
        <w:pStyle w:val="BodyText"/>
        <w:spacing w:before="6"/>
        <w:rPr>
          <w:sz w:val="39"/>
        </w:rPr>
      </w:pPr>
    </w:p>
    <w:p>
      <w:pPr>
        <w:pStyle w:val="ListParagraph"/>
        <w:numPr>
          <w:ilvl w:val="2"/>
          <w:numId w:val="28"/>
        </w:numPr>
        <w:tabs>
          <w:tab w:pos="2692" w:val="left" w:leader="none"/>
          <w:tab w:pos="2693" w:val="left" w:leader="none"/>
        </w:tabs>
        <w:spacing w:line="240" w:lineRule="auto" w:before="0" w:after="0"/>
        <w:ind w:left="2692" w:right="0" w:hanging="1560"/>
        <w:jc w:val="left"/>
        <w:rPr>
          <w:b/>
          <w:sz w:val="18"/>
        </w:rPr>
      </w:pPr>
      <w:r>
        <w:rPr>
          <w:b/>
          <w:color w:val="00ACEC"/>
          <w:sz w:val="18"/>
        </w:rPr>
        <w:t>Issue</w:t>
      </w:r>
      <w:r>
        <w:rPr>
          <w:b/>
          <w:color w:val="00ACEC"/>
          <w:spacing w:val="-2"/>
          <w:sz w:val="18"/>
        </w:rPr>
        <w:t> </w:t>
      </w:r>
      <w:r>
        <w:rPr>
          <w:b/>
          <w:color w:val="00ACEC"/>
          <w:sz w:val="18"/>
        </w:rPr>
        <w:t>raised</w:t>
      </w:r>
    </w:p>
    <w:p>
      <w:pPr>
        <w:pStyle w:val="BodyText"/>
        <w:spacing w:line="278" w:lineRule="auto" w:before="100"/>
        <w:ind w:left="2692" w:right="171"/>
        <w:rPr>
          <w:sz w:val="12"/>
        </w:rPr>
      </w:pPr>
      <w:r>
        <w:rPr>
          <w:color w:val="262526"/>
        </w:rPr>
        <w:t>In its rule change request, the COAG Energy Council considers that the existing PSFRR is not sufficiently integrated into the broader planning arrangements undertaken by AEMO and NSPs.</w:t>
      </w:r>
      <w:r>
        <w:rPr>
          <w:color w:val="262526"/>
          <w:position w:val="8"/>
          <w:sz w:val="12"/>
        </w:rPr>
        <w:t>66 </w:t>
      </w:r>
      <w:r>
        <w:rPr>
          <w:color w:val="262526"/>
        </w:rPr>
        <w:t>Therefore, the Council proposes to:</w:t>
      </w:r>
      <w:r>
        <w:rPr>
          <w:color w:val="262526"/>
          <w:position w:val="8"/>
          <w:sz w:val="12"/>
        </w:rPr>
        <w:t>67</w:t>
      </w:r>
    </w:p>
    <w:p>
      <w:pPr>
        <w:pStyle w:val="ListParagraph"/>
        <w:numPr>
          <w:ilvl w:val="3"/>
          <w:numId w:val="28"/>
        </w:numPr>
        <w:tabs>
          <w:tab w:pos="3033" w:val="left" w:leader="none"/>
          <w:tab w:pos="3034" w:val="left" w:leader="none"/>
        </w:tabs>
        <w:spacing w:line="278" w:lineRule="auto" w:before="113" w:after="0"/>
        <w:ind w:left="3033" w:right="410" w:hanging="341"/>
        <w:jc w:val="left"/>
        <w:rPr>
          <w:sz w:val="20"/>
        </w:rPr>
      </w:pPr>
      <w:r>
        <w:rPr>
          <w:color w:val="262526"/>
          <w:sz w:val="20"/>
        </w:rPr>
        <w:t>require NSPs to take into account the outcomes from the recent GPSRR in their annual planning reviews</w:t>
      </w:r>
    </w:p>
    <w:p>
      <w:pPr>
        <w:pStyle w:val="ListParagraph"/>
        <w:numPr>
          <w:ilvl w:val="3"/>
          <w:numId w:val="28"/>
        </w:numPr>
        <w:tabs>
          <w:tab w:pos="3033" w:val="left" w:leader="none"/>
          <w:tab w:pos="3034" w:val="left" w:leader="none"/>
        </w:tabs>
        <w:spacing w:line="278" w:lineRule="auto" w:before="57" w:after="0"/>
        <w:ind w:left="3033" w:right="313" w:hanging="341"/>
        <w:jc w:val="left"/>
        <w:rPr>
          <w:sz w:val="20"/>
        </w:rPr>
      </w:pPr>
      <w:r>
        <w:rPr>
          <w:color w:val="262526"/>
          <w:sz w:val="20"/>
        </w:rPr>
        <w:t>require AEMO to consider and have regard to the outcomes of the GPSRR in conducting the ISP</w:t>
      </w:r>
    </w:p>
    <w:p>
      <w:pPr>
        <w:pStyle w:val="ListParagraph"/>
        <w:numPr>
          <w:ilvl w:val="3"/>
          <w:numId w:val="28"/>
        </w:numPr>
        <w:tabs>
          <w:tab w:pos="3033" w:val="left" w:leader="none"/>
          <w:tab w:pos="3034" w:val="left" w:leader="none"/>
        </w:tabs>
        <w:spacing w:line="278" w:lineRule="auto" w:before="56" w:after="0"/>
        <w:ind w:left="3033" w:right="135" w:hanging="341"/>
        <w:jc w:val="left"/>
        <w:rPr>
          <w:sz w:val="20"/>
        </w:rPr>
      </w:pPr>
      <w:r>
        <w:rPr>
          <w:color w:val="262526"/>
          <w:sz w:val="20"/>
        </w:rPr>
        <w:t>require NSPs to </w:t>
      </w:r>
      <w:r>
        <w:rPr>
          <w:color w:val="262526"/>
          <w:spacing w:val="-4"/>
          <w:sz w:val="20"/>
        </w:rPr>
        <w:t>consider, </w:t>
      </w:r>
      <w:r>
        <w:rPr>
          <w:color w:val="262526"/>
          <w:sz w:val="20"/>
        </w:rPr>
        <w:t>in their annual planning reviews, whether any special protection schemes and settings of protection systems or control systems of plant connected to its network are fit for purpose for the future operation of its network; and whether there is a risk of any adverse interactions of those</w:t>
      </w:r>
      <w:r>
        <w:rPr>
          <w:color w:val="262526"/>
          <w:spacing w:val="1"/>
          <w:sz w:val="20"/>
        </w:rPr>
        <w:t> </w:t>
      </w:r>
      <w:r>
        <w:rPr>
          <w:color w:val="262526"/>
          <w:sz w:val="20"/>
        </w:rPr>
        <w:t>settings.</w:t>
      </w:r>
    </w:p>
    <w:p>
      <w:pPr>
        <w:pStyle w:val="BodyText"/>
      </w:pPr>
    </w:p>
    <w:p>
      <w:pPr>
        <w:pStyle w:val="BodyText"/>
      </w:pPr>
    </w:p>
    <w:p>
      <w:pPr>
        <w:pStyle w:val="BodyText"/>
      </w:pPr>
    </w:p>
    <w:p>
      <w:pPr>
        <w:pStyle w:val="BodyText"/>
      </w:pPr>
    </w:p>
    <w:p>
      <w:pPr>
        <w:pStyle w:val="BodyText"/>
        <w:spacing w:before="11"/>
      </w:pPr>
      <w:r>
        <w:rPr/>
        <w:pict>
          <v:shape style="position:absolute;margin-left:134.645996pt;margin-top:15.096172pt;width:49.65pt;height:.1pt;mso-position-horizontal-relative:page;mso-position-vertical-relative:paragraph;z-index:-15714816;mso-wrap-distance-left:0;mso-wrap-distance-right:0" coordorigin="2693,302" coordsize="993,0" path="m2693,302l3685,302e" filled="false" stroked="true" strokeweight="1pt" strokecolor="#262526">
            <v:path arrowok="t"/>
            <v:stroke dashstyle="solid"/>
            <w10:wrap type="topAndBottom"/>
          </v:shape>
        </w:pict>
      </w:r>
    </w:p>
    <w:p>
      <w:pPr>
        <w:pStyle w:val="ListParagraph"/>
        <w:numPr>
          <w:ilvl w:val="0"/>
          <w:numId w:val="24"/>
        </w:numPr>
        <w:tabs>
          <w:tab w:pos="3034" w:val="left" w:leader="none"/>
        </w:tabs>
        <w:spacing w:line="240" w:lineRule="auto" w:before="98" w:after="0"/>
        <w:ind w:left="3033" w:right="0" w:hanging="342"/>
        <w:jc w:val="left"/>
        <w:rPr>
          <w:sz w:val="14"/>
        </w:rPr>
      </w:pPr>
      <w:r>
        <w:rPr>
          <w:color w:val="262526"/>
          <w:sz w:val="14"/>
        </w:rPr>
        <w:t>COAG Energy Council, rule change request, p.</w:t>
      </w:r>
      <w:r>
        <w:rPr>
          <w:color w:val="262526"/>
          <w:spacing w:val="-5"/>
          <w:sz w:val="14"/>
        </w:rPr>
        <w:t> </w:t>
      </w:r>
      <w:r>
        <w:rPr>
          <w:color w:val="262526"/>
          <w:sz w:val="14"/>
        </w:rPr>
        <w:t>4.</w:t>
      </w:r>
    </w:p>
    <w:p>
      <w:pPr>
        <w:pStyle w:val="ListParagraph"/>
        <w:numPr>
          <w:ilvl w:val="0"/>
          <w:numId w:val="24"/>
        </w:numPr>
        <w:tabs>
          <w:tab w:pos="3034" w:val="left" w:leader="none"/>
        </w:tabs>
        <w:spacing w:line="240" w:lineRule="auto" w:before="55" w:after="0"/>
        <w:ind w:left="3033" w:right="0" w:hanging="342"/>
        <w:jc w:val="left"/>
        <w:rPr>
          <w:sz w:val="14"/>
        </w:rPr>
      </w:pPr>
      <w:r>
        <w:rPr>
          <w:color w:val="262526"/>
          <w:sz w:val="14"/>
        </w:rPr>
        <w:t>Ibid, p.</w:t>
      </w:r>
      <w:r>
        <w:rPr>
          <w:color w:val="262526"/>
          <w:spacing w:val="-1"/>
          <w:sz w:val="14"/>
        </w:rPr>
        <w:t> </w:t>
      </w:r>
      <w:r>
        <w:rPr>
          <w:color w:val="262526"/>
          <w:sz w:val="14"/>
        </w:rPr>
        <w:t>2.</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ight="295"/>
        <w:rPr>
          <w:sz w:val="12"/>
        </w:rPr>
      </w:pPr>
      <w:r>
        <w:rPr>
          <w:color w:val="262526"/>
        </w:rPr>
        <w:t>The COAG Energy Council is of the view that these requirements would assist the co- ordination of all parties responsible for managing the changing power system risk and resilience profile through its inclusion of AEMO, TNSPs, and DNSPs.</w:t>
      </w:r>
      <w:r>
        <w:rPr>
          <w:color w:val="262526"/>
          <w:position w:val="8"/>
          <w:sz w:val="12"/>
        </w:rPr>
        <w:t>68</w:t>
      </w:r>
    </w:p>
    <w:p>
      <w:pPr>
        <w:pStyle w:val="BodyText"/>
        <w:spacing w:before="8"/>
        <w:rPr>
          <w:sz w:val="23"/>
        </w:rPr>
      </w:pPr>
    </w:p>
    <w:p>
      <w:pPr>
        <w:pStyle w:val="ListParagraph"/>
        <w:numPr>
          <w:ilvl w:val="2"/>
          <w:numId w:val="28"/>
        </w:numPr>
        <w:tabs>
          <w:tab w:pos="2692" w:val="left" w:leader="none"/>
          <w:tab w:pos="2693" w:val="left" w:leader="none"/>
        </w:tabs>
        <w:spacing w:line="240" w:lineRule="auto" w:before="1" w:after="0"/>
        <w:ind w:left="2692" w:right="0" w:hanging="1560"/>
        <w:jc w:val="left"/>
        <w:rPr>
          <w:b/>
          <w:sz w:val="18"/>
        </w:rPr>
      </w:pPr>
      <w:r>
        <w:rPr>
          <w:b/>
          <w:color w:val="00ACEC"/>
          <w:sz w:val="18"/>
        </w:rPr>
        <w:t>Stakeholder</w:t>
      </w:r>
      <w:r>
        <w:rPr>
          <w:b/>
          <w:color w:val="00ACEC"/>
          <w:spacing w:val="-2"/>
          <w:sz w:val="18"/>
        </w:rPr>
        <w:t> </w:t>
      </w:r>
      <w:r>
        <w:rPr>
          <w:b/>
          <w:color w:val="00ACEC"/>
          <w:sz w:val="18"/>
        </w:rPr>
        <w:t>views</w:t>
      </w:r>
    </w:p>
    <w:p>
      <w:pPr>
        <w:pStyle w:val="BodyText"/>
        <w:spacing w:line="278" w:lineRule="auto" w:before="99"/>
        <w:ind w:left="2692" w:right="295"/>
      </w:pPr>
      <w:r>
        <w:rPr>
          <w:color w:val="262526"/>
        </w:rPr>
        <w:t>Through the BSE review, stakeholders noted the importance of integrating the review into existing planning processes. AEMO considered that clear linkages should be drawn in the rules between the GPSRR and planning processes, including the ISP where appropriate.</w:t>
      </w:r>
    </w:p>
    <w:p>
      <w:pPr>
        <w:pStyle w:val="BodyText"/>
        <w:spacing w:line="278" w:lineRule="auto"/>
        <w:ind w:left="2692" w:right="295"/>
        <w:rPr>
          <w:sz w:val="12"/>
        </w:rPr>
      </w:pPr>
      <w:r>
        <w:rPr>
          <w:color w:val="262526"/>
        </w:rPr>
        <w:t>AEMO considered such linkages would enable AEMO to assess the impact of the occurrence of the risk under different development paths and facilitate stakeholder consultations to discern optimal options.</w:t>
      </w:r>
      <w:r>
        <w:rPr>
          <w:color w:val="262526"/>
          <w:position w:val="8"/>
          <w:sz w:val="12"/>
        </w:rPr>
        <w:t>69 </w:t>
      </w:r>
      <w:r>
        <w:rPr>
          <w:color w:val="262526"/>
        </w:rPr>
        <w:t>Ergon Energy and Energex also suggested drawing an explicit link between the GPSRR and ISP.</w:t>
      </w:r>
      <w:r>
        <w:rPr>
          <w:color w:val="262526"/>
          <w:position w:val="8"/>
          <w:sz w:val="12"/>
        </w:rPr>
        <w:t>70</w:t>
      </w:r>
    </w:p>
    <w:p>
      <w:pPr>
        <w:pStyle w:val="BodyText"/>
        <w:spacing w:line="278" w:lineRule="auto" w:before="113"/>
        <w:ind w:left="2692" w:right="295"/>
        <w:rPr>
          <w:sz w:val="12"/>
        </w:rPr>
      </w:pPr>
      <w:r>
        <w:rPr>
          <w:color w:val="262526"/>
        </w:rPr>
        <w:t>In addition to the ISP and NSP planning processes, the AER also flagged a need for the GPSRR to consider the potential risks arising from protection scheme interactions. The AER specifically identified the importance of considering risks arising from the settings of the protection and control systems owned by NSPs including special protection schemes, along with any potential interactions with neighbouring NSPs. The AER suggest this could be undertaken annually through the NSP annual planning reports (APRs).</w:t>
      </w:r>
      <w:r>
        <w:rPr>
          <w:color w:val="262526"/>
          <w:position w:val="8"/>
          <w:sz w:val="12"/>
        </w:rPr>
        <w:t>71</w:t>
      </w:r>
    </w:p>
    <w:p>
      <w:pPr>
        <w:pStyle w:val="BodyText"/>
        <w:spacing w:before="9"/>
        <w:rPr>
          <w:sz w:val="23"/>
        </w:rPr>
      </w:pPr>
    </w:p>
    <w:p>
      <w:pPr>
        <w:pStyle w:val="ListParagraph"/>
        <w:numPr>
          <w:ilvl w:val="2"/>
          <w:numId w:val="28"/>
        </w:numPr>
        <w:tabs>
          <w:tab w:pos="2692" w:val="left" w:leader="none"/>
          <w:tab w:pos="2693" w:val="left" w:leader="none"/>
        </w:tabs>
        <w:spacing w:line="240" w:lineRule="auto" w:before="0" w:after="0"/>
        <w:ind w:left="2692" w:right="0" w:hanging="1560"/>
        <w:jc w:val="left"/>
        <w:rPr>
          <w:b/>
          <w:sz w:val="18"/>
        </w:rPr>
      </w:pPr>
      <w:r>
        <w:rPr>
          <w:b/>
          <w:color w:val="00ACEC"/>
          <w:sz w:val="18"/>
        </w:rPr>
        <w:t>Commission’s analysis and</w:t>
      </w:r>
      <w:r>
        <w:rPr>
          <w:b/>
          <w:color w:val="00ACEC"/>
          <w:spacing w:val="-1"/>
          <w:sz w:val="18"/>
        </w:rPr>
        <w:t> </w:t>
      </w:r>
      <w:r>
        <w:rPr>
          <w:b/>
          <w:color w:val="00ACEC"/>
          <w:sz w:val="18"/>
        </w:rPr>
        <w:t>determination</w:t>
      </w:r>
    </w:p>
    <w:p>
      <w:pPr>
        <w:pStyle w:val="Heading4"/>
        <w:spacing w:before="99"/>
      </w:pPr>
      <w:r>
        <w:rPr>
          <w:color w:val="262526"/>
        </w:rPr>
        <w:t>Links to other planning processes</w:t>
      </w:r>
    </w:p>
    <w:p>
      <w:pPr>
        <w:pStyle w:val="BodyText"/>
        <w:spacing w:line="278" w:lineRule="auto" w:before="152"/>
        <w:ind w:left="2692" w:right="295"/>
      </w:pPr>
      <w:r>
        <w:rPr>
          <w:color w:val="262526"/>
        </w:rPr>
        <w:t>Stakeholders supported the discussion paper’s proposal to effectively integrate the GPSRR with AEMO and NSP planning processes. The Commission agrees with the COAG Energy Council and stakeholders that explicit links between NSP annual planning reviews, the ISP and GPSRR, would support the integration of system security risks into planning more generally. Therefore, the Commission determines to require:</w:t>
      </w:r>
    </w:p>
    <w:p>
      <w:pPr>
        <w:pStyle w:val="ListParagraph"/>
        <w:numPr>
          <w:ilvl w:val="3"/>
          <w:numId w:val="28"/>
        </w:numPr>
        <w:tabs>
          <w:tab w:pos="3033" w:val="left" w:leader="none"/>
          <w:tab w:pos="3034" w:val="left" w:leader="none"/>
        </w:tabs>
        <w:spacing w:line="278" w:lineRule="auto" w:before="114" w:after="0"/>
        <w:ind w:left="3033" w:right="166" w:hanging="341"/>
        <w:jc w:val="left"/>
        <w:rPr>
          <w:sz w:val="20"/>
        </w:rPr>
      </w:pPr>
      <w:r>
        <w:rPr>
          <w:color w:val="262526"/>
          <w:sz w:val="20"/>
        </w:rPr>
        <w:t>NSPs, in their annual planning reviews, to consider findings from the most recent GPSRR, and</w:t>
      </w:r>
    </w:p>
    <w:p>
      <w:pPr>
        <w:pStyle w:val="ListParagraph"/>
        <w:numPr>
          <w:ilvl w:val="3"/>
          <w:numId w:val="28"/>
        </w:numPr>
        <w:tabs>
          <w:tab w:pos="3033" w:val="left" w:leader="none"/>
          <w:tab w:pos="3034" w:val="left" w:leader="none"/>
        </w:tabs>
        <w:spacing w:line="240" w:lineRule="auto" w:before="56" w:after="0"/>
        <w:ind w:left="3033" w:right="0" w:hanging="341"/>
        <w:jc w:val="left"/>
        <w:rPr>
          <w:sz w:val="20"/>
        </w:rPr>
      </w:pPr>
      <w:r>
        <w:rPr>
          <w:color w:val="262526"/>
          <w:sz w:val="20"/>
        </w:rPr>
        <w:t>AEMO to consider findings from the most recent GPSRR in its</w:t>
      </w:r>
      <w:r>
        <w:rPr>
          <w:color w:val="262526"/>
          <w:spacing w:val="6"/>
          <w:sz w:val="20"/>
        </w:rPr>
        <w:t> </w:t>
      </w:r>
      <w:r>
        <w:rPr>
          <w:color w:val="262526"/>
          <w:spacing w:val="-8"/>
          <w:sz w:val="20"/>
        </w:rPr>
        <w:t>ISP.</w:t>
      </w:r>
    </w:p>
    <w:p>
      <w:pPr>
        <w:pStyle w:val="Heading4"/>
        <w:spacing w:before="96"/>
      </w:pPr>
      <w:r>
        <w:rPr>
          <w:color w:val="262526"/>
        </w:rPr>
        <w:t>Including risks from protection scheme interactions</w:t>
      </w:r>
    </w:p>
    <w:p>
      <w:pPr>
        <w:pStyle w:val="BodyText"/>
        <w:spacing w:line="278" w:lineRule="auto" w:before="152"/>
        <w:ind w:left="2692" w:right="295"/>
      </w:pPr>
      <w:r>
        <w:rPr>
          <w:color w:val="262526"/>
        </w:rPr>
        <w:t>The Commission agrees with the COAG Energy Council and AER that unexpected outcomes from, and adverse interactions between, emergency frequency control schemes and emergency controls, plant control and protection settings represent a material risk that</w:t>
      </w:r>
    </w:p>
    <w:p>
      <w:pPr>
        <w:pStyle w:val="BodyText"/>
      </w:pPr>
    </w:p>
    <w:p>
      <w:pPr>
        <w:pStyle w:val="BodyText"/>
      </w:pPr>
    </w:p>
    <w:p>
      <w:pPr>
        <w:pStyle w:val="BodyText"/>
      </w:pPr>
    </w:p>
    <w:p>
      <w:pPr>
        <w:pStyle w:val="BodyText"/>
      </w:pPr>
    </w:p>
    <w:p>
      <w:pPr>
        <w:pStyle w:val="BodyText"/>
      </w:pPr>
    </w:p>
    <w:p>
      <w:pPr>
        <w:pStyle w:val="BodyText"/>
        <w:spacing w:before="10"/>
        <w:rPr>
          <w:sz w:val="22"/>
        </w:rPr>
      </w:pPr>
      <w:r>
        <w:rPr/>
        <w:pict>
          <v:shape style="position:absolute;margin-left:134.645996pt;margin-top:16.274313pt;width:49.65pt;height:.1pt;mso-position-horizontal-relative:page;mso-position-vertical-relative:paragraph;z-index:-15714304;mso-wrap-distance-left:0;mso-wrap-distance-right:0" coordorigin="2693,325" coordsize="993,0" path="m2693,325l3685,325e" filled="false" stroked="true" strokeweight="1pt" strokecolor="#262526">
            <v:path arrowok="t"/>
            <v:stroke dashstyle="solid"/>
            <w10:wrap type="topAndBottom"/>
          </v:shape>
        </w:pict>
      </w:r>
    </w:p>
    <w:p>
      <w:pPr>
        <w:pStyle w:val="ListParagraph"/>
        <w:numPr>
          <w:ilvl w:val="0"/>
          <w:numId w:val="24"/>
        </w:numPr>
        <w:tabs>
          <w:tab w:pos="3034" w:val="left" w:leader="none"/>
        </w:tabs>
        <w:spacing w:line="240" w:lineRule="auto" w:before="98" w:after="0"/>
        <w:ind w:left="3033" w:right="0" w:hanging="342"/>
        <w:jc w:val="left"/>
        <w:rPr>
          <w:sz w:val="14"/>
        </w:rPr>
      </w:pPr>
      <w:r>
        <w:rPr>
          <w:color w:val="262526"/>
          <w:sz w:val="14"/>
        </w:rPr>
        <w:t>Ibid, p.</w:t>
      </w:r>
      <w:r>
        <w:rPr>
          <w:color w:val="262526"/>
          <w:spacing w:val="-1"/>
          <w:sz w:val="14"/>
        </w:rPr>
        <w:t> </w:t>
      </w:r>
      <w:r>
        <w:rPr>
          <w:color w:val="262526"/>
          <w:sz w:val="14"/>
        </w:rPr>
        <w:t>4.</w:t>
      </w:r>
    </w:p>
    <w:p>
      <w:pPr>
        <w:pStyle w:val="ListParagraph"/>
        <w:numPr>
          <w:ilvl w:val="0"/>
          <w:numId w:val="24"/>
        </w:numPr>
        <w:tabs>
          <w:tab w:pos="3034" w:val="left" w:leader="none"/>
        </w:tabs>
        <w:spacing w:line="240" w:lineRule="auto" w:before="55" w:after="0"/>
        <w:ind w:left="3033" w:right="0" w:hanging="342"/>
        <w:jc w:val="left"/>
        <w:rPr>
          <w:sz w:val="14"/>
        </w:rPr>
      </w:pPr>
      <w:r>
        <w:rPr>
          <w:color w:val="262526"/>
          <w:sz w:val="14"/>
        </w:rPr>
        <w:t>AEMO, submission to the AEMC’s BSE review discussion </w:t>
      </w:r>
      <w:r>
        <w:rPr>
          <w:color w:val="262526"/>
          <w:spacing w:val="-4"/>
          <w:sz w:val="14"/>
        </w:rPr>
        <w:t>paper, </w:t>
      </w:r>
      <w:r>
        <w:rPr>
          <w:color w:val="262526"/>
          <w:sz w:val="14"/>
        </w:rPr>
        <w:t>p.</w:t>
      </w:r>
      <w:r>
        <w:rPr>
          <w:color w:val="262526"/>
          <w:spacing w:val="-5"/>
          <w:sz w:val="14"/>
        </w:rPr>
        <w:t> </w:t>
      </w:r>
      <w:r>
        <w:rPr>
          <w:color w:val="262526"/>
          <w:sz w:val="14"/>
        </w:rPr>
        <w:t>16.</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Ergon Energy and Energex, submission to the AEMC’s BSE review discussion </w:t>
      </w:r>
      <w:r>
        <w:rPr>
          <w:color w:val="262526"/>
          <w:spacing w:val="-4"/>
          <w:sz w:val="14"/>
        </w:rPr>
        <w:t>paper, </w:t>
      </w:r>
      <w:r>
        <w:rPr>
          <w:color w:val="262526"/>
          <w:sz w:val="14"/>
        </w:rPr>
        <w:t>p.</w:t>
      </w:r>
      <w:r>
        <w:rPr>
          <w:color w:val="262526"/>
          <w:spacing w:val="-9"/>
          <w:sz w:val="14"/>
        </w:rPr>
        <w:t> </w:t>
      </w:r>
      <w:r>
        <w:rPr>
          <w:color w:val="262526"/>
          <w:spacing w:val="-6"/>
          <w:sz w:val="14"/>
        </w:rPr>
        <w:t>7.</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AER, submission to the AEMC’s BSE review discussion </w:t>
      </w:r>
      <w:r>
        <w:rPr>
          <w:color w:val="262526"/>
          <w:spacing w:val="-4"/>
          <w:sz w:val="14"/>
        </w:rPr>
        <w:t>paper, </w:t>
      </w:r>
      <w:r>
        <w:rPr>
          <w:color w:val="262526"/>
          <w:sz w:val="14"/>
        </w:rPr>
        <w:t>p.</w:t>
      </w:r>
      <w:r>
        <w:rPr>
          <w:color w:val="262526"/>
          <w:spacing w:val="-4"/>
          <w:sz w:val="14"/>
        </w:rPr>
        <w:t> </w:t>
      </w:r>
      <w:r>
        <w:rPr>
          <w:color w:val="262526"/>
          <w:sz w:val="14"/>
        </w:rPr>
        <w:t>2.</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Pr>
          <w:sz w:val="12"/>
        </w:rPr>
      </w:pPr>
      <w:r>
        <w:rPr>
          <w:color w:val="262526"/>
        </w:rPr>
        <w:t>should be systematically assessed as part of a GPSRR. The events of 25 August 2018 are an example of the risks inherent in the use of special protection</w:t>
      </w:r>
      <w:r>
        <w:rPr>
          <w:color w:val="262526"/>
          <w:spacing w:val="5"/>
        </w:rPr>
        <w:t> </w:t>
      </w:r>
      <w:r>
        <w:rPr>
          <w:color w:val="262526"/>
        </w:rPr>
        <w:t>schemes.</w:t>
      </w:r>
      <w:r>
        <w:rPr>
          <w:color w:val="262526"/>
          <w:position w:val="8"/>
          <w:sz w:val="12"/>
        </w:rPr>
        <w:t>72</w:t>
      </w:r>
    </w:p>
    <w:p>
      <w:pPr>
        <w:pStyle w:val="BodyText"/>
        <w:spacing w:before="113"/>
        <w:ind w:left="2692"/>
      </w:pPr>
      <w:r>
        <w:rPr>
          <w:color w:val="262526"/>
        </w:rPr>
        <w:t>The Commission therefore has determined to impose a requirement</w:t>
      </w:r>
      <w:r>
        <w:rPr>
          <w:color w:val="262526"/>
          <w:spacing w:val="31"/>
        </w:rPr>
        <w:t> </w:t>
      </w:r>
      <w:r>
        <w:rPr>
          <w:color w:val="262526"/>
        </w:rPr>
        <w:t>on:</w:t>
      </w:r>
    </w:p>
    <w:p>
      <w:pPr>
        <w:pStyle w:val="ListParagraph"/>
        <w:numPr>
          <w:ilvl w:val="3"/>
          <w:numId w:val="28"/>
        </w:numPr>
        <w:tabs>
          <w:tab w:pos="3034" w:val="left" w:leader="none"/>
        </w:tabs>
        <w:spacing w:line="278" w:lineRule="auto" w:before="152" w:after="0"/>
        <w:ind w:left="3033" w:right="168" w:hanging="341"/>
        <w:jc w:val="both"/>
        <w:rPr>
          <w:sz w:val="20"/>
        </w:rPr>
      </w:pPr>
      <w:r>
        <w:rPr>
          <w:color w:val="262526"/>
          <w:sz w:val="20"/>
        </w:rPr>
        <w:t>AEMO to holistically consider the risks associated with adverse operation or interaction of emergency frequency control schemes and emergency controls, including as identified by NSPs in their APRs</w:t>
      </w:r>
    </w:p>
    <w:p>
      <w:pPr>
        <w:pStyle w:val="ListParagraph"/>
        <w:numPr>
          <w:ilvl w:val="3"/>
          <w:numId w:val="28"/>
        </w:numPr>
        <w:tabs>
          <w:tab w:pos="3033" w:val="left" w:leader="none"/>
          <w:tab w:pos="3034" w:val="left" w:leader="none"/>
        </w:tabs>
        <w:spacing w:line="278" w:lineRule="auto" w:before="57" w:after="0"/>
        <w:ind w:left="3033" w:right="159" w:hanging="341"/>
        <w:jc w:val="left"/>
        <w:rPr>
          <w:sz w:val="20"/>
        </w:rPr>
      </w:pPr>
      <w:r>
        <w:rPr>
          <w:color w:val="262526"/>
          <w:sz w:val="20"/>
        </w:rPr>
        <w:t>both TNSPs</w:t>
      </w:r>
      <w:r>
        <w:rPr>
          <w:color w:val="262526"/>
          <w:position w:val="8"/>
          <w:sz w:val="12"/>
        </w:rPr>
        <w:t>73 </w:t>
      </w:r>
      <w:r>
        <w:rPr>
          <w:color w:val="262526"/>
          <w:sz w:val="20"/>
        </w:rPr>
        <w:t>and DNSPs</w:t>
      </w:r>
      <w:r>
        <w:rPr>
          <w:color w:val="262526"/>
          <w:position w:val="8"/>
          <w:sz w:val="12"/>
        </w:rPr>
        <w:t>74 </w:t>
      </w:r>
      <w:r>
        <w:rPr>
          <w:color w:val="262526"/>
          <w:sz w:val="20"/>
        </w:rPr>
        <w:t>to conduct a review </w:t>
      </w:r>
      <w:r>
        <w:rPr>
          <w:color w:val="262526"/>
          <w:spacing w:val="-6"/>
          <w:sz w:val="20"/>
        </w:rPr>
        <w:t>of, </w:t>
      </w:r>
      <w:r>
        <w:rPr>
          <w:color w:val="262526"/>
          <w:sz w:val="20"/>
        </w:rPr>
        <w:t>and interactions between: emergency frequency control schemes and emergency controls on their network; and the settings of protection systems or control systems of plant connected to their network (including consideration of whether such settings are fit for purpose for the future operation of their network), and</w:t>
      </w:r>
    </w:p>
    <w:p>
      <w:pPr>
        <w:pStyle w:val="ListParagraph"/>
        <w:numPr>
          <w:ilvl w:val="3"/>
          <w:numId w:val="28"/>
        </w:numPr>
        <w:tabs>
          <w:tab w:pos="3033" w:val="left" w:leader="none"/>
          <w:tab w:pos="3034" w:val="left" w:leader="none"/>
        </w:tabs>
        <w:spacing w:line="278" w:lineRule="auto" w:before="56" w:after="0"/>
        <w:ind w:left="3033" w:right="247" w:hanging="341"/>
        <w:jc w:val="left"/>
        <w:rPr>
          <w:sz w:val="20"/>
        </w:rPr>
      </w:pPr>
      <w:r>
        <w:rPr>
          <w:color w:val="262526"/>
          <w:sz w:val="20"/>
        </w:rPr>
        <w:t>both TNSPs and DNSPs</w:t>
      </w:r>
      <w:r>
        <w:rPr>
          <w:color w:val="262526"/>
          <w:position w:val="8"/>
          <w:sz w:val="12"/>
        </w:rPr>
        <w:t>75 </w:t>
      </w:r>
      <w:r>
        <w:rPr>
          <w:color w:val="262526"/>
          <w:sz w:val="20"/>
        </w:rPr>
        <w:t>to conduct joint planning in assessing the interactions between emergency frequency control schemes or emergency controls, and the settings of protection systems or control systems of plant connected to their respective</w:t>
      </w:r>
      <w:r>
        <w:rPr>
          <w:color w:val="262526"/>
          <w:spacing w:val="19"/>
          <w:sz w:val="20"/>
        </w:rPr>
        <w:t> </w:t>
      </w:r>
      <w:r>
        <w:rPr>
          <w:color w:val="262526"/>
          <w:sz w:val="20"/>
        </w:rPr>
        <w:t>networks.</w:t>
      </w:r>
    </w:p>
    <w:p>
      <w:pPr>
        <w:pStyle w:val="Heading4"/>
        <w:spacing w:before="57"/>
      </w:pPr>
      <w:r>
        <w:rPr>
          <w:color w:val="262526"/>
        </w:rPr>
        <w:t>Differences between the proposed rule and more preferable draft rule</w:t>
      </w:r>
    </w:p>
    <w:p>
      <w:pPr>
        <w:pStyle w:val="BodyText"/>
        <w:spacing w:line="278" w:lineRule="auto" w:before="152"/>
        <w:ind w:left="2692" w:right="295"/>
      </w:pPr>
      <w:r>
        <w:rPr>
          <w:color w:val="262526"/>
        </w:rPr>
        <w:t>The Commission has determined to clarify the wording in the proposed rule by substituting “special protection schemes” in the proposed rule drafting by “emergency frequency control schemes” and “emergency controls” in the more preferable draft rule. The Commission has done this change with the view to maintain the NER consistency and clarity as “emergency frequency control schemes” and “emergency controls” are the terms used elsewhere in the NER.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3"/>
        </w:rPr>
      </w:pPr>
      <w:r>
        <w:rPr/>
        <w:pict>
          <v:shape style="position:absolute;margin-left:134.645996pt;margin-top:16.670406pt;width:49.65pt;height:.1pt;mso-position-horizontal-relative:page;mso-position-vertical-relative:paragraph;z-index:-15713792;mso-wrap-distance-left:0;mso-wrap-distance-right:0" coordorigin="2693,333" coordsize="993,0" path="m2693,333l3685,333e" filled="false" stroked="true" strokeweight="1pt" strokecolor="#262526">
            <v:path arrowok="t"/>
            <v:stroke dashstyle="solid"/>
            <w10:wrap type="topAndBottom"/>
          </v:shape>
        </w:pict>
      </w:r>
    </w:p>
    <w:p>
      <w:pPr>
        <w:pStyle w:val="ListParagraph"/>
        <w:numPr>
          <w:ilvl w:val="0"/>
          <w:numId w:val="24"/>
        </w:numPr>
        <w:tabs>
          <w:tab w:pos="3034" w:val="left" w:leader="none"/>
        </w:tabs>
        <w:spacing w:line="240" w:lineRule="auto" w:before="98" w:after="0"/>
        <w:ind w:left="3033" w:right="185" w:hanging="341"/>
        <w:jc w:val="left"/>
        <w:rPr>
          <w:sz w:val="14"/>
        </w:rPr>
      </w:pPr>
      <w:r>
        <w:rPr>
          <w:color w:val="262526"/>
          <w:sz w:val="14"/>
        </w:rPr>
        <w:t>On Saturday 25 August 2018, a single lightning strike caused the simultaneous “double back” flashover across two insulators of the QLD – NSW interconnector (QNI). After two seconds QNI tripped, separating the Queensland region from the rest of the NEM. This led to the loss of the interconnector between South Australia and Victoria (Heywood) and the separation of the South Australia region from the rest of the NEM. This in turn resulted in under-frequency load shedding in the New South Wales, Victoria,</w:t>
      </w:r>
      <w:r>
        <w:rPr>
          <w:color w:val="262526"/>
          <w:spacing w:val="-4"/>
          <w:sz w:val="14"/>
        </w:rPr>
        <w:t> </w:t>
      </w:r>
      <w:r>
        <w:rPr>
          <w:color w:val="262526"/>
          <w:sz w:val="14"/>
        </w:rPr>
        <w:t>and</w:t>
      </w:r>
      <w:r>
        <w:rPr>
          <w:color w:val="262526"/>
          <w:spacing w:val="-4"/>
          <w:sz w:val="14"/>
        </w:rPr>
        <w:t> </w:t>
      </w:r>
      <w:r>
        <w:rPr>
          <w:color w:val="262526"/>
          <w:sz w:val="14"/>
        </w:rPr>
        <w:t>Tasmania</w:t>
      </w:r>
      <w:r>
        <w:rPr>
          <w:color w:val="262526"/>
          <w:spacing w:val="-4"/>
          <w:sz w:val="14"/>
        </w:rPr>
        <w:t> </w:t>
      </w:r>
      <w:r>
        <w:rPr>
          <w:color w:val="262526"/>
          <w:sz w:val="14"/>
        </w:rPr>
        <w:t>regions.</w:t>
      </w:r>
      <w:r>
        <w:rPr>
          <w:color w:val="262526"/>
          <w:spacing w:val="-5"/>
          <w:sz w:val="14"/>
        </w:rPr>
        <w:t> </w:t>
      </w:r>
      <w:r>
        <w:rPr>
          <w:color w:val="262526"/>
          <w:sz w:val="14"/>
        </w:rPr>
        <w:t>The</w:t>
      </w:r>
      <w:r>
        <w:rPr>
          <w:color w:val="262526"/>
          <w:spacing w:val="-4"/>
          <w:sz w:val="14"/>
        </w:rPr>
        <w:t> </w:t>
      </w:r>
      <w:r>
        <w:rPr>
          <w:color w:val="262526"/>
          <w:sz w:val="14"/>
        </w:rPr>
        <w:t>event</w:t>
      </w:r>
      <w:r>
        <w:rPr>
          <w:color w:val="262526"/>
          <w:spacing w:val="-4"/>
          <w:sz w:val="14"/>
        </w:rPr>
        <w:t> </w:t>
      </w:r>
      <w:r>
        <w:rPr>
          <w:color w:val="262526"/>
          <w:sz w:val="14"/>
        </w:rPr>
        <w:t>demonstrated</w:t>
      </w:r>
      <w:r>
        <w:rPr>
          <w:color w:val="262526"/>
          <w:spacing w:val="-4"/>
          <w:sz w:val="14"/>
        </w:rPr>
        <w:t> </w:t>
      </w:r>
      <w:r>
        <w:rPr>
          <w:color w:val="262526"/>
          <w:sz w:val="14"/>
        </w:rPr>
        <w:t>the</w:t>
      </w:r>
      <w:r>
        <w:rPr>
          <w:color w:val="262526"/>
          <w:spacing w:val="-5"/>
          <w:sz w:val="14"/>
        </w:rPr>
        <w:t> </w:t>
      </w:r>
      <w:r>
        <w:rPr>
          <w:color w:val="262526"/>
          <w:sz w:val="14"/>
        </w:rPr>
        <w:t>present</w:t>
      </w:r>
      <w:r>
        <w:rPr>
          <w:color w:val="262526"/>
          <w:spacing w:val="-4"/>
          <w:sz w:val="14"/>
        </w:rPr>
        <w:t> </w:t>
      </w:r>
      <w:r>
        <w:rPr>
          <w:color w:val="262526"/>
          <w:sz w:val="14"/>
        </w:rPr>
        <w:t>challenges</w:t>
      </w:r>
      <w:r>
        <w:rPr>
          <w:color w:val="262526"/>
          <w:spacing w:val="-5"/>
          <w:sz w:val="14"/>
        </w:rPr>
        <w:t> </w:t>
      </w:r>
      <w:r>
        <w:rPr>
          <w:color w:val="262526"/>
          <w:sz w:val="14"/>
        </w:rPr>
        <w:t>of</w:t>
      </w:r>
      <w:r>
        <w:rPr>
          <w:color w:val="262526"/>
          <w:spacing w:val="-3"/>
          <w:sz w:val="14"/>
        </w:rPr>
        <w:t> </w:t>
      </w:r>
      <w:r>
        <w:rPr>
          <w:color w:val="262526"/>
          <w:sz w:val="14"/>
        </w:rPr>
        <w:t>controlling</w:t>
      </w:r>
      <w:r>
        <w:rPr>
          <w:color w:val="262526"/>
          <w:spacing w:val="-5"/>
          <w:sz w:val="14"/>
        </w:rPr>
        <w:t> </w:t>
      </w:r>
      <w:r>
        <w:rPr>
          <w:color w:val="262526"/>
          <w:sz w:val="14"/>
        </w:rPr>
        <w:t>frequency</w:t>
      </w:r>
      <w:r>
        <w:rPr>
          <w:color w:val="262526"/>
          <w:spacing w:val="-5"/>
          <w:sz w:val="14"/>
        </w:rPr>
        <w:t> </w:t>
      </w:r>
      <w:r>
        <w:rPr>
          <w:color w:val="262526"/>
          <w:sz w:val="14"/>
        </w:rPr>
        <w:t>in</w:t>
      </w:r>
      <w:r>
        <w:rPr>
          <w:color w:val="262526"/>
          <w:spacing w:val="-4"/>
          <w:sz w:val="14"/>
        </w:rPr>
        <w:t> </w:t>
      </w:r>
      <w:r>
        <w:rPr>
          <w:color w:val="262526"/>
          <w:sz w:val="14"/>
        </w:rPr>
        <w:t>the</w:t>
      </w:r>
      <w:r>
        <w:rPr>
          <w:color w:val="262526"/>
          <w:spacing w:val="-4"/>
          <w:sz w:val="14"/>
        </w:rPr>
        <w:t> </w:t>
      </w:r>
      <w:r>
        <w:rPr>
          <w:color w:val="262526"/>
          <w:sz w:val="14"/>
        </w:rPr>
        <w:t>NEM</w:t>
      </w:r>
      <w:r>
        <w:rPr>
          <w:color w:val="262526"/>
          <w:spacing w:val="-4"/>
          <w:sz w:val="14"/>
        </w:rPr>
        <w:t> </w:t>
      </w:r>
      <w:r>
        <w:rPr>
          <w:color w:val="262526"/>
          <w:sz w:val="14"/>
        </w:rPr>
        <w:t>and</w:t>
      </w:r>
      <w:r>
        <w:rPr>
          <w:color w:val="262526"/>
          <w:spacing w:val="-4"/>
          <w:sz w:val="14"/>
        </w:rPr>
        <w:t> </w:t>
      </w:r>
      <w:r>
        <w:rPr>
          <w:color w:val="262526"/>
          <w:sz w:val="14"/>
        </w:rPr>
        <w:t>keeping the power system in a secure state, particularly following non-credible contingency</w:t>
      </w:r>
      <w:r>
        <w:rPr>
          <w:color w:val="262526"/>
          <w:spacing w:val="-12"/>
          <w:sz w:val="14"/>
        </w:rPr>
        <w:t> </w:t>
      </w:r>
      <w:r>
        <w:rPr>
          <w:color w:val="262526"/>
          <w:sz w:val="14"/>
        </w:rPr>
        <w:t>events.</w:t>
      </w:r>
    </w:p>
    <w:p>
      <w:pPr>
        <w:pStyle w:val="ListParagraph"/>
        <w:numPr>
          <w:ilvl w:val="0"/>
          <w:numId w:val="24"/>
        </w:numPr>
        <w:tabs>
          <w:tab w:pos="3034" w:val="left" w:leader="none"/>
        </w:tabs>
        <w:spacing w:line="240" w:lineRule="auto" w:before="50" w:after="0"/>
        <w:ind w:left="3033" w:right="0" w:hanging="342"/>
        <w:jc w:val="left"/>
        <w:rPr>
          <w:sz w:val="14"/>
        </w:rPr>
      </w:pPr>
      <w:r>
        <w:rPr>
          <w:color w:val="262526"/>
          <w:sz w:val="14"/>
        </w:rPr>
        <w:t>As part of their transmission annual planning review obligations under clause 5.12.1 of the</w:t>
      </w:r>
      <w:r>
        <w:rPr>
          <w:color w:val="262526"/>
          <w:spacing w:val="-9"/>
          <w:sz w:val="14"/>
        </w:rPr>
        <w:t> </w:t>
      </w:r>
      <w:r>
        <w:rPr>
          <w:color w:val="262526"/>
          <w:sz w:val="14"/>
        </w:rPr>
        <w:t>NER.</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As part of their distribution annual planning review obligations under clause 5.13.1 of the</w:t>
      </w:r>
      <w:r>
        <w:rPr>
          <w:color w:val="262526"/>
          <w:spacing w:val="-8"/>
          <w:sz w:val="14"/>
        </w:rPr>
        <w:t> </w:t>
      </w:r>
      <w:r>
        <w:rPr>
          <w:color w:val="262526"/>
          <w:sz w:val="14"/>
        </w:rPr>
        <w:t>NER.</w:t>
      </w:r>
    </w:p>
    <w:p>
      <w:pPr>
        <w:pStyle w:val="ListParagraph"/>
        <w:numPr>
          <w:ilvl w:val="0"/>
          <w:numId w:val="24"/>
        </w:numPr>
        <w:tabs>
          <w:tab w:pos="3034" w:val="left" w:leader="none"/>
        </w:tabs>
        <w:spacing w:line="240" w:lineRule="auto" w:before="56" w:after="0"/>
        <w:ind w:left="3033" w:right="0" w:hanging="342"/>
        <w:jc w:val="left"/>
        <w:rPr>
          <w:sz w:val="14"/>
        </w:rPr>
      </w:pPr>
      <w:r>
        <w:rPr>
          <w:color w:val="262526"/>
          <w:sz w:val="14"/>
        </w:rPr>
        <w:t>As part of their joint planning obligations under clause</w:t>
      </w:r>
      <w:r>
        <w:rPr>
          <w:color w:val="262526"/>
          <w:spacing w:val="-3"/>
          <w:sz w:val="14"/>
        </w:rPr>
        <w:t> </w:t>
      </w:r>
      <w:r>
        <w:rPr>
          <w:color w:val="262526"/>
          <w:sz w:val="14"/>
        </w:rPr>
        <w:t>5.14.1(d).</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Heading1"/>
        <w:ind w:firstLine="0"/>
      </w:pPr>
      <w:bookmarkStart w:name="Abbreviations " w:id="44"/>
      <w:bookmarkEnd w:id="44"/>
      <w:r>
        <w:rPr/>
      </w:r>
      <w:bookmarkStart w:name="_bookmark13" w:id="45"/>
      <w:bookmarkEnd w:id="45"/>
      <w:r>
        <w:rPr/>
      </w:r>
      <w:r>
        <w:rPr>
          <w:color w:val="00ACEC"/>
        </w:rPr>
        <w:t>ABBREVIATIONS</w:t>
      </w:r>
    </w:p>
    <w:p>
      <w:pPr>
        <w:pStyle w:val="BodyText"/>
      </w:pPr>
    </w:p>
    <w:p>
      <w:pPr>
        <w:pStyle w:val="BodyText"/>
        <w:spacing w:before="10"/>
        <w:rPr>
          <w:sz w:val="10"/>
        </w:rPr>
      </w:pPr>
    </w:p>
    <w:tbl>
      <w:tblPr>
        <w:tblW w:w="0" w:type="auto"/>
        <w:jc w:val="left"/>
        <w:tblInd w:w="2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9"/>
        <w:gridCol w:w="5291"/>
      </w:tblGrid>
      <w:tr>
        <w:trPr>
          <w:trHeight w:val="302" w:hRule="atLeast"/>
        </w:trPr>
        <w:tc>
          <w:tcPr>
            <w:tcW w:w="2429" w:type="dxa"/>
          </w:tcPr>
          <w:p>
            <w:pPr>
              <w:pStyle w:val="TableParagraph"/>
              <w:spacing w:before="6"/>
              <w:ind w:left="200"/>
              <w:rPr>
                <w:sz w:val="20"/>
              </w:rPr>
            </w:pPr>
            <w:r>
              <w:rPr>
                <w:color w:val="262526"/>
                <w:sz w:val="20"/>
              </w:rPr>
              <w:t>AEMC</w:t>
            </w:r>
          </w:p>
        </w:tc>
        <w:tc>
          <w:tcPr>
            <w:tcW w:w="5291" w:type="dxa"/>
          </w:tcPr>
          <w:p>
            <w:pPr>
              <w:pStyle w:val="TableParagraph"/>
              <w:spacing w:before="6"/>
              <w:ind w:left="1173"/>
              <w:rPr>
                <w:sz w:val="20"/>
              </w:rPr>
            </w:pPr>
            <w:r>
              <w:rPr>
                <w:color w:val="262526"/>
                <w:sz w:val="20"/>
              </w:rPr>
              <w:t>Australian Energy Market Commission</w:t>
            </w:r>
          </w:p>
        </w:tc>
      </w:tr>
      <w:tr>
        <w:trPr>
          <w:trHeight w:val="314" w:hRule="atLeast"/>
        </w:trPr>
        <w:tc>
          <w:tcPr>
            <w:tcW w:w="2429" w:type="dxa"/>
          </w:tcPr>
          <w:p>
            <w:pPr>
              <w:pStyle w:val="TableParagraph"/>
              <w:spacing w:before="18"/>
              <w:ind w:left="200"/>
              <w:rPr>
                <w:sz w:val="20"/>
              </w:rPr>
            </w:pPr>
            <w:r>
              <w:rPr>
                <w:color w:val="262526"/>
                <w:sz w:val="20"/>
              </w:rPr>
              <w:t>AEMO</w:t>
            </w:r>
          </w:p>
        </w:tc>
        <w:tc>
          <w:tcPr>
            <w:tcW w:w="5291" w:type="dxa"/>
          </w:tcPr>
          <w:p>
            <w:pPr>
              <w:pStyle w:val="TableParagraph"/>
              <w:spacing w:before="18"/>
              <w:ind w:left="1173"/>
              <w:rPr>
                <w:sz w:val="20"/>
              </w:rPr>
            </w:pPr>
            <w:r>
              <w:rPr>
                <w:color w:val="262526"/>
                <w:sz w:val="20"/>
              </w:rPr>
              <w:t>Australian Energy Market Operator</w:t>
            </w:r>
          </w:p>
        </w:tc>
      </w:tr>
      <w:tr>
        <w:trPr>
          <w:trHeight w:val="314" w:hRule="atLeast"/>
        </w:trPr>
        <w:tc>
          <w:tcPr>
            <w:tcW w:w="2429" w:type="dxa"/>
          </w:tcPr>
          <w:p>
            <w:pPr>
              <w:pStyle w:val="TableParagraph"/>
              <w:spacing w:before="18"/>
              <w:ind w:left="200"/>
              <w:rPr>
                <w:sz w:val="20"/>
              </w:rPr>
            </w:pPr>
            <w:r>
              <w:rPr>
                <w:color w:val="262526"/>
                <w:sz w:val="20"/>
              </w:rPr>
              <w:t>AER</w:t>
            </w:r>
          </w:p>
        </w:tc>
        <w:tc>
          <w:tcPr>
            <w:tcW w:w="5291" w:type="dxa"/>
          </w:tcPr>
          <w:p>
            <w:pPr>
              <w:pStyle w:val="TableParagraph"/>
              <w:spacing w:before="18"/>
              <w:ind w:left="1173"/>
              <w:rPr>
                <w:sz w:val="20"/>
              </w:rPr>
            </w:pPr>
            <w:r>
              <w:rPr>
                <w:color w:val="262526"/>
                <w:sz w:val="20"/>
              </w:rPr>
              <w:t>Australian Energy Regulator</w:t>
            </w:r>
          </w:p>
        </w:tc>
      </w:tr>
      <w:tr>
        <w:trPr>
          <w:trHeight w:val="314" w:hRule="atLeast"/>
        </w:trPr>
        <w:tc>
          <w:tcPr>
            <w:tcW w:w="2429" w:type="dxa"/>
          </w:tcPr>
          <w:p>
            <w:pPr>
              <w:pStyle w:val="TableParagraph"/>
              <w:spacing w:before="18"/>
              <w:ind w:left="200"/>
              <w:rPr>
                <w:sz w:val="20"/>
              </w:rPr>
            </w:pPr>
            <w:r>
              <w:rPr>
                <w:color w:val="262526"/>
                <w:sz w:val="20"/>
              </w:rPr>
              <w:t>Commission</w:t>
            </w:r>
          </w:p>
        </w:tc>
        <w:tc>
          <w:tcPr>
            <w:tcW w:w="5291" w:type="dxa"/>
          </w:tcPr>
          <w:p>
            <w:pPr>
              <w:pStyle w:val="TableParagraph"/>
              <w:spacing w:before="18"/>
              <w:ind w:left="1173"/>
              <w:rPr>
                <w:sz w:val="20"/>
              </w:rPr>
            </w:pPr>
            <w:r>
              <w:rPr>
                <w:color w:val="262526"/>
                <w:sz w:val="20"/>
              </w:rPr>
              <w:t>See AEMC</w:t>
            </w:r>
          </w:p>
        </w:tc>
      </w:tr>
      <w:tr>
        <w:trPr>
          <w:trHeight w:val="314" w:hRule="atLeast"/>
        </w:trPr>
        <w:tc>
          <w:tcPr>
            <w:tcW w:w="2429" w:type="dxa"/>
          </w:tcPr>
          <w:p>
            <w:pPr>
              <w:pStyle w:val="TableParagraph"/>
              <w:spacing w:before="18"/>
              <w:ind w:left="200"/>
              <w:rPr>
                <w:sz w:val="20"/>
              </w:rPr>
            </w:pPr>
            <w:r>
              <w:rPr>
                <w:color w:val="262526"/>
                <w:sz w:val="20"/>
              </w:rPr>
              <w:t>DER</w:t>
            </w:r>
          </w:p>
        </w:tc>
        <w:tc>
          <w:tcPr>
            <w:tcW w:w="5291" w:type="dxa"/>
          </w:tcPr>
          <w:p>
            <w:pPr>
              <w:pStyle w:val="TableParagraph"/>
              <w:spacing w:before="18"/>
              <w:ind w:left="1173"/>
              <w:rPr>
                <w:sz w:val="20"/>
              </w:rPr>
            </w:pPr>
            <w:r>
              <w:rPr>
                <w:color w:val="262526"/>
                <w:sz w:val="20"/>
              </w:rPr>
              <w:t>Distributed Energy Resources</w:t>
            </w:r>
          </w:p>
        </w:tc>
      </w:tr>
      <w:tr>
        <w:trPr>
          <w:trHeight w:val="314" w:hRule="atLeast"/>
        </w:trPr>
        <w:tc>
          <w:tcPr>
            <w:tcW w:w="2429" w:type="dxa"/>
          </w:tcPr>
          <w:p>
            <w:pPr>
              <w:pStyle w:val="TableParagraph"/>
              <w:spacing w:before="18"/>
              <w:ind w:left="200"/>
              <w:rPr>
                <w:sz w:val="20"/>
              </w:rPr>
            </w:pPr>
            <w:r>
              <w:rPr>
                <w:color w:val="262526"/>
                <w:sz w:val="20"/>
              </w:rPr>
              <w:t>DNSP</w:t>
            </w:r>
          </w:p>
        </w:tc>
        <w:tc>
          <w:tcPr>
            <w:tcW w:w="5291" w:type="dxa"/>
          </w:tcPr>
          <w:p>
            <w:pPr>
              <w:pStyle w:val="TableParagraph"/>
              <w:spacing w:before="18"/>
              <w:ind w:left="1173"/>
              <w:rPr>
                <w:sz w:val="20"/>
              </w:rPr>
            </w:pPr>
            <w:r>
              <w:rPr>
                <w:color w:val="262526"/>
                <w:sz w:val="20"/>
              </w:rPr>
              <w:t>Distribution Network Service Provider</w:t>
            </w:r>
          </w:p>
        </w:tc>
      </w:tr>
      <w:tr>
        <w:trPr>
          <w:trHeight w:val="314" w:hRule="atLeast"/>
        </w:trPr>
        <w:tc>
          <w:tcPr>
            <w:tcW w:w="2429" w:type="dxa"/>
          </w:tcPr>
          <w:p>
            <w:pPr>
              <w:pStyle w:val="TableParagraph"/>
              <w:spacing w:before="18"/>
              <w:ind w:left="200"/>
              <w:rPr>
                <w:sz w:val="20"/>
              </w:rPr>
            </w:pPr>
            <w:r>
              <w:rPr>
                <w:color w:val="262526"/>
                <w:sz w:val="20"/>
              </w:rPr>
              <w:t>EFCS</w:t>
            </w:r>
          </w:p>
        </w:tc>
        <w:tc>
          <w:tcPr>
            <w:tcW w:w="5291" w:type="dxa"/>
          </w:tcPr>
          <w:p>
            <w:pPr>
              <w:pStyle w:val="TableParagraph"/>
              <w:spacing w:before="18"/>
              <w:ind w:left="1173"/>
              <w:rPr>
                <w:sz w:val="20"/>
              </w:rPr>
            </w:pPr>
            <w:r>
              <w:rPr>
                <w:color w:val="262526"/>
                <w:sz w:val="20"/>
              </w:rPr>
              <w:t>Emergency Frequency Control Schemes</w:t>
            </w:r>
          </w:p>
        </w:tc>
      </w:tr>
      <w:tr>
        <w:trPr>
          <w:trHeight w:val="314" w:hRule="atLeast"/>
        </w:trPr>
        <w:tc>
          <w:tcPr>
            <w:tcW w:w="2429" w:type="dxa"/>
          </w:tcPr>
          <w:p>
            <w:pPr>
              <w:pStyle w:val="TableParagraph"/>
              <w:spacing w:before="18"/>
              <w:ind w:left="200"/>
              <w:rPr>
                <w:sz w:val="20"/>
              </w:rPr>
            </w:pPr>
            <w:r>
              <w:rPr>
                <w:color w:val="262526"/>
                <w:sz w:val="20"/>
              </w:rPr>
              <w:t>FCAS</w:t>
            </w:r>
          </w:p>
        </w:tc>
        <w:tc>
          <w:tcPr>
            <w:tcW w:w="5291" w:type="dxa"/>
          </w:tcPr>
          <w:p>
            <w:pPr>
              <w:pStyle w:val="TableParagraph"/>
              <w:spacing w:before="18"/>
              <w:ind w:left="1173"/>
              <w:rPr>
                <w:sz w:val="20"/>
              </w:rPr>
            </w:pPr>
            <w:r>
              <w:rPr>
                <w:color w:val="262526"/>
                <w:sz w:val="20"/>
              </w:rPr>
              <w:t>Frequency Control Ancillary Services</w:t>
            </w:r>
          </w:p>
        </w:tc>
      </w:tr>
      <w:tr>
        <w:trPr>
          <w:trHeight w:val="314" w:hRule="atLeast"/>
        </w:trPr>
        <w:tc>
          <w:tcPr>
            <w:tcW w:w="2429" w:type="dxa"/>
          </w:tcPr>
          <w:p>
            <w:pPr>
              <w:pStyle w:val="TableParagraph"/>
              <w:spacing w:before="18"/>
              <w:ind w:left="200"/>
              <w:rPr>
                <w:sz w:val="20"/>
              </w:rPr>
            </w:pPr>
            <w:r>
              <w:rPr>
                <w:color w:val="262526"/>
                <w:sz w:val="20"/>
              </w:rPr>
              <w:t>ISP</w:t>
            </w:r>
          </w:p>
        </w:tc>
        <w:tc>
          <w:tcPr>
            <w:tcW w:w="5291" w:type="dxa"/>
          </w:tcPr>
          <w:p>
            <w:pPr>
              <w:pStyle w:val="TableParagraph"/>
              <w:spacing w:before="18"/>
              <w:ind w:left="1173"/>
              <w:rPr>
                <w:sz w:val="20"/>
              </w:rPr>
            </w:pPr>
            <w:r>
              <w:rPr>
                <w:color w:val="262526"/>
                <w:sz w:val="20"/>
              </w:rPr>
              <w:t>Integrated System Plan</w:t>
            </w:r>
          </w:p>
        </w:tc>
      </w:tr>
      <w:tr>
        <w:trPr>
          <w:trHeight w:val="314" w:hRule="atLeast"/>
        </w:trPr>
        <w:tc>
          <w:tcPr>
            <w:tcW w:w="2429" w:type="dxa"/>
          </w:tcPr>
          <w:p>
            <w:pPr>
              <w:pStyle w:val="TableParagraph"/>
              <w:spacing w:before="18"/>
              <w:ind w:left="200"/>
              <w:rPr>
                <w:sz w:val="20"/>
              </w:rPr>
            </w:pPr>
            <w:r>
              <w:rPr>
                <w:color w:val="262526"/>
                <w:sz w:val="20"/>
              </w:rPr>
              <w:t>NEL</w:t>
            </w:r>
          </w:p>
        </w:tc>
        <w:tc>
          <w:tcPr>
            <w:tcW w:w="5291" w:type="dxa"/>
          </w:tcPr>
          <w:p>
            <w:pPr>
              <w:pStyle w:val="TableParagraph"/>
              <w:spacing w:before="18"/>
              <w:ind w:left="1173"/>
              <w:rPr>
                <w:sz w:val="20"/>
              </w:rPr>
            </w:pPr>
            <w:r>
              <w:rPr>
                <w:color w:val="262526"/>
                <w:sz w:val="20"/>
              </w:rPr>
              <w:t>National Electricity Law</w:t>
            </w:r>
          </w:p>
        </w:tc>
      </w:tr>
      <w:tr>
        <w:trPr>
          <w:trHeight w:val="314" w:hRule="atLeast"/>
        </w:trPr>
        <w:tc>
          <w:tcPr>
            <w:tcW w:w="2429" w:type="dxa"/>
          </w:tcPr>
          <w:p>
            <w:pPr>
              <w:pStyle w:val="TableParagraph"/>
              <w:spacing w:before="18"/>
              <w:ind w:left="200"/>
              <w:rPr>
                <w:sz w:val="20"/>
              </w:rPr>
            </w:pPr>
            <w:r>
              <w:rPr>
                <w:color w:val="262526"/>
                <w:sz w:val="20"/>
              </w:rPr>
              <w:t>NEO</w:t>
            </w:r>
          </w:p>
        </w:tc>
        <w:tc>
          <w:tcPr>
            <w:tcW w:w="5291" w:type="dxa"/>
          </w:tcPr>
          <w:p>
            <w:pPr>
              <w:pStyle w:val="TableParagraph"/>
              <w:spacing w:before="18"/>
              <w:ind w:left="1173"/>
              <w:rPr>
                <w:sz w:val="20"/>
              </w:rPr>
            </w:pPr>
            <w:r>
              <w:rPr>
                <w:color w:val="262526"/>
                <w:sz w:val="20"/>
              </w:rPr>
              <w:t>National electricity objective</w:t>
            </w:r>
          </w:p>
        </w:tc>
      </w:tr>
      <w:tr>
        <w:trPr>
          <w:trHeight w:val="314" w:hRule="atLeast"/>
        </w:trPr>
        <w:tc>
          <w:tcPr>
            <w:tcW w:w="2429" w:type="dxa"/>
          </w:tcPr>
          <w:p>
            <w:pPr>
              <w:pStyle w:val="TableParagraph"/>
              <w:spacing w:before="18"/>
              <w:ind w:left="200"/>
              <w:rPr>
                <w:sz w:val="20"/>
              </w:rPr>
            </w:pPr>
            <w:r>
              <w:rPr>
                <w:color w:val="262526"/>
                <w:sz w:val="20"/>
              </w:rPr>
              <w:t>NER</w:t>
            </w:r>
          </w:p>
        </w:tc>
        <w:tc>
          <w:tcPr>
            <w:tcW w:w="5291" w:type="dxa"/>
          </w:tcPr>
          <w:p>
            <w:pPr>
              <w:pStyle w:val="TableParagraph"/>
              <w:spacing w:before="18"/>
              <w:ind w:left="1173"/>
              <w:rPr>
                <w:sz w:val="20"/>
              </w:rPr>
            </w:pPr>
            <w:r>
              <w:rPr>
                <w:color w:val="262526"/>
                <w:sz w:val="20"/>
              </w:rPr>
              <w:t>National Electricity Rules</w:t>
            </w:r>
          </w:p>
        </w:tc>
      </w:tr>
      <w:tr>
        <w:trPr>
          <w:trHeight w:val="314" w:hRule="atLeast"/>
        </w:trPr>
        <w:tc>
          <w:tcPr>
            <w:tcW w:w="2429" w:type="dxa"/>
          </w:tcPr>
          <w:p>
            <w:pPr>
              <w:pStyle w:val="TableParagraph"/>
              <w:spacing w:before="18"/>
              <w:ind w:left="200"/>
              <w:rPr>
                <w:sz w:val="20"/>
              </w:rPr>
            </w:pPr>
            <w:r>
              <w:rPr>
                <w:color w:val="262526"/>
                <w:sz w:val="20"/>
              </w:rPr>
              <w:t>NFRC</w:t>
            </w:r>
          </w:p>
        </w:tc>
        <w:tc>
          <w:tcPr>
            <w:tcW w:w="5291" w:type="dxa"/>
          </w:tcPr>
          <w:p>
            <w:pPr>
              <w:pStyle w:val="TableParagraph"/>
              <w:spacing w:before="18"/>
              <w:ind w:left="1173"/>
              <w:rPr>
                <w:sz w:val="20"/>
              </w:rPr>
            </w:pPr>
            <w:r>
              <w:rPr>
                <w:color w:val="262526"/>
                <w:sz w:val="20"/>
              </w:rPr>
              <w:t>National Federation Reform Council</w:t>
            </w:r>
          </w:p>
        </w:tc>
      </w:tr>
      <w:tr>
        <w:trPr>
          <w:trHeight w:val="314" w:hRule="atLeast"/>
        </w:trPr>
        <w:tc>
          <w:tcPr>
            <w:tcW w:w="2429" w:type="dxa"/>
          </w:tcPr>
          <w:p>
            <w:pPr>
              <w:pStyle w:val="TableParagraph"/>
              <w:spacing w:before="18"/>
              <w:ind w:left="200"/>
              <w:rPr>
                <w:sz w:val="20"/>
              </w:rPr>
            </w:pPr>
            <w:r>
              <w:rPr>
                <w:color w:val="262526"/>
                <w:sz w:val="20"/>
              </w:rPr>
              <w:t>NSP</w:t>
            </w:r>
          </w:p>
        </w:tc>
        <w:tc>
          <w:tcPr>
            <w:tcW w:w="5291" w:type="dxa"/>
          </w:tcPr>
          <w:p>
            <w:pPr>
              <w:pStyle w:val="TableParagraph"/>
              <w:spacing w:before="18"/>
              <w:ind w:left="1173"/>
              <w:rPr>
                <w:sz w:val="20"/>
              </w:rPr>
            </w:pPr>
            <w:r>
              <w:rPr>
                <w:color w:val="262526"/>
                <w:sz w:val="20"/>
              </w:rPr>
              <w:t>Network Service Provider</w:t>
            </w:r>
          </w:p>
        </w:tc>
      </w:tr>
      <w:tr>
        <w:trPr>
          <w:trHeight w:val="314" w:hRule="atLeast"/>
        </w:trPr>
        <w:tc>
          <w:tcPr>
            <w:tcW w:w="2429" w:type="dxa"/>
          </w:tcPr>
          <w:p>
            <w:pPr>
              <w:pStyle w:val="TableParagraph"/>
              <w:spacing w:before="18"/>
              <w:ind w:left="200"/>
              <w:rPr>
                <w:sz w:val="20"/>
              </w:rPr>
            </w:pPr>
            <w:r>
              <w:rPr>
                <w:color w:val="262526"/>
                <w:sz w:val="20"/>
              </w:rPr>
              <w:t>PSFRR</w:t>
            </w:r>
          </w:p>
        </w:tc>
        <w:tc>
          <w:tcPr>
            <w:tcW w:w="5291" w:type="dxa"/>
          </w:tcPr>
          <w:p>
            <w:pPr>
              <w:pStyle w:val="TableParagraph"/>
              <w:spacing w:before="18"/>
              <w:ind w:left="1173"/>
              <w:rPr>
                <w:sz w:val="20"/>
              </w:rPr>
            </w:pPr>
            <w:r>
              <w:rPr>
                <w:color w:val="262526"/>
                <w:sz w:val="20"/>
              </w:rPr>
              <w:t>Power System Frequency Risk Review</w:t>
            </w:r>
          </w:p>
        </w:tc>
      </w:tr>
      <w:tr>
        <w:trPr>
          <w:trHeight w:val="314" w:hRule="atLeast"/>
        </w:trPr>
        <w:tc>
          <w:tcPr>
            <w:tcW w:w="2429" w:type="dxa"/>
          </w:tcPr>
          <w:p>
            <w:pPr>
              <w:pStyle w:val="TableParagraph"/>
              <w:spacing w:before="18"/>
              <w:ind w:left="200"/>
              <w:rPr>
                <w:sz w:val="20"/>
              </w:rPr>
            </w:pPr>
            <w:r>
              <w:rPr>
                <w:color w:val="262526"/>
                <w:sz w:val="20"/>
              </w:rPr>
              <w:t>RIT-D</w:t>
            </w:r>
          </w:p>
        </w:tc>
        <w:tc>
          <w:tcPr>
            <w:tcW w:w="5291" w:type="dxa"/>
          </w:tcPr>
          <w:p>
            <w:pPr>
              <w:pStyle w:val="TableParagraph"/>
              <w:spacing w:before="18"/>
              <w:ind w:left="1173"/>
              <w:rPr>
                <w:sz w:val="20"/>
              </w:rPr>
            </w:pPr>
            <w:r>
              <w:rPr>
                <w:color w:val="262526"/>
                <w:sz w:val="20"/>
              </w:rPr>
              <w:t>Regulatory Investment Test for Distribution</w:t>
            </w:r>
          </w:p>
        </w:tc>
      </w:tr>
      <w:tr>
        <w:trPr>
          <w:trHeight w:val="314" w:hRule="atLeast"/>
        </w:trPr>
        <w:tc>
          <w:tcPr>
            <w:tcW w:w="2429" w:type="dxa"/>
          </w:tcPr>
          <w:p>
            <w:pPr>
              <w:pStyle w:val="TableParagraph"/>
              <w:spacing w:before="18"/>
              <w:ind w:left="200"/>
              <w:rPr>
                <w:sz w:val="20"/>
              </w:rPr>
            </w:pPr>
            <w:r>
              <w:rPr>
                <w:color w:val="262526"/>
                <w:sz w:val="20"/>
              </w:rPr>
              <w:t>RIT-T</w:t>
            </w:r>
          </w:p>
        </w:tc>
        <w:tc>
          <w:tcPr>
            <w:tcW w:w="5291" w:type="dxa"/>
          </w:tcPr>
          <w:p>
            <w:pPr>
              <w:pStyle w:val="TableParagraph"/>
              <w:spacing w:before="18"/>
              <w:ind w:left="1173"/>
              <w:rPr>
                <w:sz w:val="20"/>
              </w:rPr>
            </w:pPr>
            <w:r>
              <w:rPr>
                <w:color w:val="262526"/>
                <w:sz w:val="20"/>
              </w:rPr>
              <w:t>Regulatory Investment Test for Transmission</w:t>
            </w:r>
          </w:p>
        </w:tc>
      </w:tr>
      <w:tr>
        <w:trPr>
          <w:trHeight w:val="314" w:hRule="atLeast"/>
        </w:trPr>
        <w:tc>
          <w:tcPr>
            <w:tcW w:w="2429" w:type="dxa"/>
          </w:tcPr>
          <w:p>
            <w:pPr>
              <w:pStyle w:val="TableParagraph"/>
              <w:spacing w:before="18"/>
              <w:ind w:left="200"/>
              <w:rPr>
                <w:sz w:val="20"/>
              </w:rPr>
            </w:pPr>
            <w:r>
              <w:rPr>
                <w:color w:val="262526"/>
                <w:sz w:val="20"/>
              </w:rPr>
              <w:t>TNSP</w:t>
            </w:r>
          </w:p>
        </w:tc>
        <w:tc>
          <w:tcPr>
            <w:tcW w:w="5291" w:type="dxa"/>
          </w:tcPr>
          <w:p>
            <w:pPr>
              <w:pStyle w:val="TableParagraph"/>
              <w:spacing w:before="18"/>
              <w:ind w:left="1173"/>
              <w:rPr>
                <w:sz w:val="20"/>
              </w:rPr>
            </w:pPr>
            <w:r>
              <w:rPr>
                <w:color w:val="262526"/>
                <w:sz w:val="20"/>
              </w:rPr>
              <w:t>Transmission Network Service Provider</w:t>
            </w:r>
          </w:p>
        </w:tc>
      </w:tr>
      <w:tr>
        <w:trPr>
          <w:trHeight w:val="302" w:hRule="atLeast"/>
        </w:trPr>
        <w:tc>
          <w:tcPr>
            <w:tcW w:w="2429" w:type="dxa"/>
          </w:tcPr>
          <w:p>
            <w:pPr>
              <w:pStyle w:val="TableParagraph"/>
              <w:spacing w:before="18"/>
              <w:ind w:left="200"/>
              <w:rPr>
                <w:sz w:val="20"/>
              </w:rPr>
            </w:pPr>
            <w:r>
              <w:rPr>
                <w:color w:val="262526"/>
                <w:sz w:val="20"/>
              </w:rPr>
              <w:t>Rules</w:t>
            </w:r>
          </w:p>
        </w:tc>
        <w:tc>
          <w:tcPr>
            <w:tcW w:w="5291" w:type="dxa"/>
          </w:tcPr>
          <w:p>
            <w:pPr>
              <w:pStyle w:val="TableParagraph"/>
              <w:spacing w:before="18"/>
              <w:ind w:left="1173"/>
              <w:rPr>
                <w:sz w:val="20"/>
              </w:rPr>
            </w:pPr>
            <w:r>
              <w:rPr>
                <w:color w:val="262526"/>
                <w:sz w:val="20"/>
              </w:rPr>
              <w:t>See NER</w:t>
            </w:r>
          </w:p>
        </w:tc>
      </w:tr>
    </w:tbl>
    <w:p>
      <w:pPr>
        <w:spacing w:after="0"/>
        <w:rPr>
          <w:sz w:val="20"/>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ListParagraph"/>
        <w:numPr>
          <w:ilvl w:val="0"/>
          <w:numId w:val="29"/>
        </w:numPr>
        <w:tabs>
          <w:tab w:pos="2692" w:val="left" w:leader="none"/>
          <w:tab w:pos="2693" w:val="left" w:leader="none"/>
        </w:tabs>
        <w:spacing w:line="237" w:lineRule="auto" w:before="116" w:after="0"/>
        <w:ind w:left="2692" w:right="469" w:hanging="1560"/>
        <w:jc w:val="left"/>
        <w:rPr>
          <w:sz w:val="36"/>
        </w:rPr>
      </w:pPr>
      <w:bookmarkStart w:name="A Existing arrangements for reviewing an" w:id="46"/>
      <w:bookmarkEnd w:id="46"/>
      <w:r>
        <w:rPr/>
      </w:r>
      <w:bookmarkStart w:name="_bookmark14" w:id="47"/>
      <w:bookmarkEnd w:id="47"/>
      <w:r>
        <w:rPr/>
      </w:r>
      <w:bookmarkStart w:name="_bookmark14" w:id="48"/>
      <w:bookmarkEnd w:id="48"/>
      <w:r>
        <w:rPr>
          <w:color w:val="00ACEC"/>
          <w:sz w:val="36"/>
        </w:rPr>
        <w:t>EXISTIN</w:t>
      </w:r>
      <w:r>
        <w:rPr>
          <w:color w:val="00ACEC"/>
          <w:sz w:val="36"/>
        </w:rPr>
        <w:t>G ARRANGEMENTS FOR REVIEWING AND MANAGING FREQUENCY RISKS ARISING FROM NON-CREDIBLE CONTINGENCY</w:t>
      </w:r>
      <w:r>
        <w:rPr>
          <w:color w:val="00ACEC"/>
          <w:spacing w:val="-1"/>
          <w:sz w:val="36"/>
        </w:rPr>
        <w:t> </w:t>
      </w:r>
      <w:r>
        <w:rPr>
          <w:color w:val="00ACEC"/>
          <w:sz w:val="36"/>
        </w:rPr>
        <w:t>EVENTS</w:t>
      </w:r>
    </w:p>
    <w:p>
      <w:pPr>
        <w:pStyle w:val="BodyText"/>
        <w:spacing w:line="278" w:lineRule="auto" w:before="237"/>
        <w:ind w:left="2692" w:right="137"/>
      </w:pPr>
      <w:r>
        <w:rPr>
          <w:color w:val="262526"/>
        </w:rPr>
        <w:t>The PSFRR is an integrated, transparent framework for the consideration and management of frequency risks that AEMO expects would be likely to involve uncontrolled increases or decreases in frequency leading to cascading outages or major supply disruptions associated with non-credible contingencies. The purpose of the existing PSFRR is to determine whether:</w:t>
      </w:r>
    </w:p>
    <w:p>
      <w:pPr>
        <w:pStyle w:val="ListParagraph"/>
        <w:numPr>
          <w:ilvl w:val="1"/>
          <w:numId w:val="29"/>
        </w:numPr>
        <w:tabs>
          <w:tab w:pos="3033" w:val="left" w:leader="none"/>
          <w:tab w:pos="3034" w:val="left" w:leader="none"/>
        </w:tabs>
        <w:spacing w:line="278" w:lineRule="auto" w:before="113" w:after="0"/>
        <w:ind w:left="3033" w:right="427" w:hanging="341"/>
        <w:jc w:val="left"/>
        <w:rPr>
          <w:sz w:val="20"/>
        </w:rPr>
      </w:pPr>
      <w:r>
        <w:rPr>
          <w:color w:val="262526"/>
          <w:sz w:val="20"/>
        </w:rPr>
        <w:t>in order to limit the consequences of some non-credible contingency events, there is a need to introduce, modify or adapt automatic schemes to shed load or generation,</w:t>
      </w:r>
      <w:r>
        <w:rPr>
          <w:color w:val="262526"/>
          <w:spacing w:val="42"/>
          <w:sz w:val="20"/>
        </w:rPr>
        <w:t> </w:t>
      </w:r>
      <w:r>
        <w:rPr>
          <w:color w:val="262526"/>
          <w:sz w:val="20"/>
        </w:rPr>
        <w:t>or</w:t>
      </w:r>
    </w:p>
    <w:p>
      <w:pPr>
        <w:pStyle w:val="ListParagraph"/>
        <w:numPr>
          <w:ilvl w:val="1"/>
          <w:numId w:val="29"/>
        </w:numPr>
        <w:tabs>
          <w:tab w:pos="3033" w:val="left" w:leader="none"/>
          <w:tab w:pos="3034" w:val="left" w:leader="none"/>
        </w:tabs>
        <w:spacing w:line="278" w:lineRule="auto" w:before="56" w:after="0"/>
        <w:ind w:left="3033" w:right="225" w:hanging="341"/>
        <w:jc w:val="left"/>
        <w:rPr>
          <w:sz w:val="12"/>
        </w:rPr>
      </w:pPr>
      <w:r>
        <w:rPr>
          <w:color w:val="262526"/>
          <w:sz w:val="20"/>
        </w:rPr>
        <w:t>it would be economic for AEMO to operate the power system in a way that limits the consequences of certain high consequence non-credible contingency events, should they </w:t>
      </w:r>
      <w:r>
        <w:rPr>
          <w:color w:val="262526"/>
          <w:spacing w:val="-6"/>
          <w:sz w:val="20"/>
        </w:rPr>
        <w:t>occur. </w:t>
      </w:r>
      <w:r>
        <w:rPr>
          <w:color w:val="262526"/>
          <w:sz w:val="20"/>
        </w:rPr>
        <w:t>This process can lead to the declaration of a protected event by the Reliability Panel.</w:t>
      </w:r>
      <w:r>
        <w:rPr>
          <w:color w:val="262526"/>
          <w:position w:val="8"/>
          <w:sz w:val="12"/>
        </w:rPr>
        <w:t>76</w:t>
      </w:r>
    </w:p>
    <w:p>
      <w:pPr>
        <w:pStyle w:val="BodyText"/>
        <w:spacing w:line="278" w:lineRule="auto" w:before="57"/>
        <w:ind w:left="2692" w:right="295"/>
      </w:pPr>
      <w:r>
        <w:rPr>
          <w:color w:val="262526"/>
        </w:rPr>
        <w:t>The PSFRR outlines a different process for AEMO to follow for each of the purposes mentioned above. For the former, once a need to introduce, modify or adapt such an Emergency Frequency Control Scheme is identified:</w:t>
      </w:r>
    </w:p>
    <w:p>
      <w:pPr>
        <w:pStyle w:val="ListParagraph"/>
        <w:numPr>
          <w:ilvl w:val="1"/>
          <w:numId w:val="29"/>
        </w:numPr>
        <w:tabs>
          <w:tab w:pos="3033" w:val="left" w:leader="none"/>
          <w:tab w:pos="3034" w:val="left" w:leader="none"/>
        </w:tabs>
        <w:spacing w:line="278" w:lineRule="auto" w:before="113" w:after="0"/>
        <w:ind w:left="3033" w:right="717" w:hanging="341"/>
        <w:jc w:val="left"/>
        <w:rPr>
          <w:sz w:val="20"/>
        </w:rPr>
      </w:pPr>
      <w:r>
        <w:rPr>
          <w:color w:val="262526"/>
          <w:sz w:val="20"/>
        </w:rPr>
        <w:t>the assessment, design, implementation and monitoring of the scheme will largely proceed through the existing framework for NSP planning and investment decision- making in the NER, and</w:t>
      </w:r>
    </w:p>
    <w:p>
      <w:pPr>
        <w:pStyle w:val="ListParagraph"/>
        <w:numPr>
          <w:ilvl w:val="1"/>
          <w:numId w:val="29"/>
        </w:numPr>
        <w:tabs>
          <w:tab w:pos="3033" w:val="left" w:leader="none"/>
          <w:tab w:pos="3034" w:val="left" w:leader="none"/>
        </w:tabs>
        <w:spacing w:line="278" w:lineRule="auto" w:before="57" w:after="0"/>
        <w:ind w:left="3033" w:right="428" w:hanging="341"/>
        <w:jc w:val="left"/>
        <w:rPr>
          <w:sz w:val="20"/>
        </w:rPr>
      </w:pPr>
      <w:r>
        <w:rPr>
          <w:color w:val="262526"/>
          <w:sz w:val="20"/>
        </w:rPr>
        <w:t>the Regulatory Investment </w:t>
      </w:r>
      <w:r>
        <w:rPr>
          <w:color w:val="262526"/>
          <w:spacing w:val="-6"/>
          <w:sz w:val="20"/>
        </w:rPr>
        <w:t>Test </w:t>
      </w:r>
      <w:r>
        <w:rPr>
          <w:color w:val="262526"/>
          <w:sz w:val="20"/>
        </w:rPr>
        <w:t>for Transmission </w:t>
      </w:r>
      <w:r>
        <w:rPr>
          <w:color w:val="262526"/>
          <w:spacing w:val="-5"/>
          <w:sz w:val="20"/>
        </w:rPr>
        <w:t>(RIT-T) </w:t>
      </w:r>
      <w:r>
        <w:rPr>
          <w:color w:val="262526"/>
          <w:sz w:val="20"/>
        </w:rPr>
        <w:t>or Distribution </w:t>
      </w:r>
      <w:r>
        <w:rPr>
          <w:color w:val="262526"/>
          <w:spacing w:val="-3"/>
          <w:sz w:val="20"/>
        </w:rPr>
        <w:t>(RIT-D) </w:t>
      </w:r>
      <w:r>
        <w:rPr>
          <w:color w:val="262526"/>
          <w:sz w:val="20"/>
        </w:rPr>
        <w:t>will be used to assess the economic case for the</w:t>
      </w:r>
      <w:r>
        <w:rPr>
          <w:color w:val="262526"/>
          <w:spacing w:val="1"/>
          <w:sz w:val="20"/>
        </w:rPr>
        <w:t> </w:t>
      </w:r>
      <w:r>
        <w:rPr>
          <w:color w:val="262526"/>
          <w:sz w:val="20"/>
        </w:rPr>
        <w:t>change.</w:t>
      </w:r>
    </w:p>
    <w:p>
      <w:pPr>
        <w:pStyle w:val="BodyText"/>
        <w:spacing w:line="278" w:lineRule="auto" w:before="57"/>
        <w:ind w:left="2692"/>
      </w:pPr>
      <w:r>
        <w:rPr>
          <w:color w:val="262526"/>
        </w:rPr>
        <w:t>For the latter purpose, if AEMO identifies through the PSFRR one or more non-credible contingency events which it considers it may be economically efficient to manage:</w:t>
      </w:r>
    </w:p>
    <w:p>
      <w:pPr>
        <w:pStyle w:val="ListParagraph"/>
        <w:numPr>
          <w:ilvl w:val="1"/>
          <w:numId w:val="29"/>
        </w:numPr>
        <w:tabs>
          <w:tab w:pos="3033" w:val="left" w:leader="none"/>
          <w:tab w:pos="3034" w:val="left" w:leader="none"/>
        </w:tabs>
        <w:spacing w:line="278" w:lineRule="auto" w:before="113" w:after="0"/>
        <w:ind w:left="3033" w:right="486" w:hanging="341"/>
        <w:jc w:val="left"/>
        <w:rPr>
          <w:sz w:val="20"/>
        </w:rPr>
      </w:pPr>
      <w:r>
        <w:rPr>
          <w:color w:val="262526"/>
          <w:sz w:val="20"/>
        </w:rPr>
        <w:t>AEMO can submit a request to the Reliability Panel to have the event declared to be a protected event</w:t>
      </w:r>
    </w:p>
    <w:p>
      <w:pPr>
        <w:pStyle w:val="ListParagraph"/>
        <w:numPr>
          <w:ilvl w:val="1"/>
          <w:numId w:val="29"/>
        </w:numPr>
        <w:tabs>
          <w:tab w:pos="3033" w:val="left" w:leader="none"/>
          <w:tab w:pos="3034" w:val="left" w:leader="none"/>
        </w:tabs>
        <w:spacing w:line="278" w:lineRule="auto" w:before="57" w:after="0"/>
        <w:ind w:left="3033" w:right="148" w:hanging="341"/>
        <w:jc w:val="left"/>
        <w:rPr>
          <w:sz w:val="20"/>
        </w:rPr>
      </w:pPr>
      <w:r>
        <w:rPr>
          <w:color w:val="262526"/>
          <w:sz w:val="20"/>
        </w:rPr>
        <w:t>ex-ante measures may be used to manage an event either alone or in combination with a new or modified Emergency Frequency Control</w:t>
      </w:r>
      <w:r>
        <w:rPr>
          <w:color w:val="262526"/>
          <w:spacing w:val="3"/>
          <w:sz w:val="20"/>
        </w:rPr>
        <w:t> </w:t>
      </w:r>
      <w:r>
        <w:rPr>
          <w:color w:val="262526"/>
          <w:sz w:val="20"/>
        </w:rPr>
        <w:t>Scheme</w:t>
      </w:r>
    </w:p>
    <w:p>
      <w:pPr>
        <w:pStyle w:val="ListParagraph"/>
        <w:numPr>
          <w:ilvl w:val="1"/>
          <w:numId w:val="29"/>
        </w:numPr>
        <w:tabs>
          <w:tab w:pos="3033" w:val="left" w:leader="none"/>
          <w:tab w:pos="3034" w:val="left" w:leader="none"/>
        </w:tabs>
        <w:spacing w:line="278" w:lineRule="auto" w:before="56" w:after="0"/>
        <w:ind w:left="3033" w:right="160" w:hanging="341"/>
        <w:jc w:val="left"/>
        <w:rPr>
          <w:sz w:val="20"/>
        </w:rPr>
      </w:pPr>
      <w:r>
        <w:rPr>
          <w:color w:val="262526"/>
          <w:sz w:val="20"/>
        </w:rPr>
        <w:t>the Reliability Panel undertakes an economic assessment of the request by weighing the costs of the options for managing the event against the benefits of avoiding the consequences of the non-credible contingency event should it </w:t>
      </w:r>
      <w:r>
        <w:rPr>
          <w:color w:val="262526"/>
          <w:spacing w:val="-6"/>
          <w:sz w:val="20"/>
        </w:rPr>
        <w:t>occur. </w:t>
      </w:r>
      <w:r>
        <w:rPr>
          <w:color w:val="262526"/>
          <w:sz w:val="20"/>
        </w:rPr>
        <w:t>Where the benefits of managing the event outweigh the costs of doing so, the Reliability Panel would declare the event a protected event, and</w:t>
      </w:r>
    </w:p>
    <w:p>
      <w:pPr>
        <w:pStyle w:val="ListParagraph"/>
        <w:numPr>
          <w:ilvl w:val="1"/>
          <w:numId w:val="29"/>
        </w:numPr>
        <w:tabs>
          <w:tab w:pos="3033" w:val="left" w:leader="none"/>
          <w:tab w:pos="3034" w:val="left" w:leader="none"/>
        </w:tabs>
        <w:spacing w:line="278" w:lineRule="auto" w:before="57" w:after="0"/>
        <w:ind w:left="3033" w:right="119" w:hanging="341"/>
        <w:jc w:val="left"/>
        <w:rPr>
          <w:sz w:val="20"/>
        </w:rPr>
      </w:pPr>
      <w:r>
        <w:rPr>
          <w:color w:val="262526"/>
          <w:sz w:val="20"/>
        </w:rPr>
        <w:t>where the efficient management option includes a new or modified Emergency Frequency Control Scheme, the Reliability Panel would set a “protected event Emergency Frequency Control Scheme </w:t>
      </w:r>
      <w:r>
        <w:rPr>
          <w:color w:val="262526"/>
          <w:spacing w:val="-3"/>
          <w:sz w:val="20"/>
        </w:rPr>
        <w:t>standard”, </w:t>
      </w:r>
      <w:r>
        <w:rPr>
          <w:color w:val="262526"/>
          <w:sz w:val="20"/>
        </w:rPr>
        <w:t>which is a set of target capabilities for the</w:t>
      </w:r>
      <w:r>
        <w:rPr>
          <w:color w:val="262526"/>
          <w:spacing w:val="13"/>
          <w:sz w:val="20"/>
        </w:rPr>
        <w:t> </w:t>
      </w:r>
      <w:r>
        <w:rPr>
          <w:color w:val="262526"/>
          <w:sz w:val="20"/>
        </w:rPr>
        <w:t>scheme.</w:t>
      </w:r>
    </w:p>
    <w:p>
      <w:pPr>
        <w:pStyle w:val="BodyText"/>
      </w:pPr>
    </w:p>
    <w:p>
      <w:pPr>
        <w:pStyle w:val="BodyText"/>
      </w:pPr>
    </w:p>
    <w:p>
      <w:pPr>
        <w:pStyle w:val="BodyText"/>
        <w:spacing w:before="5"/>
        <w:rPr>
          <w:sz w:val="17"/>
        </w:rPr>
      </w:pPr>
      <w:r>
        <w:rPr/>
        <w:pict>
          <v:shape style="position:absolute;margin-left:134.645996pt;margin-top:12.96175pt;width:49.65pt;height:.1pt;mso-position-horizontal-relative:page;mso-position-vertical-relative:paragraph;z-index:-15713280;mso-wrap-distance-left:0;mso-wrap-distance-right:0" coordorigin="2693,259" coordsize="993,0" path="m2693,259l3685,259e" filled="false" stroked="true" strokeweight="1pt" strokecolor="#262526">
            <v:path arrowok="t"/>
            <v:stroke dashstyle="solid"/>
            <w10:wrap type="topAndBottom"/>
          </v:shape>
        </w:pict>
      </w:r>
    </w:p>
    <w:p>
      <w:pPr>
        <w:pStyle w:val="ListParagraph"/>
        <w:numPr>
          <w:ilvl w:val="0"/>
          <w:numId w:val="24"/>
        </w:numPr>
        <w:tabs>
          <w:tab w:pos="3034" w:val="left" w:leader="none"/>
        </w:tabs>
        <w:spacing w:line="240" w:lineRule="auto" w:before="98" w:after="0"/>
        <w:ind w:left="3033" w:right="334" w:hanging="341"/>
        <w:jc w:val="left"/>
        <w:rPr>
          <w:sz w:val="14"/>
        </w:rPr>
      </w:pPr>
      <w:r>
        <w:rPr>
          <w:color w:val="262526"/>
          <w:sz w:val="14"/>
        </w:rPr>
        <w:t>AEMC,</w:t>
      </w:r>
      <w:r>
        <w:rPr>
          <w:color w:val="262526"/>
          <w:spacing w:val="-3"/>
          <w:sz w:val="14"/>
        </w:rPr>
        <w:t> </w:t>
      </w:r>
      <w:r>
        <w:rPr>
          <w:color w:val="262526"/>
          <w:sz w:val="14"/>
        </w:rPr>
        <w:t>Emergency</w:t>
      </w:r>
      <w:r>
        <w:rPr>
          <w:color w:val="262526"/>
          <w:spacing w:val="-3"/>
          <w:sz w:val="14"/>
        </w:rPr>
        <w:t> </w:t>
      </w:r>
      <w:r>
        <w:rPr>
          <w:color w:val="262526"/>
          <w:sz w:val="14"/>
        </w:rPr>
        <w:t>frequency</w:t>
      </w:r>
      <w:r>
        <w:rPr>
          <w:color w:val="262526"/>
          <w:spacing w:val="-3"/>
          <w:sz w:val="14"/>
        </w:rPr>
        <w:t> </w:t>
      </w:r>
      <w:r>
        <w:rPr>
          <w:color w:val="262526"/>
          <w:sz w:val="14"/>
        </w:rPr>
        <w:t>control</w:t>
      </w:r>
      <w:r>
        <w:rPr>
          <w:color w:val="262526"/>
          <w:spacing w:val="-4"/>
          <w:sz w:val="14"/>
        </w:rPr>
        <w:t> </w:t>
      </w:r>
      <w:r>
        <w:rPr>
          <w:color w:val="262526"/>
          <w:sz w:val="14"/>
        </w:rPr>
        <w:t>schemes,</w:t>
      </w:r>
      <w:r>
        <w:rPr>
          <w:color w:val="262526"/>
          <w:spacing w:val="-4"/>
          <w:sz w:val="14"/>
        </w:rPr>
        <w:t> </w:t>
      </w:r>
      <w:r>
        <w:rPr>
          <w:color w:val="262526"/>
          <w:sz w:val="14"/>
        </w:rPr>
        <w:t>rule</w:t>
      </w:r>
      <w:r>
        <w:rPr>
          <w:color w:val="262526"/>
          <w:spacing w:val="-3"/>
          <w:sz w:val="14"/>
        </w:rPr>
        <w:t> </w:t>
      </w:r>
      <w:r>
        <w:rPr>
          <w:color w:val="262526"/>
          <w:sz w:val="14"/>
        </w:rPr>
        <w:t>determination,</w:t>
      </w:r>
      <w:r>
        <w:rPr>
          <w:color w:val="262526"/>
          <w:spacing w:val="-3"/>
          <w:sz w:val="14"/>
        </w:rPr>
        <w:t> </w:t>
      </w:r>
      <w:r>
        <w:rPr>
          <w:color w:val="262526"/>
          <w:sz w:val="14"/>
        </w:rPr>
        <w:t>30</w:t>
      </w:r>
      <w:r>
        <w:rPr>
          <w:color w:val="262526"/>
          <w:spacing w:val="-3"/>
          <w:sz w:val="14"/>
        </w:rPr>
        <w:t> </w:t>
      </w:r>
      <w:r>
        <w:rPr>
          <w:color w:val="262526"/>
          <w:sz w:val="14"/>
        </w:rPr>
        <w:t>March</w:t>
      </w:r>
      <w:r>
        <w:rPr>
          <w:color w:val="262526"/>
          <w:spacing w:val="-2"/>
          <w:sz w:val="14"/>
        </w:rPr>
        <w:t> </w:t>
      </w:r>
      <w:r>
        <w:rPr>
          <w:color w:val="262526"/>
          <w:sz w:val="14"/>
        </w:rPr>
        <w:t>2017</w:t>
      </w:r>
      <w:r>
        <w:rPr>
          <w:color w:val="262526"/>
          <w:spacing w:val="-3"/>
          <w:sz w:val="14"/>
        </w:rPr>
        <w:t> </w:t>
      </w:r>
      <w:r>
        <w:rPr>
          <w:color w:val="262526"/>
          <w:sz w:val="14"/>
        </w:rPr>
        <w:t>p.</w:t>
      </w:r>
      <w:r>
        <w:rPr>
          <w:color w:val="262526"/>
          <w:spacing w:val="-3"/>
          <w:sz w:val="14"/>
        </w:rPr>
        <w:t> </w:t>
      </w:r>
      <w:r>
        <w:rPr>
          <w:color w:val="262526"/>
          <w:sz w:val="14"/>
        </w:rPr>
        <w:t>ii.</w:t>
      </w:r>
      <w:r>
        <w:rPr>
          <w:color w:val="262526"/>
          <w:spacing w:val="-3"/>
          <w:sz w:val="14"/>
        </w:rPr>
        <w:t> </w:t>
      </w:r>
      <w:r>
        <w:rPr>
          <w:color w:val="262526"/>
          <w:sz w:val="14"/>
        </w:rPr>
        <w:t>For</w:t>
      </w:r>
      <w:r>
        <w:rPr>
          <w:color w:val="262526"/>
          <w:spacing w:val="-3"/>
          <w:sz w:val="14"/>
        </w:rPr>
        <w:t> </w:t>
      </w:r>
      <w:r>
        <w:rPr>
          <w:color w:val="262526"/>
          <w:sz w:val="14"/>
        </w:rPr>
        <w:t>the</w:t>
      </w:r>
      <w:r>
        <w:rPr>
          <w:color w:val="262526"/>
          <w:spacing w:val="-3"/>
          <w:sz w:val="14"/>
        </w:rPr>
        <w:t> </w:t>
      </w:r>
      <w:r>
        <w:rPr>
          <w:color w:val="262526"/>
          <w:sz w:val="14"/>
        </w:rPr>
        <w:t>definition</w:t>
      </w:r>
      <w:r>
        <w:rPr>
          <w:color w:val="262526"/>
          <w:spacing w:val="-3"/>
          <w:sz w:val="14"/>
        </w:rPr>
        <w:t> </w:t>
      </w:r>
      <w:r>
        <w:rPr>
          <w:color w:val="262526"/>
          <w:sz w:val="14"/>
        </w:rPr>
        <w:t>of</w:t>
      </w:r>
      <w:r>
        <w:rPr>
          <w:color w:val="262526"/>
          <w:spacing w:val="-3"/>
          <w:sz w:val="14"/>
        </w:rPr>
        <w:t> </w:t>
      </w:r>
      <w:r>
        <w:rPr>
          <w:color w:val="262526"/>
          <w:sz w:val="14"/>
        </w:rPr>
        <w:t>a</w:t>
      </w:r>
      <w:r>
        <w:rPr>
          <w:color w:val="262526"/>
          <w:spacing w:val="-2"/>
          <w:sz w:val="14"/>
        </w:rPr>
        <w:t> </w:t>
      </w:r>
      <w:r>
        <w:rPr>
          <w:color w:val="262526"/>
          <w:sz w:val="14"/>
        </w:rPr>
        <w:t>protected</w:t>
      </w:r>
      <w:r>
        <w:rPr>
          <w:color w:val="262526"/>
          <w:spacing w:val="-3"/>
          <w:sz w:val="14"/>
        </w:rPr>
        <w:t> </w:t>
      </w:r>
      <w:r>
        <w:rPr>
          <w:color w:val="262526"/>
          <w:sz w:val="14"/>
        </w:rPr>
        <w:t>event, see box</w:t>
      </w:r>
      <w:r>
        <w:rPr>
          <w:color w:val="262526"/>
          <w:spacing w:val="-2"/>
          <w:sz w:val="14"/>
        </w:rPr>
        <w:t> </w:t>
      </w:r>
      <w:r>
        <w:rPr>
          <w:color w:val="262526"/>
          <w:sz w:val="14"/>
        </w:rPr>
        <w:t>1.</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ight="295"/>
      </w:pPr>
      <w:bookmarkStart w:name="Figure A.1:  Process flow of the PSFRR " w:id="49"/>
      <w:bookmarkEnd w:id="49"/>
      <w:r>
        <w:rPr/>
      </w:r>
      <w:bookmarkStart w:name="_bookmark15" w:id="50"/>
      <w:bookmarkEnd w:id="50"/>
      <w:r>
        <w:rPr/>
      </w:r>
      <w:r>
        <w:rPr>
          <w:color w:val="262526"/>
        </w:rPr>
        <w:t>Importantly, NSPs would be exempt from having to undertake a RIT-T or RIT-D for investments made as a part of a declared protected event. This is because the Reliability Panel would have already undertaken a cost benefit analysis of the operation recommended by AEMO in the PSFRR. This process is detailed graphically in Figure A.1.</w:t>
      </w:r>
    </w:p>
    <w:p>
      <w:pPr>
        <w:pStyle w:val="BodyText"/>
        <w:spacing w:before="1"/>
        <w:rPr>
          <w:sz w:val="30"/>
        </w:rPr>
      </w:pPr>
    </w:p>
    <w:p>
      <w:pPr>
        <w:pStyle w:val="Heading4"/>
        <w:spacing w:before="0"/>
        <w:ind w:left="2693"/>
        <w:rPr>
          <w:rFonts w:ascii="Trebuchet MS"/>
        </w:rPr>
      </w:pPr>
      <w:r>
        <w:rPr>
          <w:rFonts w:ascii="Trebuchet MS"/>
          <w:color w:val="00ACEC"/>
        </w:rPr>
        <w:t>Figure A.1: </w:t>
      </w:r>
      <w:r>
        <w:rPr>
          <w:rFonts w:ascii="Trebuchet MS"/>
          <w:color w:val="262526"/>
        </w:rPr>
        <w:t>Process flow of the PSFRR</w:t>
      </w:r>
    </w:p>
    <w:p>
      <w:pPr>
        <w:tabs>
          <w:tab w:pos="11053" w:val="left" w:leader="none"/>
        </w:tabs>
        <w:spacing w:before="40"/>
        <w:ind w:left="2692" w:right="0" w:firstLine="0"/>
        <w:jc w:val="left"/>
        <w:rPr>
          <w:rFonts w:ascii="Arial"/>
          <w:sz w:val="4"/>
        </w:rPr>
      </w:pPr>
      <w:r>
        <w:rPr/>
        <w:drawing>
          <wp:anchor distT="0" distB="0" distL="0" distR="0" allowOverlap="1" layoutInCell="1" locked="0" behindDoc="0" simplePos="0" relativeHeight="31">
            <wp:simplePos x="0" y="0"/>
            <wp:positionH relativeFrom="page">
              <wp:posOffset>1781812</wp:posOffset>
            </wp:positionH>
            <wp:positionV relativeFrom="paragraph">
              <wp:posOffset>133206</wp:posOffset>
            </wp:positionV>
            <wp:extent cx="5210945" cy="6249543"/>
            <wp:effectExtent l="0" t="0" r="0" b="0"/>
            <wp:wrapTopAndBottom/>
            <wp:docPr id="1" name="image3.png"/>
            <wp:cNvGraphicFramePr>
              <a:graphicFrameLocks noChangeAspect="1"/>
            </wp:cNvGraphicFramePr>
            <a:graphic>
              <a:graphicData uri="http://schemas.openxmlformats.org/drawingml/2006/picture">
                <pic:pic>
                  <pic:nvPicPr>
                    <pic:cNvPr id="2" name="image3.png"/>
                    <pic:cNvPicPr/>
                  </pic:nvPicPr>
                  <pic:blipFill>
                    <a:blip r:embed="rId21" cstate="print"/>
                    <a:stretch>
                      <a:fillRect/>
                    </a:stretch>
                  </pic:blipFill>
                  <pic:spPr>
                    <a:xfrm>
                      <a:off x="0" y="0"/>
                      <a:ext cx="5210945" cy="6249543"/>
                    </a:xfrm>
                    <a:prstGeom prst="rect">
                      <a:avLst/>
                    </a:prstGeom>
                  </pic:spPr>
                </pic:pic>
              </a:graphicData>
            </a:graphic>
          </wp:anchor>
        </w:drawing>
      </w:r>
      <w:r>
        <w:rPr>
          <w:rFonts w:ascii="Arial"/>
          <w:color w:val="FFFFFF"/>
          <w:spacing w:val="-23"/>
          <w:sz w:val="4"/>
        </w:rPr>
        <w:t>0</w:t>
      </w:r>
      <w:r>
        <w:rPr>
          <w:rFonts w:ascii="Arial"/>
          <w:color w:val="FFFFFF"/>
          <w:sz w:val="4"/>
          <w:u w:val="single" w:color="00ACEC"/>
        </w:rPr>
        <w:t> </w:t>
        <w:tab/>
      </w:r>
    </w:p>
    <w:p>
      <w:pPr>
        <w:pStyle w:val="BodyText"/>
        <w:spacing w:before="3"/>
        <w:rPr>
          <w:rFonts w:ascii="Arial"/>
          <w:sz w:val="3"/>
        </w:rPr>
      </w:pPr>
    </w:p>
    <w:p>
      <w:pPr>
        <w:spacing w:before="1"/>
        <w:ind w:left="2692" w:right="0" w:firstLine="0"/>
        <w:jc w:val="left"/>
        <w:rPr>
          <w:sz w:val="14"/>
        </w:rPr>
      </w:pPr>
      <w:r>
        <w:rPr>
          <w:color w:val="262526"/>
          <w:sz w:val="14"/>
        </w:rPr>
        <w:t>Source: AEMC</w:t>
      </w:r>
    </w:p>
    <w:p>
      <w:pPr>
        <w:spacing w:after="0"/>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Heading1"/>
        <w:numPr>
          <w:ilvl w:val="0"/>
          <w:numId w:val="29"/>
        </w:numPr>
        <w:tabs>
          <w:tab w:pos="2692" w:val="left" w:leader="none"/>
          <w:tab w:pos="2693" w:val="left" w:leader="none"/>
        </w:tabs>
        <w:spacing w:line="240" w:lineRule="auto" w:before="112" w:after="0"/>
        <w:ind w:left="2692" w:right="0" w:hanging="1560"/>
        <w:jc w:val="left"/>
      </w:pPr>
      <w:bookmarkStart w:name="B Related Commission work " w:id="51"/>
      <w:bookmarkEnd w:id="51"/>
      <w:r>
        <w:rPr/>
      </w:r>
      <w:bookmarkStart w:name="B.1 Enhancing operational resilience in " w:id="52"/>
      <w:bookmarkEnd w:id="52"/>
      <w:r>
        <w:rPr/>
      </w:r>
      <w:bookmarkStart w:name="_bookmark16" w:id="53"/>
      <w:bookmarkEnd w:id="53"/>
      <w:r>
        <w:rPr/>
      </w:r>
      <w:bookmarkStart w:name="_bookmark16" w:id="54"/>
      <w:bookmarkEnd w:id="54"/>
      <w:r>
        <w:rPr>
          <w:color w:val="00ACEC"/>
          <w:spacing w:val="-5"/>
        </w:rPr>
        <w:t>RE</w:t>
      </w:r>
      <w:r>
        <w:rPr>
          <w:color w:val="00ACEC"/>
          <w:spacing w:val="-5"/>
        </w:rPr>
        <w:t>LATED </w:t>
      </w:r>
      <w:r>
        <w:rPr>
          <w:color w:val="00ACEC"/>
        </w:rPr>
        <w:t>COMMISSION</w:t>
      </w:r>
      <w:r>
        <w:rPr>
          <w:color w:val="00ACEC"/>
          <w:spacing w:val="4"/>
        </w:rPr>
        <w:t> </w:t>
      </w:r>
      <w:r>
        <w:rPr>
          <w:color w:val="00ACEC"/>
        </w:rPr>
        <w:t>WORK</w:t>
      </w:r>
    </w:p>
    <w:p>
      <w:pPr>
        <w:pStyle w:val="BodyText"/>
        <w:spacing w:line="278" w:lineRule="auto" w:before="233"/>
        <w:ind w:left="2692" w:right="171"/>
      </w:pPr>
      <w:r>
        <w:rPr>
          <w:color w:val="262526"/>
        </w:rPr>
        <w:t>This rule change is part of a wider Commission work program on system security, which includes those rule changes seeking to action the recommendations made by the Commission in its BSE review report. Three rule change requests were submitted by the COAG Energy Council</w:t>
      </w:r>
      <w:r>
        <w:rPr>
          <w:color w:val="262526"/>
          <w:position w:val="8"/>
          <w:sz w:val="12"/>
        </w:rPr>
        <w:t>77</w:t>
      </w:r>
      <w:r>
        <w:rPr>
          <w:color w:val="262526"/>
        </w:rPr>
        <w:t>:</w:t>
      </w:r>
    </w:p>
    <w:p>
      <w:pPr>
        <w:pStyle w:val="ListParagraph"/>
        <w:numPr>
          <w:ilvl w:val="1"/>
          <w:numId w:val="29"/>
        </w:numPr>
        <w:tabs>
          <w:tab w:pos="3033" w:val="left" w:leader="none"/>
          <w:tab w:pos="3034" w:val="left" w:leader="none"/>
        </w:tabs>
        <w:spacing w:line="278" w:lineRule="auto" w:before="113" w:after="0"/>
        <w:ind w:left="3033" w:right="457" w:hanging="341"/>
        <w:jc w:val="left"/>
        <w:rPr>
          <w:sz w:val="20"/>
        </w:rPr>
      </w:pPr>
      <w:r>
        <w:rPr>
          <w:color w:val="262526"/>
          <w:sz w:val="20"/>
        </w:rPr>
        <w:t>Implementing a general power system risk review rule change request (subject of this draft determination)</w:t>
      </w:r>
    </w:p>
    <w:p>
      <w:pPr>
        <w:pStyle w:val="ListParagraph"/>
        <w:numPr>
          <w:ilvl w:val="1"/>
          <w:numId w:val="29"/>
        </w:numPr>
        <w:tabs>
          <w:tab w:pos="3033" w:val="left" w:leader="none"/>
          <w:tab w:pos="3034" w:val="left" w:leader="none"/>
        </w:tabs>
        <w:spacing w:line="240" w:lineRule="auto" w:before="57" w:after="0"/>
        <w:ind w:left="3033" w:right="0" w:hanging="341"/>
        <w:jc w:val="left"/>
        <w:rPr>
          <w:sz w:val="20"/>
        </w:rPr>
      </w:pPr>
      <w:r>
        <w:rPr>
          <w:color w:val="262526"/>
          <w:sz w:val="20"/>
        </w:rPr>
        <w:t>Enhancing operational resilience in relation to indistinct</w:t>
      </w:r>
      <w:r>
        <w:rPr>
          <w:color w:val="262526"/>
          <w:spacing w:val="1"/>
          <w:sz w:val="20"/>
        </w:rPr>
        <w:t> </w:t>
      </w:r>
      <w:r>
        <w:rPr>
          <w:color w:val="262526"/>
          <w:sz w:val="20"/>
        </w:rPr>
        <w:t>events</w:t>
      </w:r>
    </w:p>
    <w:p>
      <w:pPr>
        <w:pStyle w:val="ListParagraph"/>
        <w:numPr>
          <w:ilvl w:val="1"/>
          <w:numId w:val="29"/>
        </w:numPr>
        <w:tabs>
          <w:tab w:pos="3033" w:val="left" w:leader="none"/>
          <w:tab w:pos="3034" w:val="left" w:leader="none"/>
        </w:tabs>
        <w:spacing w:line="240" w:lineRule="auto" w:before="95" w:after="0"/>
        <w:ind w:left="3033" w:right="0" w:hanging="341"/>
        <w:jc w:val="left"/>
        <w:rPr>
          <w:sz w:val="20"/>
        </w:rPr>
      </w:pPr>
      <w:r>
        <w:rPr>
          <w:color w:val="262526"/>
          <w:sz w:val="20"/>
        </w:rPr>
        <w:t>Prioritising arrangements for system security during market</w:t>
      </w:r>
      <w:r>
        <w:rPr>
          <w:color w:val="262526"/>
          <w:spacing w:val="2"/>
          <w:sz w:val="20"/>
        </w:rPr>
        <w:t> </w:t>
      </w:r>
      <w:r>
        <w:rPr>
          <w:color w:val="262526"/>
          <w:sz w:val="20"/>
        </w:rPr>
        <w:t>suspension.</w:t>
      </w:r>
    </w:p>
    <w:p>
      <w:pPr>
        <w:pStyle w:val="BodyText"/>
        <w:spacing w:before="95"/>
        <w:ind w:left="2692"/>
      </w:pPr>
      <w:r>
        <w:rPr>
          <w:color w:val="262526"/>
        </w:rPr>
        <w:t>The latter two are discussed below.</w:t>
      </w:r>
    </w:p>
    <w:p>
      <w:pPr>
        <w:pStyle w:val="BodyText"/>
        <w:spacing w:before="6"/>
        <w:rPr>
          <w:sz w:val="26"/>
        </w:rPr>
      </w:pPr>
    </w:p>
    <w:p>
      <w:pPr>
        <w:pStyle w:val="Heading2"/>
        <w:numPr>
          <w:ilvl w:val="1"/>
          <w:numId w:val="30"/>
        </w:numPr>
        <w:tabs>
          <w:tab w:pos="2692" w:val="left" w:leader="none"/>
          <w:tab w:pos="2693" w:val="left" w:leader="none"/>
        </w:tabs>
        <w:spacing w:line="240" w:lineRule="auto" w:before="0" w:after="0"/>
        <w:ind w:left="2692" w:right="0" w:hanging="1560"/>
        <w:jc w:val="left"/>
      </w:pPr>
      <w:r>
        <w:rPr>
          <w:color w:val="00ACEC"/>
        </w:rPr>
        <w:t>Enhancing operational resilience in relation to indistinct</w:t>
      </w:r>
      <w:r>
        <w:rPr>
          <w:color w:val="00ACEC"/>
          <w:spacing w:val="-21"/>
        </w:rPr>
        <w:t> </w:t>
      </w:r>
      <w:r>
        <w:rPr>
          <w:color w:val="00ACEC"/>
        </w:rPr>
        <w:t>events</w:t>
      </w:r>
    </w:p>
    <w:p>
      <w:pPr>
        <w:pStyle w:val="BodyText"/>
        <w:spacing w:line="278" w:lineRule="auto" w:before="79"/>
        <w:ind w:left="2692"/>
        <w:rPr>
          <w:sz w:val="12"/>
        </w:rPr>
      </w:pPr>
      <w:r>
        <w:rPr>
          <w:color w:val="262526"/>
        </w:rPr>
        <w:t>On 26 May 2020, the AEMC received a rule change request from the COAG Energy Council to amend the NER to introduce a framework to manage indistinct events.</w:t>
      </w:r>
      <w:r>
        <w:rPr>
          <w:color w:val="262526"/>
          <w:position w:val="8"/>
          <w:sz w:val="12"/>
        </w:rPr>
        <w:t>78</w:t>
      </w:r>
    </w:p>
    <w:p>
      <w:pPr>
        <w:pStyle w:val="BodyText"/>
        <w:spacing w:line="278" w:lineRule="auto" w:before="113"/>
        <w:ind w:left="2692" w:right="225"/>
      </w:pPr>
      <w:r>
        <w:rPr>
          <w:color w:val="262526"/>
        </w:rPr>
        <w:t>Indistinct events are events that can impact multiple generators or transmission lines in an unpredictable and uncertain </w:t>
      </w:r>
      <w:r>
        <w:rPr>
          <w:color w:val="262526"/>
          <w:spacing w:val="-4"/>
        </w:rPr>
        <w:t>manner. </w:t>
      </w:r>
      <w:r>
        <w:rPr>
          <w:color w:val="262526"/>
        </w:rPr>
        <w:t>Indistinct events may include major storms, widespread fires and cyber attacks, which may trigger unpredictable responses in an increasingly  complex power system.</w:t>
      </w:r>
    </w:p>
    <w:p>
      <w:pPr>
        <w:pStyle w:val="BodyText"/>
        <w:spacing w:line="278" w:lineRule="auto" w:before="113"/>
        <w:ind w:left="2692" w:right="295"/>
        <w:rPr>
          <w:sz w:val="12"/>
        </w:rPr>
      </w:pPr>
      <w:r>
        <w:rPr>
          <w:color w:val="262526"/>
        </w:rPr>
        <w:t>In the BSE review report, the AEMC found that the existing system security framework may be ill-suited to managing indistinct events and recommended introducing a framework for protected operation, as a new operational tool for AEMO to enhance the resilience of the power system to indistinct events.</w:t>
      </w:r>
      <w:r>
        <w:rPr>
          <w:color w:val="262526"/>
          <w:position w:val="8"/>
          <w:sz w:val="12"/>
        </w:rPr>
        <w:t>79</w:t>
      </w:r>
    </w:p>
    <w:p>
      <w:pPr>
        <w:pStyle w:val="BodyText"/>
        <w:spacing w:before="114"/>
        <w:ind w:left="2692"/>
      </w:pPr>
      <w:r>
        <w:rPr>
          <w:color w:val="262526"/>
        </w:rPr>
        <w:t>The proposed rule would:</w:t>
      </w:r>
    </w:p>
    <w:p>
      <w:pPr>
        <w:pStyle w:val="ListParagraph"/>
        <w:numPr>
          <w:ilvl w:val="2"/>
          <w:numId w:val="30"/>
        </w:numPr>
        <w:tabs>
          <w:tab w:pos="3033" w:val="left" w:leader="none"/>
          <w:tab w:pos="3034" w:val="left" w:leader="none"/>
        </w:tabs>
        <w:spacing w:line="240" w:lineRule="auto" w:before="152" w:after="0"/>
        <w:ind w:left="3033" w:right="0" w:hanging="341"/>
        <w:jc w:val="left"/>
        <w:rPr>
          <w:sz w:val="20"/>
        </w:rPr>
      </w:pPr>
      <w:r>
        <w:rPr>
          <w:color w:val="262526"/>
          <w:sz w:val="20"/>
        </w:rPr>
        <w:t>introduce the new definition of an ‘indistinct</w:t>
      </w:r>
      <w:r>
        <w:rPr>
          <w:color w:val="262526"/>
          <w:spacing w:val="3"/>
          <w:sz w:val="20"/>
        </w:rPr>
        <w:t> </w:t>
      </w:r>
      <w:r>
        <w:rPr>
          <w:color w:val="262526"/>
          <w:sz w:val="20"/>
        </w:rPr>
        <w:t>event’</w:t>
      </w:r>
    </w:p>
    <w:p>
      <w:pPr>
        <w:pStyle w:val="ListParagraph"/>
        <w:numPr>
          <w:ilvl w:val="2"/>
          <w:numId w:val="30"/>
        </w:numPr>
        <w:tabs>
          <w:tab w:pos="3033" w:val="left" w:leader="none"/>
          <w:tab w:pos="3034" w:val="left" w:leader="none"/>
        </w:tabs>
        <w:spacing w:line="278" w:lineRule="auto" w:before="95" w:after="0"/>
        <w:ind w:left="3033" w:right="357" w:hanging="341"/>
        <w:jc w:val="left"/>
        <w:rPr>
          <w:sz w:val="20"/>
        </w:rPr>
      </w:pPr>
      <w:r>
        <w:rPr>
          <w:color w:val="262526"/>
          <w:sz w:val="20"/>
        </w:rPr>
        <w:t>clarify that standing risks from indistinct events can be managed as a type of protected event</w:t>
      </w:r>
    </w:p>
    <w:p>
      <w:pPr>
        <w:pStyle w:val="ListParagraph"/>
        <w:numPr>
          <w:ilvl w:val="2"/>
          <w:numId w:val="30"/>
        </w:numPr>
        <w:tabs>
          <w:tab w:pos="3033" w:val="left" w:leader="none"/>
          <w:tab w:pos="3034" w:val="left" w:leader="none"/>
        </w:tabs>
        <w:spacing w:line="240" w:lineRule="auto" w:before="57" w:after="0"/>
        <w:ind w:left="3033" w:right="0" w:hanging="341"/>
        <w:jc w:val="left"/>
        <w:rPr>
          <w:sz w:val="20"/>
        </w:rPr>
      </w:pPr>
      <w:r>
        <w:rPr>
          <w:color w:val="262526"/>
          <w:sz w:val="20"/>
        </w:rPr>
        <w:t>enhance the protected event approval process to manage standing indistinct</w:t>
      </w:r>
      <w:r>
        <w:rPr>
          <w:color w:val="262526"/>
          <w:spacing w:val="13"/>
          <w:sz w:val="20"/>
        </w:rPr>
        <w:t> </w:t>
      </w:r>
      <w:r>
        <w:rPr>
          <w:color w:val="262526"/>
          <w:sz w:val="20"/>
        </w:rPr>
        <w:t>events</w:t>
      </w:r>
    </w:p>
    <w:p>
      <w:pPr>
        <w:pStyle w:val="ListParagraph"/>
        <w:numPr>
          <w:ilvl w:val="2"/>
          <w:numId w:val="30"/>
        </w:numPr>
        <w:tabs>
          <w:tab w:pos="3033" w:val="left" w:leader="none"/>
          <w:tab w:pos="3034" w:val="left" w:leader="none"/>
        </w:tabs>
        <w:spacing w:line="278" w:lineRule="auto" w:before="95" w:after="0"/>
        <w:ind w:left="3033" w:right="1055" w:hanging="341"/>
        <w:jc w:val="left"/>
        <w:rPr>
          <w:sz w:val="20"/>
        </w:rPr>
      </w:pPr>
      <w:r>
        <w:rPr>
          <w:color w:val="262526"/>
          <w:sz w:val="20"/>
        </w:rPr>
        <w:t>implement a new operational tool, protected operation, allowing AEMO to more effectively manage condition-dependent indistinct events</w:t>
      </w:r>
    </w:p>
    <w:p>
      <w:pPr>
        <w:pStyle w:val="ListParagraph"/>
        <w:numPr>
          <w:ilvl w:val="2"/>
          <w:numId w:val="30"/>
        </w:numPr>
        <w:tabs>
          <w:tab w:pos="3033" w:val="left" w:leader="none"/>
          <w:tab w:pos="3034" w:val="left" w:leader="none"/>
        </w:tabs>
        <w:spacing w:line="240" w:lineRule="auto" w:before="57" w:after="0"/>
        <w:ind w:left="3033" w:right="0" w:hanging="341"/>
        <w:jc w:val="left"/>
        <w:rPr>
          <w:sz w:val="20"/>
        </w:rPr>
      </w:pPr>
      <w:r>
        <w:rPr>
          <w:color w:val="262526"/>
          <w:sz w:val="20"/>
        </w:rPr>
        <w:t>set out two types of protected</w:t>
      </w:r>
      <w:r>
        <w:rPr>
          <w:color w:val="262526"/>
          <w:spacing w:val="1"/>
          <w:sz w:val="20"/>
        </w:rPr>
        <w:t> </w:t>
      </w:r>
      <w:r>
        <w:rPr>
          <w:color w:val="262526"/>
          <w:sz w:val="20"/>
        </w:rPr>
        <w:t>operation:</w:t>
      </w:r>
    </w:p>
    <w:p>
      <w:pPr>
        <w:pStyle w:val="ListParagraph"/>
        <w:numPr>
          <w:ilvl w:val="3"/>
          <w:numId w:val="30"/>
        </w:numPr>
        <w:tabs>
          <w:tab w:pos="3373" w:val="left" w:leader="none"/>
          <w:tab w:pos="3374" w:val="left" w:leader="none"/>
        </w:tabs>
        <w:spacing w:line="240" w:lineRule="auto" w:before="95" w:after="0"/>
        <w:ind w:left="3373" w:right="0" w:hanging="341"/>
        <w:jc w:val="left"/>
        <w:rPr>
          <w:sz w:val="20"/>
        </w:rPr>
      </w:pPr>
      <w:r>
        <w:rPr>
          <w:color w:val="262526"/>
          <w:sz w:val="20"/>
        </w:rPr>
        <w:t>pre-defined protected operation, and</w:t>
      </w:r>
    </w:p>
    <w:p>
      <w:pPr>
        <w:pStyle w:val="ListParagraph"/>
        <w:numPr>
          <w:ilvl w:val="3"/>
          <w:numId w:val="30"/>
        </w:numPr>
        <w:tabs>
          <w:tab w:pos="3373" w:val="left" w:leader="none"/>
          <w:tab w:pos="3374" w:val="left" w:leader="none"/>
        </w:tabs>
        <w:spacing w:line="240" w:lineRule="auto" w:before="95" w:after="0"/>
        <w:ind w:left="3373" w:right="0" w:hanging="341"/>
        <w:jc w:val="left"/>
        <w:rPr>
          <w:sz w:val="20"/>
        </w:rPr>
      </w:pPr>
      <w:r>
        <w:rPr>
          <w:color w:val="262526"/>
          <w:sz w:val="20"/>
        </w:rPr>
        <w:t>ad-hoc protected operation</w:t>
      </w:r>
    </w:p>
    <w:p>
      <w:pPr>
        <w:pStyle w:val="BodyText"/>
      </w:pPr>
    </w:p>
    <w:p>
      <w:pPr>
        <w:pStyle w:val="BodyText"/>
        <w:spacing w:before="10"/>
        <w:rPr>
          <w:sz w:val="16"/>
        </w:rPr>
      </w:pPr>
      <w:r>
        <w:rPr/>
        <w:pict>
          <v:shape style="position:absolute;margin-left:134.645996pt;margin-top:12.610484pt;width:49.65pt;height:.1pt;mso-position-horizontal-relative:page;mso-position-vertical-relative:paragraph;z-index:-15712256;mso-wrap-distance-left:0;mso-wrap-distance-right:0" coordorigin="2693,252" coordsize="993,0" path="m2693,252l3685,252e" filled="false" stroked="true" strokeweight="1pt" strokecolor="#262526">
            <v:path arrowok="t"/>
            <v:stroke dashstyle="solid"/>
            <w10:wrap type="topAndBottom"/>
          </v:shape>
        </w:pict>
      </w:r>
    </w:p>
    <w:p>
      <w:pPr>
        <w:pStyle w:val="ListParagraph"/>
        <w:numPr>
          <w:ilvl w:val="0"/>
          <w:numId w:val="24"/>
        </w:numPr>
        <w:tabs>
          <w:tab w:pos="3034" w:val="left" w:leader="none"/>
        </w:tabs>
        <w:spacing w:line="240" w:lineRule="auto" w:before="98" w:after="0"/>
        <w:ind w:left="3033" w:right="227" w:hanging="341"/>
        <w:jc w:val="left"/>
        <w:rPr>
          <w:sz w:val="14"/>
        </w:rPr>
      </w:pPr>
      <w:r>
        <w:rPr>
          <w:color w:val="262526"/>
          <w:sz w:val="14"/>
        </w:rPr>
        <w:t>On</w:t>
      </w:r>
      <w:r>
        <w:rPr>
          <w:color w:val="262526"/>
          <w:spacing w:val="-2"/>
          <w:sz w:val="14"/>
        </w:rPr>
        <w:t> </w:t>
      </w:r>
      <w:r>
        <w:rPr>
          <w:color w:val="262526"/>
          <w:sz w:val="14"/>
        </w:rPr>
        <w:t>29</w:t>
      </w:r>
      <w:r>
        <w:rPr>
          <w:color w:val="262526"/>
          <w:spacing w:val="-2"/>
          <w:sz w:val="14"/>
        </w:rPr>
        <w:t> </w:t>
      </w:r>
      <w:r>
        <w:rPr>
          <w:color w:val="262526"/>
          <w:sz w:val="14"/>
        </w:rPr>
        <w:t>May</w:t>
      </w:r>
      <w:r>
        <w:rPr>
          <w:color w:val="262526"/>
          <w:spacing w:val="-2"/>
          <w:sz w:val="14"/>
        </w:rPr>
        <w:t> </w:t>
      </w:r>
      <w:r>
        <w:rPr>
          <w:color w:val="262526"/>
          <w:sz w:val="14"/>
        </w:rPr>
        <w:t>2020,</w:t>
      </w:r>
      <w:r>
        <w:rPr>
          <w:color w:val="262526"/>
          <w:spacing w:val="-2"/>
          <w:sz w:val="14"/>
        </w:rPr>
        <w:t> </w:t>
      </w:r>
      <w:r>
        <w:rPr>
          <w:color w:val="262526"/>
          <w:sz w:val="14"/>
        </w:rPr>
        <w:t>it</w:t>
      </w:r>
      <w:r>
        <w:rPr>
          <w:color w:val="262526"/>
          <w:spacing w:val="-1"/>
          <w:sz w:val="14"/>
        </w:rPr>
        <w:t> </w:t>
      </w:r>
      <w:r>
        <w:rPr>
          <w:color w:val="262526"/>
          <w:sz w:val="14"/>
        </w:rPr>
        <w:t>was</w:t>
      </w:r>
      <w:r>
        <w:rPr>
          <w:color w:val="262526"/>
          <w:spacing w:val="-2"/>
          <w:sz w:val="14"/>
        </w:rPr>
        <w:t> </w:t>
      </w:r>
      <w:r>
        <w:rPr>
          <w:color w:val="262526"/>
          <w:sz w:val="14"/>
        </w:rPr>
        <w:t>announced</w:t>
      </w:r>
      <w:r>
        <w:rPr>
          <w:color w:val="262526"/>
          <w:spacing w:val="-2"/>
          <w:sz w:val="14"/>
        </w:rPr>
        <w:t> </w:t>
      </w:r>
      <w:r>
        <w:rPr>
          <w:color w:val="262526"/>
          <w:sz w:val="14"/>
        </w:rPr>
        <w:t>that</w:t>
      </w:r>
      <w:r>
        <w:rPr>
          <w:color w:val="262526"/>
          <w:spacing w:val="-3"/>
          <w:sz w:val="14"/>
        </w:rPr>
        <w:t> </w:t>
      </w:r>
      <w:r>
        <w:rPr>
          <w:color w:val="262526"/>
          <w:sz w:val="14"/>
        </w:rPr>
        <w:t>the</w:t>
      </w:r>
      <w:r>
        <w:rPr>
          <w:color w:val="262526"/>
          <w:spacing w:val="-2"/>
          <w:sz w:val="14"/>
        </w:rPr>
        <w:t> </w:t>
      </w:r>
      <w:r>
        <w:rPr>
          <w:color w:val="262526"/>
          <w:sz w:val="14"/>
        </w:rPr>
        <w:t>Council</w:t>
      </w:r>
      <w:r>
        <w:rPr>
          <w:color w:val="262526"/>
          <w:spacing w:val="-2"/>
          <w:sz w:val="14"/>
        </w:rPr>
        <w:t> </w:t>
      </w:r>
      <w:r>
        <w:rPr>
          <w:color w:val="262526"/>
          <w:sz w:val="14"/>
        </w:rPr>
        <w:t>of</w:t>
      </w:r>
      <w:r>
        <w:rPr>
          <w:color w:val="262526"/>
          <w:spacing w:val="-2"/>
          <w:sz w:val="14"/>
        </w:rPr>
        <w:t> </w:t>
      </w:r>
      <w:r>
        <w:rPr>
          <w:color w:val="262526"/>
          <w:sz w:val="14"/>
        </w:rPr>
        <w:t>Australian</w:t>
      </w:r>
      <w:r>
        <w:rPr>
          <w:color w:val="262526"/>
          <w:spacing w:val="-2"/>
          <w:sz w:val="14"/>
        </w:rPr>
        <w:t> </w:t>
      </w:r>
      <w:r>
        <w:rPr>
          <w:color w:val="262526"/>
          <w:sz w:val="14"/>
        </w:rPr>
        <w:t>Government</w:t>
      </w:r>
      <w:r>
        <w:rPr>
          <w:color w:val="262526"/>
          <w:spacing w:val="-2"/>
          <w:sz w:val="14"/>
        </w:rPr>
        <w:t> </w:t>
      </w:r>
      <w:r>
        <w:rPr>
          <w:color w:val="262526"/>
          <w:sz w:val="14"/>
        </w:rPr>
        <w:t>(COAG)</w:t>
      </w:r>
      <w:r>
        <w:rPr>
          <w:color w:val="262526"/>
          <w:spacing w:val="-2"/>
          <w:sz w:val="14"/>
        </w:rPr>
        <w:t> </w:t>
      </w:r>
      <w:r>
        <w:rPr>
          <w:color w:val="262526"/>
          <w:sz w:val="14"/>
        </w:rPr>
        <w:t>will</w:t>
      </w:r>
      <w:r>
        <w:rPr>
          <w:color w:val="262526"/>
          <w:spacing w:val="-2"/>
          <w:sz w:val="14"/>
        </w:rPr>
        <w:t> </w:t>
      </w:r>
      <w:r>
        <w:rPr>
          <w:color w:val="262526"/>
          <w:sz w:val="14"/>
        </w:rPr>
        <w:t>cease</w:t>
      </w:r>
      <w:r>
        <w:rPr>
          <w:color w:val="262526"/>
          <w:spacing w:val="-3"/>
          <w:sz w:val="14"/>
        </w:rPr>
        <w:t> </w:t>
      </w:r>
      <w:r>
        <w:rPr>
          <w:color w:val="262526"/>
          <w:sz w:val="14"/>
        </w:rPr>
        <w:t>and</w:t>
      </w:r>
      <w:r>
        <w:rPr>
          <w:color w:val="262526"/>
          <w:spacing w:val="-2"/>
          <w:sz w:val="14"/>
        </w:rPr>
        <w:t> </w:t>
      </w:r>
      <w:r>
        <w:rPr>
          <w:color w:val="262526"/>
          <w:sz w:val="14"/>
        </w:rPr>
        <w:t>a</w:t>
      </w:r>
      <w:r>
        <w:rPr>
          <w:color w:val="262526"/>
          <w:spacing w:val="-1"/>
          <w:sz w:val="14"/>
        </w:rPr>
        <w:t> </w:t>
      </w:r>
      <w:r>
        <w:rPr>
          <w:color w:val="262526"/>
          <w:sz w:val="14"/>
        </w:rPr>
        <w:t>new</w:t>
      </w:r>
      <w:r>
        <w:rPr>
          <w:color w:val="262526"/>
          <w:spacing w:val="-2"/>
          <w:sz w:val="14"/>
        </w:rPr>
        <w:t> </w:t>
      </w:r>
      <w:r>
        <w:rPr>
          <w:color w:val="262526"/>
          <w:sz w:val="14"/>
        </w:rPr>
        <w:t>National</w:t>
      </w:r>
      <w:r>
        <w:rPr>
          <w:color w:val="262526"/>
          <w:spacing w:val="-2"/>
          <w:sz w:val="14"/>
        </w:rPr>
        <w:t> </w:t>
      </w:r>
      <w:r>
        <w:rPr>
          <w:color w:val="262526"/>
          <w:sz w:val="14"/>
        </w:rPr>
        <w:t>Federation Reform Council (NFRC) will be formed, with National Cabinet at the centre of the</w:t>
      </w:r>
      <w:r>
        <w:rPr>
          <w:color w:val="262526"/>
          <w:spacing w:val="-8"/>
          <w:sz w:val="14"/>
        </w:rPr>
        <w:t> </w:t>
      </w:r>
      <w:r>
        <w:rPr>
          <w:color w:val="262526"/>
          <w:sz w:val="14"/>
        </w:rPr>
        <w:t>NFRC.</w:t>
      </w:r>
    </w:p>
    <w:p>
      <w:pPr>
        <w:pStyle w:val="ListParagraph"/>
        <w:numPr>
          <w:ilvl w:val="0"/>
          <w:numId w:val="24"/>
        </w:numPr>
        <w:tabs>
          <w:tab w:pos="3034" w:val="left" w:leader="none"/>
        </w:tabs>
        <w:spacing w:line="240" w:lineRule="auto" w:before="54" w:after="0"/>
        <w:ind w:left="3033" w:right="110" w:hanging="341"/>
        <w:jc w:val="left"/>
        <w:rPr>
          <w:sz w:val="14"/>
        </w:rPr>
      </w:pPr>
      <w:r>
        <w:rPr>
          <w:color w:val="262526"/>
          <w:sz w:val="14"/>
        </w:rPr>
        <w:t>For more information, see the project page:</w:t>
      </w:r>
      <w:r>
        <w:rPr>
          <w:color w:val="0000FF"/>
          <w:sz w:val="14"/>
        </w:rPr>
        <w:t> </w:t>
      </w:r>
      <w:hyperlink r:id="rId22">
        <w:r>
          <w:rPr>
            <w:color w:val="0000FF"/>
            <w:sz w:val="14"/>
            <w:u w:val="single" w:color="0000FF"/>
          </w:rPr>
          <w:t>https://www.aemc.gov.au/rule-changes/enhancing-operational-resilience-relation-</w:t>
        </w:r>
      </w:hyperlink>
      <w:hyperlink r:id="rId22">
        <w:r>
          <w:rPr>
            <w:color w:val="0000FF"/>
            <w:sz w:val="14"/>
            <w:u w:val="single" w:color="0000FF"/>
          </w:rPr>
          <w:t> </w:t>
        </w:r>
        <w:r>
          <w:rPr>
            <w:color w:val="0000FF"/>
            <w:spacing w:val="-1"/>
            <w:sz w:val="14"/>
            <w:u w:val="single" w:color="0000FF"/>
          </w:rPr>
          <w:t>indistinct-events#:~:text=Rule%20Change%3A%20Open&amp;text=Indistinct%20events%20are%20events%20that,an%20increasin</w:t>
        </w:r>
      </w:hyperlink>
      <w:hyperlink r:id="rId22">
        <w:r>
          <w:rPr>
            <w:color w:val="0000FF"/>
            <w:spacing w:val="-1"/>
            <w:sz w:val="14"/>
            <w:u w:val="single" w:color="0000FF"/>
          </w:rPr>
          <w:t> </w:t>
        </w:r>
        <w:r>
          <w:rPr>
            <w:color w:val="0000FF"/>
            <w:sz w:val="14"/>
            <w:u w:val="single" w:color="0000FF"/>
          </w:rPr>
          <w:t>gly%20complex%20power%20system.</w:t>
        </w:r>
      </w:hyperlink>
    </w:p>
    <w:p>
      <w:pPr>
        <w:pStyle w:val="ListParagraph"/>
        <w:numPr>
          <w:ilvl w:val="0"/>
          <w:numId w:val="24"/>
        </w:numPr>
        <w:tabs>
          <w:tab w:pos="3034" w:val="left" w:leader="none"/>
        </w:tabs>
        <w:spacing w:line="240" w:lineRule="auto" w:before="54" w:after="0"/>
        <w:ind w:left="3033" w:right="573" w:hanging="341"/>
        <w:jc w:val="left"/>
        <w:rPr>
          <w:sz w:val="14"/>
        </w:rPr>
      </w:pPr>
      <w:r>
        <w:rPr>
          <w:color w:val="262526"/>
          <w:sz w:val="14"/>
        </w:rPr>
        <w:t>Mechanisms</w:t>
      </w:r>
      <w:r>
        <w:rPr>
          <w:color w:val="262526"/>
          <w:spacing w:val="-4"/>
          <w:sz w:val="14"/>
        </w:rPr>
        <w:t> </w:t>
      </w:r>
      <w:r>
        <w:rPr>
          <w:color w:val="262526"/>
          <w:sz w:val="14"/>
        </w:rPr>
        <w:t>to</w:t>
      </w:r>
      <w:r>
        <w:rPr>
          <w:color w:val="262526"/>
          <w:spacing w:val="-4"/>
          <w:sz w:val="14"/>
        </w:rPr>
        <w:t> </w:t>
      </w:r>
      <w:r>
        <w:rPr>
          <w:color w:val="262526"/>
          <w:sz w:val="14"/>
        </w:rPr>
        <w:t>Enhance</w:t>
      </w:r>
      <w:r>
        <w:rPr>
          <w:color w:val="262526"/>
          <w:spacing w:val="-3"/>
          <w:sz w:val="14"/>
        </w:rPr>
        <w:t> </w:t>
      </w:r>
      <w:r>
        <w:rPr>
          <w:color w:val="262526"/>
          <w:sz w:val="14"/>
        </w:rPr>
        <w:t>Resilience</w:t>
      </w:r>
      <w:r>
        <w:rPr>
          <w:color w:val="262526"/>
          <w:spacing w:val="-4"/>
          <w:sz w:val="14"/>
        </w:rPr>
        <w:t> </w:t>
      </w:r>
      <w:r>
        <w:rPr>
          <w:color w:val="262526"/>
          <w:sz w:val="14"/>
        </w:rPr>
        <w:t>in</w:t>
      </w:r>
      <w:r>
        <w:rPr>
          <w:color w:val="262526"/>
          <w:spacing w:val="-3"/>
          <w:sz w:val="14"/>
        </w:rPr>
        <w:t> </w:t>
      </w:r>
      <w:r>
        <w:rPr>
          <w:color w:val="262526"/>
          <w:sz w:val="14"/>
        </w:rPr>
        <w:t>the</w:t>
      </w:r>
      <w:r>
        <w:rPr>
          <w:color w:val="262526"/>
          <w:spacing w:val="-5"/>
          <w:sz w:val="14"/>
        </w:rPr>
        <w:t> </w:t>
      </w:r>
      <w:r>
        <w:rPr>
          <w:color w:val="262526"/>
          <w:sz w:val="14"/>
        </w:rPr>
        <w:t>Power</w:t>
      </w:r>
      <w:r>
        <w:rPr>
          <w:color w:val="262526"/>
          <w:spacing w:val="-3"/>
          <w:sz w:val="14"/>
        </w:rPr>
        <w:t> </w:t>
      </w:r>
      <w:r>
        <w:rPr>
          <w:color w:val="262526"/>
          <w:sz w:val="14"/>
        </w:rPr>
        <w:t>System</w:t>
      </w:r>
      <w:r>
        <w:rPr>
          <w:color w:val="262526"/>
          <w:spacing w:val="-3"/>
          <w:sz w:val="14"/>
        </w:rPr>
        <w:t> </w:t>
      </w:r>
      <w:r>
        <w:rPr>
          <w:color w:val="262526"/>
          <w:sz w:val="14"/>
        </w:rPr>
        <w:t>–</w:t>
      </w:r>
      <w:r>
        <w:rPr>
          <w:color w:val="262526"/>
          <w:spacing w:val="-3"/>
          <w:sz w:val="14"/>
        </w:rPr>
        <w:t> </w:t>
      </w:r>
      <w:r>
        <w:rPr>
          <w:color w:val="262526"/>
          <w:sz w:val="14"/>
        </w:rPr>
        <w:t>Review</w:t>
      </w:r>
      <w:r>
        <w:rPr>
          <w:color w:val="262526"/>
          <w:spacing w:val="-4"/>
          <w:sz w:val="14"/>
        </w:rPr>
        <w:t> </w:t>
      </w:r>
      <w:r>
        <w:rPr>
          <w:color w:val="262526"/>
          <w:sz w:val="14"/>
        </w:rPr>
        <w:t>of</w:t>
      </w:r>
      <w:r>
        <w:rPr>
          <w:color w:val="262526"/>
          <w:spacing w:val="-4"/>
          <w:sz w:val="14"/>
        </w:rPr>
        <w:t> </w:t>
      </w:r>
      <w:r>
        <w:rPr>
          <w:color w:val="262526"/>
          <w:sz w:val="14"/>
        </w:rPr>
        <w:t>the</w:t>
      </w:r>
      <w:r>
        <w:rPr>
          <w:color w:val="262526"/>
          <w:spacing w:val="-4"/>
          <w:sz w:val="14"/>
        </w:rPr>
        <w:t> </w:t>
      </w:r>
      <w:r>
        <w:rPr>
          <w:color w:val="262526"/>
          <w:sz w:val="14"/>
        </w:rPr>
        <w:t>South</w:t>
      </w:r>
      <w:r>
        <w:rPr>
          <w:color w:val="262526"/>
          <w:spacing w:val="-3"/>
          <w:sz w:val="14"/>
        </w:rPr>
        <w:t> </w:t>
      </w:r>
      <w:r>
        <w:rPr>
          <w:color w:val="262526"/>
          <w:sz w:val="14"/>
        </w:rPr>
        <w:t>Australian</w:t>
      </w:r>
      <w:r>
        <w:rPr>
          <w:color w:val="262526"/>
          <w:spacing w:val="-3"/>
          <w:sz w:val="14"/>
        </w:rPr>
        <w:t> </w:t>
      </w:r>
      <w:r>
        <w:rPr>
          <w:color w:val="262526"/>
          <w:sz w:val="14"/>
        </w:rPr>
        <w:t>Black</w:t>
      </w:r>
      <w:r>
        <w:rPr>
          <w:color w:val="262526"/>
          <w:spacing w:val="-4"/>
          <w:sz w:val="14"/>
        </w:rPr>
        <w:t> </w:t>
      </w:r>
      <w:r>
        <w:rPr>
          <w:color w:val="262526"/>
          <w:sz w:val="14"/>
        </w:rPr>
        <w:t>System</w:t>
      </w:r>
      <w:r>
        <w:rPr>
          <w:color w:val="262526"/>
          <w:spacing w:val="-3"/>
          <w:sz w:val="14"/>
        </w:rPr>
        <w:t> </w:t>
      </w:r>
      <w:r>
        <w:rPr>
          <w:color w:val="262526"/>
          <w:sz w:val="14"/>
        </w:rPr>
        <w:t>Event,</w:t>
      </w:r>
      <w:r>
        <w:rPr>
          <w:color w:val="262526"/>
          <w:spacing w:val="-4"/>
          <w:sz w:val="14"/>
        </w:rPr>
        <w:t> </w:t>
      </w:r>
      <w:r>
        <w:rPr>
          <w:color w:val="262526"/>
          <w:sz w:val="14"/>
        </w:rPr>
        <w:t>final</w:t>
      </w:r>
      <w:r>
        <w:rPr>
          <w:color w:val="262526"/>
          <w:spacing w:val="-4"/>
          <w:sz w:val="14"/>
        </w:rPr>
        <w:t> </w:t>
      </w:r>
      <w:r>
        <w:rPr>
          <w:color w:val="262526"/>
          <w:sz w:val="14"/>
        </w:rPr>
        <w:t>report, December 2019, p.</w:t>
      </w:r>
      <w:r>
        <w:rPr>
          <w:color w:val="262526"/>
          <w:spacing w:val="-1"/>
          <w:sz w:val="14"/>
        </w:rPr>
        <w:t> </w:t>
      </w:r>
      <w:r>
        <w:rPr>
          <w:color w:val="262526"/>
          <w:sz w:val="14"/>
        </w:rPr>
        <w:t>i.</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ListParagraph"/>
        <w:numPr>
          <w:ilvl w:val="2"/>
          <w:numId w:val="30"/>
        </w:numPr>
        <w:tabs>
          <w:tab w:pos="3033" w:val="left" w:leader="none"/>
          <w:tab w:pos="3034" w:val="left" w:leader="none"/>
        </w:tabs>
        <w:spacing w:line="240" w:lineRule="auto" w:before="107" w:after="0"/>
        <w:ind w:left="3033" w:right="0" w:hanging="341"/>
        <w:jc w:val="left"/>
        <w:rPr>
          <w:sz w:val="20"/>
        </w:rPr>
      </w:pPr>
      <w:bookmarkStart w:name="B.2 Prioritising arrangements for system" w:id="55"/>
      <w:bookmarkEnd w:id="55"/>
      <w:r>
        <w:rPr/>
      </w:r>
      <w:bookmarkStart w:name="_bookmark17" w:id="56"/>
      <w:bookmarkEnd w:id="56"/>
      <w:r>
        <w:rPr/>
      </w:r>
      <w:bookmarkStart w:name="_bookmark17" w:id="57"/>
      <w:bookmarkEnd w:id="57"/>
      <w:r>
        <w:rPr>
          <w:color w:val="262526"/>
          <w:sz w:val="20"/>
        </w:rPr>
        <w:t>speci</w:t>
      </w:r>
      <w:r>
        <w:rPr>
          <w:color w:val="262526"/>
          <w:sz w:val="20"/>
        </w:rPr>
        <w:t>fy governance arrangements for protected</w:t>
      </w:r>
      <w:r>
        <w:rPr>
          <w:color w:val="262526"/>
          <w:spacing w:val="1"/>
          <w:sz w:val="20"/>
        </w:rPr>
        <w:t> </w:t>
      </w:r>
      <w:r>
        <w:rPr>
          <w:color w:val="262526"/>
          <w:sz w:val="20"/>
        </w:rPr>
        <w:t>operation.</w:t>
      </w:r>
    </w:p>
    <w:p>
      <w:pPr>
        <w:pStyle w:val="BodyText"/>
        <w:spacing w:line="278" w:lineRule="auto" w:before="95"/>
        <w:ind w:left="2692"/>
      </w:pPr>
      <w:r>
        <w:rPr>
          <w:color w:val="262526"/>
        </w:rPr>
        <w:t>On 17 December 2020, the Commission published a consultation paper for this rule change request, with the submissions due on 11 February 2021.</w:t>
      </w:r>
    </w:p>
    <w:p>
      <w:pPr>
        <w:pStyle w:val="BodyText"/>
        <w:spacing w:line="278" w:lineRule="auto" w:before="113"/>
        <w:ind w:left="2692" w:right="295"/>
      </w:pPr>
      <w:r>
        <w:rPr>
          <w:color w:val="262526"/>
        </w:rPr>
        <w:t>The draft and final rule determinations are due on 22 April 2021 and 15 July 2021, respectively.</w:t>
      </w:r>
    </w:p>
    <w:p>
      <w:pPr>
        <w:pStyle w:val="BodyText"/>
        <w:spacing w:before="4"/>
        <w:rPr>
          <w:sz w:val="23"/>
        </w:rPr>
      </w:pPr>
    </w:p>
    <w:p>
      <w:pPr>
        <w:pStyle w:val="Heading2"/>
        <w:numPr>
          <w:ilvl w:val="1"/>
          <w:numId w:val="30"/>
        </w:numPr>
        <w:tabs>
          <w:tab w:pos="2692" w:val="left" w:leader="none"/>
          <w:tab w:pos="2693" w:val="left" w:leader="none"/>
        </w:tabs>
        <w:spacing w:line="240" w:lineRule="auto" w:before="0" w:after="0"/>
        <w:ind w:left="2692" w:right="1139" w:hanging="1560"/>
        <w:jc w:val="left"/>
      </w:pPr>
      <w:r>
        <w:rPr>
          <w:color w:val="00ACEC"/>
        </w:rPr>
        <w:t>Prioritising arrangements for system security during</w:t>
      </w:r>
      <w:r>
        <w:rPr>
          <w:color w:val="00ACEC"/>
          <w:spacing w:val="-36"/>
        </w:rPr>
        <w:t> </w:t>
      </w:r>
      <w:r>
        <w:rPr>
          <w:color w:val="00ACEC"/>
        </w:rPr>
        <w:t>market suspension</w:t>
      </w:r>
    </w:p>
    <w:p>
      <w:pPr>
        <w:pStyle w:val="BodyText"/>
        <w:spacing w:line="278" w:lineRule="auto" w:before="77"/>
        <w:ind w:left="2692" w:right="295"/>
        <w:rPr>
          <w:sz w:val="12"/>
        </w:rPr>
      </w:pPr>
      <w:r>
        <w:rPr>
          <w:color w:val="262526"/>
        </w:rPr>
        <w:t>On the 26 May 2020, the AEMC received a rule change request from COAG Energy Council that seeks to clarify the applicability of the NER during periods of market suspension.</w:t>
      </w:r>
      <w:r>
        <w:rPr>
          <w:color w:val="262526"/>
          <w:position w:val="8"/>
          <w:sz w:val="12"/>
        </w:rPr>
        <w:t>80</w:t>
      </w:r>
    </w:p>
    <w:p>
      <w:pPr>
        <w:pStyle w:val="BodyText"/>
        <w:spacing w:line="278" w:lineRule="auto" w:before="113"/>
        <w:ind w:left="2692"/>
      </w:pPr>
      <w:r>
        <w:rPr>
          <w:color w:val="262526"/>
        </w:rPr>
        <w:t>Existing arrangements provide for AEMO to suspend the operation of the spot market in a region. However, the rules do not explicitly set out the applicability of other provisions of the NER during a period of market suspension, and the extent to which AEMO must comply with these elements.</w:t>
      </w:r>
    </w:p>
    <w:p>
      <w:pPr>
        <w:pStyle w:val="BodyText"/>
        <w:spacing w:line="278" w:lineRule="auto" w:before="113"/>
        <w:ind w:left="2692" w:right="295"/>
      </w:pPr>
      <w:r>
        <w:rPr>
          <w:color w:val="262526"/>
        </w:rPr>
        <w:t>Additionally, current rule arrangements do not explicitly provide AEMO with flexibility to prioritise core system security requirements during a period of market suspension. This rule change request seeks to provide AEMO with such</w:t>
      </w:r>
      <w:r>
        <w:rPr>
          <w:color w:val="262526"/>
          <w:spacing w:val="3"/>
        </w:rPr>
        <w:t> </w:t>
      </w:r>
      <w:r>
        <w:rPr>
          <w:color w:val="262526"/>
          <w:spacing w:val="-3"/>
        </w:rPr>
        <w:t>flexibility.</w:t>
      </w:r>
    </w:p>
    <w:p>
      <w:pPr>
        <w:pStyle w:val="BodyText"/>
        <w:spacing w:before="114"/>
        <w:ind w:left="2692"/>
        <w:rPr>
          <w:sz w:val="12"/>
        </w:rPr>
      </w:pPr>
      <w:r>
        <w:rPr>
          <w:color w:val="262526"/>
        </w:rPr>
        <w:t>This rule change request proposes to amend the NER</w:t>
      </w:r>
      <w:r>
        <w:rPr>
          <w:color w:val="262526"/>
          <w:spacing w:val="25"/>
        </w:rPr>
        <w:t> </w:t>
      </w:r>
      <w:r>
        <w:rPr>
          <w:color w:val="262526"/>
        </w:rPr>
        <w:t>by:</w:t>
      </w:r>
      <w:r>
        <w:rPr>
          <w:color w:val="262526"/>
          <w:position w:val="8"/>
          <w:sz w:val="12"/>
        </w:rPr>
        <w:t>81</w:t>
      </w:r>
    </w:p>
    <w:p>
      <w:pPr>
        <w:pStyle w:val="ListParagraph"/>
        <w:numPr>
          <w:ilvl w:val="2"/>
          <w:numId w:val="30"/>
        </w:numPr>
        <w:tabs>
          <w:tab w:pos="3033" w:val="left" w:leader="none"/>
          <w:tab w:pos="3034" w:val="left" w:leader="none"/>
        </w:tabs>
        <w:spacing w:line="278" w:lineRule="auto" w:before="152" w:after="0"/>
        <w:ind w:left="3033" w:right="342" w:hanging="341"/>
        <w:jc w:val="left"/>
        <w:rPr>
          <w:sz w:val="20"/>
        </w:rPr>
      </w:pPr>
      <w:r>
        <w:rPr>
          <w:color w:val="262526"/>
          <w:sz w:val="20"/>
        </w:rPr>
        <w:t>clarifying the applicability of market rules during a period of market suspension thereby reducing uncertainty for AEMO and market</w:t>
      </w:r>
      <w:r>
        <w:rPr>
          <w:color w:val="262526"/>
          <w:spacing w:val="3"/>
          <w:sz w:val="20"/>
        </w:rPr>
        <w:t> </w:t>
      </w:r>
      <w:r>
        <w:rPr>
          <w:color w:val="262526"/>
          <w:sz w:val="20"/>
        </w:rPr>
        <w:t>participants</w:t>
      </w:r>
    </w:p>
    <w:p>
      <w:pPr>
        <w:pStyle w:val="ListParagraph"/>
        <w:numPr>
          <w:ilvl w:val="2"/>
          <w:numId w:val="30"/>
        </w:numPr>
        <w:tabs>
          <w:tab w:pos="3033" w:val="left" w:leader="none"/>
          <w:tab w:pos="3034" w:val="left" w:leader="none"/>
        </w:tabs>
        <w:spacing w:line="278" w:lineRule="auto" w:before="56" w:after="0"/>
        <w:ind w:left="3033" w:right="183" w:hanging="341"/>
        <w:jc w:val="left"/>
        <w:rPr>
          <w:sz w:val="20"/>
        </w:rPr>
      </w:pPr>
      <w:r>
        <w:rPr>
          <w:color w:val="262526"/>
          <w:sz w:val="20"/>
        </w:rPr>
        <w:t>providing AEMO with flexibility to prioritise system security obligations if compliance with a rule provision (particularly an obligation of a more administrative nature) would place a material risk on their ability to maintain power system security during a period of spot market suspension, and</w:t>
      </w:r>
    </w:p>
    <w:p>
      <w:pPr>
        <w:pStyle w:val="ListParagraph"/>
        <w:numPr>
          <w:ilvl w:val="2"/>
          <w:numId w:val="30"/>
        </w:numPr>
        <w:tabs>
          <w:tab w:pos="3033" w:val="left" w:leader="none"/>
          <w:tab w:pos="3034" w:val="left" w:leader="none"/>
        </w:tabs>
        <w:spacing w:line="278" w:lineRule="auto" w:before="57" w:after="0"/>
        <w:ind w:left="3033" w:right="467" w:hanging="341"/>
        <w:jc w:val="left"/>
        <w:rPr>
          <w:sz w:val="20"/>
        </w:rPr>
      </w:pPr>
      <w:r>
        <w:rPr>
          <w:color w:val="262526"/>
          <w:sz w:val="20"/>
        </w:rPr>
        <w:t>specifying transparency arrangements applying to any prioritisation of system security over other NER obligations by AEMO during a period of market</w:t>
      </w:r>
      <w:r>
        <w:rPr>
          <w:color w:val="262526"/>
          <w:spacing w:val="16"/>
          <w:sz w:val="20"/>
        </w:rPr>
        <w:t> </w:t>
      </w:r>
      <w:r>
        <w:rPr>
          <w:color w:val="262526"/>
          <w:sz w:val="20"/>
        </w:rPr>
        <w:t>suspension.</w:t>
      </w:r>
    </w:p>
    <w:p>
      <w:pPr>
        <w:pStyle w:val="BodyText"/>
        <w:spacing w:line="278" w:lineRule="auto" w:before="57"/>
        <w:ind w:left="2692" w:right="295"/>
      </w:pPr>
      <w:r>
        <w:rPr>
          <w:color w:val="262526"/>
        </w:rPr>
        <w:t>On 17 December 2020, the AEMC released a consultation paper to seek feedback on the issues and solution identified by the COAG Energy Council in its rule change request, with submissions due on 4 February 2021.</w:t>
      </w:r>
    </w:p>
    <w:p>
      <w:pPr>
        <w:pStyle w:val="BodyText"/>
        <w:spacing w:line="278" w:lineRule="auto" w:before="113"/>
        <w:ind w:left="2692" w:right="295"/>
      </w:pPr>
      <w:r>
        <w:rPr>
          <w:color w:val="262526"/>
        </w:rPr>
        <w:t>The draft and final rule determinations are due on 15 April 2021 and 8 July 2021, respectively.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5"/>
        </w:rPr>
      </w:pPr>
      <w:r>
        <w:rPr/>
        <w:pict>
          <v:shape style="position:absolute;margin-left:134.645996pt;margin-top:11.833547pt;width:49.65pt;height:.1pt;mso-position-horizontal-relative:page;mso-position-vertical-relative:paragraph;z-index:-15711744;mso-wrap-distance-left:0;mso-wrap-distance-right:0" coordorigin="2693,237" coordsize="993,0" path="m2693,237l3685,237e" filled="false" stroked="true" strokeweight="1pt" strokecolor="#262526">
            <v:path arrowok="t"/>
            <v:stroke dashstyle="solid"/>
            <w10:wrap type="topAndBottom"/>
          </v:shape>
        </w:pict>
      </w:r>
    </w:p>
    <w:p>
      <w:pPr>
        <w:pStyle w:val="ListParagraph"/>
        <w:numPr>
          <w:ilvl w:val="0"/>
          <w:numId w:val="24"/>
        </w:numPr>
        <w:tabs>
          <w:tab w:pos="3034" w:val="left" w:leader="none"/>
        </w:tabs>
        <w:spacing w:line="240" w:lineRule="auto" w:before="98" w:after="0"/>
        <w:ind w:left="3033" w:right="273" w:hanging="341"/>
        <w:jc w:val="left"/>
        <w:rPr>
          <w:sz w:val="14"/>
        </w:rPr>
      </w:pPr>
      <w:r>
        <w:rPr>
          <w:color w:val="262526"/>
          <w:sz w:val="14"/>
        </w:rPr>
        <w:t>For</w:t>
      </w:r>
      <w:r>
        <w:rPr>
          <w:color w:val="262526"/>
          <w:spacing w:val="-8"/>
          <w:sz w:val="14"/>
        </w:rPr>
        <w:t> </w:t>
      </w:r>
      <w:r>
        <w:rPr>
          <w:color w:val="262526"/>
          <w:sz w:val="14"/>
        </w:rPr>
        <w:t>more</w:t>
      </w:r>
      <w:r>
        <w:rPr>
          <w:color w:val="262526"/>
          <w:spacing w:val="-7"/>
          <w:sz w:val="14"/>
        </w:rPr>
        <w:t> </w:t>
      </w:r>
      <w:r>
        <w:rPr>
          <w:color w:val="262526"/>
          <w:sz w:val="14"/>
        </w:rPr>
        <w:t>information,</w:t>
      </w:r>
      <w:r>
        <w:rPr>
          <w:color w:val="262526"/>
          <w:spacing w:val="-7"/>
          <w:sz w:val="14"/>
        </w:rPr>
        <w:t> </w:t>
      </w:r>
      <w:r>
        <w:rPr>
          <w:color w:val="262526"/>
          <w:sz w:val="14"/>
        </w:rPr>
        <w:t>see</w:t>
      </w:r>
      <w:r>
        <w:rPr>
          <w:color w:val="262526"/>
          <w:spacing w:val="-9"/>
          <w:sz w:val="14"/>
        </w:rPr>
        <w:t> </w:t>
      </w:r>
      <w:r>
        <w:rPr>
          <w:color w:val="262526"/>
          <w:sz w:val="14"/>
        </w:rPr>
        <w:t>the</w:t>
      </w:r>
      <w:r>
        <w:rPr>
          <w:color w:val="262526"/>
          <w:spacing w:val="-8"/>
          <w:sz w:val="14"/>
        </w:rPr>
        <w:t> </w:t>
      </w:r>
      <w:r>
        <w:rPr>
          <w:color w:val="262526"/>
          <w:sz w:val="14"/>
        </w:rPr>
        <w:t>project</w:t>
      </w:r>
      <w:r>
        <w:rPr>
          <w:color w:val="262526"/>
          <w:spacing w:val="-7"/>
          <w:sz w:val="14"/>
        </w:rPr>
        <w:t> </w:t>
      </w:r>
      <w:r>
        <w:rPr>
          <w:color w:val="262526"/>
          <w:sz w:val="14"/>
        </w:rPr>
        <w:t>page:</w:t>
      </w:r>
      <w:r>
        <w:rPr>
          <w:color w:val="0000FF"/>
          <w:spacing w:val="-9"/>
          <w:sz w:val="14"/>
        </w:rPr>
        <w:t> </w:t>
      </w:r>
      <w:hyperlink r:id="rId23">
        <w:r>
          <w:rPr>
            <w:color w:val="0000FF"/>
            <w:sz w:val="14"/>
            <w:u w:val="single" w:color="0000FF"/>
          </w:rPr>
          <w:t>https://www.aemc.gov.au/rule-changes/prioritising-arrangements-system-security-</w:t>
        </w:r>
      </w:hyperlink>
      <w:hyperlink r:id="rId23">
        <w:r>
          <w:rPr>
            <w:color w:val="0000FF"/>
            <w:sz w:val="14"/>
            <w:u w:val="single" w:color="0000FF"/>
          </w:rPr>
          <w:t> during-market-suspension</w:t>
        </w:r>
      </w:hyperlink>
    </w:p>
    <w:p>
      <w:pPr>
        <w:pStyle w:val="ListParagraph"/>
        <w:numPr>
          <w:ilvl w:val="0"/>
          <w:numId w:val="24"/>
        </w:numPr>
        <w:tabs>
          <w:tab w:pos="3034" w:val="left" w:leader="none"/>
        </w:tabs>
        <w:spacing w:line="240" w:lineRule="auto" w:before="54" w:after="0"/>
        <w:ind w:left="3033" w:right="0" w:hanging="342"/>
        <w:jc w:val="left"/>
        <w:rPr>
          <w:sz w:val="14"/>
        </w:rPr>
      </w:pPr>
      <w:r>
        <w:rPr>
          <w:color w:val="262526"/>
          <w:sz w:val="14"/>
        </w:rPr>
        <w:t>COAG Energy Council, Rule Change Request – Market Suspension, May</w:t>
      </w:r>
      <w:r>
        <w:rPr>
          <w:color w:val="262526"/>
          <w:spacing w:val="-6"/>
          <w:sz w:val="14"/>
        </w:rPr>
        <w:t> </w:t>
      </w:r>
      <w:r>
        <w:rPr>
          <w:color w:val="262526"/>
          <w:sz w:val="14"/>
        </w:rPr>
        <w:t>2020.</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Heading1"/>
        <w:numPr>
          <w:ilvl w:val="0"/>
          <w:numId w:val="29"/>
        </w:numPr>
        <w:tabs>
          <w:tab w:pos="2692" w:val="left" w:leader="none"/>
          <w:tab w:pos="2693" w:val="left" w:leader="none"/>
        </w:tabs>
        <w:spacing w:line="240" w:lineRule="auto" w:before="112" w:after="0"/>
        <w:ind w:left="2692" w:right="0" w:hanging="1560"/>
        <w:jc w:val="left"/>
      </w:pPr>
      <w:bookmarkStart w:name="C Legal requirements under the NEL " w:id="58"/>
      <w:bookmarkEnd w:id="58"/>
      <w:r>
        <w:rPr/>
      </w:r>
      <w:bookmarkStart w:name="C.1 Draft rule determination " w:id="59"/>
      <w:bookmarkEnd w:id="59"/>
      <w:r>
        <w:rPr/>
      </w:r>
      <w:bookmarkStart w:name="C.2 Power to make the rule " w:id="60"/>
      <w:bookmarkEnd w:id="60"/>
      <w:r>
        <w:rPr/>
      </w:r>
      <w:bookmarkStart w:name="C.3 Commission’s considerations " w:id="61"/>
      <w:bookmarkEnd w:id="61"/>
      <w:r>
        <w:rPr/>
      </w:r>
      <w:bookmarkStart w:name="_bookmark18" w:id="62"/>
      <w:bookmarkEnd w:id="62"/>
      <w:r>
        <w:rPr/>
      </w:r>
      <w:bookmarkStart w:name="_bookmark18" w:id="63"/>
      <w:bookmarkEnd w:id="63"/>
      <w:r>
        <w:rPr>
          <w:color w:val="00ACEC"/>
        </w:rPr>
        <w:t>LEGAL</w:t>
      </w:r>
      <w:r>
        <w:rPr>
          <w:color w:val="00ACEC"/>
        </w:rPr>
        <w:t> REQUIREMENTS UNDER THE</w:t>
      </w:r>
      <w:r>
        <w:rPr>
          <w:color w:val="00ACEC"/>
          <w:spacing w:val="-1"/>
        </w:rPr>
        <w:t> </w:t>
      </w:r>
      <w:r>
        <w:rPr>
          <w:color w:val="00ACEC"/>
        </w:rPr>
        <w:t>NEL</w:t>
      </w:r>
    </w:p>
    <w:p>
      <w:pPr>
        <w:pStyle w:val="BodyText"/>
        <w:spacing w:line="278" w:lineRule="auto" w:before="233"/>
        <w:ind w:left="2692" w:right="295"/>
      </w:pPr>
      <w:r>
        <w:rPr>
          <w:color w:val="262526"/>
        </w:rPr>
        <w:t>This appendix sets out the relevant legal requirements under the NEL for the AEMC to make this draft rule determination.</w:t>
      </w:r>
    </w:p>
    <w:p>
      <w:pPr>
        <w:pStyle w:val="BodyText"/>
        <w:spacing w:before="3"/>
        <w:rPr>
          <w:sz w:val="23"/>
        </w:rPr>
      </w:pPr>
    </w:p>
    <w:p>
      <w:pPr>
        <w:pStyle w:val="Heading2"/>
        <w:numPr>
          <w:ilvl w:val="1"/>
          <w:numId w:val="31"/>
        </w:numPr>
        <w:tabs>
          <w:tab w:pos="2692" w:val="left" w:leader="none"/>
          <w:tab w:pos="2693" w:val="left" w:leader="none"/>
        </w:tabs>
        <w:spacing w:line="240" w:lineRule="auto" w:before="0" w:after="0"/>
        <w:ind w:left="2692" w:right="0" w:hanging="1560"/>
        <w:jc w:val="left"/>
      </w:pPr>
      <w:r>
        <w:rPr>
          <w:color w:val="00ACEC"/>
        </w:rPr>
        <w:t>Draft rule</w:t>
      </w:r>
      <w:r>
        <w:rPr>
          <w:color w:val="00ACEC"/>
          <w:spacing w:val="-2"/>
        </w:rPr>
        <w:t> </w:t>
      </w:r>
      <w:r>
        <w:rPr>
          <w:color w:val="00ACEC"/>
        </w:rPr>
        <w:t>determination</w:t>
      </w:r>
    </w:p>
    <w:p>
      <w:pPr>
        <w:pStyle w:val="BodyText"/>
        <w:spacing w:line="278" w:lineRule="auto" w:before="79"/>
        <w:ind w:left="2692" w:right="295"/>
      </w:pPr>
      <w:r>
        <w:rPr>
          <w:color w:val="262526"/>
        </w:rPr>
        <w:t>In accordance with s. 99 of the NEL the Commission has made this draft rule determination in relation to the rule proposed by the COAG Energy Council.</w:t>
      </w:r>
    </w:p>
    <w:p>
      <w:pPr>
        <w:pStyle w:val="BodyText"/>
        <w:spacing w:before="113"/>
        <w:ind w:left="2692"/>
      </w:pPr>
      <w:r>
        <w:rPr>
          <w:color w:val="262526"/>
        </w:rPr>
        <w:t>The Commission’s reasons for making this draft rule determination are set out in section 2.4.</w:t>
      </w:r>
    </w:p>
    <w:p>
      <w:pPr>
        <w:pStyle w:val="BodyText"/>
        <w:spacing w:line="278" w:lineRule="auto" w:before="152"/>
        <w:ind w:left="2692"/>
      </w:pPr>
      <w:r>
        <w:rPr>
          <w:color w:val="262526"/>
        </w:rPr>
        <w:t>A copy of the more preferable draft rule is attached to and published with this draft rule determination. Its key features are described in section 2.1.</w:t>
      </w:r>
    </w:p>
    <w:p>
      <w:pPr>
        <w:pStyle w:val="BodyText"/>
        <w:spacing w:before="4"/>
        <w:rPr>
          <w:sz w:val="23"/>
        </w:rPr>
      </w:pPr>
    </w:p>
    <w:p>
      <w:pPr>
        <w:pStyle w:val="Heading2"/>
        <w:numPr>
          <w:ilvl w:val="1"/>
          <w:numId w:val="31"/>
        </w:numPr>
        <w:tabs>
          <w:tab w:pos="2692" w:val="left" w:leader="none"/>
          <w:tab w:pos="2693" w:val="left" w:leader="none"/>
        </w:tabs>
        <w:spacing w:line="240" w:lineRule="auto" w:before="0" w:after="0"/>
        <w:ind w:left="2692" w:right="0" w:hanging="1560"/>
        <w:jc w:val="left"/>
      </w:pPr>
      <w:r>
        <w:rPr>
          <w:color w:val="00ACEC"/>
        </w:rPr>
        <w:t>Power to make the</w:t>
      </w:r>
      <w:r>
        <w:rPr>
          <w:color w:val="00ACEC"/>
          <w:spacing w:val="-4"/>
        </w:rPr>
        <w:t> </w:t>
      </w:r>
      <w:r>
        <w:rPr>
          <w:color w:val="00ACEC"/>
        </w:rPr>
        <w:t>rule</w:t>
      </w:r>
    </w:p>
    <w:p>
      <w:pPr>
        <w:pStyle w:val="BodyText"/>
        <w:spacing w:line="278" w:lineRule="auto" w:before="79"/>
        <w:ind w:left="2692"/>
      </w:pPr>
      <w:r>
        <w:rPr>
          <w:color w:val="262526"/>
        </w:rPr>
        <w:t>The Commission is satisfied that the more preferable draft rule falls within the subject matter about which the Commission may make rules. The more preferable draft rule falls within s.</w:t>
      </w:r>
    </w:p>
    <w:p>
      <w:pPr>
        <w:pStyle w:val="BodyText"/>
        <w:spacing w:line="278" w:lineRule="auto"/>
        <w:ind w:left="2692" w:right="171"/>
      </w:pPr>
      <w:r>
        <w:rPr>
          <w:color w:val="262526"/>
        </w:rPr>
        <w:t>34 of the NEL as it relates to the operation of the national electricity market, the operation of the national electricity system for the purposes of </w:t>
      </w:r>
      <w:r>
        <w:rPr>
          <w:color w:val="262526"/>
          <w:spacing w:val="-4"/>
        </w:rPr>
        <w:t>safety, </w:t>
      </w:r>
      <w:r>
        <w:rPr>
          <w:color w:val="262526"/>
        </w:rPr>
        <w:t>security and reliability of that system, the activities of persons participating in the national electricity market or involved in the operation of the national electricity system.</w:t>
      </w:r>
    </w:p>
    <w:p>
      <w:pPr>
        <w:pStyle w:val="BodyText"/>
        <w:spacing w:before="3"/>
        <w:rPr>
          <w:sz w:val="23"/>
        </w:rPr>
      </w:pPr>
    </w:p>
    <w:p>
      <w:pPr>
        <w:pStyle w:val="Heading2"/>
        <w:numPr>
          <w:ilvl w:val="1"/>
          <w:numId w:val="31"/>
        </w:numPr>
        <w:tabs>
          <w:tab w:pos="2692" w:val="left" w:leader="none"/>
          <w:tab w:pos="2693" w:val="left" w:leader="none"/>
        </w:tabs>
        <w:spacing w:line="240" w:lineRule="auto" w:before="0" w:after="0"/>
        <w:ind w:left="2692" w:right="0" w:hanging="1560"/>
        <w:jc w:val="left"/>
      </w:pPr>
      <w:r>
        <w:rPr>
          <w:color w:val="00ACEC"/>
        </w:rPr>
        <w:t>Commission’s</w:t>
      </w:r>
      <w:r>
        <w:rPr>
          <w:color w:val="00ACEC"/>
          <w:spacing w:val="-2"/>
        </w:rPr>
        <w:t> </w:t>
      </w:r>
      <w:r>
        <w:rPr>
          <w:color w:val="00ACEC"/>
        </w:rPr>
        <w:t>considerations</w:t>
      </w:r>
    </w:p>
    <w:p>
      <w:pPr>
        <w:pStyle w:val="BodyText"/>
        <w:spacing w:before="79"/>
        <w:ind w:left="2692"/>
      </w:pPr>
      <w:r>
        <w:rPr>
          <w:color w:val="262526"/>
        </w:rPr>
        <w:t>In assessing the rule change request the Commission considered:</w:t>
      </w:r>
    </w:p>
    <w:p>
      <w:pPr>
        <w:pStyle w:val="ListParagraph"/>
        <w:numPr>
          <w:ilvl w:val="2"/>
          <w:numId w:val="31"/>
        </w:numPr>
        <w:tabs>
          <w:tab w:pos="3033" w:val="left" w:leader="none"/>
          <w:tab w:pos="3034" w:val="left" w:leader="none"/>
        </w:tabs>
        <w:spacing w:line="240" w:lineRule="auto" w:before="152" w:after="0"/>
        <w:ind w:left="3033" w:right="0" w:hanging="341"/>
        <w:jc w:val="left"/>
        <w:rPr>
          <w:sz w:val="20"/>
        </w:rPr>
      </w:pPr>
      <w:r>
        <w:rPr>
          <w:color w:val="262526"/>
          <w:sz w:val="20"/>
        </w:rPr>
        <w:t>it’s powers under the NEL to make the</w:t>
      </w:r>
      <w:r>
        <w:rPr>
          <w:color w:val="262526"/>
          <w:spacing w:val="1"/>
          <w:sz w:val="20"/>
        </w:rPr>
        <w:t> </w:t>
      </w:r>
      <w:r>
        <w:rPr>
          <w:color w:val="262526"/>
          <w:sz w:val="20"/>
        </w:rPr>
        <w:t>rule</w:t>
      </w:r>
    </w:p>
    <w:p>
      <w:pPr>
        <w:pStyle w:val="ListParagraph"/>
        <w:numPr>
          <w:ilvl w:val="2"/>
          <w:numId w:val="31"/>
        </w:numPr>
        <w:tabs>
          <w:tab w:pos="3033" w:val="left" w:leader="none"/>
          <w:tab w:pos="3034" w:val="left" w:leader="none"/>
        </w:tabs>
        <w:spacing w:line="240" w:lineRule="auto" w:before="95" w:after="0"/>
        <w:ind w:left="3033" w:right="0" w:hanging="341"/>
        <w:jc w:val="left"/>
        <w:rPr>
          <w:sz w:val="20"/>
        </w:rPr>
      </w:pPr>
      <w:r>
        <w:rPr>
          <w:color w:val="262526"/>
          <w:sz w:val="20"/>
        </w:rPr>
        <w:t>the rule change request</w:t>
      </w:r>
    </w:p>
    <w:p>
      <w:pPr>
        <w:pStyle w:val="ListParagraph"/>
        <w:numPr>
          <w:ilvl w:val="2"/>
          <w:numId w:val="31"/>
        </w:numPr>
        <w:tabs>
          <w:tab w:pos="3033" w:val="left" w:leader="none"/>
          <w:tab w:pos="3034" w:val="left" w:leader="none"/>
        </w:tabs>
        <w:spacing w:line="278" w:lineRule="auto" w:before="95" w:after="0"/>
        <w:ind w:left="3033" w:right="250" w:hanging="341"/>
        <w:jc w:val="left"/>
        <w:rPr>
          <w:sz w:val="12"/>
        </w:rPr>
      </w:pPr>
      <w:r>
        <w:rPr>
          <w:color w:val="262526"/>
          <w:sz w:val="20"/>
        </w:rPr>
        <w:t>submissions received in response to the August 2019 discussion paper for the Mechanisms to enhance resilience in the power system – review of South Australia black system event</w:t>
      </w:r>
      <w:r>
        <w:rPr>
          <w:color w:val="262526"/>
          <w:position w:val="8"/>
          <w:sz w:val="12"/>
        </w:rPr>
        <w:t>82</w:t>
      </w:r>
    </w:p>
    <w:p>
      <w:pPr>
        <w:pStyle w:val="ListParagraph"/>
        <w:numPr>
          <w:ilvl w:val="2"/>
          <w:numId w:val="31"/>
        </w:numPr>
        <w:tabs>
          <w:tab w:pos="3033" w:val="left" w:leader="none"/>
          <w:tab w:pos="3034" w:val="left" w:leader="none"/>
        </w:tabs>
        <w:spacing w:line="278" w:lineRule="auto" w:before="57" w:after="0"/>
        <w:ind w:left="3033" w:right="836" w:hanging="341"/>
        <w:jc w:val="left"/>
        <w:rPr>
          <w:sz w:val="20"/>
        </w:rPr>
      </w:pPr>
      <w:r>
        <w:rPr>
          <w:color w:val="262526"/>
          <w:sz w:val="20"/>
        </w:rPr>
        <w:t>the Commission’s analysis as to the ways in which the draft rule will or is likely to, contribute to the NEO.</w:t>
      </w:r>
    </w:p>
    <w:p>
      <w:pPr>
        <w:pStyle w:val="BodyText"/>
        <w:spacing w:line="278" w:lineRule="auto" w:before="57"/>
        <w:ind w:left="2692" w:right="295"/>
        <w:rPr>
          <w:sz w:val="12"/>
        </w:rPr>
      </w:pPr>
      <w:r>
        <w:rPr>
          <w:color w:val="262526"/>
        </w:rPr>
        <w:t>There is no relevant Ministerial Council on Energy (MCE) statement of policy principles for this rule change request.</w:t>
      </w:r>
      <w:r>
        <w:rPr>
          <w:color w:val="262526"/>
          <w:position w:val="8"/>
          <w:sz w:val="12"/>
        </w:rPr>
        <w:t>83</w:t>
      </w:r>
    </w:p>
    <w:p>
      <w:pPr>
        <w:pStyle w:val="BodyText"/>
        <w:spacing w:line="278" w:lineRule="auto" w:before="113"/>
        <w:ind w:left="2692" w:right="171"/>
      </w:pPr>
      <w:r>
        <w:rPr>
          <w:color w:val="262526"/>
        </w:rPr>
        <w:t>The Commission may only make a rule that has effect with respect to an adoptive jurisdiction if satisfied that the proposed rule is compatible with the proper performance of Australian</w:t>
      </w:r>
    </w:p>
    <w:p>
      <w:pPr>
        <w:pStyle w:val="BodyText"/>
      </w:pPr>
    </w:p>
    <w:p>
      <w:pPr>
        <w:pStyle w:val="BodyText"/>
      </w:pPr>
    </w:p>
    <w:p>
      <w:pPr>
        <w:pStyle w:val="BodyText"/>
      </w:pPr>
    </w:p>
    <w:p>
      <w:pPr>
        <w:pStyle w:val="BodyText"/>
        <w:spacing w:before="2"/>
        <w:rPr>
          <w:sz w:val="16"/>
        </w:rPr>
      </w:pPr>
      <w:r>
        <w:rPr/>
        <w:pict>
          <v:shape style="position:absolute;margin-left:134.645996pt;margin-top:12.205812pt;width:49.65pt;height:.1pt;mso-position-horizontal-relative:page;mso-position-vertical-relative:paragraph;z-index:-15711232;mso-wrap-distance-left:0;mso-wrap-distance-right:0" coordorigin="2693,244" coordsize="993,0" path="m2693,244l3685,244e" filled="false" stroked="true" strokeweight="1pt" strokecolor="#262526">
            <v:path arrowok="t"/>
            <v:stroke dashstyle="solid"/>
            <w10:wrap type="topAndBottom"/>
          </v:shape>
        </w:pict>
      </w:r>
    </w:p>
    <w:p>
      <w:pPr>
        <w:pStyle w:val="ListParagraph"/>
        <w:numPr>
          <w:ilvl w:val="0"/>
          <w:numId w:val="32"/>
        </w:numPr>
        <w:tabs>
          <w:tab w:pos="3034" w:val="left" w:leader="none"/>
        </w:tabs>
        <w:spacing w:line="240" w:lineRule="auto" w:before="98" w:after="0"/>
        <w:ind w:left="3033" w:right="0" w:hanging="342"/>
        <w:jc w:val="left"/>
        <w:rPr>
          <w:sz w:val="14"/>
        </w:rPr>
      </w:pPr>
      <w:r>
        <w:rPr>
          <w:color w:val="262526"/>
          <w:sz w:val="14"/>
        </w:rPr>
        <w:t>For</w:t>
      </w:r>
      <w:r>
        <w:rPr>
          <w:color w:val="262526"/>
          <w:spacing w:val="-11"/>
          <w:sz w:val="14"/>
        </w:rPr>
        <w:t> </w:t>
      </w:r>
      <w:r>
        <w:rPr>
          <w:color w:val="262526"/>
          <w:sz w:val="14"/>
        </w:rPr>
        <w:t>more</w:t>
      </w:r>
      <w:r>
        <w:rPr>
          <w:color w:val="262526"/>
          <w:spacing w:val="-11"/>
          <w:sz w:val="14"/>
        </w:rPr>
        <w:t> </w:t>
      </w:r>
      <w:r>
        <w:rPr>
          <w:color w:val="262526"/>
          <w:sz w:val="14"/>
        </w:rPr>
        <w:t>information,</w:t>
      </w:r>
      <w:r>
        <w:rPr>
          <w:color w:val="262526"/>
          <w:spacing w:val="-11"/>
          <w:sz w:val="14"/>
        </w:rPr>
        <w:t> </w:t>
      </w:r>
      <w:r>
        <w:rPr>
          <w:color w:val="262526"/>
          <w:sz w:val="14"/>
        </w:rPr>
        <w:t>see:</w:t>
      </w:r>
      <w:r>
        <w:rPr>
          <w:color w:val="262526"/>
          <w:spacing w:val="-12"/>
          <w:sz w:val="14"/>
        </w:rPr>
        <w:t> </w:t>
      </w:r>
      <w:r>
        <w:rPr>
          <w:color w:val="262526"/>
          <w:sz w:val="14"/>
        </w:rPr>
        <w:t>ht</w:t>
      </w:r>
      <w:hyperlink r:id="rId24">
        <w:r>
          <w:rPr>
            <w:color w:val="262526"/>
            <w:sz w:val="14"/>
          </w:rPr>
          <w:t>tps://www.aemc.go</w:t>
        </w:r>
      </w:hyperlink>
      <w:r>
        <w:rPr>
          <w:color w:val="262526"/>
          <w:sz w:val="14"/>
        </w:rPr>
        <w:t>v</w:t>
      </w:r>
      <w:hyperlink r:id="rId24">
        <w:r>
          <w:rPr>
            <w:color w:val="262526"/>
            <w:sz w:val="14"/>
          </w:rPr>
          <w:t>.au/markets-reviews-advice/review</w:t>
        </w:r>
      </w:hyperlink>
      <w:r>
        <w:rPr>
          <w:color w:val="262526"/>
          <w:sz w:val="14"/>
        </w:rPr>
        <w:t>-of</w:t>
      </w:r>
      <w:hyperlink r:id="rId24">
        <w:r>
          <w:rPr>
            <w:color w:val="262526"/>
            <w:sz w:val="14"/>
          </w:rPr>
          <w:t>-the-system-black-event-in-south-australi</w:t>
        </w:r>
      </w:hyperlink>
    </w:p>
    <w:p>
      <w:pPr>
        <w:pStyle w:val="ListParagraph"/>
        <w:numPr>
          <w:ilvl w:val="0"/>
          <w:numId w:val="32"/>
        </w:numPr>
        <w:tabs>
          <w:tab w:pos="3034" w:val="left" w:leader="none"/>
        </w:tabs>
        <w:spacing w:line="240" w:lineRule="auto" w:before="55" w:after="0"/>
        <w:ind w:left="3033" w:right="142" w:hanging="341"/>
        <w:jc w:val="left"/>
        <w:rPr>
          <w:sz w:val="14"/>
        </w:rPr>
      </w:pPr>
      <w:r>
        <w:rPr>
          <w:color w:val="262526"/>
          <w:sz w:val="14"/>
        </w:rPr>
        <w:t>Under s. 33 of the NEL the AEMC must have regard to any relevant MCE statement of policy principles in making a rule. The MCE is referenced in the AEMC’s governing legislation and is a legally enduring body comprising the Federal, State and </w:t>
      </w:r>
      <w:r>
        <w:rPr>
          <w:color w:val="262526"/>
          <w:spacing w:val="-3"/>
          <w:sz w:val="14"/>
        </w:rPr>
        <w:t>Territory </w:t>
      </w:r>
      <w:r>
        <w:rPr>
          <w:color w:val="262526"/>
          <w:sz w:val="14"/>
        </w:rPr>
        <w:t>Ministers responsible for </w:t>
      </w:r>
      <w:r>
        <w:rPr>
          <w:color w:val="262526"/>
          <w:spacing w:val="-3"/>
          <w:sz w:val="14"/>
        </w:rPr>
        <w:t>energy. </w:t>
      </w:r>
      <w:r>
        <w:rPr>
          <w:color w:val="262526"/>
          <w:sz w:val="14"/>
        </w:rPr>
        <w:t>On 1 July 2011, the MCE was amalgamated with the Ministerial Council on Mineral and Petroleum Resources. The amalgamated council is now called the COAG Energy</w:t>
      </w:r>
      <w:r>
        <w:rPr>
          <w:color w:val="262526"/>
          <w:spacing w:val="-12"/>
          <w:sz w:val="14"/>
        </w:rPr>
        <w:t> </w:t>
      </w:r>
      <w:r>
        <w:rPr>
          <w:color w:val="262526"/>
          <w:sz w:val="14"/>
        </w:rPr>
        <w:t>Council.</w:t>
      </w:r>
    </w:p>
    <w:p>
      <w:pPr>
        <w:spacing w:after="0" w:line="240" w:lineRule="auto"/>
        <w:jc w:val="left"/>
        <w:rPr>
          <w:sz w:val="14"/>
        </w:rPr>
        <w:sectPr>
          <w:pgSz w:w="11910" w:h="16840"/>
          <w:pgMar w:header="808" w:footer="767" w:top="1460" w:bottom="960" w:left="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pStyle w:val="BodyText"/>
        <w:spacing w:line="278" w:lineRule="auto" w:before="107"/>
        <w:ind w:left="2692" w:right="171"/>
      </w:pPr>
      <w:bookmarkStart w:name="C.4 Civil penalties " w:id="64"/>
      <w:bookmarkEnd w:id="64"/>
      <w:r>
        <w:rPr/>
      </w:r>
      <w:bookmarkStart w:name="C.5 Conduct provisions " w:id="65"/>
      <w:bookmarkEnd w:id="65"/>
      <w:r>
        <w:rPr/>
      </w:r>
      <w:bookmarkStart w:name="_bookmark19" w:id="66"/>
      <w:bookmarkEnd w:id="66"/>
      <w:r>
        <w:rPr/>
      </w:r>
      <w:r>
        <w:rPr>
          <w:color w:val="262526"/>
        </w:rPr>
        <w:t>Energy Market Operator (AEMO)’s declared network functions.</w:t>
      </w:r>
      <w:r>
        <w:rPr>
          <w:color w:val="262526"/>
          <w:position w:val="8"/>
          <w:sz w:val="12"/>
        </w:rPr>
        <w:t>84 </w:t>
      </w:r>
      <w:r>
        <w:rPr>
          <w:color w:val="262526"/>
        </w:rPr>
        <w:t>The draft rule is compatible with AEMO’s declared network functions because it does not amend or affect those functions.</w:t>
      </w:r>
    </w:p>
    <w:p>
      <w:pPr>
        <w:pStyle w:val="BodyText"/>
        <w:spacing w:before="3"/>
        <w:rPr>
          <w:sz w:val="23"/>
        </w:rPr>
      </w:pPr>
    </w:p>
    <w:p>
      <w:pPr>
        <w:pStyle w:val="Heading2"/>
        <w:numPr>
          <w:ilvl w:val="1"/>
          <w:numId w:val="31"/>
        </w:numPr>
        <w:tabs>
          <w:tab w:pos="2692" w:val="left" w:leader="none"/>
          <w:tab w:pos="2693" w:val="left" w:leader="none"/>
        </w:tabs>
        <w:spacing w:line="240" w:lineRule="auto" w:before="0" w:after="0"/>
        <w:ind w:left="2692" w:right="0" w:hanging="1560"/>
        <w:jc w:val="left"/>
      </w:pPr>
      <w:r>
        <w:rPr>
          <w:color w:val="00ACEC"/>
        </w:rPr>
        <w:t>Civil penalties</w:t>
      </w:r>
    </w:p>
    <w:p>
      <w:pPr>
        <w:pStyle w:val="BodyText"/>
        <w:spacing w:line="278" w:lineRule="auto" w:before="79"/>
        <w:ind w:left="2692" w:right="295"/>
      </w:pPr>
      <w:r>
        <w:rPr>
          <w:color w:val="262526"/>
        </w:rPr>
        <w:t>The Commission cannot create new civil penalty provisions. However, it may recommend to the National Federation Reform Council that new or existing provisions of the NER be classified as civil penalty provisions.</w:t>
      </w:r>
    </w:p>
    <w:p>
      <w:pPr>
        <w:pStyle w:val="BodyText"/>
        <w:spacing w:line="278" w:lineRule="auto" w:before="113"/>
        <w:ind w:left="2692" w:right="238"/>
      </w:pPr>
      <w:r>
        <w:rPr>
          <w:color w:val="262526"/>
        </w:rPr>
        <w:t>The draft rule does not amend any clauses that are currently classified as civil penalty provisions under the NEL or National Electricity (South Australia) Regulations. The Commission does not propose to recommend to the National Federation Reform Council that any of the proposed amendments made by the draft rule be classified as civil penalty provisions.</w:t>
      </w:r>
    </w:p>
    <w:p>
      <w:pPr>
        <w:pStyle w:val="BodyText"/>
        <w:spacing w:before="4"/>
        <w:rPr>
          <w:sz w:val="23"/>
        </w:rPr>
      </w:pPr>
    </w:p>
    <w:p>
      <w:pPr>
        <w:pStyle w:val="Heading2"/>
        <w:numPr>
          <w:ilvl w:val="1"/>
          <w:numId w:val="31"/>
        </w:numPr>
        <w:tabs>
          <w:tab w:pos="2692" w:val="left" w:leader="none"/>
          <w:tab w:pos="2693" w:val="left" w:leader="none"/>
        </w:tabs>
        <w:spacing w:line="240" w:lineRule="auto" w:before="0" w:after="0"/>
        <w:ind w:left="2692" w:right="0" w:hanging="1560"/>
        <w:jc w:val="left"/>
      </w:pPr>
      <w:r>
        <w:rPr>
          <w:color w:val="00ACEC"/>
        </w:rPr>
        <w:t>Conduct</w:t>
      </w:r>
      <w:r>
        <w:rPr>
          <w:color w:val="00ACEC"/>
          <w:spacing w:val="-1"/>
        </w:rPr>
        <w:t> </w:t>
      </w:r>
      <w:r>
        <w:rPr>
          <w:color w:val="00ACEC"/>
        </w:rPr>
        <w:t>provisions</w:t>
      </w:r>
    </w:p>
    <w:p>
      <w:pPr>
        <w:pStyle w:val="BodyText"/>
        <w:spacing w:line="278" w:lineRule="auto" w:before="79"/>
        <w:ind w:left="2692"/>
      </w:pPr>
      <w:r>
        <w:rPr>
          <w:color w:val="262526"/>
        </w:rPr>
        <w:t>The Commission cannot create new conduct provisions. However, it may recommend to the National Federation Reform Council that new or existing provisions of the NER be classified as conduct provisions.</w:t>
      </w:r>
    </w:p>
    <w:p>
      <w:pPr>
        <w:pStyle w:val="BodyText"/>
        <w:spacing w:line="278" w:lineRule="auto" w:before="113"/>
        <w:ind w:left="2692" w:right="171"/>
      </w:pPr>
      <w:r>
        <w:rPr>
          <w:color w:val="262526"/>
        </w:rPr>
        <w:t>The draft rule does not amend any rules that are currently classified as conduct provisions under the NEL or National Electricity (South Australia) Regulations. The Commission does not propose to recommend to the National Federation Reform Council that any of the proposed amendments made by the draft rule be classified as conduct provisions.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9"/>
        </w:rPr>
      </w:pPr>
      <w:r>
        <w:rPr/>
        <w:pict>
          <v:shape style="position:absolute;margin-left:134.645996pt;margin-top:20.337688pt;width:49.65pt;height:.1pt;mso-position-horizontal-relative:page;mso-position-vertical-relative:paragraph;z-index:-15710720;mso-wrap-distance-left:0;mso-wrap-distance-right:0" coordorigin="2693,407" coordsize="993,0" path="m2693,407l3685,407e" filled="false" stroked="true" strokeweight="1pt" strokecolor="#262526">
            <v:path arrowok="t"/>
            <v:stroke dashstyle="solid"/>
            <w10:wrap type="topAndBottom"/>
          </v:shape>
        </w:pict>
      </w:r>
    </w:p>
    <w:p>
      <w:pPr>
        <w:pStyle w:val="ListParagraph"/>
        <w:numPr>
          <w:ilvl w:val="0"/>
          <w:numId w:val="32"/>
        </w:numPr>
        <w:tabs>
          <w:tab w:pos="3034" w:val="left" w:leader="none"/>
        </w:tabs>
        <w:spacing w:line="240" w:lineRule="auto" w:before="98" w:after="0"/>
        <w:ind w:left="3033" w:right="0" w:hanging="342"/>
        <w:jc w:val="left"/>
        <w:rPr>
          <w:sz w:val="14"/>
        </w:rPr>
      </w:pPr>
      <w:r>
        <w:rPr>
          <w:color w:val="262526"/>
          <w:sz w:val="14"/>
        </w:rPr>
        <w:t>Section 91(8) of the</w:t>
      </w:r>
      <w:r>
        <w:rPr>
          <w:color w:val="262526"/>
          <w:spacing w:val="-2"/>
          <w:sz w:val="14"/>
        </w:rPr>
        <w:t> </w:t>
      </w:r>
      <w:r>
        <w:rPr>
          <w:color w:val="262526"/>
          <w:sz w:val="14"/>
        </w:rPr>
        <w:t>NEL.</w:t>
      </w:r>
    </w:p>
    <w:sectPr>
      <w:pgSz w:w="11910" w:h="16840"/>
      <w:pgMar w:header="808" w:footer="767" w:top="1460" w:bottom="960" w:left="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Trebuchet MS">
    <w:altName w:val="Trebuchet MS"/>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0.078979pt;margin-top:796.535034pt;width:.84998pt;height:8.504pt;mso-position-horizontal-relative:page;mso-position-vertical-relative:page;z-index:-16631808" filled="true" fillcolor="#00acec" stroked="false">
          <v:fill type="solid"/>
          <w10:wrap type="none"/>
        </v:rect>
      </w:pict>
    </w:r>
    <w:r>
      <w:rPr/>
      <w:pict>
        <v:shape style="position:absolute;margin-left:542.534119pt;margin-top:792.420105pt;width:13.25pt;height:15.65pt;mso-position-horizontal-relative:page;mso-position-vertical-relative:page;z-index:-16631296" type="#_x0000_t202" filled="false" stroked="false">
          <v:textbox inset="0,0,0,0">
            <w:txbxContent>
              <w:p>
                <w:pPr>
                  <w:pStyle w:val="BodyText"/>
                  <w:spacing w:before="40"/>
                  <w:ind w:left="60"/>
                  <w:rPr>
                    <w:rFonts w:ascii="Arial"/>
                  </w:rPr>
                </w:pPr>
                <w:r>
                  <w:rPr/>
                  <w:fldChar w:fldCharType="begin"/>
                </w:r>
                <w:r>
                  <w:rPr>
                    <w:rFonts w:ascii="Arial"/>
                    <w:color w:val="262526"/>
                  </w:rPr>
                  <w:instrText> PAGE  \* roman </w:instrText>
                </w:r>
                <w:r>
                  <w:rPr/>
                  <w:fldChar w:fldCharType="separate"/>
                </w:r>
                <w:r>
                  <w:rPr/>
                  <w:t>iv</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530.078979pt;margin-top:796.535034pt;width:.84998pt;height:8.504pt;mso-position-horizontal-relative:page;mso-position-vertical-relative:page;z-index:-16627712" filled="true" fillcolor="#00acec" stroked="false">
          <v:fill type="solid"/>
          <w10:wrap type="none"/>
        </v:rect>
      </w:pict>
    </w:r>
    <w:r>
      <w:rPr/>
      <w:pict>
        <v:shape style="position:absolute;margin-left:538.632813pt;margin-top:792.420105pt;width:17.150pt;height:15.65pt;mso-position-horizontal-relative:page;mso-position-vertical-relative:page;z-index:-16627200" type="#_x0000_t202" filled="false" stroked="false">
          <v:textbox inset="0,0,0,0">
            <w:txbxContent>
              <w:p>
                <w:pPr>
                  <w:pStyle w:val="BodyText"/>
                  <w:spacing w:before="40"/>
                  <w:ind w:left="60"/>
                  <w:rPr>
                    <w:rFonts w:ascii="Arial"/>
                  </w:rPr>
                </w:pPr>
                <w:r>
                  <w:rPr/>
                  <w:fldChar w:fldCharType="begin"/>
                </w:r>
                <w:r>
                  <w:rPr>
                    <w:rFonts w:ascii="Arial"/>
                    <w:color w:val="262526"/>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130.393997pt;margin-top:42.520016pt;width:.85008pt;height:31.181pt;mso-position-horizontal-relative:page;mso-position-vertical-relative:page;z-index:-16634880" filled="true" fillcolor="#00acec" stroked="false">
          <v:fill type="solid"/>
          <w10:wrap type="none"/>
        </v:rect>
      </w:pict>
    </w:r>
    <w:r>
      <w:rPr/>
      <w:pict>
        <v:shape style="position:absolute;margin-left:55.692799pt;margin-top:39.632957pt;width:62.2pt;height:20.6pt;mso-position-horizontal-relative:page;mso-position-vertical-relative:page;z-index:-16634368" type="#_x0000_t202" filled="false" stroked="false">
          <v:textbox inset="0,0,0,0">
            <w:txbxContent>
              <w:p>
                <w:pPr>
                  <w:spacing w:before="24"/>
                  <w:ind w:left="20" w:right="-1" w:firstLine="0"/>
                  <w:jc w:val="left"/>
                  <w:rPr>
                    <w:sz w:val="14"/>
                  </w:rPr>
                </w:pPr>
                <w:r>
                  <w:rPr>
                    <w:color w:val="515051"/>
                    <w:sz w:val="14"/>
                  </w:rPr>
                  <w:t>Australian Energy Market Commission</w:t>
                </w:r>
              </w:p>
            </w:txbxContent>
          </v:textbox>
          <w10:wrap type="none"/>
        </v:shape>
      </w:pict>
    </w:r>
    <w:r>
      <w:rPr/>
      <w:pict>
        <v:shape style="position:absolute;margin-left:135.063004pt;margin-top:39.414207pt;width:105.95pt;height:29.2pt;mso-position-horizontal-relative:page;mso-position-vertical-relative:page;z-index:-16633856" type="#_x0000_t202" filled="false" stroked="false">
          <v:textbox inset="0,0,0,0">
            <w:txbxContent>
              <w:p>
                <w:pPr>
                  <w:spacing w:before="29"/>
                  <w:ind w:left="20" w:right="-4" w:firstLine="0"/>
                  <w:jc w:val="left"/>
                  <w:rPr>
                    <w:sz w:val="14"/>
                  </w:rPr>
                </w:pPr>
                <w:r>
                  <w:rPr>
                    <w:b/>
                    <w:color w:val="515051"/>
                    <w:sz w:val="14"/>
                  </w:rPr>
                  <w:t>Draft rule determination </w:t>
                </w:r>
                <w:r>
                  <w:rPr>
                    <w:color w:val="515051"/>
                    <w:sz w:val="14"/>
                  </w:rPr>
                  <w:t>General power system risk review 04 February 2021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130.393997pt;margin-top:42.520016pt;width:.85008pt;height:31.181pt;mso-position-horizontal-relative:page;mso-position-vertical-relative:page;z-index:-16633344" filled="true" fillcolor="#00acec" stroked="false">
          <v:fill type="solid"/>
          <w10:wrap type="none"/>
        </v:rect>
      </w:pict>
    </w:r>
    <w:r>
      <w:rPr/>
      <w:pict>
        <v:shape style="position:absolute;margin-left:55.692799pt;margin-top:39.632957pt;width:62.2pt;height:20.6pt;mso-position-horizontal-relative:page;mso-position-vertical-relative:page;z-index:-16632832" type="#_x0000_t202" filled="false" stroked="false">
          <v:textbox inset="0,0,0,0">
            <w:txbxContent>
              <w:p>
                <w:pPr>
                  <w:spacing w:before="24"/>
                  <w:ind w:left="20" w:right="-1" w:firstLine="0"/>
                  <w:jc w:val="left"/>
                  <w:rPr>
                    <w:sz w:val="14"/>
                  </w:rPr>
                </w:pPr>
                <w:r>
                  <w:rPr>
                    <w:color w:val="515051"/>
                    <w:sz w:val="14"/>
                  </w:rPr>
                  <w:t>Australian Energy Market Commission</w:t>
                </w:r>
              </w:p>
            </w:txbxContent>
          </v:textbox>
          <w10:wrap type="none"/>
        </v:shape>
      </w:pict>
    </w:r>
    <w:r>
      <w:rPr/>
      <w:pict>
        <v:shape style="position:absolute;margin-left:135.063004pt;margin-top:39.414207pt;width:105.95pt;height:29.2pt;mso-position-horizontal-relative:page;mso-position-vertical-relative:page;z-index:-16632320" type="#_x0000_t202" filled="false" stroked="false">
          <v:textbox inset="0,0,0,0">
            <w:txbxContent>
              <w:p>
                <w:pPr>
                  <w:spacing w:before="29"/>
                  <w:ind w:left="20" w:right="-4" w:firstLine="0"/>
                  <w:jc w:val="left"/>
                  <w:rPr>
                    <w:sz w:val="14"/>
                  </w:rPr>
                </w:pPr>
                <w:r>
                  <w:rPr>
                    <w:b/>
                    <w:color w:val="515051"/>
                    <w:sz w:val="14"/>
                  </w:rPr>
                  <w:t>Draft rule determination </w:t>
                </w:r>
                <w:r>
                  <w:rPr>
                    <w:color w:val="515051"/>
                    <w:sz w:val="14"/>
                  </w:rPr>
                  <w:t>General power system risk review 04 February 2021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130.393997pt;margin-top:42.520016pt;width:.85008pt;height:31.181pt;mso-position-horizontal-relative:page;mso-position-vertical-relative:page;z-index:-16630784" filled="true" fillcolor="#00acec" stroked="false">
          <v:fill type="solid"/>
          <w10:wrap type="none"/>
        </v:rect>
      </w:pict>
    </w:r>
    <w:r>
      <w:rPr/>
      <w:pict>
        <v:shape style="position:absolute;margin-left:55.692799pt;margin-top:39.632957pt;width:62.2pt;height:20.6pt;mso-position-horizontal-relative:page;mso-position-vertical-relative:page;z-index:-16630272" type="#_x0000_t202" filled="false" stroked="false">
          <v:textbox inset="0,0,0,0">
            <w:txbxContent>
              <w:p>
                <w:pPr>
                  <w:spacing w:before="24"/>
                  <w:ind w:left="20" w:right="-1" w:firstLine="0"/>
                  <w:jc w:val="left"/>
                  <w:rPr>
                    <w:sz w:val="14"/>
                  </w:rPr>
                </w:pPr>
                <w:r>
                  <w:rPr>
                    <w:color w:val="515051"/>
                    <w:sz w:val="14"/>
                  </w:rPr>
                  <w:t>Australian Energy Market Commission</w:t>
                </w:r>
              </w:p>
            </w:txbxContent>
          </v:textbox>
          <w10:wrap type="none"/>
        </v:shape>
      </w:pict>
    </w:r>
    <w:r>
      <w:rPr/>
      <w:pict>
        <v:shape style="position:absolute;margin-left:135.063004pt;margin-top:39.414207pt;width:105.95pt;height:29.2pt;mso-position-horizontal-relative:page;mso-position-vertical-relative:page;z-index:-16629760" type="#_x0000_t202" filled="false" stroked="false">
          <v:textbox inset="0,0,0,0">
            <w:txbxContent>
              <w:p>
                <w:pPr>
                  <w:spacing w:before="29"/>
                  <w:ind w:left="20" w:right="-4" w:firstLine="0"/>
                  <w:jc w:val="left"/>
                  <w:rPr>
                    <w:sz w:val="14"/>
                  </w:rPr>
                </w:pPr>
                <w:r>
                  <w:rPr>
                    <w:b/>
                    <w:color w:val="515051"/>
                    <w:sz w:val="14"/>
                  </w:rPr>
                  <w:t>Draft rule determination </w:t>
                </w:r>
                <w:r>
                  <w:rPr>
                    <w:color w:val="515051"/>
                    <w:sz w:val="14"/>
                  </w:rPr>
                  <w:t>General power system risk review 04 February 2021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130.393997pt;margin-top:42.520016pt;width:.85008pt;height:31.181pt;mso-position-horizontal-relative:page;mso-position-vertical-relative:page;z-index:-16629248" filled="true" fillcolor="#00acec" stroked="false">
          <v:fill type="solid"/>
          <w10:wrap type="none"/>
        </v:rect>
      </w:pict>
    </w:r>
    <w:r>
      <w:rPr/>
      <w:pict>
        <v:shape style="position:absolute;margin-left:55.692799pt;margin-top:39.632957pt;width:62.2pt;height:20.6pt;mso-position-horizontal-relative:page;mso-position-vertical-relative:page;z-index:-16628736" type="#_x0000_t202" filled="false" stroked="false">
          <v:textbox inset="0,0,0,0">
            <w:txbxContent>
              <w:p>
                <w:pPr>
                  <w:spacing w:before="24"/>
                  <w:ind w:left="20" w:right="-1" w:firstLine="0"/>
                  <w:jc w:val="left"/>
                  <w:rPr>
                    <w:sz w:val="14"/>
                  </w:rPr>
                </w:pPr>
                <w:r>
                  <w:rPr>
                    <w:color w:val="515051"/>
                    <w:sz w:val="14"/>
                  </w:rPr>
                  <w:t>Australian Energy Market Commission</w:t>
                </w:r>
              </w:p>
            </w:txbxContent>
          </v:textbox>
          <w10:wrap type="none"/>
        </v:shape>
      </w:pict>
    </w:r>
    <w:r>
      <w:rPr/>
      <w:pict>
        <v:shape style="position:absolute;margin-left:135.063004pt;margin-top:39.414207pt;width:105.95pt;height:29.2pt;mso-position-horizontal-relative:page;mso-position-vertical-relative:page;z-index:-16628224" type="#_x0000_t202" filled="false" stroked="false">
          <v:textbox inset="0,0,0,0">
            <w:txbxContent>
              <w:p>
                <w:pPr>
                  <w:spacing w:before="29"/>
                  <w:ind w:left="20" w:right="-4" w:firstLine="0"/>
                  <w:jc w:val="left"/>
                  <w:rPr>
                    <w:sz w:val="14"/>
                  </w:rPr>
                </w:pPr>
                <w:r>
                  <w:rPr>
                    <w:b/>
                    <w:color w:val="515051"/>
                    <w:sz w:val="14"/>
                  </w:rPr>
                  <w:t>Draft rule determination </w:t>
                </w:r>
                <w:r>
                  <w:rPr>
                    <w:color w:val="515051"/>
                    <w:sz w:val="14"/>
                  </w:rPr>
                  <w:t>General power system risk review 04 February 2021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373" w:hanging="341"/>
      </w:pPr>
      <w:rPr>
        <w:rFonts w:hint="default" w:ascii="Tahoma" w:hAnsi="Tahoma" w:eastAsia="Tahoma" w:cs="Tahoma"/>
        <w:color w:val="262526"/>
        <w:w w:val="101"/>
        <w:sz w:val="20"/>
        <w:szCs w:val="20"/>
        <w:lang w:val="en-us" w:eastAsia="en-US" w:bidi="ar-SA"/>
      </w:rPr>
    </w:lvl>
    <w:lvl w:ilvl="1">
      <w:start w:val="0"/>
      <w:numFmt w:val="bullet"/>
      <w:lvlText w:val="•"/>
      <w:lvlJc w:val="left"/>
      <w:pPr>
        <w:ind w:left="4158" w:hanging="341"/>
      </w:pPr>
      <w:rPr>
        <w:rFonts w:hint="default"/>
        <w:lang w:val="en-us" w:eastAsia="en-US" w:bidi="ar-SA"/>
      </w:rPr>
    </w:lvl>
    <w:lvl w:ilvl="2">
      <w:start w:val="0"/>
      <w:numFmt w:val="bullet"/>
      <w:lvlText w:val="•"/>
      <w:lvlJc w:val="left"/>
      <w:pPr>
        <w:ind w:left="4937" w:hanging="341"/>
      </w:pPr>
      <w:rPr>
        <w:rFonts w:hint="default"/>
        <w:lang w:val="en-us" w:eastAsia="en-US" w:bidi="ar-SA"/>
      </w:rPr>
    </w:lvl>
    <w:lvl w:ilvl="3">
      <w:start w:val="0"/>
      <w:numFmt w:val="bullet"/>
      <w:lvlText w:val="•"/>
      <w:lvlJc w:val="left"/>
      <w:pPr>
        <w:ind w:left="5715" w:hanging="341"/>
      </w:pPr>
      <w:rPr>
        <w:rFonts w:hint="default"/>
        <w:lang w:val="en-us" w:eastAsia="en-US" w:bidi="ar-SA"/>
      </w:rPr>
    </w:lvl>
    <w:lvl w:ilvl="4">
      <w:start w:val="0"/>
      <w:numFmt w:val="bullet"/>
      <w:lvlText w:val="•"/>
      <w:lvlJc w:val="left"/>
      <w:pPr>
        <w:ind w:left="6494" w:hanging="341"/>
      </w:pPr>
      <w:rPr>
        <w:rFonts w:hint="default"/>
        <w:lang w:val="en-us" w:eastAsia="en-US" w:bidi="ar-SA"/>
      </w:rPr>
    </w:lvl>
    <w:lvl w:ilvl="5">
      <w:start w:val="0"/>
      <w:numFmt w:val="bullet"/>
      <w:lvlText w:val="•"/>
      <w:lvlJc w:val="left"/>
      <w:pPr>
        <w:ind w:left="7272" w:hanging="341"/>
      </w:pPr>
      <w:rPr>
        <w:rFonts w:hint="default"/>
        <w:lang w:val="en-us" w:eastAsia="en-US" w:bidi="ar-SA"/>
      </w:rPr>
    </w:lvl>
    <w:lvl w:ilvl="6">
      <w:start w:val="0"/>
      <w:numFmt w:val="bullet"/>
      <w:lvlText w:val="•"/>
      <w:lvlJc w:val="left"/>
      <w:pPr>
        <w:ind w:left="8051" w:hanging="341"/>
      </w:pPr>
      <w:rPr>
        <w:rFonts w:hint="default"/>
        <w:lang w:val="en-us" w:eastAsia="en-US" w:bidi="ar-SA"/>
      </w:rPr>
    </w:lvl>
    <w:lvl w:ilvl="7">
      <w:start w:val="0"/>
      <w:numFmt w:val="bullet"/>
      <w:lvlText w:val="•"/>
      <w:lvlJc w:val="left"/>
      <w:pPr>
        <w:ind w:left="8829" w:hanging="341"/>
      </w:pPr>
      <w:rPr>
        <w:rFonts w:hint="default"/>
        <w:lang w:val="en-us" w:eastAsia="en-US" w:bidi="ar-SA"/>
      </w:rPr>
    </w:lvl>
    <w:lvl w:ilvl="8">
      <w:start w:val="0"/>
      <w:numFmt w:val="bullet"/>
      <w:lvlText w:val="•"/>
      <w:lvlJc w:val="left"/>
      <w:pPr>
        <w:ind w:left="9608" w:hanging="341"/>
      </w:pPr>
      <w:rPr>
        <w:rFonts w:hint="default"/>
        <w:lang w:val="en-us" w:eastAsia="en-US" w:bidi="ar-SA"/>
      </w:rPr>
    </w:lvl>
  </w:abstractNum>
  <w:abstractNum w:abstractNumId="31">
    <w:multiLevelType w:val="hybridMultilevel"/>
    <w:lvl w:ilvl="0">
      <w:start w:val="82"/>
      <w:numFmt w:val="decimal"/>
      <w:lvlText w:val="%1"/>
      <w:lvlJc w:val="left"/>
      <w:pPr>
        <w:ind w:left="3033" w:hanging="341"/>
        <w:jc w:val="left"/>
      </w:pPr>
      <w:rPr>
        <w:rFonts w:hint="default" w:ascii="Tahoma" w:hAnsi="Tahoma" w:eastAsia="Tahoma" w:cs="Tahoma"/>
        <w:color w:val="262526"/>
        <w:w w:val="100"/>
        <w:sz w:val="14"/>
        <w:szCs w:val="14"/>
        <w:lang w:val="en-us" w:eastAsia="en-US" w:bidi="ar-SA"/>
      </w:rPr>
    </w:lvl>
    <w:lvl w:ilvl="1">
      <w:start w:val="0"/>
      <w:numFmt w:val="bullet"/>
      <w:lvlText w:val="•"/>
      <w:lvlJc w:val="left"/>
      <w:pPr>
        <w:ind w:left="3852" w:hanging="341"/>
      </w:pPr>
      <w:rPr>
        <w:rFonts w:hint="default"/>
        <w:lang w:val="en-us" w:eastAsia="en-US" w:bidi="ar-SA"/>
      </w:rPr>
    </w:lvl>
    <w:lvl w:ilvl="2">
      <w:start w:val="0"/>
      <w:numFmt w:val="bullet"/>
      <w:lvlText w:val="•"/>
      <w:lvlJc w:val="left"/>
      <w:pPr>
        <w:ind w:left="4665" w:hanging="341"/>
      </w:pPr>
      <w:rPr>
        <w:rFonts w:hint="default"/>
        <w:lang w:val="en-us" w:eastAsia="en-US" w:bidi="ar-SA"/>
      </w:rPr>
    </w:lvl>
    <w:lvl w:ilvl="3">
      <w:start w:val="0"/>
      <w:numFmt w:val="bullet"/>
      <w:lvlText w:val="•"/>
      <w:lvlJc w:val="left"/>
      <w:pPr>
        <w:ind w:left="5477" w:hanging="341"/>
      </w:pPr>
      <w:rPr>
        <w:rFonts w:hint="default"/>
        <w:lang w:val="en-us" w:eastAsia="en-US" w:bidi="ar-SA"/>
      </w:rPr>
    </w:lvl>
    <w:lvl w:ilvl="4">
      <w:start w:val="0"/>
      <w:numFmt w:val="bullet"/>
      <w:lvlText w:val="•"/>
      <w:lvlJc w:val="left"/>
      <w:pPr>
        <w:ind w:left="6290" w:hanging="341"/>
      </w:pPr>
      <w:rPr>
        <w:rFonts w:hint="default"/>
        <w:lang w:val="en-us" w:eastAsia="en-US" w:bidi="ar-SA"/>
      </w:rPr>
    </w:lvl>
    <w:lvl w:ilvl="5">
      <w:start w:val="0"/>
      <w:numFmt w:val="bullet"/>
      <w:lvlText w:val="•"/>
      <w:lvlJc w:val="left"/>
      <w:pPr>
        <w:ind w:left="7102" w:hanging="341"/>
      </w:pPr>
      <w:rPr>
        <w:rFonts w:hint="default"/>
        <w:lang w:val="en-us" w:eastAsia="en-US" w:bidi="ar-SA"/>
      </w:rPr>
    </w:lvl>
    <w:lvl w:ilvl="6">
      <w:start w:val="0"/>
      <w:numFmt w:val="bullet"/>
      <w:lvlText w:val="•"/>
      <w:lvlJc w:val="left"/>
      <w:pPr>
        <w:ind w:left="7915" w:hanging="341"/>
      </w:pPr>
      <w:rPr>
        <w:rFonts w:hint="default"/>
        <w:lang w:val="en-us" w:eastAsia="en-US" w:bidi="ar-SA"/>
      </w:rPr>
    </w:lvl>
    <w:lvl w:ilvl="7">
      <w:start w:val="0"/>
      <w:numFmt w:val="bullet"/>
      <w:lvlText w:val="•"/>
      <w:lvlJc w:val="left"/>
      <w:pPr>
        <w:ind w:left="8727" w:hanging="341"/>
      </w:pPr>
      <w:rPr>
        <w:rFonts w:hint="default"/>
        <w:lang w:val="en-us" w:eastAsia="en-US" w:bidi="ar-SA"/>
      </w:rPr>
    </w:lvl>
    <w:lvl w:ilvl="8">
      <w:start w:val="0"/>
      <w:numFmt w:val="bullet"/>
      <w:lvlText w:val="•"/>
      <w:lvlJc w:val="left"/>
      <w:pPr>
        <w:ind w:left="9540" w:hanging="341"/>
      </w:pPr>
      <w:rPr>
        <w:rFonts w:hint="default"/>
        <w:lang w:val="en-us" w:eastAsia="en-US" w:bidi="ar-SA"/>
      </w:rPr>
    </w:lvl>
  </w:abstractNum>
  <w:abstractNum w:abstractNumId="30">
    <w:multiLevelType w:val="hybridMultilevel"/>
    <w:lvl w:ilvl="0">
      <w:start w:val="3"/>
      <w:numFmt w:val="upperLetter"/>
      <w:lvlText w:val="%1"/>
      <w:lvlJc w:val="left"/>
      <w:pPr>
        <w:ind w:left="2692" w:hanging="1560"/>
        <w:jc w:val="left"/>
      </w:pPr>
      <w:rPr>
        <w:rFonts w:hint="default"/>
        <w:lang w:val="en-us" w:eastAsia="en-US" w:bidi="ar-SA"/>
      </w:rPr>
    </w:lvl>
    <w:lvl w:ilvl="1">
      <w:start w:val="1"/>
      <w:numFmt w:val="decimal"/>
      <w:lvlText w:val="%1.%2"/>
      <w:lvlJc w:val="left"/>
      <w:pPr>
        <w:ind w:left="2692" w:hanging="1560"/>
        <w:jc w:val="left"/>
      </w:pPr>
      <w:rPr>
        <w:rFonts w:hint="default" w:ascii="Tahoma" w:hAnsi="Tahoma" w:eastAsia="Tahoma" w:cs="Tahoma"/>
        <w:color w:val="00ACEC"/>
        <w:w w:val="100"/>
        <w:sz w:val="28"/>
        <w:szCs w:val="28"/>
        <w:lang w:val="en-us" w:eastAsia="en-US" w:bidi="ar-SA"/>
      </w:rPr>
    </w:lvl>
    <w:lvl w:ilvl="2">
      <w:start w:val="0"/>
      <w:numFmt w:val="bullet"/>
      <w:lvlText w:val="•"/>
      <w:lvlJc w:val="left"/>
      <w:pPr>
        <w:ind w:left="3033" w:hanging="341"/>
      </w:pPr>
      <w:rPr>
        <w:rFonts w:hint="default" w:ascii="Tahoma" w:hAnsi="Tahoma" w:eastAsia="Tahoma" w:cs="Tahoma"/>
        <w:color w:val="00ACEC"/>
        <w:w w:val="94"/>
        <w:sz w:val="18"/>
        <w:szCs w:val="18"/>
        <w:lang w:val="en-us" w:eastAsia="en-US" w:bidi="ar-SA"/>
      </w:rPr>
    </w:lvl>
    <w:lvl w:ilvl="3">
      <w:start w:val="0"/>
      <w:numFmt w:val="bullet"/>
      <w:lvlText w:val="•"/>
      <w:lvlJc w:val="left"/>
      <w:pPr>
        <w:ind w:left="4845" w:hanging="341"/>
      </w:pPr>
      <w:rPr>
        <w:rFonts w:hint="default"/>
        <w:lang w:val="en-us" w:eastAsia="en-US" w:bidi="ar-SA"/>
      </w:rPr>
    </w:lvl>
    <w:lvl w:ilvl="4">
      <w:start w:val="0"/>
      <w:numFmt w:val="bullet"/>
      <w:lvlText w:val="•"/>
      <w:lvlJc w:val="left"/>
      <w:pPr>
        <w:ind w:left="5748" w:hanging="341"/>
      </w:pPr>
      <w:rPr>
        <w:rFonts w:hint="default"/>
        <w:lang w:val="en-us" w:eastAsia="en-US" w:bidi="ar-SA"/>
      </w:rPr>
    </w:lvl>
    <w:lvl w:ilvl="5">
      <w:start w:val="0"/>
      <w:numFmt w:val="bullet"/>
      <w:lvlText w:val="•"/>
      <w:lvlJc w:val="left"/>
      <w:pPr>
        <w:ind w:left="6651" w:hanging="341"/>
      </w:pPr>
      <w:rPr>
        <w:rFonts w:hint="default"/>
        <w:lang w:val="en-us" w:eastAsia="en-US" w:bidi="ar-SA"/>
      </w:rPr>
    </w:lvl>
    <w:lvl w:ilvl="6">
      <w:start w:val="0"/>
      <w:numFmt w:val="bullet"/>
      <w:lvlText w:val="•"/>
      <w:lvlJc w:val="left"/>
      <w:pPr>
        <w:ind w:left="7554" w:hanging="341"/>
      </w:pPr>
      <w:rPr>
        <w:rFonts w:hint="default"/>
        <w:lang w:val="en-us" w:eastAsia="en-US" w:bidi="ar-SA"/>
      </w:rPr>
    </w:lvl>
    <w:lvl w:ilvl="7">
      <w:start w:val="0"/>
      <w:numFmt w:val="bullet"/>
      <w:lvlText w:val="•"/>
      <w:lvlJc w:val="left"/>
      <w:pPr>
        <w:ind w:left="8457" w:hanging="341"/>
      </w:pPr>
      <w:rPr>
        <w:rFonts w:hint="default"/>
        <w:lang w:val="en-us" w:eastAsia="en-US" w:bidi="ar-SA"/>
      </w:rPr>
    </w:lvl>
    <w:lvl w:ilvl="8">
      <w:start w:val="0"/>
      <w:numFmt w:val="bullet"/>
      <w:lvlText w:val="•"/>
      <w:lvlJc w:val="left"/>
      <w:pPr>
        <w:ind w:left="9359" w:hanging="341"/>
      </w:pPr>
      <w:rPr>
        <w:rFonts w:hint="default"/>
        <w:lang w:val="en-us" w:eastAsia="en-US" w:bidi="ar-SA"/>
      </w:rPr>
    </w:lvl>
  </w:abstractNum>
  <w:abstractNum w:abstractNumId="29">
    <w:multiLevelType w:val="hybridMultilevel"/>
    <w:lvl w:ilvl="0">
      <w:start w:val="2"/>
      <w:numFmt w:val="upperLetter"/>
      <w:lvlText w:val="%1"/>
      <w:lvlJc w:val="left"/>
      <w:pPr>
        <w:ind w:left="2692" w:hanging="1560"/>
        <w:jc w:val="left"/>
      </w:pPr>
      <w:rPr>
        <w:rFonts w:hint="default"/>
        <w:lang w:val="en-us" w:eastAsia="en-US" w:bidi="ar-SA"/>
      </w:rPr>
    </w:lvl>
    <w:lvl w:ilvl="1">
      <w:start w:val="1"/>
      <w:numFmt w:val="decimal"/>
      <w:lvlText w:val="%1.%2"/>
      <w:lvlJc w:val="left"/>
      <w:pPr>
        <w:ind w:left="2692" w:hanging="1560"/>
        <w:jc w:val="left"/>
      </w:pPr>
      <w:rPr>
        <w:rFonts w:hint="default" w:ascii="Tahoma" w:hAnsi="Tahoma" w:eastAsia="Tahoma" w:cs="Tahoma"/>
        <w:color w:val="00ACEC"/>
        <w:spacing w:val="-3"/>
        <w:w w:val="100"/>
        <w:sz w:val="28"/>
        <w:szCs w:val="28"/>
        <w:lang w:val="en-us" w:eastAsia="en-US" w:bidi="ar-SA"/>
      </w:rPr>
    </w:lvl>
    <w:lvl w:ilvl="2">
      <w:start w:val="0"/>
      <w:numFmt w:val="bullet"/>
      <w:lvlText w:val="•"/>
      <w:lvlJc w:val="left"/>
      <w:pPr>
        <w:ind w:left="3033" w:hanging="341"/>
      </w:pPr>
      <w:rPr>
        <w:rFonts w:hint="default" w:ascii="Tahoma" w:hAnsi="Tahoma" w:eastAsia="Tahoma" w:cs="Tahoma"/>
        <w:color w:val="00ACEC"/>
        <w:w w:val="94"/>
        <w:sz w:val="18"/>
        <w:szCs w:val="18"/>
        <w:lang w:val="en-us" w:eastAsia="en-US" w:bidi="ar-SA"/>
      </w:rPr>
    </w:lvl>
    <w:lvl w:ilvl="3">
      <w:start w:val="0"/>
      <w:numFmt w:val="bullet"/>
      <w:lvlText w:val="•"/>
      <w:lvlJc w:val="left"/>
      <w:pPr>
        <w:ind w:left="3373" w:hanging="341"/>
      </w:pPr>
      <w:rPr>
        <w:rFonts w:hint="default" w:ascii="Tahoma" w:hAnsi="Tahoma" w:eastAsia="Tahoma" w:cs="Tahoma"/>
        <w:color w:val="262526"/>
        <w:w w:val="101"/>
        <w:sz w:val="20"/>
        <w:szCs w:val="20"/>
        <w:lang w:val="en-us" w:eastAsia="en-US" w:bidi="ar-SA"/>
      </w:rPr>
    </w:lvl>
    <w:lvl w:ilvl="4">
      <w:start w:val="0"/>
      <w:numFmt w:val="bullet"/>
      <w:lvlText w:val="•"/>
      <w:lvlJc w:val="left"/>
      <w:pPr>
        <w:ind w:left="5326" w:hanging="341"/>
      </w:pPr>
      <w:rPr>
        <w:rFonts w:hint="default"/>
        <w:lang w:val="en-us" w:eastAsia="en-US" w:bidi="ar-SA"/>
      </w:rPr>
    </w:lvl>
    <w:lvl w:ilvl="5">
      <w:start w:val="0"/>
      <w:numFmt w:val="bullet"/>
      <w:lvlText w:val="•"/>
      <w:lvlJc w:val="left"/>
      <w:pPr>
        <w:ind w:left="6299" w:hanging="341"/>
      </w:pPr>
      <w:rPr>
        <w:rFonts w:hint="default"/>
        <w:lang w:val="en-us" w:eastAsia="en-US" w:bidi="ar-SA"/>
      </w:rPr>
    </w:lvl>
    <w:lvl w:ilvl="6">
      <w:start w:val="0"/>
      <w:numFmt w:val="bullet"/>
      <w:lvlText w:val="•"/>
      <w:lvlJc w:val="left"/>
      <w:pPr>
        <w:ind w:left="7272" w:hanging="341"/>
      </w:pPr>
      <w:rPr>
        <w:rFonts w:hint="default"/>
        <w:lang w:val="en-us" w:eastAsia="en-US" w:bidi="ar-SA"/>
      </w:rPr>
    </w:lvl>
    <w:lvl w:ilvl="7">
      <w:start w:val="0"/>
      <w:numFmt w:val="bullet"/>
      <w:lvlText w:val="•"/>
      <w:lvlJc w:val="left"/>
      <w:pPr>
        <w:ind w:left="8245" w:hanging="341"/>
      </w:pPr>
      <w:rPr>
        <w:rFonts w:hint="default"/>
        <w:lang w:val="en-us" w:eastAsia="en-US" w:bidi="ar-SA"/>
      </w:rPr>
    </w:lvl>
    <w:lvl w:ilvl="8">
      <w:start w:val="0"/>
      <w:numFmt w:val="bullet"/>
      <w:lvlText w:val="•"/>
      <w:lvlJc w:val="left"/>
      <w:pPr>
        <w:ind w:left="9219" w:hanging="341"/>
      </w:pPr>
      <w:rPr>
        <w:rFonts w:hint="default"/>
        <w:lang w:val="en-us" w:eastAsia="en-US" w:bidi="ar-SA"/>
      </w:rPr>
    </w:lvl>
  </w:abstractNum>
  <w:abstractNum w:abstractNumId="28">
    <w:multiLevelType w:val="hybridMultilevel"/>
    <w:lvl w:ilvl="0">
      <w:start w:val="1"/>
      <w:numFmt w:val="upperLetter"/>
      <w:lvlText w:val="%1"/>
      <w:lvlJc w:val="left"/>
      <w:pPr>
        <w:ind w:left="2692" w:hanging="1560"/>
        <w:jc w:val="left"/>
      </w:pPr>
      <w:rPr>
        <w:rFonts w:hint="default" w:ascii="Tahoma" w:hAnsi="Tahoma" w:eastAsia="Tahoma" w:cs="Tahoma"/>
        <w:color w:val="00ACEC"/>
        <w:w w:val="100"/>
        <w:sz w:val="36"/>
        <w:szCs w:val="36"/>
        <w:lang w:val="en-us" w:eastAsia="en-US" w:bidi="ar-SA"/>
      </w:rPr>
    </w:lvl>
    <w:lvl w:ilvl="1">
      <w:start w:val="0"/>
      <w:numFmt w:val="bullet"/>
      <w:lvlText w:val="•"/>
      <w:lvlJc w:val="left"/>
      <w:pPr>
        <w:ind w:left="3033" w:hanging="341"/>
      </w:pPr>
      <w:rPr>
        <w:rFonts w:hint="default" w:ascii="Tahoma" w:hAnsi="Tahoma" w:eastAsia="Tahoma" w:cs="Tahoma"/>
        <w:color w:val="00ACEC"/>
        <w:w w:val="94"/>
        <w:sz w:val="18"/>
        <w:szCs w:val="18"/>
        <w:lang w:val="en-us" w:eastAsia="en-US" w:bidi="ar-SA"/>
      </w:rPr>
    </w:lvl>
    <w:lvl w:ilvl="2">
      <w:start w:val="0"/>
      <w:numFmt w:val="bullet"/>
      <w:lvlText w:val="•"/>
      <w:lvlJc w:val="left"/>
      <w:pPr>
        <w:ind w:left="3942" w:hanging="341"/>
      </w:pPr>
      <w:rPr>
        <w:rFonts w:hint="default"/>
        <w:lang w:val="en-us" w:eastAsia="en-US" w:bidi="ar-SA"/>
      </w:rPr>
    </w:lvl>
    <w:lvl w:ilvl="3">
      <w:start w:val="0"/>
      <w:numFmt w:val="bullet"/>
      <w:lvlText w:val="•"/>
      <w:lvlJc w:val="left"/>
      <w:pPr>
        <w:ind w:left="4845" w:hanging="341"/>
      </w:pPr>
      <w:rPr>
        <w:rFonts w:hint="default"/>
        <w:lang w:val="en-us" w:eastAsia="en-US" w:bidi="ar-SA"/>
      </w:rPr>
    </w:lvl>
    <w:lvl w:ilvl="4">
      <w:start w:val="0"/>
      <w:numFmt w:val="bullet"/>
      <w:lvlText w:val="•"/>
      <w:lvlJc w:val="left"/>
      <w:pPr>
        <w:ind w:left="5748" w:hanging="341"/>
      </w:pPr>
      <w:rPr>
        <w:rFonts w:hint="default"/>
        <w:lang w:val="en-us" w:eastAsia="en-US" w:bidi="ar-SA"/>
      </w:rPr>
    </w:lvl>
    <w:lvl w:ilvl="5">
      <w:start w:val="0"/>
      <w:numFmt w:val="bullet"/>
      <w:lvlText w:val="•"/>
      <w:lvlJc w:val="left"/>
      <w:pPr>
        <w:ind w:left="6651" w:hanging="341"/>
      </w:pPr>
      <w:rPr>
        <w:rFonts w:hint="default"/>
        <w:lang w:val="en-us" w:eastAsia="en-US" w:bidi="ar-SA"/>
      </w:rPr>
    </w:lvl>
    <w:lvl w:ilvl="6">
      <w:start w:val="0"/>
      <w:numFmt w:val="bullet"/>
      <w:lvlText w:val="•"/>
      <w:lvlJc w:val="left"/>
      <w:pPr>
        <w:ind w:left="7554" w:hanging="341"/>
      </w:pPr>
      <w:rPr>
        <w:rFonts w:hint="default"/>
        <w:lang w:val="en-us" w:eastAsia="en-US" w:bidi="ar-SA"/>
      </w:rPr>
    </w:lvl>
    <w:lvl w:ilvl="7">
      <w:start w:val="0"/>
      <w:numFmt w:val="bullet"/>
      <w:lvlText w:val="•"/>
      <w:lvlJc w:val="left"/>
      <w:pPr>
        <w:ind w:left="8457" w:hanging="341"/>
      </w:pPr>
      <w:rPr>
        <w:rFonts w:hint="default"/>
        <w:lang w:val="en-us" w:eastAsia="en-US" w:bidi="ar-SA"/>
      </w:rPr>
    </w:lvl>
    <w:lvl w:ilvl="8">
      <w:start w:val="0"/>
      <w:numFmt w:val="bullet"/>
      <w:lvlText w:val="•"/>
      <w:lvlJc w:val="left"/>
      <w:pPr>
        <w:ind w:left="9359" w:hanging="341"/>
      </w:pPr>
      <w:rPr>
        <w:rFonts w:hint="default"/>
        <w:lang w:val="en-us" w:eastAsia="en-US" w:bidi="ar-SA"/>
      </w:rPr>
    </w:lvl>
  </w:abstractNum>
  <w:abstractNum w:abstractNumId="26">
    <w:multiLevelType w:val="hybridMultilevel"/>
    <w:lvl w:ilvl="0">
      <w:start w:val="0"/>
      <w:numFmt w:val="bullet"/>
      <w:lvlText w:val="-"/>
      <w:lvlJc w:val="left"/>
      <w:pPr>
        <w:ind w:left="226" w:hanging="128"/>
      </w:pPr>
      <w:rPr>
        <w:rFonts w:hint="default" w:ascii="Tahoma" w:hAnsi="Tahoma" w:eastAsia="Tahoma" w:cs="Tahoma"/>
        <w:color w:val="464646"/>
        <w:w w:val="94"/>
        <w:sz w:val="20"/>
        <w:szCs w:val="20"/>
        <w:lang w:val="en-us" w:eastAsia="en-US" w:bidi="ar-SA"/>
      </w:rPr>
    </w:lvl>
    <w:lvl w:ilvl="1">
      <w:start w:val="0"/>
      <w:numFmt w:val="bullet"/>
      <w:lvlText w:val="•"/>
      <w:lvlJc w:val="left"/>
      <w:pPr>
        <w:ind w:left="1030" w:hanging="128"/>
      </w:pPr>
      <w:rPr>
        <w:rFonts w:hint="default"/>
        <w:lang w:val="en-us" w:eastAsia="en-US" w:bidi="ar-SA"/>
      </w:rPr>
    </w:lvl>
    <w:lvl w:ilvl="2">
      <w:start w:val="0"/>
      <w:numFmt w:val="bullet"/>
      <w:lvlText w:val="•"/>
      <w:lvlJc w:val="left"/>
      <w:pPr>
        <w:ind w:left="1840" w:hanging="128"/>
      </w:pPr>
      <w:rPr>
        <w:rFonts w:hint="default"/>
        <w:lang w:val="en-us" w:eastAsia="en-US" w:bidi="ar-SA"/>
      </w:rPr>
    </w:lvl>
    <w:lvl w:ilvl="3">
      <w:start w:val="0"/>
      <w:numFmt w:val="bullet"/>
      <w:lvlText w:val="•"/>
      <w:lvlJc w:val="left"/>
      <w:pPr>
        <w:ind w:left="2650" w:hanging="128"/>
      </w:pPr>
      <w:rPr>
        <w:rFonts w:hint="default"/>
        <w:lang w:val="en-us" w:eastAsia="en-US" w:bidi="ar-SA"/>
      </w:rPr>
    </w:lvl>
    <w:lvl w:ilvl="4">
      <w:start w:val="0"/>
      <w:numFmt w:val="bullet"/>
      <w:lvlText w:val="•"/>
      <w:lvlJc w:val="left"/>
      <w:pPr>
        <w:ind w:left="3460" w:hanging="128"/>
      </w:pPr>
      <w:rPr>
        <w:rFonts w:hint="default"/>
        <w:lang w:val="en-us" w:eastAsia="en-US" w:bidi="ar-SA"/>
      </w:rPr>
    </w:lvl>
    <w:lvl w:ilvl="5">
      <w:start w:val="0"/>
      <w:numFmt w:val="bullet"/>
      <w:lvlText w:val="•"/>
      <w:lvlJc w:val="left"/>
      <w:pPr>
        <w:ind w:left="4270" w:hanging="128"/>
      </w:pPr>
      <w:rPr>
        <w:rFonts w:hint="default"/>
        <w:lang w:val="en-us" w:eastAsia="en-US" w:bidi="ar-SA"/>
      </w:rPr>
    </w:lvl>
    <w:lvl w:ilvl="6">
      <w:start w:val="0"/>
      <w:numFmt w:val="bullet"/>
      <w:lvlText w:val="•"/>
      <w:lvlJc w:val="left"/>
      <w:pPr>
        <w:ind w:left="5080" w:hanging="128"/>
      </w:pPr>
      <w:rPr>
        <w:rFonts w:hint="default"/>
        <w:lang w:val="en-us" w:eastAsia="en-US" w:bidi="ar-SA"/>
      </w:rPr>
    </w:lvl>
    <w:lvl w:ilvl="7">
      <w:start w:val="0"/>
      <w:numFmt w:val="bullet"/>
      <w:lvlText w:val="•"/>
      <w:lvlJc w:val="left"/>
      <w:pPr>
        <w:ind w:left="5890" w:hanging="128"/>
      </w:pPr>
      <w:rPr>
        <w:rFonts w:hint="default"/>
        <w:lang w:val="en-us" w:eastAsia="en-US" w:bidi="ar-SA"/>
      </w:rPr>
    </w:lvl>
    <w:lvl w:ilvl="8">
      <w:start w:val="0"/>
      <w:numFmt w:val="bullet"/>
      <w:lvlText w:val="•"/>
      <w:lvlJc w:val="left"/>
      <w:pPr>
        <w:ind w:left="6700" w:hanging="128"/>
      </w:pPr>
      <w:rPr>
        <w:rFonts w:hint="default"/>
        <w:lang w:val="en-us" w:eastAsia="en-US" w:bidi="ar-SA"/>
      </w:rPr>
    </w:lvl>
  </w:abstractNum>
  <w:abstractNum w:abstractNumId="27">
    <w:multiLevelType w:val="hybridMultilevel"/>
    <w:lvl w:ilvl="0">
      <w:start w:val="3"/>
      <w:numFmt w:val="decimal"/>
      <w:lvlText w:val="%1"/>
      <w:lvlJc w:val="left"/>
      <w:pPr>
        <w:ind w:left="2692" w:hanging="1560"/>
        <w:jc w:val="left"/>
      </w:pPr>
      <w:rPr>
        <w:rFonts w:hint="default"/>
        <w:lang w:val="en-us" w:eastAsia="en-US" w:bidi="ar-SA"/>
      </w:rPr>
    </w:lvl>
    <w:lvl w:ilvl="1">
      <w:start w:val="3"/>
      <w:numFmt w:val="decimal"/>
      <w:lvlText w:val="%1.%2"/>
      <w:lvlJc w:val="left"/>
      <w:pPr>
        <w:ind w:left="2692" w:hanging="1560"/>
        <w:jc w:val="left"/>
      </w:pPr>
      <w:rPr>
        <w:rFonts w:hint="default"/>
        <w:lang w:val="en-us" w:eastAsia="en-US" w:bidi="ar-SA"/>
      </w:rPr>
    </w:lvl>
    <w:lvl w:ilvl="2">
      <w:start w:val="1"/>
      <w:numFmt w:val="decimal"/>
      <w:lvlText w:val="%1.%2.%3"/>
      <w:lvlJc w:val="left"/>
      <w:pPr>
        <w:ind w:left="2692" w:hanging="1560"/>
        <w:jc w:val="left"/>
      </w:pPr>
      <w:rPr>
        <w:rFonts w:hint="default" w:ascii="Tahoma" w:hAnsi="Tahoma" w:eastAsia="Tahoma" w:cs="Tahoma"/>
        <w:b/>
        <w:bCs/>
        <w:color w:val="00ACEC"/>
        <w:w w:val="100"/>
        <w:sz w:val="18"/>
        <w:szCs w:val="18"/>
        <w:lang w:val="en-us" w:eastAsia="en-US" w:bidi="ar-SA"/>
      </w:rPr>
    </w:lvl>
    <w:lvl w:ilvl="3">
      <w:start w:val="0"/>
      <w:numFmt w:val="bullet"/>
      <w:lvlText w:val="•"/>
      <w:lvlJc w:val="left"/>
      <w:pPr>
        <w:ind w:left="3033" w:hanging="341"/>
      </w:pPr>
      <w:rPr>
        <w:rFonts w:hint="default" w:ascii="Tahoma" w:hAnsi="Tahoma" w:eastAsia="Tahoma" w:cs="Tahoma"/>
        <w:color w:val="00ACEC"/>
        <w:w w:val="94"/>
        <w:sz w:val="18"/>
        <w:szCs w:val="18"/>
        <w:lang w:val="en-us" w:eastAsia="en-US" w:bidi="ar-SA"/>
      </w:rPr>
    </w:lvl>
    <w:lvl w:ilvl="4">
      <w:start w:val="0"/>
      <w:numFmt w:val="bullet"/>
      <w:lvlText w:val="•"/>
      <w:lvlJc w:val="left"/>
      <w:pPr>
        <w:ind w:left="5748" w:hanging="341"/>
      </w:pPr>
      <w:rPr>
        <w:rFonts w:hint="default"/>
        <w:lang w:val="en-us" w:eastAsia="en-US" w:bidi="ar-SA"/>
      </w:rPr>
    </w:lvl>
    <w:lvl w:ilvl="5">
      <w:start w:val="0"/>
      <w:numFmt w:val="bullet"/>
      <w:lvlText w:val="•"/>
      <w:lvlJc w:val="left"/>
      <w:pPr>
        <w:ind w:left="6651" w:hanging="341"/>
      </w:pPr>
      <w:rPr>
        <w:rFonts w:hint="default"/>
        <w:lang w:val="en-us" w:eastAsia="en-US" w:bidi="ar-SA"/>
      </w:rPr>
    </w:lvl>
    <w:lvl w:ilvl="6">
      <w:start w:val="0"/>
      <w:numFmt w:val="bullet"/>
      <w:lvlText w:val="•"/>
      <w:lvlJc w:val="left"/>
      <w:pPr>
        <w:ind w:left="7554" w:hanging="341"/>
      </w:pPr>
      <w:rPr>
        <w:rFonts w:hint="default"/>
        <w:lang w:val="en-us" w:eastAsia="en-US" w:bidi="ar-SA"/>
      </w:rPr>
    </w:lvl>
    <w:lvl w:ilvl="7">
      <w:start w:val="0"/>
      <w:numFmt w:val="bullet"/>
      <w:lvlText w:val="•"/>
      <w:lvlJc w:val="left"/>
      <w:pPr>
        <w:ind w:left="8457" w:hanging="341"/>
      </w:pPr>
      <w:rPr>
        <w:rFonts w:hint="default"/>
        <w:lang w:val="en-us" w:eastAsia="en-US" w:bidi="ar-SA"/>
      </w:rPr>
    </w:lvl>
    <w:lvl w:ilvl="8">
      <w:start w:val="0"/>
      <w:numFmt w:val="bullet"/>
      <w:lvlText w:val="•"/>
      <w:lvlJc w:val="left"/>
      <w:pPr>
        <w:ind w:left="9359" w:hanging="341"/>
      </w:pPr>
      <w:rPr>
        <w:rFonts w:hint="default"/>
        <w:lang w:val="en-us" w:eastAsia="en-US" w:bidi="ar-SA"/>
      </w:rPr>
    </w:lvl>
  </w:abstractNum>
  <w:abstractNum w:abstractNumId="25">
    <w:multiLevelType w:val="hybridMultilevel"/>
    <w:lvl w:ilvl="0">
      <w:start w:val="3"/>
      <w:numFmt w:val="decimal"/>
      <w:lvlText w:val="%1"/>
      <w:lvlJc w:val="left"/>
      <w:pPr>
        <w:ind w:left="2692" w:hanging="1560"/>
        <w:jc w:val="left"/>
      </w:pPr>
      <w:rPr>
        <w:rFonts w:hint="default"/>
        <w:lang w:val="en-us" w:eastAsia="en-US" w:bidi="ar-SA"/>
      </w:rPr>
    </w:lvl>
    <w:lvl w:ilvl="1">
      <w:start w:val="2"/>
      <w:numFmt w:val="decimal"/>
      <w:lvlText w:val="%1.%2"/>
      <w:lvlJc w:val="left"/>
      <w:pPr>
        <w:ind w:left="2692" w:hanging="1560"/>
        <w:jc w:val="left"/>
      </w:pPr>
      <w:rPr>
        <w:rFonts w:hint="default"/>
        <w:lang w:val="en-us" w:eastAsia="en-US" w:bidi="ar-SA"/>
      </w:rPr>
    </w:lvl>
    <w:lvl w:ilvl="2">
      <w:start w:val="1"/>
      <w:numFmt w:val="decimal"/>
      <w:lvlText w:val="%1.%2.%3"/>
      <w:lvlJc w:val="left"/>
      <w:pPr>
        <w:ind w:left="2692" w:hanging="1560"/>
        <w:jc w:val="left"/>
      </w:pPr>
      <w:rPr>
        <w:rFonts w:hint="default" w:ascii="Tahoma" w:hAnsi="Tahoma" w:eastAsia="Tahoma" w:cs="Tahoma"/>
        <w:b/>
        <w:bCs/>
        <w:color w:val="00ACEC"/>
        <w:w w:val="100"/>
        <w:sz w:val="18"/>
        <w:szCs w:val="18"/>
        <w:lang w:val="en-us" w:eastAsia="en-US" w:bidi="ar-SA"/>
      </w:rPr>
    </w:lvl>
    <w:lvl w:ilvl="3">
      <w:start w:val="0"/>
      <w:numFmt w:val="bullet"/>
      <w:lvlText w:val="•"/>
      <w:lvlJc w:val="left"/>
      <w:pPr>
        <w:ind w:left="3033" w:hanging="341"/>
      </w:pPr>
      <w:rPr>
        <w:rFonts w:hint="default" w:ascii="Tahoma" w:hAnsi="Tahoma" w:eastAsia="Tahoma" w:cs="Tahoma"/>
        <w:color w:val="00ACEC"/>
        <w:w w:val="94"/>
        <w:sz w:val="18"/>
        <w:szCs w:val="18"/>
        <w:lang w:val="en-us" w:eastAsia="en-US" w:bidi="ar-SA"/>
      </w:rPr>
    </w:lvl>
    <w:lvl w:ilvl="4">
      <w:start w:val="0"/>
      <w:numFmt w:val="bullet"/>
      <w:lvlText w:val="•"/>
      <w:lvlJc w:val="left"/>
      <w:pPr>
        <w:ind w:left="5748" w:hanging="341"/>
      </w:pPr>
      <w:rPr>
        <w:rFonts w:hint="default"/>
        <w:lang w:val="en-us" w:eastAsia="en-US" w:bidi="ar-SA"/>
      </w:rPr>
    </w:lvl>
    <w:lvl w:ilvl="5">
      <w:start w:val="0"/>
      <w:numFmt w:val="bullet"/>
      <w:lvlText w:val="•"/>
      <w:lvlJc w:val="left"/>
      <w:pPr>
        <w:ind w:left="6651" w:hanging="341"/>
      </w:pPr>
      <w:rPr>
        <w:rFonts w:hint="default"/>
        <w:lang w:val="en-us" w:eastAsia="en-US" w:bidi="ar-SA"/>
      </w:rPr>
    </w:lvl>
    <w:lvl w:ilvl="6">
      <w:start w:val="0"/>
      <w:numFmt w:val="bullet"/>
      <w:lvlText w:val="•"/>
      <w:lvlJc w:val="left"/>
      <w:pPr>
        <w:ind w:left="7554" w:hanging="341"/>
      </w:pPr>
      <w:rPr>
        <w:rFonts w:hint="default"/>
        <w:lang w:val="en-us" w:eastAsia="en-US" w:bidi="ar-SA"/>
      </w:rPr>
    </w:lvl>
    <w:lvl w:ilvl="7">
      <w:start w:val="0"/>
      <w:numFmt w:val="bullet"/>
      <w:lvlText w:val="•"/>
      <w:lvlJc w:val="left"/>
      <w:pPr>
        <w:ind w:left="8457" w:hanging="341"/>
      </w:pPr>
      <w:rPr>
        <w:rFonts w:hint="default"/>
        <w:lang w:val="en-us" w:eastAsia="en-US" w:bidi="ar-SA"/>
      </w:rPr>
    </w:lvl>
    <w:lvl w:ilvl="8">
      <w:start w:val="0"/>
      <w:numFmt w:val="bullet"/>
      <w:lvlText w:val="•"/>
      <w:lvlJc w:val="left"/>
      <w:pPr>
        <w:ind w:left="9359" w:hanging="341"/>
      </w:pPr>
      <w:rPr>
        <w:rFonts w:hint="default"/>
        <w:lang w:val="en-us" w:eastAsia="en-US" w:bidi="ar-SA"/>
      </w:rPr>
    </w:lvl>
  </w:abstractNum>
  <w:abstractNum w:abstractNumId="24">
    <w:multiLevelType w:val="hybridMultilevel"/>
    <w:lvl w:ilvl="0">
      <w:start w:val="1"/>
      <w:numFmt w:val="decimal"/>
      <w:lvlText w:val="%1."/>
      <w:lvlJc w:val="left"/>
      <w:pPr>
        <w:ind w:left="3033" w:hanging="341"/>
        <w:jc w:val="left"/>
      </w:pPr>
      <w:rPr>
        <w:rFonts w:hint="default" w:ascii="Tahoma" w:hAnsi="Tahoma" w:eastAsia="Tahoma" w:cs="Tahoma"/>
        <w:color w:val="262526"/>
        <w:w w:val="101"/>
        <w:sz w:val="20"/>
        <w:szCs w:val="20"/>
        <w:lang w:val="en-us" w:eastAsia="en-US" w:bidi="ar-SA"/>
      </w:rPr>
    </w:lvl>
    <w:lvl w:ilvl="1">
      <w:start w:val="0"/>
      <w:numFmt w:val="bullet"/>
      <w:lvlText w:val="•"/>
      <w:lvlJc w:val="left"/>
      <w:pPr>
        <w:ind w:left="3852" w:hanging="341"/>
      </w:pPr>
      <w:rPr>
        <w:rFonts w:hint="default"/>
        <w:lang w:val="en-us" w:eastAsia="en-US" w:bidi="ar-SA"/>
      </w:rPr>
    </w:lvl>
    <w:lvl w:ilvl="2">
      <w:start w:val="0"/>
      <w:numFmt w:val="bullet"/>
      <w:lvlText w:val="•"/>
      <w:lvlJc w:val="left"/>
      <w:pPr>
        <w:ind w:left="4665" w:hanging="341"/>
      </w:pPr>
      <w:rPr>
        <w:rFonts w:hint="default"/>
        <w:lang w:val="en-us" w:eastAsia="en-US" w:bidi="ar-SA"/>
      </w:rPr>
    </w:lvl>
    <w:lvl w:ilvl="3">
      <w:start w:val="0"/>
      <w:numFmt w:val="bullet"/>
      <w:lvlText w:val="•"/>
      <w:lvlJc w:val="left"/>
      <w:pPr>
        <w:ind w:left="5477" w:hanging="341"/>
      </w:pPr>
      <w:rPr>
        <w:rFonts w:hint="default"/>
        <w:lang w:val="en-us" w:eastAsia="en-US" w:bidi="ar-SA"/>
      </w:rPr>
    </w:lvl>
    <w:lvl w:ilvl="4">
      <w:start w:val="0"/>
      <w:numFmt w:val="bullet"/>
      <w:lvlText w:val="•"/>
      <w:lvlJc w:val="left"/>
      <w:pPr>
        <w:ind w:left="6290" w:hanging="341"/>
      </w:pPr>
      <w:rPr>
        <w:rFonts w:hint="default"/>
        <w:lang w:val="en-us" w:eastAsia="en-US" w:bidi="ar-SA"/>
      </w:rPr>
    </w:lvl>
    <w:lvl w:ilvl="5">
      <w:start w:val="0"/>
      <w:numFmt w:val="bullet"/>
      <w:lvlText w:val="•"/>
      <w:lvlJc w:val="left"/>
      <w:pPr>
        <w:ind w:left="7102" w:hanging="341"/>
      </w:pPr>
      <w:rPr>
        <w:rFonts w:hint="default"/>
        <w:lang w:val="en-us" w:eastAsia="en-US" w:bidi="ar-SA"/>
      </w:rPr>
    </w:lvl>
    <w:lvl w:ilvl="6">
      <w:start w:val="0"/>
      <w:numFmt w:val="bullet"/>
      <w:lvlText w:val="•"/>
      <w:lvlJc w:val="left"/>
      <w:pPr>
        <w:ind w:left="7915" w:hanging="341"/>
      </w:pPr>
      <w:rPr>
        <w:rFonts w:hint="default"/>
        <w:lang w:val="en-us" w:eastAsia="en-US" w:bidi="ar-SA"/>
      </w:rPr>
    </w:lvl>
    <w:lvl w:ilvl="7">
      <w:start w:val="0"/>
      <w:numFmt w:val="bullet"/>
      <w:lvlText w:val="•"/>
      <w:lvlJc w:val="left"/>
      <w:pPr>
        <w:ind w:left="8727" w:hanging="341"/>
      </w:pPr>
      <w:rPr>
        <w:rFonts w:hint="default"/>
        <w:lang w:val="en-us" w:eastAsia="en-US" w:bidi="ar-SA"/>
      </w:rPr>
    </w:lvl>
    <w:lvl w:ilvl="8">
      <w:start w:val="0"/>
      <w:numFmt w:val="bullet"/>
      <w:lvlText w:val="•"/>
      <w:lvlJc w:val="left"/>
      <w:pPr>
        <w:ind w:left="9540" w:hanging="341"/>
      </w:pPr>
      <w:rPr>
        <w:rFonts w:hint="default"/>
        <w:lang w:val="en-us" w:eastAsia="en-US" w:bidi="ar-SA"/>
      </w:rPr>
    </w:lvl>
  </w:abstractNum>
  <w:abstractNum w:abstractNumId="23">
    <w:multiLevelType w:val="hybridMultilevel"/>
    <w:lvl w:ilvl="0">
      <w:start w:val="40"/>
      <w:numFmt w:val="decimal"/>
      <w:lvlText w:val="%1"/>
      <w:lvlJc w:val="left"/>
      <w:pPr>
        <w:ind w:left="3033" w:hanging="341"/>
        <w:jc w:val="left"/>
      </w:pPr>
      <w:rPr>
        <w:rFonts w:hint="default" w:ascii="Tahoma" w:hAnsi="Tahoma" w:eastAsia="Tahoma" w:cs="Tahoma"/>
        <w:color w:val="262526"/>
        <w:w w:val="100"/>
        <w:sz w:val="14"/>
        <w:szCs w:val="14"/>
        <w:lang w:val="en-us" w:eastAsia="en-US" w:bidi="ar-SA"/>
      </w:rPr>
    </w:lvl>
    <w:lvl w:ilvl="1">
      <w:start w:val="0"/>
      <w:numFmt w:val="bullet"/>
      <w:lvlText w:val="•"/>
      <w:lvlJc w:val="left"/>
      <w:pPr>
        <w:ind w:left="3852" w:hanging="341"/>
      </w:pPr>
      <w:rPr>
        <w:rFonts w:hint="default"/>
        <w:lang w:val="en-us" w:eastAsia="en-US" w:bidi="ar-SA"/>
      </w:rPr>
    </w:lvl>
    <w:lvl w:ilvl="2">
      <w:start w:val="0"/>
      <w:numFmt w:val="bullet"/>
      <w:lvlText w:val="•"/>
      <w:lvlJc w:val="left"/>
      <w:pPr>
        <w:ind w:left="4665" w:hanging="341"/>
      </w:pPr>
      <w:rPr>
        <w:rFonts w:hint="default"/>
        <w:lang w:val="en-us" w:eastAsia="en-US" w:bidi="ar-SA"/>
      </w:rPr>
    </w:lvl>
    <w:lvl w:ilvl="3">
      <w:start w:val="0"/>
      <w:numFmt w:val="bullet"/>
      <w:lvlText w:val="•"/>
      <w:lvlJc w:val="left"/>
      <w:pPr>
        <w:ind w:left="5477" w:hanging="341"/>
      </w:pPr>
      <w:rPr>
        <w:rFonts w:hint="default"/>
        <w:lang w:val="en-us" w:eastAsia="en-US" w:bidi="ar-SA"/>
      </w:rPr>
    </w:lvl>
    <w:lvl w:ilvl="4">
      <w:start w:val="0"/>
      <w:numFmt w:val="bullet"/>
      <w:lvlText w:val="•"/>
      <w:lvlJc w:val="left"/>
      <w:pPr>
        <w:ind w:left="6290" w:hanging="341"/>
      </w:pPr>
      <w:rPr>
        <w:rFonts w:hint="default"/>
        <w:lang w:val="en-us" w:eastAsia="en-US" w:bidi="ar-SA"/>
      </w:rPr>
    </w:lvl>
    <w:lvl w:ilvl="5">
      <w:start w:val="0"/>
      <w:numFmt w:val="bullet"/>
      <w:lvlText w:val="•"/>
      <w:lvlJc w:val="left"/>
      <w:pPr>
        <w:ind w:left="7102" w:hanging="341"/>
      </w:pPr>
      <w:rPr>
        <w:rFonts w:hint="default"/>
        <w:lang w:val="en-us" w:eastAsia="en-US" w:bidi="ar-SA"/>
      </w:rPr>
    </w:lvl>
    <w:lvl w:ilvl="6">
      <w:start w:val="0"/>
      <w:numFmt w:val="bullet"/>
      <w:lvlText w:val="•"/>
      <w:lvlJc w:val="left"/>
      <w:pPr>
        <w:ind w:left="7915" w:hanging="341"/>
      </w:pPr>
      <w:rPr>
        <w:rFonts w:hint="default"/>
        <w:lang w:val="en-us" w:eastAsia="en-US" w:bidi="ar-SA"/>
      </w:rPr>
    </w:lvl>
    <w:lvl w:ilvl="7">
      <w:start w:val="0"/>
      <w:numFmt w:val="bullet"/>
      <w:lvlText w:val="•"/>
      <w:lvlJc w:val="left"/>
      <w:pPr>
        <w:ind w:left="8727" w:hanging="341"/>
      </w:pPr>
      <w:rPr>
        <w:rFonts w:hint="default"/>
        <w:lang w:val="en-us" w:eastAsia="en-US" w:bidi="ar-SA"/>
      </w:rPr>
    </w:lvl>
    <w:lvl w:ilvl="8">
      <w:start w:val="0"/>
      <w:numFmt w:val="bullet"/>
      <w:lvlText w:val="•"/>
      <w:lvlJc w:val="left"/>
      <w:pPr>
        <w:ind w:left="9540" w:hanging="341"/>
      </w:pPr>
      <w:rPr>
        <w:rFonts w:hint="default"/>
        <w:lang w:val="en-us" w:eastAsia="en-US" w:bidi="ar-SA"/>
      </w:rPr>
    </w:lvl>
  </w:abstractNum>
  <w:abstractNum w:abstractNumId="22">
    <w:multiLevelType w:val="hybridMultilevel"/>
    <w:lvl w:ilvl="0">
      <w:start w:val="36"/>
      <w:numFmt w:val="decimal"/>
      <w:lvlText w:val="%1"/>
      <w:lvlJc w:val="left"/>
      <w:pPr>
        <w:ind w:left="3033" w:hanging="341"/>
        <w:jc w:val="left"/>
      </w:pPr>
      <w:rPr>
        <w:rFonts w:hint="default" w:ascii="Tahoma" w:hAnsi="Tahoma" w:eastAsia="Tahoma" w:cs="Tahoma"/>
        <w:color w:val="262526"/>
        <w:w w:val="100"/>
        <w:sz w:val="14"/>
        <w:szCs w:val="14"/>
        <w:lang w:val="en-us" w:eastAsia="en-US" w:bidi="ar-SA"/>
      </w:rPr>
    </w:lvl>
    <w:lvl w:ilvl="1">
      <w:start w:val="0"/>
      <w:numFmt w:val="bullet"/>
      <w:lvlText w:val="•"/>
      <w:lvlJc w:val="left"/>
      <w:pPr>
        <w:ind w:left="3852" w:hanging="341"/>
      </w:pPr>
      <w:rPr>
        <w:rFonts w:hint="default"/>
        <w:lang w:val="en-us" w:eastAsia="en-US" w:bidi="ar-SA"/>
      </w:rPr>
    </w:lvl>
    <w:lvl w:ilvl="2">
      <w:start w:val="0"/>
      <w:numFmt w:val="bullet"/>
      <w:lvlText w:val="•"/>
      <w:lvlJc w:val="left"/>
      <w:pPr>
        <w:ind w:left="4665" w:hanging="341"/>
      </w:pPr>
      <w:rPr>
        <w:rFonts w:hint="default"/>
        <w:lang w:val="en-us" w:eastAsia="en-US" w:bidi="ar-SA"/>
      </w:rPr>
    </w:lvl>
    <w:lvl w:ilvl="3">
      <w:start w:val="0"/>
      <w:numFmt w:val="bullet"/>
      <w:lvlText w:val="•"/>
      <w:lvlJc w:val="left"/>
      <w:pPr>
        <w:ind w:left="5477" w:hanging="341"/>
      </w:pPr>
      <w:rPr>
        <w:rFonts w:hint="default"/>
        <w:lang w:val="en-us" w:eastAsia="en-US" w:bidi="ar-SA"/>
      </w:rPr>
    </w:lvl>
    <w:lvl w:ilvl="4">
      <w:start w:val="0"/>
      <w:numFmt w:val="bullet"/>
      <w:lvlText w:val="•"/>
      <w:lvlJc w:val="left"/>
      <w:pPr>
        <w:ind w:left="6290" w:hanging="341"/>
      </w:pPr>
      <w:rPr>
        <w:rFonts w:hint="default"/>
        <w:lang w:val="en-us" w:eastAsia="en-US" w:bidi="ar-SA"/>
      </w:rPr>
    </w:lvl>
    <w:lvl w:ilvl="5">
      <w:start w:val="0"/>
      <w:numFmt w:val="bullet"/>
      <w:lvlText w:val="•"/>
      <w:lvlJc w:val="left"/>
      <w:pPr>
        <w:ind w:left="7102" w:hanging="341"/>
      </w:pPr>
      <w:rPr>
        <w:rFonts w:hint="default"/>
        <w:lang w:val="en-us" w:eastAsia="en-US" w:bidi="ar-SA"/>
      </w:rPr>
    </w:lvl>
    <w:lvl w:ilvl="6">
      <w:start w:val="0"/>
      <w:numFmt w:val="bullet"/>
      <w:lvlText w:val="•"/>
      <w:lvlJc w:val="left"/>
      <w:pPr>
        <w:ind w:left="7915" w:hanging="341"/>
      </w:pPr>
      <w:rPr>
        <w:rFonts w:hint="default"/>
        <w:lang w:val="en-us" w:eastAsia="en-US" w:bidi="ar-SA"/>
      </w:rPr>
    </w:lvl>
    <w:lvl w:ilvl="7">
      <w:start w:val="0"/>
      <w:numFmt w:val="bullet"/>
      <w:lvlText w:val="•"/>
      <w:lvlJc w:val="left"/>
      <w:pPr>
        <w:ind w:left="8727" w:hanging="341"/>
      </w:pPr>
      <w:rPr>
        <w:rFonts w:hint="default"/>
        <w:lang w:val="en-us" w:eastAsia="en-US" w:bidi="ar-SA"/>
      </w:rPr>
    </w:lvl>
    <w:lvl w:ilvl="8">
      <w:start w:val="0"/>
      <w:numFmt w:val="bullet"/>
      <w:lvlText w:val="•"/>
      <w:lvlJc w:val="left"/>
      <w:pPr>
        <w:ind w:left="9540" w:hanging="341"/>
      </w:pPr>
      <w:rPr>
        <w:rFonts w:hint="default"/>
        <w:lang w:val="en-us" w:eastAsia="en-US" w:bidi="ar-SA"/>
      </w:rPr>
    </w:lvl>
  </w:abstractNum>
  <w:abstractNum w:abstractNumId="21">
    <w:multiLevelType w:val="hybridMultilevel"/>
    <w:lvl w:ilvl="0">
      <w:start w:val="1"/>
      <w:numFmt w:val="decimal"/>
      <w:lvlText w:val="%1."/>
      <w:lvlJc w:val="left"/>
      <w:pPr>
        <w:ind w:left="3033" w:hanging="341"/>
        <w:jc w:val="left"/>
      </w:pPr>
      <w:rPr>
        <w:rFonts w:hint="default" w:ascii="Tahoma" w:hAnsi="Tahoma" w:eastAsia="Tahoma" w:cs="Tahoma"/>
        <w:color w:val="262526"/>
        <w:w w:val="101"/>
        <w:sz w:val="20"/>
        <w:szCs w:val="20"/>
        <w:lang w:val="en-us" w:eastAsia="en-US" w:bidi="ar-SA"/>
      </w:rPr>
    </w:lvl>
    <w:lvl w:ilvl="1">
      <w:start w:val="0"/>
      <w:numFmt w:val="bullet"/>
      <w:lvlText w:val="•"/>
      <w:lvlJc w:val="left"/>
      <w:pPr>
        <w:ind w:left="3852" w:hanging="341"/>
      </w:pPr>
      <w:rPr>
        <w:rFonts w:hint="default"/>
        <w:lang w:val="en-us" w:eastAsia="en-US" w:bidi="ar-SA"/>
      </w:rPr>
    </w:lvl>
    <w:lvl w:ilvl="2">
      <w:start w:val="0"/>
      <w:numFmt w:val="bullet"/>
      <w:lvlText w:val="•"/>
      <w:lvlJc w:val="left"/>
      <w:pPr>
        <w:ind w:left="4665" w:hanging="341"/>
      </w:pPr>
      <w:rPr>
        <w:rFonts w:hint="default"/>
        <w:lang w:val="en-us" w:eastAsia="en-US" w:bidi="ar-SA"/>
      </w:rPr>
    </w:lvl>
    <w:lvl w:ilvl="3">
      <w:start w:val="0"/>
      <w:numFmt w:val="bullet"/>
      <w:lvlText w:val="•"/>
      <w:lvlJc w:val="left"/>
      <w:pPr>
        <w:ind w:left="5477" w:hanging="341"/>
      </w:pPr>
      <w:rPr>
        <w:rFonts w:hint="default"/>
        <w:lang w:val="en-us" w:eastAsia="en-US" w:bidi="ar-SA"/>
      </w:rPr>
    </w:lvl>
    <w:lvl w:ilvl="4">
      <w:start w:val="0"/>
      <w:numFmt w:val="bullet"/>
      <w:lvlText w:val="•"/>
      <w:lvlJc w:val="left"/>
      <w:pPr>
        <w:ind w:left="6290" w:hanging="341"/>
      </w:pPr>
      <w:rPr>
        <w:rFonts w:hint="default"/>
        <w:lang w:val="en-us" w:eastAsia="en-US" w:bidi="ar-SA"/>
      </w:rPr>
    </w:lvl>
    <w:lvl w:ilvl="5">
      <w:start w:val="0"/>
      <w:numFmt w:val="bullet"/>
      <w:lvlText w:val="•"/>
      <w:lvlJc w:val="left"/>
      <w:pPr>
        <w:ind w:left="7102" w:hanging="341"/>
      </w:pPr>
      <w:rPr>
        <w:rFonts w:hint="default"/>
        <w:lang w:val="en-us" w:eastAsia="en-US" w:bidi="ar-SA"/>
      </w:rPr>
    </w:lvl>
    <w:lvl w:ilvl="6">
      <w:start w:val="0"/>
      <w:numFmt w:val="bullet"/>
      <w:lvlText w:val="•"/>
      <w:lvlJc w:val="left"/>
      <w:pPr>
        <w:ind w:left="7915" w:hanging="341"/>
      </w:pPr>
      <w:rPr>
        <w:rFonts w:hint="default"/>
        <w:lang w:val="en-us" w:eastAsia="en-US" w:bidi="ar-SA"/>
      </w:rPr>
    </w:lvl>
    <w:lvl w:ilvl="7">
      <w:start w:val="0"/>
      <w:numFmt w:val="bullet"/>
      <w:lvlText w:val="•"/>
      <w:lvlJc w:val="left"/>
      <w:pPr>
        <w:ind w:left="8727" w:hanging="341"/>
      </w:pPr>
      <w:rPr>
        <w:rFonts w:hint="default"/>
        <w:lang w:val="en-us" w:eastAsia="en-US" w:bidi="ar-SA"/>
      </w:rPr>
    </w:lvl>
    <w:lvl w:ilvl="8">
      <w:start w:val="0"/>
      <w:numFmt w:val="bullet"/>
      <w:lvlText w:val="•"/>
      <w:lvlJc w:val="left"/>
      <w:pPr>
        <w:ind w:left="9540" w:hanging="341"/>
      </w:pPr>
      <w:rPr>
        <w:rFonts w:hint="default"/>
        <w:lang w:val="en-us" w:eastAsia="en-US" w:bidi="ar-SA"/>
      </w:rPr>
    </w:lvl>
  </w:abstractNum>
  <w:abstractNum w:abstractNumId="20">
    <w:multiLevelType w:val="hybridMultilevel"/>
    <w:lvl w:ilvl="0">
      <w:start w:val="3"/>
      <w:numFmt w:val="decimal"/>
      <w:lvlText w:val="%1"/>
      <w:lvlJc w:val="left"/>
      <w:pPr>
        <w:ind w:left="2692" w:hanging="1560"/>
        <w:jc w:val="left"/>
      </w:pPr>
      <w:rPr>
        <w:rFonts w:hint="default"/>
        <w:lang w:val="en-us" w:eastAsia="en-US" w:bidi="ar-SA"/>
      </w:rPr>
    </w:lvl>
    <w:lvl w:ilvl="1">
      <w:start w:val="1"/>
      <w:numFmt w:val="decimal"/>
      <w:lvlText w:val="%1.%2"/>
      <w:lvlJc w:val="left"/>
      <w:pPr>
        <w:ind w:left="2692" w:hanging="1560"/>
        <w:jc w:val="left"/>
      </w:pPr>
      <w:rPr>
        <w:rFonts w:hint="default"/>
        <w:lang w:val="en-us" w:eastAsia="en-US" w:bidi="ar-SA"/>
      </w:rPr>
    </w:lvl>
    <w:lvl w:ilvl="2">
      <w:start w:val="1"/>
      <w:numFmt w:val="decimal"/>
      <w:lvlText w:val="%1.%2.%3"/>
      <w:lvlJc w:val="left"/>
      <w:pPr>
        <w:ind w:left="2692" w:hanging="1560"/>
        <w:jc w:val="left"/>
      </w:pPr>
      <w:rPr>
        <w:rFonts w:hint="default" w:ascii="Tahoma" w:hAnsi="Tahoma" w:eastAsia="Tahoma" w:cs="Tahoma"/>
        <w:b/>
        <w:bCs/>
        <w:color w:val="00ACEC"/>
        <w:w w:val="100"/>
        <w:sz w:val="18"/>
        <w:szCs w:val="18"/>
        <w:lang w:val="en-us" w:eastAsia="en-US" w:bidi="ar-SA"/>
      </w:rPr>
    </w:lvl>
    <w:lvl w:ilvl="3">
      <w:start w:val="0"/>
      <w:numFmt w:val="bullet"/>
      <w:lvlText w:val="•"/>
      <w:lvlJc w:val="left"/>
      <w:pPr>
        <w:ind w:left="3033" w:hanging="341"/>
      </w:pPr>
      <w:rPr>
        <w:rFonts w:hint="default" w:ascii="Tahoma" w:hAnsi="Tahoma" w:eastAsia="Tahoma" w:cs="Tahoma"/>
        <w:color w:val="00ACEC"/>
        <w:w w:val="94"/>
        <w:sz w:val="18"/>
        <w:szCs w:val="18"/>
        <w:lang w:val="en-us" w:eastAsia="en-US" w:bidi="ar-SA"/>
      </w:rPr>
    </w:lvl>
    <w:lvl w:ilvl="4">
      <w:start w:val="0"/>
      <w:numFmt w:val="bullet"/>
      <w:lvlText w:val="•"/>
      <w:lvlJc w:val="left"/>
      <w:pPr>
        <w:ind w:left="5748" w:hanging="341"/>
      </w:pPr>
      <w:rPr>
        <w:rFonts w:hint="default"/>
        <w:lang w:val="en-us" w:eastAsia="en-US" w:bidi="ar-SA"/>
      </w:rPr>
    </w:lvl>
    <w:lvl w:ilvl="5">
      <w:start w:val="0"/>
      <w:numFmt w:val="bullet"/>
      <w:lvlText w:val="•"/>
      <w:lvlJc w:val="left"/>
      <w:pPr>
        <w:ind w:left="6651" w:hanging="341"/>
      </w:pPr>
      <w:rPr>
        <w:rFonts w:hint="default"/>
        <w:lang w:val="en-us" w:eastAsia="en-US" w:bidi="ar-SA"/>
      </w:rPr>
    </w:lvl>
    <w:lvl w:ilvl="6">
      <w:start w:val="0"/>
      <w:numFmt w:val="bullet"/>
      <w:lvlText w:val="•"/>
      <w:lvlJc w:val="left"/>
      <w:pPr>
        <w:ind w:left="7554" w:hanging="341"/>
      </w:pPr>
      <w:rPr>
        <w:rFonts w:hint="default"/>
        <w:lang w:val="en-us" w:eastAsia="en-US" w:bidi="ar-SA"/>
      </w:rPr>
    </w:lvl>
    <w:lvl w:ilvl="7">
      <w:start w:val="0"/>
      <w:numFmt w:val="bullet"/>
      <w:lvlText w:val="•"/>
      <w:lvlJc w:val="left"/>
      <w:pPr>
        <w:ind w:left="8457" w:hanging="341"/>
      </w:pPr>
      <w:rPr>
        <w:rFonts w:hint="default"/>
        <w:lang w:val="en-us" w:eastAsia="en-US" w:bidi="ar-SA"/>
      </w:rPr>
    </w:lvl>
    <w:lvl w:ilvl="8">
      <w:start w:val="0"/>
      <w:numFmt w:val="bullet"/>
      <w:lvlText w:val="•"/>
      <w:lvlJc w:val="left"/>
      <w:pPr>
        <w:ind w:left="9359" w:hanging="341"/>
      </w:pPr>
      <w:rPr>
        <w:rFonts w:hint="default"/>
        <w:lang w:val="en-us" w:eastAsia="en-US" w:bidi="ar-SA"/>
      </w:rPr>
    </w:lvl>
  </w:abstractNum>
  <w:abstractNum w:abstractNumId="19">
    <w:multiLevelType w:val="hybridMultilevel"/>
    <w:lvl w:ilvl="0">
      <w:start w:val="3"/>
      <w:numFmt w:val="decimal"/>
      <w:lvlText w:val="%1"/>
      <w:lvlJc w:val="left"/>
      <w:pPr>
        <w:ind w:left="2692" w:hanging="1560"/>
        <w:jc w:val="left"/>
      </w:pPr>
      <w:rPr>
        <w:rFonts w:hint="default"/>
        <w:lang w:val="en-us" w:eastAsia="en-US" w:bidi="ar-SA"/>
      </w:rPr>
    </w:lvl>
    <w:lvl w:ilvl="1">
      <w:start w:val="1"/>
      <w:numFmt w:val="decimal"/>
      <w:lvlText w:val="%1.%2"/>
      <w:lvlJc w:val="left"/>
      <w:pPr>
        <w:ind w:left="2692" w:hanging="1560"/>
        <w:jc w:val="left"/>
      </w:pPr>
      <w:rPr>
        <w:rFonts w:hint="default" w:ascii="Tahoma" w:hAnsi="Tahoma" w:eastAsia="Tahoma" w:cs="Tahoma"/>
        <w:color w:val="00ACEC"/>
        <w:w w:val="100"/>
        <w:sz w:val="28"/>
        <w:szCs w:val="28"/>
        <w:lang w:val="en-us" w:eastAsia="en-US" w:bidi="ar-SA"/>
      </w:rPr>
    </w:lvl>
    <w:lvl w:ilvl="2">
      <w:start w:val="0"/>
      <w:numFmt w:val="bullet"/>
      <w:lvlText w:val="-"/>
      <w:lvlJc w:val="left"/>
      <w:pPr>
        <w:ind w:left="2929" w:hanging="128"/>
      </w:pPr>
      <w:rPr>
        <w:rFonts w:hint="default" w:ascii="Tahoma" w:hAnsi="Tahoma" w:eastAsia="Tahoma" w:cs="Tahoma"/>
        <w:color w:val="464646"/>
        <w:w w:val="94"/>
        <w:sz w:val="20"/>
        <w:szCs w:val="20"/>
        <w:lang w:val="en-us" w:eastAsia="en-US" w:bidi="ar-SA"/>
      </w:rPr>
    </w:lvl>
    <w:lvl w:ilvl="3">
      <w:start w:val="0"/>
      <w:numFmt w:val="bullet"/>
      <w:lvlText w:val="•"/>
      <w:lvlJc w:val="left"/>
      <w:pPr>
        <w:ind w:left="4752" w:hanging="128"/>
      </w:pPr>
      <w:rPr>
        <w:rFonts w:hint="default"/>
        <w:lang w:val="en-us" w:eastAsia="en-US" w:bidi="ar-SA"/>
      </w:rPr>
    </w:lvl>
    <w:lvl w:ilvl="4">
      <w:start w:val="0"/>
      <w:numFmt w:val="bullet"/>
      <w:lvlText w:val="•"/>
      <w:lvlJc w:val="left"/>
      <w:pPr>
        <w:ind w:left="5668" w:hanging="128"/>
      </w:pPr>
      <w:rPr>
        <w:rFonts w:hint="default"/>
        <w:lang w:val="en-us" w:eastAsia="en-US" w:bidi="ar-SA"/>
      </w:rPr>
    </w:lvl>
    <w:lvl w:ilvl="5">
      <w:start w:val="0"/>
      <w:numFmt w:val="bullet"/>
      <w:lvlText w:val="•"/>
      <w:lvlJc w:val="left"/>
      <w:pPr>
        <w:ind w:left="6584" w:hanging="128"/>
      </w:pPr>
      <w:rPr>
        <w:rFonts w:hint="default"/>
        <w:lang w:val="en-us" w:eastAsia="en-US" w:bidi="ar-SA"/>
      </w:rPr>
    </w:lvl>
    <w:lvl w:ilvl="6">
      <w:start w:val="0"/>
      <w:numFmt w:val="bullet"/>
      <w:lvlText w:val="•"/>
      <w:lvlJc w:val="left"/>
      <w:pPr>
        <w:ind w:left="7500" w:hanging="128"/>
      </w:pPr>
      <w:rPr>
        <w:rFonts w:hint="default"/>
        <w:lang w:val="en-us" w:eastAsia="en-US" w:bidi="ar-SA"/>
      </w:rPr>
    </w:lvl>
    <w:lvl w:ilvl="7">
      <w:start w:val="0"/>
      <w:numFmt w:val="bullet"/>
      <w:lvlText w:val="•"/>
      <w:lvlJc w:val="left"/>
      <w:pPr>
        <w:ind w:left="8417" w:hanging="128"/>
      </w:pPr>
      <w:rPr>
        <w:rFonts w:hint="default"/>
        <w:lang w:val="en-us" w:eastAsia="en-US" w:bidi="ar-SA"/>
      </w:rPr>
    </w:lvl>
    <w:lvl w:ilvl="8">
      <w:start w:val="0"/>
      <w:numFmt w:val="bullet"/>
      <w:lvlText w:val="•"/>
      <w:lvlJc w:val="left"/>
      <w:pPr>
        <w:ind w:left="9333" w:hanging="128"/>
      </w:pPr>
      <w:rPr>
        <w:rFonts w:hint="default"/>
        <w:lang w:val="en-us" w:eastAsia="en-US" w:bidi="ar-SA"/>
      </w:rPr>
    </w:lvl>
  </w:abstractNum>
  <w:abstractNum w:abstractNumId="18">
    <w:multiLevelType w:val="hybridMultilevel"/>
    <w:lvl w:ilvl="0">
      <w:start w:val="1"/>
      <w:numFmt w:val="decimal"/>
      <w:lvlText w:val="%1."/>
      <w:lvlJc w:val="left"/>
      <w:pPr>
        <w:ind w:left="3033" w:hanging="341"/>
        <w:jc w:val="left"/>
      </w:pPr>
      <w:rPr>
        <w:rFonts w:hint="default" w:ascii="Tahoma" w:hAnsi="Tahoma" w:eastAsia="Tahoma" w:cs="Tahoma"/>
        <w:color w:val="262526"/>
        <w:w w:val="101"/>
        <w:sz w:val="20"/>
        <w:szCs w:val="20"/>
        <w:lang w:val="en-us" w:eastAsia="en-US" w:bidi="ar-SA"/>
      </w:rPr>
    </w:lvl>
    <w:lvl w:ilvl="1">
      <w:start w:val="0"/>
      <w:numFmt w:val="bullet"/>
      <w:lvlText w:val="•"/>
      <w:lvlJc w:val="left"/>
      <w:pPr>
        <w:ind w:left="3852" w:hanging="341"/>
      </w:pPr>
      <w:rPr>
        <w:rFonts w:hint="default"/>
        <w:lang w:val="en-us" w:eastAsia="en-US" w:bidi="ar-SA"/>
      </w:rPr>
    </w:lvl>
    <w:lvl w:ilvl="2">
      <w:start w:val="0"/>
      <w:numFmt w:val="bullet"/>
      <w:lvlText w:val="•"/>
      <w:lvlJc w:val="left"/>
      <w:pPr>
        <w:ind w:left="4665" w:hanging="341"/>
      </w:pPr>
      <w:rPr>
        <w:rFonts w:hint="default"/>
        <w:lang w:val="en-us" w:eastAsia="en-US" w:bidi="ar-SA"/>
      </w:rPr>
    </w:lvl>
    <w:lvl w:ilvl="3">
      <w:start w:val="0"/>
      <w:numFmt w:val="bullet"/>
      <w:lvlText w:val="•"/>
      <w:lvlJc w:val="left"/>
      <w:pPr>
        <w:ind w:left="5477" w:hanging="341"/>
      </w:pPr>
      <w:rPr>
        <w:rFonts w:hint="default"/>
        <w:lang w:val="en-us" w:eastAsia="en-US" w:bidi="ar-SA"/>
      </w:rPr>
    </w:lvl>
    <w:lvl w:ilvl="4">
      <w:start w:val="0"/>
      <w:numFmt w:val="bullet"/>
      <w:lvlText w:val="•"/>
      <w:lvlJc w:val="left"/>
      <w:pPr>
        <w:ind w:left="6290" w:hanging="341"/>
      </w:pPr>
      <w:rPr>
        <w:rFonts w:hint="default"/>
        <w:lang w:val="en-us" w:eastAsia="en-US" w:bidi="ar-SA"/>
      </w:rPr>
    </w:lvl>
    <w:lvl w:ilvl="5">
      <w:start w:val="0"/>
      <w:numFmt w:val="bullet"/>
      <w:lvlText w:val="•"/>
      <w:lvlJc w:val="left"/>
      <w:pPr>
        <w:ind w:left="7102" w:hanging="341"/>
      </w:pPr>
      <w:rPr>
        <w:rFonts w:hint="default"/>
        <w:lang w:val="en-us" w:eastAsia="en-US" w:bidi="ar-SA"/>
      </w:rPr>
    </w:lvl>
    <w:lvl w:ilvl="6">
      <w:start w:val="0"/>
      <w:numFmt w:val="bullet"/>
      <w:lvlText w:val="•"/>
      <w:lvlJc w:val="left"/>
      <w:pPr>
        <w:ind w:left="7915" w:hanging="341"/>
      </w:pPr>
      <w:rPr>
        <w:rFonts w:hint="default"/>
        <w:lang w:val="en-us" w:eastAsia="en-US" w:bidi="ar-SA"/>
      </w:rPr>
    </w:lvl>
    <w:lvl w:ilvl="7">
      <w:start w:val="0"/>
      <w:numFmt w:val="bullet"/>
      <w:lvlText w:val="•"/>
      <w:lvlJc w:val="left"/>
      <w:pPr>
        <w:ind w:left="8727" w:hanging="341"/>
      </w:pPr>
      <w:rPr>
        <w:rFonts w:hint="default"/>
        <w:lang w:val="en-us" w:eastAsia="en-US" w:bidi="ar-SA"/>
      </w:rPr>
    </w:lvl>
    <w:lvl w:ilvl="8">
      <w:start w:val="0"/>
      <w:numFmt w:val="bullet"/>
      <w:lvlText w:val="•"/>
      <w:lvlJc w:val="left"/>
      <w:pPr>
        <w:ind w:left="9540" w:hanging="341"/>
      </w:pPr>
      <w:rPr>
        <w:rFonts w:hint="default"/>
        <w:lang w:val="en-us" w:eastAsia="en-US" w:bidi="ar-SA"/>
      </w:rPr>
    </w:lvl>
  </w:abstractNum>
  <w:abstractNum w:abstractNumId="17">
    <w:multiLevelType w:val="hybridMultilevel"/>
    <w:lvl w:ilvl="0">
      <w:start w:val="2"/>
      <w:numFmt w:val="decimal"/>
      <w:lvlText w:val="%1"/>
      <w:lvlJc w:val="left"/>
      <w:pPr>
        <w:ind w:left="2692" w:hanging="1560"/>
        <w:jc w:val="left"/>
      </w:pPr>
      <w:rPr>
        <w:rFonts w:hint="default"/>
        <w:lang w:val="en-us" w:eastAsia="en-US" w:bidi="ar-SA"/>
      </w:rPr>
    </w:lvl>
    <w:lvl w:ilvl="1">
      <w:start w:val="2"/>
      <w:numFmt w:val="decimal"/>
      <w:lvlText w:val="%1.%2"/>
      <w:lvlJc w:val="left"/>
      <w:pPr>
        <w:ind w:left="2692" w:hanging="1560"/>
        <w:jc w:val="left"/>
      </w:pPr>
      <w:rPr>
        <w:rFonts w:hint="default"/>
        <w:lang w:val="en-us" w:eastAsia="en-US" w:bidi="ar-SA"/>
      </w:rPr>
    </w:lvl>
    <w:lvl w:ilvl="2">
      <w:start w:val="1"/>
      <w:numFmt w:val="decimal"/>
      <w:lvlText w:val="%1.%2.%3"/>
      <w:lvlJc w:val="left"/>
      <w:pPr>
        <w:ind w:left="2692" w:hanging="1560"/>
        <w:jc w:val="left"/>
      </w:pPr>
      <w:rPr>
        <w:rFonts w:hint="default" w:ascii="Tahoma" w:hAnsi="Tahoma" w:eastAsia="Tahoma" w:cs="Tahoma"/>
        <w:b/>
        <w:bCs/>
        <w:color w:val="00ACEC"/>
        <w:w w:val="100"/>
        <w:sz w:val="18"/>
        <w:szCs w:val="18"/>
        <w:lang w:val="en-us" w:eastAsia="en-US" w:bidi="ar-SA"/>
      </w:rPr>
    </w:lvl>
    <w:lvl w:ilvl="3">
      <w:start w:val="0"/>
      <w:numFmt w:val="bullet"/>
      <w:lvlText w:val="•"/>
      <w:lvlJc w:val="left"/>
      <w:pPr>
        <w:ind w:left="3033" w:hanging="341"/>
      </w:pPr>
      <w:rPr>
        <w:rFonts w:hint="default" w:ascii="Tahoma" w:hAnsi="Tahoma" w:eastAsia="Tahoma" w:cs="Tahoma"/>
        <w:color w:val="00ACEC"/>
        <w:w w:val="94"/>
        <w:sz w:val="18"/>
        <w:szCs w:val="18"/>
        <w:lang w:val="en-us" w:eastAsia="en-US" w:bidi="ar-SA"/>
      </w:rPr>
    </w:lvl>
    <w:lvl w:ilvl="4">
      <w:start w:val="0"/>
      <w:numFmt w:val="bullet"/>
      <w:lvlText w:val="•"/>
      <w:lvlJc w:val="left"/>
      <w:pPr>
        <w:ind w:left="3373" w:hanging="341"/>
      </w:pPr>
      <w:rPr>
        <w:rFonts w:hint="default" w:ascii="Tahoma" w:hAnsi="Tahoma" w:eastAsia="Tahoma" w:cs="Tahoma"/>
        <w:color w:val="262526"/>
        <w:w w:val="101"/>
        <w:sz w:val="20"/>
        <w:szCs w:val="20"/>
        <w:lang w:val="en-us" w:eastAsia="en-US" w:bidi="ar-SA"/>
      </w:rPr>
    </w:lvl>
    <w:lvl w:ilvl="5">
      <w:start w:val="0"/>
      <w:numFmt w:val="bullet"/>
      <w:lvlText w:val="•"/>
      <w:lvlJc w:val="left"/>
      <w:pPr>
        <w:ind w:left="6299" w:hanging="341"/>
      </w:pPr>
      <w:rPr>
        <w:rFonts w:hint="default"/>
        <w:lang w:val="en-us" w:eastAsia="en-US" w:bidi="ar-SA"/>
      </w:rPr>
    </w:lvl>
    <w:lvl w:ilvl="6">
      <w:start w:val="0"/>
      <w:numFmt w:val="bullet"/>
      <w:lvlText w:val="•"/>
      <w:lvlJc w:val="left"/>
      <w:pPr>
        <w:ind w:left="7272" w:hanging="341"/>
      </w:pPr>
      <w:rPr>
        <w:rFonts w:hint="default"/>
        <w:lang w:val="en-us" w:eastAsia="en-US" w:bidi="ar-SA"/>
      </w:rPr>
    </w:lvl>
    <w:lvl w:ilvl="7">
      <w:start w:val="0"/>
      <w:numFmt w:val="bullet"/>
      <w:lvlText w:val="•"/>
      <w:lvlJc w:val="left"/>
      <w:pPr>
        <w:ind w:left="8245" w:hanging="341"/>
      </w:pPr>
      <w:rPr>
        <w:rFonts w:hint="default"/>
        <w:lang w:val="en-us" w:eastAsia="en-US" w:bidi="ar-SA"/>
      </w:rPr>
    </w:lvl>
    <w:lvl w:ilvl="8">
      <w:start w:val="0"/>
      <w:numFmt w:val="bullet"/>
      <w:lvlText w:val="•"/>
      <w:lvlJc w:val="left"/>
      <w:pPr>
        <w:ind w:left="9219" w:hanging="341"/>
      </w:pPr>
      <w:rPr>
        <w:rFonts w:hint="default"/>
        <w:lang w:val="en-us" w:eastAsia="en-US" w:bidi="ar-SA"/>
      </w:rPr>
    </w:lvl>
  </w:abstractNum>
  <w:abstractNum w:abstractNumId="16">
    <w:multiLevelType w:val="hybridMultilevel"/>
    <w:lvl w:ilvl="0">
      <w:start w:val="0"/>
      <w:numFmt w:val="bullet"/>
      <w:lvlText w:val="•"/>
      <w:lvlJc w:val="left"/>
      <w:pPr>
        <w:ind w:left="401" w:hanging="341"/>
      </w:pPr>
      <w:rPr>
        <w:rFonts w:hint="default" w:ascii="Tahoma" w:hAnsi="Tahoma" w:eastAsia="Tahoma" w:cs="Tahoma"/>
        <w:color w:val="00ACEC"/>
        <w:w w:val="94"/>
        <w:sz w:val="18"/>
        <w:szCs w:val="18"/>
        <w:lang w:val="en-us" w:eastAsia="en-US" w:bidi="ar-SA"/>
      </w:rPr>
    </w:lvl>
    <w:lvl w:ilvl="1">
      <w:start w:val="0"/>
      <w:numFmt w:val="bullet"/>
      <w:lvlText w:val="•"/>
      <w:lvlJc w:val="left"/>
      <w:pPr>
        <w:ind w:left="713" w:hanging="341"/>
      </w:pPr>
      <w:rPr>
        <w:rFonts w:hint="default"/>
        <w:lang w:val="en-us" w:eastAsia="en-US" w:bidi="ar-SA"/>
      </w:rPr>
    </w:lvl>
    <w:lvl w:ilvl="2">
      <w:start w:val="0"/>
      <w:numFmt w:val="bullet"/>
      <w:lvlText w:val="•"/>
      <w:lvlJc w:val="left"/>
      <w:pPr>
        <w:ind w:left="1027" w:hanging="341"/>
      </w:pPr>
      <w:rPr>
        <w:rFonts w:hint="default"/>
        <w:lang w:val="en-us" w:eastAsia="en-US" w:bidi="ar-SA"/>
      </w:rPr>
    </w:lvl>
    <w:lvl w:ilvl="3">
      <w:start w:val="0"/>
      <w:numFmt w:val="bullet"/>
      <w:lvlText w:val="•"/>
      <w:lvlJc w:val="left"/>
      <w:pPr>
        <w:ind w:left="1340" w:hanging="341"/>
      </w:pPr>
      <w:rPr>
        <w:rFonts w:hint="default"/>
        <w:lang w:val="en-us" w:eastAsia="en-US" w:bidi="ar-SA"/>
      </w:rPr>
    </w:lvl>
    <w:lvl w:ilvl="4">
      <w:start w:val="0"/>
      <w:numFmt w:val="bullet"/>
      <w:lvlText w:val="•"/>
      <w:lvlJc w:val="left"/>
      <w:pPr>
        <w:ind w:left="1654" w:hanging="341"/>
      </w:pPr>
      <w:rPr>
        <w:rFonts w:hint="default"/>
        <w:lang w:val="en-us" w:eastAsia="en-US" w:bidi="ar-SA"/>
      </w:rPr>
    </w:lvl>
    <w:lvl w:ilvl="5">
      <w:start w:val="0"/>
      <w:numFmt w:val="bullet"/>
      <w:lvlText w:val="•"/>
      <w:lvlJc w:val="left"/>
      <w:pPr>
        <w:ind w:left="1968" w:hanging="341"/>
      </w:pPr>
      <w:rPr>
        <w:rFonts w:hint="default"/>
        <w:lang w:val="en-us" w:eastAsia="en-US" w:bidi="ar-SA"/>
      </w:rPr>
    </w:lvl>
    <w:lvl w:ilvl="6">
      <w:start w:val="0"/>
      <w:numFmt w:val="bullet"/>
      <w:lvlText w:val="•"/>
      <w:lvlJc w:val="left"/>
      <w:pPr>
        <w:ind w:left="2281" w:hanging="341"/>
      </w:pPr>
      <w:rPr>
        <w:rFonts w:hint="default"/>
        <w:lang w:val="en-us" w:eastAsia="en-US" w:bidi="ar-SA"/>
      </w:rPr>
    </w:lvl>
    <w:lvl w:ilvl="7">
      <w:start w:val="0"/>
      <w:numFmt w:val="bullet"/>
      <w:lvlText w:val="•"/>
      <w:lvlJc w:val="left"/>
      <w:pPr>
        <w:ind w:left="2595" w:hanging="341"/>
      </w:pPr>
      <w:rPr>
        <w:rFonts w:hint="default"/>
        <w:lang w:val="en-us" w:eastAsia="en-US" w:bidi="ar-SA"/>
      </w:rPr>
    </w:lvl>
    <w:lvl w:ilvl="8">
      <w:start w:val="0"/>
      <w:numFmt w:val="bullet"/>
      <w:lvlText w:val="•"/>
      <w:lvlJc w:val="left"/>
      <w:pPr>
        <w:ind w:left="2908" w:hanging="341"/>
      </w:pPr>
      <w:rPr>
        <w:rFonts w:hint="default"/>
        <w:lang w:val="en-us" w:eastAsia="en-US" w:bidi="ar-SA"/>
      </w:rPr>
    </w:lvl>
  </w:abstractNum>
  <w:abstractNum w:abstractNumId="15">
    <w:multiLevelType w:val="hybridMultilevel"/>
    <w:lvl w:ilvl="0">
      <w:start w:val="0"/>
      <w:numFmt w:val="bullet"/>
      <w:lvlText w:val="•"/>
      <w:lvlJc w:val="left"/>
      <w:pPr>
        <w:ind w:left="401" w:hanging="341"/>
      </w:pPr>
      <w:rPr>
        <w:rFonts w:hint="default" w:ascii="Tahoma" w:hAnsi="Tahoma" w:eastAsia="Tahoma" w:cs="Tahoma"/>
        <w:color w:val="00ACEC"/>
        <w:w w:val="94"/>
        <w:sz w:val="18"/>
        <w:szCs w:val="18"/>
        <w:lang w:val="en-us" w:eastAsia="en-US" w:bidi="ar-SA"/>
      </w:rPr>
    </w:lvl>
    <w:lvl w:ilvl="1">
      <w:start w:val="0"/>
      <w:numFmt w:val="bullet"/>
      <w:lvlText w:val="•"/>
      <w:lvlJc w:val="left"/>
      <w:pPr>
        <w:ind w:left="713" w:hanging="341"/>
      </w:pPr>
      <w:rPr>
        <w:rFonts w:hint="default"/>
        <w:lang w:val="en-us" w:eastAsia="en-US" w:bidi="ar-SA"/>
      </w:rPr>
    </w:lvl>
    <w:lvl w:ilvl="2">
      <w:start w:val="0"/>
      <w:numFmt w:val="bullet"/>
      <w:lvlText w:val="•"/>
      <w:lvlJc w:val="left"/>
      <w:pPr>
        <w:ind w:left="1027" w:hanging="341"/>
      </w:pPr>
      <w:rPr>
        <w:rFonts w:hint="default"/>
        <w:lang w:val="en-us" w:eastAsia="en-US" w:bidi="ar-SA"/>
      </w:rPr>
    </w:lvl>
    <w:lvl w:ilvl="3">
      <w:start w:val="0"/>
      <w:numFmt w:val="bullet"/>
      <w:lvlText w:val="•"/>
      <w:lvlJc w:val="left"/>
      <w:pPr>
        <w:ind w:left="1340" w:hanging="341"/>
      </w:pPr>
      <w:rPr>
        <w:rFonts w:hint="default"/>
        <w:lang w:val="en-us" w:eastAsia="en-US" w:bidi="ar-SA"/>
      </w:rPr>
    </w:lvl>
    <w:lvl w:ilvl="4">
      <w:start w:val="0"/>
      <w:numFmt w:val="bullet"/>
      <w:lvlText w:val="•"/>
      <w:lvlJc w:val="left"/>
      <w:pPr>
        <w:ind w:left="1654" w:hanging="341"/>
      </w:pPr>
      <w:rPr>
        <w:rFonts w:hint="default"/>
        <w:lang w:val="en-us" w:eastAsia="en-US" w:bidi="ar-SA"/>
      </w:rPr>
    </w:lvl>
    <w:lvl w:ilvl="5">
      <w:start w:val="0"/>
      <w:numFmt w:val="bullet"/>
      <w:lvlText w:val="•"/>
      <w:lvlJc w:val="left"/>
      <w:pPr>
        <w:ind w:left="1968" w:hanging="341"/>
      </w:pPr>
      <w:rPr>
        <w:rFonts w:hint="default"/>
        <w:lang w:val="en-us" w:eastAsia="en-US" w:bidi="ar-SA"/>
      </w:rPr>
    </w:lvl>
    <w:lvl w:ilvl="6">
      <w:start w:val="0"/>
      <w:numFmt w:val="bullet"/>
      <w:lvlText w:val="•"/>
      <w:lvlJc w:val="left"/>
      <w:pPr>
        <w:ind w:left="2281" w:hanging="341"/>
      </w:pPr>
      <w:rPr>
        <w:rFonts w:hint="default"/>
        <w:lang w:val="en-us" w:eastAsia="en-US" w:bidi="ar-SA"/>
      </w:rPr>
    </w:lvl>
    <w:lvl w:ilvl="7">
      <w:start w:val="0"/>
      <w:numFmt w:val="bullet"/>
      <w:lvlText w:val="•"/>
      <w:lvlJc w:val="left"/>
      <w:pPr>
        <w:ind w:left="2595" w:hanging="341"/>
      </w:pPr>
      <w:rPr>
        <w:rFonts w:hint="default"/>
        <w:lang w:val="en-us" w:eastAsia="en-US" w:bidi="ar-SA"/>
      </w:rPr>
    </w:lvl>
    <w:lvl w:ilvl="8">
      <w:start w:val="0"/>
      <w:numFmt w:val="bullet"/>
      <w:lvlText w:val="•"/>
      <w:lvlJc w:val="left"/>
      <w:pPr>
        <w:ind w:left="2908" w:hanging="341"/>
      </w:pPr>
      <w:rPr>
        <w:rFonts w:hint="default"/>
        <w:lang w:val="en-us" w:eastAsia="en-US" w:bidi="ar-SA"/>
      </w:rPr>
    </w:lvl>
  </w:abstractNum>
  <w:abstractNum w:abstractNumId="14">
    <w:multiLevelType w:val="hybridMultilevel"/>
    <w:lvl w:ilvl="0">
      <w:start w:val="0"/>
      <w:numFmt w:val="bullet"/>
      <w:lvlText w:val="•"/>
      <w:lvlJc w:val="left"/>
      <w:pPr>
        <w:ind w:left="401" w:hanging="341"/>
      </w:pPr>
      <w:rPr>
        <w:rFonts w:hint="default" w:ascii="Tahoma" w:hAnsi="Tahoma" w:eastAsia="Tahoma" w:cs="Tahoma"/>
        <w:color w:val="00ACEC"/>
        <w:w w:val="94"/>
        <w:sz w:val="18"/>
        <w:szCs w:val="18"/>
        <w:lang w:val="en-us" w:eastAsia="en-US" w:bidi="ar-SA"/>
      </w:rPr>
    </w:lvl>
    <w:lvl w:ilvl="1">
      <w:start w:val="0"/>
      <w:numFmt w:val="bullet"/>
      <w:lvlText w:val="•"/>
      <w:lvlJc w:val="left"/>
      <w:pPr>
        <w:ind w:left="713" w:hanging="341"/>
      </w:pPr>
      <w:rPr>
        <w:rFonts w:hint="default"/>
        <w:lang w:val="en-us" w:eastAsia="en-US" w:bidi="ar-SA"/>
      </w:rPr>
    </w:lvl>
    <w:lvl w:ilvl="2">
      <w:start w:val="0"/>
      <w:numFmt w:val="bullet"/>
      <w:lvlText w:val="•"/>
      <w:lvlJc w:val="left"/>
      <w:pPr>
        <w:ind w:left="1027" w:hanging="341"/>
      </w:pPr>
      <w:rPr>
        <w:rFonts w:hint="default"/>
        <w:lang w:val="en-us" w:eastAsia="en-US" w:bidi="ar-SA"/>
      </w:rPr>
    </w:lvl>
    <w:lvl w:ilvl="3">
      <w:start w:val="0"/>
      <w:numFmt w:val="bullet"/>
      <w:lvlText w:val="•"/>
      <w:lvlJc w:val="left"/>
      <w:pPr>
        <w:ind w:left="1340" w:hanging="341"/>
      </w:pPr>
      <w:rPr>
        <w:rFonts w:hint="default"/>
        <w:lang w:val="en-us" w:eastAsia="en-US" w:bidi="ar-SA"/>
      </w:rPr>
    </w:lvl>
    <w:lvl w:ilvl="4">
      <w:start w:val="0"/>
      <w:numFmt w:val="bullet"/>
      <w:lvlText w:val="•"/>
      <w:lvlJc w:val="left"/>
      <w:pPr>
        <w:ind w:left="1654" w:hanging="341"/>
      </w:pPr>
      <w:rPr>
        <w:rFonts w:hint="default"/>
        <w:lang w:val="en-us" w:eastAsia="en-US" w:bidi="ar-SA"/>
      </w:rPr>
    </w:lvl>
    <w:lvl w:ilvl="5">
      <w:start w:val="0"/>
      <w:numFmt w:val="bullet"/>
      <w:lvlText w:val="•"/>
      <w:lvlJc w:val="left"/>
      <w:pPr>
        <w:ind w:left="1968" w:hanging="341"/>
      </w:pPr>
      <w:rPr>
        <w:rFonts w:hint="default"/>
        <w:lang w:val="en-us" w:eastAsia="en-US" w:bidi="ar-SA"/>
      </w:rPr>
    </w:lvl>
    <w:lvl w:ilvl="6">
      <w:start w:val="0"/>
      <w:numFmt w:val="bullet"/>
      <w:lvlText w:val="•"/>
      <w:lvlJc w:val="left"/>
      <w:pPr>
        <w:ind w:left="2281" w:hanging="341"/>
      </w:pPr>
      <w:rPr>
        <w:rFonts w:hint="default"/>
        <w:lang w:val="en-us" w:eastAsia="en-US" w:bidi="ar-SA"/>
      </w:rPr>
    </w:lvl>
    <w:lvl w:ilvl="7">
      <w:start w:val="0"/>
      <w:numFmt w:val="bullet"/>
      <w:lvlText w:val="•"/>
      <w:lvlJc w:val="left"/>
      <w:pPr>
        <w:ind w:left="2595" w:hanging="341"/>
      </w:pPr>
      <w:rPr>
        <w:rFonts w:hint="default"/>
        <w:lang w:val="en-us" w:eastAsia="en-US" w:bidi="ar-SA"/>
      </w:rPr>
    </w:lvl>
    <w:lvl w:ilvl="8">
      <w:start w:val="0"/>
      <w:numFmt w:val="bullet"/>
      <w:lvlText w:val="•"/>
      <w:lvlJc w:val="left"/>
      <w:pPr>
        <w:ind w:left="2908" w:hanging="341"/>
      </w:pPr>
      <w:rPr>
        <w:rFonts w:hint="default"/>
        <w:lang w:val="en-us" w:eastAsia="en-US" w:bidi="ar-SA"/>
      </w:rPr>
    </w:lvl>
  </w:abstractNum>
  <w:abstractNum w:abstractNumId="13">
    <w:multiLevelType w:val="hybridMultilevel"/>
    <w:lvl w:ilvl="0">
      <w:start w:val="0"/>
      <w:numFmt w:val="bullet"/>
      <w:lvlText w:val="•"/>
      <w:lvlJc w:val="left"/>
      <w:pPr>
        <w:ind w:left="401" w:hanging="341"/>
      </w:pPr>
      <w:rPr>
        <w:rFonts w:hint="default" w:ascii="Tahoma" w:hAnsi="Tahoma" w:eastAsia="Tahoma" w:cs="Tahoma"/>
        <w:color w:val="00ACEC"/>
        <w:w w:val="94"/>
        <w:sz w:val="18"/>
        <w:szCs w:val="18"/>
        <w:lang w:val="en-us" w:eastAsia="en-US" w:bidi="ar-SA"/>
      </w:rPr>
    </w:lvl>
    <w:lvl w:ilvl="1">
      <w:start w:val="0"/>
      <w:numFmt w:val="bullet"/>
      <w:lvlText w:val="•"/>
      <w:lvlJc w:val="left"/>
      <w:pPr>
        <w:ind w:left="713" w:hanging="341"/>
      </w:pPr>
      <w:rPr>
        <w:rFonts w:hint="default"/>
        <w:lang w:val="en-us" w:eastAsia="en-US" w:bidi="ar-SA"/>
      </w:rPr>
    </w:lvl>
    <w:lvl w:ilvl="2">
      <w:start w:val="0"/>
      <w:numFmt w:val="bullet"/>
      <w:lvlText w:val="•"/>
      <w:lvlJc w:val="left"/>
      <w:pPr>
        <w:ind w:left="1027" w:hanging="341"/>
      </w:pPr>
      <w:rPr>
        <w:rFonts w:hint="default"/>
        <w:lang w:val="en-us" w:eastAsia="en-US" w:bidi="ar-SA"/>
      </w:rPr>
    </w:lvl>
    <w:lvl w:ilvl="3">
      <w:start w:val="0"/>
      <w:numFmt w:val="bullet"/>
      <w:lvlText w:val="•"/>
      <w:lvlJc w:val="left"/>
      <w:pPr>
        <w:ind w:left="1340" w:hanging="341"/>
      </w:pPr>
      <w:rPr>
        <w:rFonts w:hint="default"/>
        <w:lang w:val="en-us" w:eastAsia="en-US" w:bidi="ar-SA"/>
      </w:rPr>
    </w:lvl>
    <w:lvl w:ilvl="4">
      <w:start w:val="0"/>
      <w:numFmt w:val="bullet"/>
      <w:lvlText w:val="•"/>
      <w:lvlJc w:val="left"/>
      <w:pPr>
        <w:ind w:left="1654" w:hanging="341"/>
      </w:pPr>
      <w:rPr>
        <w:rFonts w:hint="default"/>
        <w:lang w:val="en-us" w:eastAsia="en-US" w:bidi="ar-SA"/>
      </w:rPr>
    </w:lvl>
    <w:lvl w:ilvl="5">
      <w:start w:val="0"/>
      <w:numFmt w:val="bullet"/>
      <w:lvlText w:val="•"/>
      <w:lvlJc w:val="left"/>
      <w:pPr>
        <w:ind w:left="1968" w:hanging="341"/>
      </w:pPr>
      <w:rPr>
        <w:rFonts w:hint="default"/>
        <w:lang w:val="en-us" w:eastAsia="en-US" w:bidi="ar-SA"/>
      </w:rPr>
    </w:lvl>
    <w:lvl w:ilvl="6">
      <w:start w:val="0"/>
      <w:numFmt w:val="bullet"/>
      <w:lvlText w:val="•"/>
      <w:lvlJc w:val="left"/>
      <w:pPr>
        <w:ind w:left="2281" w:hanging="341"/>
      </w:pPr>
      <w:rPr>
        <w:rFonts w:hint="default"/>
        <w:lang w:val="en-us" w:eastAsia="en-US" w:bidi="ar-SA"/>
      </w:rPr>
    </w:lvl>
    <w:lvl w:ilvl="7">
      <w:start w:val="0"/>
      <w:numFmt w:val="bullet"/>
      <w:lvlText w:val="•"/>
      <w:lvlJc w:val="left"/>
      <w:pPr>
        <w:ind w:left="2595" w:hanging="341"/>
      </w:pPr>
      <w:rPr>
        <w:rFonts w:hint="default"/>
        <w:lang w:val="en-us" w:eastAsia="en-US" w:bidi="ar-SA"/>
      </w:rPr>
    </w:lvl>
    <w:lvl w:ilvl="8">
      <w:start w:val="0"/>
      <w:numFmt w:val="bullet"/>
      <w:lvlText w:val="•"/>
      <w:lvlJc w:val="left"/>
      <w:pPr>
        <w:ind w:left="2908" w:hanging="341"/>
      </w:pPr>
      <w:rPr>
        <w:rFonts w:hint="default"/>
        <w:lang w:val="en-us" w:eastAsia="en-US" w:bidi="ar-SA"/>
      </w:rPr>
    </w:lvl>
  </w:abstractNum>
  <w:abstractNum w:abstractNumId="12">
    <w:multiLevelType w:val="hybridMultilevel"/>
    <w:lvl w:ilvl="0">
      <w:start w:val="0"/>
      <w:numFmt w:val="bullet"/>
      <w:lvlText w:val="•"/>
      <w:lvlJc w:val="left"/>
      <w:pPr>
        <w:ind w:left="401" w:hanging="341"/>
      </w:pPr>
      <w:rPr>
        <w:rFonts w:hint="default" w:ascii="Tahoma" w:hAnsi="Tahoma" w:eastAsia="Tahoma" w:cs="Tahoma"/>
        <w:color w:val="00ACEC"/>
        <w:w w:val="94"/>
        <w:sz w:val="18"/>
        <w:szCs w:val="18"/>
        <w:lang w:val="en-us" w:eastAsia="en-US" w:bidi="ar-SA"/>
      </w:rPr>
    </w:lvl>
    <w:lvl w:ilvl="1">
      <w:start w:val="0"/>
      <w:numFmt w:val="bullet"/>
      <w:lvlText w:val="•"/>
      <w:lvlJc w:val="left"/>
      <w:pPr>
        <w:ind w:left="713" w:hanging="341"/>
      </w:pPr>
      <w:rPr>
        <w:rFonts w:hint="default"/>
        <w:lang w:val="en-us" w:eastAsia="en-US" w:bidi="ar-SA"/>
      </w:rPr>
    </w:lvl>
    <w:lvl w:ilvl="2">
      <w:start w:val="0"/>
      <w:numFmt w:val="bullet"/>
      <w:lvlText w:val="•"/>
      <w:lvlJc w:val="left"/>
      <w:pPr>
        <w:ind w:left="1027" w:hanging="341"/>
      </w:pPr>
      <w:rPr>
        <w:rFonts w:hint="default"/>
        <w:lang w:val="en-us" w:eastAsia="en-US" w:bidi="ar-SA"/>
      </w:rPr>
    </w:lvl>
    <w:lvl w:ilvl="3">
      <w:start w:val="0"/>
      <w:numFmt w:val="bullet"/>
      <w:lvlText w:val="•"/>
      <w:lvlJc w:val="left"/>
      <w:pPr>
        <w:ind w:left="1340" w:hanging="341"/>
      </w:pPr>
      <w:rPr>
        <w:rFonts w:hint="default"/>
        <w:lang w:val="en-us" w:eastAsia="en-US" w:bidi="ar-SA"/>
      </w:rPr>
    </w:lvl>
    <w:lvl w:ilvl="4">
      <w:start w:val="0"/>
      <w:numFmt w:val="bullet"/>
      <w:lvlText w:val="•"/>
      <w:lvlJc w:val="left"/>
      <w:pPr>
        <w:ind w:left="1654" w:hanging="341"/>
      </w:pPr>
      <w:rPr>
        <w:rFonts w:hint="default"/>
        <w:lang w:val="en-us" w:eastAsia="en-US" w:bidi="ar-SA"/>
      </w:rPr>
    </w:lvl>
    <w:lvl w:ilvl="5">
      <w:start w:val="0"/>
      <w:numFmt w:val="bullet"/>
      <w:lvlText w:val="•"/>
      <w:lvlJc w:val="left"/>
      <w:pPr>
        <w:ind w:left="1968" w:hanging="341"/>
      </w:pPr>
      <w:rPr>
        <w:rFonts w:hint="default"/>
        <w:lang w:val="en-us" w:eastAsia="en-US" w:bidi="ar-SA"/>
      </w:rPr>
    </w:lvl>
    <w:lvl w:ilvl="6">
      <w:start w:val="0"/>
      <w:numFmt w:val="bullet"/>
      <w:lvlText w:val="•"/>
      <w:lvlJc w:val="left"/>
      <w:pPr>
        <w:ind w:left="2281" w:hanging="341"/>
      </w:pPr>
      <w:rPr>
        <w:rFonts w:hint="default"/>
        <w:lang w:val="en-us" w:eastAsia="en-US" w:bidi="ar-SA"/>
      </w:rPr>
    </w:lvl>
    <w:lvl w:ilvl="7">
      <w:start w:val="0"/>
      <w:numFmt w:val="bullet"/>
      <w:lvlText w:val="•"/>
      <w:lvlJc w:val="left"/>
      <w:pPr>
        <w:ind w:left="2595" w:hanging="341"/>
      </w:pPr>
      <w:rPr>
        <w:rFonts w:hint="default"/>
        <w:lang w:val="en-us" w:eastAsia="en-US" w:bidi="ar-SA"/>
      </w:rPr>
    </w:lvl>
    <w:lvl w:ilvl="8">
      <w:start w:val="0"/>
      <w:numFmt w:val="bullet"/>
      <w:lvlText w:val="•"/>
      <w:lvlJc w:val="left"/>
      <w:pPr>
        <w:ind w:left="2908" w:hanging="341"/>
      </w:pPr>
      <w:rPr>
        <w:rFonts w:hint="default"/>
        <w:lang w:val="en-us" w:eastAsia="en-US" w:bidi="ar-SA"/>
      </w:rPr>
    </w:lvl>
  </w:abstractNum>
  <w:abstractNum w:abstractNumId="11">
    <w:multiLevelType w:val="hybridMultilevel"/>
    <w:lvl w:ilvl="0">
      <w:start w:val="30"/>
      <w:numFmt w:val="decimal"/>
      <w:lvlText w:val="%1"/>
      <w:lvlJc w:val="left"/>
      <w:pPr>
        <w:ind w:left="3033" w:hanging="341"/>
        <w:jc w:val="left"/>
      </w:pPr>
      <w:rPr>
        <w:rFonts w:hint="default" w:ascii="Tahoma" w:hAnsi="Tahoma" w:eastAsia="Tahoma" w:cs="Tahoma"/>
        <w:color w:val="262526"/>
        <w:w w:val="100"/>
        <w:sz w:val="14"/>
        <w:szCs w:val="14"/>
        <w:lang w:val="en-us" w:eastAsia="en-US" w:bidi="ar-SA"/>
      </w:rPr>
    </w:lvl>
    <w:lvl w:ilvl="1">
      <w:start w:val="1"/>
      <w:numFmt w:val="lowerLetter"/>
      <w:lvlText w:val="(%2)"/>
      <w:lvlJc w:val="left"/>
      <w:pPr>
        <w:ind w:left="3471" w:hanging="325"/>
        <w:jc w:val="left"/>
      </w:pPr>
      <w:rPr>
        <w:rFonts w:hint="default" w:ascii="Tahoma" w:hAnsi="Tahoma" w:eastAsia="Tahoma" w:cs="Tahoma"/>
        <w:color w:val="00ACEC"/>
        <w:w w:val="101"/>
        <w:sz w:val="20"/>
        <w:szCs w:val="20"/>
        <w:lang w:val="en-us" w:eastAsia="en-US" w:bidi="ar-SA"/>
      </w:rPr>
    </w:lvl>
    <w:lvl w:ilvl="2">
      <w:start w:val="0"/>
      <w:numFmt w:val="bullet"/>
      <w:lvlText w:val="•"/>
      <w:lvlJc w:val="left"/>
      <w:pPr>
        <w:ind w:left="4333" w:hanging="325"/>
      </w:pPr>
      <w:rPr>
        <w:rFonts w:hint="default"/>
        <w:lang w:val="en-us" w:eastAsia="en-US" w:bidi="ar-SA"/>
      </w:rPr>
    </w:lvl>
    <w:lvl w:ilvl="3">
      <w:start w:val="0"/>
      <w:numFmt w:val="bullet"/>
      <w:lvlText w:val="•"/>
      <w:lvlJc w:val="left"/>
      <w:pPr>
        <w:ind w:left="5187" w:hanging="325"/>
      </w:pPr>
      <w:rPr>
        <w:rFonts w:hint="default"/>
        <w:lang w:val="en-us" w:eastAsia="en-US" w:bidi="ar-SA"/>
      </w:rPr>
    </w:lvl>
    <w:lvl w:ilvl="4">
      <w:start w:val="0"/>
      <w:numFmt w:val="bullet"/>
      <w:lvlText w:val="•"/>
      <w:lvlJc w:val="left"/>
      <w:pPr>
        <w:ind w:left="6041" w:hanging="325"/>
      </w:pPr>
      <w:rPr>
        <w:rFonts w:hint="default"/>
        <w:lang w:val="en-us" w:eastAsia="en-US" w:bidi="ar-SA"/>
      </w:rPr>
    </w:lvl>
    <w:lvl w:ilvl="5">
      <w:start w:val="0"/>
      <w:numFmt w:val="bullet"/>
      <w:lvlText w:val="•"/>
      <w:lvlJc w:val="left"/>
      <w:pPr>
        <w:ind w:left="6895" w:hanging="325"/>
      </w:pPr>
      <w:rPr>
        <w:rFonts w:hint="default"/>
        <w:lang w:val="en-us" w:eastAsia="en-US" w:bidi="ar-SA"/>
      </w:rPr>
    </w:lvl>
    <w:lvl w:ilvl="6">
      <w:start w:val="0"/>
      <w:numFmt w:val="bullet"/>
      <w:lvlText w:val="•"/>
      <w:lvlJc w:val="left"/>
      <w:pPr>
        <w:ind w:left="7749" w:hanging="325"/>
      </w:pPr>
      <w:rPr>
        <w:rFonts w:hint="default"/>
        <w:lang w:val="en-us" w:eastAsia="en-US" w:bidi="ar-SA"/>
      </w:rPr>
    </w:lvl>
    <w:lvl w:ilvl="7">
      <w:start w:val="0"/>
      <w:numFmt w:val="bullet"/>
      <w:lvlText w:val="•"/>
      <w:lvlJc w:val="left"/>
      <w:pPr>
        <w:ind w:left="8603" w:hanging="325"/>
      </w:pPr>
      <w:rPr>
        <w:rFonts w:hint="default"/>
        <w:lang w:val="en-us" w:eastAsia="en-US" w:bidi="ar-SA"/>
      </w:rPr>
    </w:lvl>
    <w:lvl w:ilvl="8">
      <w:start w:val="0"/>
      <w:numFmt w:val="bullet"/>
      <w:lvlText w:val="•"/>
      <w:lvlJc w:val="left"/>
      <w:pPr>
        <w:ind w:left="9457" w:hanging="325"/>
      </w:pPr>
      <w:rPr>
        <w:rFonts w:hint="default"/>
        <w:lang w:val="en-us" w:eastAsia="en-US" w:bidi="ar-SA"/>
      </w:rPr>
    </w:lvl>
  </w:abstractNum>
  <w:abstractNum w:abstractNumId="10">
    <w:multiLevelType w:val="hybridMultilevel"/>
    <w:lvl w:ilvl="0">
      <w:start w:val="2"/>
      <w:numFmt w:val="decimal"/>
      <w:lvlText w:val="%1"/>
      <w:lvlJc w:val="left"/>
      <w:pPr>
        <w:ind w:left="2692" w:hanging="1560"/>
        <w:jc w:val="left"/>
      </w:pPr>
      <w:rPr>
        <w:rFonts w:hint="default"/>
        <w:lang w:val="en-us" w:eastAsia="en-US" w:bidi="ar-SA"/>
      </w:rPr>
    </w:lvl>
    <w:lvl w:ilvl="1">
      <w:start w:val="1"/>
      <w:numFmt w:val="decimal"/>
      <w:lvlText w:val="%1.%2"/>
      <w:lvlJc w:val="left"/>
      <w:pPr>
        <w:ind w:left="2692" w:hanging="1560"/>
        <w:jc w:val="left"/>
      </w:pPr>
      <w:rPr>
        <w:rFonts w:hint="default" w:ascii="Tahoma" w:hAnsi="Tahoma" w:eastAsia="Tahoma" w:cs="Tahoma"/>
        <w:color w:val="00ACEC"/>
        <w:w w:val="100"/>
        <w:sz w:val="28"/>
        <w:szCs w:val="28"/>
        <w:lang w:val="en-us" w:eastAsia="en-US" w:bidi="ar-SA"/>
      </w:rPr>
    </w:lvl>
    <w:lvl w:ilvl="2">
      <w:start w:val="0"/>
      <w:numFmt w:val="bullet"/>
      <w:lvlText w:val="•"/>
      <w:lvlJc w:val="left"/>
      <w:pPr>
        <w:ind w:left="3033" w:hanging="341"/>
      </w:pPr>
      <w:rPr>
        <w:rFonts w:hint="default" w:ascii="Tahoma" w:hAnsi="Tahoma" w:eastAsia="Tahoma" w:cs="Tahoma"/>
        <w:color w:val="00ACEC"/>
        <w:w w:val="94"/>
        <w:sz w:val="18"/>
        <w:szCs w:val="18"/>
        <w:lang w:val="en-us" w:eastAsia="en-US" w:bidi="ar-SA"/>
      </w:rPr>
    </w:lvl>
    <w:lvl w:ilvl="3">
      <w:start w:val="0"/>
      <w:numFmt w:val="bullet"/>
      <w:lvlText w:val="•"/>
      <w:lvlJc w:val="left"/>
      <w:pPr>
        <w:ind w:left="4845" w:hanging="341"/>
      </w:pPr>
      <w:rPr>
        <w:rFonts w:hint="default"/>
        <w:lang w:val="en-us" w:eastAsia="en-US" w:bidi="ar-SA"/>
      </w:rPr>
    </w:lvl>
    <w:lvl w:ilvl="4">
      <w:start w:val="0"/>
      <w:numFmt w:val="bullet"/>
      <w:lvlText w:val="•"/>
      <w:lvlJc w:val="left"/>
      <w:pPr>
        <w:ind w:left="5748" w:hanging="341"/>
      </w:pPr>
      <w:rPr>
        <w:rFonts w:hint="default"/>
        <w:lang w:val="en-us" w:eastAsia="en-US" w:bidi="ar-SA"/>
      </w:rPr>
    </w:lvl>
    <w:lvl w:ilvl="5">
      <w:start w:val="0"/>
      <w:numFmt w:val="bullet"/>
      <w:lvlText w:val="•"/>
      <w:lvlJc w:val="left"/>
      <w:pPr>
        <w:ind w:left="6651" w:hanging="341"/>
      </w:pPr>
      <w:rPr>
        <w:rFonts w:hint="default"/>
        <w:lang w:val="en-us" w:eastAsia="en-US" w:bidi="ar-SA"/>
      </w:rPr>
    </w:lvl>
    <w:lvl w:ilvl="6">
      <w:start w:val="0"/>
      <w:numFmt w:val="bullet"/>
      <w:lvlText w:val="•"/>
      <w:lvlJc w:val="left"/>
      <w:pPr>
        <w:ind w:left="7554" w:hanging="341"/>
      </w:pPr>
      <w:rPr>
        <w:rFonts w:hint="default"/>
        <w:lang w:val="en-us" w:eastAsia="en-US" w:bidi="ar-SA"/>
      </w:rPr>
    </w:lvl>
    <w:lvl w:ilvl="7">
      <w:start w:val="0"/>
      <w:numFmt w:val="bullet"/>
      <w:lvlText w:val="•"/>
      <w:lvlJc w:val="left"/>
      <w:pPr>
        <w:ind w:left="8457" w:hanging="341"/>
      </w:pPr>
      <w:rPr>
        <w:rFonts w:hint="default"/>
        <w:lang w:val="en-us" w:eastAsia="en-US" w:bidi="ar-SA"/>
      </w:rPr>
    </w:lvl>
    <w:lvl w:ilvl="8">
      <w:start w:val="0"/>
      <w:numFmt w:val="bullet"/>
      <w:lvlText w:val="•"/>
      <w:lvlJc w:val="left"/>
      <w:pPr>
        <w:ind w:left="9359" w:hanging="341"/>
      </w:pPr>
      <w:rPr>
        <w:rFonts w:hint="default"/>
        <w:lang w:val="en-us" w:eastAsia="en-US" w:bidi="ar-SA"/>
      </w:rPr>
    </w:lvl>
  </w:abstractNum>
  <w:abstractNum w:abstractNumId="9">
    <w:multiLevelType w:val="hybridMultilevel"/>
    <w:lvl w:ilvl="0">
      <w:start w:val="24"/>
      <w:numFmt w:val="decimal"/>
      <w:lvlText w:val="%1"/>
      <w:lvlJc w:val="left"/>
      <w:pPr>
        <w:ind w:left="3033" w:hanging="341"/>
        <w:jc w:val="left"/>
      </w:pPr>
      <w:rPr>
        <w:rFonts w:hint="default" w:ascii="Tahoma" w:hAnsi="Tahoma" w:eastAsia="Tahoma" w:cs="Tahoma"/>
        <w:color w:val="262526"/>
        <w:w w:val="100"/>
        <w:sz w:val="14"/>
        <w:szCs w:val="14"/>
        <w:lang w:val="en-us" w:eastAsia="en-US" w:bidi="ar-SA"/>
      </w:rPr>
    </w:lvl>
    <w:lvl w:ilvl="1">
      <w:start w:val="0"/>
      <w:numFmt w:val="bullet"/>
      <w:lvlText w:val="•"/>
      <w:lvlJc w:val="left"/>
      <w:pPr>
        <w:ind w:left="3852" w:hanging="341"/>
      </w:pPr>
      <w:rPr>
        <w:rFonts w:hint="default"/>
        <w:lang w:val="en-us" w:eastAsia="en-US" w:bidi="ar-SA"/>
      </w:rPr>
    </w:lvl>
    <w:lvl w:ilvl="2">
      <w:start w:val="0"/>
      <w:numFmt w:val="bullet"/>
      <w:lvlText w:val="•"/>
      <w:lvlJc w:val="left"/>
      <w:pPr>
        <w:ind w:left="4665" w:hanging="341"/>
      </w:pPr>
      <w:rPr>
        <w:rFonts w:hint="default"/>
        <w:lang w:val="en-us" w:eastAsia="en-US" w:bidi="ar-SA"/>
      </w:rPr>
    </w:lvl>
    <w:lvl w:ilvl="3">
      <w:start w:val="0"/>
      <w:numFmt w:val="bullet"/>
      <w:lvlText w:val="•"/>
      <w:lvlJc w:val="left"/>
      <w:pPr>
        <w:ind w:left="5477" w:hanging="341"/>
      </w:pPr>
      <w:rPr>
        <w:rFonts w:hint="default"/>
        <w:lang w:val="en-us" w:eastAsia="en-US" w:bidi="ar-SA"/>
      </w:rPr>
    </w:lvl>
    <w:lvl w:ilvl="4">
      <w:start w:val="0"/>
      <w:numFmt w:val="bullet"/>
      <w:lvlText w:val="•"/>
      <w:lvlJc w:val="left"/>
      <w:pPr>
        <w:ind w:left="6290" w:hanging="341"/>
      </w:pPr>
      <w:rPr>
        <w:rFonts w:hint="default"/>
        <w:lang w:val="en-us" w:eastAsia="en-US" w:bidi="ar-SA"/>
      </w:rPr>
    </w:lvl>
    <w:lvl w:ilvl="5">
      <w:start w:val="0"/>
      <w:numFmt w:val="bullet"/>
      <w:lvlText w:val="•"/>
      <w:lvlJc w:val="left"/>
      <w:pPr>
        <w:ind w:left="7102" w:hanging="341"/>
      </w:pPr>
      <w:rPr>
        <w:rFonts w:hint="default"/>
        <w:lang w:val="en-us" w:eastAsia="en-US" w:bidi="ar-SA"/>
      </w:rPr>
    </w:lvl>
    <w:lvl w:ilvl="6">
      <w:start w:val="0"/>
      <w:numFmt w:val="bullet"/>
      <w:lvlText w:val="•"/>
      <w:lvlJc w:val="left"/>
      <w:pPr>
        <w:ind w:left="7915" w:hanging="341"/>
      </w:pPr>
      <w:rPr>
        <w:rFonts w:hint="default"/>
        <w:lang w:val="en-us" w:eastAsia="en-US" w:bidi="ar-SA"/>
      </w:rPr>
    </w:lvl>
    <w:lvl w:ilvl="7">
      <w:start w:val="0"/>
      <w:numFmt w:val="bullet"/>
      <w:lvlText w:val="•"/>
      <w:lvlJc w:val="left"/>
      <w:pPr>
        <w:ind w:left="8727" w:hanging="341"/>
      </w:pPr>
      <w:rPr>
        <w:rFonts w:hint="default"/>
        <w:lang w:val="en-us" w:eastAsia="en-US" w:bidi="ar-SA"/>
      </w:rPr>
    </w:lvl>
    <w:lvl w:ilvl="8">
      <w:start w:val="0"/>
      <w:numFmt w:val="bullet"/>
      <w:lvlText w:val="•"/>
      <w:lvlJc w:val="left"/>
      <w:pPr>
        <w:ind w:left="9540" w:hanging="341"/>
      </w:pPr>
      <w:rPr>
        <w:rFonts w:hint="default"/>
        <w:lang w:val="en-us" w:eastAsia="en-US" w:bidi="ar-SA"/>
      </w:rPr>
    </w:lvl>
  </w:abstractNum>
  <w:abstractNum w:abstractNumId="8">
    <w:multiLevelType w:val="hybridMultilevel"/>
    <w:lvl w:ilvl="0">
      <w:start w:val="1"/>
      <w:numFmt w:val="decimal"/>
      <w:lvlText w:val="%1."/>
      <w:lvlJc w:val="left"/>
      <w:pPr>
        <w:ind w:left="3033" w:hanging="341"/>
        <w:jc w:val="left"/>
      </w:pPr>
      <w:rPr>
        <w:rFonts w:hint="default" w:ascii="Tahoma" w:hAnsi="Tahoma" w:eastAsia="Tahoma" w:cs="Tahoma"/>
        <w:color w:val="262526"/>
        <w:w w:val="101"/>
        <w:sz w:val="20"/>
        <w:szCs w:val="20"/>
        <w:lang w:val="en-us" w:eastAsia="en-US" w:bidi="ar-SA"/>
      </w:rPr>
    </w:lvl>
    <w:lvl w:ilvl="1">
      <w:start w:val="0"/>
      <w:numFmt w:val="bullet"/>
      <w:lvlText w:val="•"/>
      <w:lvlJc w:val="left"/>
      <w:pPr>
        <w:ind w:left="3852" w:hanging="341"/>
      </w:pPr>
      <w:rPr>
        <w:rFonts w:hint="default"/>
        <w:lang w:val="en-us" w:eastAsia="en-US" w:bidi="ar-SA"/>
      </w:rPr>
    </w:lvl>
    <w:lvl w:ilvl="2">
      <w:start w:val="0"/>
      <w:numFmt w:val="bullet"/>
      <w:lvlText w:val="•"/>
      <w:lvlJc w:val="left"/>
      <w:pPr>
        <w:ind w:left="4665" w:hanging="341"/>
      </w:pPr>
      <w:rPr>
        <w:rFonts w:hint="default"/>
        <w:lang w:val="en-us" w:eastAsia="en-US" w:bidi="ar-SA"/>
      </w:rPr>
    </w:lvl>
    <w:lvl w:ilvl="3">
      <w:start w:val="0"/>
      <w:numFmt w:val="bullet"/>
      <w:lvlText w:val="•"/>
      <w:lvlJc w:val="left"/>
      <w:pPr>
        <w:ind w:left="5477" w:hanging="341"/>
      </w:pPr>
      <w:rPr>
        <w:rFonts w:hint="default"/>
        <w:lang w:val="en-us" w:eastAsia="en-US" w:bidi="ar-SA"/>
      </w:rPr>
    </w:lvl>
    <w:lvl w:ilvl="4">
      <w:start w:val="0"/>
      <w:numFmt w:val="bullet"/>
      <w:lvlText w:val="•"/>
      <w:lvlJc w:val="left"/>
      <w:pPr>
        <w:ind w:left="6290" w:hanging="341"/>
      </w:pPr>
      <w:rPr>
        <w:rFonts w:hint="default"/>
        <w:lang w:val="en-us" w:eastAsia="en-US" w:bidi="ar-SA"/>
      </w:rPr>
    </w:lvl>
    <w:lvl w:ilvl="5">
      <w:start w:val="0"/>
      <w:numFmt w:val="bullet"/>
      <w:lvlText w:val="•"/>
      <w:lvlJc w:val="left"/>
      <w:pPr>
        <w:ind w:left="7102" w:hanging="341"/>
      </w:pPr>
      <w:rPr>
        <w:rFonts w:hint="default"/>
        <w:lang w:val="en-us" w:eastAsia="en-US" w:bidi="ar-SA"/>
      </w:rPr>
    </w:lvl>
    <w:lvl w:ilvl="6">
      <w:start w:val="0"/>
      <w:numFmt w:val="bullet"/>
      <w:lvlText w:val="•"/>
      <w:lvlJc w:val="left"/>
      <w:pPr>
        <w:ind w:left="7915" w:hanging="341"/>
      </w:pPr>
      <w:rPr>
        <w:rFonts w:hint="default"/>
        <w:lang w:val="en-us" w:eastAsia="en-US" w:bidi="ar-SA"/>
      </w:rPr>
    </w:lvl>
    <w:lvl w:ilvl="7">
      <w:start w:val="0"/>
      <w:numFmt w:val="bullet"/>
      <w:lvlText w:val="•"/>
      <w:lvlJc w:val="left"/>
      <w:pPr>
        <w:ind w:left="8727" w:hanging="341"/>
      </w:pPr>
      <w:rPr>
        <w:rFonts w:hint="default"/>
        <w:lang w:val="en-us" w:eastAsia="en-US" w:bidi="ar-SA"/>
      </w:rPr>
    </w:lvl>
    <w:lvl w:ilvl="8">
      <w:start w:val="0"/>
      <w:numFmt w:val="bullet"/>
      <w:lvlText w:val="•"/>
      <w:lvlJc w:val="left"/>
      <w:pPr>
        <w:ind w:left="9540" w:hanging="341"/>
      </w:pPr>
      <w:rPr>
        <w:rFonts w:hint="default"/>
        <w:lang w:val="en-us" w:eastAsia="en-US" w:bidi="ar-SA"/>
      </w:rPr>
    </w:lvl>
  </w:abstractNum>
  <w:abstractNum w:abstractNumId="7">
    <w:multiLevelType w:val="hybridMultilevel"/>
    <w:lvl w:ilvl="0">
      <w:start w:val="6"/>
      <w:numFmt w:val="decimal"/>
      <w:lvlText w:val="%1"/>
      <w:lvlJc w:val="left"/>
      <w:pPr>
        <w:ind w:left="3033" w:hanging="341"/>
        <w:jc w:val="left"/>
      </w:pPr>
      <w:rPr>
        <w:rFonts w:hint="default" w:ascii="Tahoma" w:hAnsi="Tahoma" w:eastAsia="Tahoma" w:cs="Tahoma"/>
        <w:color w:val="262526"/>
        <w:w w:val="100"/>
        <w:sz w:val="14"/>
        <w:szCs w:val="14"/>
        <w:lang w:val="en-us" w:eastAsia="en-US" w:bidi="ar-SA"/>
      </w:rPr>
    </w:lvl>
    <w:lvl w:ilvl="1">
      <w:start w:val="0"/>
      <w:numFmt w:val="bullet"/>
      <w:lvlText w:val="•"/>
      <w:lvlJc w:val="left"/>
      <w:pPr>
        <w:ind w:left="3373" w:hanging="341"/>
      </w:pPr>
      <w:rPr>
        <w:rFonts w:hint="default" w:ascii="Tahoma" w:hAnsi="Tahoma" w:eastAsia="Tahoma" w:cs="Tahoma"/>
        <w:color w:val="262526"/>
        <w:w w:val="101"/>
        <w:sz w:val="20"/>
        <w:szCs w:val="20"/>
        <w:lang w:val="en-us" w:eastAsia="en-US" w:bidi="ar-SA"/>
      </w:rPr>
    </w:lvl>
    <w:lvl w:ilvl="2">
      <w:start w:val="0"/>
      <w:numFmt w:val="bullet"/>
      <w:lvlText w:val="•"/>
      <w:lvlJc w:val="left"/>
      <w:pPr>
        <w:ind w:left="4245" w:hanging="341"/>
      </w:pPr>
      <w:rPr>
        <w:rFonts w:hint="default"/>
        <w:lang w:val="en-us" w:eastAsia="en-US" w:bidi="ar-SA"/>
      </w:rPr>
    </w:lvl>
    <w:lvl w:ilvl="3">
      <w:start w:val="0"/>
      <w:numFmt w:val="bullet"/>
      <w:lvlText w:val="•"/>
      <w:lvlJc w:val="left"/>
      <w:pPr>
        <w:ind w:left="5110" w:hanging="341"/>
      </w:pPr>
      <w:rPr>
        <w:rFonts w:hint="default"/>
        <w:lang w:val="en-us" w:eastAsia="en-US" w:bidi="ar-SA"/>
      </w:rPr>
    </w:lvl>
    <w:lvl w:ilvl="4">
      <w:start w:val="0"/>
      <w:numFmt w:val="bullet"/>
      <w:lvlText w:val="•"/>
      <w:lvlJc w:val="left"/>
      <w:pPr>
        <w:ind w:left="5975" w:hanging="341"/>
      </w:pPr>
      <w:rPr>
        <w:rFonts w:hint="default"/>
        <w:lang w:val="en-us" w:eastAsia="en-US" w:bidi="ar-SA"/>
      </w:rPr>
    </w:lvl>
    <w:lvl w:ilvl="5">
      <w:start w:val="0"/>
      <w:numFmt w:val="bullet"/>
      <w:lvlText w:val="•"/>
      <w:lvlJc w:val="left"/>
      <w:pPr>
        <w:ind w:left="6840" w:hanging="341"/>
      </w:pPr>
      <w:rPr>
        <w:rFonts w:hint="default"/>
        <w:lang w:val="en-us" w:eastAsia="en-US" w:bidi="ar-SA"/>
      </w:rPr>
    </w:lvl>
    <w:lvl w:ilvl="6">
      <w:start w:val="0"/>
      <w:numFmt w:val="bullet"/>
      <w:lvlText w:val="•"/>
      <w:lvlJc w:val="left"/>
      <w:pPr>
        <w:ind w:left="7705" w:hanging="341"/>
      </w:pPr>
      <w:rPr>
        <w:rFonts w:hint="default"/>
        <w:lang w:val="en-us" w:eastAsia="en-US" w:bidi="ar-SA"/>
      </w:rPr>
    </w:lvl>
    <w:lvl w:ilvl="7">
      <w:start w:val="0"/>
      <w:numFmt w:val="bullet"/>
      <w:lvlText w:val="•"/>
      <w:lvlJc w:val="left"/>
      <w:pPr>
        <w:ind w:left="8570" w:hanging="341"/>
      </w:pPr>
      <w:rPr>
        <w:rFonts w:hint="default"/>
        <w:lang w:val="en-us" w:eastAsia="en-US" w:bidi="ar-SA"/>
      </w:rPr>
    </w:lvl>
    <w:lvl w:ilvl="8">
      <w:start w:val="0"/>
      <w:numFmt w:val="bullet"/>
      <w:lvlText w:val="•"/>
      <w:lvlJc w:val="left"/>
      <w:pPr>
        <w:ind w:left="9435" w:hanging="341"/>
      </w:pPr>
      <w:rPr>
        <w:rFonts w:hint="default"/>
        <w:lang w:val="en-us" w:eastAsia="en-US" w:bidi="ar-SA"/>
      </w:rPr>
    </w:lvl>
  </w:abstractNum>
  <w:abstractNum w:abstractNumId="6">
    <w:multiLevelType w:val="hybridMultilevel"/>
    <w:lvl w:ilvl="0">
      <w:start w:val="1"/>
      <w:numFmt w:val="decimal"/>
      <w:lvlText w:val="%1"/>
      <w:lvlJc w:val="left"/>
      <w:pPr>
        <w:ind w:left="2692" w:hanging="1560"/>
        <w:jc w:val="left"/>
      </w:pPr>
      <w:rPr>
        <w:rFonts w:hint="default"/>
        <w:lang w:val="en-us" w:eastAsia="en-US" w:bidi="ar-SA"/>
      </w:rPr>
    </w:lvl>
    <w:lvl w:ilvl="1">
      <w:start w:val="1"/>
      <w:numFmt w:val="decimal"/>
      <w:lvlText w:val="%1.%2"/>
      <w:lvlJc w:val="left"/>
      <w:pPr>
        <w:ind w:left="2692" w:hanging="1560"/>
        <w:jc w:val="left"/>
      </w:pPr>
      <w:rPr>
        <w:rFonts w:hint="default" w:ascii="Tahoma" w:hAnsi="Tahoma" w:eastAsia="Tahoma" w:cs="Tahoma"/>
        <w:color w:val="00ACEC"/>
        <w:w w:val="100"/>
        <w:sz w:val="28"/>
        <w:szCs w:val="28"/>
        <w:lang w:val="en-us" w:eastAsia="en-US" w:bidi="ar-SA"/>
      </w:rPr>
    </w:lvl>
    <w:lvl w:ilvl="2">
      <w:start w:val="0"/>
      <w:numFmt w:val="bullet"/>
      <w:lvlText w:val="•"/>
      <w:lvlJc w:val="left"/>
      <w:pPr>
        <w:ind w:left="3033" w:hanging="341"/>
      </w:pPr>
      <w:rPr>
        <w:rFonts w:hint="default" w:ascii="Tahoma" w:hAnsi="Tahoma" w:eastAsia="Tahoma" w:cs="Tahoma"/>
        <w:color w:val="00ACEC"/>
        <w:w w:val="94"/>
        <w:sz w:val="18"/>
        <w:szCs w:val="18"/>
        <w:lang w:val="en-us" w:eastAsia="en-US" w:bidi="ar-SA"/>
      </w:rPr>
    </w:lvl>
    <w:lvl w:ilvl="3">
      <w:start w:val="0"/>
      <w:numFmt w:val="bullet"/>
      <w:lvlText w:val="•"/>
      <w:lvlJc w:val="left"/>
      <w:pPr>
        <w:ind w:left="3373" w:hanging="341"/>
      </w:pPr>
      <w:rPr>
        <w:rFonts w:hint="default" w:ascii="Tahoma" w:hAnsi="Tahoma" w:eastAsia="Tahoma" w:cs="Tahoma"/>
        <w:color w:val="262526"/>
        <w:w w:val="101"/>
        <w:sz w:val="20"/>
        <w:szCs w:val="20"/>
        <w:lang w:val="en-us" w:eastAsia="en-US" w:bidi="ar-SA"/>
      </w:rPr>
    </w:lvl>
    <w:lvl w:ilvl="4">
      <w:start w:val="0"/>
      <w:numFmt w:val="bullet"/>
      <w:lvlText w:val="•"/>
      <w:lvlJc w:val="left"/>
      <w:pPr>
        <w:ind w:left="5326" w:hanging="341"/>
      </w:pPr>
      <w:rPr>
        <w:rFonts w:hint="default"/>
        <w:lang w:val="en-us" w:eastAsia="en-US" w:bidi="ar-SA"/>
      </w:rPr>
    </w:lvl>
    <w:lvl w:ilvl="5">
      <w:start w:val="0"/>
      <w:numFmt w:val="bullet"/>
      <w:lvlText w:val="•"/>
      <w:lvlJc w:val="left"/>
      <w:pPr>
        <w:ind w:left="6299" w:hanging="341"/>
      </w:pPr>
      <w:rPr>
        <w:rFonts w:hint="default"/>
        <w:lang w:val="en-us" w:eastAsia="en-US" w:bidi="ar-SA"/>
      </w:rPr>
    </w:lvl>
    <w:lvl w:ilvl="6">
      <w:start w:val="0"/>
      <w:numFmt w:val="bullet"/>
      <w:lvlText w:val="•"/>
      <w:lvlJc w:val="left"/>
      <w:pPr>
        <w:ind w:left="7272" w:hanging="341"/>
      </w:pPr>
      <w:rPr>
        <w:rFonts w:hint="default"/>
        <w:lang w:val="en-us" w:eastAsia="en-US" w:bidi="ar-SA"/>
      </w:rPr>
    </w:lvl>
    <w:lvl w:ilvl="7">
      <w:start w:val="0"/>
      <w:numFmt w:val="bullet"/>
      <w:lvlText w:val="•"/>
      <w:lvlJc w:val="left"/>
      <w:pPr>
        <w:ind w:left="8245" w:hanging="341"/>
      </w:pPr>
      <w:rPr>
        <w:rFonts w:hint="default"/>
        <w:lang w:val="en-us" w:eastAsia="en-US" w:bidi="ar-SA"/>
      </w:rPr>
    </w:lvl>
    <w:lvl w:ilvl="8">
      <w:start w:val="0"/>
      <w:numFmt w:val="bullet"/>
      <w:lvlText w:val="•"/>
      <w:lvlJc w:val="left"/>
      <w:pPr>
        <w:ind w:left="9219" w:hanging="341"/>
      </w:pPr>
      <w:rPr>
        <w:rFonts w:hint="default"/>
        <w:lang w:val="en-us" w:eastAsia="en-US" w:bidi="ar-SA"/>
      </w:rPr>
    </w:lvl>
  </w:abstractNum>
  <w:abstractNum w:abstractNumId="5">
    <w:multiLevelType w:val="hybridMultilevel"/>
    <w:lvl w:ilvl="0">
      <w:start w:val="1"/>
      <w:numFmt w:val="decimal"/>
      <w:lvlText w:val="%1"/>
      <w:lvlJc w:val="left"/>
      <w:pPr>
        <w:ind w:left="2692" w:hanging="1560"/>
        <w:jc w:val="left"/>
      </w:pPr>
      <w:rPr>
        <w:rFonts w:hint="default" w:ascii="Tahoma" w:hAnsi="Tahoma" w:eastAsia="Tahoma" w:cs="Tahoma"/>
        <w:color w:val="00ACEC"/>
        <w:w w:val="100"/>
        <w:sz w:val="36"/>
        <w:szCs w:val="36"/>
        <w:lang w:val="en-us" w:eastAsia="en-US" w:bidi="ar-SA"/>
      </w:rPr>
    </w:lvl>
    <w:lvl w:ilvl="1">
      <w:start w:val="0"/>
      <w:numFmt w:val="bullet"/>
      <w:lvlText w:val="•"/>
      <w:lvlJc w:val="left"/>
      <w:pPr>
        <w:ind w:left="3033" w:hanging="341"/>
      </w:pPr>
      <w:rPr>
        <w:rFonts w:hint="default" w:ascii="Tahoma" w:hAnsi="Tahoma" w:eastAsia="Tahoma" w:cs="Tahoma"/>
        <w:color w:val="00ACEC"/>
        <w:w w:val="94"/>
        <w:sz w:val="18"/>
        <w:szCs w:val="18"/>
        <w:lang w:val="en-us" w:eastAsia="en-US" w:bidi="ar-SA"/>
      </w:rPr>
    </w:lvl>
    <w:lvl w:ilvl="2">
      <w:start w:val="0"/>
      <w:numFmt w:val="bullet"/>
      <w:lvlText w:val="•"/>
      <w:lvlJc w:val="left"/>
      <w:pPr>
        <w:ind w:left="3942" w:hanging="341"/>
      </w:pPr>
      <w:rPr>
        <w:rFonts w:hint="default"/>
        <w:lang w:val="en-us" w:eastAsia="en-US" w:bidi="ar-SA"/>
      </w:rPr>
    </w:lvl>
    <w:lvl w:ilvl="3">
      <w:start w:val="0"/>
      <w:numFmt w:val="bullet"/>
      <w:lvlText w:val="•"/>
      <w:lvlJc w:val="left"/>
      <w:pPr>
        <w:ind w:left="4845" w:hanging="341"/>
      </w:pPr>
      <w:rPr>
        <w:rFonts w:hint="default"/>
        <w:lang w:val="en-us" w:eastAsia="en-US" w:bidi="ar-SA"/>
      </w:rPr>
    </w:lvl>
    <w:lvl w:ilvl="4">
      <w:start w:val="0"/>
      <w:numFmt w:val="bullet"/>
      <w:lvlText w:val="•"/>
      <w:lvlJc w:val="left"/>
      <w:pPr>
        <w:ind w:left="5748" w:hanging="341"/>
      </w:pPr>
      <w:rPr>
        <w:rFonts w:hint="default"/>
        <w:lang w:val="en-us" w:eastAsia="en-US" w:bidi="ar-SA"/>
      </w:rPr>
    </w:lvl>
    <w:lvl w:ilvl="5">
      <w:start w:val="0"/>
      <w:numFmt w:val="bullet"/>
      <w:lvlText w:val="•"/>
      <w:lvlJc w:val="left"/>
      <w:pPr>
        <w:ind w:left="6651" w:hanging="341"/>
      </w:pPr>
      <w:rPr>
        <w:rFonts w:hint="default"/>
        <w:lang w:val="en-us" w:eastAsia="en-US" w:bidi="ar-SA"/>
      </w:rPr>
    </w:lvl>
    <w:lvl w:ilvl="6">
      <w:start w:val="0"/>
      <w:numFmt w:val="bullet"/>
      <w:lvlText w:val="•"/>
      <w:lvlJc w:val="left"/>
      <w:pPr>
        <w:ind w:left="7554" w:hanging="341"/>
      </w:pPr>
      <w:rPr>
        <w:rFonts w:hint="default"/>
        <w:lang w:val="en-us" w:eastAsia="en-US" w:bidi="ar-SA"/>
      </w:rPr>
    </w:lvl>
    <w:lvl w:ilvl="7">
      <w:start w:val="0"/>
      <w:numFmt w:val="bullet"/>
      <w:lvlText w:val="•"/>
      <w:lvlJc w:val="left"/>
      <w:pPr>
        <w:ind w:left="8457" w:hanging="341"/>
      </w:pPr>
      <w:rPr>
        <w:rFonts w:hint="default"/>
        <w:lang w:val="en-us" w:eastAsia="en-US" w:bidi="ar-SA"/>
      </w:rPr>
    </w:lvl>
    <w:lvl w:ilvl="8">
      <w:start w:val="0"/>
      <w:numFmt w:val="bullet"/>
      <w:lvlText w:val="•"/>
      <w:lvlJc w:val="left"/>
      <w:pPr>
        <w:ind w:left="9359" w:hanging="341"/>
      </w:pPr>
      <w:rPr>
        <w:rFonts w:hint="default"/>
        <w:lang w:val="en-us" w:eastAsia="en-US" w:bidi="ar-SA"/>
      </w:rPr>
    </w:lvl>
  </w:abstractNum>
  <w:abstractNum w:abstractNumId="4">
    <w:multiLevelType w:val="hybridMultilevel"/>
    <w:lvl w:ilvl="0">
      <w:start w:val="1"/>
      <w:numFmt w:val="upperLetter"/>
      <w:lvlText w:val="%1"/>
      <w:lvlJc w:val="left"/>
      <w:pPr>
        <w:ind w:left="3373" w:hanging="681"/>
        <w:jc w:val="left"/>
      </w:pPr>
      <w:rPr>
        <w:rFonts w:hint="default" w:ascii="Tahoma" w:hAnsi="Tahoma" w:eastAsia="Tahoma" w:cs="Tahoma"/>
        <w:color w:val="00ACEC"/>
        <w:w w:val="100"/>
        <w:sz w:val="22"/>
        <w:szCs w:val="22"/>
        <w:lang w:val="en-us" w:eastAsia="en-US" w:bidi="ar-SA"/>
      </w:rPr>
    </w:lvl>
    <w:lvl w:ilvl="1">
      <w:start w:val="1"/>
      <w:numFmt w:val="decimal"/>
      <w:lvlText w:val="%1.%2"/>
      <w:lvlJc w:val="left"/>
      <w:pPr>
        <w:ind w:left="3373" w:hanging="681"/>
        <w:jc w:val="left"/>
      </w:pPr>
      <w:rPr>
        <w:rFonts w:hint="default" w:ascii="Tahoma" w:hAnsi="Tahoma" w:eastAsia="Tahoma" w:cs="Tahoma"/>
        <w:color w:val="262526"/>
        <w:spacing w:val="-2"/>
        <w:w w:val="100"/>
        <w:sz w:val="18"/>
        <w:szCs w:val="18"/>
        <w:lang w:val="en-us" w:eastAsia="en-US" w:bidi="ar-SA"/>
      </w:rPr>
    </w:lvl>
    <w:lvl w:ilvl="2">
      <w:start w:val="0"/>
      <w:numFmt w:val="bullet"/>
      <w:lvlText w:val="•"/>
      <w:lvlJc w:val="left"/>
      <w:pPr>
        <w:ind w:left="4937" w:hanging="681"/>
      </w:pPr>
      <w:rPr>
        <w:rFonts w:hint="default"/>
        <w:lang w:val="en-us" w:eastAsia="en-US" w:bidi="ar-SA"/>
      </w:rPr>
    </w:lvl>
    <w:lvl w:ilvl="3">
      <w:start w:val="0"/>
      <w:numFmt w:val="bullet"/>
      <w:lvlText w:val="•"/>
      <w:lvlJc w:val="left"/>
      <w:pPr>
        <w:ind w:left="5715" w:hanging="681"/>
      </w:pPr>
      <w:rPr>
        <w:rFonts w:hint="default"/>
        <w:lang w:val="en-us" w:eastAsia="en-US" w:bidi="ar-SA"/>
      </w:rPr>
    </w:lvl>
    <w:lvl w:ilvl="4">
      <w:start w:val="0"/>
      <w:numFmt w:val="bullet"/>
      <w:lvlText w:val="•"/>
      <w:lvlJc w:val="left"/>
      <w:pPr>
        <w:ind w:left="6494" w:hanging="681"/>
      </w:pPr>
      <w:rPr>
        <w:rFonts w:hint="default"/>
        <w:lang w:val="en-us" w:eastAsia="en-US" w:bidi="ar-SA"/>
      </w:rPr>
    </w:lvl>
    <w:lvl w:ilvl="5">
      <w:start w:val="0"/>
      <w:numFmt w:val="bullet"/>
      <w:lvlText w:val="•"/>
      <w:lvlJc w:val="left"/>
      <w:pPr>
        <w:ind w:left="7272" w:hanging="681"/>
      </w:pPr>
      <w:rPr>
        <w:rFonts w:hint="default"/>
        <w:lang w:val="en-us" w:eastAsia="en-US" w:bidi="ar-SA"/>
      </w:rPr>
    </w:lvl>
    <w:lvl w:ilvl="6">
      <w:start w:val="0"/>
      <w:numFmt w:val="bullet"/>
      <w:lvlText w:val="•"/>
      <w:lvlJc w:val="left"/>
      <w:pPr>
        <w:ind w:left="8051" w:hanging="681"/>
      </w:pPr>
      <w:rPr>
        <w:rFonts w:hint="default"/>
        <w:lang w:val="en-us" w:eastAsia="en-US" w:bidi="ar-SA"/>
      </w:rPr>
    </w:lvl>
    <w:lvl w:ilvl="7">
      <w:start w:val="0"/>
      <w:numFmt w:val="bullet"/>
      <w:lvlText w:val="•"/>
      <w:lvlJc w:val="left"/>
      <w:pPr>
        <w:ind w:left="8829" w:hanging="681"/>
      </w:pPr>
      <w:rPr>
        <w:rFonts w:hint="default"/>
        <w:lang w:val="en-us" w:eastAsia="en-US" w:bidi="ar-SA"/>
      </w:rPr>
    </w:lvl>
    <w:lvl w:ilvl="8">
      <w:start w:val="0"/>
      <w:numFmt w:val="bullet"/>
      <w:lvlText w:val="•"/>
      <w:lvlJc w:val="left"/>
      <w:pPr>
        <w:ind w:left="9608" w:hanging="681"/>
      </w:pPr>
      <w:rPr>
        <w:rFonts w:hint="default"/>
        <w:lang w:val="en-us" w:eastAsia="en-US" w:bidi="ar-SA"/>
      </w:rPr>
    </w:lvl>
  </w:abstractNum>
  <w:abstractNum w:abstractNumId="3">
    <w:multiLevelType w:val="hybridMultilevel"/>
    <w:lvl w:ilvl="0">
      <w:start w:val="1"/>
      <w:numFmt w:val="decimal"/>
      <w:lvlText w:val="%1"/>
      <w:lvlJc w:val="left"/>
      <w:pPr>
        <w:ind w:left="3373" w:hanging="681"/>
        <w:jc w:val="left"/>
      </w:pPr>
      <w:rPr>
        <w:rFonts w:hint="default" w:ascii="Tahoma" w:hAnsi="Tahoma" w:eastAsia="Tahoma" w:cs="Tahoma"/>
        <w:color w:val="00ACEC"/>
        <w:w w:val="100"/>
        <w:sz w:val="22"/>
        <w:szCs w:val="22"/>
        <w:lang w:val="en-us" w:eastAsia="en-US" w:bidi="ar-SA"/>
      </w:rPr>
    </w:lvl>
    <w:lvl w:ilvl="1">
      <w:start w:val="1"/>
      <w:numFmt w:val="decimal"/>
      <w:lvlText w:val="%1.%2"/>
      <w:lvlJc w:val="left"/>
      <w:pPr>
        <w:ind w:left="3373" w:hanging="681"/>
        <w:jc w:val="left"/>
      </w:pPr>
      <w:rPr>
        <w:rFonts w:hint="default" w:ascii="Tahoma" w:hAnsi="Tahoma" w:eastAsia="Tahoma" w:cs="Tahoma"/>
        <w:color w:val="262526"/>
        <w:w w:val="100"/>
        <w:sz w:val="18"/>
        <w:szCs w:val="18"/>
        <w:lang w:val="en-us" w:eastAsia="en-US" w:bidi="ar-SA"/>
      </w:rPr>
    </w:lvl>
    <w:lvl w:ilvl="2">
      <w:start w:val="0"/>
      <w:numFmt w:val="bullet"/>
      <w:lvlText w:val="•"/>
      <w:lvlJc w:val="left"/>
      <w:pPr>
        <w:ind w:left="4937" w:hanging="681"/>
      </w:pPr>
      <w:rPr>
        <w:rFonts w:hint="default"/>
        <w:lang w:val="en-us" w:eastAsia="en-US" w:bidi="ar-SA"/>
      </w:rPr>
    </w:lvl>
    <w:lvl w:ilvl="3">
      <w:start w:val="0"/>
      <w:numFmt w:val="bullet"/>
      <w:lvlText w:val="•"/>
      <w:lvlJc w:val="left"/>
      <w:pPr>
        <w:ind w:left="5715" w:hanging="681"/>
      </w:pPr>
      <w:rPr>
        <w:rFonts w:hint="default"/>
        <w:lang w:val="en-us" w:eastAsia="en-US" w:bidi="ar-SA"/>
      </w:rPr>
    </w:lvl>
    <w:lvl w:ilvl="4">
      <w:start w:val="0"/>
      <w:numFmt w:val="bullet"/>
      <w:lvlText w:val="•"/>
      <w:lvlJc w:val="left"/>
      <w:pPr>
        <w:ind w:left="6494" w:hanging="681"/>
      </w:pPr>
      <w:rPr>
        <w:rFonts w:hint="default"/>
        <w:lang w:val="en-us" w:eastAsia="en-US" w:bidi="ar-SA"/>
      </w:rPr>
    </w:lvl>
    <w:lvl w:ilvl="5">
      <w:start w:val="0"/>
      <w:numFmt w:val="bullet"/>
      <w:lvlText w:val="•"/>
      <w:lvlJc w:val="left"/>
      <w:pPr>
        <w:ind w:left="7272" w:hanging="681"/>
      </w:pPr>
      <w:rPr>
        <w:rFonts w:hint="default"/>
        <w:lang w:val="en-us" w:eastAsia="en-US" w:bidi="ar-SA"/>
      </w:rPr>
    </w:lvl>
    <w:lvl w:ilvl="6">
      <w:start w:val="0"/>
      <w:numFmt w:val="bullet"/>
      <w:lvlText w:val="•"/>
      <w:lvlJc w:val="left"/>
      <w:pPr>
        <w:ind w:left="8051" w:hanging="681"/>
      </w:pPr>
      <w:rPr>
        <w:rFonts w:hint="default"/>
        <w:lang w:val="en-us" w:eastAsia="en-US" w:bidi="ar-SA"/>
      </w:rPr>
    </w:lvl>
    <w:lvl w:ilvl="7">
      <w:start w:val="0"/>
      <w:numFmt w:val="bullet"/>
      <w:lvlText w:val="•"/>
      <w:lvlJc w:val="left"/>
      <w:pPr>
        <w:ind w:left="8829" w:hanging="681"/>
      </w:pPr>
      <w:rPr>
        <w:rFonts w:hint="default"/>
        <w:lang w:val="en-us" w:eastAsia="en-US" w:bidi="ar-SA"/>
      </w:rPr>
    </w:lvl>
    <w:lvl w:ilvl="8">
      <w:start w:val="0"/>
      <w:numFmt w:val="bullet"/>
      <w:lvlText w:val="•"/>
      <w:lvlJc w:val="left"/>
      <w:pPr>
        <w:ind w:left="9608" w:hanging="681"/>
      </w:pPr>
      <w:rPr>
        <w:rFonts w:hint="default"/>
        <w:lang w:val="en-us" w:eastAsia="en-US" w:bidi="ar-SA"/>
      </w:rPr>
    </w:lvl>
  </w:abstractNum>
  <w:abstractNum w:abstractNumId="1">
    <w:multiLevelType w:val="hybridMultilevel"/>
    <w:lvl w:ilvl="0">
      <w:start w:val="1"/>
      <w:numFmt w:val="decimal"/>
      <w:lvlText w:val="%1"/>
      <w:lvlJc w:val="left"/>
      <w:pPr>
        <w:ind w:left="3033" w:hanging="341"/>
        <w:jc w:val="left"/>
      </w:pPr>
      <w:rPr>
        <w:rFonts w:hint="default" w:ascii="Tahoma" w:hAnsi="Tahoma" w:eastAsia="Tahoma" w:cs="Tahoma"/>
        <w:color w:val="262526"/>
        <w:w w:val="100"/>
        <w:sz w:val="14"/>
        <w:szCs w:val="14"/>
        <w:lang w:val="en-us" w:eastAsia="en-US" w:bidi="ar-SA"/>
      </w:rPr>
    </w:lvl>
    <w:lvl w:ilvl="1">
      <w:start w:val="0"/>
      <w:numFmt w:val="bullet"/>
      <w:lvlText w:val="•"/>
      <w:lvlJc w:val="left"/>
      <w:pPr>
        <w:ind w:left="3852" w:hanging="341"/>
      </w:pPr>
      <w:rPr>
        <w:rFonts w:hint="default"/>
        <w:lang w:val="en-us" w:eastAsia="en-US" w:bidi="ar-SA"/>
      </w:rPr>
    </w:lvl>
    <w:lvl w:ilvl="2">
      <w:start w:val="0"/>
      <w:numFmt w:val="bullet"/>
      <w:lvlText w:val="•"/>
      <w:lvlJc w:val="left"/>
      <w:pPr>
        <w:ind w:left="4665" w:hanging="341"/>
      </w:pPr>
      <w:rPr>
        <w:rFonts w:hint="default"/>
        <w:lang w:val="en-us" w:eastAsia="en-US" w:bidi="ar-SA"/>
      </w:rPr>
    </w:lvl>
    <w:lvl w:ilvl="3">
      <w:start w:val="0"/>
      <w:numFmt w:val="bullet"/>
      <w:lvlText w:val="•"/>
      <w:lvlJc w:val="left"/>
      <w:pPr>
        <w:ind w:left="5477" w:hanging="341"/>
      </w:pPr>
      <w:rPr>
        <w:rFonts w:hint="default"/>
        <w:lang w:val="en-us" w:eastAsia="en-US" w:bidi="ar-SA"/>
      </w:rPr>
    </w:lvl>
    <w:lvl w:ilvl="4">
      <w:start w:val="0"/>
      <w:numFmt w:val="bullet"/>
      <w:lvlText w:val="•"/>
      <w:lvlJc w:val="left"/>
      <w:pPr>
        <w:ind w:left="6290" w:hanging="341"/>
      </w:pPr>
      <w:rPr>
        <w:rFonts w:hint="default"/>
        <w:lang w:val="en-us" w:eastAsia="en-US" w:bidi="ar-SA"/>
      </w:rPr>
    </w:lvl>
    <w:lvl w:ilvl="5">
      <w:start w:val="0"/>
      <w:numFmt w:val="bullet"/>
      <w:lvlText w:val="•"/>
      <w:lvlJc w:val="left"/>
      <w:pPr>
        <w:ind w:left="7102" w:hanging="341"/>
      </w:pPr>
      <w:rPr>
        <w:rFonts w:hint="default"/>
        <w:lang w:val="en-us" w:eastAsia="en-US" w:bidi="ar-SA"/>
      </w:rPr>
    </w:lvl>
    <w:lvl w:ilvl="6">
      <w:start w:val="0"/>
      <w:numFmt w:val="bullet"/>
      <w:lvlText w:val="•"/>
      <w:lvlJc w:val="left"/>
      <w:pPr>
        <w:ind w:left="7915" w:hanging="341"/>
      </w:pPr>
      <w:rPr>
        <w:rFonts w:hint="default"/>
        <w:lang w:val="en-us" w:eastAsia="en-US" w:bidi="ar-SA"/>
      </w:rPr>
    </w:lvl>
    <w:lvl w:ilvl="7">
      <w:start w:val="0"/>
      <w:numFmt w:val="bullet"/>
      <w:lvlText w:val="•"/>
      <w:lvlJc w:val="left"/>
      <w:pPr>
        <w:ind w:left="8727" w:hanging="341"/>
      </w:pPr>
      <w:rPr>
        <w:rFonts w:hint="default"/>
        <w:lang w:val="en-us" w:eastAsia="en-US" w:bidi="ar-SA"/>
      </w:rPr>
    </w:lvl>
    <w:lvl w:ilvl="8">
      <w:start w:val="0"/>
      <w:numFmt w:val="bullet"/>
      <w:lvlText w:val="•"/>
      <w:lvlJc w:val="left"/>
      <w:pPr>
        <w:ind w:left="9540" w:hanging="341"/>
      </w:pPr>
      <w:rPr>
        <w:rFonts w:hint="default"/>
        <w:lang w:val="en-us" w:eastAsia="en-US" w:bidi="ar-SA"/>
      </w:rPr>
    </w:lvl>
  </w:abstractNum>
  <w:abstractNum w:abstractNumId="0">
    <w:multiLevelType w:val="hybridMultilevel"/>
    <w:lvl w:ilvl="0">
      <w:start w:val="1"/>
      <w:numFmt w:val="decimal"/>
      <w:lvlText w:val="%1"/>
      <w:lvlJc w:val="left"/>
      <w:pPr>
        <w:ind w:left="2693" w:hanging="1560"/>
        <w:jc w:val="left"/>
      </w:pPr>
      <w:rPr>
        <w:rFonts w:hint="default" w:ascii="Tahoma" w:hAnsi="Tahoma" w:eastAsia="Tahoma" w:cs="Tahoma"/>
        <w:color w:val="262526"/>
        <w:w w:val="101"/>
        <w:sz w:val="20"/>
        <w:szCs w:val="20"/>
        <w:lang w:val="en-us" w:eastAsia="en-US" w:bidi="ar-SA"/>
      </w:rPr>
    </w:lvl>
    <w:lvl w:ilvl="1">
      <w:start w:val="0"/>
      <w:numFmt w:val="bullet"/>
      <w:lvlText w:val="•"/>
      <w:lvlJc w:val="left"/>
      <w:pPr>
        <w:ind w:left="3033" w:hanging="341"/>
      </w:pPr>
      <w:rPr>
        <w:rFonts w:hint="default" w:ascii="Tahoma" w:hAnsi="Tahoma" w:eastAsia="Tahoma" w:cs="Tahoma"/>
        <w:color w:val="00ACEC"/>
        <w:w w:val="94"/>
        <w:sz w:val="18"/>
        <w:szCs w:val="18"/>
        <w:lang w:val="en-us" w:eastAsia="en-US" w:bidi="ar-SA"/>
      </w:rPr>
    </w:lvl>
    <w:lvl w:ilvl="2">
      <w:start w:val="0"/>
      <w:numFmt w:val="bullet"/>
      <w:lvlText w:val="•"/>
      <w:lvlJc w:val="left"/>
      <w:pPr>
        <w:ind w:left="3373" w:hanging="341"/>
      </w:pPr>
      <w:rPr>
        <w:rFonts w:hint="default" w:ascii="Tahoma" w:hAnsi="Tahoma" w:eastAsia="Tahoma" w:cs="Tahoma"/>
        <w:color w:val="262526"/>
        <w:w w:val="101"/>
        <w:sz w:val="20"/>
        <w:szCs w:val="20"/>
        <w:lang w:val="en-us" w:eastAsia="en-US" w:bidi="ar-SA"/>
      </w:rPr>
    </w:lvl>
    <w:lvl w:ilvl="3">
      <w:start w:val="0"/>
      <w:numFmt w:val="bullet"/>
      <w:lvlText w:val="•"/>
      <w:lvlJc w:val="left"/>
      <w:pPr>
        <w:ind w:left="4353" w:hanging="341"/>
      </w:pPr>
      <w:rPr>
        <w:rFonts w:hint="default"/>
        <w:lang w:val="en-us" w:eastAsia="en-US" w:bidi="ar-SA"/>
      </w:rPr>
    </w:lvl>
    <w:lvl w:ilvl="4">
      <w:start w:val="0"/>
      <w:numFmt w:val="bullet"/>
      <w:lvlText w:val="•"/>
      <w:lvlJc w:val="left"/>
      <w:pPr>
        <w:ind w:left="5326" w:hanging="341"/>
      </w:pPr>
      <w:rPr>
        <w:rFonts w:hint="default"/>
        <w:lang w:val="en-us" w:eastAsia="en-US" w:bidi="ar-SA"/>
      </w:rPr>
    </w:lvl>
    <w:lvl w:ilvl="5">
      <w:start w:val="0"/>
      <w:numFmt w:val="bullet"/>
      <w:lvlText w:val="•"/>
      <w:lvlJc w:val="left"/>
      <w:pPr>
        <w:ind w:left="6299" w:hanging="341"/>
      </w:pPr>
      <w:rPr>
        <w:rFonts w:hint="default"/>
        <w:lang w:val="en-us" w:eastAsia="en-US" w:bidi="ar-SA"/>
      </w:rPr>
    </w:lvl>
    <w:lvl w:ilvl="6">
      <w:start w:val="0"/>
      <w:numFmt w:val="bullet"/>
      <w:lvlText w:val="•"/>
      <w:lvlJc w:val="left"/>
      <w:pPr>
        <w:ind w:left="7272" w:hanging="341"/>
      </w:pPr>
      <w:rPr>
        <w:rFonts w:hint="default"/>
        <w:lang w:val="en-us" w:eastAsia="en-US" w:bidi="ar-SA"/>
      </w:rPr>
    </w:lvl>
    <w:lvl w:ilvl="7">
      <w:start w:val="0"/>
      <w:numFmt w:val="bullet"/>
      <w:lvlText w:val="•"/>
      <w:lvlJc w:val="left"/>
      <w:pPr>
        <w:ind w:left="8245" w:hanging="341"/>
      </w:pPr>
      <w:rPr>
        <w:rFonts w:hint="default"/>
        <w:lang w:val="en-us" w:eastAsia="en-US" w:bidi="ar-SA"/>
      </w:rPr>
    </w:lvl>
    <w:lvl w:ilvl="8">
      <w:start w:val="0"/>
      <w:numFmt w:val="bullet"/>
      <w:lvlText w:val="•"/>
      <w:lvlJc w:val="left"/>
      <w:pPr>
        <w:ind w:left="9219" w:hanging="341"/>
      </w:pPr>
      <w:rPr>
        <w:rFonts w:hint="default"/>
        <w:lang w:val="en-us" w:eastAsia="en-US" w:bidi="ar-SA"/>
      </w:rPr>
    </w:lvl>
  </w:abstractNum>
  <w:num w:numId="3">
    <w:abstractNumId w:val="2"/>
  </w:num>
  <w:num w:numId="32">
    <w:abstractNumId w:val="31"/>
  </w:num>
  <w:num w:numId="31">
    <w:abstractNumId w:val="30"/>
  </w:num>
  <w:num w:numId="30">
    <w:abstractNumId w:val="29"/>
  </w:num>
  <w:num w:numId="29">
    <w:abstractNumId w:val="28"/>
  </w:num>
  <w:num w:numId="27">
    <w:abstractNumId w:val="26"/>
  </w:num>
  <w:num w:numId="28">
    <w:abstractNumId w:val="27"/>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TOC1" w:type="paragraph">
    <w:name w:val="TOC 1"/>
    <w:basedOn w:val="Normal"/>
    <w:uiPriority w:val="1"/>
    <w:qFormat/>
    <w:pPr>
      <w:spacing w:before="258"/>
      <w:ind w:left="2692"/>
    </w:pPr>
    <w:rPr>
      <w:rFonts w:ascii="Tahoma" w:hAnsi="Tahoma" w:eastAsia="Tahoma" w:cs="Tahoma"/>
      <w:sz w:val="28"/>
      <w:szCs w:val="28"/>
      <w:lang w:val="en-us" w:eastAsia="en-US" w:bidi="ar-SA"/>
    </w:rPr>
  </w:style>
  <w:style w:styleId="TOC2" w:type="paragraph">
    <w:name w:val="TOC 2"/>
    <w:basedOn w:val="Normal"/>
    <w:uiPriority w:val="1"/>
    <w:qFormat/>
    <w:pPr>
      <w:spacing w:before="216"/>
      <w:ind w:left="3373" w:hanging="682"/>
    </w:pPr>
    <w:rPr>
      <w:rFonts w:ascii="Tahoma" w:hAnsi="Tahoma" w:eastAsia="Tahoma" w:cs="Tahoma"/>
      <w:sz w:val="22"/>
      <w:szCs w:val="22"/>
      <w:lang w:val="en-us" w:eastAsia="en-US" w:bidi="ar-SA"/>
    </w:rPr>
  </w:style>
  <w:style w:styleId="TOC3" w:type="paragraph">
    <w:name w:val="TOC 3"/>
    <w:basedOn w:val="Normal"/>
    <w:uiPriority w:val="1"/>
    <w:qFormat/>
    <w:pPr>
      <w:spacing w:line="216" w:lineRule="exact"/>
      <w:ind w:left="3373" w:hanging="682"/>
    </w:pPr>
    <w:rPr>
      <w:rFonts w:ascii="Tahoma" w:hAnsi="Tahoma" w:eastAsia="Tahoma" w:cs="Tahoma"/>
      <w:sz w:val="18"/>
      <w:szCs w:val="18"/>
      <w:lang w:val="en-us" w:eastAsia="en-US" w:bidi="ar-SA"/>
    </w:rPr>
  </w:style>
  <w:style w:styleId="TOC4" w:type="paragraph">
    <w:name w:val="TOC 4"/>
    <w:basedOn w:val="Normal"/>
    <w:uiPriority w:val="1"/>
    <w:qFormat/>
    <w:pPr>
      <w:spacing w:line="265" w:lineRule="exact"/>
      <w:ind w:left="3373"/>
    </w:pPr>
    <w:rPr>
      <w:rFonts w:ascii="Tahoma" w:hAnsi="Tahoma" w:eastAsia="Tahoma" w:cs="Tahoma"/>
      <w:sz w:val="22"/>
      <w:szCs w:val="22"/>
      <w:lang w:val="en-us" w:eastAsia="en-US" w:bidi="ar-SA"/>
    </w:rPr>
  </w:style>
  <w:style w:styleId="BodyText" w:type="paragraph">
    <w:name w:val="Body Text"/>
    <w:basedOn w:val="Normal"/>
    <w:uiPriority w:val="1"/>
    <w:qFormat/>
    <w:pPr/>
    <w:rPr>
      <w:rFonts w:ascii="Tahoma" w:hAnsi="Tahoma" w:eastAsia="Tahoma" w:cs="Tahoma"/>
      <w:sz w:val="20"/>
      <w:szCs w:val="20"/>
      <w:lang w:val="en-us" w:eastAsia="en-US" w:bidi="ar-SA"/>
    </w:rPr>
  </w:style>
  <w:style w:styleId="Heading1" w:type="paragraph">
    <w:name w:val="Heading 1"/>
    <w:basedOn w:val="Normal"/>
    <w:uiPriority w:val="1"/>
    <w:qFormat/>
    <w:pPr>
      <w:spacing w:before="112"/>
      <w:ind w:left="2692" w:hanging="1560"/>
      <w:outlineLvl w:val="1"/>
    </w:pPr>
    <w:rPr>
      <w:rFonts w:ascii="Tahoma" w:hAnsi="Tahoma" w:eastAsia="Tahoma" w:cs="Tahoma"/>
      <w:sz w:val="36"/>
      <w:szCs w:val="36"/>
      <w:lang w:val="en-us" w:eastAsia="en-US" w:bidi="ar-SA"/>
    </w:rPr>
  </w:style>
  <w:style w:styleId="Heading2" w:type="paragraph">
    <w:name w:val="Heading 2"/>
    <w:basedOn w:val="Normal"/>
    <w:uiPriority w:val="1"/>
    <w:qFormat/>
    <w:pPr>
      <w:ind w:left="2692" w:hanging="1560"/>
      <w:outlineLvl w:val="2"/>
    </w:pPr>
    <w:rPr>
      <w:rFonts w:ascii="Tahoma" w:hAnsi="Tahoma" w:eastAsia="Tahoma" w:cs="Tahoma"/>
      <w:sz w:val="28"/>
      <w:szCs w:val="28"/>
      <w:lang w:val="en-us" w:eastAsia="en-US" w:bidi="ar-SA"/>
    </w:rPr>
  </w:style>
  <w:style w:styleId="Heading3" w:type="paragraph">
    <w:name w:val="Heading 3"/>
    <w:basedOn w:val="Normal"/>
    <w:uiPriority w:val="1"/>
    <w:qFormat/>
    <w:pPr>
      <w:spacing w:before="107"/>
      <w:ind w:left="226"/>
      <w:outlineLvl w:val="3"/>
    </w:pPr>
    <w:rPr>
      <w:rFonts w:ascii="Tahoma" w:hAnsi="Tahoma" w:eastAsia="Tahoma" w:cs="Tahoma"/>
      <w:sz w:val="22"/>
      <w:szCs w:val="22"/>
      <w:lang w:val="en-us" w:eastAsia="en-US" w:bidi="ar-SA"/>
    </w:rPr>
  </w:style>
  <w:style w:styleId="Heading4" w:type="paragraph">
    <w:name w:val="Heading 4"/>
    <w:basedOn w:val="Normal"/>
    <w:uiPriority w:val="1"/>
    <w:qFormat/>
    <w:pPr>
      <w:spacing w:before="113"/>
      <w:ind w:left="2692"/>
      <w:outlineLvl w:val="4"/>
    </w:pPr>
    <w:rPr>
      <w:rFonts w:ascii="Tahoma" w:hAnsi="Tahoma" w:eastAsia="Tahoma" w:cs="Tahoma"/>
      <w:b/>
      <w:bCs/>
      <w:sz w:val="20"/>
      <w:szCs w:val="20"/>
      <w:lang w:val="en-us" w:eastAsia="en-US" w:bidi="ar-SA"/>
    </w:rPr>
  </w:style>
  <w:style w:styleId="Title" w:type="paragraph">
    <w:name w:val="Title"/>
    <w:basedOn w:val="Normal"/>
    <w:uiPriority w:val="1"/>
    <w:qFormat/>
    <w:pPr>
      <w:spacing w:before="99"/>
      <w:ind w:left="20"/>
    </w:pPr>
    <w:rPr>
      <w:rFonts w:ascii="Tahoma" w:hAnsi="Tahoma" w:eastAsia="Tahoma" w:cs="Tahoma"/>
      <w:b/>
      <w:bCs/>
      <w:sz w:val="122"/>
      <w:szCs w:val="122"/>
      <w:lang w:val="en-us" w:eastAsia="en-US" w:bidi="ar-SA"/>
    </w:rPr>
  </w:style>
  <w:style w:styleId="ListParagraph" w:type="paragraph">
    <w:name w:val="List Paragraph"/>
    <w:basedOn w:val="Normal"/>
    <w:uiPriority w:val="1"/>
    <w:qFormat/>
    <w:pPr>
      <w:spacing w:before="56"/>
      <w:ind w:left="3033" w:hanging="341"/>
    </w:pPr>
    <w:rPr>
      <w:rFonts w:ascii="Tahoma" w:hAnsi="Tahoma" w:eastAsia="Tahoma" w:cs="Tahoma"/>
      <w:lang w:val="en-us" w:eastAsia="en-US" w:bidi="ar-SA"/>
    </w:rPr>
  </w:style>
  <w:style w:styleId="TableParagraph" w:type="paragraph">
    <w:name w:val="Table Paragraph"/>
    <w:basedOn w:val="Normal"/>
    <w:uiPriority w:val="1"/>
    <w:qFormat/>
    <w:pPr>
      <w:ind w:left="61"/>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yperlink" Target="mailto:aemc@aemc.gov.au" TargetMode="Externa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hyperlink" Target="https://www.aemc.gov.au/markets-reviews-advice/review-of-the-system-black-event-in-south-australi" TargetMode="Externa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hyperlink" Target="http://www.aemc.gov.au/sites/default/files/documents/aemc_-_sa_black_system_review_-" TargetMode="External"/><Relationship Id="rId17" Type="http://schemas.openxmlformats.org/officeDocument/2006/relationships/hyperlink" Target="http://www.aemc.gov.au/" TargetMode="External"/><Relationship Id="rId18" Type="http://schemas.openxmlformats.org/officeDocument/2006/relationships/hyperlink" Target="http://www.aemc.gov.au/rule-changes/implementing-general-power-system-risk-review" TargetMode="External"/><Relationship Id="rId19" Type="http://schemas.openxmlformats.org/officeDocument/2006/relationships/hyperlink" Target="https://www.aemc.gov.au/sites/default/files/documents/aemc_-_sa_black_system_review_-_final_report.pdf" TargetMode="External"/><Relationship Id="rId20" Type="http://schemas.openxmlformats.org/officeDocument/2006/relationships/hyperlink" Target="https://www.aemc.gov.au/sites/default/files/2020-12/Information%20sheet%20-%20Enhancing%20operational%20resilience%20in%20relation%20to%20indistinct%20events%20-%20ERC0304%20-%20Consultation%20Paper.pdf" TargetMode="External"/><Relationship Id="rId21" Type="http://schemas.openxmlformats.org/officeDocument/2006/relationships/image" Target="media/image3.png"/><Relationship Id="rId22" Type="http://schemas.openxmlformats.org/officeDocument/2006/relationships/hyperlink" Target="https://www.aemc.gov.au/rule-changes/enhancing-operational-resilience-relation-indistinct-events#%3A~%3Atext%3DRule%20Change%3A%20Open%26text%3DIndistinct%20events%20are%20events%20that%2Can%20increasingly%20complex%20power%20system" TargetMode="External"/><Relationship Id="rId23" Type="http://schemas.openxmlformats.org/officeDocument/2006/relationships/hyperlink" Target="https://www.aemc.gov.au/rule-changes/prioritising-arrangements-system-security-during-market-suspension" TargetMode="External"/><Relationship Id="rId24" Type="http://schemas.openxmlformats.org/officeDocument/2006/relationships/hyperlink" Target="http://www.aemc.gov.au/markets-reviews-advice/review-of-the-system-black-event-in-south-australi"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Policy_Portrait_Layout</dc:title>
  <dcterms:created xsi:type="dcterms:W3CDTF">2021-02-01T02:11:49Z</dcterms:created>
  <dcterms:modified xsi:type="dcterms:W3CDTF">2021-02-01T02:11:49Z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QuarkXPress(R) 14.35</vt:lpwstr>
  </property>
  <property fmtid="{D5CDD505-2E9C-101B-9397-08002B2CF9AE}" pid="4" name="LastSaved">
    <vt:filetime>2021-02-01T00:00:00Z</vt:filetime>
  </property>
</Properties>
</file>