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7EF7" w14:textId="212DE6D0" w:rsidR="000F605A" w:rsidRPr="00423297" w:rsidRDefault="00086F6D" w:rsidP="00086F6D">
      <w:pPr>
        <w:spacing w:before="840" w:after="2400"/>
        <w:ind w:left="284"/>
      </w:pPr>
      <w:bookmarkStart w:id="0" w:name="_Hlk3811759"/>
      <w:bookmarkStart w:id="1" w:name="_GoBack"/>
      <w:bookmarkEnd w:id="1"/>
      <w:r w:rsidRPr="00423297">
        <w:rPr>
          <w:noProof/>
        </w:rPr>
        <w:drawing>
          <wp:inline distT="0" distB="0" distL="0" distR="0" wp14:anchorId="61C9E075" wp14:editId="18B4DE98">
            <wp:extent cx="3548380" cy="755650"/>
            <wp:effectExtent l="0" t="0" r="0" b="6350"/>
            <wp:docPr id="5" name="Picture 5"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8380" cy="755650"/>
                    </a:xfrm>
                    <a:prstGeom prst="rect">
                      <a:avLst/>
                    </a:prstGeom>
                    <a:noFill/>
                    <a:ln>
                      <a:noFill/>
                    </a:ln>
                  </pic:spPr>
                </pic:pic>
              </a:graphicData>
            </a:graphic>
          </wp:inline>
        </w:drawing>
      </w:r>
    </w:p>
    <w:p w14:paraId="6F547988" w14:textId="77777777" w:rsidR="000F605A" w:rsidRPr="00423297" w:rsidRDefault="000F605A" w:rsidP="00F05B88">
      <w:pPr>
        <w:pStyle w:val="DescriptorRG"/>
        <w:shd w:val="clear" w:color="auto" w:fill="auto"/>
        <w:spacing w:before="0"/>
        <w:rPr>
          <w:b/>
          <w:color w:val="117DC7"/>
        </w:rPr>
      </w:pPr>
      <w:bookmarkStart w:id="2" w:name="_Ref152644852"/>
      <w:bookmarkEnd w:id="2"/>
      <w:r w:rsidRPr="00423297">
        <w:rPr>
          <w:b/>
          <w:color w:val="117DC7"/>
        </w:rPr>
        <w:t>REgulation impact statement</w:t>
      </w:r>
    </w:p>
    <w:p w14:paraId="16C75244" w14:textId="5EFE0520" w:rsidR="000F605A" w:rsidRPr="00423297" w:rsidRDefault="000F605A" w:rsidP="00E75E97">
      <w:pPr>
        <w:ind w:left="2268"/>
        <w:rPr>
          <w:rFonts w:ascii="Arial" w:hAnsi="Arial" w:cs="Arial"/>
          <w:b/>
          <w:sz w:val="48"/>
          <w:szCs w:val="48"/>
        </w:rPr>
      </w:pPr>
      <w:r w:rsidRPr="00423297">
        <w:fldChar w:fldCharType="begin"/>
      </w:r>
      <w:r w:rsidRPr="00423297">
        <w:instrText xml:space="preserve"> </w:instrText>
      </w:r>
      <w:r w:rsidRPr="00423297">
        <w:rPr>
          <w:rFonts w:ascii="Arial" w:hAnsi="Arial"/>
          <w:b/>
          <w:sz w:val="48"/>
        </w:rPr>
        <w:instrText>D</w:instrText>
      </w:r>
      <w:r w:rsidRPr="00423297">
        <w:instrText xml:space="preserve">OCPROPERTY  "Document title"  \* charformat </w:instrText>
      </w:r>
      <w:r w:rsidRPr="00423297">
        <w:fldChar w:fldCharType="separate"/>
      </w:r>
      <w:r w:rsidR="00B92808">
        <w:rPr>
          <w:rFonts w:ascii="Arial" w:hAnsi="Arial"/>
          <w:b/>
          <w:sz w:val="48"/>
        </w:rPr>
        <w:t xml:space="preserve">Review of policy settings for </w:t>
      </w:r>
      <w:proofErr w:type="gramStart"/>
      <w:r w:rsidR="00B92808">
        <w:rPr>
          <w:rFonts w:ascii="Arial" w:hAnsi="Arial"/>
          <w:b/>
          <w:sz w:val="48"/>
        </w:rPr>
        <w:t>regulating</w:t>
      </w:r>
      <w:proofErr w:type="gramEnd"/>
      <w:r w:rsidR="00B92808">
        <w:rPr>
          <w:rFonts w:ascii="Arial" w:hAnsi="Arial"/>
          <w:b/>
          <w:sz w:val="48"/>
        </w:rPr>
        <w:t xml:space="preserve"> time-sharing schemes</w:t>
      </w:r>
      <w:r w:rsidRPr="00423297">
        <w:fldChar w:fldCharType="end"/>
      </w:r>
    </w:p>
    <w:p w14:paraId="11BB9B93" w14:textId="6C0863CB" w:rsidR="000F605A" w:rsidRPr="00423297" w:rsidRDefault="00086F6D" w:rsidP="00EC0071">
      <w:pPr>
        <w:pStyle w:val="Bodytextplain"/>
        <w:spacing w:before="720"/>
        <w:rPr>
          <w:rFonts w:ascii="Arial" w:hAnsi="Arial" w:cs="Arial"/>
        </w:rPr>
      </w:pPr>
      <w:r w:rsidRPr="00423297">
        <w:rPr>
          <w:rFonts w:ascii="Arial" w:hAnsi="Arial" w:cs="Arial"/>
        </w:rPr>
        <w:fldChar w:fldCharType="begin"/>
      </w:r>
      <w:r w:rsidRPr="00423297">
        <w:rPr>
          <w:rFonts w:ascii="Arial" w:hAnsi="Arial" w:cs="Arial"/>
        </w:rPr>
        <w:instrText xml:space="preserve"> DOCPROPERTY  "Issue date" </w:instrText>
      </w:r>
      <w:r w:rsidRPr="00423297">
        <w:rPr>
          <w:rFonts w:ascii="Arial" w:hAnsi="Arial" w:cs="Arial"/>
        </w:rPr>
        <w:fldChar w:fldCharType="separate"/>
      </w:r>
      <w:r w:rsidR="00B92808">
        <w:rPr>
          <w:rFonts w:ascii="Arial" w:hAnsi="Arial" w:cs="Arial"/>
        </w:rPr>
        <w:t>December 2020</w:t>
      </w:r>
      <w:r w:rsidRPr="00423297">
        <w:rPr>
          <w:rFonts w:ascii="Arial" w:hAnsi="Arial" w:cs="Arial"/>
        </w:rPr>
        <w:fldChar w:fldCharType="end"/>
      </w:r>
    </w:p>
    <w:p w14:paraId="70FF6238" w14:textId="77777777" w:rsidR="000F605A" w:rsidRPr="00423297" w:rsidRDefault="000F605A" w:rsidP="006B1E1E">
      <w:pPr>
        <w:pStyle w:val="Frontheading"/>
        <w:spacing w:before="960"/>
      </w:pPr>
      <w:bookmarkStart w:id="3" w:name="_Toc36467223"/>
      <w:r w:rsidRPr="00423297">
        <w:t>About this Regulation Impact Statement</w:t>
      </w:r>
      <w:bookmarkEnd w:id="3"/>
    </w:p>
    <w:p w14:paraId="0F437F88" w14:textId="728CFC9C" w:rsidR="00275027" w:rsidRPr="00423297" w:rsidRDefault="000F605A" w:rsidP="00741C6A">
      <w:pPr>
        <w:pStyle w:val="Fronttext"/>
      </w:pPr>
      <w:r w:rsidRPr="00423297">
        <w:t>This Regulation Impact Statement (RIS) addresses ASIC</w:t>
      </w:r>
      <w:r w:rsidR="00D61E78">
        <w:t>’</w:t>
      </w:r>
      <w:r w:rsidRPr="00423297">
        <w:t xml:space="preserve">s proposals </w:t>
      </w:r>
      <w:r w:rsidR="009E5EDB" w:rsidRPr="00423297">
        <w:t>to make</w:t>
      </w:r>
      <w:r w:rsidRPr="00423297">
        <w:t xml:space="preserve"> changes to the policy settings for regulating time-sharing schemes</w:t>
      </w:r>
      <w:r w:rsidR="009E5EDB" w:rsidRPr="00423297">
        <w:t>.</w:t>
      </w:r>
    </w:p>
    <w:p w14:paraId="55913E1D" w14:textId="77777777" w:rsidR="00F91005" w:rsidRPr="00423297" w:rsidRDefault="00F91005" w:rsidP="00953431">
      <w:pPr>
        <w:pStyle w:val="Heading1nonumber"/>
      </w:pPr>
      <w:bookmarkStart w:id="4" w:name="_Toc227744295"/>
      <w:bookmarkStart w:id="5" w:name="_Toc36467224"/>
      <w:bookmarkStart w:id="6" w:name="_Toc56669414"/>
      <w:r w:rsidRPr="00423297">
        <w:lastRenderedPageBreak/>
        <w:t>What this Regulation Impact Statement is about</w:t>
      </w:r>
      <w:bookmarkEnd w:id="4"/>
      <w:bookmarkEnd w:id="5"/>
      <w:bookmarkEnd w:id="6"/>
    </w:p>
    <w:p w14:paraId="4008BDB2" w14:textId="3FD0E259" w:rsidR="00F91005" w:rsidRPr="00423297" w:rsidRDefault="00F91005" w:rsidP="00F91005">
      <w:pPr>
        <w:pStyle w:val="BodyText"/>
        <w:numPr>
          <w:ilvl w:val="0"/>
          <w:numId w:val="113"/>
        </w:numPr>
      </w:pPr>
      <w:r w:rsidRPr="00423297">
        <w:t xml:space="preserve">This Regulation Impact Statement (RIS) addresses </w:t>
      </w:r>
      <w:r w:rsidR="00682FBE" w:rsidRPr="00423297">
        <w:t xml:space="preserve">our </w:t>
      </w:r>
      <w:r w:rsidRPr="00423297">
        <w:t xml:space="preserve">proposals to make changes </w:t>
      </w:r>
      <w:r w:rsidR="003D3048" w:rsidRPr="00423297">
        <w:t xml:space="preserve">to </w:t>
      </w:r>
      <w:r w:rsidRPr="00423297">
        <w:t xml:space="preserve">the policy settings for regulating time-sharing schemes. </w:t>
      </w:r>
    </w:p>
    <w:p w14:paraId="2A62235E" w14:textId="68CA9A77" w:rsidR="00F91005" w:rsidRPr="00423297" w:rsidRDefault="00F91005" w:rsidP="00F91005">
      <w:pPr>
        <w:pStyle w:val="BodyText"/>
        <w:numPr>
          <w:ilvl w:val="0"/>
          <w:numId w:val="113"/>
        </w:numPr>
      </w:pPr>
      <w:r w:rsidRPr="00423297">
        <w:t xml:space="preserve">In developing </w:t>
      </w:r>
      <w:r w:rsidR="00C406AF" w:rsidRPr="00423297">
        <w:t>ASIC</w:t>
      </w:r>
      <w:r w:rsidR="00D61E78">
        <w:t>’</w:t>
      </w:r>
      <w:r w:rsidR="00C406AF" w:rsidRPr="00423297">
        <w:t>s</w:t>
      </w:r>
      <w:r w:rsidRPr="00423297">
        <w:t xml:space="preserve"> final position, </w:t>
      </w:r>
      <w:r w:rsidR="00E36547" w:rsidRPr="00423297">
        <w:t>we have</w:t>
      </w:r>
      <w:r w:rsidR="00682FBE" w:rsidRPr="00423297">
        <w:t xml:space="preserve"> </w:t>
      </w:r>
      <w:r w:rsidRPr="00423297">
        <w:t>considered the regulatory and financial impact of our proposals. We are aiming to strike an appropriate balance between:</w:t>
      </w:r>
    </w:p>
    <w:p w14:paraId="11F38E7D" w14:textId="77777777" w:rsidR="00F91005" w:rsidRPr="00423297" w:rsidRDefault="00F91005" w:rsidP="00F91005">
      <w:pPr>
        <w:pStyle w:val="subparaa"/>
      </w:pPr>
      <w:r w:rsidRPr="00423297">
        <w:t xml:space="preserve">maintaining, facilitating and improving the performance of the financial system and entities in it; </w:t>
      </w:r>
    </w:p>
    <w:p w14:paraId="47AE13DF" w14:textId="77777777" w:rsidR="00F91005" w:rsidRPr="00423297" w:rsidRDefault="00F91005" w:rsidP="00F91005">
      <w:pPr>
        <w:pStyle w:val="subparaa"/>
      </w:pPr>
      <w:r w:rsidRPr="00423297">
        <w:t xml:space="preserve">promoting confident and informed participation by investors and consumers in the financial system; and </w:t>
      </w:r>
    </w:p>
    <w:p w14:paraId="7C3D3045" w14:textId="77777777" w:rsidR="00F91005" w:rsidRPr="00423297" w:rsidRDefault="00F91005" w:rsidP="00F91005">
      <w:pPr>
        <w:pStyle w:val="subparaa"/>
      </w:pPr>
      <w:proofErr w:type="gramStart"/>
      <w:r w:rsidRPr="00423297">
        <w:t>administering</w:t>
      </w:r>
      <w:proofErr w:type="gramEnd"/>
      <w:r w:rsidRPr="00423297">
        <w:t xml:space="preserve"> the law effectively and with minimal procedural requirements. </w:t>
      </w:r>
    </w:p>
    <w:p w14:paraId="5271B43C" w14:textId="77777777" w:rsidR="00F91005" w:rsidRPr="00423297" w:rsidRDefault="00F91005" w:rsidP="00F91005">
      <w:pPr>
        <w:pStyle w:val="BodyText"/>
        <w:numPr>
          <w:ilvl w:val="0"/>
          <w:numId w:val="113"/>
        </w:numPr>
      </w:pPr>
      <w:r w:rsidRPr="00423297">
        <w:t>This RIS sets out our assessment of the regulatory and financial impacts of our proposed policy and our achievement of this balance. It deals with:</w:t>
      </w:r>
    </w:p>
    <w:p w14:paraId="6F1C54A9" w14:textId="77777777" w:rsidR="00F91005" w:rsidRPr="00423297" w:rsidRDefault="00F91005" w:rsidP="00F91005">
      <w:pPr>
        <w:pStyle w:val="subparaa"/>
      </w:pPr>
      <w:r w:rsidRPr="00423297">
        <w:t>the likely compliance costs;</w:t>
      </w:r>
    </w:p>
    <w:p w14:paraId="2CE8C2B1" w14:textId="77777777" w:rsidR="00F91005" w:rsidRPr="00423297" w:rsidRDefault="00F91005" w:rsidP="00F91005">
      <w:pPr>
        <w:pStyle w:val="subparaa"/>
      </w:pPr>
      <w:r w:rsidRPr="00423297">
        <w:t>the likely effect on competition; and</w:t>
      </w:r>
    </w:p>
    <w:p w14:paraId="7881DE55" w14:textId="77777777" w:rsidR="00F91005" w:rsidRPr="00423297" w:rsidRDefault="00F91005" w:rsidP="00F91005">
      <w:pPr>
        <w:pStyle w:val="subparaa"/>
      </w:pPr>
      <w:proofErr w:type="gramStart"/>
      <w:r w:rsidRPr="00423297">
        <w:t>other</w:t>
      </w:r>
      <w:proofErr w:type="gramEnd"/>
      <w:r w:rsidRPr="00423297">
        <w:t xml:space="preserve"> impacts, costs and benefits.</w:t>
      </w:r>
    </w:p>
    <w:p w14:paraId="51792637" w14:textId="77777777" w:rsidR="000F605A" w:rsidRPr="00423297" w:rsidRDefault="000F605A">
      <w:pPr>
        <w:pStyle w:val="Bodytextplain"/>
        <w:pageBreakBefore/>
        <w:spacing w:after="200"/>
        <w:ind w:left="0"/>
        <w:rPr>
          <w:rFonts w:ascii="Arial" w:hAnsi="Arial" w:cs="Arial"/>
          <w:b/>
          <w:sz w:val="36"/>
          <w:szCs w:val="36"/>
        </w:rPr>
      </w:pPr>
      <w:r w:rsidRPr="00423297">
        <w:rPr>
          <w:rFonts w:ascii="Arial" w:hAnsi="Arial" w:cs="Arial"/>
          <w:b/>
          <w:sz w:val="36"/>
          <w:szCs w:val="36"/>
        </w:rPr>
        <w:lastRenderedPageBreak/>
        <w:t>Contents</w:t>
      </w:r>
    </w:p>
    <w:p w14:paraId="78AA7738" w14:textId="6960252E" w:rsidR="00BF65B2" w:rsidRDefault="006B1E1E">
      <w:pPr>
        <w:pStyle w:val="TOC1"/>
        <w:rPr>
          <w:rFonts w:asciiTheme="minorHAnsi" w:eastAsiaTheme="minorEastAsia" w:hAnsiTheme="minorHAnsi" w:cstheme="minorBidi"/>
          <w:b w:val="0"/>
          <w:sz w:val="22"/>
          <w:szCs w:val="22"/>
        </w:rPr>
      </w:pPr>
      <w:r w:rsidRPr="00423297">
        <w:rPr>
          <w:rFonts w:ascii="HelveticaNeue LT 55 Roman" w:hAnsi="HelveticaNeue LT 55 Roman"/>
        </w:rPr>
        <w:fldChar w:fldCharType="begin"/>
      </w:r>
      <w:r w:rsidRPr="00423297">
        <w:rPr>
          <w:rFonts w:ascii="HelveticaNeue LT 55 Roman" w:hAnsi="HelveticaNeue LT 55 Roman"/>
        </w:rPr>
        <w:instrText xml:space="preserve"> TOC \h \z \t "Heading 1,1,Heading 2,2,Heading 1 no number,1" </w:instrText>
      </w:r>
      <w:r w:rsidRPr="00423297">
        <w:rPr>
          <w:rFonts w:ascii="HelveticaNeue LT 55 Roman" w:hAnsi="HelveticaNeue LT 55 Roman"/>
        </w:rPr>
        <w:fldChar w:fldCharType="separate"/>
      </w:r>
      <w:hyperlink w:anchor="_Toc56669414" w:history="1">
        <w:r w:rsidR="00BF65B2" w:rsidRPr="00E566AD">
          <w:rPr>
            <w:rStyle w:val="Hyperlink"/>
          </w:rPr>
          <w:t>What this Regulation Impact Statement is about</w:t>
        </w:r>
        <w:r w:rsidR="00BF65B2">
          <w:rPr>
            <w:webHidden/>
          </w:rPr>
          <w:tab/>
        </w:r>
        <w:r w:rsidR="00BF65B2">
          <w:rPr>
            <w:webHidden/>
          </w:rPr>
          <w:fldChar w:fldCharType="begin"/>
        </w:r>
        <w:r w:rsidR="00BF65B2">
          <w:rPr>
            <w:webHidden/>
          </w:rPr>
          <w:instrText xml:space="preserve"> PAGEREF _Toc56669414 \h </w:instrText>
        </w:r>
        <w:r w:rsidR="00BF65B2">
          <w:rPr>
            <w:webHidden/>
          </w:rPr>
        </w:r>
        <w:r w:rsidR="00BF65B2">
          <w:rPr>
            <w:webHidden/>
          </w:rPr>
          <w:fldChar w:fldCharType="separate"/>
        </w:r>
        <w:r w:rsidR="00B92808">
          <w:rPr>
            <w:webHidden/>
          </w:rPr>
          <w:t>2</w:t>
        </w:r>
        <w:r w:rsidR="00BF65B2">
          <w:rPr>
            <w:webHidden/>
          </w:rPr>
          <w:fldChar w:fldCharType="end"/>
        </w:r>
      </w:hyperlink>
    </w:p>
    <w:p w14:paraId="3EAC87CB" w14:textId="343961DA" w:rsidR="00BF65B2" w:rsidRDefault="00D53DE5">
      <w:pPr>
        <w:pStyle w:val="TOC1"/>
        <w:rPr>
          <w:rFonts w:asciiTheme="minorHAnsi" w:eastAsiaTheme="minorEastAsia" w:hAnsiTheme="minorHAnsi" w:cstheme="minorBidi"/>
          <w:b w:val="0"/>
          <w:sz w:val="22"/>
          <w:szCs w:val="22"/>
        </w:rPr>
      </w:pPr>
      <w:hyperlink w:anchor="_Toc56669415" w:history="1">
        <w:r w:rsidR="00BF65B2" w:rsidRPr="00E566AD">
          <w:rPr>
            <w:rStyle w:val="Hyperlink"/>
          </w:rPr>
          <w:t>A</w:t>
        </w:r>
        <w:r w:rsidR="00BF65B2">
          <w:rPr>
            <w:rFonts w:asciiTheme="minorHAnsi" w:eastAsiaTheme="minorEastAsia" w:hAnsiTheme="minorHAnsi" w:cstheme="minorBidi"/>
            <w:b w:val="0"/>
            <w:sz w:val="22"/>
            <w:szCs w:val="22"/>
          </w:rPr>
          <w:tab/>
        </w:r>
        <w:r w:rsidR="00BF65B2" w:rsidRPr="00E566AD">
          <w:rPr>
            <w:rStyle w:val="Hyperlink"/>
          </w:rPr>
          <w:t>Executive summary</w:t>
        </w:r>
        <w:r w:rsidR="00BF65B2">
          <w:rPr>
            <w:webHidden/>
          </w:rPr>
          <w:tab/>
        </w:r>
        <w:r w:rsidR="00BF65B2">
          <w:rPr>
            <w:webHidden/>
          </w:rPr>
          <w:fldChar w:fldCharType="begin"/>
        </w:r>
        <w:r w:rsidR="00BF65B2">
          <w:rPr>
            <w:webHidden/>
          </w:rPr>
          <w:instrText xml:space="preserve"> PAGEREF _Toc56669415 \h </w:instrText>
        </w:r>
        <w:r w:rsidR="00BF65B2">
          <w:rPr>
            <w:webHidden/>
          </w:rPr>
        </w:r>
        <w:r w:rsidR="00BF65B2">
          <w:rPr>
            <w:webHidden/>
          </w:rPr>
          <w:fldChar w:fldCharType="separate"/>
        </w:r>
        <w:r w:rsidR="00B92808">
          <w:rPr>
            <w:webHidden/>
          </w:rPr>
          <w:t>4</w:t>
        </w:r>
        <w:r w:rsidR="00BF65B2">
          <w:rPr>
            <w:webHidden/>
          </w:rPr>
          <w:fldChar w:fldCharType="end"/>
        </w:r>
      </w:hyperlink>
    </w:p>
    <w:p w14:paraId="7BE258AD" w14:textId="33C68524" w:rsidR="00BF65B2" w:rsidRDefault="00D53DE5">
      <w:pPr>
        <w:pStyle w:val="TOC2"/>
        <w:rPr>
          <w:rFonts w:asciiTheme="minorHAnsi" w:eastAsiaTheme="minorEastAsia" w:hAnsiTheme="minorHAnsi" w:cstheme="minorBidi"/>
          <w:sz w:val="22"/>
          <w:szCs w:val="22"/>
        </w:rPr>
      </w:pPr>
      <w:hyperlink w:anchor="_Toc56669416" w:history="1">
        <w:r w:rsidR="00BF65B2" w:rsidRPr="00E566AD">
          <w:rPr>
            <w:rStyle w:val="Hyperlink"/>
          </w:rPr>
          <w:t>What is the problem?</w:t>
        </w:r>
        <w:r w:rsidR="00BF65B2">
          <w:rPr>
            <w:webHidden/>
          </w:rPr>
          <w:tab/>
        </w:r>
        <w:r w:rsidR="00BF65B2">
          <w:rPr>
            <w:webHidden/>
          </w:rPr>
          <w:fldChar w:fldCharType="begin"/>
        </w:r>
        <w:r w:rsidR="00BF65B2">
          <w:rPr>
            <w:webHidden/>
          </w:rPr>
          <w:instrText xml:space="preserve"> PAGEREF _Toc56669416 \h </w:instrText>
        </w:r>
        <w:r w:rsidR="00BF65B2">
          <w:rPr>
            <w:webHidden/>
          </w:rPr>
        </w:r>
        <w:r w:rsidR="00BF65B2">
          <w:rPr>
            <w:webHidden/>
          </w:rPr>
          <w:fldChar w:fldCharType="separate"/>
        </w:r>
        <w:r w:rsidR="00B92808">
          <w:rPr>
            <w:webHidden/>
          </w:rPr>
          <w:t>4</w:t>
        </w:r>
        <w:r w:rsidR="00BF65B2">
          <w:rPr>
            <w:webHidden/>
          </w:rPr>
          <w:fldChar w:fldCharType="end"/>
        </w:r>
      </w:hyperlink>
    </w:p>
    <w:p w14:paraId="3570CE33" w14:textId="6D526D22" w:rsidR="00BF65B2" w:rsidRDefault="00D53DE5">
      <w:pPr>
        <w:pStyle w:val="TOC2"/>
        <w:rPr>
          <w:rFonts w:asciiTheme="minorHAnsi" w:eastAsiaTheme="minorEastAsia" w:hAnsiTheme="minorHAnsi" w:cstheme="minorBidi"/>
          <w:sz w:val="22"/>
          <w:szCs w:val="22"/>
        </w:rPr>
      </w:pPr>
      <w:hyperlink w:anchor="_Toc56669417" w:history="1">
        <w:r w:rsidR="00BF65B2" w:rsidRPr="00E566AD">
          <w:rPr>
            <w:rStyle w:val="Hyperlink"/>
          </w:rPr>
          <w:t>Options considered</w:t>
        </w:r>
        <w:r w:rsidR="00BF65B2">
          <w:rPr>
            <w:webHidden/>
          </w:rPr>
          <w:tab/>
        </w:r>
        <w:r w:rsidR="00BF65B2">
          <w:rPr>
            <w:webHidden/>
          </w:rPr>
          <w:fldChar w:fldCharType="begin"/>
        </w:r>
        <w:r w:rsidR="00BF65B2">
          <w:rPr>
            <w:webHidden/>
          </w:rPr>
          <w:instrText xml:space="preserve"> PAGEREF _Toc56669417 \h </w:instrText>
        </w:r>
        <w:r w:rsidR="00BF65B2">
          <w:rPr>
            <w:webHidden/>
          </w:rPr>
        </w:r>
        <w:r w:rsidR="00BF65B2">
          <w:rPr>
            <w:webHidden/>
          </w:rPr>
          <w:fldChar w:fldCharType="separate"/>
        </w:r>
        <w:r w:rsidR="00B92808">
          <w:rPr>
            <w:webHidden/>
          </w:rPr>
          <w:t>6</w:t>
        </w:r>
        <w:r w:rsidR="00BF65B2">
          <w:rPr>
            <w:webHidden/>
          </w:rPr>
          <w:fldChar w:fldCharType="end"/>
        </w:r>
      </w:hyperlink>
    </w:p>
    <w:p w14:paraId="43A33CFD" w14:textId="2F3D9710" w:rsidR="00BF65B2" w:rsidRDefault="00D53DE5">
      <w:pPr>
        <w:pStyle w:val="TOC2"/>
        <w:rPr>
          <w:rFonts w:asciiTheme="minorHAnsi" w:eastAsiaTheme="minorEastAsia" w:hAnsiTheme="minorHAnsi" w:cstheme="minorBidi"/>
          <w:sz w:val="22"/>
          <w:szCs w:val="22"/>
        </w:rPr>
      </w:pPr>
      <w:hyperlink w:anchor="_Toc56669418" w:history="1">
        <w:r w:rsidR="00BF65B2" w:rsidRPr="00E566AD">
          <w:rPr>
            <w:rStyle w:val="Hyperlink"/>
          </w:rPr>
          <w:t>Regulatory impact of preferred option</w:t>
        </w:r>
        <w:r w:rsidR="00BF65B2">
          <w:rPr>
            <w:webHidden/>
          </w:rPr>
          <w:tab/>
        </w:r>
        <w:r w:rsidR="00BF65B2">
          <w:rPr>
            <w:webHidden/>
          </w:rPr>
          <w:fldChar w:fldCharType="begin"/>
        </w:r>
        <w:r w:rsidR="00BF65B2">
          <w:rPr>
            <w:webHidden/>
          </w:rPr>
          <w:instrText xml:space="preserve"> PAGEREF _Toc56669418 \h </w:instrText>
        </w:r>
        <w:r w:rsidR="00BF65B2">
          <w:rPr>
            <w:webHidden/>
          </w:rPr>
        </w:r>
        <w:r w:rsidR="00BF65B2">
          <w:rPr>
            <w:webHidden/>
          </w:rPr>
          <w:fldChar w:fldCharType="separate"/>
        </w:r>
        <w:r w:rsidR="00B92808">
          <w:rPr>
            <w:webHidden/>
          </w:rPr>
          <w:t>10</w:t>
        </w:r>
        <w:r w:rsidR="00BF65B2">
          <w:rPr>
            <w:webHidden/>
          </w:rPr>
          <w:fldChar w:fldCharType="end"/>
        </w:r>
      </w:hyperlink>
    </w:p>
    <w:p w14:paraId="6867942B" w14:textId="46663274" w:rsidR="00BF65B2" w:rsidRDefault="00D53DE5">
      <w:pPr>
        <w:pStyle w:val="TOC1"/>
        <w:rPr>
          <w:rFonts w:asciiTheme="minorHAnsi" w:eastAsiaTheme="minorEastAsia" w:hAnsiTheme="minorHAnsi" w:cstheme="minorBidi"/>
          <w:b w:val="0"/>
          <w:sz w:val="22"/>
          <w:szCs w:val="22"/>
        </w:rPr>
      </w:pPr>
      <w:hyperlink w:anchor="_Toc56669419" w:history="1">
        <w:r w:rsidR="00BF65B2" w:rsidRPr="00E566AD">
          <w:rPr>
            <w:rStyle w:val="Hyperlink"/>
          </w:rPr>
          <w:t>B</w:t>
        </w:r>
        <w:r w:rsidR="00BF65B2">
          <w:rPr>
            <w:rFonts w:asciiTheme="minorHAnsi" w:eastAsiaTheme="minorEastAsia" w:hAnsiTheme="minorHAnsi" w:cstheme="minorBidi"/>
            <w:b w:val="0"/>
            <w:sz w:val="22"/>
            <w:szCs w:val="22"/>
          </w:rPr>
          <w:tab/>
        </w:r>
        <w:r w:rsidR="00BF65B2" w:rsidRPr="00E566AD">
          <w:rPr>
            <w:rStyle w:val="Hyperlink"/>
          </w:rPr>
          <w:t>What is the problem?</w:t>
        </w:r>
        <w:r w:rsidR="00BF65B2">
          <w:rPr>
            <w:webHidden/>
          </w:rPr>
          <w:tab/>
        </w:r>
        <w:r w:rsidR="00BF65B2">
          <w:rPr>
            <w:webHidden/>
          </w:rPr>
          <w:fldChar w:fldCharType="begin"/>
        </w:r>
        <w:r w:rsidR="00BF65B2">
          <w:rPr>
            <w:webHidden/>
          </w:rPr>
          <w:instrText xml:space="preserve"> PAGEREF _Toc56669419 \h </w:instrText>
        </w:r>
        <w:r w:rsidR="00BF65B2">
          <w:rPr>
            <w:webHidden/>
          </w:rPr>
        </w:r>
        <w:r w:rsidR="00BF65B2">
          <w:rPr>
            <w:webHidden/>
          </w:rPr>
          <w:fldChar w:fldCharType="separate"/>
        </w:r>
        <w:r w:rsidR="00B92808">
          <w:rPr>
            <w:webHidden/>
          </w:rPr>
          <w:t>11</w:t>
        </w:r>
        <w:r w:rsidR="00BF65B2">
          <w:rPr>
            <w:webHidden/>
          </w:rPr>
          <w:fldChar w:fldCharType="end"/>
        </w:r>
      </w:hyperlink>
    </w:p>
    <w:p w14:paraId="68AC22CA" w14:textId="58324C3D" w:rsidR="00BF65B2" w:rsidRDefault="00D53DE5">
      <w:pPr>
        <w:pStyle w:val="TOC2"/>
        <w:rPr>
          <w:rFonts w:asciiTheme="minorHAnsi" w:eastAsiaTheme="minorEastAsia" w:hAnsiTheme="minorHAnsi" w:cstheme="minorBidi"/>
          <w:sz w:val="22"/>
          <w:szCs w:val="22"/>
        </w:rPr>
      </w:pPr>
      <w:hyperlink w:anchor="_Toc56669420" w:history="1">
        <w:r w:rsidR="00BF65B2" w:rsidRPr="00E566AD">
          <w:rPr>
            <w:rStyle w:val="Hyperlink"/>
          </w:rPr>
          <w:t>Size of the time-sharing industry</w:t>
        </w:r>
        <w:r w:rsidR="00BF65B2">
          <w:rPr>
            <w:webHidden/>
          </w:rPr>
          <w:tab/>
        </w:r>
        <w:r w:rsidR="00BF65B2">
          <w:rPr>
            <w:webHidden/>
          </w:rPr>
          <w:fldChar w:fldCharType="begin"/>
        </w:r>
        <w:r w:rsidR="00BF65B2">
          <w:rPr>
            <w:webHidden/>
          </w:rPr>
          <w:instrText xml:space="preserve"> PAGEREF _Toc56669420 \h </w:instrText>
        </w:r>
        <w:r w:rsidR="00BF65B2">
          <w:rPr>
            <w:webHidden/>
          </w:rPr>
        </w:r>
        <w:r w:rsidR="00BF65B2">
          <w:rPr>
            <w:webHidden/>
          </w:rPr>
          <w:fldChar w:fldCharType="separate"/>
        </w:r>
        <w:r w:rsidR="00B92808">
          <w:rPr>
            <w:webHidden/>
          </w:rPr>
          <w:t>11</w:t>
        </w:r>
        <w:r w:rsidR="00BF65B2">
          <w:rPr>
            <w:webHidden/>
          </w:rPr>
          <w:fldChar w:fldCharType="end"/>
        </w:r>
      </w:hyperlink>
    </w:p>
    <w:p w14:paraId="2EBF922D" w14:textId="6B15C150" w:rsidR="00BF65B2" w:rsidRDefault="00D53DE5">
      <w:pPr>
        <w:pStyle w:val="TOC2"/>
        <w:rPr>
          <w:rFonts w:asciiTheme="minorHAnsi" w:eastAsiaTheme="minorEastAsia" w:hAnsiTheme="minorHAnsi" w:cstheme="minorBidi"/>
          <w:sz w:val="22"/>
          <w:szCs w:val="22"/>
        </w:rPr>
      </w:pPr>
      <w:hyperlink w:anchor="_Toc56669421" w:history="1">
        <w:r w:rsidR="00BF65B2" w:rsidRPr="00E566AD">
          <w:rPr>
            <w:rStyle w:val="Hyperlink"/>
          </w:rPr>
          <w:t>Sales, cooling off and costs to consumers</w:t>
        </w:r>
        <w:r w:rsidR="00BF65B2">
          <w:rPr>
            <w:webHidden/>
          </w:rPr>
          <w:tab/>
        </w:r>
        <w:r w:rsidR="00BF65B2">
          <w:rPr>
            <w:webHidden/>
          </w:rPr>
          <w:fldChar w:fldCharType="begin"/>
        </w:r>
        <w:r w:rsidR="00BF65B2">
          <w:rPr>
            <w:webHidden/>
          </w:rPr>
          <w:instrText xml:space="preserve"> PAGEREF _Toc56669421 \h </w:instrText>
        </w:r>
        <w:r w:rsidR="00BF65B2">
          <w:rPr>
            <w:webHidden/>
          </w:rPr>
        </w:r>
        <w:r w:rsidR="00BF65B2">
          <w:rPr>
            <w:webHidden/>
          </w:rPr>
          <w:fldChar w:fldCharType="separate"/>
        </w:r>
        <w:r w:rsidR="00B92808">
          <w:rPr>
            <w:webHidden/>
          </w:rPr>
          <w:t>12</w:t>
        </w:r>
        <w:r w:rsidR="00BF65B2">
          <w:rPr>
            <w:webHidden/>
          </w:rPr>
          <w:fldChar w:fldCharType="end"/>
        </w:r>
      </w:hyperlink>
    </w:p>
    <w:p w14:paraId="06578651" w14:textId="4371EF67" w:rsidR="00BF65B2" w:rsidRDefault="00D53DE5">
      <w:pPr>
        <w:pStyle w:val="TOC2"/>
        <w:rPr>
          <w:rFonts w:asciiTheme="minorHAnsi" w:eastAsiaTheme="minorEastAsia" w:hAnsiTheme="minorHAnsi" w:cstheme="minorBidi"/>
          <w:sz w:val="22"/>
          <w:szCs w:val="22"/>
        </w:rPr>
      </w:pPr>
      <w:hyperlink w:anchor="_Toc56669422" w:history="1">
        <w:r w:rsidR="00BF65B2" w:rsidRPr="00E566AD">
          <w:rPr>
            <w:rStyle w:val="Hyperlink"/>
          </w:rPr>
          <w:t>Consumer concerns</w:t>
        </w:r>
        <w:r w:rsidR="00BF65B2">
          <w:rPr>
            <w:webHidden/>
          </w:rPr>
          <w:tab/>
        </w:r>
        <w:r w:rsidR="00BF65B2">
          <w:rPr>
            <w:webHidden/>
          </w:rPr>
          <w:fldChar w:fldCharType="begin"/>
        </w:r>
        <w:r w:rsidR="00BF65B2">
          <w:rPr>
            <w:webHidden/>
          </w:rPr>
          <w:instrText xml:space="preserve"> PAGEREF _Toc56669422 \h </w:instrText>
        </w:r>
        <w:r w:rsidR="00BF65B2">
          <w:rPr>
            <w:webHidden/>
          </w:rPr>
        </w:r>
        <w:r w:rsidR="00BF65B2">
          <w:rPr>
            <w:webHidden/>
          </w:rPr>
          <w:fldChar w:fldCharType="separate"/>
        </w:r>
        <w:r w:rsidR="00B92808">
          <w:rPr>
            <w:webHidden/>
          </w:rPr>
          <w:t>13</w:t>
        </w:r>
        <w:r w:rsidR="00BF65B2">
          <w:rPr>
            <w:webHidden/>
          </w:rPr>
          <w:fldChar w:fldCharType="end"/>
        </w:r>
      </w:hyperlink>
    </w:p>
    <w:p w14:paraId="66C88D37" w14:textId="51DDED5B" w:rsidR="00BF65B2" w:rsidRDefault="00D53DE5">
      <w:pPr>
        <w:pStyle w:val="TOC1"/>
        <w:rPr>
          <w:rFonts w:asciiTheme="minorHAnsi" w:eastAsiaTheme="minorEastAsia" w:hAnsiTheme="minorHAnsi" w:cstheme="minorBidi"/>
          <w:b w:val="0"/>
          <w:sz w:val="22"/>
          <w:szCs w:val="22"/>
        </w:rPr>
      </w:pPr>
      <w:hyperlink w:anchor="_Toc56669423" w:history="1">
        <w:r w:rsidR="00BF65B2" w:rsidRPr="00E566AD">
          <w:rPr>
            <w:rStyle w:val="Hyperlink"/>
          </w:rPr>
          <w:t>C</w:t>
        </w:r>
        <w:r w:rsidR="00BF65B2">
          <w:rPr>
            <w:rFonts w:asciiTheme="minorHAnsi" w:eastAsiaTheme="minorEastAsia" w:hAnsiTheme="minorHAnsi" w:cstheme="minorBidi"/>
            <w:b w:val="0"/>
            <w:sz w:val="22"/>
            <w:szCs w:val="22"/>
          </w:rPr>
          <w:tab/>
        </w:r>
        <w:r w:rsidR="00BF65B2" w:rsidRPr="00E566AD">
          <w:rPr>
            <w:rStyle w:val="Hyperlink"/>
          </w:rPr>
          <w:t>Why is Government action required?</w:t>
        </w:r>
        <w:r w:rsidR="00BF65B2">
          <w:rPr>
            <w:webHidden/>
          </w:rPr>
          <w:tab/>
        </w:r>
        <w:r w:rsidR="00BF65B2">
          <w:rPr>
            <w:webHidden/>
          </w:rPr>
          <w:fldChar w:fldCharType="begin"/>
        </w:r>
        <w:r w:rsidR="00BF65B2">
          <w:rPr>
            <w:webHidden/>
          </w:rPr>
          <w:instrText xml:space="preserve"> PAGEREF _Toc56669423 \h </w:instrText>
        </w:r>
        <w:r w:rsidR="00BF65B2">
          <w:rPr>
            <w:webHidden/>
          </w:rPr>
        </w:r>
        <w:r w:rsidR="00BF65B2">
          <w:rPr>
            <w:webHidden/>
          </w:rPr>
          <w:fldChar w:fldCharType="separate"/>
        </w:r>
        <w:r w:rsidR="00B92808">
          <w:rPr>
            <w:webHidden/>
          </w:rPr>
          <w:t>21</w:t>
        </w:r>
        <w:r w:rsidR="00BF65B2">
          <w:rPr>
            <w:webHidden/>
          </w:rPr>
          <w:fldChar w:fldCharType="end"/>
        </w:r>
      </w:hyperlink>
    </w:p>
    <w:p w14:paraId="36DE753C" w14:textId="1D4078B2" w:rsidR="00BF65B2" w:rsidRDefault="00D53DE5">
      <w:pPr>
        <w:pStyle w:val="TOC1"/>
        <w:rPr>
          <w:rFonts w:asciiTheme="minorHAnsi" w:eastAsiaTheme="minorEastAsia" w:hAnsiTheme="minorHAnsi" w:cstheme="minorBidi"/>
          <w:b w:val="0"/>
          <w:sz w:val="22"/>
          <w:szCs w:val="22"/>
        </w:rPr>
      </w:pPr>
      <w:hyperlink w:anchor="_Toc56669424" w:history="1">
        <w:r w:rsidR="00BF65B2" w:rsidRPr="00E566AD">
          <w:rPr>
            <w:rStyle w:val="Hyperlink"/>
          </w:rPr>
          <w:t>D</w:t>
        </w:r>
        <w:r w:rsidR="00BF65B2">
          <w:rPr>
            <w:rFonts w:asciiTheme="minorHAnsi" w:eastAsiaTheme="minorEastAsia" w:hAnsiTheme="minorHAnsi" w:cstheme="minorBidi"/>
            <w:b w:val="0"/>
            <w:sz w:val="22"/>
            <w:szCs w:val="22"/>
          </w:rPr>
          <w:tab/>
        </w:r>
        <w:r w:rsidR="00BF65B2" w:rsidRPr="00E566AD">
          <w:rPr>
            <w:rStyle w:val="Hyperlink"/>
          </w:rPr>
          <w:t>Options under consideration</w:t>
        </w:r>
        <w:r w:rsidR="00BF65B2">
          <w:rPr>
            <w:webHidden/>
          </w:rPr>
          <w:tab/>
        </w:r>
        <w:r w:rsidR="00BF65B2">
          <w:rPr>
            <w:webHidden/>
          </w:rPr>
          <w:fldChar w:fldCharType="begin"/>
        </w:r>
        <w:r w:rsidR="00BF65B2">
          <w:rPr>
            <w:webHidden/>
          </w:rPr>
          <w:instrText xml:space="preserve"> PAGEREF _Toc56669424 \h </w:instrText>
        </w:r>
        <w:r w:rsidR="00BF65B2">
          <w:rPr>
            <w:webHidden/>
          </w:rPr>
        </w:r>
        <w:r w:rsidR="00BF65B2">
          <w:rPr>
            <w:webHidden/>
          </w:rPr>
          <w:fldChar w:fldCharType="separate"/>
        </w:r>
        <w:r w:rsidR="00B92808">
          <w:rPr>
            <w:webHidden/>
          </w:rPr>
          <w:t>22</w:t>
        </w:r>
        <w:r w:rsidR="00BF65B2">
          <w:rPr>
            <w:webHidden/>
          </w:rPr>
          <w:fldChar w:fldCharType="end"/>
        </w:r>
      </w:hyperlink>
    </w:p>
    <w:p w14:paraId="0F445B1D" w14:textId="0465BD45" w:rsidR="00BF65B2" w:rsidRDefault="00D53DE5">
      <w:pPr>
        <w:pStyle w:val="TOC2"/>
        <w:rPr>
          <w:rFonts w:asciiTheme="minorHAnsi" w:eastAsiaTheme="minorEastAsia" w:hAnsiTheme="minorHAnsi" w:cstheme="minorBidi"/>
          <w:sz w:val="22"/>
          <w:szCs w:val="22"/>
        </w:rPr>
      </w:pPr>
      <w:hyperlink w:anchor="_Toc56669425" w:history="1">
        <w:r w:rsidR="00BF65B2" w:rsidRPr="00E566AD">
          <w:rPr>
            <w:rStyle w:val="Hyperlink"/>
          </w:rPr>
          <w:t>Revised Option 1: Amend the policy settings but maintain the existing cooling-off model (preferred option)</w:t>
        </w:r>
        <w:r w:rsidR="00BF65B2">
          <w:rPr>
            <w:webHidden/>
          </w:rPr>
          <w:tab/>
        </w:r>
        <w:r w:rsidR="00BF65B2">
          <w:rPr>
            <w:webHidden/>
          </w:rPr>
          <w:fldChar w:fldCharType="begin"/>
        </w:r>
        <w:r w:rsidR="00BF65B2">
          <w:rPr>
            <w:webHidden/>
          </w:rPr>
          <w:instrText xml:space="preserve"> PAGEREF _Toc56669425 \h </w:instrText>
        </w:r>
        <w:r w:rsidR="00BF65B2">
          <w:rPr>
            <w:webHidden/>
          </w:rPr>
        </w:r>
        <w:r w:rsidR="00BF65B2">
          <w:rPr>
            <w:webHidden/>
          </w:rPr>
          <w:fldChar w:fldCharType="separate"/>
        </w:r>
        <w:r w:rsidR="00B92808">
          <w:rPr>
            <w:webHidden/>
          </w:rPr>
          <w:t>22</w:t>
        </w:r>
        <w:r w:rsidR="00BF65B2">
          <w:rPr>
            <w:webHidden/>
          </w:rPr>
          <w:fldChar w:fldCharType="end"/>
        </w:r>
      </w:hyperlink>
    </w:p>
    <w:p w14:paraId="4C68129E" w14:textId="5970EF98" w:rsidR="00BF65B2" w:rsidRDefault="00D53DE5">
      <w:pPr>
        <w:pStyle w:val="TOC2"/>
        <w:rPr>
          <w:rFonts w:asciiTheme="minorHAnsi" w:eastAsiaTheme="minorEastAsia" w:hAnsiTheme="minorHAnsi" w:cstheme="minorBidi"/>
          <w:sz w:val="22"/>
          <w:szCs w:val="22"/>
        </w:rPr>
      </w:pPr>
      <w:hyperlink w:anchor="_Toc56669426" w:history="1">
        <w:r w:rsidR="00BF65B2" w:rsidRPr="00E566AD">
          <w:rPr>
            <w:rStyle w:val="Hyperlink"/>
          </w:rPr>
          <w:t>Option 2: Adopt alternative changes to policy settings, including introducing an opt-in regime</w:t>
        </w:r>
        <w:r w:rsidR="00BF65B2">
          <w:rPr>
            <w:webHidden/>
          </w:rPr>
          <w:tab/>
        </w:r>
        <w:r w:rsidR="00BF65B2">
          <w:rPr>
            <w:webHidden/>
          </w:rPr>
          <w:fldChar w:fldCharType="begin"/>
        </w:r>
        <w:r w:rsidR="00BF65B2">
          <w:rPr>
            <w:webHidden/>
          </w:rPr>
          <w:instrText xml:space="preserve"> PAGEREF _Toc56669426 \h </w:instrText>
        </w:r>
        <w:r w:rsidR="00BF65B2">
          <w:rPr>
            <w:webHidden/>
          </w:rPr>
        </w:r>
        <w:r w:rsidR="00BF65B2">
          <w:rPr>
            <w:webHidden/>
          </w:rPr>
          <w:fldChar w:fldCharType="separate"/>
        </w:r>
        <w:r w:rsidR="00B92808">
          <w:rPr>
            <w:webHidden/>
          </w:rPr>
          <w:t>29</w:t>
        </w:r>
        <w:r w:rsidR="00BF65B2">
          <w:rPr>
            <w:webHidden/>
          </w:rPr>
          <w:fldChar w:fldCharType="end"/>
        </w:r>
      </w:hyperlink>
    </w:p>
    <w:p w14:paraId="4F9F223F" w14:textId="71D8A84A" w:rsidR="00BF65B2" w:rsidRDefault="00D53DE5">
      <w:pPr>
        <w:pStyle w:val="TOC2"/>
        <w:rPr>
          <w:rFonts w:asciiTheme="minorHAnsi" w:eastAsiaTheme="minorEastAsia" w:hAnsiTheme="minorHAnsi" w:cstheme="minorBidi"/>
          <w:sz w:val="22"/>
          <w:szCs w:val="22"/>
        </w:rPr>
      </w:pPr>
      <w:hyperlink w:anchor="_Toc56669427" w:history="1">
        <w:r w:rsidR="00BF65B2" w:rsidRPr="00E566AD">
          <w:rPr>
            <w:rStyle w:val="Hyperlink"/>
            <w:spacing w:val="4"/>
          </w:rPr>
          <w:t>Option 3: Adopt alternative changes to policy settings, including introducing a deferred commencement date for the cooling-off period</w:t>
        </w:r>
        <w:r w:rsidR="00BF65B2">
          <w:rPr>
            <w:webHidden/>
          </w:rPr>
          <w:tab/>
        </w:r>
        <w:r w:rsidR="00BF65B2">
          <w:rPr>
            <w:webHidden/>
          </w:rPr>
          <w:fldChar w:fldCharType="begin"/>
        </w:r>
        <w:r w:rsidR="00BF65B2">
          <w:rPr>
            <w:webHidden/>
          </w:rPr>
          <w:instrText xml:space="preserve"> PAGEREF _Toc56669427 \h </w:instrText>
        </w:r>
        <w:r w:rsidR="00BF65B2">
          <w:rPr>
            <w:webHidden/>
          </w:rPr>
        </w:r>
        <w:r w:rsidR="00BF65B2">
          <w:rPr>
            <w:webHidden/>
          </w:rPr>
          <w:fldChar w:fldCharType="separate"/>
        </w:r>
        <w:r w:rsidR="00B92808">
          <w:rPr>
            <w:webHidden/>
          </w:rPr>
          <w:t>30</w:t>
        </w:r>
        <w:r w:rsidR="00BF65B2">
          <w:rPr>
            <w:webHidden/>
          </w:rPr>
          <w:fldChar w:fldCharType="end"/>
        </w:r>
      </w:hyperlink>
    </w:p>
    <w:p w14:paraId="26F1A57A" w14:textId="67D68135" w:rsidR="00BF65B2" w:rsidRDefault="00D53DE5">
      <w:pPr>
        <w:pStyle w:val="TOC2"/>
        <w:rPr>
          <w:rFonts w:asciiTheme="minorHAnsi" w:eastAsiaTheme="minorEastAsia" w:hAnsiTheme="minorHAnsi" w:cstheme="minorBidi"/>
          <w:sz w:val="22"/>
          <w:szCs w:val="22"/>
        </w:rPr>
      </w:pPr>
      <w:hyperlink w:anchor="_Toc56669428" w:history="1">
        <w:r w:rsidR="00BF65B2" w:rsidRPr="00E566AD">
          <w:rPr>
            <w:rStyle w:val="Hyperlink"/>
          </w:rPr>
          <w:t>Option 4: Maintain the status quo</w:t>
        </w:r>
        <w:r w:rsidR="00BF65B2">
          <w:rPr>
            <w:webHidden/>
          </w:rPr>
          <w:tab/>
        </w:r>
        <w:r w:rsidR="00BF65B2">
          <w:rPr>
            <w:webHidden/>
          </w:rPr>
          <w:fldChar w:fldCharType="begin"/>
        </w:r>
        <w:r w:rsidR="00BF65B2">
          <w:rPr>
            <w:webHidden/>
          </w:rPr>
          <w:instrText xml:space="preserve"> PAGEREF _Toc56669428 \h </w:instrText>
        </w:r>
        <w:r w:rsidR="00BF65B2">
          <w:rPr>
            <w:webHidden/>
          </w:rPr>
        </w:r>
        <w:r w:rsidR="00BF65B2">
          <w:rPr>
            <w:webHidden/>
          </w:rPr>
          <w:fldChar w:fldCharType="separate"/>
        </w:r>
        <w:r w:rsidR="00B92808">
          <w:rPr>
            <w:webHidden/>
          </w:rPr>
          <w:t>31</w:t>
        </w:r>
        <w:r w:rsidR="00BF65B2">
          <w:rPr>
            <w:webHidden/>
          </w:rPr>
          <w:fldChar w:fldCharType="end"/>
        </w:r>
      </w:hyperlink>
    </w:p>
    <w:p w14:paraId="1F6603F4" w14:textId="603E9113" w:rsidR="00BF65B2" w:rsidRDefault="00D53DE5">
      <w:pPr>
        <w:pStyle w:val="TOC1"/>
        <w:rPr>
          <w:rFonts w:asciiTheme="minorHAnsi" w:eastAsiaTheme="minorEastAsia" w:hAnsiTheme="minorHAnsi" w:cstheme="minorBidi"/>
          <w:b w:val="0"/>
          <w:sz w:val="22"/>
          <w:szCs w:val="22"/>
        </w:rPr>
      </w:pPr>
      <w:hyperlink w:anchor="_Toc56669429" w:history="1">
        <w:r w:rsidR="00BF65B2" w:rsidRPr="00E566AD">
          <w:rPr>
            <w:rStyle w:val="Hyperlink"/>
          </w:rPr>
          <w:t>E</w:t>
        </w:r>
        <w:r w:rsidR="00BF65B2">
          <w:rPr>
            <w:rFonts w:asciiTheme="minorHAnsi" w:eastAsiaTheme="minorEastAsia" w:hAnsiTheme="minorHAnsi" w:cstheme="minorBidi"/>
            <w:b w:val="0"/>
            <w:sz w:val="22"/>
            <w:szCs w:val="22"/>
          </w:rPr>
          <w:tab/>
        </w:r>
        <w:r w:rsidR="00BF65B2" w:rsidRPr="00E566AD">
          <w:rPr>
            <w:rStyle w:val="Hyperlink"/>
          </w:rPr>
          <w:t>Cost–benefit and impact analysis of each option</w:t>
        </w:r>
        <w:r w:rsidR="00BF65B2">
          <w:rPr>
            <w:webHidden/>
          </w:rPr>
          <w:tab/>
        </w:r>
        <w:r w:rsidR="00BF65B2">
          <w:rPr>
            <w:webHidden/>
          </w:rPr>
          <w:fldChar w:fldCharType="begin"/>
        </w:r>
        <w:r w:rsidR="00BF65B2">
          <w:rPr>
            <w:webHidden/>
          </w:rPr>
          <w:instrText xml:space="preserve"> PAGEREF _Toc56669429 \h </w:instrText>
        </w:r>
        <w:r w:rsidR="00BF65B2">
          <w:rPr>
            <w:webHidden/>
          </w:rPr>
        </w:r>
        <w:r w:rsidR="00BF65B2">
          <w:rPr>
            <w:webHidden/>
          </w:rPr>
          <w:fldChar w:fldCharType="separate"/>
        </w:r>
        <w:r w:rsidR="00B92808">
          <w:rPr>
            <w:webHidden/>
          </w:rPr>
          <w:t>32</w:t>
        </w:r>
        <w:r w:rsidR="00BF65B2">
          <w:rPr>
            <w:webHidden/>
          </w:rPr>
          <w:fldChar w:fldCharType="end"/>
        </w:r>
      </w:hyperlink>
    </w:p>
    <w:p w14:paraId="27B257D2" w14:textId="149E20BD" w:rsidR="00BF65B2" w:rsidRDefault="00D53DE5">
      <w:pPr>
        <w:pStyle w:val="TOC2"/>
        <w:rPr>
          <w:rFonts w:asciiTheme="minorHAnsi" w:eastAsiaTheme="minorEastAsia" w:hAnsiTheme="minorHAnsi" w:cstheme="minorBidi"/>
          <w:sz w:val="22"/>
          <w:szCs w:val="22"/>
        </w:rPr>
      </w:pPr>
      <w:hyperlink w:anchor="_Toc56669430" w:history="1">
        <w:r w:rsidR="00BF65B2" w:rsidRPr="00E566AD">
          <w:rPr>
            <w:rStyle w:val="Hyperlink"/>
          </w:rPr>
          <w:t>Revised Option 1: Amend the policy settings but maintain the existing cooling-off model (preferred option)</w:t>
        </w:r>
        <w:r w:rsidR="00BF65B2">
          <w:rPr>
            <w:webHidden/>
          </w:rPr>
          <w:tab/>
        </w:r>
        <w:r w:rsidR="00BF65B2">
          <w:rPr>
            <w:webHidden/>
          </w:rPr>
          <w:fldChar w:fldCharType="begin"/>
        </w:r>
        <w:r w:rsidR="00BF65B2">
          <w:rPr>
            <w:webHidden/>
          </w:rPr>
          <w:instrText xml:space="preserve"> PAGEREF _Toc56669430 \h </w:instrText>
        </w:r>
        <w:r w:rsidR="00BF65B2">
          <w:rPr>
            <w:webHidden/>
          </w:rPr>
        </w:r>
        <w:r w:rsidR="00BF65B2">
          <w:rPr>
            <w:webHidden/>
          </w:rPr>
          <w:fldChar w:fldCharType="separate"/>
        </w:r>
        <w:r w:rsidR="00B92808">
          <w:rPr>
            <w:webHidden/>
          </w:rPr>
          <w:t>32</w:t>
        </w:r>
        <w:r w:rsidR="00BF65B2">
          <w:rPr>
            <w:webHidden/>
          </w:rPr>
          <w:fldChar w:fldCharType="end"/>
        </w:r>
      </w:hyperlink>
    </w:p>
    <w:p w14:paraId="7FDFE542" w14:textId="7DADD0AB" w:rsidR="00BF65B2" w:rsidRDefault="00D53DE5">
      <w:pPr>
        <w:pStyle w:val="TOC2"/>
        <w:rPr>
          <w:rFonts w:asciiTheme="minorHAnsi" w:eastAsiaTheme="minorEastAsia" w:hAnsiTheme="minorHAnsi" w:cstheme="minorBidi"/>
          <w:sz w:val="22"/>
          <w:szCs w:val="22"/>
        </w:rPr>
      </w:pPr>
      <w:hyperlink w:anchor="_Toc56669431" w:history="1">
        <w:r w:rsidR="00BF65B2" w:rsidRPr="00E566AD">
          <w:rPr>
            <w:rStyle w:val="Hyperlink"/>
          </w:rPr>
          <w:t>Options 2 and 3: Adopt alternative changes to policy settings by introducing an opt-in regime or a deferred commencement date for the cooling-off period</w:t>
        </w:r>
        <w:r w:rsidR="00BF65B2">
          <w:rPr>
            <w:webHidden/>
          </w:rPr>
          <w:tab/>
        </w:r>
        <w:r w:rsidR="00BF65B2">
          <w:rPr>
            <w:webHidden/>
          </w:rPr>
          <w:fldChar w:fldCharType="begin"/>
        </w:r>
        <w:r w:rsidR="00BF65B2">
          <w:rPr>
            <w:webHidden/>
          </w:rPr>
          <w:instrText xml:space="preserve"> PAGEREF _Toc56669431 \h </w:instrText>
        </w:r>
        <w:r w:rsidR="00BF65B2">
          <w:rPr>
            <w:webHidden/>
          </w:rPr>
        </w:r>
        <w:r w:rsidR="00BF65B2">
          <w:rPr>
            <w:webHidden/>
          </w:rPr>
          <w:fldChar w:fldCharType="separate"/>
        </w:r>
        <w:r w:rsidR="00B92808">
          <w:rPr>
            <w:webHidden/>
          </w:rPr>
          <w:t>37</w:t>
        </w:r>
        <w:r w:rsidR="00BF65B2">
          <w:rPr>
            <w:webHidden/>
          </w:rPr>
          <w:fldChar w:fldCharType="end"/>
        </w:r>
      </w:hyperlink>
    </w:p>
    <w:p w14:paraId="4B6B0A3D" w14:textId="1D69C88E" w:rsidR="00BF65B2" w:rsidRDefault="00D53DE5">
      <w:pPr>
        <w:pStyle w:val="TOC2"/>
        <w:rPr>
          <w:rFonts w:asciiTheme="minorHAnsi" w:eastAsiaTheme="minorEastAsia" w:hAnsiTheme="minorHAnsi" w:cstheme="minorBidi"/>
          <w:sz w:val="22"/>
          <w:szCs w:val="22"/>
        </w:rPr>
      </w:pPr>
      <w:hyperlink w:anchor="_Toc56669432" w:history="1">
        <w:r w:rsidR="00BF65B2" w:rsidRPr="00E566AD">
          <w:rPr>
            <w:rStyle w:val="Hyperlink"/>
          </w:rPr>
          <w:t>Option 4: Maintain status quo</w:t>
        </w:r>
        <w:r w:rsidR="00BF65B2">
          <w:rPr>
            <w:webHidden/>
          </w:rPr>
          <w:tab/>
        </w:r>
        <w:r w:rsidR="00BF65B2">
          <w:rPr>
            <w:webHidden/>
          </w:rPr>
          <w:fldChar w:fldCharType="begin"/>
        </w:r>
        <w:r w:rsidR="00BF65B2">
          <w:rPr>
            <w:webHidden/>
          </w:rPr>
          <w:instrText xml:space="preserve"> PAGEREF _Toc56669432 \h </w:instrText>
        </w:r>
        <w:r w:rsidR="00BF65B2">
          <w:rPr>
            <w:webHidden/>
          </w:rPr>
        </w:r>
        <w:r w:rsidR="00BF65B2">
          <w:rPr>
            <w:webHidden/>
          </w:rPr>
          <w:fldChar w:fldCharType="separate"/>
        </w:r>
        <w:r w:rsidR="00B92808">
          <w:rPr>
            <w:webHidden/>
          </w:rPr>
          <w:t>41</w:t>
        </w:r>
        <w:r w:rsidR="00BF65B2">
          <w:rPr>
            <w:webHidden/>
          </w:rPr>
          <w:fldChar w:fldCharType="end"/>
        </w:r>
      </w:hyperlink>
    </w:p>
    <w:p w14:paraId="6474AA56" w14:textId="5D7DE8FC" w:rsidR="00BF65B2" w:rsidRDefault="00D53DE5">
      <w:pPr>
        <w:pStyle w:val="TOC1"/>
        <w:rPr>
          <w:rFonts w:asciiTheme="minorHAnsi" w:eastAsiaTheme="minorEastAsia" w:hAnsiTheme="minorHAnsi" w:cstheme="minorBidi"/>
          <w:b w:val="0"/>
          <w:sz w:val="22"/>
          <w:szCs w:val="22"/>
        </w:rPr>
      </w:pPr>
      <w:hyperlink w:anchor="_Toc56669433" w:history="1">
        <w:r w:rsidR="00BF65B2" w:rsidRPr="00E566AD">
          <w:rPr>
            <w:rStyle w:val="Hyperlink"/>
          </w:rPr>
          <w:t>F</w:t>
        </w:r>
        <w:r w:rsidR="00BF65B2">
          <w:rPr>
            <w:rFonts w:asciiTheme="minorHAnsi" w:eastAsiaTheme="minorEastAsia" w:hAnsiTheme="minorHAnsi" w:cstheme="minorBidi"/>
            <w:b w:val="0"/>
            <w:sz w:val="22"/>
            <w:szCs w:val="22"/>
          </w:rPr>
          <w:tab/>
        </w:r>
        <w:r w:rsidR="00BF65B2" w:rsidRPr="00E566AD">
          <w:rPr>
            <w:rStyle w:val="Hyperlink"/>
          </w:rPr>
          <w:t>Regulatory Burden and Cost Offset Estimate Table</w:t>
        </w:r>
        <w:r w:rsidR="00BF65B2">
          <w:rPr>
            <w:webHidden/>
          </w:rPr>
          <w:tab/>
        </w:r>
        <w:r w:rsidR="00BF65B2">
          <w:rPr>
            <w:webHidden/>
          </w:rPr>
          <w:fldChar w:fldCharType="begin"/>
        </w:r>
        <w:r w:rsidR="00BF65B2">
          <w:rPr>
            <w:webHidden/>
          </w:rPr>
          <w:instrText xml:space="preserve"> PAGEREF _Toc56669433 \h </w:instrText>
        </w:r>
        <w:r w:rsidR="00BF65B2">
          <w:rPr>
            <w:webHidden/>
          </w:rPr>
        </w:r>
        <w:r w:rsidR="00BF65B2">
          <w:rPr>
            <w:webHidden/>
          </w:rPr>
          <w:fldChar w:fldCharType="separate"/>
        </w:r>
        <w:r w:rsidR="00B92808">
          <w:rPr>
            <w:webHidden/>
          </w:rPr>
          <w:t>43</w:t>
        </w:r>
        <w:r w:rsidR="00BF65B2">
          <w:rPr>
            <w:webHidden/>
          </w:rPr>
          <w:fldChar w:fldCharType="end"/>
        </w:r>
      </w:hyperlink>
    </w:p>
    <w:p w14:paraId="6AB79FD3" w14:textId="0A89821B" w:rsidR="00BF65B2" w:rsidRDefault="00D53DE5">
      <w:pPr>
        <w:pStyle w:val="TOC1"/>
        <w:rPr>
          <w:rFonts w:asciiTheme="minorHAnsi" w:eastAsiaTheme="minorEastAsia" w:hAnsiTheme="minorHAnsi" w:cstheme="minorBidi"/>
          <w:b w:val="0"/>
          <w:sz w:val="22"/>
          <w:szCs w:val="22"/>
        </w:rPr>
      </w:pPr>
      <w:hyperlink w:anchor="_Toc56669434" w:history="1">
        <w:r w:rsidR="00BF65B2" w:rsidRPr="00E566AD">
          <w:rPr>
            <w:rStyle w:val="Hyperlink"/>
          </w:rPr>
          <w:t>G</w:t>
        </w:r>
        <w:r w:rsidR="00BF65B2">
          <w:rPr>
            <w:rFonts w:asciiTheme="minorHAnsi" w:eastAsiaTheme="minorEastAsia" w:hAnsiTheme="minorHAnsi" w:cstheme="minorBidi"/>
            <w:b w:val="0"/>
            <w:sz w:val="22"/>
            <w:szCs w:val="22"/>
          </w:rPr>
          <w:tab/>
        </w:r>
        <w:r w:rsidR="00BF65B2" w:rsidRPr="00E566AD">
          <w:rPr>
            <w:rStyle w:val="Hyperlink"/>
          </w:rPr>
          <w:t>Consultation</w:t>
        </w:r>
        <w:r w:rsidR="00BF65B2">
          <w:rPr>
            <w:webHidden/>
          </w:rPr>
          <w:tab/>
        </w:r>
        <w:r w:rsidR="00BF65B2">
          <w:rPr>
            <w:webHidden/>
          </w:rPr>
          <w:fldChar w:fldCharType="begin"/>
        </w:r>
        <w:r w:rsidR="00BF65B2">
          <w:rPr>
            <w:webHidden/>
          </w:rPr>
          <w:instrText xml:space="preserve"> PAGEREF _Toc56669434 \h </w:instrText>
        </w:r>
        <w:r w:rsidR="00BF65B2">
          <w:rPr>
            <w:webHidden/>
          </w:rPr>
        </w:r>
        <w:r w:rsidR="00BF65B2">
          <w:rPr>
            <w:webHidden/>
          </w:rPr>
          <w:fldChar w:fldCharType="separate"/>
        </w:r>
        <w:r w:rsidR="00B92808">
          <w:rPr>
            <w:webHidden/>
          </w:rPr>
          <w:t>45</w:t>
        </w:r>
        <w:r w:rsidR="00BF65B2">
          <w:rPr>
            <w:webHidden/>
          </w:rPr>
          <w:fldChar w:fldCharType="end"/>
        </w:r>
      </w:hyperlink>
    </w:p>
    <w:p w14:paraId="217B41CA" w14:textId="2A60128B" w:rsidR="00BF65B2" w:rsidRDefault="00D53DE5">
      <w:pPr>
        <w:pStyle w:val="TOC2"/>
        <w:rPr>
          <w:rFonts w:asciiTheme="minorHAnsi" w:eastAsiaTheme="minorEastAsia" w:hAnsiTheme="minorHAnsi" w:cstheme="minorBidi"/>
          <w:sz w:val="22"/>
          <w:szCs w:val="22"/>
        </w:rPr>
      </w:pPr>
      <w:hyperlink w:anchor="_Toc56669435" w:history="1">
        <w:r w:rsidR="00BF65B2" w:rsidRPr="00E566AD">
          <w:rPr>
            <w:rStyle w:val="Hyperlink"/>
          </w:rPr>
          <w:t>Release of CP 272 and feedback received</w:t>
        </w:r>
        <w:r w:rsidR="00BF65B2">
          <w:rPr>
            <w:webHidden/>
          </w:rPr>
          <w:tab/>
        </w:r>
        <w:r w:rsidR="00BF65B2">
          <w:rPr>
            <w:webHidden/>
          </w:rPr>
          <w:fldChar w:fldCharType="begin"/>
        </w:r>
        <w:r w:rsidR="00BF65B2">
          <w:rPr>
            <w:webHidden/>
          </w:rPr>
          <w:instrText xml:space="preserve"> PAGEREF _Toc56669435 \h </w:instrText>
        </w:r>
        <w:r w:rsidR="00BF65B2">
          <w:rPr>
            <w:webHidden/>
          </w:rPr>
        </w:r>
        <w:r w:rsidR="00BF65B2">
          <w:rPr>
            <w:webHidden/>
          </w:rPr>
          <w:fldChar w:fldCharType="separate"/>
        </w:r>
        <w:r w:rsidR="00B92808">
          <w:rPr>
            <w:webHidden/>
          </w:rPr>
          <w:t>45</w:t>
        </w:r>
        <w:r w:rsidR="00BF65B2">
          <w:rPr>
            <w:webHidden/>
          </w:rPr>
          <w:fldChar w:fldCharType="end"/>
        </w:r>
      </w:hyperlink>
    </w:p>
    <w:p w14:paraId="10979796" w14:textId="0F1A1911" w:rsidR="00BF65B2" w:rsidRDefault="00D53DE5">
      <w:pPr>
        <w:pStyle w:val="TOC2"/>
        <w:rPr>
          <w:rFonts w:asciiTheme="minorHAnsi" w:eastAsiaTheme="minorEastAsia" w:hAnsiTheme="minorHAnsi" w:cstheme="minorBidi"/>
          <w:sz w:val="22"/>
          <w:szCs w:val="22"/>
        </w:rPr>
      </w:pPr>
      <w:hyperlink w:anchor="_Toc56669436" w:history="1">
        <w:r w:rsidR="00BF65B2" w:rsidRPr="00E566AD">
          <w:rPr>
            <w:rStyle w:val="Hyperlink"/>
          </w:rPr>
          <w:t>Further consultation on proposals</w:t>
        </w:r>
        <w:r w:rsidR="00BF65B2">
          <w:rPr>
            <w:webHidden/>
          </w:rPr>
          <w:tab/>
        </w:r>
        <w:r w:rsidR="00BF65B2">
          <w:rPr>
            <w:webHidden/>
          </w:rPr>
          <w:fldChar w:fldCharType="begin"/>
        </w:r>
        <w:r w:rsidR="00BF65B2">
          <w:rPr>
            <w:webHidden/>
          </w:rPr>
          <w:instrText xml:space="preserve"> PAGEREF _Toc56669436 \h </w:instrText>
        </w:r>
        <w:r w:rsidR="00BF65B2">
          <w:rPr>
            <w:webHidden/>
          </w:rPr>
        </w:r>
        <w:r w:rsidR="00BF65B2">
          <w:rPr>
            <w:webHidden/>
          </w:rPr>
          <w:fldChar w:fldCharType="separate"/>
        </w:r>
        <w:r w:rsidR="00B92808">
          <w:rPr>
            <w:webHidden/>
          </w:rPr>
          <w:t>47</w:t>
        </w:r>
        <w:r w:rsidR="00BF65B2">
          <w:rPr>
            <w:webHidden/>
          </w:rPr>
          <w:fldChar w:fldCharType="end"/>
        </w:r>
      </w:hyperlink>
    </w:p>
    <w:p w14:paraId="229F079F" w14:textId="2487DF75" w:rsidR="00BF65B2" w:rsidRDefault="00D53DE5">
      <w:pPr>
        <w:pStyle w:val="TOC2"/>
        <w:rPr>
          <w:rFonts w:asciiTheme="minorHAnsi" w:eastAsiaTheme="minorEastAsia" w:hAnsiTheme="minorHAnsi" w:cstheme="minorBidi"/>
          <w:sz w:val="22"/>
          <w:szCs w:val="22"/>
        </w:rPr>
      </w:pPr>
      <w:hyperlink w:anchor="_Toc56669437" w:history="1">
        <w:r w:rsidR="00BF65B2" w:rsidRPr="00E566AD">
          <w:rPr>
            <w:rStyle w:val="Hyperlink"/>
          </w:rPr>
          <w:t>Consumer research</w:t>
        </w:r>
        <w:r w:rsidR="00BF65B2">
          <w:rPr>
            <w:webHidden/>
          </w:rPr>
          <w:tab/>
        </w:r>
        <w:r w:rsidR="00BF65B2">
          <w:rPr>
            <w:webHidden/>
          </w:rPr>
          <w:fldChar w:fldCharType="begin"/>
        </w:r>
        <w:r w:rsidR="00BF65B2">
          <w:rPr>
            <w:webHidden/>
          </w:rPr>
          <w:instrText xml:space="preserve"> PAGEREF _Toc56669437 \h </w:instrText>
        </w:r>
        <w:r w:rsidR="00BF65B2">
          <w:rPr>
            <w:webHidden/>
          </w:rPr>
        </w:r>
        <w:r w:rsidR="00BF65B2">
          <w:rPr>
            <w:webHidden/>
          </w:rPr>
          <w:fldChar w:fldCharType="separate"/>
        </w:r>
        <w:r w:rsidR="00B92808">
          <w:rPr>
            <w:webHidden/>
          </w:rPr>
          <w:t>49</w:t>
        </w:r>
        <w:r w:rsidR="00BF65B2">
          <w:rPr>
            <w:webHidden/>
          </w:rPr>
          <w:fldChar w:fldCharType="end"/>
        </w:r>
      </w:hyperlink>
    </w:p>
    <w:p w14:paraId="49F42618" w14:textId="691A2504" w:rsidR="00BF65B2" w:rsidRDefault="00D53DE5">
      <w:pPr>
        <w:pStyle w:val="TOC1"/>
        <w:rPr>
          <w:rFonts w:asciiTheme="minorHAnsi" w:eastAsiaTheme="minorEastAsia" w:hAnsiTheme="minorHAnsi" w:cstheme="minorBidi"/>
          <w:b w:val="0"/>
          <w:sz w:val="22"/>
          <w:szCs w:val="22"/>
        </w:rPr>
      </w:pPr>
      <w:hyperlink w:anchor="_Toc56669438" w:history="1">
        <w:r w:rsidR="00BF65B2" w:rsidRPr="00E566AD">
          <w:rPr>
            <w:rStyle w:val="Hyperlink"/>
          </w:rPr>
          <w:t>H</w:t>
        </w:r>
        <w:r w:rsidR="00BF65B2">
          <w:rPr>
            <w:rFonts w:asciiTheme="minorHAnsi" w:eastAsiaTheme="minorEastAsia" w:hAnsiTheme="minorHAnsi" w:cstheme="minorBidi"/>
            <w:b w:val="0"/>
            <w:sz w:val="22"/>
            <w:szCs w:val="22"/>
          </w:rPr>
          <w:tab/>
        </w:r>
        <w:r w:rsidR="00BF65B2" w:rsidRPr="00E566AD">
          <w:rPr>
            <w:rStyle w:val="Hyperlink"/>
          </w:rPr>
          <w:t>Preferred option</w:t>
        </w:r>
        <w:r w:rsidR="00BF65B2">
          <w:rPr>
            <w:webHidden/>
          </w:rPr>
          <w:tab/>
        </w:r>
        <w:r w:rsidR="00BF65B2">
          <w:rPr>
            <w:webHidden/>
          </w:rPr>
          <w:fldChar w:fldCharType="begin"/>
        </w:r>
        <w:r w:rsidR="00BF65B2">
          <w:rPr>
            <w:webHidden/>
          </w:rPr>
          <w:instrText xml:space="preserve"> PAGEREF _Toc56669438 \h </w:instrText>
        </w:r>
        <w:r w:rsidR="00BF65B2">
          <w:rPr>
            <w:webHidden/>
          </w:rPr>
        </w:r>
        <w:r w:rsidR="00BF65B2">
          <w:rPr>
            <w:webHidden/>
          </w:rPr>
          <w:fldChar w:fldCharType="separate"/>
        </w:r>
        <w:r w:rsidR="00B92808">
          <w:rPr>
            <w:webHidden/>
          </w:rPr>
          <w:t>50</w:t>
        </w:r>
        <w:r w:rsidR="00BF65B2">
          <w:rPr>
            <w:webHidden/>
          </w:rPr>
          <w:fldChar w:fldCharType="end"/>
        </w:r>
      </w:hyperlink>
    </w:p>
    <w:p w14:paraId="36663D90" w14:textId="5EF77408" w:rsidR="00BF65B2" w:rsidRDefault="00D53DE5">
      <w:pPr>
        <w:pStyle w:val="TOC1"/>
        <w:rPr>
          <w:rFonts w:asciiTheme="minorHAnsi" w:eastAsiaTheme="minorEastAsia" w:hAnsiTheme="minorHAnsi" w:cstheme="minorBidi"/>
          <w:b w:val="0"/>
          <w:sz w:val="22"/>
          <w:szCs w:val="22"/>
        </w:rPr>
      </w:pPr>
      <w:hyperlink w:anchor="_Toc56669439" w:history="1">
        <w:r w:rsidR="00BF65B2" w:rsidRPr="00E566AD">
          <w:rPr>
            <w:rStyle w:val="Hyperlink"/>
          </w:rPr>
          <w:t>I</w:t>
        </w:r>
        <w:r w:rsidR="00BF65B2">
          <w:rPr>
            <w:rFonts w:asciiTheme="minorHAnsi" w:eastAsiaTheme="minorEastAsia" w:hAnsiTheme="minorHAnsi" w:cstheme="minorBidi"/>
            <w:b w:val="0"/>
            <w:sz w:val="22"/>
            <w:szCs w:val="22"/>
          </w:rPr>
          <w:tab/>
        </w:r>
        <w:r w:rsidR="00BF65B2" w:rsidRPr="00E566AD">
          <w:rPr>
            <w:rStyle w:val="Hyperlink"/>
          </w:rPr>
          <w:t>Implementation plan</w:t>
        </w:r>
        <w:r w:rsidR="00BF65B2">
          <w:rPr>
            <w:webHidden/>
          </w:rPr>
          <w:tab/>
        </w:r>
        <w:r w:rsidR="00BF65B2">
          <w:rPr>
            <w:webHidden/>
          </w:rPr>
          <w:fldChar w:fldCharType="begin"/>
        </w:r>
        <w:r w:rsidR="00BF65B2">
          <w:rPr>
            <w:webHidden/>
          </w:rPr>
          <w:instrText xml:space="preserve"> PAGEREF _Toc56669439 \h </w:instrText>
        </w:r>
        <w:r w:rsidR="00BF65B2">
          <w:rPr>
            <w:webHidden/>
          </w:rPr>
        </w:r>
        <w:r w:rsidR="00BF65B2">
          <w:rPr>
            <w:webHidden/>
          </w:rPr>
          <w:fldChar w:fldCharType="separate"/>
        </w:r>
        <w:r w:rsidR="00B92808">
          <w:rPr>
            <w:webHidden/>
          </w:rPr>
          <w:t>52</w:t>
        </w:r>
        <w:r w:rsidR="00BF65B2">
          <w:rPr>
            <w:webHidden/>
          </w:rPr>
          <w:fldChar w:fldCharType="end"/>
        </w:r>
      </w:hyperlink>
    </w:p>
    <w:p w14:paraId="0B5484CC" w14:textId="31305F20" w:rsidR="00BF65B2" w:rsidRDefault="00D53DE5">
      <w:pPr>
        <w:pStyle w:val="TOC1"/>
        <w:rPr>
          <w:rFonts w:asciiTheme="minorHAnsi" w:eastAsiaTheme="minorEastAsia" w:hAnsiTheme="minorHAnsi" w:cstheme="minorBidi"/>
          <w:b w:val="0"/>
          <w:sz w:val="22"/>
          <w:szCs w:val="22"/>
        </w:rPr>
      </w:pPr>
      <w:hyperlink w:anchor="_Toc56669440" w:history="1">
        <w:r w:rsidR="00BF65B2" w:rsidRPr="00E566AD">
          <w:rPr>
            <w:rStyle w:val="Hyperlink"/>
          </w:rPr>
          <w:t>J</w:t>
        </w:r>
        <w:r w:rsidR="00BF65B2">
          <w:rPr>
            <w:rFonts w:asciiTheme="minorHAnsi" w:eastAsiaTheme="minorEastAsia" w:hAnsiTheme="minorHAnsi" w:cstheme="minorBidi"/>
            <w:b w:val="0"/>
            <w:sz w:val="22"/>
            <w:szCs w:val="22"/>
          </w:rPr>
          <w:tab/>
        </w:r>
        <w:r w:rsidR="00BF65B2" w:rsidRPr="00E566AD">
          <w:rPr>
            <w:rStyle w:val="Hyperlink"/>
          </w:rPr>
          <w:t>Evaluation plan</w:t>
        </w:r>
        <w:r w:rsidR="00BF65B2">
          <w:rPr>
            <w:webHidden/>
          </w:rPr>
          <w:tab/>
        </w:r>
        <w:r w:rsidR="00BF65B2">
          <w:rPr>
            <w:webHidden/>
          </w:rPr>
          <w:fldChar w:fldCharType="begin"/>
        </w:r>
        <w:r w:rsidR="00BF65B2">
          <w:rPr>
            <w:webHidden/>
          </w:rPr>
          <w:instrText xml:space="preserve"> PAGEREF _Toc56669440 \h </w:instrText>
        </w:r>
        <w:r w:rsidR="00BF65B2">
          <w:rPr>
            <w:webHidden/>
          </w:rPr>
        </w:r>
        <w:r w:rsidR="00BF65B2">
          <w:rPr>
            <w:webHidden/>
          </w:rPr>
          <w:fldChar w:fldCharType="separate"/>
        </w:r>
        <w:r w:rsidR="00B92808">
          <w:rPr>
            <w:webHidden/>
          </w:rPr>
          <w:t>53</w:t>
        </w:r>
        <w:r w:rsidR="00BF65B2">
          <w:rPr>
            <w:webHidden/>
          </w:rPr>
          <w:fldChar w:fldCharType="end"/>
        </w:r>
      </w:hyperlink>
    </w:p>
    <w:p w14:paraId="44774486" w14:textId="331BF6A9" w:rsidR="00BF65B2" w:rsidRDefault="00D53DE5">
      <w:pPr>
        <w:pStyle w:val="TOC1"/>
        <w:rPr>
          <w:rFonts w:asciiTheme="minorHAnsi" w:eastAsiaTheme="minorEastAsia" w:hAnsiTheme="minorHAnsi" w:cstheme="minorBidi"/>
          <w:b w:val="0"/>
          <w:sz w:val="22"/>
          <w:szCs w:val="22"/>
        </w:rPr>
      </w:pPr>
      <w:hyperlink w:anchor="_Toc56669441" w:history="1">
        <w:r w:rsidR="00BF65B2" w:rsidRPr="00E566AD">
          <w:rPr>
            <w:rStyle w:val="Hyperlink"/>
          </w:rPr>
          <w:t>Appendix: Background—Time-sharing schemes</w:t>
        </w:r>
        <w:r w:rsidR="00BF65B2">
          <w:rPr>
            <w:webHidden/>
          </w:rPr>
          <w:tab/>
        </w:r>
        <w:r w:rsidR="00BF65B2">
          <w:rPr>
            <w:webHidden/>
          </w:rPr>
          <w:fldChar w:fldCharType="begin"/>
        </w:r>
        <w:r w:rsidR="00BF65B2">
          <w:rPr>
            <w:webHidden/>
          </w:rPr>
          <w:instrText xml:space="preserve"> PAGEREF _Toc56669441 \h </w:instrText>
        </w:r>
        <w:r w:rsidR="00BF65B2">
          <w:rPr>
            <w:webHidden/>
          </w:rPr>
        </w:r>
        <w:r w:rsidR="00BF65B2">
          <w:rPr>
            <w:webHidden/>
          </w:rPr>
          <w:fldChar w:fldCharType="separate"/>
        </w:r>
        <w:r w:rsidR="00B92808">
          <w:rPr>
            <w:webHidden/>
          </w:rPr>
          <w:t>54</w:t>
        </w:r>
        <w:r w:rsidR="00BF65B2">
          <w:rPr>
            <w:webHidden/>
          </w:rPr>
          <w:fldChar w:fldCharType="end"/>
        </w:r>
      </w:hyperlink>
    </w:p>
    <w:p w14:paraId="2E8CAE49" w14:textId="774C8CBB" w:rsidR="00BF65B2" w:rsidRDefault="00D53DE5">
      <w:pPr>
        <w:pStyle w:val="TOC2"/>
        <w:rPr>
          <w:rFonts w:asciiTheme="minorHAnsi" w:eastAsiaTheme="minorEastAsia" w:hAnsiTheme="minorHAnsi" w:cstheme="minorBidi"/>
          <w:sz w:val="22"/>
          <w:szCs w:val="22"/>
        </w:rPr>
      </w:pPr>
      <w:hyperlink w:anchor="_Toc56669442" w:history="1">
        <w:r w:rsidR="00BF65B2" w:rsidRPr="00E566AD">
          <w:rPr>
            <w:rStyle w:val="Hyperlink"/>
          </w:rPr>
          <w:t>What is a time-sharing scheme?</w:t>
        </w:r>
        <w:r w:rsidR="00BF65B2">
          <w:rPr>
            <w:webHidden/>
          </w:rPr>
          <w:tab/>
        </w:r>
        <w:r w:rsidR="00BF65B2">
          <w:rPr>
            <w:webHidden/>
          </w:rPr>
          <w:fldChar w:fldCharType="begin"/>
        </w:r>
        <w:r w:rsidR="00BF65B2">
          <w:rPr>
            <w:webHidden/>
          </w:rPr>
          <w:instrText xml:space="preserve"> PAGEREF _Toc56669442 \h </w:instrText>
        </w:r>
        <w:r w:rsidR="00BF65B2">
          <w:rPr>
            <w:webHidden/>
          </w:rPr>
        </w:r>
        <w:r w:rsidR="00BF65B2">
          <w:rPr>
            <w:webHidden/>
          </w:rPr>
          <w:fldChar w:fldCharType="separate"/>
        </w:r>
        <w:r w:rsidR="00B92808">
          <w:rPr>
            <w:webHidden/>
          </w:rPr>
          <w:t>54</w:t>
        </w:r>
        <w:r w:rsidR="00BF65B2">
          <w:rPr>
            <w:webHidden/>
          </w:rPr>
          <w:fldChar w:fldCharType="end"/>
        </w:r>
      </w:hyperlink>
    </w:p>
    <w:p w14:paraId="6606E5AF" w14:textId="6F3406CF" w:rsidR="00BF65B2" w:rsidRDefault="00D53DE5">
      <w:pPr>
        <w:pStyle w:val="TOC2"/>
        <w:rPr>
          <w:rFonts w:asciiTheme="minorHAnsi" w:eastAsiaTheme="minorEastAsia" w:hAnsiTheme="minorHAnsi" w:cstheme="minorBidi"/>
          <w:sz w:val="22"/>
          <w:szCs w:val="22"/>
        </w:rPr>
      </w:pPr>
      <w:hyperlink w:anchor="_Toc56669443" w:history="1">
        <w:r w:rsidR="00BF65B2" w:rsidRPr="00E566AD">
          <w:rPr>
            <w:rStyle w:val="Hyperlink"/>
          </w:rPr>
          <w:t>Selling, advice and disclosure practices</w:t>
        </w:r>
        <w:r w:rsidR="00BF65B2">
          <w:rPr>
            <w:webHidden/>
          </w:rPr>
          <w:tab/>
        </w:r>
        <w:r w:rsidR="00BF65B2">
          <w:rPr>
            <w:webHidden/>
          </w:rPr>
          <w:fldChar w:fldCharType="begin"/>
        </w:r>
        <w:r w:rsidR="00BF65B2">
          <w:rPr>
            <w:webHidden/>
          </w:rPr>
          <w:instrText xml:space="preserve"> PAGEREF _Toc56669443 \h </w:instrText>
        </w:r>
        <w:r w:rsidR="00BF65B2">
          <w:rPr>
            <w:webHidden/>
          </w:rPr>
        </w:r>
        <w:r w:rsidR="00BF65B2">
          <w:rPr>
            <w:webHidden/>
          </w:rPr>
          <w:fldChar w:fldCharType="separate"/>
        </w:r>
        <w:r w:rsidR="00B92808">
          <w:rPr>
            <w:webHidden/>
          </w:rPr>
          <w:t>54</w:t>
        </w:r>
        <w:r w:rsidR="00BF65B2">
          <w:rPr>
            <w:webHidden/>
          </w:rPr>
          <w:fldChar w:fldCharType="end"/>
        </w:r>
      </w:hyperlink>
    </w:p>
    <w:p w14:paraId="31A64923" w14:textId="1F06928B" w:rsidR="00BF65B2" w:rsidRDefault="00D53DE5">
      <w:pPr>
        <w:pStyle w:val="TOC2"/>
        <w:rPr>
          <w:rFonts w:asciiTheme="minorHAnsi" w:eastAsiaTheme="minorEastAsia" w:hAnsiTheme="minorHAnsi" w:cstheme="minorBidi"/>
          <w:sz w:val="22"/>
          <w:szCs w:val="22"/>
        </w:rPr>
      </w:pPr>
      <w:hyperlink w:anchor="_Toc56669444" w:history="1">
        <w:r w:rsidR="00BF65B2" w:rsidRPr="00E566AD">
          <w:rPr>
            <w:rStyle w:val="Hyperlink"/>
          </w:rPr>
          <w:t>Exit arrangements</w:t>
        </w:r>
        <w:r w:rsidR="00BF65B2">
          <w:rPr>
            <w:webHidden/>
          </w:rPr>
          <w:tab/>
        </w:r>
        <w:r w:rsidR="00BF65B2">
          <w:rPr>
            <w:webHidden/>
          </w:rPr>
          <w:fldChar w:fldCharType="begin"/>
        </w:r>
        <w:r w:rsidR="00BF65B2">
          <w:rPr>
            <w:webHidden/>
          </w:rPr>
          <w:instrText xml:space="preserve"> PAGEREF _Toc56669444 \h </w:instrText>
        </w:r>
        <w:r w:rsidR="00BF65B2">
          <w:rPr>
            <w:webHidden/>
          </w:rPr>
        </w:r>
        <w:r w:rsidR="00BF65B2">
          <w:rPr>
            <w:webHidden/>
          </w:rPr>
          <w:fldChar w:fldCharType="separate"/>
        </w:r>
        <w:r w:rsidR="00B92808">
          <w:rPr>
            <w:webHidden/>
          </w:rPr>
          <w:t>55</w:t>
        </w:r>
        <w:r w:rsidR="00BF65B2">
          <w:rPr>
            <w:webHidden/>
          </w:rPr>
          <w:fldChar w:fldCharType="end"/>
        </w:r>
      </w:hyperlink>
    </w:p>
    <w:p w14:paraId="53508008" w14:textId="4376FC09" w:rsidR="00BF65B2" w:rsidRDefault="00D53DE5">
      <w:pPr>
        <w:pStyle w:val="TOC2"/>
        <w:rPr>
          <w:rFonts w:asciiTheme="minorHAnsi" w:eastAsiaTheme="minorEastAsia" w:hAnsiTheme="minorHAnsi" w:cstheme="minorBidi"/>
          <w:sz w:val="22"/>
          <w:szCs w:val="22"/>
        </w:rPr>
      </w:pPr>
      <w:hyperlink w:anchor="_Toc56669445" w:history="1">
        <w:r w:rsidR="00BF65B2" w:rsidRPr="00E566AD">
          <w:rPr>
            <w:rStyle w:val="Hyperlink"/>
          </w:rPr>
          <w:t>ASIC regulation of time-sharing schemes</w:t>
        </w:r>
        <w:r w:rsidR="00BF65B2">
          <w:rPr>
            <w:webHidden/>
          </w:rPr>
          <w:tab/>
        </w:r>
        <w:r w:rsidR="00BF65B2">
          <w:rPr>
            <w:webHidden/>
          </w:rPr>
          <w:fldChar w:fldCharType="begin"/>
        </w:r>
        <w:r w:rsidR="00BF65B2">
          <w:rPr>
            <w:webHidden/>
          </w:rPr>
          <w:instrText xml:space="preserve"> PAGEREF _Toc56669445 \h </w:instrText>
        </w:r>
        <w:r w:rsidR="00BF65B2">
          <w:rPr>
            <w:webHidden/>
          </w:rPr>
        </w:r>
        <w:r w:rsidR="00BF65B2">
          <w:rPr>
            <w:webHidden/>
          </w:rPr>
          <w:fldChar w:fldCharType="separate"/>
        </w:r>
        <w:r w:rsidR="00B92808">
          <w:rPr>
            <w:webHidden/>
          </w:rPr>
          <w:t>56</w:t>
        </w:r>
        <w:r w:rsidR="00BF65B2">
          <w:rPr>
            <w:webHidden/>
          </w:rPr>
          <w:fldChar w:fldCharType="end"/>
        </w:r>
      </w:hyperlink>
    </w:p>
    <w:p w14:paraId="524C9536" w14:textId="5EEF1D19" w:rsidR="00BF65B2" w:rsidRDefault="00D53DE5">
      <w:pPr>
        <w:pStyle w:val="TOC1"/>
        <w:rPr>
          <w:rFonts w:asciiTheme="minorHAnsi" w:eastAsiaTheme="minorEastAsia" w:hAnsiTheme="minorHAnsi" w:cstheme="minorBidi"/>
          <w:b w:val="0"/>
          <w:sz w:val="22"/>
          <w:szCs w:val="22"/>
        </w:rPr>
      </w:pPr>
      <w:hyperlink w:anchor="_Toc56669446" w:history="1">
        <w:r w:rsidR="00BF65B2" w:rsidRPr="00E566AD">
          <w:rPr>
            <w:rStyle w:val="Hyperlink"/>
          </w:rPr>
          <w:t>Key terms</w:t>
        </w:r>
        <w:r w:rsidR="00BF65B2">
          <w:rPr>
            <w:webHidden/>
          </w:rPr>
          <w:tab/>
        </w:r>
        <w:r w:rsidR="00BF65B2">
          <w:rPr>
            <w:webHidden/>
          </w:rPr>
          <w:fldChar w:fldCharType="begin"/>
        </w:r>
        <w:r w:rsidR="00BF65B2">
          <w:rPr>
            <w:webHidden/>
          </w:rPr>
          <w:instrText xml:space="preserve"> PAGEREF _Toc56669446 \h </w:instrText>
        </w:r>
        <w:r w:rsidR="00BF65B2">
          <w:rPr>
            <w:webHidden/>
          </w:rPr>
        </w:r>
        <w:r w:rsidR="00BF65B2">
          <w:rPr>
            <w:webHidden/>
          </w:rPr>
          <w:fldChar w:fldCharType="separate"/>
        </w:r>
        <w:r w:rsidR="00B92808">
          <w:rPr>
            <w:webHidden/>
          </w:rPr>
          <w:t>61</w:t>
        </w:r>
        <w:r w:rsidR="00BF65B2">
          <w:rPr>
            <w:webHidden/>
          </w:rPr>
          <w:fldChar w:fldCharType="end"/>
        </w:r>
      </w:hyperlink>
    </w:p>
    <w:p w14:paraId="5F051E71" w14:textId="0D5DBA4D" w:rsidR="00BF65B2" w:rsidRDefault="00D53DE5">
      <w:pPr>
        <w:pStyle w:val="TOC1"/>
        <w:rPr>
          <w:rFonts w:asciiTheme="minorHAnsi" w:eastAsiaTheme="minorEastAsia" w:hAnsiTheme="minorHAnsi" w:cstheme="minorBidi"/>
          <w:b w:val="0"/>
          <w:sz w:val="22"/>
          <w:szCs w:val="22"/>
        </w:rPr>
      </w:pPr>
      <w:hyperlink w:anchor="_Toc56669447" w:history="1">
        <w:r w:rsidR="00BF65B2" w:rsidRPr="00E566AD">
          <w:rPr>
            <w:rStyle w:val="Hyperlink"/>
          </w:rPr>
          <w:t>Related information</w:t>
        </w:r>
        <w:r w:rsidR="00BF65B2">
          <w:rPr>
            <w:webHidden/>
          </w:rPr>
          <w:tab/>
        </w:r>
        <w:r w:rsidR="00BF65B2">
          <w:rPr>
            <w:webHidden/>
          </w:rPr>
          <w:fldChar w:fldCharType="begin"/>
        </w:r>
        <w:r w:rsidR="00BF65B2">
          <w:rPr>
            <w:webHidden/>
          </w:rPr>
          <w:instrText xml:space="preserve"> PAGEREF _Toc56669447 \h </w:instrText>
        </w:r>
        <w:r w:rsidR="00BF65B2">
          <w:rPr>
            <w:webHidden/>
          </w:rPr>
        </w:r>
        <w:r w:rsidR="00BF65B2">
          <w:rPr>
            <w:webHidden/>
          </w:rPr>
          <w:fldChar w:fldCharType="separate"/>
        </w:r>
        <w:r w:rsidR="00B92808">
          <w:rPr>
            <w:webHidden/>
          </w:rPr>
          <w:t>66</w:t>
        </w:r>
        <w:r w:rsidR="00BF65B2">
          <w:rPr>
            <w:webHidden/>
          </w:rPr>
          <w:fldChar w:fldCharType="end"/>
        </w:r>
      </w:hyperlink>
    </w:p>
    <w:p w14:paraId="7A6CD4CA" w14:textId="626DCF7B" w:rsidR="00763C61" w:rsidRPr="00423297" w:rsidRDefault="006B1E1E" w:rsidP="00840C4A">
      <w:pPr>
        <w:pStyle w:val="Heading1"/>
        <w:rPr>
          <w:noProof/>
        </w:rPr>
      </w:pPr>
      <w:r w:rsidRPr="00423297">
        <w:rPr>
          <w:rFonts w:ascii="HelveticaNeue LT 55 Roman" w:hAnsi="HelveticaNeue LT 55 Roman"/>
          <w:noProof/>
          <w:sz w:val="20"/>
        </w:rPr>
        <w:lastRenderedPageBreak/>
        <w:fldChar w:fldCharType="end"/>
      </w:r>
      <w:bookmarkStart w:id="7" w:name="_Toc36467225"/>
      <w:bookmarkStart w:id="8" w:name="_Toc56669415"/>
      <w:r w:rsidR="00EC7D4F" w:rsidRPr="00423297">
        <w:rPr>
          <w:noProof/>
        </w:rPr>
        <w:t xml:space="preserve">Executive </w:t>
      </w:r>
      <w:r w:rsidR="00827368" w:rsidRPr="00423297">
        <w:rPr>
          <w:noProof/>
        </w:rPr>
        <w:t>s</w:t>
      </w:r>
      <w:r w:rsidR="00EC7D4F" w:rsidRPr="00423297">
        <w:rPr>
          <w:noProof/>
        </w:rPr>
        <w:t>ummary</w:t>
      </w:r>
      <w:bookmarkEnd w:id="7"/>
      <w:bookmarkEnd w:id="8"/>
    </w:p>
    <w:p w14:paraId="487AA73E" w14:textId="4AF50061" w:rsidR="00763C61" w:rsidRPr="00423297" w:rsidRDefault="00741C6A" w:rsidP="00D61E78">
      <w:pPr>
        <w:pStyle w:val="BodyText"/>
        <w:spacing w:before="0"/>
      </w:pPr>
      <w:r w:rsidRPr="00423297">
        <w:t>We</w:t>
      </w:r>
      <w:r w:rsidR="00763C61" w:rsidRPr="00423297">
        <w:t xml:space="preserve"> ha</w:t>
      </w:r>
      <w:r w:rsidRPr="00423297">
        <w:t>ve</w:t>
      </w:r>
      <w:r w:rsidR="00763C61" w:rsidRPr="00423297">
        <w:t xml:space="preserve"> provided technical relief for time-sharing schemes from certain requirements in the </w:t>
      </w:r>
      <w:r w:rsidR="00682FBE" w:rsidRPr="00423297">
        <w:rPr>
          <w:i/>
        </w:rPr>
        <w:t>Corporations Act 2001</w:t>
      </w:r>
      <w:r w:rsidR="00682FBE" w:rsidRPr="00423297">
        <w:t xml:space="preserve"> (Corporations Act)</w:t>
      </w:r>
      <w:r w:rsidR="003B77BF" w:rsidRPr="00423297">
        <w:t xml:space="preserve"> </w:t>
      </w:r>
      <w:r w:rsidR="00763C61" w:rsidRPr="00423297">
        <w:t>by a series of class orders and individual relief</w:t>
      </w:r>
      <w:r w:rsidRPr="00423297">
        <w:t>. This is</w:t>
      </w:r>
      <w:r w:rsidR="00763C61" w:rsidRPr="00423297">
        <w:t xml:space="preserve"> because they are </w:t>
      </w:r>
      <w:r w:rsidR="00D61E78">
        <w:t>‘</w:t>
      </w:r>
      <w:r w:rsidR="00763C61" w:rsidRPr="00423297">
        <w:t>lifestyle products</w:t>
      </w:r>
      <w:r w:rsidR="00D61E78">
        <w:t>’</w:t>
      </w:r>
      <w:r w:rsidR="00763C61" w:rsidRPr="00423297">
        <w:t xml:space="preserve"> that are not purchased to generate a financial return</w:t>
      </w:r>
      <w:r w:rsidR="00761FCD" w:rsidRPr="00423297">
        <w:t>.</w:t>
      </w:r>
    </w:p>
    <w:p w14:paraId="38CFB3E0" w14:textId="5E2DCD70" w:rsidR="00741C6A" w:rsidRPr="00423297" w:rsidRDefault="00741C6A" w:rsidP="00086F6D">
      <w:pPr>
        <w:pStyle w:val="BodyText"/>
      </w:pPr>
      <w:r w:rsidRPr="00423297">
        <w:t>We have imposed the c</w:t>
      </w:r>
      <w:r w:rsidR="00763C61" w:rsidRPr="00423297">
        <w:t xml:space="preserve">onditions </w:t>
      </w:r>
      <w:r w:rsidRPr="00423297">
        <w:t>on</w:t>
      </w:r>
      <w:r w:rsidR="00763C61" w:rsidRPr="00423297">
        <w:t xml:space="preserve"> </w:t>
      </w:r>
      <w:r w:rsidR="0056484D" w:rsidRPr="00423297">
        <w:t xml:space="preserve">some of </w:t>
      </w:r>
      <w:r w:rsidR="00763C61" w:rsidRPr="00423297">
        <w:t>the relief to address consumer harms that arise because of</w:t>
      </w:r>
      <w:r w:rsidRPr="00423297">
        <w:t>:</w:t>
      </w:r>
      <w:r w:rsidR="00763C61" w:rsidRPr="00423297">
        <w:t xml:space="preserve"> </w:t>
      </w:r>
    </w:p>
    <w:p w14:paraId="55E2A849" w14:textId="6C5E7198" w:rsidR="00741C6A" w:rsidRPr="00423297" w:rsidRDefault="00763C61" w:rsidP="00741C6A">
      <w:pPr>
        <w:pStyle w:val="subparaa"/>
      </w:pPr>
      <w:r w:rsidRPr="00423297">
        <w:t>same-day</w:t>
      </w:r>
      <w:r w:rsidR="00D017C0" w:rsidRPr="00423297">
        <w:t xml:space="preserve"> </w:t>
      </w:r>
      <w:r w:rsidRPr="00423297">
        <w:t>sales practices</w:t>
      </w:r>
      <w:r w:rsidR="00741C6A" w:rsidRPr="00423297">
        <w:t>;</w:t>
      </w:r>
      <w:r w:rsidRPr="00423297">
        <w:t xml:space="preserve"> </w:t>
      </w:r>
    </w:p>
    <w:p w14:paraId="723F18BA" w14:textId="641A91E9" w:rsidR="00741C6A" w:rsidRPr="00423297" w:rsidRDefault="00763C61" w:rsidP="00741C6A">
      <w:pPr>
        <w:pStyle w:val="subparaa"/>
      </w:pPr>
      <w:r w:rsidRPr="00423297">
        <w:t xml:space="preserve">ongoing financial obligations associated with ownership of </w:t>
      </w:r>
      <w:r w:rsidR="00896897" w:rsidRPr="00423297">
        <w:t xml:space="preserve">interests in </w:t>
      </w:r>
      <w:r w:rsidRPr="00423297">
        <w:t>time-shar</w:t>
      </w:r>
      <w:r w:rsidR="00896897" w:rsidRPr="00423297">
        <w:t>ing schemes</w:t>
      </w:r>
      <w:r w:rsidR="00741C6A" w:rsidRPr="00423297">
        <w:t>;</w:t>
      </w:r>
      <w:r w:rsidRPr="00423297">
        <w:t xml:space="preserve"> and </w:t>
      </w:r>
    </w:p>
    <w:p w14:paraId="4BA5827B" w14:textId="16F28E05" w:rsidR="00763C61" w:rsidRPr="00423297" w:rsidRDefault="00763C61" w:rsidP="00953431">
      <w:pPr>
        <w:pStyle w:val="subparaa"/>
      </w:pPr>
      <w:proofErr w:type="gramStart"/>
      <w:r w:rsidRPr="00423297">
        <w:t>the</w:t>
      </w:r>
      <w:proofErr w:type="gramEnd"/>
      <w:r w:rsidRPr="00423297">
        <w:t xml:space="preserve"> limited withdrawal arrangements that exist once a consumer becomes a member of a time-sharing scheme. </w:t>
      </w:r>
    </w:p>
    <w:p w14:paraId="6FC651BD" w14:textId="4C53A4F7" w:rsidR="003B77BF" w:rsidRPr="00423297" w:rsidRDefault="00963FC3" w:rsidP="00963FC3">
      <w:pPr>
        <w:pStyle w:val="Note"/>
      </w:pPr>
      <w:r w:rsidRPr="00423297">
        <w:t>Note</w:t>
      </w:r>
      <w:r w:rsidR="003B77BF" w:rsidRPr="00423297">
        <w:t xml:space="preserve"> 1</w:t>
      </w:r>
      <w:r w:rsidRPr="00423297">
        <w:t xml:space="preserve">: </w:t>
      </w:r>
      <w:r w:rsidR="007F6CB7" w:rsidRPr="00423297">
        <w:t xml:space="preserve">In this RIS, </w:t>
      </w:r>
      <w:r w:rsidR="00D61E78">
        <w:t>‘</w:t>
      </w:r>
      <w:r w:rsidR="007F6CB7" w:rsidRPr="00423297">
        <w:t>consumer</w:t>
      </w:r>
      <w:r w:rsidR="00D61E78">
        <w:t>’</w:t>
      </w:r>
      <w:r w:rsidR="007F6CB7" w:rsidRPr="00423297">
        <w:t xml:space="preserve"> means a retail client </w:t>
      </w:r>
      <w:r w:rsidR="00B66AC6" w:rsidRPr="00423297">
        <w:t>(</w:t>
      </w:r>
      <w:r w:rsidR="007F6CB7" w:rsidRPr="00423297">
        <w:t>as defined in s761G and 761GA of the Corporations Act</w:t>
      </w:r>
      <w:r w:rsidR="00B66AC6" w:rsidRPr="00423297">
        <w:t xml:space="preserve">) and a natural person or strata corporation (as defined in s6 of the </w:t>
      </w:r>
      <w:bookmarkStart w:id="9" w:name="_Hlk56123221"/>
      <w:r w:rsidR="004D001C" w:rsidRPr="00423297">
        <w:rPr>
          <w:i/>
        </w:rPr>
        <w:t xml:space="preserve">National Consumer Credit Protection Act 2009 </w:t>
      </w:r>
      <w:bookmarkEnd w:id="9"/>
      <w:r w:rsidR="004D001C" w:rsidRPr="00423297">
        <w:t>(</w:t>
      </w:r>
      <w:r w:rsidR="00B66AC6" w:rsidRPr="00423297">
        <w:t>National Credit Act</w:t>
      </w:r>
      <w:r w:rsidR="004D001C" w:rsidRPr="00423297">
        <w:t>)</w:t>
      </w:r>
      <w:r w:rsidR="00B66AC6" w:rsidRPr="00423297">
        <w:t>)</w:t>
      </w:r>
      <w:r w:rsidR="007F6CB7" w:rsidRPr="00423297">
        <w:t xml:space="preserve">. </w:t>
      </w:r>
    </w:p>
    <w:p w14:paraId="73E4D61D" w14:textId="35E68436" w:rsidR="00963FC3" w:rsidRPr="00423297" w:rsidRDefault="003B77BF" w:rsidP="00963FC3">
      <w:pPr>
        <w:pStyle w:val="Note"/>
      </w:pPr>
      <w:r w:rsidRPr="00423297">
        <w:t>Note 2:</w:t>
      </w:r>
      <w:r w:rsidR="00B66AC6" w:rsidRPr="00423297">
        <w:t xml:space="preserve"> </w:t>
      </w:r>
      <w:r w:rsidR="00963FC3" w:rsidRPr="00423297">
        <w:t xml:space="preserve">Further information about time-sharing schemes and ASIC regulation can be found in </w:t>
      </w:r>
      <w:r w:rsidR="00741C6A" w:rsidRPr="00423297">
        <w:t>the a</w:t>
      </w:r>
      <w:r w:rsidR="00827368" w:rsidRPr="00423297">
        <w:t>pp</w:t>
      </w:r>
      <w:r w:rsidR="00741C6A" w:rsidRPr="00423297">
        <w:t>endix</w:t>
      </w:r>
      <w:r w:rsidR="00A64987" w:rsidRPr="00423297">
        <w:t>.</w:t>
      </w:r>
    </w:p>
    <w:p w14:paraId="28135CA0" w14:textId="77777777" w:rsidR="00516910" w:rsidRPr="00423297" w:rsidRDefault="00516910" w:rsidP="008250FD">
      <w:pPr>
        <w:pStyle w:val="Heading2"/>
      </w:pPr>
      <w:bookmarkStart w:id="10" w:name="_Toc36467226"/>
      <w:bookmarkStart w:id="11" w:name="_Toc56669416"/>
      <w:r w:rsidRPr="00423297">
        <w:t>What is the problem?</w:t>
      </w:r>
      <w:bookmarkEnd w:id="10"/>
      <w:bookmarkEnd w:id="11"/>
    </w:p>
    <w:p w14:paraId="4741DCFF" w14:textId="77777777" w:rsidR="00E72E7E" w:rsidRPr="00423297" w:rsidRDefault="003B77BF">
      <w:pPr>
        <w:pStyle w:val="BodyText"/>
      </w:pPr>
      <w:bookmarkStart w:id="12" w:name="_ASICRef961"/>
      <w:r w:rsidRPr="00423297">
        <w:t>We have recent</w:t>
      </w:r>
      <w:r w:rsidR="00E72E7E" w:rsidRPr="00423297">
        <w:t>ly:</w:t>
      </w:r>
      <w:bookmarkEnd w:id="12"/>
    </w:p>
    <w:p w14:paraId="087A81C4" w14:textId="42A65C73" w:rsidR="00E72E7E" w:rsidRPr="00423297" w:rsidRDefault="00E72E7E" w:rsidP="00E72E7E">
      <w:pPr>
        <w:pStyle w:val="subparaa"/>
      </w:pPr>
      <w:r w:rsidRPr="00423297">
        <w:t xml:space="preserve">undertaken </w:t>
      </w:r>
      <w:r w:rsidR="002937C0" w:rsidRPr="00423297">
        <w:t>formal consultation</w:t>
      </w:r>
      <w:r w:rsidR="004D001C" w:rsidRPr="00423297">
        <w:t>;</w:t>
      </w:r>
      <w:r w:rsidR="00270FAE" w:rsidRPr="00423297">
        <w:t xml:space="preserve"> </w:t>
      </w:r>
    </w:p>
    <w:p w14:paraId="5CCF4C27" w14:textId="6AAE7827" w:rsidR="00E72E7E" w:rsidRPr="00423297" w:rsidRDefault="00E72E7E" w:rsidP="00E72E7E">
      <w:pPr>
        <w:pStyle w:val="subparaa"/>
      </w:pPr>
      <w:r w:rsidRPr="00423297">
        <w:t xml:space="preserve">commissioned </w:t>
      </w:r>
      <w:r w:rsidR="00270FAE" w:rsidRPr="00423297">
        <w:t>independent research</w:t>
      </w:r>
      <w:r w:rsidR="00A860D9" w:rsidRPr="00423297">
        <w:t xml:space="preserve"> </w:t>
      </w:r>
      <w:r w:rsidR="00270FAE" w:rsidRPr="00423297">
        <w:t xml:space="preserve">into </w:t>
      </w:r>
      <w:r w:rsidR="004D3E25" w:rsidRPr="00423297">
        <w:t>consumers</w:t>
      </w:r>
      <w:r w:rsidR="00D61E78">
        <w:t>’</w:t>
      </w:r>
      <w:r w:rsidR="004D3E25" w:rsidRPr="00423297">
        <w:t xml:space="preserve"> </w:t>
      </w:r>
      <w:r w:rsidR="00270FAE" w:rsidRPr="00423297">
        <w:t>experience</w:t>
      </w:r>
      <w:r w:rsidR="004D3E25" w:rsidRPr="00423297">
        <w:t>s with time</w:t>
      </w:r>
      <w:r w:rsidR="003B77BF" w:rsidRPr="00423297">
        <w:t>-</w:t>
      </w:r>
      <w:r w:rsidR="004D3E25" w:rsidRPr="00423297">
        <w:t>shar</w:t>
      </w:r>
      <w:r w:rsidR="003B77BF" w:rsidRPr="00423297">
        <w:t>ing schem</w:t>
      </w:r>
      <w:r w:rsidR="004D3E25" w:rsidRPr="00423297">
        <w:t>e</w:t>
      </w:r>
      <w:r w:rsidR="003B77BF" w:rsidRPr="00423297">
        <w:t>s</w:t>
      </w:r>
      <w:r w:rsidR="004D3E25" w:rsidRPr="00423297">
        <w:t xml:space="preserve"> and</w:t>
      </w:r>
      <w:r w:rsidR="00270FAE" w:rsidRPr="00423297">
        <w:t xml:space="preserve"> </w:t>
      </w:r>
      <w:r w:rsidR="004D3E25" w:rsidRPr="00423297">
        <w:t xml:space="preserve">the financial value of </w:t>
      </w:r>
      <w:r w:rsidR="003B77BF" w:rsidRPr="00423297">
        <w:t xml:space="preserve">an interest in a </w:t>
      </w:r>
      <w:r w:rsidR="004D3E25" w:rsidRPr="00423297">
        <w:t>time</w:t>
      </w:r>
      <w:r w:rsidR="003B77BF" w:rsidRPr="00423297">
        <w:t>-</w:t>
      </w:r>
      <w:r w:rsidR="004D3E25" w:rsidRPr="00423297">
        <w:t>shar</w:t>
      </w:r>
      <w:r w:rsidR="003B77BF" w:rsidRPr="00423297">
        <w:t>ing schem</w:t>
      </w:r>
      <w:r w:rsidR="004D3E25" w:rsidRPr="00423297">
        <w:t>e for consumers</w:t>
      </w:r>
      <w:r w:rsidRPr="00423297">
        <w:t>;</w:t>
      </w:r>
      <w:r w:rsidR="002937C0" w:rsidRPr="00423297">
        <w:t xml:space="preserve"> and</w:t>
      </w:r>
      <w:r w:rsidR="00270FAE" w:rsidRPr="00423297">
        <w:t xml:space="preserve"> </w:t>
      </w:r>
    </w:p>
    <w:p w14:paraId="4E070EAF" w14:textId="4A263471" w:rsidR="00E72E7E" w:rsidRPr="00423297" w:rsidRDefault="00E72E7E" w:rsidP="00BB428A">
      <w:pPr>
        <w:pStyle w:val="Note"/>
      </w:pPr>
      <w:r w:rsidRPr="00423297">
        <w:t xml:space="preserve">Note: For a summary of the findings from the research, see </w:t>
      </w:r>
      <w:hyperlink r:id="rId8" w:history="1">
        <w:r w:rsidRPr="00423297">
          <w:rPr>
            <w:rStyle w:val="Hyperlink"/>
          </w:rPr>
          <w:t>Media Release (19-339MR)</w:t>
        </w:r>
      </w:hyperlink>
      <w:r w:rsidRPr="00423297">
        <w:t xml:space="preserve"> </w:t>
      </w:r>
      <w:r w:rsidRPr="00423297">
        <w:rPr>
          <w:i/>
        </w:rPr>
        <w:t xml:space="preserve">ASIC report offers insights into consumer harm from timeshare schemes </w:t>
      </w:r>
      <w:r w:rsidRPr="00423297">
        <w:t xml:space="preserve">(6 December 2019) and </w:t>
      </w:r>
      <w:bookmarkStart w:id="13" w:name="_Hlk38959471"/>
      <w:r w:rsidR="00F32D11" w:rsidRPr="00423297">
        <w:fldChar w:fldCharType="begin"/>
      </w:r>
      <w:r w:rsidR="00F32D11" w:rsidRPr="00423297">
        <w:instrText xml:space="preserve"> HYPERLINK "https://asic.gov.au/regulatory-resources/find-a-document/reports/rep-642-timeshare-consumers-experiences/" </w:instrText>
      </w:r>
      <w:r w:rsidR="00F32D11" w:rsidRPr="00423297">
        <w:fldChar w:fldCharType="separate"/>
      </w:r>
      <w:r w:rsidRPr="00423297">
        <w:rPr>
          <w:rStyle w:val="Hyperlink"/>
        </w:rPr>
        <w:t>Report 642</w:t>
      </w:r>
      <w:r w:rsidR="00F32D11" w:rsidRPr="00423297">
        <w:rPr>
          <w:rStyle w:val="Hyperlink"/>
        </w:rPr>
        <w:fldChar w:fldCharType="end"/>
      </w:r>
      <w:bookmarkEnd w:id="13"/>
      <w:r w:rsidRPr="00423297">
        <w:t xml:space="preserve"> </w:t>
      </w:r>
      <w:r w:rsidRPr="00423297">
        <w:rPr>
          <w:i/>
        </w:rPr>
        <w:t>Timeshare: Consumers</w:t>
      </w:r>
      <w:r w:rsidR="00D61E78">
        <w:rPr>
          <w:i/>
        </w:rPr>
        <w:t>’</w:t>
      </w:r>
      <w:r w:rsidRPr="00423297">
        <w:rPr>
          <w:i/>
        </w:rPr>
        <w:t xml:space="preserve"> experiences</w:t>
      </w:r>
      <w:r w:rsidRPr="00423297">
        <w:t xml:space="preserve"> (REP 642).</w:t>
      </w:r>
    </w:p>
    <w:p w14:paraId="0AFAFD47" w14:textId="7A8C4E2C" w:rsidR="00E72E7E" w:rsidRPr="00423297" w:rsidRDefault="00270FAE" w:rsidP="00E72E7E">
      <w:pPr>
        <w:pStyle w:val="subparaa"/>
      </w:pPr>
      <w:proofErr w:type="gramStart"/>
      <w:r w:rsidRPr="00423297">
        <w:t>review</w:t>
      </w:r>
      <w:r w:rsidR="00E72E7E" w:rsidRPr="00423297">
        <w:t>ed</w:t>
      </w:r>
      <w:proofErr w:type="gramEnd"/>
      <w:r w:rsidRPr="00423297">
        <w:t xml:space="preserve"> a sample of</w:t>
      </w:r>
      <w:r w:rsidR="00E72E7E" w:rsidRPr="00423297">
        <w:t xml:space="preserve"> financial product advice on</w:t>
      </w:r>
      <w:r w:rsidRPr="00423297">
        <w:t xml:space="preserve"> time</w:t>
      </w:r>
      <w:r w:rsidR="00E72E7E" w:rsidRPr="00423297">
        <w:t>-</w:t>
      </w:r>
      <w:r w:rsidRPr="00423297">
        <w:t>shar</w:t>
      </w:r>
      <w:r w:rsidR="00E72E7E" w:rsidRPr="00423297">
        <w:t>ing schem</w:t>
      </w:r>
      <w:r w:rsidRPr="00423297">
        <w:t>e</w:t>
      </w:r>
      <w:r w:rsidR="00E72E7E" w:rsidRPr="00423297">
        <w:t>s.</w:t>
      </w:r>
      <w:r w:rsidRPr="00423297">
        <w:t xml:space="preserve"> </w:t>
      </w:r>
    </w:p>
    <w:p w14:paraId="278B84B3" w14:textId="550277C7" w:rsidR="00763C61" w:rsidRPr="00D61E78" w:rsidRDefault="00270FAE" w:rsidP="00E72E7E">
      <w:pPr>
        <w:pStyle w:val="BodyText"/>
        <w:keepNext/>
        <w:rPr>
          <w:spacing w:val="-2"/>
        </w:rPr>
      </w:pPr>
      <w:r w:rsidRPr="00D61E78">
        <w:rPr>
          <w:spacing w:val="-2"/>
        </w:rPr>
        <w:t>A</w:t>
      </w:r>
      <w:r w:rsidR="00E72E7E" w:rsidRPr="00D61E78">
        <w:rPr>
          <w:spacing w:val="-2"/>
        </w:rPr>
        <w:t>s a result, we have</w:t>
      </w:r>
      <w:r w:rsidRPr="00D61E78">
        <w:rPr>
          <w:spacing w:val="-2"/>
        </w:rPr>
        <w:t xml:space="preserve"> identified a need to amend the current regulatory settings </w:t>
      </w:r>
      <w:r w:rsidRPr="00D61E78">
        <w:rPr>
          <w:spacing w:val="-4"/>
        </w:rPr>
        <w:t>for time-sharing schemes.</w:t>
      </w:r>
      <w:r w:rsidR="00E72E7E" w:rsidRPr="00D61E78" w:rsidDel="00E72E7E">
        <w:rPr>
          <w:spacing w:val="-4"/>
        </w:rPr>
        <w:t xml:space="preserve"> </w:t>
      </w:r>
      <w:r w:rsidR="00E72E7E" w:rsidRPr="00D61E78">
        <w:rPr>
          <w:spacing w:val="-4"/>
        </w:rPr>
        <w:t>W</w:t>
      </w:r>
      <w:r w:rsidR="00393BB9" w:rsidRPr="00D61E78">
        <w:rPr>
          <w:spacing w:val="-4"/>
        </w:rPr>
        <w:t>e consider t</w:t>
      </w:r>
      <w:r w:rsidR="00763C61" w:rsidRPr="00D61E78">
        <w:rPr>
          <w:spacing w:val="-4"/>
        </w:rPr>
        <w:t xml:space="preserve">he settings require adjustment because: </w:t>
      </w:r>
    </w:p>
    <w:p w14:paraId="184E716F" w14:textId="5302717E" w:rsidR="00A73E1A" w:rsidRPr="00423297" w:rsidRDefault="00763C61" w:rsidP="00086F6D">
      <w:pPr>
        <w:pStyle w:val="subparaa"/>
      </w:pPr>
      <w:proofErr w:type="gramStart"/>
      <w:r w:rsidRPr="00423297">
        <w:t>consumers</w:t>
      </w:r>
      <w:proofErr w:type="gramEnd"/>
      <w:r w:rsidRPr="00423297">
        <w:t xml:space="preserve"> continue to make same-day purchases of interests </w:t>
      </w:r>
      <w:r w:rsidR="00A73E1A" w:rsidRPr="00423297">
        <w:t xml:space="preserve">in </w:t>
      </w:r>
      <w:r w:rsidRPr="00423297">
        <w:t>time-sharing schemes</w:t>
      </w:r>
      <w:r w:rsidR="0039316E" w:rsidRPr="00423297">
        <w:t xml:space="preserve"> without </w:t>
      </w:r>
      <w:bookmarkStart w:id="14" w:name="_Hlk38981542"/>
      <w:r w:rsidR="00AC0D9E" w:rsidRPr="00423297">
        <w:t>proper</w:t>
      </w:r>
      <w:r w:rsidR="00A33459" w:rsidRPr="00423297">
        <w:t>ly</w:t>
      </w:r>
      <w:r w:rsidR="00AC0D9E" w:rsidRPr="00423297">
        <w:t xml:space="preserve"> consider</w:t>
      </w:r>
      <w:r w:rsidR="00A33459" w:rsidRPr="00423297">
        <w:t>ing</w:t>
      </w:r>
      <w:r w:rsidR="00AC0D9E" w:rsidRPr="00423297">
        <w:t xml:space="preserve"> </w:t>
      </w:r>
      <w:bookmarkEnd w:id="14"/>
      <w:r w:rsidR="0039316E" w:rsidRPr="00423297">
        <w:t>key information about time-sharing schemes</w:t>
      </w:r>
      <w:r w:rsidR="00A73E1A" w:rsidRPr="00423297">
        <w:t xml:space="preserve">. </w:t>
      </w:r>
      <w:r w:rsidR="0043733C" w:rsidRPr="00423297">
        <w:t xml:space="preserve">In many cases consumers also </w:t>
      </w:r>
      <w:r w:rsidRPr="00423297">
        <w:t xml:space="preserve">enter into loan arrangements with </w:t>
      </w:r>
      <w:r w:rsidR="00471D8F" w:rsidRPr="00423297">
        <w:t xml:space="preserve">credit providers that are associates of an operator (related finance providers) </w:t>
      </w:r>
      <w:r w:rsidR="00A73E1A" w:rsidRPr="00423297">
        <w:t>that:</w:t>
      </w:r>
      <w:r w:rsidRPr="00423297">
        <w:t xml:space="preserve"> </w:t>
      </w:r>
    </w:p>
    <w:p w14:paraId="1D3BB091" w14:textId="7777ACB6" w:rsidR="00A73E1A" w:rsidRPr="00423297" w:rsidRDefault="00763C61" w:rsidP="00A73E1A">
      <w:pPr>
        <w:pStyle w:val="subsubparai"/>
      </w:pPr>
      <w:r w:rsidRPr="00423297">
        <w:t>they do not understand</w:t>
      </w:r>
      <w:r w:rsidR="00A73E1A" w:rsidRPr="00423297">
        <w:t>;</w:t>
      </w:r>
      <w:r w:rsidRPr="00423297">
        <w:t xml:space="preserve"> </w:t>
      </w:r>
    </w:p>
    <w:p w14:paraId="1E762B88" w14:textId="4529B894" w:rsidR="00A73E1A" w:rsidRPr="00423297" w:rsidRDefault="00763C61" w:rsidP="00A73E1A">
      <w:pPr>
        <w:pStyle w:val="subsubparai"/>
      </w:pPr>
      <w:r w:rsidRPr="00423297">
        <w:lastRenderedPageBreak/>
        <w:t>are unsuitable for them</w:t>
      </w:r>
      <w:r w:rsidR="00A73E1A" w:rsidRPr="00423297">
        <w:t>;</w:t>
      </w:r>
      <w:r w:rsidRPr="00423297">
        <w:t xml:space="preserve"> or </w:t>
      </w:r>
    </w:p>
    <w:p w14:paraId="2E6E7C9A" w14:textId="1BB8E000" w:rsidR="00763C61" w:rsidRPr="00423297" w:rsidRDefault="00763C61" w:rsidP="00953431">
      <w:pPr>
        <w:pStyle w:val="subsubparai"/>
      </w:pPr>
      <w:r w:rsidRPr="00423297">
        <w:t>they do not want;</w:t>
      </w:r>
    </w:p>
    <w:p w14:paraId="5FAEF4EA" w14:textId="5AB9F1C5" w:rsidR="00763C61" w:rsidRPr="00423297" w:rsidRDefault="00763C61" w:rsidP="00086F6D">
      <w:pPr>
        <w:pStyle w:val="subparaa"/>
      </w:pPr>
      <w:r w:rsidRPr="00423297">
        <w:t xml:space="preserve">the timing for the </w:t>
      </w:r>
      <w:r w:rsidR="00937693" w:rsidRPr="00423297">
        <w:t>offer</w:t>
      </w:r>
      <w:r w:rsidR="00F15653" w:rsidRPr="00423297">
        <w:t>,</w:t>
      </w:r>
      <w:r w:rsidR="00937693" w:rsidRPr="00423297">
        <w:t xml:space="preserve"> </w:t>
      </w:r>
      <w:r w:rsidRPr="00423297">
        <w:t xml:space="preserve">approval </w:t>
      </w:r>
      <w:r w:rsidR="00937693" w:rsidRPr="00423297">
        <w:t xml:space="preserve">or </w:t>
      </w:r>
      <w:r w:rsidR="00F15653" w:rsidRPr="00423297">
        <w:t>refusal</w:t>
      </w:r>
      <w:r w:rsidRPr="00423297">
        <w:t xml:space="preserve"> of loans to purchase interests are not conducive to consumers being able to exercise their cooling-off rights within the cooling-off period;</w:t>
      </w:r>
    </w:p>
    <w:p w14:paraId="55F68E19" w14:textId="1360F6A6" w:rsidR="00763C61" w:rsidRPr="00423297" w:rsidRDefault="00763C61" w:rsidP="00086F6D">
      <w:pPr>
        <w:pStyle w:val="subparaa"/>
      </w:pPr>
      <w:bookmarkStart w:id="15" w:name="_ASICRef103"/>
      <w:r w:rsidRPr="00423297">
        <w:t>there are limited withdrawal arrangements for member</w:t>
      </w:r>
      <w:r w:rsidR="00A73E1A" w:rsidRPr="00423297">
        <w:t>s</w:t>
      </w:r>
      <w:r w:rsidRPr="00423297">
        <w:t xml:space="preserve"> whose circumstances have changed </w:t>
      </w:r>
      <w:r w:rsidR="00D017C0" w:rsidRPr="00423297">
        <w:t>because</w:t>
      </w:r>
      <w:r w:rsidRPr="00423297">
        <w:t xml:space="preserve"> of hardship and who </w:t>
      </w:r>
      <w:r w:rsidR="006436EE" w:rsidRPr="00423297">
        <w:t xml:space="preserve">are </w:t>
      </w:r>
      <w:r w:rsidRPr="00423297">
        <w:t>not able to continue to meet their financial obligations as a member of the scheme or use their membership (member suffering hardship);</w:t>
      </w:r>
      <w:r w:rsidR="00CF6B4A" w:rsidRPr="00423297">
        <w:t xml:space="preserve"> and</w:t>
      </w:r>
      <w:bookmarkEnd w:id="15"/>
    </w:p>
    <w:p w14:paraId="2F235187" w14:textId="4FCEE1EA" w:rsidR="003A32E3" w:rsidRPr="00423297" w:rsidRDefault="00A73E1A" w:rsidP="00953431">
      <w:pPr>
        <w:pStyle w:val="Note"/>
      </w:pPr>
      <w:r w:rsidRPr="00423297">
        <w:t xml:space="preserve">Note: In this RIS, </w:t>
      </w:r>
      <w:r w:rsidR="00D61E78">
        <w:t>‘</w:t>
      </w:r>
      <w:r w:rsidRPr="00423297">
        <w:t>hardship</w:t>
      </w:r>
      <w:r w:rsidR="00D61E78">
        <w:t>’</w:t>
      </w:r>
      <w:r w:rsidRPr="00423297">
        <w:t xml:space="preserve"> is defined to include</w:t>
      </w:r>
      <w:r w:rsidR="003A32E3" w:rsidRPr="00423297">
        <w:t>:</w:t>
      </w:r>
      <w:r w:rsidRPr="00423297">
        <w:t xml:space="preserve"> </w:t>
      </w:r>
    </w:p>
    <w:p w14:paraId="7115B68A" w14:textId="24B1D772" w:rsidR="003A32E3" w:rsidRPr="00423297" w:rsidRDefault="00D61E78" w:rsidP="00FA2D78">
      <w:pPr>
        <w:pStyle w:val="Note"/>
        <w:numPr>
          <w:ilvl w:val="0"/>
          <w:numId w:val="124"/>
        </w:numPr>
        <w:spacing w:before="120"/>
        <w:ind w:left="2977" w:hanging="284"/>
      </w:pPr>
      <w:r>
        <w:t>‘</w:t>
      </w:r>
      <w:r w:rsidR="00A73E1A" w:rsidRPr="00423297">
        <w:t>severe financial hardship</w:t>
      </w:r>
      <w:r>
        <w:t>’</w:t>
      </w:r>
      <w:r w:rsidR="00A73E1A" w:rsidRPr="00423297">
        <w:t xml:space="preserve"> (where a member </w:t>
      </w:r>
      <w:r w:rsidR="004D5E7E" w:rsidRPr="00423297">
        <w:t>or a member</w:t>
      </w:r>
      <w:r>
        <w:t>’</w:t>
      </w:r>
      <w:r w:rsidR="004D5E7E" w:rsidRPr="00423297">
        <w:t xml:space="preserve">s dependant </w:t>
      </w:r>
      <w:r w:rsidR="00A73E1A" w:rsidRPr="00423297">
        <w:t>is suffering, or will likely suffer, severe long-term or permanent financial hardship)</w:t>
      </w:r>
      <w:r w:rsidR="003A32E3" w:rsidRPr="00423297">
        <w:t>;</w:t>
      </w:r>
      <w:r w:rsidR="00A73E1A" w:rsidRPr="00423297">
        <w:t xml:space="preserve"> </w:t>
      </w:r>
    </w:p>
    <w:p w14:paraId="11F86C8A" w14:textId="6CE6F85D" w:rsidR="003A32E3" w:rsidRPr="00D04583" w:rsidRDefault="00D61E78" w:rsidP="00FA2D78">
      <w:pPr>
        <w:pStyle w:val="Note"/>
        <w:numPr>
          <w:ilvl w:val="0"/>
          <w:numId w:val="124"/>
        </w:numPr>
        <w:spacing w:before="120"/>
        <w:ind w:left="2977" w:hanging="284"/>
      </w:pPr>
      <w:r>
        <w:t>‘</w:t>
      </w:r>
      <w:r w:rsidR="00A73E1A" w:rsidRPr="00423297">
        <w:t>compassionate grounds</w:t>
      </w:r>
      <w:r>
        <w:t>’</w:t>
      </w:r>
      <w:r w:rsidR="00A73E1A" w:rsidRPr="00423297">
        <w:t xml:space="preserve"> (where a member </w:t>
      </w:r>
      <w:r w:rsidR="004D5E7E" w:rsidRPr="00423297">
        <w:t>or a member</w:t>
      </w:r>
      <w:r>
        <w:t>’</w:t>
      </w:r>
      <w:r w:rsidR="004D5E7E" w:rsidRPr="00423297">
        <w:t xml:space="preserve">s dependant </w:t>
      </w:r>
      <w:r w:rsidR="00A73E1A" w:rsidRPr="00423297">
        <w:t xml:space="preserve">is </w:t>
      </w:r>
      <w:r w:rsidR="00A73E1A" w:rsidRPr="00D04583">
        <w:t>suffering</w:t>
      </w:r>
      <w:r w:rsidR="004D5E7E" w:rsidRPr="00D04583">
        <w:t xml:space="preserve"> </w:t>
      </w:r>
      <w:r w:rsidR="00281724" w:rsidRPr="00D04583">
        <w:t>a life-threatening illness or injury, chronic pain, or a severe, long-term chronic mental disturbance</w:t>
      </w:r>
      <w:r w:rsidR="003338CD" w:rsidRPr="00D04583">
        <w:t>)</w:t>
      </w:r>
      <w:r w:rsidR="003A32E3" w:rsidRPr="00D04583">
        <w:t>;</w:t>
      </w:r>
      <w:r w:rsidR="003338CD" w:rsidRPr="00D04583">
        <w:t xml:space="preserve"> </w:t>
      </w:r>
      <w:r w:rsidR="004D5E7E" w:rsidRPr="00D04583">
        <w:t xml:space="preserve">and </w:t>
      </w:r>
    </w:p>
    <w:p w14:paraId="1F0FCD3C" w14:textId="2BD5A00B" w:rsidR="003A32E3" w:rsidRPr="00423297" w:rsidRDefault="00D61E78" w:rsidP="00FA2D78">
      <w:pPr>
        <w:pStyle w:val="Note"/>
        <w:numPr>
          <w:ilvl w:val="0"/>
          <w:numId w:val="124"/>
        </w:numPr>
        <w:spacing w:before="120"/>
        <w:ind w:left="2977" w:hanging="284"/>
      </w:pPr>
      <w:r>
        <w:t>‘</w:t>
      </w:r>
      <w:proofErr w:type="gramStart"/>
      <w:r w:rsidR="004D5E7E" w:rsidRPr="00423297">
        <w:t>permanent</w:t>
      </w:r>
      <w:proofErr w:type="gramEnd"/>
      <w:r w:rsidR="004D5E7E" w:rsidRPr="00423297">
        <w:t xml:space="preserve"> incapacity</w:t>
      </w:r>
      <w:r>
        <w:t>’</w:t>
      </w:r>
      <w:r w:rsidR="004D5E7E" w:rsidRPr="00423297">
        <w:t xml:space="preserve"> (where a member has ceased gainful employment by reason of mental or physical ill-health)</w:t>
      </w:r>
      <w:r w:rsidR="003A32E3" w:rsidRPr="00423297">
        <w:t>.</w:t>
      </w:r>
    </w:p>
    <w:p w14:paraId="33A47866" w14:textId="7D988340" w:rsidR="00A73E1A" w:rsidRPr="00423297" w:rsidRDefault="003A32E3" w:rsidP="00FA2D78">
      <w:pPr>
        <w:pStyle w:val="Note"/>
        <w:spacing w:before="120"/>
      </w:pPr>
      <w:r w:rsidRPr="00423297">
        <w:t>A</w:t>
      </w:r>
      <w:r w:rsidR="003338CD" w:rsidRPr="00423297">
        <w:t>s a</w:t>
      </w:r>
      <w:r w:rsidR="00A770E6" w:rsidRPr="00423297">
        <w:t xml:space="preserve"> </w:t>
      </w:r>
      <w:r w:rsidR="003338CD" w:rsidRPr="00423297">
        <w:t>result</w:t>
      </w:r>
      <w:r w:rsidRPr="00423297">
        <w:t xml:space="preserve"> of the hardship, the member must be</w:t>
      </w:r>
      <w:r w:rsidR="00A73E1A" w:rsidRPr="00423297">
        <w:t xml:space="preserve"> unlikely </w:t>
      </w:r>
      <w:r w:rsidR="003338CD" w:rsidRPr="00423297">
        <w:t>to</w:t>
      </w:r>
      <w:r w:rsidR="00A73E1A" w:rsidRPr="00423297">
        <w:t xml:space="preserve"> use </w:t>
      </w:r>
      <w:r w:rsidR="003338CD" w:rsidRPr="00423297">
        <w:t>their membership in the long term</w:t>
      </w:r>
      <w:r w:rsidR="00A73E1A" w:rsidRPr="00423297">
        <w:t>.</w:t>
      </w:r>
      <w:r w:rsidR="00D155D1">
        <w:t xml:space="preserve"> Where couples hold interests in a scheme jointly, </w:t>
      </w:r>
      <w:r w:rsidR="002D04D7">
        <w:t xml:space="preserve">it is sufficient for </w:t>
      </w:r>
      <w:r w:rsidR="002D04D7" w:rsidRPr="002017E2">
        <w:t>one</w:t>
      </w:r>
      <w:r w:rsidR="0068387C" w:rsidRPr="002017E2">
        <w:t xml:space="preserve"> joint member</w:t>
      </w:r>
      <w:r w:rsidR="002D04D7">
        <w:t xml:space="preserve"> to meet the hardship test so long as both </w:t>
      </w:r>
      <w:r w:rsidR="0068387C">
        <w:t xml:space="preserve">joint </w:t>
      </w:r>
      <w:r w:rsidR="002D04D7">
        <w:t>members make the application</w:t>
      </w:r>
      <w:r w:rsidR="00D155D1">
        <w:t>.</w:t>
      </w:r>
    </w:p>
    <w:p w14:paraId="6EB62DCB" w14:textId="1415153C" w:rsidR="00763C61" w:rsidRPr="00423297" w:rsidRDefault="00523608" w:rsidP="00086F6D">
      <w:pPr>
        <w:pStyle w:val="subparaa"/>
      </w:pPr>
      <w:proofErr w:type="gramStart"/>
      <w:r w:rsidRPr="00423297">
        <w:t>the</w:t>
      </w:r>
      <w:proofErr w:type="gramEnd"/>
      <w:r w:rsidR="00763C61" w:rsidRPr="00423297">
        <w:t xml:space="preserve"> value of </w:t>
      </w:r>
      <w:r w:rsidR="00A73E1A" w:rsidRPr="00423297">
        <w:t xml:space="preserve">current </w:t>
      </w:r>
      <w:r w:rsidR="00763C61" w:rsidRPr="00423297">
        <w:t>members</w:t>
      </w:r>
      <w:r w:rsidR="00D61E78">
        <w:t>’</w:t>
      </w:r>
      <w:r w:rsidR="00763C61" w:rsidRPr="00423297">
        <w:t xml:space="preserve"> interests </w:t>
      </w:r>
      <w:r w:rsidR="00A73E1A" w:rsidRPr="00423297">
        <w:t>may</w:t>
      </w:r>
      <w:r w:rsidR="009A347A" w:rsidRPr="00423297">
        <w:t xml:space="preserve"> be dilute</w:t>
      </w:r>
      <w:r w:rsidR="00F86A06" w:rsidRPr="00423297">
        <w:t>d as a result of</w:t>
      </w:r>
      <w:r w:rsidR="00EF54A6" w:rsidRPr="00423297">
        <w:t xml:space="preserve"> </w:t>
      </w:r>
      <w:r w:rsidR="00763C61" w:rsidRPr="00423297">
        <w:t>inadequate compliance measures governing the issue of new interests in</w:t>
      </w:r>
      <w:r w:rsidR="00B74BD1" w:rsidRPr="00423297">
        <w:t xml:space="preserve"> registered</w:t>
      </w:r>
      <w:r w:rsidR="00763C61" w:rsidRPr="00423297">
        <w:t xml:space="preserve"> </w:t>
      </w:r>
      <w:r w:rsidR="0036442D" w:rsidRPr="00423297">
        <w:t xml:space="preserve">time-sharing schemes structured as </w:t>
      </w:r>
      <w:r w:rsidR="00763C61" w:rsidRPr="00423297">
        <w:t xml:space="preserve">points-based </w:t>
      </w:r>
      <w:r w:rsidR="00531EAD" w:rsidRPr="00423297">
        <w:t>programs</w:t>
      </w:r>
      <w:r w:rsidR="00CF6B4A" w:rsidRPr="00423297">
        <w:t>.</w:t>
      </w:r>
    </w:p>
    <w:p w14:paraId="5E07C758" w14:textId="60F1935E" w:rsidR="00763C61" w:rsidRPr="00423297" w:rsidRDefault="00CF6B4A" w:rsidP="008250FD">
      <w:pPr>
        <w:pStyle w:val="BodyText"/>
      </w:pPr>
      <w:r w:rsidRPr="00423297">
        <w:t xml:space="preserve">There </w:t>
      </w:r>
      <w:r w:rsidR="00763C61" w:rsidRPr="00423297">
        <w:t xml:space="preserve">are </w:t>
      </w:r>
      <w:r w:rsidRPr="00423297">
        <w:t xml:space="preserve">also </w:t>
      </w:r>
      <w:r w:rsidR="00763C61" w:rsidRPr="00423297">
        <w:t>some unnecessary compliance burdens imposed on time-sharing schemes</w:t>
      </w:r>
      <w:r w:rsidRPr="00423297">
        <w:t xml:space="preserve">, the costs of which are ultimately borne by </w:t>
      </w:r>
      <w:r w:rsidR="00763C61" w:rsidRPr="00423297">
        <w:t xml:space="preserve">members. </w:t>
      </w:r>
    </w:p>
    <w:p w14:paraId="6FD47810" w14:textId="29952161" w:rsidR="002C27C6" w:rsidRPr="00423297" w:rsidRDefault="00C64523" w:rsidP="00086F6D">
      <w:pPr>
        <w:pStyle w:val="BodyText"/>
      </w:pPr>
      <w:r w:rsidRPr="00423297">
        <w:t>T</w:t>
      </w:r>
      <w:r w:rsidR="00763C61" w:rsidRPr="00423297">
        <w:t>here is a gap in industry understanding about ASIC</w:t>
      </w:r>
      <w:r w:rsidR="00D61E78">
        <w:t>’</w:t>
      </w:r>
      <w:r w:rsidR="00763C61" w:rsidRPr="00423297">
        <w:t xml:space="preserve">s </w:t>
      </w:r>
      <w:r w:rsidR="00F22122" w:rsidRPr="00423297">
        <w:t>interpretation of the</w:t>
      </w:r>
      <w:r w:rsidR="007C60C6">
        <w:t xml:space="preserve"> existing obligations</w:t>
      </w:r>
      <w:r w:rsidR="002C27C6" w:rsidRPr="00423297">
        <w:t>:</w:t>
      </w:r>
      <w:r w:rsidR="00763C61" w:rsidRPr="00423297">
        <w:t xml:space="preserve"> </w:t>
      </w:r>
    </w:p>
    <w:p w14:paraId="1E8165D2" w14:textId="6C217C1B" w:rsidR="002C27C6" w:rsidRPr="00423297" w:rsidRDefault="002C27C6" w:rsidP="002C27C6">
      <w:pPr>
        <w:pStyle w:val="subparaa"/>
      </w:pPr>
      <w:r w:rsidRPr="00423297">
        <w:t>for time-sharing schemes</w:t>
      </w:r>
      <w:r w:rsidR="00763C61" w:rsidRPr="00423297">
        <w:t xml:space="preserve"> under the Corporations </w:t>
      </w:r>
      <w:r w:rsidR="00AB07AF" w:rsidRPr="00423297">
        <w:t>Act and</w:t>
      </w:r>
      <w:r w:rsidRPr="00423297">
        <w:t xml:space="preserve"> the</w:t>
      </w:r>
      <w:r w:rsidR="00AB07AF" w:rsidRPr="00423297">
        <w:t xml:space="preserve"> </w:t>
      </w:r>
      <w:r w:rsidR="00682FBE" w:rsidRPr="00423297">
        <w:rPr>
          <w:i/>
        </w:rPr>
        <w:t xml:space="preserve">Australian Securities and Investments Commission Act 2001 </w:t>
      </w:r>
      <w:r w:rsidR="00682FBE" w:rsidRPr="00423297">
        <w:t>(ASIC Act)</w:t>
      </w:r>
      <w:r w:rsidRPr="00423297">
        <w:t>;</w:t>
      </w:r>
      <w:r w:rsidR="00763C61" w:rsidRPr="00423297">
        <w:t xml:space="preserve"> and </w:t>
      </w:r>
    </w:p>
    <w:p w14:paraId="6B776BE2" w14:textId="4AD15DDB" w:rsidR="00763C61" w:rsidRPr="00423297" w:rsidRDefault="00A73E1A" w:rsidP="00BB428A">
      <w:pPr>
        <w:pStyle w:val="subparaa"/>
      </w:pPr>
      <w:bookmarkStart w:id="16" w:name="_Ref54971985"/>
      <w:bookmarkStart w:id="17" w:name="_Ref54973063"/>
      <w:r w:rsidRPr="00423297">
        <w:t xml:space="preserve">under the National Credit Act </w:t>
      </w:r>
      <w:r w:rsidR="006C0B7A">
        <w:t xml:space="preserve">and National Credit Code (in Sch 1 of the </w:t>
      </w:r>
      <w:r w:rsidR="005A5E2D">
        <w:t xml:space="preserve">National Credit </w:t>
      </w:r>
      <w:r w:rsidR="006C0B7A">
        <w:t xml:space="preserve">Act) </w:t>
      </w:r>
      <w:r w:rsidR="00AC75A0">
        <w:t xml:space="preserve">where finance is obtained for the purchase of interests in </w:t>
      </w:r>
      <w:r w:rsidR="00F22122" w:rsidRPr="00423297">
        <w:t>time-sharing schemes</w:t>
      </w:r>
      <w:r w:rsidR="00763C61" w:rsidRPr="00423297">
        <w:t>.</w:t>
      </w:r>
      <w:bookmarkEnd w:id="16"/>
      <w:bookmarkEnd w:id="17"/>
    </w:p>
    <w:p w14:paraId="1B26EC35" w14:textId="4D9339B8" w:rsidR="007C60C6" w:rsidRPr="002A4D2F" w:rsidRDefault="007C60C6" w:rsidP="002A4D2F">
      <w:pPr>
        <w:pStyle w:val="BodyText"/>
        <w:numPr>
          <w:ilvl w:val="0"/>
          <w:numId w:val="0"/>
        </w:numPr>
        <w:ind w:left="2693"/>
        <w:rPr>
          <w:sz w:val="18"/>
          <w:szCs w:val="18"/>
        </w:rPr>
      </w:pPr>
      <w:r w:rsidRPr="002A4D2F">
        <w:rPr>
          <w:sz w:val="18"/>
          <w:szCs w:val="18"/>
        </w:rPr>
        <w:t>Note</w:t>
      </w:r>
      <w:r w:rsidR="000834D8">
        <w:rPr>
          <w:sz w:val="18"/>
          <w:szCs w:val="18"/>
        </w:rPr>
        <w:t xml:space="preserve"> 1</w:t>
      </w:r>
      <w:r w:rsidRPr="002A4D2F">
        <w:rPr>
          <w:sz w:val="18"/>
          <w:szCs w:val="18"/>
        </w:rPr>
        <w:t xml:space="preserve">: For the definition of </w:t>
      </w:r>
      <w:r w:rsidR="00D61E78">
        <w:rPr>
          <w:sz w:val="18"/>
          <w:szCs w:val="18"/>
        </w:rPr>
        <w:t>‘</w:t>
      </w:r>
      <w:r w:rsidRPr="002A4D2F">
        <w:rPr>
          <w:sz w:val="18"/>
          <w:szCs w:val="18"/>
        </w:rPr>
        <w:t>existing obligations</w:t>
      </w:r>
      <w:r w:rsidR="00D61E78">
        <w:rPr>
          <w:sz w:val="18"/>
          <w:szCs w:val="18"/>
        </w:rPr>
        <w:t>’</w:t>
      </w:r>
      <w:r w:rsidRPr="002A4D2F">
        <w:rPr>
          <w:sz w:val="18"/>
          <w:szCs w:val="18"/>
        </w:rPr>
        <w:t xml:space="preserve">, see paragraph </w:t>
      </w:r>
      <w:r w:rsidRPr="002A4D2F">
        <w:rPr>
          <w:sz w:val="18"/>
          <w:szCs w:val="18"/>
        </w:rPr>
        <w:fldChar w:fldCharType="begin"/>
      </w:r>
      <w:r w:rsidRPr="002A4D2F">
        <w:rPr>
          <w:sz w:val="18"/>
          <w:szCs w:val="18"/>
        </w:rPr>
        <w:instrText xml:space="preserve"> REF _ASICRef705 \r \h </w:instrText>
      </w:r>
      <w:r>
        <w:rPr>
          <w:sz w:val="18"/>
          <w:szCs w:val="18"/>
        </w:rPr>
        <w:instrText xml:space="preserve"> \* MERGEFORMAT </w:instrText>
      </w:r>
      <w:r w:rsidRPr="002A4D2F">
        <w:rPr>
          <w:sz w:val="18"/>
          <w:szCs w:val="18"/>
        </w:rPr>
      </w:r>
      <w:r w:rsidRPr="002A4D2F">
        <w:rPr>
          <w:sz w:val="18"/>
          <w:szCs w:val="18"/>
        </w:rPr>
        <w:fldChar w:fldCharType="separate"/>
      </w:r>
      <w:r w:rsidR="00B92808">
        <w:rPr>
          <w:sz w:val="18"/>
          <w:szCs w:val="18"/>
        </w:rPr>
        <w:t>60</w:t>
      </w:r>
      <w:r w:rsidRPr="002A4D2F">
        <w:rPr>
          <w:sz w:val="18"/>
          <w:szCs w:val="18"/>
        </w:rPr>
        <w:fldChar w:fldCharType="end"/>
      </w:r>
      <w:r w:rsidRPr="002A4D2F">
        <w:rPr>
          <w:sz w:val="18"/>
          <w:szCs w:val="18"/>
        </w:rPr>
        <w:t>.</w:t>
      </w:r>
    </w:p>
    <w:p w14:paraId="0C26142D" w14:textId="321AF26E" w:rsidR="00A73E1A" w:rsidRPr="00423297" w:rsidRDefault="00A73E1A" w:rsidP="00953431">
      <w:pPr>
        <w:pStyle w:val="Note"/>
      </w:pPr>
      <w:r w:rsidRPr="00423297">
        <w:t>Note</w:t>
      </w:r>
      <w:r w:rsidR="007C60C6">
        <w:t xml:space="preserve"> 2</w:t>
      </w:r>
      <w:r w:rsidRPr="00423297">
        <w:t xml:space="preserve">: The </w:t>
      </w:r>
      <w:r w:rsidR="00D61E78">
        <w:t>‘</w:t>
      </w:r>
      <w:r w:rsidRPr="00423297">
        <w:t>responsible lending obligations</w:t>
      </w:r>
      <w:r w:rsidR="00D61E78">
        <w:t>’</w:t>
      </w:r>
      <w:r w:rsidRPr="00423297">
        <w:t xml:space="preserve"> </w:t>
      </w:r>
      <w:bookmarkStart w:id="18" w:name="_Hlk56123182"/>
      <w:r w:rsidR="006C0B7A">
        <w:t>in Ch 3 of the National Credit Act</w:t>
      </w:r>
      <w:r w:rsidRPr="00423297">
        <w:t xml:space="preserve"> </w:t>
      </w:r>
      <w:bookmarkEnd w:id="18"/>
      <w:r w:rsidRPr="00423297">
        <w:t xml:space="preserve">prohibit </w:t>
      </w:r>
      <w:r w:rsidR="00954D87" w:rsidRPr="00423297">
        <w:t>credit providers</w:t>
      </w:r>
      <w:r w:rsidR="00AF090E" w:rsidRPr="00423297">
        <w:t>—</w:t>
      </w:r>
      <w:r w:rsidR="00471D8F" w:rsidRPr="00423297">
        <w:t xml:space="preserve">including </w:t>
      </w:r>
      <w:r w:rsidR="00954D87" w:rsidRPr="00423297">
        <w:t>related finance providers</w:t>
      </w:r>
      <w:r w:rsidRPr="00423297">
        <w:t xml:space="preserve"> and their representatives</w:t>
      </w:r>
      <w:r w:rsidR="00AF090E" w:rsidRPr="00423297">
        <w:t>—</w:t>
      </w:r>
      <w:r w:rsidRPr="00423297">
        <w:t>from entering into a credit contract with a consumer if the credit contract is unsuitable for the consumer.</w:t>
      </w:r>
      <w:r w:rsidR="0026452E">
        <w:t xml:space="preserve"> The</w:t>
      </w:r>
      <w:r w:rsidR="00BD3A69">
        <w:t xml:space="preserve"> Australian</w:t>
      </w:r>
      <w:r w:rsidR="0026452E">
        <w:t xml:space="preserve"> </w:t>
      </w:r>
      <w:bookmarkStart w:id="19" w:name="_Hlk56123129"/>
      <w:r w:rsidR="0026452E">
        <w:t xml:space="preserve">Government has announced proposed reforms that </w:t>
      </w:r>
      <w:r w:rsidR="004F0D9C">
        <w:t>would</w:t>
      </w:r>
      <w:r w:rsidR="0026452E">
        <w:t xml:space="preserve"> replace the current responsible lending obligations</w:t>
      </w:r>
      <w:bookmarkEnd w:id="19"/>
      <w:r w:rsidR="0026452E">
        <w:t xml:space="preserve">. </w:t>
      </w:r>
    </w:p>
    <w:p w14:paraId="08742830" w14:textId="77C68B4F" w:rsidR="0098422D" w:rsidRPr="00423297" w:rsidRDefault="0098422D" w:rsidP="00D61E78">
      <w:pPr>
        <w:pStyle w:val="Heading2"/>
      </w:pPr>
      <w:bookmarkStart w:id="20" w:name="_Toc36467227"/>
      <w:bookmarkStart w:id="21" w:name="_Toc56669417"/>
      <w:r w:rsidRPr="00423297">
        <w:lastRenderedPageBreak/>
        <w:t>Options considered</w:t>
      </w:r>
      <w:bookmarkEnd w:id="20"/>
      <w:bookmarkEnd w:id="21"/>
    </w:p>
    <w:p w14:paraId="271D7CC0" w14:textId="054BBDDA" w:rsidR="00785518" w:rsidRPr="00423297" w:rsidRDefault="0060030A" w:rsidP="00D61E78">
      <w:pPr>
        <w:pStyle w:val="BodyText"/>
      </w:pPr>
      <w:r w:rsidRPr="00423297">
        <w:t xml:space="preserve">This RIS considers </w:t>
      </w:r>
      <w:r w:rsidR="00DF18B1" w:rsidRPr="00423297">
        <w:t xml:space="preserve">the </w:t>
      </w:r>
      <w:r w:rsidR="000C71B7" w:rsidRPr="00423297">
        <w:t>four</w:t>
      </w:r>
      <w:r w:rsidRPr="00423297">
        <w:t xml:space="preserve"> policy options</w:t>
      </w:r>
      <w:r w:rsidR="00DF18B1" w:rsidRPr="00423297">
        <w:t xml:space="preserve"> outlined below</w:t>
      </w:r>
      <w:r w:rsidR="000C71B7" w:rsidRPr="00423297">
        <w:t>.</w:t>
      </w:r>
      <w:r w:rsidR="00785518" w:rsidRPr="00423297">
        <w:t xml:space="preserve"> </w:t>
      </w:r>
      <w:r w:rsidR="00C31217" w:rsidRPr="00423297">
        <w:t xml:space="preserve">These options were presented to industry and consumer groups as part of </w:t>
      </w:r>
      <w:hyperlink r:id="rId9" w:history="1">
        <w:r w:rsidR="00C31217" w:rsidRPr="00423297">
          <w:rPr>
            <w:rStyle w:val="Hyperlink"/>
          </w:rPr>
          <w:t>Consultation Paper 272</w:t>
        </w:r>
      </w:hyperlink>
      <w:r w:rsidR="00C31217" w:rsidRPr="00423297">
        <w:t xml:space="preserve"> </w:t>
      </w:r>
      <w:r w:rsidR="00C31217" w:rsidRPr="00423297">
        <w:rPr>
          <w:i/>
        </w:rPr>
        <w:t xml:space="preserve">Remaking ASIC class orders on time-sharing schemes </w:t>
      </w:r>
      <w:r w:rsidR="00C31217" w:rsidRPr="00423297">
        <w:t>(CP 272) and our further consultation on the proposals</w:t>
      </w:r>
      <w:r w:rsidR="00A11D2A" w:rsidRPr="00423297">
        <w:t>. F</w:t>
      </w:r>
      <w:r w:rsidR="00C31217" w:rsidRPr="00423297">
        <w:t xml:space="preserve">or more information, see Section </w:t>
      </w:r>
      <w:r w:rsidR="00C31217" w:rsidRPr="00423297">
        <w:fldChar w:fldCharType="begin"/>
      </w:r>
      <w:r w:rsidR="00C31217" w:rsidRPr="00423297">
        <w:instrText xml:space="preserve"> REF _Ref4422703 \r \h </w:instrText>
      </w:r>
      <w:r w:rsidR="008D3172" w:rsidRPr="00423297">
        <w:instrText xml:space="preserve"> \* MERGEFORMAT </w:instrText>
      </w:r>
      <w:r w:rsidR="00C31217" w:rsidRPr="00423297">
        <w:fldChar w:fldCharType="separate"/>
      </w:r>
      <w:r w:rsidR="00B92808">
        <w:t>G</w:t>
      </w:r>
      <w:r w:rsidR="00C31217" w:rsidRPr="00423297">
        <w:fldChar w:fldCharType="end"/>
      </w:r>
      <w:r w:rsidR="005569BD" w:rsidRPr="00423297">
        <w:t>.</w:t>
      </w:r>
    </w:p>
    <w:p w14:paraId="6DEF4C51" w14:textId="19F2DE52" w:rsidR="00785518" w:rsidRPr="00423297" w:rsidRDefault="00785518" w:rsidP="008250FD">
      <w:pPr>
        <w:pStyle w:val="Heading3"/>
      </w:pPr>
      <w:r w:rsidRPr="00423297">
        <w:t>Option 1—</w:t>
      </w:r>
      <w:proofErr w:type="gramStart"/>
      <w:r w:rsidRPr="00423297">
        <w:t>Amend</w:t>
      </w:r>
      <w:proofErr w:type="gramEnd"/>
      <w:r w:rsidRPr="00423297">
        <w:t xml:space="preserve"> the policy setti</w:t>
      </w:r>
      <w:r w:rsidR="00E16D30" w:rsidRPr="00423297">
        <w:t>ngs</w:t>
      </w:r>
    </w:p>
    <w:p w14:paraId="78241B50" w14:textId="26D925C8" w:rsidR="00E16D30" w:rsidRPr="00423297" w:rsidRDefault="00E16D30" w:rsidP="00086F6D">
      <w:pPr>
        <w:pStyle w:val="BodyText"/>
      </w:pPr>
      <w:bookmarkStart w:id="22" w:name="_Ref7431986"/>
      <w:bookmarkStart w:id="23" w:name="_ASICRef575"/>
      <w:r w:rsidRPr="00423297">
        <w:t>Option 1</w:t>
      </w:r>
      <w:r w:rsidR="002E2D5A" w:rsidRPr="00423297">
        <w:t xml:space="preserve"> </w:t>
      </w:r>
      <w:r w:rsidRPr="00423297">
        <w:t>entails providing:</w:t>
      </w:r>
      <w:bookmarkEnd w:id="22"/>
      <w:bookmarkEnd w:id="23"/>
    </w:p>
    <w:p w14:paraId="1C38BCE8" w14:textId="4FA13608" w:rsidR="00E16D30" w:rsidRPr="00423297" w:rsidRDefault="00531EAD" w:rsidP="00086F6D">
      <w:pPr>
        <w:pStyle w:val="subparaa"/>
      </w:pPr>
      <w:bookmarkStart w:id="24" w:name="_Ref26281039"/>
      <w:r w:rsidRPr="00423297">
        <w:t xml:space="preserve">consumers with </w:t>
      </w:r>
      <w:r w:rsidR="006675D2" w:rsidRPr="00423297">
        <w:t xml:space="preserve">an </w:t>
      </w:r>
      <w:r w:rsidR="00D61E78">
        <w:t>‘</w:t>
      </w:r>
      <w:r w:rsidR="006675D2" w:rsidRPr="00423297">
        <w:t>enhanced cooling-off model</w:t>
      </w:r>
      <w:r w:rsidR="00D61E78">
        <w:t>’</w:t>
      </w:r>
      <w:r w:rsidR="006675D2" w:rsidRPr="00423297">
        <w:t>—that is</w:t>
      </w:r>
      <w:r w:rsidR="0094439B" w:rsidRPr="00423297">
        <w:t>,</w:t>
      </w:r>
      <w:r w:rsidR="006675D2" w:rsidRPr="00423297">
        <w:t xml:space="preserve"> </w:t>
      </w:r>
      <w:r w:rsidR="00E16D30" w:rsidRPr="00423297">
        <w:t>additional time and methods for cooling</w:t>
      </w:r>
      <w:r w:rsidR="00145CA1" w:rsidRPr="00423297">
        <w:t xml:space="preserve"> </w:t>
      </w:r>
      <w:r w:rsidR="00E16D30" w:rsidRPr="00423297">
        <w:t>off</w:t>
      </w:r>
      <w:r w:rsidR="00393477" w:rsidRPr="00423297">
        <w:t xml:space="preserve"> and clearer disclosure about these rights in a revised cooling</w:t>
      </w:r>
      <w:r w:rsidR="00714933" w:rsidRPr="00423297">
        <w:t>-off statement</w:t>
      </w:r>
      <w:r w:rsidR="006675D2" w:rsidRPr="00423297">
        <w:t>;</w:t>
      </w:r>
      <w:bookmarkEnd w:id="24"/>
    </w:p>
    <w:p w14:paraId="47B340BF" w14:textId="7AE591C4" w:rsidR="00837F02" w:rsidRPr="00423297" w:rsidRDefault="002E2D5A" w:rsidP="00837F02">
      <w:pPr>
        <w:pStyle w:val="Note"/>
      </w:pPr>
      <w:r w:rsidRPr="00423297">
        <w:t xml:space="preserve">Note: </w:t>
      </w:r>
      <w:r w:rsidR="004E075E" w:rsidRPr="00423297">
        <w:t>In light of the findings of our qualitative consumer research</w:t>
      </w:r>
      <w:r w:rsidR="00B816E3" w:rsidRPr="00423297">
        <w:t xml:space="preserve"> summarised in </w:t>
      </w:r>
      <w:hyperlink r:id="rId10" w:history="1">
        <w:r w:rsidR="00B816E3" w:rsidRPr="00423297">
          <w:rPr>
            <w:rStyle w:val="Hyperlink"/>
          </w:rPr>
          <w:t>REP</w:t>
        </w:r>
        <w:r w:rsidR="00650209" w:rsidRPr="00423297">
          <w:rPr>
            <w:rStyle w:val="Hyperlink"/>
          </w:rPr>
          <w:t> </w:t>
        </w:r>
        <w:r w:rsidR="00B816E3" w:rsidRPr="00423297">
          <w:rPr>
            <w:rStyle w:val="Hyperlink"/>
          </w:rPr>
          <w:t>642</w:t>
        </w:r>
      </w:hyperlink>
      <w:r w:rsidR="004E075E" w:rsidRPr="00423297">
        <w:t>, w</w:t>
      </w:r>
      <w:r w:rsidRPr="00423297">
        <w:t xml:space="preserve">e have decided </w:t>
      </w:r>
      <w:r w:rsidR="00DF2AAA" w:rsidRPr="00423297">
        <w:t xml:space="preserve">to revise this </w:t>
      </w:r>
      <w:r w:rsidR="004E075E" w:rsidRPr="00423297">
        <w:t xml:space="preserve">part of the </w:t>
      </w:r>
      <w:r w:rsidR="00DF2AAA" w:rsidRPr="00423297">
        <w:t xml:space="preserve">option and </w:t>
      </w:r>
      <w:r w:rsidRPr="00423297">
        <w:t>not to progress the proposed enhanced cooling-off model</w:t>
      </w:r>
      <w:r w:rsidR="00CA49F5" w:rsidRPr="00423297">
        <w:t>—</w:t>
      </w:r>
      <w:r w:rsidRPr="00423297">
        <w:t>for</w:t>
      </w:r>
      <w:r w:rsidR="00CA49F5" w:rsidRPr="00423297">
        <w:t xml:space="preserve"> more information, see</w:t>
      </w:r>
      <w:r w:rsidR="001D322F" w:rsidRPr="00423297">
        <w:t xml:space="preserve"> paragraphs </w:t>
      </w:r>
      <w:r w:rsidR="00CA49F5" w:rsidRPr="00423297">
        <w:fldChar w:fldCharType="begin"/>
      </w:r>
      <w:r w:rsidR="00CA49F5" w:rsidRPr="00423297">
        <w:instrText xml:space="preserve"> REF _ASICRef709 \w \h </w:instrText>
      </w:r>
      <w:r w:rsidR="008D3172" w:rsidRPr="00423297">
        <w:instrText xml:space="preserve"> \* MERGEFORMAT </w:instrText>
      </w:r>
      <w:r w:rsidR="00CA49F5" w:rsidRPr="00423297">
        <w:fldChar w:fldCharType="separate"/>
      </w:r>
      <w:r w:rsidR="00B92808">
        <w:t>12</w:t>
      </w:r>
      <w:r w:rsidR="00CA49F5" w:rsidRPr="00423297">
        <w:fldChar w:fldCharType="end"/>
      </w:r>
      <w:r w:rsidR="00CA49F5" w:rsidRPr="00423297">
        <w:t>–</w:t>
      </w:r>
      <w:r w:rsidR="00606495" w:rsidRPr="00423297">
        <w:fldChar w:fldCharType="begin"/>
      </w:r>
      <w:r w:rsidR="00606495" w:rsidRPr="00423297">
        <w:instrText xml:space="preserve"> REF _ASICRef106 \w \h </w:instrText>
      </w:r>
      <w:r w:rsidR="00423297">
        <w:instrText xml:space="preserve"> \* MERGEFORMAT </w:instrText>
      </w:r>
      <w:r w:rsidR="00606495" w:rsidRPr="00423297">
        <w:fldChar w:fldCharType="separate"/>
      </w:r>
      <w:r w:rsidR="00B92808">
        <w:t>15</w:t>
      </w:r>
      <w:r w:rsidR="00606495" w:rsidRPr="00423297">
        <w:fldChar w:fldCharType="end"/>
      </w:r>
      <w:r w:rsidRPr="00423297">
        <w:t>.</w:t>
      </w:r>
      <w:r w:rsidR="00837F02" w:rsidRPr="00423297">
        <w:t xml:space="preserve"> </w:t>
      </w:r>
    </w:p>
    <w:p w14:paraId="55F714D0" w14:textId="0FA8CAFE" w:rsidR="00531EAD" w:rsidRPr="00423297" w:rsidRDefault="00DC05EA" w:rsidP="00531EAD">
      <w:pPr>
        <w:pStyle w:val="subparaa"/>
      </w:pPr>
      <w:bookmarkStart w:id="25" w:name="_Ref38915957"/>
      <w:proofErr w:type="gramStart"/>
      <w:r w:rsidRPr="00423297">
        <w:t>consumers</w:t>
      </w:r>
      <w:proofErr w:type="gramEnd"/>
      <w:r w:rsidRPr="00423297">
        <w:t xml:space="preserve"> with formal </w:t>
      </w:r>
      <w:r w:rsidR="00D61E78">
        <w:t>‘</w:t>
      </w:r>
      <w:r w:rsidRPr="00423297">
        <w:t>subject to finance</w:t>
      </w:r>
      <w:r w:rsidR="00D61E78">
        <w:t>’</w:t>
      </w:r>
      <w:r w:rsidRPr="00423297">
        <w:t xml:space="preserve"> rights. These rights allow consumers to withdraw their application for membership, independent of their cooling-off rights, and be refunded most of the finance application fees paid to related finance providers—that is, all fees minus the reasonable value of any administration costs the related finance provider incurred while processing the application before receiving the notification. To exercise this right, consumers must notify the operator that they: </w:t>
      </w:r>
      <w:bookmarkEnd w:id="25"/>
    </w:p>
    <w:p w14:paraId="10B3EAC3" w14:textId="29C61BF9" w:rsidR="00531EAD" w:rsidRPr="00423297" w:rsidRDefault="00DE5867" w:rsidP="00531EAD">
      <w:pPr>
        <w:pStyle w:val="subsubparai"/>
      </w:pPr>
      <w:r w:rsidRPr="00423297">
        <w:t>have failed to obtain finance</w:t>
      </w:r>
      <w:r w:rsidR="00531EAD" w:rsidRPr="00423297">
        <w:t>;</w:t>
      </w:r>
      <w:r w:rsidRPr="00423297">
        <w:t xml:space="preserve"> </w:t>
      </w:r>
    </w:p>
    <w:p w14:paraId="7A0D1DDC" w14:textId="77777777" w:rsidR="00531EAD" w:rsidRPr="00423297" w:rsidRDefault="00DE5867" w:rsidP="00531EAD">
      <w:pPr>
        <w:pStyle w:val="subsubparai"/>
      </w:pPr>
      <w:r w:rsidRPr="00423297">
        <w:t>decided not to proceed with the application for finance</w:t>
      </w:r>
      <w:r w:rsidR="00531EAD" w:rsidRPr="00423297">
        <w:t>;</w:t>
      </w:r>
      <w:r w:rsidRPr="00423297">
        <w:t xml:space="preserve"> or</w:t>
      </w:r>
      <w:r w:rsidR="00D226A3" w:rsidRPr="00423297">
        <w:t xml:space="preserve"> </w:t>
      </w:r>
    </w:p>
    <w:p w14:paraId="47B3D909" w14:textId="21443314" w:rsidR="00E16D30" w:rsidRPr="00423297" w:rsidRDefault="00DE5867" w:rsidP="00953431">
      <w:pPr>
        <w:pStyle w:val="subsubparai"/>
      </w:pPr>
      <w:r w:rsidRPr="00423297">
        <w:t>rejected an offer of finance</w:t>
      </w:r>
      <w:r w:rsidR="00E16D30" w:rsidRPr="00423297">
        <w:t>;</w:t>
      </w:r>
    </w:p>
    <w:p w14:paraId="599A166B" w14:textId="0ECABD2D" w:rsidR="00E16D30" w:rsidRPr="00423297" w:rsidRDefault="00E16D30" w:rsidP="00086F6D">
      <w:pPr>
        <w:pStyle w:val="subparaa"/>
      </w:pPr>
      <w:r w:rsidRPr="00423297">
        <w:t xml:space="preserve">more </w:t>
      </w:r>
      <w:bookmarkStart w:id="26" w:name="_Hlk19527835"/>
      <w:r w:rsidRPr="00423297">
        <w:t xml:space="preserve">prominent </w:t>
      </w:r>
      <w:r w:rsidR="00AC58F1" w:rsidRPr="00423297">
        <w:t>consumer</w:t>
      </w:r>
      <w:r w:rsidRPr="00423297">
        <w:t xml:space="preserve"> disclosure and warnings about the key features </w:t>
      </w:r>
      <w:r w:rsidR="0043733C" w:rsidRPr="00423297">
        <w:t xml:space="preserve">and risks </w:t>
      </w:r>
      <w:r w:rsidRPr="00423297">
        <w:t>of time-sharing schemes</w:t>
      </w:r>
      <w:r w:rsidR="00465BBF" w:rsidRPr="00423297">
        <w:t>,</w:t>
      </w:r>
      <w:r w:rsidRPr="00423297">
        <w:t xml:space="preserve"> to increase consumer understanding</w:t>
      </w:r>
      <w:r w:rsidR="00531EAD" w:rsidRPr="00423297">
        <w:t xml:space="preserve"> </w:t>
      </w:r>
      <w:bookmarkEnd w:id="26"/>
      <w:r w:rsidR="00531EAD" w:rsidRPr="00423297">
        <w:t xml:space="preserve">(for the definition of </w:t>
      </w:r>
      <w:r w:rsidR="00D61E78">
        <w:t>‘</w:t>
      </w:r>
      <w:r w:rsidR="00531EAD" w:rsidRPr="00423297">
        <w:t>key features</w:t>
      </w:r>
      <w:r w:rsidR="00D61E78">
        <w:t>’</w:t>
      </w:r>
      <w:r w:rsidR="00531EAD" w:rsidRPr="00423297">
        <w:t xml:space="preserve">, see </w:t>
      </w:r>
      <w:r w:rsidR="00A03450" w:rsidRPr="00423297">
        <w:fldChar w:fldCharType="begin"/>
      </w:r>
      <w:r w:rsidR="00A03450" w:rsidRPr="00423297">
        <w:instrText xml:space="preserve"> REF _Ref14855920 \h </w:instrText>
      </w:r>
      <w:r w:rsidR="008D3172" w:rsidRPr="00423297">
        <w:instrText xml:space="preserve"> \* MERGEFORMAT </w:instrText>
      </w:r>
      <w:r w:rsidR="00A03450" w:rsidRPr="00423297">
        <w:fldChar w:fldCharType="separate"/>
      </w:r>
      <w:r w:rsidR="00B92808" w:rsidRPr="00423297">
        <w:t>Table </w:t>
      </w:r>
      <w:r w:rsidR="00B92808">
        <w:t>3</w:t>
      </w:r>
      <w:r w:rsidR="00A03450" w:rsidRPr="00423297">
        <w:fldChar w:fldCharType="end"/>
      </w:r>
      <w:r w:rsidR="00531EAD" w:rsidRPr="00423297">
        <w:t>)</w:t>
      </w:r>
      <w:r w:rsidRPr="00423297">
        <w:t>;</w:t>
      </w:r>
    </w:p>
    <w:p w14:paraId="075AF325" w14:textId="1FB199BC" w:rsidR="00E16D30" w:rsidRPr="00423297" w:rsidRDefault="00E16D30" w:rsidP="00086F6D">
      <w:pPr>
        <w:pStyle w:val="subparaa"/>
      </w:pPr>
      <w:bookmarkStart w:id="27" w:name="_ASICRef100"/>
      <w:proofErr w:type="gramStart"/>
      <w:r w:rsidRPr="00423297">
        <w:t>formal</w:t>
      </w:r>
      <w:proofErr w:type="gramEnd"/>
      <w:r w:rsidRPr="00423297">
        <w:t xml:space="preserve"> hardship </w:t>
      </w:r>
      <w:r w:rsidR="00884924" w:rsidRPr="004E21AE">
        <w:t>arrangements</w:t>
      </w:r>
      <w:r w:rsidRPr="004E21AE">
        <w:t xml:space="preserve"> </w:t>
      </w:r>
      <w:r w:rsidR="00BD3A69">
        <w:t xml:space="preserve">that would </w:t>
      </w:r>
      <w:r w:rsidR="00480A82" w:rsidRPr="004E21AE">
        <w:t>requir</w:t>
      </w:r>
      <w:r w:rsidR="00BD3A69">
        <w:t>e</w:t>
      </w:r>
      <w:r w:rsidR="00480A82" w:rsidRPr="004E21AE">
        <w:t xml:space="preserve"> operators to consider whether </w:t>
      </w:r>
      <w:bookmarkStart w:id="28" w:name="_Hlk54108204"/>
      <w:r w:rsidRPr="00423297">
        <w:t xml:space="preserve">to </w:t>
      </w:r>
      <w:r w:rsidR="00ED4AAB">
        <w:t xml:space="preserve">approve a hardship application </w:t>
      </w:r>
      <w:r w:rsidR="00BD3A69">
        <w:t xml:space="preserve">that meets </w:t>
      </w:r>
      <w:r w:rsidR="00C3486B">
        <w:t xml:space="preserve">one or more </w:t>
      </w:r>
      <w:r w:rsidR="00ED4AAB">
        <w:t>hardship criteria</w:t>
      </w:r>
      <w:r w:rsidR="00BD3A69">
        <w:t>.</w:t>
      </w:r>
      <w:r w:rsidR="00ED4AAB">
        <w:t xml:space="preserve"> </w:t>
      </w:r>
      <w:r w:rsidR="00BD3A69">
        <w:t>The purpose of the arrangements is</w:t>
      </w:r>
      <w:r w:rsidR="00ED4AAB">
        <w:t xml:space="preserve"> to </w:t>
      </w:r>
      <w:r w:rsidRPr="00423297">
        <w:t xml:space="preserve">enable </w:t>
      </w:r>
      <w:bookmarkEnd w:id="28"/>
      <w:r w:rsidRPr="00423297">
        <w:t>a member suffering hardship to withdraw from the time-sharing scheme without further liability</w:t>
      </w:r>
      <w:r w:rsidR="00531EAD" w:rsidRPr="00423297">
        <w:t xml:space="preserve"> </w:t>
      </w:r>
      <w:r w:rsidR="007B4B38" w:rsidRPr="00423297">
        <w:t xml:space="preserve">to the </w:t>
      </w:r>
      <w:r w:rsidR="005A7061" w:rsidRPr="00423297">
        <w:t>scheme</w:t>
      </w:r>
      <w:r w:rsidR="007B4B38" w:rsidRPr="00423297">
        <w:t xml:space="preserve"> </w:t>
      </w:r>
      <w:r w:rsidR="00531EAD" w:rsidRPr="00423297">
        <w:t xml:space="preserve">(for the definition </w:t>
      </w:r>
      <w:r w:rsidR="00D61E78">
        <w:t>‘</w:t>
      </w:r>
      <w:r w:rsidR="00531EAD" w:rsidRPr="00423297">
        <w:t>formal hardship arrangements</w:t>
      </w:r>
      <w:r w:rsidR="00D61E78">
        <w:t>’</w:t>
      </w:r>
      <w:r w:rsidR="00531EAD" w:rsidRPr="00423297">
        <w:t xml:space="preserve">, see paragraph </w:t>
      </w:r>
      <w:r w:rsidR="00531EAD" w:rsidRPr="00423297">
        <w:fldChar w:fldCharType="begin"/>
      </w:r>
      <w:r w:rsidR="00531EAD" w:rsidRPr="00423297">
        <w:instrText xml:space="preserve"> REF _Ref10558677 \r \h  \* MERGEFORMAT </w:instrText>
      </w:r>
      <w:r w:rsidR="00531EAD" w:rsidRPr="00423297">
        <w:fldChar w:fldCharType="separate"/>
      </w:r>
      <w:r w:rsidR="00B92808">
        <w:t>87</w:t>
      </w:r>
      <w:r w:rsidR="00531EAD" w:rsidRPr="00423297">
        <w:fldChar w:fldCharType="end"/>
      </w:r>
      <w:r w:rsidR="00531EAD" w:rsidRPr="00423297">
        <w:t>)</w:t>
      </w:r>
      <w:r w:rsidRPr="00423297">
        <w:t>;</w:t>
      </w:r>
      <w:bookmarkEnd w:id="27"/>
    </w:p>
    <w:p w14:paraId="5CB37DB5" w14:textId="72CA1B75" w:rsidR="004F1CCD" w:rsidRPr="00423297" w:rsidRDefault="00E16D30" w:rsidP="00086F6D">
      <w:pPr>
        <w:pStyle w:val="subparaa"/>
      </w:pPr>
      <w:r w:rsidRPr="00423297">
        <w:t xml:space="preserve">a </w:t>
      </w:r>
      <w:bookmarkStart w:id="29" w:name="_Hlk19527907"/>
      <w:r w:rsidRPr="00423297">
        <w:t>new obligation on operators of points-based</w:t>
      </w:r>
      <w:r w:rsidR="00465BBF" w:rsidRPr="00423297">
        <w:t xml:space="preserve"> programs</w:t>
      </w:r>
      <w:r w:rsidRPr="00423297">
        <w:t xml:space="preserve"> to have additional compliance procedures</w:t>
      </w:r>
      <w:r w:rsidR="00465BBF" w:rsidRPr="00423297">
        <w:t>,</w:t>
      </w:r>
      <w:r w:rsidRPr="00423297">
        <w:t xml:space="preserve"> to </w:t>
      </w:r>
      <w:r w:rsidR="00523608" w:rsidRPr="00423297">
        <w:t>reduce the potential for</w:t>
      </w:r>
      <w:r w:rsidR="00465BBF" w:rsidRPr="00423297">
        <w:t xml:space="preserve"> the value of</w:t>
      </w:r>
      <w:r w:rsidR="00523608" w:rsidRPr="00423297">
        <w:t xml:space="preserve"> </w:t>
      </w:r>
      <w:r w:rsidRPr="00423297">
        <w:t>existing members</w:t>
      </w:r>
      <w:r w:rsidR="00D61E78">
        <w:t>’</w:t>
      </w:r>
      <w:r w:rsidR="00465BBF" w:rsidRPr="00423297">
        <w:t xml:space="preserve"> interests to dilute</w:t>
      </w:r>
      <w:bookmarkEnd w:id="29"/>
      <w:r w:rsidR="004F1CCD" w:rsidRPr="00423297">
        <w:t>; and</w:t>
      </w:r>
    </w:p>
    <w:p w14:paraId="61891AE0" w14:textId="07C57EAB" w:rsidR="00E16D30" w:rsidRPr="00423297" w:rsidRDefault="004F1CCD" w:rsidP="00086F6D">
      <w:pPr>
        <w:pStyle w:val="subparaa"/>
      </w:pPr>
      <w:bookmarkStart w:id="30" w:name="_Ref10615498"/>
      <w:r w:rsidRPr="00423297">
        <w:t xml:space="preserve">specific guidance </w:t>
      </w:r>
      <w:r w:rsidR="00BB7542" w:rsidRPr="00423297">
        <w:t>to</w:t>
      </w:r>
      <w:r w:rsidRPr="00423297">
        <w:t xml:space="preserve"> the time-sharing industry </w:t>
      </w:r>
      <w:r w:rsidR="00302FB8" w:rsidRPr="00423297">
        <w:t>on</w:t>
      </w:r>
      <w:r w:rsidRPr="00423297">
        <w:t xml:space="preserve"> existing obligations under the Corporations Act and ASIC Act</w:t>
      </w:r>
      <w:r w:rsidR="00465BBF" w:rsidRPr="00423297">
        <w:t>,</w:t>
      </w:r>
      <w:r w:rsidRPr="00423297">
        <w:t xml:space="preserve"> and </w:t>
      </w:r>
      <w:r w:rsidR="005A5FAE">
        <w:t xml:space="preserve">in </w:t>
      </w:r>
      <w:r w:rsidR="00685858">
        <w:t>the N</w:t>
      </w:r>
      <w:r w:rsidR="005A5FAE">
        <w:t xml:space="preserve">ational </w:t>
      </w:r>
      <w:r w:rsidR="00685858">
        <w:t>C</w:t>
      </w:r>
      <w:r w:rsidR="005A5FAE">
        <w:t xml:space="preserve">redit </w:t>
      </w:r>
      <w:r w:rsidR="00685858">
        <w:t xml:space="preserve">Act and </w:t>
      </w:r>
      <w:r w:rsidR="00D92370" w:rsidRPr="00423297">
        <w:t>National Credit Code</w:t>
      </w:r>
      <w:r w:rsidR="005A5FAE">
        <w:t xml:space="preserve">, </w:t>
      </w:r>
      <w:r w:rsidRPr="00423297">
        <w:t xml:space="preserve">to raise standards in the industry and reduce </w:t>
      </w:r>
      <w:r w:rsidR="00AA7698" w:rsidRPr="00423297">
        <w:t>consumer harm</w:t>
      </w:r>
      <w:r w:rsidRPr="00423297">
        <w:t>.</w:t>
      </w:r>
      <w:bookmarkEnd w:id="30"/>
    </w:p>
    <w:p w14:paraId="79FBDDE4" w14:textId="460E22DD" w:rsidR="00B67142" w:rsidRPr="00423297" w:rsidRDefault="007F6AA4" w:rsidP="008250FD">
      <w:pPr>
        <w:pStyle w:val="Heading4"/>
      </w:pPr>
      <w:r w:rsidRPr="00423297">
        <w:lastRenderedPageBreak/>
        <w:t>Revised Option 1</w:t>
      </w:r>
      <w:r w:rsidR="00CA49F5" w:rsidRPr="00423297">
        <w:t>—</w:t>
      </w:r>
      <w:r w:rsidR="00561593" w:rsidRPr="00423297">
        <w:t>Amend the policy settings but maintain the existing cooling-off model</w:t>
      </w:r>
      <w:r w:rsidR="00B67142" w:rsidRPr="00423297">
        <w:t xml:space="preserve"> </w:t>
      </w:r>
    </w:p>
    <w:p w14:paraId="0328A21D" w14:textId="2EC2A93E" w:rsidR="00393477" w:rsidRPr="00423297" w:rsidRDefault="00393477">
      <w:pPr>
        <w:pStyle w:val="BodyText"/>
      </w:pPr>
      <w:bookmarkStart w:id="31" w:name="_Ref26814110"/>
      <w:bookmarkStart w:id="32" w:name="_ASICRef760"/>
      <w:bookmarkStart w:id="33" w:name="_ASICRef709"/>
      <w:r w:rsidRPr="00423297">
        <w:t xml:space="preserve">During 2019, </w:t>
      </w:r>
      <w:r w:rsidR="00563771" w:rsidRPr="00423297">
        <w:t>we</w:t>
      </w:r>
      <w:r w:rsidRPr="00423297">
        <w:t xml:space="preserve"> </w:t>
      </w:r>
      <w:r w:rsidRPr="00423297">
        <w:rPr>
          <w:noProof/>
        </w:rPr>
        <w:t xml:space="preserve">commissioned </w:t>
      </w:r>
      <w:r w:rsidRPr="00423297">
        <w:t>two independent external reviews into time-sharing schemes</w:t>
      </w:r>
      <w:r w:rsidR="00C22583" w:rsidRPr="00423297">
        <w:t xml:space="preserve"> and undertook surveillance to test whether the advice provided by two operators complied with the law</w:t>
      </w:r>
      <w:r w:rsidR="002E2D5A" w:rsidRPr="00423297">
        <w:t>.</w:t>
      </w:r>
      <w:r w:rsidR="00FC2A64" w:rsidRPr="00423297">
        <w:t xml:space="preserve"> </w:t>
      </w:r>
      <w:r w:rsidR="00563771" w:rsidRPr="00423297">
        <w:t>Given</w:t>
      </w:r>
      <w:r w:rsidR="002E2D5A" w:rsidRPr="00423297">
        <w:t xml:space="preserve"> the findings of these reviews</w:t>
      </w:r>
      <w:r w:rsidR="00563771" w:rsidRPr="00423297">
        <w:t>,</w:t>
      </w:r>
      <w:r w:rsidR="002E2D5A" w:rsidRPr="00423297">
        <w:t xml:space="preserve"> </w:t>
      </w:r>
      <w:r w:rsidR="00563771" w:rsidRPr="00423297">
        <w:t>we consider</w:t>
      </w:r>
      <w:r w:rsidR="00FC2A64" w:rsidRPr="00423297">
        <w:t xml:space="preserve"> that a deferred sales model</w:t>
      </w:r>
      <w:r w:rsidR="004F56F8" w:rsidRPr="00423297">
        <w:t>—</w:t>
      </w:r>
      <w:r w:rsidR="00563771" w:rsidRPr="00423297">
        <w:t xml:space="preserve">which </w:t>
      </w:r>
      <w:r w:rsidR="00FA7D25" w:rsidRPr="00423297">
        <w:t>incorporates an exclusion period to prevent same-day sales</w:t>
      </w:r>
      <w:r w:rsidR="004F56F8" w:rsidRPr="00423297">
        <w:t>—</w:t>
      </w:r>
      <w:r w:rsidR="00CB196D">
        <w:t>might</w:t>
      </w:r>
      <w:r w:rsidR="00CB196D" w:rsidRPr="00423297">
        <w:t xml:space="preserve"> </w:t>
      </w:r>
      <w:r w:rsidR="00FC2A64" w:rsidRPr="00423297">
        <w:t xml:space="preserve">be a more appropriate option </w:t>
      </w:r>
      <w:r w:rsidR="00326B53" w:rsidRPr="00423297">
        <w:t xml:space="preserve">than a cooling-off model </w:t>
      </w:r>
      <w:r w:rsidR="00714933" w:rsidRPr="00423297">
        <w:t>to address consumer harms arising from selling practices in the time-sharing industry</w:t>
      </w:r>
      <w:r w:rsidR="00FA7D25" w:rsidRPr="00423297">
        <w:t>.</w:t>
      </w:r>
      <w:bookmarkEnd w:id="31"/>
      <w:bookmarkEnd w:id="32"/>
      <w:bookmarkEnd w:id="33"/>
    </w:p>
    <w:p w14:paraId="132C4129" w14:textId="33FEE506" w:rsidR="00C87323" w:rsidRPr="00423297" w:rsidRDefault="00FA7D25" w:rsidP="006675D2">
      <w:pPr>
        <w:pStyle w:val="BodyText"/>
      </w:pPr>
      <w:bookmarkStart w:id="34" w:name="_Ref26544230"/>
      <w:r w:rsidRPr="00423297">
        <w:t>Accordingly, w</w:t>
      </w:r>
      <w:r w:rsidR="00C87323" w:rsidRPr="00423297">
        <w:t xml:space="preserve">e have </w:t>
      </w:r>
      <w:r w:rsidR="007F6AA4" w:rsidRPr="00423297">
        <w:t>revise</w:t>
      </w:r>
      <w:r w:rsidR="00563771" w:rsidRPr="00423297">
        <w:t>d</w:t>
      </w:r>
      <w:r w:rsidR="007F6AA4" w:rsidRPr="00423297">
        <w:t xml:space="preserve"> Option 1 </w:t>
      </w:r>
      <w:r w:rsidR="003C7798" w:rsidRPr="00423297">
        <w:t>to remove</w:t>
      </w:r>
      <w:r w:rsidR="00C87323" w:rsidRPr="00423297">
        <w:t xml:space="preserve"> the enhanced cooling-off model </w:t>
      </w:r>
      <w:r w:rsidR="00563771" w:rsidRPr="00423297">
        <w:t>(</w:t>
      </w:r>
      <w:r w:rsidR="00C87323" w:rsidRPr="00423297">
        <w:t xml:space="preserve">described in paragraph </w:t>
      </w:r>
      <w:r w:rsidR="00C87323" w:rsidRPr="00423297">
        <w:fldChar w:fldCharType="begin"/>
      </w:r>
      <w:r w:rsidR="00C87323" w:rsidRPr="00423297">
        <w:instrText xml:space="preserve"> REF _Ref26281039 \r \h </w:instrText>
      </w:r>
      <w:r w:rsidR="00CA49F5" w:rsidRPr="00423297">
        <w:instrText xml:space="preserve"> \* MERGEFORMAT </w:instrText>
      </w:r>
      <w:r w:rsidR="00C87323" w:rsidRPr="00423297">
        <w:fldChar w:fldCharType="separate"/>
      </w:r>
      <w:r w:rsidR="00B92808">
        <w:t>11(a)</w:t>
      </w:r>
      <w:r w:rsidR="00C87323" w:rsidRPr="00423297">
        <w:fldChar w:fldCharType="end"/>
      </w:r>
      <w:r w:rsidR="00563771" w:rsidRPr="00423297">
        <w:t>)</w:t>
      </w:r>
      <w:r w:rsidR="0043733C" w:rsidRPr="00423297">
        <w:t>.</w:t>
      </w:r>
      <w:r w:rsidR="009B5C5C" w:rsidRPr="00423297" w:rsidDel="009B5C5C">
        <w:t xml:space="preserve"> </w:t>
      </w:r>
      <w:bookmarkEnd w:id="34"/>
      <w:r w:rsidR="003C7798" w:rsidRPr="00423297">
        <w:t>All other aspects of original Option 1 would be introduced.</w:t>
      </w:r>
    </w:p>
    <w:p w14:paraId="34DBFE3C" w14:textId="5F2E11B6" w:rsidR="00563771" w:rsidRPr="00423297" w:rsidRDefault="00563771" w:rsidP="001108FC">
      <w:pPr>
        <w:pStyle w:val="BodyText"/>
      </w:pPr>
      <w:r w:rsidRPr="00423297">
        <w:t xml:space="preserve">We still consider that the enhanced cooling-off model would provide greater </w:t>
      </w:r>
      <w:r w:rsidR="0039316E" w:rsidRPr="00423297">
        <w:t xml:space="preserve">consumer </w:t>
      </w:r>
      <w:r w:rsidRPr="00423297">
        <w:t xml:space="preserve">protection than the existing cooling-off model. We also </w:t>
      </w:r>
      <w:r w:rsidR="0085450F" w:rsidRPr="00423297">
        <w:t>acknowledge</w:t>
      </w:r>
      <w:r w:rsidRPr="00423297">
        <w:t xml:space="preserve"> that this model</w:t>
      </w:r>
      <w:r w:rsidR="00C87323" w:rsidRPr="00423297">
        <w:t xml:space="preserve"> has</w:t>
      </w:r>
      <w:r w:rsidR="00B67142" w:rsidRPr="00423297">
        <w:t xml:space="preserve"> been the product of extensive consultation with industry and consumer representatives since 2017</w:t>
      </w:r>
      <w:r w:rsidRPr="00423297">
        <w:t xml:space="preserve">, and that </w:t>
      </w:r>
      <w:r w:rsidR="00C87323" w:rsidRPr="00423297">
        <w:t>we indicated our intention to implement it</w:t>
      </w:r>
      <w:r w:rsidR="00B67142" w:rsidRPr="00423297">
        <w:t xml:space="preserve"> in </w:t>
      </w:r>
      <w:r w:rsidRPr="00423297">
        <w:t xml:space="preserve">August 2018. </w:t>
      </w:r>
    </w:p>
    <w:p w14:paraId="515CE740" w14:textId="54A4D43F" w:rsidR="00C87323" w:rsidRPr="00423297" w:rsidRDefault="00563771" w:rsidP="00EC0071">
      <w:pPr>
        <w:pStyle w:val="Note"/>
      </w:pPr>
      <w:r w:rsidRPr="00423297">
        <w:t xml:space="preserve">Note: See </w:t>
      </w:r>
      <w:hyperlink r:id="rId11" w:history="1">
        <w:r w:rsidR="00D61E78">
          <w:rPr>
            <w:rStyle w:val="Hyperlink"/>
          </w:rPr>
          <w:t>‘</w:t>
        </w:r>
        <w:r w:rsidRPr="00423297">
          <w:rPr>
            <w:rStyle w:val="Hyperlink"/>
          </w:rPr>
          <w:t>Time-sharing schemes: Update on the status of our review of the policy settings</w:t>
        </w:r>
        <w:r w:rsidR="00D61E78">
          <w:rPr>
            <w:rStyle w:val="Hyperlink"/>
          </w:rPr>
          <w:t>’</w:t>
        </w:r>
      </w:hyperlink>
      <w:r w:rsidR="00A90FE4" w:rsidRPr="00423297">
        <w:t xml:space="preserve"> </w:t>
      </w:r>
      <w:r w:rsidRPr="00423297">
        <w:t>on the ASIC website.</w:t>
      </w:r>
      <w:r w:rsidR="00C87323" w:rsidRPr="00423297">
        <w:t xml:space="preserve"> </w:t>
      </w:r>
    </w:p>
    <w:p w14:paraId="7939DB69" w14:textId="3C25BED4" w:rsidR="00380438" w:rsidRPr="00423297" w:rsidRDefault="004A7AE0">
      <w:pPr>
        <w:pStyle w:val="BodyText"/>
      </w:pPr>
      <w:bookmarkStart w:id="35" w:name="_Ref26544232"/>
      <w:bookmarkStart w:id="36" w:name="_ASICRef814"/>
      <w:bookmarkStart w:id="37" w:name="_ASICRef106"/>
      <w:r w:rsidRPr="00423297">
        <w:t xml:space="preserve">However, we consider that it </w:t>
      </w:r>
      <w:r w:rsidR="003A1080">
        <w:t>may be more</w:t>
      </w:r>
      <w:r w:rsidR="003A1080" w:rsidRPr="00423297">
        <w:t xml:space="preserve"> </w:t>
      </w:r>
      <w:r w:rsidRPr="00423297">
        <w:t xml:space="preserve">appropriate to undertake more consultation—including </w:t>
      </w:r>
      <w:r w:rsidR="003C7798" w:rsidRPr="00423297">
        <w:t>on</w:t>
      </w:r>
      <w:r w:rsidRPr="00423297">
        <w:t xml:space="preserve"> the enhanced cooling-off model</w:t>
      </w:r>
      <w:r w:rsidR="009B5C5C" w:rsidRPr="00423297">
        <w:t xml:space="preserve"> and </w:t>
      </w:r>
      <w:r w:rsidR="003C7798" w:rsidRPr="00423297">
        <w:t>deferred sales model</w:t>
      </w:r>
      <w:r w:rsidRPr="00423297">
        <w:t xml:space="preserve">—before finalising our policy positions on this aspect of </w:t>
      </w:r>
      <w:r w:rsidR="002937C0" w:rsidRPr="00423297">
        <w:t xml:space="preserve">the </w:t>
      </w:r>
      <w:r w:rsidRPr="00423297">
        <w:t xml:space="preserve">regulatory settings. </w:t>
      </w:r>
      <w:bookmarkStart w:id="38" w:name="_Hlk56122908"/>
      <w:r w:rsidR="007F6AA4" w:rsidRPr="00423297">
        <w:t xml:space="preserve">We have </w:t>
      </w:r>
      <w:r w:rsidRPr="00423297">
        <w:t>therefore decided to</w:t>
      </w:r>
      <w:r w:rsidR="00594A01" w:rsidRPr="00423297">
        <w:t xml:space="preserve"> maintain the existing cooling-off model</w:t>
      </w:r>
      <w:r w:rsidR="002937C0" w:rsidRPr="00423297">
        <w:t xml:space="preserve"> until </w:t>
      </w:r>
      <w:r w:rsidR="006A0FD6" w:rsidRPr="00B10FB6">
        <w:t xml:space="preserve">the </w:t>
      </w:r>
      <w:r w:rsidR="00BD3A69" w:rsidRPr="00B10FB6">
        <w:t xml:space="preserve">industry </w:t>
      </w:r>
      <w:r w:rsidR="004248AD" w:rsidRPr="00B10FB6">
        <w:t>has</w:t>
      </w:r>
      <w:r w:rsidR="00BD3A69">
        <w:t xml:space="preserve"> implemented the </w:t>
      </w:r>
      <w:r w:rsidR="006A0FD6">
        <w:t xml:space="preserve">other reforms in Option 1 and </w:t>
      </w:r>
      <w:r w:rsidR="00BD3A69">
        <w:t>we</w:t>
      </w:r>
      <w:r w:rsidR="006A0FD6">
        <w:t xml:space="preserve"> decide whether to undertake </w:t>
      </w:r>
      <w:r w:rsidR="002937C0" w:rsidRPr="00423297">
        <w:t>further consultation</w:t>
      </w:r>
      <w:bookmarkEnd w:id="38"/>
      <w:r w:rsidR="00594A01" w:rsidRPr="00423297">
        <w:t>. W</w:t>
      </w:r>
      <w:r w:rsidR="00C87323" w:rsidRPr="00423297">
        <w:t xml:space="preserve">e consider </w:t>
      </w:r>
      <w:r w:rsidR="00380438" w:rsidRPr="00423297">
        <w:t xml:space="preserve">it would be unduly </w:t>
      </w:r>
      <w:bookmarkStart w:id="39" w:name="_Hlk26475392"/>
      <w:r w:rsidR="00380438" w:rsidRPr="00423297">
        <w:t>burdensome to expect industry to implement the enhanced</w:t>
      </w:r>
      <w:r w:rsidR="005F754B" w:rsidRPr="00423297">
        <w:t xml:space="preserve"> cooling-off model if it is replaced</w:t>
      </w:r>
      <w:r w:rsidR="00C87323" w:rsidRPr="00423297">
        <w:t xml:space="preserve"> within a short period of time</w:t>
      </w:r>
      <w:r w:rsidR="005F754B" w:rsidRPr="00423297">
        <w:t xml:space="preserve"> by a new regulatory setting</w:t>
      </w:r>
      <w:r w:rsidR="00C87323" w:rsidRPr="00423297">
        <w:t xml:space="preserve">, </w:t>
      </w:r>
      <w:r w:rsidR="005F754B" w:rsidRPr="00423297">
        <w:t>such as a deferred sales model</w:t>
      </w:r>
      <w:bookmarkEnd w:id="39"/>
      <w:r w:rsidR="00C87323" w:rsidRPr="00423297">
        <w:t xml:space="preserve">. </w:t>
      </w:r>
      <w:bookmarkEnd w:id="35"/>
      <w:bookmarkEnd w:id="36"/>
      <w:bookmarkEnd w:id="37"/>
    </w:p>
    <w:p w14:paraId="4032AB35" w14:textId="364BABCD" w:rsidR="00254B18" w:rsidRPr="00423297" w:rsidRDefault="00254B18" w:rsidP="006C4DCC">
      <w:pPr>
        <w:pStyle w:val="Heading5"/>
      </w:pPr>
      <w:r w:rsidRPr="00423297">
        <w:t>Consumer benefits from revised Option 1</w:t>
      </w:r>
    </w:p>
    <w:p w14:paraId="06554583" w14:textId="7E6F7BF1" w:rsidR="004A40DD" w:rsidRPr="00423297" w:rsidRDefault="0039316E" w:rsidP="005F754B">
      <w:pPr>
        <w:pStyle w:val="BodyText"/>
      </w:pPr>
      <w:bookmarkStart w:id="40" w:name="_Ref38893737"/>
      <w:bookmarkStart w:id="41" w:name="_ASICRef524"/>
      <w:bookmarkStart w:id="42" w:name="_ASICRef45"/>
      <w:r w:rsidRPr="00423297">
        <w:t>Under revised Option 1, consumers will benefit from</w:t>
      </w:r>
      <w:r w:rsidR="004A40DD" w:rsidRPr="00423297">
        <w:t>:</w:t>
      </w:r>
      <w:bookmarkEnd w:id="40"/>
      <w:r w:rsidRPr="00423297">
        <w:t xml:space="preserve"> </w:t>
      </w:r>
    </w:p>
    <w:p w14:paraId="06960943" w14:textId="39091F41" w:rsidR="00552AB7" w:rsidRPr="00423297" w:rsidRDefault="003E4177" w:rsidP="004A40DD">
      <w:pPr>
        <w:pStyle w:val="subparaa"/>
      </w:pPr>
      <w:proofErr w:type="gramStart"/>
      <w:r w:rsidRPr="00423297">
        <w:t>new</w:t>
      </w:r>
      <w:proofErr w:type="gramEnd"/>
      <w:r w:rsidR="0039316E" w:rsidRPr="00423297">
        <w:t xml:space="preserve"> </w:t>
      </w:r>
      <w:r w:rsidR="00476315" w:rsidRPr="00423297">
        <w:t xml:space="preserve">formal </w:t>
      </w:r>
      <w:r w:rsidR="00D61E78">
        <w:t>‘</w:t>
      </w:r>
      <w:r w:rsidR="0039316E" w:rsidRPr="00423297">
        <w:t>subject to finance</w:t>
      </w:r>
      <w:r w:rsidR="00D61E78">
        <w:t>’</w:t>
      </w:r>
      <w:r w:rsidR="0039316E" w:rsidRPr="00423297">
        <w:t xml:space="preserve"> rights</w:t>
      </w:r>
      <w:r w:rsidR="001113F5" w:rsidRPr="00423297">
        <w:t xml:space="preserve"> </w:t>
      </w:r>
      <w:r w:rsidR="00322BC7" w:rsidRPr="00423297">
        <w:t>that</w:t>
      </w:r>
      <w:r w:rsidR="006B14D5" w:rsidRPr="00423297">
        <w:t xml:space="preserve"> operate independently of the </w:t>
      </w:r>
      <w:r w:rsidR="00B5576F" w:rsidRPr="00423297">
        <w:t xml:space="preserve">existing </w:t>
      </w:r>
      <w:r w:rsidR="006B14D5" w:rsidRPr="00423297">
        <w:t xml:space="preserve">cooling-off </w:t>
      </w:r>
      <w:r w:rsidR="00B5576F" w:rsidRPr="00423297">
        <w:t>rights</w:t>
      </w:r>
      <w:r w:rsidR="00322BC7" w:rsidRPr="00423297">
        <w:t xml:space="preserve">. These </w:t>
      </w:r>
      <w:r w:rsidR="00B5576F" w:rsidRPr="00423297">
        <w:t xml:space="preserve">new </w:t>
      </w:r>
      <w:r w:rsidR="00322BC7" w:rsidRPr="00423297">
        <w:t>rights</w:t>
      </w:r>
      <w:r w:rsidR="00552AB7" w:rsidRPr="00423297">
        <w:t>:</w:t>
      </w:r>
    </w:p>
    <w:p w14:paraId="0CE3E8B1" w14:textId="1362A4CA" w:rsidR="00552AB7" w:rsidRPr="00423297" w:rsidRDefault="00552AB7" w:rsidP="00552AB7">
      <w:pPr>
        <w:pStyle w:val="subsubparai"/>
      </w:pPr>
      <w:r w:rsidRPr="00423297">
        <w:t>allow consumers</w:t>
      </w:r>
      <w:r w:rsidR="001113F5" w:rsidRPr="00423297">
        <w:t xml:space="preserve"> to withdraw their application for membership </w:t>
      </w:r>
      <w:r w:rsidR="000D3EE5" w:rsidRPr="00423297">
        <w:t>(</w:t>
      </w:r>
      <w:r w:rsidR="006B14D5" w:rsidRPr="00423297">
        <w:t xml:space="preserve">in the circumstances outlined on paragraph </w:t>
      </w:r>
      <w:r w:rsidR="006B14D5" w:rsidRPr="00423297">
        <w:fldChar w:fldCharType="begin"/>
      </w:r>
      <w:r w:rsidR="006B14D5" w:rsidRPr="00423297">
        <w:instrText xml:space="preserve"> REF _Ref38915957 \r \h </w:instrText>
      </w:r>
      <w:r w:rsidR="00423297">
        <w:instrText xml:space="preserve"> \* MERGEFORMAT </w:instrText>
      </w:r>
      <w:r w:rsidR="006B14D5" w:rsidRPr="00423297">
        <w:fldChar w:fldCharType="separate"/>
      </w:r>
      <w:r w:rsidR="00B92808">
        <w:t>11(b)</w:t>
      </w:r>
      <w:r w:rsidR="006B14D5" w:rsidRPr="00423297">
        <w:fldChar w:fldCharType="end"/>
      </w:r>
      <w:r w:rsidR="000D3EE5" w:rsidRPr="00423297">
        <w:t>)</w:t>
      </w:r>
      <w:r w:rsidRPr="00423297">
        <w:t>;</w:t>
      </w:r>
    </w:p>
    <w:p w14:paraId="3A84A3E5" w14:textId="656A4017" w:rsidR="001113F5" w:rsidRPr="00423297" w:rsidRDefault="00552AB7" w:rsidP="00552AB7">
      <w:pPr>
        <w:pStyle w:val="subsubparai"/>
      </w:pPr>
      <w:r w:rsidRPr="00423297">
        <w:t xml:space="preserve">entitle consumers to </w:t>
      </w:r>
      <w:r w:rsidR="000D3EE5" w:rsidRPr="00423297">
        <w:t>a</w:t>
      </w:r>
      <w:r w:rsidR="001113F5" w:rsidRPr="00423297">
        <w:t xml:space="preserve"> </w:t>
      </w:r>
      <w:bookmarkStart w:id="43" w:name="_Hlk42174045"/>
      <w:r w:rsidR="001113F5" w:rsidRPr="00423297">
        <w:t>refund</w:t>
      </w:r>
      <w:r w:rsidRPr="00423297">
        <w:t xml:space="preserve"> of</w:t>
      </w:r>
      <w:r w:rsidR="001113F5" w:rsidRPr="00423297">
        <w:t xml:space="preserve"> any finance application fees paid to related finance providers</w:t>
      </w:r>
      <w:r w:rsidR="00F076D8" w:rsidRPr="00423297">
        <w:t xml:space="preserve"> </w:t>
      </w:r>
      <w:bookmarkStart w:id="44" w:name="_Hlk42176111"/>
      <w:bookmarkEnd w:id="43"/>
      <w:r w:rsidR="00DC05EA" w:rsidRPr="00423297">
        <w:t xml:space="preserve">(less any reasonable </w:t>
      </w:r>
      <w:bookmarkEnd w:id="44"/>
      <w:r w:rsidR="00DC05EA" w:rsidRPr="00423297">
        <w:t xml:space="preserve">costs); </w:t>
      </w:r>
      <w:r w:rsidRPr="00423297">
        <w:t>and</w:t>
      </w:r>
    </w:p>
    <w:p w14:paraId="0550B3CC" w14:textId="4267C6C3" w:rsidR="00552AB7" w:rsidRPr="00423297" w:rsidRDefault="000D3EE5" w:rsidP="00552AB7">
      <w:pPr>
        <w:pStyle w:val="subsubparai"/>
      </w:pPr>
      <w:r w:rsidRPr="00423297">
        <w:t xml:space="preserve">give </w:t>
      </w:r>
      <w:r w:rsidR="00552AB7" w:rsidRPr="00423297">
        <w:t>greater certainty to consumers</w:t>
      </w:r>
      <w:r w:rsidR="00322BC7" w:rsidRPr="00423297">
        <w:t xml:space="preserve"> than the informal </w:t>
      </w:r>
      <w:r w:rsidR="00D61E78">
        <w:t>‘</w:t>
      </w:r>
      <w:r w:rsidR="00322BC7" w:rsidRPr="00423297">
        <w:t>subject to finance</w:t>
      </w:r>
      <w:r w:rsidR="00D61E78">
        <w:t>’</w:t>
      </w:r>
      <w:r w:rsidR="00322BC7" w:rsidRPr="00423297">
        <w:t xml:space="preserve"> arrangements provided or withheld at the discretion of operators and promoters</w:t>
      </w:r>
      <w:r w:rsidR="00552AB7" w:rsidRPr="00423297">
        <w:t>;</w:t>
      </w:r>
    </w:p>
    <w:p w14:paraId="296B809A" w14:textId="59DFC4E6" w:rsidR="009D54CA" w:rsidRPr="00423297" w:rsidRDefault="009D54CA" w:rsidP="00B17DA7">
      <w:pPr>
        <w:pStyle w:val="Note"/>
      </w:pPr>
      <w:r w:rsidRPr="00423297">
        <w:lastRenderedPageBreak/>
        <w:t xml:space="preserve">Note: </w:t>
      </w:r>
      <w:r w:rsidR="00B1605E" w:rsidRPr="00423297">
        <w:t>In this RIS</w:t>
      </w:r>
      <w:r w:rsidR="007B1358" w:rsidRPr="00423297">
        <w:t xml:space="preserve">, </w:t>
      </w:r>
      <w:r w:rsidR="00D61E78">
        <w:t>‘</w:t>
      </w:r>
      <w:r w:rsidR="007B1358" w:rsidRPr="00423297">
        <w:t xml:space="preserve">informal </w:t>
      </w:r>
      <w:r w:rsidR="00D61E78">
        <w:t>‘</w:t>
      </w:r>
      <w:r w:rsidR="007B1358" w:rsidRPr="00423297">
        <w:t>subject to finance</w:t>
      </w:r>
      <w:r w:rsidR="00D61E78">
        <w:t>’</w:t>
      </w:r>
      <w:r w:rsidR="007B1358" w:rsidRPr="00423297">
        <w:t xml:space="preserve"> </w:t>
      </w:r>
      <w:r w:rsidR="00130C34" w:rsidRPr="00423297">
        <w:t>arrangements</w:t>
      </w:r>
      <w:r w:rsidR="00D61E78">
        <w:t>’</w:t>
      </w:r>
      <w:r w:rsidR="007B1358" w:rsidRPr="00423297">
        <w:t xml:space="preserve"> </w:t>
      </w:r>
      <w:r w:rsidR="000D3EE5" w:rsidRPr="00423297">
        <w:t>refers to</w:t>
      </w:r>
      <w:r w:rsidR="00B106A5" w:rsidRPr="00423297">
        <w:t xml:space="preserve"> operators exercis</w:t>
      </w:r>
      <w:r w:rsidR="000D3EE5" w:rsidRPr="00423297">
        <w:t>ing</w:t>
      </w:r>
      <w:r w:rsidR="00130C34" w:rsidRPr="00423297">
        <w:t xml:space="preserve"> their discretion</w:t>
      </w:r>
      <w:r w:rsidR="00B1605E" w:rsidRPr="00423297">
        <w:t xml:space="preserve"> to extend</w:t>
      </w:r>
      <w:r w:rsidRPr="00423297">
        <w:t xml:space="preserve"> the cooling-off period or permit consumer</w:t>
      </w:r>
      <w:r w:rsidR="00B106A5" w:rsidRPr="00423297">
        <w:t>s</w:t>
      </w:r>
      <w:r w:rsidRPr="00423297">
        <w:t xml:space="preserve"> to withdraw their application for membership </w:t>
      </w:r>
      <w:r w:rsidR="00B106A5" w:rsidRPr="00423297">
        <w:t>whe</w:t>
      </w:r>
      <w:r w:rsidR="000D3EE5" w:rsidRPr="00423297">
        <w:t>n</w:t>
      </w:r>
      <w:r w:rsidR="00B106A5" w:rsidRPr="00423297">
        <w:t xml:space="preserve"> the consumer</w:t>
      </w:r>
      <w:r w:rsidR="00D61E78">
        <w:t>’</w:t>
      </w:r>
      <w:r w:rsidR="00B106A5" w:rsidRPr="00423297">
        <w:t xml:space="preserve">s </w:t>
      </w:r>
      <w:r w:rsidRPr="00423297">
        <w:t>application for finance is pending or refused</w:t>
      </w:r>
      <w:r w:rsidR="00130C34" w:rsidRPr="00423297">
        <w:t>.</w:t>
      </w:r>
    </w:p>
    <w:p w14:paraId="28448366" w14:textId="5F5724BF" w:rsidR="00552AB7" w:rsidRPr="00423297" w:rsidRDefault="001113F5" w:rsidP="004A40DD">
      <w:pPr>
        <w:pStyle w:val="subparaa"/>
      </w:pPr>
      <w:r w:rsidRPr="00423297">
        <w:t xml:space="preserve">new formal </w:t>
      </w:r>
      <w:r w:rsidR="0039316E" w:rsidRPr="00423297">
        <w:t>har</w:t>
      </w:r>
      <w:r w:rsidR="00476315" w:rsidRPr="00423297">
        <w:t>d</w:t>
      </w:r>
      <w:r w:rsidR="0039316E" w:rsidRPr="00423297">
        <w:t>s</w:t>
      </w:r>
      <w:r w:rsidR="00476315" w:rsidRPr="00423297">
        <w:t xml:space="preserve">hip arrangements </w:t>
      </w:r>
      <w:r w:rsidR="000D3EE5" w:rsidRPr="00423297">
        <w:t>that</w:t>
      </w:r>
      <w:r w:rsidR="00552AB7" w:rsidRPr="00423297">
        <w:t>:</w:t>
      </w:r>
    </w:p>
    <w:p w14:paraId="0D24B071" w14:textId="788833C1" w:rsidR="004A40DD" w:rsidRPr="00423297" w:rsidRDefault="00480A82" w:rsidP="00552AB7">
      <w:pPr>
        <w:pStyle w:val="subsubparai"/>
      </w:pPr>
      <w:bookmarkStart w:id="45" w:name="_Hlk54097453"/>
      <w:proofErr w:type="gramStart"/>
      <w:r w:rsidRPr="004E21AE">
        <w:t>require</w:t>
      </w:r>
      <w:proofErr w:type="gramEnd"/>
      <w:r w:rsidR="00E65DBC" w:rsidRPr="004E21AE">
        <w:t xml:space="preserve"> operators </w:t>
      </w:r>
      <w:r w:rsidRPr="004E21AE">
        <w:t xml:space="preserve">to consider whether to </w:t>
      </w:r>
      <w:r w:rsidR="00542671" w:rsidRPr="00C3486B">
        <w:t xml:space="preserve">approve a hardship application </w:t>
      </w:r>
      <w:r w:rsidR="00BD3A69">
        <w:t>that meets</w:t>
      </w:r>
      <w:r w:rsidR="00542671" w:rsidRPr="00C3486B">
        <w:t xml:space="preserve"> </w:t>
      </w:r>
      <w:r w:rsidR="00C3486B">
        <w:t>one or more</w:t>
      </w:r>
      <w:r w:rsidR="00542671" w:rsidRPr="00C3486B">
        <w:t xml:space="preserve"> hardship criteri</w:t>
      </w:r>
      <w:r w:rsidR="00C3486B">
        <w:t>a</w:t>
      </w:r>
      <w:r w:rsidR="00BD3A69">
        <w:t>. The purpose of the arrangements is</w:t>
      </w:r>
      <w:r w:rsidR="00542671" w:rsidRPr="00C3486B">
        <w:t xml:space="preserve"> to</w:t>
      </w:r>
      <w:r w:rsidR="00542671" w:rsidRPr="00542671">
        <w:t xml:space="preserve"> </w:t>
      </w:r>
      <w:bookmarkEnd w:id="45"/>
      <w:r w:rsidR="001113F5" w:rsidRPr="00423297">
        <w:t>enable member</w:t>
      </w:r>
      <w:r w:rsidR="00005A2D" w:rsidRPr="00423297">
        <w:t>s</w:t>
      </w:r>
      <w:r w:rsidR="001113F5" w:rsidRPr="00423297">
        <w:t xml:space="preserve"> suffering hardship to withdraw from the time-sharing scheme without further liability</w:t>
      </w:r>
      <w:r w:rsidR="007B4B38" w:rsidRPr="00423297">
        <w:t xml:space="preserve"> to the </w:t>
      </w:r>
      <w:r w:rsidR="005A7061" w:rsidRPr="00423297">
        <w:t>scheme</w:t>
      </w:r>
      <w:r w:rsidR="004A40DD" w:rsidRPr="00423297">
        <w:t>;</w:t>
      </w:r>
      <w:r w:rsidR="00552AB7" w:rsidRPr="00423297">
        <w:t xml:space="preserve"> and</w:t>
      </w:r>
    </w:p>
    <w:p w14:paraId="668EA635" w14:textId="1C36690E" w:rsidR="00552AB7" w:rsidRPr="004E21AE" w:rsidRDefault="000D3EE5" w:rsidP="00552AB7">
      <w:pPr>
        <w:pStyle w:val="subsubparai"/>
      </w:pPr>
      <w:r w:rsidRPr="00423297">
        <w:t xml:space="preserve">give </w:t>
      </w:r>
      <w:r w:rsidR="00552AB7" w:rsidRPr="00423297">
        <w:t>greater certainty to members</w:t>
      </w:r>
      <w:r w:rsidR="00322BC7" w:rsidRPr="00423297">
        <w:t xml:space="preserve"> than the informal hardship arrangements provided or withheld at the discretion </w:t>
      </w:r>
      <w:r w:rsidR="00322BC7" w:rsidRPr="004E21AE">
        <w:t>of</w:t>
      </w:r>
      <w:r w:rsidR="00322BC7" w:rsidRPr="00423297">
        <w:t xml:space="preserve"> operators</w:t>
      </w:r>
      <w:r w:rsidR="00480A82">
        <w:t xml:space="preserve"> </w:t>
      </w:r>
      <w:r w:rsidR="00480A82" w:rsidRPr="004E21AE">
        <w:t>on an ad</w:t>
      </w:r>
      <w:r w:rsidR="00B51B01">
        <w:t>-</w:t>
      </w:r>
      <w:r w:rsidR="00480A82" w:rsidRPr="004E21AE">
        <w:t>hoc basis</w:t>
      </w:r>
      <w:r w:rsidR="00552AB7" w:rsidRPr="004E21AE">
        <w:t>;</w:t>
      </w:r>
    </w:p>
    <w:p w14:paraId="262E96F3" w14:textId="65DDFBA0" w:rsidR="00B1605E" w:rsidRPr="00423297" w:rsidRDefault="00B1605E" w:rsidP="00B17DA7">
      <w:pPr>
        <w:pStyle w:val="Note"/>
      </w:pPr>
      <w:r w:rsidRPr="00423297">
        <w:t>Note</w:t>
      </w:r>
      <w:r w:rsidR="000D3EE5" w:rsidRPr="00423297">
        <w:t>:</w:t>
      </w:r>
      <w:r w:rsidRPr="00423297">
        <w:t xml:space="preserve"> </w:t>
      </w:r>
      <w:r w:rsidR="000D3EE5" w:rsidRPr="00423297">
        <w:t>I</w:t>
      </w:r>
      <w:r w:rsidRPr="00423297">
        <w:t>n this RIS</w:t>
      </w:r>
      <w:r w:rsidR="00B46EEB" w:rsidRPr="00423297">
        <w:t xml:space="preserve">, </w:t>
      </w:r>
      <w:r w:rsidR="00D61E78">
        <w:t>‘</w:t>
      </w:r>
      <w:r w:rsidR="00B46EEB" w:rsidRPr="00423297">
        <w:t>informal hardship arrangements</w:t>
      </w:r>
      <w:r w:rsidR="00D61E78">
        <w:t>’</w:t>
      </w:r>
      <w:r w:rsidR="00B46EEB" w:rsidRPr="00423297">
        <w:t xml:space="preserve"> </w:t>
      </w:r>
      <w:r w:rsidR="000D3EE5" w:rsidRPr="00423297">
        <w:t>refer to</w:t>
      </w:r>
      <w:r w:rsidR="00B106A5" w:rsidRPr="00423297">
        <w:t xml:space="preserve"> operators exercis</w:t>
      </w:r>
      <w:r w:rsidR="000D3EE5" w:rsidRPr="00423297">
        <w:t>ing</w:t>
      </w:r>
      <w:r w:rsidR="00B106A5" w:rsidRPr="00423297">
        <w:t xml:space="preserve"> </w:t>
      </w:r>
      <w:r w:rsidR="00B46EEB" w:rsidRPr="00423297">
        <w:t>their discretion</w:t>
      </w:r>
      <w:r w:rsidR="00B106A5" w:rsidRPr="00423297">
        <w:t xml:space="preserve"> </w:t>
      </w:r>
      <w:r w:rsidR="00480A82">
        <w:t>on an ad</w:t>
      </w:r>
      <w:r w:rsidR="00B51B01">
        <w:t>-</w:t>
      </w:r>
      <w:r w:rsidR="00480A82">
        <w:t>hoc basis</w:t>
      </w:r>
      <w:r w:rsidR="00E65DBC">
        <w:t xml:space="preserve"> </w:t>
      </w:r>
      <w:r w:rsidRPr="00423297">
        <w:t xml:space="preserve">to excuse members </w:t>
      </w:r>
      <w:r w:rsidR="00BE7A1B" w:rsidRPr="00423297">
        <w:t>suffering</w:t>
      </w:r>
      <w:r w:rsidRPr="00423297">
        <w:t xml:space="preserve"> hardship from repaying any shortfall or further payments on forfeiture.</w:t>
      </w:r>
    </w:p>
    <w:p w14:paraId="6AA3BAB7" w14:textId="083C9809" w:rsidR="009B5F37" w:rsidRPr="00423297" w:rsidRDefault="0089316B" w:rsidP="004A40DD">
      <w:pPr>
        <w:pStyle w:val="subparaa"/>
      </w:pPr>
      <w:bookmarkStart w:id="46" w:name="_Ref38894066"/>
      <w:proofErr w:type="gramStart"/>
      <w:r w:rsidRPr="00423297">
        <w:t>new</w:t>
      </w:r>
      <w:proofErr w:type="gramEnd"/>
      <w:r w:rsidRPr="00423297">
        <w:t xml:space="preserve"> and </w:t>
      </w:r>
      <w:r w:rsidR="003E4177" w:rsidRPr="00423297">
        <w:t xml:space="preserve">amended </w:t>
      </w:r>
      <w:r w:rsidR="00476315" w:rsidRPr="00423297">
        <w:t>disclosure requirements</w:t>
      </w:r>
      <w:r w:rsidR="00552AB7" w:rsidRPr="00423297">
        <w:t>,</w:t>
      </w:r>
      <w:r w:rsidR="000D3EE5" w:rsidRPr="00423297">
        <w:t xml:space="preserve"> to help inform their decision making.</w:t>
      </w:r>
      <w:r w:rsidR="00552AB7" w:rsidRPr="00423297">
        <w:t xml:space="preserve"> </w:t>
      </w:r>
      <w:r w:rsidR="000D3EE5" w:rsidRPr="00423297">
        <w:t xml:space="preserve">Issuers must </w:t>
      </w:r>
      <w:r w:rsidR="00552AB7" w:rsidRPr="00423297">
        <w:t>provid</w:t>
      </w:r>
      <w:r w:rsidR="000D3EE5" w:rsidRPr="00423297">
        <w:t>e</w:t>
      </w:r>
      <w:r w:rsidR="00476315" w:rsidRPr="00423297">
        <w:t xml:space="preserve"> </w:t>
      </w:r>
      <w:r w:rsidR="000D3EE5" w:rsidRPr="00423297">
        <w:t xml:space="preserve">consumers with </w:t>
      </w:r>
      <w:r w:rsidR="00476315" w:rsidRPr="00423297">
        <w:t>key information (including consumer warnings) about time-sharing schemes</w:t>
      </w:r>
      <w:r w:rsidR="000D3EE5" w:rsidRPr="00423297">
        <w:t>.</w:t>
      </w:r>
      <w:r w:rsidR="009B15C7" w:rsidRPr="00423297">
        <w:t xml:space="preserve"> </w:t>
      </w:r>
      <w:r w:rsidR="000D3EE5" w:rsidRPr="00423297">
        <w:t xml:space="preserve">They must </w:t>
      </w:r>
      <w:r w:rsidRPr="00423297">
        <w:t>present</w:t>
      </w:r>
      <w:r w:rsidR="000D3EE5" w:rsidRPr="00423297">
        <w:t xml:space="preserve"> this information</w:t>
      </w:r>
      <w:r w:rsidRPr="00423297">
        <w:t xml:space="preserve"> </w:t>
      </w:r>
      <w:r w:rsidR="009B5F37" w:rsidRPr="00423297">
        <w:t>clearly and prominently</w:t>
      </w:r>
      <w:r w:rsidRPr="00423297">
        <w:t>,</w:t>
      </w:r>
      <w:r w:rsidR="009B5F37" w:rsidRPr="00423297">
        <w:t xml:space="preserve"> </w:t>
      </w:r>
      <w:r w:rsidR="00476315" w:rsidRPr="00423297">
        <w:t>verbally and in writing</w:t>
      </w:r>
      <w:r w:rsidR="003E4177" w:rsidRPr="00423297">
        <w:t>;</w:t>
      </w:r>
      <w:bookmarkEnd w:id="46"/>
    </w:p>
    <w:p w14:paraId="5009D0E0" w14:textId="21911837" w:rsidR="009B5F37" w:rsidRPr="00423297" w:rsidRDefault="00322BC7" w:rsidP="004A40DD">
      <w:pPr>
        <w:pStyle w:val="subparaa"/>
      </w:pPr>
      <w:r w:rsidRPr="00423297">
        <w:t>greater</w:t>
      </w:r>
      <w:r w:rsidR="009B5F37" w:rsidRPr="00423297">
        <w:t xml:space="preserve"> industry compliance and </w:t>
      </w:r>
      <w:r w:rsidRPr="00423297">
        <w:t xml:space="preserve">improved </w:t>
      </w:r>
      <w:r w:rsidR="00005A2D" w:rsidRPr="00423297">
        <w:t xml:space="preserve">ASIC </w:t>
      </w:r>
      <w:r w:rsidR="009B5F37" w:rsidRPr="00423297">
        <w:t>monitoring</w:t>
      </w:r>
      <w:r w:rsidR="000D3EE5" w:rsidRPr="00423297">
        <w:t>, as a</w:t>
      </w:r>
      <w:r w:rsidR="009B5F37" w:rsidRPr="00423297">
        <w:t xml:space="preserve"> result</w:t>
      </w:r>
      <w:r w:rsidR="000D3EE5" w:rsidRPr="00423297">
        <w:t xml:space="preserve"> of</w:t>
      </w:r>
      <w:r w:rsidR="009B5F37" w:rsidRPr="00423297">
        <w:t xml:space="preserve"> our </w:t>
      </w:r>
      <w:r w:rsidR="000D3EE5" w:rsidRPr="00423297">
        <w:t xml:space="preserve">updated </w:t>
      </w:r>
      <w:r w:rsidR="009B5F37" w:rsidRPr="00423297">
        <w:t xml:space="preserve">guidance </w:t>
      </w:r>
      <w:r w:rsidR="000D3EE5" w:rsidRPr="00423297">
        <w:t xml:space="preserve">on </w:t>
      </w:r>
      <w:r w:rsidR="009B5F37" w:rsidRPr="00423297">
        <w:t xml:space="preserve">existing obligations </w:t>
      </w:r>
      <w:r w:rsidR="00685858">
        <w:t>under the Corporations Act, ASIC Act</w:t>
      </w:r>
      <w:r w:rsidR="00B51B01">
        <w:t>,</w:t>
      </w:r>
      <w:r w:rsidR="00685858">
        <w:t xml:space="preserve"> and the National Credit Act and </w:t>
      </w:r>
      <w:r w:rsidR="00D92370" w:rsidRPr="00423297">
        <w:t>National Credit Code</w:t>
      </w:r>
      <w:r w:rsidR="009B5F37" w:rsidRPr="00423297">
        <w:t>;</w:t>
      </w:r>
      <w:r w:rsidR="00A757BE" w:rsidRPr="00423297">
        <w:t xml:space="preserve"> and</w:t>
      </w:r>
    </w:p>
    <w:p w14:paraId="5C0E2E0B" w14:textId="4BA9AD16" w:rsidR="0039316E" w:rsidRPr="00423297" w:rsidRDefault="00322BC7" w:rsidP="00B17DA7">
      <w:pPr>
        <w:pStyle w:val="subparaa"/>
      </w:pPr>
      <w:proofErr w:type="gramStart"/>
      <w:r w:rsidRPr="00423297">
        <w:t>improved</w:t>
      </w:r>
      <w:proofErr w:type="gramEnd"/>
      <w:r w:rsidR="00A3486F" w:rsidRPr="00423297">
        <w:t xml:space="preserve"> access to accommodation when they want </w:t>
      </w:r>
      <w:r w:rsidR="00005A2D" w:rsidRPr="00423297">
        <w:t>and</w:t>
      </w:r>
      <w:r w:rsidR="00A3486F" w:rsidRPr="00423297">
        <w:t xml:space="preserve"> delivery of promoted benefits</w:t>
      </w:r>
      <w:r w:rsidR="00D505A5" w:rsidRPr="00423297">
        <w:t>, as a</w:t>
      </w:r>
      <w:r w:rsidR="00A3486F" w:rsidRPr="00423297">
        <w:t xml:space="preserve"> </w:t>
      </w:r>
      <w:r w:rsidR="00A0598A" w:rsidRPr="00423297">
        <w:t>result</w:t>
      </w:r>
      <w:r w:rsidR="00D505A5" w:rsidRPr="00423297">
        <w:t xml:space="preserve"> of</w:t>
      </w:r>
      <w:r w:rsidRPr="00423297">
        <w:t xml:space="preserve"> </w:t>
      </w:r>
      <w:r w:rsidR="00A0598A" w:rsidRPr="00423297">
        <w:t xml:space="preserve">industry </w:t>
      </w:r>
      <w:r w:rsidRPr="00423297">
        <w:t>compl</w:t>
      </w:r>
      <w:r w:rsidR="00A0598A" w:rsidRPr="00423297">
        <w:t>iance</w:t>
      </w:r>
      <w:r w:rsidRPr="00423297">
        <w:t xml:space="preserve"> with the</w:t>
      </w:r>
      <w:r w:rsidR="00B04B9A" w:rsidRPr="00423297">
        <w:t xml:space="preserve"> new requirements </w:t>
      </w:r>
      <w:r w:rsidR="009B5F37" w:rsidRPr="00423297">
        <w:t>targeting the dilution of interests in</w:t>
      </w:r>
      <w:r w:rsidR="009B15C7" w:rsidRPr="00423297">
        <w:t xml:space="preserve"> points-based </w:t>
      </w:r>
      <w:r w:rsidR="00D505A5" w:rsidRPr="00423297">
        <w:t>programs</w:t>
      </w:r>
      <w:r w:rsidR="009B15C7" w:rsidRPr="00423297">
        <w:t>.</w:t>
      </w:r>
      <w:r w:rsidR="00661EDB" w:rsidRPr="00423297">
        <w:t xml:space="preserve"> </w:t>
      </w:r>
      <w:bookmarkEnd w:id="41"/>
    </w:p>
    <w:p w14:paraId="29625B5D" w14:textId="4761FB16" w:rsidR="006C4DCC" w:rsidRPr="00423297" w:rsidRDefault="006C4DCC" w:rsidP="006C4DCC">
      <w:pPr>
        <w:pStyle w:val="Heading5"/>
      </w:pPr>
      <w:bookmarkStart w:id="47" w:name="_Ref38963345"/>
      <w:bookmarkStart w:id="48" w:name="_Ref38893739"/>
      <w:r w:rsidRPr="00423297">
        <w:t xml:space="preserve">Impact of revised Option 1 on </w:t>
      </w:r>
      <w:r w:rsidR="00D505A5" w:rsidRPr="00423297">
        <w:t>i</w:t>
      </w:r>
      <w:r w:rsidRPr="00423297">
        <w:t>n</w:t>
      </w:r>
      <w:r w:rsidR="00AC0D9E" w:rsidRPr="00423297">
        <w:t>du</w:t>
      </w:r>
      <w:r w:rsidRPr="00423297">
        <w:t>stry</w:t>
      </w:r>
    </w:p>
    <w:p w14:paraId="25758272" w14:textId="77777777" w:rsidR="00920393" w:rsidRPr="00423297" w:rsidRDefault="00846142" w:rsidP="005F754B">
      <w:pPr>
        <w:pStyle w:val="BodyText"/>
      </w:pPr>
      <w:bookmarkStart w:id="49" w:name="_Ref38996265"/>
      <w:r w:rsidRPr="00423297">
        <w:t xml:space="preserve">Under </w:t>
      </w:r>
      <w:r w:rsidR="009B5C5C" w:rsidRPr="00423297">
        <w:t xml:space="preserve">revised </w:t>
      </w:r>
      <w:r w:rsidRPr="00423297">
        <w:t xml:space="preserve">Option </w:t>
      </w:r>
      <w:r w:rsidR="004032CE" w:rsidRPr="00423297">
        <w:t>1, o</w:t>
      </w:r>
      <w:r w:rsidRPr="00423297">
        <w:t xml:space="preserve">perators </w:t>
      </w:r>
      <w:r w:rsidR="00D84CC1" w:rsidRPr="00423297">
        <w:t xml:space="preserve">and promoters </w:t>
      </w:r>
      <w:r w:rsidRPr="00423297">
        <w:t xml:space="preserve">will </w:t>
      </w:r>
      <w:r w:rsidR="00A0598A" w:rsidRPr="00423297">
        <w:t xml:space="preserve">also </w:t>
      </w:r>
      <w:r w:rsidR="0089316B" w:rsidRPr="00423297">
        <w:t>benefit from</w:t>
      </w:r>
      <w:r w:rsidR="00920393" w:rsidRPr="00423297">
        <w:t>:</w:t>
      </w:r>
    </w:p>
    <w:p w14:paraId="36CFDA72" w14:textId="14EA4985" w:rsidR="00D505A5" w:rsidRPr="00423297" w:rsidRDefault="00A0598A" w:rsidP="00FA2D78">
      <w:pPr>
        <w:pStyle w:val="subparaa"/>
      </w:pPr>
      <w:r w:rsidRPr="00423297">
        <w:t>greater certainty associated with</w:t>
      </w:r>
      <w:r w:rsidR="00D505A5" w:rsidRPr="00423297">
        <w:t>:</w:t>
      </w:r>
      <w:r w:rsidRPr="00423297">
        <w:t xml:space="preserve"> </w:t>
      </w:r>
    </w:p>
    <w:p w14:paraId="65B5AEB2" w14:textId="54BBF30D" w:rsidR="00D505A5" w:rsidRPr="00423297" w:rsidRDefault="00A0598A" w:rsidP="00FA2D78">
      <w:pPr>
        <w:pStyle w:val="subsubparai"/>
      </w:pPr>
      <w:r w:rsidRPr="00423297">
        <w:t xml:space="preserve">formal </w:t>
      </w:r>
      <w:r w:rsidR="00D61E78">
        <w:t>‘</w:t>
      </w:r>
      <w:r w:rsidRPr="00423297">
        <w:t>subject to finance</w:t>
      </w:r>
      <w:r w:rsidR="00D61E78">
        <w:t>’</w:t>
      </w:r>
      <w:r w:rsidRPr="00423297">
        <w:t xml:space="preserve"> rights and hardship arrangements</w:t>
      </w:r>
      <w:r w:rsidR="00D505A5" w:rsidRPr="00423297">
        <w:t>;</w:t>
      </w:r>
      <w:r w:rsidRPr="00423297">
        <w:t xml:space="preserve"> </w:t>
      </w:r>
    </w:p>
    <w:p w14:paraId="735F82E5" w14:textId="57A6AA21" w:rsidR="00D505A5" w:rsidRPr="00423297" w:rsidRDefault="007D352B" w:rsidP="00FA2D78">
      <w:pPr>
        <w:pStyle w:val="subsubparai"/>
      </w:pPr>
      <w:r w:rsidRPr="00423297">
        <w:t xml:space="preserve">a </w:t>
      </w:r>
      <w:r w:rsidR="00A0598A" w:rsidRPr="00423297">
        <w:t>fees and costs disclosure</w:t>
      </w:r>
      <w:r w:rsidR="006E1A2F" w:rsidRPr="00423297">
        <w:t xml:space="preserve"> </w:t>
      </w:r>
      <w:r w:rsidRPr="00423297">
        <w:t xml:space="preserve">regime </w:t>
      </w:r>
      <w:r w:rsidR="006E1A2F" w:rsidRPr="00423297">
        <w:t xml:space="preserve">specifically </w:t>
      </w:r>
      <w:r w:rsidR="00DB41D4" w:rsidRPr="00423297">
        <w:t>tailored to time-sharing schemes</w:t>
      </w:r>
      <w:r w:rsidR="00D505A5" w:rsidRPr="00423297">
        <w:t>;</w:t>
      </w:r>
      <w:r w:rsidR="00A0598A" w:rsidRPr="00423297">
        <w:t xml:space="preserve"> and </w:t>
      </w:r>
    </w:p>
    <w:p w14:paraId="05BA39F3" w14:textId="2FD98D3B" w:rsidR="00B2458B" w:rsidRPr="00423297" w:rsidRDefault="00A0598A" w:rsidP="00FA2D78">
      <w:pPr>
        <w:pStyle w:val="subsubparai"/>
      </w:pPr>
      <w:r w:rsidRPr="00423297">
        <w:t>guidance on existing obligations that is tailored to the time-sharing industry</w:t>
      </w:r>
      <w:r w:rsidR="00A504E5" w:rsidRPr="00423297">
        <w:t>; and</w:t>
      </w:r>
    </w:p>
    <w:p w14:paraId="4F16A1E3" w14:textId="087AA9D4" w:rsidR="00D84CC1" w:rsidRPr="00423297" w:rsidRDefault="00D84CC1" w:rsidP="00FA2D78">
      <w:pPr>
        <w:pStyle w:val="subparaa"/>
      </w:pPr>
      <w:proofErr w:type="gramStart"/>
      <w:r w:rsidRPr="00423297">
        <w:t>other</w:t>
      </w:r>
      <w:proofErr w:type="gramEnd"/>
      <w:r w:rsidRPr="00423297">
        <w:t xml:space="preserve"> </w:t>
      </w:r>
      <w:r w:rsidR="00A0598A" w:rsidRPr="00423297">
        <w:t xml:space="preserve">reduced </w:t>
      </w:r>
      <w:r w:rsidRPr="00423297">
        <w:t xml:space="preserve">regulatory </w:t>
      </w:r>
      <w:r w:rsidR="00A0598A" w:rsidRPr="00423297">
        <w:t xml:space="preserve">burdens </w:t>
      </w:r>
      <w:r w:rsidRPr="00423297">
        <w:t>where these do not result in a reduction in consumer protection</w:t>
      </w:r>
      <w:r w:rsidR="0089316B" w:rsidRPr="00423297">
        <w:t>.</w:t>
      </w:r>
      <w:bookmarkEnd w:id="47"/>
      <w:bookmarkEnd w:id="49"/>
      <w:r w:rsidR="0089316B" w:rsidRPr="00423297">
        <w:t xml:space="preserve"> </w:t>
      </w:r>
    </w:p>
    <w:p w14:paraId="2AE6294D" w14:textId="41D30916" w:rsidR="007F6AA4" w:rsidRPr="00423297" w:rsidRDefault="0089316B" w:rsidP="005F754B">
      <w:pPr>
        <w:pStyle w:val="BodyText"/>
      </w:pPr>
      <w:r w:rsidRPr="00423297">
        <w:t xml:space="preserve">Operators </w:t>
      </w:r>
      <w:r w:rsidR="00D84CC1" w:rsidRPr="00423297">
        <w:t xml:space="preserve">and promoters </w:t>
      </w:r>
      <w:r w:rsidRPr="00423297">
        <w:t xml:space="preserve">will </w:t>
      </w:r>
      <w:r w:rsidR="00846142" w:rsidRPr="00423297">
        <w:t>incur additional compliance and administrative costs</w:t>
      </w:r>
      <w:r w:rsidR="00465BBF" w:rsidRPr="00423297">
        <w:t>—</w:t>
      </w:r>
      <w:r w:rsidR="00D27BBE" w:rsidRPr="00423297">
        <w:t>some of which will be one-off costs</w:t>
      </w:r>
      <w:r w:rsidR="00465BBF" w:rsidRPr="00423297">
        <w:t>—as a result of</w:t>
      </w:r>
      <w:r w:rsidR="004A28FB" w:rsidRPr="00423297">
        <w:t xml:space="preserve"> </w:t>
      </w:r>
      <w:r w:rsidR="00963FC3" w:rsidRPr="00423297">
        <w:t>the</w:t>
      </w:r>
      <w:r w:rsidR="00D27BBE" w:rsidRPr="00423297">
        <w:t xml:space="preserve"> </w:t>
      </w:r>
      <w:r w:rsidR="00846142" w:rsidRPr="00423297">
        <w:t>changes</w:t>
      </w:r>
      <w:r w:rsidR="00D27BBE" w:rsidRPr="00423297">
        <w:t xml:space="preserve"> to the </w:t>
      </w:r>
      <w:r w:rsidR="00D27BBE" w:rsidRPr="00423297">
        <w:lastRenderedPageBreak/>
        <w:t>regulatory settings</w:t>
      </w:r>
      <w:r w:rsidR="004A28FB" w:rsidRPr="00423297">
        <w:t xml:space="preserve"> </w:t>
      </w:r>
      <w:r w:rsidR="00963FC3" w:rsidRPr="00423297">
        <w:t xml:space="preserve">outlined in paragraph </w:t>
      </w:r>
      <w:r w:rsidR="00963FC3" w:rsidRPr="00423297">
        <w:fldChar w:fldCharType="begin"/>
      </w:r>
      <w:r w:rsidR="00963FC3" w:rsidRPr="00423297">
        <w:instrText xml:space="preserve"> REF _Ref7431986 \r \h </w:instrText>
      </w:r>
      <w:r w:rsidR="00E70324" w:rsidRPr="00423297">
        <w:instrText xml:space="preserve"> \* MERGEFORMAT </w:instrText>
      </w:r>
      <w:r w:rsidR="00963FC3" w:rsidRPr="00423297">
        <w:fldChar w:fldCharType="separate"/>
      </w:r>
      <w:r w:rsidR="00B92808">
        <w:t>11</w:t>
      </w:r>
      <w:r w:rsidR="00963FC3" w:rsidRPr="00423297">
        <w:fldChar w:fldCharType="end"/>
      </w:r>
      <w:r w:rsidR="00465BBF" w:rsidRPr="00423297">
        <w:t>. The exception</w:t>
      </w:r>
      <w:r w:rsidR="007F6AA4" w:rsidRPr="00423297">
        <w:t>s</w:t>
      </w:r>
      <w:r w:rsidR="00465BBF" w:rsidRPr="00423297">
        <w:t xml:space="preserve"> to this </w:t>
      </w:r>
      <w:r w:rsidR="00594A01" w:rsidRPr="00423297">
        <w:t>are</w:t>
      </w:r>
      <w:r w:rsidR="00E70324" w:rsidRPr="00423297">
        <w:t xml:space="preserve"> </w:t>
      </w:r>
      <w:r w:rsidR="00D27BBE" w:rsidRPr="00423297">
        <w:t xml:space="preserve">the </w:t>
      </w:r>
      <w:r w:rsidR="00E70324" w:rsidRPr="00423297">
        <w:t>proposal</w:t>
      </w:r>
      <w:r w:rsidR="00594A01" w:rsidRPr="00423297">
        <w:t>s</w:t>
      </w:r>
      <w:r w:rsidR="007F6AA4" w:rsidRPr="00423297">
        <w:t xml:space="preserve"> in:</w:t>
      </w:r>
      <w:bookmarkEnd w:id="48"/>
      <w:r w:rsidR="007F6AA4" w:rsidRPr="00423297">
        <w:t xml:space="preserve"> </w:t>
      </w:r>
      <w:bookmarkEnd w:id="42"/>
    </w:p>
    <w:p w14:paraId="57EB02C5" w14:textId="083B666D" w:rsidR="007F6AA4" w:rsidRPr="00423297" w:rsidRDefault="007F6AA4" w:rsidP="007F6AA4">
      <w:pPr>
        <w:pStyle w:val="subparaa"/>
      </w:pPr>
      <w:r w:rsidRPr="00423297">
        <w:t xml:space="preserve">paragraph </w:t>
      </w:r>
      <w:r w:rsidRPr="00423297">
        <w:fldChar w:fldCharType="begin"/>
      </w:r>
      <w:r w:rsidRPr="00423297">
        <w:instrText xml:space="preserve"> REF _Ref26281039 \r \h  \* MERGEFORMAT </w:instrText>
      </w:r>
      <w:r w:rsidRPr="00423297">
        <w:fldChar w:fldCharType="separate"/>
      </w:r>
      <w:r w:rsidR="00B92808">
        <w:t>11(a)</w:t>
      </w:r>
      <w:r w:rsidRPr="00423297">
        <w:fldChar w:fldCharType="end"/>
      </w:r>
      <w:r w:rsidR="00594A01" w:rsidRPr="00423297">
        <w:t>—</w:t>
      </w:r>
      <w:r w:rsidRPr="00423297">
        <w:t>to provide an enhanced cooling-off model</w:t>
      </w:r>
      <w:r w:rsidR="00594A01" w:rsidRPr="00423297">
        <w:t>—</w:t>
      </w:r>
      <w:r w:rsidR="004F56F8" w:rsidRPr="00423297">
        <w:t>because</w:t>
      </w:r>
      <w:r w:rsidRPr="00423297">
        <w:t xml:space="preserve"> we are not progressing </w:t>
      </w:r>
      <w:r w:rsidR="004F56F8" w:rsidRPr="00423297">
        <w:t xml:space="preserve">this proposal </w:t>
      </w:r>
      <w:r w:rsidRPr="00423297">
        <w:t xml:space="preserve">at this time; and </w:t>
      </w:r>
    </w:p>
    <w:p w14:paraId="0CB7720F" w14:textId="2F86DE34" w:rsidR="00AD1464" w:rsidRPr="00423297" w:rsidRDefault="00E70324" w:rsidP="008250FD">
      <w:pPr>
        <w:pStyle w:val="subparaa"/>
      </w:pPr>
      <w:proofErr w:type="gramStart"/>
      <w:r w:rsidRPr="00423297">
        <w:t>paragraph</w:t>
      </w:r>
      <w:proofErr w:type="gramEnd"/>
      <w:r w:rsidRPr="00423297">
        <w:t xml:space="preserve"> </w:t>
      </w:r>
      <w:r w:rsidRPr="00423297">
        <w:fldChar w:fldCharType="begin"/>
      </w:r>
      <w:r w:rsidRPr="00423297">
        <w:instrText xml:space="preserve"> REF _Ref10615498 \r \h  \* MERGEFORMAT </w:instrText>
      </w:r>
      <w:r w:rsidRPr="00423297">
        <w:fldChar w:fldCharType="separate"/>
      </w:r>
      <w:r w:rsidR="00B92808">
        <w:t>11(f)</w:t>
      </w:r>
      <w:r w:rsidRPr="00423297">
        <w:fldChar w:fldCharType="end"/>
      </w:r>
      <w:r w:rsidR="00594A01" w:rsidRPr="00423297">
        <w:t>—</w:t>
      </w:r>
      <w:r w:rsidR="007F6AA4" w:rsidRPr="00423297">
        <w:t xml:space="preserve">to </w:t>
      </w:r>
      <w:r w:rsidRPr="00423297">
        <w:t>provid</w:t>
      </w:r>
      <w:r w:rsidR="007F6AA4" w:rsidRPr="00423297">
        <w:t>e</w:t>
      </w:r>
      <w:r w:rsidR="00D27BBE" w:rsidRPr="00423297">
        <w:t xml:space="preserve"> specific guidance</w:t>
      </w:r>
      <w:r w:rsidR="008E7185" w:rsidRPr="00423297">
        <w:t xml:space="preserve"> </w:t>
      </w:r>
      <w:r w:rsidR="00465BBF" w:rsidRPr="00423297">
        <w:t xml:space="preserve">to the time-sharing industry </w:t>
      </w:r>
      <w:r w:rsidR="008E7185" w:rsidRPr="00423297">
        <w:t>about</w:t>
      </w:r>
      <w:r w:rsidR="00465BBF" w:rsidRPr="00423297">
        <w:t xml:space="preserve"> their</w:t>
      </w:r>
      <w:r w:rsidR="008E7185" w:rsidRPr="00423297">
        <w:t xml:space="preserve"> existing obligations</w:t>
      </w:r>
      <w:r w:rsidR="00594A01" w:rsidRPr="00423297">
        <w:t>—</w:t>
      </w:r>
      <w:r w:rsidR="004F56F8" w:rsidRPr="00423297">
        <w:t>because this proposal does not introduce new obligations</w:t>
      </w:r>
      <w:r w:rsidR="00846142" w:rsidRPr="00423297">
        <w:t>.</w:t>
      </w:r>
    </w:p>
    <w:p w14:paraId="1DFD6A27" w14:textId="3FDCE01B" w:rsidR="00E16D30" w:rsidRPr="00423297" w:rsidRDefault="00785518" w:rsidP="008250FD">
      <w:pPr>
        <w:pStyle w:val="Heading3"/>
      </w:pPr>
      <w:r w:rsidRPr="00423297">
        <w:t>Option</w:t>
      </w:r>
      <w:r w:rsidR="00F736F4" w:rsidRPr="00423297">
        <w:t>s</w:t>
      </w:r>
      <w:r w:rsidRPr="00423297">
        <w:t xml:space="preserve"> 2</w:t>
      </w:r>
      <w:r w:rsidR="00F736F4" w:rsidRPr="00423297">
        <w:t xml:space="preserve"> and 3</w:t>
      </w:r>
      <w:r w:rsidRPr="00423297">
        <w:t xml:space="preserve">—Adopt alternative changes to the policy settings in Option 1 </w:t>
      </w:r>
    </w:p>
    <w:p w14:paraId="62887F21" w14:textId="18A02B6B" w:rsidR="00E16D30" w:rsidRPr="00423297" w:rsidRDefault="00E16D30" w:rsidP="00D8724F">
      <w:pPr>
        <w:pStyle w:val="BodyText"/>
      </w:pPr>
      <w:r w:rsidRPr="00423297">
        <w:t xml:space="preserve">Option 2 entails </w:t>
      </w:r>
      <w:r w:rsidR="00AB6CF2" w:rsidRPr="00423297">
        <w:t xml:space="preserve">introducing </w:t>
      </w:r>
      <w:r w:rsidRPr="00423297">
        <w:t xml:space="preserve">an opt-in regime </w:t>
      </w:r>
      <w:r w:rsidR="00A3732D" w:rsidRPr="00423297">
        <w:t>to replace</w:t>
      </w:r>
      <w:r w:rsidR="00F86A06" w:rsidRPr="00423297">
        <w:t xml:space="preserve"> </w:t>
      </w:r>
      <w:r w:rsidR="001818E5" w:rsidRPr="00423297">
        <w:t xml:space="preserve">the existing </w:t>
      </w:r>
      <w:r w:rsidRPr="00423297">
        <w:t>cooling-off r</w:t>
      </w:r>
      <w:r w:rsidR="002937C0" w:rsidRPr="00423297">
        <w:t>egime</w:t>
      </w:r>
      <w:r w:rsidR="00465BBF" w:rsidRPr="00423297">
        <w:t>.</w:t>
      </w:r>
      <w:r w:rsidRPr="00423297">
        <w:t xml:space="preserve"> </w:t>
      </w:r>
      <w:r w:rsidR="002937C0" w:rsidRPr="00423297">
        <w:t>Under an opt-in regime c</w:t>
      </w:r>
      <w:r w:rsidRPr="00423297">
        <w:t xml:space="preserve">onsumers would need </w:t>
      </w:r>
      <w:r w:rsidRPr="00423297">
        <w:rPr>
          <w:spacing w:val="-2"/>
        </w:rPr>
        <w:t xml:space="preserve">to actively confirm to the operator that they wish to proceed with the purchase </w:t>
      </w:r>
      <w:r w:rsidRPr="00423297">
        <w:t xml:space="preserve">within a defined number of days </w:t>
      </w:r>
      <w:r w:rsidR="00465BBF" w:rsidRPr="00423297">
        <w:t>to avoid being</w:t>
      </w:r>
      <w:r w:rsidRPr="00423297">
        <w:t xml:space="preserve"> treated as having cooled</w:t>
      </w:r>
      <w:r w:rsidR="00145CA1" w:rsidRPr="00423297">
        <w:t xml:space="preserve"> </w:t>
      </w:r>
      <w:r w:rsidRPr="00423297">
        <w:t>off.</w:t>
      </w:r>
    </w:p>
    <w:p w14:paraId="5CD061D9" w14:textId="61CF0095" w:rsidR="008E2CFB" w:rsidRPr="00423297" w:rsidRDefault="00DF38A5" w:rsidP="00FD6341">
      <w:pPr>
        <w:pStyle w:val="BodyText"/>
      </w:pPr>
      <w:r w:rsidRPr="00423297">
        <w:t xml:space="preserve">The opt-in regime, while considered optimal by consumer groups, would increase compliance costs. It </w:t>
      </w:r>
      <w:r w:rsidR="00D3156D" w:rsidRPr="00423297">
        <w:t xml:space="preserve">was not the subject of comprehensive consultation and </w:t>
      </w:r>
      <w:r w:rsidRPr="00423297">
        <w:t>would also be more detrimental to the industry than</w:t>
      </w:r>
      <w:r w:rsidR="00CE6186" w:rsidRPr="00423297">
        <w:t xml:space="preserve"> </w:t>
      </w:r>
      <w:r w:rsidRPr="00423297">
        <w:t xml:space="preserve">the </w:t>
      </w:r>
      <w:r w:rsidR="007F6AA4" w:rsidRPr="00423297">
        <w:t>e</w:t>
      </w:r>
      <w:r w:rsidR="00A90FE4" w:rsidRPr="00423297">
        <w:t>n</w:t>
      </w:r>
      <w:r w:rsidR="007F6AA4" w:rsidRPr="00423297">
        <w:t>ha</w:t>
      </w:r>
      <w:r w:rsidR="00A90FE4" w:rsidRPr="00423297">
        <w:t>n</w:t>
      </w:r>
      <w:r w:rsidR="007F6AA4" w:rsidRPr="00423297">
        <w:t xml:space="preserve">ced </w:t>
      </w:r>
      <w:r w:rsidRPr="00423297">
        <w:t xml:space="preserve">cooling-off </w:t>
      </w:r>
      <w:r w:rsidR="007F6AA4" w:rsidRPr="00423297">
        <w:t>model</w:t>
      </w:r>
      <w:r w:rsidR="008E2CFB" w:rsidRPr="00423297">
        <w:t xml:space="preserve"> in</w:t>
      </w:r>
      <w:r w:rsidR="00594A01" w:rsidRPr="00423297">
        <w:t xml:space="preserve"> original </w:t>
      </w:r>
      <w:r w:rsidR="008E2CFB" w:rsidRPr="00423297">
        <w:t>Option 1</w:t>
      </w:r>
      <w:r w:rsidR="00C01A9C" w:rsidRPr="00423297">
        <w:t>.</w:t>
      </w:r>
    </w:p>
    <w:p w14:paraId="222F3A5C" w14:textId="470EBAA3" w:rsidR="00465BBF" w:rsidRPr="00423297" w:rsidRDefault="00E16D30" w:rsidP="00D8724F">
      <w:pPr>
        <w:pStyle w:val="BodyText"/>
      </w:pPr>
      <w:r w:rsidRPr="00423297">
        <w:t>Option 3 entails deferring the commencement</w:t>
      </w:r>
      <w:r w:rsidR="006E0A9C" w:rsidRPr="00423297">
        <w:t xml:space="preserve"> </w:t>
      </w:r>
      <w:r w:rsidRPr="00423297">
        <w:t>and end of the cooling-off period to either</w:t>
      </w:r>
      <w:r w:rsidR="00465BBF" w:rsidRPr="00423297">
        <w:t>:</w:t>
      </w:r>
      <w:r w:rsidRPr="00423297">
        <w:t xml:space="preserve"> </w:t>
      </w:r>
    </w:p>
    <w:p w14:paraId="13FB2708" w14:textId="2CDFA8C5" w:rsidR="00465BBF" w:rsidRPr="00423297" w:rsidRDefault="00E16D30" w:rsidP="00465BBF">
      <w:pPr>
        <w:pStyle w:val="subparaa"/>
      </w:pPr>
      <w:r w:rsidRPr="00423297">
        <w:t xml:space="preserve">the date the consumer has been informed about whether their finance application has been approved </w:t>
      </w:r>
      <w:r w:rsidR="00EF54A6" w:rsidRPr="00423297">
        <w:t xml:space="preserve">or refused </w:t>
      </w:r>
      <w:r w:rsidRPr="00423297">
        <w:t xml:space="preserve">and received all loan documentation (instead of the formal </w:t>
      </w:r>
      <w:r w:rsidR="00D61E78">
        <w:t>‘</w:t>
      </w:r>
      <w:r w:rsidRPr="00423297">
        <w:t>subject to finance</w:t>
      </w:r>
      <w:r w:rsidR="00D61E78">
        <w:t>’</w:t>
      </w:r>
      <w:r w:rsidRPr="00423297">
        <w:t xml:space="preserve"> rights in </w:t>
      </w:r>
      <w:r w:rsidR="00561593" w:rsidRPr="00423297">
        <w:t xml:space="preserve">revised </w:t>
      </w:r>
      <w:r w:rsidRPr="00423297">
        <w:t>Option 1)</w:t>
      </w:r>
      <w:r w:rsidR="00465BBF" w:rsidRPr="00423297">
        <w:t>;</w:t>
      </w:r>
      <w:r w:rsidRPr="00423297">
        <w:t xml:space="preserve"> or </w:t>
      </w:r>
    </w:p>
    <w:p w14:paraId="1986CFA9" w14:textId="5E984E27" w:rsidR="00E16D30" w:rsidRPr="00423297" w:rsidRDefault="00E16D30" w:rsidP="00953431">
      <w:pPr>
        <w:pStyle w:val="subparaa"/>
      </w:pPr>
      <w:proofErr w:type="gramStart"/>
      <w:r w:rsidRPr="00423297">
        <w:t>for</w:t>
      </w:r>
      <w:proofErr w:type="gramEnd"/>
      <w:r w:rsidRPr="00423297">
        <w:t xml:space="preserve"> consumers on holidays, the date specified by the consumer that they expect to return to their usual place of residence.</w:t>
      </w:r>
    </w:p>
    <w:p w14:paraId="0594E765" w14:textId="36F81C2E" w:rsidR="00DF38A5" w:rsidRPr="00423297" w:rsidRDefault="00DF38A5" w:rsidP="00D8724F">
      <w:pPr>
        <w:pStyle w:val="BodyText"/>
      </w:pPr>
      <w:r w:rsidRPr="00423297">
        <w:t>The deferred commencement date would also significantly increase compliance costs, and lead to administrative uncertainty and inefficiency.</w:t>
      </w:r>
    </w:p>
    <w:p w14:paraId="2BFAE181" w14:textId="73527413" w:rsidR="00E16D30" w:rsidRPr="00423297" w:rsidRDefault="00E16D30" w:rsidP="00D8724F">
      <w:pPr>
        <w:pStyle w:val="BodyText"/>
      </w:pPr>
      <w:r w:rsidRPr="00423297">
        <w:t>Option 2 and Option 3 also entail enhancing disclosure requirements in a different way to</w:t>
      </w:r>
      <w:r w:rsidR="00594A01" w:rsidRPr="00423297">
        <w:t xml:space="preserve"> </w:t>
      </w:r>
      <w:r w:rsidR="00C01A9C" w:rsidRPr="00423297">
        <w:t xml:space="preserve">revised </w:t>
      </w:r>
      <w:r w:rsidRPr="00423297">
        <w:t>Option 1</w:t>
      </w:r>
      <w:r w:rsidR="00DF38A5" w:rsidRPr="00423297">
        <w:t>. Under these options,</w:t>
      </w:r>
      <w:r w:rsidRPr="00423297">
        <w:t xml:space="preserve"> </w:t>
      </w:r>
      <w:r w:rsidR="00DF38A5" w:rsidRPr="00423297">
        <w:t xml:space="preserve">the </w:t>
      </w:r>
      <w:r w:rsidRPr="00423297">
        <w:t xml:space="preserve">fees and costs disclosure </w:t>
      </w:r>
      <w:r w:rsidR="00C6337F" w:rsidRPr="00423297">
        <w:t xml:space="preserve">in the </w:t>
      </w:r>
      <w:r w:rsidR="00E70324" w:rsidRPr="00423297">
        <w:t>scheme</w:t>
      </w:r>
      <w:r w:rsidR="00D61E78">
        <w:t>’</w:t>
      </w:r>
      <w:r w:rsidR="00E70324" w:rsidRPr="00423297">
        <w:t xml:space="preserve">s </w:t>
      </w:r>
      <w:r w:rsidR="00DF38A5" w:rsidRPr="00423297">
        <w:t>P</w:t>
      </w:r>
      <w:r w:rsidR="00C6337F" w:rsidRPr="00423297">
        <w:t xml:space="preserve">roduct </w:t>
      </w:r>
      <w:r w:rsidR="00DF38A5" w:rsidRPr="00423297">
        <w:t>D</w:t>
      </w:r>
      <w:r w:rsidR="00C6337F" w:rsidRPr="00423297">
        <w:t xml:space="preserve">isclosure </w:t>
      </w:r>
      <w:r w:rsidR="00DF38A5" w:rsidRPr="00423297">
        <w:t>S</w:t>
      </w:r>
      <w:r w:rsidR="00C6337F" w:rsidRPr="00423297">
        <w:t xml:space="preserve">tatement (PDS) </w:t>
      </w:r>
      <w:r w:rsidR="00DF38A5" w:rsidRPr="00423297">
        <w:t>must</w:t>
      </w:r>
      <w:r w:rsidRPr="00423297">
        <w:t xml:space="preserve"> include worked examples about fees and costs for </w:t>
      </w:r>
      <w:r w:rsidR="00D36577" w:rsidRPr="00423297">
        <w:t>the</w:t>
      </w:r>
      <w:r w:rsidRPr="00423297">
        <w:t xml:space="preserve"> first </w:t>
      </w:r>
      <w:r w:rsidR="00DF38A5" w:rsidRPr="00423297">
        <w:t>10</w:t>
      </w:r>
      <w:r w:rsidRPr="00423297">
        <w:t xml:space="preserve"> years </w:t>
      </w:r>
      <w:r w:rsidR="00D36577" w:rsidRPr="00423297">
        <w:t>and</w:t>
      </w:r>
      <w:r w:rsidRPr="00423297">
        <w:t xml:space="preserve"> </w:t>
      </w:r>
      <w:r w:rsidR="00DF38A5" w:rsidRPr="00423297">
        <w:t xml:space="preserve">the </w:t>
      </w:r>
      <w:r w:rsidRPr="00423297">
        <w:t xml:space="preserve">life of </w:t>
      </w:r>
      <w:r w:rsidR="00DF38A5" w:rsidRPr="00423297">
        <w:t xml:space="preserve">the </w:t>
      </w:r>
      <w:r w:rsidRPr="00423297">
        <w:t>product.</w:t>
      </w:r>
    </w:p>
    <w:p w14:paraId="4DF821F5" w14:textId="63A1D87B" w:rsidR="00F736F4" w:rsidRPr="00423297" w:rsidRDefault="001679D9" w:rsidP="00D8724F">
      <w:pPr>
        <w:pStyle w:val="BodyText"/>
      </w:pPr>
      <w:r w:rsidRPr="00423297">
        <w:t>The disclosure requirements under Option 2 and 3 w</w:t>
      </w:r>
      <w:r w:rsidR="00DF38A5" w:rsidRPr="00423297">
        <w:t>ould</w:t>
      </w:r>
      <w:r w:rsidRPr="00423297">
        <w:t xml:space="preserve"> </w:t>
      </w:r>
      <w:r w:rsidR="00C17E30" w:rsidRPr="00423297">
        <w:t>increase compliance costs</w:t>
      </w:r>
      <w:r w:rsidR="00DF38A5" w:rsidRPr="00423297">
        <w:t>,</w:t>
      </w:r>
      <w:r w:rsidR="00C17E30" w:rsidRPr="00423297">
        <w:t xml:space="preserve"> and</w:t>
      </w:r>
      <w:r w:rsidRPr="00423297">
        <w:t xml:space="preserve"> may result in misleading disclosu</w:t>
      </w:r>
      <w:r w:rsidR="00C17E30" w:rsidRPr="00423297">
        <w:t>re for consumers.</w:t>
      </w:r>
    </w:p>
    <w:p w14:paraId="1D9531F2" w14:textId="6930AFBD" w:rsidR="000C71B7" w:rsidRPr="00423297" w:rsidRDefault="00785518" w:rsidP="008250FD">
      <w:pPr>
        <w:pStyle w:val="Heading3"/>
      </w:pPr>
      <w:r w:rsidRPr="00423297">
        <w:t>Option 4—</w:t>
      </w:r>
      <w:proofErr w:type="gramStart"/>
      <w:r w:rsidRPr="00423297">
        <w:t>Maintain</w:t>
      </w:r>
      <w:proofErr w:type="gramEnd"/>
      <w:r w:rsidRPr="00423297">
        <w:t xml:space="preserve"> the status quo.</w:t>
      </w:r>
    </w:p>
    <w:p w14:paraId="14E6985B" w14:textId="77777777" w:rsidR="00D505A5" w:rsidRPr="00423297" w:rsidRDefault="00E16D30" w:rsidP="003B5003">
      <w:pPr>
        <w:pStyle w:val="BodyText"/>
      </w:pPr>
      <w:r w:rsidRPr="00423297">
        <w:t>Option 4 does not involve any change to policy settings</w:t>
      </w:r>
      <w:r w:rsidR="00C17E30" w:rsidRPr="00423297">
        <w:t xml:space="preserve"> or any additional administrative or financial burdens for industry</w:t>
      </w:r>
      <w:r w:rsidR="00DF38A5" w:rsidRPr="00423297">
        <w:t>.</w:t>
      </w:r>
      <w:r w:rsidR="00C17E30" w:rsidRPr="00423297">
        <w:t xml:space="preserve"> </w:t>
      </w:r>
      <w:r w:rsidR="00DF38A5" w:rsidRPr="00423297">
        <w:t>C</w:t>
      </w:r>
      <w:r w:rsidR="00A047BE" w:rsidRPr="00423297">
        <w:t>onsequently</w:t>
      </w:r>
      <w:r w:rsidR="00DF38A5" w:rsidRPr="00423297">
        <w:t>, it</w:t>
      </w:r>
      <w:r w:rsidR="00EF54A6" w:rsidRPr="00423297">
        <w:t xml:space="preserve"> does </w:t>
      </w:r>
      <w:r w:rsidR="00A047BE" w:rsidRPr="00423297">
        <w:t>not</w:t>
      </w:r>
      <w:r w:rsidR="00D505A5" w:rsidRPr="00423297">
        <w:t>:</w:t>
      </w:r>
      <w:r w:rsidR="00C17E30" w:rsidRPr="00423297">
        <w:t xml:space="preserve"> </w:t>
      </w:r>
    </w:p>
    <w:p w14:paraId="0A5D9BB9" w14:textId="5D563E4D" w:rsidR="00D505A5" w:rsidRPr="00423297" w:rsidRDefault="00C17E30" w:rsidP="00D505A5">
      <w:pPr>
        <w:pStyle w:val="subparaa"/>
      </w:pPr>
      <w:r w:rsidRPr="00423297">
        <w:lastRenderedPageBreak/>
        <w:t>address the impact on consumers of industry selling, advice and disclosure</w:t>
      </w:r>
      <w:r w:rsidR="00D505A5" w:rsidRPr="00423297">
        <w:t>;</w:t>
      </w:r>
      <w:r w:rsidR="00DF38A5" w:rsidRPr="00423297">
        <w:t xml:space="preserve"> </w:t>
      </w:r>
    </w:p>
    <w:p w14:paraId="136F258E" w14:textId="77777777" w:rsidR="00D505A5" w:rsidRPr="00423297" w:rsidRDefault="00D505A5" w:rsidP="00D505A5">
      <w:pPr>
        <w:pStyle w:val="subparaa"/>
      </w:pPr>
      <w:r w:rsidRPr="00423297">
        <w:t xml:space="preserve">remedy </w:t>
      </w:r>
      <w:r w:rsidR="00DF38A5" w:rsidRPr="00423297">
        <w:t>the</w:t>
      </w:r>
      <w:r w:rsidR="00C17E30" w:rsidRPr="00423297">
        <w:t xml:space="preserve"> inadequacies in the existing exit arrangements</w:t>
      </w:r>
      <w:r w:rsidRPr="00423297">
        <w:t>;</w:t>
      </w:r>
      <w:r w:rsidR="0089316B" w:rsidRPr="00423297">
        <w:t xml:space="preserve"> or </w:t>
      </w:r>
    </w:p>
    <w:p w14:paraId="7DDB3410" w14:textId="75432B42" w:rsidR="0098422D" w:rsidRPr="00423297" w:rsidRDefault="0089316B" w:rsidP="000F1F88">
      <w:pPr>
        <w:pStyle w:val="subparaa"/>
      </w:pPr>
      <w:proofErr w:type="gramStart"/>
      <w:r w:rsidRPr="00423297">
        <w:t>provide</w:t>
      </w:r>
      <w:proofErr w:type="gramEnd"/>
      <w:r w:rsidRPr="00423297">
        <w:t xml:space="preserve"> the </w:t>
      </w:r>
      <w:bookmarkStart w:id="50" w:name="_Hlk38981626"/>
      <w:r w:rsidR="00AC0D9E" w:rsidRPr="00423297">
        <w:t xml:space="preserve">additional </w:t>
      </w:r>
      <w:bookmarkEnd w:id="50"/>
      <w:r w:rsidRPr="00423297">
        <w:t>benefits to consumers and industry outlined in paragraph</w:t>
      </w:r>
      <w:r w:rsidR="008A35F9" w:rsidRPr="00423297">
        <w:t>s</w:t>
      </w:r>
      <w:r w:rsidRPr="00423297">
        <w:t xml:space="preserve"> </w:t>
      </w:r>
      <w:r w:rsidRPr="00423297">
        <w:fldChar w:fldCharType="begin"/>
      </w:r>
      <w:r w:rsidRPr="00423297">
        <w:instrText xml:space="preserve"> REF _Ref38893737 \r \h </w:instrText>
      </w:r>
      <w:r w:rsidR="00423297">
        <w:instrText xml:space="preserve"> \* MERGEFORMAT </w:instrText>
      </w:r>
      <w:r w:rsidRPr="00423297">
        <w:fldChar w:fldCharType="separate"/>
      </w:r>
      <w:r w:rsidR="00B92808">
        <w:t>16</w:t>
      </w:r>
      <w:r w:rsidRPr="00423297">
        <w:fldChar w:fldCharType="end"/>
      </w:r>
      <w:r w:rsidRPr="00423297">
        <w:t>–</w:t>
      </w:r>
      <w:r w:rsidR="00B106A5" w:rsidRPr="00423297">
        <w:fldChar w:fldCharType="begin"/>
      </w:r>
      <w:r w:rsidR="00B106A5" w:rsidRPr="00423297">
        <w:instrText xml:space="preserve"> REF _Ref38996265 \r \h </w:instrText>
      </w:r>
      <w:r w:rsidR="00423297">
        <w:instrText xml:space="preserve"> \* MERGEFORMAT </w:instrText>
      </w:r>
      <w:r w:rsidR="00B106A5" w:rsidRPr="00423297">
        <w:fldChar w:fldCharType="separate"/>
      </w:r>
      <w:r w:rsidR="00B92808">
        <w:t>17</w:t>
      </w:r>
      <w:r w:rsidR="00B106A5" w:rsidRPr="00423297">
        <w:fldChar w:fldCharType="end"/>
      </w:r>
      <w:r w:rsidR="00C17E30" w:rsidRPr="00423297">
        <w:t xml:space="preserve">. </w:t>
      </w:r>
    </w:p>
    <w:p w14:paraId="24768DF7" w14:textId="01AF1058" w:rsidR="00516910" w:rsidRPr="00423297" w:rsidRDefault="00516910" w:rsidP="008250FD">
      <w:pPr>
        <w:pStyle w:val="Heading2"/>
      </w:pPr>
      <w:bookmarkStart w:id="51" w:name="_Toc36467228"/>
      <w:bookmarkStart w:id="52" w:name="_Toc56669418"/>
      <w:r w:rsidRPr="00423297">
        <w:t>Regulatory impact</w:t>
      </w:r>
      <w:r w:rsidR="00EF54A6" w:rsidRPr="00423297">
        <w:t xml:space="preserve"> of preferred option</w:t>
      </w:r>
      <w:bookmarkEnd w:id="51"/>
      <w:bookmarkEnd w:id="52"/>
    </w:p>
    <w:p w14:paraId="1D1730A8" w14:textId="61E43E45" w:rsidR="00C04D31" w:rsidRPr="00423297" w:rsidRDefault="00763C61" w:rsidP="00840C4A">
      <w:pPr>
        <w:pStyle w:val="BodyText"/>
      </w:pPr>
      <w:bookmarkStart w:id="53" w:name="_Ref7437121"/>
      <w:r w:rsidRPr="00423297">
        <w:t xml:space="preserve">Of the four options considered in this RIS to address the deficiencies in the regulatory settings, </w:t>
      </w:r>
      <w:r w:rsidR="00C01A9C" w:rsidRPr="00423297">
        <w:t xml:space="preserve">revised </w:t>
      </w:r>
      <w:r w:rsidRPr="00423297">
        <w:t>Option 1</w:t>
      </w:r>
      <w:r w:rsidR="00B46F11" w:rsidRPr="00423297">
        <w:t xml:space="preserve"> </w:t>
      </w:r>
      <w:r w:rsidRPr="00423297">
        <w:t>delivers the highest net benefit</w:t>
      </w:r>
      <w:r w:rsidR="00DF38A5" w:rsidRPr="00423297">
        <w:t>.</w:t>
      </w:r>
    </w:p>
    <w:p w14:paraId="731D16E1" w14:textId="55722225" w:rsidR="008650C3" w:rsidRPr="00423297" w:rsidRDefault="00C01A9C" w:rsidP="00D8724F">
      <w:pPr>
        <w:pStyle w:val="BodyText"/>
      </w:pPr>
      <w:r w:rsidRPr="00423297">
        <w:t xml:space="preserve">Revised </w:t>
      </w:r>
      <w:r w:rsidR="00DD3332" w:rsidRPr="00423297">
        <w:t>Option 1</w:t>
      </w:r>
      <w:r w:rsidR="00B46F11" w:rsidRPr="00423297">
        <w:t xml:space="preserve"> </w:t>
      </w:r>
      <w:r w:rsidR="00DF38A5" w:rsidRPr="00423297">
        <w:t>would</w:t>
      </w:r>
      <w:r w:rsidR="00763C61" w:rsidRPr="00423297">
        <w:t xml:space="preserve"> </w:t>
      </w:r>
      <w:r w:rsidR="003A5652" w:rsidRPr="00423297">
        <w:t xml:space="preserve">deliver the consumer benefits summarised in paragraph </w:t>
      </w:r>
      <w:r w:rsidR="003A5652" w:rsidRPr="00423297">
        <w:fldChar w:fldCharType="begin"/>
      </w:r>
      <w:r w:rsidR="003A5652" w:rsidRPr="00423297">
        <w:instrText xml:space="preserve"> REF _ASICRef524 \w \h </w:instrText>
      </w:r>
      <w:r w:rsidR="00423297">
        <w:instrText xml:space="preserve"> \* MERGEFORMAT </w:instrText>
      </w:r>
      <w:r w:rsidR="003A5652" w:rsidRPr="00423297">
        <w:fldChar w:fldCharType="separate"/>
      </w:r>
      <w:r w:rsidR="00B92808">
        <w:t>16</w:t>
      </w:r>
      <w:r w:rsidR="003A5652" w:rsidRPr="00423297">
        <w:fldChar w:fldCharType="end"/>
      </w:r>
      <w:r w:rsidR="00D505A5" w:rsidRPr="00423297">
        <w:t>, which would</w:t>
      </w:r>
      <w:r w:rsidR="003B03D4" w:rsidRPr="00423297">
        <w:t xml:space="preserve"> </w:t>
      </w:r>
      <w:r w:rsidR="00F22122" w:rsidRPr="00423297">
        <w:t>strengthen</w:t>
      </w:r>
      <w:r w:rsidR="00763C61" w:rsidRPr="00423297">
        <w:t xml:space="preserve"> consumer protection </w:t>
      </w:r>
      <w:r w:rsidR="00EF54A6" w:rsidRPr="00423297">
        <w:t>and promot</w:t>
      </w:r>
      <w:r w:rsidR="00DF38A5" w:rsidRPr="00423297">
        <w:t>e</w:t>
      </w:r>
      <w:r w:rsidR="00EF54A6" w:rsidRPr="00423297">
        <w:t xml:space="preserve"> the confident and informed participation of consumers in the financial system</w:t>
      </w:r>
      <w:r w:rsidR="00DF38A5" w:rsidRPr="00423297">
        <w:t>. It would achieve this</w:t>
      </w:r>
      <w:r w:rsidR="00EF54A6" w:rsidRPr="00423297">
        <w:t xml:space="preserve"> </w:t>
      </w:r>
      <w:r w:rsidR="00A3486F" w:rsidRPr="00423297">
        <w:t xml:space="preserve">while still providing the benefits to industry outlined in </w:t>
      </w:r>
      <w:r w:rsidR="00B106A5" w:rsidRPr="00423297">
        <w:t>paragraph</w:t>
      </w:r>
      <w:r w:rsidR="00A3486F" w:rsidRPr="00423297">
        <w:t xml:space="preserve"> </w:t>
      </w:r>
      <w:r w:rsidR="00B106A5" w:rsidRPr="00423297">
        <w:fldChar w:fldCharType="begin"/>
      </w:r>
      <w:r w:rsidR="00B106A5" w:rsidRPr="00423297">
        <w:instrText xml:space="preserve"> REF _Ref38996265 \r \h </w:instrText>
      </w:r>
      <w:r w:rsidR="00423297">
        <w:instrText xml:space="preserve"> \* MERGEFORMAT </w:instrText>
      </w:r>
      <w:r w:rsidR="00B106A5" w:rsidRPr="00423297">
        <w:fldChar w:fldCharType="separate"/>
      </w:r>
      <w:r w:rsidR="00B92808">
        <w:t>17</w:t>
      </w:r>
      <w:r w:rsidR="00B106A5" w:rsidRPr="00423297">
        <w:fldChar w:fldCharType="end"/>
      </w:r>
      <w:r w:rsidR="00D505A5" w:rsidRPr="00423297">
        <w:t>,</w:t>
      </w:r>
      <w:r w:rsidR="00A3486F" w:rsidRPr="00423297">
        <w:t xml:space="preserve"> and </w:t>
      </w:r>
      <w:r w:rsidR="00763C61" w:rsidRPr="00423297">
        <w:t>with less cost and disruption to the industry and existing members than the opt-in regime contemplated in Option 2 or the delayed commencement of the cooling-off period contemplated in Option 3.</w:t>
      </w:r>
      <w:bookmarkEnd w:id="53"/>
      <w:r w:rsidR="00A90FE4" w:rsidRPr="00423297">
        <w:t xml:space="preserve"> </w:t>
      </w:r>
    </w:p>
    <w:p w14:paraId="30CF90FE" w14:textId="14A54985" w:rsidR="00B01325" w:rsidRPr="00423297" w:rsidRDefault="00A90FE4" w:rsidP="00D8724F">
      <w:pPr>
        <w:pStyle w:val="BodyText"/>
      </w:pPr>
      <w:r w:rsidRPr="00423297">
        <w:t xml:space="preserve">By </w:t>
      </w:r>
      <w:r w:rsidR="00B01325" w:rsidRPr="00423297">
        <w:t>implementing revised Option 1</w:t>
      </w:r>
      <w:r w:rsidR="008650C3" w:rsidRPr="00423297">
        <w:t xml:space="preserve">, </w:t>
      </w:r>
      <w:r w:rsidR="00620A97" w:rsidRPr="00423297">
        <w:t>we can</w:t>
      </w:r>
      <w:r w:rsidR="00B01325" w:rsidRPr="00423297">
        <w:t>:</w:t>
      </w:r>
      <w:r w:rsidR="00620A97" w:rsidRPr="00423297">
        <w:t xml:space="preserve"> </w:t>
      </w:r>
    </w:p>
    <w:p w14:paraId="2A431A68" w14:textId="06BA4822" w:rsidR="00B01325" w:rsidRPr="00423297" w:rsidRDefault="00B51B01" w:rsidP="00B01325">
      <w:pPr>
        <w:pStyle w:val="subparaa"/>
      </w:pPr>
      <w:proofErr w:type="gramStart"/>
      <w:r>
        <w:t>take</w:t>
      </w:r>
      <w:proofErr w:type="gramEnd"/>
      <w:r>
        <w:t xml:space="preserve"> the time to </w:t>
      </w:r>
      <w:r w:rsidR="00743BDB">
        <w:t>m</w:t>
      </w:r>
      <w:r w:rsidR="00D71163">
        <w:t xml:space="preserve">onitor the implementation of the other reforms in Option 1 and </w:t>
      </w:r>
      <w:r w:rsidR="00E544C9" w:rsidRPr="00E544C9">
        <w:t>review time-sharing sales practice</w:t>
      </w:r>
      <w:r>
        <w:t>s</w:t>
      </w:r>
      <w:r w:rsidR="00E544C9" w:rsidRPr="00E544C9">
        <w:t xml:space="preserve"> </w:t>
      </w:r>
      <w:bookmarkStart w:id="54" w:name="_Hlk56505776"/>
      <w:r w:rsidR="00D85168">
        <w:t>in</w:t>
      </w:r>
      <w:r w:rsidR="00E544C9" w:rsidRPr="00E544C9">
        <w:t xml:space="preserve"> early 2022</w:t>
      </w:r>
      <w:bookmarkEnd w:id="54"/>
      <w:r w:rsidR="00743BDB">
        <w:t>.</w:t>
      </w:r>
      <w:r w:rsidR="00E544C9" w:rsidRPr="00E544C9">
        <w:t xml:space="preserve"> </w:t>
      </w:r>
      <w:r>
        <w:t>I</w:t>
      </w:r>
      <w:r w:rsidR="00E544C9" w:rsidRPr="00E544C9">
        <w:t xml:space="preserve">f </w:t>
      </w:r>
      <w:r>
        <w:t xml:space="preserve">we identify </w:t>
      </w:r>
      <w:r w:rsidR="00E544C9" w:rsidRPr="00E544C9">
        <w:t xml:space="preserve">pressure selling conduct leading to poor consumer outcomes, </w:t>
      </w:r>
      <w:bookmarkStart w:id="55" w:name="_Hlk56121656"/>
      <w:r>
        <w:t xml:space="preserve">we will </w:t>
      </w:r>
      <w:r w:rsidR="00E544C9" w:rsidRPr="00E544C9">
        <w:t xml:space="preserve">consult </w:t>
      </w:r>
      <w:r w:rsidR="002A4D2F">
        <w:t xml:space="preserve">on </w:t>
      </w:r>
      <w:r w:rsidR="002A4D2F" w:rsidRPr="00423297">
        <w:t>whether it is appropriate to replace the existing cooling-off model with an enhanced cooling-off model or a deferred sales model</w:t>
      </w:r>
      <w:bookmarkEnd w:id="55"/>
      <w:r w:rsidR="00B01325" w:rsidRPr="00423297">
        <w:t>;</w:t>
      </w:r>
      <w:r w:rsidR="00620A97" w:rsidRPr="00423297">
        <w:t xml:space="preserve"> and </w:t>
      </w:r>
    </w:p>
    <w:p w14:paraId="290118B4" w14:textId="398ABC10" w:rsidR="00937693" w:rsidRPr="00423297" w:rsidRDefault="00620A97" w:rsidP="00EC0071">
      <w:pPr>
        <w:pStyle w:val="subparaa"/>
      </w:pPr>
      <w:proofErr w:type="gramStart"/>
      <w:r w:rsidRPr="00423297">
        <w:t>spare</w:t>
      </w:r>
      <w:proofErr w:type="gramEnd"/>
      <w:r w:rsidRPr="00423297">
        <w:t xml:space="preserve"> </w:t>
      </w:r>
      <w:r w:rsidR="008650C3" w:rsidRPr="00423297">
        <w:t xml:space="preserve">industry </w:t>
      </w:r>
      <w:r w:rsidRPr="00423297">
        <w:t xml:space="preserve">(and ultimately the existing members of the time-sharing schemes) </w:t>
      </w:r>
      <w:r w:rsidR="008650C3" w:rsidRPr="00423297">
        <w:t xml:space="preserve">the cost of implementing </w:t>
      </w:r>
      <w:r w:rsidR="006436EE" w:rsidRPr="00423297">
        <w:t>a</w:t>
      </w:r>
      <w:r w:rsidRPr="00423297">
        <w:t xml:space="preserve"> </w:t>
      </w:r>
      <w:r w:rsidR="008650C3" w:rsidRPr="00423297">
        <w:t xml:space="preserve">regulatory setting </w:t>
      </w:r>
      <w:r w:rsidR="006436EE" w:rsidRPr="00423297">
        <w:t xml:space="preserve">that </w:t>
      </w:r>
      <w:r w:rsidRPr="00423297">
        <w:t>may soon be replaced by another</w:t>
      </w:r>
      <w:r w:rsidR="008650C3" w:rsidRPr="00423297">
        <w:t>.</w:t>
      </w:r>
    </w:p>
    <w:p w14:paraId="57C32677" w14:textId="4A324948" w:rsidR="005E48B2" w:rsidRPr="00423297" w:rsidRDefault="005E48B2" w:rsidP="00D8724F">
      <w:pPr>
        <w:pStyle w:val="BodyText"/>
      </w:pPr>
      <w:r w:rsidRPr="00423297">
        <w:t xml:space="preserve">The costs associated with </w:t>
      </w:r>
      <w:r w:rsidR="00B01325" w:rsidRPr="00423297">
        <w:t>revised Option 1 and Options</w:t>
      </w:r>
      <w:r w:rsidRPr="00423297">
        <w:t xml:space="preserve"> 2 and 3 are primarily one-off costs associated with obtaining legal advice</w:t>
      </w:r>
      <w:r w:rsidR="00B17DA7" w:rsidRPr="00423297">
        <w:t xml:space="preserve">, </w:t>
      </w:r>
      <w:r w:rsidR="00212273" w:rsidRPr="00423297">
        <w:t>convening any necessary meetings of members</w:t>
      </w:r>
      <w:r w:rsidR="00A504E5" w:rsidRPr="00423297">
        <w:t>,</w:t>
      </w:r>
      <w:r w:rsidR="00212273" w:rsidRPr="00423297">
        <w:t xml:space="preserve"> </w:t>
      </w:r>
      <w:r w:rsidR="00B17DA7" w:rsidRPr="00423297">
        <w:t xml:space="preserve">making any necessary amendments to </w:t>
      </w:r>
      <w:r w:rsidR="008A35F9" w:rsidRPr="00423297">
        <w:t xml:space="preserve">scheme </w:t>
      </w:r>
      <w:r w:rsidR="00B17DA7" w:rsidRPr="00423297">
        <w:t xml:space="preserve">constitutions and other </w:t>
      </w:r>
      <w:r w:rsidR="008A35F9" w:rsidRPr="00423297">
        <w:t>documentation</w:t>
      </w:r>
      <w:r w:rsidRPr="00423297">
        <w:t>, revising disclosure and procedures</w:t>
      </w:r>
      <w:r w:rsidR="00DF38A5" w:rsidRPr="00423297">
        <w:t>, and</w:t>
      </w:r>
      <w:r w:rsidRPr="00423297">
        <w:t xml:space="preserve"> training</w:t>
      </w:r>
      <w:r w:rsidR="00DF38A5" w:rsidRPr="00423297">
        <w:t xml:space="preserve"> staff</w:t>
      </w:r>
      <w:r w:rsidRPr="00423297">
        <w:t xml:space="preserve">. There </w:t>
      </w:r>
      <w:r w:rsidR="00E70324" w:rsidRPr="00423297">
        <w:t xml:space="preserve">will also be </w:t>
      </w:r>
      <w:r w:rsidRPr="00423297">
        <w:t xml:space="preserve">ongoing costs </w:t>
      </w:r>
      <w:r w:rsidR="00520E8B" w:rsidRPr="00423297">
        <w:t>for</w:t>
      </w:r>
      <w:r w:rsidRPr="00423297">
        <w:t xml:space="preserve"> monitoring </w:t>
      </w:r>
      <w:r w:rsidR="00520E8B" w:rsidRPr="00423297">
        <w:t xml:space="preserve">operations </w:t>
      </w:r>
      <w:r w:rsidRPr="00423297">
        <w:t>and maint</w:t>
      </w:r>
      <w:r w:rsidR="00520E8B" w:rsidRPr="00423297">
        <w:t>aining</w:t>
      </w:r>
      <w:r w:rsidRPr="00423297">
        <w:t xml:space="preserve"> records to support compliance.</w:t>
      </w:r>
    </w:p>
    <w:p w14:paraId="08B7980D" w14:textId="53E5B5DE" w:rsidR="00413657" w:rsidRPr="00423297" w:rsidRDefault="00413657" w:rsidP="00D8724F">
      <w:pPr>
        <w:pStyle w:val="Heading1"/>
        <w:rPr>
          <w:noProof/>
        </w:rPr>
      </w:pPr>
      <w:bookmarkStart w:id="56" w:name="_Toc5365762"/>
      <w:bookmarkStart w:id="57" w:name="_Toc36467229"/>
      <w:bookmarkStart w:id="58" w:name="_Toc56669419"/>
      <w:r w:rsidRPr="00423297">
        <w:rPr>
          <w:noProof/>
        </w:rPr>
        <w:lastRenderedPageBreak/>
        <w:t>What is the problem?</w:t>
      </w:r>
      <w:bookmarkEnd w:id="56"/>
      <w:bookmarkEnd w:id="57"/>
      <w:bookmarkEnd w:id="58"/>
    </w:p>
    <w:p w14:paraId="5E26062B" w14:textId="1694C3A1" w:rsidR="008D77B4" w:rsidRPr="00423297" w:rsidRDefault="00082FD6" w:rsidP="00D8724F">
      <w:pPr>
        <w:pStyle w:val="BodyText"/>
      </w:pPr>
      <w:r w:rsidRPr="00423297">
        <w:t>Time</w:t>
      </w:r>
      <w:r w:rsidR="008D77B4" w:rsidRPr="00423297">
        <w:t>-</w:t>
      </w:r>
      <w:r w:rsidRPr="00423297">
        <w:t>shar</w:t>
      </w:r>
      <w:r w:rsidR="008D77B4" w:rsidRPr="00423297">
        <w:t>ing schemes</w:t>
      </w:r>
      <w:r w:rsidRPr="00423297">
        <w:t xml:space="preserve"> are complex in nature and</w:t>
      </w:r>
      <w:r w:rsidR="008D77B4" w:rsidRPr="00423297">
        <w:t xml:space="preserve"> the key features are</w:t>
      </w:r>
      <w:r w:rsidRPr="00423297">
        <w:t xml:space="preserve"> often difficult for consumers to understand or compare </w:t>
      </w:r>
      <w:r w:rsidR="008D77B4" w:rsidRPr="00423297">
        <w:t>with other</w:t>
      </w:r>
      <w:r w:rsidRPr="00423297">
        <w:t xml:space="preserve"> products</w:t>
      </w:r>
      <w:r w:rsidR="00520E8B" w:rsidRPr="00423297">
        <w:t>—</w:t>
      </w:r>
      <w:r w:rsidR="008E3EB8" w:rsidRPr="00423297">
        <w:t>especially in a pressure-selling environment</w:t>
      </w:r>
      <w:r w:rsidR="008D77B4" w:rsidRPr="00423297">
        <w:t>. The purchase of interests in time-sharing schemes represents a considerable, long-term financial</w:t>
      </w:r>
      <w:r w:rsidR="008E3EB8" w:rsidRPr="00423297">
        <w:t xml:space="preserve"> commitment with limited options for exit after the cooling-off period ends</w:t>
      </w:r>
      <w:r w:rsidR="00A3732D" w:rsidRPr="00423297">
        <w:t>.</w:t>
      </w:r>
      <w:r w:rsidR="00393BB9" w:rsidRPr="00423297">
        <w:t xml:space="preserve"> </w:t>
      </w:r>
      <w:r w:rsidR="00B17DA7" w:rsidRPr="00423297">
        <w:t>The findings from o</w:t>
      </w:r>
      <w:r w:rsidR="008A35F9" w:rsidRPr="00423297">
        <w:t xml:space="preserve">ur </w:t>
      </w:r>
      <w:r w:rsidR="00B17DA7" w:rsidRPr="00423297">
        <w:t xml:space="preserve">consumer </w:t>
      </w:r>
      <w:r w:rsidR="008A35F9" w:rsidRPr="00423297">
        <w:t xml:space="preserve">research </w:t>
      </w:r>
      <w:r w:rsidR="00D505A5" w:rsidRPr="00423297">
        <w:t>(</w:t>
      </w:r>
      <w:r w:rsidR="00B17DA7" w:rsidRPr="00423297">
        <w:t xml:space="preserve">outlined in </w:t>
      </w:r>
      <w:hyperlink r:id="rId12" w:history="1">
        <w:r w:rsidR="00B17DA7" w:rsidRPr="00423297">
          <w:rPr>
            <w:rStyle w:val="Hyperlink"/>
          </w:rPr>
          <w:t>REP 642</w:t>
        </w:r>
      </w:hyperlink>
      <w:r w:rsidR="00D505A5" w:rsidRPr="00423297">
        <w:t>)</w:t>
      </w:r>
      <w:r w:rsidR="00B17DA7" w:rsidRPr="00423297">
        <w:t xml:space="preserve"> </w:t>
      </w:r>
      <w:r w:rsidR="008A35F9" w:rsidRPr="00423297">
        <w:t>indicate</w:t>
      </w:r>
      <w:r w:rsidR="00D505A5" w:rsidRPr="00423297">
        <w:t xml:space="preserve"> that</w:t>
      </w:r>
      <w:r w:rsidR="008A35F9" w:rsidRPr="00423297">
        <w:t xml:space="preserve"> t</w:t>
      </w:r>
      <w:r w:rsidR="00393BB9" w:rsidRPr="00423297">
        <w:t>he current regulatory settings are not effectively reduc</w:t>
      </w:r>
      <w:r w:rsidR="00DD3B5A" w:rsidRPr="00423297">
        <w:t>ing</w:t>
      </w:r>
      <w:r w:rsidR="00393BB9" w:rsidRPr="00423297">
        <w:t xml:space="preserve"> consumer harms arising in the context of time-sharing schemes.</w:t>
      </w:r>
    </w:p>
    <w:p w14:paraId="1A89AB4D" w14:textId="7AAC6198" w:rsidR="00202804" w:rsidRPr="00423297" w:rsidRDefault="00202804" w:rsidP="008250FD">
      <w:pPr>
        <w:pStyle w:val="Heading2"/>
      </w:pPr>
      <w:bookmarkStart w:id="59" w:name="_Toc36467230"/>
      <w:bookmarkStart w:id="60" w:name="_Toc56669420"/>
      <w:r w:rsidRPr="00423297">
        <w:t xml:space="preserve">Size of </w:t>
      </w:r>
      <w:r w:rsidR="007F4CCE" w:rsidRPr="00423297">
        <w:t xml:space="preserve">the time-sharing </w:t>
      </w:r>
      <w:r w:rsidRPr="00423297">
        <w:t>industry</w:t>
      </w:r>
      <w:bookmarkEnd w:id="59"/>
      <w:bookmarkEnd w:id="60"/>
    </w:p>
    <w:p w14:paraId="618E953A" w14:textId="2314F3BA" w:rsidR="009D7B6D" w:rsidRPr="00423297" w:rsidRDefault="009D7B6D" w:rsidP="00D8724F">
      <w:pPr>
        <w:pStyle w:val="BodyText"/>
      </w:pPr>
      <w:r w:rsidRPr="00423297">
        <w:t>At present, the time-shar</w:t>
      </w:r>
      <w:r w:rsidR="00520E8B" w:rsidRPr="00423297">
        <w:t>ing</w:t>
      </w:r>
      <w:r w:rsidRPr="00423297">
        <w:t xml:space="preserve"> industry is comprised of: </w:t>
      </w:r>
    </w:p>
    <w:p w14:paraId="35FFB221" w14:textId="33C55C48" w:rsidR="00A81B1B" w:rsidRPr="00423297" w:rsidRDefault="009D7B6D" w:rsidP="00D8724F">
      <w:pPr>
        <w:pStyle w:val="subparaa"/>
        <w:rPr>
          <w:sz w:val="24"/>
          <w:szCs w:val="24"/>
        </w:rPr>
      </w:pPr>
      <w:r w:rsidRPr="00423297">
        <w:t xml:space="preserve">15 </w:t>
      </w:r>
      <w:r w:rsidR="004032CE" w:rsidRPr="00423297">
        <w:t xml:space="preserve">registered time-sharing schemes (registered schemes) </w:t>
      </w:r>
      <w:r w:rsidR="00AF065F" w:rsidRPr="00423297">
        <w:t>operated by</w:t>
      </w:r>
      <w:r w:rsidRPr="00423297">
        <w:t xml:space="preserve"> 10</w:t>
      </w:r>
      <w:r w:rsidR="009B7B29">
        <w:t> </w:t>
      </w:r>
      <w:r w:rsidR="00AF065F" w:rsidRPr="00423297">
        <w:t>responsible entities (</w:t>
      </w:r>
      <w:r w:rsidRPr="00423297">
        <w:t>operators</w:t>
      </w:r>
      <w:r w:rsidR="00AF065F" w:rsidRPr="00423297">
        <w:t>)</w:t>
      </w:r>
      <w:r w:rsidRPr="00423297">
        <w:t xml:space="preserve">. </w:t>
      </w:r>
      <w:r w:rsidR="00AE79B8" w:rsidRPr="00423297">
        <w:rPr>
          <w:spacing w:val="-4"/>
        </w:rPr>
        <w:t xml:space="preserve">All the active registered </w:t>
      </w:r>
      <w:r w:rsidR="00AE79B8" w:rsidRPr="00423297">
        <w:t xml:space="preserve">schemes are points-based programs. </w:t>
      </w:r>
      <w:r w:rsidRPr="00423297">
        <w:t xml:space="preserve">Five operators </w:t>
      </w:r>
      <w:r w:rsidR="00CE0E91" w:rsidRPr="00423297">
        <w:t xml:space="preserve">have been </w:t>
      </w:r>
      <w:r w:rsidRPr="00423297">
        <w:t xml:space="preserve">actively </w:t>
      </w:r>
      <w:r w:rsidR="00CE0E91" w:rsidRPr="00423297">
        <w:t xml:space="preserve">issuing </w:t>
      </w:r>
      <w:r w:rsidRPr="00423297">
        <w:rPr>
          <w:spacing w:val="-4"/>
        </w:rPr>
        <w:t>new interests in registered schemes to</w:t>
      </w:r>
      <w:r w:rsidRPr="00423297">
        <w:rPr>
          <w:i/>
          <w:spacing w:val="-4"/>
        </w:rPr>
        <w:t xml:space="preserve"> </w:t>
      </w:r>
      <w:r w:rsidRPr="00423297">
        <w:rPr>
          <w:spacing w:val="-4"/>
        </w:rPr>
        <w:t>consumers</w:t>
      </w:r>
      <w:r w:rsidR="00CE0E91" w:rsidRPr="00423297">
        <w:rPr>
          <w:spacing w:val="-4"/>
        </w:rPr>
        <w:t xml:space="preserve"> during the last 12 months</w:t>
      </w:r>
      <w:r w:rsidRPr="00423297">
        <w:rPr>
          <w:spacing w:val="-4"/>
        </w:rPr>
        <w:t xml:space="preserve">. </w:t>
      </w:r>
      <w:bookmarkStart w:id="61" w:name="_Hlk10703507"/>
      <w:r w:rsidR="00AE79B8" w:rsidRPr="00423297">
        <w:t>F</w:t>
      </w:r>
      <w:r w:rsidR="00786BE1" w:rsidRPr="00423297">
        <w:t>our of these</w:t>
      </w:r>
      <w:r w:rsidRPr="00423297">
        <w:t xml:space="preserve"> operators are members of </w:t>
      </w:r>
      <w:r w:rsidR="00AF065F" w:rsidRPr="00423297">
        <w:t xml:space="preserve">the </w:t>
      </w:r>
      <w:r w:rsidR="00AF065F" w:rsidRPr="00423297">
        <w:rPr>
          <w:color w:val="000000"/>
        </w:rPr>
        <w:t>Australian Timeshare and Holiday Ownership Council (</w:t>
      </w:r>
      <w:r w:rsidRPr="00423297">
        <w:t>ATHOC</w:t>
      </w:r>
      <w:bookmarkEnd w:id="61"/>
      <w:r w:rsidR="00AF065F" w:rsidRPr="00423297">
        <w:t>)</w:t>
      </w:r>
      <w:r w:rsidRPr="00423297">
        <w:t>;</w:t>
      </w:r>
    </w:p>
    <w:p w14:paraId="2D617095" w14:textId="714DA911" w:rsidR="009D7B6D" w:rsidRPr="00423297" w:rsidRDefault="00AA7698" w:rsidP="00D8724F">
      <w:pPr>
        <w:pStyle w:val="subparaa"/>
        <w:rPr>
          <w:sz w:val="24"/>
          <w:szCs w:val="24"/>
        </w:rPr>
      </w:pPr>
      <w:proofErr w:type="gramStart"/>
      <w:r w:rsidRPr="00423297">
        <w:t>f</w:t>
      </w:r>
      <w:r w:rsidR="009D7B6D" w:rsidRPr="00423297">
        <w:t>ive</w:t>
      </w:r>
      <w:proofErr w:type="gramEnd"/>
      <w:r w:rsidR="00DF18B1" w:rsidRPr="00423297">
        <w:t xml:space="preserve"> </w:t>
      </w:r>
      <w:r w:rsidR="00DF18B1" w:rsidRPr="00423297" w:rsidDel="00D03001">
        <w:t>related finance providers</w:t>
      </w:r>
      <w:r w:rsidR="00EA081B" w:rsidRPr="00423297">
        <w:t>, which are</w:t>
      </w:r>
      <w:r w:rsidR="003A5652" w:rsidRPr="00423297">
        <w:t xml:space="preserve"> associated with each of the operators actively issuing new interests</w:t>
      </w:r>
      <w:r w:rsidR="00EA081B" w:rsidRPr="00423297">
        <w:t>.</w:t>
      </w:r>
      <w:r w:rsidR="003A5652" w:rsidRPr="00423297">
        <w:t xml:space="preserve"> </w:t>
      </w:r>
      <w:r w:rsidR="00EA081B" w:rsidRPr="00423297">
        <w:t>These credit providers</w:t>
      </w:r>
      <w:r w:rsidR="009D7B6D" w:rsidRPr="00423297">
        <w:t xml:space="preserve"> hold Australian credit licence</w:t>
      </w:r>
      <w:r w:rsidR="00EA081B" w:rsidRPr="00423297">
        <w:t>s</w:t>
      </w:r>
      <w:r w:rsidR="00520E8B" w:rsidRPr="00423297">
        <w:t xml:space="preserve"> </w:t>
      </w:r>
      <w:r w:rsidR="009D7B6D" w:rsidRPr="00423297">
        <w:t>and provide credit to consumers to facilitate the purchase of interests in time-sharing schemes;</w:t>
      </w:r>
    </w:p>
    <w:p w14:paraId="0E28E0BE" w14:textId="098DDF44" w:rsidR="009D7B6D" w:rsidRPr="00423297" w:rsidRDefault="009D7B6D" w:rsidP="00D8724F">
      <w:pPr>
        <w:pStyle w:val="subparaa"/>
      </w:pPr>
      <w:r w:rsidRPr="00423297">
        <w:t xml:space="preserve">36 </w:t>
      </w:r>
      <w:r w:rsidR="00175333" w:rsidRPr="00423297">
        <w:t>state-exempt time-sharing schemes, title-based time-sharing schemes or member-controlled clubs operating under individual relief (legacy schemes)</w:t>
      </w:r>
      <w:r w:rsidR="00520E8B" w:rsidRPr="00423297">
        <w:t>,</w:t>
      </w:r>
      <w:r w:rsidR="00DB5E79" w:rsidRPr="00423297">
        <w:t xml:space="preserve"> </w:t>
      </w:r>
      <w:r w:rsidRPr="00423297">
        <w:t>operated by 29 legacy scheme operators. The legacy schemes are not permitted to issue new interests, but may resell existing interests in the legacy scheme; and</w:t>
      </w:r>
    </w:p>
    <w:p w14:paraId="51429FFB" w14:textId="5B1290AF" w:rsidR="009D7B6D" w:rsidRPr="00423297" w:rsidRDefault="009D7B6D" w:rsidP="00D8724F">
      <w:pPr>
        <w:pStyle w:val="subparaa"/>
      </w:pPr>
      <w:r w:rsidRPr="00423297">
        <w:t>other licensed entities</w:t>
      </w:r>
      <w:r w:rsidR="00AA7698" w:rsidRPr="00423297">
        <w:t>,</w:t>
      </w:r>
      <w:r w:rsidRPr="00423297">
        <w:t xml:space="preserve"> including</w:t>
      </w:r>
      <w:r w:rsidR="00AA7698" w:rsidRPr="00423297">
        <w:t>:</w:t>
      </w:r>
    </w:p>
    <w:p w14:paraId="04003A8D" w14:textId="40F10BFD" w:rsidR="009D7B6D" w:rsidRPr="00D61E78" w:rsidRDefault="009D7B6D" w:rsidP="00D8724F">
      <w:pPr>
        <w:pStyle w:val="subsubparai"/>
        <w:rPr>
          <w:spacing w:val="-4"/>
        </w:rPr>
      </w:pPr>
      <w:r w:rsidRPr="00D61E78">
        <w:rPr>
          <w:spacing w:val="-4"/>
        </w:rPr>
        <w:t xml:space="preserve">one </w:t>
      </w:r>
      <w:r w:rsidR="00A047BE" w:rsidRPr="00D61E78">
        <w:rPr>
          <w:spacing w:val="-4"/>
        </w:rPr>
        <w:t xml:space="preserve">licensed associate of an operator </w:t>
      </w:r>
      <w:r w:rsidR="00EA081B" w:rsidRPr="00D61E78">
        <w:rPr>
          <w:spacing w:val="-4"/>
        </w:rPr>
        <w:t>that</w:t>
      </w:r>
      <w:r w:rsidR="00A047BE" w:rsidRPr="00D61E78">
        <w:rPr>
          <w:spacing w:val="-4"/>
        </w:rPr>
        <w:t xml:space="preserve"> is authorised to promote sales of interests in the operator</w:t>
      </w:r>
      <w:r w:rsidR="00D61E78" w:rsidRPr="00D61E78">
        <w:rPr>
          <w:spacing w:val="-4"/>
        </w:rPr>
        <w:t>’</w:t>
      </w:r>
      <w:r w:rsidR="00A047BE" w:rsidRPr="00D61E78">
        <w:rPr>
          <w:spacing w:val="-4"/>
        </w:rPr>
        <w:t>s registered schemes (promoter)</w:t>
      </w:r>
      <w:r w:rsidRPr="00D61E78">
        <w:rPr>
          <w:spacing w:val="-4"/>
        </w:rPr>
        <w:t>; and</w:t>
      </w:r>
    </w:p>
    <w:p w14:paraId="17D2E8F3" w14:textId="335821C5" w:rsidR="009D7B6D" w:rsidRPr="00423297" w:rsidRDefault="009D7B6D" w:rsidP="00D8724F">
      <w:pPr>
        <w:pStyle w:val="subsubparai"/>
      </w:pPr>
      <w:proofErr w:type="gramStart"/>
      <w:r w:rsidRPr="00423297">
        <w:t>six</w:t>
      </w:r>
      <w:proofErr w:type="gramEnd"/>
      <w:r w:rsidRPr="00423297">
        <w:t xml:space="preserve"> </w:t>
      </w:r>
      <w:r w:rsidR="00D226A3" w:rsidRPr="00423297">
        <w:t>entities authorised to resell interests in time-sharing schemes (dealers)</w:t>
      </w:r>
      <w:r w:rsidRPr="00423297">
        <w:t>. </w:t>
      </w:r>
    </w:p>
    <w:p w14:paraId="23E8D139" w14:textId="64ADB33B" w:rsidR="00202804" w:rsidRPr="00423297" w:rsidRDefault="00202804" w:rsidP="008250FD">
      <w:pPr>
        <w:pStyle w:val="Heading2"/>
      </w:pPr>
      <w:bookmarkStart w:id="62" w:name="_Toc36467231"/>
      <w:bookmarkStart w:id="63" w:name="_Toc56669421"/>
      <w:r w:rsidRPr="00423297">
        <w:lastRenderedPageBreak/>
        <w:t>Sales, cooling</w:t>
      </w:r>
      <w:r w:rsidR="00B01325" w:rsidRPr="00423297">
        <w:t xml:space="preserve"> </w:t>
      </w:r>
      <w:r w:rsidRPr="00423297">
        <w:t>off and costs to consumers</w:t>
      </w:r>
      <w:bookmarkEnd w:id="62"/>
      <w:bookmarkEnd w:id="63"/>
    </w:p>
    <w:p w14:paraId="693063D6" w14:textId="0557203A" w:rsidR="004032CE" w:rsidRPr="00423297" w:rsidRDefault="00CE6186" w:rsidP="008E4425">
      <w:pPr>
        <w:pStyle w:val="BodyText"/>
        <w:keepNext/>
      </w:pPr>
      <w:r w:rsidRPr="00423297">
        <w:t>D</w:t>
      </w:r>
      <w:r w:rsidR="004032CE" w:rsidRPr="00423297">
        <w:t>uring the 201</w:t>
      </w:r>
      <w:r w:rsidR="008D673D" w:rsidRPr="00423297">
        <w:t>8</w:t>
      </w:r>
      <w:r w:rsidRPr="00423297">
        <w:t>–</w:t>
      </w:r>
      <w:r w:rsidR="008D673D" w:rsidRPr="00423297">
        <w:t>19</w:t>
      </w:r>
      <w:r w:rsidR="004032CE" w:rsidRPr="00423297">
        <w:t xml:space="preserve"> </w:t>
      </w:r>
      <w:r w:rsidR="008D673D" w:rsidRPr="00423297">
        <w:t>financial</w:t>
      </w:r>
      <w:r w:rsidR="004032CE" w:rsidRPr="00423297">
        <w:t xml:space="preserve"> year:</w:t>
      </w:r>
    </w:p>
    <w:p w14:paraId="0072FEE9" w14:textId="28B65B40" w:rsidR="004032CE" w:rsidRPr="00423297" w:rsidRDefault="004032CE" w:rsidP="00D8724F">
      <w:pPr>
        <w:pStyle w:val="subparaa"/>
      </w:pPr>
      <w:r w:rsidRPr="00423297">
        <w:t>the time-shar</w:t>
      </w:r>
      <w:r w:rsidR="007F4CCE" w:rsidRPr="00423297">
        <w:t>ing</w:t>
      </w:r>
      <w:r w:rsidRPr="00423297">
        <w:t xml:space="preserve"> industry delivered </w:t>
      </w:r>
      <w:r w:rsidR="008D673D" w:rsidRPr="00423297">
        <w:t>235,818</w:t>
      </w:r>
      <w:r w:rsidRPr="00423297">
        <w:t xml:space="preserve"> sales presentations;</w:t>
      </w:r>
    </w:p>
    <w:p w14:paraId="56A9CEEA" w14:textId="1F830BFA" w:rsidR="004032CE" w:rsidRPr="00423297" w:rsidRDefault="008D673D" w:rsidP="00D8724F">
      <w:pPr>
        <w:pStyle w:val="subparaa"/>
      </w:pPr>
      <w:r w:rsidRPr="00423297">
        <w:t xml:space="preserve">8.9% of consumers purchased </w:t>
      </w:r>
      <w:r w:rsidR="00CE6186" w:rsidRPr="00423297">
        <w:t>an interest in a time-sharing scheme</w:t>
      </w:r>
      <w:r w:rsidRPr="00423297">
        <w:t xml:space="preserve"> as a result of the presentations</w:t>
      </w:r>
      <w:r w:rsidR="004032CE" w:rsidRPr="00423297">
        <w:t xml:space="preserve">; </w:t>
      </w:r>
    </w:p>
    <w:p w14:paraId="4B73CF89" w14:textId="506AA4D2" w:rsidR="004032CE" w:rsidRPr="00423297" w:rsidRDefault="008D673D" w:rsidP="00D8724F">
      <w:pPr>
        <w:pStyle w:val="subparaa"/>
      </w:pPr>
      <w:r w:rsidRPr="00423297">
        <w:t xml:space="preserve">48% </w:t>
      </w:r>
      <w:r w:rsidR="004032CE" w:rsidRPr="00423297">
        <w:t xml:space="preserve">of consumers </w:t>
      </w:r>
      <w:r w:rsidRPr="00423297">
        <w:t>took out a loan to buy a</w:t>
      </w:r>
      <w:r w:rsidR="00CE6186" w:rsidRPr="00423297">
        <w:t>n interest</w:t>
      </w:r>
      <w:r w:rsidR="004032CE" w:rsidRPr="00423297">
        <w:t>; and</w:t>
      </w:r>
    </w:p>
    <w:p w14:paraId="34ED889F" w14:textId="24FBD82C" w:rsidR="004032CE" w:rsidRPr="00423297" w:rsidRDefault="004032CE" w:rsidP="00D8724F">
      <w:pPr>
        <w:pStyle w:val="subparaa"/>
      </w:pPr>
      <w:proofErr w:type="gramStart"/>
      <w:r w:rsidRPr="00423297">
        <w:t>the</w:t>
      </w:r>
      <w:proofErr w:type="gramEnd"/>
      <w:r w:rsidRPr="00423297">
        <w:t xml:space="preserve"> rate of </w:t>
      </w:r>
      <w:r w:rsidR="00D61E78">
        <w:t>‘</w:t>
      </w:r>
      <w:r w:rsidRPr="00423297">
        <w:t>cooling</w:t>
      </w:r>
      <w:r w:rsidR="00B01325" w:rsidRPr="00423297">
        <w:t xml:space="preserve"> </w:t>
      </w:r>
      <w:r w:rsidRPr="00423297">
        <w:t>off</w:t>
      </w:r>
      <w:r w:rsidR="00D61E78">
        <w:t>’</w:t>
      </w:r>
      <w:r w:rsidRPr="00423297">
        <w:t xml:space="preserve"> was </w:t>
      </w:r>
      <w:r w:rsidR="008D673D" w:rsidRPr="00423297">
        <w:t>24</w:t>
      </w:r>
      <w:r w:rsidRPr="00423297">
        <w:t>% of all sales.</w:t>
      </w:r>
    </w:p>
    <w:p w14:paraId="139A0D25" w14:textId="6421B753" w:rsidR="00CE6186" w:rsidRPr="00423297" w:rsidRDefault="00CE6186" w:rsidP="00B66510">
      <w:pPr>
        <w:pStyle w:val="Note"/>
      </w:pPr>
      <w:r w:rsidRPr="00423297">
        <w:t xml:space="preserve">Note: See </w:t>
      </w:r>
      <w:bookmarkStart w:id="64" w:name="_Hlk40103683"/>
      <w:r w:rsidR="002C372D" w:rsidRPr="00423297">
        <w:fldChar w:fldCharType="begin"/>
      </w:r>
      <w:r w:rsidR="002C372D" w:rsidRPr="00423297">
        <w:instrText xml:space="preserve"> HYPERLINK "https://asic.gov.au/regulatory-resources/find-a-document/reports/rep-642-timeshare-consumers-experiences/" </w:instrText>
      </w:r>
      <w:r w:rsidR="002C372D" w:rsidRPr="00423297">
        <w:fldChar w:fldCharType="separate"/>
      </w:r>
      <w:r w:rsidRPr="00423297">
        <w:rPr>
          <w:rStyle w:val="Hyperlink"/>
        </w:rPr>
        <w:t>REP 642</w:t>
      </w:r>
      <w:r w:rsidR="002C372D" w:rsidRPr="00423297">
        <w:rPr>
          <w:rStyle w:val="Hyperlink"/>
        </w:rPr>
        <w:fldChar w:fldCharType="end"/>
      </w:r>
      <w:r w:rsidRPr="00423297">
        <w:t xml:space="preserve"> at paragraph 34</w:t>
      </w:r>
      <w:bookmarkEnd w:id="64"/>
      <w:r w:rsidR="009614E8" w:rsidRPr="00423297">
        <w:t>.</w:t>
      </w:r>
    </w:p>
    <w:p w14:paraId="77DE55F2" w14:textId="77777777" w:rsidR="003058FE" w:rsidRPr="00423297" w:rsidRDefault="003A5652" w:rsidP="00D16EFE">
      <w:pPr>
        <w:pStyle w:val="BodyText"/>
      </w:pPr>
      <w:bookmarkStart w:id="65" w:name="_Hlk38376753"/>
      <w:bookmarkStart w:id="66" w:name="_Ref38372190"/>
      <w:r w:rsidRPr="00423297">
        <w:t>During</w:t>
      </w:r>
      <w:r w:rsidR="00BC4329" w:rsidRPr="00423297">
        <w:t xml:space="preserve"> 2019,</w:t>
      </w:r>
      <w:r w:rsidRPr="00423297">
        <w:t xml:space="preserve"> </w:t>
      </w:r>
      <w:r w:rsidR="00FE0400" w:rsidRPr="00423297">
        <w:t>the five operators actively issuing interests in time-sharing schemes reported that</w:t>
      </w:r>
      <w:r w:rsidR="003058FE" w:rsidRPr="00423297">
        <w:t>:</w:t>
      </w:r>
      <w:r w:rsidR="00FE0400" w:rsidRPr="00423297">
        <w:t xml:space="preserve"> </w:t>
      </w:r>
    </w:p>
    <w:p w14:paraId="4663FF72" w14:textId="72BB5D60" w:rsidR="003058FE" w:rsidRPr="00423297" w:rsidRDefault="003058FE" w:rsidP="003058FE">
      <w:pPr>
        <w:pStyle w:val="subparaa"/>
      </w:pPr>
      <w:r w:rsidRPr="00423297">
        <w:t>19</w:t>
      </w:r>
      <w:r w:rsidR="00C611FA" w:rsidRPr="00423297">
        <w:t>9,317</w:t>
      </w:r>
      <w:r w:rsidRPr="00423297">
        <w:t xml:space="preserve"> consumers attended sales presentations;</w:t>
      </w:r>
    </w:p>
    <w:p w14:paraId="46E197A2" w14:textId="18FA10A8" w:rsidR="003058FE" w:rsidRPr="00423297" w:rsidRDefault="00466AA7" w:rsidP="003058FE">
      <w:pPr>
        <w:pStyle w:val="subparaa"/>
      </w:pPr>
      <w:r w:rsidRPr="00423297">
        <w:rPr>
          <w:color w:val="000000"/>
        </w:rPr>
        <w:t>20,042</w:t>
      </w:r>
      <w:r w:rsidR="003058FE" w:rsidRPr="00423297">
        <w:rPr>
          <w:color w:val="000000"/>
        </w:rPr>
        <w:t xml:space="preserve"> consumers completed applications to purchase an interest in a time-sharing scheme;</w:t>
      </w:r>
    </w:p>
    <w:p w14:paraId="59AD8810" w14:textId="68CD8FAB" w:rsidR="003058FE" w:rsidRPr="00423297" w:rsidRDefault="00466AA7" w:rsidP="003058FE">
      <w:pPr>
        <w:pStyle w:val="subparaa"/>
      </w:pPr>
      <w:r w:rsidRPr="00423297">
        <w:rPr>
          <w:color w:val="000000"/>
        </w:rPr>
        <w:t>3,469</w:t>
      </w:r>
      <w:r w:rsidR="003058FE" w:rsidRPr="00423297">
        <w:rPr>
          <w:color w:val="000000"/>
        </w:rPr>
        <w:t xml:space="preserve"> consumers </w:t>
      </w:r>
      <w:r w:rsidR="00D61E78">
        <w:rPr>
          <w:color w:val="000000"/>
        </w:rPr>
        <w:t>‘</w:t>
      </w:r>
      <w:r w:rsidR="003058FE" w:rsidRPr="00423297">
        <w:rPr>
          <w:color w:val="000000"/>
        </w:rPr>
        <w:t>cooled</w:t>
      </w:r>
      <w:r w:rsidR="00EA081B" w:rsidRPr="00423297">
        <w:rPr>
          <w:color w:val="000000"/>
        </w:rPr>
        <w:t xml:space="preserve"> </w:t>
      </w:r>
      <w:r w:rsidR="003058FE" w:rsidRPr="00423297">
        <w:rPr>
          <w:color w:val="000000"/>
        </w:rPr>
        <w:t>off</w:t>
      </w:r>
      <w:r w:rsidR="00D61E78">
        <w:rPr>
          <w:color w:val="000000"/>
        </w:rPr>
        <w:t>’</w:t>
      </w:r>
      <w:r w:rsidR="003058FE" w:rsidRPr="00423297">
        <w:rPr>
          <w:color w:val="000000"/>
        </w:rPr>
        <w:t xml:space="preserve"> during the cooling-off period;</w:t>
      </w:r>
    </w:p>
    <w:p w14:paraId="4ACCB633" w14:textId="412777AB" w:rsidR="003058FE" w:rsidRPr="00423297" w:rsidRDefault="00466AA7" w:rsidP="003058FE">
      <w:pPr>
        <w:pStyle w:val="subparaa"/>
      </w:pPr>
      <w:r w:rsidRPr="00423297">
        <w:t>1,010</w:t>
      </w:r>
      <w:r w:rsidR="00956F9D" w:rsidRPr="00423297">
        <w:t xml:space="preserve"> consumers </w:t>
      </w:r>
      <w:r w:rsidR="00AC0D9E" w:rsidRPr="00423297">
        <w:t xml:space="preserve">who applied for an interest in </w:t>
      </w:r>
      <w:r w:rsidR="00EF2618" w:rsidRPr="00423297">
        <w:t xml:space="preserve">a </w:t>
      </w:r>
      <w:r w:rsidR="00AC0D9E" w:rsidRPr="00423297">
        <w:t>time</w:t>
      </w:r>
      <w:r w:rsidR="00EF2618" w:rsidRPr="00423297">
        <w:t>-</w:t>
      </w:r>
      <w:r w:rsidR="00AC0D9E" w:rsidRPr="00423297">
        <w:t xml:space="preserve">sharing scheme did not proceed </w:t>
      </w:r>
      <w:r w:rsidR="00220760" w:rsidRPr="00423297">
        <w:t>with their application because</w:t>
      </w:r>
      <w:r w:rsidR="00AC0D9E" w:rsidRPr="00423297">
        <w:t xml:space="preserve"> </w:t>
      </w:r>
      <w:r w:rsidR="00220760" w:rsidRPr="00423297">
        <w:t xml:space="preserve">their </w:t>
      </w:r>
      <w:r w:rsidR="00AC0D9E" w:rsidRPr="00423297">
        <w:t>applications for finance were refused or rejected</w:t>
      </w:r>
      <w:r w:rsidR="003058FE" w:rsidRPr="00423297">
        <w:t>; and</w:t>
      </w:r>
    </w:p>
    <w:p w14:paraId="704F2F85" w14:textId="435AA322" w:rsidR="004665F0" w:rsidRPr="00423297" w:rsidRDefault="00466AA7" w:rsidP="003058FE">
      <w:pPr>
        <w:pStyle w:val="subparaa"/>
      </w:pPr>
      <w:r w:rsidRPr="00423297">
        <w:t>1,277</w:t>
      </w:r>
      <w:r w:rsidR="003058FE" w:rsidRPr="00423297">
        <w:t xml:space="preserve"> consumers were permitted to cool</w:t>
      </w:r>
      <w:r w:rsidR="005D244B" w:rsidRPr="00423297">
        <w:t xml:space="preserve"> </w:t>
      </w:r>
      <w:r w:rsidR="003058FE" w:rsidRPr="00423297">
        <w:t>off after the expiry of the cooling-off period</w:t>
      </w:r>
      <w:r w:rsidR="00AC0D9E" w:rsidRPr="00423297">
        <w:t>.</w:t>
      </w:r>
    </w:p>
    <w:p w14:paraId="0447C0CA" w14:textId="5461563B" w:rsidR="009D54CA" w:rsidRPr="00423297" w:rsidRDefault="004665F0" w:rsidP="00D356DA">
      <w:pPr>
        <w:pStyle w:val="Note"/>
      </w:pPr>
      <w:r w:rsidRPr="00423297">
        <w:t>Note: It is unclear how many of the 1,27</w:t>
      </w:r>
      <w:r w:rsidR="00466AA7" w:rsidRPr="00423297">
        <w:t>7</w:t>
      </w:r>
      <w:r w:rsidRPr="00423297">
        <w:t xml:space="preserve"> consumers permitted to cool</w:t>
      </w:r>
      <w:r w:rsidR="00212273" w:rsidRPr="00423297">
        <w:t xml:space="preserve"> </w:t>
      </w:r>
      <w:r w:rsidRPr="00423297">
        <w:t xml:space="preserve">off after the </w:t>
      </w:r>
      <w:r w:rsidR="00005A2D" w:rsidRPr="00423297">
        <w:t>e</w:t>
      </w:r>
      <w:r w:rsidRPr="00423297">
        <w:t xml:space="preserve">xpiry of the cooling-off period did so through informal </w:t>
      </w:r>
      <w:r w:rsidR="00D61E78">
        <w:t>‘</w:t>
      </w:r>
      <w:r w:rsidRPr="00423297">
        <w:t>subject to finance</w:t>
      </w:r>
      <w:r w:rsidR="00D61E78">
        <w:t>’</w:t>
      </w:r>
      <w:r w:rsidRPr="00423297">
        <w:t xml:space="preserve"> arrangements.</w:t>
      </w:r>
      <w:r w:rsidR="00BD3A69">
        <w:t xml:space="preserve"> </w:t>
      </w:r>
      <w:bookmarkEnd w:id="65"/>
      <w:bookmarkEnd w:id="66"/>
    </w:p>
    <w:p w14:paraId="3128CB98" w14:textId="7C82E20F" w:rsidR="004172C5" w:rsidRPr="00423297" w:rsidRDefault="004172C5" w:rsidP="004172C5">
      <w:pPr>
        <w:pStyle w:val="BodyText"/>
      </w:pPr>
      <w:r w:rsidRPr="00423297">
        <w:t>Sales presentations generally consist of a group presentation, followed by an individual meeting between the consumer and representative of the operator</w:t>
      </w:r>
      <w:r w:rsidR="005D244B" w:rsidRPr="00423297">
        <w:t>.</w:t>
      </w:r>
      <w:r w:rsidRPr="00423297">
        <w:t xml:space="preserve"> </w:t>
      </w:r>
      <w:r w:rsidR="005D244B" w:rsidRPr="00423297">
        <w:t>C</w:t>
      </w:r>
      <w:r w:rsidRPr="00423297">
        <w:t xml:space="preserve">onsumers </w:t>
      </w:r>
      <w:r w:rsidR="005D244B" w:rsidRPr="00423297">
        <w:t xml:space="preserve">report that they </w:t>
      </w:r>
      <w:r w:rsidR="008E6BCD" w:rsidRPr="00423297">
        <w:t>often</w:t>
      </w:r>
      <w:r w:rsidRPr="00423297">
        <w:t xml:space="preserve"> feel pressured to make same-day purchases of interests in time-sharing schemes</w:t>
      </w:r>
      <w:r w:rsidR="005D244B" w:rsidRPr="00423297">
        <w:t xml:space="preserve">: see </w:t>
      </w:r>
      <w:hyperlink r:id="rId13" w:history="1">
        <w:r w:rsidR="005D244B" w:rsidRPr="00423297">
          <w:rPr>
            <w:rStyle w:val="Hyperlink"/>
          </w:rPr>
          <w:t>REP 642</w:t>
        </w:r>
      </w:hyperlink>
      <w:r w:rsidR="005D244B" w:rsidRPr="00423297">
        <w:t xml:space="preserve"> at paragraphs 50–75</w:t>
      </w:r>
      <w:r w:rsidRPr="00423297">
        <w:t>. Related finance providers are available at sales presentations to offer finance to consumers to facilitate this same-day sales process.</w:t>
      </w:r>
    </w:p>
    <w:p w14:paraId="503F127F" w14:textId="0DEF7D6D" w:rsidR="00597947" w:rsidRPr="00423297" w:rsidRDefault="00C31F0F" w:rsidP="00C31F0F">
      <w:pPr>
        <w:pStyle w:val="Note"/>
      </w:pPr>
      <w:bookmarkStart w:id="67" w:name="_Hlk39039800"/>
      <w:r w:rsidRPr="00423297">
        <w:t xml:space="preserve">Note: Mainstream </w:t>
      </w:r>
      <w:r w:rsidR="005D244B" w:rsidRPr="00423297">
        <w:t>credit</w:t>
      </w:r>
      <w:r w:rsidRPr="00423297">
        <w:t xml:space="preserve"> providers, such as banks, are generally not involved in providing finance for the purchase of interests in a time-sharing scheme</w:t>
      </w:r>
      <w:r w:rsidR="005D244B" w:rsidRPr="00423297">
        <w:t>. The exception to this is when</w:t>
      </w:r>
      <w:r w:rsidRPr="00423297">
        <w:t xml:space="preserve"> a consumer purchase</w:t>
      </w:r>
      <w:r w:rsidR="005D244B" w:rsidRPr="00423297">
        <w:t>s</w:t>
      </w:r>
      <w:r w:rsidRPr="00423297">
        <w:t xml:space="preserve"> the interest on their credit card.</w:t>
      </w:r>
      <w:bookmarkEnd w:id="67"/>
    </w:p>
    <w:p w14:paraId="0A776D2B" w14:textId="442763C4" w:rsidR="00437DDF" w:rsidRPr="00423297" w:rsidRDefault="004032CE" w:rsidP="00B17DA7">
      <w:pPr>
        <w:pStyle w:val="BodyText"/>
      </w:pPr>
      <w:bookmarkStart w:id="68" w:name="_ASICRef226"/>
      <w:r w:rsidRPr="00423297">
        <w:t xml:space="preserve">The purchase of </w:t>
      </w:r>
      <w:r w:rsidR="00CE6186" w:rsidRPr="00423297">
        <w:t xml:space="preserve">an interest </w:t>
      </w:r>
      <w:r w:rsidRPr="00423297">
        <w:t xml:space="preserve">in a time-sharing scheme creates a significant, long-term financial obligation for a consumer. </w:t>
      </w:r>
      <w:r w:rsidR="006436EE" w:rsidRPr="00423297">
        <w:t>On average, c</w:t>
      </w:r>
      <w:r w:rsidRPr="00423297">
        <w:t xml:space="preserve">onsumers pay upfront costs of </w:t>
      </w:r>
      <w:r w:rsidR="00FE641D" w:rsidRPr="00423297">
        <w:t>$23,00</w:t>
      </w:r>
      <w:r w:rsidR="005D244B" w:rsidRPr="00423297">
        <w:t>0</w:t>
      </w:r>
      <w:r w:rsidR="00FE641D" w:rsidRPr="00423297">
        <w:t xml:space="preserve"> (ranging from</w:t>
      </w:r>
      <w:r w:rsidRPr="00423297">
        <w:t xml:space="preserve"> $1</w:t>
      </w:r>
      <w:r w:rsidR="00FE641D" w:rsidRPr="00423297">
        <w:t>4,990</w:t>
      </w:r>
      <w:r w:rsidR="00523608" w:rsidRPr="00423297">
        <w:t xml:space="preserve"> and </w:t>
      </w:r>
      <w:r w:rsidRPr="00423297">
        <w:t>$</w:t>
      </w:r>
      <w:r w:rsidR="00FE641D" w:rsidRPr="00423297">
        <w:t>29,250)</w:t>
      </w:r>
      <w:r w:rsidRPr="00423297">
        <w:t xml:space="preserve"> to purchase </w:t>
      </w:r>
      <w:r w:rsidR="00FE641D" w:rsidRPr="00423297">
        <w:t xml:space="preserve">new memberships and </w:t>
      </w:r>
      <w:r w:rsidR="00437DDF" w:rsidRPr="00423297">
        <w:t xml:space="preserve">$800 in ongoing </w:t>
      </w:r>
      <w:r w:rsidRPr="00423297">
        <w:t xml:space="preserve">annual fees </w:t>
      </w:r>
      <w:r w:rsidR="00437DDF" w:rsidRPr="00423297">
        <w:t xml:space="preserve">(ranging from $645 to $954): see </w:t>
      </w:r>
      <w:hyperlink r:id="rId14" w:history="1">
        <w:r w:rsidR="00437DDF" w:rsidRPr="00423297">
          <w:rPr>
            <w:rStyle w:val="Hyperlink"/>
          </w:rPr>
          <w:t>REP 642</w:t>
        </w:r>
      </w:hyperlink>
      <w:r w:rsidR="00437DDF" w:rsidRPr="00423297">
        <w:t xml:space="preserve"> at paragraphs 34 and 37. These ongoing annual fees are payable</w:t>
      </w:r>
      <w:r w:rsidRPr="00423297">
        <w:t xml:space="preserve"> for the term of the</w:t>
      </w:r>
      <w:r w:rsidR="00CE6186" w:rsidRPr="00423297">
        <w:t>ir</w:t>
      </w:r>
      <w:r w:rsidRPr="00423297">
        <w:t xml:space="preserve"> membership (up to </w:t>
      </w:r>
      <w:r w:rsidR="00784643" w:rsidRPr="00423297">
        <w:t>80</w:t>
      </w:r>
      <w:r w:rsidRPr="00423297">
        <w:t xml:space="preserve"> years). </w:t>
      </w:r>
      <w:bookmarkEnd w:id="68"/>
    </w:p>
    <w:p w14:paraId="43E48CA0" w14:textId="362B3C08" w:rsidR="004032CE" w:rsidRPr="00423297" w:rsidRDefault="004032CE" w:rsidP="00B17DA7">
      <w:pPr>
        <w:pStyle w:val="BodyText"/>
      </w:pPr>
      <w:r w:rsidRPr="00423297">
        <w:t xml:space="preserve">Consumers who finance their purchase </w:t>
      </w:r>
      <w:r w:rsidR="00E6149E" w:rsidRPr="00423297">
        <w:t>through</w:t>
      </w:r>
      <w:r w:rsidRPr="00423297">
        <w:t xml:space="preserve"> a related finance provider will also be liable for financing costs</w:t>
      </w:r>
      <w:r w:rsidR="005D244B" w:rsidRPr="00423297">
        <w:t>.</w:t>
      </w:r>
      <w:r w:rsidR="00437DDF" w:rsidRPr="00423297">
        <w:t xml:space="preserve"> </w:t>
      </w:r>
      <w:r w:rsidR="005D244B" w:rsidRPr="00423297">
        <w:t>On</w:t>
      </w:r>
      <w:r w:rsidR="00437DDF" w:rsidRPr="00423297">
        <w:t xml:space="preserve"> average</w:t>
      </w:r>
      <w:r w:rsidR="005D244B" w:rsidRPr="00423297">
        <w:t xml:space="preserve">, </w:t>
      </w:r>
      <w:r w:rsidR="001068A7" w:rsidRPr="00423297">
        <w:t>consumers</w:t>
      </w:r>
      <w:r w:rsidR="005D244B" w:rsidRPr="00423297">
        <w:t xml:space="preserve"> pay a</w:t>
      </w:r>
      <w:r w:rsidR="00437DDF" w:rsidRPr="00423297">
        <w:t xml:space="preserve"> 13.51%</w:t>
      </w:r>
      <w:r w:rsidR="005D244B" w:rsidRPr="00423297">
        <w:t xml:space="preserve"> </w:t>
      </w:r>
      <w:r w:rsidR="005D244B" w:rsidRPr="00423297">
        <w:lastRenderedPageBreak/>
        <w:t>interest rate</w:t>
      </w:r>
      <w:r w:rsidR="00A54C68" w:rsidRPr="00423297">
        <w:t xml:space="preserve"> on </w:t>
      </w:r>
      <w:r w:rsidR="00212273" w:rsidRPr="00423297">
        <w:t xml:space="preserve">a </w:t>
      </w:r>
      <w:r w:rsidR="00A54C68" w:rsidRPr="00423297">
        <w:t>$19,990 loan over a 71.9 month term</w:t>
      </w:r>
      <w:r w:rsidR="00D146D7" w:rsidRPr="00423297">
        <w:t xml:space="preserve">. A consumer with a loan will </w:t>
      </w:r>
      <w:r w:rsidR="00A504E5" w:rsidRPr="00423297">
        <w:t>pay</w:t>
      </w:r>
      <w:r w:rsidR="00D146D7" w:rsidRPr="00423297">
        <w:t xml:space="preserve"> on average $36,618</w:t>
      </w:r>
      <w:r w:rsidR="00A504E5" w:rsidRPr="00423297">
        <w:t xml:space="preserve"> for a membership held for 6.8 years</w:t>
      </w:r>
      <w:r w:rsidR="00D146D7" w:rsidRPr="00423297">
        <w:t>, including the upfront payment, annual fees and loan interest costs</w:t>
      </w:r>
      <w:r w:rsidR="00437DDF" w:rsidRPr="00423297">
        <w:t xml:space="preserve">: see </w:t>
      </w:r>
      <w:hyperlink r:id="rId15" w:history="1">
        <w:r w:rsidR="00437DDF" w:rsidRPr="00423297">
          <w:rPr>
            <w:rStyle w:val="Hyperlink"/>
          </w:rPr>
          <w:t>REP</w:t>
        </w:r>
        <w:r w:rsidR="00B51B01">
          <w:rPr>
            <w:rStyle w:val="Hyperlink"/>
          </w:rPr>
          <w:t> </w:t>
        </w:r>
        <w:r w:rsidR="00437DDF" w:rsidRPr="00423297">
          <w:rPr>
            <w:rStyle w:val="Hyperlink"/>
          </w:rPr>
          <w:t>642</w:t>
        </w:r>
      </w:hyperlink>
      <w:r w:rsidR="00437DDF" w:rsidRPr="00423297">
        <w:t xml:space="preserve"> at paragraph</w:t>
      </w:r>
      <w:r w:rsidR="00212273" w:rsidRPr="00423297">
        <w:t>s</w:t>
      </w:r>
      <w:r w:rsidR="00437DDF" w:rsidRPr="00423297">
        <w:t xml:space="preserve"> 34</w:t>
      </w:r>
      <w:r w:rsidR="00D146D7" w:rsidRPr="00423297">
        <w:t xml:space="preserve"> and 38</w:t>
      </w:r>
      <w:r w:rsidRPr="00423297">
        <w:t>.</w:t>
      </w:r>
    </w:p>
    <w:p w14:paraId="6E8FB4A0" w14:textId="36966188" w:rsidR="00682FBE" w:rsidRPr="00423297" w:rsidRDefault="008E3EB8" w:rsidP="00BB428A">
      <w:pPr>
        <w:pStyle w:val="Note"/>
      </w:pPr>
      <w:r w:rsidRPr="00423297">
        <w:t xml:space="preserve">Note: Further information about time-sharing schemes (including selling, advice and disclosure practices and exit arrangements) can be found in </w:t>
      </w:r>
      <w:r w:rsidR="00D7709F" w:rsidRPr="00423297">
        <w:t>the appendix</w:t>
      </w:r>
      <w:r w:rsidRPr="00423297">
        <w:t>.</w:t>
      </w:r>
    </w:p>
    <w:p w14:paraId="07495CA4" w14:textId="12696640" w:rsidR="00202804" w:rsidRPr="00423297" w:rsidRDefault="004F1CCD" w:rsidP="008250FD">
      <w:pPr>
        <w:pStyle w:val="Heading2"/>
      </w:pPr>
      <w:bookmarkStart w:id="69" w:name="_Toc36467232"/>
      <w:bookmarkStart w:id="70" w:name="_Toc56669422"/>
      <w:r w:rsidRPr="00423297">
        <w:t>Consumer concerns</w:t>
      </w:r>
      <w:bookmarkEnd w:id="69"/>
      <w:bookmarkEnd w:id="70"/>
    </w:p>
    <w:p w14:paraId="71972BEE" w14:textId="77C5CA26" w:rsidR="00D7709F" w:rsidRPr="00423297" w:rsidRDefault="00D7709F" w:rsidP="00D8724F">
      <w:pPr>
        <w:pStyle w:val="BodyText"/>
      </w:pPr>
      <w:r w:rsidRPr="00423297">
        <w:t>We</w:t>
      </w:r>
      <w:r w:rsidR="00645BA7" w:rsidRPr="00423297">
        <w:t xml:space="preserve"> </w:t>
      </w:r>
      <w:r w:rsidR="005D4AE0" w:rsidRPr="00423297">
        <w:t>received 1</w:t>
      </w:r>
      <w:r w:rsidR="004202A3" w:rsidRPr="00423297">
        <w:t>89</w:t>
      </w:r>
      <w:r w:rsidR="005D4AE0" w:rsidRPr="00423297">
        <w:t xml:space="preserve"> complaints about time-sharing schemes between 2009</w:t>
      </w:r>
      <w:r w:rsidRPr="00423297">
        <w:t xml:space="preserve"> and </w:t>
      </w:r>
      <w:r w:rsidR="005D4AE0" w:rsidRPr="00423297">
        <w:t>201</w:t>
      </w:r>
      <w:r w:rsidR="004202A3" w:rsidRPr="00423297">
        <w:t>9</w:t>
      </w:r>
      <w:r w:rsidR="005D4AE0" w:rsidRPr="00423297">
        <w:t xml:space="preserve">, representing </w:t>
      </w:r>
      <w:r w:rsidR="00645BA7" w:rsidRPr="00423297">
        <w:t>a disproportionately high level of complaints</w:t>
      </w:r>
      <w:r w:rsidR="00EE22FD" w:rsidRPr="00423297">
        <w:t xml:space="preserve"> about the industry</w:t>
      </w:r>
      <w:r w:rsidR="006C4575" w:rsidRPr="00423297">
        <w:t xml:space="preserve"> when compared to other managed investment schemes</w:t>
      </w:r>
      <w:r w:rsidR="002E566F" w:rsidRPr="00423297">
        <w:t>.</w:t>
      </w:r>
      <w:r w:rsidR="00EE22FD" w:rsidRPr="00423297">
        <w:t xml:space="preserve"> </w:t>
      </w:r>
    </w:p>
    <w:p w14:paraId="003FC27E" w14:textId="48AA4440" w:rsidR="00D7709F" w:rsidRPr="00423297" w:rsidRDefault="00D7709F" w:rsidP="00D7709F">
      <w:pPr>
        <w:pStyle w:val="BodyText"/>
      </w:pPr>
      <w:bookmarkStart w:id="71" w:name="_Hlk34999404"/>
      <w:r w:rsidRPr="00423297">
        <w:t>Despite making up only 0.4% of all registered managed investment schemes, time-sharing scheme</w:t>
      </w:r>
      <w:r w:rsidR="00D42D97" w:rsidRPr="00423297">
        <w:t>s</w:t>
      </w:r>
      <w:r w:rsidRPr="00423297">
        <w:t xml:space="preserve"> complaints represented: </w:t>
      </w:r>
    </w:p>
    <w:p w14:paraId="45753BED" w14:textId="1CCC5826" w:rsidR="00D7709F" w:rsidRPr="00423297" w:rsidRDefault="00D7709F" w:rsidP="00D7709F">
      <w:pPr>
        <w:pStyle w:val="subparaa"/>
      </w:pPr>
      <w:r w:rsidRPr="00423297">
        <w:t xml:space="preserve">on average, 3.6% of all managed investment scheme complaints </w:t>
      </w:r>
      <w:r w:rsidR="00B8270E" w:rsidRPr="00423297">
        <w:t>we received</w:t>
      </w:r>
      <w:r w:rsidR="000F0CA9" w:rsidRPr="00423297">
        <w:t xml:space="preserve"> </w:t>
      </w:r>
      <w:r w:rsidRPr="00423297">
        <w:t xml:space="preserve">between 2009 and 2017; and </w:t>
      </w:r>
    </w:p>
    <w:p w14:paraId="448120FB" w14:textId="1AFF9C7D" w:rsidR="00D7709F" w:rsidRPr="00423297" w:rsidRDefault="004202A3" w:rsidP="00D7709F">
      <w:pPr>
        <w:pStyle w:val="subparaa"/>
      </w:pPr>
      <w:r w:rsidRPr="00423297">
        <w:t>20</w:t>
      </w:r>
      <w:r w:rsidR="00D7709F" w:rsidRPr="00423297">
        <w:t xml:space="preserve">% of all managed investment scheme complaints </w:t>
      </w:r>
      <w:r w:rsidR="00B8270E" w:rsidRPr="00423297">
        <w:t xml:space="preserve">we </w:t>
      </w:r>
      <w:r w:rsidR="00D7709F" w:rsidRPr="00423297">
        <w:t xml:space="preserve">received in </w:t>
      </w:r>
      <w:r w:rsidR="00B8270E" w:rsidRPr="00423297">
        <w:t xml:space="preserve">the </w:t>
      </w:r>
      <w:r w:rsidR="00D7709F" w:rsidRPr="00423297">
        <w:t>201</w:t>
      </w:r>
      <w:r w:rsidRPr="00423297">
        <w:t>8</w:t>
      </w:r>
      <w:r w:rsidR="00B51B01">
        <w:t>–</w:t>
      </w:r>
      <w:r w:rsidRPr="00423297">
        <w:t>19</w:t>
      </w:r>
      <w:r w:rsidR="005E5E17" w:rsidRPr="00423297">
        <w:t xml:space="preserve"> </w:t>
      </w:r>
      <w:r w:rsidR="00B8270E" w:rsidRPr="00423297">
        <w:t xml:space="preserve">financial year </w:t>
      </w:r>
      <w:r w:rsidR="005E5E17" w:rsidRPr="00423297">
        <w:t>alone</w:t>
      </w:r>
      <w:r w:rsidR="00D7709F" w:rsidRPr="00423297">
        <w:t xml:space="preserve">. </w:t>
      </w:r>
    </w:p>
    <w:bookmarkEnd w:id="71"/>
    <w:p w14:paraId="51A2D6CC" w14:textId="77777777" w:rsidR="00D7709F" w:rsidRPr="00423297" w:rsidRDefault="00D7709F" w:rsidP="00D7709F">
      <w:pPr>
        <w:pStyle w:val="BodyText"/>
      </w:pPr>
      <w:r w:rsidRPr="00423297">
        <w:t xml:space="preserve">This high level of complaints is reflected in the complaints data of: </w:t>
      </w:r>
    </w:p>
    <w:p w14:paraId="21EFE3DC" w14:textId="4F24397F" w:rsidR="00915259" w:rsidRPr="00423297" w:rsidRDefault="00D7709F" w:rsidP="00D7709F">
      <w:pPr>
        <w:pStyle w:val="subparaa"/>
      </w:pPr>
      <w:r w:rsidRPr="00423297">
        <w:t xml:space="preserve">the Financial Ombudsman Service (FOS), which recorded 158 disputes about time-sharing schemes between 2013 and 2018; </w:t>
      </w:r>
    </w:p>
    <w:p w14:paraId="7A715B22" w14:textId="63067543" w:rsidR="00D7709F" w:rsidRPr="00423297" w:rsidRDefault="00915259" w:rsidP="00D7709F">
      <w:pPr>
        <w:pStyle w:val="subparaa"/>
      </w:pPr>
      <w:r w:rsidRPr="00423297">
        <w:t>the Australian Financial Complaints Authority (AFCA), which received 111 complaints about time-sharing schemes between 1 November 2018 and 31 October 2019</w:t>
      </w:r>
      <w:r w:rsidR="0096397A" w:rsidRPr="00423297">
        <w:t>,</w:t>
      </w:r>
      <w:r w:rsidRPr="00423297">
        <w:t xml:space="preserve"> representing approximately 13% of all complaints recei</w:t>
      </w:r>
      <w:r w:rsidR="0096397A" w:rsidRPr="00423297">
        <w:t>v</w:t>
      </w:r>
      <w:r w:rsidRPr="00423297">
        <w:t xml:space="preserve">ed about managed investment schemes; </w:t>
      </w:r>
      <w:r w:rsidR="00D7709F" w:rsidRPr="00423297">
        <w:t xml:space="preserve">and </w:t>
      </w:r>
    </w:p>
    <w:p w14:paraId="76DD2D42" w14:textId="59BE1A65" w:rsidR="00D7709F" w:rsidRPr="00423297" w:rsidRDefault="00D7709F" w:rsidP="00953431">
      <w:pPr>
        <w:pStyle w:val="subparaa"/>
      </w:pPr>
      <w:bookmarkStart w:id="72" w:name="_Ref40974873"/>
      <w:r w:rsidRPr="00423297">
        <w:t xml:space="preserve">ATHOC, which recorded 1,431 complaints in 2017 </w:t>
      </w:r>
      <w:r w:rsidR="00915259" w:rsidRPr="00423297">
        <w:t>and 780 complaints during in 2018</w:t>
      </w:r>
      <w:r w:rsidRPr="00423297">
        <w:t xml:space="preserve">. Over half </w:t>
      </w:r>
      <w:r w:rsidR="00915259" w:rsidRPr="00423297">
        <w:t xml:space="preserve">of the complaints in 2017 </w:t>
      </w:r>
      <w:r w:rsidR="0096397A" w:rsidRPr="00423297">
        <w:t>were about</w:t>
      </w:r>
      <w:r w:rsidRPr="00423297">
        <w:t xml:space="preserve"> sales.</w:t>
      </w:r>
      <w:bookmarkEnd w:id="72"/>
    </w:p>
    <w:p w14:paraId="771D0486" w14:textId="0C9B4E0F" w:rsidR="006B481F" w:rsidRPr="00423297" w:rsidRDefault="00F15994" w:rsidP="00F15994">
      <w:pPr>
        <w:pStyle w:val="BodyText"/>
      </w:pPr>
      <w:r w:rsidRPr="00423297">
        <w:t>Our consumer research also found that complaints statistics may understate the extent of consumer issues</w:t>
      </w:r>
      <w:r w:rsidR="006B481F" w:rsidRPr="00423297">
        <w:t>:</w:t>
      </w:r>
    </w:p>
    <w:p w14:paraId="4D4E9331" w14:textId="69582F06" w:rsidR="006B481F" w:rsidRPr="00423297" w:rsidRDefault="006B481F" w:rsidP="00FA2D78">
      <w:pPr>
        <w:pStyle w:val="Blockquote"/>
      </w:pPr>
      <w:r w:rsidRPr="00423297">
        <w:t>F</w:t>
      </w:r>
      <w:r w:rsidR="00F15994" w:rsidRPr="00423297">
        <w:t>or some, the decision to purchase a membership, and the unintended consequences the purchase had invited, was a cause for embarrassment and self-reproach when later experiences with their membership fell short of expectations. The sense that participants themselves had contributed to this situation seemed to contribute to a lack of motivation to tenaciously pursue redress…</w:t>
      </w:r>
    </w:p>
    <w:p w14:paraId="6B249C13" w14:textId="33AAD2FA" w:rsidR="00F15994" w:rsidRPr="00423297" w:rsidRDefault="006B481F" w:rsidP="00FA2D78">
      <w:pPr>
        <w:pStyle w:val="Note"/>
      </w:pPr>
      <w:r w:rsidRPr="00423297">
        <w:t>Note</w:t>
      </w:r>
      <w:r w:rsidR="00F15994" w:rsidRPr="00423297">
        <w:t xml:space="preserve">: </w:t>
      </w:r>
      <w:r w:rsidRPr="00423297">
        <w:t>S</w:t>
      </w:r>
      <w:r w:rsidR="00F15994" w:rsidRPr="00423297">
        <w:t xml:space="preserve">ee </w:t>
      </w:r>
      <w:hyperlink r:id="rId16" w:history="1">
        <w:r w:rsidR="00F15994" w:rsidRPr="00423297">
          <w:rPr>
            <w:rStyle w:val="Hyperlink"/>
          </w:rPr>
          <w:t>REP 642</w:t>
        </w:r>
      </w:hyperlink>
      <w:r w:rsidR="00F15994" w:rsidRPr="00423297">
        <w:t xml:space="preserve"> at paragraph 24.</w:t>
      </w:r>
    </w:p>
    <w:p w14:paraId="06FE0F07" w14:textId="3B6C9304" w:rsidR="00915259" w:rsidRPr="00423297" w:rsidRDefault="0096397A" w:rsidP="00D8724F">
      <w:pPr>
        <w:pStyle w:val="BodyText"/>
      </w:pPr>
      <w:r w:rsidRPr="00423297">
        <w:t>T</w:t>
      </w:r>
      <w:r w:rsidR="00915259" w:rsidRPr="00423297">
        <w:t xml:space="preserve">he most common types of complaints received by </w:t>
      </w:r>
      <w:r w:rsidRPr="00423297">
        <w:t>ATHOC</w:t>
      </w:r>
      <w:r w:rsidR="00915259" w:rsidRPr="00423297">
        <w:t xml:space="preserve"> members during 2018 </w:t>
      </w:r>
      <w:r w:rsidRPr="00423297">
        <w:t>were about</w:t>
      </w:r>
      <w:r w:rsidR="00915259" w:rsidRPr="00423297">
        <w:t xml:space="preserve"> the time</w:t>
      </w:r>
      <w:r w:rsidRPr="00423297">
        <w:t>-</w:t>
      </w:r>
      <w:r w:rsidR="00915259" w:rsidRPr="00423297">
        <w:t>shar</w:t>
      </w:r>
      <w:r w:rsidRPr="00423297">
        <w:t>ing scheme</w:t>
      </w:r>
      <w:r w:rsidR="00D61E78">
        <w:t>’</w:t>
      </w:r>
      <w:r w:rsidRPr="00423297">
        <w:t>s</w:t>
      </w:r>
      <w:r w:rsidR="00915259" w:rsidRPr="00423297">
        <w:t xml:space="preserve"> accommodation, specific membership rules or benefits</w:t>
      </w:r>
      <w:r w:rsidRPr="00423297">
        <w:t>,</w:t>
      </w:r>
      <w:r w:rsidR="00915259" w:rsidRPr="00423297">
        <w:t xml:space="preserve"> and claims that members were allegedly </w:t>
      </w:r>
      <w:r w:rsidR="00915259" w:rsidRPr="00423297">
        <w:lastRenderedPageBreak/>
        <w:t>mis</w:t>
      </w:r>
      <w:r w:rsidR="003448DF" w:rsidRPr="00423297">
        <w:t xml:space="preserve">informed about the sale of </w:t>
      </w:r>
      <w:r w:rsidRPr="00423297">
        <w:t xml:space="preserve">the interest in the </w:t>
      </w:r>
      <w:r w:rsidR="003448DF" w:rsidRPr="00423297">
        <w:t>time</w:t>
      </w:r>
      <w:r w:rsidRPr="00423297">
        <w:t>-</w:t>
      </w:r>
      <w:r w:rsidR="003448DF" w:rsidRPr="00423297">
        <w:t>shar</w:t>
      </w:r>
      <w:r w:rsidRPr="00423297">
        <w:t>ing schem</w:t>
      </w:r>
      <w:r w:rsidR="003448DF" w:rsidRPr="00423297">
        <w:t xml:space="preserve">e: see </w:t>
      </w:r>
      <w:hyperlink r:id="rId17" w:history="1">
        <w:r w:rsidR="003448DF" w:rsidRPr="00423297">
          <w:rPr>
            <w:rStyle w:val="Hyperlink"/>
          </w:rPr>
          <w:t>REP</w:t>
        </w:r>
        <w:r w:rsidR="009B7B29">
          <w:rPr>
            <w:rStyle w:val="Hyperlink"/>
          </w:rPr>
          <w:t> </w:t>
        </w:r>
        <w:r w:rsidR="003448DF" w:rsidRPr="00423297">
          <w:rPr>
            <w:rStyle w:val="Hyperlink"/>
          </w:rPr>
          <w:t>642</w:t>
        </w:r>
      </w:hyperlink>
      <w:r w:rsidRPr="00423297">
        <w:t xml:space="preserve"> at paragraph 9</w:t>
      </w:r>
      <w:r w:rsidR="003448DF" w:rsidRPr="00423297">
        <w:t>.</w:t>
      </w:r>
    </w:p>
    <w:p w14:paraId="76E74796" w14:textId="166F71BF" w:rsidR="008668BB" w:rsidRPr="00423297" w:rsidRDefault="002E566F" w:rsidP="00D8724F">
      <w:pPr>
        <w:pStyle w:val="BodyText"/>
      </w:pPr>
      <w:r w:rsidRPr="00423297">
        <w:t>Complaints</w:t>
      </w:r>
      <w:r w:rsidR="0096397A" w:rsidRPr="00423297">
        <w:t xml:space="preserve"> we</w:t>
      </w:r>
      <w:r w:rsidRPr="00423297">
        <w:t xml:space="preserve"> </w:t>
      </w:r>
      <w:r w:rsidR="00915259" w:rsidRPr="00423297">
        <w:t xml:space="preserve">receive </w:t>
      </w:r>
      <w:r w:rsidRPr="00423297">
        <w:t>are</w:t>
      </w:r>
      <w:r w:rsidR="00856BFA" w:rsidRPr="00423297">
        <w:t xml:space="preserve"> predominantly about misleading and deceptive conduct, </w:t>
      </w:r>
      <w:r w:rsidR="00CE57CD" w:rsidRPr="00423297">
        <w:t>pressure-</w:t>
      </w:r>
      <w:r w:rsidR="00856BFA" w:rsidRPr="00423297">
        <w:t>selling practices</w:t>
      </w:r>
      <w:r w:rsidR="00EA55EF" w:rsidRPr="00423297">
        <w:t>,</w:t>
      </w:r>
      <w:r w:rsidR="00856BFA" w:rsidRPr="00423297">
        <w:t xml:space="preserve"> </w:t>
      </w:r>
      <w:r w:rsidR="00CE57CD" w:rsidRPr="00423297">
        <w:t xml:space="preserve">and </w:t>
      </w:r>
      <w:r w:rsidR="00EA55EF" w:rsidRPr="00423297">
        <w:t>members</w:t>
      </w:r>
      <w:r w:rsidR="00D61E78">
        <w:t>’</w:t>
      </w:r>
      <w:r w:rsidR="00856BFA" w:rsidRPr="00423297">
        <w:t xml:space="preserve"> ability to access or use </w:t>
      </w:r>
      <w:r w:rsidR="00856BFA" w:rsidRPr="00D61E78">
        <w:rPr>
          <w:spacing w:val="-4"/>
        </w:rPr>
        <w:t>accommodation</w:t>
      </w:r>
      <w:r w:rsidR="00CE57CD" w:rsidRPr="00D61E78">
        <w:rPr>
          <w:spacing w:val="-4"/>
        </w:rPr>
        <w:t xml:space="preserve">. Other </w:t>
      </w:r>
      <w:r w:rsidR="00806BF4" w:rsidRPr="00D61E78">
        <w:rPr>
          <w:spacing w:val="-4"/>
        </w:rPr>
        <w:t>complaints concerned</w:t>
      </w:r>
      <w:r w:rsidRPr="00D61E78">
        <w:rPr>
          <w:spacing w:val="-4"/>
        </w:rPr>
        <w:t xml:space="preserve"> cooling-off </w:t>
      </w:r>
      <w:r w:rsidR="00326079" w:rsidRPr="00D61E78">
        <w:rPr>
          <w:spacing w:val="-4"/>
        </w:rPr>
        <w:t>rights</w:t>
      </w:r>
      <w:r w:rsidRPr="00D61E78">
        <w:rPr>
          <w:spacing w:val="-4"/>
        </w:rPr>
        <w:t>, fees and terms</w:t>
      </w:r>
      <w:r w:rsidRPr="00423297">
        <w:t xml:space="preserve"> disclosure, exit arrangements</w:t>
      </w:r>
      <w:r w:rsidR="00EA55EF" w:rsidRPr="00423297">
        <w:t>,</w:t>
      </w:r>
      <w:r w:rsidR="005D4AE0" w:rsidRPr="00423297">
        <w:t xml:space="preserve"> and responsible lending: see </w:t>
      </w:r>
      <w:r w:rsidR="008E3EB8" w:rsidRPr="00423297">
        <w:fldChar w:fldCharType="begin"/>
      </w:r>
      <w:r w:rsidR="008E3EB8" w:rsidRPr="00423297">
        <w:instrText xml:space="preserve"> REF _Ref4769831 \h </w:instrText>
      </w:r>
      <w:r w:rsidR="00EC11EF" w:rsidRPr="00423297">
        <w:instrText xml:space="preserve"> \* MERGEFORMAT </w:instrText>
      </w:r>
      <w:r w:rsidR="008E3EB8" w:rsidRPr="00423297">
        <w:fldChar w:fldCharType="separate"/>
      </w:r>
      <w:r w:rsidR="00B92808" w:rsidRPr="00423297">
        <w:t>Table </w:t>
      </w:r>
      <w:r w:rsidR="00B92808">
        <w:t>1</w:t>
      </w:r>
      <w:r w:rsidR="008E3EB8" w:rsidRPr="00423297">
        <w:fldChar w:fldCharType="end"/>
      </w:r>
      <w:r w:rsidR="00EA55EF" w:rsidRPr="00423297">
        <w:t xml:space="preserve"> for a </w:t>
      </w:r>
      <w:r w:rsidR="00EA55EF" w:rsidRPr="00D61E78">
        <w:rPr>
          <w:spacing w:val="-2"/>
        </w:rPr>
        <w:t>summary of the categories of complaint we received</w:t>
      </w:r>
      <w:r w:rsidR="008E6719" w:rsidRPr="00D61E78">
        <w:rPr>
          <w:spacing w:val="-2"/>
        </w:rPr>
        <w:t xml:space="preserve"> between 2009</w:t>
      </w:r>
      <w:r w:rsidR="00B01325" w:rsidRPr="00D61E78">
        <w:rPr>
          <w:spacing w:val="-2"/>
        </w:rPr>
        <w:t xml:space="preserve"> and </w:t>
      </w:r>
      <w:r w:rsidR="008E6719" w:rsidRPr="00D61E78">
        <w:rPr>
          <w:spacing w:val="-2"/>
        </w:rPr>
        <w:t>201</w:t>
      </w:r>
      <w:r w:rsidR="00716B67" w:rsidRPr="00D61E78">
        <w:rPr>
          <w:spacing w:val="-2"/>
        </w:rPr>
        <w:t>9</w:t>
      </w:r>
      <w:r w:rsidR="0089706C" w:rsidRPr="00D61E78">
        <w:rPr>
          <w:spacing w:val="-2"/>
        </w:rPr>
        <w:t>.</w:t>
      </w:r>
    </w:p>
    <w:p w14:paraId="3FB6041C" w14:textId="33C2C22F" w:rsidR="002E566F" w:rsidRPr="00423297" w:rsidRDefault="002E566F" w:rsidP="00D8724F">
      <w:pPr>
        <w:pStyle w:val="tabletitleindented"/>
      </w:pPr>
      <w:bookmarkStart w:id="73" w:name="_Ref4769831"/>
      <w:r w:rsidRPr="00423297">
        <w:t>Table</w:t>
      </w:r>
      <w:r w:rsidR="00EA55EF" w:rsidRPr="00423297">
        <w:t> </w:t>
      </w:r>
      <w:r w:rsidR="008E7185" w:rsidRPr="00423297">
        <w:rPr>
          <w:noProof/>
        </w:rPr>
        <w:fldChar w:fldCharType="begin"/>
      </w:r>
      <w:r w:rsidR="008E7185" w:rsidRPr="00423297">
        <w:rPr>
          <w:noProof/>
        </w:rPr>
        <w:instrText xml:space="preserve"> SEQ Table \* ARABIC </w:instrText>
      </w:r>
      <w:r w:rsidR="008E7185" w:rsidRPr="00423297">
        <w:rPr>
          <w:noProof/>
        </w:rPr>
        <w:fldChar w:fldCharType="separate"/>
      </w:r>
      <w:r w:rsidR="00B92808">
        <w:rPr>
          <w:noProof/>
        </w:rPr>
        <w:t>1</w:t>
      </w:r>
      <w:r w:rsidR="008E7185" w:rsidRPr="00423297">
        <w:rPr>
          <w:noProof/>
        </w:rPr>
        <w:fldChar w:fldCharType="end"/>
      </w:r>
      <w:bookmarkEnd w:id="73"/>
      <w:r w:rsidRPr="00423297">
        <w:t>:</w:t>
      </w:r>
      <w:r w:rsidRPr="00423297">
        <w:tab/>
        <w:t>Categories of complaints to ASIC about time-shar</w:t>
      </w:r>
      <w:r w:rsidR="00EA55EF" w:rsidRPr="00423297">
        <w:t>ing schem</w:t>
      </w:r>
      <w:r w:rsidRPr="00423297">
        <w:t>e</w:t>
      </w:r>
      <w:r w:rsidR="00EA55EF" w:rsidRPr="00423297">
        <w:t>s—</w:t>
      </w:r>
      <w:r w:rsidRPr="00423297">
        <w:t>2009</w:t>
      </w:r>
      <w:r w:rsidR="00EA55EF" w:rsidRPr="00423297">
        <w:t>–</w:t>
      </w:r>
      <w:r w:rsidR="003448DF" w:rsidRPr="00423297">
        <w:t>20</w:t>
      </w:r>
      <w:r w:rsidRPr="00423297">
        <w:t>1</w:t>
      </w:r>
      <w:r w:rsidR="002949B0" w:rsidRPr="00423297">
        <w:t>9</w:t>
      </w:r>
    </w:p>
    <w:tbl>
      <w:tblPr>
        <w:tblW w:w="6696"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4395"/>
        <w:gridCol w:w="992"/>
        <w:gridCol w:w="1309"/>
      </w:tblGrid>
      <w:tr w:rsidR="002E566F" w:rsidRPr="00423297" w14:paraId="64C93271" w14:textId="77777777" w:rsidTr="0027762E">
        <w:trPr>
          <w:cantSplit/>
          <w:tblHeader/>
        </w:trPr>
        <w:tc>
          <w:tcPr>
            <w:tcW w:w="4395" w:type="dxa"/>
            <w:shd w:val="clear" w:color="auto" w:fill="C2E3FA"/>
          </w:tcPr>
          <w:p w14:paraId="44C87F90" w14:textId="77777777" w:rsidR="002E566F" w:rsidRPr="00423297" w:rsidRDefault="002E566F" w:rsidP="00CE5521">
            <w:pPr>
              <w:pStyle w:val="tablehead"/>
            </w:pPr>
            <w:r w:rsidRPr="00423297">
              <w:t>Category</w:t>
            </w:r>
          </w:p>
        </w:tc>
        <w:tc>
          <w:tcPr>
            <w:tcW w:w="992" w:type="dxa"/>
            <w:shd w:val="clear" w:color="auto" w:fill="C2E3FA"/>
          </w:tcPr>
          <w:p w14:paraId="5AD28589" w14:textId="77777777" w:rsidR="002E566F" w:rsidRPr="00423297" w:rsidRDefault="002E566F" w:rsidP="00CE5521">
            <w:pPr>
              <w:pStyle w:val="tablehead"/>
            </w:pPr>
            <w:r w:rsidRPr="00423297">
              <w:t>Number</w:t>
            </w:r>
          </w:p>
        </w:tc>
        <w:tc>
          <w:tcPr>
            <w:tcW w:w="1309" w:type="dxa"/>
            <w:shd w:val="clear" w:color="auto" w:fill="C2E3FA"/>
          </w:tcPr>
          <w:p w14:paraId="5959CAE2" w14:textId="25FBBA24" w:rsidR="002E566F" w:rsidRPr="00423297" w:rsidRDefault="00EA55EF" w:rsidP="00CE5521">
            <w:pPr>
              <w:pStyle w:val="tablehead"/>
            </w:pPr>
            <w:r w:rsidRPr="00423297">
              <w:t>Percentage</w:t>
            </w:r>
          </w:p>
        </w:tc>
      </w:tr>
      <w:tr w:rsidR="00A35FC4" w:rsidRPr="00423297" w14:paraId="2405958F" w14:textId="77777777" w:rsidTr="0027762E">
        <w:trPr>
          <w:cantSplit/>
        </w:trPr>
        <w:tc>
          <w:tcPr>
            <w:tcW w:w="4395" w:type="dxa"/>
          </w:tcPr>
          <w:p w14:paraId="5A84E820" w14:textId="77777777" w:rsidR="00A35FC4" w:rsidRPr="00423297" w:rsidRDefault="00A35FC4" w:rsidP="00581912">
            <w:pPr>
              <w:pStyle w:val="tbltext"/>
            </w:pPr>
            <w:r w:rsidRPr="00423297">
              <w:t>Misleading and deceptive conduct</w:t>
            </w:r>
          </w:p>
        </w:tc>
        <w:tc>
          <w:tcPr>
            <w:tcW w:w="992" w:type="dxa"/>
          </w:tcPr>
          <w:p w14:paraId="37CA0AC3" w14:textId="33AA0369" w:rsidR="00A35FC4" w:rsidRPr="00423297" w:rsidRDefault="00A35FC4" w:rsidP="00581912">
            <w:pPr>
              <w:pStyle w:val="tbltext"/>
              <w:jc w:val="right"/>
            </w:pPr>
            <w:r w:rsidRPr="00423297">
              <w:t>4</w:t>
            </w:r>
            <w:r w:rsidR="00412EC4" w:rsidRPr="00423297">
              <w:t>7</w:t>
            </w:r>
          </w:p>
        </w:tc>
        <w:tc>
          <w:tcPr>
            <w:tcW w:w="1309" w:type="dxa"/>
          </w:tcPr>
          <w:p w14:paraId="5D0BAD56" w14:textId="0E04D78E" w:rsidR="00A35FC4" w:rsidRPr="00423297" w:rsidRDefault="008C5819" w:rsidP="00581912">
            <w:pPr>
              <w:pStyle w:val="tbltext"/>
              <w:jc w:val="right"/>
            </w:pPr>
            <w:r w:rsidRPr="00423297">
              <w:t>24.9</w:t>
            </w:r>
            <w:r w:rsidR="00A35FC4" w:rsidRPr="00423297">
              <w:t>%</w:t>
            </w:r>
          </w:p>
        </w:tc>
      </w:tr>
      <w:tr w:rsidR="008C5819" w:rsidRPr="00423297" w14:paraId="21689ED5" w14:textId="77777777" w:rsidTr="0027762E">
        <w:trPr>
          <w:cantSplit/>
        </w:trPr>
        <w:tc>
          <w:tcPr>
            <w:tcW w:w="4395" w:type="dxa"/>
          </w:tcPr>
          <w:p w14:paraId="410297E3" w14:textId="3E2FA96D" w:rsidR="008C5819" w:rsidRPr="00423297" w:rsidRDefault="008C5819" w:rsidP="00581912">
            <w:pPr>
              <w:pStyle w:val="tbltext"/>
            </w:pPr>
            <w:r w:rsidRPr="00423297">
              <w:t>Accessing accommodation</w:t>
            </w:r>
          </w:p>
        </w:tc>
        <w:tc>
          <w:tcPr>
            <w:tcW w:w="992" w:type="dxa"/>
          </w:tcPr>
          <w:p w14:paraId="1B89AD2B" w14:textId="62A90C74" w:rsidR="008C5819" w:rsidRPr="00423297" w:rsidRDefault="008C5819" w:rsidP="00581912">
            <w:pPr>
              <w:pStyle w:val="tbltext"/>
              <w:jc w:val="right"/>
            </w:pPr>
            <w:r w:rsidRPr="00423297">
              <w:t>22</w:t>
            </w:r>
          </w:p>
        </w:tc>
        <w:tc>
          <w:tcPr>
            <w:tcW w:w="1309" w:type="dxa"/>
          </w:tcPr>
          <w:p w14:paraId="0BC50BF6" w14:textId="54A1B659" w:rsidR="008C5819" w:rsidRPr="00423297" w:rsidDel="008C5819" w:rsidRDefault="008C5819" w:rsidP="00581912">
            <w:pPr>
              <w:pStyle w:val="tbltext"/>
              <w:jc w:val="right"/>
            </w:pPr>
            <w:r w:rsidRPr="00423297">
              <w:t>11.6%</w:t>
            </w:r>
          </w:p>
        </w:tc>
      </w:tr>
      <w:tr w:rsidR="008C5819" w:rsidRPr="00423297" w14:paraId="35499C12" w14:textId="77777777" w:rsidTr="0027762E">
        <w:trPr>
          <w:cantSplit/>
        </w:trPr>
        <w:tc>
          <w:tcPr>
            <w:tcW w:w="4395" w:type="dxa"/>
          </w:tcPr>
          <w:p w14:paraId="52C61D9A" w14:textId="47F8846E" w:rsidR="008C5819" w:rsidRPr="00423297" w:rsidRDefault="008C5819" w:rsidP="00581912">
            <w:pPr>
              <w:pStyle w:val="tbltext"/>
            </w:pPr>
            <w:r w:rsidRPr="00423297">
              <w:t>Exit and/or redemption of interests</w:t>
            </w:r>
          </w:p>
        </w:tc>
        <w:tc>
          <w:tcPr>
            <w:tcW w:w="992" w:type="dxa"/>
          </w:tcPr>
          <w:p w14:paraId="156A7D62" w14:textId="45DFDC56" w:rsidR="008C5819" w:rsidRPr="00423297" w:rsidRDefault="008C5819" w:rsidP="00581912">
            <w:pPr>
              <w:pStyle w:val="tbltext"/>
              <w:jc w:val="right"/>
            </w:pPr>
            <w:r w:rsidRPr="00423297">
              <w:t>22</w:t>
            </w:r>
          </w:p>
        </w:tc>
        <w:tc>
          <w:tcPr>
            <w:tcW w:w="1309" w:type="dxa"/>
          </w:tcPr>
          <w:p w14:paraId="3158C350" w14:textId="24C23D83" w:rsidR="008C5819" w:rsidRPr="00423297" w:rsidRDefault="008C5819" w:rsidP="00581912">
            <w:pPr>
              <w:pStyle w:val="tbltext"/>
              <w:jc w:val="right"/>
            </w:pPr>
            <w:r w:rsidRPr="00423297">
              <w:t>11.6%</w:t>
            </w:r>
          </w:p>
        </w:tc>
      </w:tr>
      <w:tr w:rsidR="00A35FC4" w:rsidRPr="00423297" w14:paraId="1F1F3631" w14:textId="77777777" w:rsidTr="0027762E">
        <w:trPr>
          <w:cantSplit/>
        </w:trPr>
        <w:tc>
          <w:tcPr>
            <w:tcW w:w="4395" w:type="dxa"/>
          </w:tcPr>
          <w:p w14:paraId="4EFAA8C7" w14:textId="77777777" w:rsidR="00A35FC4" w:rsidRPr="00423297" w:rsidRDefault="00A35FC4" w:rsidP="00581912">
            <w:pPr>
              <w:pStyle w:val="tbltext"/>
            </w:pPr>
            <w:r w:rsidRPr="00423297">
              <w:t>Sales practices</w:t>
            </w:r>
          </w:p>
        </w:tc>
        <w:tc>
          <w:tcPr>
            <w:tcW w:w="992" w:type="dxa"/>
          </w:tcPr>
          <w:p w14:paraId="0129A8BF" w14:textId="6ACE1606" w:rsidR="00A35FC4" w:rsidRPr="00423297" w:rsidRDefault="00A35FC4" w:rsidP="00581912">
            <w:pPr>
              <w:pStyle w:val="tbltext"/>
              <w:jc w:val="right"/>
            </w:pPr>
            <w:r w:rsidRPr="00423297">
              <w:t>2</w:t>
            </w:r>
            <w:r w:rsidR="00412EC4" w:rsidRPr="00423297">
              <w:t>1</w:t>
            </w:r>
          </w:p>
        </w:tc>
        <w:tc>
          <w:tcPr>
            <w:tcW w:w="1309" w:type="dxa"/>
          </w:tcPr>
          <w:p w14:paraId="363B61AF" w14:textId="1AFB71D3" w:rsidR="00A35FC4" w:rsidRPr="00423297" w:rsidRDefault="008C5819" w:rsidP="00581912">
            <w:pPr>
              <w:pStyle w:val="tbltext"/>
              <w:jc w:val="right"/>
            </w:pPr>
            <w:r w:rsidRPr="00423297">
              <w:t>11.1</w:t>
            </w:r>
            <w:r w:rsidR="00A35FC4" w:rsidRPr="00423297">
              <w:t>%</w:t>
            </w:r>
          </w:p>
        </w:tc>
      </w:tr>
      <w:tr w:rsidR="008C5819" w:rsidRPr="00423297" w14:paraId="3FFD327C" w14:textId="77777777" w:rsidTr="0027762E">
        <w:trPr>
          <w:cantSplit/>
        </w:trPr>
        <w:tc>
          <w:tcPr>
            <w:tcW w:w="4395" w:type="dxa"/>
          </w:tcPr>
          <w:p w14:paraId="53C1E69E" w14:textId="3C0F9B99" w:rsidR="008C5819" w:rsidRPr="00423297" w:rsidRDefault="008C5819" w:rsidP="00581912">
            <w:pPr>
              <w:pStyle w:val="tbltext"/>
            </w:pPr>
            <w:r w:rsidRPr="00423297">
              <w:t>Miscellaneous</w:t>
            </w:r>
          </w:p>
        </w:tc>
        <w:tc>
          <w:tcPr>
            <w:tcW w:w="992" w:type="dxa"/>
          </w:tcPr>
          <w:p w14:paraId="50B912B0" w14:textId="187B88BD" w:rsidR="008C5819" w:rsidRPr="00423297" w:rsidRDefault="008C5819" w:rsidP="00581912">
            <w:pPr>
              <w:pStyle w:val="tbltext"/>
              <w:jc w:val="right"/>
            </w:pPr>
            <w:r w:rsidRPr="00423297">
              <w:t>16</w:t>
            </w:r>
          </w:p>
        </w:tc>
        <w:tc>
          <w:tcPr>
            <w:tcW w:w="1309" w:type="dxa"/>
          </w:tcPr>
          <w:p w14:paraId="670EDB3A" w14:textId="4F712A2C" w:rsidR="008C5819" w:rsidRPr="00423297" w:rsidDel="008C5819" w:rsidRDefault="008C5819" w:rsidP="00581912">
            <w:pPr>
              <w:pStyle w:val="tbltext"/>
              <w:jc w:val="right"/>
            </w:pPr>
            <w:r w:rsidRPr="00423297">
              <w:t>8.5%</w:t>
            </w:r>
          </w:p>
        </w:tc>
      </w:tr>
      <w:tr w:rsidR="008C5819" w:rsidRPr="00423297" w14:paraId="6B867358" w14:textId="77777777" w:rsidTr="0027762E">
        <w:trPr>
          <w:cantSplit/>
        </w:trPr>
        <w:tc>
          <w:tcPr>
            <w:tcW w:w="4395" w:type="dxa"/>
          </w:tcPr>
          <w:p w14:paraId="0823AE08" w14:textId="059A7BD7" w:rsidR="008C5819" w:rsidRPr="00423297" w:rsidRDefault="008C5819" w:rsidP="00581912">
            <w:pPr>
              <w:pStyle w:val="tbltext"/>
            </w:pPr>
            <w:r w:rsidRPr="00423297">
              <w:t>Unauthorised conduct</w:t>
            </w:r>
          </w:p>
        </w:tc>
        <w:tc>
          <w:tcPr>
            <w:tcW w:w="992" w:type="dxa"/>
          </w:tcPr>
          <w:p w14:paraId="5BD811BE" w14:textId="5F923F3A" w:rsidR="008C5819" w:rsidRPr="00423297" w:rsidRDefault="008C5819" w:rsidP="00581912">
            <w:pPr>
              <w:pStyle w:val="tbltext"/>
              <w:jc w:val="right"/>
            </w:pPr>
            <w:r w:rsidRPr="00423297">
              <w:t>14</w:t>
            </w:r>
          </w:p>
        </w:tc>
        <w:tc>
          <w:tcPr>
            <w:tcW w:w="1309" w:type="dxa"/>
          </w:tcPr>
          <w:p w14:paraId="0B2D7FA4" w14:textId="2A25252C" w:rsidR="008C5819" w:rsidRPr="00423297" w:rsidRDefault="008C5819" w:rsidP="00581912">
            <w:pPr>
              <w:pStyle w:val="tbltext"/>
              <w:jc w:val="right"/>
            </w:pPr>
            <w:r w:rsidRPr="00423297">
              <w:t>7.4%</w:t>
            </w:r>
          </w:p>
        </w:tc>
      </w:tr>
      <w:tr w:rsidR="002E566F" w:rsidRPr="00423297" w14:paraId="74B69ADB" w14:textId="77777777" w:rsidTr="0027762E">
        <w:trPr>
          <w:cantSplit/>
        </w:trPr>
        <w:tc>
          <w:tcPr>
            <w:tcW w:w="4395" w:type="dxa"/>
          </w:tcPr>
          <w:p w14:paraId="1FE41766" w14:textId="77777777" w:rsidR="002E566F" w:rsidRPr="00423297" w:rsidRDefault="002E566F" w:rsidP="00CE5521">
            <w:pPr>
              <w:pStyle w:val="tbltext"/>
            </w:pPr>
            <w:r w:rsidRPr="00423297">
              <w:t>Disclosure of fees and terms</w:t>
            </w:r>
          </w:p>
        </w:tc>
        <w:tc>
          <w:tcPr>
            <w:tcW w:w="992" w:type="dxa"/>
          </w:tcPr>
          <w:p w14:paraId="0C625B81" w14:textId="158C184F" w:rsidR="002E566F" w:rsidRPr="00423297" w:rsidRDefault="002E566F" w:rsidP="00CE5521">
            <w:pPr>
              <w:pStyle w:val="tbltext"/>
              <w:jc w:val="right"/>
            </w:pPr>
            <w:r w:rsidRPr="00423297">
              <w:t>1</w:t>
            </w:r>
            <w:r w:rsidR="00412EC4" w:rsidRPr="00423297">
              <w:t>1</w:t>
            </w:r>
          </w:p>
        </w:tc>
        <w:tc>
          <w:tcPr>
            <w:tcW w:w="1309" w:type="dxa"/>
          </w:tcPr>
          <w:p w14:paraId="345D273A" w14:textId="3A8D56A2" w:rsidR="002E566F" w:rsidRPr="00423297" w:rsidRDefault="008C5819" w:rsidP="00CE5521">
            <w:pPr>
              <w:pStyle w:val="tbltext"/>
              <w:jc w:val="right"/>
            </w:pPr>
            <w:r w:rsidRPr="00423297">
              <w:t>5.8</w:t>
            </w:r>
            <w:r w:rsidR="002E566F" w:rsidRPr="00423297">
              <w:t>%</w:t>
            </w:r>
          </w:p>
        </w:tc>
      </w:tr>
      <w:tr w:rsidR="008C5819" w:rsidRPr="00423297" w14:paraId="4A1E5014" w14:textId="77777777" w:rsidTr="0027762E">
        <w:trPr>
          <w:cantSplit/>
        </w:trPr>
        <w:tc>
          <w:tcPr>
            <w:tcW w:w="4395" w:type="dxa"/>
          </w:tcPr>
          <w:p w14:paraId="1AFA6246" w14:textId="0A015305" w:rsidR="008C5819" w:rsidRPr="00423297" w:rsidRDefault="008C5819" w:rsidP="00CE5521">
            <w:pPr>
              <w:pStyle w:val="tbltext"/>
            </w:pPr>
            <w:r w:rsidRPr="00423297">
              <w:t>Affordability and/or cost</w:t>
            </w:r>
          </w:p>
        </w:tc>
        <w:tc>
          <w:tcPr>
            <w:tcW w:w="992" w:type="dxa"/>
          </w:tcPr>
          <w:p w14:paraId="1298CCEE" w14:textId="2F1EEF46" w:rsidR="008C5819" w:rsidRPr="00423297" w:rsidRDefault="008C5819" w:rsidP="00CE5521">
            <w:pPr>
              <w:pStyle w:val="tbltext"/>
              <w:jc w:val="right"/>
            </w:pPr>
            <w:r w:rsidRPr="00423297">
              <w:t>10</w:t>
            </w:r>
          </w:p>
        </w:tc>
        <w:tc>
          <w:tcPr>
            <w:tcW w:w="1309" w:type="dxa"/>
          </w:tcPr>
          <w:p w14:paraId="0AFA9477" w14:textId="7CFB2E06" w:rsidR="008C5819" w:rsidRPr="00423297" w:rsidDel="00BF2F70" w:rsidRDefault="008C5819" w:rsidP="00CE5521">
            <w:pPr>
              <w:pStyle w:val="tbltext"/>
              <w:jc w:val="right"/>
            </w:pPr>
            <w:r w:rsidRPr="00423297">
              <w:t>5.3%</w:t>
            </w:r>
          </w:p>
        </w:tc>
      </w:tr>
      <w:tr w:rsidR="002E566F" w:rsidRPr="00423297" w14:paraId="0F58CAAB" w14:textId="77777777" w:rsidTr="0027762E">
        <w:trPr>
          <w:cantSplit/>
        </w:trPr>
        <w:tc>
          <w:tcPr>
            <w:tcW w:w="4395" w:type="dxa"/>
          </w:tcPr>
          <w:p w14:paraId="5E36A3BE" w14:textId="77777777" w:rsidR="002E566F" w:rsidRPr="00423297" w:rsidRDefault="002E566F" w:rsidP="00CE5521">
            <w:pPr>
              <w:pStyle w:val="tbltext"/>
            </w:pPr>
            <w:r w:rsidRPr="00423297">
              <w:t>Responsible lending</w:t>
            </w:r>
          </w:p>
        </w:tc>
        <w:tc>
          <w:tcPr>
            <w:tcW w:w="992" w:type="dxa"/>
          </w:tcPr>
          <w:p w14:paraId="713485AA" w14:textId="77777777" w:rsidR="002E566F" w:rsidRPr="00423297" w:rsidRDefault="002E566F" w:rsidP="00CE5521">
            <w:pPr>
              <w:pStyle w:val="tbltext"/>
              <w:jc w:val="right"/>
            </w:pPr>
            <w:r w:rsidRPr="00423297">
              <w:t>9</w:t>
            </w:r>
          </w:p>
        </w:tc>
        <w:tc>
          <w:tcPr>
            <w:tcW w:w="1309" w:type="dxa"/>
          </w:tcPr>
          <w:p w14:paraId="06F8BC34" w14:textId="7242A75B" w:rsidR="002E566F" w:rsidRPr="00423297" w:rsidRDefault="008C5819" w:rsidP="00CE5521">
            <w:pPr>
              <w:pStyle w:val="tbltext"/>
              <w:jc w:val="right"/>
            </w:pPr>
            <w:r w:rsidRPr="00423297">
              <w:t>4.8</w:t>
            </w:r>
            <w:r w:rsidR="002E566F" w:rsidRPr="00423297">
              <w:t>%</w:t>
            </w:r>
          </w:p>
        </w:tc>
      </w:tr>
      <w:tr w:rsidR="00A35FC4" w:rsidRPr="00423297" w14:paraId="0B33D3D5" w14:textId="77777777" w:rsidTr="0027762E">
        <w:trPr>
          <w:cantSplit/>
        </w:trPr>
        <w:tc>
          <w:tcPr>
            <w:tcW w:w="4395" w:type="dxa"/>
          </w:tcPr>
          <w:p w14:paraId="0FD10731" w14:textId="77777777" w:rsidR="00A35FC4" w:rsidRPr="00423297" w:rsidRDefault="00A35FC4" w:rsidP="00581912">
            <w:pPr>
              <w:pStyle w:val="tbltext"/>
            </w:pPr>
            <w:r w:rsidRPr="00423297">
              <w:t>Cooling-off rights</w:t>
            </w:r>
          </w:p>
        </w:tc>
        <w:tc>
          <w:tcPr>
            <w:tcW w:w="992" w:type="dxa"/>
          </w:tcPr>
          <w:p w14:paraId="610DA3D6" w14:textId="09F74A2D" w:rsidR="00A35FC4" w:rsidRPr="00423297" w:rsidRDefault="00412EC4" w:rsidP="00581912">
            <w:pPr>
              <w:pStyle w:val="tbltext"/>
              <w:jc w:val="right"/>
            </w:pPr>
            <w:r w:rsidRPr="00423297">
              <w:t>9</w:t>
            </w:r>
          </w:p>
        </w:tc>
        <w:tc>
          <w:tcPr>
            <w:tcW w:w="1309" w:type="dxa"/>
          </w:tcPr>
          <w:p w14:paraId="63533C0E" w14:textId="6F9F6DE1" w:rsidR="00A35FC4" w:rsidRPr="00423297" w:rsidRDefault="008C5819" w:rsidP="00581912">
            <w:pPr>
              <w:pStyle w:val="tbltext"/>
              <w:jc w:val="right"/>
            </w:pPr>
            <w:r w:rsidRPr="00423297">
              <w:t>4.8</w:t>
            </w:r>
            <w:r w:rsidR="00A35FC4" w:rsidRPr="00423297">
              <w:t>%</w:t>
            </w:r>
          </w:p>
        </w:tc>
      </w:tr>
      <w:tr w:rsidR="002E566F" w:rsidRPr="00423297" w14:paraId="2A53781C" w14:textId="77777777" w:rsidTr="0027762E">
        <w:trPr>
          <w:cantSplit/>
        </w:trPr>
        <w:tc>
          <w:tcPr>
            <w:tcW w:w="4395" w:type="dxa"/>
          </w:tcPr>
          <w:p w14:paraId="5A9A268D" w14:textId="77777777" w:rsidR="002E566F" w:rsidRPr="00423297" w:rsidRDefault="002E566F" w:rsidP="00CE5521">
            <w:pPr>
              <w:pStyle w:val="tbltext"/>
            </w:pPr>
            <w:r w:rsidRPr="00423297">
              <w:t>Unconscionable conduct</w:t>
            </w:r>
          </w:p>
        </w:tc>
        <w:tc>
          <w:tcPr>
            <w:tcW w:w="992" w:type="dxa"/>
          </w:tcPr>
          <w:p w14:paraId="66C5C949" w14:textId="524756A2" w:rsidR="002E566F" w:rsidRPr="00423297" w:rsidDel="00CF012C" w:rsidRDefault="00412EC4" w:rsidP="00CE5521">
            <w:pPr>
              <w:pStyle w:val="tbltext"/>
              <w:jc w:val="right"/>
            </w:pPr>
            <w:r w:rsidRPr="00423297">
              <w:t>8</w:t>
            </w:r>
          </w:p>
        </w:tc>
        <w:tc>
          <w:tcPr>
            <w:tcW w:w="1309" w:type="dxa"/>
          </w:tcPr>
          <w:p w14:paraId="4CC7DC19" w14:textId="6C4E56A8" w:rsidR="002E566F" w:rsidRPr="00423297" w:rsidRDefault="008C5819" w:rsidP="00CE5521">
            <w:pPr>
              <w:pStyle w:val="tbltext"/>
              <w:jc w:val="right"/>
            </w:pPr>
            <w:r w:rsidRPr="00423297">
              <w:t>4.2</w:t>
            </w:r>
            <w:r w:rsidR="002E566F" w:rsidRPr="00423297">
              <w:t>%</w:t>
            </w:r>
          </w:p>
        </w:tc>
      </w:tr>
      <w:tr w:rsidR="002E566F" w:rsidRPr="00423297" w14:paraId="0F0EEB46" w14:textId="77777777" w:rsidTr="0027762E">
        <w:trPr>
          <w:cantSplit/>
        </w:trPr>
        <w:tc>
          <w:tcPr>
            <w:tcW w:w="4395" w:type="dxa"/>
          </w:tcPr>
          <w:p w14:paraId="5F339985" w14:textId="0C6DC351" w:rsidR="002E566F" w:rsidRPr="00423297" w:rsidRDefault="00EA55EF" w:rsidP="00CE5521">
            <w:pPr>
              <w:pStyle w:val="tbltext"/>
              <w:rPr>
                <w:b/>
              </w:rPr>
            </w:pPr>
            <w:r w:rsidRPr="00423297">
              <w:rPr>
                <w:b/>
              </w:rPr>
              <w:t>Total</w:t>
            </w:r>
          </w:p>
        </w:tc>
        <w:tc>
          <w:tcPr>
            <w:tcW w:w="992" w:type="dxa"/>
          </w:tcPr>
          <w:p w14:paraId="59956ADE" w14:textId="4FFAA047" w:rsidR="002E566F" w:rsidRPr="00423297" w:rsidRDefault="002E566F" w:rsidP="00CE5521">
            <w:pPr>
              <w:pStyle w:val="tbltext"/>
              <w:jc w:val="right"/>
              <w:rPr>
                <w:b/>
              </w:rPr>
            </w:pPr>
            <w:r w:rsidRPr="00423297">
              <w:rPr>
                <w:b/>
              </w:rPr>
              <w:t>1</w:t>
            </w:r>
            <w:r w:rsidR="00412EC4" w:rsidRPr="00423297">
              <w:rPr>
                <w:b/>
              </w:rPr>
              <w:t>89</w:t>
            </w:r>
          </w:p>
        </w:tc>
        <w:tc>
          <w:tcPr>
            <w:tcW w:w="1309" w:type="dxa"/>
          </w:tcPr>
          <w:p w14:paraId="5431A189" w14:textId="5CE39B9C" w:rsidR="002E566F" w:rsidRPr="00423297" w:rsidRDefault="00EA55EF" w:rsidP="00CE5521">
            <w:pPr>
              <w:pStyle w:val="tbltext"/>
              <w:jc w:val="right"/>
              <w:rPr>
                <w:b/>
              </w:rPr>
            </w:pPr>
            <w:r w:rsidRPr="00423297">
              <w:rPr>
                <w:b/>
              </w:rPr>
              <w:t>100%</w:t>
            </w:r>
          </w:p>
        </w:tc>
      </w:tr>
    </w:tbl>
    <w:p w14:paraId="7CBBFA1C" w14:textId="7E9B5996" w:rsidR="004F1CCD" w:rsidRPr="00750CD5" w:rsidRDefault="004F1CCD" w:rsidP="00BD2D27">
      <w:pPr>
        <w:pStyle w:val="BodyText"/>
        <w:rPr>
          <w:spacing w:val="-4"/>
        </w:rPr>
      </w:pPr>
      <w:r w:rsidRPr="00423297">
        <w:t xml:space="preserve">Our review of the current regulatory settings has identified several issues that </w:t>
      </w:r>
      <w:r w:rsidRPr="00750CD5">
        <w:rPr>
          <w:spacing w:val="-4"/>
        </w:rPr>
        <w:t xml:space="preserve">lead to </w:t>
      </w:r>
      <w:r w:rsidR="00AA7698" w:rsidRPr="00750CD5">
        <w:rPr>
          <w:spacing w:val="-4"/>
        </w:rPr>
        <w:t>consumer harm</w:t>
      </w:r>
      <w:r w:rsidRPr="00750CD5">
        <w:rPr>
          <w:spacing w:val="-4"/>
        </w:rPr>
        <w:t xml:space="preserve">. We have outlined the main concerns </w:t>
      </w:r>
      <w:r w:rsidR="001068A7" w:rsidRPr="00750CD5">
        <w:rPr>
          <w:spacing w:val="-4"/>
        </w:rPr>
        <w:t xml:space="preserve">at paragraphs </w:t>
      </w:r>
      <w:r w:rsidR="001068A7" w:rsidRPr="00750CD5">
        <w:rPr>
          <w:spacing w:val="-4"/>
        </w:rPr>
        <w:fldChar w:fldCharType="begin"/>
      </w:r>
      <w:r w:rsidR="001068A7" w:rsidRPr="00750CD5">
        <w:rPr>
          <w:spacing w:val="-4"/>
        </w:rPr>
        <w:instrText xml:space="preserve"> REF _ASICRef824 \w \h </w:instrText>
      </w:r>
      <w:r w:rsidR="00423297" w:rsidRPr="00750CD5">
        <w:rPr>
          <w:spacing w:val="-4"/>
        </w:rPr>
        <w:instrText xml:space="preserve"> \* MERGEFORMAT </w:instrText>
      </w:r>
      <w:r w:rsidR="001068A7" w:rsidRPr="00750CD5">
        <w:rPr>
          <w:spacing w:val="-4"/>
        </w:rPr>
      </w:r>
      <w:r w:rsidR="001068A7" w:rsidRPr="00750CD5">
        <w:rPr>
          <w:spacing w:val="-4"/>
        </w:rPr>
        <w:fldChar w:fldCharType="separate"/>
      </w:r>
      <w:r w:rsidR="00B92808">
        <w:rPr>
          <w:spacing w:val="-4"/>
        </w:rPr>
        <w:t>44</w:t>
      </w:r>
      <w:r w:rsidR="001068A7" w:rsidRPr="00750CD5">
        <w:rPr>
          <w:spacing w:val="-4"/>
        </w:rPr>
        <w:fldChar w:fldCharType="end"/>
      </w:r>
      <w:r w:rsidR="001068A7" w:rsidRPr="00750CD5">
        <w:rPr>
          <w:spacing w:val="-4"/>
        </w:rPr>
        <w:t>–</w:t>
      </w:r>
      <w:r w:rsidR="001068A7" w:rsidRPr="00750CD5">
        <w:rPr>
          <w:spacing w:val="-4"/>
        </w:rPr>
        <w:fldChar w:fldCharType="begin"/>
      </w:r>
      <w:r w:rsidR="001068A7" w:rsidRPr="00750CD5">
        <w:rPr>
          <w:spacing w:val="-4"/>
        </w:rPr>
        <w:instrText xml:space="preserve"> REF _ASICRef589 \w \h </w:instrText>
      </w:r>
      <w:r w:rsidR="00423297" w:rsidRPr="00750CD5">
        <w:rPr>
          <w:spacing w:val="-4"/>
        </w:rPr>
        <w:instrText xml:space="preserve"> \* MERGEFORMAT </w:instrText>
      </w:r>
      <w:r w:rsidR="001068A7" w:rsidRPr="00750CD5">
        <w:rPr>
          <w:spacing w:val="-4"/>
        </w:rPr>
      </w:r>
      <w:r w:rsidR="001068A7" w:rsidRPr="00750CD5">
        <w:rPr>
          <w:spacing w:val="-4"/>
        </w:rPr>
        <w:fldChar w:fldCharType="separate"/>
      </w:r>
      <w:r w:rsidR="00B92808">
        <w:rPr>
          <w:spacing w:val="-4"/>
        </w:rPr>
        <w:t>67</w:t>
      </w:r>
      <w:r w:rsidR="001068A7" w:rsidRPr="00750CD5">
        <w:rPr>
          <w:spacing w:val="-4"/>
        </w:rPr>
        <w:fldChar w:fldCharType="end"/>
      </w:r>
      <w:r w:rsidRPr="00750CD5">
        <w:rPr>
          <w:spacing w:val="-4"/>
        </w:rPr>
        <w:t xml:space="preserve">. </w:t>
      </w:r>
    </w:p>
    <w:p w14:paraId="623054BE" w14:textId="44A4F867" w:rsidR="00F02D12" w:rsidRPr="00423297" w:rsidRDefault="00F02D12" w:rsidP="008250FD">
      <w:pPr>
        <w:pStyle w:val="Heading3"/>
      </w:pPr>
      <w:r w:rsidRPr="00423297">
        <w:t xml:space="preserve">Existing cooling-off </w:t>
      </w:r>
      <w:r w:rsidR="007F6AA4" w:rsidRPr="00423297">
        <w:t>model</w:t>
      </w:r>
    </w:p>
    <w:p w14:paraId="732FED1D" w14:textId="23B6AD3B" w:rsidR="00F02D12" w:rsidRPr="00423297" w:rsidRDefault="00FF68ED" w:rsidP="00D8724F">
      <w:pPr>
        <w:pStyle w:val="BodyText"/>
      </w:pPr>
      <w:bookmarkStart w:id="74" w:name="_ASICRef824"/>
      <w:r w:rsidRPr="00423297">
        <w:t>Consumer complaints and consumer group submissions show that t</w:t>
      </w:r>
      <w:r w:rsidR="00F02D12" w:rsidRPr="00423297">
        <w:t xml:space="preserve">he existing cooling-off </w:t>
      </w:r>
      <w:r w:rsidR="00DD2FD6" w:rsidRPr="00423297">
        <w:t xml:space="preserve">model </w:t>
      </w:r>
      <w:r w:rsidR="00F02D12" w:rsidRPr="00423297">
        <w:t>do</w:t>
      </w:r>
      <w:r w:rsidR="00DD2FD6" w:rsidRPr="00423297">
        <w:t>es</w:t>
      </w:r>
      <w:r w:rsidR="00F02D12" w:rsidRPr="00423297">
        <w:t xml:space="preserve"> not adequately facilitate cooling</w:t>
      </w:r>
      <w:r w:rsidR="006B481F" w:rsidRPr="00423297">
        <w:t xml:space="preserve"> </w:t>
      </w:r>
      <w:r w:rsidR="00F02D12" w:rsidRPr="00423297">
        <w:t xml:space="preserve">off </w:t>
      </w:r>
      <w:r w:rsidR="00203698" w:rsidRPr="00423297">
        <w:t>by consumers or</w:t>
      </w:r>
      <w:r w:rsidR="00F02D12" w:rsidRPr="00423297">
        <w:t xml:space="preserve"> address the issue of pressure-selling</w:t>
      </w:r>
      <w:r w:rsidR="006B481F" w:rsidRPr="00423297">
        <w:t>. This is</w:t>
      </w:r>
      <w:r w:rsidR="00F02D12" w:rsidRPr="00423297">
        <w:t xml:space="preserve"> because: </w:t>
      </w:r>
      <w:bookmarkEnd w:id="74"/>
    </w:p>
    <w:p w14:paraId="686EA683" w14:textId="28C8CA27" w:rsidR="00EA55EF" w:rsidRPr="00423297" w:rsidRDefault="00F02D12" w:rsidP="00D8724F">
      <w:pPr>
        <w:pStyle w:val="subparaa"/>
      </w:pPr>
      <w:r w:rsidRPr="00423297">
        <w:t xml:space="preserve">the template cooling-off statement </w:t>
      </w:r>
      <w:r w:rsidR="00C4773A" w:rsidRPr="00423297">
        <w:t xml:space="preserve">in </w:t>
      </w:r>
      <w:hyperlink r:id="rId18" w:history="1">
        <w:r w:rsidR="00F30D50" w:rsidRPr="00423297">
          <w:rPr>
            <w:rStyle w:val="Hyperlink"/>
          </w:rPr>
          <w:t>Pro Forma 208</w:t>
        </w:r>
      </w:hyperlink>
      <w:r w:rsidR="00F30D50" w:rsidRPr="00423297">
        <w:t xml:space="preserve"> </w:t>
      </w:r>
      <w:r w:rsidR="00F30D50" w:rsidRPr="00423297">
        <w:rPr>
          <w:i/>
        </w:rPr>
        <w:t>Time-sharing schemes: Cooling-off statement</w:t>
      </w:r>
      <w:r w:rsidR="00F30D50" w:rsidRPr="00423297">
        <w:t xml:space="preserve"> </w:t>
      </w:r>
      <w:r w:rsidR="0036442D" w:rsidRPr="00423297">
        <w:t xml:space="preserve">(PF 208) </w:t>
      </w:r>
      <w:r w:rsidRPr="00423297">
        <w:t>is confusing and does not clearly communicate</w:t>
      </w:r>
      <w:r w:rsidR="00EA55EF" w:rsidRPr="00423297">
        <w:t>:</w:t>
      </w:r>
      <w:r w:rsidRPr="00423297">
        <w:t xml:space="preserve"> </w:t>
      </w:r>
    </w:p>
    <w:p w14:paraId="63617604" w14:textId="32120AEF" w:rsidR="00EA55EF" w:rsidRPr="00423297" w:rsidRDefault="00F02D12" w:rsidP="00EA55EF">
      <w:pPr>
        <w:pStyle w:val="subsubparai"/>
      </w:pPr>
      <w:r w:rsidRPr="00423297">
        <w:t>what date the cooling-off period commences or ends</w:t>
      </w:r>
      <w:r w:rsidR="00EA55EF" w:rsidRPr="00423297">
        <w:t>;</w:t>
      </w:r>
      <w:r w:rsidRPr="00423297">
        <w:t xml:space="preserve"> </w:t>
      </w:r>
      <w:r w:rsidR="00EA55EF" w:rsidRPr="00423297">
        <w:t>or</w:t>
      </w:r>
      <w:r w:rsidRPr="00423297">
        <w:t xml:space="preserve"> </w:t>
      </w:r>
    </w:p>
    <w:p w14:paraId="10A8678D" w14:textId="3471F1FF" w:rsidR="00F02D12" w:rsidRPr="00423297" w:rsidRDefault="00F02D12" w:rsidP="00953431">
      <w:pPr>
        <w:pStyle w:val="subsubparai"/>
      </w:pPr>
      <w:r w:rsidRPr="00423297">
        <w:lastRenderedPageBreak/>
        <w:t>how a consumer should exercise their rights;</w:t>
      </w:r>
    </w:p>
    <w:p w14:paraId="45A0E977" w14:textId="0A264AA4" w:rsidR="00DF23C4" w:rsidRPr="00423297" w:rsidRDefault="009C1EE2" w:rsidP="00D8724F">
      <w:pPr>
        <w:pStyle w:val="subparaa"/>
      </w:pPr>
      <w:r w:rsidRPr="00423297">
        <w:t xml:space="preserve">existing </w:t>
      </w:r>
      <w:r w:rsidR="00A35FC4" w:rsidRPr="00423297">
        <w:t>cooling-</w:t>
      </w:r>
      <w:r w:rsidRPr="00423297">
        <w:t xml:space="preserve">off methods hamper </w:t>
      </w:r>
      <w:r w:rsidR="00DF23C4" w:rsidRPr="00423297">
        <w:t xml:space="preserve">consumers exercising </w:t>
      </w:r>
      <w:r w:rsidR="00A94CC4" w:rsidRPr="00423297">
        <w:t xml:space="preserve">their </w:t>
      </w:r>
      <w:r w:rsidR="00DF23C4" w:rsidRPr="00423297">
        <w:t>cooling-off rights;</w:t>
      </w:r>
    </w:p>
    <w:p w14:paraId="279942FF" w14:textId="0E3EFCC8" w:rsidR="00F02D12" w:rsidRPr="00423297" w:rsidRDefault="00DF23C4" w:rsidP="00D8724F">
      <w:pPr>
        <w:pStyle w:val="subparaa"/>
      </w:pPr>
      <w:r w:rsidRPr="00423297">
        <w:t xml:space="preserve">consumers </w:t>
      </w:r>
      <w:r w:rsidR="00F22122" w:rsidRPr="00423297">
        <w:t>may</w:t>
      </w:r>
      <w:r w:rsidRPr="00423297">
        <w:t xml:space="preserve"> </w:t>
      </w:r>
      <w:r w:rsidR="00F02D12" w:rsidRPr="00423297">
        <w:t>have limited literacy skills;</w:t>
      </w:r>
      <w:r w:rsidR="00203698" w:rsidRPr="00423297">
        <w:t xml:space="preserve"> and</w:t>
      </w:r>
    </w:p>
    <w:p w14:paraId="1DC87A74" w14:textId="77777777" w:rsidR="00A94CC4" w:rsidRPr="00423297" w:rsidRDefault="00F02D12" w:rsidP="00D8724F">
      <w:pPr>
        <w:pStyle w:val="subparaa"/>
      </w:pPr>
      <w:r w:rsidRPr="00423297">
        <w:t xml:space="preserve">the cooling-off period is </w:t>
      </w:r>
      <w:r w:rsidR="009C1EE2" w:rsidRPr="00423297">
        <w:t>not long enough to allow consumers to properly consider their application</w:t>
      </w:r>
      <w:r w:rsidR="00965617" w:rsidRPr="00423297">
        <w:t>,</w:t>
      </w:r>
      <w:r w:rsidRPr="00423297">
        <w:t xml:space="preserve"> especially for consumers who</w:t>
      </w:r>
      <w:r w:rsidR="00A94CC4" w:rsidRPr="00423297">
        <w:t>:</w:t>
      </w:r>
      <w:r w:rsidRPr="00423297">
        <w:t xml:space="preserve"> </w:t>
      </w:r>
    </w:p>
    <w:p w14:paraId="6FB32C94" w14:textId="29E3201B" w:rsidR="00A94CC4" w:rsidRPr="00423297" w:rsidRDefault="00F02D12" w:rsidP="00A94CC4">
      <w:pPr>
        <w:pStyle w:val="subsubparai"/>
      </w:pPr>
      <w:r w:rsidRPr="00423297">
        <w:t>are on holiday and not at their usual residence</w:t>
      </w:r>
      <w:r w:rsidR="00A94CC4" w:rsidRPr="00423297">
        <w:t>;</w:t>
      </w:r>
      <w:r w:rsidRPr="00423297">
        <w:t xml:space="preserve"> or </w:t>
      </w:r>
    </w:p>
    <w:p w14:paraId="3DAC0202" w14:textId="5ADA712E" w:rsidR="00F02D12" w:rsidRPr="00423297" w:rsidRDefault="00F02D12" w:rsidP="00953431">
      <w:pPr>
        <w:pStyle w:val="subsubparai"/>
      </w:pPr>
      <w:proofErr w:type="gramStart"/>
      <w:r w:rsidRPr="00423297">
        <w:t>have</w:t>
      </w:r>
      <w:proofErr w:type="gramEnd"/>
      <w:r w:rsidRPr="00423297">
        <w:t xml:space="preserve"> finance applications pending and may not receive an offer of finance until after the end of the </w:t>
      </w:r>
      <w:r w:rsidR="00A35FC4" w:rsidRPr="00423297">
        <w:t>cooling-</w:t>
      </w:r>
      <w:r w:rsidRPr="00423297">
        <w:t>off period</w:t>
      </w:r>
      <w:r w:rsidR="006C4BFD" w:rsidRPr="00423297">
        <w:t xml:space="preserve"> under the </w:t>
      </w:r>
      <w:r w:rsidR="00DD2FD6" w:rsidRPr="00423297">
        <w:t>existing</w:t>
      </w:r>
      <w:r w:rsidR="006C4BFD" w:rsidRPr="00423297">
        <w:t xml:space="preserve"> cooling-off model</w:t>
      </w:r>
      <w:r w:rsidRPr="00423297">
        <w:t>.</w:t>
      </w:r>
    </w:p>
    <w:p w14:paraId="0EB1EE86" w14:textId="2199DCD1" w:rsidR="00FF68ED" w:rsidRPr="00423297" w:rsidRDefault="006E01B3" w:rsidP="00B17DA7">
      <w:pPr>
        <w:pStyle w:val="Note"/>
      </w:pPr>
      <w:r w:rsidRPr="00423297">
        <w:t xml:space="preserve">Note: Industry </w:t>
      </w:r>
      <w:r w:rsidR="00AC0D9E" w:rsidRPr="00423297">
        <w:t>made submissions that PF 208 is confusing</w:t>
      </w:r>
      <w:r w:rsidR="006B481F" w:rsidRPr="00423297">
        <w:t>.</w:t>
      </w:r>
      <w:r w:rsidR="00AC0D9E" w:rsidRPr="00423297">
        <w:t xml:space="preserve"> </w:t>
      </w:r>
      <w:r w:rsidR="006B481F" w:rsidRPr="00423297">
        <w:t>They</w:t>
      </w:r>
      <w:r w:rsidR="00AC0D9E" w:rsidRPr="00423297">
        <w:t xml:space="preserve"> </w:t>
      </w:r>
      <w:r w:rsidRPr="00423297">
        <w:t>supported proposals to amend the content of the cooling-off statement and provide additional methods of cooling</w:t>
      </w:r>
      <w:r w:rsidR="006B481F" w:rsidRPr="00423297">
        <w:t xml:space="preserve"> </w:t>
      </w:r>
      <w:r w:rsidRPr="00423297">
        <w:t>off</w:t>
      </w:r>
      <w:r w:rsidR="006B481F" w:rsidRPr="00423297">
        <w:t>,</w:t>
      </w:r>
      <w:r w:rsidRPr="00423297">
        <w:t xml:space="preserve"> but did not support changing the length of the period</w:t>
      </w:r>
      <w:r w:rsidR="008E6BCD" w:rsidRPr="00423297">
        <w:t>.</w:t>
      </w:r>
    </w:p>
    <w:p w14:paraId="2906391A" w14:textId="40B584BC" w:rsidR="008E6719" w:rsidRPr="00423297" w:rsidRDefault="009814D5" w:rsidP="008E6719">
      <w:pPr>
        <w:pStyle w:val="BodyText"/>
      </w:pPr>
      <w:r w:rsidRPr="00423297">
        <w:t>The consumer research</w:t>
      </w:r>
      <w:r w:rsidR="003A17EB" w:rsidRPr="00423297">
        <w:t xml:space="preserve"> </w:t>
      </w:r>
      <w:r w:rsidR="00ED5084" w:rsidRPr="00423297">
        <w:t xml:space="preserve">made similar findings about the </w:t>
      </w:r>
      <w:r w:rsidR="00982163" w:rsidRPr="00423297">
        <w:t>cooling-off period</w:t>
      </w:r>
      <w:r w:rsidR="003B0479" w:rsidRPr="00423297">
        <w:t>.</w:t>
      </w:r>
      <w:r w:rsidR="00982163" w:rsidRPr="00423297">
        <w:t xml:space="preserve"> </w:t>
      </w:r>
      <w:r w:rsidR="003B0479" w:rsidRPr="00423297">
        <w:t>It</w:t>
      </w:r>
      <w:r w:rsidR="00982163" w:rsidRPr="00423297">
        <w:t xml:space="preserve"> also found that </w:t>
      </w:r>
      <w:r w:rsidRPr="00423297">
        <w:t>participants</w:t>
      </w:r>
      <w:r w:rsidR="00982163" w:rsidRPr="00423297">
        <w:t xml:space="preserve"> </w:t>
      </w:r>
      <w:r w:rsidRPr="00423297">
        <w:t>did</w:t>
      </w:r>
      <w:r w:rsidR="00982163" w:rsidRPr="00423297">
        <w:t xml:space="preserve"> not exercise their cooling-off rights</w:t>
      </w:r>
      <w:r w:rsidRPr="00423297">
        <w:t xml:space="preserve"> because they</w:t>
      </w:r>
      <w:r w:rsidR="008E6719" w:rsidRPr="00423297">
        <w:t xml:space="preserve">: </w:t>
      </w:r>
    </w:p>
    <w:p w14:paraId="6EF409C2" w14:textId="525C8B36" w:rsidR="008E6719" w:rsidRPr="00423297" w:rsidRDefault="003B0479" w:rsidP="008E6719">
      <w:pPr>
        <w:pStyle w:val="subparaa"/>
      </w:pPr>
      <w:r w:rsidRPr="00423297">
        <w:t xml:space="preserve">had no particular reason to go back on their decision during the cooling-off period, either because they </w:t>
      </w:r>
      <w:r w:rsidR="003A17EB" w:rsidRPr="00423297">
        <w:t xml:space="preserve">were in such a positive frame of mind after their purchase or had not had </w:t>
      </w:r>
      <w:r w:rsidR="00AA1D52" w:rsidRPr="00423297">
        <w:t>the</w:t>
      </w:r>
      <w:r w:rsidR="003A17EB" w:rsidRPr="00423297">
        <w:t xml:space="preserve"> opportunity to test their </w:t>
      </w:r>
      <w:r w:rsidR="00982163" w:rsidRPr="00423297">
        <w:t>membership</w:t>
      </w:r>
      <w:r w:rsidR="008E6719" w:rsidRPr="00423297">
        <w:t>;</w:t>
      </w:r>
      <w:r w:rsidRPr="00423297">
        <w:t xml:space="preserve"> and</w:t>
      </w:r>
    </w:p>
    <w:p w14:paraId="7396F4A7" w14:textId="39FFFAFB" w:rsidR="00ED5084" w:rsidRPr="00423297" w:rsidRDefault="003A17EB" w:rsidP="008250FD">
      <w:pPr>
        <w:pStyle w:val="subparaa"/>
      </w:pPr>
      <w:proofErr w:type="gramStart"/>
      <w:r w:rsidRPr="00423297">
        <w:t>did</w:t>
      </w:r>
      <w:proofErr w:type="gramEnd"/>
      <w:r w:rsidRPr="00423297">
        <w:t xml:space="preserve"> not recall being told about the cooling-off period and assumed the period would be significantly longer</w:t>
      </w:r>
      <w:r w:rsidR="003B0479" w:rsidRPr="00423297">
        <w:t>—</w:t>
      </w:r>
      <w:r w:rsidRPr="00423297">
        <w:t xml:space="preserve">see paragraphs 86–88 of </w:t>
      </w:r>
      <w:hyperlink r:id="rId19" w:history="1">
        <w:r w:rsidR="003B0479" w:rsidRPr="00423297">
          <w:rPr>
            <w:rStyle w:val="Hyperlink"/>
          </w:rPr>
          <w:t>REP 642</w:t>
        </w:r>
      </w:hyperlink>
      <w:r w:rsidRPr="00423297">
        <w:t>.</w:t>
      </w:r>
    </w:p>
    <w:p w14:paraId="765CE4C6" w14:textId="0C3082CB" w:rsidR="003A3982" w:rsidRPr="002017E2" w:rsidRDefault="00B51B01" w:rsidP="003A3982">
      <w:pPr>
        <w:pStyle w:val="BodyText"/>
      </w:pPr>
      <w:r>
        <w:t>We are also concerned about t</w:t>
      </w:r>
      <w:r w:rsidR="003A3982" w:rsidRPr="002017E2">
        <w:t xml:space="preserve">he </w:t>
      </w:r>
      <w:r w:rsidR="00A024A8" w:rsidRPr="002017E2">
        <w:t xml:space="preserve">high level </w:t>
      </w:r>
      <w:r w:rsidR="003A3982" w:rsidRPr="002017E2">
        <w:t>of cooling</w:t>
      </w:r>
      <w:r>
        <w:t xml:space="preserve"> </w:t>
      </w:r>
      <w:r w:rsidR="003A3982" w:rsidRPr="002017E2">
        <w:t xml:space="preserve">off and the reasons </w:t>
      </w:r>
      <w:r>
        <w:t xml:space="preserve">members gave </w:t>
      </w:r>
      <w:r w:rsidR="003A3982" w:rsidRPr="002017E2">
        <w:t>for exercising these rights. The consumer research found the most common reasons for cooling</w:t>
      </w:r>
      <w:r>
        <w:t xml:space="preserve"> </w:t>
      </w:r>
      <w:r w:rsidR="003A3982" w:rsidRPr="002017E2">
        <w:t>off that participants reported were:</w:t>
      </w:r>
    </w:p>
    <w:p w14:paraId="37100B13" w14:textId="7D4DB6A7" w:rsidR="003A3982" w:rsidRPr="003A3982" w:rsidRDefault="003A3982" w:rsidP="002A4D2F">
      <w:pPr>
        <w:pStyle w:val="subparaa"/>
      </w:pPr>
      <w:r w:rsidRPr="003A3982">
        <w:t>changes in their personal circumstances (e.g. unexpected redundancy);</w:t>
      </w:r>
    </w:p>
    <w:p w14:paraId="7D85B004" w14:textId="3C166270" w:rsidR="003A3982" w:rsidRPr="003A3982" w:rsidRDefault="003A3982" w:rsidP="002A4D2F">
      <w:pPr>
        <w:pStyle w:val="subparaa"/>
      </w:pPr>
      <w:r w:rsidRPr="005D2967">
        <w:t>changing their mind after</w:t>
      </w:r>
      <w:r w:rsidR="00B51B01">
        <w:t xml:space="preserve"> doing research, or</w:t>
      </w:r>
      <w:r w:rsidRPr="005D2967">
        <w:t xml:space="preserve"> obtaining further information or advice from family members or friends; and</w:t>
      </w:r>
    </w:p>
    <w:p w14:paraId="084F0DE5" w14:textId="2C4C4D98" w:rsidR="00A024A8" w:rsidRPr="00096565" w:rsidRDefault="003A3982" w:rsidP="002A4D2F">
      <w:pPr>
        <w:pStyle w:val="subparaa"/>
      </w:pPr>
      <w:r w:rsidRPr="003114FB">
        <w:t xml:space="preserve">in some cases, knowing at the </w:t>
      </w:r>
      <w:r w:rsidRPr="00096565">
        <w:t xml:space="preserve">time they signed up that they did not want a membership, but signing up on the day partly to avoid the pressure or awkwardness of leaving the sales presentation without making a purchase—see paragraph 91 of </w:t>
      </w:r>
      <w:hyperlink r:id="rId20" w:history="1">
        <w:r w:rsidRPr="00096565">
          <w:rPr>
            <w:rStyle w:val="Hyperlink"/>
          </w:rPr>
          <w:t>REP 642</w:t>
        </w:r>
      </w:hyperlink>
      <w:r w:rsidRPr="00096565">
        <w:t>.</w:t>
      </w:r>
    </w:p>
    <w:p w14:paraId="65F6C434" w14:textId="3C7AFC66" w:rsidR="00673CB4" w:rsidRPr="00423297" w:rsidRDefault="00D61E78" w:rsidP="00FD6341">
      <w:pPr>
        <w:pStyle w:val="Heading3"/>
      </w:pPr>
      <w:r>
        <w:t>‘</w:t>
      </w:r>
      <w:r w:rsidR="00673CB4" w:rsidRPr="00423297">
        <w:t>Subject to finance</w:t>
      </w:r>
      <w:r>
        <w:t>’</w:t>
      </w:r>
      <w:r w:rsidR="00673CB4" w:rsidRPr="00423297">
        <w:t xml:space="preserve"> rights</w:t>
      </w:r>
    </w:p>
    <w:p w14:paraId="6FAB1E1F" w14:textId="761AED93" w:rsidR="00A94CC4" w:rsidRPr="00423297" w:rsidRDefault="00B0257D" w:rsidP="00D8724F">
      <w:pPr>
        <w:pStyle w:val="BodyText"/>
      </w:pPr>
      <w:r w:rsidRPr="00423297">
        <w:t xml:space="preserve">The existing regulatory settings do not allow for consumers </w:t>
      </w:r>
      <w:r w:rsidR="00DC4BF8" w:rsidRPr="00423297">
        <w:t xml:space="preserve">who have been refused finance </w:t>
      </w:r>
      <w:r w:rsidRPr="00423297">
        <w:t xml:space="preserve">to </w:t>
      </w:r>
      <w:r w:rsidR="00F316AB" w:rsidRPr="00423297">
        <w:t xml:space="preserve">exit </w:t>
      </w:r>
      <w:r w:rsidR="00A94CC4" w:rsidRPr="00423297">
        <w:t xml:space="preserve">the </w:t>
      </w:r>
      <w:r w:rsidR="00F316AB" w:rsidRPr="00423297">
        <w:t>time-shar</w:t>
      </w:r>
      <w:r w:rsidR="00A94CC4" w:rsidRPr="00423297">
        <w:t>ing scheme</w:t>
      </w:r>
      <w:r w:rsidRPr="00423297">
        <w:t xml:space="preserve"> </w:t>
      </w:r>
      <w:r w:rsidR="00A94CC4" w:rsidRPr="00423297">
        <w:t>after</w:t>
      </w:r>
      <w:r w:rsidRPr="00423297">
        <w:t xml:space="preserve"> the cooling-off period</w:t>
      </w:r>
      <w:r w:rsidR="00BA5227" w:rsidRPr="00423297">
        <w:t xml:space="preserve"> </w:t>
      </w:r>
      <w:r w:rsidR="00A94CC4" w:rsidRPr="00423297">
        <w:t xml:space="preserve">has ended, </w:t>
      </w:r>
      <w:r w:rsidR="00BA5227" w:rsidRPr="00423297">
        <w:t>other than by forfeiture</w:t>
      </w:r>
      <w:r w:rsidRPr="00423297">
        <w:t xml:space="preserve">. </w:t>
      </w:r>
    </w:p>
    <w:p w14:paraId="1E594B2D" w14:textId="45E5C6E3" w:rsidR="00B0257D" w:rsidRPr="00423297" w:rsidRDefault="00EF2618" w:rsidP="00D8724F">
      <w:pPr>
        <w:pStyle w:val="BodyText"/>
      </w:pPr>
      <w:r w:rsidRPr="00423297">
        <w:lastRenderedPageBreak/>
        <w:t>O</w:t>
      </w:r>
      <w:r w:rsidR="004032CE" w:rsidRPr="00423297">
        <w:t xml:space="preserve">perators </w:t>
      </w:r>
      <w:r w:rsidR="006B481F" w:rsidRPr="00423297">
        <w:t>that</w:t>
      </w:r>
      <w:r w:rsidR="007749AA" w:rsidRPr="00423297">
        <w:t xml:space="preserve"> </w:t>
      </w:r>
      <w:r w:rsidR="00DF23C4" w:rsidRPr="00423297">
        <w:t>show leniency and understanding</w:t>
      </w:r>
      <w:r w:rsidR="00B0257D" w:rsidRPr="00423297">
        <w:t xml:space="preserve"> </w:t>
      </w:r>
      <w:r w:rsidR="00DF23C4" w:rsidRPr="00423297">
        <w:t xml:space="preserve">to </w:t>
      </w:r>
      <w:r w:rsidR="00A1766A" w:rsidRPr="00423297">
        <w:t xml:space="preserve">these </w:t>
      </w:r>
      <w:r w:rsidR="00DF23C4" w:rsidRPr="00423297">
        <w:t>consumers</w:t>
      </w:r>
      <w:r w:rsidR="006B481F" w:rsidRPr="00423297">
        <w:t>,</w:t>
      </w:r>
      <w:r w:rsidR="00B1605E" w:rsidRPr="00423297">
        <w:t xml:space="preserve"> </w:t>
      </w:r>
      <w:r w:rsidR="00D87E16" w:rsidRPr="00423297">
        <w:t xml:space="preserve">by </w:t>
      </w:r>
      <w:r w:rsidR="00B1605E" w:rsidRPr="00423297">
        <w:t>provid</w:t>
      </w:r>
      <w:r w:rsidR="00D87E16" w:rsidRPr="00423297">
        <w:t>ing</w:t>
      </w:r>
      <w:r w:rsidR="00B1605E" w:rsidRPr="00423297">
        <w:t xml:space="preserve"> </w:t>
      </w:r>
      <w:r w:rsidR="00B0257D" w:rsidRPr="00423297">
        <w:t xml:space="preserve">informal </w:t>
      </w:r>
      <w:r w:rsidR="00D61E78">
        <w:t>‘</w:t>
      </w:r>
      <w:r w:rsidR="00B0257D" w:rsidRPr="00423297">
        <w:t>subject to finance</w:t>
      </w:r>
      <w:r w:rsidR="00D61E78">
        <w:t>’</w:t>
      </w:r>
      <w:r w:rsidR="00B0257D" w:rsidRPr="00423297">
        <w:t xml:space="preserve"> arrangements</w:t>
      </w:r>
      <w:bookmarkStart w:id="75" w:name="_Hlk38371827"/>
      <w:r w:rsidR="006B481F" w:rsidRPr="00423297">
        <w:t>,</w:t>
      </w:r>
      <w:r w:rsidR="00B0257D" w:rsidRPr="00423297">
        <w:t xml:space="preserve"> may be breach</w:t>
      </w:r>
      <w:r w:rsidR="00A94CC4" w:rsidRPr="00423297">
        <w:t>ing</w:t>
      </w:r>
      <w:r w:rsidR="00B0257D" w:rsidRPr="00423297">
        <w:t xml:space="preserve"> </w:t>
      </w:r>
      <w:r w:rsidR="00A1766A" w:rsidRPr="00423297">
        <w:t xml:space="preserve">the </w:t>
      </w:r>
      <w:r w:rsidR="00A1766A" w:rsidRPr="00801EE2">
        <w:rPr>
          <w:spacing w:val="-4"/>
        </w:rPr>
        <w:t xml:space="preserve">constitution </w:t>
      </w:r>
      <w:r w:rsidR="00A94CC4" w:rsidRPr="00801EE2">
        <w:rPr>
          <w:spacing w:val="-4"/>
        </w:rPr>
        <w:t>of</w:t>
      </w:r>
      <w:r w:rsidR="00A1766A" w:rsidRPr="00801EE2">
        <w:rPr>
          <w:spacing w:val="-4"/>
        </w:rPr>
        <w:t xml:space="preserve"> the scheme and </w:t>
      </w:r>
      <w:r w:rsidR="00B0257D" w:rsidRPr="00801EE2">
        <w:rPr>
          <w:spacing w:val="-4"/>
        </w:rPr>
        <w:t>their obligations to other members or the scheme.</w:t>
      </w:r>
      <w:bookmarkEnd w:id="75"/>
      <w:r w:rsidR="00A1766A" w:rsidRPr="00801EE2">
        <w:rPr>
          <w:spacing w:val="-4"/>
        </w:rPr>
        <w:t xml:space="preserve"> </w:t>
      </w:r>
    </w:p>
    <w:p w14:paraId="70FF6326" w14:textId="08D43989" w:rsidR="00A94CC4" w:rsidRPr="00423297" w:rsidRDefault="00A94CC4" w:rsidP="00953431">
      <w:pPr>
        <w:pStyle w:val="Note"/>
      </w:pPr>
      <w:r w:rsidRPr="00423297">
        <w:t xml:space="preserve">Note: For example, the obligations under </w:t>
      </w:r>
      <w:proofErr w:type="gramStart"/>
      <w:r w:rsidRPr="00423297">
        <w:t>s601FB(</w:t>
      </w:r>
      <w:proofErr w:type="gramEnd"/>
      <w:r w:rsidRPr="00423297">
        <w:t>1), 601FC(1)(b)</w:t>
      </w:r>
      <w:r w:rsidR="001875E7" w:rsidRPr="00423297">
        <w:t>–</w:t>
      </w:r>
      <w:r w:rsidRPr="00423297">
        <w:t>(d) and 601FC(1)(k) of the Corporations Act.</w:t>
      </w:r>
    </w:p>
    <w:p w14:paraId="64AE26AC" w14:textId="77777777" w:rsidR="004665F0" w:rsidRPr="00423297" w:rsidRDefault="00E62548" w:rsidP="00BD45B4">
      <w:pPr>
        <w:pStyle w:val="BodyText"/>
        <w:keepNext/>
      </w:pPr>
      <w:r w:rsidRPr="00423297">
        <w:t>The selling practices used by the industry</w:t>
      </w:r>
      <w:r w:rsidR="004665F0" w:rsidRPr="00423297">
        <w:t>:</w:t>
      </w:r>
      <w:r w:rsidRPr="00423297">
        <w:t xml:space="preserve"> </w:t>
      </w:r>
    </w:p>
    <w:p w14:paraId="391A6413" w14:textId="0E6B9B78" w:rsidR="004665F0" w:rsidRPr="00423297" w:rsidRDefault="00E62548" w:rsidP="004665F0">
      <w:pPr>
        <w:pStyle w:val="subparaa"/>
      </w:pPr>
      <w:r w:rsidRPr="00423297">
        <w:t xml:space="preserve">pressure consumers to make same-day purchases </w:t>
      </w:r>
      <w:r w:rsidR="004E4E3B" w:rsidRPr="00423297">
        <w:t>of interests in time-sharing schemes</w:t>
      </w:r>
      <w:r w:rsidR="004665F0" w:rsidRPr="00423297">
        <w:t>;</w:t>
      </w:r>
    </w:p>
    <w:p w14:paraId="4A24C0D4" w14:textId="6C5233D6" w:rsidR="004665F0" w:rsidRPr="00423297" w:rsidRDefault="00E62548" w:rsidP="004665F0">
      <w:pPr>
        <w:pStyle w:val="subparaa"/>
      </w:pPr>
      <w:r w:rsidRPr="00423297">
        <w:t xml:space="preserve">facilitate this </w:t>
      </w:r>
      <w:r w:rsidR="004665F0" w:rsidRPr="00423297">
        <w:t xml:space="preserve">same-day sale </w:t>
      </w:r>
      <w:r w:rsidRPr="00423297">
        <w:t xml:space="preserve">process by </w:t>
      </w:r>
      <w:r w:rsidR="004665F0" w:rsidRPr="00423297">
        <w:t>having</w:t>
      </w:r>
      <w:r w:rsidRPr="00423297">
        <w:t xml:space="preserve"> related finance providers available at sales presentations</w:t>
      </w:r>
      <w:r w:rsidR="004665F0" w:rsidRPr="00423297">
        <w:t>; and</w:t>
      </w:r>
    </w:p>
    <w:p w14:paraId="45270E02" w14:textId="11146DEE" w:rsidR="004E4E3B" w:rsidRPr="00423297" w:rsidRDefault="004665F0" w:rsidP="00C31F0F">
      <w:pPr>
        <w:pStyle w:val="subparaa"/>
      </w:pPr>
      <w:proofErr w:type="gramStart"/>
      <w:r w:rsidRPr="00423297">
        <w:t>result</w:t>
      </w:r>
      <w:proofErr w:type="gramEnd"/>
      <w:r w:rsidR="002B4D57" w:rsidRPr="00423297">
        <w:t xml:space="preserve"> in </w:t>
      </w:r>
      <w:r w:rsidR="008E6BCD" w:rsidRPr="00423297">
        <w:t xml:space="preserve">the financing of </w:t>
      </w:r>
      <w:r w:rsidR="002B4D57" w:rsidRPr="00423297">
        <w:t>almost half of all sales</w:t>
      </w:r>
      <w:r w:rsidRPr="00423297">
        <w:t xml:space="preserve">, </w:t>
      </w:r>
      <w:r w:rsidR="00F15994" w:rsidRPr="00423297">
        <w:t xml:space="preserve">with loans </w:t>
      </w:r>
      <w:r w:rsidRPr="00423297">
        <w:t>provided by related finance providers</w:t>
      </w:r>
      <w:r w:rsidR="002B4D57" w:rsidRPr="00423297">
        <w:t>.</w:t>
      </w:r>
    </w:p>
    <w:p w14:paraId="53F268D2" w14:textId="1AE1C162" w:rsidR="008E6BCD" w:rsidRPr="00423297" w:rsidRDefault="00E62548" w:rsidP="002B4D57">
      <w:pPr>
        <w:pStyle w:val="BodyText"/>
      </w:pPr>
      <w:bookmarkStart w:id="76" w:name="_Hlk42018996"/>
      <w:r w:rsidRPr="00423297">
        <w:t xml:space="preserve">Formal </w:t>
      </w:r>
      <w:r w:rsidR="00D61E78">
        <w:t>‘</w:t>
      </w:r>
      <w:r w:rsidRPr="00423297">
        <w:t>subject to finance</w:t>
      </w:r>
      <w:r w:rsidR="00D61E78">
        <w:t>’</w:t>
      </w:r>
      <w:r w:rsidRPr="00423297">
        <w:t xml:space="preserve"> rights </w:t>
      </w:r>
      <w:r w:rsidR="004E4E3B" w:rsidRPr="00423297">
        <w:t>protect consumers</w:t>
      </w:r>
      <w:r w:rsidR="002B4D57" w:rsidRPr="00423297">
        <w:t xml:space="preserve"> by</w:t>
      </w:r>
      <w:r w:rsidR="001E526D" w:rsidRPr="00423297">
        <w:t xml:space="preserve"> providing consumers with the right</w:t>
      </w:r>
      <w:r w:rsidR="00F15994" w:rsidRPr="00423297">
        <w:t>s to</w:t>
      </w:r>
      <w:r w:rsidR="008E6BCD" w:rsidRPr="00423297">
        <w:t>:</w:t>
      </w:r>
    </w:p>
    <w:p w14:paraId="3288FB0E" w14:textId="2A233E2D" w:rsidR="008E6BCD" w:rsidRPr="00423297" w:rsidRDefault="002B4D57" w:rsidP="008E6BCD">
      <w:pPr>
        <w:pStyle w:val="subparaa"/>
      </w:pPr>
      <w:r w:rsidRPr="00423297">
        <w:t>withdraw their application to purchase an interest</w:t>
      </w:r>
      <w:r w:rsidR="008E6BCD" w:rsidRPr="00423297">
        <w:t>, independent of their cooling-off rights;</w:t>
      </w:r>
    </w:p>
    <w:p w14:paraId="201961AB" w14:textId="51380410" w:rsidR="001E526D" w:rsidRPr="00423297" w:rsidRDefault="001E526D" w:rsidP="008E6BCD">
      <w:pPr>
        <w:pStyle w:val="subparaa"/>
      </w:pPr>
      <w:r w:rsidRPr="00423297">
        <w:t>a</w:t>
      </w:r>
      <w:r w:rsidR="002B4D57" w:rsidRPr="00423297">
        <w:t xml:space="preserve"> refund of all finance application fees paid to the related finance provider</w:t>
      </w:r>
      <w:r w:rsidR="007B4B38" w:rsidRPr="00423297">
        <w:t xml:space="preserve"> </w:t>
      </w:r>
      <w:r w:rsidR="002A5E11" w:rsidRPr="00423297">
        <w:t>(</w:t>
      </w:r>
      <w:r w:rsidR="007B4B38" w:rsidRPr="00423297">
        <w:t xml:space="preserve">less </w:t>
      </w:r>
      <w:r w:rsidR="002A5E11" w:rsidRPr="00423297">
        <w:t>any</w:t>
      </w:r>
      <w:r w:rsidR="007B4B38" w:rsidRPr="00423297">
        <w:t xml:space="preserve"> reasonable </w:t>
      </w:r>
      <w:r w:rsidR="002A5E11" w:rsidRPr="00423297">
        <w:t>costs)</w:t>
      </w:r>
      <w:r w:rsidRPr="00423297">
        <w:t>;</w:t>
      </w:r>
      <w:r w:rsidR="008E6BCD" w:rsidRPr="00423297">
        <w:t xml:space="preserve"> and </w:t>
      </w:r>
    </w:p>
    <w:p w14:paraId="55A83F36" w14:textId="3F48FF11" w:rsidR="00E62548" w:rsidRPr="00423297" w:rsidRDefault="001E526D" w:rsidP="00C31F0F">
      <w:pPr>
        <w:pStyle w:val="subparaa"/>
      </w:pPr>
      <w:proofErr w:type="gramStart"/>
      <w:r w:rsidRPr="00423297">
        <w:t>be</w:t>
      </w:r>
      <w:proofErr w:type="gramEnd"/>
      <w:r w:rsidRPr="00423297">
        <w:t xml:space="preserve"> effectively </w:t>
      </w:r>
      <w:r w:rsidR="008E6BCD" w:rsidRPr="00423297">
        <w:t>restor</w:t>
      </w:r>
      <w:r w:rsidRPr="00423297">
        <w:t>ed</w:t>
      </w:r>
      <w:r w:rsidR="008E6BCD" w:rsidRPr="00423297">
        <w:t xml:space="preserve"> to the position they were </w:t>
      </w:r>
      <w:r w:rsidR="00151845" w:rsidRPr="00423297">
        <w:t xml:space="preserve">in </w:t>
      </w:r>
      <w:r w:rsidR="008E6BCD" w:rsidRPr="00423297">
        <w:t xml:space="preserve">before they attended </w:t>
      </w:r>
      <w:r w:rsidR="00F15994" w:rsidRPr="00801EE2">
        <w:rPr>
          <w:spacing w:val="-4"/>
        </w:rPr>
        <w:t xml:space="preserve">the </w:t>
      </w:r>
      <w:r w:rsidR="008E6BCD" w:rsidRPr="00801EE2">
        <w:rPr>
          <w:spacing w:val="-4"/>
        </w:rPr>
        <w:t>sales presentation if they change their mind</w:t>
      </w:r>
      <w:r w:rsidR="00F15994" w:rsidRPr="00801EE2">
        <w:rPr>
          <w:spacing w:val="-4"/>
        </w:rPr>
        <w:t xml:space="preserve"> before the loan is provided</w:t>
      </w:r>
      <w:r w:rsidR="00E62548" w:rsidRPr="00801EE2">
        <w:rPr>
          <w:spacing w:val="-4"/>
        </w:rPr>
        <w:t xml:space="preserve">. </w:t>
      </w:r>
    </w:p>
    <w:bookmarkEnd w:id="76"/>
    <w:p w14:paraId="50AFEA07" w14:textId="62F39CE0" w:rsidR="00FF68ED" w:rsidRPr="00423297" w:rsidRDefault="00AF4ABB" w:rsidP="007749AA">
      <w:pPr>
        <w:pStyle w:val="BodyText"/>
      </w:pPr>
      <w:r w:rsidRPr="00423297">
        <w:t xml:space="preserve">By formalising these rights, we can </w:t>
      </w:r>
      <w:r w:rsidR="002B4D57" w:rsidRPr="00423297">
        <w:t xml:space="preserve">also </w:t>
      </w:r>
      <w:r w:rsidR="00AA31A1" w:rsidRPr="00423297">
        <w:t>provide certainty to</w:t>
      </w:r>
      <w:r w:rsidRPr="00423297">
        <w:t xml:space="preserve"> </w:t>
      </w:r>
      <w:r w:rsidR="001E526D" w:rsidRPr="00423297">
        <w:t>operators and promoters</w:t>
      </w:r>
      <w:r w:rsidRPr="00423297">
        <w:t xml:space="preserve"> </w:t>
      </w:r>
      <w:r w:rsidR="002B4D57" w:rsidRPr="00423297">
        <w:t xml:space="preserve">that extending formal </w:t>
      </w:r>
      <w:r w:rsidR="00D61E78">
        <w:t>‘</w:t>
      </w:r>
      <w:r w:rsidR="002B4D57" w:rsidRPr="00423297">
        <w:t>subject to finance</w:t>
      </w:r>
      <w:r w:rsidR="00D61E78">
        <w:t>’</w:t>
      </w:r>
      <w:r w:rsidR="002B4D57" w:rsidRPr="00423297">
        <w:t xml:space="preserve"> rights </w:t>
      </w:r>
      <w:r w:rsidR="00F15994" w:rsidRPr="00423297">
        <w:t xml:space="preserve">and allowing consumers to withdraw their application after the expiry of the cooling-off </w:t>
      </w:r>
      <w:r w:rsidR="00F15994" w:rsidRPr="00801EE2">
        <w:rPr>
          <w:spacing w:val="-4"/>
        </w:rPr>
        <w:t xml:space="preserve">period </w:t>
      </w:r>
      <w:r w:rsidR="002B4D57" w:rsidRPr="00801EE2">
        <w:rPr>
          <w:spacing w:val="-4"/>
        </w:rPr>
        <w:t xml:space="preserve">will be consistent with </w:t>
      </w:r>
      <w:r w:rsidR="001E526D" w:rsidRPr="00801EE2">
        <w:rPr>
          <w:spacing w:val="-4"/>
        </w:rPr>
        <w:t>their</w:t>
      </w:r>
      <w:r w:rsidR="002B4D57" w:rsidRPr="00801EE2">
        <w:rPr>
          <w:spacing w:val="-4"/>
        </w:rPr>
        <w:t xml:space="preserve"> obligations</w:t>
      </w:r>
      <w:r w:rsidR="009961D8" w:rsidRPr="00801EE2">
        <w:rPr>
          <w:spacing w:val="-4"/>
        </w:rPr>
        <w:t xml:space="preserve"> to other members of the scheme</w:t>
      </w:r>
      <w:r w:rsidR="00D302CA" w:rsidRPr="00801EE2">
        <w:rPr>
          <w:spacing w:val="-4"/>
        </w:rPr>
        <w:t>.</w:t>
      </w:r>
    </w:p>
    <w:p w14:paraId="7A0956C9" w14:textId="77777777" w:rsidR="00F02D12" w:rsidRPr="00423297" w:rsidRDefault="00F02D12" w:rsidP="008250FD">
      <w:pPr>
        <w:pStyle w:val="Heading3"/>
      </w:pPr>
      <w:r w:rsidRPr="00423297">
        <w:t>Existing disclosure arrangements</w:t>
      </w:r>
    </w:p>
    <w:p w14:paraId="324AA847" w14:textId="7818AF49" w:rsidR="00F02D12" w:rsidRPr="00423297" w:rsidRDefault="00F02D12" w:rsidP="00D8724F">
      <w:pPr>
        <w:pStyle w:val="BodyText"/>
      </w:pPr>
      <w:r w:rsidRPr="00423297">
        <w:t>The existing disclosure arrangements do not promote informed decision</w:t>
      </w:r>
      <w:r w:rsidR="00A94CC4" w:rsidRPr="00423297">
        <w:t xml:space="preserve"> </w:t>
      </w:r>
      <w:r w:rsidRPr="00423297">
        <w:t>making by consumers</w:t>
      </w:r>
      <w:r w:rsidR="00A94CC4" w:rsidRPr="00423297">
        <w:t>,</w:t>
      </w:r>
      <w:r w:rsidR="00BA5227" w:rsidRPr="00423297">
        <w:t xml:space="preserve"> </w:t>
      </w:r>
      <w:r w:rsidR="0015611A" w:rsidRPr="00423297">
        <w:t xml:space="preserve">particularly </w:t>
      </w:r>
      <w:r w:rsidR="00A94CC4" w:rsidRPr="00423297">
        <w:t>when</w:t>
      </w:r>
      <w:r w:rsidRPr="00423297">
        <w:t xml:space="preserve"> </w:t>
      </w:r>
      <w:r w:rsidR="0037199B" w:rsidRPr="00423297">
        <w:t>they make</w:t>
      </w:r>
      <w:r w:rsidRPr="00423297">
        <w:t xml:space="preserve"> a same-day purchase</w:t>
      </w:r>
      <w:r w:rsidR="00A94CC4" w:rsidRPr="00423297">
        <w:t>,</w:t>
      </w:r>
      <w:r w:rsidR="00BA5227" w:rsidRPr="00423297">
        <w:t xml:space="preserve"> </w:t>
      </w:r>
      <w:r w:rsidRPr="00423297">
        <w:t>as consumers are not provided with:</w:t>
      </w:r>
    </w:p>
    <w:p w14:paraId="75267080" w14:textId="77777777" w:rsidR="00F02D12" w:rsidRPr="00423297" w:rsidRDefault="00F02D12" w:rsidP="00D8724F">
      <w:pPr>
        <w:pStyle w:val="subparaa"/>
      </w:pPr>
      <w:r w:rsidRPr="00423297">
        <w:t>sufficiently prominent disclosure about the key features;</w:t>
      </w:r>
    </w:p>
    <w:p w14:paraId="5EB6CDFE" w14:textId="38D6E18A" w:rsidR="00F02D12" w:rsidRPr="00423297" w:rsidRDefault="00F02D12" w:rsidP="00D8724F">
      <w:pPr>
        <w:pStyle w:val="subparaa"/>
      </w:pPr>
      <w:r w:rsidRPr="00423297">
        <w:t xml:space="preserve">sufficient opportunity to compare </w:t>
      </w:r>
      <w:r w:rsidR="00413B21" w:rsidRPr="00423297">
        <w:t xml:space="preserve">disclosure </w:t>
      </w:r>
      <w:r w:rsidRPr="00423297">
        <w:t xml:space="preserve">about the key features </w:t>
      </w:r>
      <w:r w:rsidR="003B5FB0" w:rsidRPr="00423297">
        <w:t xml:space="preserve">in the PDS </w:t>
      </w:r>
      <w:r w:rsidRPr="00423297">
        <w:t>against statements made at the sales presentation; and</w:t>
      </w:r>
    </w:p>
    <w:p w14:paraId="0BEA7930" w14:textId="70292933" w:rsidR="00227503" w:rsidRPr="00423297" w:rsidRDefault="00F22122" w:rsidP="00D8724F">
      <w:pPr>
        <w:pStyle w:val="subparaa"/>
      </w:pPr>
      <w:proofErr w:type="gramStart"/>
      <w:r w:rsidRPr="00423297">
        <w:t>sufficiently</w:t>
      </w:r>
      <w:proofErr w:type="gramEnd"/>
      <w:r w:rsidRPr="00423297">
        <w:t xml:space="preserve"> prominent disclosure of </w:t>
      </w:r>
      <w:r w:rsidR="00F02D12" w:rsidRPr="00423297">
        <w:t xml:space="preserve">fees and costs </w:t>
      </w:r>
      <w:r w:rsidR="007A376B" w:rsidRPr="00423297">
        <w:t>in the PDS and periodic disclosure</w:t>
      </w:r>
      <w:r w:rsidR="003E0B07" w:rsidRPr="00423297">
        <w:t xml:space="preserve"> </w:t>
      </w:r>
      <w:r w:rsidR="00F02D12" w:rsidRPr="00423297">
        <w:t xml:space="preserve">that </w:t>
      </w:r>
      <w:r w:rsidR="00227503" w:rsidRPr="00423297">
        <w:t xml:space="preserve">is </w:t>
      </w:r>
      <w:r w:rsidR="00F02D12" w:rsidRPr="00423297">
        <w:t xml:space="preserve">relevant </w:t>
      </w:r>
      <w:r w:rsidR="0037199B" w:rsidRPr="00423297">
        <w:t>to</w:t>
      </w:r>
      <w:r w:rsidR="00F02D12" w:rsidRPr="00423297">
        <w:t xml:space="preserve"> time-shar</w:t>
      </w:r>
      <w:r w:rsidR="003E273D" w:rsidRPr="00423297">
        <w:t>ing schemes</w:t>
      </w:r>
      <w:r w:rsidR="00F02D12" w:rsidRPr="00423297">
        <w:t>.</w:t>
      </w:r>
    </w:p>
    <w:p w14:paraId="761E6DA1" w14:textId="064994F7" w:rsidR="003A17EB" w:rsidRPr="00423297" w:rsidRDefault="009814D5" w:rsidP="008250FD">
      <w:pPr>
        <w:pStyle w:val="BodyText"/>
      </w:pPr>
      <w:r w:rsidRPr="00423297">
        <w:t>The consumer research</w:t>
      </w:r>
      <w:r w:rsidR="003A17EB" w:rsidRPr="00423297">
        <w:t xml:space="preserve"> </w:t>
      </w:r>
      <w:r w:rsidR="00EA2108" w:rsidRPr="00423297">
        <w:t xml:space="preserve">found that </w:t>
      </w:r>
      <w:r w:rsidRPr="00423297">
        <w:t>participants</w:t>
      </w:r>
      <w:r w:rsidR="00EA2108" w:rsidRPr="00423297">
        <w:t xml:space="preserve"> were provided with a very large pack of written information—often after they signed up—containing too much information to review at the time. As a result, the information appeared to confound them and few reported closely </w:t>
      </w:r>
      <w:r w:rsidR="00AA1D52" w:rsidRPr="00423297">
        <w:t>reviewing</w:t>
      </w:r>
      <w:r w:rsidR="00EA2108" w:rsidRPr="00423297">
        <w:t xml:space="preserve"> anything other than the brochures: see paragraph 75 of </w:t>
      </w:r>
      <w:hyperlink r:id="rId21" w:history="1">
        <w:r w:rsidR="002A4D2F" w:rsidRPr="00096565">
          <w:rPr>
            <w:rStyle w:val="Hyperlink"/>
          </w:rPr>
          <w:t>REP 642</w:t>
        </w:r>
      </w:hyperlink>
      <w:r w:rsidR="00EA2108" w:rsidRPr="00423297">
        <w:t xml:space="preserve">. </w:t>
      </w:r>
    </w:p>
    <w:p w14:paraId="12B8A0EA" w14:textId="4944C94A" w:rsidR="00F02D12" w:rsidRPr="00423297" w:rsidRDefault="00F02D12" w:rsidP="008250FD">
      <w:pPr>
        <w:pStyle w:val="Heading3"/>
      </w:pPr>
      <w:r w:rsidRPr="00423297">
        <w:lastRenderedPageBreak/>
        <w:t xml:space="preserve">Existing </w:t>
      </w:r>
      <w:r w:rsidR="0028025F" w:rsidRPr="00423297">
        <w:t>hardship</w:t>
      </w:r>
      <w:r w:rsidRPr="00423297">
        <w:t xml:space="preserve"> arrangements</w:t>
      </w:r>
    </w:p>
    <w:p w14:paraId="0861168A" w14:textId="5FFC5D48" w:rsidR="008F5AB4" w:rsidRPr="00423297" w:rsidRDefault="00F02D12" w:rsidP="00D8724F">
      <w:pPr>
        <w:pStyle w:val="BodyText"/>
      </w:pPr>
      <w:r w:rsidRPr="00423297">
        <w:t>The</w:t>
      </w:r>
      <w:r w:rsidR="008F2D03" w:rsidRPr="00423297">
        <w:t>re are</w:t>
      </w:r>
      <w:r w:rsidR="005135BA" w:rsidRPr="00423297">
        <w:t xml:space="preserve"> no</w:t>
      </w:r>
      <w:r w:rsidR="008F2D03" w:rsidRPr="00423297">
        <w:t xml:space="preserve"> </w:t>
      </w:r>
      <w:r w:rsidRPr="00423297">
        <w:t>mechanism</w:t>
      </w:r>
      <w:r w:rsidR="008F2D03" w:rsidRPr="00423297">
        <w:t>s</w:t>
      </w:r>
      <w:r w:rsidRPr="00423297">
        <w:t xml:space="preserve"> </w:t>
      </w:r>
      <w:r w:rsidR="00040266" w:rsidRPr="00423297">
        <w:t xml:space="preserve">or formal hardship arrangements </w:t>
      </w:r>
      <w:r w:rsidR="00620A97" w:rsidRPr="00423297">
        <w:t xml:space="preserve">that </w:t>
      </w:r>
      <w:r w:rsidRPr="00423297">
        <w:t xml:space="preserve">members suffering hardship </w:t>
      </w:r>
      <w:r w:rsidR="008F5AB4" w:rsidRPr="00423297">
        <w:t xml:space="preserve">can use </w:t>
      </w:r>
      <w:r w:rsidRPr="00423297">
        <w:t>to</w:t>
      </w:r>
      <w:r w:rsidR="008F5AB4" w:rsidRPr="00423297">
        <w:t>:</w:t>
      </w:r>
      <w:r w:rsidRPr="00423297">
        <w:t xml:space="preserve"> </w:t>
      </w:r>
    </w:p>
    <w:p w14:paraId="194171D6" w14:textId="159C2721" w:rsidR="008F5AB4" w:rsidRPr="00423297" w:rsidRDefault="00F02D12" w:rsidP="008F5AB4">
      <w:pPr>
        <w:pStyle w:val="subparaa"/>
      </w:pPr>
      <w:r w:rsidRPr="00423297">
        <w:t>exit time-sharing schemes</w:t>
      </w:r>
      <w:r w:rsidR="003E273D" w:rsidRPr="00423297">
        <w:t xml:space="preserve"> </w:t>
      </w:r>
      <w:r w:rsidR="00EA00B9" w:rsidRPr="00423297">
        <w:t>(</w:t>
      </w:r>
      <w:r w:rsidR="00F84610" w:rsidRPr="00423297">
        <w:t>other than by forfeiture</w:t>
      </w:r>
      <w:r w:rsidR="00EA00B9" w:rsidRPr="00423297">
        <w:t>);</w:t>
      </w:r>
      <w:r w:rsidR="00F84610" w:rsidRPr="00423297">
        <w:t xml:space="preserve"> </w:t>
      </w:r>
      <w:r w:rsidR="003E273D" w:rsidRPr="00423297">
        <w:t xml:space="preserve">or </w:t>
      </w:r>
    </w:p>
    <w:p w14:paraId="48839180" w14:textId="01A69523" w:rsidR="008E6719" w:rsidRPr="00423297" w:rsidRDefault="003E273D" w:rsidP="008250FD">
      <w:pPr>
        <w:pStyle w:val="subparaa"/>
      </w:pPr>
      <w:proofErr w:type="gramStart"/>
      <w:r w:rsidRPr="00423297">
        <w:t>protect</w:t>
      </w:r>
      <w:proofErr w:type="gramEnd"/>
      <w:r w:rsidRPr="00423297">
        <w:t xml:space="preserve"> them from</w:t>
      </w:r>
      <w:r w:rsidR="005135BA" w:rsidRPr="00423297">
        <w:t xml:space="preserve"> </w:t>
      </w:r>
      <w:r w:rsidR="00F02D12" w:rsidRPr="00423297">
        <w:t>being pursued for amounts owing in circumstances where the member is unable to use their membership</w:t>
      </w:r>
      <w:r w:rsidR="00761FCD" w:rsidRPr="00423297">
        <w:t xml:space="preserve"> due to hardship</w:t>
      </w:r>
      <w:r w:rsidR="00F02D12" w:rsidRPr="00423297">
        <w:t>.</w:t>
      </w:r>
    </w:p>
    <w:p w14:paraId="2B3C2AEF" w14:textId="4FE48BEA" w:rsidR="00EA2108" w:rsidRPr="00423297" w:rsidRDefault="00CF3368" w:rsidP="00EF2CCA">
      <w:pPr>
        <w:pStyle w:val="BodyText"/>
      </w:pPr>
      <w:r w:rsidRPr="00423297">
        <w:t>Between</w:t>
      </w:r>
      <w:r w:rsidR="00EA2108" w:rsidRPr="00423297">
        <w:t xml:space="preserve"> 2018</w:t>
      </w:r>
      <w:r w:rsidRPr="00423297">
        <w:t xml:space="preserve"> and </w:t>
      </w:r>
      <w:r w:rsidR="00EA2108" w:rsidRPr="00423297">
        <w:t xml:space="preserve">2019, </w:t>
      </w:r>
      <w:r w:rsidR="007C32A4" w:rsidRPr="00423297">
        <w:t>the average number of people across ATHOC</w:t>
      </w:r>
      <w:r w:rsidRPr="00423297">
        <w:t>-</w:t>
      </w:r>
      <w:r w:rsidR="007C32A4" w:rsidRPr="00423297">
        <w:t xml:space="preserve">member time-sharing schemes who exited membership of a scheme as a result of hardship or forfeiture was </w:t>
      </w:r>
      <w:r w:rsidR="00EA2108" w:rsidRPr="00423297">
        <w:t>43.0%</w:t>
      </w:r>
      <w:r w:rsidR="005259B4" w:rsidRPr="00423297">
        <w:t>. On average, those who exited their membership held their interest in the time-sharing scheme for 6.8 years</w:t>
      </w:r>
      <w:r w:rsidR="00EA2108" w:rsidRPr="00423297">
        <w:t xml:space="preserve">: </w:t>
      </w:r>
      <w:r w:rsidR="007C32A4" w:rsidRPr="00423297">
        <w:t>see</w:t>
      </w:r>
      <w:r w:rsidRPr="00423297">
        <w:t xml:space="preserve"> paragraph 34 of</w:t>
      </w:r>
      <w:r w:rsidR="007C32A4" w:rsidRPr="00423297">
        <w:t xml:space="preserve"> </w:t>
      </w:r>
      <w:hyperlink r:id="rId22" w:history="1">
        <w:r w:rsidR="00EA2108" w:rsidRPr="00423297">
          <w:rPr>
            <w:rStyle w:val="Hyperlink"/>
          </w:rPr>
          <w:t>REP 642</w:t>
        </w:r>
      </w:hyperlink>
      <w:r w:rsidR="00EA2108" w:rsidRPr="00423297">
        <w:t>.</w:t>
      </w:r>
    </w:p>
    <w:p w14:paraId="2C4BDCFF" w14:textId="69DBD48F" w:rsidR="00E14620" w:rsidRPr="00423297" w:rsidRDefault="00E14620" w:rsidP="00D8724F">
      <w:pPr>
        <w:pStyle w:val="BodyText"/>
      </w:pPr>
      <w:bookmarkStart w:id="77" w:name="_Hlk38961942"/>
      <w:bookmarkStart w:id="78" w:name="_Ref38377174"/>
      <w:r w:rsidRPr="00423297">
        <w:t xml:space="preserve">The existing regulatory settings do not provide operators discretion to allow members to withdraw from the time-sharing scheme. </w:t>
      </w:r>
      <w:bookmarkStart w:id="79" w:name="_Hlk38926726"/>
      <w:bookmarkEnd w:id="77"/>
      <w:r w:rsidR="00D87E16" w:rsidRPr="00423297">
        <w:t>O</w:t>
      </w:r>
      <w:r w:rsidRPr="00423297">
        <w:t xml:space="preserve">perators </w:t>
      </w:r>
      <w:r w:rsidR="001456FB" w:rsidRPr="00423297">
        <w:t xml:space="preserve">that </w:t>
      </w:r>
      <w:r w:rsidR="00F84610" w:rsidRPr="00423297">
        <w:t xml:space="preserve">show leniency and understanding to members </w:t>
      </w:r>
      <w:r w:rsidR="00701B9C" w:rsidRPr="00423297">
        <w:t xml:space="preserve">suffering </w:t>
      </w:r>
      <w:r w:rsidR="00F84610" w:rsidRPr="00423297">
        <w:t>hardship</w:t>
      </w:r>
      <w:r w:rsidR="006823D4" w:rsidRPr="00423297">
        <w:t xml:space="preserve"> </w:t>
      </w:r>
      <w:r w:rsidR="00D87E16" w:rsidRPr="00423297">
        <w:t xml:space="preserve">by </w:t>
      </w:r>
      <w:r w:rsidR="006823D4" w:rsidRPr="00423297">
        <w:t xml:space="preserve">providing </w:t>
      </w:r>
      <w:r w:rsidR="00766C43" w:rsidRPr="00423297">
        <w:t>informal hardship arrangements</w:t>
      </w:r>
      <w:bookmarkEnd w:id="79"/>
      <w:r w:rsidR="008F5AB4" w:rsidRPr="00423297">
        <w:t xml:space="preserve"> </w:t>
      </w:r>
      <w:r w:rsidRPr="00423297">
        <w:t>may be breach</w:t>
      </w:r>
      <w:r w:rsidR="008F5AB4" w:rsidRPr="00423297">
        <w:t>ing</w:t>
      </w:r>
      <w:r w:rsidRPr="00423297">
        <w:t xml:space="preserve"> </w:t>
      </w:r>
      <w:r w:rsidR="00230D98" w:rsidRPr="00423297">
        <w:t xml:space="preserve">the constitution for the scheme and </w:t>
      </w:r>
      <w:r w:rsidRPr="00423297">
        <w:t>their obligations to other members or the scheme.</w:t>
      </w:r>
      <w:bookmarkEnd w:id="78"/>
    </w:p>
    <w:p w14:paraId="30B3E7A1" w14:textId="63ECBFDE" w:rsidR="005C4010" w:rsidRPr="00423297" w:rsidRDefault="00CD0676" w:rsidP="00DE1543">
      <w:pPr>
        <w:pStyle w:val="BodyText"/>
      </w:pPr>
      <w:bookmarkStart w:id="80" w:name="_Ref38397481"/>
      <w:r w:rsidRPr="00423297">
        <w:t xml:space="preserve">During 2019, </w:t>
      </w:r>
      <w:r w:rsidR="005C4010" w:rsidRPr="00423297">
        <w:t xml:space="preserve">the five operators actively issuing interests in time-sharing schemes reported that they provided informal hardship arrangements to </w:t>
      </w:r>
      <w:r w:rsidRPr="00423297">
        <w:t xml:space="preserve">allow </w:t>
      </w:r>
      <w:r w:rsidR="00CF270D" w:rsidRPr="00423297">
        <w:t>1</w:t>
      </w:r>
      <w:r w:rsidR="006E1A2F" w:rsidRPr="00423297">
        <w:t>,</w:t>
      </w:r>
      <w:r w:rsidR="00CF270D" w:rsidRPr="00423297">
        <w:t xml:space="preserve">967 </w:t>
      </w:r>
      <w:r w:rsidR="005C4010" w:rsidRPr="00423297">
        <w:t>members</w:t>
      </w:r>
      <w:r w:rsidRPr="00423297">
        <w:t xml:space="preserve"> to forfeit </w:t>
      </w:r>
      <w:r w:rsidR="00C31F0F" w:rsidRPr="00423297">
        <w:t xml:space="preserve">because of severe financial hardship or </w:t>
      </w:r>
      <w:r w:rsidRPr="00423297">
        <w:t>on compassionate grounds</w:t>
      </w:r>
      <w:r w:rsidR="005C4010" w:rsidRPr="00423297">
        <w:t>.</w:t>
      </w:r>
      <w:bookmarkEnd w:id="80"/>
    </w:p>
    <w:p w14:paraId="1DF74F8A" w14:textId="32F46EE7" w:rsidR="00D43A5E" w:rsidRPr="00423297" w:rsidRDefault="008A35F9" w:rsidP="00DE1543">
      <w:pPr>
        <w:pStyle w:val="BodyText"/>
      </w:pPr>
      <w:bookmarkStart w:id="81" w:name="_Hlk38894978"/>
      <w:r w:rsidRPr="00423297">
        <w:t xml:space="preserve">We consider </w:t>
      </w:r>
      <w:r w:rsidR="003D1D15" w:rsidRPr="00423297">
        <w:t xml:space="preserve">that the implementation of formal hardship arrangements </w:t>
      </w:r>
      <w:r w:rsidR="006F09F2" w:rsidRPr="00423297">
        <w:t xml:space="preserve">will </w:t>
      </w:r>
      <w:r w:rsidR="003D1D15" w:rsidRPr="00423297">
        <w:t xml:space="preserve">provide </w:t>
      </w:r>
      <w:r w:rsidRPr="00423297">
        <w:t xml:space="preserve">clear benefits for </w:t>
      </w:r>
      <w:bookmarkEnd w:id="81"/>
      <w:r w:rsidRPr="00423297">
        <w:t>members</w:t>
      </w:r>
      <w:r w:rsidR="003D1D15" w:rsidRPr="00423297">
        <w:t xml:space="preserve"> </w:t>
      </w:r>
      <w:r w:rsidR="00BE7A1B" w:rsidRPr="00423297">
        <w:t>suffering</w:t>
      </w:r>
      <w:r w:rsidR="003D1D15" w:rsidRPr="00423297">
        <w:t xml:space="preserve"> hardship</w:t>
      </w:r>
      <w:r w:rsidR="00253DC7">
        <w:t xml:space="preserve"> who are unable to use their membership. Under the arrangements,</w:t>
      </w:r>
      <w:r w:rsidR="00357BA8">
        <w:t xml:space="preserve"> operator</w:t>
      </w:r>
      <w:r w:rsidR="00253DC7">
        <w:t>s would be required to consider whether to</w:t>
      </w:r>
      <w:r w:rsidR="00357BA8">
        <w:t xml:space="preserve"> approve </w:t>
      </w:r>
      <w:r w:rsidR="00253DC7">
        <w:t>a hardship</w:t>
      </w:r>
      <w:r w:rsidR="00357BA8">
        <w:t xml:space="preserve"> application </w:t>
      </w:r>
      <w:r w:rsidR="00253DC7">
        <w:t>that meets one or more hardship criteria</w:t>
      </w:r>
      <w:r w:rsidRPr="00423297">
        <w:t xml:space="preserve">. </w:t>
      </w:r>
      <w:r w:rsidR="003D1D15" w:rsidRPr="00423297">
        <w:t xml:space="preserve">These benefits become more </w:t>
      </w:r>
      <w:r w:rsidR="007749AA" w:rsidRPr="00423297">
        <w:t>pronounced</w:t>
      </w:r>
      <w:r w:rsidR="003D1D15" w:rsidRPr="00423297">
        <w:t xml:space="preserve"> </w:t>
      </w:r>
      <w:r w:rsidR="007749AA" w:rsidRPr="00423297">
        <w:t>whe</w:t>
      </w:r>
      <w:r w:rsidR="006F09F2" w:rsidRPr="00423297">
        <w:t>n</w:t>
      </w:r>
      <w:r w:rsidR="007749AA" w:rsidRPr="00423297">
        <w:t xml:space="preserve"> </w:t>
      </w:r>
      <w:r w:rsidR="00357BA8">
        <w:t>these</w:t>
      </w:r>
      <w:r w:rsidR="004E21AE">
        <w:t xml:space="preserve"> </w:t>
      </w:r>
      <w:r w:rsidR="007749AA" w:rsidRPr="00423297">
        <w:t xml:space="preserve">members </w:t>
      </w:r>
      <w:r w:rsidR="00BE7A1B" w:rsidRPr="00423297">
        <w:t>suffering</w:t>
      </w:r>
      <w:r w:rsidR="007749AA" w:rsidRPr="00423297">
        <w:t xml:space="preserve"> hardship can be shielded from </w:t>
      </w:r>
      <w:r w:rsidR="005C4010" w:rsidRPr="00423297">
        <w:t xml:space="preserve">the long-term </w:t>
      </w:r>
      <w:r w:rsidRPr="00423297">
        <w:t xml:space="preserve">financial </w:t>
      </w:r>
      <w:r w:rsidR="005C4010" w:rsidRPr="00423297">
        <w:t xml:space="preserve">obligations </w:t>
      </w:r>
      <w:r w:rsidR="003D1D15" w:rsidRPr="00423297">
        <w:t>that a</w:t>
      </w:r>
      <w:r w:rsidR="005C4010" w:rsidRPr="00423297">
        <w:t xml:space="preserve">ttach to interests in time-sharing schemes </w:t>
      </w:r>
      <w:r w:rsidRPr="00423297">
        <w:t xml:space="preserve">(such as annual levies) </w:t>
      </w:r>
      <w:r w:rsidR="005C4010" w:rsidRPr="00423297">
        <w:t xml:space="preserve">and the </w:t>
      </w:r>
      <w:r w:rsidR="007749AA" w:rsidRPr="00423297">
        <w:t xml:space="preserve">impact of the </w:t>
      </w:r>
      <w:r w:rsidR="005C4010" w:rsidRPr="00423297">
        <w:t>limited exit options</w:t>
      </w:r>
      <w:r w:rsidRPr="00423297">
        <w:t>.</w:t>
      </w:r>
      <w:r w:rsidR="00DE1543" w:rsidRPr="00423297">
        <w:t xml:space="preserve"> </w:t>
      </w:r>
    </w:p>
    <w:p w14:paraId="6393FD00" w14:textId="793FC1B6" w:rsidR="00DE1543" w:rsidRPr="00423297" w:rsidRDefault="00DE1543" w:rsidP="00DE1543">
      <w:pPr>
        <w:pStyle w:val="BodyText"/>
      </w:pPr>
      <w:r w:rsidRPr="00423297">
        <w:t xml:space="preserve">By formalising these rights, we can provide certainty to </w:t>
      </w:r>
      <w:bookmarkStart w:id="82" w:name="_Hlk38895120"/>
      <w:r w:rsidR="008A35F9" w:rsidRPr="00423297">
        <w:t>members of time</w:t>
      </w:r>
      <w:r w:rsidR="001E57D0" w:rsidRPr="00423297">
        <w:t>-</w:t>
      </w:r>
      <w:r w:rsidR="008A35F9" w:rsidRPr="00423297">
        <w:t>shar</w:t>
      </w:r>
      <w:r w:rsidR="001E57D0" w:rsidRPr="00423297">
        <w:t>ing</w:t>
      </w:r>
      <w:r w:rsidR="008A35F9" w:rsidRPr="00423297">
        <w:t xml:space="preserve"> schemes </w:t>
      </w:r>
      <w:bookmarkEnd w:id="82"/>
      <w:r w:rsidRPr="00423297">
        <w:t>and the industry alike.</w:t>
      </w:r>
    </w:p>
    <w:p w14:paraId="39FE8BD9" w14:textId="428D9945" w:rsidR="00227503" w:rsidRPr="00423297" w:rsidRDefault="00227503" w:rsidP="008250FD">
      <w:pPr>
        <w:pStyle w:val="Heading3"/>
      </w:pPr>
      <w:r w:rsidRPr="00423297">
        <w:t xml:space="preserve">Guidance </w:t>
      </w:r>
      <w:r w:rsidR="003B5FB0" w:rsidRPr="00423297">
        <w:t xml:space="preserve">on </w:t>
      </w:r>
      <w:r w:rsidRPr="00423297">
        <w:t xml:space="preserve">existing obligations </w:t>
      </w:r>
    </w:p>
    <w:p w14:paraId="7547DD85" w14:textId="2FA5E123" w:rsidR="00227503" w:rsidRPr="00423297" w:rsidRDefault="008F5AB4" w:rsidP="00D8724F">
      <w:pPr>
        <w:pStyle w:val="BodyText"/>
      </w:pPr>
      <w:bookmarkStart w:id="83" w:name="_ASICRef705"/>
      <w:r w:rsidRPr="00423297">
        <w:t>We</w:t>
      </w:r>
      <w:r w:rsidR="004C7CA6" w:rsidRPr="00423297">
        <w:t xml:space="preserve"> last reviewed </w:t>
      </w:r>
      <w:r w:rsidRPr="00423297">
        <w:t>our</w:t>
      </w:r>
      <w:r w:rsidR="004C7CA6" w:rsidRPr="00423297">
        <w:t xml:space="preserve"> regulatory guidance for time-sharing schemes in </w:t>
      </w:r>
      <w:r w:rsidR="00723F90" w:rsidRPr="00423297">
        <w:t>2007</w:t>
      </w:r>
      <w:r w:rsidR="004C7CA6" w:rsidRPr="00423297">
        <w:t xml:space="preserve">. There have been </w:t>
      </w:r>
      <w:r w:rsidR="00C645A1" w:rsidRPr="00423297">
        <w:t>several</w:t>
      </w:r>
      <w:r w:rsidR="004C7CA6" w:rsidRPr="00423297">
        <w:t xml:space="preserve"> significant legislative changes</w:t>
      </w:r>
      <w:r w:rsidR="004F1CCD" w:rsidRPr="00423297">
        <w:t xml:space="preserve"> introduced since th</w:t>
      </w:r>
      <w:r w:rsidR="00BC6A97" w:rsidRPr="00423297">
        <w:t>at</w:t>
      </w:r>
      <w:r w:rsidR="004F1CCD" w:rsidRPr="00423297">
        <w:t xml:space="preserve"> time </w:t>
      </w:r>
      <w:r w:rsidR="004C7CA6" w:rsidRPr="00423297">
        <w:t>that apply to time-sharing schemes</w:t>
      </w:r>
      <w:r w:rsidR="00052CE7" w:rsidRPr="00423297">
        <w:t xml:space="preserve"> and their operators</w:t>
      </w:r>
      <w:r w:rsidRPr="00423297">
        <w:t>.</w:t>
      </w:r>
      <w:r w:rsidR="00766C43" w:rsidRPr="00423297">
        <w:t xml:space="preserve"> </w:t>
      </w:r>
      <w:r w:rsidRPr="00423297">
        <w:t>Our</w:t>
      </w:r>
      <w:r w:rsidR="00766C43" w:rsidRPr="00423297">
        <w:t xml:space="preserve"> </w:t>
      </w:r>
      <w:bookmarkStart w:id="84" w:name="_Ref9845989"/>
      <w:r w:rsidR="00227503" w:rsidRPr="00423297">
        <w:t xml:space="preserve">current guidance does not provide specific guidance </w:t>
      </w:r>
      <w:r w:rsidR="00BB7542" w:rsidRPr="00423297">
        <w:t xml:space="preserve">to the time-sharing industry </w:t>
      </w:r>
      <w:r w:rsidR="00227503" w:rsidRPr="00423297">
        <w:t>about:</w:t>
      </w:r>
      <w:bookmarkEnd w:id="83"/>
      <w:bookmarkEnd w:id="84"/>
    </w:p>
    <w:p w14:paraId="237A8F13" w14:textId="140B0AE0" w:rsidR="001625C3" w:rsidRPr="00423297" w:rsidRDefault="008F5AB4" w:rsidP="00D8724F">
      <w:pPr>
        <w:pStyle w:val="subparaa"/>
      </w:pPr>
      <w:bookmarkStart w:id="85" w:name="_ASICRef774"/>
      <w:r w:rsidRPr="00423297">
        <w:t>our</w:t>
      </w:r>
      <w:r w:rsidR="00C645A1" w:rsidRPr="00423297">
        <w:t xml:space="preserve"> interpretation of </w:t>
      </w:r>
      <w:r w:rsidR="00BA5227" w:rsidRPr="00423297">
        <w:t xml:space="preserve">the following </w:t>
      </w:r>
      <w:r w:rsidR="004F1CCD" w:rsidRPr="00423297">
        <w:t xml:space="preserve">existing </w:t>
      </w:r>
      <w:r w:rsidR="00BA5227" w:rsidRPr="00423297">
        <w:t>obligations in the Corporations Act and ASIC Act</w:t>
      </w:r>
      <w:r w:rsidR="00E14620" w:rsidRPr="00423297">
        <w:t>:</w:t>
      </w:r>
      <w:bookmarkEnd w:id="85"/>
    </w:p>
    <w:p w14:paraId="07D73F10" w14:textId="5FA8BDC7" w:rsidR="001625C3" w:rsidRPr="00423297" w:rsidRDefault="001625C3" w:rsidP="00D8724F">
      <w:pPr>
        <w:pStyle w:val="subsubparai"/>
      </w:pPr>
      <w:r w:rsidRPr="00423297">
        <w:lastRenderedPageBreak/>
        <w:t xml:space="preserve">the financial services disclosure provisions, including </w:t>
      </w:r>
      <w:r w:rsidR="003B5FB0" w:rsidRPr="00423297">
        <w:t>S</w:t>
      </w:r>
      <w:r w:rsidRPr="00423297">
        <w:t xml:space="preserve">tatement of </w:t>
      </w:r>
      <w:r w:rsidR="003B5FB0" w:rsidRPr="00423297">
        <w:t>A</w:t>
      </w:r>
      <w:r w:rsidRPr="00423297">
        <w:t>dvice</w:t>
      </w:r>
      <w:r w:rsidR="002605FD" w:rsidRPr="00423297">
        <w:t xml:space="preserve"> (SOA)</w:t>
      </w:r>
      <w:r w:rsidRPr="00423297">
        <w:t xml:space="preserve">, </w:t>
      </w:r>
      <w:r w:rsidR="003B5FB0" w:rsidRPr="00423297">
        <w:t>F</w:t>
      </w:r>
      <w:r w:rsidRPr="00423297">
        <w:t xml:space="preserve">inancial </w:t>
      </w:r>
      <w:r w:rsidR="003B5FB0" w:rsidRPr="00423297">
        <w:t>S</w:t>
      </w:r>
      <w:r w:rsidRPr="00423297">
        <w:t xml:space="preserve">ervices </w:t>
      </w:r>
      <w:r w:rsidR="003B5FB0" w:rsidRPr="00423297">
        <w:t>G</w:t>
      </w:r>
      <w:r w:rsidRPr="00423297">
        <w:t xml:space="preserve">uide </w:t>
      </w:r>
      <w:r w:rsidR="002605FD" w:rsidRPr="00423297">
        <w:t xml:space="preserve">(FSG) </w:t>
      </w:r>
      <w:r w:rsidRPr="00423297">
        <w:t>and general advice warning requirements (Pt 7.7</w:t>
      </w:r>
      <w:r w:rsidR="008F5AB4" w:rsidRPr="00423297">
        <w:t xml:space="preserve"> of the</w:t>
      </w:r>
      <w:r w:rsidRPr="00423297">
        <w:t xml:space="preserve"> Corporations Act); </w:t>
      </w:r>
    </w:p>
    <w:p w14:paraId="679B0594" w14:textId="61D35FC1" w:rsidR="001625C3" w:rsidRPr="00423297" w:rsidRDefault="001625C3" w:rsidP="00D8724F">
      <w:pPr>
        <w:pStyle w:val="subsubparai"/>
      </w:pPr>
      <w:r w:rsidRPr="00423297">
        <w:t>the best interests duty (Pt 7.7A</w:t>
      </w:r>
      <w:r w:rsidR="008F5AB4" w:rsidRPr="00423297">
        <w:t xml:space="preserve"> of the</w:t>
      </w:r>
      <w:r w:rsidRPr="00423297">
        <w:t xml:space="preserve"> Corporations Act);</w:t>
      </w:r>
    </w:p>
    <w:p w14:paraId="4131E485" w14:textId="7EB026E7" w:rsidR="001625C3" w:rsidRPr="00423297" w:rsidRDefault="001625C3" w:rsidP="00D8724F">
      <w:pPr>
        <w:pStyle w:val="subsubparai"/>
      </w:pPr>
      <w:r w:rsidRPr="00423297">
        <w:t>the hawking prohibitions (Div 8 of Pt 7.8</w:t>
      </w:r>
      <w:r w:rsidR="008F5AB4" w:rsidRPr="00423297">
        <w:t xml:space="preserve"> of the</w:t>
      </w:r>
      <w:r w:rsidRPr="00423297">
        <w:t xml:space="preserve"> Corporations Act); </w:t>
      </w:r>
    </w:p>
    <w:p w14:paraId="32188F6B" w14:textId="60BC4BC5" w:rsidR="001625C3" w:rsidRPr="00423297" w:rsidRDefault="008F5AB4" w:rsidP="00D8724F">
      <w:pPr>
        <w:pStyle w:val="subsubparai"/>
      </w:pPr>
      <w:r w:rsidRPr="00423297">
        <w:t xml:space="preserve">the </w:t>
      </w:r>
      <w:r w:rsidR="001625C3" w:rsidRPr="00423297">
        <w:t>PDS and ongoing disclosure</w:t>
      </w:r>
      <w:r w:rsidRPr="00423297">
        <w:t xml:space="preserve"> requirements</w:t>
      </w:r>
      <w:r w:rsidR="001625C3" w:rsidRPr="00423297">
        <w:t xml:space="preserve"> (Pt 7.9</w:t>
      </w:r>
      <w:r w:rsidRPr="00423297">
        <w:t xml:space="preserve"> of</w:t>
      </w:r>
      <w:r w:rsidR="001625C3" w:rsidRPr="00423297">
        <w:t xml:space="preserve"> Corporations Act)</w:t>
      </w:r>
      <w:r w:rsidRPr="00423297">
        <w:t>,</w:t>
      </w:r>
      <w:r w:rsidR="001625C3" w:rsidRPr="00423297">
        <w:t xml:space="preserve"> and the enhanced fee disclosure requirements for disclosing fees and costs in PDSs and periodic statements (Sch</w:t>
      </w:r>
      <w:r w:rsidRPr="00423297">
        <w:t> </w:t>
      </w:r>
      <w:r w:rsidR="001625C3" w:rsidRPr="00423297">
        <w:t>10</w:t>
      </w:r>
      <w:r w:rsidRPr="00423297">
        <w:t xml:space="preserve"> of</w:t>
      </w:r>
      <w:r w:rsidR="001625C3" w:rsidRPr="00423297">
        <w:t xml:space="preserve"> </w:t>
      </w:r>
      <w:r w:rsidRPr="00423297">
        <w:t xml:space="preserve">the </w:t>
      </w:r>
      <w:r w:rsidR="00411AB2" w:rsidRPr="00423297">
        <w:t>Corporations Regulations 2001 (</w:t>
      </w:r>
      <w:r w:rsidR="001625C3" w:rsidRPr="00423297">
        <w:t>Corporations Regulations</w:t>
      </w:r>
      <w:r w:rsidR="00411AB2" w:rsidRPr="00423297">
        <w:t>)</w:t>
      </w:r>
      <w:r w:rsidR="001625C3" w:rsidRPr="00423297">
        <w:t xml:space="preserve">); and </w:t>
      </w:r>
    </w:p>
    <w:p w14:paraId="610A216A" w14:textId="16D2224F" w:rsidR="00227503" w:rsidRPr="00423297" w:rsidRDefault="001625C3" w:rsidP="00D8724F">
      <w:pPr>
        <w:pStyle w:val="subsubparai"/>
      </w:pPr>
      <w:r w:rsidRPr="00423297">
        <w:t>the general consumer protection provisions (Pt 7.10</w:t>
      </w:r>
      <w:r w:rsidR="008F5AB4" w:rsidRPr="00423297">
        <w:t xml:space="preserve"> of the</w:t>
      </w:r>
      <w:r w:rsidRPr="00423297">
        <w:t xml:space="preserve"> Corporations Act and Div 2 of Pt 2</w:t>
      </w:r>
      <w:r w:rsidR="008F5AB4" w:rsidRPr="00423297">
        <w:t xml:space="preserve"> of the</w:t>
      </w:r>
      <w:r w:rsidRPr="00423297">
        <w:t xml:space="preserve"> ASIC Act)</w:t>
      </w:r>
      <w:r w:rsidR="00227503" w:rsidRPr="00423297">
        <w:t>; or</w:t>
      </w:r>
    </w:p>
    <w:p w14:paraId="5CB0C123" w14:textId="0DBFD958" w:rsidR="00227503" w:rsidRPr="00423297" w:rsidRDefault="00B4257B" w:rsidP="00D8724F">
      <w:pPr>
        <w:pStyle w:val="subparaa"/>
      </w:pPr>
      <w:proofErr w:type="gramStart"/>
      <w:r>
        <w:t>obligations</w:t>
      </w:r>
      <w:proofErr w:type="gramEnd"/>
      <w:r>
        <w:t xml:space="preserve"> </w:t>
      </w:r>
      <w:r w:rsidR="00405583">
        <w:t xml:space="preserve">and consumer rights </w:t>
      </w:r>
      <w:r>
        <w:t xml:space="preserve">that apply under the National Credit Act and </w:t>
      </w:r>
      <w:r w:rsidR="00405583">
        <w:t xml:space="preserve">National Credit </w:t>
      </w:r>
      <w:r>
        <w:t>Code whe</w:t>
      </w:r>
      <w:r w:rsidR="00253DC7">
        <w:t>n</w:t>
      </w:r>
      <w:r>
        <w:t xml:space="preserve"> the purchase of an interest is financed. </w:t>
      </w:r>
    </w:p>
    <w:p w14:paraId="0F8548E8" w14:textId="0DD87517" w:rsidR="004F1CCD" w:rsidRPr="00423297" w:rsidRDefault="004F1CCD" w:rsidP="00C7752B">
      <w:pPr>
        <w:pStyle w:val="Note"/>
      </w:pPr>
      <w:r w:rsidRPr="00423297">
        <w:t xml:space="preserve">Note: </w:t>
      </w:r>
      <w:bookmarkStart w:id="86" w:name="_Hlk9867524"/>
      <w:r w:rsidR="008F5AB4" w:rsidRPr="00423297">
        <w:t xml:space="preserve">Under </w:t>
      </w:r>
      <w:r w:rsidR="00B512DD" w:rsidRPr="00423297">
        <w:t xml:space="preserve">revised </w:t>
      </w:r>
      <w:r w:rsidR="008F5AB4" w:rsidRPr="00423297">
        <w:t>Option 1, we will update our</w:t>
      </w:r>
      <w:r w:rsidRPr="00423297">
        <w:t xml:space="preserve"> guidance to reflect </w:t>
      </w:r>
      <w:r w:rsidR="008F5AB4" w:rsidRPr="00423297">
        <w:t xml:space="preserve">the </w:t>
      </w:r>
      <w:r w:rsidRPr="00423297">
        <w:t xml:space="preserve">proposed amendments to </w:t>
      </w:r>
      <w:hyperlink r:id="rId23" w:history="1">
        <w:r w:rsidRPr="00423297">
          <w:rPr>
            <w:rStyle w:val="Hyperlink"/>
          </w:rPr>
          <w:t>ASIC Corporations (Time-sharing Schemes) Instrument 2017/272</w:t>
        </w:r>
      </w:hyperlink>
      <w:r w:rsidRPr="00423297">
        <w:t>, including guidance about how the proposed enhanced disclosure obligations and time</w:t>
      </w:r>
      <w:r w:rsidR="00052CE7" w:rsidRPr="00423297">
        <w:t>-</w:t>
      </w:r>
      <w:r w:rsidRPr="00423297">
        <w:t>shar</w:t>
      </w:r>
      <w:r w:rsidR="00896897" w:rsidRPr="00423297">
        <w:t>ing</w:t>
      </w:r>
      <w:r w:rsidR="00052CE7" w:rsidRPr="00423297">
        <w:t xml:space="preserve"> </w:t>
      </w:r>
      <w:r w:rsidRPr="00423297">
        <w:t>specific fee disclosure will apply.</w:t>
      </w:r>
      <w:bookmarkEnd w:id="86"/>
    </w:p>
    <w:p w14:paraId="7CE4E0FB" w14:textId="5D901FF1" w:rsidR="00A26D4B" w:rsidRPr="00423297" w:rsidRDefault="00A26D4B" w:rsidP="00A26D4B">
      <w:pPr>
        <w:pStyle w:val="BodyText"/>
      </w:pPr>
      <w:bookmarkStart w:id="87" w:name="_ASICRef592"/>
      <w:r w:rsidRPr="00423297">
        <w:t>We consider that these existing obligations are operating effectively and efficiently. When they are understood and complied with by industry, we consider that they will effectively address some of those industry practices that lead to consumer harm.</w:t>
      </w:r>
      <w:bookmarkEnd w:id="87"/>
    </w:p>
    <w:p w14:paraId="00DF7A8F" w14:textId="56991415" w:rsidR="004F1CCD" w:rsidRPr="00423297" w:rsidRDefault="004F1CCD" w:rsidP="00D8724F">
      <w:pPr>
        <w:pStyle w:val="BodyText"/>
      </w:pPr>
      <w:r w:rsidRPr="00423297">
        <w:t xml:space="preserve">Industry has identified that </w:t>
      </w:r>
      <w:bookmarkStart w:id="88" w:name="_Hlk38982090"/>
      <w:r w:rsidR="00AC0D9E" w:rsidRPr="00423297">
        <w:t xml:space="preserve">it would </w:t>
      </w:r>
      <w:r w:rsidR="006F09F2" w:rsidRPr="00423297">
        <w:t>help if we</w:t>
      </w:r>
      <w:r w:rsidR="00AC0D9E" w:rsidRPr="00423297">
        <w:t xml:space="preserve"> provided</w:t>
      </w:r>
      <w:bookmarkEnd w:id="88"/>
      <w:r w:rsidRPr="00423297">
        <w:t xml:space="preserve"> specific guidance </w:t>
      </w:r>
      <w:bookmarkStart w:id="89" w:name="_Hlk38398258"/>
      <w:r w:rsidRPr="00423297">
        <w:t>about the existing obligations</w:t>
      </w:r>
      <w:bookmarkEnd w:id="89"/>
      <w:r w:rsidR="002415F2" w:rsidRPr="00423297">
        <w:t>, as they apply to time-sharing schemes</w:t>
      </w:r>
      <w:r w:rsidR="00B4257B">
        <w:t xml:space="preserve"> and related finance</w:t>
      </w:r>
      <w:r w:rsidR="00AE5141" w:rsidRPr="00423297">
        <w:t>.</w:t>
      </w:r>
    </w:p>
    <w:p w14:paraId="229DD5BE" w14:textId="63DB459B" w:rsidR="00FA1BFE" w:rsidRPr="00423297" w:rsidRDefault="008B3BC3" w:rsidP="009F6E60">
      <w:pPr>
        <w:pStyle w:val="BodyText"/>
      </w:pPr>
      <w:r w:rsidRPr="00423297">
        <w:t>The complaints</w:t>
      </w:r>
      <w:r w:rsidR="004475B3" w:rsidRPr="00423297">
        <w:t xml:space="preserve"> we</w:t>
      </w:r>
      <w:r w:rsidRPr="00423297">
        <w:t xml:space="preserve"> received between 2009 and 2019 suggest that the industry would benefit from this guidance</w:t>
      </w:r>
      <w:r w:rsidR="004475B3" w:rsidRPr="00423297">
        <w:t>. We received</w:t>
      </w:r>
      <w:r w:rsidR="007F3C05" w:rsidRPr="00423297">
        <w:t xml:space="preserve"> </w:t>
      </w:r>
      <w:r w:rsidR="003959EB" w:rsidRPr="00423297">
        <w:t>c</w:t>
      </w:r>
      <w:r w:rsidR="00915EC0" w:rsidRPr="00423297">
        <w:t xml:space="preserve">omplaints </w:t>
      </w:r>
      <w:r w:rsidR="00A26D4B" w:rsidRPr="00423297">
        <w:t>about</w:t>
      </w:r>
      <w:r w:rsidR="00915EC0" w:rsidRPr="00423297">
        <w:t xml:space="preserve"> misleading and deceptive conduct</w:t>
      </w:r>
      <w:r w:rsidR="003959EB" w:rsidRPr="00423297">
        <w:t xml:space="preserve"> (47 complaints)</w:t>
      </w:r>
      <w:r w:rsidR="00915EC0" w:rsidRPr="00423297">
        <w:t>, sales practices</w:t>
      </w:r>
      <w:r w:rsidR="003959EB" w:rsidRPr="00423297">
        <w:t xml:space="preserve"> (21 complaints)</w:t>
      </w:r>
      <w:r w:rsidR="00915EC0" w:rsidRPr="00423297">
        <w:t>, unconscionable conduct</w:t>
      </w:r>
      <w:r w:rsidR="003959EB" w:rsidRPr="00423297">
        <w:t xml:space="preserve"> (eight complaints)</w:t>
      </w:r>
      <w:r w:rsidR="00915EC0" w:rsidRPr="00423297">
        <w:t xml:space="preserve"> and </w:t>
      </w:r>
      <w:r w:rsidR="003959EB" w:rsidRPr="00423297">
        <w:t xml:space="preserve">the </w:t>
      </w:r>
      <w:r w:rsidR="00FA1BFE" w:rsidRPr="00423297">
        <w:t>responsible lending obligations</w:t>
      </w:r>
      <w:r w:rsidR="003959EB" w:rsidRPr="00423297">
        <w:t xml:space="preserve"> (nine complaints)</w:t>
      </w:r>
      <w:r w:rsidR="00FA1BFE" w:rsidRPr="00423297">
        <w:t xml:space="preserve">: </w:t>
      </w:r>
      <w:r w:rsidR="004475B3" w:rsidRPr="00423297">
        <w:t>s</w:t>
      </w:r>
      <w:r w:rsidR="00FA1BFE" w:rsidRPr="00423297">
        <w:t xml:space="preserve">ee </w:t>
      </w:r>
      <w:r w:rsidR="00FA1BFE" w:rsidRPr="00423297">
        <w:fldChar w:fldCharType="begin"/>
      </w:r>
      <w:r w:rsidR="00FA1BFE" w:rsidRPr="00423297">
        <w:instrText xml:space="preserve"> REF _Ref4769831 \h </w:instrText>
      </w:r>
      <w:r w:rsidR="00423297">
        <w:instrText xml:space="preserve"> \* MERGEFORMAT </w:instrText>
      </w:r>
      <w:r w:rsidR="00FA1BFE" w:rsidRPr="00423297">
        <w:fldChar w:fldCharType="separate"/>
      </w:r>
      <w:r w:rsidR="00B92808" w:rsidRPr="00423297">
        <w:t>Table </w:t>
      </w:r>
      <w:r w:rsidR="00B92808">
        <w:t>1</w:t>
      </w:r>
      <w:r w:rsidR="00FA1BFE" w:rsidRPr="00423297">
        <w:fldChar w:fldCharType="end"/>
      </w:r>
      <w:r w:rsidR="00FA1BFE" w:rsidRPr="00423297">
        <w:t xml:space="preserve">. </w:t>
      </w:r>
    </w:p>
    <w:p w14:paraId="77AF990B" w14:textId="4A682E71" w:rsidR="00894DBA" w:rsidRPr="00423297" w:rsidRDefault="0060648C" w:rsidP="009F6E60">
      <w:pPr>
        <w:pStyle w:val="BodyText"/>
      </w:pPr>
      <w:r w:rsidRPr="00423297">
        <w:t>The c</w:t>
      </w:r>
      <w:r w:rsidR="008E58F3" w:rsidRPr="00423297">
        <w:t xml:space="preserve">omplaints </w:t>
      </w:r>
      <w:r w:rsidRPr="00423297">
        <w:t>data</w:t>
      </w:r>
      <w:r w:rsidR="004475B3" w:rsidRPr="00423297">
        <w:t>,</w:t>
      </w:r>
      <w:r w:rsidRPr="00423297">
        <w:t xml:space="preserve"> together with recent surveillance work</w:t>
      </w:r>
      <w:r w:rsidR="004475B3" w:rsidRPr="00423297">
        <w:t>,</w:t>
      </w:r>
      <w:r w:rsidRPr="00423297">
        <w:t xml:space="preserve"> </w:t>
      </w:r>
      <w:r w:rsidR="008E58F3" w:rsidRPr="00423297">
        <w:t>show</w:t>
      </w:r>
      <w:r w:rsidR="00284142" w:rsidRPr="00423297">
        <w:t xml:space="preserve"> </w:t>
      </w:r>
      <w:r w:rsidR="00ED51D9" w:rsidRPr="00423297">
        <w:t xml:space="preserve">that </w:t>
      </w:r>
      <w:r w:rsidR="00CF3368" w:rsidRPr="00423297">
        <w:t>operators and promoters</w:t>
      </w:r>
      <w:r w:rsidR="00ED51D9" w:rsidRPr="00423297">
        <w:t xml:space="preserve"> have been</w:t>
      </w:r>
      <w:r w:rsidR="008E58F3" w:rsidRPr="00423297">
        <w:t xml:space="preserve"> engaging in conduct that results in consumer harm, including</w:t>
      </w:r>
      <w:r w:rsidR="00894DBA" w:rsidRPr="00423297">
        <w:t>:</w:t>
      </w:r>
    </w:p>
    <w:p w14:paraId="2DAEA8CC" w14:textId="7ED03E3E" w:rsidR="00913015" w:rsidRPr="00423297" w:rsidRDefault="00CF3368" w:rsidP="00D8724F">
      <w:pPr>
        <w:pStyle w:val="subparaa"/>
      </w:pPr>
      <w:proofErr w:type="gramStart"/>
      <w:r w:rsidRPr="00423297">
        <w:t>using</w:t>
      </w:r>
      <w:proofErr w:type="gramEnd"/>
      <w:r w:rsidR="00761FCD" w:rsidRPr="00423297">
        <w:t xml:space="preserve"> </w:t>
      </w:r>
      <w:r w:rsidR="00E36E8C" w:rsidRPr="00423297">
        <w:t xml:space="preserve">incentives to </w:t>
      </w:r>
      <w:r w:rsidR="00761FCD" w:rsidRPr="00423297">
        <w:t xml:space="preserve">encourage </w:t>
      </w:r>
      <w:r w:rsidR="00F2374D" w:rsidRPr="00423297">
        <w:t xml:space="preserve">consumers to </w:t>
      </w:r>
      <w:r w:rsidR="00E36E8C" w:rsidRPr="00423297">
        <w:t xml:space="preserve">attend sales presentations without </w:t>
      </w:r>
      <w:r w:rsidR="002A6BB8" w:rsidRPr="00423297">
        <w:t>clear</w:t>
      </w:r>
      <w:r w:rsidRPr="00423297">
        <w:t>ly</w:t>
      </w:r>
      <w:r w:rsidR="002A6BB8" w:rsidRPr="00423297">
        <w:t xml:space="preserve"> disclos</w:t>
      </w:r>
      <w:r w:rsidRPr="00423297">
        <w:t>ing</w:t>
      </w:r>
      <w:r w:rsidR="002A6BB8" w:rsidRPr="00423297">
        <w:t xml:space="preserve"> that the purpose is to offer an interest in a time-sharing scheme</w:t>
      </w:r>
      <w:r w:rsidR="00284142" w:rsidRPr="00423297">
        <w:t>. This is a</w:t>
      </w:r>
      <w:r w:rsidR="003E273D" w:rsidRPr="00423297">
        <w:t xml:space="preserve"> potential contravention</w:t>
      </w:r>
      <w:r w:rsidR="00284142" w:rsidRPr="00423297">
        <w:t>,</w:t>
      </w:r>
      <w:r w:rsidR="00E36E8C" w:rsidRPr="00423297">
        <w:t xml:space="preserve"> </w:t>
      </w:r>
      <w:r w:rsidR="003E273D" w:rsidRPr="00423297">
        <w:t>and contrary to the intent</w:t>
      </w:r>
      <w:r w:rsidR="00284142" w:rsidRPr="00423297">
        <w:t>,</w:t>
      </w:r>
      <w:r w:rsidR="003E273D" w:rsidRPr="00423297">
        <w:t xml:space="preserve"> of </w:t>
      </w:r>
      <w:r w:rsidR="00E36E8C" w:rsidRPr="00423297">
        <w:t>the hawking prohibitions</w:t>
      </w:r>
      <w:r w:rsidR="00913015" w:rsidRPr="00423297">
        <w:t>;</w:t>
      </w:r>
    </w:p>
    <w:p w14:paraId="40C422B9" w14:textId="4F316799" w:rsidR="00E36E8C" w:rsidRPr="00423297" w:rsidRDefault="00CF3368" w:rsidP="00D8724F">
      <w:pPr>
        <w:pStyle w:val="subparaa"/>
      </w:pPr>
      <w:r w:rsidRPr="00423297">
        <w:t xml:space="preserve">using </w:t>
      </w:r>
      <w:r w:rsidR="00761FCD" w:rsidRPr="00423297">
        <w:t xml:space="preserve">sales processes that </w:t>
      </w:r>
      <w:r w:rsidR="00E36E8C" w:rsidRPr="00423297">
        <w:t xml:space="preserve">pressure </w:t>
      </w:r>
      <w:r w:rsidR="00761FCD" w:rsidRPr="00423297">
        <w:t>consumers</w:t>
      </w:r>
      <w:r w:rsidR="00E36E8C" w:rsidRPr="00423297">
        <w:t xml:space="preserve"> to </w:t>
      </w:r>
      <w:r w:rsidR="00E14620" w:rsidRPr="00423297">
        <w:t>purchase interests</w:t>
      </w:r>
      <w:r w:rsidR="00E36E8C" w:rsidRPr="00423297">
        <w:t xml:space="preserve"> </w:t>
      </w:r>
      <w:r w:rsidR="00761FCD" w:rsidRPr="00423297">
        <w:t>without proper consideration of risks</w:t>
      </w:r>
      <w:r w:rsidRPr="00423297">
        <w:t xml:space="preserve"> and</w:t>
      </w:r>
      <w:r w:rsidR="00761FCD" w:rsidRPr="00423297">
        <w:t xml:space="preserve"> benefits </w:t>
      </w:r>
      <w:r w:rsidRPr="00423297">
        <w:t>of the product, or its</w:t>
      </w:r>
      <w:r w:rsidR="00E36E8C" w:rsidRPr="00423297">
        <w:t xml:space="preserve"> suitability</w:t>
      </w:r>
      <w:r w:rsidR="00761FCD" w:rsidRPr="00423297">
        <w:t xml:space="preserve"> to the</w:t>
      </w:r>
      <w:r w:rsidRPr="00423297">
        <w:t>ir</w:t>
      </w:r>
      <w:r w:rsidR="00761FCD" w:rsidRPr="00423297">
        <w:t xml:space="preserve"> needs</w:t>
      </w:r>
      <w:r w:rsidR="00E36E8C" w:rsidRPr="00423297">
        <w:t>;</w:t>
      </w:r>
    </w:p>
    <w:p w14:paraId="65BD6011" w14:textId="7523A8CF" w:rsidR="00E926CC" w:rsidRPr="00423297" w:rsidRDefault="00CF3368" w:rsidP="00EF2CCA">
      <w:pPr>
        <w:pStyle w:val="subparaa"/>
      </w:pPr>
      <w:r w:rsidRPr="00423297">
        <w:lastRenderedPageBreak/>
        <w:t xml:space="preserve">using </w:t>
      </w:r>
      <w:r w:rsidR="00761FCD" w:rsidRPr="00423297">
        <w:t xml:space="preserve">sales processes that </w:t>
      </w:r>
      <w:r w:rsidR="00E36E8C" w:rsidRPr="00423297">
        <w:t xml:space="preserve">pressure </w:t>
      </w:r>
      <w:r w:rsidR="00761FCD" w:rsidRPr="00423297">
        <w:t>consumers</w:t>
      </w:r>
      <w:r w:rsidR="00E36E8C" w:rsidRPr="00423297">
        <w:t xml:space="preserve"> to take up offers of credit on short notice, contrary to the responsible lending obligations</w:t>
      </w:r>
      <w:r w:rsidR="00772265" w:rsidRPr="00423297">
        <w:t>; and</w:t>
      </w:r>
    </w:p>
    <w:p w14:paraId="16EC2C3F" w14:textId="284649ED" w:rsidR="00C81B5F" w:rsidRPr="00423297" w:rsidRDefault="00CF3368" w:rsidP="00D8724F">
      <w:pPr>
        <w:pStyle w:val="subparaa"/>
      </w:pPr>
      <w:proofErr w:type="gramStart"/>
      <w:r w:rsidRPr="00423297">
        <w:t>providing</w:t>
      </w:r>
      <w:proofErr w:type="gramEnd"/>
      <w:r w:rsidR="00246518" w:rsidRPr="00423297">
        <w:t xml:space="preserve"> financial product advice </w:t>
      </w:r>
      <w:r w:rsidR="00772265" w:rsidRPr="00423297">
        <w:t>to</w:t>
      </w:r>
      <w:r w:rsidR="00B512DD" w:rsidRPr="00423297">
        <w:t xml:space="preserve"> </w:t>
      </w:r>
      <w:r w:rsidR="00F30F85" w:rsidRPr="00423297">
        <w:t>consumers suggesting that they</w:t>
      </w:r>
      <w:r w:rsidR="00772265" w:rsidRPr="00423297">
        <w:t xml:space="preserve"> purchase an interest in a time-sharing scheme </w:t>
      </w:r>
      <w:r w:rsidR="00F30F85" w:rsidRPr="00423297">
        <w:t>when it</w:t>
      </w:r>
      <w:r w:rsidR="006553A3" w:rsidRPr="00423297">
        <w:t xml:space="preserve"> may not </w:t>
      </w:r>
      <w:r w:rsidR="00246518" w:rsidRPr="00423297">
        <w:t>be in the best interests of the consumer</w:t>
      </w:r>
      <w:r w:rsidR="00E36E8C" w:rsidRPr="00423297">
        <w:t>.</w:t>
      </w:r>
    </w:p>
    <w:p w14:paraId="0CD5F731" w14:textId="77777777" w:rsidR="00F41F16" w:rsidRPr="00423297" w:rsidRDefault="00F41F16" w:rsidP="00F41F16">
      <w:pPr>
        <w:pStyle w:val="BodyText"/>
      </w:pPr>
      <w:r w:rsidRPr="00423297">
        <w:t xml:space="preserve">The consumer research found that: </w:t>
      </w:r>
    </w:p>
    <w:p w14:paraId="3B3FBA9D" w14:textId="77777777" w:rsidR="00264BBE" w:rsidRPr="00423297" w:rsidRDefault="00F41F16" w:rsidP="00F41F16">
      <w:pPr>
        <w:pStyle w:val="subparaa"/>
      </w:pPr>
      <w:r w:rsidRPr="00423297">
        <w:t>all participants were offered at least one incentive to attend the sales presentation and attended primarily to receive that incentive</w:t>
      </w:r>
      <w:r w:rsidR="00264BBE" w:rsidRPr="00423297">
        <w:t>;</w:t>
      </w:r>
      <w:r w:rsidRPr="00423297">
        <w:t xml:space="preserve"> </w:t>
      </w:r>
    </w:p>
    <w:p w14:paraId="41002429" w14:textId="26D73F5B" w:rsidR="00F41F16" w:rsidRPr="00423297" w:rsidRDefault="00F41F16" w:rsidP="00F41F16">
      <w:pPr>
        <w:pStyle w:val="subparaa"/>
      </w:pPr>
      <w:r w:rsidRPr="00423297">
        <w:t>few participants understood that the sales presentation related to purchasing an interest in a time-sharing scheme</w:t>
      </w:r>
      <w:r w:rsidR="00264BBE" w:rsidRPr="00423297">
        <w:t>;</w:t>
      </w:r>
    </w:p>
    <w:p w14:paraId="0DD3DB8E" w14:textId="6DB85692" w:rsidR="00264BBE" w:rsidRPr="00423297" w:rsidRDefault="00264BBE" w:rsidP="00F41F16">
      <w:pPr>
        <w:pStyle w:val="subparaa"/>
      </w:pPr>
      <w:proofErr w:type="gramStart"/>
      <w:r w:rsidRPr="00423297">
        <w:t>participants</w:t>
      </w:r>
      <w:proofErr w:type="gramEnd"/>
      <w:r w:rsidRPr="00423297">
        <w:t xml:space="preserve"> were offered </w:t>
      </w:r>
      <w:r w:rsidR="00D61E78">
        <w:t>‘</w:t>
      </w:r>
      <w:r w:rsidRPr="00423297">
        <w:t>exclusive</w:t>
      </w:r>
      <w:r w:rsidR="00D61E78">
        <w:t>’</w:t>
      </w:r>
      <w:r w:rsidRPr="00423297">
        <w:t xml:space="preserve"> incentives if they signed up on the spot. </w:t>
      </w:r>
      <w:r w:rsidR="00F30F85" w:rsidRPr="00423297">
        <w:t>Operators and promoters used h</w:t>
      </w:r>
      <w:r w:rsidRPr="00423297">
        <w:t>igh</w:t>
      </w:r>
      <w:r w:rsidR="00F30F85" w:rsidRPr="00423297">
        <w:t>-</w:t>
      </w:r>
      <w:r w:rsidRPr="00423297">
        <w:t xml:space="preserve">pressure sales tactics </w:t>
      </w:r>
      <w:r w:rsidR="00F30F85" w:rsidRPr="00423297">
        <w:t>that</w:t>
      </w:r>
      <w:r w:rsidRPr="00423297">
        <w:t xml:space="preserve"> focus</w:t>
      </w:r>
      <w:r w:rsidR="00F30F85" w:rsidRPr="00423297">
        <w:t>ed</w:t>
      </w:r>
      <w:r w:rsidRPr="00423297">
        <w:t xml:space="preserve"> on the potential benefits of membership</w:t>
      </w:r>
      <w:r w:rsidR="00F30F85" w:rsidRPr="00423297">
        <w:t>,</w:t>
      </w:r>
      <w:r w:rsidRPr="00423297">
        <w:t xml:space="preserve"> without explaining the total costs or discuss</w:t>
      </w:r>
      <w:r w:rsidR="00F30F85" w:rsidRPr="00423297">
        <w:t>ing</w:t>
      </w:r>
      <w:r w:rsidRPr="00423297">
        <w:t xml:space="preserve"> the participant</w:t>
      </w:r>
      <w:r w:rsidR="00D61E78">
        <w:t>’</w:t>
      </w:r>
      <w:r w:rsidRPr="00423297">
        <w:t>s needs or whether they could afford it;</w:t>
      </w:r>
    </w:p>
    <w:p w14:paraId="7F92126C" w14:textId="77777777" w:rsidR="00264BBE" w:rsidRPr="00423297" w:rsidRDefault="00264BBE" w:rsidP="00F41F16">
      <w:pPr>
        <w:pStyle w:val="subparaa"/>
      </w:pPr>
      <w:r w:rsidRPr="00423297">
        <w:t>participants got caught up in the excitement and reported feeling compelled to decide based only on the information available to them at the time;</w:t>
      </w:r>
    </w:p>
    <w:p w14:paraId="121F0433" w14:textId="3224DEE9" w:rsidR="00264BBE" w:rsidRPr="00423297" w:rsidRDefault="00264BBE" w:rsidP="00F41F16">
      <w:pPr>
        <w:pStyle w:val="subparaa"/>
      </w:pPr>
      <w:r w:rsidRPr="00423297">
        <w:t xml:space="preserve">most participants </w:t>
      </w:r>
      <w:r w:rsidR="00F30F85" w:rsidRPr="00423297">
        <w:t>felt</w:t>
      </w:r>
      <w:r w:rsidRPr="00423297">
        <w:t xml:space="preserve"> they would have benefited from walking away to research or consult with others before committing to the purchase;</w:t>
      </w:r>
    </w:p>
    <w:p w14:paraId="3F84F22D" w14:textId="1BAC52F1" w:rsidR="00264BBE" w:rsidRPr="00423297" w:rsidRDefault="00264BBE" w:rsidP="00F41F16">
      <w:pPr>
        <w:pStyle w:val="subparaa"/>
      </w:pPr>
      <w:proofErr w:type="gramStart"/>
      <w:r w:rsidRPr="00423297">
        <w:t>participants</w:t>
      </w:r>
      <w:proofErr w:type="gramEnd"/>
      <w:r w:rsidRPr="00423297">
        <w:t xml:space="preserve"> </w:t>
      </w:r>
      <w:r w:rsidR="00F30F85" w:rsidRPr="00423297">
        <w:t>found it</w:t>
      </w:r>
      <w:r w:rsidRPr="00423297">
        <w:t xml:space="preserve"> easy to get a loan. As the application was made without access to financial records, their income, financial commitments and other information was all </w:t>
      </w:r>
      <w:r w:rsidR="00F30F85" w:rsidRPr="00423297">
        <w:t>estimated, without reference to documentation</w:t>
      </w:r>
      <w:r w:rsidRPr="00423297">
        <w:t>. Most participants did not consider the total cost of membership over the term of the loan, including interest charges</w:t>
      </w:r>
      <w:r w:rsidR="00F43FB5" w:rsidRPr="00423297">
        <w:t>;</w:t>
      </w:r>
    </w:p>
    <w:p w14:paraId="42AEBB80" w14:textId="038BEA06" w:rsidR="00264BBE" w:rsidRPr="00423297" w:rsidRDefault="00264BBE" w:rsidP="00F41F16">
      <w:pPr>
        <w:pStyle w:val="subparaa"/>
      </w:pPr>
      <w:r w:rsidRPr="00423297">
        <w:t>participants could not recall receiving financial advice about whether the purchase was suitable for them based on their overall objectives, financial situation and needs; and</w:t>
      </w:r>
    </w:p>
    <w:p w14:paraId="50AF38D1" w14:textId="2C16A2AF" w:rsidR="00F30F85" w:rsidRPr="00423297" w:rsidRDefault="00264BBE" w:rsidP="008250FD">
      <w:pPr>
        <w:pStyle w:val="subparaa"/>
      </w:pPr>
      <w:proofErr w:type="gramStart"/>
      <w:r w:rsidRPr="00423297">
        <w:t>few</w:t>
      </w:r>
      <w:proofErr w:type="gramEnd"/>
      <w:r w:rsidRPr="00423297">
        <w:t xml:space="preserve"> participants recalled receiving a</w:t>
      </w:r>
      <w:r w:rsidR="002605FD" w:rsidRPr="00423297">
        <w:t>n</w:t>
      </w:r>
      <w:r w:rsidRPr="00423297">
        <w:t xml:space="preserve"> </w:t>
      </w:r>
      <w:r w:rsidR="003B5FB0" w:rsidRPr="00423297">
        <w:t>S</w:t>
      </w:r>
      <w:r w:rsidR="002605FD" w:rsidRPr="00423297">
        <w:t>O</w:t>
      </w:r>
      <w:r w:rsidR="003B5FB0" w:rsidRPr="00423297">
        <w:t>A</w:t>
      </w:r>
      <w:r w:rsidR="00F30F85" w:rsidRPr="00423297">
        <w:t>.</w:t>
      </w:r>
    </w:p>
    <w:p w14:paraId="0E4A966B" w14:textId="6E0A25AB" w:rsidR="00264BBE" w:rsidRPr="00423297" w:rsidRDefault="00F30F85" w:rsidP="00EC0071">
      <w:pPr>
        <w:pStyle w:val="Note"/>
      </w:pPr>
      <w:r w:rsidRPr="00423297">
        <w:t>Note</w:t>
      </w:r>
      <w:r w:rsidR="00264BBE" w:rsidRPr="00423297">
        <w:t xml:space="preserve">: </w:t>
      </w:r>
      <w:r w:rsidRPr="00423297">
        <w:t>S</w:t>
      </w:r>
      <w:r w:rsidR="00264BBE" w:rsidRPr="00423297">
        <w:t xml:space="preserve">ee </w:t>
      </w:r>
      <w:hyperlink r:id="rId24" w:history="1">
        <w:r w:rsidR="00264BBE" w:rsidRPr="00423297">
          <w:rPr>
            <w:rStyle w:val="Hyperlink"/>
          </w:rPr>
          <w:t>REP 642</w:t>
        </w:r>
      </w:hyperlink>
      <w:r w:rsidR="00264BBE" w:rsidRPr="00423297">
        <w:t xml:space="preserve"> at paragraphs 48–68, 76 and 82–83.</w:t>
      </w:r>
    </w:p>
    <w:p w14:paraId="7502D7DA" w14:textId="7B6BF01B" w:rsidR="0089706C" w:rsidRPr="00423297" w:rsidRDefault="003149D5" w:rsidP="008250FD">
      <w:pPr>
        <w:pStyle w:val="Heading3"/>
      </w:pPr>
      <w:r w:rsidRPr="00423297">
        <w:t xml:space="preserve">Dilution of </w:t>
      </w:r>
      <w:r w:rsidR="005C1074" w:rsidRPr="00423297">
        <w:t>member interests in</w:t>
      </w:r>
      <w:r w:rsidR="0089706C" w:rsidRPr="00423297">
        <w:t xml:space="preserve"> points-based </w:t>
      </w:r>
      <w:r w:rsidR="00C74B7C" w:rsidRPr="00423297">
        <w:t>programs</w:t>
      </w:r>
    </w:p>
    <w:p w14:paraId="091FAECD" w14:textId="2CB1ECCF" w:rsidR="0089706C" w:rsidRPr="00423297" w:rsidRDefault="0089706C" w:rsidP="008A35F9">
      <w:pPr>
        <w:pStyle w:val="BodyText"/>
      </w:pPr>
      <w:r w:rsidRPr="00423297">
        <w:t xml:space="preserve">The existing </w:t>
      </w:r>
      <w:r w:rsidR="00477AAD" w:rsidRPr="00423297">
        <w:t>regulator</w:t>
      </w:r>
      <w:r w:rsidRPr="00423297">
        <w:t xml:space="preserve">y settings </w:t>
      </w:r>
      <w:r w:rsidR="004F1CCD" w:rsidRPr="00423297">
        <w:t xml:space="preserve">have not </w:t>
      </w:r>
      <w:r w:rsidR="00457C6C" w:rsidRPr="00423297">
        <w:t>expressly prescribed</w:t>
      </w:r>
      <w:r w:rsidR="00762A42" w:rsidRPr="00423297">
        <w:t xml:space="preserve"> </w:t>
      </w:r>
      <w:r w:rsidRPr="00423297">
        <w:t xml:space="preserve">adequate compliance or audit controls </w:t>
      </w:r>
      <w:r w:rsidR="00A641FD" w:rsidRPr="00423297">
        <w:t>to</w:t>
      </w:r>
      <w:r w:rsidRPr="00423297">
        <w:t xml:space="preserve"> protect members in points-based </w:t>
      </w:r>
      <w:r w:rsidR="00C74B7C" w:rsidRPr="00423297">
        <w:t>programs</w:t>
      </w:r>
      <w:r w:rsidRPr="00423297">
        <w:t xml:space="preserve"> from having their interest devalued or diluted through the issue of new interests in the scheme.</w:t>
      </w:r>
      <w:r w:rsidR="00950422" w:rsidRPr="00423297">
        <w:t xml:space="preserve"> </w:t>
      </w:r>
      <w:r w:rsidR="00CD79C2" w:rsidRPr="00423297">
        <w:t>Th</w:t>
      </w:r>
      <w:r w:rsidR="004475B3" w:rsidRPr="00423297">
        <w:t>is</w:t>
      </w:r>
      <w:r w:rsidR="00CD79C2" w:rsidRPr="00423297">
        <w:t xml:space="preserve"> dilution </w:t>
      </w:r>
      <w:r w:rsidR="003E4177" w:rsidRPr="00423297">
        <w:t>can occur where operators incorrectly issue points ag</w:t>
      </w:r>
      <w:r w:rsidR="00A3486F" w:rsidRPr="00423297">
        <w:t>a</w:t>
      </w:r>
      <w:r w:rsidR="003E4177" w:rsidRPr="00423297">
        <w:t xml:space="preserve">inst the accommodation assets in the scheme. </w:t>
      </w:r>
      <w:r w:rsidR="001E57D0" w:rsidRPr="00423297">
        <w:t>When this happens</w:t>
      </w:r>
      <w:r w:rsidR="003E4177" w:rsidRPr="00423297">
        <w:t>, consumers</w:t>
      </w:r>
      <w:r w:rsidR="008A35F9" w:rsidRPr="00423297">
        <w:t xml:space="preserve"> may</w:t>
      </w:r>
      <w:r w:rsidR="003E4177" w:rsidRPr="00423297">
        <w:t xml:space="preserve"> </w:t>
      </w:r>
      <w:r w:rsidR="003959EB" w:rsidRPr="00423297">
        <w:t xml:space="preserve">find it more difficult to access accommodation when they want or </w:t>
      </w:r>
      <w:r w:rsidR="008A35F9" w:rsidRPr="00423297">
        <w:t xml:space="preserve">obtain </w:t>
      </w:r>
      <w:r w:rsidR="001E57D0" w:rsidRPr="00423297">
        <w:t xml:space="preserve">the promoted </w:t>
      </w:r>
      <w:r w:rsidR="008A35F9" w:rsidRPr="00423297">
        <w:t>benefits</w:t>
      </w:r>
      <w:r w:rsidR="001E57D0" w:rsidRPr="00423297">
        <w:t>.</w:t>
      </w:r>
    </w:p>
    <w:p w14:paraId="1F819177" w14:textId="77777777" w:rsidR="0089706C" w:rsidRPr="00423297" w:rsidRDefault="0089706C" w:rsidP="008250FD">
      <w:pPr>
        <w:pStyle w:val="Heading3"/>
      </w:pPr>
      <w:r w:rsidRPr="00423297">
        <w:lastRenderedPageBreak/>
        <w:t>Unnecessary compliance burdens</w:t>
      </w:r>
    </w:p>
    <w:p w14:paraId="48B65567" w14:textId="52BB7393" w:rsidR="0089706C" w:rsidRPr="00423297" w:rsidRDefault="0089706C" w:rsidP="00D8724F">
      <w:pPr>
        <w:pStyle w:val="BodyText"/>
      </w:pPr>
      <w:bookmarkStart w:id="90" w:name="_ASICRef589"/>
      <w:r w:rsidRPr="00423297">
        <w:t xml:space="preserve">The existing </w:t>
      </w:r>
      <w:r w:rsidR="002C38BD" w:rsidRPr="00423297">
        <w:t>regulator</w:t>
      </w:r>
      <w:r w:rsidRPr="00423297">
        <w:t>y settings impose unnecessary compliance burdens on the industry</w:t>
      </w:r>
      <w:r w:rsidR="006553A3" w:rsidRPr="00423297">
        <w:t>—</w:t>
      </w:r>
      <w:r w:rsidRPr="00423297">
        <w:t>with the costs ultimately borne by members</w:t>
      </w:r>
      <w:r w:rsidR="006553A3" w:rsidRPr="00423297">
        <w:t>—</w:t>
      </w:r>
      <w:r w:rsidR="009C1EE2" w:rsidRPr="00423297">
        <w:t>because</w:t>
      </w:r>
      <w:r w:rsidRPr="00423297">
        <w:t>:</w:t>
      </w:r>
      <w:bookmarkEnd w:id="90"/>
    </w:p>
    <w:p w14:paraId="43EF50BD" w14:textId="7C4DBBDF" w:rsidR="0089706C" w:rsidRPr="00423297" w:rsidRDefault="009C1EE2" w:rsidP="00D8724F">
      <w:pPr>
        <w:pStyle w:val="subparaa"/>
      </w:pPr>
      <w:r w:rsidRPr="00423297">
        <w:t xml:space="preserve">they </w:t>
      </w:r>
      <w:r w:rsidR="007A376B" w:rsidRPr="00423297">
        <w:t>requir</w:t>
      </w:r>
      <w:r w:rsidRPr="00423297">
        <w:t xml:space="preserve">e </w:t>
      </w:r>
      <w:r w:rsidR="0089706C" w:rsidRPr="00423297">
        <w:t xml:space="preserve">trust accounts for rental pools and levies to be audited every </w:t>
      </w:r>
      <w:r w:rsidR="006553A3" w:rsidRPr="00423297">
        <w:t>six</w:t>
      </w:r>
      <w:r w:rsidR="0089706C" w:rsidRPr="00423297">
        <w:t xml:space="preserve"> months, instead of </w:t>
      </w:r>
      <w:r w:rsidR="00295A1B" w:rsidRPr="00423297">
        <w:t>the annual</w:t>
      </w:r>
      <w:r w:rsidR="0089706C" w:rsidRPr="00423297">
        <w:t xml:space="preserve"> audit requirements </w:t>
      </w:r>
      <w:r w:rsidR="00295A1B" w:rsidRPr="00423297">
        <w:t xml:space="preserve">imposed on </w:t>
      </w:r>
      <w:r w:rsidR="0089706C" w:rsidRPr="00423297">
        <w:t>comparable trust accounts; and</w:t>
      </w:r>
    </w:p>
    <w:p w14:paraId="4EF935E8" w14:textId="5D22A42B" w:rsidR="0089706C" w:rsidRPr="00423297" w:rsidRDefault="00B03D20" w:rsidP="00D8724F">
      <w:pPr>
        <w:pStyle w:val="subparaa"/>
      </w:pPr>
      <w:proofErr w:type="gramStart"/>
      <w:r w:rsidRPr="00423297">
        <w:t>there</w:t>
      </w:r>
      <w:proofErr w:type="gramEnd"/>
      <w:r w:rsidRPr="00423297">
        <w:t xml:space="preserve"> are some inconsistencies in the current settings that create uncertainty.</w:t>
      </w:r>
    </w:p>
    <w:p w14:paraId="3E9BB294" w14:textId="6026E3BD" w:rsidR="00865D80" w:rsidRPr="00423297" w:rsidRDefault="00865D80" w:rsidP="00CF708C">
      <w:pPr>
        <w:pStyle w:val="Heading1"/>
      </w:pPr>
      <w:bookmarkStart w:id="91" w:name="_Toc4423240"/>
      <w:bookmarkStart w:id="92" w:name="_Toc4423244"/>
      <w:bookmarkStart w:id="93" w:name="_Toc4423245"/>
      <w:bookmarkStart w:id="94" w:name="_Toc4423247"/>
      <w:bookmarkStart w:id="95" w:name="_Toc4423248"/>
      <w:bookmarkStart w:id="96" w:name="_Toc4423249"/>
      <w:bookmarkStart w:id="97" w:name="_Toc5365763"/>
      <w:bookmarkStart w:id="98" w:name="_Toc36467233"/>
      <w:bookmarkStart w:id="99" w:name="_Toc56669423"/>
      <w:bookmarkEnd w:id="91"/>
      <w:bookmarkEnd w:id="92"/>
      <w:bookmarkEnd w:id="93"/>
      <w:bookmarkEnd w:id="94"/>
      <w:bookmarkEnd w:id="95"/>
      <w:bookmarkEnd w:id="96"/>
      <w:r w:rsidRPr="00423297">
        <w:lastRenderedPageBreak/>
        <w:t xml:space="preserve">Why is Government </w:t>
      </w:r>
      <w:r w:rsidR="00423DE8" w:rsidRPr="00423297">
        <w:t>action required?</w:t>
      </w:r>
      <w:bookmarkEnd w:id="97"/>
      <w:bookmarkEnd w:id="98"/>
      <w:bookmarkEnd w:id="99"/>
    </w:p>
    <w:p w14:paraId="2B98996E" w14:textId="406D7CE0" w:rsidR="00EA67F1" w:rsidRPr="00423297" w:rsidRDefault="002C38BD" w:rsidP="00D8724F">
      <w:pPr>
        <w:pStyle w:val="BodyText"/>
      </w:pPr>
      <w:r w:rsidRPr="00423297">
        <w:t xml:space="preserve">Time-sharing schemes are </w:t>
      </w:r>
      <w:r w:rsidR="007021D4">
        <w:t xml:space="preserve">specifically </w:t>
      </w:r>
      <w:r w:rsidRPr="00423297">
        <w:t xml:space="preserve">regulated under the Corporations Act as managed investment schemes. </w:t>
      </w:r>
      <w:r w:rsidR="006553A3" w:rsidRPr="00423297">
        <w:t>We have</w:t>
      </w:r>
      <w:r w:rsidRPr="00423297">
        <w:t xml:space="preserve"> previously</w:t>
      </w:r>
      <w:r w:rsidR="004F1CCD" w:rsidRPr="00423297">
        <w:t xml:space="preserve"> modified the Corporations Act</w:t>
      </w:r>
      <w:r w:rsidR="00EA67F1" w:rsidRPr="00423297">
        <w:t xml:space="preserve"> to:</w:t>
      </w:r>
    </w:p>
    <w:p w14:paraId="60211B13" w14:textId="7A9F9B0B" w:rsidR="004F1CCD" w:rsidRPr="00423297" w:rsidRDefault="004F1CCD" w:rsidP="00D8724F">
      <w:pPr>
        <w:pStyle w:val="subparaa"/>
      </w:pPr>
      <w:r w:rsidRPr="00423297">
        <w:t xml:space="preserve">introduce measures </w:t>
      </w:r>
      <w:r w:rsidR="00BC6A97" w:rsidRPr="00423297">
        <w:t>to reduce</w:t>
      </w:r>
      <w:r w:rsidRPr="00423297">
        <w:t xml:space="preserve"> consumer harms arising from same-day sales of long-term products with limited exit options; and</w:t>
      </w:r>
    </w:p>
    <w:p w14:paraId="2A615DAC" w14:textId="2C6EFBA6" w:rsidR="004F1CCD" w:rsidRPr="00423297" w:rsidRDefault="004F1CCD" w:rsidP="00D8724F">
      <w:pPr>
        <w:pStyle w:val="subparaa"/>
      </w:pPr>
      <w:proofErr w:type="gramStart"/>
      <w:r w:rsidRPr="00423297">
        <w:t>provide</w:t>
      </w:r>
      <w:proofErr w:type="gramEnd"/>
      <w:r w:rsidRPr="00423297">
        <w:t xml:space="preserve"> relief from certain obligations under the Corporations Act to better tailor the regulatory settings to the nature of time-sharing schemes. </w:t>
      </w:r>
    </w:p>
    <w:p w14:paraId="006F95F0" w14:textId="48543253" w:rsidR="002C38BD" w:rsidRPr="00423297" w:rsidRDefault="002C38BD" w:rsidP="00D8724F">
      <w:pPr>
        <w:pStyle w:val="BodyText"/>
      </w:pPr>
      <w:r w:rsidRPr="00423297">
        <w:t xml:space="preserve">Our </w:t>
      </w:r>
      <w:r w:rsidR="00BE610B" w:rsidRPr="00423297">
        <w:t xml:space="preserve">consultation, </w:t>
      </w:r>
      <w:r w:rsidRPr="00423297">
        <w:t>review</w:t>
      </w:r>
      <w:r w:rsidR="00BE610B" w:rsidRPr="00423297">
        <w:t>s and surveillance</w:t>
      </w:r>
      <w:r w:rsidRPr="00423297">
        <w:t xml:space="preserve"> ha</w:t>
      </w:r>
      <w:r w:rsidR="00BE610B" w:rsidRPr="00423297">
        <w:t>ve</w:t>
      </w:r>
      <w:r w:rsidRPr="00423297">
        <w:t xml:space="preserve"> highlighted that some of the measures introduced </w:t>
      </w:r>
      <w:r w:rsidR="00BC6A97" w:rsidRPr="00423297">
        <w:t>to reduce</w:t>
      </w:r>
      <w:r w:rsidRPr="00423297">
        <w:t xml:space="preserve"> </w:t>
      </w:r>
      <w:r w:rsidR="00AA7698" w:rsidRPr="00423297">
        <w:t>consumer harm</w:t>
      </w:r>
      <w:r w:rsidR="00BC6A97" w:rsidRPr="00423297">
        <w:t>s</w:t>
      </w:r>
      <w:r w:rsidRPr="00423297">
        <w:t xml:space="preserve"> have not been as effective as expected</w:t>
      </w:r>
      <w:r w:rsidR="006553A3" w:rsidRPr="00423297">
        <w:t>,</w:t>
      </w:r>
      <w:r w:rsidRPr="00423297">
        <w:t xml:space="preserve"> and some obligations imposed under the current settings may be overly burdensome on industry </w:t>
      </w:r>
      <w:r w:rsidR="00EA67F1" w:rsidRPr="00423297">
        <w:t>without delivering any benefit to consumers</w:t>
      </w:r>
      <w:r w:rsidRPr="00423297">
        <w:t>.</w:t>
      </w:r>
    </w:p>
    <w:p w14:paraId="3C4D65BC" w14:textId="40797A82" w:rsidR="004F1CCD" w:rsidRPr="00423297" w:rsidRDefault="002C38BD" w:rsidP="00D8724F">
      <w:pPr>
        <w:pStyle w:val="BodyText"/>
      </w:pPr>
      <w:r w:rsidRPr="00423297">
        <w:t>As a result</w:t>
      </w:r>
      <w:r w:rsidR="00CC6040" w:rsidRPr="00423297">
        <w:t>,</w:t>
      </w:r>
      <w:r w:rsidRPr="00423297">
        <w:t xml:space="preserve"> we consider </w:t>
      </w:r>
      <w:r w:rsidR="004F1CCD" w:rsidRPr="00423297">
        <w:t xml:space="preserve">action is required </w:t>
      </w:r>
      <w:r w:rsidR="00B3280B" w:rsidRPr="00423297">
        <w:t>to</w:t>
      </w:r>
      <w:r w:rsidR="004F1CCD" w:rsidRPr="00423297">
        <w:t>:</w:t>
      </w:r>
    </w:p>
    <w:p w14:paraId="0044AA41" w14:textId="21D61B51" w:rsidR="004F1CCD" w:rsidRPr="00423297" w:rsidRDefault="004F1CCD" w:rsidP="00D8724F">
      <w:pPr>
        <w:pStyle w:val="subparaa"/>
      </w:pPr>
      <w:proofErr w:type="gramStart"/>
      <w:r w:rsidRPr="00423297">
        <w:t>promote</w:t>
      </w:r>
      <w:proofErr w:type="gramEnd"/>
      <w:r w:rsidRPr="00423297">
        <w:t xml:space="preserve"> informed decision</w:t>
      </w:r>
      <w:r w:rsidR="00E05964" w:rsidRPr="00423297">
        <w:t xml:space="preserve"> </w:t>
      </w:r>
      <w:r w:rsidRPr="00423297">
        <w:t xml:space="preserve">making by consumers based on clear and prominent information about the </w:t>
      </w:r>
      <w:r w:rsidR="00581912" w:rsidRPr="00423297">
        <w:t>key features of time-shar</w:t>
      </w:r>
      <w:r w:rsidR="00701B9C" w:rsidRPr="00423297">
        <w:t>ing schemes</w:t>
      </w:r>
      <w:r w:rsidR="00A6390A" w:rsidRPr="00423297">
        <w:t>. This information should include</w:t>
      </w:r>
      <w:r w:rsidR="00581912" w:rsidRPr="00423297">
        <w:t xml:space="preserve"> the </w:t>
      </w:r>
      <w:r w:rsidRPr="00423297">
        <w:t>key risks, benefits, costs</w:t>
      </w:r>
      <w:r w:rsidR="00701B9C" w:rsidRPr="00423297">
        <w:t xml:space="preserve">, </w:t>
      </w:r>
      <w:r w:rsidRPr="00423297">
        <w:t>terms of membership and cooling</w:t>
      </w:r>
      <w:r w:rsidR="00E2043C" w:rsidRPr="00423297">
        <w:t>-</w:t>
      </w:r>
      <w:r w:rsidRPr="00423297">
        <w:t>off rights</w:t>
      </w:r>
      <w:r w:rsidR="00A6390A" w:rsidRPr="00423297">
        <w:t xml:space="preserve"> and should be</w:t>
      </w:r>
      <w:r w:rsidR="00D254B0" w:rsidRPr="00423297">
        <w:t xml:space="preserve"> </w:t>
      </w:r>
      <w:r w:rsidRPr="00423297">
        <w:t xml:space="preserve">disclosed to consumers </w:t>
      </w:r>
      <w:r w:rsidRPr="00423297">
        <w:rPr>
          <w:i/>
        </w:rPr>
        <w:t>before</w:t>
      </w:r>
      <w:r w:rsidRPr="00423297">
        <w:t xml:space="preserve"> they decide to purchase an interest, or </w:t>
      </w:r>
      <w:r w:rsidR="002C38BD" w:rsidRPr="00423297">
        <w:t>enter</w:t>
      </w:r>
      <w:r w:rsidRPr="00423297">
        <w:t xml:space="preserve"> a loan to purchase an interest, in the scheme;</w:t>
      </w:r>
    </w:p>
    <w:p w14:paraId="1F80BD20" w14:textId="5776C034" w:rsidR="00CC6040" w:rsidRPr="00423297" w:rsidRDefault="004F1CCD" w:rsidP="00D8724F">
      <w:pPr>
        <w:pStyle w:val="subparaa"/>
      </w:pPr>
      <w:r w:rsidRPr="00423297">
        <w:t xml:space="preserve">provide new exit options for </w:t>
      </w:r>
      <w:r w:rsidR="00701B9C" w:rsidRPr="00423297">
        <w:t>members suffering hardship</w:t>
      </w:r>
      <w:r w:rsidR="002C38BD" w:rsidRPr="00423297">
        <w:t>;</w:t>
      </w:r>
    </w:p>
    <w:p w14:paraId="654421A1" w14:textId="54C09AE4" w:rsidR="004F1CCD" w:rsidRPr="00423297" w:rsidRDefault="00CC6040" w:rsidP="00D8724F">
      <w:pPr>
        <w:pStyle w:val="subparaa"/>
      </w:pPr>
      <w:r w:rsidRPr="00423297">
        <w:t xml:space="preserve">reduce the potential for dilution of the interests of existing members </w:t>
      </w:r>
      <w:r w:rsidR="00D254B0" w:rsidRPr="00423297">
        <w:t xml:space="preserve">arising from </w:t>
      </w:r>
      <w:r w:rsidRPr="00423297">
        <w:t xml:space="preserve">the issue of new interests in </w:t>
      </w:r>
      <w:r w:rsidR="006553A3" w:rsidRPr="00423297">
        <w:t>a</w:t>
      </w:r>
      <w:r w:rsidR="00F602D3" w:rsidRPr="00423297">
        <w:t xml:space="preserve"> </w:t>
      </w:r>
      <w:r w:rsidR="006553A3" w:rsidRPr="00423297">
        <w:t xml:space="preserve">points-based </w:t>
      </w:r>
      <w:r w:rsidR="00BC6A97" w:rsidRPr="00423297">
        <w:t>program</w:t>
      </w:r>
      <w:r w:rsidRPr="00423297">
        <w:t>; and</w:t>
      </w:r>
      <w:r w:rsidR="002C38BD" w:rsidRPr="00423297">
        <w:t xml:space="preserve"> </w:t>
      </w:r>
    </w:p>
    <w:p w14:paraId="4EAC35D6" w14:textId="19C805FF" w:rsidR="002C38BD" w:rsidRPr="00423297" w:rsidRDefault="002C38BD" w:rsidP="00D8724F">
      <w:pPr>
        <w:pStyle w:val="subparaa"/>
      </w:pPr>
      <w:proofErr w:type="gramStart"/>
      <w:r w:rsidRPr="00423297">
        <w:t>reduce</w:t>
      </w:r>
      <w:proofErr w:type="gramEnd"/>
      <w:r w:rsidRPr="00423297">
        <w:t xml:space="preserve"> the regulatory burden on operators where this </w:t>
      </w:r>
      <w:r w:rsidR="00237511" w:rsidRPr="00423297">
        <w:t>would</w:t>
      </w:r>
      <w:r w:rsidRPr="00423297">
        <w:t xml:space="preserve"> not result in a reduction in consumer protection.</w:t>
      </w:r>
    </w:p>
    <w:p w14:paraId="4DE90A82" w14:textId="7938A409" w:rsidR="00906618" w:rsidRPr="00423297" w:rsidRDefault="00D254B0" w:rsidP="00D8724F">
      <w:pPr>
        <w:pStyle w:val="BodyText"/>
      </w:pPr>
      <w:r w:rsidRPr="00423297">
        <w:t xml:space="preserve">Our review has also highlighted </w:t>
      </w:r>
      <w:r w:rsidR="00237511" w:rsidRPr="00423297">
        <w:t>that we</w:t>
      </w:r>
      <w:r w:rsidR="00CC6040" w:rsidRPr="00423297">
        <w:t xml:space="preserve"> need to update </w:t>
      </w:r>
      <w:r w:rsidR="00237511" w:rsidRPr="00423297">
        <w:t>our</w:t>
      </w:r>
      <w:r w:rsidR="00CC6040" w:rsidRPr="00423297">
        <w:t xml:space="preserve"> regulatory guidance </w:t>
      </w:r>
      <w:r w:rsidR="00906618" w:rsidRPr="00423297">
        <w:t>to ensure that</w:t>
      </w:r>
      <w:r w:rsidR="00B73082" w:rsidRPr="00423297">
        <w:t xml:space="preserve"> </w:t>
      </w:r>
      <w:r w:rsidR="00906618" w:rsidRPr="00423297">
        <w:t>the time-shar</w:t>
      </w:r>
      <w:r w:rsidR="00237511" w:rsidRPr="00423297">
        <w:t>ing</w:t>
      </w:r>
      <w:r w:rsidR="00906618" w:rsidRPr="00423297">
        <w:t xml:space="preserve"> industry understands </w:t>
      </w:r>
      <w:r w:rsidR="00237511" w:rsidRPr="00423297">
        <w:t>our</w:t>
      </w:r>
      <w:r w:rsidR="00CC6040" w:rsidRPr="00423297">
        <w:t xml:space="preserve"> interpretation of the </w:t>
      </w:r>
      <w:r w:rsidR="00906618" w:rsidRPr="00423297">
        <w:t>existing obligations</w:t>
      </w:r>
      <w:r w:rsidRPr="00423297">
        <w:t>, and the application of these obligations to the industry</w:t>
      </w:r>
      <w:r w:rsidR="00CC6040" w:rsidRPr="00423297">
        <w:t>.</w:t>
      </w:r>
    </w:p>
    <w:p w14:paraId="44AC0189" w14:textId="16541393" w:rsidR="00A6390A" w:rsidRPr="00423297" w:rsidRDefault="00A6390A" w:rsidP="00A6390A">
      <w:pPr>
        <w:pStyle w:val="BodyText"/>
      </w:pPr>
      <w:r w:rsidRPr="00423297">
        <w:t xml:space="preserve">Although our review </w:t>
      </w:r>
      <w:r w:rsidR="00B8067E" w:rsidRPr="00423297">
        <w:t xml:space="preserve">and </w:t>
      </w:r>
      <w:r w:rsidR="00B816E3" w:rsidRPr="00423297">
        <w:t xml:space="preserve">findings from </w:t>
      </w:r>
      <w:r w:rsidR="00F84C40" w:rsidRPr="00423297">
        <w:t>the consumer research</w:t>
      </w:r>
      <w:r w:rsidR="00B8067E" w:rsidRPr="00423297">
        <w:t xml:space="preserve"> </w:t>
      </w:r>
      <w:r w:rsidR="004475B3" w:rsidRPr="00423297">
        <w:t>(</w:t>
      </w:r>
      <w:r w:rsidR="00B816E3" w:rsidRPr="00423297">
        <w:t xml:space="preserve">outlined in </w:t>
      </w:r>
      <w:hyperlink r:id="rId25" w:history="1">
        <w:r w:rsidR="00B816E3" w:rsidRPr="00423297">
          <w:rPr>
            <w:rStyle w:val="Hyperlink"/>
          </w:rPr>
          <w:t>REP 642</w:t>
        </w:r>
      </w:hyperlink>
      <w:r w:rsidR="004475B3" w:rsidRPr="00423297">
        <w:t>)</w:t>
      </w:r>
      <w:r w:rsidR="00B816E3" w:rsidRPr="00423297">
        <w:t xml:space="preserve"> </w:t>
      </w:r>
      <w:r w:rsidRPr="00423297">
        <w:t xml:space="preserve">showed deficiencies in the </w:t>
      </w:r>
      <w:r w:rsidR="00B8067E" w:rsidRPr="00423297">
        <w:t>existing</w:t>
      </w:r>
      <w:r w:rsidRPr="00423297">
        <w:t xml:space="preserve"> cooling-off model, we consider further consultation is required for a measured response to the problem of pressure</w:t>
      </w:r>
      <w:r w:rsidR="00C74B7C" w:rsidRPr="00423297">
        <w:t xml:space="preserve"> </w:t>
      </w:r>
      <w:r w:rsidRPr="00423297">
        <w:t>selling in the time-sharing industry.</w:t>
      </w:r>
    </w:p>
    <w:p w14:paraId="552636D9" w14:textId="7FF05FDE" w:rsidR="00423DE8" w:rsidRPr="00423297" w:rsidRDefault="00423DE8" w:rsidP="00423DE8">
      <w:pPr>
        <w:pStyle w:val="Heading1"/>
      </w:pPr>
      <w:bookmarkStart w:id="100" w:name="_Ref4164018"/>
      <w:bookmarkStart w:id="101" w:name="_Toc5365764"/>
      <w:bookmarkStart w:id="102" w:name="_Toc36467234"/>
      <w:bookmarkStart w:id="103" w:name="_Toc56669424"/>
      <w:r w:rsidRPr="00423297">
        <w:lastRenderedPageBreak/>
        <w:t>Options under consideration</w:t>
      </w:r>
      <w:bookmarkEnd w:id="100"/>
      <w:bookmarkEnd w:id="101"/>
      <w:bookmarkEnd w:id="102"/>
      <w:bookmarkEnd w:id="103"/>
    </w:p>
    <w:p w14:paraId="7D333AF8" w14:textId="2BB2C960" w:rsidR="00B87D7B" w:rsidRPr="00423297" w:rsidRDefault="001F4D3A" w:rsidP="00D8724F">
      <w:pPr>
        <w:pStyle w:val="BodyText"/>
      </w:pPr>
      <w:r w:rsidRPr="00423297">
        <w:t xml:space="preserve">This RIS considers the following </w:t>
      </w:r>
      <w:r w:rsidR="00B87D7B" w:rsidRPr="00423297">
        <w:t>policy options:</w:t>
      </w:r>
    </w:p>
    <w:p w14:paraId="316A3A93" w14:textId="213392C1" w:rsidR="00B87D7B" w:rsidRPr="00423297" w:rsidRDefault="00D66E27" w:rsidP="00D8724F">
      <w:pPr>
        <w:pStyle w:val="subparaa"/>
      </w:pPr>
      <w:r w:rsidRPr="00423297">
        <w:rPr>
          <w:i/>
        </w:rPr>
        <w:t>R</w:t>
      </w:r>
      <w:r w:rsidR="00213B85" w:rsidRPr="00423297">
        <w:rPr>
          <w:i/>
        </w:rPr>
        <w:t xml:space="preserve">evised </w:t>
      </w:r>
      <w:r w:rsidR="00B87D7B" w:rsidRPr="00423297">
        <w:rPr>
          <w:i/>
        </w:rPr>
        <w:t>Option 1</w:t>
      </w:r>
      <w:r w:rsidR="00B87D7B" w:rsidRPr="00423297">
        <w:t>—Amend the policy settings</w:t>
      </w:r>
      <w:r w:rsidR="00213B85" w:rsidRPr="00423297">
        <w:t xml:space="preserve"> but maintain the exi</w:t>
      </w:r>
      <w:r w:rsidR="00C74B7C" w:rsidRPr="00423297">
        <w:t>s</w:t>
      </w:r>
      <w:r w:rsidR="00213B85" w:rsidRPr="00423297">
        <w:t>ting cooling-off model</w:t>
      </w:r>
      <w:r w:rsidR="00B87D7B" w:rsidRPr="00423297">
        <w:t>;</w:t>
      </w:r>
    </w:p>
    <w:p w14:paraId="5355E441" w14:textId="77777777" w:rsidR="00B87D7B" w:rsidRPr="00423297" w:rsidRDefault="00B87D7B" w:rsidP="00D8724F">
      <w:pPr>
        <w:pStyle w:val="subparaa"/>
      </w:pPr>
      <w:r w:rsidRPr="00423297">
        <w:rPr>
          <w:i/>
        </w:rPr>
        <w:t>Option 2</w:t>
      </w:r>
      <w:r w:rsidRPr="00423297">
        <w:t xml:space="preserve">—Adopt alternative changes to the policy settings in Option 1 by introducing an opt-in regime; </w:t>
      </w:r>
    </w:p>
    <w:p w14:paraId="21227D10" w14:textId="42E5AE6D" w:rsidR="00B87D7B" w:rsidRPr="00423297" w:rsidRDefault="00B87D7B" w:rsidP="00D8724F">
      <w:pPr>
        <w:pStyle w:val="subparaa"/>
      </w:pPr>
      <w:r w:rsidRPr="00423297">
        <w:rPr>
          <w:i/>
        </w:rPr>
        <w:t>Option 3</w:t>
      </w:r>
      <w:r w:rsidRPr="00423297">
        <w:t>—Adopt alternative changes to the policy settings in Option 1 by introducing a deferred commencement date for cooling</w:t>
      </w:r>
      <w:r w:rsidR="001818E5" w:rsidRPr="00423297">
        <w:t>-</w:t>
      </w:r>
      <w:r w:rsidRPr="00423297">
        <w:t>off; and</w:t>
      </w:r>
    </w:p>
    <w:p w14:paraId="4324946C" w14:textId="77777777" w:rsidR="00B87D7B" w:rsidRPr="00423297" w:rsidRDefault="00B87D7B" w:rsidP="00D8724F">
      <w:pPr>
        <w:pStyle w:val="subparaa"/>
      </w:pPr>
      <w:r w:rsidRPr="00423297">
        <w:rPr>
          <w:i/>
        </w:rPr>
        <w:t>Option 4</w:t>
      </w:r>
      <w:r w:rsidRPr="00423297">
        <w:t>—Maintain the status quo.</w:t>
      </w:r>
    </w:p>
    <w:p w14:paraId="1A96023D" w14:textId="45A386AB" w:rsidR="00B87D7B" w:rsidRPr="00423297" w:rsidRDefault="00213B85" w:rsidP="008250FD">
      <w:pPr>
        <w:pStyle w:val="Heading2"/>
      </w:pPr>
      <w:bookmarkStart w:id="104" w:name="_Toc36467235"/>
      <w:bookmarkStart w:id="105" w:name="_Toc56669425"/>
      <w:r w:rsidRPr="00423297">
        <w:t xml:space="preserve">Revised </w:t>
      </w:r>
      <w:r w:rsidR="00B87D7B" w:rsidRPr="00423297">
        <w:t xml:space="preserve">Option 1: Amend the policy settings </w:t>
      </w:r>
      <w:r w:rsidRPr="00423297">
        <w:t>but maintain the existing cooling-off model</w:t>
      </w:r>
      <w:r w:rsidR="00052385" w:rsidRPr="00423297">
        <w:t xml:space="preserve"> </w:t>
      </w:r>
      <w:r w:rsidR="00B87D7B" w:rsidRPr="00423297">
        <w:t>(preferred option)</w:t>
      </w:r>
      <w:bookmarkEnd w:id="104"/>
      <w:bookmarkEnd w:id="105"/>
    </w:p>
    <w:p w14:paraId="4FD7EE03" w14:textId="327FAB05" w:rsidR="00B87D7B" w:rsidRPr="00423297" w:rsidRDefault="00561593" w:rsidP="008250FD">
      <w:pPr>
        <w:pStyle w:val="BodyText"/>
      </w:pPr>
      <w:bookmarkStart w:id="106" w:name="_Ref4425675"/>
      <w:r w:rsidRPr="00423297">
        <w:t xml:space="preserve">Revised </w:t>
      </w:r>
      <w:r w:rsidR="00B87D7B" w:rsidRPr="00423297">
        <w:t xml:space="preserve">Option 1 entails amending the conditions attached to </w:t>
      </w:r>
      <w:bookmarkStart w:id="107" w:name="_Hlk9597205"/>
      <w:r w:rsidR="002C4A2F" w:rsidRPr="00423297">
        <w:fldChar w:fldCharType="begin"/>
      </w:r>
      <w:r w:rsidR="002C4A2F" w:rsidRPr="00423297">
        <w:instrText xml:space="preserve"> HYPERLINK "https://www.legislation.gov.au/current/F2017L00315" </w:instrText>
      </w:r>
      <w:r w:rsidR="002C4A2F" w:rsidRPr="00423297">
        <w:fldChar w:fldCharType="separate"/>
      </w:r>
      <w:r w:rsidR="002C4A2F" w:rsidRPr="00423297">
        <w:rPr>
          <w:rStyle w:val="Hyperlink"/>
        </w:rPr>
        <w:t>ASIC Corporations (Time-sharing Schemes) Instrument 2017/272</w:t>
      </w:r>
      <w:r w:rsidR="002C4A2F" w:rsidRPr="00423297">
        <w:rPr>
          <w:rStyle w:val="Hyperlink"/>
        </w:rPr>
        <w:fldChar w:fldCharType="end"/>
      </w:r>
      <w:bookmarkEnd w:id="107"/>
      <w:r w:rsidR="00B87D7B" w:rsidRPr="00423297">
        <w:t xml:space="preserve"> to</w:t>
      </w:r>
      <w:bookmarkEnd w:id="106"/>
      <w:r w:rsidR="00B87D7B" w:rsidRPr="00423297">
        <w:t xml:space="preserve"> strengthen consumer protection</w:t>
      </w:r>
      <w:r w:rsidR="006567EF" w:rsidRPr="00423297">
        <w:t xml:space="preserve"> </w:t>
      </w:r>
      <w:r w:rsidR="008A35F9" w:rsidRPr="00423297">
        <w:t>and remove some regulatory burden on industry.</w:t>
      </w:r>
      <w:r w:rsidR="003E273D" w:rsidRPr="00423297">
        <w:t xml:space="preserve"> </w:t>
      </w:r>
    </w:p>
    <w:p w14:paraId="234BB1A1" w14:textId="3AF47774" w:rsidR="00237511" w:rsidRPr="00423297" w:rsidRDefault="00237511" w:rsidP="00237511">
      <w:pPr>
        <w:pStyle w:val="BodyText"/>
      </w:pPr>
      <w:r w:rsidRPr="00423297">
        <w:t xml:space="preserve">We </w:t>
      </w:r>
      <w:r w:rsidR="00F4524C" w:rsidRPr="00423297">
        <w:t xml:space="preserve">propose </w:t>
      </w:r>
      <w:r w:rsidR="00213B85" w:rsidRPr="00423297">
        <w:t xml:space="preserve">to </w:t>
      </w:r>
      <w:r w:rsidRPr="00423297">
        <w:t xml:space="preserve">do this through the introduction of the enhanced or new requirements in </w:t>
      </w:r>
      <w:r w:rsidRPr="00423297">
        <w:fldChar w:fldCharType="begin"/>
      </w:r>
      <w:r w:rsidRPr="00423297">
        <w:instrText xml:space="preserve"> REF _Ref14851795 \h </w:instrText>
      </w:r>
      <w:r w:rsidR="008D3172" w:rsidRPr="00423297">
        <w:instrText xml:space="preserve"> \* MERGEFORMAT </w:instrText>
      </w:r>
      <w:r w:rsidRPr="00423297">
        <w:fldChar w:fldCharType="separate"/>
      </w:r>
      <w:r w:rsidR="00B92808" w:rsidRPr="00423297">
        <w:t xml:space="preserve">Table </w:t>
      </w:r>
      <w:r w:rsidR="00B92808">
        <w:rPr>
          <w:noProof/>
        </w:rPr>
        <w:t>2</w:t>
      </w:r>
      <w:r w:rsidRPr="00423297">
        <w:fldChar w:fldCharType="end"/>
      </w:r>
      <w:r w:rsidR="00F4524C" w:rsidRPr="00423297">
        <w:t>.</w:t>
      </w:r>
      <w:r w:rsidR="00900246" w:rsidRPr="00423297" w:rsidDel="00900246">
        <w:rPr>
          <w:rStyle w:val="CommentReference"/>
        </w:rPr>
        <w:t xml:space="preserve"> </w:t>
      </w:r>
    </w:p>
    <w:p w14:paraId="29EA2875" w14:textId="21EFA18F" w:rsidR="00237511" w:rsidRPr="00423297" w:rsidRDefault="00237511" w:rsidP="00532FEE">
      <w:pPr>
        <w:pStyle w:val="tabletitlefullwidth"/>
      </w:pPr>
      <w:bookmarkStart w:id="108" w:name="_Ref14851795"/>
      <w:r w:rsidRPr="00423297">
        <w:t xml:space="preserve">Table </w:t>
      </w:r>
      <w:r w:rsidRPr="00423297">
        <w:rPr>
          <w:noProof/>
        </w:rPr>
        <w:fldChar w:fldCharType="begin"/>
      </w:r>
      <w:r w:rsidRPr="00423297">
        <w:rPr>
          <w:noProof/>
        </w:rPr>
        <w:instrText xml:space="preserve"> SEQ Table \* ARABIC </w:instrText>
      </w:r>
      <w:r w:rsidRPr="00423297">
        <w:rPr>
          <w:noProof/>
        </w:rPr>
        <w:fldChar w:fldCharType="separate"/>
      </w:r>
      <w:r w:rsidR="00B92808">
        <w:rPr>
          <w:noProof/>
        </w:rPr>
        <w:t>2</w:t>
      </w:r>
      <w:r w:rsidRPr="00423297">
        <w:rPr>
          <w:noProof/>
        </w:rPr>
        <w:fldChar w:fldCharType="end"/>
      </w:r>
      <w:bookmarkEnd w:id="108"/>
      <w:r w:rsidRPr="00423297">
        <w:t>:</w:t>
      </w:r>
      <w:r w:rsidRPr="00423297">
        <w:tab/>
        <w:t>Requirements to strengthen consumer protection</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2268"/>
        <w:gridCol w:w="6804"/>
      </w:tblGrid>
      <w:tr w:rsidR="00237511" w:rsidRPr="00423297" w14:paraId="1AE52CB4" w14:textId="77777777" w:rsidTr="0027762E">
        <w:trPr>
          <w:cantSplit/>
          <w:tblHeader/>
        </w:trPr>
        <w:tc>
          <w:tcPr>
            <w:tcW w:w="2268" w:type="dxa"/>
            <w:shd w:val="clear" w:color="auto" w:fill="C2E3FA"/>
          </w:tcPr>
          <w:p w14:paraId="171EE879" w14:textId="7F9E230E" w:rsidR="00237511" w:rsidRPr="00423297" w:rsidRDefault="00237511" w:rsidP="00532FEE">
            <w:pPr>
              <w:pStyle w:val="tablehead"/>
            </w:pPr>
            <w:r w:rsidRPr="00423297">
              <w:t>Requirement</w:t>
            </w:r>
          </w:p>
        </w:tc>
        <w:tc>
          <w:tcPr>
            <w:tcW w:w="6804" w:type="dxa"/>
            <w:shd w:val="clear" w:color="auto" w:fill="C2E3FA"/>
          </w:tcPr>
          <w:p w14:paraId="17C926E0" w14:textId="69BA5328" w:rsidR="00237511" w:rsidRPr="00423297" w:rsidRDefault="00237511" w:rsidP="00532FEE">
            <w:pPr>
              <w:pStyle w:val="tablehead"/>
            </w:pPr>
            <w:r w:rsidRPr="00423297">
              <w:t>Explanation</w:t>
            </w:r>
          </w:p>
        </w:tc>
      </w:tr>
      <w:tr w:rsidR="00857A2A" w:rsidRPr="00423297" w14:paraId="5A74ADA3" w14:textId="77777777" w:rsidTr="0027762E">
        <w:trPr>
          <w:cantSplit/>
        </w:trPr>
        <w:tc>
          <w:tcPr>
            <w:tcW w:w="2268" w:type="dxa"/>
          </w:tcPr>
          <w:p w14:paraId="3885E5DC" w14:textId="25A92B2E" w:rsidR="00857A2A" w:rsidRPr="00423297" w:rsidDel="007733BC" w:rsidRDefault="00D61E78" w:rsidP="00532FEE">
            <w:pPr>
              <w:pStyle w:val="tbltext"/>
            </w:pPr>
            <w:r>
              <w:t>‘</w:t>
            </w:r>
            <w:r w:rsidR="00857A2A" w:rsidRPr="00423297">
              <w:t>Subject to finance</w:t>
            </w:r>
            <w:r>
              <w:t>’</w:t>
            </w:r>
            <w:r w:rsidR="00857A2A" w:rsidRPr="00423297">
              <w:t xml:space="preserve"> rights</w:t>
            </w:r>
          </w:p>
        </w:tc>
        <w:tc>
          <w:tcPr>
            <w:tcW w:w="6804" w:type="dxa"/>
          </w:tcPr>
          <w:p w14:paraId="03CFEAF0" w14:textId="7E1BAB1D" w:rsidR="00857A2A" w:rsidRPr="00423297" w:rsidRDefault="00857A2A" w:rsidP="007733BC">
            <w:pPr>
              <w:pStyle w:val="tbltext"/>
            </w:pPr>
            <w:r w:rsidRPr="00423297">
              <w:t xml:space="preserve">We would include formal </w:t>
            </w:r>
            <w:r w:rsidR="00D61E78">
              <w:t>‘</w:t>
            </w:r>
            <w:r w:rsidRPr="00423297">
              <w:t>subject to finance</w:t>
            </w:r>
            <w:r w:rsidR="00D61E78">
              <w:t>’</w:t>
            </w:r>
            <w:r w:rsidRPr="00423297">
              <w:t xml:space="preserve"> rights </w:t>
            </w:r>
            <w:r w:rsidR="00213B85" w:rsidRPr="00423297">
              <w:t xml:space="preserve">that </w:t>
            </w:r>
            <w:r w:rsidRPr="00423297">
              <w:t>can also be exercised outside of the cooling-off period</w:t>
            </w:r>
            <w:r w:rsidR="00F35353" w:rsidRPr="00423297">
              <w:t xml:space="preserve">. Under </w:t>
            </w:r>
            <w:r w:rsidR="00D66E27" w:rsidRPr="00423297">
              <w:t xml:space="preserve">revised </w:t>
            </w:r>
            <w:r w:rsidR="00F35353" w:rsidRPr="00423297">
              <w:t>Option 1, the cooling-off period is unchanged</w:t>
            </w:r>
            <w:r w:rsidRPr="00423297">
              <w:t>.</w:t>
            </w:r>
            <w:r w:rsidR="003A4913" w:rsidRPr="00423297">
              <w:t xml:space="preserve"> These</w:t>
            </w:r>
            <w:r w:rsidR="001E57D0" w:rsidRPr="00423297">
              <w:t xml:space="preserve"> </w:t>
            </w:r>
            <w:r w:rsidR="00D61E78">
              <w:t>‘</w:t>
            </w:r>
            <w:r w:rsidR="003A4913" w:rsidRPr="00423297">
              <w:t>subject to finance</w:t>
            </w:r>
            <w:r w:rsidR="00D61E78">
              <w:t>’</w:t>
            </w:r>
            <w:r w:rsidR="003A4913" w:rsidRPr="00423297">
              <w:t xml:space="preserve"> rights will benefit consumers by </w:t>
            </w:r>
            <w:r w:rsidR="001E57D0" w:rsidRPr="00423297">
              <w:t xml:space="preserve">providing formal rights to withdraw their application for membership </w:t>
            </w:r>
            <w:r w:rsidR="004475B3" w:rsidRPr="00423297">
              <w:t>(</w:t>
            </w:r>
            <w:r w:rsidR="006B14D5" w:rsidRPr="00423297">
              <w:t xml:space="preserve">in the </w:t>
            </w:r>
            <w:bookmarkStart w:id="109" w:name="_Hlk38916058"/>
            <w:r w:rsidR="006B14D5" w:rsidRPr="00423297">
              <w:t xml:space="preserve">circumstances outlined on paragraph </w:t>
            </w:r>
            <w:r w:rsidR="006B14D5" w:rsidRPr="00423297">
              <w:fldChar w:fldCharType="begin"/>
            </w:r>
            <w:r w:rsidR="006B14D5" w:rsidRPr="00423297">
              <w:instrText xml:space="preserve"> REF _Ref38915957 \r \h </w:instrText>
            </w:r>
            <w:r w:rsidR="00423297">
              <w:instrText xml:space="preserve"> \* MERGEFORMAT </w:instrText>
            </w:r>
            <w:r w:rsidR="006B14D5" w:rsidRPr="00423297">
              <w:fldChar w:fldCharType="separate"/>
            </w:r>
            <w:r w:rsidR="00B92808">
              <w:t>11(b)</w:t>
            </w:r>
            <w:r w:rsidR="006B14D5" w:rsidRPr="00423297">
              <w:fldChar w:fldCharType="end"/>
            </w:r>
            <w:bookmarkEnd w:id="109"/>
            <w:r w:rsidR="004475B3" w:rsidRPr="00423297">
              <w:t>)</w:t>
            </w:r>
            <w:r w:rsidR="006B14D5" w:rsidRPr="00423297">
              <w:t xml:space="preserve"> and be refunded any finance application fees paid to related finance providers</w:t>
            </w:r>
            <w:r w:rsidR="00F076D8" w:rsidRPr="00423297">
              <w:t xml:space="preserve"> (</w:t>
            </w:r>
            <w:r w:rsidR="00B964C1" w:rsidRPr="00423297">
              <w:t>less the reasonable value of any administration costs the related finance provide</w:t>
            </w:r>
            <w:r w:rsidR="0001189A" w:rsidRPr="00423297">
              <w:t>r</w:t>
            </w:r>
            <w:r w:rsidR="00B964C1" w:rsidRPr="00423297">
              <w:t xml:space="preserve"> incurred while processing the application before receiving the notification</w:t>
            </w:r>
            <w:r w:rsidR="00F076D8" w:rsidRPr="00423297">
              <w:t>)</w:t>
            </w:r>
            <w:r w:rsidR="006B14D5" w:rsidRPr="00423297">
              <w:t>. These rights operate i</w:t>
            </w:r>
            <w:r w:rsidR="001E57D0" w:rsidRPr="00423297">
              <w:t>ndependent</w:t>
            </w:r>
            <w:r w:rsidR="001E6530" w:rsidRPr="00423297">
              <w:t>ly</w:t>
            </w:r>
            <w:r w:rsidR="001E57D0" w:rsidRPr="00423297">
              <w:t xml:space="preserve"> of cooling-off </w:t>
            </w:r>
            <w:r w:rsidR="009961D8" w:rsidRPr="00423297">
              <w:t>rights</w:t>
            </w:r>
            <w:r w:rsidR="006B14D5" w:rsidRPr="00423297">
              <w:t>.</w:t>
            </w:r>
          </w:p>
        </w:tc>
      </w:tr>
      <w:tr w:rsidR="00237511" w:rsidRPr="00423297" w14:paraId="512E111B" w14:textId="77777777" w:rsidTr="0027762E">
        <w:trPr>
          <w:cantSplit/>
        </w:trPr>
        <w:tc>
          <w:tcPr>
            <w:tcW w:w="2268" w:type="dxa"/>
          </w:tcPr>
          <w:p w14:paraId="66F0A6FA" w14:textId="6447F1B4" w:rsidR="00237511" w:rsidRPr="00423297" w:rsidRDefault="007733BC" w:rsidP="00532FEE">
            <w:pPr>
              <w:pStyle w:val="tbltext"/>
            </w:pPr>
            <w:r w:rsidRPr="00423297">
              <w:lastRenderedPageBreak/>
              <w:t>Enhanced disclosure obligations</w:t>
            </w:r>
          </w:p>
        </w:tc>
        <w:tc>
          <w:tcPr>
            <w:tcW w:w="6804" w:type="dxa"/>
          </w:tcPr>
          <w:p w14:paraId="519F01CF" w14:textId="0B6ADC0C" w:rsidR="007733BC" w:rsidRPr="00423297" w:rsidRDefault="007733BC" w:rsidP="007733BC">
            <w:pPr>
              <w:pStyle w:val="tbltext"/>
            </w:pPr>
            <w:r w:rsidRPr="00423297">
              <w:t xml:space="preserve">We would enhance the disclosure obligations to make the key features of time-sharing schemes more prominent. </w:t>
            </w:r>
          </w:p>
          <w:p w14:paraId="5C155357" w14:textId="390A14D7" w:rsidR="007733BC" w:rsidRPr="00423297" w:rsidRDefault="007733BC" w:rsidP="007733BC">
            <w:pPr>
              <w:pStyle w:val="tbltext"/>
            </w:pPr>
            <w:r w:rsidRPr="00423297">
              <w:t xml:space="preserve">We would also introduce a prescribed warning (prescribed consumer warning), </w:t>
            </w:r>
            <w:r w:rsidR="001068A7" w:rsidRPr="00423297">
              <w:t xml:space="preserve">that </w:t>
            </w:r>
            <w:r w:rsidRPr="00423297">
              <w:t>outlines the information consumers should consider before they purchase an interest</w:t>
            </w:r>
            <w:r w:rsidR="001068A7" w:rsidRPr="00423297">
              <w:t>,</w:t>
            </w:r>
            <w:r w:rsidRPr="00423297">
              <w:t xml:space="preserve"> so that they can assess the suitability of the product and the costs and risks of purchasing it. The warning would cover:</w:t>
            </w:r>
          </w:p>
          <w:p w14:paraId="624648AB" w14:textId="5A4E7A4B" w:rsidR="00F30588" w:rsidRPr="00423297" w:rsidRDefault="00F30588" w:rsidP="007733BC">
            <w:pPr>
              <w:pStyle w:val="tablebullet"/>
            </w:pPr>
            <w:r w:rsidRPr="00423297">
              <w:t>the consumer considering whether purchasing an interest in a time-sharing scheme is right for them;</w:t>
            </w:r>
          </w:p>
          <w:p w14:paraId="392B1516" w14:textId="0498501E" w:rsidR="007733BC" w:rsidRPr="00423297" w:rsidRDefault="007733BC" w:rsidP="007733BC">
            <w:pPr>
              <w:pStyle w:val="tablebullet"/>
            </w:pPr>
            <w:r w:rsidRPr="00423297">
              <w:t>the long-term nature of time-sharing scheme membership generally, and the specific term of the interest offered under the PDS;</w:t>
            </w:r>
          </w:p>
          <w:p w14:paraId="44D4B6B9" w14:textId="77777777" w:rsidR="007733BC" w:rsidRPr="00423297" w:rsidRDefault="007733BC" w:rsidP="007733BC">
            <w:pPr>
              <w:pStyle w:val="tablebullet"/>
            </w:pPr>
            <w:r w:rsidRPr="00423297">
              <w:t>the ongoing costs that apply for as long as the consumer holds an interest in the time-sharing scheme, regardless of usage;</w:t>
            </w:r>
          </w:p>
          <w:p w14:paraId="2F72A6DB" w14:textId="636BC85A" w:rsidR="007733BC" w:rsidRPr="00423297" w:rsidRDefault="007733BC" w:rsidP="007733BC">
            <w:pPr>
              <w:pStyle w:val="tablebullet"/>
            </w:pPr>
            <w:r w:rsidRPr="00423297">
              <w:t>limitations on access to accommodation</w:t>
            </w:r>
            <w:r w:rsidR="00A30D8F" w:rsidRPr="00423297">
              <w:t xml:space="preserve"> or locations</w:t>
            </w:r>
            <w:r w:rsidRPr="00423297">
              <w:t xml:space="preserve">; </w:t>
            </w:r>
          </w:p>
          <w:p w14:paraId="5C77FC9E" w14:textId="3ADAB01C" w:rsidR="007733BC" w:rsidRPr="00423297" w:rsidRDefault="007733BC" w:rsidP="007733BC">
            <w:pPr>
              <w:pStyle w:val="tablebullet"/>
            </w:pPr>
            <w:r w:rsidRPr="00423297">
              <w:t>the limited ability to exit a time-sharing scheme after the cooling-off period has ended; and</w:t>
            </w:r>
          </w:p>
          <w:p w14:paraId="4B73F543" w14:textId="77777777" w:rsidR="00D56A3C" w:rsidRPr="00423297" w:rsidRDefault="007733BC" w:rsidP="007733BC">
            <w:pPr>
              <w:pStyle w:val="tablebullet"/>
            </w:pPr>
            <w:r w:rsidRPr="00423297">
              <w:t>the nature of an acquisition of interests</w:t>
            </w:r>
            <w:r w:rsidR="00D56A3C" w:rsidRPr="00423297">
              <w:t>:</w:t>
            </w:r>
          </w:p>
          <w:p w14:paraId="3967AD3B" w14:textId="52CE6082" w:rsidR="00D56A3C" w:rsidRPr="00423297" w:rsidRDefault="00D56A3C" w:rsidP="00D56A3C">
            <w:pPr>
              <w:pStyle w:val="tabledash"/>
            </w:pPr>
            <w:r w:rsidRPr="00423297">
              <w:t xml:space="preserve">the fact </w:t>
            </w:r>
            <w:r w:rsidR="007733BC" w:rsidRPr="00423297">
              <w:t>that interests in time-sharing scheme</w:t>
            </w:r>
            <w:r w:rsidR="00590077" w:rsidRPr="00423297">
              <w:t>s</w:t>
            </w:r>
            <w:r w:rsidR="007733BC" w:rsidRPr="00423297">
              <w:t xml:space="preserve"> are not for the purposes of financial investment</w:t>
            </w:r>
            <w:r w:rsidRPr="00423297">
              <w:t>;</w:t>
            </w:r>
            <w:r w:rsidR="007733BC" w:rsidRPr="00423297">
              <w:t xml:space="preserve"> and </w:t>
            </w:r>
          </w:p>
          <w:p w14:paraId="30146136" w14:textId="77777777" w:rsidR="007733BC" w:rsidRPr="00423297" w:rsidRDefault="00D56A3C" w:rsidP="00953431">
            <w:pPr>
              <w:pStyle w:val="tabledash"/>
            </w:pPr>
            <w:proofErr w:type="gramStart"/>
            <w:r w:rsidRPr="00423297">
              <w:t>the</w:t>
            </w:r>
            <w:proofErr w:type="gramEnd"/>
            <w:r w:rsidRPr="00423297">
              <w:t xml:space="preserve"> fact </w:t>
            </w:r>
            <w:r w:rsidR="007733BC" w:rsidRPr="00423297">
              <w:t xml:space="preserve">that </w:t>
            </w:r>
            <w:r w:rsidR="00B8067E" w:rsidRPr="00423297">
              <w:t>interests in time-sharing schemes may not involve any form of direct ownership of real property</w:t>
            </w:r>
            <w:r w:rsidR="00A30D8F" w:rsidRPr="00423297">
              <w:t>.</w:t>
            </w:r>
          </w:p>
          <w:p w14:paraId="3942C28B" w14:textId="0EED6F31" w:rsidR="003A4913" w:rsidRPr="00423297" w:rsidRDefault="003A4913" w:rsidP="00612180">
            <w:pPr>
              <w:pStyle w:val="tbltext"/>
            </w:pPr>
            <w:r w:rsidRPr="00423297">
              <w:t>These enhanced disclosure obligations will benefit consumers</w:t>
            </w:r>
            <w:r w:rsidR="0089316B" w:rsidRPr="00423297">
              <w:t xml:space="preserve"> by providing them with key information (including consumer warnings) about time-sharing schemes</w:t>
            </w:r>
            <w:r w:rsidR="00C66DDA" w:rsidRPr="00423297">
              <w:t>—</w:t>
            </w:r>
            <w:r w:rsidR="0089316B" w:rsidRPr="00423297">
              <w:t>presented clearly and prominently, verbally and in writing</w:t>
            </w:r>
            <w:r w:rsidR="00C66DDA" w:rsidRPr="00423297">
              <w:t>—</w:t>
            </w:r>
            <w:r w:rsidR="0089316B" w:rsidRPr="00423297">
              <w:t>to inform their decision</w:t>
            </w:r>
            <w:r w:rsidR="00C66DDA" w:rsidRPr="00423297">
              <w:t xml:space="preserve"> </w:t>
            </w:r>
            <w:r w:rsidR="0089316B" w:rsidRPr="00423297">
              <w:t>making.</w:t>
            </w:r>
          </w:p>
        </w:tc>
      </w:tr>
      <w:tr w:rsidR="00237511" w:rsidRPr="00423297" w14:paraId="4410167F" w14:textId="77777777" w:rsidTr="0027762E">
        <w:trPr>
          <w:cantSplit/>
        </w:trPr>
        <w:tc>
          <w:tcPr>
            <w:tcW w:w="2268" w:type="dxa"/>
          </w:tcPr>
          <w:p w14:paraId="6F532501" w14:textId="2CEA214D" w:rsidR="00237511" w:rsidRPr="00423297" w:rsidRDefault="007733BC" w:rsidP="00532FEE">
            <w:pPr>
              <w:pStyle w:val="tbltext"/>
            </w:pPr>
            <w:r w:rsidRPr="00423297">
              <w:t>Requirements for points-based programs</w:t>
            </w:r>
          </w:p>
        </w:tc>
        <w:tc>
          <w:tcPr>
            <w:tcW w:w="6804" w:type="dxa"/>
          </w:tcPr>
          <w:p w14:paraId="22348BC2" w14:textId="7B3B1F8D" w:rsidR="007733BC" w:rsidRPr="00423297" w:rsidRDefault="007733BC" w:rsidP="00532FEE">
            <w:pPr>
              <w:pStyle w:val="tbltext"/>
            </w:pPr>
            <w:r w:rsidRPr="00423297">
              <w:t>To address the potential dilution of members</w:t>
            </w:r>
            <w:r w:rsidR="00D61E78">
              <w:t>’</w:t>
            </w:r>
            <w:r w:rsidRPr="00423297">
              <w:t xml:space="preserve"> points, we would introduce requirements for </w:t>
            </w:r>
            <w:r w:rsidR="00253065" w:rsidRPr="00423297">
              <w:t>operator</w:t>
            </w:r>
            <w:r w:rsidRPr="00423297">
              <w:t xml:space="preserve">s of points-based programs to: </w:t>
            </w:r>
          </w:p>
          <w:p w14:paraId="2F852B9A" w14:textId="77777777" w:rsidR="007733BC" w:rsidRPr="00423297" w:rsidRDefault="007733BC" w:rsidP="007733BC">
            <w:pPr>
              <w:pStyle w:val="tablebullet"/>
            </w:pPr>
            <w:r w:rsidRPr="00423297">
              <w:t xml:space="preserve">audit points holdings; and </w:t>
            </w:r>
          </w:p>
          <w:p w14:paraId="2C9E9F43" w14:textId="77777777" w:rsidR="00237511" w:rsidRPr="00423297" w:rsidRDefault="007733BC" w:rsidP="00953431">
            <w:pPr>
              <w:pStyle w:val="tablebullet"/>
            </w:pPr>
            <w:proofErr w:type="gramStart"/>
            <w:r w:rsidRPr="00423297">
              <w:t>assess</w:t>
            </w:r>
            <w:proofErr w:type="gramEnd"/>
            <w:r w:rsidRPr="00423297">
              <w:t xml:space="preserve"> the impact of points issue on existing members.</w:t>
            </w:r>
          </w:p>
          <w:p w14:paraId="63BF7C4A" w14:textId="45CF6552" w:rsidR="003A4913" w:rsidRPr="00423297" w:rsidRDefault="003A4913" w:rsidP="00612180">
            <w:pPr>
              <w:pStyle w:val="tablebullet"/>
              <w:numPr>
                <w:ilvl w:val="0"/>
                <w:numId w:val="0"/>
              </w:numPr>
            </w:pPr>
            <w:r w:rsidRPr="00423297">
              <w:t xml:space="preserve">These </w:t>
            </w:r>
            <w:bookmarkStart w:id="110" w:name="_Hlk38962353"/>
            <w:r w:rsidRPr="00423297">
              <w:t>new requirements for points-based programs</w:t>
            </w:r>
            <w:r w:rsidR="006B14D5" w:rsidRPr="00423297">
              <w:t xml:space="preserve"> targeting the dilution of interests</w:t>
            </w:r>
            <w:r w:rsidRPr="00423297">
              <w:t xml:space="preserve"> will benefit consumers by</w:t>
            </w:r>
            <w:r w:rsidR="0089316B" w:rsidRPr="00423297">
              <w:t xml:space="preserve"> </w:t>
            </w:r>
            <w:r w:rsidR="00B04B9A" w:rsidRPr="00423297">
              <w:t>improving their membership experience</w:t>
            </w:r>
            <w:r w:rsidR="00C66DDA" w:rsidRPr="00423297">
              <w:t>,</w:t>
            </w:r>
            <w:r w:rsidR="00B04B9A" w:rsidRPr="00423297">
              <w:t xml:space="preserve"> including improving access to accommodation when they want </w:t>
            </w:r>
            <w:r w:rsidR="006765D8" w:rsidRPr="00423297">
              <w:t>and</w:t>
            </w:r>
            <w:r w:rsidR="00B04B9A" w:rsidRPr="00423297">
              <w:t xml:space="preserve"> </w:t>
            </w:r>
            <w:r w:rsidR="00A3486F" w:rsidRPr="00423297">
              <w:t xml:space="preserve">the </w:t>
            </w:r>
            <w:r w:rsidR="00B04B9A" w:rsidRPr="00423297">
              <w:t>deliver</w:t>
            </w:r>
            <w:r w:rsidR="00A3486F" w:rsidRPr="00423297">
              <w:t>y</w:t>
            </w:r>
            <w:r w:rsidR="00B04B9A" w:rsidRPr="00423297">
              <w:t xml:space="preserve"> of promoted benefits</w:t>
            </w:r>
            <w:bookmarkEnd w:id="110"/>
            <w:r w:rsidR="00B04B9A" w:rsidRPr="00423297">
              <w:t>.</w:t>
            </w:r>
          </w:p>
        </w:tc>
      </w:tr>
    </w:tbl>
    <w:p w14:paraId="29D2C999" w14:textId="06807C89" w:rsidR="00B87D7B" w:rsidRPr="00423297" w:rsidRDefault="007733BC" w:rsidP="00953431">
      <w:pPr>
        <w:pStyle w:val="BodyText"/>
      </w:pPr>
      <w:r w:rsidRPr="00423297">
        <w:t>Under</w:t>
      </w:r>
      <w:r w:rsidR="00D66E27" w:rsidRPr="00423297">
        <w:t xml:space="preserve"> </w:t>
      </w:r>
      <w:r w:rsidR="00561593" w:rsidRPr="00423297">
        <w:t xml:space="preserve">revised </w:t>
      </w:r>
      <w:r w:rsidRPr="00423297">
        <w:t xml:space="preserve">Option 1, we would also amend </w:t>
      </w:r>
      <w:hyperlink r:id="rId26" w:history="1">
        <w:r w:rsidRPr="00423297">
          <w:rPr>
            <w:rStyle w:val="Hyperlink"/>
          </w:rPr>
          <w:t>ASIC Corporations (Time-sharing Schemes) Instrument 2017/272</w:t>
        </w:r>
      </w:hyperlink>
      <w:r w:rsidRPr="00423297">
        <w:t xml:space="preserve"> to</w:t>
      </w:r>
      <w:r w:rsidR="00B87D7B" w:rsidRPr="00423297">
        <w:t>:</w:t>
      </w:r>
    </w:p>
    <w:p w14:paraId="1F1FCFDB" w14:textId="4F642A37" w:rsidR="00B87D7B" w:rsidRPr="00423297" w:rsidRDefault="00B87D7B" w:rsidP="00147190">
      <w:pPr>
        <w:pStyle w:val="subparaa"/>
      </w:pPr>
      <w:r w:rsidRPr="00423297">
        <w:t>reduce certain compliance burdens</w:t>
      </w:r>
      <w:r w:rsidR="007733BC" w:rsidRPr="00423297">
        <w:t>,</w:t>
      </w:r>
      <w:r w:rsidR="00147190" w:rsidRPr="00423297">
        <w:t xml:space="preserve"> taking into consideration industry practices and product features,</w:t>
      </w:r>
      <w:r w:rsidRPr="00423297">
        <w:t xml:space="preserve"> to reduce costs to industry and members without compromising consumer protection; and</w:t>
      </w:r>
    </w:p>
    <w:p w14:paraId="2275BD22" w14:textId="77777777" w:rsidR="00B87D7B" w:rsidRPr="00423297" w:rsidRDefault="00B87D7B" w:rsidP="00D8724F">
      <w:pPr>
        <w:pStyle w:val="subparaa"/>
      </w:pPr>
      <w:proofErr w:type="gramStart"/>
      <w:r w:rsidRPr="00423297">
        <w:t>simplify</w:t>
      </w:r>
      <w:proofErr w:type="gramEnd"/>
      <w:r w:rsidRPr="00423297">
        <w:t xml:space="preserve"> the regime by centralising requirements in one legislative instrument.</w:t>
      </w:r>
    </w:p>
    <w:p w14:paraId="76360209" w14:textId="1191C5EF" w:rsidR="00147190" w:rsidRPr="00423297" w:rsidRDefault="00147190" w:rsidP="00147190">
      <w:pPr>
        <w:pStyle w:val="BodyText"/>
      </w:pPr>
      <w:bookmarkStart w:id="111" w:name="_Ref4424544"/>
      <w:r w:rsidRPr="00423297">
        <w:t>Finally, we would provide commercial certainty and improve standards by providing specific guidance about ASIC</w:t>
      </w:r>
      <w:r w:rsidR="00D61E78">
        <w:t>’</w:t>
      </w:r>
      <w:r w:rsidRPr="00423297">
        <w:t>s interpretation of the existing obligations, as they apply to the time-sharing industry.</w:t>
      </w:r>
      <w:r w:rsidR="003A4913" w:rsidRPr="00423297">
        <w:t xml:space="preserve"> </w:t>
      </w:r>
      <w:r w:rsidR="00875A22" w:rsidRPr="00423297">
        <w:t>Consumers will benefit from a</w:t>
      </w:r>
      <w:r w:rsidR="003A4913" w:rsidRPr="00423297">
        <w:t xml:space="preserve">ny improvements to industry </w:t>
      </w:r>
      <w:r w:rsidR="00F86863" w:rsidRPr="00423297">
        <w:t>compliance</w:t>
      </w:r>
      <w:r w:rsidR="003A4913" w:rsidRPr="00423297">
        <w:t xml:space="preserve"> </w:t>
      </w:r>
      <w:r w:rsidR="00875A22" w:rsidRPr="00423297">
        <w:t xml:space="preserve">and </w:t>
      </w:r>
      <w:r w:rsidR="00590077" w:rsidRPr="00423297">
        <w:t xml:space="preserve">ASIC </w:t>
      </w:r>
      <w:r w:rsidR="00875A22" w:rsidRPr="00423297">
        <w:t xml:space="preserve">monitoring </w:t>
      </w:r>
      <w:r w:rsidR="003A4913" w:rsidRPr="00423297">
        <w:t>that result from this guidance.</w:t>
      </w:r>
    </w:p>
    <w:p w14:paraId="19E57A26" w14:textId="61CD36EA" w:rsidR="00B87D7B" w:rsidRPr="00423297" w:rsidRDefault="00B87D7B" w:rsidP="00D8724F">
      <w:pPr>
        <w:pStyle w:val="BodyText"/>
      </w:pPr>
      <w:r w:rsidRPr="00423297">
        <w:lastRenderedPageBreak/>
        <w:t xml:space="preserve">A summary of the changes for operators of </w:t>
      </w:r>
      <w:r w:rsidR="001B4350" w:rsidRPr="00423297">
        <w:t>registered scheme</w:t>
      </w:r>
      <w:r w:rsidR="00BE1189" w:rsidRPr="00423297">
        <w:t>s</w:t>
      </w:r>
      <w:r w:rsidRPr="00423297">
        <w:t xml:space="preserve"> under </w:t>
      </w:r>
      <w:r w:rsidR="00561593" w:rsidRPr="00423297">
        <w:t xml:space="preserve">revised </w:t>
      </w:r>
      <w:r w:rsidRPr="00423297">
        <w:t>Option</w:t>
      </w:r>
      <w:r w:rsidR="00147190" w:rsidRPr="00423297">
        <w:t> </w:t>
      </w:r>
      <w:r w:rsidRPr="00423297">
        <w:t xml:space="preserve">1 is outlined at paragraphs </w:t>
      </w:r>
      <w:r w:rsidR="00DD5794" w:rsidRPr="00423297">
        <w:fldChar w:fldCharType="begin"/>
      </w:r>
      <w:r w:rsidR="00DD5794" w:rsidRPr="00423297">
        <w:instrText xml:space="preserve"> REF _Ref4425077 \r \h </w:instrText>
      </w:r>
      <w:r w:rsidR="00EC11EF" w:rsidRPr="00423297">
        <w:instrText xml:space="preserve"> \* MERGEFORMAT </w:instrText>
      </w:r>
      <w:r w:rsidR="00DD5794" w:rsidRPr="00423297">
        <w:fldChar w:fldCharType="separate"/>
      </w:r>
      <w:r w:rsidR="00B92808">
        <w:t>80</w:t>
      </w:r>
      <w:r w:rsidR="00DD5794" w:rsidRPr="00423297">
        <w:fldChar w:fldCharType="end"/>
      </w:r>
      <w:r w:rsidR="00147190" w:rsidRPr="00423297">
        <w:t>–</w:t>
      </w:r>
      <w:r w:rsidR="00B62614" w:rsidRPr="00423297">
        <w:fldChar w:fldCharType="begin"/>
      </w:r>
      <w:r w:rsidR="00B62614" w:rsidRPr="00423297">
        <w:instrText xml:space="preserve"> REF _Ref4424553 \r \h  \* MERGEFORMAT </w:instrText>
      </w:r>
      <w:r w:rsidR="00B62614" w:rsidRPr="00423297">
        <w:fldChar w:fldCharType="separate"/>
      </w:r>
      <w:r w:rsidR="00B92808">
        <w:t>97</w:t>
      </w:r>
      <w:r w:rsidR="00B62614" w:rsidRPr="00423297">
        <w:fldChar w:fldCharType="end"/>
      </w:r>
      <w:r w:rsidR="00B62614" w:rsidRPr="00423297">
        <w:t xml:space="preserve"> and </w:t>
      </w:r>
      <w:r w:rsidR="00B62614" w:rsidRPr="00423297">
        <w:fldChar w:fldCharType="begin"/>
      </w:r>
      <w:r w:rsidR="00B62614" w:rsidRPr="00423297">
        <w:instrText xml:space="preserve"> REF _Ref4424761 \r \h  \* MERGEFORMAT </w:instrText>
      </w:r>
      <w:r w:rsidR="00B62614" w:rsidRPr="00423297">
        <w:fldChar w:fldCharType="separate"/>
      </w:r>
      <w:r w:rsidR="00B92808">
        <w:t>100</w:t>
      </w:r>
      <w:r w:rsidR="00B62614" w:rsidRPr="00423297">
        <w:fldChar w:fldCharType="end"/>
      </w:r>
      <w:r w:rsidR="00B62614" w:rsidRPr="00423297">
        <w:t>.</w:t>
      </w:r>
      <w:bookmarkEnd w:id="111"/>
    </w:p>
    <w:p w14:paraId="138BD182" w14:textId="067E4EB6" w:rsidR="00B87D7B" w:rsidRPr="00423297" w:rsidRDefault="00561593" w:rsidP="00D8724F">
      <w:pPr>
        <w:pStyle w:val="BodyText"/>
      </w:pPr>
      <w:bookmarkStart w:id="112" w:name="_ASICRef14"/>
      <w:r w:rsidRPr="00423297">
        <w:t xml:space="preserve">Revised </w:t>
      </w:r>
      <w:r w:rsidR="00B87D7B" w:rsidRPr="00423297">
        <w:t xml:space="preserve">Option 1 also entails amending individual relief granted to legacy schemes to reflect the amendments to </w:t>
      </w:r>
      <w:hyperlink r:id="rId27" w:history="1">
        <w:r w:rsidR="00147190" w:rsidRPr="00423297">
          <w:rPr>
            <w:rStyle w:val="Hyperlink"/>
          </w:rPr>
          <w:t xml:space="preserve">ASIC Corporations (Time-sharing Schemes) </w:t>
        </w:r>
        <w:r w:rsidR="00B87D7B" w:rsidRPr="00423297">
          <w:rPr>
            <w:rStyle w:val="Hyperlink"/>
          </w:rPr>
          <w:t>Instrument 2017/272</w:t>
        </w:r>
      </w:hyperlink>
      <w:r w:rsidR="00147190" w:rsidRPr="00423297">
        <w:t>,</w:t>
      </w:r>
      <w:r w:rsidR="00B87D7B" w:rsidRPr="00423297">
        <w:t xml:space="preserve"> as appropriate, following consultation with these legacy scheme operators</w:t>
      </w:r>
      <w:r w:rsidR="003A4913" w:rsidRPr="00423297">
        <w:t xml:space="preserve">. Consumers are likely to benefit from </w:t>
      </w:r>
      <w:r w:rsidR="0089316B" w:rsidRPr="00423297">
        <w:t xml:space="preserve">similar </w:t>
      </w:r>
      <w:r w:rsidR="002D2DD6" w:rsidRPr="00423297">
        <w:t>amendments to individual relief for legacy schemes</w:t>
      </w:r>
      <w:r w:rsidR="0089316B" w:rsidRPr="00423297">
        <w:t>. For information about individual relief provided to legacy schemes</w:t>
      </w:r>
      <w:r w:rsidR="00C66DDA" w:rsidRPr="00423297">
        <w:rPr>
          <w:rStyle w:val="CommentReference"/>
        </w:rPr>
        <w:t>,</w:t>
      </w:r>
      <w:r w:rsidR="00B87D7B" w:rsidRPr="00423297">
        <w:t xml:space="preserve"> see paragraphs</w:t>
      </w:r>
      <w:r w:rsidR="00F43FB5" w:rsidRPr="00423297">
        <w:t xml:space="preserve"> </w:t>
      </w:r>
      <w:r w:rsidR="00F43FB5" w:rsidRPr="00423297">
        <w:fldChar w:fldCharType="begin"/>
      </w:r>
      <w:r w:rsidR="00F43FB5" w:rsidRPr="00423297">
        <w:instrText xml:space="preserve"> REF _Ref26874514 \r \h </w:instrText>
      </w:r>
      <w:r w:rsidR="008D3172" w:rsidRPr="00423297">
        <w:instrText xml:space="preserve"> \* MERGEFORMAT </w:instrText>
      </w:r>
      <w:r w:rsidR="00F43FB5" w:rsidRPr="00423297">
        <w:fldChar w:fldCharType="separate"/>
      </w:r>
      <w:r w:rsidR="00B92808">
        <w:t>98</w:t>
      </w:r>
      <w:r w:rsidR="00F43FB5" w:rsidRPr="00423297">
        <w:fldChar w:fldCharType="end"/>
      </w:r>
      <w:r w:rsidR="00147190" w:rsidRPr="00423297">
        <w:t>–</w:t>
      </w:r>
      <w:r w:rsidR="00B62614" w:rsidRPr="00423297">
        <w:fldChar w:fldCharType="begin"/>
      </w:r>
      <w:r w:rsidR="00B62614" w:rsidRPr="00423297">
        <w:instrText xml:space="preserve"> REF _Ref4424761 \r \h  \* MERGEFORMAT </w:instrText>
      </w:r>
      <w:r w:rsidR="00B62614" w:rsidRPr="00423297">
        <w:fldChar w:fldCharType="separate"/>
      </w:r>
      <w:r w:rsidR="00B92808">
        <w:t>100</w:t>
      </w:r>
      <w:r w:rsidR="00B62614" w:rsidRPr="00423297">
        <w:fldChar w:fldCharType="end"/>
      </w:r>
      <w:r w:rsidR="00B87D7B" w:rsidRPr="00423297">
        <w:t>.</w:t>
      </w:r>
      <w:bookmarkEnd w:id="112"/>
    </w:p>
    <w:p w14:paraId="75F12990" w14:textId="77777777" w:rsidR="00B87D7B" w:rsidRPr="00423297" w:rsidRDefault="00B87D7B" w:rsidP="008250FD">
      <w:pPr>
        <w:pStyle w:val="Heading3"/>
        <w:rPr>
          <w:rFonts w:eastAsia="Calibri"/>
        </w:rPr>
      </w:pPr>
      <w:r w:rsidRPr="00423297">
        <w:rPr>
          <w:rFonts w:eastAsia="Calibri"/>
        </w:rPr>
        <w:t>Cooling-off rights</w:t>
      </w:r>
    </w:p>
    <w:p w14:paraId="0DDDBEBF" w14:textId="18B418B3" w:rsidR="00F35353" w:rsidRPr="00423297" w:rsidRDefault="00944BFF" w:rsidP="002930A0">
      <w:pPr>
        <w:pStyle w:val="BodyText"/>
      </w:pPr>
      <w:bookmarkStart w:id="113" w:name="_Ref4425077"/>
      <w:r w:rsidRPr="00423297">
        <w:t>Our concerns about the adequacy of the existing cooling-off model were confirmed by our consultation and research.</w:t>
      </w:r>
      <w:r w:rsidR="00B87D7B" w:rsidRPr="00423297">
        <w:rPr>
          <w:rFonts w:eastAsia="Calibri"/>
        </w:rPr>
        <w:t xml:space="preserve"> </w:t>
      </w:r>
    </w:p>
    <w:p w14:paraId="51C5B70C" w14:textId="51BB154B" w:rsidR="00B87D7B" w:rsidRPr="00423297" w:rsidRDefault="00022130" w:rsidP="002930A0">
      <w:pPr>
        <w:pStyle w:val="BodyText"/>
      </w:pPr>
      <w:bookmarkStart w:id="114" w:name="_Ref26544835"/>
      <w:bookmarkEnd w:id="113"/>
      <w:r w:rsidRPr="00423297">
        <w:t>W</w:t>
      </w:r>
      <w:r w:rsidR="00F35353" w:rsidRPr="00423297">
        <w:t>e intended that</w:t>
      </w:r>
      <w:r w:rsidRPr="00423297">
        <w:t xml:space="preserve"> </w:t>
      </w:r>
      <w:r w:rsidRPr="002017E2">
        <w:rPr>
          <w:i/>
        </w:rPr>
        <w:t>original</w:t>
      </w:r>
      <w:r w:rsidR="00F35353" w:rsidRPr="00423297">
        <w:t xml:space="preserve"> O</w:t>
      </w:r>
      <w:r w:rsidR="00B87D7B" w:rsidRPr="00423297">
        <w:t>ption</w:t>
      </w:r>
      <w:r w:rsidR="00F35353" w:rsidRPr="00423297">
        <w:t xml:space="preserve"> 1</w:t>
      </w:r>
      <w:r w:rsidR="00B87D7B" w:rsidRPr="00423297">
        <w:t xml:space="preserve"> would:</w:t>
      </w:r>
      <w:bookmarkEnd w:id="114"/>
    </w:p>
    <w:p w14:paraId="290C3B80" w14:textId="5E0FE866" w:rsidR="00B87D7B" w:rsidRPr="00423297" w:rsidRDefault="00B87D7B" w:rsidP="002930A0">
      <w:pPr>
        <w:pStyle w:val="subparaa"/>
      </w:pPr>
      <w:r w:rsidRPr="00423297">
        <w:rPr>
          <w:rFonts w:eastAsia="Calibri"/>
        </w:rPr>
        <w:t xml:space="preserve">extend the cooling-off </w:t>
      </w:r>
      <w:r w:rsidRPr="00423297">
        <w:t xml:space="preserve">period for consumers who apply to purchase interests in registered schemes </w:t>
      </w:r>
      <w:r w:rsidR="00264378" w:rsidRPr="00423297">
        <w:t>to</w:t>
      </w:r>
      <w:r w:rsidRPr="00423297">
        <w:t xml:space="preserve">: </w:t>
      </w:r>
    </w:p>
    <w:p w14:paraId="555365CE" w14:textId="56ED0EAD" w:rsidR="00B87D7B" w:rsidRPr="00423297" w:rsidRDefault="00B87D7B" w:rsidP="002930A0">
      <w:pPr>
        <w:pStyle w:val="subsubparai"/>
      </w:pPr>
      <w:r w:rsidRPr="00423297">
        <w:t>14 days</w:t>
      </w:r>
      <w:r w:rsidR="00264378" w:rsidRPr="00423297">
        <w:t xml:space="preserve"> (from 7 days)</w:t>
      </w:r>
      <w:r w:rsidRPr="00423297">
        <w:t xml:space="preserve">, </w:t>
      </w:r>
      <w:r w:rsidR="00264378" w:rsidRPr="00423297">
        <w:t>if</w:t>
      </w:r>
      <w:r w:rsidRPr="00423297">
        <w:t xml:space="preserve"> the operator is an ATHOC member; and</w:t>
      </w:r>
    </w:p>
    <w:p w14:paraId="7B757489" w14:textId="6EF77F08" w:rsidR="00B87D7B" w:rsidRPr="00423297" w:rsidRDefault="00B87D7B" w:rsidP="002930A0">
      <w:pPr>
        <w:pStyle w:val="subsubparai"/>
      </w:pPr>
      <w:r w:rsidRPr="00423297">
        <w:t>21 days</w:t>
      </w:r>
      <w:r w:rsidR="00264378" w:rsidRPr="00423297">
        <w:t xml:space="preserve"> (from 14 days)</w:t>
      </w:r>
      <w:r w:rsidRPr="00423297">
        <w:t xml:space="preserve">, </w:t>
      </w:r>
      <w:r w:rsidR="00264378" w:rsidRPr="00423297">
        <w:t>if</w:t>
      </w:r>
      <w:r w:rsidRPr="00423297">
        <w:t xml:space="preserve"> the operator is not an ATHOC member;</w:t>
      </w:r>
    </w:p>
    <w:p w14:paraId="2D47806A" w14:textId="15B90B30" w:rsidR="000969FF" w:rsidRPr="00423297" w:rsidRDefault="000969FF" w:rsidP="005A6F34">
      <w:pPr>
        <w:pStyle w:val="Note"/>
      </w:pPr>
      <w:r w:rsidRPr="00423297">
        <w:t xml:space="preserve">Note: </w:t>
      </w:r>
      <w:r w:rsidR="00264378" w:rsidRPr="00423297">
        <w:t>We</w:t>
      </w:r>
      <w:r w:rsidRPr="00423297">
        <w:t xml:space="preserve"> propose</w:t>
      </w:r>
      <w:r w:rsidR="001C4122" w:rsidRPr="00423297">
        <w:t>d</w:t>
      </w:r>
      <w:r w:rsidRPr="00423297">
        <w:t xml:space="preserve"> to continue to provide cooling-off concessions to ATHOC members to encourage ATHOC membership</w:t>
      </w:r>
      <w:r w:rsidR="00264378" w:rsidRPr="00423297">
        <w:t>.</w:t>
      </w:r>
      <w:r w:rsidRPr="00423297">
        <w:t xml:space="preserve"> </w:t>
      </w:r>
      <w:r w:rsidR="00264378" w:rsidRPr="00423297">
        <w:t>M</w:t>
      </w:r>
      <w:r w:rsidRPr="00423297">
        <w:t>embership is open to the time-shar</w:t>
      </w:r>
      <w:r w:rsidR="00264378" w:rsidRPr="00423297">
        <w:t xml:space="preserve">ing </w:t>
      </w:r>
      <w:r w:rsidRPr="00423297">
        <w:t>industry broadly</w:t>
      </w:r>
      <w:r w:rsidR="00264378" w:rsidRPr="00423297">
        <w:t>,</w:t>
      </w:r>
      <w:r w:rsidRPr="00423297">
        <w:t xml:space="preserve"> and all ATHOC members are subject to co-regulatory oversight and ATHOC</w:t>
      </w:r>
      <w:r w:rsidR="00D61E78">
        <w:t>’</w:t>
      </w:r>
      <w:r w:rsidRPr="00423297">
        <w:t>s Code of Ethics and Code of Practice</w:t>
      </w:r>
      <w:r w:rsidR="00822179" w:rsidRPr="00423297">
        <w:t>.</w:t>
      </w:r>
      <w:r w:rsidR="00BA52E8" w:rsidRPr="00423297">
        <w:t xml:space="preserve"> Four of the five operators of active registered schemes</w:t>
      </w:r>
      <w:r w:rsidR="00830EEE" w:rsidRPr="00423297">
        <w:t xml:space="preserve"> are currently members of ATHOC</w:t>
      </w:r>
      <w:r w:rsidRPr="00423297">
        <w:t>.</w:t>
      </w:r>
      <w:r w:rsidR="00BD3A69">
        <w:t xml:space="preserve"> </w:t>
      </w:r>
    </w:p>
    <w:p w14:paraId="6404B0C4" w14:textId="369E591C" w:rsidR="00B87D7B" w:rsidRPr="00423297" w:rsidRDefault="00B87D7B" w:rsidP="002930A0">
      <w:pPr>
        <w:pStyle w:val="subparaa"/>
      </w:pPr>
      <w:proofErr w:type="gramStart"/>
      <w:r w:rsidRPr="00423297">
        <w:t>update</w:t>
      </w:r>
      <w:proofErr w:type="gramEnd"/>
      <w:r w:rsidRPr="00423297">
        <w:t xml:space="preserve"> the template cooling-off statement to </w:t>
      </w:r>
      <w:r w:rsidR="006B07DC" w:rsidRPr="00423297">
        <w:t>clarify</w:t>
      </w:r>
      <w:r w:rsidRPr="00423297">
        <w:t xml:space="preserve"> when the cooling-off period starts and ends</w:t>
      </w:r>
      <w:r w:rsidR="00704A1F" w:rsidRPr="00423297">
        <w:t>,</w:t>
      </w:r>
      <w:r w:rsidR="006B07DC" w:rsidRPr="00423297">
        <w:t xml:space="preserve"> and to</w:t>
      </w:r>
      <w:r w:rsidRPr="00423297">
        <w:t xml:space="preserve"> include a consumer warning statement</w:t>
      </w:r>
      <w:r w:rsidR="00BD5254" w:rsidRPr="00423297">
        <w:t>. Th</w:t>
      </w:r>
      <w:r w:rsidR="006B07DC" w:rsidRPr="00423297">
        <w:t>e template</w:t>
      </w:r>
      <w:r w:rsidR="00BD5254" w:rsidRPr="00423297">
        <w:t xml:space="preserve"> </w:t>
      </w:r>
      <w:r w:rsidR="00F35353" w:rsidRPr="00423297">
        <w:t xml:space="preserve">was intended to </w:t>
      </w:r>
      <w:r w:rsidR="00BD5254" w:rsidRPr="00423297">
        <w:t xml:space="preserve">be </w:t>
      </w:r>
      <w:r w:rsidRPr="00423297">
        <w:t>include</w:t>
      </w:r>
      <w:r w:rsidR="00BD5254" w:rsidRPr="00423297">
        <w:t>d</w:t>
      </w:r>
      <w:r w:rsidRPr="00423297">
        <w:t xml:space="preserve"> as a schedule to </w:t>
      </w:r>
      <w:hyperlink r:id="rId28" w:history="1">
        <w:r w:rsidR="00704A1F" w:rsidRPr="00423297">
          <w:rPr>
            <w:rStyle w:val="Hyperlink"/>
          </w:rPr>
          <w:t xml:space="preserve">ASIC Corporations (Time-sharing Schemes) </w:t>
        </w:r>
        <w:r w:rsidRPr="00423297">
          <w:rPr>
            <w:rStyle w:val="Hyperlink"/>
          </w:rPr>
          <w:t>Instrument 2017/272</w:t>
        </w:r>
      </w:hyperlink>
      <w:r w:rsidRPr="00423297">
        <w:t>;</w:t>
      </w:r>
      <w:r w:rsidR="00F35353" w:rsidRPr="00423297">
        <w:t xml:space="preserve"> and</w:t>
      </w:r>
    </w:p>
    <w:p w14:paraId="2F657971" w14:textId="4876197A" w:rsidR="001C4122" w:rsidRPr="00423297" w:rsidRDefault="009C7C9F" w:rsidP="002930A0">
      <w:pPr>
        <w:pStyle w:val="subparaa"/>
      </w:pPr>
      <w:proofErr w:type="gramStart"/>
      <w:r w:rsidRPr="00423297">
        <w:t>amend</w:t>
      </w:r>
      <w:proofErr w:type="gramEnd"/>
      <w:r w:rsidRPr="00423297">
        <w:t xml:space="preserve"> the ways </w:t>
      </w:r>
      <w:r w:rsidR="00B87D7B" w:rsidRPr="00423297">
        <w:t xml:space="preserve">consumers </w:t>
      </w:r>
      <w:r w:rsidRPr="00423297">
        <w:t>can</w:t>
      </w:r>
      <w:r w:rsidR="00B87D7B" w:rsidRPr="00423297">
        <w:t xml:space="preserve"> exercise their cooling-off rights </w:t>
      </w:r>
      <w:r w:rsidRPr="00423297">
        <w:t>to include</w:t>
      </w:r>
      <w:r w:rsidR="00B87D7B" w:rsidRPr="00423297">
        <w:t xml:space="preserve"> post, through the operator</w:t>
      </w:r>
      <w:r w:rsidR="00D61E78">
        <w:t>’</w:t>
      </w:r>
      <w:r w:rsidR="00B87D7B" w:rsidRPr="00423297">
        <w:t>s website and by email</w:t>
      </w:r>
      <w:r w:rsidR="00F35353" w:rsidRPr="00423297">
        <w:t>.</w:t>
      </w:r>
    </w:p>
    <w:p w14:paraId="22FE38EE" w14:textId="326449A8" w:rsidR="00B87D7B" w:rsidRPr="002F512F" w:rsidRDefault="001C4122" w:rsidP="008250FD">
      <w:pPr>
        <w:pStyle w:val="BodyText"/>
        <w:rPr>
          <w:spacing w:val="-2"/>
        </w:rPr>
      </w:pPr>
      <w:r w:rsidRPr="002F512F">
        <w:rPr>
          <w:spacing w:val="-2"/>
        </w:rPr>
        <w:t>We have decided not to progress the proposal to provide an enhanced cooling-</w:t>
      </w:r>
      <w:r w:rsidRPr="002F512F">
        <w:rPr>
          <w:spacing w:val="-4"/>
        </w:rPr>
        <w:t>off model</w:t>
      </w:r>
      <w:r w:rsidR="00022130" w:rsidRPr="002F512F">
        <w:rPr>
          <w:spacing w:val="-4"/>
        </w:rPr>
        <w:t>. We</w:t>
      </w:r>
      <w:r w:rsidRPr="002F512F">
        <w:rPr>
          <w:spacing w:val="-4"/>
        </w:rPr>
        <w:t xml:space="preserve"> will retain the existing cooling-off model: see paragraph</w:t>
      </w:r>
      <w:r w:rsidR="00540F6B" w:rsidRPr="002F512F">
        <w:rPr>
          <w:spacing w:val="-4"/>
        </w:rPr>
        <w:t xml:space="preserve">s </w:t>
      </w:r>
      <w:r w:rsidR="00540F6B" w:rsidRPr="002F512F">
        <w:rPr>
          <w:spacing w:val="-4"/>
        </w:rPr>
        <w:fldChar w:fldCharType="begin"/>
      </w:r>
      <w:r w:rsidR="00540F6B" w:rsidRPr="002F512F">
        <w:rPr>
          <w:spacing w:val="-4"/>
        </w:rPr>
        <w:instrText xml:space="preserve"> REF _Ref26814110 \r \h </w:instrText>
      </w:r>
      <w:r w:rsidR="00022130" w:rsidRPr="002F512F">
        <w:rPr>
          <w:spacing w:val="-4"/>
        </w:rPr>
        <w:instrText xml:space="preserve"> \* MERGEFORMAT </w:instrText>
      </w:r>
      <w:r w:rsidR="00540F6B" w:rsidRPr="002F512F">
        <w:rPr>
          <w:spacing w:val="-4"/>
        </w:rPr>
      </w:r>
      <w:r w:rsidR="00540F6B" w:rsidRPr="002F512F">
        <w:rPr>
          <w:spacing w:val="-4"/>
        </w:rPr>
        <w:fldChar w:fldCharType="separate"/>
      </w:r>
      <w:r w:rsidR="00B92808">
        <w:rPr>
          <w:spacing w:val="-4"/>
        </w:rPr>
        <w:t>12</w:t>
      </w:r>
      <w:r w:rsidR="00540F6B" w:rsidRPr="002F512F">
        <w:rPr>
          <w:spacing w:val="-4"/>
        </w:rPr>
        <w:fldChar w:fldCharType="end"/>
      </w:r>
      <w:r w:rsidR="00540F6B" w:rsidRPr="002F512F">
        <w:rPr>
          <w:spacing w:val="-4"/>
        </w:rPr>
        <w:t>–</w:t>
      </w:r>
      <w:r w:rsidR="00540F6B" w:rsidRPr="002F512F">
        <w:rPr>
          <w:spacing w:val="-4"/>
        </w:rPr>
        <w:fldChar w:fldCharType="begin"/>
      </w:r>
      <w:r w:rsidR="00540F6B" w:rsidRPr="002F512F">
        <w:rPr>
          <w:spacing w:val="-4"/>
        </w:rPr>
        <w:instrText xml:space="preserve"> REF _Ref26544232 \r \h </w:instrText>
      </w:r>
      <w:r w:rsidR="00022130" w:rsidRPr="002F512F">
        <w:rPr>
          <w:spacing w:val="-4"/>
        </w:rPr>
        <w:instrText xml:space="preserve"> \* MERGEFORMAT </w:instrText>
      </w:r>
      <w:r w:rsidR="00540F6B" w:rsidRPr="002F512F">
        <w:rPr>
          <w:spacing w:val="-4"/>
        </w:rPr>
      </w:r>
      <w:r w:rsidR="00540F6B" w:rsidRPr="002F512F">
        <w:rPr>
          <w:spacing w:val="-4"/>
        </w:rPr>
        <w:fldChar w:fldCharType="separate"/>
      </w:r>
      <w:r w:rsidR="00B92808">
        <w:rPr>
          <w:spacing w:val="-4"/>
        </w:rPr>
        <w:t>15</w:t>
      </w:r>
      <w:r w:rsidR="00540F6B" w:rsidRPr="002F512F">
        <w:rPr>
          <w:spacing w:val="-4"/>
        </w:rPr>
        <w:fldChar w:fldCharType="end"/>
      </w:r>
      <w:r w:rsidRPr="002F512F">
        <w:rPr>
          <w:spacing w:val="-4"/>
        </w:rPr>
        <w:t xml:space="preserve">. </w:t>
      </w:r>
    </w:p>
    <w:p w14:paraId="741499B8" w14:textId="29B9F049" w:rsidR="00857A2A" w:rsidRPr="00423297" w:rsidRDefault="00D61E78" w:rsidP="008250FD">
      <w:pPr>
        <w:pStyle w:val="Heading3"/>
      </w:pPr>
      <w:r>
        <w:t>‘</w:t>
      </w:r>
      <w:r w:rsidR="00857A2A" w:rsidRPr="00423297">
        <w:t>Subject to finance</w:t>
      </w:r>
      <w:r>
        <w:t>’</w:t>
      </w:r>
      <w:r w:rsidR="00857A2A" w:rsidRPr="00423297">
        <w:t xml:space="preserve"> rights</w:t>
      </w:r>
    </w:p>
    <w:p w14:paraId="0F860DBA" w14:textId="4F631C66" w:rsidR="00857A2A" w:rsidRPr="00423297" w:rsidRDefault="00857A2A" w:rsidP="008250FD">
      <w:pPr>
        <w:pStyle w:val="BodyText"/>
      </w:pPr>
      <w:r w:rsidRPr="00423297">
        <w:rPr>
          <w:rFonts w:eastAsia="Calibri"/>
        </w:rPr>
        <w:t xml:space="preserve">During our consultation, respondents highlighted concerns about the </w:t>
      </w:r>
      <w:r w:rsidR="006C4BFD" w:rsidRPr="00423297">
        <w:rPr>
          <w:rFonts w:eastAsia="Calibri"/>
        </w:rPr>
        <w:t xml:space="preserve">failure </w:t>
      </w:r>
      <w:r w:rsidRPr="00423297">
        <w:rPr>
          <w:rFonts w:eastAsia="Calibri"/>
        </w:rPr>
        <w:t xml:space="preserve">of </w:t>
      </w:r>
      <w:r w:rsidR="00DD2FD6" w:rsidRPr="00423297">
        <w:rPr>
          <w:rFonts w:eastAsia="Calibri"/>
        </w:rPr>
        <w:t xml:space="preserve">the </w:t>
      </w:r>
      <w:r w:rsidRPr="00423297">
        <w:rPr>
          <w:rFonts w:eastAsia="Calibri"/>
        </w:rPr>
        <w:t xml:space="preserve">existing cooling-off </w:t>
      </w:r>
      <w:r w:rsidR="00DD2FD6" w:rsidRPr="00423297">
        <w:rPr>
          <w:rFonts w:eastAsia="Calibri"/>
        </w:rPr>
        <w:t>model</w:t>
      </w:r>
      <w:r w:rsidR="006C4BFD" w:rsidRPr="00423297">
        <w:rPr>
          <w:rFonts w:eastAsia="Calibri"/>
        </w:rPr>
        <w:t xml:space="preserve"> to:</w:t>
      </w:r>
    </w:p>
    <w:p w14:paraId="0DDAC141" w14:textId="294AA30C" w:rsidR="00B87D7B" w:rsidRPr="00423297" w:rsidRDefault="00B87D7B" w:rsidP="002930A0">
      <w:pPr>
        <w:pStyle w:val="subparaa"/>
      </w:pPr>
      <w:r w:rsidRPr="00423297">
        <w:t xml:space="preserve">provide </w:t>
      </w:r>
      <w:r w:rsidR="00D26A6A" w:rsidRPr="00423297">
        <w:t xml:space="preserve">consumers with </w:t>
      </w:r>
      <w:r w:rsidR="002B2780" w:rsidRPr="00423297">
        <w:t xml:space="preserve">formal </w:t>
      </w:r>
      <w:r w:rsidR="00D61E78">
        <w:t>‘</w:t>
      </w:r>
      <w:r w:rsidR="002B2780" w:rsidRPr="00423297">
        <w:t>subject to finance</w:t>
      </w:r>
      <w:r w:rsidR="00D61E78">
        <w:t>’</w:t>
      </w:r>
      <w:r w:rsidR="002B2780" w:rsidRPr="00423297">
        <w:t xml:space="preserve"> rights </w:t>
      </w:r>
      <w:r w:rsidR="00704A1F" w:rsidRPr="00423297">
        <w:t>that</w:t>
      </w:r>
      <w:r w:rsidR="002B2780" w:rsidRPr="00423297">
        <w:t xml:space="preserve"> can also be exercised</w:t>
      </w:r>
      <w:r w:rsidR="0061119C" w:rsidRPr="00423297">
        <w:t xml:space="preserve"> </w:t>
      </w:r>
      <w:r w:rsidR="00704A1F" w:rsidRPr="00423297">
        <w:t>after the end of</w:t>
      </w:r>
      <w:r w:rsidR="0061119C" w:rsidRPr="00423297">
        <w:t xml:space="preserve"> the cooling-off period</w:t>
      </w:r>
      <w:r w:rsidRPr="00423297">
        <w:t>;</w:t>
      </w:r>
      <w:r w:rsidRPr="00423297" w:rsidDel="00DC4937">
        <w:t xml:space="preserve"> </w:t>
      </w:r>
      <w:r w:rsidR="00D226A3" w:rsidRPr="00423297">
        <w:t>and</w:t>
      </w:r>
    </w:p>
    <w:p w14:paraId="1C349655" w14:textId="2BE04392" w:rsidR="00B87D7B" w:rsidRPr="00423297" w:rsidRDefault="00B87D7B" w:rsidP="002930A0">
      <w:pPr>
        <w:pStyle w:val="subparaa"/>
        <w:rPr>
          <w:rFonts w:eastAsia="Calibri"/>
        </w:rPr>
      </w:pPr>
      <w:proofErr w:type="gramStart"/>
      <w:r w:rsidRPr="00423297">
        <w:rPr>
          <w:rFonts w:eastAsia="Calibri"/>
        </w:rPr>
        <w:t>require</w:t>
      </w:r>
      <w:proofErr w:type="gramEnd"/>
      <w:r w:rsidRPr="00423297">
        <w:rPr>
          <w:rFonts w:eastAsia="Calibri"/>
        </w:rPr>
        <w:t xml:space="preserve"> operators of registered schemes to take reasonable steps to ensure that where a consumer applies for finance from a related finance provider and exercises their formal </w:t>
      </w:r>
      <w:r w:rsidR="00D61E78">
        <w:rPr>
          <w:rFonts w:eastAsia="Calibri"/>
        </w:rPr>
        <w:t>‘</w:t>
      </w:r>
      <w:r w:rsidRPr="00423297">
        <w:rPr>
          <w:rFonts w:eastAsia="Calibri"/>
        </w:rPr>
        <w:t>subject to finance</w:t>
      </w:r>
      <w:r w:rsidR="00D61E78">
        <w:rPr>
          <w:rFonts w:eastAsia="Calibri"/>
        </w:rPr>
        <w:t>’</w:t>
      </w:r>
      <w:r w:rsidRPr="00423297">
        <w:rPr>
          <w:rFonts w:eastAsia="Calibri"/>
        </w:rPr>
        <w:t xml:space="preserve"> rights, all mon</w:t>
      </w:r>
      <w:r w:rsidR="00704A1F" w:rsidRPr="00423297">
        <w:rPr>
          <w:rFonts w:eastAsia="Calibri"/>
        </w:rPr>
        <w:t>ey</w:t>
      </w:r>
      <w:r w:rsidRPr="00423297">
        <w:rPr>
          <w:rFonts w:eastAsia="Calibri"/>
        </w:rPr>
        <w:t xml:space="preserve"> </w:t>
      </w:r>
      <w:r w:rsidRPr="002F512F">
        <w:rPr>
          <w:rFonts w:eastAsia="Calibri"/>
          <w:spacing w:val="-2"/>
        </w:rPr>
        <w:t xml:space="preserve">paid in relation to the application for finance </w:t>
      </w:r>
      <w:r w:rsidR="00704A1F" w:rsidRPr="002F512F">
        <w:rPr>
          <w:rFonts w:eastAsia="Calibri"/>
          <w:spacing w:val="-2"/>
        </w:rPr>
        <w:t>is</w:t>
      </w:r>
      <w:r w:rsidRPr="002F512F">
        <w:rPr>
          <w:rFonts w:eastAsia="Calibri"/>
          <w:spacing w:val="-2"/>
        </w:rPr>
        <w:t xml:space="preserve"> refunded to the consumer. </w:t>
      </w:r>
    </w:p>
    <w:p w14:paraId="3C8CE223" w14:textId="660E1F19" w:rsidR="005B10F0" w:rsidRPr="00423297" w:rsidRDefault="00590077" w:rsidP="005B10F0">
      <w:pPr>
        <w:pStyle w:val="BodyText"/>
        <w:rPr>
          <w:rFonts w:eastAsia="Calibri"/>
        </w:rPr>
      </w:pPr>
      <w:r w:rsidRPr="00423297">
        <w:rPr>
          <w:rFonts w:eastAsia="Calibri"/>
        </w:rPr>
        <w:lastRenderedPageBreak/>
        <w:t>During this time w</w:t>
      </w:r>
      <w:r w:rsidR="005B10F0" w:rsidRPr="00423297">
        <w:rPr>
          <w:rFonts w:eastAsia="Calibri"/>
        </w:rPr>
        <w:t xml:space="preserve">e also found that </w:t>
      </w:r>
      <w:r w:rsidR="00183829" w:rsidRPr="00423297">
        <w:rPr>
          <w:rFonts w:eastAsia="Calibri"/>
        </w:rPr>
        <w:t>a related finance provider was</w:t>
      </w:r>
      <w:r w:rsidR="005B10F0" w:rsidRPr="00423297">
        <w:rPr>
          <w:rFonts w:eastAsia="Calibri"/>
        </w:rPr>
        <w:t xml:space="preserve"> sign</w:t>
      </w:r>
      <w:r w:rsidR="00183829" w:rsidRPr="00423297">
        <w:rPr>
          <w:rFonts w:eastAsia="Calibri"/>
        </w:rPr>
        <w:t>ing</w:t>
      </w:r>
      <w:r w:rsidR="005B10F0" w:rsidRPr="00423297">
        <w:rPr>
          <w:rFonts w:eastAsia="Calibri"/>
        </w:rPr>
        <w:t xml:space="preserve"> up consumers to loans at a time</w:t>
      </w:r>
      <w:r w:rsidR="006765D8" w:rsidRPr="00423297">
        <w:rPr>
          <w:rFonts w:eastAsia="Calibri"/>
        </w:rPr>
        <w:t>-</w:t>
      </w:r>
      <w:r w:rsidR="005B10F0" w:rsidRPr="00423297">
        <w:rPr>
          <w:rFonts w:eastAsia="Calibri"/>
        </w:rPr>
        <w:t>shar</w:t>
      </w:r>
      <w:r w:rsidR="006765D8" w:rsidRPr="00423297">
        <w:rPr>
          <w:rFonts w:eastAsia="Calibri"/>
        </w:rPr>
        <w:t>ing scheme</w:t>
      </w:r>
      <w:r w:rsidR="005B10F0" w:rsidRPr="00423297">
        <w:rPr>
          <w:rFonts w:eastAsia="Calibri"/>
        </w:rPr>
        <w:t xml:space="preserve"> sales presentation without first assessing </w:t>
      </w:r>
      <w:r w:rsidR="00183829" w:rsidRPr="00423297">
        <w:rPr>
          <w:rFonts w:eastAsia="Calibri"/>
        </w:rPr>
        <w:t>whether</w:t>
      </w:r>
      <w:r w:rsidR="005B10F0" w:rsidRPr="00423297">
        <w:rPr>
          <w:rFonts w:eastAsia="Calibri"/>
        </w:rPr>
        <w:t xml:space="preserve"> the consumers could afford the loans or if the loans were right for them</w:t>
      </w:r>
      <w:r w:rsidR="00183829" w:rsidRPr="00423297">
        <w:rPr>
          <w:rFonts w:eastAsia="Calibri"/>
        </w:rPr>
        <w:t xml:space="preserve">. We fined the </w:t>
      </w:r>
      <w:r w:rsidR="00212273" w:rsidRPr="00423297">
        <w:rPr>
          <w:rFonts w:eastAsia="Calibri"/>
        </w:rPr>
        <w:t>related finance provider</w:t>
      </w:r>
      <w:r w:rsidR="00183829" w:rsidRPr="00423297">
        <w:rPr>
          <w:rFonts w:eastAsia="Calibri"/>
        </w:rPr>
        <w:t xml:space="preserve"> for responsible lending failures</w:t>
      </w:r>
      <w:r w:rsidR="005B10F0" w:rsidRPr="00423297">
        <w:rPr>
          <w:rFonts w:eastAsia="Calibri"/>
        </w:rPr>
        <w:t>.</w:t>
      </w:r>
    </w:p>
    <w:p w14:paraId="03CC2F09" w14:textId="4C6A75FE" w:rsidR="005B10F0" w:rsidRPr="00423297" w:rsidRDefault="005B10F0" w:rsidP="005B10F0">
      <w:pPr>
        <w:pStyle w:val="Note"/>
        <w:rPr>
          <w:rFonts w:eastAsia="Calibri"/>
        </w:rPr>
      </w:pPr>
      <w:r w:rsidRPr="00423297">
        <w:rPr>
          <w:rFonts w:eastAsia="Calibri"/>
        </w:rPr>
        <w:t xml:space="preserve">Note: See </w:t>
      </w:r>
      <w:hyperlink r:id="rId29" w:history="1">
        <w:r w:rsidRPr="00423297">
          <w:rPr>
            <w:rStyle w:val="Hyperlink"/>
            <w:rFonts w:eastAsia="Calibri"/>
          </w:rPr>
          <w:t xml:space="preserve">Media Release </w:t>
        </w:r>
        <w:r w:rsidR="00FF5E4A" w:rsidRPr="00423297">
          <w:rPr>
            <w:rStyle w:val="Hyperlink"/>
            <w:rFonts w:eastAsia="Calibri"/>
          </w:rPr>
          <w:t>(18-253MR)</w:t>
        </w:r>
      </w:hyperlink>
      <w:r w:rsidRPr="00423297">
        <w:rPr>
          <w:rFonts w:eastAsia="Calibri"/>
        </w:rPr>
        <w:t xml:space="preserve"> </w:t>
      </w:r>
      <w:r w:rsidRPr="00423297">
        <w:rPr>
          <w:rFonts w:eastAsia="Calibri"/>
          <w:i/>
        </w:rPr>
        <w:t xml:space="preserve">ULTIQA Lifestyle timeshare lender fined for responsible lending failures </w:t>
      </w:r>
      <w:r w:rsidRPr="00423297">
        <w:rPr>
          <w:rFonts w:eastAsia="Calibri"/>
        </w:rPr>
        <w:t>(31 August 2018)</w:t>
      </w:r>
      <w:r w:rsidR="009961D8" w:rsidRPr="00423297">
        <w:rPr>
          <w:rFonts w:eastAsia="Calibri"/>
        </w:rPr>
        <w:t>.</w:t>
      </w:r>
    </w:p>
    <w:p w14:paraId="67090B9B" w14:textId="09C94E5D" w:rsidR="006C4BFD" w:rsidRPr="00423297" w:rsidRDefault="00561593" w:rsidP="008250FD">
      <w:pPr>
        <w:pStyle w:val="BodyText"/>
        <w:rPr>
          <w:rFonts w:eastAsia="Calibri"/>
        </w:rPr>
      </w:pPr>
      <w:r w:rsidRPr="00423297">
        <w:rPr>
          <w:rFonts w:eastAsia="Calibri"/>
        </w:rPr>
        <w:t xml:space="preserve">Revised </w:t>
      </w:r>
      <w:r w:rsidR="006C4BFD" w:rsidRPr="00423297">
        <w:rPr>
          <w:rFonts w:eastAsia="Calibri"/>
        </w:rPr>
        <w:t>Option 1 aims to address these concerns by providing</w:t>
      </w:r>
      <w:r w:rsidR="006C4BFD" w:rsidRPr="00423297">
        <w:t xml:space="preserve"> formal </w:t>
      </w:r>
      <w:r w:rsidR="00D61E78">
        <w:t>‘</w:t>
      </w:r>
      <w:r w:rsidR="006C4BFD" w:rsidRPr="00423297">
        <w:t>subject to finance</w:t>
      </w:r>
      <w:r w:rsidR="00D61E78">
        <w:t>’</w:t>
      </w:r>
      <w:r w:rsidR="006C4BFD" w:rsidRPr="00423297">
        <w:t xml:space="preserve"> rights, as well as providing some alignment with the consumer protection benefits in the National Credit Act, including the National Credit Code.</w:t>
      </w:r>
    </w:p>
    <w:p w14:paraId="28780BCE" w14:textId="77777777" w:rsidR="00B87D7B" w:rsidRPr="00423297" w:rsidRDefault="00B87D7B" w:rsidP="008250FD">
      <w:pPr>
        <w:pStyle w:val="Heading3"/>
        <w:rPr>
          <w:rFonts w:eastAsia="Calibri"/>
        </w:rPr>
      </w:pPr>
      <w:r w:rsidRPr="00423297">
        <w:rPr>
          <w:rFonts w:eastAsia="Calibri"/>
        </w:rPr>
        <w:t>Disclosure</w:t>
      </w:r>
    </w:p>
    <w:p w14:paraId="5A283032" w14:textId="76A4E5C5" w:rsidR="009C7C9F" w:rsidRPr="00423297" w:rsidRDefault="00704A1F" w:rsidP="00D52464">
      <w:pPr>
        <w:pStyle w:val="BodyText"/>
      </w:pPr>
      <w:bookmarkStart w:id="115" w:name="_Ref10555078"/>
      <w:r w:rsidRPr="00423297">
        <w:rPr>
          <w:rFonts w:eastAsia="Calibri"/>
        </w:rPr>
        <w:t>To help consumers work out if the product is right for them and understand the financial obligations related to the interest they are purchasing, under</w:t>
      </w:r>
      <w:r w:rsidR="00561593" w:rsidRPr="00423297">
        <w:rPr>
          <w:rFonts w:eastAsia="Calibri"/>
        </w:rPr>
        <w:t xml:space="preserve"> revised </w:t>
      </w:r>
      <w:r w:rsidRPr="00423297">
        <w:rPr>
          <w:rFonts w:eastAsia="Calibri"/>
        </w:rPr>
        <w:t xml:space="preserve">Option 1 we are proposing to introduce </w:t>
      </w:r>
      <w:r w:rsidR="00D52464" w:rsidRPr="00423297">
        <w:rPr>
          <w:rFonts w:eastAsia="Calibri"/>
        </w:rPr>
        <w:t>enhanced disclosure requirements</w:t>
      </w:r>
      <w:r w:rsidR="00D42D97" w:rsidRPr="00423297">
        <w:rPr>
          <w:rFonts w:eastAsia="Calibri"/>
        </w:rPr>
        <w:t xml:space="preserve"> </w:t>
      </w:r>
      <w:r w:rsidR="00D52464" w:rsidRPr="00423297">
        <w:rPr>
          <w:rFonts w:eastAsia="Calibri"/>
        </w:rPr>
        <w:t>for</w:t>
      </w:r>
      <w:r w:rsidR="00B87D7B" w:rsidRPr="00423297">
        <w:rPr>
          <w:rFonts w:eastAsia="Calibri"/>
        </w:rPr>
        <w:t xml:space="preserve"> the fees and costs and other key features of registered schemes</w:t>
      </w:r>
      <w:r w:rsidR="009C7C9F" w:rsidRPr="00423297">
        <w:rPr>
          <w:rFonts w:eastAsia="Calibri"/>
        </w:rPr>
        <w:t>:</w:t>
      </w:r>
      <w:bookmarkEnd w:id="115"/>
      <w:r w:rsidR="00D52464" w:rsidRPr="00423297">
        <w:rPr>
          <w:rFonts w:eastAsia="Calibri"/>
        </w:rPr>
        <w:t xml:space="preserve"> see </w:t>
      </w:r>
      <w:r w:rsidR="00A82330" w:rsidRPr="00423297">
        <w:rPr>
          <w:rFonts w:eastAsia="Calibri"/>
        </w:rPr>
        <w:fldChar w:fldCharType="begin"/>
      </w:r>
      <w:r w:rsidR="00A82330" w:rsidRPr="00423297">
        <w:rPr>
          <w:rFonts w:eastAsia="Calibri"/>
        </w:rPr>
        <w:instrText xml:space="preserve"> REF _Ref14855920 \h </w:instrText>
      </w:r>
      <w:r w:rsidR="008D3172" w:rsidRPr="00423297">
        <w:rPr>
          <w:rFonts w:eastAsia="Calibri"/>
        </w:rPr>
        <w:instrText xml:space="preserve"> \* MERGEFORMAT </w:instrText>
      </w:r>
      <w:r w:rsidR="00A82330" w:rsidRPr="00423297">
        <w:rPr>
          <w:rFonts w:eastAsia="Calibri"/>
        </w:rPr>
      </w:r>
      <w:r w:rsidR="00A82330" w:rsidRPr="00423297">
        <w:rPr>
          <w:rFonts w:eastAsia="Calibri"/>
        </w:rPr>
        <w:fldChar w:fldCharType="separate"/>
      </w:r>
      <w:r w:rsidR="00B92808" w:rsidRPr="00423297">
        <w:t>Table </w:t>
      </w:r>
      <w:r w:rsidR="00B92808">
        <w:t>3</w:t>
      </w:r>
      <w:r w:rsidR="00A82330" w:rsidRPr="00423297">
        <w:rPr>
          <w:rFonts w:eastAsia="Calibri"/>
        </w:rPr>
        <w:fldChar w:fldCharType="end"/>
      </w:r>
      <w:r w:rsidR="00A82330" w:rsidRPr="00423297">
        <w:rPr>
          <w:rFonts w:eastAsia="Calibri"/>
        </w:rPr>
        <w:t>.</w:t>
      </w:r>
    </w:p>
    <w:p w14:paraId="78FA16D6" w14:textId="6AA2BF2C" w:rsidR="00D52464" w:rsidRPr="00423297" w:rsidRDefault="00D52464" w:rsidP="00532FEE">
      <w:pPr>
        <w:pStyle w:val="tabletitlefullwidth"/>
      </w:pPr>
      <w:bookmarkStart w:id="116" w:name="_Ref14855920"/>
      <w:r w:rsidRPr="00423297">
        <w:t>Table</w:t>
      </w:r>
      <w:r w:rsidR="00561593" w:rsidRPr="00423297">
        <w:t> </w:t>
      </w:r>
      <w:r w:rsidRPr="00423297">
        <w:rPr>
          <w:noProof/>
        </w:rPr>
        <w:fldChar w:fldCharType="begin"/>
      </w:r>
      <w:r w:rsidRPr="00423297">
        <w:rPr>
          <w:noProof/>
        </w:rPr>
        <w:instrText xml:space="preserve"> SEQ Table \* ARABIC </w:instrText>
      </w:r>
      <w:r w:rsidRPr="00423297">
        <w:rPr>
          <w:noProof/>
        </w:rPr>
        <w:fldChar w:fldCharType="separate"/>
      </w:r>
      <w:r w:rsidR="00B92808">
        <w:rPr>
          <w:noProof/>
        </w:rPr>
        <w:t>3</w:t>
      </w:r>
      <w:r w:rsidRPr="00423297">
        <w:rPr>
          <w:noProof/>
        </w:rPr>
        <w:fldChar w:fldCharType="end"/>
      </w:r>
      <w:bookmarkEnd w:id="116"/>
      <w:r w:rsidRPr="00423297">
        <w:t>:</w:t>
      </w:r>
      <w:r w:rsidRPr="00423297">
        <w:tab/>
        <w:t>Enhanced disclosure requirements</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2268"/>
        <w:gridCol w:w="6804"/>
      </w:tblGrid>
      <w:tr w:rsidR="00D52464" w:rsidRPr="00423297" w14:paraId="1FF00936" w14:textId="77777777" w:rsidTr="0027762E">
        <w:trPr>
          <w:cantSplit/>
          <w:tblHeader/>
        </w:trPr>
        <w:tc>
          <w:tcPr>
            <w:tcW w:w="2268" w:type="dxa"/>
            <w:shd w:val="clear" w:color="auto" w:fill="C2E3FA"/>
          </w:tcPr>
          <w:p w14:paraId="2D4AF905" w14:textId="3C3B0F25" w:rsidR="00D52464" w:rsidRPr="00423297" w:rsidRDefault="00D52464" w:rsidP="00532FEE">
            <w:pPr>
              <w:pStyle w:val="tablehead"/>
            </w:pPr>
            <w:r w:rsidRPr="00423297">
              <w:t>Requirement</w:t>
            </w:r>
          </w:p>
        </w:tc>
        <w:tc>
          <w:tcPr>
            <w:tcW w:w="6804" w:type="dxa"/>
            <w:shd w:val="clear" w:color="auto" w:fill="C2E3FA"/>
          </w:tcPr>
          <w:p w14:paraId="303FF03C" w14:textId="08F1421E" w:rsidR="00D52464" w:rsidRPr="00423297" w:rsidRDefault="00D52464" w:rsidP="00532FEE">
            <w:pPr>
              <w:pStyle w:val="tablehead"/>
            </w:pPr>
            <w:r w:rsidRPr="00423297">
              <w:t>Explanation</w:t>
            </w:r>
          </w:p>
        </w:tc>
      </w:tr>
      <w:tr w:rsidR="00D52464" w:rsidRPr="00423297" w14:paraId="30704E0B" w14:textId="77777777" w:rsidTr="0027762E">
        <w:trPr>
          <w:cantSplit/>
        </w:trPr>
        <w:tc>
          <w:tcPr>
            <w:tcW w:w="2268" w:type="dxa"/>
          </w:tcPr>
          <w:p w14:paraId="569E272B" w14:textId="12B8935E" w:rsidR="00D52464" w:rsidRPr="00423297" w:rsidRDefault="00D52464" w:rsidP="00532FEE">
            <w:pPr>
              <w:pStyle w:val="tbltext"/>
            </w:pPr>
            <w:r w:rsidRPr="00423297">
              <w:t>Fees and costs disclosure</w:t>
            </w:r>
          </w:p>
        </w:tc>
        <w:tc>
          <w:tcPr>
            <w:tcW w:w="6804" w:type="dxa"/>
          </w:tcPr>
          <w:p w14:paraId="2FCDC4B5" w14:textId="1BC6C5C7" w:rsidR="00D52464" w:rsidRPr="00423297" w:rsidRDefault="00D52464" w:rsidP="00D52464">
            <w:pPr>
              <w:pStyle w:val="tbltext"/>
              <w:rPr>
                <w:rFonts w:eastAsiaTheme="minorHAnsi"/>
                <w:lang w:eastAsia="en-US"/>
              </w:rPr>
            </w:pPr>
            <w:r w:rsidRPr="00423297">
              <w:rPr>
                <w:rFonts w:eastAsiaTheme="minorHAnsi"/>
                <w:lang w:eastAsia="en-US"/>
              </w:rPr>
              <w:t xml:space="preserve">We would introduce a fees and costs disclosure regime tailored to the time-sharing industry, including: </w:t>
            </w:r>
          </w:p>
          <w:p w14:paraId="3BEBE835" w14:textId="57939EEC" w:rsidR="00D52464" w:rsidRPr="00423297" w:rsidRDefault="00D52464" w:rsidP="00D52464">
            <w:pPr>
              <w:pStyle w:val="tablebullet"/>
            </w:pPr>
            <w:r w:rsidRPr="00423297">
              <w:rPr>
                <w:rFonts w:eastAsiaTheme="minorHAnsi"/>
                <w:lang w:eastAsia="en-US"/>
              </w:rPr>
              <w:t>tailored standardised templates, to incorporate different structures and capture all the upfront and ongoing fees and costs associated with a purchase; and</w:t>
            </w:r>
          </w:p>
          <w:p w14:paraId="6AD21044" w14:textId="77777777" w:rsidR="00D52464" w:rsidRPr="00423297" w:rsidRDefault="00D52464" w:rsidP="00D52464">
            <w:pPr>
              <w:pStyle w:val="tablebullet"/>
            </w:pPr>
            <w:proofErr w:type="gramStart"/>
            <w:r w:rsidRPr="00423297">
              <w:rPr>
                <w:rFonts w:eastAsiaTheme="minorHAnsi"/>
                <w:lang w:eastAsia="en-US"/>
              </w:rPr>
              <w:t>a</w:t>
            </w:r>
            <w:proofErr w:type="gramEnd"/>
            <w:r w:rsidRPr="00423297">
              <w:rPr>
                <w:rFonts w:eastAsiaTheme="minorHAnsi"/>
                <w:lang w:eastAsia="en-US"/>
              </w:rPr>
              <w:t xml:space="preserve"> tailored example of annual fees and costs, to help consumers understand how much they could be paying for an interest in a scheme (with and without finance) each year the product is held.</w:t>
            </w:r>
          </w:p>
          <w:p w14:paraId="0C519290" w14:textId="468BF47E" w:rsidR="0053146F" w:rsidRPr="00423297" w:rsidRDefault="0053146F" w:rsidP="00612180">
            <w:pPr>
              <w:pStyle w:val="tablebullet"/>
              <w:numPr>
                <w:ilvl w:val="0"/>
                <w:numId w:val="0"/>
              </w:numPr>
            </w:pPr>
            <w:r w:rsidRPr="00423297">
              <w:rPr>
                <w:rFonts w:eastAsiaTheme="minorHAnsi"/>
                <w:lang w:eastAsia="en-US"/>
              </w:rPr>
              <w:t xml:space="preserve">This tailored fees and costs disclosure will provide meaningful disclosure to consumers about upfront and ongoing fees and costs </w:t>
            </w:r>
            <w:r w:rsidR="003959EB" w:rsidRPr="00423297">
              <w:rPr>
                <w:rFonts w:eastAsiaTheme="minorHAnsi"/>
                <w:lang w:eastAsia="en-US"/>
              </w:rPr>
              <w:t>associated with time-sharing schemes</w:t>
            </w:r>
            <w:r w:rsidR="00183829" w:rsidRPr="00423297">
              <w:rPr>
                <w:rFonts w:eastAsiaTheme="minorHAnsi"/>
                <w:lang w:eastAsia="en-US"/>
              </w:rPr>
              <w:t>. This information should</w:t>
            </w:r>
            <w:r w:rsidR="00776013" w:rsidRPr="00423297">
              <w:rPr>
                <w:rFonts w:eastAsiaTheme="minorHAnsi"/>
                <w:lang w:eastAsia="en-US"/>
              </w:rPr>
              <w:t xml:space="preserve"> </w:t>
            </w:r>
            <w:r w:rsidR="003959EB" w:rsidRPr="00423297">
              <w:rPr>
                <w:rFonts w:eastAsiaTheme="minorHAnsi"/>
                <w:lang w:eastAsia="en-US"/>
              </w:rPr>
              <w:t xml:space="preserve">help them decide whether </w:t>
            </w:r>
            <w:r w:rsidR="00183829" w:rsidRPr="00423297">
              <w:rPr>
                <w:rFonts w:eastAsiaTheme="minorHAnsi"/>
                <w:lang w:eastAsia="en-US"/>
              </w:rPr>
              <w:t>an interest in the time-sharing scheme</w:t>
            </w:r>
            <w:r w:rsidR="003959EB" w:rsidRPr="00423297">
              <w:rPr>
                <w:rFonts w:eastAsiaTheme="minorHAnsi"/>
                <w:lang w:eastAsia="en-US"/>
              </w:rPr>
              <w:t xml:space="preserve"> is right for them.</w:t>
            </w:r>
          </w:p>
        </w:tc>
      </w:tr>
      <w:tr w:rsidR="00D52464" w:rsidRPr="00423297" w14:paraId="44DAFA68" w14:textId="77777777" w:rsidTr="0027762E">
        <w:trPr>
          <w:cantSplit/>
        </w:trPr>
        <w:tc>
          <w:tcPr>
            <w:tcW w:w="2268" w:type="dxa"/>
          </w:tcPr>
          <w:p w14:paraId="5F6ECA85" w14:textId="46A0DA93" w:rsidR="00D52464" w:rsidRPr="00423297" w:rsidRDefault="00D52464" w:rsidP="00532FEE">
            <w:pPr>
              <w:pStyle w:val="tbltext"/>
            </w:pPr>
            <w:r w:rsidRPr="00423297">
              <w:t>Prescribed consumer warning</w:t>
            </w:r>
          </w:p>
        </w:tc>
        <w:tc>
          <w:tcPr>
            <w:tcW w:w="6804" w:type="dxa"/>
          </w:tcPr>
          <w:p w14:paraId="0745913C" w14:textId="2F0FB3EC" w:rsidR="00D52464" w:rsidRPr="00423297" w:rsidRDefault="00D52464" w:rsidP="00D52464">
            <w:pPr>
              <w:pStyle w:val="tbltext"/>
              <w:rPr>
                <w:rFonts w:eastAsiaTheme="minorHAnsi"/>
                <w:lang w:eastAsia="en-US"/>
              </w:rPr>
            </w:pPr>
            <w:r w:rsidRPr="00423297">
              <w:rPr>
                <w:rFonts w:eastAsiaTheme="minorHAnsi"/>
                <w:lang w:eastAsia="en-US"/>
              </w:rPr>
              <w:t xml:space="preserve">We would require a prescribed consumer warning (set out in </w:t>
            </w:r>
            <w:hyperlink r:id="rId30" w:history="1">
              <w:r w:rsidRPr="00423297">
                <w:rPr>
                  <w:rStyle w:val="Hyperlink"/>
                </w:rPr>
                <w:t>ASIC Corporations (Time-sharing Schemes) Instrument 2017/272)</w:t>
              </w:r>
            </w:hyperlink>
            <w:r w:rsidRPr="00423297">
              <w:t xml:space="preserve"> to be provided:</w:t>
            </w:r>
          </w:p>
          <w:p w14:paraId="241B38FA" w14:textId="061B7A18" w:rsidR="00D52464" w:rsidRPr="00423297" w:rsidRDefault="00D52464" w:rsidP="00D52464">
            <w:pPr>
              <w:pStyle w:val="tablebullet"/>
              <w:rPr>
                <w:rFonts w:eastAsiaTheme="minorHAnsi"/>
                <w:lang w:eastAsia="en-US"/>
              </w:rPr>
            </w:pPr>
            <w:r w:rsidRPr="00423297">
              <w:rPr>
                <w:rFonts w:eastAsiaTheme="minorHAnsi"/>
                <w:lang w:eastAsia="en-US"/>
              </w:rPr>
              <w:t>verbally to consumers at sales presentations; and</w:t>
            </w:r>
          </w:p>
          <w:p w14:paraId="1CF3F47A" w14:textId="77777777" w:rsidR="00D52464" w:rsidRPr="00423297" w:rsidRDefault="00D52464" w:rsidP="00D52464">
            <w:pPr>
              <w:pStyle w:val="tablebullet"/>
            </w:pPr>
            <w:proofErr w:type="gramStart"/>
            <w:r w:rsidRPr="00423297">
              <w:rPr>
                <w:rFonts w:eastAsiaTheme="minorHAnsi"/>
                <w:lang w:eastAsia="en-US"/>
              </w:rPr>
              <w:t>at</w:t>
            </w:r>
            <w:proofErr w:type="gramEnd"/>
            <w:r w:rsidRPr="00423297">
              <w:rPr>
                <w:rFonts w:eastAsiaTheme="minorHAnsi"/>
                <w:lang w:eastAsia="en-US"/>
              </w:rPr>
              <w:t xml:space="preserve"> the beginning of the PDS.</w:t>
            </w:r>
          </w:p>
          <w:p w14:paraId="385C37F1" w14:textId="6FC68950" w:rsidR="0053146F" w:rsidRPr="00423297" w:rsidRDefault="0053146F" w:rsidP="00612180">
            <w:pPr>
              <w:pStyle w:val="tablebullet"/>
              <w:numPr>
                <w:ilvl w:val="0"/>
                <w:numId w:val="0"/>
              </w:numPr>
            </w:pPr>
            <w:r w:rsidRPr="00423297">
              <w:rPr>
                <w:rFonts w:eastAsiaTheme="minorHAnsi"/>
                <w:lang w:eastAsia="en-US"/>
              </w:rPr>
              <w:t xml:space="preserve">This prescribed consumer warning will provide clear and prominent information </w:t>
            </w:r>
            <w:bookmarkStart w:id="117" w:name="_Hlk38993240"/>
            <w:r w:rsidRPr="00423297">
              <w:rPr>
                <w:rFonts w:eastAsiaTheme="minorHAnsi"/>
                <w:lang w:eastAsia="en-US"/>
              </w:rPr>
              <w:t xml:space="preserve">about the costs, long-term nature, risks and other important </w:t>
            </w:r>
            <w:bookmarkEnd w:id="117"/>
            <w:r w:rsidR="00183829" w:rsidRPr="00423297">
              <w:rPr>
                <w:rFonts w:eastAsiaTheme="minorHAnsi"/>
                <w:lang w:eastAsia="en-US"/>
              </w:rPr>
              <w:t>details of</w:t>
            </w:r>
            <w:r w:rsidRPr="00423297">
              <w:rPr>
                <w:rFonts w:eastAsiaTheme="minorHAnsi"/>
                <w:lang w:eastAsia="en-US"/>
              </w:rPr>
              <w:t xml:space="preserve"> time-sharing schemes</w:t>
            </w:r>
            <w:r w:rsidR="00183829" w:rsidRPr="00423297">
              <w:rPr>
                <w:rFonts w:eastAsiaTheme="minorHAnsi"/>
                <w:lang w:eastAsia="en-US"/>
              </w:rPr>
              <w:t>. This information should</w:t>
            </w:r>
            <w:r w:rsidRPr="00423297">
              <w:rPr>
                <w:rFonts w:eastAsiaTheme="minorHAnsi"/>
                <w:lang w:eastAsia="en-US"/>
              </w:rPr>
              <w:t xml:space="preserve"> help them decide whether </w:t>
            </w:r>
            <w:r w:rsidR="00183829" w:rsidRPr="00423297">
              <w:rPr>
                <w:rFonts w:eastAsiaTheme="minorHAnsi"/>
                <w:lang w:eastAsia="en-US"/>
              </w:rPr>
              <w:t>an interest in a time-sharing scheme</w:t>
            </w:r>
            <w:r w:rsidRPr="00423297">
              <w:rPr>
                <w:rFonts w:eastAsiaTheme="minorHAnsi"/>
                <w:lang w:eastAsia="en-US"/>
              </w:rPr>
              <w:t xml:space="preserve"> is right for them.</w:t>
            </w:r>
          </w:p>
        </w:tc>
      </w:tr>
      <w:tr w:rsidR="00D52464" w:rsidRPr="00423297" w14:paraId="15239D41" w14:textId="77777777" w:rsidTr="0027762E">
        <w:trPr>
          <w:cantSplit/>
        </w:trPr>
        <w:tc>
          <w:tcPr>
            <w:tcW w:w="2268" w:type="dxa"/>
          </w:tcPr>
          <w:p w14:paraId="1FC54A2A" w14:textId="58227871" w:rsidR="00D52464" w:rsidRPr="00423297" w:rsidRDefault="00D52464" w:rsidP="00532FEE">
            <w:pPr>
              <w:pStyle w:val="tbltext"/>
            </w:pPr>
            <w:r w:rsidRPr="00423297">
              <w:lastRenderedPageBreak/>
              <w:t>Explanation of key features</w:t>
            </w:r>
          </w:p>
        </w:tc>
        <w:tc>
          <w:tcPr>
            <w:tcW w:w="6804" w:type="dxa"/>
          </w:tcPr>
          <w:p w14:paraId="59923FD0" w14:textId="225D9BF2" w:rsidR="00D52464" w:rsidRPr="00423297" w:rsidRDefault="00D52464" w:rsidP="00D52464">
            <w:pPr>
              <w:pStyle w:val="tbltext"/>
              <w:rPr>
                <w:rFonts w:eastAsiaTheme="minorHAnsi"/>
                <w:lang w:eastAsia="en-US"/>
              </w:rPr>
            </w:pPr>
            <w:bookmarkStart w:id="118" w:name="_Ref10555081"/>
            <w:r w:rsidRPr="00423297">
              <w:rPr>
                <w:rFonts w:eastAsia="Arial"/>
                <w:lang w:eastAsia="en-US"/>
              </w:rPr>
              <w:t xml:space="preserve">We would require operators to include the following information (key features) in the first </w:t>
            </w:r>
            <w:r w:rsidR="00FD7881" w:rsidRPr="00D04583">
              <w:rPr>
                <w:rFonts w:eastAsia="Arial"/>
                <w:lang w:eastAsia="en-US"/>
              </w:rPr>
              <w:t>seven</w:t>
            </w:r>
            <w:r w:rsidR="007A0DD1" w:rsidRPr="00D04583">
              <w:rPr>
                <w:rFonts w:eastAsia="Arial"/>
                <w:lang w:eastAsia="en-US"/>
              </w:rPr>
              <w:t xml:space="preserve"> pages</w:t>
            </w:r>
            <w:r w:rsidRPr="00D04583">
              <w:rPr>
                <w:rFonts w:eastAsia="Arial"/>
                <w:lang w:eastAsia="en-US"/>
              </w:rPr>
              <w:t xml:space="preserve"> of the PDS</w:t>
            </w:r>
            <w:r w:rsidRPr="00423297">
              <w:rPr>
                <w:rFonts w:eastAsia="Arial"/>
                <w:lang w:eastAsia="en-US"/>
              </w:rPr>
              <w:t xml:space="preserve"> after the written consumer warning:</w:t>
            </w:r>
            <w:bookmarkEnd w:id="118"/>
            <w:r w:rsidRPr="00423297">
              <w:rPr>
                <w:rFonts w:eastAsia="Arial"/>
                <w:lang w:eastAsia="en-US"/>
              </w:rPr>
              <w:t xml:space="preserve"> </w:t>
            </w:r>
          </w:p>
          <w:p w14:paraId="68DFACC3" w14:textId="037FD81B" w:rsidR="00D56A3C" w:rsidRPr="00423297" w:rsidRDefault="00D56A3C" w:rsidP="00D52464">
            <w:pPr>
              <w:pStyle w:val="tablebullet"/>
              <w:rPr>
                <w:rFonts w:eastAsia="Arial"/>
                <w:lang w:eastAsia="en-US"/>
              </w:rPr>
            </w:pPr>
            <w:r w:rsidRPr="00423297">
              <w:rPr>
                <w:rFonts w:eastAsia="Arial"/>
                <w:lang w:eastAsia="en-US"/>
              </w:rPr>
              <w:t>the membership term of the interest in the time-sharing scheme being offered under the PDS;</w:t>
            </w:r>
          </w:p>
          <w:p w14:paraId="27CD8F74" w14:textId="77777777" w:rsidR="00D56A3C" w:rsidRPr="00423297" w:rsidRDefault="00D56A3C" w:rsidP="00D56A3C">
            <w:pPr>
              <w:pStyle w:val="tablebullet"/>
              <w:rPr>
                <w:rFonts w:eastAsia="Arial"/>
                <w:lang w:eastAsia="en-US"/>
              </w:rPr>
            </w:pPr>
            <w:r w:rsidRPr="00423297">
              <w:rPr>
                <w:rFonts w:eastAsia="Arial"/>
                <w:lang w:eastAsia="en-US"/>
              </w:rPr>
              <w:t>any criteria used by the operator to identify consumers the operator considers most likely to:</w:t>
            </w:r>
          </w:p>
          <w:p w14:paraId="1405119C" w14:textId="77777777" w:rsidR="00D56A3C" w:rsidRPr="00423297" w:rsidRDefault="00D56A3C" w:rsidP="00D56A3C">
            <w:pPr>
              <w:pStyle w:val="tabledash"/>
              <w:rPr>
                <w:rFonts w:eastAsia="Arial"/>
                <w:lang w:eastAsia="en-US"/>
              </w:rPr>
            </w:pPr>
            <w:r w:rsidRPr="00423297">
              <w:rPr>
                <w:rFonts w:eastAsia="Arial"/>
                <w:lang w:eastAsia="en-US"/>
              </w:rPr>
              <w:t xml:space="preserve">be suited to a time-sharing scheme; and </w:t>
            </w:r>
          </w:p>
          <w:p w14:paraId="2181578E" w14:textId="77777777" w:rsidR="00D56A3C" w:rsidRPr="002F512F" w:rsidRDefault="00D56A3C" w:rsidP="00D56A3C">
            <w:pPr>
              <w:pStyle w:val="tabledash"/>
              <w:rPr>
                <w:rFonts w:eastAsia="Arial"/>
                <w:spacing w:val="-4"/>
                <w:lang w:eastAsia="en-US"/>
              </w:rPr>
            </w:pPr>
            <w:r w:rsidRPr="002F512F">
              <w:rPr>
                <w:rFonts w:eastAsia="Arial"/>
                <w:spacing w:val="-4"/>
                <w:lang w:eastAsia="en-US"/>
              </w:rPr>
              <w:t>be interested in acquiring an interest in the scheme through its sale presentations;</w:t>
            </w:r>
          </w:p>
          <w:p w14:paraId="5AA6E986" w14:textId="4D9235D3" w:rsidR="00D52464" w:rsidRPr="00423297" w:rsidRDefault="00D56A3C" w:rsidP="00D52464">
            <w:pPr>
              <w:pStyle w:val="tablebullet"/>
              <w:rPr>
                <w:rFonts w:eastAsia="Arial"/>
                <w:lang w:eastAsia="en-US"/>
              </w:rPr>
            </w:pPr>
            <w:r w:rsidRPr="00423297">
              <w:rPr>
                <w:rFonts w:eastAsia="Arial"/>
                <w:lang w:eastAsia="en-US"/>
              </w:rPr>
              <w:t xml:space="preserve">a description of the restrictions on exit and </w:t>
            </w:r>
            <w:r w:rsidR="00D52464" w:rsidRPr="00423297">
              <w:rPr>
                <w:rFonts w:eastAsia="Arial"/>
                <w:lang w:eastAsia="en-US"/>
              </w:rPr>
              <w:t xml:space="preserve">a statement that </w:t>
            </w:r>
            <w:r w:rsidRPr="00423297">
              <w:rPr>
                <w:rFonts w:eastAsia="Arial"/>
                <w:lang w:eastAsia="en-US"/>
              </w:rPr>
              <w:t>the consumer</w:t>
            </w:r>
            <w:r w:rsidR="00D52464" w:rsidRPr="00423297">
              <w:rPr>
                <w:rFonts w:eastAsia="Arial"/>
                <w:lang w:eastAsia="en-US"/>
              </w:rPr>
              <w:t xml:space="preserve"> should have no expectation of being able to sell the membership on any market or get any money back;</w:t>
            </w:r>
          </w:p>
          <w:p w14:paraId="15CB4CC5" w14:textId="7071B78C" w:rsidR="00022130" w:rsidRPr="00423297" w:rsidRDefault="00D52464" w:rsidP="00D52464">
            <w:pPr>
              <w:pStyle w:val="tablebullet"/>
              <w:rPr>
                <w:rFonts w:eastAsia="Arial"/>
                <w:lang w:eastAsia="en-US"/>
              </w:rPr>
            </w:pPr>
            <w:r w:rsidRPr="00423297">
              <w:rPr>
                <w:rFonts w:eastAsia="Arial"/>
                <w:lang w:eastAsia="en-US"/>
              </w:rPr>
              <w:t>a description of the cooling-off rights</w:t>
            </w:r>
            <w:r w:rsidR="00182EB1" w:rsidRPr="00423297">
              <w:rPr>
                <w:rFonts w:eastAsia="Arial"/>
                <w:lang w:eastAsia="en-US"/>
              </w:rPr>
              <w:t xml:space="preserve"> </w:t>
            </w:r>
            <w:r w:rsidRPr="00423297">
              <w:rPr>
                <w:rFonts w:eastAsia="Arial"/>
                <w:lang w:eastAsia="en-US"/>
              </w:rPr>
              <w:t xml:space="preserve">and </w:t>
            </w:r>
            <w:r w:rsidR="00D61E78">
              <w:rPr>
                <w:rFonts w:eastAsia="Arial"/>
                <w:lang w:eastAsia="en-US"/>
              </w:rPr>
              <w:t>‘</w:t>
            </w:r>
            <w:r w:rsidRPr="00423297">
              <w:rPr>
                <w:rFonts w:eastAsia="Arial"/>
                <w:lang w:eastAsia="en-US"/>
              </w:rPr>
              <w:t>subject to finance</w:t>
            </w:r>
            <w:r w:rsidR="00D61E78">
              <w:rPr>
                <w:rFonts w:eastAsia="Arial"/>
                <w:lang w:eastAsia="en-US"/>
              </w:rPr>
              <w:t>’</w:t>
            </w:r>
            <w:r w:rsidRPr="00423297">
              <w:rPr>
                <w:rFonts w:eastAsia="Arial"/>
                <w:lang w:eastAsia="en-US"/>
              </w:rPr>
              <w:t xml:space="preserve"> rights</w:t>
            </w:r>
            <w:r w:rsidR="00210E33" w:rsidRPr="00423297">
              <w:rPr>
                <w:rFonts w:eastAsia="Arial"/>
                <w:lang w:eastAsia="en-US"/>
              </w:rPr>
              <w:t>,</w:t>
            </w:r>
            <w:r w:rsidRPr="00423297">
              <w:rPr>
                <w:rFonts w:eastAsia="Arial"/>
                <w:lang w:eastAsia="en-US"/>
              </w:rPr>
              <w:t xml:space="preserve"> and a reference to the cooling-off statement</w:t>
            </w:r>
            <w:r w:rsidR="00022130" w:rsidRPr="00423297">
              <w:rPr>
                <w:rFonts w:eastAsia="Arial"/>
                <w:lang w:eastAsia="en-US"/>
              </w:rPr>
              <w:t>;</w:t>
            </w:r>
            <w:r w:rsidR="00182EB1" w:rsidRPr="00423297">
              <w:rPr>
                <w:rFonts w:eastAsia="Arial"/>
                <w:lang w:eastAsia="en-US"/>
              </w:rPr>
              <w:t xml:space="preserve"> </w:t>
            </w:r>
          </w:p>
          <w:p w14:paraId="5059A726" w14:textId="17BBE6CB" w:rsidR="00D52464" w:rsidRPr="00423297" w:rsidRDefault="00022130" w:rsidP="00EC0071">
            <w:pPr>
              <w:pStyle w:val="tblnote"/>
              <w:rPr>
                <w:rFonts w:eastAsia="Arial"/>
                <w:lang w:eastAsia="en-US"/>
              </w:rPr>
            </w:pPr>
            <w:r w:rsidRPr="00423297">
              <w:rPr>
                <w:rFonts w:eastAsia="Arial"/>
                <w:lang w:eastAsia="en-US"/>
              </w:rPr>
              <w:t>Note: U</w:t>
            </w:r>
            <w:r w:rsidR="00182EB1" w:rsidRPr="00423297">
              <w:rPr>
                <w:rFonts w:eastAsia="Arial"/>
                <w:lang w:eastAsia="en-US"/>
              </w:rPr>
              <w:t xml:space="preserve">nder </w:t>
            </w:r>
            <w:r w:rsidR="00D66E27" w:rsidRPr="00423297">
              <w:rPr>
                <w:rFonts w:eastAsia="Arial"/>
                <w:lang w:eastAsia="en-US"/>
              </w:rPr>
              <w:t xml:space="preserve">revised </w:t>
            </w:r>
            <w:r w:rsidR="00182EB1" w:rsidRPr="00423297">
              <w:rPr>
                <w:rFonts w:eastAsia="Arial"/>
                <w:lang w:eastAsia="en-US"/>
              </w:rPr>
              <w:t xml:space="preserve">Option 1, this requires a description of the existing cooling-off rights </w:t>
            </w:r>
            <w:r w:rsidR="00540F6B" w:rsidRPr="00423297">
              <w:rPr>
                <w:rFonts w:eastAsia="Arial"/>
                <w:lang w:eastAsia="en-US"/>
              </w:rPr>
              <w:t xml:space="preserve">and new </w:t>
            </w:r>
            <w:r w:rsidR="00D61E78">
              <w:rPr>
                <w:rFonts w:eastAsia="Arial"/>
                <w:lang w:eastAsia="en-US"/>
              </w:rPr>
              <w:t>‘</w:t>
            </w:r>
            <w:r w:rsidR="00540F6B" w:rsidRPr="00423297">
              <w:rPr>
                <w:rFonts w:eastAsia="Arial"/>
                <w:lang w:eastAsia="en-US"/>
              </w:rPr>
              <w:t>subject to finance</w:t>
            </w:r>
            <w:r w:rsidR="00D61E78">
              <w:rPr>
                <w:rFonts w:eastAsia="Arial"/>
                <w:lang w:eastAsia="en-US"/>
              </w:rPr>
              <w:t>’</w:t>
            </w:r>
            <w:r w:rsidR="00540F6B" w:rsidRPr="00423297">
              <w:rPr>
                <w:rFonts w:eastAsia="Arial"/>
                <w:lang w:eastAsia="en-US"/>
              </w:rPr>
              <w:t xml:space="preserve"> rights </w:t>
            </w:r>
            <w:r w:rsidR="00182EB1" w:rsidRPr="00423297">
              <w:rPr>
                <w:rFonts w:eastAsia="Arial"/>
                <w:lang w:eastAsia="en-US"/>
              </w:rPr>
              <w:t xml:space="preserve">and </w:t>
            </w:r>
            <w:r w:rsidR="00540F6B" w:rsidRPr="00423297">
              <w:rPr>
                <w:rFonts w:eastAsia="Arial"/>
                <w:lang w:eastAsia="en-US"/>
              </w:rPr>
              <w:t xml:space="preserve">a </w:t>
            </w:r>
            <w:r w:rsidR="00182EB1" w:rsidRPr="00423297">
              <w:rPr>
                <w:rFonts w:eastAsia="Arial"/>
                <w:lang w:eastAsia="en-US"/>
              </w:rPr>
              <w:t>reference to the existing cooling-off statement</w:t>
            </w:r>
            <w:r w:rsidR="00D52464" w:rsidRPr="00423297">
              <w:rPr>
                <w:rFonts w:eastAsia="Arial"/>
                <w:lang w:eastAsia="en-US"/>
              </w:rPr>
              <w:t>;</w:t>
            </w:r>
          </w:p>
          <w:p w14:paraId="1A6E451C" w14:textId="77777777" w:rsidR="00D52464" w:rsidRPr="00423297" w:rsidRDefault="00D52464" w:rsidP="00D52464">
            <w:pPr>
              <w:pStyle w:val="tablebullet"/>
              <w:rPr>
                <w:rFonts w:eastAsia="Arial"/>
                <w:lang w:eastAsia="en-US"/>
              </w:rPr>
            </w:pPr>
            <w:r w:rsidRPr="00423297">
              <w:rPr>
                <w:rFonts w:eastAsia="Arial"/>
                <w:lang w:eastAsia="en-US"/>
              </w:rPr>
              <w:t>a description of key limitations on access to accommodation (such as seasonality or other factors);</w:t>
            </w:r>
          </w:p>
          <w:p w14:paraId="754C0CF8" w14:textId="77777777" w:rsidR="00D42D97" w:rsidRPr="00423297" w:rsidRDefault="00D56A3C" w:rsidP="00D42D97">
            <w:pPr>
              <w:pStyle w:val="tablebullet"/>
              <w:rPr>
                <w:rFonts w:eastAsia="Arial"/>
                <w:lang w:eastAsia="en-US"/>
              </w:rPr>
            </w:pPr>
            <w:r w:rsidRPr="00423297">
              <w:rPr>
                <w:rFonts w:eastAsia="Arial"/>
                <w:lang w:eastAsia="en-US"/>
              </w:rPr>
              <w:t>a summary of the fees and costs involved, and a cross-reference to where further information can be found in the PDS</w:t>
            </w:r>
            <w:r w:rsidR="00D42D97" w:rsidRPr="00423297">
              <w:rPr>
                <w:rFonts w:eastAsia="Arial"/>
                <w:lang w:eastAsia="en-US"/>
              </w:rPr>
              <w:t>; and</w:t>
            </w:r>
          </w:p>
          <w:p w14:paraId="0DB4D3CB" w14:textId="77777777" w:rsidR="00D52464" w:rsidRPr="00423297" w:rsidRDefault="00D52464" w:rsidP="00D56A3C">
            <w:pPr>
              <w:pStyle w:val="tablebullet"/>
            </w:pPr>
            <w:proofErr w:type="gramStart"/>
            <w:r w:rsidRPr="00423297">
              <w:rPr>
                <w:rFonts w:eastAsia="Arial"/>
                <w:lang w:eastAsia="en-US"/>
              </w:rPr>
              <w:t>for</w:t>
            </w:r>
            <w:proofErr w:type="gramEnd"/>
            <w:r w:rsidRPr="00423297">
              <w:rPr>
                <w:rFonts w:eastAsia="Arial"/>
                <w:lang w:eastAsia="en-US"/>
              </w:rPr>
              <w:t xml:space="preserve"> points-based </w:t>
            </w:r>
            <w:r w:rsidR="00210E33" w:rsidRPr="00423297">
              <w:rPr>
                <w:rFonts w:eastAsia="Arial"/>
                <w:lang w:eastAsia="en-US"/>
              </w:rPr>
              <w:t>programs</w:t>
            </w:r>
            <w:r w:rsidRPr="00423297">
              <w:rPr>
                <w:rFonts w:eastAsia="Arial"/>
                <w:lang w:eastAsia="en-US"/>
              </w:rPr>
              <w:t>, a summary of how the points system works and a cross-reference to where further information can be found in the PDS</w:t>
            </w:r>
            <w:r w:rsidR="00D56A3C" w:rsidRPr="00423297">
              <w:rPr>
                <w:rFonts w:eastAsia="Arial"/>
                <w:lang w:eastAsia="en-US"/>
              </w:rPr>
              <w:t>.</w:t>
            </w:r>
          </w:p>
          <w:p w14:paraId="6EBAF3B0" w14:textId="2E8EC2DE" w:rsidR="008A59A3" w:rsidRPr="00423297" w:rsidRDefault="008A59A3" w:rsidP="00612180">
            <w:pPr>
              <w:pStyle w:val="tablebullet"/>
              <w:numPr>
                <w:ilvl w:val="0"/>
                <w:numId w:val="0"/>
              </w:numPr>
            </w:pPr>
            <w:r w:rsidRPr="00423297">
              <w:rPr>
                <w:rFonts w:eastAsia="Arial"/>
                <w:lang w:eastAsia="en-US"/>
              </w:rPr>
              <w:t xml:space="preserve">Consumers will benefit from this clear and prominent disclosure </w:t>
            </w:r>
            <w:r w:rsidR="000248D6" w:rsidRPr="00423297">
              <w:rPr>
                <w:rFonts w:eastAsia="Arial"/>
                <w:lang w:eastAsia="en-US"/>
              </w:rPr>
              <w:t>about the costs, long-term nature, risks and other important information</w:t>
            </w:r>
            <w:r w:rsidR="00183829" w:rsidRPr="00423297">
              <w:rPr>
                <w:rFonts w:eastAsia="Arial"/>
                <w:lang w:eastAsia="en-US"/>
              </w:rPr>
              <w:t xml:space="preserve"> </w:t>
            </w:r>
            <w:r w:rsidR="00183829" w:rsidRPr="00423297">
              <w:rPr>
                <w:rFonts w:eastAsiaTheme="minorHAnsi"/>
                <w:lang w:eastAsia="en-US"/>
              </w:rPr>
              <w:t>of the time-sharing scheme</w:t>
            </w:r>
            <w:r w:rsidR="00183829" w:rsidRPr="00423297">
              <w:rPr>
                <w:rFonts w:eastAsia="Arial"/>
                <w:lang w:eastAsia="en-US"/>
              </w:rPr>
              <w:t>.</w:t>
            </w:r>
            <w:r w:rsidR="000248D6" w:rsidRPr="00423297">
              <w:rPr>
                <w:rFonts w:eastAsia="Arial"/>
                <w:lang w:eastAsia="en-US"/>
              </w:rPr>
              <w:t xml:space="preserve"> </w:t>
            </w:r>
            <w:r w:rsidR="00183829" w:rsidRPr="00423297">
              <w:rPr>
                <w:rFonts w:eastAsia="Arial"/>
                <w:lang w:eastAsia="en-US"/>
              </w:rPr>
              <w:t xml:space="preserve">This information </w:t>
            </w:r>
            <w:r w:rsidR="009B73DE" w:rsidRPr="00423297">
              <w:rPr>
                <w:rFonts w:eastAsia="Arial"/>
                <w:lang w:eastAsia="en-US"/>
              </w:rPr>
              <w:t>should</w:t>
            </w:r>
            <w:r w:rsidR="003959EB" w:rsidRPr="00423297">
              <w:rPr>
                <w:rFonts w:eastAsia="Arial"/>
                <w:lang w:eastAsia="en-US"/>
              </w:rPr>
              <w:t xml:space="preserve"> </w:t>
            </w:r>
            <w:r w:rsidRPr="00423297">
              <w:rPr>
                <w:rFonts w:eastAsia="Arial"/>
                <w:lang w:eastAsia="en-US"/>
              </w:rPr>
              <w:t xml:space="preserve">help them decide whether purchasing an interest in the time-sharing scheme is right for them. </w:t>
            </w:r>
          </w:p>
        </w:tc>
      </w:tr>
    </w:tbl>
    <w:p w14:paraId="5660E7EE" w14:textId="3ED4BF48" w:rsidR="00B87D7B" w:rsidRPr="00423297" w:rsidRDefault="00337358" w:rsidP="008250FD">
      <w:pPr>
        <w:pStyle w:val="Heading3"/>
        <w:rPr>
          <w:rFonts w:eastAsia="Calibri"/>
        </w:rPr>
      </w:pPr>
      <w:r w:rsidRPr="00423297">
        <w:rPr>
          <w:rFonts w:eastAsia="Calibri"/>
        </w:rPr>
        <w:t xml:space="preserve">Hardship </w:t>
      </w:r>
      <w:r w:rsidR="00B87D7B" w:rsidRPr="00423297">
        <w:rPr>
          <w:rFonts w:eastAsia="Calibri"/>
        </w:rPr>
        <w:t>arrangements</w:t>
      </w:r>
    </w:p>
    <w:p w14:paraId="6A015580" w14:textId="55CED3F5" w:rsidR="00786F53" w:rsidRPr="00423297" w:rsidRDefault="0027398A" w:rsidP="002930A0">
      <w:pPr>
        <w:pStyle w:val="BodyText"/>
      </w:pPr>
      <w:bookmarkStart w:id="119" w:name="_Ref10558677"/>
      <w:bookmarkStart w:id="120" w:name="_Hlk42021382"/>
      <w:bookmarkStart w:id="121" w:name="_Hlk42171845"/>
      <w:bookmarkStart w:id="122" w:name="_Ref4772659"/>
      <w:r w:rsidRPr="00423297">
        <w:t xml:space="preserve">To help members suffering hardship, </w:t>
      </w:r>
      <w:r w:rsidR="00561593" w:rsidRPr="00423297">
        <w:t>revised</w:t>
      </w:r>
      <w:r w:rsidR="00D66E27" w:rsidRPr="00423297">
        <w:t xml:space="preserve"> </w:t>
      </w:r>
      <w:r w:rsidR="00210E33" w:rsidRPr="00423297">
        <w:t>O</w:t>
      </w:r>
      <w:r w:rsidRPr="00423297">
        <w:t>ption</w:t>
      </w:r>
      <w:r w:rsidR="00210E33" w:rsidRPr="00423297">
        <w:t xml:space="preserve"> 1</w:t>
      </w:r>
      <w:r w:rsidR="00C91DBA" w:rsidRPr="00423297">
        <w:t xml:space="preserve"> requires</w:t>
      </w:r>
      <w:r w:rsidR="00786F53" w:rsidRPr="00423297">
        <w:t xml:space="preserve"> </w:t>
      </w:r>
      <w:r w:rsidRPr="00423297">
        <w:t>operator</w:t>
      </w:r>
      <w:r w:rsidR="00786F53" w:rsidRPr="00423297">
        <w:t>s</w:t>
      </w:r>
      <w:r w:rsidR="00C91DBA" w:rsidRPr="00423297">
        <w:t xml:space="preserve"> to </w:t>
      </w:r>
      <w:r w:rsidRPr="00423297">
        <w:t>consider</w:t>
      </w:r>
      <w:r w:rsidR="00786F53" w:rsidRPr="00423297">
        <w:t xml:space="preserve"> a member</w:t>
      </w:r>
      <w:r w:rsidR="00D61E78">
        <w:t>’</w:t>
      </w:r>
      <w:r w:rsidR="00786F53" w:rsidRPr="00423297">
        <w:t>s request to withdraw from the scheme because of hardship circumstances</w:t>
      </w:r>
      <w:r w:rsidR="00210E33" w:rsidRPr="00423297">
        <w:t>.</w:t>
      </w:r>
      <w:r w:rsidR="00C91DBA" w:rsidRPr="00423297">
        <w:t xml:space="preserve"> </w:t>
      </w:r>
      <w:r w:rsidR="00210E33" w:rsidRPr="00423297">
        <w:t>I</w:t>
      </w:r>
      <w:r w:rsidR="00EE2C75" w:rsidRPr="00423297">
        <w:t xml:space="preserve">f </w:t>
      </w:r>
      <w:r w:rsidR="00786F53" w:rsidRPr="00423297">
        <w:t xml:space="preserve">the request </w:t>
      </w:r>
      <w:r w:rsidR="00EE2C75" w:rsidRPr="00423297">
        <w:t>is found to meet</w:t>
      </w:r>
      <w:r w:rsidRPr="00423297">
        <w:t xml:space="preserve"> specified hardship criteria, </w:t>
      </w:r>
      <w:r w:rsidR="00210E33" w:rsidRPr="00423297">
        <w:t xml:space="preserve">operators </w:t>
      </w:r>
      <w:r w:rsidR="00BE610B" w:rsidRPr="00423297">
        <w:t>have the discretion to</w:t>
      </w:r>
      <w:r w:rsidR="00C91DBA" w:rsidRPr="00423297">
        <w:t xml:space="preserve"> </w:t>
      </w:r>
      <w:r w:rsidRPr="00423297">
        <w:t xml:space="preserve">approve the </w:t>
      </w:r>
      <w:r w:rsidR="002C4A2F" w:rsidRPr="00423297">
        <w:t>withdrawal as</w:t>
      </w:r>
      <w:r w:rsidRPr="00423297">
        <w:t xml:space="preserve"> at the date the request was lodged and</w:t>
      </w:r>
      <w:r w:rsidR="00C91DBA" w:rsidRPr="00423297">
        <w:t xml:space="preserve"> </w:t>
      </w:r>
      <w:r w:rsidRPr="00423297">
        <w:t>rel</w:t>
      </w:r>
      <w:r w:rsidR="00A82330" w:rsidRPr="00423297">
        <w:t>ease the member from</w:t>
      </w:r>
      <w:r w:rsidRPr="00423297">
        <w:t xml:space="preserve"> all liability </w:t>
      </w:r>
      <w:r w:rsidR="007B4B38" w:rsidRPr="00423297">
        <w:t xml:space="preserve">to the </w:t>
      </w:r>
      <w:r w:rsidR="005A7061" w:rsidRPr="00423297">
        <w:t>scheme</w:t>
      </w:r>
      <w:r w:rsidR="003B6465" w:rsidRPr="00423297">
        <w:t>, in</w:t>
      </w:r>
      <w:r w:rsidRPr="00423297">
        <w:t>cluding any shortfall from resale or outstanding and future payments</w:t>
      </w:r>
      <w:r w:rsidR="003B6465" w:rsidRPr="00423297">
        <w:t xml:space="preserve"> (formal hardship arrangements)</w:t>
      </w:r>
      <w:r w:rsidR="00F916A9" w:rsidRPr="00423297">
        <w:t>.</w:t>
      </w:r>
      <w:bookmarkEnd w:id="119"/>
      <w:r w:rsidR="00F916A9" w:rsidRPr="00423297">
        <w:t xml:space="preserve"> </w:t>
      </w:r>
      <w:bookmarkEnd w:id="120"/>
    </w:p>
    <w:bookmarkEnd w:id="121"/>
    <w:p w14:paraId="628C64E1" w14:textId="1D711272" w:rsidR="00C0769E" w:rsidRPr="00423297" w:rsidRDefault="00A82330" w:rsidP="002930A0">
      <w:pPr>
        <w:pStyle w:val="BodyText"/>
      </w:pPr>
      <w:r w:rsidRPr="00423297">
        <w:t>W</w:t>
      </w:r>
      <w:r w:rsidR="00B87D7B" w:rsidRPr="00423297">
        <w:t xml:space="preserve">e received </w:t>
      </w:r>
      <w:r w:rsidRPr="00423297">
        <w:t xml:space="preserve">feedback during our consultation </w:t>
      </w:r>
      <w:r w:rsidR="00B87D7B" w:rsidRPr="00423297">
        <w:t xml:space="preserve">that </w:t>
      </w:r>
      <w:r w:rsidR="00C91DBA" w:rsidRPr="00423297">
        <w:t xml:space="preserve">it </w:t>
      </w:r>
      <w:r w:rsidR="00B87D7B" w:rsidRPr="00423297">
        <w:t>is the practice of some operators to provide informal hardship arrangements</w:t>
      </w:r>
      <w:r w:rsidRPr="00423297">
        <w:t>. The proposed formal hardship arrangements</w:t>
      </w:r>
      <w:r w:rsidR="00B87D7B" w:rsidRPr="00423297">
        <w:t xml:space="preserve"> </w:t>
      </w:r>
      <w:r w:rsidR="00245A64" w:rsidRPr="00423297">
        <w:t>will standardise</w:t>
      </w:r>
      <w:r w:rsidR="00D226A3" w:rsidRPr="00423297">
        <w:t xml:space="preserve"> </w:t>
      </w:r>
      <w:r w:rsidRPr="00423297">
        <w:t>and</w:t>
      </w:r>
      <w:r w:rsidR="00D226A3" w:rsidRPr="00423297">
        <w:t xml:space="preserve"> </w:t>
      </w:r>
      <w:r w:rsidR="00245A64" w:rsidRPr="00423297">
        <w:t>formalise this practice</w:t>
      </w:r>
      <w:r w:rsidR="00B87D7B" w:rsidRPr="00423297">
        <w:t xml:space="preserve"> across the industry</w:t>
      </w:r>
      <w:r w:rsidR="008A59A3" w:rsidRPr="00423297">
        <w:t xml:space="preserve"> </w:t>
      </w:r>
      <w:r w:rsidR="00183829" w:rsidRPr="00423297">
        <w:t>and</w:t>
      </w:r>
      <w:r w:rsidR="008A59A3" w:rsidRPr="00423297">
        <w:t xml:space="preserve"> provide more certainty</w:t>
      </w:r>
      <w:r w:rsidR="00FD3EB1" w:rsidRPr="00423297">
        <w:t xml:space="preserve"> to</w:t>
      </w:r>
      <w:r w:rsidR="00C0769E" w:rsidRPr="00423297">
        <w:t>:</w:t>
      </w:r>
    </w:p>
    <w:p w14:paraId="2D01C4AE" w14:textId="0F948D9A" w:rsidR="001053B6" w:rsidRPr="00357BA8" w:rsidRDefault="00B106A5" w:rsidP="00C0769E">
      <w:pPr>
        <w:pStyle w:val="subparaa"/>
      </w:pPr>
      <w:r w:rsidRPr="00423297">
        <w:t xml:space="preserve">members </w:t>
      </w:r>
      <w:r w:rsidR="00BE7A1B" w:rsidRPr="00423297">
        <w:t>suffering</w:t>
      </w:r>
      <w:r w:rsidR="008A59A3" w:rsidRPr="00423297">
        <w:t xml:space="preserve"> hardship</w:t>
      </w:r>
      <w:r w:rsidR="001053B6" w:rsidRPr="00423297">
        <w:t xml:space="preserve">, compared to the </w:t>
      </w:r>
      <w:r w:rsidR="008A59A3" w:rsidRPr="00423297">
        <w:t>informal hardship arrangements</w:t>
      </w:r>
      <w:r w:rsidR="00C850E1" w:rsidRPr="00423297">
        <w:t xml:space="preserve"> offered or withheld at the discretion of operators</w:t>
      </w:r>
      <w:r w:rsidR="00884805">
        <w:t xml:space="preserve"> </w:t>
      </w:r>
      <w:r w:rsidR="00884805" w:rsidRPr="00357BA8">
        <w:t>on an ad</w:t>
      </w:r>
      <w:r w:rsidR="00750CD5">
        <w:noBreakHyphen/>
      </w:r>
      <w:r w:rsidR="00884805" w:rsidRPr="00357BA8">
        <w:t>hoc basis</w:t>
      </w:r>
      <w:r w:rsidR="001053B6" w:rsidRPr="00357BA8">
        <w:t>; and</w:t>
      </w:r>
    </w:p>
    <w:p w14:paraId="5BD43A33" w14:textId="76935380" w:rsidR="00B87D7B" w:rsidRPr="00423297" w:rsidRDefault="008A59A3" w:rsidP="00D356DA">
      <w:pPr>
        <w:pStyle w:val="subparaa"/>
      </w:pPr>
      <w:proofErr w:type="gramStart"/>
      <w:r w:rsidRPr="00423297">
        <w:t>operators</w:t>
      </w:r>
      <w:proofErr w:type="gramEnd"/>
      <w:r w:rsidR="001053B6" w:rsidRPr="00423297">
        <w:t xml:space="preserve">, </w:t>
      </w:r>
      <w:r w:rsidR="00183829" w:rsidRPr="00423297">
        <w:t xml:space="preserve">which will now be able to </w:t>
      </w:r>
      <w:r w:rsidR="00612180" w:rsidRPr="00423297">
        <w:t>provid</w:t>
      </w:r>
      <w:r w:rsidR="00183829" w:rsidRPr="00423297">
        <w:t>e</w:t>
      </w:r>
      <w:r w:rsidR="00612180" w:rsidRPr="00423297">
        <w:t xml:space="preserve"> hardship arrangements</w:t>
      </w:r>
      <w:r w:rsidR="00322BC7" w:rsidRPr="00423297">
        <w:t xml:space="preserve"> consistent with</w:t>
      </w:r>
      <w:r w:rsidRPr="00423297">
        <w:t xml:space="preserve"> </w:t>
      </w:r>
      <w:r w:rsidR="00C4773A" w:rsidRPr="00423297">
        <w:t xml:space="preserve">the </w:t>
      </w:r>
      <w:r w:rsidR="00612180" w:rsidRPr="00423297">
        <w:t xml:space="preserve">constitution of the scheme and their obligations to other members </w:t>
      </w:r>
      <w:r w:rsidR="00AC3CCC" w:rsidRPr="00423297">
        <w:t xml:space="preserve">and </w:t>
      </w:r>
      <w:r w:rsidR="00612180" w:rsidRPr="00423297">
        <w:t>the scheme</w:t>
      </w:r>
      <w:r w:rsidR="00B87D7B" w:rsidRPr="00423297">
        <w:t>.</w:t>
      </w:r>
      <w:bookmarkEnd w:id="122"/>
    </w:p>
    <w:p w14:paraId="77C9A5F1" w14:textId="0A6E4B4B" w:rsidR="00B87D7B" w:rsidRPr="00423297" w:rsidRDefault="00A82330" w:rsidP="008250FD">
      <w:pPr>
        <w:pStyle w:val="Heading3"/>
      </w:pPr>
      <w:r w:rsidRPr="00423297">
        <w:rPr>
          <w:rFonts w:eastAsia="Calibri"/>
        </w:rPr>
        <w:lastRenderedPageBreak/>
        <w:t>S</w:t>
      </w:r>
      <w:r w:rsidR="00B87D7B" w:rsidRPr="00423297">
        <w:rPr>
          <w:rFonts w:eastAsia="Calibri"/>
        </w:rPr>
        <w:t>pecific guidance</w:t>
      </w:r>
      <w:r w:rsidRPr="00423297">
        <w:rPr>
          <w:rFonts w:eastAsia="Calibri"/>
        </w:rPr>
        <w:t xml:space="preserve"> </w:t>
      </w:r>
      <w:r w:rsidR="00BB7542" w:rsidRPr="00423297">
        <w:rPr>
          <w:rFonts w:eastAsia="Calibri"/>
        </w:rPr>
        <w:t>to</w:t>
      </w:r>
      <w:r w:rsidRPr="00423297">
        <w:rPr>
          <w:rFonts w:eastAsia="Calibri"/>
        </w:rPr>
        <w:t xml:space="preserve"> time-sharing </w:t>
      </w:r>
      <w:r w:rsidR="00BB7542" w:rsidRPr="00423297">
        <w:rPr>
          <w:rFonts w:eastAsia="Calibri"/>
        </w:rPr>
        <w:t>industry</w:t>
      </w:r>
    </w:p>
    <w:p w14:paraId="0DF01294" w14:textId="08763A3B" w:rsidR="00B87D7B" w:rsidRPr="00423297" w:rsidRDefault="00B87D7B" w:rsidP="002930A0">
      <w:pPr>
        <w:pStyle w:val="BodyText"/>
        <w:rPr>
          <w:rFonts w:eastAsia="Calibri"/>
        </w:rPr>
      </w:pPr>
      <w:bookmarkStart w:id="123" w:name="_Ref5008994"/>
      <w:bookmarkStart w:id="124" w:name="_ASICRef533"/>
      <w:r w:rsidRPr="00423297">
        <w:rPr>
          <w:rFonts w:eastAsia="Calibri"/>
        </w:rPr>
        <w:t xml:space="preserve">Under </w:t>
      </w:r>
      <w:r w:rsidR="00561593" w:rsidRPr="00423297">
        <w:t xml:space="preserve">revised </w:t>
      </w:r>
      <w:r w:rsidR="00A82330" w:rsidRPr="00423297">
        <w:rPr>
          <w:rFonts w:eastAsia="Calibri"/>
        </w:rPr>
        <w:t>O</w:t>
      </w:r>
      <w:r w:rsidRPr="00423297">
        <w:rPr>
          <w:rFonts w:eastAsia="Calibri"/>
        </w:rPr>
        <w:t>ption</w:t>
      </w:r>
      <w:r w:rsidR="00A82330" w:rsidRPr="00423297">
        <w:rPr>
          <w:rFonts w:eastAsia="Calibri"/>
        </w:rPr>
        <w:t xml:space="preserve"> 1</w:t>
      </w:r>
      <w:r w:rsidRPr="00423297">
        <w:rPr>
          <w:rFonts w:eastAsia="Calibri"/>
        </w:rPr>
        <w:t xml:space="preserve">, we will update </w:t>
      </w:r>
      <w:hyperlink r:id="rId31" w:history="1">
        <w:r w:rsidR="002C4A2F" w:rsidRPr="00423297">
          <w:rPr>
            <w:rStyle w:val="Hyperlink"/>
          </w:rPr>
          <w:t>Regulatory Guide 160</w:t>
        </w:r>
      </w:hyperlink>
      <w:r w:rsidR="002C4A2F" w:rsidRPr="00423297">
        <w:t xml:space="preserve"> </w:t>
      </w:r>
      <w:r w:rsidR="002C4A2F" w:rsidRPr="00423297">
        <w:rPr>
          <w:i/>
        </w:rPr>
        <w:t>Time-sharing schemes</w:t>
      </w:r>
      <w:r w:rsidR="002C4A2F" w:rsidRPr="00423297">
        <w:t xml:space="preserve"> (RG 160)</w:t>
      </w:r>
      <w:r w:rsidRPr="00423297">
        <w:rPr>
          <w:rFonts w:eastAsia="Calibri"/>
        </w:rPr>
        <w:t xml:space="preserve"> to</w:t>
      </w:r>
      <w:r w:rsidR="00DA6AAA" w:rsidRPr="00423297">
        <w:rPr>
          <w:rFonts w:eastAsia="Calibri"/>
        </w:rPr>
        <w:t xml:space="preserve"> provide more detail on </w:t>
      </w:r>
      <w:r w:rsidR="00A82330" w:rsidRPr="00423297">
        <w:rPr>
          <w:rFonts w:eastAsia="Calibri"/>
        </w:rPr>
        <w:t>our</w:t>
      </w:r>
      <w:r w:rsidR="00DA6AAA" w:rsidRPr="00423297">
        <w:rPr>
          <w:rFonts w:eastAsia="Calibri"/>
        </w:rPr>
        <w:t xml:space="preserve"> interpretation of</w:t>
      </w:r>
      <w:r w:rsidRPr="00423297">
        <w:rPr>
          <w:rFonts w:eastAsia="Calibri"/>
        </w:rPr>
        <w:t>:</w:t>
      </w:r>
      <w:bookmarkEnd w:id="123"/>
      <w:bookmarkEnd w:id="124"/>
    </w:p>
    <w:p w14:paraId="4E056D57" w14:textId="317A32F0" w:rsidR="00B87D7B" w:rsidRPr="00423297" w:rsidRDefault="00A82330" w:rsidP="002930A0">
      <w:pPr>
        <w:pStyle w:val="subparaa"/>
        <w:rPr>
          <w:rFonts w:eastAsia="Calibri"/>
        </w:rPr>
      </w:pPr>
      <w:r w:rsidRPr="00423297">
        <w:rPr>
          <w:rFonts w:eastAsia="Calibri"/>
        </w:rPr>
        <w:t xml:space="preserve">the </w:t>
      </w:r>
      <w:r w:rsidR="00245A64" w:rsidRPr="00423297">
        <w:rPr>
          <w:rFonts w:eastAsia="Calibri"/>
        </w:rPr>
        <w:t xml:space="preserve">changes </w:t>
      </w:r>
      <w:r w:rsidR="00B87D7B" w:rsidRPr="00423297">
        <w:rPr>
          <w:rFonts w:eastAsia="Calibri"/>
        </w:rPr>
        <w:t>made under this policy option</w:t>
      </w:r>
      <w:r w:rsidR="00773FF4" w:rsidRPr="00423297">
        <w:rPr>
          <w:rFonts w:eastAsia="Calibri"/>
        </w:rPr>
        <w:t xml:space="preserve">, including guidance </w:t>
      </w:r>
      <w:r w:rsidRPr="00423297">
        <w:rPr>
          <w:rFonts w:eastAsia="Calibri"/>
        </w:rPr>
        <w:t>on</w:t>
      </w:r>
      <w:r w:rsidR="00773FF4" w:rsidRPr="00423297">
        <w:rPr>
          <w:rFonts w:eastAsia="Calibri"/>
        </w:rPr>
        <w:t xml:space="preserve"> the consumer warnings and fees and costs disclosure</w:t>
      </w:r>
      <w:r w:rsidR="00B87D7B" w:rsidRPr="00423297">
        <w:rPr>
          <w:rFonts w:eastAsia="Calibri"/>
        </w:rPr>
        <w:t xml:space="preserve">; and </w:t>
      </w:r>
    </w:p>
    <w:p w14:paraId="41407793" w14:textId="604CE836" w:rsidR="00B87D7B" w:rsidRPr="00423297" w:rsidRDefault="00245A64" w:rsidP="002930A0">
      <w:pPr>
        <w:pStyle w:val="subparaa"/>
        <w:rPr>
          <w:rFonts w:eastAsia="Calibri"/>
        </w:rPr>
      </w:pPr>
      <w:proofErr w:type="gramStart"/>
      <w:r w:rsidRPr="00423297">
        <w:rPr>
          <w:rFonts w:eastAsia="Calibri"/>
        </w:rPr>
        <w:t>changes</w:t>
      </w:r>
      <w:proofErr w:type="gramEnd"/>
      <w:r w:rsidRPr="00423297">
        <w:rPr>
          <w:rFonts w:eastAsia="Calibri"/>
        </w:rPr>
        <w:t xml:space="preserve"> </w:t>
      </w:r>
      <w:r w:rsidR="00B87D7B" w:rsidRPr="00423297">
        <w:rPr>
          <w:rFonts w:eastAsia="Calibri"/>
        </w:rPr>
        <w:t xml:space="preserve">in the law since RG 160 was last </w:t>
      </w:r>
      <w:r w:rsidR="002E4564" w:rsidRPr="00423297">
        <w:rPr>
          <w:rFonts w:eastAsia="Calibri"/>
        </w:rPr>
        <w:t xml:space="preserve">substantively </w:t>
      </w:r>
      <w:r w:rsidR="00B87D7B" w:rsidRPr="00423297">
        <w:rPr>
          <w:rFonts w:eastAsia="Calibri"/>
        </w:rPr>
        <w:t>updated</w:t>
      </w:r>
      <w:r w:rsidR="00A82330" w:rsidRPr="00423297">
        <w:rPr>
          <w:rFonts w:eastAsia="Calibri"/>
        </w:rPr>
        <w:t>,</w:t>
      </w:r>
      <w:r w:rsidR="005F67F5" w:rsidRPr="00423297">
        <w:rPr>
          <w:rFonts w:eastAsia="Calibri"/>
        </w:rPr>
        <w:t xml:space="preserve"> </w:t>
      </w:r>
      <w:r w:rsidR="00B87D7B" w:rsidRPr="00423297">
        <w:rPr>
          <w:rFonts w:eastAsia="Calibri"/>
        </w:rPr>
        <w:t>including</w:t>
      </w:r>
      <w:r w:rsidR="00590077" w:rsidRPr="00423297">
        <w:rPr>
          <w:rFonts w:eastAsia="Calibri"/>
        </w:rPr>
        <w:t xml:space="preserve"> changes to</w:t>
      </w:r>
      <w:r w:rsidR="00B87D7B" w:rsidRPr="00423297">
        <w:rPr>
          <w:rFonts w:eastAsia="Calibri"/>
        </w:rPr>
        <w:t xml:space="preserve"> the existing obligations</w:t>
      </w:r>
      <w:r w:rsidR="00590077" w:rsidRPr="00423297">
        <w:rPr>
          <w:rFonts w:eastAsia="Calibri"/>
        </w:rPr>
        <w:t>. Our guidance on these changes will be tailored to the time-sharing industry</w:t>
      </w:r>
      <w:r w:rsidR="00B87D7B" w:rsidRPr="00423297">
        <w:rPr>
          <w:rFonts w:eastAsia="Calibri"/>
        </w:rPr>
        <w:t xml:space="preserve">. </w:t>
      </w:r>
    </w:p>
    <w:p w14:paraId="61381B7E" w14:textId="549C97F1" w:rsidR="00B87D7B" w:rsidRPr="00423297" w:rsidRDefault="00B87D7B" w:rsidP="002930A0">
      <w:pPr>
        <w:pStyle w:val="BodyText"/>
        <w:rPr>
          <w:rFonts w:eastAsia="Calibri"/>
        </w:rPr>
      </w:pPr>
      <w:bookmarkStart w:id="125" w:name="_ASICRef579"/>
      <w:r w:rsidRPr="002F512F">
        <w:rPr>
          <w:rFonts w:eastAsia="Calibri"/>
          <w:spacing w:val="-2"/>
        </w:rPr>
        <w:t xml:space="preserve">This guidance </w:t>
      </w:r>
      <w:r w:rsidR="001835BB" w:rsidRPr="002F512F">
        <w:rPr>
          <w:rFonts w:eastAsia="Calibri"/>
          <w:spacing w:val="-2"/>
        </w:rPr>
        <w:t>on</w:t>
      </w:r>
      <w:r w:rsidR="005F67F5" w:rsidRPr="002F512F">
        <w:rPr>
          <w:rFonts w:eastAsia="Calibri"/>
          <w:spacing w:val="-2"/>
        </w:rPr>
        <w:t xml:space="preserve"> the existing obligations </w:t>
      </w:r>
      <w:r w:rsidRPr="002F512F">
        <w:rPr>
          <w:rFonts w:eastAsia="Calibri"/>
          <w:spacing w:val="-2"/>
        </w:rPr>
        <w:t>does not introduce new obligations</w:t>
      </w:r>
      <w:r w:rsidR="004A0D35" w:rsidRPr="002F512F">
        <w:rPr>
          <w:rFonts w:eastAsia="Calibri"/>
          <w:spacing w:val="-2"/>
        </w:rPr>
        <w:t>.</w:t>
      </w:r>
      <w:r w:rsidR="004A0D35" w:rsidRPr="00423297">
        <w:rPr>
          <w:rFonts w:eastAsia="Calibri"/>
        </w:rPr>
        <w:t xml:space="preserve"> It</w:t>
      </w:r>
      <w:r w:rsidRPr="00423297">
        <w:rPr>
          <w:rFonts w:eastAsia="Calibri"/>
        </w:rPr>
        <w:t xml:space="preserve"> is intended to </w:t>
      </w:r>
      <w:r w:rsidR="00A82330" w:rsidRPr="00423297">
        <w:rPr>
          <w:rFonts w:eastAsia="Calibri"/>
        </w:rPr>
        <w:t xml:space="preserve">help </w:t>
      </w:r>
      <w:r w:rsidRPr="00423297">
        <w:rPr>
          <w:rFonts w:eastAsia="Calibri"/>
        </w:rPr>
        <w:t>industry comply with its existing obligations and ASIC to monitor industry</w:t>
      </w:r>
      <w:r w:rsidR="00D61E78">
        <w:rPr>
          <w:rFonts w:eastAsia="Calibri"/>
        </w:rPr>
        <w:t>’</w:t>
      </w:r>
      <w:r w:rsidRPr="00423297">
        <w:rPr>
          <w:rFonts w:eastAsia="Calibri"/>
        </w:rPr>
        <w:t>s compliance with these obligations.</w:t>
      </w:r>
      <w:bookmarkEnd w:id="125"/>
      <w:r w:rsidR="008A59A3" w:rsidRPr="00423297">
        <w:rPr>
          <w:rFonts w:eastAsia="Calibri"/>
        </w:rPr>
        <w:t xml:space="preserve"> </w:t>
      </w:r>
    </w:p>
    <w:p w14:paraId="039F6C18" w14:textId="58E4C822" w:rsidR="005E5E17" w:rsidRPr="00423297" w:rsidRDefault="005E5E17" w:rsidP="005E5E17">
      <w:pPr>
        <w:pStyle w:val="BodyText"/>
      </w:pPr>
      <w:bookmarkStart w:id="126" w:name="_ASICRef999"/>
      <w:bookmarkStart w:id="127" w:name="_ASICRef676"/>
      <w:r w:rsidRPr="00423297">
        <w:t xml:space="preserve">We consider that additional guidance may </w:t>
      </w:r>
      <w:r w:rsidR="00F602D3" w:rsidRPr="00423297">
        <w:t>help the</w:t>
      </w:r>
      <w:r w:rsidRPr="00423297">
        <w:t xml:space="preserve"> industry understand </w:t>
      </w:r>
      <w:r w:rsidR="00F602D3" w:rsidRPr="00423297">
        <w:t xml:space="preserve">our interpretation of </w:t>
      </w:r>
      <w:r w:rsidRPr="00423297">
        <w:t>the existing obligations</w:t>
      </w:r>
      <w:r w:rsidR="00022130" w:rsidRPr="00423297">
        <w:t>.</w:t>
      </w:r>
      <w:r w:rsidR="00F602D3" w:rsidRPr="00423297">
        <w:t xml:space="preserve"> </w:t>
      </w:r>
      <w:r w:rsidR="00A4523F" w:rsidRPr="00423297">
        <w:t>Consumers will benefit from</w:t>
      </w:r>
      <w:r w:rsidR="00875A22" w:rsidRPr="00423297">
        <w:t xml:space="preserve"> any improvements to industry </w:t>
      </w:r>
      <w:r w:rsidR="00C850E1" w:rsidRPr="00423297">
        <w:t>compliance</w:t>
      </w:r>
      <w:r w:rsidR="00875A22" w:rsidRPr="00423297">
        <w:t xml:space="preserve"> and </w:t>
      </w:r>
      <w:r w:rsidR="00590077" w:rsidRPr="00423297">
        <w:t>ASIC</w:t>
      </w:r>
      <w:r w:rsidR="00CF270D" w:rsidRPr="00423297">
        <w:t xml:space="preserve"> </w:t>
      </w:r>
      <w:r w:rsidR="00875A22" w:rsidRPr="00423297">
        <w:t xml:space="preserve">monitoring that result from this guidance, including </w:t>
      </w:r>
      <w:r w:rsidR="00A1323A" w:rsidRPr="00423297">
        <w:t>a reduction in the</w:t>
      </w:r>
      <w:r w:rsidR="00F602D3" w:rsidRPr="00423297">
        <w:t xml:space="preserve"> harm caused by</w:t>
      </w:r>
      <w:r w:rsidRPr="00423297">
        <w:t xml:space="preserve"> pressure</w:t>
      </w:r>
      <w:r w:rsidR="001835BB" w:rsidRPr="00423297">
        <w:t xml:space="preserve"> </w:t>
      </w:r>
      <w:r w:rsidRPr="00423297">
        <w:t>selling and other questionable sales practices, poor disclosure, inappropriate advice</w:t>
      </w:r>
      <w:r w:rsidR="007F17C1" w:rsidRPr="00423297">
        <w:t>,</w:t>
      </w:r>
      <w:r w:rsidR="00F602D3" w:rsidRPr="00423297">
        <w:t xml:space="preserve"> and </w:t>
      </w:r>
      <w:r w:rsidRPr="00423297">
        <w:t xml:space="preserve">misleading conduct. </w:t>
      </w:r>
      <w:bookmarkEnd w:id="126"/>
      <w:bookmarkEnd w:id="127"/>
    </w:p>
    <w:p w14:paraId="4083897D" w14:textId="77777777" w:rsidR="00B87D7B" w:rsidRPr="00423297" w:rsidRDefault="00B87D7B" w:rsidP="008250FD">
      <w:pPr>
        <w:pStyle w:val="Heading3"/>
      </w:pPr>
      <w:r w:rsidRPr="00423297">
        <w:t>Compliance obligations</w:t>
      </w:r>
    </w:p>
    <w:p w14:paraId="113E5CA6" w14:textId="1ADB4A6A" w:rsidR="00B87D7B" w:rsidRPr="00423297" w:rsidRDefault="00561593" w:rsidP="002930A0">
      <w:pPr>
        <w:pStyle w:val="BodyText"/>
      </w:pPr>
      <w:bookmarkStart w:id="128" w:name="_ASICRef289"/>
      <w:r w:rsidRPr="00423297">
        <w:t xml:space="preserve">Revised </w:t>
      </w:r>
      <w:r w:rsidR="00A82330" w:rsidRPr="00423297">
        <w:t>O</w:t>
      </w:r>
      <w:r w:rsidR="00B87D7B" w:rsidRPr="00423297">
        <w:t>ption</w:t>
      </w:r>
      <w:r w:rsidR="00A82330" w:rsidRPr="00423297">
        <w:t xml:space="preserve"> 1</w:t>
      </w:r>
      <w:r w:rsidR="00B87D7B" w:rsidRPr="00423297">
        <w:t xml:space="preserve"> imposes a new obligation on operators of points-based </w:t>
      </w:r>
      <w:r w:rsidR="00A82330" w:rsidRPr="00423297">
        <w:t>programs</w:t>
      </w:r>
      <w:r w:rsidR="00B87D7B" w:rsidRPr="00423297">
        <w:t xml:space="preserve"> to have additional compliance procedures to measure whether: </w:t>
      </w:r>
      <w:bookmarkEnd w:id="128"/>
    </w:p>
    <w:p w14:paraId="207516C9" w14:textId="77777777" w:rsidR="00B87D7B" w:rsidRPr="00423297" w:rsidRDefault="00B87D7B" w:rsidP="002930A0">
      <w:pPr>
        <w:pStyle w:val="subparaa"/>
      </w:pPr>
      <w:r w:rsidRPr="00423297">
        <w:t xml:space="preserve">the number of points each member holds reflects the extent of their interest in benefits produced by the scheme; and </w:t>
      </w:r>
    </w:p>
    <w:p w14:paraId="46F7E5A0" w14:textId="00410F1E" w:rsidR="00B87D7B" w:rsidRPr="00423297" w:rsidRDefault="00B87D7B" w:rsidP="002930A0">
      <w:pPr>
        <w:pStyle w:val="subparaa"/>
      </w:pPr>
      <w:proofErr w:type="gramStart"/>
      <w:r w:rsidRPr="00423297">
        <w:t>consideration</w:t>
      </w:r>
      <w:proofErr w:type="gramEnd"/>
      <w:r w:rsidRPr="00423297">
        <w:t xml:space="preserve"> has been given to the impact of further issues of interests on existing members.</w:t>
      </w:r>
    </w:p>
    <w:p w14:paraId="5AED9EEE" w14:textId="3BEB3FD3" w:rsidR="00FC7714" w:rsidRPr="00423297" w:rsidRDefault="00FC7714" w:rsidP="00D87E16">
      <w:pPr>
        <w:pStyle w:val="BodyText"/>
      </w:pPr>
      <w:r w:rsidRPr="00423297">
        <w:t xml:space="preserve">If these compliance procedures are not introduced, consumers will </w:t>
      </w:r>
      <w:r w:rsidR="001053B6" w:rsidRPr="00423297">
        <w:t>remain vulnerable to having</w:t>
      </w:r>
      <w:r w:rsidRPr="00423297">
        <w:t xml:space="preserve"> </w:t>
      </w:r>
      <w:r w:rsidR="001053B6" w:rsidRPr="00423297">
        <w:t xml:space="preserve">their </w:t>
      </w:r>
      <w:r w:rsidRPr="00423297">
        <w:t xml:space="preserve">interests </w:t>
      </w:r>
      <w:r w:rsidR="001053B6" w:rsidRPr="00423297">
        <w:t xml:space="preserve">diluted </w:t>
      </w:r>
      <w:r w:rsidRPr="00423297">
        <w:t>and membership experience</w:t>
      </w:r>
      <w:r w:rsidR="001053B6" w:rsidRPr="00423297">
        <w:t xml:space="preserve"> diminished</w:t>
      </w:r>
      <w:r w:rsidRPr="00423297">
        <w:t>.</w:t>
      </w:r>
    </w:p>
    <w:p w14:paraId="2F310557" w14:textId="601AABE9" w:rsidR="00B87D7B" w:rsidRPr="00423297" w:rsidRDefault="00B87D7B" w:rsidP="002930A0">
      <w:pPr>
        <w:pStyle w:val="BodyText"/>
      </w:pPr>
      <w:r w:rsidRPr="00423297">
        <w:t xml:space="preserve">This option also </w:t>
      </w:r>
      <w:r w:rsidR="00337358" w:rsidRPr="00423297">
        <w:t xml:space="preserve">reduces the burden on operators by </w:t>
      </w:r>
      <w:r w:rsidR="00285C0F" w:rsidRPr="00423297">
        <w:t>amending</w:t>
      </w:r>
      <w:r w:rsidRPr="00423297">
        <w:t xml:space="preserve"> </w:t>
      </w:r>
      <w:r w:rsidR="00285C0F" w:rsidRPr="00423297">
        <w:t>some curre</w:t>
      </w:r>
      <w:r w:rsidRPr="00423297">
        <w:t xml:space="preserve">nt </w:t>
      </w:r>
      <w:r w:rsidR="00A32B8F" w:rsidRPr="00423297">
        <w:t>disclosure</w:t>
      </w:r>
      <w:r w:rsidR="00E210A6" w:rsidRPr="00423297">
        <w:t xml:space="preserve"> </w:t>
      </w:r>
      <w:r w:rsidRPr="00423297">
        <w:t>requirement</w:t>
      </w:r>
      <w:r w:rsidR="00A32B8F" w:rsidRPr="00423297">
        <w:t>s. Currently, operators must</w:t>
      </w:r>
      <w:r w:rsidRPr="00423297">
        <w:t xml:space="preserve"> </w:t>
      </w:r>
      <w:r w:rsidR="00D5240E" w:rsidRPr="00423297">
        <w:t xml:space="preserve">disclose full details </w:t>
      </w:r>
      <w:r w:rsidRPr="00423297">
        <w:t>of the composition and calculation of all continuing charges and levies</w:t>
      </w:r>
      <w:r w:rsidR="00A32B8F" w:rsidRPr="00423297">
        <w:t>,</w:t>
      </w:r>
      <w:r w:rsidR="00E210A6" w:rsidRPr="00423297">
        <w:t xml:space="preserve"> which requires the provision of </w:t>
      </w:r>
      <w:r w:rsidR="004E6CD9" w:rsidRPr="00423297">
        <w:t xml:space="preserve">very </w:t>
      </w:r>
      <w:r w:rsidR="00E210A6" w:rsidRPr="00423297">
        <w:t xml:space="preserve">detailed </w:t>
      </w:r>
      <w:r w:rsidR="004E6CD9" w:rsidRPr="00423297">
        <w:t>information</w:t>
      </w:r>
      <w:r w:rsidR="00A32B8F" w:rsidRPr="00423297">
        <w:t>.</w:t>
      </w:r>
      <w:r w:rsidRPr="00423297">
        <w:t xml:space="preserve"> </w:t>
      </w:r>
      <w:r w:rsidR="00A32B8F" w:rsidRPr="00423297">
        <w:t xml:space="preserve">Under </w:t>
      </w:r>
      <w:r w:rsidR="00561593" w:rsidRPr="00423297">
        <w:t xml:space="preserve">revised </w:t>
      </w:r>
      <w:r w:rsidR="00A32B8F" w:rsidRPr="00423297">
        <w:t>Option 1, operators must</w:t>
      </w:r>
      <w:r w:rsidRPr="00423297">
        <w:t xml:space="preserve"> give members a notice of levies and a copy of the budget </w:t>
      </w:r>
      <w:r w:rsidR="00A32B8F" w:rsidRPr="00423297">
        <w:t>that</w:t>
      </w:r>
      <w:r w:rsidRPr="00423297">
        <w:t xml:space="preserve"> relates to the period (which can be provided electronically or published on the website</w:t>
      </w:r>
      <w:r w:rsidR="00A32B8F" w:rsidRPr="00423297">
        <w:t>,</w:t>
      </w:r>
      <w:r w:rsidRPr="00423297">
        <w:t xml:space="preserve"> if notification requirements are satisfied)</w:t>
      </w:r>
      <w:r w:rsidR="00EF21BB" w:rsidRPr="00423297">
        <w:t>. The proposed disclosure is</w:t>
      </w:r>
      <w:r w:rsidR="004E6CD9" w:rsidRPr="00423297">
        <w:t xml:space="preserve"> more likely to be understood by members</w:t>
      </w:r>
      <w:r w:rsidR="00436CBB" w:rsidRPr="00423297">
        <w:t xml:space="preserve"> and </w:t>
      </w:r>
      <w:r w:rsidR="00EF21BB" w:rsidRPr="00423297">
        <w:t xml:space="preserve">will be </w:t>
      </w:r>
      <w:r w:rsidR="00436CBB" w:rsidRPr="00423297">
        <w:t>easier for operators to provide</w:t>
      </w:r>
      <w:r w:rsidR="004E6CD9" w:rsidRPr="00423297">
        <w:t>.</w:t>
      </w:r>
    </w:p>
    <w:p w14:paraId="06A6A8C2" w14:textId="248EABF3" w:rsidR="00B87D7B" w:rsidRPr="00423297" w:rsidRDefault="00B87D7B" w:rsidP="003516CB">
      <w:pPr>
        <w:pStyle w:val="BodyText"/>
        <w:keepNext/>
      </w:pPr>
      <w:r w:rsidRPr="00423297">
        <w:lastRenderedPageBreak/>
        <w:t xml:space="preserve">This option </w:t>
      </w:r>
      <w:r w:rsidR="00285C0F" w:rsidRPr="00423297">
        <w:t xml:space="preserve">also </w:t>
      </w:r>
      <w:r w:rsidRPr="00423297">
        <w:t>reduces compliance burdens on schemes and members (who ultimately fund these costs via the payment of levies) by:</w:t>
      </w:r>
    </w:p>
    <w:p w14:paraId="4A15DD70" w14:textId="77777777" w:rsidR="00B87D7B" w:rsidRPr="00423297" w:rsidRDefault="00B87D7B" w:rsidP="002930A0">
      <w:pPr>
        <w:pStyle w:val="subparaa"/>
      </w:pPr>
      <w:r w:rsidRPr="00423297">
        <w:t>reducing the requirement to audit trust accounts from twice to once a year; and</w:t>
      </w:r>
    </w:p>
    <w:p w14:paraId="278D9657" w14:textId="3AA4A693" w:rsidR="00BE1189" w:rsidRPr="00423297" w:rsidRDefault="00B87D7B" w:rsidP="002930A0">
      <w:pPr>
        <w:pStyle w:val="subparaa"/>
      </w:pPr>
      <w:r w:rsidRPr="00423297">
        <w:t xml:space="preserve">expanding the definition of </w:t>
      </w:r>
      <w:r w:rsidR="00D61E78">
        <w:t>‘</w:t>
      </w:r>
      <w:r w:rsidRPr="00423297">
        <w:t>special custody assets</w:t>
      </w:r>
      <w:r w:rsidR="00D61E78">
        <w:t>’</w:t>
      </w:r>
      <w:r w:rsidRPr="00423297">
        <w:t xml:space="preserve"> under </w:t>
      </w:r>
      <w:hyperlink r:id="rId32" w:history="1">
        <w:r w:rsidR="00A32B8F" w:rsidRPr="00423297">
          <w:rPr>
            <w:rStyle w:val="Hyperlink"/>
          </w:rPr>
          <w:t>Class Order [CO 13/760]</w:t>
        </w:r>
      </w:hyperlink>
      <w:r w:rsidR="00AB7B88" w:rsidRPr="00423297">
        <w:t xml:space="preserve"> </w:t>
      </w:r>
      <w:r w:rsidR="00AB7B88" w:rsidRPr="00423297">
        <w:rPr>
          <w:i/>
        </w:rPr>
        <w:t>Financial requirements for responsible entities and operators of investor directed portfolio service</w:t>
      </w:r>
      <w:r w:rsidR="00AB7B88" w:rsidRPr="00423297" w:rsidDel="00AB7B88">
        <w:t xml:space="preserve"> </w:t>
      </w:r>
      <w:r w:rsidR="00BE1189" w:rsidRPr="00423297">
        <w:t>to include:</w:t>
      </w:r>
    </w:p>
    <w:p w14:paraId="7DCD5108" w14:textId="6B427875" w:rsidR="00BE1189" w:rsidRPr="00423297" w:rsidRDefault="00BE1189" w:rsidP="002930A0">
      <w:pPr>
        <w:pStyle w:val="subsubparai"/>
      </w:pPr>
      <w:r w:rsidRPr="00423297">
        <w:t xml:space="preserve">land and other real property of a time-sharing scheme; and </w:t>
      </w:r>
    </w:p>
    <w:p w14:paraId="1FF19BAA" w14:textId="5B99B985" w:rsidR="003B6465" w:rsidRPr="00423297" w:rsidRDefault="00BE1189" w:rsidP="002930A0">
      <w:pPr>
        <w:pStyle w:val="subsubparai"/>
      </w:pPr>
      <w:proofErr w:type="gramStart"/>
      <w:r w:rsidRPr="00423297">
        <w:t>levies</w:t>
      </w:r>
      <w:proofErr w:type="gramEnd"/>
      <w:r w:rsidRPr="00423297">
        <w:t xml:space="preserve"> of a time-sharing scheme that are held in an account with an Australian </w:t>
      </w:r>
      <w:r w:rsidR="00A32B8F" w:rsidRPr="00423297">
        <w:t>authorised deposit-taking institution (</w:t>
      </w:r>
      <w:r w:rsidRPr="00423297">
        <w:t>ADI</w:t>
      </w:r>
      <w:r w:rsidR="00A32B8F" w:rsidRPr="00423297">
        <w:t>)</w:t>
      </w:r>
      <w:r w:rsidRPr="00423297">
        <w:t>, styled as a trust account</w:t>
      </w:r>
      <w:r w:rsidR="00185CF3" w:rsidRPr="00423297">
        <w:t>.</w:t>
      </w:r>
    </w:p>
    <w:p w14:paraId="0E444035" w14:textId="1B090EF0" w:rsidR="00B87D7B" w:rsidRPr="00423297" w:rsidRDefault="00B87D7B" w:rsidP="002930A0">
      <w:pPr>
        <w:pStyle w:val="BodyText"/>
      </w:pPr>
      <w:bookmarkStart w:id="129" w:name="_Ref4425185"/>
      <w:r w:rsidRPr="00423297">
        <w:t xml:space="preserve">This option also clarifies that the 30% cap on deposits for the purchase or issue of interests only applies if the </w:t>
      </w:r>
      <w:bookmarkStart w:id="130" w:name="_Hlk41657934"/>
      <w:r w:rsidRPr="00423297">
        <w:t>registered scheme is for a property development or part of a property development that is not ready for occupation</w:t>
      </w:r>
      <w:bookmarkEnd w:id="130"/>
      <w:r w:rsidRPr="00423297">
        <w:t>.</w:t>
      </w:r>
      <w:bookmarkEnd w:id="129"/>
    </w:p>
    <w:p w14:paraId="6B5FF523" w14:textId="4FDBAA45" w:rsidR="00B87D7B" w:rsidRPr="00423297" w:rsidRDefault="00B87D7B" w:rsidP="002930A0">
      <w:pPr>
        <w:pStyle w:val="BodyText"/>
      </w:pPr>
      <w:bookmarkStart w:id="131" w:name="_Ref4424553"/>
      <w:r w:rsidRPr="00423297">
        <w:t xml:space="preserve">This option centralises the ongoing obligations for operators of registered schemes </w:t>
      </w:r>
      <w:r w:rsidR="0015611A" w:rsidRPr="00423297">
        <w:t xml:space="preserve">and </w:t>
      </w:r>
      <w:r w:rsidR="001625C3" w:rsidRPr="00423297">
        <w:t>dealers</w:t>
      </w:r>
      <w:r w:rsidRPr="00423297">
        <w:t xml:space="preserve"> into </w:t>
      </w:r>
      <w:hyperlink r:id="rId33" w:history="1">
        <w:r w:rsidR="00A32B8F" w:rsidRPr="00423297">
          <w:rPr>
            <w:rStyle w:val="Hyperlink"/>
          </w:rPr>
          <w:t xml:space="preserve">ASIC Corporations (Time-sharing Schemes) </w:t>
        </w:r>
        <w:r w:rsidRPr="00423297">
          <w:rPr>
            <w:rStyle w:val="Hyperlink"/>
          </w:rPr>
          <w:t>Instrument 2017/272</w:t>
        </w:r>
      </w:hyperlink>
      <w:r w:rsidRPr="00423297">
        <w:t>.</w:t>
      </w:r>
      <w:bookmarkEnd w:id="131"/>
      <w:r w:rsidRPr="00423297">
        <w:t xml:space="preserve"> </w:t>
      </w:r>
    </w:p>
    <w:p w14:paraId="5B4C2F48" w14:textId="77777777" w:rsidR="00B87D7B" w:rsidRPr="00423297" w:rsidRDefault="00B87D7B" w:rsidP="008250FD">
      <w:pPr>
        <w:pStyle w:val="Heading3"/>
      </w:pPr>
      <w:r w:rsidRPr="00423297">
        <w:t>Individual relief for legacy schemes</w:t>
      </w:r>
    </w:p>
    <w:p w14:paraId="7563F010" w14:textId="55E20BA4" w:rsidR="00B87D7B" w:rsidRPr="00423297" w:rsidRDefault="00B87D7B" w:rsidP="008250FD">
      <w:pPr>
        <w:pStyle w:val="BodyText"/>
      </w:pPr>
      <w:bookmarkStart w:id="132" w:name="_Ref4424787"/>
      <w:r w:rsidRPr="00423297">
        <w:t xml:space="preserve">Under </w:t>
      </w:r>
      <w:r w:rsidR="00561593" w:rsidRPr="00423297">
        <w:t xml:space="preserve">revised </w:t>
      </w:r>
      <w:r w:rsidR="00A32B8F" w:rsidRPr="00423297">
        <w:t>O</w:t>
      </w:r>
      <w:r w:rsidRPr="00423297">
        <w:t>ption</w:t>
      </w:r>
      <w:r w:rsidR="00A32B8F" w:rsidRPr="00423297">
        <w:t xml:space="preserve"> 1</w:t>
      </w:r>
      <w:r w:rsidRPr="00423297">
        <w:t xml:space="preserve">, and following further consultation with legacy scheme operators relying on individual relief, the individual relief granted to legacy schemes will be updated to reflect amendments to </w:t>
      </w:r>
      <w:hyperlink r:id="rId34" w:history="1">
        <w:r w:rsidR="00A32B8F" w:rsidRPr="00423297">
          <w:rPr>
            <w:rStyle w:val="Hyperlink"/>
          </w:rPr>
          <w:t xml:space="preserve">ASIC Corporations (Time-sharing Schemes) </w:t>
        </w:r>
        <w:r w:rsidRPr="00423297">
          <w:rPr>
            <w:rStyle w:val="Hyperlink"/>
          </w:rPr>
          <w:t>Instrument 2017/272</w:t>
        </w:r>
      </w:hyperlink>
      <w:r w:rsidRPr="00423297">
        <w:t xml:space="preserve"> </w:t>
      </w:r>
      <w:r w:rsidR="00A03450" w:rsidRPr="00423297">
        <w:t>(</w:t>
      </w:r>
      <w:r w:rsidRPr="00423297">
        <w:t xml:space="preserve">set out in paragraphs </w:t>
      </w:r>
      <w:r w:rsidR="00B80024" w:rsidRPr="00423297">
        <w:fldChar w:fldCharType="begin"/>
      </w:r>
      <w:r w:rsidR="00B80024" w:rsidRPr="00423297">
        <w:instrText xml:space="preserve"> REF _Ref4425077 \r \h  \* MERGEFORMAT </w:instrText>
      </w:r>
      <w:r w:rsidR="00B80024" w:rsidRPr="00423297">
        <w:fldChar w:fldCharType="separate"/>
      </w:r>
      <w:r w:rsidR="00B92808">
        <w:t>80</w:t>
      </w:r>
      <w:r w:rsidR="00B80024" w:rsidRPr="00423297">
        <w:fldChar w:fldCharType="end"/>
      </w:r>
      <w:r w:rsidR="00A03450" w:rsidRPr="00423297">
        <w:t>–</w:t>
      </w:r>
      <w:r w:rsidR="00B80024" w:rsidRPr="00423297">
        <w:fldChar w:fldCharType="begin"/>
      </w:r>
      <w:r w:rsidR="00B80024" w:rsidRPr="00423297">
        <w:instrText xml:space="preserve"> REF _Ref4425185 \r \h  \* MERGEFORMAT </w:instrText>
      </w:r>
      <w:r w:rsidR="00B80024" w:rsidRPr="00423297">
        <w:fldChar w:fldCharType="separate"/>
      </w:r>
      <w:r w:rsidR="00B92808">
        <w:t>96</w:t>
      </w:r>
      <w:r w:rsidR="00B80024" w:rsidRPr="00423297">
        <w:fldChar w:fldCharType="end"/>
      </w:r>
      <w:r w:rsidR="00A03450" w:rsidRPr="00423297">
        <w:t>)</w:t>
      </w:r>
      <w:r w:rsidRPr="00423297">
        <w:t>, including</w:t>
      </w:r>
      <w:r w:rsidR="00182EB1" w:rsidRPr="00423297">
        <w:t xml:space="preserve"> </w:t>
      </w:r>
      <w:bookmarkStart w:id="133" w:name="_Ref26874514"/>
      <w:bookmarkEnd w:id="132"/>
      <w:r w:rsidRPr="00423297">
        <w:t>a reduction of audit requirements for trust accounts from twice</w:t>
      </w:r>
      <w:r w:rsidR="00856F3E" w:rsidRPr="00423297">
        <w:t xml:space="preserve"> a year</w:t>
      </w:r>
      <w:r w:rsidRPr="00423297">
        <w:t xml:space="preserve"> to once a year.</w:t>
      </w:r>
      <w:bookmarkEnd w:id="133"/>
    </w:p>
    <w:p w14:paraId="15FD96EB" w14:textId="16EDB308" w:rsidR="00B87D7B" w:rsidRPr="00423297" w:rsidRDefault="00B87D7B" w:rsidP="002930A0">
      <w:pPr>
        <w:pStyle w:val="BodyText"/>
        <w:rPr>
          <w:i/>
        </w:rPr>
      </w:pPr>
      <w:r w:rsidRPr="00423297">
        <w:t xml:space="preserve">The outdated </w:t>
      </w:r>
      <w:r w:rsidR="00546274" w:rsidRPr="00423297">
        <w:t xml:space="preserve">Pro Forma </w:t>
      </w:r>
      <w:r w:rsidR="00BA3980" w:rsidRPr="00423297">
        <w:t xml:space="preserve">205 </w:t>
      </w:r>
      <w:r w:rsidR="00BA3980" w:rsidRPr="00423297">
        <w:rPr>
          <w:i/>
        </w:rPr>
        <w:t>Time-sharing schemes formerly exempt under state laws</w:t>
      </w:r>
      <w:r w:rsidR="00BA3980" w:rsidRPr="00423297">
        <w:t xml:space="preserve"> (</w:t>
      </w:r>
      <w:r w:rsidRPr="00423297">
        <w:t>PF 205</w:t>
      </w:r>
      <w:r w:rsidR="00BA3980" w:rsidRPr="00423297">
        <w:t>)</w:t>
      </w:r>
      <w:r w:rsidRPr="00423297">
        <w:t xml:space="preserve">, </w:t>
      </w:r>
      <w:r w:rsidR="00546274" w:rsidRPr="00423297">
        <w:t xml:space="preserve">Pro Forma </w:t>
      </w:r>
      <w:r w:rsidR="00BA3980" w:rsidRPr="00423297">
        <w:t xml:space="preserve">206 </w:t>
      </w:r>
      <w:r w:rsidR="00BA3980" w:rsidRPr="00423297">
        <w:rPr>
          <w:i/>
        </w:rPr>
        <w:t>Time-sharing schemes—Chapter 5C relief</w:t>
      </w:r>
      <w:r w:rsidR="00BA3980" w:rsidRPr="00423297">
        <w:t xml:space="preserve"> (</w:t>
      </w:r>
      <w:r w:rsidRPr="00423297">
        <w:t>PF 206</w:t>
      </w:r>
      <w:r w:rsidR="00BA3980" w:rsidRPr="00423297">
        <w:t>)</w:t>
      </w:r>
      <w:r w:rsidRPr="00423297">
        <w:t xml:space="preserve"> and </w:t>
      </w:r>
      <w:r w:rsidR="00546274" w:rsidRPr="00423297">
        <w:t xml:space="preserve">Pro Forma </w:t>
      </w:r>
      <w:r w:rsidR="00BA3980" w:rsidRPr="00423297">
        <w:t xml:space="preserve">207 </w:t>
      </w:r>
      <w:r w:rsidR="00BA3980" w:rsidRPr="00423297">
        <w:rPr>
          <w:i/>
        </w:rPr>
        <w:t xml:space="preserve">Title-based time-sharing schemes </w:t>
      </w:r>
      <w:r w:rsidR="00BA3980" w:rsidRPr="00423297">
        <w:t>(</w:t>
      </w:r>
      <w:r w:rsidRPr="00423297">
        <w:t>PF</w:t>
      </w:r>
      <w:r w:rsidR="00A03450" w:rsidRPr="00423297">
        <w:t> </w:t>
      </w:r>
      <w:r w:rsidRPr="00423297">
        <w:t>207</w:t>
      </w:r>
      <w:r w:rsidR="00BA3980" w:rsidRPr="00423297">
        <w:t>)</w:t>
      </w:r>
      <w:r w:rsidRPr="00423297">
        <w:t xml:space="preserve"> have been revoked, and requests for similar relief and the conditions of any relief granted will be considered on a case-by-case basis.</w:t>
      </w:r>
    </w:p>
    <w:p w14:paraId="3C9367A6" w14:textId="77777777" w:rsidR="00B87D7B" w:rsidRPr="00423297" w:rsidRDefault="00B87D7B" w:rsidP="008250FD">
      <w:pPr>
        <w:pStyle w:val="Heading3"/>
      </w:pPr>
      <w:r w:rsidRPr="00423297">
        <w:t>Transition period</w:t>
      </w:r>
    </w:p>
    <w:p w14:paraId="7DFC2092" w14:textId="52DB6CC4" w:rsidR="00B87D7B" w:rsidRPr="00423297" w:rsidRDefault="00A03450" w:rsidP="002930A0">
      <w:pPr>
        <w:pStyle w:val="BodyText"/>
      </w:pPr>
      <w:bookmarkStart w:id="134" w:name="_Hlk36460389"/>
      <w:bookmarkStart w:id="135" w:name="_Ref4424761"/>
      <w:bookmarkStart w:id="136" w:name="_Ref35531055"/>
      <w:r w:rsidRPr="00423297">
        <w:t xml:space="preserve">Under </w:t>
      </w:r>
      <w:r w:rsidR="00C16456" w:rsidRPr="00423297">
        <w:t xml:space="preserve">revised </w:t>
      </w:r>
      <w:r w:rsidRPr="00423297">
        <w:t xml:space="preserve">Option 1, </w:t>
      </w:r>
      <w:r w:rsidR="00C51274" w:rsidRPr="00423297">
        <w:t xml:space="preserve">mindful of the </w:t>
      </w:r>
      <w:r w:rsidR="00ED2DAD" w:rsidRPr="00423297">
        <w:t>challenges</w:t>
      </w:r>
      <w:r w:rsidR="00C51274" w:rsidRPr="00423297">
        <w:t xml:space="preserve"> that</w:t>
      </w:r>
      <w:r w:rsidR="00ED2DAD" w:rsidRPr="00423297">
        <w:t xml:space="preserve"> the</w:t>
      </w:r>
      <w:r w:rsidR="00C51274" w:rsidRPr="00423297">
        <w:t xml:space="preserve"> C</w:t>
      </w:r>
      <w:r w:rsidR="00BE610B" w:rsidRPr="00423297">
        <w:t>OVID</w:t>
      </w:r>
      <w:r w:rsidR="00C51274" w:rsidRPr="00423297">
        <w:t xml:space="preserve">-19 </w:t>
      </w:r>
      <w:r w:rsidR="00ED2DAD" w:rsidRPr="00423297">
        <w:t>pandemic has created for</w:t>
      </w:r>
      <w:r w:rsidR="00C51274" w:rsidRPr="00423297">
        <w:t xml:space="preserve"> the tourism industry, </w:t>
      </w:r>
      <w:bookmarkEnd w:id="134"/>
      <w:r w:rsidRPr="00423297">
        <w:t>w</w:t>
      </w:r>
      <w:r w:rsidR="00B87D7B" w:rsidRPr="00423297">
        <w:t>e will provide a</w:t>
      </w:r>
      <w:r w:rsidR="00FC7714" w:rsidRPr="00423297">
        <w:t xml:space="preserve"> minimum </w:t>
      </w:r>
      <w:r w:rsidR="00BD580A" w:rsidRPr="00D04583">
        <w:t>nine</w:t>
      </w:r>
      <w:r w:rsidR="00FC7714" w:rsidRPr="00D04583">
        <w:t>-month</w:t>
      </w:r>
      <w:r w:rsidR="00B87D7B" w:rsidRPr="00423297">
        <w:t xml:space="preserve"> transition period </w:t>
      </w:r>
      <w:r w:rsidR="00ED7604" w:rsidRPr="00423297">
        <w:t>(transition period).</w:t>
      </w:r>
      <w:r w:rsidR="00B87D7B" w:rsidRPr="00423297">
        <w:t xml:space="preserve"> </w:t>
      </w:r>
      <w:r w:rsidR="00ED7604" w:rsidRPr="00423297">
        <w:t>This will</w:t>
      </w:r>
      <w:r w:rsidR="00245A64" w:rsidRPr="00423297">
        <w:t xml:space="preserve"> give industry time to adapt its processes and practices to the changes as set out </w:t>
      </w:r>
      <w:r w:rsidR="00D741D9" w:rsidRPr="00423297">
        <w:t xml:space="preserve">in </w:t>
      </w:r>
      <w:hyperlink r:id="rId35" w:history="1">
        <w:r w:rsidRPr="00423297">
          <w:rPr>
            <w:rStyle w:val="Hyperlink"/>
          </w:rPr>
          <w:t xml:space="preserve">ASIC Corporations (Time-sharing Schemes) </w:t>
        </w:r>
        <w:r w:rsidR="00D741D9" w:rsidRPr="00423297">
          <w:rPr>
            <w:rStyle w:val="Hyperlink"/>
          </w:rPr>
          <w:t>Instrument</w:t>
        </w:r>
        <w:r w:rsidR="00B87D7B" w:rsidRPr="00423297">
          <w:rPr>
            <w:rStyle w:val="Hyperlink"/>
          </w:rPr>
          <w:t xml:space="preserve"> 2017/272</w:t>
        </w:r>
      </w:hyperlink>
      <w:r w:rsidR="00B87D7B" w:rsidRPr="00423297">
        <w:t xml:space="preserve"> and </w:t>
      </w:r>
      <w:r w:rsidRPr="00423297">
        <w:t xml:space="preserve">the </w:t>
      </w:r>
      <w:r w:rsidR="00B87D7B" w:rsidRPr="00423297">
        <w:t>individual relief instruments.</w:t>
      </w:r>
      <w:bookmarkEnd w:id="135"/>
      <w:bookmarkEnd w:id="136"/>
    </w:p>
    <w:p w14:paraId="4C7A7600" w14:textId="50AAE067" w:rsidR="00B87D7B" w:rsidRPr="00423297" w:rsidRDefault="00B87D7B" w:rsidP="008250FD">
      <w:pPr>
        <w:pStyle w:val="Heading2"/>
      </w:pPr>
      <w:bookmarkStart w:id="137" w:name="_Toc36467236"/>
      <w:bookmarkStart w:id="138" w:name="_Toc56669426"/>
      <w:r w:rsidRPr="00423297">
        <w:lastRenderedPageBreak/>
        <w:t>Option 2: Adopt alternative changes to policy settings</w:t>
      </w:r>
      <w:r w:rsidR="00532FEE" w:rsidRPr="00423297">
        <w:t>,</w:t>
      </w:r>
      <w:r w:rsidRPr="00423297">
        <w:t xml:space="preserve"> including introducing an opt-in regime</w:t>
      </w:r>
      <w:bookmarkEnd w:id="137"/>
      <w:bookmarkEnd w:id="138"/>
    </w:p>
    <w:p w14:paraId="110DCCAC" w14:textId="6B2AB8EF" w:rsidR="00B87D7B" w:rsidRPr="00423297" w:rsidRDefault="00B87D7B" w:rsidP="002930A0">
      <w:pPr>
        <w:pStyle w:val="BodyText"/>
      </w:pPr>
      <w:bookmarkStart w:id="139" w:name="_Ref4426130"/>
      <w:r w:rsidRPr="00423297">
        <w:t xml:space="preserve">Option 2 entails amending the conditions attaching to </w:t>
      </w:r>
      <w:hyperlink r:id="rId36" w:history="1">
        <w:r w:rsidR="00A03450" w:rsidRPr="00423297">
          <w:rPr>
            <w:rStyle w:val="Hyperlink"/>
          </w:rPr>
          <w:t xml:space="preserve">ASIC Corporations (Time-sharing Schemes) </w:t>
        </w:r>
        <w:r w:rsidRPr="00423297">
          <w:rPr>
            <w:rStyle w:val="Hyperlink"/>
          </w:rPr>
          <w:t>Instrument 2017/272</w:t>
        </w:r>
      </w:hyperlink>
      <w:r w:rsidRPr="00423297">
        <w:t xml:space="preserve"> in an alternative way to </w:t>
      </w:r>
      <w:r w:rsidR="00C16456" w:rsidRPr="00423297">
        <w:t xml:space="preserve">revised </w:t>
      </w:r>
      <w:r w:rsidRPr="00423297">
        <w:t>Option 1.</w:t>
      </w:r>
      <w:bookmarkEnd w:id="139"/>
      <w:r w:rsidRPr="00423297">
        <w:t xml:space="preserve"> </w:t>
      </w:r>
    </w:p>
    <w:p w14:paraId="5971A0D3" w14:textId="39812CE2" w:rsidR="00B87D7B" w:rsidRPr="00423297" w:rsidRDefault="00B87D7B" w:rsidP="008250FD">
      <w:pPr>
        <w:pStyle w:val="Heading3"/>
      </w:pPr>
      <w:r w:rsidRPr="00423297">
        <w:t>Opt-</w:t>
      </w:r>
      <w:r w:rsidR="00CB4C97" w:rsidRPr="00423297">
        <w:t xml:space="preserve">in </w:t>
      </w:r>
      <w:r w:rsidRPr="00423297">
        <w:t>regime</w:t>
      </w:r>
    </w:p>
    <w:p w14:paraId="77339D49" w14:textId="1F977148" w:rsidR="00B87D7B" w:rsidRPr="00423297" w:rsidRDefault="00B87D7B" w:rsidP="002930A0">
      <w:pPr>
        <w:pStyle w:val="BodyText"/>
      </w:pPr>
      <w:r w:rsidRPr="00423297">
        <w:t>Under Option 2</w:t>
      </w:r>
      <w:r w:rsidR="00A03450" w:rsidRPr="00423297">
        <w:t>,</w:t>
      </w:r>
      <w:r w:rsidRPr="00423297">
        <w:t xml:space="preserve"> the </w:t>
      </w:r>
      <w:r w:rsidR="00182EB1" w:rsidRPr="00423297">
        <w:t xml:space="preserve">existing </w:t>
      </w:r>
      <w:r w:rsidRPr="00423297">
        <w:t>cooling-off rights would be replaced by an opt-</w:t>
      </w:r>
      <w:r w:rsidR="00CB4C97" w:rsidRPr="00423297">
        <w:t xml:space="preserve">in </w:t>
      </w:r>
      <w:r w:rsidRPr="00423297">
        <w:t>regime</w:t>
      </w:r>
      <w:r w:rsidR="00CB4C97" w:rsidRPr="00423297">
        <w:t xml:space="preserve"> where</w:t>
      </w:r>
      <w:r w:rsidRPr="00423297">
        <w:t xml:space="preserve"> consumers would need to actively confirm to the operator that they wish to proceed with the purchase within a defined number of days </w:t>
      </w:r>
      <w:r w:rsidR="00A03450" w:rsidRPr="00423297">
        <w:t>to avoid being</w:t>
      </w:r>
      <w:r w:rsidRPr="00423297">
        <w:t xml:space="preserve"> treated as having cooled</w:t>
      </w:r>
      <w:r w:rsidR="00A03450" w:rsidRPr="00423297">
        <w:t xml:space="preserve"> </w:t>
      </w:r>
      <w:r w:rsidRPr="00423297">
        <w:t>off.</w:t>
      </w:r>
    </w:p>
    <w:p w14:paraId="1225E32C" w14:textId="77777777" w:rsidR="00B87D7B" w:rsidRPr="00423297" w:rsidRDefault="00B87D7B" w:rsidP="008250FD">
      <w:pPr>
        <w:pStyle w:val="Heading3"/>
      </w:pPr>
      <w:r w:rsidRPr="00423297">
        <w:t>Other changes</w:t>
      </w:r>
    </w:p>
    <w:p w14:paraId="5288C6F4" w14:textId="0FE18DDB" w:rsidR="00B87D7B" w:rsidRPr="00423297" w:rsidRDefault="00B87D7B" w:rsidP="002930A0">
      <w:pPr>
        <w:pStyle w:val="BodyText"/>
      </w:pPr>
      <w:bookmarkStart w:id="140" w:name="_Ref4425271"/>
      <w:r w:rsidRPr="00423297">
        <w:t>Under Option 2</w:t>
      </w:r>
      <w:r w:rsidR="0089497D" w:rsidRPr="00423297">
        <w:t xml:space="preserve"> we would make</w:t>
      </w:r>
      <w:r w:rsidRPr="00423297">
        <w:t xml:space="preserve"> the following changes:</w:t>
      </w:r>
      <w:bookmarkEnd w:id="140"/>
    </w:p>
    <w:p w14:paraId="644572C7" w14:textId="6FF5C95D" w:rsidR="00B87D7B" w:rsidRPr="00423297" w:rsidRDefault="0089497D" w:rsidP="002930A0">
      <w:pPr>
        <w:pStyle w:val="subparaa"/>
      </w:pPr>
      <w:r w:rsidRPr="00423297">
        <w:t>A</w:t>
      </w:r>
      <w:r w:rsidR="00B87D7B" w:rsidRPr="00423297">
        <w:t>n operator would only be required to take reasonable steps to ensure that all finance fees paid to a related finance provider are returned</w:t>
      </w:r>
      <w:r w:rsidRPr="00423297">
        <w:t>.</w:t>
      </w:r>
    </w:p>
    <w:p w14:paraId="57512AF6" w14:textId="433AF97C" w:rsidR="00B87D7B" w:rsidRPr="00423297" w:rsidRDefault="0089497D" w:rsidP="002930A0">
      <w:pPr>
        <w:pStyle w:val="subparaa"/>
      </w:pPr>
      <w:r w:rsidRPr="00423297">
        <w:t xml:space="preserve">The </w:t>
      </w:r>
      <w:r w:rsidR="00B87D7B" w:rsidRPr="00423297">
        <w:t xml:space="preserve">PDS fees and costs disclosure </w:t>
      </w:r>
      <w:r w:rsidRPr="00423297">
        <w:t>must</w:t>
      </w:r>
      <w:r w:rsidR="00B87D7B" w:rsidRPr="00423297">
        <w:t xml:space="preserve"> include:</w:t>
      </w:r>
    </w:p>
    <w:p w14:paraId="5FEA0412" w14:textId="0CA5D922" w:rsidR="00B87D7B" w:rsidRPr="00423297" w:rsidRDefault="00B87D7B" w:rsidP="002930A0">
      <w:pPr>
        <w:pStyle w:val="subsubparai"/>
      </w:pPr>
      <w:r w:rsidRPr="00423297">
        <w:t xml:space="preserve">the total amount of fees and costs to be paid by a member for the term of the product; </w:t>
      </w:r>
      <w:r w:rsidR="00D36577" w:rsidRPr="00423297">
        <w:t>and</w:t>
      </w:r>
    </w:p>
    <w:p w14:paraId="2FAB052D" w14:textId="2C01A391" w:rsidR="00B87D7B" w:rsidRPr="00423297" w:rsidRDefault="00B87D7B" w:rsidP="002930A0">
      <w:pPr>
        <w:pStyle w:val="subsubparai"/>
      </w:pPr>
      <w:proofErr w:type="gramStart"/>
      <w:r w:rsidRPr="00423297">
        <w:t>a</w:t>
      </w:r>
      <w:proofErr w:type="gramEnd"/>
      <w:r w:rsidRPr="00423297">
        <w:t xml:space="preserve"> worked example of the annual fees and costs a member would pay on average for the first 10 years if they were to acquire a typical time-shar</w:t>
      </w:r>
      <w:r w:rsidR="0089497D" w:rsidRPr="00423297">
        <w:t>ing schem</w:t>
      </w:r>
      <w:r w:rsidRPr="00423297">
        <w:t>e</w:t>
      </w:r>
      <w:r w:rsidR="0089497D" w:rsidRPr="00423297">
        <w:t xml:space="preserve"> interest</w:t>
      </w:r>
      <w:r w:rsidRPr="00423297">
        <w:t xml:space="preserve"> with </w:t>
      </w:r>
      <w:r w:rsidRPr="00423297">
        <w:rPr>
          <w:i/>
        </w:rPr>
        <w:t>and</w:t>
      </w:r>
      <w:r w:rsidRPr="00423297">
        <w:t xml:space="preserve"> without financing</w:t>
      </w:r>
      <w:r w:rsidR="00D36577" w:rsidRPr="00423297">
        <w:t>.</w:t>
      </w:r>
    </w:p>
    <w:p w14:paraId="4158EF09" w14:textId="78EB708E" w:rsidR="00B87D7B" w:rsidRPr="00423297" w:rsidRDefault="0089497D" w:rsidP="002930A0">
      <w:pPr>
        <w:pStyle w:val="subparaa"/>
      </w:pPr>
      <w:r w:rsidRPr="00423297">
        <w:t>We would amend o</w:t>
      </w:r>
      <w:r w:rsidR="00D36577" w:rsidRPr="00423297">
        <w:t xml:space="preserve">ur guidance in </w:t>
      </w:r>
      <w:hyperlink r:id="rId37" w:history="1">
        <w:r w:rsidR="00D36577" w:rsidRPr="00423297">
          <w:rPr>
            <w:rStyle w:val="Hyperlink"/>
          </w:rPr>
          <w:t>RG 160</w:t>
        </w:r>
      </w:hyperlink>
      <w:r w:rsidR="00D36577" w:rsidRPr="00423297">
        <w:t xml:space="preserve"> to include our expectation that o</w:t>
      </w:r>
      <w:r w:rsidR="00DA6AAA" w:rsidRPr="00423297">
        <w:t xml:space="preserve">perators would </w:t>
      </w:r>
      <w:r w:rsidR="00B87D7B" w:rsidRPr="00423297">
        <w:t xml:space="preserve">provide: </w:t>
      </w:r>
    </w:p>
    <w:p w14:paraId="0BD7127A" w14:textId="77777777" w:rsidR="00B87D7B" w:rsidRPr="00423297" w:rsidRDefault="00B87D7B" w:rsidP="002930A0">
      <w:pPr>
        <w:pStyle w:val="subsubparai"/>
      </w:pPr>
      <w:r w:rsidRPr="00423297">
        <w:t>verbal disclosure to consumers of the prescribed consumer warning; and</w:t>
      </w:r>
    </w:p>
    <w:p w14:paraId="1E82A210" w14:textId="6A5781F4" w:rsidR="00D36577" w:rsidRPr="00423297" w:rsidRDefault="00B87D7B" w:rsidP="002930A0">
      <w:pPr>
        <w:pStyle w:val="subsubparai"/>
      </w:pPr>
      <w:r w:rsidRPr="00423297">
        <w:t>a prominent summary of the key features and the prescribed consumer warning in the PDS</w:t>
      </w:r>
      <w:r w:rsidR="00BD0A10" w:rsidRPr="00423297">
        <w:t>;</w:t>
      </w:r>
    </w:p>
    <w:p w14:paraId="54EC7C81" w14:textId="7B49F563" w:rsidR="00B87D7B" w:rsidRPr="00423297" w:rsidRDefault="007E70D3" w:rsidP="00927C3F">
      <w:pPr>
        <w:pStyle w:val="Note"/>
      </w:pPr>
      <w:r w:rsidRPr="00423297">
        <w:t>Note: I</w:t>
      </w:r>
      <w:r w:rsidR="00B87D7B" w:rsidRPr="00423297">
        <w:t xml:space="preserve">n contrast to </w:t>
      </w:r>
      <w:r w:rsidR="00C16456" w:rsidRPr="00423297">
        <w:t xml:space="preserve">revised </w:t>
      </w:r>
      <w:r w:rsidR="00B87D7B" w:rsidRPr="00423297">
        <w:t>Option 1</w:t>
      </w:r>
      <w:r w:rsidR="0089497D" w:rsidRPr="00423297">
        <w:t>,</w:t>
      </w:r>
      <w:r w:rsidR="00B87D7B" w:rsidRPr="00423297">
        <w:t xml:space="preserve"> which imposes these as obligations in </w:t>
      </w:r>
      <w:hyperlink r:id="rId38" w:history="1">
        <w:r w:rsidR="0089497D" w:rsidRPr="00423297">
          <w:rPr>
            <w:rStyle w:val="Hyperlink"/>
          </w:rPr>
          <w:t xml:space="preserve">ASIC Corporations (Time-sharing Schemes) </w:t>
        </w:r>
        <w:r w:rsidR="00B87D7B" w:rsidRPr="00423297">
          <w:rPr>
            <w:rStyle w:val="Hyperlink"/>
          </w:rPr>
          <w:t>Instrument 2017/272</w:t>
        </w:r>
      </w:hyperlink>
      <w:r w:rsidRPr="00423297">
        <w:t>.</w:t>
      </w:r>
    </w:p>
    <w:p w14:paraId="0F7144D2" w14:textId="77E878C8" w:rsidR="00B87D7B" w:rsidRPr="00423297" w:rsidRDefault="00B87D7B" w:rsidP="002930A0">
      <w:pPr>
        <w:pStyle w:val="subparaa"/>
      </w:pPr>
      <w:r w:rsidRPr="00423297">
        <w:t xml:space="preserve">we would facilitate hardship relief via individual relief on a </w:t>
      </w:r>
      <w:r w:rsidR="00014A97" w:rsidRPr="00423297">
        <w:t>case-by-</w:t>
      </w:r>
      <w:r w:rsidRPr="00423297">
        <w:t>case basis only; and</w:t>
      </w:r>
    </w:p>
    <w:p w14:paraId="0769EB9B" w14:textId="16684A60" w:rsidR="00B87D7B" w:rsidRPr="00423297" w:rsidRDefault="00B87D7B" w:rsidP="002930A0">
      <w:pPr>
        <w:pStyle w:val="subparaa"/>
      </w:pPr>
      <w:proofErr w:type="gramStart"/>
      <w:r w:rsidRPr="00423297">
        <w:t>the</w:t>
      </w:r>
      <w:proofErr w:type="gramEnd"/>
      <w:r w:rsidRPr="00423297">
        <w:t xml:space="preserve"> definition of </w:t>
      </w:r>
      <w:r w:rsidR="00D61E78">
        <w:t>‘</w:t>
      </w:r>
      <w:r w:rsidRPr="00423297">
        <w:t>special custody assets</w:t>
      </w:r>
      <w:r w:rsidR="00D61E78">
        <w:t>’</w:t>
      </w:r>
      <w:r w:rsidRPr="00423297">
        <w:t xml:space="preserve"> would be expanded.</w:t>
      </w:r>
    </w:p>
    <w:p w14:paraId="32B8ED14" w14:textId="25A1A0B4" w:rsidR="00532FEE" w:rsidRPr="00423297" w:rsidRDefault="00A065F7" w:rsidP="002930A0">
      <w:pPr>
        <w:pStyle w:val="BodyText"/>
      </w:pPr>
      <w:bookmarkStart w:id="141" w:name="_ASICRef301"/>
      <w:bookmarkStart w:id="142" w:name="_ASICRef790"/>
      <w:bookmarkStart w:id="143" w:name="_Hlk4773070"/>
      <w:bookmarkStart w:id="144" w:name="_Ref4425277"/>
      <w:r w:rsidRPr="00423297">
        <w:t xml:space="preserve">Under </w:t>
      </w:r>
      <w:r w:rsidR="0089497D" w:rsidRPr="00423297">
        <w:t>this o</w:t>
      </w:r>
      <w:r w:rsidRPr="00423297">
        <w:t>ption we would also</w:t>
      </w:r>
      <w:r w:rsidR="00532FEE" w:rsidRPr="00423297">
        <w:t>:</w:t>
      </w:r>
      <w:bookmarkEnd w:id="141"/>
      <w:bookmarkEnd w:id="142"/>
    </w:p>
    <w:p w14:paraId="29D571CC" w14:textId="7621AEE5" w:rsidR="00532FEE" w:rsidRPr="00423297" w:rsidRDefault="0089497D" w:rsidP="00532FEE">
      <w:pPr>
        <w:pStyle w:val="subparaa"/>
      </w:pPr>
      <w:r w:rsidRPr="00423297">
        <w:t>provide the</w:t>
      </w:r>
      <w:r w:rsidR="00A065F7" w:rsidRPr="00423297">
        <w:t xml:space="preserve"> specific guidance </w:t>
      </w:r>
      <w:r w:rsidR="00BB7542" w:rsidRPr="00423297">
        <w:t>to</w:t>
      </w:r>
      <w:r w:rsidRPr="00423297">
        <w:t xml:space="preserve"> </w:t>
      </w:r>
      <w:r w:rsidR="00BB7542" w:rsidRPr="00423297">
        <w:t xml:space="preserve">the </w:t>
      </w:r>
      <w:r w:rsidRPr="00423297">
        <w:t xml:space="preserve">time-sharing </w:t>
      </w:r>
      <w:r w:rsidR="00BB7542" w:rsidRPr="00423297">
        <w:t>industry</w:t>
      </w:r>
      <w:r w:rsidRPr="00423297">
        <w:t xml:space="preserve"> (set out in paragraphs </w:t>
      </w:r>
      <w:r w:rsidRPr="00423297">
        <w:fldChar w:fldCharType="begin"/>
      </w:r>
      <w:r w:rsidRPr="00423297">
        <w:instrText xml:space="preserve"> REF _ASICRef533 \w \h </w:instrText>
      </w:r>
      <w:r w:rsidR="008D3172" w:rsidRPr="00423297">
        <w:instrText xml:space="preserve"> \* MERGEFORMAT </w:instrText>
      </w:r>
      <w:r w:rsidRPr="00423297">
        <w:fldChar w:fldCharType="separate"/>
      </w:r>
      <w:r w:rsidR="00B92808">
        <w:t>89</w:t>
      </w:r>
      <w:r w:rsidRPr="00423297">
        <w:fldChar w:fldCharType="end"/>
      </w:r>
      <w:r w:rsidRPr="00423297">
        <w:t>–</w:t>
      </w:r>
      <w:r w:rsidR="00606495" w:rsidRPr="00423297">
        <w:fldChar w:fldCharType="begin"/>
      </w:r>
      <w:r w:rsidR="00606495" w:rsidRPr="00423297">
        <w:instrText xml:space="preserve"> REF _ASICRef999 \w \h </w:instrText>
      </w:r>
      <w:r w:rsidR="00423297">
        <w:instrText xml:space="preserve"> \* MERGEFORMAT </w:instrText>
      </w:r>
      <w:r w:rsidR="00606495" w:rsidRPr="00423297">
        <w:fldChar w:fldCharType="separate"/>
      </w:r>
      <w:r w:rsidR="00B92808">
        <w:t>91</w:t>
      </w:r>
      <w:r w:rsidR="00606495" w:rsidRPr="00423297">
        <w:fldChar w:fldCharType="end"/>
      </w:r>
      <w:r w:rsidRPr="00423297">
        <w:t>)</w:t>
      </w:r>
      <w:r w:rsidR="00532FEE" w:rsidRPr="00423297">
        <w:t>;</w:t>
      </w:r>
      <w:r w:rsidRPr="00423297">
        <w:t xml:space="preserve"> </w:t>
      </w:r>
    </w:p>
    <w:p w14:paraId="2936B697" w14:textId="3663BE29" w:rsidR="00A065F7" w:rsidRPr="00423297" w:rsidRDefault="0089497D" w:rsidP="00953431">
      <w:pPr>
        <w:pStyle w:val="subparaa"/>
      </w:pPr>
      <w:r w:rsidRPr="00423297">
        <w:t xml:space="preserve">introduce the changes to </w:t>
      </w:r>
      <w:r w:rsidR="00A065F7" w:rsidRPr="00423297">
        <w:t xml:space="preserve">compliance arrangements </w:t>
      </w:r>
      <w:r w:rsidRPr="00423297">
        <w:t xml:space="preserve">(set out </w:t>
      </w:r>
      <w:r w:rsidR="00A065F7" w:rsidRPr="00423297">
        <w:t>in paragraphs</w:t>
      </w:r>
      <w:r w:rsidR="00A73FEE" w:rsidRPr="00423297">
        <w:t xml:space="preserve"> </w:t>
      </w:r>
      <w:r w:rsidRPr="00423297">
        <w:fldChar w:fldCharType="begin"/>
      </w:r>
      <w:r w:rsidRPr="00423297">
        <w:instrText xml:space="preserve"> REF _ASICRef289 \w \h </w:instrText>
      </w:r>
      <w:r w:rsidR="008D3172" w:rsidRPr="00423297">
        <w:instrText xml:space="preserve"> \* MERGEFORMAT </w:instrText>
      </w:r>
      <w:r w:rsidRPr="00423297">
        <w:fldChar w:fldCharType="separate"/>
      </w:r>
      <w:r w:rsidR="00B92808">
        <w:t>92</w:t>
      </w:r>
      <w:r w:rsidRPr="00423297">
        <w:fldChar w:fldCharType="end"/>
      </w:r>
      <w:r w:rsidRPr="00423297">
        <w:t>–</w:t>
      </w:r>
      <w:r w:rsidR="00A37E75" w:rsidRPr="00423297">
        <w:fldChar w:fldCharType="begin"/>
      </w:r>
      <w:r w:rsidR="00A37E75" w:rsidRPr="00423297">
        <w:instrText xml:space="preserve"> REF _Ref4424553 \r \h  \* MERGEFORMAT </w:instrText>
      </w:r>
      <w:r w:rsidR="00A37E75" w:rsidRPr="00423297">
        <w:fldChar w:fldCharType="separate"/>
      </w:r>
      <w:r w:rsidR="00B92808">
        <w:t>97</w:t>
      </w:r>
      <w:r w:rsidR="00A37E75" w:rsidRPr="00423297">
        <w:fldChar w:fldCharType="end"/>
      </w:r>
      <w:r w:rsidR="00532FEE" w:rsidRPr="00423297">
        <w:t>); and</w:t>
      </w:r>
      <w:bookmarkEnd w:id="143"/>
    </w:p>
    <w:p w14:paraId="05805F72" w14:textId="2B8305A2" w:rsidR="00B87D7B" w:rsidRPr="00423297" w:rsidRDefault="00B87D7B" w:rsidP="00953431">
      <w:pPr>
        <w:pStyle w:val="subparaa"/>
      </w:pPr>
      <w:bookmarkStart w:id="145" w:name="_Ref5112993"/>
      <w:proofErr w:type="gramStart"/>
      <w:r w:rsidRPr="00423297">
        <w:lastRenderedPageBreak/>
        <w:t>amend</w:t>
      </w:r>
      <w:proofErr w:type="gramEnd"/>
      <w:r w:rsidR="00532FEE" w:rsidRPr="00423297">
        <w:t xml:space="preserve"> the</w:t>
      </w:r>
      <w:r w:rsidRPr="00423297">
        <w:t xml:space="preserve"> individual relief granted to legacy schemes to reflect the amendments to </w:t>
      </w:r>
      <w:hyperlink r:id="rId39" w:history="1">
        <w:r w:rsidR="00532FEE" w:rsidRPr="00423297">
          <w:rPr>
            <w:rStyle w:val="Hyperlink"/>
          </w:rPr>
          <w:t xml:space="preserve">ASIC Corporations (Time-sharing Schemes) </w:t>
        </w:r>
        <w:r w:rsidRPr="00423297">
          <w:rPr>
            <w:rStyle w:val="Hyperlink"/>
          </w:rPr>
          <w:t>Instrument 2017/272</w:t>
        </w:r>
      </w:hyperlink>
      <w:r w:rsidR="00532FEE" w:rsidRPr="00423297">
        <w:t>,</w:t>
      </w:r>
      <w:r w:rsidRPr="00423297">
        <w:t xml:space="preserve"> as appropriate, following consultation with these legacy scheme operators.</w:t>
      </w:r>
      <w:bookmarkEnd w:id="144"/>
      <w:bookmarkEnd w:id="145"/>
    </w:p>
    <w:p w14:paraId="28DA4C7E" w14:textId="4789B1AD" w:rsidR="00B87D7B" w:rsidRPr="00423297" w:rsidRDefault="00B87D7B" w:rsidP="00953431">
      <w:pPr>
        <w:pStyle w:val="Heading2"/>
        <w:rPr>
          <w:spacing w:val="4"/>
        </w:rPr>
      </w:pPr>
      <w:bookmarkStart w:id="146" w:name="_Toc36467237"/>
      <w:bookmarkStart w:id="147" w:name="_Toc56669427"/>
      <w:r w:rsidRPr="00423297">
        <w:rPr>
          <w:spacing w:val="4"/>
        </w:rPr>
        <w:t>Option 3: Adopt alternative changes to policy settings</w:t>
      </w:r>
      <w:r w:rsidR="00532FEE" w:rsidRPr="00423297">
        <w:rPr>
          <w:spacing w:val="4"/>
        </w:rPr>
        <w:t>,</w:t>
      </w:r>
      <w:r w:rsidRPr="00423297">
        <w:rPr>
          <w:spacing w:val="4"/>
        </w:rPr>
        <w:t xml:space="preserve"> including introducing a deferred commencement date for </w:t>
      </w:r>
      <w:r w:rsidR="00117B95" w:rsidRPr="00423297">
        <w:rPr>
          <w:spacing w:val="4"/>
        </w:rPr>
        <w:t xml:space="preserve">the </w:t>
      </w:r>
      <w:r w:rsidRPr="00423297">
        <w:rPr>
          <w:spacing w:val="4"/>
        </w:rPr>
        <w:t>cooling</w:t>
      </w:r>
      <w:r w:rsidR="001818E5" w:rsidRPr="00423297">
        <w:rPr>
          <w:spacing w:val="4"/>
        </w:rPr>
        <w:t>-</w:t>
      </w:r>
      <w:r w:rsidRPr="00423297">
        <w:rPr>
          <w:spacing w:val="4"/>
        </w:rPr>
        <w:t>off</w:t>
      </w:r>
      <w:r w:rsidR="00117B95" w:rsidRPr="00423297">
        <w:rPr>
          <w:spacing w:val="4"/>
        </w:rPr>
        <w:t xml:space="preserve"> period</w:t>
      </w:r>
      <w:bookmarkEnd w:id="146"/>
      <w:bookmarkEnd w:id="147"/>
    </w:p>
    <w:p w14:paraId="59B53A77" w14:textId="35B489EE" w:rsidR="00B87D7B" w:rsidRPr="00423297" w:rsidRDefault="00B87D7B" w:rsidP="002930A0">
      <w:pPr>
        <w:pStyle w:val="BodyText"/>
      </w:pPr>
      <w:r w:rsidRPr="00423297">
        <w:t xml:space="preserve">Option 3 entails amending the conditions attaching to </w:t>
      </w:r>
      <w:hyperlink r:id="rId40" w:history="1">
        <w:r w:rsidR="00532FEE" w:rsidRPr="00423297">
          <w:rPr>
            <w:rStyle w:val="Hyperlink"/>
          </w:rPr>
          <w:t xml:space="preserve">ASIC Corporations (Time-sharing Schemes) </w:t>
        </w:r>
        <w:r w:rsidRPr="00423297">
          <w:rPr>
            <w:rStyle w:val="Hyperlink"/>
          </w:rPr>
          <w:t>Instrument 2017/272</w:t>
        </w:r>
      </w:hyperlink>
      <w:r w:rsidRPr="00423297">
        <w:t xml:space="preserve"> in an alternative way to Options</w:t>
      </w:r>
      <w:r w:rsidR="00750CD5">
        <w:t> </w:t>
      </w:r>
      <w:r w:rsidRPr="00423297">
        <w:t xml:space="preserve">1 or 2. </w:t>
      </w:r>
    </w:p>
    <w:p w14:paraId="7FDC5FE6" w14:textId="34518E0E" w:rsidR="00532FEE" w:rsidRPr="00423297" w:rsidRDefault="00532FEE" w:rsidP="00953431">
      <w:pPr>
        <w:pStyle w:val="Heading3"/>
      </w:pPr>
      <w:r w:rsidRPr="00423297">
        <w:t>Deferred commencement</w:t>
      </w:r>
    </w:p>
    <w:p w14:paraId="1890C604" w14:textId="49B361D0" w:rsidR="00B87D7B" w:rsidRPr="00423297" w:rsidRDefault="00B87D7B" w:rsidP="002930A0">
      <w:pPr>
        <w:pStyle w:val="BodyText"/>
      </w:pPr>
      <w:r w:rsidRPr="00423297">
        <w:t>Under Option 3</w:t>
      </w:r>
      <w:r w:rsidR="00127184" w:rsidRPr="00423297">
        <w:t>,</w:t>
      </w:r>
      <w:r w:rsidRPr="00423297">
        <w:t xml:space="preserve"> </w:t>
      </w:r>
      <w:r w:rsidR="00532FEE" w:rsidRPr="00423297">
        <w:t xml:space="preserve">we would amend </w:t>
      </w:r>
      <w:r w:rsidRPr="00423297">
        <w:t>the cooling-off rights to have a deferred commencement and end date for the cooling-off period.</w:t>
      </w:r>
    </w:p>
    <w:p w14:paraId="050958AE" w14:textId="613D1CB9" w:rsidR="00B87D7B" w:rsidRPr="00423297" w:rsidRDefault="00532FEE" w:rsidP="002930A0">
      <w:pPr>
        <w:pStyle w:val="BodyText"/>
      </w:pPr>
      <w:r w:rsidRPr="00423297">
        <w:t>A</w:t>
      </w:r>
      <w:r w:rsidR="00B87D7B" w:rsidRPr="00423297">
        <w:t xml:space="preserve"> consumer making an initial acquisition of an interest in the scheme will have a 7-day (for ATHOC members) or 14-day (for non-ATHOC members) cooling-off period </w:t>
      </w:r>
      <w:r w:rsidR="00B87D7B" w:rsidRPr="00423297">
        <w:rPr>
          <w:i/>
        </w:rPr>
        <w:t>commencing from</w:t>
      </w:r>
      <w:r w:rsidR="00B87D7B" w:rsidRPr="00423297">
        <w:t>:</w:t>
      </w:r>
    </w:p>
    <w:p w14:paraId="529BBACA" w14:textId="0B484355" w:rsidR="00B87D7B" w:rsidRPr="00423297" w:rsidRDefault="00532FEE" w:rsidP="002930A0">
      <w:pPr>
        <w:pStyle w:val="subparaa"/>
      </w:pPr>
      <w:r w:rsidRPr="00423297">
        <w:t>if</w:t>
      </w:r>
      <w:r w:rsidR="00B87D7B" w:rsidRPr="00423297">
        <w:t xml:space="preserve"> the consumer has made an application for finance to purchase an interest in the registered scheme</w:t>
      </w:r>
      <w:r w:rsidRPr="00423297">
        <w:t>,</w:t>
      </w:r>
      <w:r w:rsidR="00B87D7B" w:rsidRPr="00423297">
        <w:t xml:space="preserve"> the date the consumer has been informed of the decision whether the finance has been approved or not and received all loan documentation (instead of the formal </w:t>
      </w:r>
      <w:r w:rsidR="00D61E78">
        <w:t>‘</w:t>
      </w:r>
      <w:r w:rsidR="00B87D7B" w:rsidRPr="00423297">
        <w:t>subject to finance</w:t>
      </w:r>
      <w:r w:rsidR="00D61E78">
        <w:t>’</w:t>
      </w:r>
      <w:r w:rsidR="00B87D7B" w:rsidRPr="00423297">
        <w:t xml:space="preserve"> rights under </w:t>
      </w:r>
      <w:r w:rsidR="00C16456" w:rsidRPr="00423297">
        <w:t xml:space="preserve">revised </w:t>
      </w:r>
      <w:r w:rsidR="00B87D7B" w:rsidRPr="00423297">
        <w:t>Option 1); and</w:t>
      </w:r>
      <w:r w:rsidR="00DA6AAA" w:rsidRPr="00423297">
        <w:t>/or</w:t>
      </w:r>
    </w:p>
    <w:p w14:paraId="3B59BE56" w14:textId="4F6FBD8F" w:rsidR="00B87D7B" w:rsidRPr="00423297" w:rsidRDefault="00532FEE" w:rsidP="002930A0">
      <w:pPr>
        <w:pStyle w:val="subparaa"/>
      </w:pPr>
      <w:proofErr w:type="gramStart"/>
      <w:r w:rsidRPr="00423297">
        <w:t>if</w:t>
      </w:r>
      <w:proofErr w:type="gramEnd"/>
      <w:r w:rsidRPr="00423297">
        <w:t xml:space="preserve"> the</w:t>
      </w:r>
      <w:r w:rsidR="00B87D7B" w:rsidRPr="00423297">
        <w:t xml:space="preserve"> consumer </w:t>
      </w:r>
      <w:r w:rsidRPr="00423297">
        <w:t>is</w:t>
      </w:r>
      <w:r w:rsidR="00B87D7B" w:rsidRPr="00423297">
        <w:t xml:space="preserve"> on holidays when they acquire the interest in the registered scheme</w:t>
      </w:r>
      <w:r w:rsidRPr="00423297">
        <w:t>,</w:t>
      </w:r>
      <w:r w:rsidR="00B87D7B" w:rsidRPr="00423297">
        <w:t xml:space="preserve"> the date specified by the consumer that they expect to return to their usual place of residence</w:t>
      </w:r>
      <w:r w:rsidR="00127184" w:rsidRPr="00423297">
        <w:t>.</w:t>
      </w:r>
    </w:p>
    <w:p w14:paraId="609FDDD7" w14:textId="03DCE516" w:rsidR="00532FEE" w:rsidRPr="00423297" w:rsidRDefault="00532FEE" w:rsidP="00953431">
      <w:pPr>
        <w:pStyle w:val="Heading3"/>
      </w:pPr>
      <w:r w:rsidRPr="00423297">
        <w:t>Other changes</w:t>
      </w:r>
    </w:p>
    <w:p w14:paraId="3C04A8A4" w14:textId="77777777" w:rsidR="001467E7" w:rsidRPr="00423297" w:rsidRDefault="00A37E75" w:rsidP="00BB428A">
      <w:pPr>
        <w:pStyle w:val="BodyText"/>
        <w:keepNext/>
      </w:pPr>
      <w:r w:rsidRPr="00423297">
        <w:t xml:space="preserve">Under Option </w:t>
      </w:r>
      <w:r w:rsidR="00CB4C97" w:rsidRPr="00423297">
        <w:t>3 we would also</w:t>
      </w:r>
      <w:r w:rsidR="00532FEE" w:rsidRPr="00423297">
        <w:t>:</w:t>
      </w:r>
      <w:r w:rsidR="00CB4C97" w:rsidRPr="00423297">
        <w:t xml:space="preserve"> </w:t>
      </w:r>
    </w:p>
    <w:p w14:paraId="6F829C7D" w14:textId="0348DA2E" w:rsidR="001467E7" w:rsidRPr="00423297" w:rsidRDefault="001467E7" w:rsidP="001467E7">
      <w:pPr>
        <w:pStyle w:val="subparaa"/>
      </w:pPr>
      <w:r w:rsidRPr="00423297">
        <w:t>provide the</w:t>
      </w:r>
      <w:r w:rsidR="00CB4C97" w:rsidRPr="00423297">
        <w:t xml:space="preserve"> specific guidance</w:t>
      </w:r>
      <w:r w:rsidRPr="00423297">
        <w:t xml:space="preserve"> </w:t>
      </w:r>
      <w:r w:rsidR="00BB7542" w:rsidRPr="00423297">
        <w:t>to</w:t>
      </w:r>
      <w:r w:rsidRPr="00423297">
        <w:t xml:space="preserve"> </w:t>
      </w:r>
      <w:r w:rsidR="00BB7542" w:rsidRPr="00423297">
        <w:t xml:space="preserve">the </w:t>
      </w:r>
      <w:r w:rsidRPr="00423297">
        <w:t xml:space="preserve">time-sharing </w:t>
      </w:r>
      <w:r w:rsidR="00BB7542" w:rsidRPr="00423297">
        <w:t>industry</w:t>
      </w:r>
      <w:r w:rsidRPr="00423297">
        <w:t xml:space="preserve"> set out in paragraphs </w:t>
      </w:r>
      <w:r w:rsidRPr="00423297">
        <w:fldChar w:fldCharType="begin"/>
      </w:r>
      <w:r w:rsidRPr="00423297">
        <w:instrText xml:space="preserve"> REF _ASICRef533 \w \h </w:instrText>
      </w:r>
      <w:r w:rsidR="008D3172" w:rsidRPr="00423297">
        <w:instrText xml:space="preserve"> \* MERGEFORMAT </w:instrText>
      </w:r>
      <w:r w:rsidRPr="00423297">
        <w:fldChar w:fldCharType="separate"/>
      </w:r>
      <w:r w:rsidR="00B92808">
        <w:t>89</w:t>
      </w:r>
      <w:r w:rsidRPr="00423297">
        <w:fldChar w:fldCharType="end"/>
      </w:r>
      <w:r w:rsidRPr="00423297">
        <w:t>–</w:t>
      </w:r>
      <w:r w:rsidR="00606495" w:rsidRPr="00423297">
        <w:fldChar w:fldCharType="begin"/>
      </w:r>
      <w:r w:rsidR="00606495" w:rsidRPr="00423297">
        <w:instrText xml:space="preserve"> REF _ASICRef676 \w \h </w:instrText>
      </w:r>
      <w:r w:rsidR="00423297">
        <w:instrText xml:space="preserve"> \* MERGEFORMAT </w:instrText>
      </w:r>
      <w:r w:rsidR="00606495" w:rsidRPr="00423297">
        <w:fldChar w:fldCharType="separate"/>
      </w:r>
      <w:r w:rsidR="00B92808">
        <w:t>91</w:t>
      </w:r>
      <w:r w:rsidR="00606495" w:rsidRPr="00423297">
        <w:fldChar w:fldCharType="end"/>
      </w:r>
      <w:r w:rsidRPr="00423297">
        <w:t>;</w:t>
      </w:r>
      <w:r w:rsidR="00CB4C97" w:rsidRPr="00423297">
        <w:t xml:space="preserve"> </w:t>
      </w:r>
    </w:p>
    <w:p w14:paraId="64931EFD" w14:textId="2E99B718" w:rsidR="001467E7" w:rsidRPr="00423297" w:rsidRDefault="001467E7" w:rsidP="001467E7">
      <w:pPr>
        <w:pStyle w:val="subparaa"/>
      </w:pPr>
      <w:r w:rsidRPr="00423297">
        <w:t xml:space="preserve">introduce the changes to </w:t>
      </w:r>
      <w:r w:rsidR="00CB4C97" w:rsidRPr="00423297">
        <w:t xml:space="preserve">compliance arrangements </w:t>
      </w:r>
      <w:r w:rsidRPr="00423297">
        <w:t>set out in paragraphs</w:t>
      </w:r>
      <w:r w:rsidR="00856F3E" w:rsidRPr="00423297">
        <w:t> </w:t>
      </w:r>
      <w:r w:rsidRPr="00423297">
        <w:fldChar w:fldCharType="begin"/>
      </w:r>
      <w:r w:rsidRPr="00423297">
        <w:instrText xml:space="preserve"> REF _ASICRef289 \w \h </w:instrText>
      </w:r>
      <w:r w:rsidR="008D3172" w:rsidRPr="00423297">
        <w:instrText xml:space="preserve"> \* MERGEFORMAT </w:instrText>
      </w:r>
      <w:r w:rsidRPr="00423297">
        <w:fldChar w:fldCharType="separate"/>
      </w:r>
      <w:r w:rsidR="00B92808">
        <w:t>92</w:t>
      </w:r>
      <w:r w:rsidRPr="00423297">
        <w:fldChar w:fldCharType="end"/>
      </w:r>
      <w:r w:rsidRPr="00423297">
        <w:t>–</w:t>
      </w:r>
      <w:r w:rsidRPr="00423297">
        <w:fldChar w:fldCharType="begin"/>
      </w:r>
      <w:r w:rsidRPr="00423297">
        <w:instrText xml:space="preserve"> REF _Ref4424553 \r \h  \* MERGEFORMAT </w:instrText>
      </w:r>
      <w:r w:rsidRPr="00423297">
        <w:fldChar w:fldCharType="separate"/>
      </w:r>
      <w:r w:rsidR="00B92808">
        <w:t>97</w:t>
      </w:r>
      <w:r w:rsidRPr="00423297">
        <w:fldChar w:fldCharType="end"/>
      </w:r>
      <w:r w:rsidRPr="00423297">
        <w:t xml:space="preserve">; </w:t>
      </w:r>
      <w:r w:rsidR="00A37E75" w:rsidRPr="00423297">
        <w:t xml:space="preserve">and </w:t>
      </w:r>
    </w:p>
    <w:p w14:paraId="7CE7B2BE" w14:textId="54789378" w:rsidR="00B87D7B" w:rsidRPr="00423297" w:rsidRDefault="001467E7" w:rsidP="00953431">
      <w:pPr>
        <w:pStyle w:val="subparaa"/>
      </w:pPr>
      <w:proofErr w:type="gramStart"/>
      <w:r w:rsidRPr="00423297">
        <w:t>make</w:t>
      </w:r>
      <w:proofErr w:type="gramEnd"/>
      <w:r w:rsidRPr="00423297">
        <w:t xml:space="preserve"> </w:t>
      </w:r>
      <w:r w:rsidR="00B87D7B" w:rsidRPr="00423297">
        <w:t xml:space="preserve">the other changes outlined in Option 2 </w:t>
      </w:r>
      <w:r w:rsidRPr="00423297">
        <w:t>(se</w:t>
      </w:r>
      <w:r w:rsidR="00856F3E" w:rsidRPr="00423297">
        <w:t>e</w:t>
      </w:r>
      <w:r w:rsidR="00B87D7B" w:rsidRPr="00423297">
        <w:t xml:space="preserve"> paragraphs </w:t>
      </w:r>
      <w:r w:rsidR="00B80024" w:rsidRPr="00423297">
        <w:fldChar w:fldCharType="begin"/>
      </w:r>
      <w:r w:rsidR="00B80024" w:rsidRPr="00423297">
        <w:instrText xml:space="preserve"> REF _Ref4425271 \r \h  \* MERGEFORMAT </w:instrText>
      </w:r>
      <w:r w:rsidR="00B80024" w:rsidRPr="00423297">
        <w:fldChar w:fldCharType="separate"/>
      </w:r>
      <w:r w:rsidR="00B92808">
        <w:t>103</w:t>
      </w:r>
      <w:r w:rsidR="00B80024" w:rsidRPr="00423297">
        <w:fldChar w:fldCharType="end"/>
      </w:r>
      <w:r w:rsidR="00A512B0" w:rsidRPr="00423297">
        <w:t>–</w:t>
      </w:r>
      <w:r w:rsidR="00856F3E" w:rsidRPr="00423297">
        <w:fldChar w:fldCharType="begin"/>
      </w:r>
      <w:r w:rsidR="00856F3E" w:rsidRPr="00423297">
        <w:instrText xml:space="preserve"> REF _ASICRef790 \w \h </w:instrText>
      </w:r>
      <w:r w:rsidR="008D3172" w:rsidRPr="00423297">
        <w:instrText xml:space="preserve"> \* MERGEFORMAT </w:instrText>
      </w:r>
      <w:r w:rsidR="00856F3E" w:rsidRPr="00423297">
        <w:fldChar w:fldCharType="separate"/>
      </w:r>
      <w:r w:rsidR="00B92808">
        <w:t>104</w:t>
      </w:r>
      <w:r w:rsidR="00856F3E" w:rsidRPr="00423297">
        <w:fldChar w:fldCharType="end"/>
      </w:r>
      <w:r w:rsidRPr="00423297">
        <w:t>)</w:t>
      </w:r>
      <w:r w:rsidR="00B87D7B" w:rsidRPr="00423297">
        <w:t>.</w:t>
      </w:r>
    </w:p>
    <w:p w14:paraId="5FC12A7E" w14:textId="434179EE" w:rsidR="00B87D7B" w:rsidRPr="00423297" w:rsidRDefault="00B87D7B" w:rsidP="008250FD">
      <w:pPr>
        <w:pStyle w:val="Heading2"/>
      </w:pPr>
      <w:bookmarkStart w:id="148" w:name="_Toc36467238"/>
      <w:bookmarkStart w:id="149" w:name="_Toc56669428"/>
      <w:r w:rsidRPr="00423297">
        <w:lastRenderedPageBreak/>
        <w:t>Option 4: Maintain the status quo</w:t>
      </w:r>
      <w:bookmarkEnd w:id="148"/>
      <w:bookmarkEnd w:id="149"/>
    </w:p>
    <w:p w14:paraId="7233C460" w14:textId="30BE3FA8" w:rsidR="00531DFB" w:rsidRDefault="00B87D7B" w:rsidP="000E42B6">
      <w:pPr>
        <w:pStyle w:val="BodyText"/>
      </w:pPr>
      <w:bookmarkStart w:id="150" w:name="_Ref9862789"/>
      <w:r w:rsidRPr="00423297">
        <w:t xml:space="preserve">Option 4 does not involve any change to policy settings. The existing relief under </w:t>
      </w:r>
      <w:hyperlink r:id="rId41" w:history="1">
        <w:r w:rsidR="001467E7" w:rsidRPr="00423297">
          <w:rPr>
            <w:rStyle w:val="Hyperlink"/>
          </w:rPr>
          <w:t xml:space="preserve">ASIC Corporations (Time-sharing Schemes) </w:t>
        </w:r>
        <w:r w:rsidRPr="00423297">
          <w:rPr>
            <w:rStyle w:val="Hyperlink"/>
          </w:rPr>
          <w:t>Instrument 2017/272</w:t>
        </w:r>
      </w:hyperlink>
      <w:r w:rsidR="000E223E" w:rsidRPr="00423297">
        <w:t>—including</w:t>
      </w:r>
      <w:r w:rsidR="00DB41D4" w:rsidRPr="00423297">
        <w:t xml:space="preserve"> the conditions that apply to some of the relief</w:t>
      </w:r>
      <w:r w:rsidR="000E223E" w:rsidRPr="00423297">
        <w:t>—</w:t>
      </w:r>
      <w:r w:rsidRPr="00423297">
        <w:t>and the existing individual relief for legacy schemes will continue to apply.</w:t>
      </w:r>
      <w:bookmarkEnd w:id="150"/>
    </w:p>
    <w:p w14:paraId="106BD6D5" w14:textId="67B53D06" w:rsidR="00423DE8" w:rsidRPr="003516CB" w:rsidRDefault="00337358" w:rsidP="00F03AA3">
      <w:pPr>
        <w:pStyle w:val="Heading1"/>
        <w:rPr>
          <w:spacing w:val="-2"/>
        </w:rPr>
      </w:pPr>
      <w:bookmarkStart w:id="151" w:name="_Toc56118289"/>
      <w:bookmarkStart w:id="152" w:name="_Ref4164083"/>
      <w:bookmarkStart w:id="153" w:name="_Toc5365765"/>
      <w:bookmarkStart w:id="154" w:name="_Toc36467239"/>
      <w:bookmarkStart w:id="155" w:name="_Toc56669429"/>
      <w:bookmarkEnd w:id="151"/>
      <w:r w:rsidRPr="003516CB">
        <w:rPr>
          <w:spacing w:val="-2"/>
        </w:rPr>
        <w:lastRenderedPageBreak/>
        <w:t>Cost–benefit and impact analysis of each option</w:t>
      </w:r>
      <w:bookmarkEnd w:id="152"/>
      <w:bookmarkEnd w:id="153"/>
      <w:bookmarkEnd w:id="154"/>
      <w:bookmarkEnd w:id="155"/>
    </w:p>
    <w:p w14:paraId="587EEEF3" w14:textId="3DAF6287" w:rsidR="00B87D7B" w:rsidRPr="00423297" w:rsidRDefault="00CC4444" w:rsidP="00EC0071">
      <w:pPr>
        <w:pStyle w:val="Heading2"/>
        <w:spacing w:before="200"/>
      </w:pPr>
      <w:bookmarkStart w:id="156" w:name="_Toc5365766"/>
      <w:bookmarkStart w:id="157" w:name="_Toc36467240"/>
      <w:bookmarkStart w:id="158" w:name="_Toc56669430"/>
      <w:r w:rsidRPr="00423297">
        <w:t xml:space="preserve">Revised </w:t>
      </w:r>
      <w:r w:rsidR="00B87D7B" w:rsidRPr="00423297">
        <w:t xml:space="preserve">Option 1: Amend the policy settings </w:t>
      </w:r>
      <w:r w:rsidRPr="00423297">
        <w:t xml:space="preserve">but maintain the existing cooling-off model </w:t>
      </w:r>
      <w:r w:rsidR="00B87D7B" w:rsidRPr="00423297">
        <w:t>(preferred option)</w:t>
      </w:r>
      <w:bookmarkEnd w:id="156"/>
      <w:bookmarkEnd w:id="157"/>
      <w:bookmarkEnd w:id="158"/>
    </w:p>
    <w:p w14:paraId="18A1C61C" w14:textId="3C381E3A" w:rsidR="00B87D7B" w:rsidRPr="00423297" w:rsidRDefault="00B87D7B" w:rsidP="002930A0">
      <w:pPr>
        <w:pStyle w:val="BodyText"/>
      </w:pPr>
      <w:r w:rsidRPr="00423297">
        <w:t xml:space="preserve">The key focus of the changes to the policy settings under this option </w:t>
      </w:r>
      <w:r w:rsidR="00E72ED1" w:rsidRPr="00423297">
        <w:t xml:space="preserve">is </w:t>
      </w:r>
      <w:r w:rsidRPr="00423297">
        <w:t>to:</w:t>
      </w:r>
    </w:p>
    <w:p w14:paraId="1139CDE2" w14:textId="34AF0B88" w:rsidR="00B87D7B" w:rsidRPr="00423297" w:rsidRDefault="00CC4444" w:rsidP="002930A0">
      <w:pPr>
        <w:pStyle w:val="subparaa"/>
      </w:pPr>
      <w:r w:rsidRPr="00423297">
        <w:t>allow consumers</w:t>
      </w:r>
      <w:r w:rsidR="00246222" w:rsidRPr="00423297">
        <w:t xml:space="preserve"> to </w:t>
      </w:r>
      <w:r w:rsidR="00BD0A10" w:rsidRPr="00423297">
        <w:t>withdraw after the cooling-off period</w:t>
      </w:r>
      <w:r w:rsidR="00B87D7B" w:rsidRPr="00423297">
        <w:t xml:space="preserve"> when they have applications for finance pending or refused</w:t>
      </w:r>
      <w:r w:rsidR="00F52C65" w:rsidRPr="00423297">
        <w:t>,</w:t>
      </w:r>
      <w:r w:rsidR="00BD0A10" w:rsidRPr="00423297">
        <w:t xml:space="preserve"> or decide not to proceed with an application for finance</w:t>
      </w:r>
      <w:r w:rsidR="00B87D7B" w:rsidRPr="00423297">
        <w:t>;</w:t>
      </w:r>
    </w:p>
    <w:p w14:paraId="719C02EF" w14:textId="583D2B39" w:rsidR="00B87D7B" w:rsidRPr="00423297" w:rsidRDefault="005B10F0" w:rsidP="002930A0">
      <w:pPr>
        <w:pStyle w:val="subparaa"/>
      </w:pPr>
      <w:bookmarkStart w:id="159" w:name="_Hlk38900978"/>
      <w:r w:rsidRPr="00423297">
        <w:t xml:space="preserve">improve consumer understanding in the context of same-day sales </w:t>
      </w:r>
      <w:r w:rsidR="00B106A5" w:rsidRPr="00423297">
        <w:t>processes</w:t>
      </w:r>
      <w:r w:rsidRPr="00423297">
        <w:t xml:space="preserve"> </w:t>
      </w:r>
      <w:bookmarkEnd w:id="159"/>
      <w:r w:rsidR="001A0799" w:rsidRPr="00423297">
        <w:t>by</w:t>
      </w:r>
      <w:r w:rsidR="006567EF" w:rsidRPr="00423297">
        <w:t xml:space="preserve"> </w:t>
      </w:r>
      <w:r w:rsidR="001A0799" w:rsidRPr="00423297">
        <w:t xml:space="preserve">providing </w:t>
      </w:r>
      <w:r w:rsidR="00B87D7B" w:rsidRPr="00423297">
        <w:t xml:space="preserve">additional </w:t>
      </w:r>
      <w:r w:rsidR="0067516A" w:rsidRPr="00423297">
        <w:t xml:space="preserve">and more prominent </w:t>
      </w:r>
      <w:r w:rsidR="00B87D7B" w:rsidRPr="00423297">
        <w:t>disclosure</w:t>
      </w:r>
      <w:r w:rsidR="00A1323A" w:rsidRPr="00423297">
        <w:t>,</w:t>
      </w:r>
      <w:r w:rsidR="00B87D7B" w:rsidRPr="00423297">
        <w:t xml:space="preserve"> and </w:t>
      </w:r>
      <w:r w:rsidRPr="00423297">
        <w:t xml:space="preserve">written and verbal </w:t>
      </w:r>
      <w:r w:rsidR="00B87D7B" w:rsidRPr="00423297">
        <w:t xml:space="preserve">warnings to consumers; </w:t>
      </w:r>
    </w:p>
    <w:p w14:paraId="09296EA2" w14:textId="0960F2C7" w:rsidR="00B87D7B" w:rsidRPr="00423297" w:rsidRDefault="00B87D7B" w:rsidP="002930A0">
      <w:pPr>
        <w:pStyle w:val="subparaa"/>
      </w:pPr>
      <w:r w:rsidRPr="00423297">
        <w:t>help members suffering hardship to exit the scheme</w:t>
      </w:r>
      <w:r w:rsidR="00FC7714" w:rsidRPr="00423297">
        <w:t xml:space="preserve"> and shield them from</w:t>
      </w:r>
      <w:r w:rsidRPr="00423297">
        <w:t xml:space="preserve"> incurring additional costs; and</w:t>
      </w:r>
    </w:p>
    <w:p w14:paraId="1585EE3B" w14:textId="4FEC5915" w:rsidR="00B87D7B" w:rsidRPr="00423297" w:rsidRDefault="005B10F0" w:rsidP="002930A0">
      <w:pPr>
        <w:pStyle w:val="subparaa"/>
      </w:pPr>
      <w:proofErr w:type="gramStart"/>
      <w:r w:rsidRPr="00423297">
        <w:t>improve</w:t>
      </w:r>
      <w:proofErr w:type="gramEnd"/>
      <w:r w:rsidRPr="00423297">
        <w:t xml:space="preserve"> consumer outcomes and</w:t>
      </w:r>
      <w:r w:rsidR="00272657" w:rsidRPr="00423297">
        <w:t xml:space="preserve"> industry</w:t>
      </w:r>
      <w:r w:rsidRPr="00423297">
        <w:t xml:space="preserve"> levels of compliance through more specific guidance </w:t>
      </w:r>
      <w:r w:rsidR="00272657" w:rsidRPr="00423297">
        <w:t>on</w:t>
      </w:r>
      <w:r w:rsidR="00272657" w:rsidRPr="00423297" w:rsidDel="005B10F0">
        <w:t xml:space="preserve"> </w:t>
      </w:r>
      <w:r w:rsidR="00B87D7B" w:rsidRPr="00423297">
        <w:t xml:space="preserve">our </w:t>
      </w:r>
      <w:r w:rsidR="00D36577" w:rsidRPr="00423297">
        <w:t xml:space="preserve">interpretation of the </w:t>
      </w:r>
      <w:r w:rsidR="00B87D7B" w:rsidRPr="00423297">
        <w:t>existing obligations</w:t>
      </w:r>
      <w:r w:rsidR="00D36577" w:rsidRPr="00423297">
        <w:t xml:space="preserve"> in the context of time-sharing schemes</w:t>
      </w:r>
      <w:r w:rsidR="00B87D7B" w:rsidRPr="00423297">
        <w:t>.</w:t>
      </w:r>
    </w:p>
    <w:p w14:paraId="4E111BCF" w14:textId="5DB45846" w:rsidR="00B87D7B" w:rsidRPr="00423297" w:rsidRDefault="00B87D7B" w:rsidP="002930A0">
      <w:pPr>
        <w:pStyle w:val="BodyText"/>
      </w:pPr>
      <w:r w:rsidRPr="00423297">
        <w:t xml:space="preserve">We have also proposed other changes that we consider will reduce the regulatory burden on industry without </w:t>
      </w:r>
      <w:r w:rsidR="00246518" w:rsidRPr="00423297">
        <w:t>reducing consumer protections</w:t>
      </w:r>
      <w:r w:rsidRPr="00423297">
        <w:t>.</w:t>
      </w:r>
    </w:p>
    <w:p w14:paraId="7147C0F1" w14:textId="4FBE9E96" w:rsidR="00B87D7B" w:rsidRPr="00423297" w:rsidRDefault="004665F0" w:rsidP="008250FD">
      <w:pPr>
        <w:pStyle w:val="Heading3"/>
      </w:pPr>
      <w:r w:rsidRPr="00423297">
        <w:t>Impact on o</w:t>
      </w:r>
      <w:r w:rsidR="00B87D7B" w:rsidRPr="00423297">
        <w:t>perators</w:t>
      </w:r>
      <w:r w:rsidR="00337358" w:rsidRPr="00423297">
        <w:t xml:space="preserve"> and promoters</w:t>
      </w:r>
      <w:r w:rsidR="00B87D7B" w:rsidRPr="00423297">
        <w:t xml:space="preserve"> of registered schemes</w:t>
      </w:r>
    </w:p>
    <w:p w14:paraId="68C1DCE4" w14:textId="677891A1" w:rsidR="00B87D7B" w:rsidRPr="00423297" w:rsidRDefault="00B87D7B" w:rsidP="002930A0">
      <w:pPr>
        <w:pStyle w:val="BodyText"/>
      </w:pPr>
      <w:r w:rsidRPr="00423297">
        <w:t>We do not anticipate that this option will cause operators</w:t>
      </w:r>
      <w:r w:rsidR="00337358" w:rsidRPr="00423297">
        <w:t xml:space="preserve"> and </w:t>
      </w:r>
      <w:proofErr w:type="gramStart"/>
      <w:r w:rsidR="00A047BE" w:rsidRPr="00423297">
        <w:t>promoters</w:t>
      </w:r>
      <w:proofErr w:type="gramEnd"/>
      <w:r w:rsidR="00A047BE" w:rsidRPr="00423297">
        <w:t xml:space="preserve"> </w:t>
      </w:r>
      <w:r w:rsidRPr="00423297">
        <w:t xml:space="preserve">undue disruption, as in some cases the changes reflect industry practice. For example, operators have told us they currently provide informal </w:t>
      </w:r>
      <w:r w:rsidR="00D61E78">
        <w:t>‘</w:t>
      </w:r>
      <w:r w:rsidRPr="00423297">
        <w:t>subject to finance</w:t>
      </w:r>
      <w:r w:rsidR="00D61E78">
        <w:t>’</w:t>
      </w:r>
      <w:r w:rsidRPr="00423297">
        <w:t xml:space="preserve"> and hardship arrangements at their discretion</w:t>
      </w:r>
      <w:r w:rsidR="004E21AE">
        <w:t xml:space="preserve"> on an ad</w:t>
      </w:r>
      <w:r w:rsidR="00A71AE3">
        <w:t>-</w:t>
      </w:r>
      <w:r w:rsidR="004E21AE">
        <w:t>hoc basis</w:t>
      </w:r>
      <w:r w:rsidR="00010421" w:rsidRPr="00423297">
        <w:t xml:space="preserve">—despite the potential for the operators to be in breach of their </w:t>
      </w:r>
      <w:r w:rsidR="00DF22E8" w:rsidRPr="00423297">
        <w:t xml:space="preserve">current </w:t>
      </w:r>
      <w:r w:rsidR="00010421" w:rsidRPr="00423297">
        <w:t>obligations under the Corporations Act and scheme constitution by allowing members to exit the scheme when no such rights exist after the cooling off period has passed</w:t>
      </w:r>
      <w:r w:rsidRPr="00423297">
        <w:t>.</w:t>
      </w:r>
    </w:p>
    <w:p w14:paraId="7043F84F" w14:textId="20BE4DAC" w:rsidR="00B87D7B" w:rsidRPr="00423297" w:rsidRDefault="001467E7" w:rsidP="002930A0">
      <w:pPr>
        <w:pStyle w:val="BodyText"/>
      </w:pPr>
      <w:r w:rsidRPr="00423297">
        <w:t>However, o</w:t>
      </w:r>
      <w:r w:rsidR="00B87D7B" w:rsidRPr="00423297">
        <w:t>perators have indicated they will incur additional compliance and administrative costs—in particular, because of changes to PDS content and additional disclosure requirements</w:t>
      </w:r>
      <w:r w:rsidR="003F5D16" w:rsidRPr="00423297">
        <w:t>.</w:t>
      </w:r>
    </w:p>
    <w:p w14:paraId="04B8D8B9" w14:textId="5F86335D" w:rsidR="00BD0A10" w:rsidRPr="00423297" w:rsidRDefault="00BD0A10" w:rsidP="008250FD">
      <w:pPr>
        <w:pStyle w:val="Note"/>
      </w:pPr>
      <w:r w:rsidRPr="00423297">
        <w:t xml:space="preserve">Note: Operators also indicated that they would incur </w:t>
      </w:r>
      <w:r w:rsidR="00AA1D52" w:rsidRPr="00423297">
        <w:t>significant</w:t>
      </w:r>
      <w:r w:rsidRPr="00423297">
        <w:t xml:space="preserve"> costs as a result of changes to the cooling-off statement under the </w:t>
      </w:r>
      <w:r w:rsidR="00AA1D52" w:rsidRPr="00423297">
        <w:t>proposed</w:t>
      </w:r>
      <w:r w:rsidRPr="00423297">
        <w:t xml:space="preserve"> enhanced cooling-off model</w:t>
      </w:r>
      <w:r w:rsidR="00F45DA4" w:rsidRPr="00423297">
        <w:t>.</w:t>
      </w:r>
      <w:r w:rsidRPr="00423297">
        <w:t xml:space="preserve"> </w:t>
      </w:r>
      <w:r w:rsidR="00F45DA4" w:rsidRPr="00423297">
        <w:t>H</w:t>
      </w:r>
      <w:r w:rsidRPr="00423297">
        <w:t>owever</w:t>
      </w:r>
      <w:r w:rsidR="00F45DA4" w:rsidRPr="00423297">
        <w:t>,</w:t>
      </w:r>
      <w:r w:rsidRPr="00423297">
        <w:t xml:space="preserve"> </w:t>
      </w:r>
      <w:r w:rsidR="00F45DA4" w:rsidRPr="00423297">
        <w:t>we have</w:t>
      </w:r>
      <w:r w:rsidRPr="00423297">
        <w:t xml:space="preserve"> decided not to progress this proposal at this time.</w:t>
      </w:r>
    </w:p>
    <w:p w14:paraId="7A99D499" w14:textId="3FB68A30" w:rsidR="00B87D7B" w:rsidRPr="00423297" w:rsidRDefault="00B87D7B" w:rsidP="002930A0">
      <w:pPr>
        <w:pStyle w:val="BodyText"/>
      </w:pPr>
      <w:r w:rsidRPr="00423297">
        <w:t xml:space="preserve">Some of the additional costs </w:t>
      </w:r>
      <w:r w:rsidR="00443616" w:rsidRPr="00423297">
        <w:t xml:space="preserve">related to the </w:t>
      </w:r>
      <w:r w:rsidRPr="00423297">
        <w:t>changes to PDSs will be one-off costs</w:t>
      </w:r>
      <w:r w:rsidR="005037D9" w:rsidRPr="00423297">
        <w:t xml:space="preserve"> </w:t>
      </w:r>
      <w:r w:rsidR="00F17AC4" w:rsidRPr="00423297">
        <w:t>for</w:t>
      </w:r>
      <w:r w:rsidR="005037D9" w:rsidRPr="00423297">
        <w:t xml:space="preserve"> obtaining legal advice, revisi</w:t>
      </w:r>
      <w:r w:rsidR="00F17AC4" w:rsidRPr="00423297">
        <w:t>ng</w:t>
      </w:r>
      <w:r w:rsidR="005037D9" w:rsidRPr="00423297">
        <w:t xml:space="preserve"> PDSs, revisi</w:t>
      </w:r>
      <w:r w:rsidR="00F17AC4" w:rsidRPr="00423297">
        <w:t>ng</w:t>
      </w:r>
      <w:r w:rsidR="005037D9" w:rsidRPr="00423297">
        <w:t xml:space="preserve"> processes, </w:t>
      </w:r>
      <w:r w:rsidR="00F17AC4" w:rsidRPr="00423297">
        <w:t xml:space="preserve">carrying out further </w:t>
      </w:r>
      <w:r w:rsidR="005037D9" w:rsidRPr="00423297">
        <w:t>training and printing</w:t>
      </w:r>
      <w:r w:rsidR="00F17AC4" w:rsidRPr="00423297">
        <w:t xml:space="preserve"> new materials</w:t>
      </w:r>
      <w:r w:rsidRPr="00423297">
        <w:t xml:space="preserve">. </w:t>
      </w:r>
    </w:p>
    <w:p w14:paraId="3E0E4051" w14:textId="77777777" w:rsidR="00F10360" w:rsidRPr="00423297" w:rsidRDefault="00B87D7B" w:rsidP="002930A0">
      <w:pPr>
        <w:pStyle w:val="BodyText"/>
      </w:pPr>
      <w:r w:rsidRPr="00423297">
        <w:lastRenderedPageBreak/>
        <w:t xml:space="preserve">Changes to the </w:t>
      </w:r>
      <w:r w:rsidR="0013405B" w:rsidRPr="00423297">
        <w:t xml:space="preserve">withdrawal </w:t>
      </w:r>
      <w:r w:rsidRPr="00423297">
        <w:t xml:space="preserve">arrangements through the introduction of the </w:t>
      </w:r>
      <w:r w:rsidR="00884924" w:rsidRPr="00423297">
        <w:t xml:space="preserve">formal </w:t>
      </w:r>
      <w:r w:rsidRPr="00423297">
        <w:t xml:space="preserve">hardship arrangements will also result in increased administration </w:t>
      </w:r>
      <w:r w:rsidR="00246518" w:rsidRPr="00423297">
        <w:t>and compliance</w:t>
      </w:r>
      <w:r w:rsidRPr="00423297">
        <w:t xml:space="preserve"> costs to operators</w:t>
      </w:r>
      <w:r w:rsidR="003F5D16" w:rsidRPr="00423297">
        <w:t>. These costs relate</w:t>
      </w:r>
      <w:r w:rsidR="00443616" w:rsidRPr="00423297">
        <w:t xml:space="preserve"> to</w:t>
      </w:r>
      <w:r w:rsidR="00F10360" w:rsidRPr="00423297">
        <w:t>:</w:t>
      </w:r>
      <w:r w:rsidR="00443616" w:rsidRPr="00423297">
        <w:t xml:space="preserve"> </w:t>
      </w:r>
    </w:p>
    <w:p w14:paraId="2DEA5E62" w14:textId="114D2D28" w:rsidR="00F10360" w:rsidRPr="00423297" w:rsidRDefault="00503B37" w:rsidP="00F10360">
      <w:pPr>
        <w:pStyle w:val="subparaa"/>
      </w:pPr>
      <w:r w:rsidRPr="00423297">
        <w:t>implementation</w:t>
      </w:r>
      <w:r w:rsidR="00F10360" w:rsidRPr="00423297">
        <w:t xml:space="preserve">, </w:t>
      </w:r>
      <w:r w:rsidRPr="00423297">
        <w:t>including convening any necessary meetings of members and making any necessary amendments to scheme constitutions</w:t>
      </w:r>
      <w:r w:rsidR="00F10360" w:rsidRPr="00423297">
        <w:t>;</w:t>
      </w:r>
      <w:r w:rsidRPr="00423297">
        <w:t xml:space="preserve"> and </w:t>
      </w:r>
    </w:p>
    <w:p w14:paraId="41570E4B" w14:textId="58CA20A9" w:rsidR="00F10360" w:rsidRPr="00423297" w:rsidRDefault="00503B37" w:rsidP="00F10360">
      <w:pPr>
        <w:pStyle w:val="subparaa"/>
      </w:pPr>
      <w:proofErr w:type="gramStart"/>
      <w:r w:rsidRPr="00423297">
        <w:t>the</w:t>
      </w:r>
      <w:proofErr w:type="gramEnd"/>
      <w:r w:rsidRPr="00423297">
        <w:t xml:space="preserve"> development </w:t>
      </w:r>
      <w:r w:rsidR="00443616" w:rsidRPr="00423297">
        <w:t>and monitoring of processes to manage hardship ap</w:t>
      </w:r>
      <w:r w:rsidR="009F3BAB" w:rsidRPr="00423297">
        <w:t>plications</w:t>
      </w:r>
      <w:r w:rsidR="003F5D16" w:rsidRPr="00423297">
        <w:t>,</w:t>
      </w:r>
      <w:r w:rsidR="009F3BAB" w:rsidRPr="00423297">
        <w:t xml:space="preserve"> including legal and compliance costs</w:t>
      </w:r>
      <w:r w:rsidR="00B87D7B" w:rsidRPr="00423297">
        <w:t xml:space="preserve">. </w:t>
      </w:r>
    </w:p>
    <w:p w14:paraId="7A7DF2FB" w14:textId="1333B297" w:rsidR="00B87D7B" w:rsidRPr="00423297" w:rsidRDefault="00337358" w:rsidP="00F10360">
      <w:pPr>
        <w:pStyle w:val="BodyText"/>
      </w:pPr>
      <w:r w:rsidRPr="00423297">
        <w:t xml:space="preserve">To </w:t>
      </w:r>
      <w:r w:rsidR="00F17AC4" w:rsidRPr="00423297">
        <w:t>help</w:t>
      </w:r>
      <w:r w:rsidRPr="00423297">
        <w:t xml:space="preserve"> industry, w</w:t>
      </w:r>
      <w:r w:rsidR="00B87D7B" w:rsidRPr="00423297">
        <w:t>e will also be providing further guidance on hardship</w:t>
      </w:r>
      <w:r w:rsidRPr="00423297">
        <w:t xml:space="preserve"> to</w:t>
      </w:r>
      <w:r w:rsidR="00B87D7B" w:rsidRPr="00423297">
        <w:t xml:space="preserve"> clarify the hardship circumstances and reduce the cost to operators of making these determinations over time.</w:t>
      </w:r>
    </w:p>
    <w:p w14:paraId="4CDF7BB2" w14:textId="6667A441" w:rsidR="00B87D7B" w:rsidRPr="00423297" w:rsidRDefault="00B87D7B" w:rsidP="002930A0">
      <w:pPr>
        <w:pStyle w:val="BodyText"/>
      </w:pPr>
      <w:r w:rsidRPr="00423297">
        <w:t xml:space="preserve">We anticipate that these </w:t>
      </w:r>
      <w:r w:rsidR="004000AE" w:rsidRPr="00423297">
        <w:t xml:space="preserve">additional </w:t>
      </w:r>
      <w:r w:rsidRPr="00423297">
        <w:t>costs will be passed onto members</w:t>
      </w:r>
      <w:r w:rsidR="005F67F5" w:rsidRPr="00423297">
        <w:t xml:space="preserve"> in the form of higher membership fees or levies</w:t>
      </w:r>
      <w:r w:rsidRPr="00423297">
        <w:t xml:space="preserve">. </w:t>
      </w:r>
    </w:p>
    <w:p w14:paraId="349946E3" w14:textId="41C79B5C" w:rsidR="00B87D7B" w:rsidRPr="00423297" w:rsidRDefault="00246518" w:rsidP="002930A0">
      <w:pPr>
        <w:pStyle w:val="BodyText"/>
      </w:pPr>
      <w:r w:rsidRPr="00423297">
        <w:t>C</w:t>
      </w:r>
      <w:r w:rsidR="00B87D7B" w:rsidRPr="00423297">
        <w:t xml:space="preserve">ompliance costs will be reduced because of the </w:t>
      </w:r>
      <w:r w:rsidR="000E370F" w:rsidRPr="00423297">
        <w:t>reduce</w:t>
      </w:r>
      <w:r w:rsidR="00F17AC4" w:rsidRPr="00423297">
        <w:t>d</w:t>
      </w:r>
      <w:r w:rsidR="00B87D7B" w:rsidRPr="00423297">
        <w:t xml:space="preserve"> frequency</w:t>
      </w:r>
      <w:r w:rsidRPr="00423297">
        <w:t xml:space="preserve"> of audits of trust accounts</w:t>
      </w:r>
      <w:r w:rsidR="00B87D7B" w:rsidRPr="00423297">
        <w:t>.</w:t>
      </w:r>
    </w:p>
    <w:p w14:paraId="3173BE3D" w14:textId="306035C9" w:rsidR="00B87D7B" w:rsidRPr="00423297" w:rsidRDefault="00246518" w:rsidP="002930A0">
      <w:pPr>
        <w:pStyle w:val="BodyText"/>
      </w:pPr>
      <w:r w:rsidRPr="00423297">
        <w:t>While additional</w:t>
      </w:r>
      <w:r w:rsidR="00B87D7B" w:rsidRPr="00423297">
        <w:t xml:space="preserve"> guidance about the existing obligations does not impose additional obligations, </w:t>
      </w:r>
      <w:r w:rsidRPr="00423297">
        <w:t>operators</w:t>
      </w:r>
      <w:r w:rsidR="00B87D7B" w:rsidRPr="00423297">
        <w:t xml:space="preserve"> expect this guidance will result in </w:t>
      </w:r>
      <w:r w:rsidRPr="00423297">
        <w:t xml:space="preserve">some </w:t>
      </w:r>
      <w:r w:rsidR="00B87D7B" w:rsidRPr="003516CB">
        <w:rPr>
          <w:spacing w:val="-2"/>
        </w:rPr>
        <w:t xml:space="preserve">additional </w:t>
      </w:r>
      <w:r w:rsidRPr="003516CB">
        <w:rPr>
          <w:spacing w:val="-2"/>
        </w:rPr>
        <w:t>one-off</w:t>
      </w:r>
      <w:r w:rsidR="00B87D7B" w:rsidRPr="003516CB">
        <w:rPr>
          <w:spacing w:val="-2"/>
        </w:rPr>
        <w:t xml:space="preserve"> costs</w:t>
      </w:r>
      <w:r w:rsidRPr="003516CB">
        <w:rPr>
          <w:spacing w:val="-2"/>
        </w:rPr>
        <w:t>. Despite this</w:t>
      </w:r>
      <w:r w:rsidR="007E70D3" w:rsidRPr="003516CB">
        <w:rPr>
          <w:spacing w:val="-2"/>
        </w:rPr>
        <w:t>,</w:t>
      </w:r>
      <w:r w:rsidRPr="003516CB">
        <w:rPr>
          <w:spacing w:val="-2"/>
        </w:rPr>
        <w:t xml:space="preserve"> there are benefits for operators </w:t>
      </w:r>
      <w:r w:rsidR="00841BCB" w:rsidRPr="003516CB">
        <w:rPr>
          <w:spacing w:val="-2"/>
        </w:rPr>
        <w:t xml:space="preserve">in having </w:t>
      </w:r>
      <w:r w:rsidR="00B87D7B" w:rsidRPr="003516CB">
        <w:rPr>
          <w:spacing w:val="-4"/>
        </w:rPr>
        <w:t xml:space="preserve">greater certainty about </w:t>
      </w:r>
      <w:r w:rsidR="007E70D3" w:rsidRPr="003516CB">
        <w:rPr>
          <w:spacing w:val="-4"/>
        </w:rPr>
        <w:t xml:space="preserve">how </w:t>
      </w:r>
      <w:r w:rsidR="00F17AC4" w:rsidRPr="003516CB">
        <w:rPr>
          <w:spacing w:val="-4"/>
        </w:rPr>
        <w:t>we</w:t>
      </w:r>
      <w:r w:rsidR="007E70D3" w:rsidRPr="003516CB">
        <w:rPr>
          <w:spacing w:val="-4"/>
        </w:rPr>
        <w:t xml:space="preserve"> interpret</w:t>
      </w:r>
      <w:r w:rsidRPr="003516CB">
        <w:rPr>
          <w:spacing w:val="-4"/>
        </w:rPr>
        <w:t xml:space="preserve"> the existing obligations</w:t>
      </w:r>
      <w:r w:rsidR="00F17AC4" w:rsidRPr="003516CB">
        <w:rPr>
          <w:spacing w:val="-4"/>
        </w:rPr>
        <w:t>,</w:t>
      </w:r>
      <w:r w:rsidR="00841BCB" w:rsidRPr="003516CB">
        <w:rPr>
          <w:spacing w:val="-4"/>
        </w:rPr>
        <w:t xml:space="preserve"> which may </w:t>
      </w:r>
      <w:r w:rsidR="00F17AC4" w:rsidRPr="003516CB">
        <w:rPr>
          <w:spacing w:val="-4"/>
        </w:rPr>
        <w:t>help</w:t>
      </w:r>
      <w:r w:rsidR="00841BCB" w:rsidRPr="00423297">
        <w:t xml:space="preserve"> </w:t>
      </w:r>
      <w:r w:rsidR="00B87D7B" w:rsidRPr="00423297">
        <w:t xml:space="preserve">operators meet their obligations and reduce operational </w:t>
      </w:r>
      <w:r w:rsidR="00841BCB" w:rsidRPr="00423297">
        <w:t xml:space="preserve">and regulatory </w:t>
      </w:r>
      <w:r w:rsidR="00B87D7B" w:rsidRPr="00423297">
        <w:t>risk.</w:t>
      </w:r>
    </w:p>
    <w:p w14:paraId="01CC6CD8" w14:textId="1D2C11AA" w:rsidR="00B95447" w:rsidRPr="00423297" w:rsidRDefault="00B87D7B" w:rsidP="002930A0">
      <w:pPr>
        <w:pStyle w:val="BodyText"/>
      </w:pPr>
      <w:r w:rsidRPr="00423297">
        <w:t xml:space="preserve">We do not anticipate that </w:t>
      </w:r>
      <w:r w:rsidR="00C16456" w:rsidRPr="00423297">
        <w:t xml:space="preserve">revised </w:t>
      </w:r>
      <w:r w:rsidR="00F17AC4" w:rsidRPr="00423297">
        <w:t>O</w:t>
      </w:r>
      <w:r w:rsidRPr="00423297">
        <w:t>ption</w:t>
      </w:r>
      <w:r w:rsidR="00F17AC4" w:rsidRPr="00423297">
        <w:t xml:space="preserve"> 1</w:t>
      </w:r>
      <w:r w:rsidRPr="00423297">
        <w:t xml:space="preserve"> will have any impact on competition, given the amount of the estimated compliance costs involved and because the changes to the policy settings will apply to all operators of registered schemes. </w:t>
      </w:r>
    </w:p>
    <w:p w14:paraId="12D5125D" w14:textId="2BC2A821" w:rsidR="00F17AC4" w:rsidRPr="00423297" w:rsidRDefault="00F17AC4" w:rsidP="00953431">
      <w:pPr>
        <w:pStyle w:val="Note"/>
      </w:pPr>
      <w:r w:rsidRPr="00423297">
        <w:t xml:space="preserve">Note: We consider that </w:t>
      </w:r>
      <w:r w:rsidR="00BD0A10" w:rsidRPr="00423297">
        <w:t xml:space="preserve">our </w:t>
      </w:r>
      <w:r w:rsidR="00AA1D52" w:rsidRPr="00423297">
        <w:t>decision</w:t>
      </w:r>
      <w:r w:rsidR="00BD0A10" w:rsidRPr="00423297">
        <w:t xml:space="preserve"> to continue providing </w:t>
      </w:r>
      <w:r w:rsidRPr="00423297">
        <w:t>cooling-off concessions to ATHOC members will not impact competition because ATHOC membership is open to the time-sharing industry broadly.</w:t>
      </w:r>
    </w:p>
    <w:p w14:paraId="3C1E459E" w14:textId="5ED6D108" w:rsidR="00B87D7B" w:rsidRPr="00423297" w:rsidRDefault="004665F0" w:rsidP="008250FD">
      <w:pPr>
        <w:pStyle w:val="Heading3"/>
      </w:pPr>
      <w:r w:rsidRPr="00423297">
        <w:t>Impact on r</w:t>
      </w:r>
      <w:r w:rsidR="00B87D7B" w:rsidRPr="00423297">
        <w:t>elated finance</w:t>
      </w:r>
      <w:r w:rsidR="00F17AC4" w:rsidRPr="00423297">
        <w:t xml:space="preserve"> provide</w:t>
      </w:r>
      <w:r w:rsidR="00B87D7B" w:rsidRPr="00423297">
        <w:t>rs</w:t>
      </w:r>
    </w:p>
    <w:p w14:paraId="5CAC1E99" w14:textId="1D7AA8E5" w:rsidR="00337358" w:rsidRPr="00423297" w:rsidRDefault="00B87D7B" w:rsidP="002930A0">
      <w:pPr>
        <w:pStyle w:val="BodyText"/>
      </w:pPr>
      <w:r w:rsidRPr="00423297">
        <w:t>Related finance</w:t>
      </w:r>
      <w:r w:rsidR="00F17AC4" w:rsidRPr="00423297">
        <w:t xml:space="preserve"> provide</w:t>
      </w:r>
      <w:r w:rsidRPr="00423297">
        <w:t xml:space="preserve">rs are already subject to </w:t>
      </w:r>
      <w:r w:rsidR="007E0E46">
        <w:t xml:space="preserve">requirements set out in </w:t>
      </w:r>
      <w:r w:rsidRPr="00423297">
        <w:t xml:space="preserve">the </w:t>
      </w:r>
      <w:r w:rsidR="00F17AC4" w:rsidRPr="00423297">
        <w:t>N</w:t>
      </w:r>
      <w:r w:rsidRPr="00423297">
        <w:t xml:space="preserve">ational </w:t>
      </w:r>
      <w:r w:rsidR="00F17AC4" w:rsidRPr="00423297">
        <w:t>C</w:t>
      </w:r>
      <w:r w:rsidRPr="00423297">
        <w:t xml:space="preserve">redit </w:t>
      </w:r>
      <w:r w:rsidR="00F17AC4" w:rsidRPr="00423297">
        <w:t>Act</w:t>
      </w:r>
      <w:r w:rsidR="007E0E46">
        <w:t xml:space="preserve"> and National Credit Code. This includes </w:t>
      </w:r>
      <w:r w:rsidR="0015561A">
        <w:t xml:space="preserve">the </w:t>
      </w:r>
      <w:r w:rsidR="007E0E46">
        <w:t>requirement to mak</w:t>
      </w:r>
      <w:r w:rsidR="0015561A">
        <w:t>e</w:t>
      </w:r>
      <w:r w:rsidR="007E0E46">
        <w:t xml:space="preserve"> credit assessments and consumer</w:t>
      </w:r>
      <w:r w:rsidR="0015561A">
        <w:t>s</w:t>
      </w:r>
      <w:r w:rsidR="00D61E78">
        <w:t>’</w:t>
      </w:r>
      <w:r w:rsidR="007E0E46">
        <w:t xml:space="preserve"> right to terminate a related loan </w:t>
      </w:r>
      <w:r w:rsidR="0015561A">
        <w:t xml:space="preserve">if </w:t>
      </w:r>
      <w:r w:rsidR="007E0E46">
        <w:t>a contract for the sale of good is rescinded</w:t>
      </w:r>
      <w:r w:rsidRPr="00423297">
        <w:t xml:space="preserve">. We expect that </w:t>
      </w:r>
      <w:r w:rsidR="007E0E46">
        <w:t xml:space="preserve">the </w:t>
      </w:r>
      <w:r w:rsidR="00075581">
        <w:t>guidance</w:t>
      </w:r>
      <w:r w:rsidR="007E0E46">
        <w:t xml:space="preserve"> </w:t>
      </w:r>
      <w:r w:rsidRPr="00423297">
        <w:t xml:space="preserve">in the updated </w:t>
      </w:r>
      <w:hyperlink r:id="rId42" w:history="1">
        <w:r w:rsidRPr="00423297">
          <w:rPr>
            <w:rStyle w:val="Hyperlink"/>
          </w:rPr>
          <w:t>RG 160</w:t>
        </w:r>
      </w:hyperlink>
      <w:r w:rsidRPr="00423297">
        <w:t xml:space="preserve"> </w:t>
      </w:r>
      <w:r w:rsidR="007E0E46" w:rsidRPr="00423297">
        <w:t xml:space="preserve">about </w:t>
      </w:r>
      <w:r w:rsidR="007E0E46">
        <w:t xml:space="preserve">interaction with requirements in the </w:t>
      </w:r>
      <w:r w:rsidR="00E1100E" w:rsidRPr="00423297">
        <w:t>National Credit Act</w:t>
      </w:r>
      <w:r w:rsidR="00E1100E">
        <w:t xml:space="preserve"> and National Credit Code</w:t>
      </w:r>
      <w:r w:rsidR="007E0E46" w:rsidRPr="00423297">
        <w:t xml:space="preserve"> </w:t>
      </w:r>
      <w:r w:rsidRPr="00423297">
        <w:t xml:space="preserve">will </w:t>
      </w:r>
      <w:r w:rsidR="00F17AC4" w:rsidRPr="00423297">
        <w:t>help</w:t>
      </w:r>
      <w:r w:rsidRPr="00423297">
        <w:t xml:space="preserve"> related finance</w:t>
      </w:r>
      <w:r w:rsidR="00F17AC4" w:rsidRPr="00423297">
        <w:t xml:space="preserve"> provide</w:t>
      </w:r>
      <w:r w:rsidRPr="00423297">
        <w:t xml:space="preserve">rs understand their </w:t>
      </w:r>
      <w:r w:rsidR="005037D9" w:rsidRPr="00423297">
        <w:t>obligations</w:t>
      </w:r>
      <w:r w:rsidR="00A661ED" w:rsidRPr="00423297">
        <w:t>.</w:t>
      </w:r>
      <w:r w:rsidR="00253709" w:rsidRPr="00423297">
        <w:t xml:space="preserve"> </w:t>
      </w:r>
    </w:p>
    <w:p w14:paraId="6D104C01" w14:textId="5AD9B254" w:rsidR="00841BCB" w:rsidRPr="00423297" w:rsidRDefault="00337358" w:rsidP="002930A0">
      <w:pPr>
        <w:pStyle w:val="BodyText"/>
      </w:pPr>
      <w:r w:rsidRPr="00423297">
        <w:t>Related finance</w:t>
      </w:r>
      <w:r w:rsidR="00F17AC4" w:rsidRPr="00423297">
        <w:t xml:space="preserve"> provide</w:t>
      </w:r>
      <w:r w:rsidRPr="00423297">
        <w:t xml:space="preserve">rs expect the </w:t>
      </w:r>
      <w:r w:rsidR="00985EF8" w:rsidRPr="00423297">
        <w:t xml:space="preserve">proposed </w:t>
      </w:r>
      <w:r w:rsidRPr="00423297">
        <w:t xml:space="preserve">introduction of </w:t>
      </w:r>
      <w:r w:rsidR="00985EF8" w:rsidRPr="00423297">
        <w:t>formal</w:t>
      </w:r>
      <w:r w:rsidRPr="00423297">
        <w:t xml:space="preserve"> </w:t>
      </w:r>
      <w:r w:rsidR="00D61E78">
        <w:t>‘</w:t>
      </w:r>
      <w:r w:rsidRPr="00423297">
        <w:t>subject to finance</w:t>
      </w:r>
      <w:r w:rsidR="00D61E78">
        <w:t>’</w:t>
      </w:r>
      <w:r w:rsidRPr="00423297">
        <w:t xml:space="preserve"> arrangements</w:t>
      </w:r>
      <w:r w:rsidR="00F17AC4" w:rsidRPr="00423297">
        <w:t>—</w:t>
      </w:r>
      <w:r w:rsidR="00985EF8" w:rsidRPr="00423297">
        <w:t xml:space="preserve">including </w:t>
      </w:r>
      <w:r w:rsidRPr="00423297">
        <w:t xml:space="preserve">the </w:t>
      </w:r>
      <w:r w:rsidR="00985EF8" w:rsidRPr="00423297">
        <w:t xml:space="preserve">requirement to </w:t>
      </w:r>
      <w:r w:rsidRPr="00423297">
        <w:t>refund fees</w:t>
      </w:r>
      <w:r w:rsidR="00841BCB" w:rsidRPr="00423297">
        <w:t>,</w:t>
      </w:r>
      <w:r w:rsidRPr="00423297">
        <w:t xml:space="preserve"> </w:t>
      </w:r>
      <w:r w:rsidR="00884924" w:rsidRPr="00423297">
        <w:t xml:space="preserve">formal </w:t>
      </w:r>
      <w:r w:rsidRPr="00423297">
        <w:t>hardship arrangements</w:t>
      </w:r>
      <w:r w:rsidR="00F17AC4" w:rsidRPr="00423297">
        <w:t>,</w:t>
      </w:r>
      <w:r w:rsidRPr="00423297">
        <w:t xml:space="preserve"> </w:t>
      </w:r>
      <w:r w:rsidR="00841BCB" w:rsidRPr="00423297">
        <w:t xml:space="preserve">and modifications to disclosure of fees and </w:t>
      </w:r>
      <w:r w:rsidR="00841BCB" w:rsidRPr="003516CB">
        <w:rPr>
          <w:spacing w:val="-4"/>
        </w:rPr>
        <w:t>costs information</w:t>
      </w:r>
      <w:r w:rsidR="00F17AC4" w:rsidRPr="003516CB">
        <w:rPr>
          <w:spacing w:val="-4"/>
        </w:rPr>
        <w:t>—</w:t>
      </w:r>
      <w:r w:rsidR="00985EF8" w:rsidRPr="003516CB">
        <w:rPr>
          <w:spacing w:val="-4"/>
        </w:rPr>
        <w:t xml:space="preserve">will </w:t>
      </w:r>
      <w:r w:rsidRPr="003516CB">
        <w:rPr>
          <w:spacing w:val="-4"/>
        </w:rPr>
        <w:t>result in additional costs</w:t>
      </w:r>
      <w:r w:rsidR="00F17AC4" w:rsidRPr="003516CB">
        <w:rPr>
          <w:spacing w:val="-4"/>
        </w:rPr>
        <w:t>,</w:t>
      </w:r>
      <w:r w:rsidRPr="003516CB">
        <w:rPr>
          <w:spacing w:val="-4"/>
        </w:rPr>
        <w:t xml:space="preserve"> with </w:t>
      </w:r>
      <w:r w:rsidR="00BA3980" w:rsidRPr="003516CB">
        <w:rPr>
          <w:spacing w:val="-4"/>
        </w:rPr>
        <w:t>most</w:t>
      </w:r>
      <w:r w:rsidRPr="003516CB">
        <w:rPr>
          <w:spacing w:val="-4"/>
        </w:rPr>
        <w:t xml:space="preserve"> costs being one-off. </w:t>
      </w:r>
    </w:p>
    <w:p w14:paraId="3C0E391E" w14:textId="1B4E3116" w:rsidR="00841BCB" w:rsidRPr="00423297" w:rsidRDefault="00841BCB" w:rsidP="002930A0">
      <w:pPr>
        <w:pStyle w:val="BodyText"/>
      </w:pPr>
      <w:r w:rsidRPr="00423297">
        <w:lastRenderedPageBreak/>
        <w:t>Related finance</w:t>
      </w:r>
      <w:r w:rsidR="00F17AC4" w:rsidRPr="00423297">
        <w:t xml:space="preserve"> provide</w:t>
      </w:r>
      <w:r w:rsidRPr="00423297">
        <w:t xml:space="preserve">rs </w:t>
      </w:r>
      <w:r w:rsidR="007E70D3" w:rsidRPr="00423297">
        <w:t>expect</w:t>
      </w:r>
      <w:r w:rsidR="00F068AF" w:rsidRPr="00423297">
        <w:t xml:space="preserve"> that</w:t>
      </w:r>
      <w:r w:rsidRPr="00423297">
        <w:t xml:space="preserve"> there will be cost savings arising from the reduced audit requirements.</w:t>
      </w:r>
    </w:p>
    <w:p w14:paraId="706185E1" w14:textId="1668B552" w:rsidR="00B87D7B" w:rsidRPr="00423297" w:rsidRDefault="00337358" w:rsidP="002930A0">
      <w:pPr>
        <w:pStyle w:val="BodyText"/>
      </w:pPr>
      <w:r w:rsidRPr="00423297">
        <w:t>We would expect any additional costs to be passed on</w:t>
      </w:r>
      <w:r w:rsidR="003007B7" w:rsidRPr="00423297">
        <w:t xml:space="preserve"> </w:t>
      </w:r>
      <w:r w:rsidRPr="00423297">
        <w:t xml:space="preserve">to </w:t>
      </w:r>
      <w:r w:rsidR="00E43EB4" w:rsidRPr="00423297">
        <w:t>consumer</w:t>
      </w:r>
      <w:r w:rsidR="006B0B41" w:rsidRPr="00423297">
        <w:t>s</w:t>
      </w:r>
      <w:r w:rsidRPr="00423297">
        <w:t>.</w:t>
      </w:r>
      <w:r w:rsidR="00BD3A69">
        <w:t xml:space="preserve"> </w:t>
      </w:r>
    </w:p>
    <w:p w14:paraId="6859ED84" w14:textId="721E195D" w:rsidR="00B87D7B" w:rsidRPr="00423297" w:rsidRDefault="004665F0" w:rsidP="008250FD">
      <w:pPr>
        <w:pStyle w:val="Heading3"/>
      </w:pPr>
      <w:r w:rsidRPr="00423297">
        <w:t>Impact on l</w:t>
      </w:r>
      <w:r w:rsidR="00B87D7B" w:rsidRPr="00423297">
        <w:t>egacy scheme operators and dealers</w:t>
      </w:r>
    </w:p>
    <w:p w14:paraId="5CF9C6A1" w14:textId="79B7E1E9" w:rsidR="00B87D7B" w:rsidRPr="00423297" w:rsidRDefault="00B87D7B" w:rsidP="002930A0">
      <w:pPr>
        <w:pStyle w:val="BodyText"/>
      </w:pPr>
      <w:r w:rsidRPr="00423297">
        <w:t>Legacy scheme</w:t>
      </w:r>
      <w:r w:rsidR="00052200" w:rsidRPr="00423297">
        <w:t xml:space="preserve"> operators</w:t>
      </w:r>
      <w:r w:rsidR="00337358" w:rsidRPr="00423297">
        <w:t xml:space="preserve"> </w:t>
      </w:r>
      <w:r w:rsidRPr="00423297">
        <w:t xml:space="preserve">and dealers will be affected by the changes to the auditing requirements. </w:t>
      </w:r>
    </w:p>
    <w:p w14:paraId="7545FAFB" w14:textId="1DBBD91E" w:rsidR="00B87D7B" w:rsidRPr="00423297" w:rsidRDefault="00B87D7B" w:rsidP="002930A0">
      <w:pPr>
        <w:pStyle w:val="BodyText"/>
      </w:pPr>
      <w:r w:rsidRPr="00423297">
        <w:t>We do not anticipate that</w:t>
      </w:r>
      <w:r w:rsidR="00F45DA4" w:rsidRPr="00423297">
        <w:t xml:space="preserve"> revised</w:t>
      </w:r>
      <w:r w:rsidRPr="00423297">
        <w:t xml:space="preserve"> Option 1 </w:t>
      </w:r>
      <w:r w:rsidR="007E70D3" w:rsidRPr="00423297">
        <w:t xml:space="preserve">will </w:t>
      </w:r>
      <w:r w:rsidRPr="00423297">
        <w:t>cause undue disruption to legacy scheme operators and dealers. We expect that while they may incur some additional compliance and administrative costs, these will be offset to a large extent by savings resulting from changes to trust account audit requirements.</w:t>
      </w:r>
    </w:p>
    <w:p w14:paraId="18BA6FFD" w14:textId="42559EC1" w:rsidR="00B87D7B" w:rsidRPr="00423297" w:rsidRDefault="00B87D7B" w:rsidP="00FA0886">
      <w:pPr>
        <w:pStyle w:val="BodyText"/>
        <w:ind w:right="-286"/>
        <w:rPr>
          <w:spacing w:val="-4"/>
        </w:rPr>
      </w:pPr>
      <w:r w:rsidRPr="00423297">
        <w:rPr>
          <w:spacing w:val="-4"/>
        </w:rPr>
        <w:t>We would expect any additional costs to be passed on</w:t>
      </w:r>
      <w:r w:rsidR="003007B7" w:rsidRPr="00423297">
        <w:rPr>
          <w:spacing w:val="-4"/>
        </w:rPr>
        <w:t xml:space="preserve"> </w:t>
      </w:r>
      <w:r w:rsidRPr="00423297">
        <w:rPr>
          <w:spacing w:val="-4"/>
        </w:rPr>
        <w:t>to members and consumers.</w:t>
      </w:r>
    </w:p>
    <w:p w14:paraId="4366F9AD" w14:textId="07BFEF7D" w:rsidR="00B87D7B" w:rsidRPr="00423297" w:rsidRDefault="004665F0" w:rsidP="008250FD">
      <w:pPr>
        <w:pStyle w:val="Heading3"/>
      </w:pPr>
      <w:r w:rsidRPr="00423297">
        <w:t>Impact on c</w:t>
      </w:r>
      <w:r w:rsidR="00B87D7B" w:rsidRPr="00423297">
        <w:t>onsumers</w:t>
      </w:r>
    </w:p>
    <w:p w14:paraId="4D5D4C17" w14:textId="1779ADC6" w:rsidR="00EE5923" w:rsidRPr="00423297" w:rsidRDefault="00EE5923" w:rsidP="000E42B6">
      <w:pPr>
        <w:pStyle w:val="Heading4"/>
      </w:pPr>
      <w:bookmarkStart w:id="160" w:name="_ASICRef767"/>
      <w:r w:rsidRPr="00423297">
        <w:t xml:space="preserve">Proposals </w:t>
      </w:r>
      <w:r w:rsidR="000E223E" w:rsidRPr="00423297">
        <w:t>affe</w:t>
      </w:r>
      <w:r w:rsidRPr="00423297">
        <w:t>cting consumers</w:t>
      </w:r>
      <w:r w:rsidR="00D61E78">
        <w:t>’</w:t>
      </w:r>
      <w:r w:rsidRPr="00423297">
        <w:t xml:space="preserve"> decision-making process</w:t>
      </w:r>
      <w:r w:rsidR="000E223E" w:rsidRPr="00423297">
        <w:t>es</w:t>
      </w:r>
    </w:p>
    <w:p w14:paraId="73578CF8" w14:textId="1B582E62" w:rsidR="000E223E" w:rsidRPr="00423297" w:rsidRDefault="000E223E" w:rsidP="000E223E">
      <w:pPr>
        <w:pStyle w:val="BodyText"/>
      </w:pPr>
      <w:r w:rsidRPr="00423297">
        <w:t>The following proposals will affect consumers</w:t>
      </w:r>
      <w:r w:rsidR="00D61E78">
        <w:t>’</w:t>
      </w:r>
      <w:r w:rsidRPr="00423297">
        <w:t xml:space="preserve"> decision-making processes when deciding whether to purchase an interest in a time-sharing scheme:</w:t>
      </w:r>
    </w:p>
    <w:p w14:paraId="00C8051A" w14:textId="3F830D03" w:rsidR="000E223E" w:rsidRPr="00423297" w:rsidRDefault="000E223E" w:rsidP="000E223E">
      <w:pPr>
        <w:pStyle w:val="subparaa"/>
      </w:pPr>
      <w:r w:rsidRPr="00423297">
        <w:t xml:space="preserve">introduction of formal </w:t>
      </w:r>
      <w:r w:rsidR="00D61E78">
        <w:t>‘</w:t>
      </w:r>
      <w:r w:rsidRPr="00423297">
        <w:t>subject to finance</w:t>
      </w:r>
      <w:r w:rsidR="00D61E78">
        <w:t>’</w:t>
      </w:r>
      <w:r w:rsidRPr="00423297">
        <w:t xml:space="preserve"> rights; </w:t>
      </w:r>
    </w:p>
    <w:p w14:paraId="1478656E" w14:textId="77777777" w:rsidR="000E223E" w:rsidRPr="00423297" w:rsidRDefault="000E223E" w:rsidP="000E223E">
      <w:pPr>
        <w:pStyle w:val="subparaa"/>
      </w:pPr>
      <w:r w:rsidRPr="00423297">
        <w:t xml:space="preserve">improved disclosure about key features; and </w:t>
      </w:r>
    </w:p>
    <w:p w14:paraId="69D7DC2A" w14:textId="459927F7" w:rsidR="000E223E" w:rsidRPr="00423297" w:rsidRDefault="000E223E" w:rsidP="000E223E">
      <w:pPr>
        <w:pStyle w:val="subparaa"/>
      </w:pPr>
      <w:proofErr w:type="gramStart"/>
      <w:r w:rsidRPr="00423297">
        <w:t>guidance</w:t>
      </w:r>
      <w:proofErr w:type="gramEnd"/>
      <w:r w:rsidRPr="00423297">
        <w:t xml:space="preserve"> for industry on their existing obligations (where this delivers improved industry compliance and ASIC monitoring).</w:t>
      </w:r>
    </w:p>
    <w:p w14:paraId="533F2FF4" w14:textId="4601E595" w:rsidR="000E223E" w:rsidRPr="00423297" w:rsidRDefault="000E223E" w:rsidP="000E42B6">
      <w:pPr>
        <w:pStyle w:val="Heading5"/>
      </w:pPr>
      <w:r w:rsidRPr="00423297">
        <w:t xml:space="preserve">Formal </w:t>
      </w:r>
      <w:r w:rsidR="00D61E78">
        <w:t>‘</w:t>
      </w:r>
      <w:r w:rsidRPr="00423297">
        <w:t>subject to finance</w:t>
      </w:r>
      <w:r w:rsidR="00D61E78">
        <w:t>’</w:t>
      </w:r>
      <w:r w:rsidRPr="00423297">
        <w:t xml:space="preserve"> rights</w:t>
      </w:r>
    </w:p>
    <w:p w14:paraId="65E10DB4" w14:textId="5D83E697" w:rsidR="001C167E" w:rsidRPr="00423297" w:rsidRDefault="00B87D7B" w:rsidP="002930A0">
      <w:pPr>
        <w:pStyle w:val="BodyText"/>
      </w:pPr>
      <w:r w:rsidRPr="00423297">
        <w:t>Consumers</w:t>
      </w:r>
      <w:r w:rsidRPr="00423297">
        <w:rPr>
          <w:b/>
        </w:rPr>
        <w:t xml:space="preserve"> </w:t>
      </w:r>
      <w:r w:rsidR="00BD0A10" w:rsidRPr="00423297">
        <w:t xml:space="preserve">who </w:t>
      </w:r>
      <w:r w:rsidR="003F2088" w:rsidRPr="00423297">
        <w:t xml:space="preserve">apply for finance to purchase </w:t>
      </w:r>
      <w:r w:rsidR="000E223E" w:rsidRPr="00423297">
        <w:t>an interest in a time-sharing scheme</w:t>
      </w:r>
      <w:r w:rsidR="003F2088" w:rsidRPr="00423297">
        <w:t xml:space="preserve"> </w:t>
      </w:r>
      <w:r w:rsidRPr="00423297">
        <w:t xml:space="preserve">will benefit from </w:t>
      </w:r>
      <w:r w:rsidR="000E223E" w:rsidRPr="00423297">
        <w:t>formal</w:t>
      </w:r>
      <w:r w:rsidRPr="00423297">
        <w:t xml:space="preserve"> </w:t>
      </w:r>
      <w:r w:rsidR="00D61E78">
        <w:t>‘</w:t>
      </w:r>
      <w:r w:rsidR="003F2088" w:rsidRPr="00423297">
        <w:t>subject to finance</w:t>
      </w:r>
      <w:r w:rsidR="00D61E78">
        <w:t>’</w:t>
      </w:r>
      <w:r w:rsidRPr="00423297">
        <w:t xml:space="preserve"> </w:t>
      </w:r>
      <w:r w:rsidR="005B10F0" w:rsidRPr="00423297">
        <w:t>rights</w:t>
      </w:r>
      <w:r w:rsidR="000E223E" w:rsidRPr="00423297">
        <w:t>. These rights will allow them</w:t>
      </w:r>
      <w:r w:rsidRPr="00423297">
        <w:t xml:space="preserve"> to</w:t>
      </w:r>
      <w:r w:rsidR="001C167E" w:rsidRPr="00423297">
        <w:t>:</w:t>
      </w:r>
      <w:r w:rsidRPr="00423297">
        <w:t xml:space="preserve"> </w:t>
      </w:r>
    </w:p>
    <w:p w14:paraId="42972ED0" w14:textId="313D11F9" w:rsidR="001C167E" w:rsidRPr="00423297" w:rsidRDefault="00BD0A10" w:rsidP="001C167E">
      <w:pPr>
        <w:pStyle w:val="subparaa"/>
      </w:pPr>
      <w:r w:rsidRPr="00423297">
        <w:t xml:space="preserve">withdraw </w:t>
      </w:r>
      <w:bookmarkStart w:id="161" w:name="_Hlk38901110"/>
      <w:r w:rsidR="005B10F0" w:rsidRPr="00423297">
        <w:t xml:space="preserve">their application for an interest in the scheme </w:t>
      </w:r>
      <w:r w:rsidR="00272657" w:rsidRPr="00423297">
        <w:t>(</w:t>
      </w:r>
      <w:r w:rsidR="005B10F0" w:rsidRPr="00423297">
        <w:t>independent</w:t>
      </w:r>
      <w:r w:rsidR="008B11D6" w:rsidRPr="00423297">
        <w:t xml:space="preserve"> of</w:t>
      </w:r>
      <w:r w:rsidRPr="00423297">
        <w:t xml:space="preserve"> </w:t>
      </w:r>
      <w:bookmarkEnd w:id="161"/>
      <w:r w:rsidR="00272657" w:rsidRPr="00423297">
        <w:t xml:space="preserve">the </w:t>
      </w:r>
      <w:r w:rsidR="00B87D7B" w:rsidRPr="00423297">
        <w:t xml:space="preserve">cooling-off </w:t>
      </w:r>
      <w:r w:rsidR="008B11D6" w:rsidRPr="00423297">
        <w:t>rights</w:t>
      </w:r>
      <w:r w:rsidR="00272657" w:rsidRPr="00423297">
        <w:t>)</w:t>
      </w:r>
      <w:r w:rsidR="001C167E" w:rsidRPr="00423297">
        <w:t>;</w:t>
      </w:r>
      <w:r w:rsidR="00F86863" w:rsidRPr="00423297">
        <w:t xml:space="preserve"> and</w:t>
      </w:r>
    </w:p>
    <w:p w14:paraId="4F70DD13" w14:textId="6F6CFCF3" w:rsidR="001C167E" w:rsidRPr="00423297" w:rsidRDefault="00F86863" w:rsidP="000E42B6">
      <w:pPr>
        <w:pStyle w:val="subparaa"/>
      </w:pPr>
      <w:proofErr w:type="gramStart"/>
      <w:r w:rsidRPr="00423297">
        <w:t>be</w:t>
      </w:r>
      <w:proofErr w:type="gramEnd"/>
      <w:r w:rsidRPr="00423297">
        <w:t xml:space="preserve"> refunded finance</w:t>
      </w:r>
      <w:r w:rsidR="00A53027" w:rsidRPr="00423297">
        <w:t xml:space="preserve"> </w:t>
      </w:r>
      <w:r w:rsidRPr="00423297">
        <w:t>application fees paid to related finance providers</w:t>
      </w:r>
      <w:r w:rsidR="00FD7F9C" w:rsidRPr="00423297">
        <w:t>.</w:t>
      </w:r>
    </w:p>
    <w:p w14:paraId="6B6E65F4" w14:textId="2DF815E6" w:rsidR="00272657" w:rsidRPr="00423297" w:rsidRDefault="00FD7F9C" w:rsidP="002930A0">
      <w:pPr>
        <w:pStyle w:val="BodyText"/>
      </w:pPr>
      <w:r w:rsidRPr="00423297">
        <w:t>These</w:t>
      </w:r>
      <w:r w:rsidR="001C167E" w:rsidRPr="00423297">
        <w:t xml:space="preserve"> </w:t>
      </w:r>
      <w:r w:rsidR="00D61E78">
        <w:t>‘</w:t>
      </w:r>
      <w:r w:rsidR="001C167E" w:rsidRPr="00423297">
        <w:t>subject to finance</w:t>
      </w:r>
      <w:r w:rsidR="00D61E78">
        <w:t>’</w:t>
      </w:r>
      <w:r w:rsidRPr="00423297">
        <w:t xml:space="preserve"> rights will apply</w:t>
      </w:r>
      <w:r w:rsidR="00A661ED" w:rsidRPr="00423297">
        <w:t xml:space="preserve"> </w:t>
      </w:r>
      <w:r w:rsidR="00505698" w:rsidRPr="00423297">
        <w:t>if</w:t>
      </w:r>
      <w:r w:rsidR="00272657" w:rsidRPr="00423297">
        <w:t>:</w:t>
      </w:r>
    </w:p>
    <w:p w14:paraId="45F9F60A" w14:textId="68B8B460" w:rsidR="00272657" w:rsidRPr="00423297" w:rsidRDefault="00A661ED" w:rsidP="00272657">
      <w:pPr>
        <w:pStyle w:val="subparaa"/>
      </w:pPr>
      <w:r w:rsidRPr="00423297">
        <w:t xml:space="preserve">an offer of finance has not been made </w:t>
      </w:r>
      <w:r w:rsidR="00505698" w:rsidRPr="00423297">
        <w:t xml:space="preserve">before </w:t>
      </w:r>
      <w:r w:rsidRPr="00423297">
        <w:t>the end of the cooling-off period</w:t>
      </w:r>
      <w:r w:rsidR="00272657" w:rsidRPr="00423297">
        <w:t>;</w:t>
      </w:r>
      <w:r w:rsidR="00253709" w:rsidRPr="00423297">
        <w:t xml:space="preserve"> or</w:t>
      </w:r>
    </w:p>
    <w:p w14:paraId="60854799" w14:textId="10ECBB3E" w:rsidR="00B87D7B" w:rsidRPr="00423297" w:rsidRDefault="00253709" w:rsidP="000E42B6">
      <w:pPr>
        <w:pStyle w:val="subparaa"/>
      </w:pPr>
      <w:proofErr w:type="gramStart"/>
      <w:r w:rsidRPr="00423297">
        <w:t>the</w:t>
      </w:r>
      <w:proofErr w:type="gramEnd"/>
      <w:r w:rsidR="00FD7F9C" w:rsidRPr="00423297">
        <w:t xml:space="preserve"> consumer</w:t>
      </w:r>
      <w:r w:rsidRPr="00423297">
        <w:t xml:space="preserve"> decide</w:t>
      </w:r>
      <w:r w:rsidR="00FD7F9C" w:rsidRPr="00423297">
        <w:t>s</w:t>
      </w:r>
      <w:r w:rsidRPr="00423297">
        <w:t xml:space="preserve"> not to accept an offer of finance or a loan before the loan is provided</w:t>
      </w:r>
      <w:r w:rsidR="00B87D7B" w:rsidRPr="00423297">
        <w:t>.</w:t>
      </w:r>
      <w:bookmarkEnd w:id="160"/>
    </w:p>
    <w:p w14:paraId="0769A076" w14:textId="77777777" w:rsidR="000E223E" w:rsidRPr="00423297" w:rsidRDefault="000E223E" w:rsidP="006A0595">
      <w:pPr>
        <w:pStyle w:val="Heading5"/>
      </w:pPr>
      <w:r w:rsidRPr="00423297">
        <w:lastRenderedPageBreak/>
        <w:t>Improved disclosure about key features</w:t>
      </w:r>
    </w:p>
    <w:p w14:paraId="16727414" w14:textId="64D7F05E" w:rsidR="00A0302A" w:rsidRPr="00423297" w:rsidRDefault="00EB7FC5" w:rsidP="002930A0">
      <w:pPr>
        <w:pStyle w:val="BodyText"/>
        <w:rPr>
          <w:spacing w:val="-4"/>
        </w:rPr>
      </w:pPr>
      <w:r w:rsidRPr="00423297">
        <w:rPr>
          <w:spacing w:val="-4"/>
        </w:rPr>
        <w:t>D</w:t>
      </w:r>
      <w:r w:rsidR="00E43EB4" w:rsidRPr="00423297">
        <w:rPr>
          <w:spacing w:val="-4"/>
        </w:rPr>
        <w:t xml:space="preserve">isclosure alone is not sufficient to drive good consumer outcomes, and </w:t>
      </w:r>
      <w:r w:rsidR="00A0415C" w:rsidRPr="00423297">
        <w:rPr>
          <w:spacing w:val="-4"/>
        </w:rPr>
        <w:t xml:space="preserve">it </w:t>
      </w:r>
      <w:r w:rsidR="00E43EB4" w:rsidRPr="00423297">
        <w:rPr>
          <w:spacing w:val="-4"/>
        </w:rPr>
        <w:t xml:space="preserve">is not a complete solution to overcome complexity </w:t>
      </w:r>
      <w:r w:rsidR="00505E3D" w:rsidRPr="00423297">
        <w:rPr>
          <w:spacing w:val="-4"/>
        </w:rPr>
        <w:t xml:space="preserve">in time-sharing schemes </w:t>
      </w:r>
      <w:r w:rsidR="00E43EB4" w:rsidRPr="00423297">
        <w:rPr>
          <w:spacing w:val="-4"/>
        </w:rPr>
        <w:t xml:space="preserve">or </w:t>
      </w:r>
      <w:r w:rsidR="00505E3D" w:rsidRPr="00423297">
        <w:rPr>
          <w:spacing w:val="-4"/>
        </w:rPr>
        <w:t>harmful practices</w:t>
      </w:r>
      <w:r w:rsidRPr="00423297">
        <w:rPr>
          <w:spacing w:val="-4"/>
        </w:rPr>
        <w:t>. However</w:t>
      </w:r>
      <w:r w:rsidR="00E43EB4" w:rsidRPr="00423297">
        <w:rPr>
          <w:spacing w:val="-4"/>
        </w:rPr>
        <w:t xml:space="preserve">, </w:t>
      </w:r>
      <w:r w:rsidR="00A0415C" w:rsidRPr="00423297">
        <w:rPr>
          <w:spacing w:val="-4"/>
        </w:rPr>
        <w:t xml:space="preserve">we consider that </w:t>
      </w:r>
      <w:r w:rsidR="00BD0A10" w:rsidRPr="00423297">
        <w:rPr>
          <w:spacing w:val="-4"/>
        </w:rPr>
        <w:t>consumer</w:t>
      </w:r>
      <w:r w:rsidR="00A0415C" w:rsidRPr="00423297">
        <w:rPr>
          <w:spacing w:val="-4"/>
        </w:rPr>
        <w:t>s</w:t>
      </w:r>
      <w:r w:rsidR="00BD0A10" w:rsidRPr="00423297">
        <w:rPr>
          <w:spacing w:val="-4"/>
        </w:rPr>
        <w:t xml:space="preserve"> will benefit from </w:t>
      </w:r>
      <w:r w:rsidR="0006380C" w:rsidRPr="00423297">
        <w:rPr>
          <w:spacing w:val="-4"/>
        </w:rPr>
        <w:t>the enhanced</w:t>
      </w:r>
      <w:r w:rsidR="00E43EB4" w:rsidRPr="00423297">
        <w:rPr>
          <w:spacing w:val="-4"/>
        </w:rPr>
        <w:t xml:space="preserve"> disclosure</w:t>
      </w:r>
      <w:r w:rsidR="0006380C" w:rsidRPr="00423297">
        <w:rPr>
          <w:spacing w:val="-4"/>
        </w:rPr>
        <w:t xml:space="preserve"> under this option.</w:t>
      </w:r>
    </w:p>
    <w:p w14:paraId="7418AC0B" w14:textId="6AF6F5B9" w:rsidR="00B87D7B" w:rsidRPr="00423297" w:rsidRDefault="0006380C" w:rsidP="002930A0">
      <w:pPr>
        <w:pStyle w:val="BodyText"/>
        <w:rPr>
          <w:spacing w:val="-4"/>
        </w:rPr>
      </w:pPr>
      <w:r w:rsidRPr="00423297">
        <w:rPr>
          <w:spacing w:val="-4"/>
        </w:rPr>
        <w:t xml:space="preserve">These changes will </w:t>
      </w:r>
      <w:r w:rsidR="00773738" w:rsidRPr="00423297">
        <w:rPr>
          <w:spacing w:val="-4"/>
        </w:rPr>
        <w:t xml:space="preserve">give </w:t>
      </w:r>
      <w:r w:rsidR="00253709" w:rsidRPr="00423297">
        <w:rPr>
          <w:spacing w:val="-4"/>
        </w:rPr>
        <w:t xml:space="preserve">consumers </w:t>
      </w:r>
      <w:r w:rsidR="00505E3D" w:rsidRPr="00423297">
        <w:rPr>
          <w:spacing w:val="-4"/>
        </w:rPr>
        <w:t xml:space="preserve">more </w:t>
      </w:r>
      <w:r w:rsidR="00E43EB4" w:rsidRPr="00423297">
        <w:rPr>
          <w:spacing w:val="-4"/>
        </w:rPr>
        <w:t>prominent disclosure of risks</w:t>
      </w:r>
      <w:r w:rsidRPr="00423297">
        <w:rPr>
          <w:spacing w:val="-4"/>
        </w:rPr>
        <w:t>—</w:t>
      </w:r>
      <w:r w:rsidR="00E43EB4" w:rsidRPr="00423297">
        <w:rPr>
          <w:spacing w:val="-4"/>
        </w:rPr>
        <w:t>supplemented with verbal warnings</w:t>
      </w:r>
      <w:r w:rsidRPr="00423297">
        <w:rPr>
          <w:spacing w:val="-4"/>
        </w:rPr>
        <w:t>—and</w:t>
      </w:r>
      <w:r w:rsidR="00B87D7B" w:rsidRPr="00423297">
        <w:rPr>
          <w:spacing w:val="-4"/>
        </w:rPr>
        <w:t xml:space="preserve"> more clarity and transparency about the key features of the product</w:t>
      </w:r>
      <w:r w:rsidRPr="00423297">
        <w:rPr>
          <w:spacing w:val="-4"/>
        </w:rPr>
        <w:t xml:space="preserve">. </w:t>
      </w:r>
      <w:r w:rsidR="005B10F0" w:rsidRPr="00423297">
        <w:rPr>
          <w:spacing w:val="-4"/>
        </w:rPr>
        <w:t xml:space="preserve">We expect consumers </w:t>
      </w:r>
      <w:r w:rsidRPr="00423297">
        <w:rPr>
          <w:spacing w:val="-4"/>
        </w:rPr>
        <w:t xml:space="preserve">will </w:t>
      </w:r>
      <w:r w:rsidR="00FD7F9C" w:rsidRPr="00423297">
        <w:rPr>
          <w:spacing w:val="-4"/>
        </w:rPr>
        <w:t>gain a</w:t>
      </w:r>
      <w:r w:rsidR="00B87D7B" w:rsidRPr="00423297">
        <w:rPr>
          <w:spacing w:val="-4"/>
        </w:rPr>
        <w:t xml:space="preserve"> better understand</w:t>
      </w:r>
      <w:r w:rsidR="00FD7F9C" w:rsidRPr="00423297">
        <w:rPr>
          <w:spacing w:val="-4"/>
        </w:rPr>
        <w:t>ing of</w:t>
      </w:r>
      <w:r w:rsidR="00B87D7B" w:rsidRPr="00423297">
        <w:rPr>
          <w:spacing w:val="-4"/>
        </w:rPr>
        <w:t xml:space="preserve"> the </w:t>
      </w:r>
      <w:r w:rsidR="00253709" w:rsidRPr="00423297">
        <w:rPr>
          <w:spacing w:val="-4"/>
        </w:rPr>
        <w:t xml:space="preserve">costs, </w:t>
      </w:r>
      <w:r w:rsidR="00B87D7B" w:rsidRPr="00423297">
        <w:rPr>
          <w:spacing w:val="-4"/>
        </w:rPr>
        <w:t xml:space="preserve">risks </w:t>
      </w:r>
      <w:r w:rsidR="00253709" w:rsidRPr="00423297">
        <w:rPr>
          <w:spacing w:val="-4"/>
        </w:rPr>
        <w:t xml:space="preserve">and limitations </w:t>
      </w:r>
      <w:r w:rsidR="00B87D7B" w:rsidRPr="00423297">
        <w:rPr>
          <w:spacing w:val="-4"/>
        </w:rPr>
        <w:t>associated with membership</w:t>
      </w:r>
      <w:r w:rsidR="00FD7F9C" w:rsidRPr="00423297">
        <w:rPr>
          <w:spacing w:val="-4"/>
        </w:rPr>
        <w:t xml:space="preserve"> from this disclosure</w:t>
      </w:r>
      <w:r w:rsidR="00773738" w:rsidRPr="00423297">
        <w:rPr>
          <w:spacing w:val="-4"/>
        </w:rPr>
        <w:t>, and be able</w:t>
      </w:r>
      <w:r w:rsidR="00FD7F9C" w:rsidRPr="00423297">
        <w:rPr>
          <w:spacing w:val="-4"/>
        </w:rPr>
        <w:t xml:space="preserve"> to see beyond </w:t>
      </w:r>
      <w:r w:rsidR="00253709" w:rsidRPr="00423297">
        <w:rPr>
          <w:spacing w:val="-4"/>
        </w:rPr>
        <w:t>the glossy images and benefit</w:t>
      </w:r>
      <w:r w:rsidR="00C850E1" w:rsidRPr="00423297">
        <w:rPr>
          <w:spacing w:val="-4"/>
        </w:rPr>
        <w:t>s</w:t>
      </w:r>
      <w:r w:rsidR="00253709" w:rsidRPr="00423297">
        <w:rPr>
          <w:spacing w:val="-4"/>
        </w:rPr>
        <w:t xml:space="preserve"> promoted to them during sales presentations</w:t>
      </w:r>
      <w:r w:rsidR="00FD7F9C" w:rsidRPr="00423297">
        <w:rPr>
          <w:spacing w:val="-4"/>
        </w:rPr>
        <w:t>. Consumers</w:t>
      </w:r>
      <w:r w:rsidR="00BC5611" w:rsidRPr="00423297">
        <w:rPr>
          <w:spacing w:val="-4"/>
        </w:rPr>
        <w:t xml:space="preserve"> </w:t>
      </w:r>
      <w:bookmarkStart w:id="162" w:name="_Hlk38901317"/>
      <w:r w:rsidR="00FD7F9C" w:rsidRPr="00423297">
        <w:rPr>
          <w:spacing w:val="-4"/>
        </w:rPr>
        <w:t>will</w:t>
      </w:r>
      <w:r w:rsidR="005B10F0" w:rsidRPr="00423297">
        <w:rPr>
          <w:spacing w:val="-4"/>
        </w:rPr>
        <w:t xml:space="preserve"> be better informed </w:t>
      </w:r>
      <w:r w:rsidR="00FD7F9C" w:rsidRPr="00423297">
        <w:rPr>
          <w:spacing w:val="-4"/>
        </w:rPr>
        <w:t>if they need to</w:t>
      </w:r>
      <w:r w:rsidR="005B10F0" w:rsidRPr="00423297">
        <w:rPr>
          <w:spacing w:val="-4"/>
        </w:rPr>
        <w:t xml:space="preserve"> exercise their cooling-off rights </w:t>
      </w:r>
      <w:r w:rsidR="00FD7F9C" w:rsidRPr="00423297">
        <w:rPr>
          <w:spacing w:val="-4"/>
        </w:rPr>
        <w:t>and</w:t>
      </w:r>
      <w:r w:rsidR="005B10F0" w:rsidRPr="00423297">
        <w:rPr>
          <w:spacing w:val="-4"/>
        </w:rPr>
        <w:t xml:space="preserve"> </w:t>
      </w:r>
      <w:r w:rsidR="00FD7F9C" w:rsidRPr="00423297">
        <w:rPr>
          <w:spacing w:val="-4"/>
        </w:rPr>
        <w:t xml:space="preserve">when they </w:t>
      </w:r>
      <w:r w:rsidR="005B10F0" w:rsidRPr="00423297">
        <w:rPr>
          <w:spacing w:val="-4"/>
        </w:rPr>
        <w:t>use their membership.</w:t>
      </w:r>
      <w:bookmarkEnd w:id="162"/>
    </w:p>
    <w:p w14:paraId="36D9E411" w14:textId="77777777" w:rsidR="000E223E" w:rsidRPr="00423297" w:rsidRDefault="000E223E" w:rsidP="000E223E">
      <w:pPr>
        <w:pStyle w:val="Heading5"/>
      </w:pPr>
      <w:r w:rsidRPr="00423297">
        <w:t>Guidance to industry</w:t>
      </w:r>
    </w:p>
    <w:p w14:paraId="41026044" w14:textId="59CA0CFE" w:rsidR="009D3DF4" w:rsidRPr="00423297" w:rsidRDefault="000073EC" w:rsidP="00527ADA">
      <w:pPr>
        <w:pStyle w:val="BodyText"/>
        <w:rPr>
          <w:spacing w:val="-4"/>
        </w:rPr>
      </w:pPr>
      <w:bookmarkStart w:id="163" w:name="_Ref40781504"/>
      <w:r w:rsidRPr="00423297">
        <w:rPr>
          <w:spacing w:val="-4"/>
        </w:rPr>
        <w:t xml:space="preserve">The guidance on existing obligations will </w:t>
      </w:r>
      <w:r w:rsidR="000E223E" w:rsidRPr="00423297">
        <w:rPr>
          <w:spacing w:val="-4"/>
        </w:rPr>
        <w:t>help</w:t>
      </w:r>
      <w:r w:rsidR="00CF21BA" w:rsidRPr="00423297">
        <w:rPr>
          <w:spacing w:val="-4"/>
        </w:rPr>
        <w:t xml:space="preserve"> industry understand and comply with obligations that already apply to them</w:t>
      </w:r>
      <w:r w:rsidR="000E223E" w:rsidRPr="00423297">
        <w:rPr>
          <w:spacing w:val="-4"/>
        </w:rPr>
        <w:t xml:space="preserve">. This will </w:t>
      </w:r>
      <w:r w:rsidR="009B1D10" w:rsidRPr="00423297">
        <w:t>raise standards in the industry and reduce consumer harm, particularly in the way interests in time-sharing schemes are promoted and sold.</w:t>
      </w:r>
    </w:p>
    <w:p w14:paraId="27AB2139" w14:textId="77777777" w:rsidR="000E223E" w:rsidRPr="00423297" w:rsidRDefault="000E223E" w:rsidP="000E223E">
      <w:pPr>
        <w:pStyle w:val="Heading5"/>
      </w:pPr>
      <w:r w:rsidRPr="00423297">
        <w:t>Consumer benefits compared to costs</w:t>
      </w:r>
    </w:p>
    <w:p w14:paraId="009EE344" w14:textId="7B68BF12" w:rsidR="00142802" w:rsidRPr="00423297" w:rsidRDefault="00527ADA" w:rsidP="00527ADA">
      <w:pPr>
        <w:pStyle w:val="BodyText"/>
        <w:rPr>
          <w:spacing w:val="-4"/>
        </w:rPr>
      </w:pPr>
      <w:bookmarkStart w:id="164" w:name="_ASICRef910"/>
      <w:bookmarkStart w:id="165" w:name="_Hlk40983678"/>
      <w:r w:rsidRPr="00423297">
        <w:t xml:space="preserve">To enable </w:t>
      </w:r>
      <w:r w:rsidR="000E223E" w:rsidRPr="00423297">
        <w:t>better</w:t>
      </w:r>
      <w:r w:rsidRPr="00423297">
        <w:t xml:space="preserve"> understanding of the consumer benefit</w:t>
      </w:r>
      <w:r w:rsidR="000E223E" w:rsidRPr="00423297">
        <w:t>s</w:t>
      </w:r>
      <w:r w:rsidRPr="00423297">
        <w:t xml:space="preserve"> </w:t>
      </w:r>
      <w:r w:rsidR="000E223E" w:rsidRPr="00423297">
        <w:t>of</w:t>
      </w:r>
      <w:r w:rsidRPr="00423297">
        <w:t xml:space="preserve"> this option, we </w:t>
      </w:r>
      <w:r w:rsidR="000E223E" w:rsidRPr="00423297">
        <w:t>have</w:t>
      </w:r>
      <w:r w:rsidRPr="00423297">
        <w:t xml:space="preserve"> compare</w:t>
      </w:r>
      <w:r w:rsidR="000E223E" w:rsidRPr="00423297">
        <w:t>d</w:t>
      </w:r>
      <w:r w:rsidRPr="00423297">
        <w:t xml:space="preserve"> the </w:t>
      </w:r>
      <w:r w:rsidR="00142802" w:rsidRPr="00423297">
        <w:t xml:space="preserve">costs </w:t>
      </w:r>
      <w:r w:rsidRPr="00423297">
        <w:t>with the potential savings derived by consumers</w:t>
      </w:r>
      <w:r w:rsidR="00142802" w:rsidRPr="00423297">
        <w:t>.</w:t>
      </w:r>
    </w:p>
    <w:p w14:paraId="38E0CE3C" w14:textId="56C279DC" w:rsidR="00527ADA" w:rsidRPr="00423297" w:rsidRDefault="00142802" w:rsidP="00527ADA">
      <w:pPr>
        <w:pStyle w:val="BodyText"/>
        <w:rPr>
          <w:spacing w:val="-4"/>
        </w:rPr>
      </w:pPr>
      <w:bookmarkStart w:id="166" w:name="_ASICRef695"/>
      <w:r w:rsidRPr="00423297">
        <w:t>Under this option, there will be</w:t>
      </w:r>
      <w:r w:rsidR="00F146A2" w:rsidRPr="00423297">
        <w:t xml:space="preserve"> consumer</w:t>
      </w:r>
      <w:r w:rsidRPr="00423297">
        <w:t>s who do not purchase an interest in a time-sharing scheme because they</w:t>
      </w:r>
      <w:r w:rsidR="00527ADA" w:rsidRPr="00423297">
        <w:t>:</w:t>
      </w:r>
      <w:bookmarkEnd w:id="163"/>
      <w:bookmarkEnd w:id="164"/>
      <w:bookmarkEnd w:id="166"/>
    </w:p>
    <w:p w14:paraId="3C836278" w14:textId="734C1804" w:rsidR="00F146A2" w:rsidRPr="00423297" w:rsidRDefault="00F146A2" w:rsidP="00527ADA">
      <w:pPr>
        <w:pStyle w:val="subparaa"/>
        <w:rPr>
          <w:spacing w:val="-4"/>
        </w:rPr>
      </w:pPr>
      <w:r w:rsidRPr="00423297">
        <w:rPr>
          <w:spacing w:val="-4"/>
        </w:rPr>
        <w:t xml:space="preserve">decide not to attend a sales presentation after </w:t>
      </w:r>
      <w:r w:rsidR="00142802" w:rsidRPr="00423297">
        <w:rPr>
          <w:spacing w:val="-4"/>
        </w:rPr>
        <w:t xml:space="preserve">the sales representative </w:t>
      </w:r>
      <w:r w:rsidR="0026089B" w:rsidRPr="00423297">
        <w:rPr>
          <w:spacing w:val="-4"/>
        </w:rPr>
        <w:t>inform</w:t>
      </w:r>
      <w:r w:rsidR="00142802" w:rsidRPr="00423297">
        <w:rPr>
          <w:spacing w:val="-4"/>
        </w:rPr>
        <w:t>s them</w:t>
      </w:r>
      <w:r w:rsidR="0026089B" w:rsidRPr="00423297">
        <w:rPr>
          <w:spacing w:val="-4"/>
        </w:rPr>
        <w:t xml:space="preserve"> that it is for a time-sharing scheme</w:t>
      </w:r>
      <w:r w:rsidR="00142802" w:rsidRPr="00423297">
        <w:rPr>
          <w:spacing w:val="-4"/>
        </w:rPr>
        <w:t>—</w:t>
      </w:r>
      <w:r w:rsidR="0026089B" w:rsidRPr="00423297">
        <w:rPr>
          <w:spacing w:val="-4"/>
        </w:rPr>
        <w:t>consistent with</w:t>
      </w:r>
      <w:r w:rsidRPr="00423297">
        <w:rPr>
          <w:spacing w:val="-4"/>
        </w:rPr>
        <w:t xml:space="preserve"> </w:t>
      </w:r>
      <w:r w:rsidR="0026089B" w:rsidRPr="00423297">
        <w:rPr>
          <w:spacing w:val="-4"/>
        </w:rPr>
        <w:t xml:space="preserve">guidance on the </w:t>
      </w:r>
      <w:r w:rsidRPr="00423297">
        <w:rPr>
          <w:spacing w:val="-4"/>
        </w:rPr>
        <w:t xml:space="preserve">hawking </w:t>
      </w:r>
      <w:r w:rsidR="0026089B" w:rsidRPr="00423297">
        <w:rPr>
          <w:spacing w:val="-4"/>
        </w:rPr>
        <w:t>prohibitions;</w:t>
      </w:r>
    </w:p>
    <w:p w14:paraId="281F1585" w14:textId="69C47392" w:rsidR="00207B56" w:rsidRPr="00423297" w:rsidRDefault="00F146A2" w:rsidP="00527ADA">
      <w:pPr>
        <w:pStyle w:val="subparaa"/>
        <w:rPr>
          <w:spacing w:val="-4"/>
        </w:rPr>
      </w:pPr>
      <w:r w:rsidRPr="00423297">
        <w:t>decide</w:t>
      </w:r>
      <w:r w:rsidR="00207B56" w:rsidRPr="00423297">
        <w:t xml:space="preserve"> not to become a member after the sale</w:t>
      </w:r>
      <w:r w:rsidR="00F10360" w:rsidRPr="00423297">
        <w:t>s</w:t>
      </w:r>
      <w:r w:rsidR="00207B56" w:rsidRPr="00423297">
        <w:t xml:space="preserve"> representative considers </w:t>
      </w:r>
      <w:r w:rsidR="00A0302A" w:rsidRPr="00423297">
        <w:t>the consumer</w:t>
      </w:r>
      <w:r w:rsidR="00D61E78">
        <w:t>’</w:t>
      </w:r>
      <w:r w:rsidR="00A0302A" w:rsidRPr="00423297">
        <w:t>s</w:t>
      </w:r>
      <w:r w:rsidR="00207B56" w:rsidRPr="00423297">
        <w:t xml:space="preserve"> best interests and </w:t>
      </w:r>
      <w:r w:rsidR="003534AF" w:rsidRPr="00423297">
        <w:t>says</w:t>
      </w:r>
      <w:r w:rsidR="00207B56" w:rsidRPr="00423297">
        <w:t xml:space="preserve"> that </w:t>
      </w:r>
      <w:r w:rsidR="000B20D2" w:rsidRPr="00423297">
        <w:t xml:space="preserve">membership in a </w:t>
      </w:r>
      <w:r w:rsidR="00207B56" w:rsidRPr="00423297">
        <w:t>time-shar</w:t>
      </w:r>
      <w:r w:rsidR="008643E8" w:rsidRPr="00423297">
        <w:t>ing scheme</w:t>
      </w:r>
      <w:r w:rsidR="00207B56" w:rsidRPr="00423297">
        <w:t xml:space="preserve"> is not suitable for </w:t>
      </w:r>
      <w:r w:rsidR="009A0383" w:rsidRPr="00423297">
        <w:t>them</w:t>
      </w:r>
      <w:r w:rsidR="00D050F3" w:rsidRPr="00423297">
        <w:t>—</w:t>
      </w:r>
      <w:r w:rsidR="009B1D10" w:rsidRPr="00423297">
        <w:t xml:space="preserve">consistent with </w:t>
      </w:r>
      <w:r w:rsidR="002C547F" w:rsidRPr="00423297">
        <w:t xml:space="preserve">the </w:t>
      </w:r>
      <w:r w:rsidR="009B1D10" w:rsidRPr="00423297">
        <w:t>best interest</w:t>
      </w:r>
      <w:r w:rsidR="0087335A" w:rsidRPr="00423297">
        <w:t>s</w:t>
      </w:r>
      <w:r w:rsidR="009B1D10" w:rsidRPr="00423297">
        <w:t xml:space="preserve"> </w:t>
      </w:r>
      <w:r w:rsidR="0087335A" w:rsidRPr="00423297">
        <w:t>duty</w:t>
      </w:r>
      <w:r w:rsidR="00207B56" w:rsidRPr="00423297">
        <w:t>;</w:t>
      </w:r>
    </w:p>
    <w:p w14:paraId="59B1217A" w14:textId="03087E53" w:rsidR="00207B56" w:rsidRPr="00423297" w:rsidRDefault="008643E8" w:rsidP="00527ADA">
      <w:pPr>
        <w:pStyle w:val="subparaa"/>
        <w:rPr>
          <w:spacing w:val="-4"/>
        </w:rPr>
      </w:pPr>
      <w:r w:rsidRPr="00423297">
        <w:t>are</w:t>
      </w:r>
      <w:r w:rsidR="00F146A2" w:rsidRPr="00423297">
        <w:t xml:space="preserve"> not provided </w:t>
      </w:r>
      <w:r w:rsidRPr="00423297">
        <w:t>with a loan</w:t>
      </w:r>
      <w:r w:rsidR="00F146A2" w:rsidRPr="00423297">
        <w:t xml:space="preserve"> </w:t>
      </w:r>
      <w:r w:rsidRPr="00423297">
        <w:t>because</w:t>
      </w:r>
      <w:r w:rsidR="00F146A2" w:rsidRPr="00423297">
        <w:t xml:space="preserve"> </w:t>
      </w:r>
      <w:r w:rsidR="00207B56" w:rsidRPr="00423297">
        <w:t xml:space="preserve">the related </w:t>
      </w:r>
      <w:r w:rsidRPr="00423297">
        <w:t>finance</w:t>
      </w:r>
      <w:r w:rsidR="00207B56" w:rsidRPr="00423297">
        <w:t xml:space="preserve"> provider</w:t>
      </w:r>
      <w:r w:rsidRPr="00423297">
        <w:t xml:space="preserve"> decides that it is not appropriate to</w:t>
      </w:r>
      <w:r w:rsidR="00207B56" w:rsidRPr="00423297">
        <w:t xml:space="preserve"> </w:t>
      </w:r>
      <w:r w:rsidR="00F146A2" w:rsidRPr="00423297">
        <w:t xml:space="preserve">enter into </w:t>
      </w:r>
      <w:r w:rsidRPr="00423297">
        <w:t>a loan</w:t>
      </w:r>
      <w:r w:rsidR="00F146A2" w:rsidRPr="00423297">
        <w:t xml:space="preserve"> with the consumer</w:t>
      </w:r>
      <w:r w:rsidRPr="00423297">
        <w:t>—</w:t>
      </w:r>
      <w:r w:rsidR="0087335A" w:rsidRPr="00423297">
        <w:t>consistent with the</w:t>
      </w:r>
      <w:r w:rsidR="002C547F" w:rsidRPr="00423297">
        <w:t xml:space="preserve"> related </w:t>
      </w:r>
      <w:r w:rsidRPr="00423297">
        <w:t>finance</w:t>
      </w:r>
      <w:r w:rsidR="002C547F" w:rsidRPr="00423297">
        <w:t xml:space="preserve"> provider</w:t>
      </w:r>
      <w:r w:rsidR="00D61E78">
        <w:t>’</w:t>
      </w:r>
      <w:r w:rsidR="002C547F" w:rsidRPr="00423297">
        <w:t>s</w:t>
      </w:r>
      <w:r w:rsidR="0087335A" w:rsidRPr="00423297">
        <w:t xml:space="preserve"> obligations</w:t>
      </w:r>
      <w:r w:rsidR="00E1100E">
        <w:t xml:space="preserve"> under the National Credit Act</w:t>
      </w:r>
      <w:r w:rsidR="00207B56" w:rsidRPr="00423297">
        <w:t>;</w:t>
      </w:r>
    </w:p>
    <w:p w14:paraId="235494C3" w14:textId="399C1BCD" w:rsidR="00527ADA" w:rsidRPr="00423297" w:rsidRDefault="00527ADA" w:rsidP="00527ADA">
      <w:pPr>
        <w:pStyle w:val="subparaa"/>
        <w:rPr>
          <w:spacing w:val="-4"/>
        </w:rPr>
      </w:pPr>
      <w:r w:rsidRPr="00423297">
        <w:t xml:space="preserve">consider the improved disclosure </w:t>
      </w:r>
      <w:r w:rsidR="0026089B" w:rsidRPr="00423297">
        <w:t xml:space="preserve">provided </w:t>
      </w:r>
      <w:r w:rsidRPr="00423297">
        <w:t>about key features and decid</w:t>
      </w:r>
      <w:r w:rsidR="00F146A2" w:rsidRPr="00423297">
        <w:t>e</w:t>
      </w:r>
      <w:r w:rsidRPr="00423297">
        <w:t xml:space="preserve"> that an interest in a time-sharing scheme is not right for them; </w:t>
      </w:r>
      <w:r w:rsidR="0026089B" w:rsidRPr="00423297">
        <w:t>and/or</w:t>
      </w:r>
    </w:p>
    <w:p w14:paraId="3B735E80" w14:textId="0397CB79" w:rsidR="00207B56" w:rsidRPr="00423297" w:rsidRDefault="00527ADA" w:rsidP="00527ADA">
      <w:pPr>
        <w:pStyle w:val="subparaa"/>
        <w:rPr>
          <w:spacing w:val="-4"/>
        </w:rPr>
      </w:pPr>
      <w:proofErr w:type="gramStart"/>
      <w:r w:rsidRPr="00423297">
        <w:t>exercis</w:t>
      </w:r>
      <w:r w:rsidR="0026089B" w:rsidRPr="00423297">
        <w:t>e</w:t>
      </w:r>
      <w:proofErr w:type="gramEnd"/>
      <w:r w:rsidRPr="00423297">
        <w:t xml:space="preserve"> their </w:t>
      </w:r>
      <w:r w:rsidR="008643E8" w:rsidRPr="00423297">
        <w:t>formal</w:t>
      </w:r>
      <w:r w:rsidRPr="00423297">
        <w:t xml:space="preserve"> </w:t>
      </w:r>
      <w:r w:rsidR="00D61E78">
        <w:t>‘</w:t>
      </w:r>
      <w:r w:rsidRPr="00423297">
        <w:t>subject to finance</w:t>
      </w:r>
      <w:r w:rsidR="00D61E78">
        <w:t>’</w:t>
      </w:r>
      <w:r w:rsidRPr="00423297">
        <w:t xml:space="preserve"> rights to withdraw their application independent of the cooling-off period</w:t>
      </w:r>
      <w:r w:rsidR="0087335A" w:rsidRPr="00423297">
        <w:t>.</w:t>
      </w:r>
    </w:p>
    <w:bookmarkEnd w:id="165"/>
    <w:p w14:paraId="4FCDE527" w14:textId="04E042FD" w:rsidR="00527ADA" w:rsidRPr="00423297" w:rsidRDefault="00527ADA" w:rsidP="00527ADA">
      <w:pPr>
        <w:pStyle w:val="BodyText"/>
        <w:rPr>
          <w:spacing w:val="-4"/>
        </w:rPr>
      </w:pPr>
      <w:r w:rsidRPr="00423297">
        <w:t xml:space="preserve">Using the $23,000 average upfront cost of membership, </w:t>
      </w:r>
      <w:r w:rsidR="0087335A" w:rsidRPr="00423297">
        <w:t>under revised Option</w:t>
      </w:r>
      <w:r w:rsidR="003516CB">
        <w:t> </w:t>
      </w:r>
      <w:r w:rsidR="0087335A" w:rsidRPr="00423297">
        <w:t xml:space="preserve">1 </w:t>
      </w:r>
      <w:r w:rsidRPr="00423297">
        <w:t xml:space="preserve">there would be a net consumer benefit </w:t>
      </w:r>
      <w:r w:rsidR="008643E8" w:rsidRPr="00423297">
        <w:t xml:space="preserve">even </w:t>
      </w:r>
      <w:r w:rsidRPr="00423297">
        <w:t xml:space="preserve">if only 15 consumers </w:t>
      </w:r>
      <w:r w:rsidR="008643E8" w:rsidRPr="00423297">
        <w:lastRenderedPageBreak/>
        <w:t>(or</w:t>
      </w:r>
      <w:r w:rsidR="00750CD5">
        <w:t> </w:t>
      </w:r>
      <w:r w:rsidR="008643E8" w:rsidRPr="00423297">
        <w:t xml:space="preserve">3 consumers in each of the </w:t>
      </w:r>
      <w:r w:rsidR="00FF659F" w:rsidRPr="00423297">
        <w:t xml:space="preserve">situations outlined in paragraph </w:t>
      </w:r>
      <w:r w:rsidR="006A6142" w:rsidRPr="00423297">
        <w:fldChar w:fldCharType="begin"/>
      </w:r>
      <w:r w:rsidR="006A6142" w:rsidRPr="00423297">
        <w:instrText xml:space="preserve"> REF _ASICRef695 \w \h </w:instrText>
      </w:r>
      <w:r w:rsidR="00423297">
        <w:instrText xml:space="preserve"> \* MERGEFORMAT </w:instrText>
      </w:r>
      <w:r w:rsidR="006A6142" w:rsidRPr="00423297">
        <w:fldChar w:fldCharType="separate"/>
      </w:r>
      <w:r w:rsidR="00B92808">
        <w:t>135</w:t>
      </w:r>
      <w:r w:rsidR="006A6142" w:rsidRPr="00423297">
        <w:fldChar w:fldCharType="end"/>
      </w:r>
      <w:r w:rsidR="008643E8" w:rsidRPr="00423297">
        <w:t xml:space="preserve">) </w:t>
      </w:r>
      <w:r w:rsidR="00232209" w:rsidRPr="00423297">
        <w:t>do not proceed to become members</w:t>
      </w:r>
      <w:r w:rsidRPr="00423297">
        <w:t>.</w:t>
      </w:r>
    </w:p>
    <w:p w14:paraId="28DCF48B" w14:textId="0832F64A" w:rsidR="00527ADA" w:rsidRPr="00423297" w:rsidRDefault="00527ADA" w:rsidP="00527ADA">
      <w:pPr>
        <w:pStyle w:val="BodyText"/>
      </w:pPr>
      <w:bookmarkStart w:id="167" w:name="_ASICRef986"/>
      <w:bookmarkStart w:id="168" w:name="_ASICRef980"/>
      <w:r w:rsidRPr="00423297">
        <w:t xml:space="preserve">Although difficult to quantify, we expect that the </w:t>
      </w:r>
      <w:r w:rsidR="00232209" w:rsidRPr="00423297">
        <w:t xml:space="preserve">actual </w:t>
      </w:r>
      <w:r w:rsidRPr="00423297">
        <w:t>number of consumers who will benefit from these changes will be much greater</w:t>
      </w:r>
      <w:r w:rsidR="00232209" w:rsidRPr="00423297">
        <w:t>.</w:t>
      </w:r>
      <w:r w:rsidRPr="00423297">
        <w:t xml:space="preserve"> </w:t>
      </w:r>
      <w:r w:rsidR="00232209" w:rsidRPr="00423297">
        <w:t>This is because</w:t>
      </w:r>
      <w:r w:rsidRPr="00423297">
        <w:t>:</w:t>
      </w:r>
      <w:bookmarkEnd w:id="167"/>
      <w:bookmarkEnd w:id="168"/>
    </w:p>
    <w:p w14:paraId="3F9E3723" w14:textId="2515C60F" w:rsidR="00527ADA" w:rsidRPr="00423297" w:rsidRDefault="00527ADA" w:rsidP="00527ADA">
      <w:pPr>
        <w:pStyle w:val="subparaa"/>
      </w:pPr>
      <w:r w:rsidRPr="00423297">
        <w:t xml:space="preserve">ATHOC </w:t>
      </w:r>
      <w:r w:rsidR="00A27C82" w:rsidRPr="00423297">
        <w:t>recorded 1,431 complaints in 2017 and 780 complaints during in 2018</w:t>
      </w:r>
      <w:r w:rsidR="00232209" w:rsidRPr="00423297">
        <w:t>—and</w:t>
      </w:r>
      <w:r w:rsidR="00A27C82" w:rsidRPr="00423297">
        <w:t xml:space="preserve"> over half of the complaints in 2017 </w:t>
      </w:r>
      <w:r w:rsidR="00232209" w:rsidRPr="00423297">
        <w:t xml:space="preserve">were </w:t>
      </w:r>
      <w:r w:rsidR="00A27C82" w:rsidRPr="00423297">
        <w:t xml:space="preserve">about sales </w:t>
      </w:r>
      <w:r w:rsidR="00232209" w:rsidRPr="00423297">
        <w:t>(</w:t>
      </w:r>
      <w:r w:rsidR="00A27C82" w:rsidRPr="00423297">
        <w:t xml:space="preserve">see paragraph </w:t>
      </w:r>
      <w:r w:rsidR="00A27C82" w:rsidRPr="00423297">
        <w:fldChar w:fldCharType="begin"/>
      </w:r>
      <w:r w:rsidR="00A27C82" w:rsidRPr="00423297">
        <w:instrText xml:space="preserve"> REF _Ref40974873 \r \h </w:instrText>
      </w:r>
      <w:r w:rsidR="00423297">
        <w:instrText xml:space="preserve"> \* MERGEFORMAT </w:instrText>
      </w:r>
      <w:r w:rsidR="00A27C82" w:rsidRPr="00423297">
        <w:fldChar w:fldCharType="separate"/>
      </w:r>
      <w:r w:rsidR="00B92808">
        <w:t>39(c)</w:t>
      </w:r>
      <w:r w:rsidR="00A27C82" w:rsidRPr="00423297">
        <w:fldChar w:fldCharType="end"/>
      </w:r>
      <w:r w:rsidR="00232209" w:rsidRPr="00423297">
        <w:t>)</w:t>
      </w:r>
      <w:r w:rsidR="0087335A" w:rsidRPr="00423297">
        <w:t>:</w:t>
      </w:r>
    </w:p>
    <w:p w14:paraId="2FA8FE1D" w14:textId="4CE8EA77" w:rsidR="00207B56" w:rsidRPr="00423297" w:rsidRDefault="00A27C82" w:rsidP="00527ADA">
      <w:pPr>
        <w:pStyle w:val="subparaa"/>
      </w:pPr>
      <w:r w:rsidRPr="00423297">
        <w:t xml:space="preserve">ATHOC reported to ASIC that </w:t>
      </w:r>
      <w:r w:rsidR="00527ADA" w:rsidRPr="00423297">
        <w:t xml:space="preserve">of the </w:t>
      </w:r>
      <w:r w:rsidR="00207B56" w:rsidRPr="00423297">
        <w:t>199,317 consumers who attended sales presentations in 2019:</w:t>
      </w:r>
    </w:p>
    <w:p w14:paraId="33B60DDC" w14:textId="37233654" w:rsidR="00527ADA" w:rsidRPr="00423297" w:rsidRDefault="00A27C82">
      <w:pPr>
        <w:pStyle w:val="subsubparai"/>
      </w:pPr>
      <w:r w:rsidRPr="00423297">
        <w:t xml:space="preserve">20,042 </w:t>
      </w:r>
      <w:r w:rsidR="00527ADA" w:rsidRPr="00423297">
        <w:t xml:space="preserve">consumers </w:t>
      </w:r>
      <w:r w:rsidR="00207B56" w:rsidRPr="00423297">
        <w:t>applied</w:t>
      </w:r>
      <w:r w:rsidR="00527ADA" w:rsidRPr="00423297">
        <w:t xml:space="preserve"> for </w:t>
      </w:r>
      <w:r w:rsidR="00085E99" w:rsidRPr="00423297">
        <w:t xml:space="preserve">an </w:t>
      </w:r>
      <w:r w:rsidR="00527ADA" w:rsidRPr="00423297">
        <w:t>interest in a time-sharing scheme:</w:t>
      </w:r>
    </w:p>
    <w:p w14:paraId="6A3E8A16" w14:textId="6A1DB203" w:rsidR="00527ADA" w:rsidRPr="00423297" w:rsidRDefault="001F3E56" w:rsidP="00527ADA">
      <w:pPr>
        <w:pStyle w:val="subsubparai"/>
      </w:pPr>
      <w:r w:rsidRPr="00423297">
        <w:t>3,469</w:t>
      </w:r>
      <w:r w:rsidR="00527ADA" w:rsidRPr="00423297">
        <w:t xml:space="preserve"> consumers exercised their cooling-off rights during the cooling off period</w:t>
      </w:r>
      <w:r w:rsidR="001C167E" w:rsidRPr="00423297">
        <w:t>;</w:t>
      </w:r>
    </w:p>
    <w:p w14:paraId="7C444DAC" w14:textId="2E2FF3B5" w:rsidR="00527ADA" w:rsidRPr="00423297" w:rsidRDefault="00527ADA" w:rsidP="00527ADA">
      <w:pPr>
        <w:pStyle w:val="subsubparai"/>
      </w:pPr>
      <w:bookmarkStart w:id="169" w:name="_Hlk40457266"/>
      <w:r w:rsidRPr="00423297">
        <w:t>1,27</w:t>
      </w:r>
      <w:r w:rsidR="001F3E56" w:rsidRPr="00423297">
        <w:t>7</w:t>
      </w:r>
      <w:r w:rsidRPr="00423297">
        <w:t xml:space="preserve"> consumers were allowed to exit after the end of the cooling-off period; and</w:t>
      </w:r>
    </w:p>
    <w:p w14:paraId="6364BDF6" w14:textId="08A8DAD2" w:rsidR="00527ADA" w:rsidRPr="00423297" w:rsidRDefault="001F3E56" w:rsidP="00527ADA">
      <w:pPr>
        <w:pStyle w:val="subsubparai"/>
      </w:pPr>
      <w:r w:rsidRPr="00423297">
        <w:t>1,010</w:t>
      </w:r>
      <w:r w:rsidR="00527ADA" w:rsidRPr="00423297">
        <w:t xml:space="preserve"> consumers did not proceed due to a failure to obtain finance</w:t>
      </w:r>
      <w:bookmarkEnd w:id="169"/>
      <w:r w:rsidR="00212273" w:rsidRPr="00423297">
        <w:t>; and</w:t>
      </w:r>
    </w:p>
    <w:p w14:paraId="08C2B112" w14:textId="4F5BEA71" w:rsidR="00212273" w:rsidRPr="00423297" w:rsidRDefault="00212273" w:rsidP="00212273">
      <w:pPr>
        <w:pStyle w:val="subparaa"/>
      </w:pPr>
      <w:r w:rsidRPr="00423297">
        <w:t xml:space="preserve">10,025 consumers (or 48% of all consumers) applied for finance to purchase the interest during a similar period </w:t>
      </w:r>
      <w:r w:rsidR="00AA7B44" w:rsidRPr="00423297">
        <w:t>(</w:t>
      </w:r>
      <w:r w:rsidRPr="00423297">
        <w:t xml:space="preserve">see </w:t>
      </w:r>
      <w:hyperlink r:id="rId43" w:history="1">
        <w:r w:rsidRPr="00423297">
          <w:rPr>
            <w:rStyle w:val="Hyperlink"/>
          </w:rPr>
          <w:t>REP 642</w:t>
        </w:r>
      </w:hyperlink>
      <w:r w:rsidRPr="00423297">
        <w:t xml:space="preserve"> at paragraph</w:t>
      </w:r>
      <w:r w:rsidR="00BF65B2">
        <w:t> </w:t>
      </w:r>
      <w:r w:rsidRPr="00423297">
        <w:t>34</w:t>
      </w:r>
      <w:r w:rsidR="00AA7B44" w:rsidRPr="00423297">
        <w:t>)</w:t>
      </w:r>
      <w:r w:rsidRPr="00423297">
        <w:t>.</w:t>
      </w:r>
    </w:p>
    <w:p w14:paraId="3C14DD94" w14:textId="23510155" w:rsidR="00527ADA" w:rsidRPr="00423297" w:rsidRDefault="00527ADA" w:rsidP="000E42B6">
      <w:pPr>
        <w:pStyle w:val="Heading4"/>
      </w:pPr>
      <w:r w:rsidRPr="00423297">
        <w:t xml:space="preserve">Proposals </w:t>
      </w:r>
      <w:r w:rsidR="00AA7B44" w:rsidRPr="00423297">
        <w:t>affe</w:t>
      </w:r>
      <w:r w:rsidRPr="00423297">
        <w:t>cting members of time-sharing schemes</w:t>
      </w:r>
    </w:p>
    <w:p w14:paraId="69983AEE" w14:textId="7803E81B" w:rsidR="001B10CE" w:rsidRPr="00423297" w:rsidRDefault="00527ADA" w:rsidP="00527ADA">
      <w:pPr>
        <w:pStyle w:val="BodyText"/>
      </w:pPr>
      <w:bookmarkStart w:id="170" w:name="_ASICRef243"/>
      <w:r w:rsidRPr="00423297">
        <w:t xml:space="preserve">The proposals to introduce formal hardship arrangements and new requirements for points-based </w:t>
      </w:r>
      <w:r w:rsidR="00470747" w:rsidRPr="00423297">
        <w:t>programs</w:t>
      </w:r>
      <w:r w:rsidRPr="00423297">
        <w:t xml:space="preserve"> will deliver benefits to consumers as members of time-sharing schemes. </w:t>
      </w:r>
      <w:bookmarkEnd w:id="170"/>
    </w:p>
    <w:p w14:paraId="07854CA3" w14:textId="3BD67A9C" w:rsidR="00527ADA" w:rsidRPr="00423297" w:rsidRDefault="00527ADA" w:rsidP="00527ADA">
      <w:pPr>
        <w:pStyle w:val="BodyText"/>
      </w:pPr>
      <w:r w:rsidRPr="00423297">
        <w:t>It is difficult to quantify the benefits of these changes</w:t>
      </w:r>
      <w:r w:rsidR="00AA7B44" w:rsidRPr="00423297">
        <w:t>. This is because</w:t>
      </w:r>
      <w:r w:rsidRPr="00423297">
        <w:t xml:space="preserve"> the nature of the benefits members derive from </w:t>
      </w:r>
      <w:r w:rsidR="00AA7B44" w:rsidRPr="00423297">
        <w:t>time-sharing</w:t>
      </w:r>
      <w:r w:rsidRPr="00423297">
        <w:t xml:space="preserve"> schemes</w:t>
      </w:r>
      <w:r w:rsidR="00AA7B44" w:rsidRPr="00423297">
        <w:t xml:space="preserve"> is largely experiential</w:t>
      </w:r>
      <w:r w:rsidRPr="00423297">
        <w:t>, the</w:t>
      </w:r>
      <w:r w:rsidR="00AA7B44" w:rsidRPr="00423297">
        <w:t>re are a</w:t>
      </w:r>
      <w:r w:rsidRPr="00423297">
        <w:t xml:space="preserve"> variety of membership options across the industry</w:t>
      </w:r>
      <w:r w:rsidR="00AA7B44" w:rsidRPr="00423297">
        <w:t>,</w:t>
      </w:r>
      <w:r w:rsidRPr="00423297">
        <w:t xml:space="preserve"> and hardship itself </w:t>
      </w:r>
      <w:r w:rsidR="00AA7B44" w:rsidRPr="00423297">
        <w:t>is unpredictable</w:t>
      </w:r>
      <w:r w:rsidRPr="00423297">
        <w:t>.</w:t>
      </w:r>
    </w:p>
    <w:p w14:paraId="32DC6184" w14:textId="27D7C4A9" w:rsidR="002721AB" w:rsidRPr="00423297" w:rsidRDefault="001B10CE" w:rsidP="002930A0">
      <w:pPr>
        <w:pStyle w:val="BodyText"/>
      </w:pPr>
      <w:bookmarkStart w:id="171" w:name="_Ref40459053"/>
      <w:r w:rsidRPr="00423297">
        <w:t xml:space="preserve">However, we estimate </w:t>
      </w:r>
      <w:r w:rsidR="007F243B" w:rsidRPr="00423297">
        <w:t>that there is the potential for a large number of members to benefit from the new formal hardship arrangements</w:t>
      </w:r>
      <w:r w:rsidR="00AA7B44" w:rsidRPr="00423297">
        <w:t xml:space="preserve">. In 2019, </w:t>
      </w:r>
      <w:r w:rsidR="00527ADA" w:rsidRPr="00423297">
        <w:t>1</w:t>
      </w:r>
      <w:r w:rsidR="007F243B" w:rsidRPr="00423297">
        <w:t>,</w:t>
      </w:r>
      <w:r w:rsidR="00527ADA" w:rsidRPr="00423297">
        <w:t xml:space="preserve">967 </w:t>
      </w:r>
      <w:r w:rsidR="007F243B" w:rsidRPr="00423297">
        <w:t xml:space="preserve">members </w:t>
      </w:r>
      <w:r w:rsidR="00AA7B44" w:rsidRPr="00423297">
        <w:t xml:space="preserve">exited time-sharing schemes under informal </w:t>
      </w:r>
      <w:r w:rsidR="00527ADA" w:rsidRPr="00423297">
        <w:t xml:space="preserve">hardship arrangements. These </w:t>
      </w:r>
      <w:r w:rsidR="00AA7B44" w:rsidRPr="00423297">
        <w:t xml:space="preserve">new </w:t>
      </w:r>
      <w:r w:rsidR="00527ADA" w:rsidRPr="00423297">
        <w:t xml:space="preserve">arrangements </w:t>
      </w:r>
      <w:r w:rsidR="009A2E85" w:rsidRPr="00423297">
        <w:t>will</w:t>
      </w:r>
      <w:r w:rsidR="00B87D7B" w:rsidRPr="00423297">
        <w:t xml:space="preserve"> </w:t>
      </w:r>
      <w:r w:rsidR="00040177" w:rsidRPr="00423297">
        <w:t>help</w:t>
      </w:r>
      <w:r w:rsidR="004000AE" w:rsidRPr="00423297">
        <w:t xml:space="preserve"> </w:t>
      </w:r>
      <w:r w:rsidR="00527ADA" w:rsidRPr="00423297">
        <w:t xml:space="preserve">members suffering hardship </w:t>
      </w:r>
      <w:r w:rsidR="00B87D7B" w:rsidRPr="00423297">
        <w:t xml:space="preserve">exit </w:t>
      </w:r>
      <w:r w:rsidR="00AA7B44" w:rsidRPr="00423297">
        <w:t xml:space="preserve">a </w:t>
      </w:r>
      <w:r w:rsidR="00B87D7B" w:rsidRPr="00423297">
        <w:t>scheme</w:t>
      </w:r>
      <w:r w:rsidR="00160E39" w:rsidRPr="00423297">
        <w:t xml:space="preserve"> </w:t>
      </w:r>
      <w:r w:rsidR="005B10F0" w:rsidRPr="00423297">
        <w:t>whe</w:t>
      </w:r>
      <w:r w:rsidR="00773738" w:rsidRPr="00423297">
        <w:t>n</w:t>
      </w:r>
      <w:r w:rsidR="005B10F0" w:rsidRPr="00423297">
        <w:t xml:space="preserve"> they are unable to </w:t>
      </w:r>
      <w:r w:rsidR="008B11D6" w:rsidRPr="00423297">
        <w:t>use</w:t>
      </w:r>
      <w:r w:rsidR="005B10F0" w:rsidRPr="00423297">
        <w:t xml:space="preserve"> their interests due to financial or medical hardship.</w:t>
      </w:r>
      <w:r w:rsidR="0006380C" w:rsidRPr="00423297">
        <w:t xml:space="preserve"> These arrangements will also</w:t>
      </w:r>
      <w:r w:rsidR="00B87D7B" w:rsidRPr="00423297">
        <w:t xml:space="preserve"> </w:t>
      </w:r>
      <w:r w:rsidR="004000AE" w:rsidRPr="00423297">
        <w:t>reduc</w:t>
      </w:r>
      <w:r w:rsidR="009A2E85" w:rsidRPr="00423297">
        <w:t>e</w:t>
      </w:r>
      <w:r w:rsidR="004000AE" w:rsidRPr="00423297">
        <w:t xml:space="preserve"> </w:t>
      </w:r>
      <w:r w:rsidR="00B87D7B" w:rsidRPr="00423297">
        <w:t>the financial costs that may be recovered from them after their hardship application has been approved</w:t>
      </w:r>
      <w:r w:rsidR="009E7264" w:rsidRPr="00423297">
        <w:t xml:space="preserve">, including the average $800 in ongoing </w:t>
      </w:r>
      <w:r w:rsidR="00AA7B44" w:rsidRPr="00423297">
        <w:t xml:space="preserve">annual </w:t>
      </w:r>
      <w:r w:rsidR="009E7264" w:rsidRPr="00423297">
        <w:t>fees</w:t>
      </w:r>
      <w:r w:rsidRPr="00423297">
        <w:t>.</w:t>
      </w:r>
      <w:bookmarkEnd w:id="171"/>
    </w:p>
    <w:p w14:paraId="036CC4DC" w14:textId="41BCD9F8" w:rsidR="00F86863" w:rsidRPr="00423297" w:rsidRDefault="002721AB" w:rsidP="002930A0">
      <w:pPr>
        <w:pStyle w:val="BodyText"/>
      </w:pPr>
      <w:bookmarkStart w:id="172" w:name="_Ref40459169"/>
      <w:bookmarkStart w:id="173" w:name="_Ref40979230"/>
      <w:r w:rsidRPr="00423297">
        <w:t xml:space="preserve">We estimate that </w:t>
      </w:r>
      <w:r w:rsidR="00527ADA" w:rsidRPr="00423297">
        <w:t>107,305 m</w:t>
      </w:r>
      <w:r w:rsidR="00F86863" w:rsidRPr="00423297">
        <w:t>embers of points-based programs</w:t>
      </w:r>
      <w:r w:rsidR="00BA0B9F" w:rsidRPr="00423297">
        <w:t xml:space="preserve"> (being the number of members reported by ATHOC to ASIC for the 2018 calendar year)</w:t>
      </w:r>
      <w:r w:rsidR="00527ADA" w:rsidRPr="00423297">
        <w:t xml:space="preserve"> </w:t>
      </w:r>
      <w:r w:rsidR="00F86863" w:rsidRPr="00423297">
        <w:t>will benefit from the new requirements targeting the dilution of interests and diminishment of membership experience.</w:t>
      </w:r>
      <w:bookmarkEnd w:id="172"/>
      <w:bookmarkEnd w:id="173"/>
    </w:p>
    <w:p w14:paraId="12DE9FB8" w14:textId="3CFF8D7C" w:rsidR="004665F0" w:rsidRPr="00423297" w:rsidRDefault="004665F0" w:rsidP="004665F0">
      <w:pPr>
        <w:pStyle w:val="Heading3"/>
      </w:pPr>
      <w:r w:rsidRPr="00423297">
        <w:lastRenderedPageBreak/>
        <w:t xml:space="preserve">Impact on ASIC </w:t>
      </w:r>
      <w:r w:rsidR="00153346" w:rsidRPr="00423297">
        <w:t xml:space="preserve">and </w:t>
      </w:r>
      <w:r w:rsidRPr="00423297">
        <w:t>other parts of Government</w:t>
      </w:r>
    </w:p>
    <w:p w14:paraId="7D152DB2" w14:textId="00C442FF" w:rsidR="005A67C5" w:rsidRPr="00423297" w:rsidRDefault="00773738" w:rsidP="005A67C5">
      <w:pPr>
        <w:pStyle w:val="BodyText"/>
      </w:pPr>
      <w:r w:rsidRPr="00423297">
        <w:t>We</w:t>
      </w:r>
      <w:r w:rsidR="004665F0" w:rsidRPr="00423297">
        <w:t xml:space="preserve"> will need to monitor and enforce the proposed regulatory changes</w:t>
      </w:r>
      <w:r w:rsidR="00C31F0F" w:rsidRPr="00423297">
        <w:t xml:space="preserve">, but these costs will reduce as the level of </w:t>
      </w:r>
      <w:r w:rsidR="00553D3C" w:rsidRPr="00423297">
        <w:t xml:space="preserve">industry </w:t>
      </w:r>
      <w:r w:rsidR="00C31F0F" w:rsidRPr="00423297">
        <w:t>compliance increases</w:t>
      </w:r>
      <w:r w:rsidR="005A67C5" w:rsidRPr="00423297">
        <w:t xml:space="preserve">. </w:t>
      </w:r>
    </w:p>
    <w:p w14:paraId="4A267750" w14:textId="044AF43A" w:rsidR="00153346" w:rsidRPr="00423297" w:rsidRDefault="00153346" w:rsidP="005A67C5">
      <w:pPr>
        <w:pStyle w:val="BodyText"/>
      </w:pPr>
      <w:r w:rsidRPr="00423297">
        <w:t>As we have decided not to progress the enhanced cooling-off model</w:t>
      </w:r>
      <w:r w:rsidR="00533D9B" w:rsidRPr="00423297">
        <w:t xml:space="preserve"> at this time</w:t>
      </w:r>
      <w:r w:rsidRPr="00423297">
        <w:t xml:space="preserve">, </w:t>
      </w:r>
      <w:r w:rsidR="009A324E" w:rsidRPr="00423297">
        <w:t>we</w:t>
      </w:r>
      <w:r w:rsidRPr="00423297">
        <w:t xml:space="preserve"> will need to conduct further consultation before deciding whether to implement an enhanced cooling-off model or a deferred sales model to address pressure-selling of interests in time-sharing schemes.</w:t>
      </w:r>
    </w:p>
    <w:p w14:paraId="41ECCE04" w14:textId="4A880267" w:rsidR="004665F0" w:rsidRPr="00423297" w:rsidRDefault="00153346" w:rsidP="005A67C5">
      <w:pPr>
        <w:pStyle w:val="BodyText"/>
      </w:pPr>
      <w:r w:rsidRPr="00423297">
        <w:t>Government administration costs outside ASIC are not likely to change.</w:t>
      </w:r>
    </w:p>
    <w:p w14:paraId="49AFE4F0" w14:textId="618D8F72" w:rsidR="00B87D7B" w:rsidRPr="00423297" w:rsidRDefault="00B87D7B" w:rsidP="00763C61">
      <w:pPr>
        <w:pStyle w:val="Heading2"/>
      </w:pPr>
      <w:bookmarkStart w:id="174" w:name="_Toc5365767"/>
      <w:bookmarkStart w:id="175" w:name="_Toc36467241"/>
      <w:bookmarkStart w:id="176" w:name="_Toc56669431"/>
      <w:r w:rsidRPr="00423297">
        <w:rPr>
          <w:rStyle w:val="Heading3Char"/>
          <w:b/>
          <w:sz w:val="28"/>
          <w:szCs w:val="28"/>
        </w:rPr>
        <w:t>Options 2 and 3</w:t>
      </w:r>
      <w:r w:rsidRPr="00423297">
        <w:t xml:space="preserve">: Adopt alternative changes to policy settings by introducing an opt-in regime or a deferred commencement date for </w:t>
      </w:r>
      <w:r w:rsidR="001E1114" w:rsidRPr="00423297">
        <w:t xml:space="preserve">the </w:t>
      </w:r>
      <w:r w:rsidR="00A35FC4" w:rsidRPr="00423297">
        <w:t>cooling</w:t>
      </w:r>
      <w:r w:rsidR="001818E5" w:rsidRPr="00423297">
        <w:t>-</w:t>
      </w:r>
      <w:r w:rsidRPr="00423297">
        <w:t>off</w:t>
      </w:r>
      <w:bookmarkEnd w:id="174"/>
      <w:r w:rsidR="001E1114" w:rsidRPr="00423297">
        <w:t xml:space="preserve"> period</w:t>
      </w:r>
      <w:bookmarkEnd w:id="175"/>
      <w:bookmarkEnd w:id="176"/>
    </w:p>
    <w:p w14:paraId="7BEE9F07" w14:textId="6C30E2C7" w:rsidR="00B87D7B" w:rsidRPr="00423297" w:rsidRDefault="00D36577" w:rsidP="002930A0">
      <w:pPr>
        <w:pStyle w:val="BodyText"/>
      </w:pPr>
      <w:r w:rsidRPr="00423297">
        <w:t>Both</w:t>
      </w:r>
      <w:r w:rsidR="00B87D7B" w:rsidRPr="00423297">
        <w:t xml:space="preserve"> </w:t>
      </w:r>
      <w:r w:rsidR="007E70D3" w:rsidRPr="00423297">
        <w:t>Options 2 and 3</w:t>
      </w:r>
      <w:r w:rsidR="00B87D7B" w:rsidRPr="00423297">
        <w:t xml:space="preserve"> are like </w:t>
      </w:r>
      <w:r w:rsidR="00C16456" w:rsidRPr="00423297">
        <w:t xml:space="preserve">revised </w:t>
      </w:r>
      <w:r w:rsidR="00B87D7B" w:rsidRPr="00423297">
        <w:t>Option 1, but with the following key differences:</w:t>
      </w:r>
    </w:p>
    <w:p w14:paraId="0C57D990" w14:textId="62123E69" w:rsidR="00B87D7B" w:rsidRPr="00423297" w:rsidRDefault="00B87D7B" w:rsidP="002930A0">
      <w:pPr>
        <w:pStyle w:val="subparaa"/>
      </w:pPr>
      <w:proofErr w:type="gramStart"/>
      <w:r w:rsidRPr="00423297">
        <w:t>under</w:t>
      </w:r>
      <w:proofErr w:type="gramEnd"/>
      <w:r w:rsidRPr="00423297">
        <w:t xml:space="preserve"> Option 2, introducing an opt-in regime to replace </w:t>
      </w:r>
      <w:r w:rsidR="00DD2FD6" w:rsidRPr="00423297">
        <w:t xml:space="preserve">the </w:t>
      </w:r>
      <w:r w:rsidRPr="00423297">
        <w:t xml:space="preserve">existing cooling-off </w:t>
      </w:r>
      <w:r w:rsidR="00DD2FD6" w:rsidRPr="00423297">
        <w:t>model</w:t>
      </w:r>
      <w:r w:rsidRPr="00423297">
        <w:t xml:space="preserve">, so that consumers must take positive steps to confirm the contract, rather than to </w:t>
      </w:r>
      <w:r w:rsidR="009A2E85" w:rsidRPr="00423297">
        <w:t>cool</w:t>
      </w:r>
      <w:r w:rsidR="001A5ABD" w:rsidRPr="00423297">
        <w:t xml:space="preserve"> </w:t>
      </w:r>
      <w:r w:rsidRPr="00423297">
        <w:t>off (or opt</w:t>
      </w:r>
      <w:r w:rsidR="001A5ABD" w:rsidRPr="00423297">
        <w:t xml:space="preserve"> </w:t>
      </w:r>
      <w:r w:rsidRPr="00423297">
        <w:t xml:space="preserve">out). This option was considered in response to concerns about the impact that selling practices have on consumers and concerns about the adequacy of cooling-off rights as a consumer protection mechanism; </w:t>
      </w:r>
    </w:p>
    <w:p w14:paraId="21423345" w14:textId="70F123C6" w:rsidR="00B87D7B" w:rsidRPr="00423297" w:rsidRDefault="00B87D7B" w:rsidP="002930A0">
      <w:pPr>
        <w:pStyle w:val="subparaa"/>
      </w:pPr>
      <w:proofErr w:type="gramStart"/>
      <w:r w:rsidRPr="00423297">
        <w:t>under</w:t>
      </w:r>
      <w:proofErr w:type="gramEnd"/>
      <w:r w:rsidRPr="00423297">
        <w:t xml:space="preserve"> Option 3, delaying the commencement of the existing cooling-off period for consumers who apply for finance or are on holiday. This </w:t>
      </w:r>
      <w:r w:rsidR="00F747F8" w:rsidRPr="00423297">
        <w:t>was considered</w:t>
      </w:r>
      <w:r w:rsidRPr="00423297">
        <w:t xml:space="preserve"> in response to concerns about the adequacy of the existing cooling-off </w:t>
      </w:r>
      <w:r w:rsidR="00DD2FD6" w:rsidRPr="00423297">
        <w:t xml:space="preserve">model </w:t>
      </w:r>
      <w:r w:rsidRPr="00423297">
        <w:t>as a consumer protection mechanism; and</w:t>
      </w:r>
    </w:p>
    <w:p w14:paraId="03B59C43" w14:textId="6EE41167" w:rsidR="00B87D7B" w:rsidRPr="00423297" w:rsidRDefault="00B87D7B" w:rsidP="002930A0">
      <w:pPr>
        <w:pStyle w:val="subparaa"/>
      </w:pPr>
      <w:r w:rsidRPr="00423297">
        <w:t>under Option 2 and 3, requiring enhanced upfront disclosure about costs</w:t>
      </w:r>
      <w:r w:rsidR="001A5ABD" w:rsidRPr="00423297">
        <w:t>—</w:t>
      </w:r>
      <w:r w:rsidRPr="00423297">
        <w:t xml:space="preserve">whether this is disclosure of the total amount payable over the term of membership or a worked example over a </w:t>
      </w:r>
      <w:r w:rsidR="00B73082" w:rsidRPr="00423297">
        <w:t>one-</w:t>
      </w:r>
      <w:r w:rsidR="00F25878" w:rsidRPr="00423297">
        <w:t>year</w:t>
      </w:r>
      <w:r w:rsidR="00B73082" w:rsidRPr="00423297">
        <w:t xml:space="preserve"> or 10-year</w:t>
      </w:r>
      <w:r w:rsidRPr="00423297">
        <w:t xml:space="preserve"> period</w:t>
      </w:r>
      <w:r w:rsidR="001A5ABD" w:rsidRPr="00423297">
        <w:t>—</w:t>
      </w:r>
      <w:r w:rsidRPr="00423297">
        <w:t xml:space="preserve">to provide consumers with a better understanding of the real cost of membership. This </w:t>
      </w:r>
      <w:r w:rsidR="00F747F8" w:rsidRPr="00423297">
        <w:t>was considered</w:t>
      </w:r>
      <w:r w:rsidRPr="00423297">
        <w:t xml:space="preserve"> in response to concerns that consumers do not understand the real cost of their membership term.</w:t>
      </w:r>
    </w:p>
    <w:p w14:paraId="32E19860" w14:textId="6972C305" w:rsidR="00B87D7B" w:rsidRPr="00423297" w:rsidRDefault="004665F0" w:rsidP="008250FD">
      <w:pPr>
        <w:pStyle w:val="Heading3"/>
      </w:pPr>
      <w:r w:rsidRPr="00423297">
        <w:t>Impact on o</w:t>
      </w:r>
      <w:r w:rsidR="00F747F8" w:rsidRPr="00423297">
        <w:t>perators of registered schemes and promoters</w:t>
      </w:r>
    </w:p>
    <w:p w14:paraId="03353888" w14:textId="77777777" w:rsidR="001A5ABD" w:rsidRPr="00423297" w:rsidRDefault="00B87D7B" w:rsidP="002930A0">
      <w:pPr>
        <w:pStyle w:val="BodyText"/>
        <w:rPr>
          <w:b/>
        </w:rPr>
      </w:pPr>
      <w:r w:rsidRPr="00423297">
        <w:t xml:space="preserve">For Option 2, operators </w:t>
      </w:r>
      <w:r w:rsidR="00F747F8" w:rsidRPr="00423297">
        <w:t xml:space="preserve">and promoters </w:t>
      </w:r>
      <w:r w:rsidRPr="00423297">
        <w:t>submitted that the introduction of an opt-in regime would be detrimental to the industry and the broader holiday and tourism economy. They anticipated their sales would reduce dramatically</w:t>
      </w:r>
      <w:r w:rsidR="001A5ABD" w:rsidRPr="00423297">
        <w:t>,</w:t>
      </w:r>
      <w:r w:rsidRPr="00423297">
        <w:t xml:space="preserve"> which would impact</w:t>
      </w:r>
      <w:r w:rsidR="001A5ABD" w:rsidRPr="00423297">
        <w:t>:</w:t>
      </w:r>
      <w:r w:rsidRPr="00423297">
        <w:t xml:space="preserve"> </w:t>
      </w:r>
    </w:p>
    <w:p w14:paraId="017D8135" w14:textId="3E7C908F" w:rsidR="001A5ABD" w:rsidRPr="00423297" w:rsidRDefault="00B87D7B" w:rsidP="001A5ABD">
      <w:pPr>
        <w:pStyle w:val="subparaa"/>
        <w:rPr>
          <w:b/>
        </w:rPr>
      </w:pPr>
      <w:r w:rsidRPr="00423297">
        <w:t>the operators</w:t>
      </w:r>
      <w:r w:rsidR="00E85602" w:rsidRPr="00423297">
        <w:t xml:space="preserve"> and promoters</w:t>
      </w:r>
      <w:r w:rsidR="001A5ABD" w:rsidRPr="00423297">
        <w:t>;</w:t>
      </w:r>
      <w:r w:rsidRPr="00423297">
        <w:t xml:space="preserve"> </w:t>
      </w:r>
    </w:p>
    <w:p w14:paraId="448EB8B1" w14:textId="77777777" w:rsidR="001A5ABD" w:rsidRPr="00423297" w:rsidRDefault="00B87D7B" w:rsidP="001A5ABD">
      <w:pPr>
        <w:pStyle w:val="subparaa"/>
        <w:rPr>
          <w:b/>
        </w:rPr>
      </w:pPr>
      <w:r w:rsidRPr="00423297">
        <w:t>their representatives</w:t>
      </w:r>
      <w:r w:rsidR="001A5ABD" w:rsidRPr="00423297">
        <w:t>;</w:t>
      </w:r>
      <w:r w:rsidRPr="00423297">
        <w:t xml:space="preserve"> and </w:t>
      </w:r>
    </w:p>
    <w:p w14:paraId="6A94E5A6" w14:textId="3D93E5D8" w:rsidR="001A5ABD" w:rsidRPr="00423297" w:rsidRDefault="00B87D7B" w:rsidP="001A5ABD">
      <w:pPr>
        <w:pStyle w:val="subparaa"/>
        <w:rPr>
          <w:b/>
        </w:rPr>
      </w:pPr>
      <w:proofErr w:type="gramStart"/>
      <w:r w:rsidRPr="00423297">
        <w:lastRenderedPageBreak/>
        <w:t>existing</w:t>
      </w:r>
      <w:proofErr w:type="gramEnd"/>
      <w:r w:rsidRPr="00423297">
        <w:t xml:space="preserve"> members of schemes that are reliant on the introduction of new members for the enhancement of their time-shar</w:t>
      </w:r>
      <w:r w:rsidR="001A5ABD" w:rsidRPr="00423297">
        <w:t>ing schem</w:t>
      </w:r>
      <w:r w:rsidRPr="00423297">
        <w:t xml:space="preserve">e experience. </w:t>
      </w:r>
    </w:p>
    <w:p w14:paraId="464F12B5" w14:textId="143DC559" w:rsidR="001A5ABD" w:rsidRPr="00423297" w:rsidRDefault="001A5ABD" w:rsidP="00953431">
      <w:pPr>
        <w:pStyle w:val="Note"/>
      </w:pPr>
      <w:r w:rsidRPr="00423297">
        <w:t xml:space="preserve">Note: See </w:t>
      </w:r>
      <w:hyperlink r:id="rId44" w:history="1">
        <w:r w:rsidRPr="00423297">
          <w:rPr>
            <w:rStyle w:val="Hyperlink"/>
          </w:rPr>
          <w:t>ATHOC</w:t>
        </w:r>
        <w:r w:rsidR="00D61E78">
          <w:rPr>
            <w:rStyle w:val="Hyperlink"/>
          </w:rPr>
          <w:t>’</w:t>
        </w:r>
        <w:r w:rsidRPr="00423297">
          <w:rPr>
            <w:rStyle w:val="Hyperlink"/>
          </w:rPr>
          <w:t>s submission</w:t>
        </w:r>
      </w:hyperlink>
      <w:r w:rsidR="00AC6F8D" w:rsidRPr="00423297">
        <w:t xml:space="preserve"> (PDF 367 KB)</w:t>
      </w:r>
      <w:r w:rsidRPr="00423297">
        <w:t xml:space="preserve"> </w:t>
      </w:r>
      <w:r w:rsidR="00AC6F8D" w:rsidRPr="00423297">
        <w:t>on question B6Q7 in CP 272.</w:t>
      </w:r>
      <w:r w:rsidR="00BD3A69">
        <w:t xml:space="preserve"> </w:t>
      </w:r>
    </w:p>
    <w:p w14:paraId="139F7850" w14:textId="36CA1344" w:rsidR="00B87D7B" w:rsidRPr="00423297" w:rsidRDefault="00B87D7B" w:rsidP="002930A0">
      <w:pPr>
        <w:pStyle w:val="BodyText"/>
        <w:rPr>
          <w:b/>
        </w:rPr>
      </w:pPr>
      <w:r w:rsidRPr="00423297">
        <w:t xml:space="preserve">There were also concerns that the introduction of an opt-in regime would increase </w:t>
      </w:r>
      <w:bookmarkStart w:id="177" w:name="_Hlk11334712"/>
      <w:r w:rsidR="0005598D" w:rsidRPr="00423297">
        <w:t>costs</w:t>
      </w:r>
      <w:r w:rsidR="00AC6F8D" w:rsidRPr="00423297">
        <w:t>,</w:t>
      </w:r>
      <w:r w:rsidR="0005598D" w:rsidRPr="00423297">
        <w:t xml:space="preserve"> </w:t>
      </w:r>
      <w:r w:rsidR="00AC6F8D" w:rsidRPr="00423297">
        <w:t>due</w:t>
      </w:r>
      <w:r w:rsidR="0005598D" w:rsidRPr="00423297">
        <w:t xml:space="preserve"> to the implementation and monitoring of processes to manage </w:t>
      </w:r>
      <w:r w:rsidR="00AC1B5F" w:rsidRPr="00423297">
        <w:t>opting</w:t>
      </w:r>
      <w:r w:rsidR="00AC6F8D" w:rsidRPr="00423297">
        <w:t xml:space="preserve"> </w:t>
      </w:r>
      <w:r w:rsidR="00AC1B5F" w:rsidRPr="00423297">
        <w:t>in</w:t>
      </w:r>
      <w:r w:rsidR="0005598D" w:rsidRPr="00423297">
        <w:t>, including legal</w:t>
      </w:r>
      <w:r w:rsidR="00185CF3" w:rsidRPr="00423297">
        <w:t xml:space="preserve">, </w:t>
      </w:r>
      <w:r w:rsidR="00841BCB" w:rsidRPr="00423297">
        <w:t>information technology</w:t>
      </w:r>
      <w:r w:rsidR="00AC6F8D" w:rsidRPr="00423297">
        <w:t xml:space="preserve"> (IT)</w:t>
      </w:r>
      <w:r w:rsidR="00841BCB" w:rsidRPr="00423297">
        <w:t xml:space="preserve">, </w:t>
      </w:r>
      <w:r w:rsidRPr="00423297">
        <w:t>compliance</w:t>
      </w:r>
      <w:r w:rsidR="0005598D" w:rsidRPr="00423297">
        <w:t xml:space="preserve"> </w:t>
      </w:r>
      <w:r w:rsidR="00185CF3" w:rsidRPr="00423297">
        <w:t>and</w:t>
      </w:r>
      <w:r w:rsidR="0005598D" w:rsidRPr="00423297">
        <w:t xml:space="preserve"> training</w:t>
      </w:r>
      <w:r w:rsidRPr="00423297">
        <w:t xml:space="preserve"> costs</w:t>
      </w:r>
      <w:r w:rsidR="0005598D" w:rsidRPr="00423297">
        <w:t xml:space="preserve">. These costs would </w:t>
      </w:r>
      <w:r w:rsidRPr="00423297">
        <w:t xml:space="preserve">likely be passed on to </w:t>
      </w:r>
      <w:r w:rsidR="00F747F8" w:rsidRPr="00423297">
        <w:t>members</w:t>
      </w:r>
      <w:bookmarkEnd w:id="177"/>
      <w:r w:rsidRPr="00423297">
        <w:t>.</w:t>
      </w:r>
    </w:p>
    <w:p w14:paraId="67D75BF1" w14:textId="0F1A5628" w:rsidR="00B87D7B" w:rsidRPr="00423297" w:rsidRDefault="00B87D7B" w:rsidP="002930A0">
      <w:pPr>
        <w:pStyle w:val="BodyText"/>
        <w:rPr>
          <w:rFonts w:ascii="Tahoma" w:hAnsi="Tahoma" w:cs="Tahoma"/>
          <w:color w:val="000000"/>
          <w:sz w:val="20"/>
        </w:rPr>
      </w:pPr>
      <w:r w:rsidRPr="00423297">
        <w:t xml:space="preserve">For Option 3, operators submitted that the introduction of a change to the commencement of the cooling-off period would create a disproportionate administrative burden </w:t>
      </w:r>
      <w:r w:rsidR="0010728E" w:rsidRPr="00423297">
        <w:t>for</w:t>
      </w:r>
      <w:r w:rsidRPr="00423297">
        <w:t xml:space="preserve"> industry and lead to uncertainty, inefficiency or administrative errors in the operation of the cooling-off period</w:t>
      </w:r>
      <w:r w:rsidR="00841BCB" w:rsidRPr="00423297">
        <w:rPr>
          <w:color w:val="000000"/>
        </w:rPr>
        <w:t>. Operators noted costs associated with this option would be similar to those in Option 2</w:t>
      </w:r>
      <w:r w:rsidR="00AC2F0A" w:rsidRPr="00423297">
        <w:rPr>
          <w:color w:val="000000"/>
        </w:rPr>
        <w:t>,</w:t>
      </w:r>
      <w:r w:rsidR="00841BCB" w:rsidRPr="00423297">
        <w:rPr>
          <w:color w:val="000000"/>
        </w:rPr>
        <w:t xml:space="preserve"> </w:t>
      </w:r>
      <w:r w:rsidR="006315B0" w:rsidRPr="00423297">
        <w:rPr>
          <w:color w:val="000000"/>
        </w:rPr>
        <w:t xml:space="preserve">and </w:t>
      </w:r>
      <w:r w:rsidR="00841BCB" w:rsidRPr="00423297">
        <w:rPr>
          <w:color w:val="000000"/>
        </w:rPr>
        <w:t>relate to the implementation and monitoring of processes to manage opting-in</w:t>
      </w:r>
      <w:r w:rsidR="00AC2F0A" w:rsidRPr="00423297">
        <w:rPr>
          <w:color w:val="000000"/>
        </w:rPr>
        <w:t>—</w:t>
      </w:r>
      <w:r w:rsidR="00841BCB" w:rsidRPr="00423297">
        <w:rPr>
          <w:color w:val="000000"/>
        </w:rPr>
        <w:t xml:space="preserve">including legal, </w:t>
      </w:r>
      <w:r w:rsidR="00AC2F0A" w:rsidRPr="00423297">
        <w:rPr>
          <w:color w:val="000000"/>
        </w:rPr>
        <w:t>IT</w:t>
      </w:r>
      <w:r w:rsidR="00841BCB" w:rsidRPr="00423297">
        <w:rPr>
          <w:color w:val="000000"/>
        </w:rPr>
        <w:t>, compliance and training costs. These costs would likely be passed on to members</w:t>
      </w:r>
      <w:r w:rsidR="00063621" w:rsidRPr="00423297">
        <w:rPr>
          <w:color w:val="000000"/>
        </w:rPr>
        <w:t>.</w:t>
      </w:r>
      <w:r w:rsidR="00BD3A69">
        <w:rPr>
          <w:color w:val="000000"/>
        </w:rPr>
        <w:t xml:space="preserve"> </w:t>
      </w:r>
    </w:p>
    <w:p w14:paraId="4BEF264F" w14:textId="2D9A11AA" w:rsidR="00B87D7B" w:rsidRPr="00423297" w:rsidRDefault="00B87D7B" w:rsidP="002930A0">
      <w:pPr>
        <w:pStyle w:val="BodyText"/>
      </w:pPr>
      <w:r w:rsidRPr="00423297">
        <w:t xml:space="preserve">For Option 2 and 3, </w:t>
      </w:r>
      <w:r w:rsidR="00F747F8" w:rsidRPr="00423297">
        <w:t>operators and promoters</w:t>
      </w:r>
      <w:r w:rsidRPr="00423297">
        <w:t xml:space="preserve"> also submitted that disclosure of fees and costs for the entire term of the product may be misleading and result in non-compliance with the PDS content requirements. This was because fees and costs are subject to change and would need to be forecast for a lengthy period (which may be up to 60 years).</w:t>
      </w:r>
    </w:p>
    <w:p w14:paraId="05582F71" w14:textId="1DDD760C" w:rsidR="00F747F8" w:rsidRPr="00423297" w:rsidRDefault="004665F0" w:rsidP="008250FD">
      <w:pPr>
        <w:pStyle w:val="Heading3"/>
      </w:pPr>
      <w:r w:rsidRPr="00423297">
        <w:t>Impact on r</w:t>
      </w:r>
      <w:r w:rsidR="00F747F8" w:rsidRPr="00423297">
        <w:t>elated finance</w:t>
      </w:r>
      <w:r w:rsidR="00AC2F0A" w:rsidRPr="00423297">
        <w:t xml:space="preserve"> provide</w:t>
      </w:r>
      <w:r w:rsidR="00F747F8" w:rsidRPr="00423297">
        <w:t>rs</w:t>
      </w:r>
    </w:p>
    <w:p w14:paraId="2320A9C4" w14:textId="528E924B" w:rsidR="00F747F8" w:rsidRPr="00423297" w:rsidRDefault="00F747F8" w:rsidP="002930A0">
      <w:pPr>
        <w:pStyle w:val="BodyText"/>
        <w:rPr>
          <w:spacing w:val="-2"/>
        </w:rPr>
      </w:pPr>
      <w:r w:rsidRPr="00423297">
        <w:rPr>
          <w:spacing w:val="-2"/>
        </w:rPr>
        <w:t>Related finance</w:t>
      </w:r>
      <w:r w:rsidR="00AC2F0A" w:rsidRPr="00423297">
        <w:rPr>
          <w:spacing w:val="-2"/>
        </w:rPr>
        <w:t xml:space="preserve"> provide</w:t>
      </w:r>
      <w:r w:rsidRPr="00423297">
        <w:rPr>
          <w:spacing w:val="-2"/>
        </w:rPr>
        <w:t>rs identified that proposals to introduce an opt-in or deferred cooling-off regime would result in increased</w:t>
      </w:r>
      <w:r w:rsidR="00837853" w:rsidRPr="00423297">
        <w:rPr>
          <w:spacing w:val="-2"/>
        </w:rPr>
        <w:t xml:space="preserve"> legal, training, management and administration</w:t>
      </w:r>
      <w:r w:rsidRPr="00423297">
        <w:rPr>
          <w:spacing w:val="-2"/>
        </w:rPr>
        <w:t xml:space="preserve"> costs</w:t>
      </w:r>
      <w:r w:rsidR="00AC2F0A" w:rsidRPr="00423297">
        <w:rPr>
          <w:spacing w:val="-2"/>
        </w:rPr>
        <w:t>—</w:t>
      </w:r>
      <w:r w:rsidR="00837853" w:rsidRPr="00423297">
        <w:rPr>
          <w:spacing w:val="-2"/>
        </w:rPr>
        <w:t>including costs associated with the review of loan documentation</w:t>
      </w:r>
      <w:r w:rsidR="00AC2F0A" w:rsidRPr="00423297">
        <w:rPr>
          <w:spacing w:val="-2"/>
        </w:rPr>
        <w:t>—</w:t>
      </w:r>
      <w:r w:rsidRPr="00423297">
        <w:rPr>
          <w:spacing w:val="-2"/>
        </w:rPr>
        <w:t xml:space="preserve">above those expected </w:t>
      </w:r>
      <w:r w:rsidR="006315B0" w:rsidRPr="00423297">
        <w:rPr>
          <w:spacing w:val="-2"/>
        </w:rPr>
        <w:t xml:space="preserve">under </w:t>
      </w:r>
      <w:r w:rsidR="00C16456" w:rsidRPr="00423297">
        <w:rPr>
          <w:spacing w:val="-2"/>
        </w:rPr>
        <w:t xml:space="preserve">revised </w:t>
      </w:r>
      <w:r w:rsidR="006315B0" w:rsidRPr="00423297">
        <w:rPr>
          <w:spacing w:val="-2"/>
        </w:rPr>
        <w:t>Option</w:t>
      </w:r>
      <w:r w:rsidR="00273718" w:rsidRPr="00423297">
        <w:rPr>
          <w:spacing w:val="-2"/>
        </w:rPr>
        <w:t> </w:t>
      </w:r>
      <w:r w:rsidR="006315B0" w:rsidRPr="00423297">
        <w:rPr>
          <w:spacing w:val="-2"/>
        </w:rPr>
        <w:t>1</w:t>
      </w:r>
      <w:r w:rsidRPr="00423297">
        <w:rPr>
          <w:spacing w:val="-2"/>
        </w:rPr>
        <w:t xml:space="preserve">. </w:t>
      </w:r>
    </w:p>
    <w:p w14:paraId="309D84E9" w14:textId="540674D6" w:rsidR="00B87D7B" w:rsidRPr="00423297" w:rsidRDefault="004665F0" w:rsidP="008250FD">
      <w:pPr>
        <w:pStyle w:val="Heading3"/>
      </w:pPr>
      <w:r w:rsidRPr="00423297">
        <w:rPr>
          <w:spacing w:val="-2"/>
        </w:rPr>
        <w:t>Impact on l</w:t>
      </w:r>
      <w:r w:rsidR="00B87D7B" w:rsidRPr="00423297">
        <w:rPr>
          <w:spacing w:val="-2"/>
        </w:rPr>
        <w:t>egacy s</w:t>
      </w:r>
      <w:r w:rsidR="00B87D7B" w:rsidRPr="00423297">
        <w:t>cheme operators and dealers</w:t>
      </w:r>
    </w:p>
    <w:p w14:paraId="26009AD0" w14:textId="65626945" w:rsidR="00B87D7B" w:rsidRPr="00423297" w:rsidRDefault="00B87D7B" w:rsidP="002930A0">
      <w:pPr>
        <w:pStyle w:val="BodyText"/>
      </w:pPr>
      <w:r w:rsidRPr="00423297">
        <w:t>We do not anticipate that Option 2 or 3 would cause undue disruption to legacy scheme operators and dealers</w:t>
      </w:r>
      <w:r w:rsidR="00AC2F0A" w:rsidRPr="00423297">
        <w:t>,</w:t>
      </w:r>
      <w:r w:rsidRPr="00423297">
        <w:t xml:space="preserve"> </w:t>
      </w:r>
      <w:r w:rsidR="00F77074" w:rsidRPr="00423297">
        <w:t>because they are not permitted to issue new interests</w:t>
      </w:r>
      <w:r w:rsidR="0013670B" w:rsidRPr="00423297">
        <w:t>. We</w:t>
      </w:r>
      <w:r w:rsidRPr="00423297">
        <w:t xml:space="preserve"> expect that while they may incur some additional compliance and administrative costs, these will be offset to a large extent by savings resulting from changes to the account audit requirements.</w:t>
      </w:r>
    </w:p>
    <w:p w14:paraId="003FF1F0" w14:textId="76469E42" w:rsidR="00B87D7B" w:rsidRPr="00423297" w:rsidRDefault="004665F0" w:rsidP="008250FD">
      <w:pPr>
        <w:pStyle w:val="Heading3"/>
      </w:pPr>
      <w:r w:rsidRPr="00423297">
        <w:t>Impact on c</w:t>
      </w:r>
      <w:r w:rsidR="00B87D7B" w:rsidRPr="00423297">
        <w:t>onsumers</w:t>
      </w:r>
    </w:p>
    <w:p w14:paraId="074118B9" w14:textId="006831D8" w:rsidR="00453327" w:rsidRPr="00423297" w:rsidRDefault="00453327" w:rsidP="000E42B6">
      <w:pPr>
        <w:pStyle w:val="Heading4"/>
      </w:pPr>
      <w:r w:rsidRPr="00423297">
        <w:t xml:space="preserve">Proposals </w:t>
      </w:r>
      <w:r w:rsidR="00572FBB" w:rsidRPr="00423297">
        <w:t>affe</w:t>
      </w:r>
      <w:r w:rsidRPr="00423297">
        <w:t>cting consumers</w:t>
      </w:r>
      <w:r w:rsidR="00D61E78">
        <w:t>’</w:t>
      </w:r>
      <w:r w:rsidRPr="00423297">
        <w:t xml:space="preserve"> decision-making process</w:t>
      </w:r>
      <w:r w:rsidR="00572FBB" w:rsidRPr="00423297">
        <w:t>es</w:t>
      </w:r>
    </w:p>
    <w:p w14:paraId="65E9691C" w14:textId="7A67A0AF" w:rsidR="00E37B9D" w:rsidRPr="00423297" w:rsidRDefault="001F4EB5" w:rsidP="00453327">
      <w:pPr>
        <w:pStyle w:val="BodyText"/>
      </w:pPr>
      <w:bookmarkStart w:id="178" w:name="_Ref40984595"/>
      <w:r w:rsidRPr="00423297">
        <w:t>We expect that</w:t>
      </w:r>
      <w:r w:rsidR="00E37B9D" w:rsidRPr="00423297">
        <w:t xml:space="preserve"> a consumer</w:t>
      </w:r>
      <w:r w:rsidR="00D61E78">
        <w:t>’</w:t>
      </w:r>
      <w:r w:rsidR="00E37B9D" w:rsidRPr="00423297">
        <w:t>s decision</w:t>
      </w:r>
      <w:r w:rsidR="00651D7B" w:rsidRPr="00423297">
        <w:t>-</w:t>
      </w:r>
      <w:r w:rsidR="00E37B9D" w:rsidRPr="00423297">
        <w:t>making</w:t>
      </w:r>
      <w:r w:rsidR="00651D7B" w:rsidRPr="00423297">
        <w:t xml:space="preserve"> </w:t>
      </w:r>
      <w:r w:rsidR="00E37B9D" w:rsidRPr="00423297">
        <w:t xml:space="preserve">process before </w:t>
      </w:r>
      <w:r w:rsidR="00572FBB" w:rsidRPr="00423297">
        <w:t>purchasing an interest in a time-sharing scheme</w:t>
      </w:r>
      <w:r w:rsidR="009D0692" w:rsidRPr="00423297">
        <w:t xml:space="preserve"> </w:t>
      </w:r>
      <w:r w:rsidRPr="00423297">
        <w:t xml:space="preserve">will be </w:t>
      </w:r>
      <w:r w:rsidR="00572FBB" w:rsidRPr="00423297">
        <w:t>affe</w:t>
      </w:r>
      <w:r w:rsidRPr="00423297">
        <w:t>cted</w:t>
      </w:r>
      <w:r w:rsidR="00AD7036" w:rsidRPr="00423297">
        <w:t xml:space="preserve"> </w:t>
      </w:r>
      <w:r w:rsidRPr="00423297">
        <w:t>by our proposals</w:t>
      </w:r>
      <w:r w:rsidR="00E37B9D" w:rsidRPr="00423297">
        <w:t>:</w:t>
      </w:r>
      <w:bookmarkEnd w:id="178"/>
    </w:p>
    <w:p w14:paraId="2AED69DE" w14:textId="5EFF2181" w:rsidR="00E37B9D" w:rsidRPr="00423297" w:rsidRDefault="00E37B9D" w:rsidP="00E37B9D">
      <w:pPr>
        <w:pStyle w:val="subparaa"/>
      </w:pPr>
      <w:r w:rsidRPr="00423297">
        <w:t xml:space="preserve">in Option 2, </w:t>
      </w:r>
      <w:r w:rsidR="009D0692" w:rsidRPr="00423297">
        <w:t xml:space="preserve">to introduce </w:t>
      </w:r>
      <w:r w:rsidR="00BF4D6D" w:rsidRPr="00423297">
        <w:t xml:space="preserve">an </w:t>
      </w:r>
      <w:r w:rsidR="00453327" w:rsidRPr="00423297">
        <w:t xml:space="preserve">opt-in </w:t>
      </w:r>
      <w:r w:rsidR="00572FBB" w:rsidRPr="00423297">
        <w:t>regime</w:t>
      </w:r>
      <w:r w:rsidRPr="00423297">
        <w:t>;</w:t>
      </w:r>
      <w:r w:rsidR="00453327" w:rsidRPr="00423297">
        <w:t xml:space="preserve"> </w:t>
      </w:r>
    </w:p>
    <w:p w14:paraId="5AC4AA21" w14:textId="77777777" w:rsidR="00E37B9D" w:rsidRPr="00423297" w:rsidRDefault="00E37B9D" w:rsidP="00E37B9D">
      <w:pPr>
        <w:pStyle w:val="subparaa"/>
      </w:pPr>
      <w:r w:rsidRPr="00423297">
        <w:lastRenderedPageBreak/>
        <w:t>in Option 3, to introduce a deferred commencement date for the cooling-off period;</w:t>
      </w:r>
    </w:p>
    <w:p w14:paraId="3DA0D401" w14:textId="74A8BA92" w:rsidR="009D0692" w:rsidRPr="00423297" w:rsidRDefault="00E37B9D" w:rsidP="00E37B9D">
      <w:pPr>
        <w:pStyle w:val="subparaa"/>
      </w:pPr>
      <w:r w:rsidRPr="00423297">
        <w:t>in both Option 2 and 3</w:t>
      </w:r>
      <w:r w:rsidR="009D0692" w:rsidRPr="00423297">
        <w:t>:</w:t>
      </w:r>
    </w:p>
    <w:p w14:paraId="366851DF" w14:textId="2A42965E" w:rsidR="009D0692" w:rsidRPr="00423297" w:rsidRDefault="009D0692" w:rsidP="009D0692">
      <w:pPr>
        <w:pStyle w:val="subsubparai"/>
      </w:pPr>
      <w:r w:rsidRPr="00423297">
        <w:t xml:space="preserve">to require </w:t>
      </w:r>
      <w:r w:rsidR="00453327" w:rsidRPr="00423297">
        <w:t xml:space="preserve">enhanced upfront disclosure about fees and costs </w:t>
      </w:r>
      <w:r w:rsidR="00E37B9D" w:rsidRPr="00423297">
        <w:t>and guidance about ongoing obligations</w:t>
      </w:r>
      <w:r w:rsidRPr="00423297">
        <w:t>;</w:t>
      </w:r>
    </w:p>
    <w:p w14:paraId="1F6DC12F" w14:textId="2557E047" w:rsidR="00AD7036" w:rsidRPr="00423297" w:rsidRDefault="00AD7036" w:rsidP="009D0692">
      <w:pPr>
        <w:pStyle w:val="subsubparai"/>
      </w:pPr>
      <w:r w:rsidRPr="00423297">
        <w:t xml:space="preserve">to </w:t>
      </w:r>
      <w:r w:rsidR="00212273" w:rsidRPr="00423297">
        <w:t>introduce</w:t>
      </w:r>
      <w:r w:rsidRPr="00423297">
        <w:t xml:space="preserve"> </w:t>
      </w:r>
      <w:r w:rsidR="00D61E78">
        <w:t>‘</w:t>
      </w:r>
      <w:r w:rsidRPr="00423297">
        <w:t>subject to finance</w:t>
      </w:r>
      <w:r w:rsidR="00D61E78">
        <w:t>’</w:t>
      </w:r>
      <w:r w:rsidRPr="00423297">
        <w:t xml:space="preserve"> rights </w:t>
      </w:r>
      <w:r w:rsidR="00572FBB" w:rsidRPr="00423297">
        <w:t>for consumers,</w:t>
      </w:r>
      <w:r w:rsidRPr="00423297">
        <w:t xml:space="preserve"> without formal rights to the return of application fees paid to related finance providers;</w:t>
      </w:r>
    </w:p>
    <w:p w14:paraId="1A6B34F0" w14:textId="05FDDFA5" w:rsidR="00AD7036" w:rsidRPr="00423297" w:rsidRDefault="00AD7036" w:rsidP="009D0692">
      <w:pPr>
        <w:pStyle w:val="subsubparai"/>
      </w:pPr>
      <w:r w:rsidRPr="00423297">
        <w:t xml:space="preserve">to provide guidance </w:t>
      </w:r>
      <w:r w:rsidR="00185583" w:rsidRPr="00423297">
        <w:t xml:space="preserve">to industry </w:t>
      </w:r>
      <w:r w:rsidRPr="00423297">
        <w:t>about verbal and written prescribed consumer warnings; and</w:t>
      </w:r>
    </w:p>
    <w:p w14:paraId="675E2F52" w14:textId="30D392DA" w:rsidR="00453327" w:rsidRPr="00423297" w:rsidRDefault="00212273" w:rsidP="008D5D3E">
      <w:pPr>
        <w:pStyle w:val="subsubparai"/>
      </w:pPr>
      <w:proofErr w:type="gramStart"/>
      <w:r w:rsidRPr="00423297">
        <w:t>as</w:t>
      </w:r>
      <w:proofErr w:type="gramEnd"/>
      <w:r w:rsidRPr="00423297">
        <w:t xml:space="preserve"> with revised Option 1, </w:t>
      </w:r>
      <w:r w:rsidR="009D0692" w:rsidRPr="00423297">
        <w:t>to provide</w:t>
      </w:r>
      <w:r w:rsidR="001F4EB5" w:rsidRPr="00423297">
        <w:t xml:space="preserve"> specific </w:t>
      </w:r>
      <w:r w:rsidR="009D0692" w:rsidRPr="00423297">
        <w:t>guidance</w:t>
      </w:r>
      <w:r w:rsidR="001F4EB5" w:rsidRPr="00423297">
        <w:t xml:space="preserve"> </w:t>
      </w:r>
      <w:r w:rsidR="00572FBB" w:rsidRPr="00423297">
        <w:t xml:space="preserve">to industry </w:t>
      </w:r>
      <w:r w:rsidR="001F4EB5" w:rsidRPr="00423297">
        <w:t>about the existing obligations</w:t>
      </w:r>
      <w:r w:rsidR="00453327" w:rsidRPr="00423297">
        <w:t>.</w:t>
      </w:r>
      <w:r w:rsidR="00BD3A69">
        <w:t xml:space="preserve"> </w:t>
      </w:r>
    </w:p>
    <w:p w14:paraId="30312588" w14:textId="0E1482AC" w:rsidR="00B87D7B" w:rsidRPr="00423297" w:rsidRDefault="001E747C" w:rsidP="002930A0">
      <w:pPr>
        <w:pStyle w:val="BodyText"/>
      </w:pPr>
      <w:r w:rsidRPr="00423297">
        <w:t xml:space="preserve">The opt-in regime in </w:t>
      </w:r>
      <w:r w:rsidR="00B87D7B" w:rsidRPr="00423297">
        <w:t xml:space="preserve">Option 2 </w:t>
      </w:r>
      <w:r w:rsidR="007A5D77" w:rsidRPr="00423297">
        <w:t xml:space="preserve">provides </w:t>
      </w:r>
      <w:r w:rsidR="008D5DBE" w:rsidRPr="00423297">
        <w:t>a greater</w:t>
      </w:r>
      <w:r w:rsidR="007A5D77" w:rsidRPr="00423297">
        <w:t xml:space="preserve"> </w:t>
      </w:r>
      <w:r w:rsidR="00B87D7B" w:rsidRPr="00423297">
        <w:t xml:space="preserve">benefit </w:t>
      </w:r>
      <w:r w:rsidR="007A5D77" w:rsidRPr="00423297">
        <w:t xml:space="preserve">to </w:t>
      </w:r>
      <w:r w:rsidR="00B87D7B" w:rsidRPr="00423297">
        <w:t>consumers</w:t>
      </w:r>
      <w:r w:rsidR="008D5DBE" w:rsidRPr="00423297">
        <w:t xml:space="preserve"> than </w:t>
      </w:r>
      <w:r w:rsidR="002F17E3" w:rsidRPr="00423297">
        <w:t>the</w:t>
      </w:r>
      <w:r w:rsidR="008D5DBE" w:rsidRPr="00423297">
        <w:t xml:space="preserve"> opt-out </w:t>
      </w:r>
      <w:r w:rsidRPr="00423297">
        <w:t xml:space="preserve">regimes </w:t>
      </w:r>
      <w:r w:rsidR="002F17E3" w:rsidRPr="00423297">
        <w:t>in Option</w:t>
      </w:r>
      <w:r w:rsidRPr="00423297">
        <w:t>s</w:t>
      </w:r>
      <w:r w:rsidR="002F17E3" w:rsidRPr="00423297">
        <w:t xml:space="preserve"> 1, 3 and 4</w:t>
      </w:r>
      <w:r w:rsidRPr="00423297">
        <w:t>.</w:t>
      </w:r>
      <w:r w:rsidR="00B87D7B" w:rsidRPr="00423297">
        <w:t xml:space="preserve"> </w:t>
      </w:r>
      <w:r w:rsidRPr="00423297">
        <w:t>T</w:t>
      </w:r>
      <w:r w:rsidR="00B87D7B" w:rsidRPr="00423297">
        <w:t xml:space="preserve">he purchase of the interest in the registered scheme </w:t>
      </w:r>
      <w:r w:rsidRPr="00423297">
        <w:t xml:space="preserve">would </w:t>
      </w:r>
      <w:r w:rsidR="00B87D7B" w:rsidRPr="00423297">
        <w:t xml:space="preserve">only proceed if the consumer </w:t>
      </w:r>
      <w:r w:rsidR="007953A4" w:rsidRPr="00423297">
        <w:t xml:space="preserve">takes </w:t>
      </w:r>
      <w:r w:rsidR="00B87D7B" w:rsidRPr="00423297">
        <w:t>positive confirmation steps with the benefit of time and resources, free of any pressure</w:t>
      </w:r>
      <w:r w:rsidR="002E40A6" w:rsidRPr="00423297">
        <w:t xml:space="preserve"> </w:t>
      </w:r>
      <w:r w:rsidR="00B87D7B" w:rsidRPr="00423297">
        <w:t xml:space="preserve">selling, to consider the features of the product. While difficult to quantify, this may help consumers who do not wish to proceed with the purchase but who would not have taken the steps to exercise their cooling-off rights under the current opt-out </w:t>
      </w:r>
      <w:r w:rsidRPr="00423297">
        <w:t>regime</w:t>
      </w:r>
      <w:r w:rsidR="00B87D7B" w:rsidRPr="00423297">
        <w:t>. Consumer representatives strongly supported this option.</w:t>
      </w:r>
    </w:p>
    <w:p w14:paraId="6879A5BA" w14:textId="0BA75EA8" w:rsidR="00B87D7B" w:rsidRPr="00423297" w:rsidRDefault="00B87D7B" w:rsidP="002930A0">
      <w:pPr>
        <w:pStyle w:val="BodyText"/>
      </w:pPr>
      <w:r w:rsidRPr="00423297">
        <w:t xml:space="preserve">Although the opt-in </w:t>
      </w:r>
      <w:r w:rsidR="00EC2656" w:rsidRPr="00423297">
        <w:t xml:space="preserve">regime under Option 2 </w:t>
      </w:r>
      <w:r w:rsidRPr="00423297">
        <w:t xml:space="preserve">was considered optimal by consumer groups, they also considered that the delay to the commencement of the cooling-off period in Option 3 </w:t>
      </w:r>
      <w:r w:rsidR="00F916A9" w:rsidRPr="00423297">
        <w:t>could</w:t>
      </w:r>
      <w:r w:rsidRPr="00423297">
        <w:t xml:space="preserve"> benefit consumers as they would have </w:t>
      </w:r>
      <w:r w:rsidR="007953A4" w:rsidRPr="00423297">
        <w:t xml:space="preserve">more </w:t>
      </w:r>
      <w:r w:rsidRPr="00423297">
        <w:t>time to consider the product and its suitability. It would also reduce the possibility that pressure could be applied to the consumer, as they would have time to consider the purchase of the product when they were no longer at the resort or on holiday.</w:t>
      </w:r>
    </w:p>
    <w:p w14:paraId="1DD7B833" w14:textId="2A721058" w:rsidR="00B87D7B" w:rsidRPr="00423297" w:rsidRDefault="00704146" w:rsidP="002930A0">
      <w:pPr>
        <w:pStyle w:val="BodyText"/>
      </w:pPr>
      <w:r w:rsidRPr="00423297">
        <w:t>Options 2 and 3 also contemplated</w:t>
      </w:r>
      <w:r w:rsidR="00BF653D" w:rsidRPr="00423297">
        <w:t xml:space="preserve"> enhanced upfront disclosure requirements</w:t>
      </w:r>
      <w:r w:rsidRPr="00423297">
        <w:t xml:space="preserve"> that included setting out the fees and costs of the product for the entire membership term. While consumers may benefit from a greater understanding of the potential cost of the product</w:t>
      </w:r>
      <w:r w:rsidR="00BF653D" w:rsidRPr="00423297">
        <w:t>,</w:t>
      </w:r>
      <w:r w:rsidR="00B87D7B" w:rsidRPr="00423297">
        <w:t xml:space="preserve"> we consider that </w:t>
      </w:r>
      <w:r w:rsidR="00F747F8" w:rsidRPr="00423297">
        <w:t>it may result in consumers receiving information that is inaccurate or has the potential to mislead to consumers</w:t>
      </w:r>
      <w:r w:rsidR="00DD06DD" w:rsidRPr="00423297">
        <w:t>,</w:t>
      </w:r>
      <w:r w:rsidR="00F747F8" w:rsidRPr="00423297">
        <w:t xml:space="preserve"> given the terms of a time-sharing scheme may be up to 80</w:t>
      </w:r>
      <w:r w:rsidR="007517DA" w:rsidRPr="00423297">
        <w:t xml:space="preserve"> </w:t>
      </w:r>
      <w:r w:rsidR="00F747F8" w:rsidRPr="00423297">
        <w:t>years</w:t>
      </w:r>
      <w:r w:rsidR="00B87D7B" w:rsidRPr="00423297">
        <w:t>.</w:t>
      </w:r>
    </w:p>
    <w:p w14:paraId="74E9B889" w14:textId="7E4E9B46" w:rsidR="00626400" w:rsidRPr="00423297" w:rsidRDefault="00626400" w:rsidP="002930A0">
      <w:pPr>
        <w:pStyle w:val="BodyText"/>
      </w:pPr>
      <w:r w:rsidRPr="00423297">
        <w:t xml:space="preserve">Options 2 and 3 also included proposals to provide guidance on existing obligations. </w:t>
      </w:r>
    </w:p>
    <w:p w14:paraId="21690EC0" w14:textId="56679F7C" w:rsidR="00572FBB" w:rsidRPr="00423297" w:rsidRDefault="00572FBB" w:rsidP="000E42B6">
      <w:pPr>
        <w:pStyle w:val="Heading5"/>
      </w:pPr>
      <w:r w:rsidRPr="00423297">
        <w:t>Consumer benefits compared to costs</w:t>
      </w:r>
    </w:p>
    <w:p w14:paraId="00F97D25" w14:textId="011C2634" w:rsidR="00433A13" w:rsidRPr="00423297" w:rsidRDefault="009D3C39" w:rsidP="00453327">
      <w:pPr>
        <w:pStyle w:val="BodyText"/>
      </w:pPr>
      <w:r w:rsidRPr="00423297">
        <w:t xml:space="preserve">To enable </w:t>
      </w:r>
      <w:r w:rsidR="00572FBB" w:rsidRPr="00423297">
        <w:t>better</w:t>
      </w:r>
      <w:r w:rsidRPr="00423297">
        <w:t xml:space="preserve"> understanding of the consumer benefit</w:t>
      </w:r>
      <w:r w:rsidR="00572FBB" w:rsidRPr="00423297">
        <w:t xml:space="preserve">s </w:t>
      </w:r>
      <w:r w:rsidR="00185583" w:rsidRPr="00423297">
        <w:t>of the</w:t>
      </w:r>
      <w:r w:rsidR="00433A13" w:rsidRPr="00423297">
        <w:t xml:space="preserve"> opt-in and deferred sales arrangements under Options 2 and 3</w:t>
      </w:r>
      <w:r w:rsidR="00572FBB" w:rsidRPr="00423297">
        <w:t>,</w:t>
      </w:r>
      <w:r w:rsidRPr="00423297">
        <w:t xml:space="preserve"> and </w:t>
      </w:r>
      <w:r w:rsidR="00572FBB" w:rsidRPr="00423297">
        <w:t xml:space="preserve">to </w:t>
      </w:r>
      <w:r w:rsidRPr="00423297">
        <w:t xml:space="preserve">assist comparison </w:t>
      </w:r>
      <w:r w:rsidRPr="00423297">
        <w:lastRenderedPageBreak/>
        <w:t>with the consumer impact under Option 1</w:t>
      </w:r>
      <w:r w:rsidR="00433A13" w:rsidRPr="00423297">
        <w:t xml:space="preserve">, we </w:t>
      </w:r>
      <w:r w:rsidR="00572FBB" w:rsidRPr="00423297">
        <w:t xml:space="preserve">have set out the </w:t>
      </w:r>
      <w:r w:rsidR="00433A13" w:rsidRPr="00423297">
        <w:t>benefits</w:t>
      </w:r>
      <w:r w:rsidR="00572FBB" w:rsidRPr="00423297">
        <w:t xml:space="preserve"> </w:t>
      </w:r>
      <w:r w:rsidR="00433A13" w:rsidRPr="00423297">
        <w:t xml:space="preserve">from the perspective of consumers </w:t>
      </w:r>
      <w:r w:rsidR="00572FBB" w:rsidRPr="00423297">
        <w:t xml:space="preserve">who </w:t>
      </w:r>
      <w:r w:rsidR="00572FBB" w:rsidRPr="00423297">
        <w:rPr>
          <w:i/>
          <w:iCs/>
        </w:rPr>
        <w:t xml:space="preserve">do </w:t>
      </w:r>
      <w:r w:rsidR="00433A13" w:rsidRPr="00423297">
        <w:rPr>
          <w:i/>
        </w:rPr>
        <w:t>not</w:t>
      </w:r>
      <w:r w:rsidR="00433A13" w:rsidRPr="00423297">
        <w:t xml:space="preserve"> proceed to apply for membership</w:t>
      </w:r>
      <w:r w:rsidR="004F1829" w:rsidRPr="00423297">
        <w:t>.</w:t>
      </w:r>
    </w:p>
    <w:p w14:paraId="5A9571FF" w14:textId="4CE491FB" w:rsidR="00453327" w:rsidRPr="00423297" w:rsidRDefault="00453327" w:rsidP="000E42B6">
      <w:pPr>
        <w:pStyle w:val="BodyText"/>
      </w:pPr>
      <w:r w:rsidRPr="00423297">
        <w:t xml:space="preserve">Using the $23,000 average </w:t>
      </w:r>
      <w:r w:rsidR="00EE40B2" w:rsidRPr="00423297">
        <w:t xml:space="preserve">upfront </w:t>
      </w:r>
      <w:r w:rsidRPr="00423297">
        <w:t xml:space="preserve">cost of membership, there would be a net </w:t>
      </w:r>
      <w:r w:rsidR="00EE40B2" w:rsidRPr="00423297">
        <w:t xml:space="preserve">consumer </w:t>
      </w:r>
      <w:r w:rsidRPr="00423297">
        <w:t>benefit</w:t>
      </w:r>
      <w:r w:rsidR="00D67FC0" w:rsidRPr="00423297">
        <w:t xml:space="preserve"> from the proposals outlined in paragraph </w:t>
      </w:r>
      <w:r w:rsidR="00D67FC0" w:rsidRPr="00423297">
        <w:fldChar w:fldCharType="begin"/>
      </w:r>
      <w:r w:rsidR="00D67FC0" w:rsidRPr="00423297">
        <w:instrText xml:space="preserve"> REF _Ref40984595 \r \h </w:instrText>
      </w:r>
      <w:r w:rsidR="008D5D3E" w:rsidRPr="00423297">
        <w:instrText xml:space="preserve"> \* MERGEFORMAT </w:instrText>
      </w:r>
      <w:r w:rsidR="00D67FC0" w:rsidRPr="00423297">
        <w:fldChar w:fldCharType="separate"/>
      </w:r>
      <w:r w:rsidR="00B92808">
        <w:t>152</w:t>
      </w:r>
      <w:r w:rsidR="00D67FC0" w:rsidRPr="00423297">
        <w:fldChar w:fldCharType="end"/>
      </w:r>
      <w:r w:rsidRPr="00423297">
        <w:t>:</w:t>
      </w:r>
    </w:p>
    <w:p w14:paraId="3243306F" w14:textId="108EA32F" w:rsidR="00453327" w:rsidRPr="00423297" w:rsidRDefault="00453327" w:rsidP="008D5D3E">
      <w:pPr>
        <w:pStyle w:val="subparaa"/>
      </w:pPr>
      <w:r w:rsidRPr="00423297">
        <w:t>under Option 2, if 134 consumers d</w:t>
      </w:r>
      <w:r w:rsidR="00AD7036" w:rsidRPr="00423297">
        <w:t>o</w:t>
      </w:r>
      <w:r w:rsidRPr="00423297">
        <w:t xml:space="preserve"> not </w:t>
      </w:r>
      <w:r w:rsidR="00E37B9D" w:rsidRPr="00423297">
        <w:t xml:space="preserve">opt-in </w:t>
      </w:r>
      <w:r w:rsidR="00572FBB" w:rsidRPr="00423297">
        <w:t>after attending a presentation</w:t>
      </w:r>
      <w:r w:rsidR="00E37B9D" w:rsidRPr="00423297">
        <w:t>;</w:t>
      </w:r>
      <w:r w:rsidR="00527ADA" w:rsidRPr="00423297">
        <w:t xml:space="preserve"> </w:t>
      </w:r>
      <w:r w:rsidR="00F84B6A" w:rsidRPr="00423297">
        <w:t>and</w:t>
      </w:r>
    </w:p>
    <w:p w14:paraId="56A5E246" w14:textId="4D8C02D9" w:rsidR="00453327" w:rsidRPr="00423297" w:rsidRDefault="00453327" w:rsidP="008D5D3E">
      <w:pPr>
        <w:pStyle w:val="subparaa"/>
      </w:pPr>
      <w:proofErr w:type="gramStart"/>
      <w:r w:rsidRPr="00423297">
        <w:t>under</w:t>
      </w:r>
      <w:proofErr w:type="gramEnd"/>
      <w:r w:rsidRPr="00423297">
        <w:t xml:space="preserve"> Option 3, </w:t>
      </w:r>
      <w:r w:rsidR="00F84B6A" w:rsidRPr="00423297">
        <w:t>if</w:t>
      </w:r>
      <w:r w:rsidRPr="00423297">
        <w:t xml:space="preserve"> 132 </w:t>
      </w:r>
      <w:r w:rsidR="00E37B9D" w:rsidRPr="00423297">
        <w:t xml:space="preserve">consumers opt-out </w:t>
      </w:r>
      <w:r w:rsidR="00F84B6A" w:rsidRPr="00423297">
        <w:t>after attending a presentation.</w:t>
      </w:r>
    </w:p>
    <w:p w14:paraId="34E66A00" w14:textId="476A6D88" w:rsidR="00453327" w:rsidRPr="00423297" w:rsidRDefault="00572FBB" w:rsidP="008D5D3E">
      <w:pPr>
        <w:pStyle w:val="BodyText"/>
      </w:pPr>
      <w:r w:rsidRPr="00423297">
        <w:t xml:space="preserve">However, </w:t>
      </w:r>
      <w:r w:rsidR="00453327" w:rsidRPr="00423297">
        <w:t>we expect the numbers of consumers who will benefit will be much greater</w:t>
      </w:r>
      <w:r w:rsidRPr="00423297">
        <w:t xml:space="preserve">: see paragraph </w:t>
      </w:r>
      <w:r w:rsidRPr="00423297">
        <w:fldChar w:fldCharType="begin"/>
      </w:r>
      <w:r w:rsidRPr="00423297">
        <w:instrText xml:space="preserve"> REF _ASICRef980 \w \h  \* MERGEFORMAT </w:instrText>
      </w:r>
      <w:r w:rsidRPr="00423297">
        <w:fldChar w:fldCharType="separate"/>
      </w:r>
      <w:r w:rsidR="00B92808">
        <w:t>137</w:t>
      </w:r>
      <w:r w:rsidRPr="00423297">
        <w:fldChar w:fldCharType="end"/>
      </w:r>
      <w:r w:rsidR="00453327" w:rsidRPr="00423297">
        <w:t xml:space="preserve">. </w:t>
      </w:r>
    </w:p>
    <w:p w14:paraId="067D6249" w14:textId="7E85677A" w:rsidR="00453327" w:rsidRPr="00423297" w:rsidRDefault="00453327" w:rsidP="008D5D3E">
      <w:pPr>
        <w:pStyle w:val="Heading4"/>
      </w:pPr>
      <w:r w:rsidRPr="00423297">
        <w:t xml:space="preserve">Proposals </w:t>
      </w:r>
      <w:r w:rsidR="00572FBB" w:rsidRPr="00423297">
        <w:t>affe</w:t>
      </w:r>
      <w:r w:rsidRPr="00423297">
        <w:t>cting members of time-sharing schemes</w:t>
      </w:r>
    </w:p>
    <w:p w14:paraId="6EB6EA63" w14:textId="69CDA0FA" w:rsidR="003962EC" w:rsidRPr="00423297" w:rsidRDefault="00453327" w:rsidP="00D67FC0">
      <w:pPr>
        <w:pStyle w:val="BodyText"/>
      </w:pPr>
      <w:r w:rsidRPr="00423297">
        <w:t>Options 2 and 3 also include proposals to introduce formal hardship arrangements</w:t>
      </w:r>
      <w:r w:rsidR="00470747" w:rsidRPr="00423297">
        <w:t xml:space="preserve"> and</w:t>
      </w:r>
      <w:r w:rsidRPr="00423297">
        <w:t xml:space="preserve"> new requirements for points-based </w:t>
      </w:r>
      <w:r w:rsidR="00470747" w:rsidRPr="00423297">
        <w:t xml:space="preserve">programs. We expect 1,967 members in hardship will benefit from the formal hardship arrangements and 107,305 members of points-based programs </w:t>
      </w:r>
      <w:r w:rsidR="00D67FC0" w:rsidRPr="00423297">
        <w:t>will</w:t>
      </w:r>
      <w:r w:rsidR="00470747" w:rsidRPr="00423297">
        <w:t xml:space="preserve"> benefit from the new requirements for points-based programs</w:t>
      </w:r>
      <w:r w:rsidRPr="00423297">
        <w:t xml:space="preserve"> see paragraph</w:t>
      </w:r>
      <w:r w:rsidR="008F1D30" w:rsidRPr="00423297">
        <w:t>s</w:t>
      </w:r>
      <w:r w:rsidRPr="00423297">
        <w:t xml:space="preserve"> </w:t>
      </w:r>
      <w:r w:rsidR="00470747" w:rsidRPr="00423297">
        <w:fldChar w:fldCharType="begin"/>
      </w:r>
      <w:r w:rsidR="00470747" w:rsidRPr="00423297">
        <w:instrText xml:space="preserve"> REF _ASICRef243 \w \h </w:instrText>
      </w:r>
      <w:r w:rsidR="00212273" w:rsidRPr="00423297">
        <w:instrText xml:space="preserve"> \* MERGEFORMAT </w:instrText>
      </w:r>
      <w:r w:rsidR="00470747" w:rsidRPr="00423297">
        <w:fldChar w:fldCharType="separate"/>
      </w:r>
      <w:r w:rsidR="00B92808">
        <w:t>138</w:t>
      </w:r>
      <w:r w:rsidR="00470747" w:rsidRPr="00423297">
        <w:fldChar w:fldCharType="end"/>
      </w:r>
      <w:r w:rsidR="00470747" w:rsidRPr="00423297">
        <w:t>–</w:t>
      </w:r>
      <w:r w:rsidR="00470747" w:rsidRPr="00423297">
        <w:fldChar w:fldCharType="begin"/>
      </w:r>
      <w:r w:rsidR="00470747" w:rsidRPr="00423297">
        <w:instrText xml:space="preserve"> REF _Ref40979230 \r \h </w:instrText>
      </w:r>
      <w:r w:rsidR="008D5D3E" w:rsidRPr="00423297">
        <w:instrText xml:space="preserve"> \* MERGEFORMAT </w:instrText>
      </w:r>
      <w:r w:rsidR="00470747" w:rsidRPr="00423297">
        <w:fldChar w:fldCharType="separate"/>
      </w:r>
      <w:r w:rsidR="00B92808">
        <w:t>141</w:t>
      </w:r>
      <w:r w:rsidR="00470747" w:rsidRPr="00423297">
        <w:fldChar w:fldCharType="end"/>
      </w:r>
      <w:r w:rsidR="008F1D30" w:rsidRPr="00423297">
        <w:t>.</w:t>
      </w:r>
    </w:p>
    <w:p w14:paraId="734921A7" w14:textId="45853580" w:rsidR="0015561A" w:rsidRDefault="003962EC" w:rsidP="002930A0">
      <w:pPr>
        <w:pStyle w:val="BodyText"/>
      </w:pPr>
      <w:bookmarkStart w:id="179" w:name="_Ref54971429"/>
      <w:bookmarkStart w:id="180" w:name="_Hlk52131524"/>
      <w:r w:rsidRPr="00423297">
        <w:t xml:space="preserve">Despite </w:t>
      </w:r>
      <w:r w:rsidR="00D67FC0" w:rsidRPr="00423297">
        <w:t>the likely consumer benefit</w:t>
      </w:r>
      <w:r w:rsidR="00EE5923" w:rsidRPr="00423297">
        <w:t>,</w:t>
      </w:r>
      <w:r w:rsidRPr="00423297">
        <w:t xml:space="preserve"> </w:t>
      </w:r>
      <w:r w:rsidR="00E32B17">
        <w:t xml:space="preserve">it is not clear </w:t>
      </w:r>
      <w:r w:rsidR="00704146" w:rsidRPr="00423297">
        <w:t xml:space="preserve">at this time </w:t>
      </w:r>
      <w:r w:rsidR="00E32B17">
        <w:t>whether</w:t>
      </w:r>
      <w:r w:rsidR="00E32B17" w:rsidRPr="00423297">
        <w:t xml:space="preserve"> </w:t>
      </w:r>
      <w:r w:rsidR="00704146" w:rsidRPr="00423297">
        <w:t>the regulatory benefit outweighs the cost for Options 2 and 3</w:t>
      </w:r>
      <w:r w:rsidR="00A2540A" w:rsidRPr="00423297">
        <w:t xml:space="preserve">. </w:t>
      </w:r>
      <w:r w:rsidR="00E56A4F">
        <w:t xml:space="preserve">We formed this view on the basis of </w:t>
      </w:r>
      <w:r w:rsidR="007E3B04">
        <w:t xml:space="preserve">the </w:t>
      </w:r>
      <w:r w:rsidR="00E56A4F">
        <w:t>likely risk of additional costs being passed on to existing members</w:t>
      </w:r>
      <w:r w:rsidR="0015561A">
        <w:t>. We also considered</w:t>
      </w:r>
      <w:r w:rsidR="00E56A4F">
        <w:t xml:space="preserve"> the </w:t>
      </w:r>
      <w:r w:rsidR="001B6434">
        <w:t xml:space="preserve">probable </w:t>
      </w:r>
      <w:r w:rsidR="00E56A4F">
        <w:t>disruption to industry and</w:t>
      </w:r>
      <w:r w:rsidR="007E3B04">
        <w:t xml:space="preserve">, in the case of Option 3, the </w:t>
      </w:r>
      <w:r w:rsidR="00E56A4F">
        <w:t xml:space="preserve">uncertainty </w:t>
      </w:r>
      <w:r w:rsidR="0015561A">
        <w:t xml:space="preserve">about cooling-off periods </w:t>
      </w:r>
      <w:r w:rsidR="00E56A4F">
        <w:t xml:space="preserve">this could create for consumers. </w:t>
      </w:r>
    </w:p>
    <w:p w14:paraId="78CA6EE7" w14:textId="07681D0C" w:rsidR="00E56A4F" w:rsidRDefault="00E56A4F" w:rsidP="002930A0">
      <w:pPr>
        <w:pStyle w:val="BodyText"/>
      </w:pPr>
      <w:r>
        <w:t xml:space="preserve">In addition, </w:t>
      </w:r>
      <w:r w:rsidR="00671455">
        <w:t xml:space="preserve">it </w:t>
      </w:r>
      <w:r w:rsidR="00E32B17">
        <w:t>may</w:t>
      </w:r>
      <w:r w:rsidR="00671455">
        <w:t xml:space="preserve"> be premature and inappropriate to adopt Options 2 and 3 before we</w:t>
      </w:r>
      <w:r>
        <w:t xml:space="preserve"> </w:t>
      </w:r>
      <w:r w:rsidR="00E32B17">
        <w:t xml:space="preserve">assess the implementation of the other changes and </w:t>
      </w:r>
      <w:r w:rsidR="00671455" w:rsidRPr="00671455">
        <w:t xml:space="preserve">review </w:t>
      </w:r>
      <w:r w:rsidR="00B175CA">
        <w:t xml:space="preserve">how </w:t>
      </w:r>
      <w:r w:rsidR="00671455" w:rsidRPr="00671455">
        <w:t>time-sharing sales practice</w:t>
      </w:r>
      <w:r w:rsidR="0015561A">
        <w:t>s</w:t>
      </w:r>
      <w:r w:rsidR="00671455" w:rsidRPr="00671455">
        <w:t xml:space="preserve"> </w:t>
      </w:r>
      <w:r w:rsidR="00B175CA">
        <w:t xml:space="preserve">have responded to these reforms </w:t>
      </w:r>
      <w:r w:rsidR="00D85168">
        <w:t>in</w:t>
      </w:r>
      <w:r w:rsidR="0015561A">
        <w:t xml:space="preserve"> </w:t>
      </w:r>
      <w:r w:rsidR="00671455" w:rsidRPr="00671455">
        <w:t>early 2022</w:t>
      </w:r>
      <w:r w:rsidR="00B175CA">
        <w:t>. I</w:t>
      </w:r>
      <w:r w:rsidR="00671455">
        <w:t xml:space="preserve">f </w:t>
      </w:r>
      <w:r w:rsidR="0015561A">
        <w:t xml:space="preserve">we identify </w:t>
      </w:r>
      <w:r w:rsidR="00671455" w:rsidRPr="00671455">
        <w:t>pressure</w:t>
      </w:r>
      <w:r w:rsidR="0015561A">
        <w:t>-</w:t>
      </w:r>
      <w:r w:rsidR="00671455" w:rsidRPr="00671455">
        <w:t>selling conduct leading to poor consumer outcomes</w:t>
      </w:r>
      <w:r w:rsidR="00B175CA">
        <w:t xml:space="preserve"> in this review</w:t>
      </w:r>
      <w:r w:rsidR="00671455">
        <w:t xml:space="preserve">, </w:t>
      </w:r>
      <w:r w:rsidR="00B175CA">
        <w:t xml:space="preserve">we can then </w:t>
      </w:r>
      <w:r w:rsidR="00E32B17">
        <w:t xml:space="preserve">consider </w:t>
      </w:r>
      <w:r w:rsidR="0086490C">
        <w:t>further measures to address this harm</w:t>
      </w:r>
      <w:r w:rsidR="00E32B17">
        <w:t>.</w:t>
      </w:r>
      <w:bookmarkEnd w:id="179"/>
    </w:p>
    <w:bookmarkEnd w:id="180"/>
    <w:p w14:paraId="55980C99" w14:textId="77777777" w:rsidR="006563D8" w:rsidRPr="00423297" w:rsidRDefault="006563D8" w:rsidP="006563D8">
      <w:pPr>
        <w:pStyle w:val="Heading3"/>
      </w:pPr>
      <w:r w:rsidRPr="00423297">
        <w:t>Impact on ASIC and other parts of Government</w:t>
      </w:r>
    </w:p>
    <w:p w14:paraId="45281B2E" w14:textId="6ADE3AFC" w:rsidR="006563D8" w:rsidRPr="00423297" w:rsidRDefault="006563D8" w:rsidP="006563D8">
      <w:pPr>
        <w:pStyle w:val="BodyText"/>
      </w:pPr>
      <w:r w:rsidRPr="00423297">
        <w:t xml:space="preserve">To implement either Option 2 or 3, </w:t>
      </w:r>
      <w:r w:rsidR="009A324E" w:rsidRPr="00423297">
        <w:t>we</w:t>
      </w:r>
      <w:r w:rsidRPr="00423297">
        <w:t xml:space="preserve"> would need to undertake addit</w:t>
      </w:r>
      <w:r w:rsidR="009961D8" w:rsidRPr="00423297">
        <w:t>i</w:t>
      </w:r>
      <w:r w:rsidRPr="00423297">
        <w:t xml:space="preserve">onal work to develop policy settings in consultation with industry and consumer groups. </w:t>
      </w:r>
      <w:r w:rsidR="009A324E" w:rsidRPr="00423297">
        <w:t>We</w:t>
      </w:r>
      <w:r w:rsidRPr="00423297">
        <w:t xml:space="preserve"> would need to monitor and enforce the proposed regulatory changes, with a higher burden </w:t>
      </w:r>
      <w:r w:rsidR="00553D3C" w:rsidRPr="00423297">
        <w:t xml:space="preserve">for ASIC </w:t>
      </w:r>
      <w:r w:rsidRPr="00423297">
        <w:t>under Option 3 due to the variability of the cooling-off period.</w:t>
      </w:r>
    </w:p>
    <w:p w14:paraId="6BD198B2" w14:textId="3C5C6953" w:rsidR="006563D8" w:rsidRPr="00423297" w:rsidRDefault="006563D8" w:rsidP="006563D8">
      <w:pPr>
        <w:pStyle w:val="BodyText"/>
      </w:pPr>
      <w:r w:rsidRPr="00423297">
        <w:t>Government administration costs outside ASIC would be unlikely to change.</w:t>
      </w:r>
    </w:p>
    <w:p w14:paraId="70EBFA32" w14:textId="1DCFEBB5" w:rsidR="00B87D7B" w:rsidRPr="00423297" w:rsidRDefault="00B87D7B" w:rsidP="007953A4">
      <w:pPr>
        <w:pStyle w:val="Heading2"/>
      </w:pPr>
      <w:bookmarkStart w:id="181" w:name="_Toc5365768"/>
      <w:bookmarkStart w:id="182" w:name="_Toc36467242"/>
      <w:bookmarkStart w:id="183" w:name="_Toc56669432"/>
      <w:r w:rsidRPr="00423297">
        <w:lastRenderedPageBreak/>
        <w:t>Option 4: Maintain status quo</w:t>
      </w:r>
      <w:bookmarkEnd w:id="181"/>
      <w:bookmarkEnd w:id="182"/>
      <w:bookmarkEnd w:id="183"/>
    </w:p>
    <w:p w14:paraId="610EA0F6" w14:textId="62BAB9DF" w:rsidR="00BF653D" w:rsidRPr="00423297" w:rsidRDefault="00BF653D" w:rsidP="002930A0">
      <w:pPr>
        <w:pStyle w:val="BodyText"/>
      </w:pPr>
      <w:bookmarkStart w:id="184" w:name="_Ref9869245"/>
      <w:r w:rsidRPr="00423297">
        <w:t>Option 4 was not considered optimal by either industry or consumers</w:t>
      </w:r>
      <w:r w:rsidR="00EC01A6" w:rsidRPr="00423297">
        <w:t>,</w:t>
      </w:r>
      <w:r w:rsidRPr="00423297">
        <w:t xml:space="preserve"> as each interest group had suggestions </w:t>
      </w:r>
      <w:r w:rsidR="00185CF3" w:rsidRPr="00423297">
        <w:t>to improve</w:t>
      </w:r>
      <w:r w:rsidRPr="00423297">
        <w:t xml:space="preserve"> the regulation of</w:t>
      </w:r>
      <w:r w:rsidR="00EC01A6" w:rsidRPr="00423297">
        <w:t xml:space="preserve"> the</w:t>
      </w:r>
      <w:r w:rsidRPr="00423297">
        <w:t xml:space="preserve"> time-shar</w:t>
      </w:r>
      <w:r w:rsidR="00EC01A6" w:rsidRPr="00423297">
        <w:t>ing industry</w:t>
      </w:r>
      <w:r w:rsidRPr="00423297">
        <w:t xml:space="preserve"> and </w:t>
      </w:r>
      <w:r w:rsidR="00185CF3" w:rsidRPr="00423297">
        <w:t xml:space="preserve">to address </w:t>
      </w:r>
      <w:r w:rsidRPr="00423297">
        <w:t>the impact that the current regulatory settings has on them.</w:t>
      </w:r>
      <w:bookmarkEnd w:id="184"/>
    </w:p>
    <w:p w14:paraId="27EA3D09" w14:textId="4DA7AFC4" w:rsidR="00B87D7B" w:rsidRPr="00423297" w:rsidRDefault="00B87D7B" w:rsidP="008250FD">
      <w:pPr>
        <w:pStyle w:val="Heading3"/>
      </w:pPr>
      <w:r w:rsidRPr="00423297">
        <w:t>Impact on industry</w:t>
      </w:r>
    </w:p>
    <w:p w14:paraId="60345942" w14:textId="30799D98" w:rsidR="00B87D7B" w:rsidRPr="00423297" w:rsidRDefault="00B87D7B" w:rsidP="002930A0">
      <w:pPr>
        <w:pStyle w:val="BodyText"/>
      </w:pPr>
      <w:r w:rsidRPr="00423297">
        <w:t>Since the regulatory framework will not be affected, there would be no significant impact on operators of registered schemes or legacy schemes, or on promoters or dealers.</w:t>
      </w:r>
    </w:p>
    <w:p w14:paraId="535134C2" w14:textId="449F942E" w:rsidR="00B87D7B" w:rsidRPr="00423297" w:rsidRDefault="00B87D7B" w:rsidP="002930A0">
      <w:pPr>
        <w:pStyle w:val="BodyText"/>
      </w:pPr>
      <w:r w:rsidRPr="00423297">
        <w:t xml:space="preserve">Under </w:t>
      </w:r>
      <w:r w:rsidR="00EC01A6" w:rsidRPr="00423297">
        <w:t>O</w:t>
      </w:r>
      <w:r w:rsidRPr="00423297">
        <w:t>ption</w:t>
      </w:r>
      <w:r w:rsidR="00EC01A6" w:rsidRPr="00423297">
        <w:t xml:space="preserve"> 4</w:t>
      </w:r>
      <w:r w:rsidRPr="00423297">
        <w:t xml:space="preserve">, industry would avoid incurring administrative and financial burdens associated with the changes to the current </w:t>
      </w:r>
      <w:r w:rsidR="00D66EA8" w:rsidRPr="00423297">
        <w:t>regulator</w:t>
      </w:r>
      <w:r w:rsidRPr="00423297">
        <w:t>y settings.</w:t>
      </w:r>
    </w:p>
    <w:p w14:paraId="73FAA202" w14:textId="390478E3" w:rsidR="00EC01A6" w:rsidRPr="00423297" w:rsidRDefault="00B87D7B" w:rsidP="002930A0">
      <w:pPr>
        <w:pStyle w:val="BodyText"/>
      </w:pPr>
      <w:r w:rsidRPr="00423297">
        <w:t xml:space="preserve">However, industry would </w:t>
      </w:r>
      <w:r w:rsidR="00EC01A6" w:rsidRPr="00423297">
        <w:t xml:space="preserve">continue to </w:t>
      </w:r>
      <w:r w:rsidRPr="00423297">
        <w:t>be required to</w:t>
      </w:r>
      <w:r w:rsidR="00EC01A6" w:rsidRPr="00423297">
        <w:t>:</w:t>
      </w:r>
      <w:r w:rsidRPr="00423297">
        <w:t xml:space="preserve"> </w:t>
      </w:r>
    </w:p>
    <w:p w14:paraId="727AC76B" w14:textId="43E5CA97" w:rsidR="00EC01A6" w:rsidRPr="00423297" w:rsidRDefault="00B87D7B" w:rsidP="00EC01A6">
      <w:pPr>
        <w:pStyle w:val="subparaa"/>
      </w:pPr>
      <w:r w:rsidRPr="00423297">
        <w:t xml:space="preserve">have their trust accounts audited every </w:t>
      </w:r>
      <w:r w:rsidR="00EC01A6" w:rsidRPr="00423297">
        <w:t>six</w:t>
      </w:r>
      <w:r w:rsidRPr="00423297">
        <w:t xml:space="preserve"> months</w:t>
      </w:r>
      <w:r w:rsidR="00EC01A6" w:rsidRPr="00423297">
        <w:t>,</w:t>
      </w:r>
      <w:r w:rsidRPr="00423297">
        <w:t xml:space="preserve"> instead of every 12</w:t>
      </w:r>
      <w:r w:rsidR="002E40A6" w:rsidRPr="00423297">
        <w:t> </w:t>
      </w:r>
      <w:r w:rsidRPr="00423297">
        <w:t>months</w:t>
      </w:r>
      <w:r w:rsidR="00EC01A6" w:rsidRPr="00423297">
        <w:t>;</w:t>
      </w:r>
      <w:r w:rsidRPr="00423297">
        <w:t xml:space="preserve"> and </w:t>
      </w:r>
    </w:p>
    <w:p w14:paraId="548825FD" w14:textId="77777777" w:rsidR="00EC01A6" w:rsidRPr="00423297" w:rsidRDefault="00B87D7B" w:rsidP="00EC01A6">
      <w:pPr>
        <w:pStyle w:val="subparaa"/>
      </w:pPr>
      <w:proofErr w:type="gramStart"/>
      <w:r w:rsidRPr="00423297">
        <w:t>comply</w:t>
      </w:r>
      <w:proofErr w:type="gramEnd"/>
      <w:r w:rsidRPr="00423297">
        <w:t xml:space="preserve"> with the current enhanced fee disclosure requirements</w:t>
      </w:r>
      <w:r w:rsidR="00EC01A6" w:rsidRPr="00423297">
        <w:t>,</w:t>
      </w:r>
      <w:r w:rsidRPr="00423297">
        <w:t xml:space="preserve"> instead of the tailored fee disclosure requirement</w:t>
      </w:r>
      <w:r w:rsidR="00EF1610" w:rsidRPr="00423297">
        <w:t>s</w:t>
      </w:r>
      <w:r w:rsidRPr="00423297">
        <w:t xml:space="preserve">. </w:t>
      </w:r>
    </w:p>
    <w:p w14:paraId="6D61D303" w14:textId="06048633" w:rsidR="00B87D7B" w:rsidRPr="00423297" w:rsidRDefault="00B87D7B" w:rsidP="007517DA">
      <w:pPr>
        <w:pStyle w:val="BodyText"/>
      </w:pPr>
      <w:r w:rsidRPr="00423297">
        <w:t>Continued compliance with these current settings</w:t>
      </w:r>
      <w:r w:rsidR="00EC01A6" w:rsidRPr="00423297">
        <w:t xml:space="preserve"> would</w:t>
      </w:r>
      <w:r w:rsidRPr="00423297">
        <w:t xml:space="preserve"> result in costs to the industry </w:t>
      </w:r>
      <w:r w:rsidR="00EC01A6" w:rsidRPr="00423297">
        <w:t>that</w:t>
      </w:r>
      <w:r w:rsidRPr="00423297">
        <w:t xml:space="preserve"> are ultimately borne by consumers, without any additional consumer protection.</w:t>
      </w:r>
    </w:p>
    <w:p w14:paraId="5CE90071" w14:textId="6A89BB39" w:rsidR="00B87D7B" w:rsidRPr="00423297" w:rsidRDefault="00B87D7B" w:rsidP="002930A0">
      <w:pPr>
        <w:pStyle w:val="BodyText"/>
      </w:pPr>
      <w:bookmarkStart w:id="185" w:name="_Hlk23459426"/>
      <w:r w:rsidRPr="00423297">
        <w:t xml:space="preserve">Additionally, </w:t>
      </w:r>
      <w:r w:rsidR="00956647" w:rsidRPr="00423297">
        <w:t xml:space="preserve">in some instances </w:t>
      </w:r>
      <w:r w:rsidRPr="00423297">
        <w:t xml:space="preserve">the current </w:t>
      </w:r>
      <w:r w:rsidR="00D66EA8" w:rsidRPr="00423297">
        <w:t>regulator</w:t>
      </w:r>
      <w:r w:rsidRPr="00423297">
        <w:t>y settings would not reflect the nature of time-sharing schemes</w:t>
      </w:r>
      <w:r w:rsidR="00956647" w:rsidRPr="00423297">
        <w:t>. Industry would also not have the benefit of increased</w:t>
      </w:r>
      <w:r w:rsidRPr="00423297">
        <w:t xml:space="preserve"> </w:t>
      </w:r>
      <w:r w:rsidR="00D66EA8" w:rsidRPr="00423297">
        <w:t xml:space="preserve">detail </w:t>
      </w:r>
      <w:r w:rsidR="00956647" w:rsidRPr="00423297">
        <w:t>about our</w:t>
      </w:r>
      <w:r w:rsidR="00D66EA8" w:rsidRPr="00423297">
        <w:t xml:space="preserve"> interpretation of </w:t>
      </w:r>
      <w:r w:rsidRPr="00423297">
        <w:t xml:space="preserve">the </w:t>
      </w:r>
      <w:r w:rsidR="00956647" w:rsidRPr="00423297">
        <w:t>existing</w:t>
      </w:r>
      <w:r w:rsidRPr="00423297">
        <w:t xml:space="preserve"> obligations</w:t>
      </w:r>
      <w:bookmarkEnd w:id="185"/>
      <w:r w:rsidRPr="00423297">
        <w:t>.</w:t>
      </w:r>
    </w:p>
    <w:p w14:paraId="71C2CDAF" w14:textId="77777777" w:rsidR="00B87D7B" w:rsidRPr="00423297" w:rsidRDefault="00B87D7B" w:rsidP="008250FD">
      <w:pPr>
        <w:pStyle w:val="Heading3"/>
      </w:pPr>
      <w:r w:rsidRPr="00423297">
        <w:t>Impact on consumers</w:t>
      </w:r>
    </w:p>
    <w:p w14:paraId="0A171B91" w14:textId="10A58232" w:rsidR="005B2498" w:rsidRPr="00423297" w:rsidRDefault="00B87D7B" w:rsidP="002930A0">
      <w:pPr>
        <w:pStyle w:val="BodyText"/>
      </w:pPr>
      <w:r w:rsidRPr="00423297">
        <w:t xml:space="preserve">As </w:t>
      </w:r>
      <w:r w:rsidR="00C761EE" w:rsidRPr="00423297">
        <w:t>O</w:t>
      </w:r>
      <w:r w:rsidRPr="00423297">
        <w:t xml:space="preserve">ption </w:t>
      </w:r>
      <w:r w:rsidR="00C761EE" w:rsidRPr="00423297">
        <w:t xml:space="preserve">4 </w:t>
      </w:r>
      <w:r w:rsidRPr="00423297">
        <w:t xml:space="preserve">would not change the current position, it would therefore not address the significant consumer protection issues that have been identified </w:t>
      </w:r>
      <w:r w:rsidR="00956647" w:rsidRPr="00423297">
        <w:t xml:space="preserve">in </w:t>
      </w:r>
      <w:r w:rsidRPr="00423297">
        <w:t xml:space="preserve">our review of the regulatory framework for time-sharing </w:t>
      </w:r>
      <w:bookmarkStart w:id="186" w:name="_Hlk38901394"/>
      <w:r w:rsidR="005B10F0" w:rsidRPr="00423297">
        <w:t>schemes and</w:t>
      </w:r>
      <w:r w:rsidR="008B11D6" w:rsidRPr="00423297">
        <w:t xml:space="preserve"> in the consumer rese</w:t>
      </w:r>
      <w:r w:rsidR="007D70B7" w:rsidRPr="00423297">
        <w:t>ar</w:t>
      </w:r>
      <w:r w:rsidR="008B11D6" w:rsidRPr="00423297">
        <w:t>ch</w:t>
      </w:r>
      <w:r w:rsidR="005B10F0" w:rsidRPr="00423297">
        <w:t xml:space="preserve"> outlined in </w:t>
      </w:r>
      <w:bookmarkEnd w:id="186"/>
      <w:r w:rsidR="00B816E3" w:rsidRPr="00423297">
        <w:fldChar w:fldCharType="begin"/>
      </w:r>
      <w:r w:rsidR="00B816E3" w:rsidRPr="00423297">
        <w:instrText xml:space="preserve"> HYPERLINK "https://asic.gov.au/regulatory-resources/find-a-document/reports/rep-642-timeshare-consumers-experiences/" </w:instrText>
      </w:r>
      <w:r w:rsidR="00B816E3" w:rsidRPr="00423297">
        <w:fldChar w:fldCharType="separate"/>
      </w:r>
      <w:r w:rsidR="00B816E3" w:rsidRPr="00423297">
        <w:rPr>
          <w:rStyle w:val="Hyperlink"/>
        </w:rPr>
        <w:t>REP 642</w:t>
      </w:r>
      <w:r w:rsidR="00B816E3" w:rsidRPr="00423297">
        <w:fldChar w:fldCharType="end"/>
      </w:r>
      <w:r w:rsidR="005B2498" w:rsidRPr="00423297">
        <w:t xml:space="preserve">. </w:t>
      </w:r>
      <w:r w:rsidR="00956647" w:rsidRPr="00423297">
        <w:t xml:space="preserve">This </w:t>
      </w:r>
      <w:r w:rsidRPr="00423297">
        <w:t>includ</w:t>
      </w:r>
      <w:r w:rsidR="00956647" w:rsidRPr="00423297">
        <w:t>es</w:t>
      </w:r>
      <w:r w:rsidRPr="00423297">
        <w:t xml:space="preserve"> the impact on consumers of industry selling, advice and disclosure, </w:t>
      </w:r>
      <w:r w:rsidR="00806202" w:rsidRPr="00423297">
        <w:t xml:space="preserve">the absence of formal </w:t>
      </w:r>
      <w:r w:rsidR="00D61E78">
        <w:t>‘</w:t>
      </w:r>
      <w:r w:rsidR="00806202" w:rsidRPr="00423297">
        <w:t>subject to finance</w:t>
      </w:r>
      <w:r w:rsidR="00D61E78">
        <w:t>’</w:t>
      </w:r>
      <w:r w:rsidR="00806202" w:rsidRPr="00423297">
        <w:t xml:space="preserve"> rights </w:t>
      </w:r>
      <w:r w:rsidRPr="00423297">
        <w:t>or inadequacies in exit arrangements.</w:t>
      </w:r>
    </w:p>
    <w:p w14:paraId="27DA8B08" w14:textId="335A90FB" w:rsidR="00F747F8" w:rsidRPr="00423297" w:rsidRDefault="005B2498" w:rsidP="002930A0">
      <w:pPr>
        <w:pStyle w:val="BodyText"/>
      </w:pPr>
      <w:r w:rsidRPr="00423297">
        <w:t xml:space="preserve">Under Option 4, consumers would also forego the benefits summarised in paragraph </w:t>
      </w:r>
      <w:r w:rsidRPr="00423297">
        <w:fldChar w:fldCharType="begin"/>
      </w:r>
      <w:r w:rsidRPr="00423297">
        <w:instrText xml:space="preserve"> REF _Ref38893737 \r \h </w:instrText>
      </w:r>
      <w:r w:rsidR="00423297">
        <w:instrText xml:space="preserve"> \* MERGEFORMAT </w:instrText>
      </w:r>
      <w:r w:rsidRPr="00423297">
        <w:fldChar w:fldCharType="separate"/>
      </w:r>
      <w:r w:rsidR="00B92808">
        <w:t>16</w:t>
      </w:r>
      <w:r w:rsidRPr="00423297">
        <w:fldChar w:fldCharType="end"/>
      </w:r>
      <w:r w:rsidR="009A324E" w:rsidRPr="00423297">
        <w:t>,</w:t>
      </w:r>
      <w:r w:rsidRPr="00423297">
        <w:t xml:space="preserve"> which would be delivered under revised Option 1.</w:t>
      </w:r>
    </w:p>
    <w:p w14:paraId="32173208" w14:textId="3478C659" w:rsidR="00073334" w:rsidRPr="00423297" w:rsidRDefault="00F747F8" w:rsidP="00E01C26">
      <w:pPr>
        <w:pStyle w:val="BodyText"/>
      </w:pPr>
      <w:r w:rsidRPr="00423297">
        <w:t xml:space="preserve">Despite our consultation we have not been able to accurately quantify the size of </w:t>
      </w:r>
      <w:r w:rsidR="00AA7698" w:rsidRPr="00423297">
        <w:t>consumer harm</w:t>
      </w:r>
      <w:r w:rsidRPr="00423297">
        <w:t xml:space="preserve"> should we maintain the status quo.</w:t>
      </w:r>
      <w:r w:rsidR="00073334" w:rsidRPr="00423297">
        <w:t xml:space="preserve"> </w:t>
      </w:r>
      <w:r w:rsidR="00010421" w:rsidRPr="00423297">
        <w:t>However</w:t>
      </w:r>
      <w:r w:rsidR="00A2540A" w:rsidRPr="00423297">
        <w:t>,</w:t>
      </w:r>
      <w:r w:rsidR="00010421" w:rsidRPr="00423297">
        <w:t xml:space="preserve"> for consumers who</w:t>
      </w:r>
      <w:r w:rsidR="00185583" w:rsidRPr="00423297">
        <w:t xml:space="preserve"> have purchased a membership in a time-sharing scheme and</w:t>
      </w:r>
      <w:r w:rsidR="00010421" w:rsidRPr="00423297">
        <w:t xml:space="preserve"> wish to exit, the costs to the individual are significant. The average upfront cost is $23,000, and around half of the consumers purchasing memberships use finance (which </w:t>
      </w:r>
      <w:r w:rsidR="00010421" w:rsidRPr="00423297">
        <w:lastRenderedPageBreak/>
        <w:t>further increases the cost).</w:t>
      </w:r>
      <w:r w:rsidR="00212273" w:rsidRPr="00423297">
        <w:t xml:space="preserve"> </w:t>
      </w:r>
      <w:r w:rsidR="001D4438" w:rsidRPr="00423297">
        <w:t xml:space="preserve">Our consumer research found that those who looked into selling online discovered the amount they might receive was much lower (a third or less) than they expected. Those who sold their membership on the secondary market reported they had received </w:t>
      </w:r>
      <w:r w:rsidR="00F40CE9" w:rsidRPr="00423297">
        <w:t>less than a third</w:t>
      </w:r>
      <w:r w:rsidR="001D4438" w:rsidRPr="00423297">
        <w:t xml:space="preserve"> of what they had paid</w:t>
      </w:r>
      <w:r w:rsidR="00A2540A" w:rsidRPr="00423297">
        <w:t>:</w:t>
      </w:r>
      <w:r w:rsidR="004F1829" w:rsidRPr="00423297">
        <w:t xml:space="preserve"> </w:t>
      </w:r>
      <w:r w:rsidR="001D4438" w:rsidRPr="00423297">
        <w:t>see</w:t>
      </w:r>
      <w:r w:rsidR="00BF65B2">
        <w:t xml:space="preserve"> Table 3 in</w:t>
      </w:r>
      <w:r w:rsidR="001D4438" w:rsidRPr="00423297">
        <w:t xml:space="preserve"> </w:t>
      </w:r>
      <w:hyperlink r:id="rId45" w:history="1">
        <w:r w:rsidR="001D4438" w:rsidRPr="00423297">
          <w:rPr>
            <w:rStyle w:val="Hyperlink"/>
          </w:rPr>
          <w:t>REP 642</w:t>
        </w:r>
      </w:hyperlink>
      <w:r w:rsidR="00EB473B" w:rsidRPr="00423297">
        <w:t>.</w:t>
      </w:r>
      <w:r w:rsidR="00212273" w:rsidRPr="00423297">
        <w:t xml:space="preserve"> </w:t>
      </w:r>
      <w:r w:rsidR="00A2540A" w:rsidRPr="00423297">
        <w:t xml:space="preserve">This is a high cost </w:t>
      </w:r>
      <w:r w:rsidR="00212273" w:rsidRPr="00423297">
        <w:t xml:space="preserve">for consumers </w:t>
      </w:r>
      <w:r w:rsidR="00F40CE9" w:rsidRPr="00423297">
        <w:t>tha</w:t>
      </w:r>
      <w:r w:rsidR="004D3537" w:rsidRPr="00423297">
        <w:t>t</w:t>
      </w:r>
      <w:r w:rsidR="00F40CE9" w:rsidRPr="00423297">
        <w:t xml:space="preserve"> </w:t>
      </w:r>
      <w:r w:rsidR="004D3537" w:rsidRPr="00423297">
        <w:t xml:space="preserve">they may not be able to </w:t>
      </w:r>
      <w:r w:rsidR="00F40CE9" w:rsidRPr="00423297">
        <w:t>recover</w:t>
      </w:r>
      <w:r w:rsidR="00A2540A" w:rsidRPr="00423297">
        <w:t xml:space="preserve"> to </w:t>
      </w:r>
      <w:r w:rsidR="00212273" w:rsidRPr="00423297">
        <w:t>exit a product they did not understand or that was simply not right for them.</w:t>
      </w:r>
    </w:p>
    <w:p w14:paraId="74936192" w14:textId="77777777" w:rsidR="006563D8" w:rsidRPr="00423297" w:rsidRDefault="006563D8" w:rsidP="006563D8">
      <w:pPr>
        <w:pStyle w:val="Heading3"/>
      </w:pPr>
      <w:r w:rsidRPr="00423297">
        <w:t>Impact on ASIC and other parts of Government</w:t>
      </w:r>
    </w:p>
    <w:p w14:paraId="591E258C" w14:textId="60D60429" w:rsidR="006563D8" w:rsidRPr="00423297" w:rsidRDefault="006563D8" w:rsidP="00FF5E4A">
      <w:pPr>
        <w:pStyle w:val="BodyText"/>
      </w:pPr>
      <w:r w:rsidRPr="00423297">
        <w:t>Government administration costs would be unlikely to change.</w:t>
      </w:r>
    </w:p>
    <w:p w14:paraId="3F1C6B81" w14:textId="7DCAF27D" w:rsidR="00423DE8" w:rsidRPr="00423297" w:rsidRDefault="00A40CA4" w:rsidP="00423DE8">
      <w:pPr>
        <w:pStyle w:val="Heading1"/>
      </w:pPr>
      <w:bookmarkStart w:id="187" w:name="_Toc5365769"/>
      <w:bookmarkStart w:id="188" w:name="_Toc36467243"/>
      <w:bookmarkStart w:id="189" w:name="_Toc56669433"/>
      <w:r w:rsidRPr="00423297">
        <w:lastRenderedPageBreak/>
        <w:t>Regulatory Burden and Cost Offset Estimate Table</w:t>
      </w:r>
      <w:bookmarkEnd w:id="187"/>
      <w:bookmarkEnd w:id="188"/>
      <w:bookmarkEnd w:id="189"/>
    </w:p>
    <w:p w14:paraId="087F56EA" w14:textId="395B0C8A" w:rsidR="00956647" w:rsidRPr="00423297" w:rsidRDefault="007024EF" w:rsidP="00956647">
      <w:pPr>
        <w:pStyle w:val="BodyText"/>
      </w:pPr>
      <w:r w:rsidRPr="00423297">
        <w:fldChar w:fldCharType="begin"/>
      </w:r>
      <w:r w:rsidRPr="00423297">
        <w:instrText xml:space="preserve"> REF _Ref4172816 \h </w:instrText>
      </w:r>
      <w:r w:rsidR="00EC11EF" w:rsidRPr="00423297">
        <w:instrText xml:space="preserve"> \* MERGEFORMAT </w:instrText>
      </w:r>
      <w:r w:rsidRPr="00423297">
        <w:fldChar w:fldCharType="separate"/>
      </w:r>
      <w:r w:rsidR="00B92808" w:rsidRPr="00423297">
        <w:t xml:space="preserve">Table </w:t>
      </w:r>
      <w:r w:rsidR="00B92808">
        <w:rPr>
          <w:noProof/>
        </w:rPr>
        <w:t>4</w:t>
      </w:r>
      <w:r w:rsidRPr="00423297">
        <w:fldChar w:fldCharType="end"/>
      </w:r>
      <w:r w:rsidR="00EC2656" w:rsidRPr="00423297">
        <w:t xml:space="preserve">, </w:t>
      </w:r>
      <w:r w:rsidR="00EC2656" w:rsidRPr="00423297">
        <w:fldChar w:fldCharType="begin"/>
      </w:r>
      <w:r w:rsidR="00EC2656" w:rsidRPr="00423297">
        <w:instrText xml:space="preserve"> REF _Ref11410916 \h </w:instrText>
      </w:r>
      <w:r w:rsidR="00D91D2E" w:rsidRPr="00423297">
        <w:instrText xml:space="preserve"> \* MERGEFORMAT </w:instrText>
      </w:r>
      <w:r w:rsidR="00EC2656" w:rsidRPr="00423297">
        <w:fldChar w:fldCharType="separate"/>
      </w:r>
      <w:r w:rsidR="00B92808" w:rsidRPr="00423297">
        <w:t xml:space="preserve">Table </w:t>
      </w:r>
      <w:r w:rsidR="00B92808">
        <w:rPr>
          <w:noProof/>
        </w:rPr>
        <w:t>5</w:t>
      </w:r>
      <w:r w:rsidR="00EC2656" w:rsidRPr="00423297">
        <w:fldChar w:fldCharType="end"/>
      </w:r>
      <w:r w:rsidR="00EC2656" w:rsidRPr="00423297">
        <w:t xml:space="preserve"> and</w:t>
      </w:r>
      <w:r w:rsidR="000E0648" w:rsidRPr="00423297">
        <w:t xml:space="preserve"> </w:t>
      </w:r>
      <w:r w:rsidR="00EC2656" w:rsidRPr="00423297">
        <w:fldChar w:fldCharType="begin"/>
      </w:r>
      <w:r w:rsidR="00EC2656" w:rsidRPr="00423297">
        <w:instrText xml:space="preserve"> REF _Ref11410991 \h </w:instrText>
      </w:r>
      <w:r w:rsidR="00D91D2E" w:rsidRPr="00423297">
        <w:instrText xml:space="preserve"> \* MERGEFORMAT </w:instrText>
      </w:r>
      <w:r w:rsidR="00EC2656" w:rsidRPr="00423297">
        <w:fldChar w:fldCharType="separate"/>
      </w:r>
      <w:r w:rsidR="00B92808" w:rsidRPr="00423297">
        <w:t xml:space="preserve">Table </w:t>
      </w:r>
      <w:r w:rsidR="00B92808">
        <w:rPr>
          <w:noProof/>
        </w:rPr>
        <w:t>6</w:t>
      </w:r>
      <w:r w:rsidR="00EC2656" w:rsidRPr="00423297">
        <w:fldChar w:fldCharType="end"/>
      </w:r>
      <w:r w:rsidR="00EC2656" w:rsidRPr="00423297">
        <w:t xml:space="preserve"> </w:t>
      </w:r>
      <w:r w:rsidR="000E0648" w:rsidRPr="00423297">
        <w:t xml:space="preserve">detail the estimated annual regulatory cost associated with the amendments to the </w:t>
      </w:r>
      <w:r w:rsidR="00713C7E" w:rsidRPr="00423297">
        <w:t>policy</w:t>
      </w:r>
      <w:r w:rsidR="000E0648" w:rsidRPr="00423297">
        <w:t xml:space="preserve"> settings in </w:t>
      </w:r>
      <w:r w:rsidR="0096791D" w:rsidRPr="00423297">
        <w:t xml:space="preserve">revised </w:t>
      </w:r>
      <w:r w:rsidR="000E0648" w:rsidRPr="00423297">
        <w:t>Option 1</w:t>
      </w:r>
      <w:r w:rsidR="00A0415C" w:rsidRPr="00423297">
        <w:t xml:space="preserve"> and Options</w:t>
      </w:r>
      <w:r w:rsidR="00CB4C29" w:rsidRPr="00423297">
        <w:t xml:space="preserve"> 2 and 3</w:t>
      </w:r>
      <w:r w:rsidR="007113B7" w:rsidRPr="00423297">
        <w:t>,</w:t>
      </w:r>
      <w:r w:rsidR="00EC2656" w:rsidRPr="00423297">
        <w:t xml:space="preserve"> respectively</w:t>
      </w:r>
      <w:r w:rsidR="00CB4C29" w:rsidRPr="00423297">
        <w:t>.</w:t>
      </w:r>
    </w:p>
    <w:p w14:paraId="582DBE06" w14:textId="471AA25A" w:rsidR="00B87D7B" w:rsidRPr="00423297" w:rsidRDefault="00B87D7B" w:rsidP="00B87D7B">
      <w:pPr>
        <w:pStyle w:val="tabletitleindented"/>
      </w:pPr>
      <w:bookmarkStart w:id="190" w:name="_Ref4172816"/>
      <w:r w:rsidRPr="00423297">
        <w:t xml:space="preserve">Table </w:t>
      </w:r>
      <w:r w:rsidR="008E7185" w:rsidRPr="00423297">
        <w:rPr>
          <w:b w:val="0"/>
        </w:rPr>
        <w:fldChar w:fldCharType="begin"/>
      </w:r>
      <w:r w:rsidR="008E7185" w:rsidRPr="00423297">
        <w:rPr>
          <w:noProof/>
        </w:rPr>
        <w:instrText xml:space="preserve"> SEQ Table \* ARABIC </w:instrText>
      </w:r>
      <w:r w:rsidR="008E7185" w:rsidRPr="00423297">
        <w:rPr>
          <w:b w:val="0"/>
        </w:rPr>
        <w:fldChar w:fldCharType="separate"/>
      </w:r>
      <w:r w:rsidR="00B92808">
        <w:rPr>
          <w:noProof/>
        </w:rPr>
        <w:t>4</w:t>
      </w:r>
      <w:r w:rsidR="008E7185" w:rsidRPr="00423297">
        <w:rPr>
          <w:b w:val="0"/>
        </w:rPr>
        <w:fldChar w:fldCharType="end"/>
      </w:r>
      <w:bookmarkEnd w:id="190"/>
      <w:r w:rsidRPr="00423297">
        <w:t>:</w:t>
      </w:r>
      <w:r w:rsidRPr="00423297">
        <w:tab/>
        <w:t>Average annual compliance costs (from business as usual)—</w:t>
      </w:r>
      <w:r w:rsidR="00A0415C" w:rsidRPr="00423297">
        <w:t xml:space="preserve">Revised </w:t>
      </w:r>
      <w:r w:rsidRPr="00423297">
        <w:t>Option 1</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B87D7B" w:rsidRPr="00423297" w14:paraId="7EB64F06" w14:textId="77777777" w:rsidTr="0027762E">
        <w:trPr>
          <w:cantSplit/>
          <w:tblHeader/>
        </w:trPr>
        <w:tc>
          <w:tcPr>
            <w:tcW w:w="3828" w:type="dxa"/>
            <w:shd w:val="clear" w:color="auto" w:fill="C2E3FA"/>
          </w:tcPr>
          <w:p w14:paraId="6DDFD441" w14:textId="77777777" w:rsidR="00B87D7B" w:rsidRPr="00423297" w:rsidRDefault="00B87D7B" w:rsidP="00D03001">
            <w:pPr>
              <w:pStyle w:val="tablehead"/>
            </w:pPr>
            <w:r w:rsidRPr="00423297">
              <w:t>Sector</w:t>
            </w:r>
          </w:p>
        </w:tc>
        <w:tc>
          <w:tcPr>
            <w:tcW w:w="2976" w:type="dxa"/>
            <w:shd w:val="clear" w:color="auto" w:fill="C2E3FA"/>
          </w:tcPr>
          <w:p w14:paraId="3EDEA6EB" w14:textId="77777777" w:rsidR="00B87D7B" w:rsidRPr="00423297" w:rsidRDefault="00B87D7B" w:rsidP="00D03001">
            <w:pPr>
              <w:pStyle w:val="tablehead"/>
            </w:pPr>
            <w:r w:rsidRPr="00423297">
              <w:t>Total change in costs</w:t>
            </w:r>
          </w:p>
        </w:tc>
      </w:tr>
      <w:tr w:rsidR="00B87D7B" w:rsidRPr="00423297" w14:paraId="03435B9A" w14:textId="77777777" w:rsidTr="0027762E">
        <w:trPr>
          <w:cantSplit/>
        </w:trPr>
        <w:tc>
          <w:tcPr>
            <w:tcW w:w="3828" w:type="dxa"/>
          </w:tcPr>
          <w:p w14:paraId="33028839" w14:textId="77777777" w:rsidR="00B87D7B" w:rsidRPr="00423297" w:rsidRDefault="00B87D7B" w:rsidP="00D03001">
            <w:pPr>
              <w:pStyle w:val="tbltext"/>
            </w:pPr>
            <w:r w:rsidRPr="00423297">
              <w:t>Operators</w:t>
            </w:r>
          </w:p>
        </w:tc>
        <w:tc>
          <w:tcPr>
            <w:tcW w:w="2976" w:type="dxa"/>
          </w:tcPr>
          <w:p w14:paraId="0330D40B" w14:textId="1C4802CB" w:rsidR="00B87D7B" w:rsidRPr="00423297" w:rsidRDefault="00B87D7B" w:rsidP="00D03001">
            <w:pPr>
              <w:pStyle w:val="tbltext"/>
            </w:pPr>
            <w:r w:rsidRPr="00423297">
              <w:t xml:space="preserve">Increase of </w:t>
            </w:r>
            <w:r w:rsidR="00C06D90" w:rsidRPr="00423297">
              <w:t>$366,000</w:t>
            </w:r>
          </w:p>
        </w:tc>
      </w:tr>
      <w:tr w:rsidR="00B87D7B" w:rsidRPr="00423297" w14:paraId="6F3E0C2F" w14:textId="77777777" w:rsidTr="0027762E">
        <w:trPr>
          <w:cantSplit/>
        </w:trPr>
        <w:tc>
          <w:tcPr>
            <w:tcW w:w="3828" w:type="dxa"/>
          </w:tcPr>
          <w:p w14:paraId="4A1DDFDD" w14:textId="77777777" w:rsidR="00B87D7B" w:rsidRPr="00423297" w:rsidRDefault="00B87D7B" w:rsidP="00D03001">
            <w:pPr>
              <w:pStyle w:val="tbltext"/>
            </w:pPr>
            <w:r w:rsidRPr="00423297">
              <w:t>Related finance providers</w:t>
            </w:r>
          </w:p>
        </w:tc>
        <w:tc>
          <w:tcPr>
            <w:tcW w:w="2976" w:type="dxa"/>
          </w:tcPr>
          <w:p w14:paraId="7722059B" w14:textId="6EE32FDD" w:rsidR="00B87D7B" w:rsidRPr="00423297" w:rsidRDefault="00B87D7B" w:rsidP="00D03001">
            <w:pPr>
              <w:pStyle w:val="tbltext"/>
            </w:pPr>
            <w:r w:rsidRPr="00423297">
              <w:t xml:space="preserve">Increase of </w:t>
            </w:r>
            <w:r w:rsidR="00C06D90" w:rsidRPr="00423297">
              <w:t>$15,000</w:t>
            </w:r>
          </w:p>
        </w:tc>
      </w:tr>
      <w:tr w:rsidR="00B87D7B" w:rsidRPr="00423297" w14:paraId="3A0C7EDB" w14:textId="77777777" w:rsidTr="0027762E">
        <w:trPr>
          <w:cantSplit/>
        </w:trPr>
        <w:tc>
          <w:tcPr>
            <w:tcW w:w="3828" w:type="dxa"/>
          </w:tcPr>
          <w:p w14:paraId="3A665119" w14:textId="77777777" w:rsidR="00B87D7B" w:rsidRPr="00423297" w:rsidRDefault="00B87D7B" w:rsidP="00D03001">
            <w:pPr>
              <w:pStyle w:val="tbltext"/>
            </w:pPr>
            <w:r w:rsidRPr="00423297">
              <w:t>Legacy scheme operators and dealers</w:t>
            </w:r>
          </w:p>
        </w:tc>
        <w:tc>
          <w:tcPr>
            <w:tcW w:w="2976" w:type="dxa"/>
          </w:tcPr>
          <w:p w14:paraId="024206D3" w14:textId="5292FDE4" w:rsidR="00B87D7B" w:rsidRPr="00423297" w:rsidRDefault="00B87D7B" w:rsidP="00D03001">
            <w:pPr>
              <w:pStyle w:val="tbltext"/>
            </w:pPr>
            <w:r w:rsidRPr="00423297">
              <w:t xml:space="preserve">Decrease of </w:t>
            </w:r>
            <w:r w:rsidR="00EB7FC5" w:rsidRPr="00423297">
              <w:t>$</w:t>
            </w:r>
            <w:r w:rsidR="00C06D90" w:rsidRPr="00423297">
              <w:t>45,000</w:t>
            </w:r>
          </w:p>
        </w:tc>
      </w:tr>
      <w:tr w:rsidR="00B87D7B" w:rsidRPr="00423297" w14:paraId="2F19A919" w14:textId="77777777" w:rsidTr="0027762E">
        <w:trPr>
          <w:cantSplit/>
        </w:trPr>
        <w:tc>
          <w:tcPr>
            <w:tcW w:w="3828" w:type="dxa"/>
          </w:tcPr>
          <w:p w14:paraId="0C6B65DD" w14:textId="77777777" w:rsidR="00B87D7B" w:rsidRPr="00423297" w:rsidRDefault="00B87D7B" w:rsidP="00D03001">
            <w:pPr>
              <w:pStyle w:val="tbltext"/>
              <w:rPr>
                <w:b/>
              </w:rPr>
            </w:pPr>
            <w:r w:rsidRPr="00423297">
              <w:rPr>
                <w:b/>
              </w:rPr>
              <w:t xml:space="preserve">Total cost </w:t>
            </w:r>
          </w:p>
        </w:tc>
        <w:tc>
          <w:tcPr>
            <w:tcW w:w="2976" w:type="dxa"/>
          </w:tcPr>
          <w:p w14:paraId="0F2F92A6" w14:textId="04179224" w:rsidR="00B87D7B" w:rsidRPr="00423297" w:rsidRDefault="00B87D7B" w:rsidP="00D03001">
            <w:pPr>
              <w:pStyle w:val="tbltext"/>
              <w:rPr>
                <w:b/>
              </w:rPr>
            </w:pPr>
            <w:r w:rsidRPr="00423297">
              <w:rPr>
                <w:b/>
              </w:rPr>
              <w:t xml:space="preserve">Increase of </w:t>
            </w:r>
            <w:r w:rsidR="00EB7FC5" w:rsidRPr="00423297">
              <w:rPr>
                <w:b/>
              </w:rPr>
              <w:t>$</w:t>
            </w:r>
            <w:r w:rsidR="00C06D90" w:rsidRPr="00423297">
              <w:rPr>
                <w:b/>
              </w:rPr>
              <w:t>336,000</w:t>
            </w:r>
          </w:p>
        </w:tc>
      </w:tr>
    </w:tbl>
    <w:p w14:paraId="0678DFCE" w14:textId="77777777" w:rsidR="00B87D7B" w:rsidRPr="00423297" w:rsidRDefault="00B87D7B" w:rsidP="00B87D7B">
      <w:pPr>
        <w:pStyle w:val="sourcenoteindented"/>
      </w:pP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B87D7B" w:rsidRPr="00423297" w14:paraId="28989FB3" w14:textId="77777777" w:rsidTr="0027762E">
        <w:trPr>
          <w:cantSplit/>
        </w:trPr>
        <w:tc>
          <w:tcPr>
            <w:tcW w:w="3828" w:type="dxa"/>
            <w:shd w:val="clear" w:color="auto" w:fill="C2E3FA"/>
          </w:tcPr>
          <w:p w14:paraId="662E8C65" w14:textId="77777777" w:rsidR="00B87D7B" w:rsidRPr="00423297" w:rsidRDefault="00B87D7B" w:rsidP="00D03001">
            <w:pPr>
              <w:pStyle w:val="tablehead"/>
            </w:pPr>
            <w:r w:rsidRPr="00423297">
              <w:t>Is the proposal cost neutral?</w:t>
            </w:r>
          </w:p>
        </w:tc>
        <w:tc>
          <w:tcPr>
            <w:tcW w:w="2976" w:type="dxa"/>
          </w:tcPr>
          <w:p w14:paraId="22CCDF20" w14:textId="77777777" w:rsidR="00B87D7B" w:rsidRPr="00423297" w:rsidRDefault="00B87D7B" w:rsidP="00D03001">
            <w:pPr>
              <w:pStyle w:val="tbltext"/>
            </w:pPr>
            <w:r w:rsidRPr="00423297">
              <w:t>No</w:t>
            </w:r>
          </w:p>
        </w:tc>
      </w:tr>
      <w:tr w:rsidR="00B87D7B" w:rsidRPr="00423297" w14:paraId="50F9D634" w14:textId="77777777" w:rsidTr="0027762E">
        <w:trPr>
          <w:cantSplit/>
        </w:trPr>
        <w:tc>
          <w:tcPr>
            <w:tcW w:w="3828" w:type="dxa"/>
            <w:shd w:val="clear" w:color="auto" w:fill="C2E3FA"/>
          </w:tcPr>
          <w:p w14:paraId="02335E0A" w14:textId="77777777" w:rsidR="00B87D7B" w:rsidRPr="00423297" w:rsidRDefault="00B87D7B" w:rsidP="00D03001">
            <w:pPr>
              <w:pStyle w:val="tablehead"/>
            </w:pPr>
            <w:r w:rsidRPr="00423297">
              <w:t>Is the proposal deregulatory?</w:t>
            </w:r>
          </w:p>
        </w:tc>
        <w:tc>
          <w:tcPr>
            <w:tcW w:w="2976" w:type="dxa"/>
          </w:tcPr>
          <w:p w14:paraId="07AB481B" w14:textId="77777777" w:rsidR="00B87D7B" w:rsidRPr="00423297" w:rsidRDefault="00B87D7B" w:rsidP="00D03001">
            <w:pPr>
              <w:pStyle w:val="tbltext"/>
            </w:pPr>
            <w:r w:rsidRPr="00423297">
              <w:t>No</w:t>
            </w:r>
          </w:p>
        </w:tc>
      </w:tr>
    </w:tbl>
    <w:p w14:paraId="37746B11" w14:textId="36BCF20B" w:rsidR="00FC4EA8" w:rsidRPr="00423297" w:rsidRDefault="00EC2656" w:rsidP="00191ED8">
      <w:pPr>
        <w:pStyle w:val="tabletitleindented"/>
      </w:pPr>
      <w:bookmarkStart w:id="191" w:name="_Ref11410916"/>
      <w:r w:rsidRPr="00423297">
        <w:t xml:space="preserve">Table </w:t>
      </w:r>
      <w:r w:rsidRPr="00423297">
        <w:rPr>
          <w:noProof/>
        </w:rPr>
        <w:fldChar w:fldCharType="begin"/>
      </w:r>
      <w:r w:rsidRPr="00423297">
        <w:rPr>
          <w:noProof/>
        </w:rPr>
        <w:instrText xml:space="preserve"> SEQ Table \* ARABIC </w:instrText>
      </w:r>
      <w:r w:rsidRPr="00423297">
        <w:rPr>
          <w:noProof/>
        </w:rPr>
        <w:fldChar w:fldCharType="separate"/>
      </w:r>
      <w:r w:rsidR="00B92808">
        <w:rPr>
          <w:noProof/>
        </w:rPr>
        <w:t>5</w:t>
      </w:r>
      <w:r w:rsidRPr="00423297">
        <w:rPr>
          <w:noProof/>
        </w:rPr>
        <w:fldChar w:fldCharType="end"/>
      </w:r>
      <w:bookmarkEnd w:id="191"/>
      <w:r w:rsidRPr="00423297">
        <w:t>:</w:t>
      </w:r>
      <w:r w:rsidRPr="00423297">
        <w:tab/>
        <w:t>Average annual compliance costs (from business as usual)—Option 2</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FC4EA8" w:rsidRPr="00423297" w14:paraId="40966B34" w14:textId="77777777" w:rsidTr="0027762E">
        <w:trPr>
          <w:cantSplit/>
          <w:tblHeader/>
        </w:trPr>
        <w:tc>
          <w:tcPr>
            <w:tcW w:w="3828" w:type="dxa"/>
            <w:shd w:val="clear" w:color="auto" w:fill="C2E3FA"/>
          </w:tcPr>
          <w:p w14:paraId="083C4385" w14:textId="77777777" w:rsidR="00FC4EA8" w:rsidRPr="00423297" w:rsidRDefault="00FC4EA8" w:rsidP="00FC4EA8">
            <w:pPr>
              <w:pStyle w:val="tablehead"/>
            </w:pPr>
            <w:r w:rsidRPr="00423297">
              <w:t>Sector</w:t>
            </w:r>
          </w:p>
        </w:tc>
        <w:tc>
          <w:tcPr>
            <w:tcW w:w="2976" w:type="dxa"/>
            <w:shd w:val="clear" w:color="auto" w:fill="C2E3FA"/>
          </w:tcPr>
          <w:p w14:paraId="0AF6FEB7" w14:textId="77777777" w:rsidR="00FC4EA8" w:rsidRPr="00423297" w:rsidRDefault="00FC4EA8" w:rsidP="00FC4EA8">
            <w:pPr>
              <w:pStyle w:val="tablehead"/>
            </w:pPr>
            <w:r w:rsidRPr="00423297">
              <w:t>Total change in costs</w:t>
            </w:r>
          </w:p>
        </w:tc>
      </w:tr>
      <w:tr w:rsidR="00FC4EA8" w:rsidRPr="00423297" w14:paraId="04918F95" w14:textId="77777777" w:rsidTr="0027762E">
        <w:trPr>
          <w:cantSplit/>
        </w:trPr>
        <w:tc>
          <w:tcPr>
            <w:tcW w:w="3828" w:type="dxa"/>
          </w:tcPr>
          <w:p w14:paraId="659B709F" w14:textId="77777777" w:rsidR="00FC4EA8" w:rsidRPr="00423297" w:rsidRDefault="00FC4EA8" w:rsidP="00FC4EA8">
            <w:pPr>
              <w:pStyle w:val="tbltext"/>
            </w:pPr>
            <w:r w:rsidRPr="00423297">
              <w:t>Operators</w:t>
            </w:r>
          </w:p>
        </w:tc>
        <w:tc>
          <w:tcPr>
            <w:tcW w:w="2976" w:type="dxa"/>
          </w:tcPr>
          <w:p w14:paraId="173C6F96" w14:textId="2EB1C807" w:rsidR="00FC4EA8" w:rsidRPr="00423297" w:rsidRDefault="00FC4EA8" w:rsidP="00FC4EA8">
            <w:pPr>
              <w:pStyle w:val="tbltext"/>
            </w:pPr>
            <w:r w:rsidRPr="00423297">
              <w:t>Increase of $3</w:t>
            </w:r>
            <w:r w:rsidR="00566AAC" w:rsidRPr="00423297">
              <w:t>.076</w:t>
            </w:r>
            <w:r w:rsidRPr="00423297">
              <w:t xml:space="preserve"> million</w:t>
            </w:r>
          </w:p>
        </w:tc>
      </w:tr>
      <w:tr w:rsidR="00FC4EA8" w:rsidRPr="00423297" w14:paraId="094F97FD" w14:textId="77777777" w:rsidTr="0027762E">
        <w:trPr>
          <w:cantSplit/>
        </w:trPr>
        <w:tc>
          <w:tcPr>
            <w:tcW w:w="3828" w:type="dxa"/>
          </w:tcPr>
          <w:p w14:paraId="5F3E028C" w14:textId="77777777" w:rsidR="00FC4EA8" w:rsidRPr="00423297" w:rsidRDefault="00FC4EA8" w:rsidP="00FC4EA8">
            <w:pPr>
              <w:pStyle w:val="tbltext"/>
            </w:pPr>
            <w:r w:rsidRPr="00423297">
              <w:t>Related finance providers</w:t>
            </w:r>
          </w:p>
        </w:tc>
        <w:tc>
          <w:tcPr>
            <w:tcW w:w="2976" w:type="dxa"/>
          </w:tcPr>
          <w:p w14:paraId="68F49045" w14:textId="1FF4C983" w:rsidR="00FC4EA8" w:rsidRPr="00423297" w:rsidRDefault="00FC4EA8" w:rsidP="00FC4EA8">
            <w:pPr>
              <w:pStyle w:val="tbltext"/>
            </w:pPr>
            <w:r w:rsidRPr="00423297">
              <w:t>Increase of $0.</w:t>
            </w:r>
            <w:r w:rsidR="00566AAC" w:rsidRPr="00423297">
              <w:t>030</w:t>
            </w:r>
            <w:r w:rsidRPr="00423297">
              <w:t xml:space="preserve"> million</w:t>
            </w:r>
          </w:p>
        </w:tc>
      </w:tr>
      <w:tr w:rsidR="00FC4EA8" w:rsidRPr="00423297" w14:paraId="38787E96" w14:textId="77777777" w:rsidTr="0027762E">
        <w:trPr>
          <w:cantSplit/>
        </w:trPr>
        <w:tc>
          <w:tcPr>
            <w:tcW w:w="3828" w:type="dxa"/>
          </w:tcPr>
          <w:p w14:paraId="4D866E1F" w14:textId="77777777" w:rsidR="00FC4EA8" w:rsidRPr="00423297" w:rsidRDefault="00FC4EA8" w:rsidP="00FC4EA8">
            <w:pPr>
              <w:pStyle w:val="tbltext"/>
            </w:pPr>
            <w:r w:rsidRPr="00423297">
              <w:t>Legacy scheme operators and dealers</w:t>
            </w:r>
          </w:p>
        </w:tc>
        <w:tc>
          <w:tcPr>
            <w:tcW w:w="2976" w:type="dxa"/>
          </w:tcPr>
          <w:p w14:paraId="393B715B" w14:textId="0CE35F50" w:rsidR="00FC4EA8" w:rsidRPr="00423297" w:rsidRDefault="00FC4EA8" w:rsidP="00FC4EA8">
            <w:pPr>
              <w:pStyle w:val="tbltext"/>
            </w:pPr>
            <w:r w:rsidRPr="00423297">
              <w:t>Decrease of $0.</w:t>
            </w:r>
            <w:r w:rsidR="00566AAC" w:rsidRPr="00423297">
              <w:t>0</w:t>
            </w:r>
            <w:r w:rsidRPr="00423297">
              <w:t>4</w:t>
            </w:r>
            <w:r w:rsidR="00566AAC" w:rsidRPr="00423297">
              <w:t>2</w:t>
            </w:r>
            <w:r w:rsidRPr="00423297">
              <w:t xml:space="preserve"> million</w:t>
            </w:r>
          </w:p>
        </w:tc>
      </w:tr>
      <w:tr w:rsidR="00FC4EA8" w:rsidRPr="00423297" w14:paraId="1AD24E7A" w14:textId="77777777" w:rsidTr="0027762E">
        <w:trPr>
          <w:cantSplit/>
        </w:trPr>
        <w:tc>
          <w:tcPr>
            <w:tcW w:w="3828" w:type="dxa"/>
          </w:tcPr>
          <w:p w14:paraId="019D01C2" w14:textId="77777777" w:rsidR="00FC4EA8" w:rsidRPr="00423297" w:rsidRDefault="00FC4EA8" w:rsidP="00FC4EA8">
            <w:pPr>
              <w:pStyle w:val="tbltext"/>
              <w:rPr>
                <w:b/>
              </w:rPr>
            </w:pPr>
            <w:r w:rsidRPr="00423297">
              <w:rPr>
                <w:b/>
              </w:rPr>
              <w:t xml:space="preserve">Total cost </w:t>
            </w:r>
          </w:p>
        </w:tc>
        <w:tc>
          <w:tcPr>
            <w:tcW w:w="2976" w:type="dxa"/>
          </w:tcPr>
          <w:p w14:paraId="7F592AF7" w14:textId="7CC4C591" w:rsidR="00FC4EA8" w:rsidRPr="00423297" w:rsidRDefault="00FC4EA8" w:rsidP="00FC4EA8">
            <w:pPr>
              <w:pStyle w:val="tbltext"/>
              <w:rPr>
                <w:b/>
              </w:rPr>
            </w:pPr>
            <w:r w:rsidRPr="00423297">
              <w:rPr>
                <w:b/>
              </w:rPr>
              <w:t>Increase of $</w:t>
            </w:r>
            <w:r w:rsidR="006315B0" w:rsidRPr="00423297">
              <w:rPr>
                <w:b/>
              </w:rPr>
              <w:t>3</w:t>
            </w:r>
            <w:r w:rsidR="00566AAC" w:rsidRPr="00423297">
              <w:rPr>
                <w:b/>
              </w:rPr>
              <w:t>.</w:t>
            </w:r>
            <w:r w:rsidR="006315B0" w:rsidRPr="00423297">
              <w:rPr>
                <w:b/>
              </w:rPr>
              <w:t>064</w:t>
            </w:r>
            <w:r w:rsidRPr="00423297">
              <w:rPr>
                <w:b/>
              </w:rPr>
              <w:t xml:space="preserve"> million</w:t>
            </w:r>
          </w:p>
        </w:tc>
      </w:tr>
    </w:tbl>
    <w:p w14:paraId="1119705F" w14:textId="77777777" w:rsidR="00FC4EA8" w:rsidRPr="00423297" w:rsidRDefault="00FC4EA8" w:rsidP="00FC4EA8">
      <w:pPr>
        <w:pStyle w:val="sourcenoteindented"/>
      </w:pP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FC4EA8" w:rsidRPr="00423297" w14:paraId="30570751" w14:textId="77777777" w:rsidTr="0027762E">
        <w:trPr>
          <w:cantSplit/>
        </w:trPr>
        <w:tc>
          <w:tcPr>
            <w:tcW w:w="3828" w:type="dxa"/>
            <w:shd w:val="clear" w:color="auto" w:fill="C2E3FA"/>
          </w:tcPr>
          <w:p w14:paraId="17F89C05" w14:textId="77777777" w:rsidR="00FC4EA8" w:rsidRPr="00423297" w:rsidRDefault="00FC4EA8" w:rsidP="00953431">
            <w:pPr>
              <w:pStyle w:val="tablehead"/>
              <w:keepNext w:val="0"/>
            </w:pPr>
            <w:r w:rsidRPr="00423297">
              <w:t>Is the proposal cost neutral?</w:t>
            </w:r>
          </w:p>
        </w:tc>
        <w:tc>
          <w:tcPr>
            <w:tcW w:w="2976" w:type="dxa"/>
          </w:tcPr>
          <w:p w14:paraId="37862570" w14:textId="77777777" w:rsidR="00FC4EA8" w:rsidRPr="00423297" w:rsidRDefault="00FC4EA8" w:rsidP="00FC4EA8">
            <w:pPr>
              <w:pStyle w:val="tbltext"/>
            </w:pPr>
            <w:r w:rsidRPr="00423297">
              <w:t>No</w:t>
            </w:r>
          </w:p>
        </w:tc>
      </w:tr>
      <w:tr w:rsidR="00FC4EA8" w:rsidRPr="00423297" w14:paraId="21D00430" w14:textId="77777777" w:rsidTr="0027762E">
        <w:trPr>
          <w:cantSplit/>
        </w:trPr>
        <w:tc>
          <w:tcPr>
            <w:tcW w:w="3828" w:type="dxa"/>
            <w:shd w:val="clear" w:color="auto" w:fill="C2E3FA"/>
          </w:tcPr>
          <w:p w14:paraId="15C068CC" w14:textId="77777777" w:rsidR="00FC4EA8" w:rsidRPr="00423297" w:rsidRDefault="00FC4EA8" w:rsidP="00953431">
            <w:pPr>
              <w:pStyle w:val="tablehead"/>
              <w:keepNext w:val="0"/>
            </w:pPr>
            <w:r w:rsidRPr="00423297">
              <w:t>Is the proposal deregulatory?</w:t>
            </w:r>
          </w:p>
        </w:tc>
        <w:tc>
          <w:tcPr>
            <w:tcW w:w="2976" w:type="dxa"/>
          </w:tcPr>
          <w:p w14:paraId="118120B2" w14:textId="77777777" w:rsidR="00FC4EA8" w:rsidRPr="00423297" w:rsidRDefault="00FC4EA8" w:rsidP="00FC4EA8">
            <w:pPr>
              <w:pStyle w:val="tbltext"/>
            </w:pPr>
            <w:r w:rsidRPr="00423297">
              <w:t>No</w:t>
            </w:r>
          </w:p>
        </w:tc>
      </w:tr>
    </w:tbl>
    <w:p w14:paraId="0F6BEF2D" w14:textId="1229E1DB" w:rsidR="00FC4EA8" w:rsidRPr="00423297" w:rsidRDefault="00EC2656" w:rsidP="00FC4EA8">
      <w:pPr>
        <w:pStyle w:val="tabletitleindented"/>
      </w:pPr>
      <w:bookmarkStart w:id="192" w:name="_Ref11410991"/>
      <w:r w:rsidRPr="00423297">
        <w:lastRenderedPageBreak/>
        <w:t xml:space="preserve">Table </w:t>
      </w:r>
      <w:r w:rsidRPr="00423297">
        <w:rPr>
          <w:noProof/>
        </w:rPr>
        <w:fldChar w:fldCharType="begin"/>
      </w:r>
      <w:r w:rsidRPr="00423297">
        <w:rPr>
          <w:noProof/>
        </w:rPr>
        <w:instrText xml:space="preserve"> SEQ Table \* ARABIC </w:instrText>
      </w:r>
      <w:r w:rsidRPr="00423297">
        <w:rPr>
          <w:noProof/>
        </w:rPr>
        <w:fldChar w:fldCharType="separate"/>
      </w:r>
      <w:r w:rsidR="00B92808">
        <w:rPr>
          <w:noProof/>
        </w:rPr>
        <w:t>6</w:t>
      </w:r>
      <w:r w:rsidRPr="00423297">
        <w:rPr>
          <w:noProof/>
        </w:rPr>
        <w:fldChar w:fldCharType="end"/>
      </w:r>
      <w:bookmarkEnd w:id="192"/>
      <w:r w:rsidRPr="00423297">
        <w:t>:</w:t>
      </w:r>
      <w:r w:rsidRPr="00423297">
        <w:tab/>
        <w:t>Average annual compliance costs (from business as usual)—Option 3</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FC4EA8" w:rsidRPr="00423297" w14:paraId="5849CD3B" w14:textId="77777777" w:rsidTr="0027762E">
        <w:trPr>
          <w:cantSplit/>
          <w:tblHeader/>
        </w:trPr>
        <w:tc>
          <w:tcPr>
            <w:tcW w:w="3828" w:type="dxa"/>
            <w:shd w:val="clear" w:color="auto" w:fill="C2E3FA"/>
          </w:tcPr>
          <w:p w14:paraId="3AC34A85" w14:textId="77777777" w:rsidR="00FC4EA8" w:rsidRPr="00423297" w:rsidRDefault="00FC4EA8" w:rsidP="00FC4EA8">
            <w:pPr>
              <w:pStyle w:val="tablehead"/>
            </w:pPr>
            <w:r w:rsidRPr="00423297">
              <w:t>Sector</w:t>
            </w:r>
          </w:p>
        </w:tc>
        <w:tc>
          <w:tcPr>
            <w:tcW w:w="2976" w:type="dxa"/>
            <w:shd w:val="clear" w:color="auto" w:fill="C2E3FA"/>
          </w:tcPr>
          <w:p w14:paraId="710E9A7E" w14:textId="77777777" w:rsidR="00FC4EA8" w:rsidRPr="00423297" w:rsidRDefault="00FC4EA8" w:rsidP="00FC4EA8">
            <w:pPr>
              <w:pStyle w:val="tablehead"/>
            </w:pPr>
            <w:r w:rsidRPr="00423297">
              <w:t>Total change in costs</w:t>
            </w:r>
          </w:p>
        </w:tc>
      </w:tr>
      <w:tr w:rsidR="00FC4EA8" w:rsidRPr="00423297" w14:paraId="71B9E71F" w14:textId="77777777" w:rsidTr="0027762E">
        <w:trPr>
          <w:cantSplit/>
        </w:trPr>
        <w:tc>
          <w:tcPr>
            <w:tcW w:w="3828" w:type="dxa"/>
          </w:tcPr>
          <w:p w14:paraId="22533B35" w14:textId="77777777" w:rsidR="00FC4EA8" w:rsidRPr="00423297" w:rsidRDefault="00FC4EA8" w:rsidP="00953431">
            <w:pPr>
              <w:pStyle w:val="tbltext"/>
              <w:keepNext/>
            </w:pPr>
            <w:r w:rsidRPr="00423297">
              <w:t>Operators</w:t>
            </w:r>
          </w:p>
        </w:tc>
        <w:tc>
          <w:tcPr>
            <w:tcW w:w="2976" w:type="dxa"/>
          </w:tcPr>
          <w:p w14:paraId="6E1333DF" w14:textId="261C5066" w:rsidR="00FC4EA8" w:rsidRPr="00423297" w:rsidRDefault="00FC4EA8" w:rsidP="00FC4EA8">
            <w:pPr>
              <w:pStyle w:val="tbltext"/>
            </w:pPr>
            <w:r w:rsidRPr="00423297">
              <w:t>Increase of $</w:t>
            </w:r>
            <w:r w:rsidR="006315B0" w:rsidRPr="00423297">
              <w:t>3</w:t>
            </w:r>
            <w:r w:rsidR="00566AAC" w:rsidRPr="00423297">
              <w:t>.</w:t>
            </w:r>
            <w:r w:rsidR="006315B0" w:rsidRPr="00423297">
              <w:t>03</w:t>
            </w:r>
            <w:r w:rsidR="00566AAC" w:rsidRPr="00423297">
              <w:t>4</w:t>
            </w:r>
            <w:r w:rsidRPr="00423297">
              <w:t xml:space="preserve"> million</w:t>
            </w:r>
          </w:p>
        </w:tc>
      </w:tr>
      <w:tr w:rsidR="00FC4EA8" w:rsidRPr="00423297" w14:paraId="1189DA6E" w14:textId="77777777" w:rsidTr="0027762E">
        <w:trPr>
          <w:cantSplit/>
        </w:trPr>
        <w:tc>
          <w:tcPr>
            <w:tcW w:w="3828" w:type="dxa"/>
          </w:tcPr>
          <w:p w14:paraId="03E48CDF" w14:textId="77777777" w:rsidR="00FC4EA8" w:rsidRPr="00423297" w:rsidRDefault="00FC4EA8" w:rsidP="00FC4EA8">
            <w:pPr>
              <w:pStyle w:val="tbltext"/>
            </w:pPr>
            <w:r w:rsidRPr="00423297">
              <w:t>Related finance providers</w:t>
            </w:r>
          </w:p>
        </w:tc>
        <w:tc>
          <w:tcPr>
            <w:tcW w:w="2976" w:type="dxa"/>
          </w:tcPr>
          <w:p w14:paraId="71FCFD2F" w14:textId="274530CC" w:rsidR="00FC4EA8" w:rsidRPr="00423297" w:rsidRDefault="00FC4EA8" w:rsidP="00FC4EA8">
            <w:pPr>
              <w:pStyle w:val="tbltext"/>
            </w:pPr>
            <w:r w:rsidRPr="00423297">
              <w:t>Increase of $0.</w:t>
            </w:r>
            <w:r w:rsidR="00566AAC" w:rsidRPr="00423297">
              <w:t>0</w:t>
            </w:r>
            <w:r w:rsidR="00C9428B" w:rsidRPr="00423297">
              <w:t>3</w:t>
            </w:r>
            <w:r w:rsidR="00566AAC" w:rsidRPr="00423297">
              <w:t>4</w:t>
            </w:r>
            <w:r w:rsidRPr="00423297">
              <w:t xml:space="preserve"> million</w:t>
            </w:r>
          </w:p>
        </w:tc>
      </w:tr>
      <w:tr w:rsidR="00FC4EA8" w:rsidRPr="00423297" w14:paraId="09F036F8" w14:textId="77777777" w:rsidTr="0027762E">
        <w:trPr>
          <w:cantSplit/>
        </w:trPr>
        <w:tc>
          <w:tcPr>
            <w:tcW w:w="3828" w:type="dxa"/>
          </w:tcPr>
          <w:p w14:paraId="708D663B" w14:textId="77777777" w:rsidR="00FC4EA8" w:rsidRPr="00423297" w:rsidRDefault="00FC4EA8" w:rsidP="00FC4EA8">
            <w:pPr>
              <w:pStyle w:val="tbltext"/>
            </w:pPr>
            <w:r w:rsidRPr="00423297">
              <w:t>Legacy scheme operators and dealers</w:t>
            </w:r>
          </w:p>
        </w:tc>
        <w:tc>
          <w:tcPr>
            <w:tcW w:w="2976" w:type="dxa"/>
          </w:tcPr>
          <w:p w14:paraId="7B97CF14" w14:textId="246DD07D" w:rsidR="00FC4EA8" w:rsidRPr="00423297" w:rsidRDefault="00FC4EA8" w:rsidP="00FC4EA8">
            <w:pPr>
              <w:pStyle w:val="tbltext"/>
            </w:pPr>
            <w:r w:rsidRPr="00423297">
              <w:t>Decrease of $0.</w:t>
            </w:r>
            <w:r w:rsidR="00566AAC" w:rsidRPr="00423297">
              <w:t>0</w:t>
            </w:r>
            <w:r w:rsidRPr="00423297">
              <w:t>4</w:t>
            </w:r>
            <w:r w:rsidR="00566AAC" w:rsidRPr="00423297">
              <w:t>2</w:t>
            </w:r>
            <w:r w:rsidRPr="00423297">
              <w:t xml:space="preserve"> million</w:t>
            </w:r>
          </w:p>
        </w:tc>
      </w:tr>
      <w:tr w:rsidR="00FC4EA8" w:rsidRPr="00423297" w14:paraId="1C5D2E01" w14:textId="77777777" w:rsidTr="0027762E">
        <w:trPr>
          <w:cantSplit/>
        </w:trPr>
        <w:tc>
          <w:tcPr>
            <w:tcW w:w="3828" w:type="dxa"/>
          </w:tcPr>
          <w:p w14:paraId="5F796F94" w14:textId="77777777" w:rsidR="00FC4EA8" w:rsidRPr="00423297" w:rsidRDefault="00FC4EA8" w:rsidP="00FC4EA8">
            <w:pPr>
              <w:pStyle w:val="tbltext"/>
              <w:rPr>
                <w:b/>
              </w:rPr>
            </w:pPr>
            <w:r w:rsidRPr="00423297">
              <w:rPr>
                <w:b/>
              </w:rPr>
              <w:t xml:space="preserve">Total cost </w:t>
            </w:r>
          </w:p>
        </w:tc>
        <w:tc>
          <w:tcPr>
            <w:tcW w:w="2976" w:type="dxa"/>
          </w:tcPr>
          <w:p w14:paraId="50BA7667" w14:textId="7CB05C64" w:rsidR="00FC4EA8" w:rsidRPr="00423297" w:rsidRDefault="00FC4EA8" w:rsidP="00FC4EA8">
            <w:pPr>
              <w:pStyle w:val="tbltext"/>
              <w:rPr>
                <w:b/>
              </w:rPr>
            </w:pPr>
            <w:r w:rsidRPr="00423297">
              <w:rPr>
                <w:b/>
              </w:rPr>
              <w:t>Increase of $</w:t>
            </w:r>
            <w:r w:rsidR="006315B0" w:rsidRPr="00423297">
              <w:rPr>
                <w:b/>
              </w:rPr>
              <w:t>3</w:t>
            </w:r>
            <w:r w:rsidR="00566AAC" w:rsidRPr="00423297">
              <w:rPr>
                <w:b/>
              </w:rPr>
              <w:t>.</w:t>
            </w:r>
            <w:r w:rsidR="006315B0" w:rsidRPr="00423297">
              <w:rPr>
                <w:b/>
              </w:rPr>
              <w:t>02</w:t>
            </w:r>
            <w:r w:rsidR="00566AAC" w:rsidRPr="00423297">
              <w:rPr>
                <w:b/>
              </w:rPr>
              <w:t>6</w:t>
            </w:r>
            <w:r w:rsidRPr="00423297">
              <w:rPr>
                <w:b/>
              </w:rPr>
              <w:t xml:space="preserve"> million</w:t>
            </w:r>
          </w:p>
        </w:tc>
      </w:tr>
    </w:tbl>
    <w:p w14:paraId="3DBA9502" w14:textId="77777777" w:rsidR="00FC4EA8" w:rsidRPr="00423297" w:rsidRDefault="00FC4EA8" w:rsidP="00FC4EA8">
      <w:pPr>
        <w:pStyle w:val="sourcenoteindented"/>
      </w:pP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828"/>
        <w:gridCol w:w="2976"/>
      </w:tblGrid>
      <w:tr w:rsidR="00FC4EA8" w:rsidRPr="00423297" w14:paraId="50F8A0CA" w14:textId="77777777" w:rsidTr="0027762E">
        <w:trPr>
          <w:cantSplit/>
        </w:trPr>
        <w:tc>
          <w:tcPr>
            <w:tcW w:w="3828" w:type="dxa"/>
            <w:shd w:val="clear" w:color="auto" w:fill="C2E3FA"/>
          </w:tcPr>
          <w:p w14:paraId="39F353DB" w14:textId="77777777" w:rsidR="00FC4EA8" w:rsidRPr="00423297" w:rsidRDefault="00FC4EA8" w:rsidP="00FC4EA8">
            <w:pPr>
              <w:pStyle w:val="tablehead"/>
            </w:pPr>
            <w:r w:rsidRPr="00423297">
              <w:t>Is the proposal cost neutral?</w:t>
            </w:r>
          </w:p>
        </w:tc>
        <w:tc>
          <w:tcPr>
            <w:tcW w:w="2976" w:type="dxa"/>
          </w:tcPr>
          <w:p w14:paraId="46E4C223" w14:textId="77777777" w:rsidR="00FC4EA8" w:rsidRPr="00423297" w:rsidRDefault="00FC4EA8" w:rsidP="00FC4EA8">
            <w:pPr>
              <w:pStyle w:val="tbltext"/>
            </w:pPr>
            <w:r w:rsidRPr="00423297">
              <w:t>No</w:t>
            </w:r>
          </w:p>
        </w:tc>
      </w:tr>
      <w:tr w:rsidR="00FC4EA8" w:rsidRPr="00423297" w14:paraId="03348EFA" w14:textId="77777777" w:rsidTr="0027762E">
        <w:trPr>
          <w:cantSplit/>
        </w:trPr>
        <w:tc>
          <w:tcPr>
            <w:tcW w:w="3828" w:type="dxa"/>
            <w:shd w:val="clear" w:color="auto" w:fill="C2E3FA"/>
          </w:tcPr>
          <w:p w14:paraId="6D3D4AAF" w14:textId="77777777" w:rsidR="00FC4EA8" w:rsidRPr="00423297" w:rsidRDefault="00FC4EA8" w:rsidP="00FC4EA8">
            <w:pPr>
              <w:pStyle w:val="tablehead"/>
            </w:pPr>
            <w:r w:rsidRPr="00423297">
              <w:t>Is the proposal deregulatory?</w:t>
            </w:r>
          </w:p>
        </w:tc>
        <w:tc>
          <w:tcPr>
            <w:tcW w:w="2976" w:type="dxa"/>
          </w:tcPr>
          <w:p w14:paraId="63670B97" w14:textId="77777777" w:rsidR="00FC4EA8" w:rsidRPr="00423297" w:rsidRDefault="00FC4EA8" w:rsidP="00FC4EA8">
            <w:pPr>
              <w:pStyle w:val="tbltext"/>
            </w:pPr>
            <w:r w:rsidRPr="00423297">
              <w:t>No</w:t>
            </w:r>
          </w:p>
        </w:tc>
      </w:tr>
    </w:tbl>
    <w:p w14:paraId="47ED7C42" w14:textId="231CD579" w:rsidR="00423DE8" w:rsidRPr="00423297" w:rsidRDefault="00423DE8" w:rsidP="00423DE8">
      <w:pPr>
        <w:pStyle w:val="Heading1"/>
      </w:pPr>
      <w:bookmarkStart w:id="193" w:name="_Toc26874688"/>
      <w:bookmarkStart w:id="194" w:name="_Toc26874689"/>
      <w:bookmarkStart w:id="195" w:name="_Ref4422703"/>
      <w:bookmarkStart w:id="196" w:name="_Toc5365770"/>
      <w:bookmarkStart w:id="197" w:name="_Toc36467244"/>
      <w:bookmarkStart w:id="198" w:name="_Toc56669434"/>
      <w:bookmarkEnd w:id="193"/>
      <w:bookmarkEnd w:id="194"/>
      <w:r w:rsidRPr="00423297">
        <w:lastRenderedPageBreak/>
        <w:t>Consultation</w:t>
      </w:r>
      <w:bookmarkEnd w:id="195"/>
      <w:bookmarkEnd w:id="196"/>
      <w:bookmarkEnd w:id="197"/>
      <w:bookmarkEnd w:id="198"/>
    </w:p>
    <w:p w14:paraId="2E20AED3" w14:textId="77777777" w:rsidR="00B87D7B" w:rsidRPr="00423297" w:rsidRDefault="00B87D7B" w:rsidP="008250FD">
      <w:pPr>
        <w:pStyle w:val="Heading2"/>
      </w:pPr>
      <w:bookmarkStart w:id="199" w:name="_Toc36467245"/>
      <w:bookmarkStart w:id="200" w:name="_Toc56669435"/>
      <w:r w:rsidRPr="00423297">
        <w:t>Release of CP 272 and feedback received</w:t>
      </w:r>
      <w:bookmarkEnd w:id="199"/>
      <w:bookmarkEnd w:id="200"/>
    </w:p>
    <w:p w14:paraId="36DF994A" w14:textId="065FAA67" w:rsidR="00B87D7B" w:rsidRPr="00423297" w:rsidRDefault="00B87D7B" w:rsidP="00183335">
      <w:pPr>
        <w:pStyle w:val="BodyText"/>
      </w:pPr>
      <w:r w:rsidRPr="00423297">
        <w:t xml:space="preserve">On 17 November 2016, we published </w:t>
      </w:r>
      <w:hyperlink r:id="rId46" w:history="1">
        <w:r w:rsidR="00AB7B88" w:rsidRPr="00423297">
          <w:rPr>
            <w:rStyle w:val="Hyperlink"/>
          </w:rPr>
          <w:t>CP 272</w:t>
        </w:r>
      </w:hyperlink>
      <w:r w:rsidRPr="00423297">
        <w:t>, seeking feedback on our proposal</w:t>
      </w:r>
      <w:r w:rsidR="0089256B" w:rsidRPr="00423297">
        <w:t>s</w:t>
      </w:r>
      <w:r w:rsidRPr="00423297">
        <w:t xml:space="preserve"> to: </w:t>
      </w:r>
    </w:p>
    <w:p w14:paraId="1D67A3F4" w14:textId="3B29E34C" w:rsidR="00EF1610" w:rsidRPr="00423297" w:rsidRDefault="00B87D7B" w:rsidP="00183335">
      <w:pPr>
        <w:pStyle w:val="subparaa"/>
      </w:pPr>
      <w:bookmarkStart w:id="201" w:name="_Hlk8826622"/>
      <w:r w:rsidRPr="00423297">
        <w:t>remake</w:t>
      </w:r>
      <w:r w:rsidR="00EF1610" w:rsidRPr="00423297">
        <w:t xml:space="preserve"> the following class orders (since superseded) </w:t>
      </w:r>
      <w:r w:rsidRPr="00423297">
        <w:t>into a single instrument</w:t>
      </w:r>
      <w:r w:rsidR="00DC084A" w:rsidRPr="00423297">
        <w:t>,</w:t>
      </w:r>
      <w:r w:rsidRPr="00423297">
        <w:t xml:space="preserve"> subject to an additional requirement that the time-sharing scheme is not promoted as a means of generating a financial return (other than by way of a rental pool)</w:t>
      </w:r>
      <w:r w:rsidR="00EF1610" w:rsidRPr="00423297">
        <w:t>:</w:t>
      </w:r>
    </w:p>
    <w:p w14:paraId="0FD4AAA2" w14:textId="0C9D5C83" w:rsidR="00EF1610" w:rsidRPr="00423297" w:rsidRDefault="00DC084A" w:rsidP="00183335">
      <w:pPr>
        <w:pStyle w:val="subsubparai"/>
      </w:pPr>
      <w:r w:rsidRPr="00423297">
        <w:t xml:space="preserve">Superseded Class Order </w:t>
      </w:r>
      <w:r w:rsidR="00EF1610" w:rsidRPr="00423297">
        <w:t xml:space="preserve">[SCO 00/2460] </w:t>
      </w:r>
      <w:r w:rsidR="00EF1610" w:rsidRPr="00423297">
        <w:rPr>
          <w:i/>
        </w:rPr>
        <w:t>Time-sharing schemes—Property valuations</w:t>
      </w:r>
      <w:r w:rsidR="00EF1610" w:rsidRPr="00423297">
        <w:t>;</w:t>
      </w:r>
    </w:p>
    <w:p w14:paraId="186338CB" w14:textId="00B5E9B6" w:rsidR="00EF1610" w:rsidRPr="00423297" w:rsidRDefault="00DC084A" w:rsidP="00183335">
      <w:pPr>
        <w:pStyle w:val="subsubparai"/>
      </w:pPr>
      <w:r w:rsidRPr="00423297">
        <w:t xml:space="preserve">Superseded Class Order </w:t>
      </w:r>
      <w:r w:rsidR="00EF1610" w:rsidRPr="00423297">
        <w:t xml:space="preserve">[SCO 02/315] </w:t>
      </w:r>
      <w:r w:rsidR="00EF1610" w:rsidRPr="00423297">
        <w:rPr>
          <w:i/>
        </w:rPr>
        <w:t>Time-sharing schemes—Use of loose-leaf price list</w:t>
      </w:r>
      <w:r w:rsidR="00EF1610" w:rsidRPr="00423297">
        <w:t xml:space="preserve">; and </w:t>
      </w:r>
    </w:p>
    <w:p w14:paraId="3B086E0C" w14:textId="19194EAC" w:rsidR="00B87D7B" w:rsidRPr="00423297" w:rsidRDefault="00DC084A" w:rsidP="00183335">
      <w:pPr>
        <w:pStyle w:val="subsubparai"/>
      </w:pPr>
      <w:r w:rsidRPr="00423297">
        <w:t>Superseded Class Order</w:t>
      </w:r>
      <w:r w:rsidRPr="00423297">
        <w:rPr>
          <w:color w:val="253746"/>
        </w:rPr>
        <w:t xml:space="preserve"> </w:t>
      </w:r>
      <w:r w:rsidR="00EF1610" w:rsidRPr="00423297">
        <w:t xml:space="preserve">[SCO 03/104] </w:t>
      </w:r>
      <w:r w:rsidR="00EF1610" w:rsidRPr="00423297">
        <w:rPr>
          <w:i/>
        </w:rPr>
        <w:t>Relief facilitating the acquisition and sale of forfeited interests in registered time-sharing schemes</w:t>
      </w:r>
      <w:r w:rsidR="00B87D7B" w:rsidRPr="00423297">
        <w:t xml:space="preserve">; </w:t>
      </w:r>
    </w:p>
    <w:p w14:paraId="4D7284BF" w14:textId="23215816" w:rsidR="00B87D7B" w:rsidRPr="00423297" w:rsidRDefault="00B87D7B" w:rsidP="00183335">
      <w:pPr>
        <w:pStyle w:val="subparaa"/>
      </w:pPr>
      <w:r w:rsidRPr="00423297">
        <w:t>provide transitional relief</w:t>
      </w:r>
      <w:r w:rsidR="0089256B" w:rsidRPr="00423297">
        <w:t>,</w:t>
      </w:r>
      <w:r w:rsidRPr="00423297">
        <w:t xml:space="preserve"> grandfathered for existing operators relying on </w:t>
      </w:r>
      <w:r w:rsidR="0089256B" w:rsidRPr="00423297">
        <w:t xml:space="preserve">Superseded Class Order </w:t>
      </w:r>
      <w:r w:rsidR="00AB7B88" w:rsidRPr="00423297">
        <w:t xml:space="preserve">[SCO 02/237] </w:t>
      </w:r>
      <w:r w:rsidR="00AB7B88" w:rsidRPr="00423297">
        <w:rPr>
          <w:i/>
        </w:rPr>
        <w:t>Time-sharing schemes—</w:t>
      </w:r>
      <w:r w:rsidR="00FC3C6A" w:rsidRPr="00423297">
        <w:rPr>
          <w:i/>
        </w:rPr>
        <w:t>O</w:t>
      </w:r>
      <w:r w:rsidR="00AB7B88" w:rsidRPr="00423297">
        <w:rPr>
          <w:i/>
        </w:rPr>
        <w:t>peration of rental pool</w:t>
      </w:r>
      <w:r w:rsidRPr="00423297">
        <w:t>, with amendments to reduce the frequency of the audit of the trust account from twice</w:t>
      </w:r>
      <w:r w:rsidR="004D4369" w:rsidRPr="00423297">
        <w:t xml:space="preserve"> a year</w:t>
      </w:r>
      <w:r w:rsidRPr="00423297">
        <w:t xml:space="preserve"> to once a year;</w:t>
      </w:r>
    </w:p>
    <w:p w14:paraId="3D5B6AAE" w14:textId="77777777" w:rsidR="00B87D7B" w:rsidRPr="00423297" w:rsidRDefault="00B87D7B" w:rsidP="00183335">
      <w:pPr>
        <w:pStyle w:val="subparaa"/>
      </w:pPr>
      <w:r w:rsidRPr="00423297">
        <w:t>amend the template cooling-off statement for operators of time-sharing schemes;</w:t>
      </w:r>
    </w:p>
    <w:p w14:paraId="77186023" w14:textId="77777777" w:rsidR="00B87D7B" w:rsidRPr="00423297" w:rsidRDefault="00B87D7B" w:rsidP="00183335">
      <w:pPr>
        <w:pStyle w:val="subparaa"/>
      </w:pPr>
      <w:r w:rsidRPr="00423297">
        <w:t>provide for the refund of financing costs when cooling-off rights are exercised;</w:t>
      </w:r>
    </w:p>
    <w:p w14:paraId="7D2D1120" w14:textId="62267E07" w:rsidR="00B87D7B" w:rsidRPr="00423297" w:rsidRDefault="00B87D7B" w:rsidP="00183335">
      <w:pPr>
        <w:pStyle w:val="subparaa"/>
      </w:pPr>
      <w:r w:rsidRPr="00423297">
        <w:t xml:space="preserve">impose additional requirements where </w:t>
      </w:r>
      <w:r w:rsidR="0089256B" w:rsidRPr="00423297">
        <w:t>verbal</w:t>
      </w:r>
      <w:r w:rsidRPr="00423297">
        <w:t xml:space="preserve"> financial product advice is provided to a consumer </w:t>
      </w:r>
      <w:r w:rsidR="0089256B" w:rsidRPr="00423297">
        <w:t>on</w:t>
      </w:r>
      <w:r w:rsidRPr="00423297">
        <w:t xml:space="preserve"> the purchase of a</w:t>
      </w:r>
      <w:r w:rsidR="0089256B" w:rsidRPr="00423297">
        <w:t>n</w:t>
      </w:r>
      <w:r w:rsidRPr="00423297">
        <w:t xml:space="preserve"> interest</w:t>
      </w:r>
      <w:r w:rsidR="0089256B" w:rsidRPr="00423297">
        <w:t xml:space="preserve"> in a time-sharing scheme</w:t>
      </w:r>
      <w:r w:rsidR="007517DA" w:rsidRPr="00423297">
        <w:t>;</w:t>
      </w:r>
      <w:r w:rsidRPr="00423297">
        <w:t xml:space="preserve"> and</w:t>
      </w:r>
    </w:p>
    <w:p w14:paraId="44F706EA" w14:textId="6B1C0D75" w:rsidR="00B87D7B" w:rsidRPr="00423297" w:rsidRDefault="00B87D7B" w:rsidP="00183335">
      <w:pPr>
        <w:pStyle w:val="subparaa"/>
      </w:pPr>
      <w:proofErr w:type="gramStart"/>
      <w:r w:rsidRPr="00423297">
        <w:t>modify</w:t>
      </w:r>
      <w:proofErr w:type="gramEnd"/>
      <w:r w:rsidRPr="00423297">
        <w:t xml:space="preserve"> the enhanced fee disclosure requirements in Sch 10 to the Corporations Regulations to tailor them to time-sharing schemes</w:t>
      </w:r>
      <w:bookmarkEnd w:id="201"/>
      <w:r w:rsidRPr="00423297">
        <w:t>.</w:t>
      </w:r>
    </w:p>
    <w:p w14:paraId="5F266B59" w14:textId="5EE651E3" w:rsidR="00A224F5" w:rsidRPr="00423297" w:rsidRDefault="00A224F5" w:rsidP="00183335">
      <w:pPr>
        <w:pStyle w:val="BodyText"/>
      </w:pPr>
      <w:bookmarkStart w:id="202" w:name="_Hlk8826636"/>
      <w:r w:rsidRPr="00423297">
        <w:t xml:space="preserve">As a part of </w:t>
      </w:r>
      <w:r w:rsidR="00A0415C" w:rsidRPr="00423297">
        <w:t xml:space="preserve">the </w:t>
      </w:r>
      <w:r w:rsidRPr="00423297">
        <w:t xml:space="preserve">CP 272 consultation </w:t>
      </w:r>
      <w:r w:rsidR="00A0415C" w:rsidRPr="00423297">
        <w:t>on</w:t>
      </w:r>
      <w:r w:rsidRPr="00423297">
        <w:t xml:space="preserve"> enhancing cooling-off rights, we also consulted in limited terms about introducing an opt-in </w:t>
      </w:r>
      <w:r w:rsidR="00837887" w:rsidRPr="00423297">
        <w:t xml:space="preserve">regime </w:t>
      </w:r>
      <w:r w:rsidRPr="00423297">
        <w:t xml:space="preserve">instead of the cooling-off </w:t>
      </w:r>
      <w:r w:rsidR="00326079" w:rsidRPr="00423297">
        <w:t>rights</w:t>
      </w:r>
      <w:r w:rsidRPr="00423297">
        <w:t xml:space="preserve">. </w:t>
      </w:r>
    </w:p>
    <w:p w14:paraId="53D11673" w14:textId="16C9A9CB" w:rsidR="00B87D7B" w:rsidRPr="00423297" w:rsidRDefault="00B87D7B" w:rsidP="00183335">
      <w:pPr>
        <w:pStyle w:val="BodyText"/>
      </w:pPr>
      <w:r w:rsidRPr="00423297">
        <w:t>CP 272 also sought additional feedback on existing obligations, including about hawking and sales practices</w:t>
      </w:r>
      <w:r w:rsidR="0089256B" w:rsidRPr="00423297">
        <w:t>,</w:t>
      </w:r>
      <w:r w:rsidRPr="00423297">
        <w:t xml:space="preserve"> and whether the cooling-off </w:t>
      </w:r>
      <w:r w:rsidR="00326079" w:rsidRPr="00423297">
        <w:t>rights</w:t>
      </w:r>
      <w:r w:rsidRPr="00423297">
        <w:t xml:space="preserve"> are working effectively</w:t>
      </w:r>
      <w:bookmarkEnd w:id="202"/>
      <w:r w:rsidRPr="00423297">
        <w:t>.</w:t>
      </w:r>
    </w:p>
    <w:p w14:paraId="175712A5" w14:textId="1F18F1DC" w:rsidR="00B87D7B" w:rsidRPr="00423297" w:rsidRDefault="00183335" w:rsidP="00B87D7B">
      <w:pPr>
        <w:pStyle w:val="Note"/>
      </w:pPr>
      <w:r w:rsidRPr="00423297">
        <w:t xml:space="preserve">Note: </w:t>
      </w:r>
      <w:r w:rsidR="00C31217" w:rsidRPr="00423297">
        <w:t>F</w:t>
      </w:r>
      <w:r w:rsidR="00B87D7B" w:rsidRPr="00423297">
        <w:t>or further information about our consultation</w:t>
      </w:r>
      <w:r w:rsidR="00C31217" w:rsidRPr="00423297">
        <w:t xml:space="preserve">, see </w:t>
      </w:r>
      <w:hyperlink r:id="rId47" w:history="1">
        <w:r w:rsidR="00C31217" w:rsidRPr="00423297">
          <w:rPr>
            <w:rStyle w:val="Hyperlink"/>
          </w:rPr>
          <w:t>CP 272</w:t>
        </w:r>
      </w:hyperlink>
      <w:r w:rsidR="00B87D7B" w:rsidRPr="00423297">
        <w:t>.</w:t>
      </w:r>
    </w:p>
    <w:p w14:paraId="027307C1" w14:textId="77777777" w:rsidR="00B87D7B" w:rsidRPr="00423297" w:rsidRDefault="00B87D7B" w:rsidP="008250FD">
      <w:pPr>
        <w:pStyle w:val="Heading3"/>
      </w:pPr>
      <w:r w:rsidRPr="00423297">
        <w:lastRenderedPageBreak/>
        <w:t>Feedback</w:t>
      </w:r>
    </w:p>
    <w:p w14:paraId="11FD395A" w14:textId="48A076F7" w:rsidR="00B87D7B" w:rsidRPr="00423297" w:rsidRDefault="00B87D7B" w:rsidP="00183335">
      <w:pPr>
        <w:pStyle w:val="BodyText"/>
      </w:pPr>
      <w:r w:rsidRPr="00423297">
        <w:t>We received eight non-confidential responses to CP 272, including responses from consumer representatives</w:t>
      </w:r>
      <w:r w:rsidR="007C32B5" w:rsidRPr="00423297">
        <w:t>,</w:t>
      </w:r>
      <w:r w:rsidRPr="00423297">
        <w:t xml:space="preserve"> external dispute resolution schemes</w:t>
      </w:r>
      <w:r w:rsidR="007C32B5" w:rsidRPr="00423297">
        <w:t xml:space="preserve"> and ATHOC on behalf of its members</w:t>
      </w:r>
      <w:r w:rsidRPr="00423297">
        <w:t>. Respondents generally supported the continuation of the sunsetting relief.</w:t>
      </w:r>
    </w:p>
    <w:p w14:paraId="3D476586" w14:textId="77777777" w:rsidR="0030188E" w:rsidRPr="00423297" w:rsidRDefault="00B87D7B" w:rsidP="00183335">
      <w:pPr>
        <w:pStyle w:val="BodyText"/>
      </w:pPr>
      <w:r w:rsidRPr="00423297">
        <w:t>There was general support from industry for the continuation of the existing conditional relief granted to registered schemes and transitional relief for existing operators.</w:t>
      </w:r>
    </w:p>
    <w:p w14:paraId="4099D774" w14:textId="77777777" w:rsidR="00560CB3" w:rsidRPr="00423297" w:rsidRDefault="0030188E" w:rsidP="00183335">
      <w:pPr>
        <w:pStyle w:val="BodyText"/>
      </w:pPr>
      <w:r w:rsidRPr="00423297">
        <w:t>Industry</w:t>
      </w:r>
      <w:r w:rsidR="00161380" w:rsidRPr="00423297">
        <w:t xml:space="preserve"> were particularly concerned </w:t>
      </w:r>
      <w:r w:rsidR="00560CB3" w:rsidRPr="00423297">
        <w:t>about:</w:t>
      </w:r>
    </w:p>
    <w:p w14:paraId="2C24D3F3" w14:textId="6C9BE04D" w:rsidR="0030188E" w:rsidRPr="00423297" w:rsidRDefault="00560CB3" w:rsidP="00183335">
      <w:pPr>
        <w:pStyle w:val="subparaa"/>
      </w:pPr>
      <w:r w:rsidRPr="00423297">
        <w:t>proposals to replace</w:t>
      </w:r>
      <w:r w:rsidR="0089373D" w:rsidRPr="00423297">
        <w:t xml:space="preserve"> </w:t>
      </w:r>
      <w:r w:rsidR="007C32B5" w:rsidRPr="00423297">
        <w:t xml:space="preserve">the </w:t>
      </w:r>
      <w:r w:rsidR="00DD2FD6" w:rsidRPr="00423297">
        <w:t xml:space="preserve">existing </w:t>
      </w:r>
      <w:r w:rsidR="002F60F7" w:rsidRPr="00423297">
        <w:t>cooling</w:t>
      </w:r>
      <w:r w:rsidRPr="00423297">
        <w:t xml:space="preserve">-off </w:t>
      </w:r>
      <w:r w:rsidR="006C4BFD" w:rsidRPr="00423297">
        <w:t>model</w:t>
      </w:r>
      <w:r w:rsidRPr="00423297">
        <w:t xml:space="preserve"> with </w:t>
      </w:r>
      <w:r w:rsidR="007C32B5" w:rsidRPr="00423297">
        <w:t>Option</w:t>
      </w:r>
      <w:r w:rsidR="0089256B" w:rsidRPr="00423297">
        <w:t> </w:t>
      </w:r>
      <w:r w:rsidR="007C32B5" w:rsidRPr="00423297">
        <w:t xml:space="preserve">2 (opt-in regime) or Option 3 (deferred commencement date), </w:t>
      </w:r>
      <w:r w:rsidRPr="00423297">
        <w:t xml:space="preserve">submitting that </w:t>
      </w:r>
      <w:r w:rsidR="002F60F7" w:rsidRPr="00423297">
        <w:t xml:space="preserve">these proposals </w:t>
      </w:r>
      <w:r w:rsidRPr="00423297">
        <w:t>would greatly disrupt their business model</w:t>
      </w:r>
      <w:r w:rsidR="002F60F7" w:rsidRPr="00423297">
        <w:t xml:space="preserve"> and reduce sales</w:t>
      </w:r>
      <w:r w:rsidRPr="00423297">
        <w:t xml:space="preserve">; </w:t>
      </w:r>
    </w:p>
    <w:p w14:paraId="5F86B5AE" w14:textId="35C3E252" w:rsidR="002F60F7" w:rsidRPr="00423297" w:rsidRDefault="002F60F7" w:rsidP="00183335">
      <w:pPr>
        <w:pStyle w:val="subparaa"/>
      </w:pPr>
      <w:r w:rsidRPr="00423297">
        <w:t>t</w:t>
      </w:r>
      <w:r w:rsidR="00560CB3" w:rsidRPr="00423297">
        <w:t xml:space="preserve">he proposal </w:t>
      </w:r>
      <w:r w:rsidR="001A07AB" w:rsidRPr="00423297">
        <w:t xml:space="preserve">in </w:t>
      </w:r>
      <w:r w:rsidR="00273718" w:rsidRPr="00423297">
        <w:t>original</w:t>
      </w:r>
      <w:r w:rsidR="00357443" w:rsidRPr="00423297">
        <w:t xml:space="preserve"> </w:t>
      </w:r>
      <w:r w:rsidR="001A07AB" w:rsidRPr="00423297">
        <w:t xml:space="preserve">Option 1 </w:t>
      </w:r>
      <w:r w:rsidR="00560CB3" w:rsidRPr="00423297">
        <w:t xml:space="preserve">to </w:t>
      </w:r>
      <w:r w:rsidR="007C32B5" w:rsidRPr="00423297">
        <w:t>provide formal</w:t>
      </w:r>
      <w:r w:rsidR="00560CB3" w:rsidRPr="00423297">
        <w:t xml:space="preserve"> </w:t>
      </w:r>
      <w:r w:rsidR="00D61E78">
        <w:t>‘</w:t>
      </w:r>
      <w:r w:rsidR="00560CB3" w:rsidRPr="00423297">
        <w:t>subject to finance</w:t>
      </w:r>
      <w:r w:rsidR="00D61E78">
        <w:t>’</w:t>
      </w:r>
      <w:r w:rsidR="00560CB3" w:rsidRPr="00423297">
        <w:t xml:space="preserve"> </w:t>
      </w:r>
      <w:r w:rsidR="007C32B5" w:rsidRPr="00423297">
        <w:t xml:space="preserve">rights, </w:t>
      </w:r>
      <w:r w:rsidR="00560CB3" w:rsidRPr="00423297">
        <w:t>requir</w:t>
      </w:r>
      <w:r w:rsidR="007C32B5" w:rsidRPr="00423297">
        <w:t>ing</w:t>
      </w:r>
      <w:r w:rsidR="00560CB3" w:rsidRPr="00423297">
        <w:t xml:space="preserve"> the refund of </w:t>
      </w:r>
      <w:r w:rsidR="004D0FCE" w:rsidRPr="00423297">
        <w:t xml:space="preserve">any </w:t>
      </w:r>
      <w:r w:rsidR="00560CB3" w:rsidRPr="00423297">
        <w:t xml:space="preserve">fees for both the credit </w:t>
      </w:r>
      <w:r w:rsidR="004D0FCE" w:rsidRPr="00423297">
        <w:t xml:space="preserve">contract </w:t>
      </w:r>
      <w:r w:rsidR="00560CB3" w:rsidRPr="00423297">
        <w:t xml:space="preserve">and </w:t>
      </w:r>
      <w:r w:rsidR="004D0FCE" w:rsidRPr="00423297">
        <w:t xml:space="preserve">the application for an interest in the </w:t>
      </w:r>
      <w:r w:rsidR="00560CB3" w:rsidRPr="00423297">
        <w:t>time</w:t>
      </w:r>
      <w:r w:rsidR="007C32B5" w:rsidRPr="00423297">
        <w:t>-</w:t>
      </w:r>
      <w:r w:rsidR="00560CB3" w:rsidRPr="00423297">
        <w:t xml:space="preserve">sharing </w:t>
      </w:r>
      <w:r w:rsidR="004D0FCE" w:rsidRPr="00423297">
        <w:t>scheme</w:t>
      </w:r>
      <w:r w:rsidRPr="00423297">
        <w:t xml:space="preserve"> when the contract did not proceed; and</w:t>
      </w:r>
    </w:p>
    <w:p w14:paraId="7FD33F23" w14:textId="3F1722E3" w:rsidR="002F60F7" w:rsidRPr="00423297" w:rsidRDefault="001A07AB" w:rsidP="00183335">
      <w:pPr>
        <w:pStyle w:val="subparaa"/>
      </w:pPr>
      <w:proofErr w:type="gramStart"/>
      <w:r w:rsidRPr="00423297">
        <w:t>the</w:t>
      </w:r>
      <w:proofErr w:type="gramEnd"/>
      <w:r w:rsidRPr="00423297">
        <w:t xml:space="preserve"> proposed requirement</w:t>
      </w:r>
      <w:r w:rsidR="002F60F7" w:rsidRPr="00423297">
        <w:t xml:space="preserve"> to provide additional disclosure both </w:t>
      </w:r>
      <w:r w:rsidR="004D0FCE" w:rsidRPr="00423297">
        <w:t>before</w:t>
      </w:r>
      <w:r w:rsidR="002F60F7" w:rsidRPr="00423297">
        <w:t xml:space="preserve"> sales presentations and in </w:t>
      </w:r>
      <w:r w:rsidR="007C32B5" w:rsidRPr="00423297">
        <w:t>PDSs</w:t>
      </w:r>
      <w:r w:rsidR="002F60F7" w:rsidRPr="00423297">
        <w:t xml:space="preserve">, </w:t>
      </w:r>
      <w:r w:rsidR="00EF1610" w:rsidRPr="00423297">
        <w:t>on the basis this</w:t>
      </w:r>
      <w:r w:rsidR="00741E54" w:rsidRPr="00423297">
        <w:t xml:space="preserve"> would </w:t>
      </w:r>
      <w:r w:rsidR="00EF1610" w:rsidRPr="00423297">
        <w:t xml:space="preserve">provide undue emphasis to the </w:t>
      </w:r>
      <w:r w:rsidR="00741E54" w:rsidRPr="00423297">
        <w:t>risk</w:t>
      </w:r>
      <w:r w:rsidR="00EF1610" w:rsidRPr="00423297">
        <w:t>s</w:t>
      </w:r>
      <w:r w:rsidR="00741E54" w:rsidRPr="00423297">
        <w:t xml:space="preserve"> at the expense of benefits of the product.</w:t>
      </w:r>
    </w:p>
    <w:p w14:paraId="5209D2A4" w14:textId="381CD473" w:rsidR="00560CB3" w:rsidRPr="00423297" w:rsidRDefault="00560CB3" w:rsidP="00183335">
      <w:pPr>
        <w:pStyle w:val="BodyText"/>
      </w:pPr>
      <w:r w:rsidRPr="00423297">
        <w:t xml:space="preserve">Industry was generally supportive of the </w:t>
      </w:r>
      <w:r w:rsidR="007C32B5" w:rsidRPr="00423297">
        <w:t xml:space="preserve">proposed </w:t>
      </w:r>
      <w:r w:rsidRPr="00423297">
        <w:t xml:space="preserve">amendments </w:t>
      </w:r>
      <w:r w:rsidR="007C32B5" w:rsidRPr="00423297">
        <w:t>to</w:t>
      </w:r>
      <w:r w:rsidR="002F60F7" w:rsidRPr="00423297">
        <w:t xml:space="preserve"> the cooling-off template</w:t>
      </w:r>
      <w:r w:rsidR="00EA59B7" w:rsidRPr="00423297">
        <w:t>,</w:t>
      </w:r>
      <w:r w:rsidR="002F60F7" w:rsidRPr="00423297">
        <w:t xml:space="preserve"> </w:t>
      </w:r>
      <w:r w:rsidRPr="00423297">
        <w:t xml:space="preserve">fee disclosure provisions </w:t>
      </w:r>
      <w:r w:rsidR="00EA59B7" w:rsidRPr="00423297">
        <w:t xml:space="preserve">tailored </w:t>
      </w:r>
      <w:r w:rsidRPr="00423297">
        <w:t>for time</w:t>
      </w:r>
      <w:r w:rsidR="007C32B5" w:rsidRPr="00423297">
        <w:t>-</w:t>
      </w:r>
      <w:r w:rsidRPr="00423297">
        <w:t xml:space="preserve">sharing schemes, and to </w:t>
      </w:r>
      <w:r w:rsidR="00EA59B7" w:rsidRPr="00423297">
        <w:t xml:space="preserve">the reduced </w:t>
      </w:r>
      <w:r w:rsidRPr="00423297">
        <w:t>audit</w:t>
      </w:r>
      <w:r w:rsidR="00EA59B7" w:rsidRPr="00423297">
        <w:t xml:space="preserve"> requirements </w:t>
      </w:r>
      <w:r w:rsidR="004D0FCE" w:rsidRPr="00423297">
        <w:t>(from twice a year to once a year)</w:t>
      </w:r>
      <w:r w:rsidRPr="00423297">
        <w:t>.</w:t>
      </w:r>
    </w:p>
    <w:p w14:paraId="1BE3DD68" w14:textId="7185F068" w:rsidR="0030188E" w:rsidRPr="00423297" w:rsidRDefault="0030188E" w:rsidP="00183335">
      <w:pPr>
        <w:pStyle w:val="BodyText"/>
      </w:pPr>
      <w:bookmarkStart w:id="203" w:name="_ASICRef414"/>
      <w:r w:rsidRPr="00423297">
        <w:t xml:space="preserve">Consumer groups were generally sceptical of cooling-off </w:t>
      </w:r>
      <w:r w:rsidR="00326079" w:rsidRPr="00423297">
        <w:t>rights</w:t>
      </w:r>
      <w:r w:rsidRPr="00423297">
        <w:t xml:space="preserve"> as a consumer protection mechanism</w:t>
      </w:r>
      <w:r w:rsidR="004D0FCE" w:rsidRPr="00423297">
        <w:t>,</w:t>
      </w:r>
      <w:r w:rsidRPr="00423297">
        <w:t xml:space="preserve"> and preferred: </w:t>
      </w:r>
      <w:bookmarkEnd w:id="203"/>
    </w:p>
    <w:p w14:paraId="0FB1A73D" w14:textId="1AF752ED" w:rsidR="0030188E" w:rsidRPr="00423297" w:rsidRDefault="0030188E" w:rsidP="00183335">
      <w:pPr>
        <w:pStyle w:val="subparaa"/>
      </w:pPr>
      <w:r w:rsidRPr="00423297">
        <w:t xml:space="preserve">the opt-in regime in Option 2 to the deferred commencement date for </w:t>
      </w:r>
      <w:r w:rsidR="00117B95" w:rsidRPr="00423297">
        <w:t xml:space="preserve">the </w:t>
      </w:r>
      <w:r w:rsidRPr="00423297">
        <w:t>cooling</w:t>
      </w:r>
      <w:r w:rsidR="001818E5" w:rsidRPr="00423297">
        <w:t>-</w:t>
      </w:r>
      <w:r w:rsidRPr="00423297">
        <w:t>off</w:t>
      </w:r>
      <w:r w:rsidR="00117B95" w:rsidRPr="00423297">
        <w:t xml:space="preserve"> period</w:t>
      </w:r>
      <w:r w:rsidRPr="00423297">
        <w:t xml:space="preserve"> in Option 3; and </w:t>
      </w:r>
    </w:p>
    <w:p w14:paraId="2D699B70" w14:textId="5648FD11" w:rsidR="0030188E" w:rsidRPr="00423297" w:rsidRDefault="0030188E" w:rsidP="00183335">
      <w:pPr>
        <w:pStyle w:val="subparaa"/>
      </w:pPr>
      <w:proofErr w:type="gramStart"/>
      <w:r w:rsidRPr="00423297">
        <w:t>both</w:t>
      </w:r>
      <w:proofErr w:type="gramEnd"/>
      <w:r w:rsidRPr="00423297">
        <w:t xml:space="preserve"> Options 2 and 3 to the</w:t>
      </w:r>
      <w:r w:rsidR="00A624ED" w:rsidRPr="00423297">
        <w:t xml:space="preserve"> enhanced</w:t>
      </w:r>
      <w:r w:rsidRPr="00423297">
        <w:t xml:space="preserve"> cooling</w:t>
      </w:r>
      <w:r w:rsidR="004D0FCE" w:rsidRPr="00423297">
        <w:t>-</w:t>
      </w:r>
      <w:r w:rsidRPr="00423297">
        <w:t xml:space="preserve">off </w:t>
      </w:r>
      <w:r w:rsidR="00857A2A" w:rsidRPr="00423297">
        <w:t>model</w:t>
      </w:r>
      <w:r w:rsidRPr="00423297">
        <w:t xml:space="preserve"> proposed under </w:t>
      </w:r>
      <w:r w:rsidR="00C16456" w:rsidRPr="00423297">
        <w:t xml:space="preserve">original </w:t>
      </w:r>
      <w:r w:rsidRPr="00423297">
        <w:t>Option 1</w:t>
      </w:r>
      <w:r w:rsidR="004D0FCE" w:rsidRPr="00423297">
        <w:t>;</w:t>
      </w:r>
      <w:r w:rsidR="00A624ED" w:rsidRPr="00423297">
        <w:t xml:space="preserve"> however</w:t>
      </w:r>
      <w:r w:rsidR="004D0FCE" w:rsidRPr="00423297">
        <w:t>, they</w:t>
      </w:r>
      <w:r w:rsidR="00161380" w:rsidRPr="00423297">
        <w:t xml:space="preserve"> preferred the</w:t>
      </w:r>
      <w:r w:rsidR="00A624ED" w:rsidRPr="00423297">
        <w:t xml:space="preserve"> enhanced</w:t>
      </w:r>
      <w:r w:rsidR="00161380" w:rsidRPr="00423297">
        <w:t xml:space="preserve"> cooling-off </w:t>
      </w:r>
      <w:r w:rsidR="00857A2A" w:rsidRPr="00423297">
        <w:t>model</w:t>
      </w:r>
      <w:r w:rsidR="00161380" w:rsidRPr="00423297">
        <w:t xml:space="preserve"> to </w:t>
      </w:r>
      <w:r w:rsidRPr="00423297">
        <w:t xml:space="preserve">the </w:t>
      </w:r>
      <w:r w:rsidR="00DD2FD6" w:rsidRPr="00423297">
        <w:t xml:space="preserve">existing </w:t>
      </w:r>
      <w:r w:rsidRPr="00423297">
        <w:t>cooling</w:t>
      </w:r>
      <w:r w:rsidR="00161380" w:rsidRPr="00423297">
        <w:t>-</w:t>
      </w:r>
      <w:r w:rsidRPr="00423297">
        <w:t xml:space="preserve">off </w:t>
      </w:r>
      <w:r w:rsidR="00857A2A" w:rsidRPr="00423297">
        <w:t>model</w:t>
      </w:r>
      <w:r w:rsidRPr="00423297">
        <w:t xml:space="preserve"> under Option 4. </w:t>
      </w:r>
    </w:p>
    <w:p w14:paraId="3FECBCE7" w14:textId="0990DB7F" w:rsidR="00806202" w:rsidRPr="00423297" w:rsidRDefault="00594F1C" w:rsidP="00806202">
      <w:pPr>
        <w:pStyle w:val="BodyText"/>
      </w:pPr>
      <w:bookmarkStart w:id="204" w:name="_ASICRef862"/>
      <w:r w:rsidRPr="00423297">
        <w:t xml:space="preserve">Respondents largely </w:t>
      </w:r>
      <w:r w:rsidR="00806202" w:rsidRPr="00423297">
        <w:t>support</w:t>
      </w:r>
      <w:r w:rsidRPr="00423297">
        <w:t>ed</w:t>
      </w:r>
      <w:r w:rsidR="00806202" w:rsidRPr="00423297">
        <w:t xml:space="preserve"> the proposed enhanced cooling-off model in </w:t>
      </w:r>
      <w:r w:rsidRPr="00423297">
        <w:t xml:space="preserve">original </w:t>
      </w:r>
      <w:r w:rsidR="00806202" w:rsidRPr="00423297">
        <w:t>Option 1</w:t>
      </w:r>
      <w:r w:rsidRPr="00423297">
        <w:t>. Consumer groups preferred it to</w:t>
      </w:r>
      <w:r w:rsidR="00806202" w:rsidRPr="00423297">
        <w:t xml:space="preserve"> the existing cooling-off model (</w:t>
      </w:r>
      <w:r w:rsidR="00A512B0" w:rsidRPr="00423297">
        <w:t>O</w:t>
      </w:r>
      <w:r w:rsidR="00806202" w:rsidRPr="00423297">
        <w:t xml:space="preserve">ption 4), </w:t>
      </w:r>
      <w:r w:rsidRPr="00423297">
        <w:t>and industry preferred it to</w:t>
      </w:r>
      <w:r w:rsidR="00806202" w:rsidRPr="00423297">
        <w:t xml:space="preserve"> </w:t>
      </w:r>
      <w:proofErr w:type="gramStart"/>
      <w:r w:rsidR="00806202" w:rsidRPr="00423297">
        <w:t xml:space="preserve">both </w:t>
      </w:r>
      <w:r w:rsidRPr="00423297">
        <w:t>the</w:t>
      </w:r>
      <w:r w:rsidR="00806202" w:rsidRPr="00423297">
        <w:t xml:space="preserve"> opt-in </w:t>
      </w:r>
      <w:r w:rsidR="00837887" w:rsidRPr="00423297">
        <w:t xml:space="preserve">regime </w:t>
      </w:r>
      <w:r w:rsidR="00806202" w:rsidRPr="00423297">
        <w:t>(Option</w:t>
      </w:r>
      <w:r w:rsidR="00273718" w:rsidRPr="00423297">
        <w:t> </w:t>
      </w:r>
      <w:r w:rsidR="00806202" w:rsidRPr="00423297">
        <w:t>2) or</w:t>
      </w:r>
      <w:proofErr w:type="gramEnd"/>
      <w:r w:rsidR="00806202" w:rsidRPr="00423297">
        <w:t xml:space="preserve"> deferred commencement date (Option 3)</w:t>
      </w:r>
      <w:r w:rsidRPr="00423297">
        <w:t xml:space="preserve">. However, </w:t>
      </w:r>
      <w:r w:rsidR="00806202" w:rsidRPr="00423297">
        <w:t>we have decided not to progress this proposal</w:t>
      </w:r>
      <w:r w:rsidR="001F20CC" w:rsidRPr="00423297">
        <w:t xml:space="preserve"> at this time</w:t>
      </w:r>
      <w:r w:rsidRPr="00423297">
        <w:t>:</w:t>
      </w:r>
      <w:r w:rsidR="00806202" w:rsidRPr="00423297">
        <w:t xml:space="preserve"> for </w:t>
      </w:r>
      <w:r w:rsidRPr="00423297">
        <w:t>more information, see</w:t>
      </w:r>
      <w:r w:rsidR="00806202" w:rsidRPr="00423297">
        <w:t xml:space="preserve"> paragraphs</w:t>
      </w:r>
      <w:r w:rsidRPr="00423297">
        <w:t> </w:t>
      </w:r>
      <w:r w:rsidR="00806202" w:rsidRPr="00423297">
        <w:fldChar w:fldCharType="begin"/>
      </w:r>
      <w:r w:rsidR="00806202" w:rsidRPr="00423297">
        <w:instrText xml:space="preserve"> REF _Ref26814110 \r \h  \* MERGEFORMAT </w:instrText>
      </w:r>
      <w:r w:rsidR="00806202" w:rsidRPr="00423297">
        <w:fldChar w:fldCharType="separate"/>
      </w:r>
      <w:r w:rsidR="00B92808">
        <w:t>12</w:t>
      </w:r>
      <w:r w:rsidR="00806202" w:rsidRPr="00423297">
        <w:fldChar w:fldCharType="end"/>
      </w:r>
      <w:r w:rsidR="00806202" w:rsidRPr="00423297">
        <w:t>–</w:t>
      </w:r>
      <w:r w:rsidR="00806202" w:rsidRPr="00423297">
        <w:fldChar w:fldCharType="begin"/>
      </w:r>
      <w:r w:rsidR="00806202" w:rsidRPr="00423297">
        <w:instrText xml:space="preserve"> REF _Ref26544232 \r \h  \* MERGEFORMAT </w:instrText>
      </w:r>
      <w:r w:rsidR="00806202" w:rsidRPr="00423297">
        <w:fldChar w:fldCharType="separate"/>
      </w:r>
      <w:r w:rsidR="00B92808">
        <w:t>15</w:t>
      </w:r>
      <w:r w:rsidR="00806202" w:rsidRPr="00423297">
        <w:fldChar w:fldCharType="end"/>
      </w:r>
      <w:r w:rsidR="00806202" w:rsidRPr="00423297">
        <w:t>.</w:t>
      </w:r>
      <w:bookmarkEnd w:id="204"/>
    </w:p>
    <w:p w14:paraId="477CEE14" w14:textId="725CB007" w:rsidR="0030188E" w:rsidRPr="00423297" w:rsidRDefault="0030188E" w:rsidP="00183335">
      <w:pPr>
        <w:pStyle w:val="BodyText"/>
      </w:pPr>
      <w:r w:rsidRPr="00423297">
        <w:t>Consumer groups were generally supportive of any proposal that enhanced consumer protection, including the amendment to the template cooling</w:t>
      </w:r>
      <w:r w:rsidR="00161380" w:rsidRPr="00423297">
        <w:t>-</w:t>
      </w:r>
      <w:r w:rsidRPr="00423297">
        <w:t xml:space="preserve">off statement, </w:t>
      </w:r>
      <w:r w:rsidR="004D0FCE" w:rsidRPr="00423297">
        <w:t xml:space="preserve">providing for the </w:t>
      </w:r>
      <w:r w:rsidRPr="00423297">
        <w:t xml:space="preserve">refund of money at no cost to the consumer, </w:t>
      </w:r>
      <w:r w:rsidR="004D0FCE" w:rsidRPr="00423297">
        <w:t xml:space="preserve">the </w:t>
      </w:r>
      <w:r w:rsidRPr="00423297">
        <w:t xml:space="preserve">modification of fee disclosure to make it product specific and additional </w:t>
      </w:r>
      <w:r w:rsidRPr="00423297">
        <w:lastRenderedPageBreak/>
        <w:t xml:space="preserve">disclosure </w:t>
      </w:r>
      <w:r w:rsidR="004D0FCE" w:rsidRPr="00423297">
        <w:t xml:space="preserve">that </w:t>
      </w:r>
      <w:r w:rsidRPr="00423297">
        <w:t>would focus consumers</w:t>
      </w:r>
      <w:r w:rsidR="00D61E78">
        <w:t>’</w:t>
      </w:r>
      <w:r w:rsidRPr="00423297">
        <w:t xml:space="preserve"> attention on specific features of the product. </w:t>
      </w:r>
    </w:p>
    <w:p w14:paraId="73E50BE5" w14:textId="70E14D40" w:rsidR="00B87D7B" w:rsidRPr="00423297" w:rsidRDefault="00B87D7B" w:rsidP="00183335">
      <w:pPr>
        <w:pStyle w:val="BodyText"/>
      </w:pPr>
      <w:r w:rsidRPr="00423297">
        <w:t>We decided further consultation was required</w:t>
      </w:r>
      <w:r w:rsidR="004D0FCE" w:rsidRPr="00423297">
        <w:t>,</w:t>
      </w:r>
      <w:r w:rsidRPr="00423297">
        <w:t xml:space="preserve"> due to the divergent feedback </w:t>
      </w:r>
      <w:r w:rsidR="004D0FCE" w:rsidRPr="00423297">
        <w:t xml:space="preserve">we </w:t>
      </w:r>
      <w:r w:rsidRPr="00423297">
        <w:t>received from respondents about a number of our proposals, including the proposed:</w:t>
      </w:r>
    </w:p>
    <w:p w14:paraId="5834C1F9" w14:textId="39A76558" w:rsidR="00F747F8" w:rsidRPr="00423297" w:rsidRDefault="00B87D7B" w:rsidP="00183335">
      <w:pPr>
        <w:pStyle w:val="subparaa"/>
      </w:pPr>
      <w:r w:rsidRPr="00423297">
        <w:t>introduction of the prescribed consumer warning</w:t>
      </w:r>
      <w:r w:rsidR="00F747F8" w:rsidRPr="00423297">
        <w:t>;</w:t>
      </w:r>
      <w:r w:rsidRPr="00423297">
        <w:t xml:space="preserve"> </w:t>
      </w:r>
    </w:p>
    <w:p w14:paraId="350638CB" w14:textId="6CEE162E" w:rsidR="00B87D7B" w:rsidRPr="00423297" w:rsidRDefault="00B87D7B" w:rsidP="00183335">
      <w:pPr>
        <w:pStyle w:val="subparaa"/>
      </w:pPr>
      <w:r w:rsidRPr="00423297">
        <w:t>new tailored fee</w:t>
      </w:r>
      <w:r w:rsidR="001E4E5C">
        <w:t>s</w:t>
      </w:r>
      <w:r w:rsidRPr="00423297">
        <w:t xml:space="preserve"> and costs disclosure regime</w:t>
      </w:r>
      <w:r w:rsidR="004D0FCE" w:rsidRPr="00423297">
        <w:t>;</w:t>
      </w:r>
      <w:r w:rsidRPr="00423297">
        <w:t xml:space="preserve"> </w:t>
      </w:r>
    </w:p>
    <w:p w14:paraId="4ABD8D1A" w14:textId="77777777" w:rsidR="00B87D7B" w:rsidRPr="00423297" w:rsidRDefault="00B87D7B" w:rsidP="00183335">
      <w:pPr>
        <w:pStyle w:val="subparaa"/>
      </w:pPr>
      <w:r w:rsidRPr="00423297">
        <w:t>guidance on hawking and sales practices, and</w:t>
      </w:r>
    </w:p>
    <w:p w14:paraId="64DAF19D" w14:textId="25A0015A" w:rsidR="00B87D7B" w:rsidRPr="00423297" w:rsidRDefault="00B87D7B" w:rsidP="00183335">
      <w:pPr>
        <w:pStyle w:val="subparaa"/>
      </w:pPr>
      <w:proofErr w:type="gramStart"/>
      <w:r w:rsidRPr="00423297">
        <w:t>changes</w:t>
      </w:r>
      <w:proofErr w:type="gramEnd"/>
      <w:r w:rsidRPr="00423297">
        <w:t xml:space="preserve"> to the </w:t>
      </w:r>
      <w:r w:rsidR="00DD2FD6" w:rsidRPr="00423297">
        <w:t xml:space="preserve">existing </w:t>
      </w:r>
      <w:r w:rsidRPr="00423297">
        <w:t xml:space="preserve">cooling-off </w:t>
      </w:r>
      <w:r w:rsidR="006C4BFD" w:rsidRPr="00423297">
        <w:t>model</w:t>
      </w:r>
      <w:r w:rsidRPr="00423297">
        <w:t xml:space="preserve"> (such as extended timeframes or an opt-in approach). </w:t>
      </w:r>
    </w:p>
    <w:p w14:paraId="3E7405B4" w14:textId="5F4E55D1" w:rsidR="00B87D7B" w:rsidRPr="00423297" w:rsidRDefault="00B87D7B" w:rsidP="00183335">
      <w:pPr>
        <w:pStyle w:val="Note"/>
      </w:pPr>
      <w:r w:rsidRPr="00423297">
        <w:t xml:space="preserve">Note: </w:t>
      </w:r>
      <w:bookmarkStart w:id="205" w:name="_Hlk38958645"/>
      <w:r w:rsidRPr="00423297">
        <w:t xml:space="preserve">See </w:t>
      </w:r>
      <w:hyperlink r:id="rId48" w:history="1">
        <w:r w:rsidR="00AB7B88" w:rsidRPr="00423297">
          <w:rPr>
            <w:rStyle w:val="Hyperlink"/>
          </w:rPr>
          <w:t>Report 522</w:t>
        </w:r>
      </w:hyperlink>
      <w:r w:rsidR="00AB7B88" w:rsidRPr="00423297">
        <w:t xml:space="preserve"> </w:t>
      </w:r>
      <w:r w:rsidR="00AB7B88" w:rsidRPr="00423297">
        <w:rPr>
          <w:i/>
        </w:rPr>
        <w:t>Response to submissions on CP 272</w:t>
      </w:r>
      <w:r w:rsidR="004D0FCE" w:rsidRPr="00423297">
        <w:rPr>
          <w:i/>
        </w:rPr>
        <w:t>:</w:t>
      </w:r>
      <w:r w:rsidR="00AB7B88" w:rsidRPr="00423297">
        <w:rPr>
          <w:i/>
        </w:rPr>
        <w:t xml:space="preserve"> Remaking ASIC class orders on time-sharing schemes</w:t>
      </w:r>
      <w:r w:rsidR="00AB7B88" w:rsidRPr="00423297" w:rsidDel="00AB7B88">
        <w:t xml:space="preserve"> </w:t>
      </w:r>
      <w:r w:rsidR="001A07AB" w:rsidRPr="00423297">
        <w:t xml:space="preserve">(REP 522) </w:t>
      </w:r>
      <w:r w:rsidRPr="00423297">
        <w:t>for a summary of the feedback we received.</w:t>
      </w:r>
      <w:bookmarkEnd w:id="205"/>
    </w:p>
    <w:p w14:paraId="040B92ED" w14:textId="77777777" w:rsidR="00B87D7B" w:rsidRPr="00423297" w:rsidRDefault="00B87D7B" w:rsidP="008250FD">
      <w:pPr>
        <w:pStyle w:val="Heading2"/>
      </w:pPr>
      <w:bookmarkStart w:id="206" w:name="_Toc36467246"/>
      <w:bookmarkStart w:id="207" w:name="_Toc56669436"/>
      <w:r w:rsidRPr="00423297">
        <w:t>Further consultation on proposals</w:t>
      </w:r>
      <w:bookmarkEnd w:id="206"/>
      <w:bookmarkEnd w:id="207"/>
    </w:p>
    <w:p w14:paraId="4B103AFB" w14:textId="1DCAD6D2" w:rsidR="00B87D7B" w:rsidRPr="00423297" w:rsidRDefault="00B87D7B" w:rsidP="00183335">
      <w:pPr>
        <w:pStyle w:val="BodyText"/>
        <w:rPr>
          <w:b/>
        </w:rPr>
      </w:pPr>
      <w:r w:rsidRPr="00423297">
        <w:t xml:space="preserve">We held a roundtable with </w:t>
      </w:r>
      <w:r w:rsidR="00EA59B7" w:rsidRPr="00423297">
        <w:t xml:space="preserve">industry and consumer group </w:t>
      </w:r>
      <w:r w:rsidRPr="00423297">
        <w:t>respondents to CP</w:t>
      </w:r>
      <w:r w:rsidR="004D0FCE" w:rsidRPr="00423297">
        <w:t> </w:t>
      </w:r>
      <w:r w:rsidR="00E6047C" w:rsidRPr="00423297">
        <w:t>272 on</w:t>
      </w:r>
      <w:r w:rsidRPr="00423297">
        <w:t xml:space="preserve"> 19 July 2017</w:t>
      </w:r>
      <w:r w:rsidR="00EA59B7" w:rsidRPr="00423297">
        <w:t xml:space="preserve"> to discuss</w:t>
      </w:r>
      <w:r w:rsidRPr="00423297">
        <w:t xml:space="preserve"> key issues, including:</w:t>
      </w:r>
    </w:p>
    <w:p w14:paraId="48B38174" w14:textId="77777777" w:rsidR="00B87D7B" w:rsidRPr="00423297" w:rsidRDefault="00B87D7B" w:rsidP="00183335">
      <w:pPr>
        <w:pStyle w:val="subparaa"/>
      </w:pPr>
      <w:r w:rsidRPr="00423297">
        <w:t>the cooling-off requirements;</w:t>
      </w:r>
    </w:p>
    <w:p w14:paraId="297A29EA" w14:textId="77777777" w:rsidR="00B87D7B" w:rsidRPr="00423297" w:rsidRDefault="00B87D7B" w:rsidP="00183335">
      <w:pPr>
        <w:pStyle w:val="subparaa"/>
      </w:pPr>
      <w:r w:rsidRPr="00423297">
        <w:t>the tailored fees and costs disclosure; and</w:t>
      </w:r>
    </w:p>
    <w:p w14:paraId="4EA6C9A1" w14:textId="77777777" w:rsidR="00B87D7B" w:rsidRPr="00423297" w:rsidRDefault="00B87D7B" w:rsidP="00183335">
      <w:pPr>
        <w:pStyle w:val="subparaa"/>
      </w:pPr>
      <w:proofErr w:type="gramStart"/>
      <w:r w:rsidRPr="00423297">
        <w:t>the</w:t>
      </w:r>
      <w:proofErr w:type="gramEnd"/>
      <w:r w:rsidRPr="00423297">
        <w:t xml:space="preserve"> provision of additional prescribed consumer warnings.</w:t>
      </w:r>
    </w:p>
    <w:p w14:paraId="6F91F43C" w14:textId="77777777" w:rsidR="00B87D7B" w:rsidRPr="00423297" w:rsidRDefault="00B87D7B" w:rsidP="00183335">
      <w:pPr>
        <w:pStyle w:val="BodyText"/>
      </w:pPr>
      <w:r w:rsidRPr="00423297">
        <w:rPr>
          <w:color w:val="000000"/>
        </w:rPr>
        <w:t xml:space="preserve">We </w:t>
      </w:r>
      <w:r w:rsidRPr="00423297">
        <w:t xml:space="preserve">subsequently sought additional data and information from respondents to CP 272 on the matters discussed at the roundtable. </w:t>
      </w:r>
    </w:p>
    <w:p w14:paraId="4D539E54" w14:textId="33105CD8" w:rsidR="00B87D7B" w:rsidRPr="00423297" w:rsidRDefault="00B87D7B" w:rsidP="00183335">
      <w:pPr>
        <w:pStyle w:val="BodyText"/>
      </w:pPr>
      <w:r w:rsidRPr="00423297">
        <w:t xml:space="preserve">Following the completion of our internal decision-making process in January and February 2018, we met with industry and consumer groups to outline our </w:t>
      </w:r>
      <w:r w:rsidR="005B10F0" w:rsidRPr="00423297">
        <w:t>proposed</w:t>
      </w:r>
      <w:r w:rsidRPr="00423297">
        <w:t xml:space="preserve"> changes to the policy settings.</w:t>
      </w:r>
    </w:p>
    <w:p w14:paraId="1BEDD229" w14:textId="5AEF96BC" w:rsidR="00B87D7B" w:rsidRPr="00423297" w:rsidRDefault="00B87D7B" w:rsidP="00183335">
      <w:pPr>
        <w:pStyle w:val="BodyText"/>
      </w:pPr>
      <w:r w:rsidRPr="00423297">
        <w:t>We have also directly contacted legacy scheme operators, dealers and the related financ</w:t>
      </w:r>
      <w:r w:rsidR="00043E41" w:rsidRPr="00423297">
        <w:t>e provid</w:t>
      </w:r>
      <w:r w:rsidRPr="00423297">
        <w:t>ers to seek their feedback on the impact to them of the updates to the policy settings.</w:t>
      </w:r>
    </w:p>
    <w:p w14:paraId="31A8855A" w14:textId="77777777" w:rsidR="00095C68" w:rsidRPr="00423297" w:rsidRDefault="00F747F8" w:rsidP="00827368">
      <w:pPr>
        <w:pStyle w:val="BodyText"/>
      </w:pPr>
      <w:r w:rsidRPr="00423297">
        <w:t xml:space="preserve">Between </w:t>
      </w:r>
      <w:r w:rsidR="00B87D7B" w:rsidRPr="00423297">
        <w:t xml:space="preserve">February </w:t>
      </w:r>
      <w:r w:rsidRPr="00423297">
        <w:t xml:space="preserve">2018 </w:t>
      </w:r>
      <w:r w:rsidR="00B87D7B" w:rsidRPr="00423297">
        <w:t>and April 2018, we undertook additional consultation with industry and consumer groups on the implementation of the proposals and sought further information on the regulatory cost estimates of our proposals from every operator across the industry.</w:t>
      </w:r>
    </w:p>
    <w:p w14:paraId="4D3C170A" w14:textId="6DF1C745" w:rsidR="00B20C02" w:rsidRPr="00423297" w:rsidRDefault="005B10F0" w:rsidP="00827368">
      <w:pPr>
        <w:pStyle w:val="BodyText"/>
      </w:pPr>
      <w:r w:rsidRPr="00423297">
        <w:t>This consultation involved meetings with representatives of each of the operators, related financ</w:t>
      </w:r>
      <w:r w:rsidR="00C9625F" w:rsidRPr="00423297">
        <w:t>e prov</w:t>
      </w:r>
      <w:r w:rsidRPr="00423297">
        <w:t>i</w:t>
      </w:r>
      <w:r w:rsidR="00C9625F" w:rsidRPr="00423297">
        <w:t>d</w:t>
      </w:r>
      <w:r w:rsidRPr="00423297">
        <w:t>ers, ATHOC and consumer groups. We also exchanged correspondence seeking feedback and comment.</w:t>
      </w:r>
    </w:p>
    <w:p w14:paraId="701AE4E6" w14:textId="303E7275" w:rsidR="002134D4" w:rsidRPr="00423297" w:rsidRDefault="005B10F0" w:rsidP="00827368">
      <w:pPr>
        <w:pStyle w:val="BodyText"/>
      </w:pPr>
      <w:bookmarkStart w:id="208" w:name="_Hlk38901534"/>
      <w:r w:rsidRPr="00423297">
        <w:t xml:space="preserve">During these meetings we discussed our proposals and sought feedback to </w:t>
      </w:r>
      <w:r w:rsidR="00C9625F" w:rsidRPr="00423297">
        <w:t xml:space="preserve">help </w:t>
      </w:r>
      <w:r w:rsidRPr="00423297">
        <w:t xml:space="preserve">us settle our proposals in a manner that </w:t>
      </w:r>
      <w:r w:rsidR="00C9625F" w:rsidRPr="00423297">
        <w:t>considered</w:t>
      </w:r>
      <w:r w:rsidRPr="00423297">
        <w:t xml:space="preserve"> the </w:t>
      </w:r>
      <w:r w:rsidR="00DC7A19" w:rsidRPr="00423297">
        <w:t>impact on</w:t>
      </w:r>
      <w:r w:rsidRPr="00423297">
        <w:t xml:space="preserve"> industry </w:t>
      </w:r>
      <w:r w:rsidRPr="00423297">
        <w:lastRenderedPageBreak/>
        <w:t xml:space="preserve">and consumers. </w:t>
      </w:r>
      <w:r w:rsidR="00637F0C" w:rsidRPr="00423297">
        <w:t>We discussed</w:t>
      </w:r>
      <w:r w:rsidRPr="00423297">
        <w:t xml:space="preserve"> the </w:t>
      </w:r>
      <w:r w:rsidR="00815037">
        <w:t>development</w:t>
      </w:r>
      <w:r w:rsidRPr="00423297">
        <w:t xml:space="preserve"> of our proposed changes</w:t>
      </w:r>
      <w:r w:rsidR="00637F0C" w:rsidRPr="00423297">
        <w:t xml:space="preserve"> in detail</w:t>
      </w:r>
      <w:r w:rsidR="00C9625F" w:rsidRPr="00423297">
        <w:t>,</w:t>
      </w:r>
      <w:r w:rsidRPr="00423297">
        <w:t xml:space="preserve"> including those more contentious proposals relating to cooling-off</w:t>
      </w:r>
      <w:r w:rsidR="00637F0C" w:rsidRPr="00423297">
        <w:t xml:space="preserve"> rights</w:t>
      </w:r>
      <w:r w:rsidRPr="00423297">
        <w:t>, fees and costs disclosure, hardship arrangements</w:t>
      </w:r>
      <w:r w:rsidR="00637F0C" w:rsidRPr="00423297">
        <w:t>,</w:t>
      </w:r>
      <w:r w:rsidRPr="00423297">
        <w:t xml:space="preserve"> and </w:t>
      </w:r>
      <w:r w:rsidR="00D61E78">
        <w:t>‘</w:t>
      </w:r>
      <w:r w:rsidRPr="00423297">
        <w:t>subject to finance</w:t>
      </w:r>
      <w:r w:rsidR="00D61E78">
        <w:t>’</w:t>
      </w:r>
      <w:r w:rsidRPr="00423297">
        <w:t xml:space="preserve"> arrangements</w:t>
      </w:r>
      <w:r w:rsidR="001557D5" w:rsidRPr="00423297">
        <w:t xml:space="preserve">. </w:t>
      </w:r>
    </w:p>
    <w:p w14:paraId="06E66CF1" w14:textId="76507087" w:rsidR="007A13DC" w:rsidRDefault="0007656B" w:rsidP="00923A0D">
      <w:pPr>
        <w:pStyle w:val="BodyText"/>
      </w:pPr>
      <w:r>
        <w:t>Between</w:t>
      </w:r>
      <w:r w:rsidR="007A13DC">
        <w:t xml:space="preserve"> </w:t>
      </w:r>
      <w:r w:rsidR="007A13DC" w:rsidRPr="0007656B">
        <w:t xml:space="preserve">August and </w:t>
      </w:r>
      <w:r w:rsidRPr="00075581">
        <w:t>Octo</w:t>
      </w:r>
      <w:r w:rsidR="007A13DC" w:rsidRPr="0007656B">
        <w:t>ber 2020, we</w:t>
      </w:r>
      <w:r w:rsidR="007A13DC">
        <w:t xml:space="preserve"> also consulted with industry on a </w:t>
      </w:r>
      <w:r w:rsidR="00D61E78">
        <w:t>‘</w:t>
      </w:r>
      <w:r w:rsidR="007A13DC">
        <w:t>fatal flaws</w:t>
      </w:r>
      <w:r w:rsidR="00D61E78">
        <w:t>’</w:t>
      </w:r>
      <w:r w:rsidR="007A13DC">
        <w:t xml:space="preserve"> basis </w:t>
      </w:r>
      <w:r w:rsidR="0093129D">
        <w:t>about</w:t>
      </w:r>
      <w:r w:rsidR="007A13DC">
        <w:t xml:space="preserve"> the </w:t>
      </w:r>
      <w:r w:rsidR="004502EC">
        <w:t xml:space="preserve">legislative instrument to implement the </w:t>
      </w:r>
      <w:r w:rsidR="007A13DC">
        <w:t>proposed policy settings.</w:t>
      </w:r>
    </w:p>
    <w:p w14:paraId="20B9A395" w14:textId="3B150788" w:rsidR="00923A0D" w:rsidRPr="00423297" w:rsidDel="00923A0D" w:rsidRDefault="00923A0D" w:rsidP="00923A0D">
      <w:pPr>
        <w:pStyle w:val="BodyText"/>
      </w:pPr>
      <w:r w:rsidRPr="00423297" w:rsidDel="00923A0D">
        <w:t xml:space="preserve">The consultation was constructive. </w:t>
      </w:r>
      <w:r w:rsidRPr="00423297">
        <w:t>We</w:t>
      </w:r>
      <w:r w:rsidRPr="00423297" w:rsidDel="00923A0D">
        <w:t xml:space="preserve"> incorporated feedback from industry and consumer groups in finalising our proposals.</w:t>
      </w:r>
      <w:r w:rsidRPr="00423297">
        <w:t xml:space="preserve"> For a summary of the feedback we received, see paragraphs </w:t>
      </w:r>
      <w:r w:rsidRPr="00423297">
        <w:fldChar w:fldCharType="begin"/>
      </w:r>
      <w:r w:rsidRPr="00423297">
        <w:instrText xml:space="preserve"> REF _ASICRef263 \w \h </w:instrText>
      </w:r>
      <w:r w:rsidR="00423297">
        <w:instrText xml:space="preserve"> \* MERGEFORMAT </w:instrText>
      </w:r>
      <w:r w:rsidRPr="00423297">
        <w:fldChar w:fldCharType="separate"/>
      </w:r>
      <w:r w:rsidR="00B92808">
        <w:t>196</w:t>
      </w:r>
      <w:r w:rsidRPr="00423297">
        <w:fldChar w:fldCharType="end"/>
      </w:r>
      <w:r w:rsidRPr="00423297">
        <w:t>–</w:t>
      </w:r>
      <w:r w:rsidRPr="00423297">
        <w:fldChar w:fldCharType="begin"/>
      </w:r>
      <w:r w:rsidRPr="00423297">
        <w:instrText xml:space="preserve"> REF _ASICRef647 \w \h </w:instrText>
      </w:r>
      <w:r w:rsidR="00423297">
        <w:instrText xml:space="preserve"> \* MERGEFORMAT </w:instrText>
      </w:r>
      <w:r w:rsidRPr="00423297">
        <w:fldChar w:fldCharType="separate"/>
      </w:r>
      <w:r w:rsidR="00B92808">
        <w:t>199</w:t>
      </w:r>
      <w:r w:rsidRPr="00423297">
        <w:fldChar w:fldCharType="end"/>
      </w:r>
      <w:r w:rsidR="00555B4D" w:rsidRPr="00423297">
        <w:t>.</w:t>
      </w:r>
    </w:p>
    <w:p w14:paraId="06555FAF" w14:textId="74BB367D" w:rsidR="00A74A04" w:rsidRPr="00423297" w:rsidRDefault="00A74A04" w:rsidP="00C953EC">
      <w:pPr>
        <w:pStyle w:val="Heading3"/>
      </w:pPr>
      <w:r w:rsidRPr="00423297">
        <w:t>Fee</w:t>
      </w:r>
      <w:r w:rsidR="007F17C1" w:rsidRPr="00423297">
        <w:t>d</w:t>
      </w:r>
      <w:r w:rsidRPr="00423297">
        <w:t>back from industry</w:t>
      </w:r>
    </w:p>
    <w:p w14:paraId="02DC3F4B" w14:textId="4520ECAA" w:rsidR="002134D4" w:rsidRPr="00423297" w:rsidRDefault="00637F0C" w:rsidP="00827368">
      <w:pPr>
        <w:pStyle w:val="BodyText"/>
      </w:pPr>
      <w:bookmarkStart w:id="209" w:name="_ASICRef468"/>
      <w:bookmarkStart w:id="210" w:name="_ASICRef263"/>
      <w:r w:rsidRPr="00423297">
        <w:t>Industry raised the following k</w:t>
      </w:r>
      <w:r w:rsidR="002134D4" w:rsidRPr="00423297">
        <w:t>ey concerns:</w:t>
      </w:r>
      <w:bookmarkEnd w:id="209"/>
      <w:bookmarkEnd w:id="210"/>
    </w:p>
    <w:p w14:paraId="659BCA75" w14:textId="014EFF11" w:rsidR="00CA2C49" w:rsidRPr="00423297" w:rsidRDefault="00637F0C" w:rsidP="002134D4">
      <w:pPr>
        <w:pStyle w:val="subparaa"/>
      </w:pPr>
      <w:r w:rsidRPr="00423297">
        <w:t>I</w:t>
      </w:r>
      <w:r w:rsidR="002134D4" w:rsidRPr="00423297">
        <w:t>f adopted, an opt-in or deferred cooling</w:t>
      </w:r>
      <w:r w:rsidRPr="00423297">
        <w:t>-</w:t>
      </w:r>
      <w:r w:rsidR="002134D4" w:rsidRPr="00423297">
        <w:t xml:space="preserve">off </w:t>
      </w:r>
      <w:r w:rsidR="00837887" w:rsidRPr="00423297">
        <w:t xml:space="preserve">model </w:t>
      </w:r>
      <w:r w:rsidR="004F35A0" w:rsidRPr="00423297">
        <w:t>would cause significant detriment to industry resulting from reduced sales</w:t>
      </w:r>
      <w:r w:rsidRPr="00423297">
        <w:t>.</w:t>
      </w:r>
    </w:p>
    <w:p w14:paraId="593274BD" w14:textId="4B29D7B6" w:rsidR="004F35A0" w:rsidRPr="00423297" w:rsidRDefault="00637F0C" w:rsidP="002134D4">
      <w:pPr>
        <w:pStyle w:val="subparaa"/>
      </w:pPr>
      <w:r w:rsidRPr="00423297">
        <w:t xml:space="preserve">Consumers exercising </w:t>
      </w:r>
      <w:r w:rsidR="00CA2C49" w:rsidRPr="00423297">
        <w:t xml:space="preserve">cooling-off rights by verbal, fax and SMS notification </w:t>
      </w:r>
      <w:r w:rsidRPr="00423297">
        <w:t>is</w:t>
      </w:r>
      <w:r w:rsidR="00CA2C49" w:rsidRPr="00423297">
        <w:t xml:space="preserve"> problematic</w:t>
      </w:r>
      <w:r w:rsidRPr="00423297">
        <w:t>,</w:t>
      </w:r>
      <w:r w:rsidR="00CA2C49" w:rsidRPr="00423297">
        <w:t xml:space="preserve"> and </w:t>
      </w:r>
      <w:r w:rsidRPr="00423297">
        <w:t>industry</w:t>
      </w:r>
      <w:r w:rsidR="00CA2C49" w:rsidRPr="00423297">
        <w:t xml:space="preserve"> pre</w:t>
      </w:r>
      <w:r w:rsidR="007F3761" w:rsidRPr="00423297">
        <w:t>f</w:t>
      </w:r>
      <w:r w:rsidR="00CA2C49" w:rsidRPr="00423297">
        <w:t>e</w:t>
      </w:r>
      <w:r w:rsidR="00FC3D2E" w:rsidRPr="00423297">
        <w:t>r</w:t>
      </w:r>
      <w:r w:rsidR="00CA2C49" w:rsidRPr="00423297">
        <w:t>re</w:t>
      </w:r>
      <w:r w:rsidRPr="00423297">
        <w:t>d</w:t>
      </w:r>
      <w:r w:rsidR="00CA2C49" w:rsidRPr="00423297">
        <w:t xml:space="preserve"> </w:t>
      </w:r>
      <w:r w:rsidR="003B5003" w:rsidRPr="00423297">
        <w:t xml:space="preserve">consumers to send cooling-off notices through </w:t>
      </w:r>
      <w:r w:rsidR="00CA2C49" w:rsidRPr="00423297">
        <w:t>post, email and website</w:t>
      </w:r>
      <w:r w:rsidR="003B5003" w:rsidRPr="00423297">
        <w:t>.</w:t>
      </w:r>
    </w:p>
    <w:p w14:paraId="1FD145DD" w14:textId="472A6216" w:rsidR="002134D4" w:rsidRPr="00423297" w:rsidRDefault="003B5003" w:rsidP="002134D4">
      <w:pPr>
        <w:pStyle w:val="subparaa"/>
      </w:pPr>
      <w:r w:rsidRPr="00423297">
        <w:t xml:space="preserve">Industry thought the </w:t>
      </w:r>
      <w:r w:rsidR="004F35A0" w:rsidRPr="00423297">
        <w:t xml:space="preserve">proposed wording </w:t>
      </w:r>
      <w:r w:rsidRPr="00423297">
        <w:t>for the</w:t>
      </w:r>
      <w:r w:rsidR="004F35A0" w:rsidRPr="00423297">
        <w:t xml:space="preserve"> consumer warnings was inappropriate</w:t>
      </w:r>
      <w:r w:rsidR="00576583" w:rsidRPr="00423297">
        <w:t xml:space="preserve"> and </w:t>
      </w:r>
      <w:r w:rsidRPr="00423297">
        <w:t xml:space="preserve">had </w:t>
      </w:r>
      <w:r w:rsidR="00576583" w:rsidRPr="00423297">
        <w:t xml:space="preserve">concerns about ensuring compliance with </w:t>
      </w:r>
      <w:r w:rsidRPr="00423297">
        <w:t>verbal</w:t>
      </w:r>
      <w:r w:rsidR="00576583" w:rsidRPr="00423297">
        <w:t xml:space="preserve"> advice requirements</w:t>
      </w:r>
      <w:r w:rsidRPr="00423297">
        <w:t>.</w:t>
      </w:r>
    </w:p>
    <w:p w14:paraId="3D7D7142" w14:textId="680AD43F" w:rsidR="002134D4" w:rsidRPr="00423297" w:rsidRDefault="003B5003" w:rsidP="002134D4">
      <w:pPr>
        <w:pStyle w:val="subparaa"/>
      </w:pPr>
      <w:r w:rsidRPr="00423297">
        <w:t>Industry</w:t>
      </w:r>
      <w:r w:rsidR="002134D4" w:rsidRPr="00423297">
        <w:t xml:space="preserve"> prefer</w:t>
      </w:r>
      <w:r w:rsidRPr="00423297">
        <w:t>red</w:t>
      </w:r>
      <w:r w:rsidR="002134D4" w:rsidRPr="00423297">
        <w:t xml:space="preserve"> medi</w:t>
      </w:r>
      <w:r w:rsidRPr="00423297">
        <w:t>c</w:t>
      </w:r>
      <w:r w:rsidR="002134D4" w:rsidRPr="00423297">
        <w:t xml:space="preserve">al certificates </w:t>
      </w:r>
      <w:r w:rsidRPr="00423297">
        <w:t>from</w:t>
      </w:r>
      <w:r w:rsidR="002134D4" w:rsidRPr="00423297">
        <w:t xml:space="preserve"> specialists</w:t>
      </w:r>
      <w:r w:rsidRPr="00423297">
        <w:t>,</w:t>
      </w:r>
      <w:r w:rsidR="002134D4" w:rsidRPr="00423297">
        <w:t xml:space="preserve"> rather than </w:t>
      </w:r>
      <w:r w:rsidRPr="00423297">
        <w:t>any</w:t>
      </w:r>
      <w:r w:rsidR="00CA2C49" w:rsidRPr="00423297">
        <w:t xml:space="preserve"> qualified medical </w:t>
      </w:r>
      <w:r w:rsidR="00096FD5" w:rsidRPr="00423297">
        <w:t>practitioner</w:t>
      </w:r>
      <w:r w:rsidRPr="00423297">
        <w:t>,</w:t>
      </w:r>
      <w:r w:rsidR="00CA2C49" w:rsidRPr="00423297">
        <w:t xml:space="preserve"> </w:t>
      </w:r>
      <w:r w:rsidR="002134D4" w:rsidRPr="00423297">
        <w:t>for the purposes of medical hardship claims</w:t>
      </w:r>
      <w:r w:rsidRPr="00423297">
        <w:t>.</w:t>
      </w:r>
      <w:r w:rsidR="00CA2C49" w:rsidRPr="00423297">
        <w:t xml:space="preserve"> </w:t>
      </w:r>
      <w:r w:rsidRPr="00423297">
        <w:t>They were also concerned about the proposed</w:t>
      </w:r>
      <w:r w:rsidR="00CA2C49" w:rsidRPr="00423297">
        <w:t xml:space="preserve"> timeframes for handling hardship claims</w:t>
      </w:r>
      <w:r w:rsidR="0007656B">
        <w:t xml:space="preserve"> and a lack of discretion.</w:t>
      </w:r>
    </w:p>
    <w:p w14:paraId="645456EB" w14:textId="02B566A3" w:rsidR="00CA2C49" w:rsidRPr="00423297" w:rsidRDefault="007F17C1" w:rsidP="002134D4">
      <w:pPr>
        <w:pStyle w:val="subparaa"/>
      </w:pPr>
      <w:r w:rsidRPr="00423297">
        <w:t xml:space="preserve">Industry was concerned that </w:t>
      </w:r>
      <w:r w:rsidR="00FC3D2E" w:rsidRPr="00423297">
        <w:t xml:space="preserve">our proposed </w:t>
      </w:r>
      <w:r w:rsidR="00CA2C49" w:rsidRPr="00423297">
        <w:t xml:space="preserve">guidance </w:t>
      </w:r>
      <w:r w:rsidR="003B5003" w:rsidRPr="00423297">
        <w:t>on</w:t>
      </w:r>
      <w:r w:rsidR="00CA2C49" w:rsidRPr="00423297">
        <w:t xml:space="preserve"> provi</w:t>
      </w:r>
      <w:r w:rsidR="00FC3D2E" w:rsidRPr="00423297">
        <w:t>ding</w:t>
      </w:r>
      <w:r w:rsidR="00CA2C49" w:rsidRPr="00423297">
        <w:t xml:space="preserve"> financial product advice may not reflect the nature of sales processes for time-sharing schemes</w:t>
      </w:r>
      <w:r w:rsidR="003B5003" w:rsidRPr="00423297">
        <w:t>.</w:t>
      </w:r>
    </w:p>
    <w:p w14:paraId="605DBB02" w14:textId="4B4271A3" w:rsidR="002134D4" w:rsidRDefault="003B5003" w:rsidP="00BA248A">
      <w:pPr>
        <w:pStyle w:val="subparaa"/>
      </w:pPr>
      <w:r w:rsidRPr="00423297">
        <w:t>T</w:t>
      </w:r>
      <w:r w:rsidR="002134D4" w:rsidRPr="00423297">
        <w:t>he fees and costs disclosure</w:t>
      </w:r>
      <w:r w:rsidR="004F35A0" w:rsidRPr="00423297">
        <w:t xml:space="preserve"> </w:t>
      </w:r>
      <w:r w:rsidRPr="00423297">
        <w:t>should be</w:t>
      </w:r>
      <w:r w:rsidR="00BE2669" w:rsidRPr="00423297">
        <w:t xml:space="preserve"> in</w:t>
      </w:r>
      <w:r w:rsidR="004F35A0" w:rsidRPr="00423297">
        <w:t xml:space="preserve"> a form that accurately reflect</w:t>
      </w:r>
      <w:r w:rsidR="007F17C1" w:rsidRPr="00423297">
        <w:t>s</w:t>
      </w:r>
      <w:r w:rsidR="004F35A0" w:rsidRPr="00423297">
        <w:t xml:space="preserve"> the types of fees and costs charged to members</w:t>
      </w:r>
      <w:r w:rsidR="00A74A04" w:rsidRPr="00423297">
        <w:t>.</w:t>
      </w:r>
      <w:r w:rsidR="004F35A0" w:rsidRPr="00423297">
        <w:t xml:space="preserve"> </w:t>
      </w:r>
      <w:r w:rsidR="007F17C1" w:rsidRPr="00423297">
        <w:t>Industry</w:t>
      </w:r>
      <w:r w:rsidR="00A74A04" w:rsidRPr="00423297">
        <w:t xml:space="preserve"> w</w:t>
      </w:r>
      <w:r w:rsidR="007F17C1" w:rsidRPr="00423297">
        <w:t>as</w:t>
      </w:r>
      <w:r w:rsidR="00A74A04" w:rsidRPr="00423297">
        <w:t xml:space="preserve"> also concerned about</w:t>
      </w:r>
      <w:r w:rsidR="004F35A0" w:rsidRPr="00423297">
        <w:t xml:space="preserve"> proposals to require disclosure of the impact of finance on the cost of acquiring </w:t>
      </w:r>
      <w:r w:rsidR="00A74A04" w:rsidRPr="00423297">
        <w:t>an interest in a</w:t>
      </w:r>
      <w:r w:rsidR="004F35A0" w:rsidRPr="00423297">
        <w:t xml:space="preserve"> time</w:t>
      </w:r>
      <w:r w:rsidR="00A74A04" w:rsidRPr="00423297">
        <w:t>-</w:t>
      </w:r>
      <w:r w:rsidR="004F35A0" w:rsidRPr="00423297">
        <w:t>shar</w:t>
      </w:r>
      <w:r w:rsidR="00A74A04" w:rsidRPr="00423297">
        <w:t>ing schem</w:t>
      </w:r>
      <w:r w:rsidR="004F35A0" w:rsidRPr="00423297">
        <w:t>e</w:t>
      </w:r>
      <w:r w:rsidR="00A74A04" w:rsidRPr="00423297">
        <w:t xml:space="preserve"> to a consumer</w:t>
      </w:r>
      <w:r w:rsidR="00226FCA" w:rsidRPr="00423297">
        <w:t>.</w:t>
      </w:r>
    </w:p>
    <w:p w14:paraId="4F0E5DF2" w14:textId="6A3381A9" w:rsidR="0007656B" w:rsidRPr="00423297" w:rsidRDefault="0007656B" w:rsidP="00BA248A">
      <w:pPr>
        <w:pStyle w:val="subparaa"/>
      </w:pPr>
      <w:r>
        <w:t xml:space="preserve">Industry was concerned that obligations may attach to private transfers between parties and sought </w:t>
      </w:r>
      <w:r w:rsidR="008A381D">
        <w:t>clarification</w:t>
      </w:r>
      <w:r>
        <w:t xml:space="preserve"> that this would not occur. </w:t>
      </w:r>
    </w:p>
    <w:p w14:paraId="5C22CE30" w14:textId="060EE29C" w:rsidR="00226FCA" w:rsidRDefault="001557D5" w:rsidP="00827368">
      <w:pPr>
        <w:pStyle w:val="BodyText"/>
      </w:pPr>
      <w:bookmarkStart w:id="211" w:name="_ASICRef622"/>
      <w:r w:rsidRPr="00423297">
        <w:t>We also discussed the</w:t>
      </w:r>
      <w:r w:rsidR="005B10F0" w:rsidRPr="00423297">
        <w:t xml:space="preserve"> less contentious proposals </w:t>
      </w:r>
      <w:r w:rsidR="00DC7A19" w:rsidRPr="00423297">
        <w:t>to reduce</w:t>
      </w:r>
      <w:r w:rsidR="005B10F0" w:rsidRPr="00423297">
        <w:t xml:space="preserve"> audit requirements, change capital requirements and </w:t>
      </w:r>
      <w:r w:rsidR="00A74A04" w:rsidRPr="00423297">
        <w:t xml:space="preserve">update </w:t>
      </w:r>
      <w:r w:rsidR="005B10F0" w:rsidRPr="00423297">
        <w:t>compliance arrangements to monitor the issuing of points.</w:t>
      </w:r>
      <w:bookmarkEnd w:id="208"/>
      <w:r w:rsidR="00842661" w:rsidRPr="00423297">
        <w:t xml:space="preserve"> </w:t>
      </w:r>
      <w:r w:rsidR="00226FCA" w:rsidRPr="00423297">
        <w:t>Industry was generally supportive of these proposals.</w:t>
      </w:r>
      <w:bookmarkEnd w:id="211"/>
    </w:p>
    <w:p w14:paraId="696BAB2A" w14:textId="6E4DD817" w:rsidR="007B5092" w:rsidRPr="00423297" w:rsidDel="00923A0D" w:rsidRDefault="007B5092" w:rsidP="007B5092">
      <w:pPr>
        <w:pStyle w:val="BodyText"/>
      </w:pPr>
      <w:r w:rsidRPr="00423297" w:rsidDel="00923A0D">
        <w:lastRenderedPageBreak/>
        <w:t xml:space="preserve">We have received cost estimates from each of the operators of active registered schemes. </w:t>
      </w:r>
      <w:r w:rsidRPr="00423297">
        <w:t>We also received</w:t>
      </w:r>
      <w:r w:rsidRPr="00423297" w:rsidDel="00923A0D">
        <w:t xml:space="preserve"> cost estimates from operators of 13 (of the 32) legacy schemes, two (of the six) dealers and two (of the five) related finance providers. These responses indicate the major cost impact will be on the operators of active registered schemes and that there will be minimal cost increases</w:t>
      </w:r>
      <w:r w:rsidRPr="00423297">
        <w:t>—</w:t>
      </w:r>
      <w:r w:rsidRPr="00423297" w:rsidDel="00923A0D">
        <w:t>and, in some cases, cost savings</w:t>
      </w:r>
      <w:r w:rsidRPr="00423297">
        <w:t>—</w:t>
      </w:r>
      <w:r w:rsidRPr="00423297" w:rsidDel="00923A0D">
        <w:t>for other respondents.</w:t>
      </w:r>
    </w:p>
    <w:p w14:paraId="3D05A071" w14:textId="772C7969" w:rsidR="00A74A04" w:rsidRPr="00423297" w:rsidRDefault="00A74A04" w:rsidP="00C953EC">
      <w:pPr>
        <w:pStyle w:val="Heading3"/>
      </w:pPr>
      <w:r w:rsidRPr="00423297">
        <w:t>Feedback from consumer</w:t>
      </w:r>
      <w:r w:rsidR="00923A0D" w:rsidRPr="00423297">
        <w:t xml:space="preserve"> group</w:t>
      </w:r>
      <w:r w:rsidRPr="00423297">
        <w:t>s</w:t>
      </w:r>
    </w:p>
    <w:p w14:paraId="3D0519C9" w14:textId="76F7908D" w:rsidR="00226FCA" w:rsidRPr="00423297" w:rsidRDefault="00A74A04" w:rsidP="00827368">
      <w:pPr>
        <w:pStyle w:val="BodyText"/>
      </w:pPr>
      <w:bookmarkStart w:id="212" w:name="_ASICRef298"/>
      <w:bookmarkStart w:id="213" w:name="_ASICRef647"/>
      <w:r w:rsidRPr="00423297">
        <w:t>Consumer groups raised the following k</w:t>
      </w:r>
      <w:r w:rsidR="00441924" w:rsidRPr="00423297">
        <w:t>ey concerns</w:t>
      </w:r>
      <w:r w:rsidR="00226FCA" w:rsidRPr="00423297">
        <w:t>:</w:t>
      </w:r>
      <w:bookmarkEnd w:id="212"/>
      <w:bookmarkEnd w:id="213"/>
    </w:p>
    <w:p w14:paraId="47F8FF29" w14:textId="267AC484" w:rsidR="00226FCA" w:rsidRPr="00423297" w:rsidRDefault="00A74A04" w:rsidP="00226FCA">
      <w:pPr>
        <w:pStyle w:val="subparaa"/>
      </w:pPr>
      <w:r w:rsidRPr="00423297">
        <w:t xml:space="preserve">The current </w:t>
      </w:r>
      <w:r w:rsidR="00226FCA" w:rsidRPr="00423297">
        <w:t xml:space="preserve">cooling-off arrangements were not adequate to deal with mis-selling of timeshare and </w:t>
      </w:r>
      <w:r w:rsidRPr="00423297">
        <w:t>we</w:t>
      </w:r>
      <w:r w:rsidR="00226FCA" w:rsidRPr="00423297">
        <w:t xml:space="preserve"> should introduce an opt-in regime</w:t>
      </w:r>
      <w:r w:rsidRPr="00423297">
        <w:t>.</w:t>
      </w:r>
    </w:p>
    <w:p w14:paraId="4CEFF8E7" w14:textId="2594DE7B" w:rsidR="00441924" w:rsidRPr="00423297" w:rsidRDefault="00923A0D" w:rsidP="00226FCA">
      <w:pPr>
        <w:pStyle w:val="subparaa"/>
      </w:pPr>
      <w:r w:rsidRPr="00423297">
        <w:t>T</w:t>
      </w:r>
      <w:r w:rsidR="00441924" w:rsidRPr="00423297">
        <w:t xml:space="preserve">here should be a single cooling-off period and the cooling-off statement </w:t>
      </w:r>
      <w:r w:rsidRPr="00423297">
        <w:t xml:space="preserve">should </w:t>
      </w:r>
      <w:r w:rsidR="00441924" w:rsidRPr="00423297">
        <w:t xml:space="preserve">be very clear about the timeframes and methods by </w:t>
      </w:r>
      <w:r w:rsidR="00096FD5" w:rsidRPr="00423297">
        <w:t>which</w:t>
      </w:r>
      <w:r w:rsidR="00441924" w:rsidRPr="00423297">
        <w:t xml:space="preserve"> consumers can exercise their cooling-off rights</w:t>
      </w:r>
      <w:r w:rsidRPr="00423297">
        <w:t>.</w:t>
      </w:r>
    </w:p>
    <w:p w14:paraId="0C1B297D" w14:textId="227584B4" w:rsidR="00441924" w:rsidRPr="00423297" w:rsidRDefault="00923A0D" w:rsidP="00226FCA">
      <w:pPr>
        <w:pStyle w:val="subparaa"/>
      </w:pPr>
      <w:r w:rsidRPr="00423297">
        <w:t>We</w:t>
      </w:r>
      <w:r w:rsidR="00226FCA" w:rsidRPr="00423297">
        <w:t xml:space="preserve"> should not over rely on</w:t>
      </w:r>
      <w:r w:rsidR="00441924" w:rsidRPr="00423297">
        <w:t xml:space="preserve"> disclosure to address consumer issues</w:t>
      </w:r>
      <w:r w:rsidRPr="00423297">
        <w:t>.</w:t>
      </w:r>
    </w:p>
    <w:p w14:paraId="4B9E76C3" w14:textId="2BBDD4F5" w:rsidR="00441924" w:rsidRPr="00423297" w:rsidRDefault="00923A0D" w:rsidP="00226FCA">
      <w:pPr>
        <w:pStyle w:val="subparaa"/>
      </w:pPr>
      <w:r w:rsidRPr="00423297">
        <w:t>C</w:t>
      </w:r>
      <w:r w:rsidR="00441924" w:rsidRPr="00423297">
        <w:t xml:space="preserve">onsumer warnings should </w:t>
      </w:r>
      <w:r w:rsidR="00576583" w:rsidRPr="00423297">
        <w:t>be prominent and clear</w:t>
      </w:r>
      <w:r w:rsidRPr="00423297">
        <w:t>.</w:t>
      </w:r>
    </w:p>
    <w:p w14:paraId="4ADE3032" w14:textId="1AE491AC" w:rsidR="00C40470" w:rsidRPr="00423297" w:rsidRDefault="00923A0D" w:rsidP="00226FCA">
      <w:pPr>
        <w:pStyle w:val="subparaa"/>
      </w:pPr>
      <w:r w:rsidRPr="00423297">
        <w:t>H</w:t>
      </w:r>
      <w:r w:rsidR="00441924" w:rsidRPr="00423297">
        <w:t xml:space="preserve">ardship criteria should not be too prescriptive </w:t>
      </w:r>
      <w:r w:rsidRPr="00423297">
        <w:t xml:space="preserve">and should </w:t>
      </w:r>
      <w:r w:rsidR="00441924" w:rsidRPr="00423297">
        <w:t>not be limited to medical hardship</w:t>
      </w:r>
      <w:r w:rsidRPr="00423297">
        <w:t>.</w:t>
      </w:r>
      <w:r w:rsidR="00441924" w:rsidRPr="00423297">
        <w:t xml:space="preserve"> </w:t>
      </w:r>
      <w:r w:rsidRPr="00423297">
        <w:t>T</w:t>
      </w:r>
      <w:r w:rsidR="00441924" w:rsidRPr="00423297">
        <w:t xml:space="preserve">he criteria </w:t>
      </w:r>
      <w:r w:rsidRPr="00423297">
        <w:t>should also take into account</w:t>
      </w:r>
      <w:r w:rsidR="00441924" w:rsidRPr="00423297">
        <w:t xml:space="preserve"> the joint holding nature of membership</w:t>
      </w:r>
      <w:r w:rsidRPr="00423297">
        <w:t>.</w:t>
      </w:r>
    </w:p>
    <w:p w14:paraId="5E5EFF96" w14:textId="6C7DF661" w:rsidR="00576583" w:rsidRPr="00423297" w:rsidRDefault="00923A0D" w:rsidP="00226FCA">
      <w:pPr>
        <w:pStyle w:val="subparaa"/>
      </w:pPr>
      <w:r w:rsidRPr="00423297">
        <w:t xml:space="preserve">The </w:t>
      </w:r>
      <w:r w:rsidR="00576583" w:rsidRPr="00423297">
        <w:t>fees and costs</w:t>
      </w:r>
      <w:r w:rsidRPr="00423297">
        <w:t xml:space="preserve"> disclosure</w:t>
      </w:r>
      <w:r w:rsidR="00576583" w:rsidRPr="00423297">
        <w:t xml:space="preserve"> should be as targeted as possible</w:t>
      </w:r>
      <w:r w:rsidRPr="00423297">
        <w:t>.</w:t>
      </w:r>
    </w:p>
    <w:p w14:paraId="4BB64C79" w14:textId="4112B625" w:rsidR="00441924" w:rsidRPr="00423297" w:rsidRDefault="00923A0D" w:rsidP="00BA248A">
      <w:pPr>
        <w:pStyle w:val="subparaa"/>
      </w:pPr>
      <w:r w:rsidRPr="00423297">
        <w:t xml:space="preserve">Consumer groups were concerned about the </w:t>
      </w:r>
      <w:r w:rsidR="00576583" w:rsidRPr="00423297">
        <w:t>difficult</w:t>
      </w:r>
      <w:r w:rsidRPr="00423297">
        <w:t>y</w:t>
      </w:r>
      <w:r w:rsidR="00576583" w:rsidRPr="00423297">
        <w:t xml:space="preserve"> in ensuring </w:t>
      </w:r>
      <w:r w:rsidRPr="00423297">
        <w:t>verbal</w:t>
      </w:r>
      <w:r w:rsidR="00576583" w:rsidRPr="00423297">
        <w:t xml:space="preserve"> advice requirements are not misused in the </w:t>
      </w:r>
      <w:r w:rsidRPr="00423297">
        <w:t xml:space="preserve">sales </w:t>
      </w:r>
      <w:r w:rsidR="00576583" w:rsidRPr="00423297">
        <w:t xml:space="preserve">presentation process. </w:t>
      </w:r>
    </w:p>
    <w:p w14:paraId="5C22F1AA" w14:textId="726B2B45" w:rsidR="00B33108" w:rsidRPr="00423297" w:rsidRDefault="00B33108" w:rsidP="008250FD">
      <w:pPr>
        <w:pStyle w:val="Heading2"/>
      </w:pPr>
      <w:bookmarkStart w:id="214" w:name="_Toc36467247"/>
      <w:bookmarkStart w:id="215" w:name="_Toc56669437"/>
      <w:r w:rsidRPr="00423297">
        <w:t>Consumer research</w:t>
      </w:r>
      <w:bookmarkEnd w:id="214"/>
      <w:bookmarkEnd w:id="215"/>
    </w:p>
    <w:p w14:paraId="0D13FF56" w14:textId="77777777" w:rsidR="00BE504B" w:rsidRPr="00423297" w:rsidRDefault="00EA5B2E" w:rsidP="00467479">
      <w:pPr>
        <w:pStyle w:val="BodyText"/>
      </w:pPr>
      <w:r w:rsidRPr="00423297">
        <w:t>In addition to our consultation, we have also</w:t>
      </w:r>
      <w:r w:rsidR="00BE504B" w:rsidRPr="00423297">
        <w:t>:</w:t>
      </w:r>
      <w:r w:rsidRPr="00423297">
        <w:t xml:space="preserve"> </w:t>
      </w:r>
    </w:p>
    <w:p w14:paraId="50CC056A" w14:textId="12C34C38" w:rsidR="00BE504B" w:rsidRPr="00423297" w:rsidRDefault="00EA5B2E" w:rsidP="00BE504B">
      <w:pPr>
        <w:pStyle w:val="subparaa"/>
      </w:pPr>
      <w:r w:rsidRPr="00423297">
        <w:t>commissioned independent research into both consumers</w:t>
      </w:r>
      <w:r w:rsidR="00D61E78">
        <w:t>’</w:t>
      </w:r>
      <w:r w:rsidRPr="00423297">
        <w:t xml:space="preserve"> experiences with time</w:t>
      </w:r>
      <w:r w:rsidR="00BE504B" w:rsidRPr="00423297">
        <w:t>-</w:t>
      </w:r>
      <w:r w:rsidRPr="00423297">
        <w:t>shar</w:t>
      </w:r>
      <w:r w:rsidR="00BE504B" w:rsidRPr="00423297">
        <w:t>ing schem</w:t>
      </w:r>
      <w:r w:rsidRPr="00423297">
        <w:t>e</w:t>
      </w:r>
      <w:r w:rsidR="00BE504B" w:rsidRPr="00423297">
        <w:t>s</w:t>
      </w:r>
      <w:r w:rsidRPr="00423297">
        <w:t xml:space="preserve"> and the financial value of </w:t>
      </w:r>
      <w:r w:rsidR="00BE504B" w:rsidRPr="00423297">
        <w:t xml:space="preserve">an interest in a </w:t>
      </w:r>
      <w:r w:rsidRPr="00423297">
        <w:t>time</w:t>
      </w:r>
      <w:r w:rsidR="00BE504B" w:rsidRPr="00423297">
        <w:t>-</w:t>
      </w:r>
      <w:r w:rsidRPr="00423297">
        <w:t>shar</w:t>
      </w:r>
      <w:r w:rsidR="00BE504B" w:rsidRPr="00423297">
        <w:t>ing schem</w:t>
      </w:r>
      <w:r w:rsidRPr="00423297">
        <w:t>e for consumers</w:t>
      </w:r>
      <w:r w:rsidR="00BE504B" w:rsidRPr="00423297">
        <w:t>;</w:t>
      </w:r>
      <w:r w:rsidRPr="00423297">
        <w:t xml:space="preserve"> and </w:t>
      </w:r>
    </w:p>
    <w:p w14:paraId="1F611656" w14:textId="69BBBC42" w:rsidR="00BE504B" w:rsidRPr="00423297" w:rsidRDefault="00EA5B2E" w:rsidP="00BB428A">
      <w:pPr>
        <w:pStyle w:val="subparaa"/>
      </w:pPr>
      <w:proofErr w:type="gramStart"/>
      <w:r w:rsidRPr="00423297">
        <w:t>review</w:t>
      </w:r>
      <w:r w:rsidR="00BE504B" w:rsidRPr="00423297">
        <w:t>ed</w:t>
      </w:r>
      <w:proofErr w:type="gramEnd"/>
      <w:r w:rsidRPr="00423297">
        <w:t xml:space="preserve"> a sample of </w:t>
      </w:r>
      <w:r w:rsidR="00BE504B" w:rsidRPr="00423297">
        <w:t xml:space="preserve">financial product advice on </w:t>
      </w:r>
      <w:r w:rsidRPr="00423297">
        <w:t>time</w:t>
      </w:r>
      <w:r w:rsidR="00BE504B" w:rsidRPr="00423297">
        <w:t>-</w:t>
      </w:r>
      <w:r w:rsidRPr="00423297">
        <w:t>shar</w:t>
      </w:r>
      <w:r w:rsidR="00BE504B" w:rsidRPr="00423297">
        <w:t>ing schem</w:t>
      </w:r>
      <w:r w:rsidRPr="00423297">
        <w:t>e</w:t>
      </w:r>
      <w:r w:rsidR="00BE504B" w:rsidRPr="00423297">
        <w:t>s</w:t>
      </w:r>
      <w:r w:rsidRPr="00423297">
        <w:t xml:space="preserve">. </w:t>
      </w:r>
      <w:bookmarkStart w:id="216" w:name="_ASICRef373"/>
    </w:p>
    <w:p w14:paraId="2C0FFC33" w14:textId="270E2C21" w:rsidR="00B33108" w:rsidRPr="00423297" w:rsidRDefault="00B33108" w:rsidP="00827368">
      <w:pPr>
        <w:pStyle w:val="BodyText"/>
      </w:pPr>
      <w:r w:rsidRPr="00423297">
        <w:t xml:space="preserve">A summary of the findings of this </w:t>
      </w:r>
      <w:r w:rsidR="00EA5B2E" w:rsidRPr="00423297">
        <w:t>work</w:t>
      </w:r>
      <w:r w:rsidRPr="00423297">
        <w:t xml:space="preserve"> </w:t>
      </w:r>
      <w:r w:rsidR="00EA5B2E" w:rsidRPr="00423297">
        <w:t xml:space="preserve">was published </w:t>
      </w:r>
      <w:r w:rsidRPr="00423297">
        <w:t xml:space="preserve">in </w:t>
      </w:r>
      <w:hyperlink r:id="rId49" w:history="1">
        <w:r w:rsidRPr="00423297">
          <w:rPr>
            <w:rStyle w:val="Hyperlink"/>
          </w:rPr>
          <w:t>REP 642</w:t>
        </w:r>
      </w:hyperlink>
      <w:r w:rsidRPr="00423297">
        <w:t>.</w:t>
      </w:r>
      <w:bookmarkEnd w:id="216"/>
    </w:p>
    <w:p w14:paraId="49DC5CC7" w14:textId="27C67C12" w:rsidR="00B33108" w:rsidRPr="00423297" w:rsidRDefault="00B33108" w:rsidP="00827368">
      <w:pPr>
        <w:pStyle w:val="BodyText"/>
      </w:pPr>
      <w:r w:rsidRPr="00423297">
        <w:t xml:space="preserve">Following this </w:t>
      </w:r>
      <w:r w:rsidR="00EA5B2E" w:rsidRPr="00423297">
        <w:t>work</w:t>
      </w:r>
      <w:r w:rsidRPr="00423297">
        <w:t xml:space="preserve">, and for the reasons set out in paragraphs </w:t>
      </w:r>
      <w:r w:rsidRPr="00423297">
        <w:fldChar w:fldCharType="begin"/>
      </w:r>
      <w:r w:rsidRPr="00423297">
        <w:instrText xml:space="preserve"> REF _ASICRef760 \w \h  \* MERGEFORMAT </w:instrText>
      </w:r>
      <w:r w:rsidRPr="00423297">
        <w:fldChar w:fldCharType="separate"/>
      </w:r>
      <w:r w:rsidR="00B92808">
        <w:t>12</w:t>
      </w:r>
      <w:r w:rsidRPr="00423297">
        <w:fldChar w:fldCharType="end"/>
      </w:r>
      <w:r w:rsidRPr="00423297">
        <w:t>–</w:t>
      </w:r>
      <w:r w:rsidRPr="00423297">
        <w:fldChar w:fldCharType="begin"/>
      </w:r>
      <w:r w:rsidRPr="00423297">
        <w:instrText xml:space="preserve"> REF _ASICRef814 \w \h  \* MERGEFORMAT </w:instrText>
      </w:r>
      <w:r w:rsidRPr="00423297">
        <w:fldChar w:fldCharType="separate"/>
      </w:r>
      <w:r w:rsidR="00B92808">
        <w:t>15</w:t>
      </w:r>
      <w:r w:rsidRPr="00423297">
        <w:fldChar w:fldCharType="end"/>
      </w:r>
      <w:r w:rsidRPr="00423297">
        <w:t>, we have revised our recommended option and have decided not to progress the enhanced cooling-off model at this time.</w:t>
      </w:r>
    </w:p>
    <w:p w14:paraId="2791B7FF" w14:textId="3D1F1764" w:rsidR="00423DE8" w:rsidRPr="00423297" w:rsidRDefault="00423DE8" w:rsidP="00423DE8">
      <w:pPr>
        <w:pStyle w:val="Heading1"/>
      </w:pPr>
      <w:bookmarkStart w:id="217" w:name="_Toc5365771"/>
      <w:bookmarkStart w:id="218" w:name="_Toc36467248"/>
      <w:bookmarkStart w:id="219" w:name="_Toc56669438"/>
      <w:r w:rsidRPr="00423297">
        <w:lastRenderedPageBreak/>
        <w:t xml:space="preserve">Preferred </w:t>
      </w:r>
      <w:r w:rsidR="00183335" w:rsidRPr="00423297">
        <w:t>o</w:t>
      </w:r>
      <w:r w:rsidRPr="00423297">
        <w:t>ption</w:t>
      </w:r>
      <w:bookmarkEnd w:id="217"/>
      <w:bookmarkEnd w:id="218"/>
      <w:bookmarkEnd w:id="219"/>
    </w:p>
    <w:p w14:paraId="79C0D0AB" w14:textId="0492928A" w:rsidR="007A3610" w:rsidRPr="00423297" w:rsidRDefault="001108FC" w:rsidP="00183335">
      <w:pPr>
        <w:pStyle w:val="BodyText"/>
      </w:pPr>
      <w:r w:rsidRPr="00423297">
        <w:t>Based on the data and information we gathered through our consultations</w:t>
      </w:r>
      <w:r w:rsidR="00EC63C9" w:rsidRPr="00423297">
        <w:t>,</w:t>
      </w:r>
      <w:r w:rsidR="00B17DA7" w:rsidRPr="00423297">
        <w:t xml:space="preserve"> and the findings</w:t>
      </w:r>
      <w:r w:rsidR="00C413E5" w:rsidRPr="00423297">
        <w:t xml:space="preserve"> from</w:t>
      </w:r>
      <w:r w:rsidR="00B17DA7" w:rsidRPr="00423297">
        <w:t xml:space="preserve"> the </w:t>
      </w:r>
      <w:r w:rsidRPr="00423297">
        <w:t>consumer research</w:t>
      </w:r>
      <w:r w:rsidR="001F20CC" w:rsidRPr="00423297">
        <w:t xml:space="preserve"> </w:t>
      </w:r>
      <w:r w:rsidR="00C413E5" w:rsidRPr="00423297">
        <w:t>(</w:t>
      </w:r>
      <w:r w:rsidR="00B17DA7" w:rsidRPr="00423297">
        <w:t xml:space="preserve">outlined in </w:t>
      </w:r>
      <w:hyperlink r:id="rId50" w:history="1">
        <w:r w:rsidR="00B17DA7" w:rsidRPr="00423297">
          <w:rPr>
            <w:rStyle w:val="Hyperlink"/>
          </w:rPr>
          <w:t>REP 642</w:t>
        </w:r>
      </w:hyperlink>
      <w:r w:rsidR="00C413E5" w:rsidRPr="00423297">
        <w:t>)</w:t>
      </w:r>
      <w:r w:rsidR="00B17DA7" w:rsidRPr="00423297">
        <w:t xml:space="preserve"> </w:t>
      </w:r>
      <w:r w:rsidR="001F20CC" w:rsidRPr="00423297">
        <w:t xml:space="preserve">and </w:t>
      </w:r>
      <w:r w:rsidR="00B17DA7" w:rsidRPr="00423297">
        <w:t xml:space="preserve">recent </w:t>
      </w:r>
      <w:r w:rsidR="001F20CC" w:rsidRPr="00423297">
        <w:t>surveillance</w:t>
      </w:r>
      <w:r w:rsidR="00B17DA7" w:rsidRPr="00423297">
        <w:t>s</w:t>
      </w:r>
      <w:r w:rsidR="009E3750" w:rsidRPr="00423297">
        <w:t>,</w:t>
      </w:r>
      <w:r w:rsidRPr="00423297">
        <w:t xml:space="preserve"> our preferred option is revised Option 1. </w:t>
      </w:r>
      <w:r w:rsidR="00192D74" w:rsidRPr="00423297">
        <w:t xml:space="preserve">Although </w:t>
      </w:r>
      <w:r w:rsidR="00837887" w:rsidRPr="00423297">
        <w:t xml:space="preserve">it is </w:t>
      </w:r>
      <w:r w:rsidR="00192D74" w:rsidRPr="00423297">
        <w:t xml:space="preserve">difficult to quantify the benefits to consumers under revised Option 1, this option </w:t>
      </w:r>
      <w:r w:rsidR="004B20E7" w:rsidRPr="00423297">
        <w:t>strengthens consumer protections and promotes the confident and informed participation of consumers in the financial system</w:t>
      </w:r>
      <w:r w:rsidR="00043E41" w:rsidRPr="00423297">
        <w:t>.</w:t>
      </w:r>
      <w:r w:rsidR="004B20E7" w:rsidRPr="00423297">
        <w:t xml:space="preserve"> </w:t>
      </w:r>
      <w:r w:rsidR="00043E41" w:rsidRPr="00423297">
        <w:t>It</w:t>
      </w:r>
      <w:r w:rsidR="004B20E7" w:rsidRPr="00423297">
        <w:t xml:space="preserve"> provid</w:t>
      </w:r>
      <w:r w:rsidR="00043E41" w:rsidRPr="00423297">
        <w:t>es</w:t>
      </w:r>
      <w:r w:rsidR="000563A7" w:rsidRPr="00423297">
        <w:t xml:space="preserve"> benefits to consumers and industry through</w:t>
      </w:r>
      <w:r w:rsidR="004B20E7" w:rsidRPr="00423297">
        <w:t>:</w:t>
      </w:r>
    </w:p>
    <w:p w14:paraId="29E192D7" w14:textId="1C1FDC83" w:rsidR="00D11798" w:rsidRPr="00423297" w:rsidRDefault="00D11798" w:rsidP="00183335">
      <w:pPr>
        <w:pStyle w:val="subparaa"/>
      </w:pPr>
      <w:r w:rsidRPr="00423297">
        <w:t xml:space="preserve">formal </w:t>
      </w:r>
      <w:r w:rsidR="00D61E78">
        <w:t>‘</w:t>
      </w:r>
      <w:r w:rsidRPr="00423297">
        <w:t>subject to finance</w:t>
      </w:r>
      <w:r w:rsidR="00D61E78">
        <w:t>’</w:t>
      </w:r>
      <w:r w:rsidRPr="00423297">
        <w:t xml:space="preserve"> rights </w:t>
      </w:r>
      <w:r w:rsidR="00043E41" w:rsidRPr="00423297">
        <w:t>that</w:t>
      </w:r>
      <w:r w:rsidR="003424EF" w:rsidRPr="00423297">
        <w:t xml:space="preserve"> can also be exercised </w:t>
      </w:r>
      <w:r w:rsidR="005B10F0" w:rsidRPr="00423297">
        <w:t>independently of</w:t>
      </w:r>
      <w:r w:rsidR="003424EF" w:rsidRPr="00423297">
        <w:t xml:space="preserve"> the </w:t>
      </w:r>
      <w:r w:rsidR="005B10F0" w:rsidRPr="00423297">
        <w:t>existing</w:t>
      </w:r>
      <w:r w:rsidR="00671528" w:rsidRPr="00423297">
        <w:t xml:space="preserve"> </w:t>
      </w:r>
      <w:r w:rsidR="003424EF" w:rsidRPr="00423297">
        <w:t xml:space="preserve">cooling-off </w:t>
      </w:r>
      <w:r w:rsidR="00864AB3" w:rsidRPr="00423297">
        <w:t>rights</w:t>
      </w:r>
      <w:r w:rsidR="00EC63C9" w:rsidRPr="00423297">
        <w:t>,</w:t>
      </w:r>
      <w:r w:rsidR="00864AB3" w:rsidRPr="00423297">
        <w:t xml:space="preserve"> to allow consumers to withdraw their application whe</w:t>
      </w:r>
      <w:r w:rsidR="00EC63C9" w:rsidRPr="00423297">
        <w:t>n</w:t>
      </w:r>
      <w:r w:rsidR="00864AB3" w:rsidRPr="00423297">
        <w:t xml:space="preserve"> they are unable to obtain a loan on </w:t>
      </w:r>
      <w:r w:rsidR="00EC63C9" w:rsidRPr="00423297">
        <w:t xml:space="preserve">terms </w:t>
      </w:r>
      <w:r w:rsidR="00864AB3" w:rsidRPr="00423297">
        <w:t>acceptable to them</w:t>
      </w:r>
      <w:r w:rsidRPr="00423297">
        <w:t>;</w:t>
      </w:r>
    </w:p>
    <w:p w14:paraId="4DCB0338" w14:textId="67EF9982" w:rsidR="00D11798" w:rsidRPr="00423297" w:rsidRDefault="00864AB3" w:rsidP="00183335">
      <w:pPr>
        <w:pStyle w:val="subparaa"/>
      </w:pPr>
      <w:r w:rsidRPr="00423297">
        <w:t xml:space="preserve">increased potential for consumer understanding of the product through </w:t>
      </w:r>
      <w:r w:rsidR="00D11798" w:rsidRPr="00423297">
        <w:t xml:space="preserve">more prominent disclosure and </w:t>
      </w:r>
      <w:bookmarkStart w:id="220" w:name="_Hlk38901672"/>
      <w:r w:rsidRPr="00423297">
        <w:t xml:space="preserve">written and verbal </w:t>
      </w:r>
      <w:bookmarkEnd w:id="220"/>
      <w:r w:rsidR="00D11798" w:rsidRPr="00423297">
        <w:t>warnings</w:t>
      </w:r>
      <w:r w:rsidR="00A224F5" w:rsidRPr="00423297">
        <w:t xml:space="preserve"> </w:t>
      </w:r>
      <w:r w:rsidR="00D11798" w:rsidRPr="00423297">
        <w:t>about the key f</w:t>
      </w:r>
      <w:r w:rsidR="00300F0F" w:rsidRPr="00423297">
        <w:t>eatures of time-sharing schemes</w:t>
      </w:r>
      <w:r w:rsidR="00D11798" w:rsidRPr="00423297">
        <w:t>;</w:t>
      </w:r>
    </w:p>
    <w:p w14:paraId="0C13120F" w14:textId="77777777" w:rsidR="00243660" w:rsidRPr="00423297" w:rsidRDefault="00D11798" w:rsidP="00183335">
      <w:pPr>
        <w:pStyle w:val="subparaa"/>
      </w:pPr>
      <w:r w:rsidRPr="00423297">
        <w:t xml:space="preserve">formal hardship </w:t>
      </w:r>
      <w:r w:rsidR="00884924" w:rsidRPr="00423297">
        <w:t xml:space="preserve">arrangements </w:t>
      </w:r>
      <w:r w:rsidRPr="00423297">
        <w:t>to enable</w:t>
      </w:r>
      <w:r w:rsidR="00243660" w:rsidRPr="00423297">
        <w:t>:</w:t>
      </w:r>
      <w:r w:rsidRPr="00423297">
        <w:t xml:space="preserve"> </w:t>
      </w:r>
    </w:p>
    <w:p w14:paraId="655B6576" w14:textId="46E3CFE1" w:rsidR="00243660" w:rsidRPr="00423297" w:rsidRDefault="00D11798" w:rsidP="00243660">
      <w:pPr>
        <w:pStyle w:val="subsubparai"/>
      </w:pPr>
      <w:r w:rsidRPr="00423297">
        <w:t>members suffering hardship to withdraw from the time-sharing scheme without further liability</w:t>
      </w:r>
      <w:r w:rsidR="005A7061" w:rsidRPr="00423297">
        <w:t xml:space="preserve"> to the scheme</w:t>
      </w:r>
      <w:r w:rsidR="00243660" w:rsidRPr="00423297">
        <w:t>;</w:t>
      </w:r>
      <w:r w:rsidR="00671528" w:rsidRPr="00423297">
        <w:t xml:space="preserve"> </w:t>
      </w:r>
      <w:bookmarkStart w:id="221" w:name="_Hlk38901747"/>
      <w:r w:rsidR="00864AB3" w:rsidRPr="00423297">
        <w:t xml:space="preserve">and </w:t>
      </w:r>
    </w:p>
    <w:p w14:paraId="00474F45" w14:textId="192662CC" w:rsidR="00D11798" w:rsidRPr="00423297" w:rsidRDefault="00864AB3" w:rsidP="009614E8">
      <w:pPr>
        <w:pStyle w:val="subsubparai"/>
      </w:pPr>
      <w:r w:rsidRPr="00423297">
        <w:t xml:space="preserve">operators to allow member withdrawals </w:t>
      </w:r>
      <w:r w:rsidR="00243660" w:rsidRPr="00423297">
        <w:t xml:space="preserve">consistent with the constitution for the scheme and </w:t>
      </w:r>
      <w:r w:rsidRPr="00423297">
        <w:t>without breaching their obligations to other members of the scheme</w:t>
      </w:r>
      <w:bookmarkEnd w:id="221"/>
      <w:r w:rsidR="00D11798" w:rsidRPr="00423297">
        <w:t>;</w:t>
      </w:r>
    </w:p>
    <w:p w14:paraId="4AB8A7F6" w14:textId="6307C148" w:rsidR="00D11798" w:rsidRPr="00423297" w:rsidRDefault="00864AB3" w:rsidP="00183335">
      <w:pPr>
        <w:pStyle w:val="subparaa"/>
      </w:pPr>
      <w:r w:rsidRPr="00423297">
        <w:t>industry</w:t>
      </w:r>
      <w:r w:rsidR="00EC63C9" w:rsidRPr="00423297">
        <w:t>-</w:t>
      </w:r>
      <w:r w:rsidR="00D11798" w:rsidRPr="00423297">
        <w:t xml:space="preserve">specific guidance </w:t>
      </w:r>
      <w:r w:rsidR="00EC63C9" w:rsidRPr="00423297">
        <w:t>on</w:t>
      </w:r>
      <w:r w:rsidR="00D11798" w:rsidRPr="00423297">
        <w:t xml:space="preserve"> </w:t>
      </w:r>
      <w:r w:rsidR="00043E41" w:rsidRPr="00423297">
        <w:t xml:space="preserve">our </w:t>
      </w:r>
      <w:r w:rsidR="00D11798" w:rsidRPr="00423297">
        <w:t>expectations for compliance with existing obligations</w:t>
      </w:r>
      <w:r w:rsidR="00043E41" w:rsidRPr="00423297">
        <w:rPr>
          <w:spacing w:val="-2"/>
        </w:rPr>
        <w:t>,</w:t>
      </w:r>
      <w:r w:rsidR="00D11798" w:rsidRPr="00423297">
        <w:rPr>
          <w:spacing w:val="-2"/>
        </w:rPr>
        <w:t xml:space="preserve"> to raise standards in the </w:t>
      </w:r>
      <w:r w:rsidR="00EC63C9" w:rsidRPr="00423297">
        <w:rPr>
          <w:spacing w:val="-2"/>
        </w:rPr>
        <w:t xml:space="preserve">time-sharing </w:t>
      </w:r>
      <w:r w:rsidR="00D11798" w:rsidRPr="00423297">
        <w:rPr>
          <w:spacing w:val="-2"/>
        </w:rPr>
        <w:t xml:space="preserve">industry and reduce </w:t>
      </w:r>
      <w:r w:rsidR="00AA7698" w:rsidRPr="00423297">
        <w:rPr>
          <w:spacing w:val="-2"/>
        </w:rPr>
        <w:t>consumer harm</w:t>
      </w:r>
      <w:r w:rsidR="00D11798" w:rsidRPr="00423297">
        <w:rPr>
          <w:spacing w:val="-2"/>
        </w:rPr>
        <w:t>;</w:t>
      </w:r>
    </w:p>
    <w:p w14:paraId="713DE9BB" w14:textId="4C221FD3" w:rsidR="00D11798" w:rsidRPr="00423297" w:rsidRDefault="00243660" w:rsidP="00183335">
      <w:pPr>
        <w:pStyle w:val="subparaa"/>
      </w:pPr>
      <w:bookmarkStart w:id="222" w:name="_Hlk38901774"/>
      <w:r w:rsidRPr="00423297">
        <w:rPr>
          <w:spacing w:val="-4"/>
        </w:rPr>
        <w:t xml:space="preserve">requirements for points based programs to prevent the dilution of interests that can arise through </w:t>
      </w:r>
      <w:r w:rsidR="00B41947" w:rsidRPr="00423297">
        <w:rPr>
          <w:spacing w:val="-4"/>
        </w:rPr>
        <w:t>the</w:t>
      </w:r>
      <w:r w:rsidRPr="00423297">
        <w:rPr>
          <w:spacing w:val="-4"/>
        </w:rPr>
        <w:t xml:space="preserve"> issue of</w:t>
      </w:r>
      <w:r w:rsidR="00864AB3" w:rsidRPr="00423297">
        <w:rPr>
          <w:spacing w:val="-4"/>
        </w:rPr>
        <w:t xml:space="preserve"> </w:t>
      </w:r>
      <w:r w:rsidRPr="00423297">
        <w:rPr>
          <w:spacing w:val="-4"/>
        </w:rPr>
        <w:t xml:space="preserve">additional </w:t>
      </w:r>
      <w:r w:rsidR="00864AB3" w:rsidRPr="00423297">
        <w:rPr>
          <w:spacing w:val="-4"/>
        </w:rPr>
        <w:t>points</w:t>
      </w:r>
      <w:bookmarkEnd w:id="222"/>
      <w:r w:rsidR="00063621" w:rsidRPr="00423297">
        <w:t>; and</w:t>
      </w:r>
    </w:p>
    <w:p w14:paraId="29758A8A" w14:textId="243997A7" w:rsidR="00945AD2" w:rsidRPr="00423297" w:rsidRDefault="0005037E" w:rsidP="00183335">
      <w:pPr>
        <w:pStyle w:val="subparaa"/>
      </w:pPr>
      <w:r w:rsidRPr="00423297">
        <w:t>u</w:t>
      </w:r>
      <w:r w:rsidR="00945AD2" w:rsidRPr="00423297">
        <w:t>pdat</w:t>
      </w:r>
      <w:r w:rsidRPr="00423297">
        <w:t>ed</w:t>
      </w:r>
      <w:r w:rsidR="00945AD2" w:rsidRPr="00423297">
        <w:t xml:space="preserve"> and tailor</w:t>
      </w:r>
      <w:r w:rsidRPr="00423297">
        <w:t>ed</w:t>
      </w:r>
      <w:r w:rsidR="00945AD2" w:rsidRPr="00423297">
        <w:t xml:space="preserve"> guidance for time-sharing schemes</w:t>
      </w:r>
      <w:r w:rsidR="002B4358" w:rsidRPr="00423297">
        <w:t xml:space="preserve"> </w:t>
      </w:r>
      <w:r w:rsidRPr="00423297">
        <w:t>that</w:t>
      </w:r>
      <w:r w:rsidR="00945AD2" w:rsidRPr="00423297">
        <w:t>:</w:t>
      </w:r>
    </w:p>
    <w:p w14:paraId="1909A01E" w14:textId="0D6037FA" w:rsidR="00945AD2" w:rsidRPr="00423297" w:rsidRDefault="00684333" w:rsidP="00183335">
      <w:pPr>
        <w:pStyle w:val="subsubparai"/>
      </w:pPr>
      <w:r w:rsidRPr="00423297">
        <w:t xml:space="preserve">provides commercial certainty </w:t>
      </w:r>
      <w:r w:rsidR="00945AD2" w:rsidRPr="00423297">
        <w:t xml:space="preserve">to the time-sharing industry </w:t>
      </w:r>
      <w:r w:rsidRPr="00423297">
        <w:t xml:space="preserve">by </w:t>
      </w:r>
      <w:r w:rsidR="007A3610" w:rsidRPr="00423297">
        <w:t>help</w:t>
      </w:r>
      <w:r w:rsidR="00945AD2" w:rsidRPr="00423297">
        <w:t>ing them</w:t>
      </w:r>
      <w:r w:rsidR="007A3610" w:rsidRPr="00423297">
        <w:t xml:space="preserve"> understand our </w:t>
      </w:r>
      <w:r w:rsidR="0005037E" w:rsidRPr="00423297">
        <w:t>interpretation of</w:t>
      </w:r>
      <w:r w:rsidR="00043E41" w:rsidRPr="00423297">
        <w:t xml:space="preserve"> the</w:t>
      </w:r>
      <w:r w:rsidR="0005037E" w:rsidRPr="00423297">
        <w:t xml:space="preserve"> </w:t>
      </w:r>
      <w:r w:rsidR="007A3610" w:rsidRPr="00423297">
        <w:t>existing obligations</w:t>
      </w:r>
      <w:r w:rsidR="00945AD2" w:rsidRPr="00423297">
        <w:t xml:space="preserve">; </w:t>
      </w:r>
      <w:r w:rsidR="007A3610" w:rsidRPr="00423297">
        <w:t xml:space="preserve">and </w:t>
      </w:r>
    </w:p>
    <w:p w14:paraId="264BC894" w14:textId="507BB13E" w:rsidR="007A3610" w:rsidRPr="00423297" w:rsidRDefault="007A3610" w:rsidP="00183335">
      <w:pPr>
        <w:pStyle w:val="subsubparai"/>
      </w:pPr>
      <w:proofErr w:type="gramStart"/>
      <w:r w:rsidRPr="00423297">
        <w:t>helps</w:t>
      </w:r>
      <w:proofErr w:type="gramEnd"/>
      <w:r w:rsidRPr="00423297">
        <w:t xml:space="preserve"> ASIC monitor compliance with these obligations on an ongoing basis</w:t>
      </w:r>
      <w:r w:rsidR="00945AD2" w:rsidRPr="00423297">
        <w:t>.</w:t>
      </w:r>
    </w:p>
    <w:p w14:paraId="6155756D" w14:textId="5E4510B6" w:rsidR="007A3610" w:rsidRPr="00423297" w:rsidRDefault="00EA08CA" w:rsidP="00183335">
      <w:pPr>
        <w:pStyle w:val="BodyText"/>
      </w:pPr>
      <w:r w:rsidRPr="00423297">
        <w:t>Although Option 1 carries</w:t>
      </w:r>
      <w:r w:rsidR="007A3610" w:rsidRPr="00423297">
        <w:t xml:space="preserve"> an increase in costs</w:t>
      </w:r>
      <w:r w:rsidR="00C850E1" w:rsidRPr="00423297">
        <w:t xml:space="preserve"> for industry</w:t>
      </w:r>
      <w:r w:rsidR="007A3610" w:rsidRPr="00423297">
        <w:t xml:space="preserve">, the increase is much less than the costs </w:t>
      </w:r>
      <w:r w:rsidRPr="00423297">
        <w:t>or impact on the time-sharing</w:t>
      </w:r>
      <w:r w:rsidR="00043E41" w:rsidRPr="00423297">
        <w:t xml:space="preserve"> </w:t>
      </w:r>
      <w:r w:rsidRPr="00423297">
        <w:t xml:space="preserve">industry and existing members </w:t>
      </w:r>
      <w:r w:rsidR="007A3610" w:rsidRPr="00423297">
        <w:t>associated with Option 2</w:t>
      </w:r>
      <w:r w:rsidR="000969FF" w:rsidRPr="00423297">
        <w:t xml:space="preserve"> (opt-in regime)</w:t>
      </w:r>
      <w:r w:rsidR="007A3610" w:rsidRPr="00423297">
        <w:t xml:space="preserve"> or Option 3</w:t>
      </w:r>
      <w:r w:rsidR="000969FF" w:rsidRPr="00423297">
        <w:t xml:space="preserve"> (deferred commencement date)</w:t>
      </w:r>
      <w:r w:rsidR="007A3610" w:rsidRPr="00423297">
        <w:t xml:space="preserve">. </w:t>
      </w:r>
      <w:r w:rsidRPr="00423297">
        <w:t xml:space="preserve">Option 4 (maintaining the status quo) is </w:t>
      </w:r>
      <w:bookmarkStart w:id="223" w:name="_Hlk38982195"/>
      <w:r w:rsidR="007D70B7" w:rsidRPr="00423297">
        <w:t>sub-optimal for consumers and industry</w:t>
      </w:r>
      <w:r w:rsidR="00EC63C9" w:rsidRPr="00423297">
        <w:t>,</w:t>
      </w:r>
      <w:r w:rsidR="007D70B7" w:rsidRPr="00423297">
        <w:t xml:space="preserve"> as it does not address harms to consumers or address concerns raised by industry</w:t>
      </w:r>
      <w:bookmarkEnd w:id="223"/>
      <w:r w:rsidR="007A3610" w:rsidRPr="00423297">
        <w:t>.</w:t>
      </w:r>
    </w:p>
    <w:p w14:paraId="24B5564E" w14:textId="79AAB332" w:rsidR="00A40CA4" w:rsidRPr="00423297" w:rsidRDefault="00636199" w:rsidP="00827368">
      <w:pPr>
        <w:pStyle w:val="BodyText"/>
      </w:pPr>
      <w:r w:rsidRPr="00423297">
        <w:rPr>
          <w:rFonts w:eastAsiaTheme="minorHAnsi"/>
          <w:lang w:eastAsia="en-US"/>
        </w:rPr>
        <w:lastRenderedPageBreak/>
        <w:t>Maintaining</w:t>
      </w:r>
      <w:r w:rsidR="004178F4" w:rsidRPr="00423297">
        <w:rPr>
          <w:rFonts w:eastAsiaTheme="minorHAnsi"/>
          <w:lang w:eastAsia="en-US"/>
        </w:rPr>
        <w:t xml:space="preserve"> the existing cooling-off model </w:t>
      </w:r>
      <w:r w:rsidRPr="00423297">
        <w:rPr>
          <w:rFonts w:eastAsiaTheme="minorHAnsi"/>
          <w:lang w:eastAsia="en-US"/>
        </w:rPr>
        <w:t xml:space="preserve">will not increase consumer protection, </w:t>
      </w:r>
      <w:r w:rsidR="004178F4" w:rsidRPr="00423297">
        <w:rPr>
          <w:rFonts w:eastAsiaTheme="minorHAnsi"/>
          <w:lang w:eastAsia="en-US"/>
        </w:rPr>
        <w:t xml:space="preserve">compared to </w:t>
      </w:r>
      <w:r w:rsidR="007A3610" w:rsidRPr="00423297">
        <w:rPr>
          <w:rFonts w:eastAsiaTheme="minorHAnsi"/>
          <w:lang w:eastAsia="en-US"/>
        </w:rPr>
        <w:t xml:space="preserve">the </w:t>
      </w:r>
      <w:r w:rsidR="004178F4" w:rsidRPr="00423297">
        <w:rPr>
          <w:rFonts w:eastAsiaTheme="minorHAnsi"/>
          <w:lang w:eastAsia="en-US"/>
        </w:rPr>
        <w:t xml:space="preserve">enhanced </w:t>
      </w:r>
      <w:r w:rsidR="007A3610" w:rsidRPr="00423297">
        <w:rPr>
          <w:rFonts w:eastAsiaTheme="minorHAnsi"/>
          <w:lang w:eastAsia="en-US"/>
        </w:rPr>
        <w:t xml:space="preserve">cooling-off </w:t>
      </w:r>
      <w:r w:rsidR="004178F4" w:rsidRPr="00423297">
        <w:rPr>
          <w:rFonts w:eastAsiaTheme="minorHAnsi"/>
          <w:lang w:eastAsia="en-US"/>
        </w:rPr>
        <w:t xml:space="preserve">model </w:t>
      </w:r>
      <w:r w:rsidRPr="00423297">
        <w:rPr>
          <w:rFonts w:eastAsiaTheme="minorHAnsi"/>
          <w:lang w:eastAsia="en-US"/>
        </w:rPr>
        <w:t xml:space="preserve">in </w:t>
      </w:r>
      <w:r w:rsidR="004178F4" w:rsidRPr="00423297">
        <w:rPr>
          <w:rFonts w:eastAsiaTheme="minorHAnsi"/>
          <w:lang w:eastAsia="en-US"/>
        </w:rPr>
        <w:t>original Option</w:t>
      </w:r>
      <w:r w:rsidR="00A84568" w:rsidRPr="00423297">
        <w:rPr>
          <w:rFonts w:eastAsiaTheme="minorHAnsi"/>
          <w:lang w:eastAsia="en-US"/>
        </w:rPr>
        <w:t> </w:t>
      </w:r>
      <w:r w:rsidR="004178F4" w:rsidRPr="00423297">
        <w:rPr>
          <w:rFonts w:eastAsiaTheme="minorHAnsi"/>
          <w:lang w:eastAsia="en-US"/>
        </w:rPr>
        <w:t>1</w:t>
      </w:r>
      <w:r w:rsidR="00043E41" w:rsidRPr="00423297">
        <w:rPr>
          <w:rFonts w:eastAsiaTheme="minorHAnsi"/>
          <w:lang w:eastAsia="en-US"/>
        </w:rPr>
        <w:t>,</w:t>
      </w:r>
      <w:r w:rsidR="007A3610" w:rsidRPr="00423297">
        <w:rPr>
          <w:rFonts w:eastAsiaTheme="minorHAnsi"/>
          <w:lang w:eastAsia="en-US"/>
        </w:rPr>
        <w:t xml:space="preserve"> the opt-in regime in Option 2 or </w:t>
      </w:r>
      <w:r w:rsidR="00D810D4" w:rsidRPr="00423297">
        <w:rPr>
          <w:rFonts w:eastAsiaTheme="minorHAnsi"/>
          <w:lang w:eastAsia="en-US"/>
        </w:rPr>
        <w:t xml:space="preserve">the </w:t>
      </w:r>
      <w:r w:rsidR="007A3610" w:rsidRPr="00423297">
        <w:rPr>
          <w:rFonts w:eastAsiaTheme="minorHAnsi"/>
          <w:lang w:eastAsia="en-US"/>
        </w:rPr>
        <w:t>delayed commencement of the cooling-off period in Option 3</w:t>
      </w:r>
      <w:r w:rsidR="007852AC" w:rsidRPr="00423297">
        <w:rPr>
          <w:rFonts w:eastAsiaTheme="minorHAnsi"/>
          <w:lang w:eastAsia="en-US"/>
        </w:rPr>
        <w:t xml:space="preserve">. </w:t>
      </w:r>
      <w:r w:rsidR="004178F4" w:rsidRPr="00423297">
        <w:rPr>
          <w:rFonts w:eastAsiaTheme="minorHAnsi"/>
          <w:lang w:eastAsia="en-US"/>
        </w:rPr>
        <w:t>However, w</w:t>
      </w:r>
      <w:r w:rsidR="007A3610" w:rsidRPr="00423297">
        <w:rPr>
          <w:rFonts w:eastAsiaTheme="minorHAnsi"/>
          <w:lang w:eastAsia="en-US"/>
        </w:rPr>
        <w:t xml:space="preserve">e consider </w:t>
      </w:r>
      <w:r w:rsidR="004178F4" w:rsidRPr="00423297">
        <w:rPr>
          <w:rFonts w:eastAsiaTheme="minorHAnsi"/>
          <w:lang w:eastAsia="en-US"/>
        </w:rPr>
        <w:t xml:space="preserve">it is appropriate to maintain this setting </w:t>
      </w:r>
      <w:r w:rsidR="003707D1">
        <w:rPr>
          <w:rFonts w:eastAsiaTheme="minorHAnsi"/>
          <w:lang w:eastAsia="en-US"/>
        </w:rPr>
        <w:t>until</w:t>
      </w:r>
      <w:r w:rsidR="004178F4" w:rsidRPr="00423297">
        <w:rPr>
          <w:rFonts w:eastAsiaTheme="minorHAnsi"/>
          <w:lang w:eastAsia="en-US"/>
        </w:rPr>
        <w:t xml:space="preserve"> we consult</w:t>
      </w:r>
      <w:r w:rsidR="00EC63C9" w:rsidRPr="00423297">
        <w:rPr>
          <w:rFonts w:eastAsiaTheme="minorHAnsi"/>
          <w:lang w:eastAsia="en-US"/>
        </w:rPr>
        <w:t xml:space="preserve"> further on</w:t>
      </w:r>
      <w:r w:rsidR="00C850E1" w:rsidRPr="00423297">
        <w:rPr>
          <w:rFonts w:eastAsiaTheme="minorHAnsi"/>
          <w:lang w:eastAsia="en-US"/>
        </w:rPr>
        <w:t xml:space="preserve"> whether we should implement an enhanced cooling</w:t>
      </w:r>
      <w:r w:rsidR="00EC63C9" w:rsidRPr="00423297">
        <w:rPr>
          <w:rFonts w:eastAsiaTheme="minorHAnsi"/>
          <w:lang w:eastAsia="en-US"/>
        </w:rPr>
        <w:t>-</w:t>
      </w:r>
      <w:r w:rsidR="00C850E1" w:rsidRPr="00423297">
        <w:rPr>
          <w:rFonts w:eastAsiaTheme="minorHAnsi"/>
          <w:lang w:eastAsia="en-US"/>
        </w:rPr>
        <w:t>off model or a deferred sales model to address the impact of pressure selling on consumers</w:t>
      </w:r>
      <w:r w:rsidR="004178F4" w:rsidRPr="00423297">
        <w:rPr>
          <w:rFonts w:eastAsiaTheme="minorHAnsi"/>
          <w:lang w:eastAsia="en-US"/>
        </w:rPr>
        <w:t>. We consider the residual proposals</w:t>
      </w:r>
      <w:r w:rsidR="00857A2A" w:rsidRPr="00423297">
        <w:rPr>
          <w:rFonts w:eastAsiaTheme="minorHAnsi"/>
          <w:lang w:eastAsia="en-US"/>
        </w:rPr>
        <w:t xml:space="preserve"> </w:t>
      </w:r>
      <w:r w:rsidR="007A3610" w:rsidRPr="00423297">
        <w:rPr>
          <w:rFonts w:eastAsiaTheme="minorHAnsi"/>
          <w:lang w:eastAsia="en-US"/>
        </w:rPr>
        <w:t xml:space="preserve">in </w:t>
      </w:r>
      <w:r w:rsidR="00E41F72" w:rsidRPr="00423297">
        <w:rPr>
          <w:rFonts w:eastAsiaTheme="minorHAnsi"/>
          <w:lang w:eastAsia="en-US"/>
        </w:rPr>
        <w:t xml:space="preserve">original </w:t>
      </w:r>
      <w:r w:rsidR="007A3610" w:rsidRPr="00423297">
        <w:rPr>
          <w:rFonts w:eastAsiaTheme="minorHAnsi"/>
          <w:lang w:eastAsia="en-US"/>
        </w:rPr>
        <w:t>Option</w:t>
      </w:r>
      <w:r w:rsidR="00CB4A5D">
        <w:rPr>
          <w:rFonts w:eastAsiaTheme="minorHAnsi"/>
          <w:lang w:eastAsia="en-US"/>
        </w:rPr>
        <w:t> </w:t>
      </w:r>
      <w:r w:rsidR="007A3610" w:rsidRPr="00423297">
        <w:rPr>
          <w:rFonts w:eastAsiaTheme="minorHAnsi"/>
          <w:lang w:eastAsia="en-US"/>
        </w:rPr>
        <w:t>1</w:t>
      </w:r>
      <w:r w:rsidR="00F84C40" w:rsidRPr="00423297">
        <w:rPr>
          <w:rFonts w:eastAsiaTheme="minorHAnsi"/>
          <w:lang w:eastAsia="en-US"/>
        </w:rPr>
        <w:t>—</w:t>
      </w:r>
      <w:r w:rsidR="004178F4" w:rsidRPr="00423297">
        <w:rPr>
          <w:rFonts w:eastAsiaTheme="minorHAnsi"/>
          <w:lang w:eastAsia="en-US"/>
        </w:rPr>
        <w:t>including</w:t>
      </w:r>
      <w:r w:rsidR="007A3610" w:rsidRPr="00423297">
        <w:rPr>
          <w:rFonts w:eastAsiaTheme="minorHAnsi"/>
          <w:lang w:eastAsia="en-US"/>
        </w:rPr>
        <w:t xml:space="preserve"> better disclosure and</w:t>
      </w:r>
      <w:r w:rsidR="007852AC" w:rsidRPr="00423297">
        <w:rPr>
          <w:rFonts w:eastAsiaTheme="minorHAnsi"/>
          <w:lang w:eastAsia="en-US"/>
        </w:rPr>
        <w:t xml:space="preserve"> addition</w:t>
      </w:r>
      <w:r w:rsidR="00A224F5" w:rsidRPr="00423297">
        <w:rPr>
          <w:rFonts w:eastAsiaTheme="minorHAnsi"/>
          <w:lang w:eastAsia="en-US"/>
        </w:rPr>
        <w:t>al</w:t>
      </w:r>
      <w:r w:rsidR="007A3610" w:rsidRPr="00423297">
        <w:rPr>
          <w:rFonts w:eastAsiaTheme="minorHAnsi"/>
          <w:lang w:eastAsia="en-US"/>
        </w:rPr>
        <w:t xml:space="preserve"> guidance about existing obligations</w:t>
      </w:r>
      <w:r w:rsidR="00F84C40" w:rsidRPr="00423297">
        <w:rPr>
          <w:rFonts w:eastAsiaTheme="minorHAnsi"/>
          <w:lang w:eastAsia="en-US"/>
        </w:rPr>
        <w:t>—</w:t>
      </w:r>
      <w:r w:rsidR="007A3610" w:rsidRPr="00423297">
        <w:rPr>
          <w:rFonts w:eastAsiaTheme="minorHAnsi"/>
          <w:lang w:eastAsia="en-US"/>
        </w:rPr>
        <w:t>promote the confident and informed participation of consumers while providing commercial certainty to the time-shar</w:t>
      </w:r>
      <w:r w:rsidR="007852AC" w:rsidRPr="00423297">
        <w:rPr>
          <w:rFonts w:eastAsiaTheme="minorHAnsi"/>
          <w:lang w:eastAsia="en-US"/>
        </w:rPr>
        <w:t>ing</w:t>
      </w:r>
      <w:r w:rsidR="007A3610" w:rsidRPr="00423297">
        <w:rPr>
          <w:rFonts w:eastAsiaTheme="minorHAnsi"/>
          <w:lang w:eastAsia="en-US"/>
        </w:rPr>
        <w:t xml:space="preserve"> industry.</w:t>
      </w:r>
    </w:p>
    <w:p w14:paraId="24FD45FD" w14:textId="5B057462" w:rsidR="00423DE8" w:rsidRPr="00423297" w:rsidRDefault="00423DE8" w:rsidP="00423DE8">
      <w:pPr>
        <w:pStyle w:val="Heading1"/>
      </w:pPr>
      <w:bookmarkStart w:id="224" w:name="_Toc5365772"/>
      <w:bookmarkStart w:id="225" w:name="_Toc36467249"/>
      <w:bookmarkStart w:id="226" w:name="_Toc56669439"/>
      <w:r w:rsidRPr="00423297">
        <w:lastRenderedPageBreak/>
        <w:t xml:space="preserve">Implementation </w:t>
      </w:r>
      <w:r w:rsidR="00183335" w:rsidRPr="00423297">
        <w:t>p</w:t>
      </w:r>
      <w:r w:rsidRPr="00423297">
        <w:t>lan</w:t>
      </w:r>
      <w:bookmarkEnd w:id="224"/>
      <w:bookmarkEnd w:id="225"/>
      <w:bookmarkEnd w:id="226"/>
    </w:p>
    <w:p w14:paraId="2F266146" w14:textId="77777777" w:rsidR="00B87D7B" w:rsidRPr="00423297" w:rsidRDefault="00B87D7B" w:rsidP="00183335">
      <w:pPr>
        <w:pStyle w:val="BodyText"/>
      </w:pPr>
      <w:r w:rsidRPr="00423297">
        <w:t>The recommended option will be implemented by:</w:t>
      </w:r>
    </w:p>
    <w:p w14:paraId="6E6E81FC" w14:textId="060C5D00" w:rsidR="00B87D7B" w:rsidRPr="00423297" w:rsidRDefault="00B87D7B" w:rsidP="00183335">
      <w:pPr>
        <w:pStyle w:val="subparaa"/>
      </w:pPr>
      <w:r w:rsidRPr="00423297">
        <w:t xml:space="preserve">releasing a revised </w:t>
      </w:r>
      <w:hyperlink r:id="rId51" w:history="1">
        <w:r w:rsidRPr="00423297">
          <w:rPr>
            <w:rStyle w:val="Hyperlink"/>
          </w:rPr>
          <w:t>RG 160</w:t>
        </w:r>
      </w:hyperlink>
      <w:r w:rsidRPr="00423297">
        <w:t xml:space="preserve"> that outlines our updated relief and includes additional guidance on our expectations for compliance by industry; </w:t>
      </w:r>
    </w:p>
    <w:p w14:paraId="207D8C4C" w14:textId="23588A90" w:rsidR="00B87D7B" w:rsidRPr="00423297" w:rsidRDefault="00B87D7B" w:rsidP="00183335">
      <w:pPr>
        <w:pStyle w:val="subparaa"/>
      </w:pPr>
      <w:r w:rsidRPr="00423297">
        <w:t xml:space="preserve">varying </w:t>
      </w:r>
      <w:hyperlink r:id="rId52" w:history="1">
        <w:r w:rsidR="007852AC" w:rsidRPr="00423297">
          <w:rPr>
            <w:rStyle w:val="Hyperlink"/>
          </w:rPr>
          <w:t xml:space="preserve">ASIC Corporations (Time-sharing Schemes) </w:t>
        </w:r>
        <w:r w:rsidRPr="00423297">
          <w:rPr>
            <w:rStyle w:val="Hyperlink"/>
          </w:rPr>
          <w:t>Instrument 2017/272</w:t>
        </w:r>
      </w:hyperlink>
      <w:r w:rsidRPr="00423297">
        <w:t xml:space="preserve"> to make amendments to relief from specific requirements of the Corporations Act and to the conditions attached to </w:t>
      </w:r>
      <w:r w:rsidR="004E0381" w:rsidRPr="00423297">
        <w:t xml:space="preserve">some of </w:t>
      </w:r>
      <w:r w:rsidRPr="00423297">
        <w:t>this relief;</w:t>
      </w:r>
    </w:p>
    <w:p w14:paraId="0B7BFAE2" w14:textId="16C88DAF" w:rsidR="00B87D7B" w:rsidRPr="00423297" w:rsidRDefault="00B87D7B" w:rsidP="00183335">
      <w:pPr>
        <w:pStyle w:val="subparaa"/>
      </w:pPr>
      <w:r w:rsidRPr="00423297">
        <w:t xml:space="preserve">varying </w:t>
      </w:r>
      <w:hyperlink r:id="rId53" w:history="1">
        <w:r w:rsidRPr="00423297">
          <w:rPr>
            <w:rStyle w:val="Hyperlink"/>
          </w:rPr>
          <w:t>[CO 13/760]</w:t>
        </w:r>
      </w:hyperlink>
      <w:r w:rsidRPr="00423297">
        <w:t xml:space="preserve"> to amend the definition of </w:t>
      </w:r>
      <w:r w:rsidR="00D61E78">
        <w:t>‘</w:t>
      </w:r>
      <w:r w:rsidRPr="00423297">
        <w:t>special custody assets</w:t>
      </w:r>
      <w:r w:rsidR="00D61E78">
        <w:t>’</w:t>
      </w:r>
      <w:r w:rsidRPr="00423297">
        <w:t>;</w:t>
      </w:r>
      <w:r w:rsidR="004178F4" w:rsidRPr="00423297">
        <w:t xml:space="preserve"> and</w:t>
      </w:r>
    </w:p>
    <w:p w14:paraId="74A2ABC6" w14:textId="77777777" w:rsidR="00B87D7B" w:rsidRPr="00423297" w:rsidRDefault="00B87D7B" w:rsidP="00183335">
      <w:pPr>
        <w:pStyle w:val="subparaa"/>
      </w:pPr>
      <w:proofErr w:type="gramStart"/>
      <w:r w:rsidRPr="00423297">
        <w:t>varying</w:t>
      </w:r>
      <w:proofErr w:type="gramEnd"/>
      <w:r w:rsidRPr="00423297">
        <w:t xml:space="preserve"> the individual relief instruments granted to legacy scheme operators to reflect relevant policy changes, subject to procedural fairness.</w:t>
      </w:r>
    </w:p>
    <w:p w14:paraId="3FD37AAB" w14:textId="6BD67384" w:rsidR="007852AC" w:rsidRPr="00423297" w:rsidRDefault="00465FC9" w:rsidP="00183335">
      <w:pPr>
        <w:pStyle w:val="BodyText"/>
      </w:pPr>
      <w:r w:rsidRPr="00423297">
        <w:t>The transition period will provide p</w:t>
      </w:r>
      <w:r w:rsidR="007852AC" w:rsidRPr="00423297">
        <w:t xml:space="preserve">romoters and operators of time-sharing schemes </w:t>
      </w:r>
      <w:r w:rsidR="00467479" w:rsidRPr="00423297">
        <w:t>time</w:t>
      </w:r>
      <w:r w:rsidR="007852AC" w:rsidRPr="00423297">
        <w:t xml:space="preserve"> to comply with the new arrangements. </w:t>
      </w:r>
      <w:r w:rsidR="004657E5" w:rsidRPr="00423297">
        <w:t xml:space="preserve">We have consulted with </w:t>
      </w:r>
      <w:r w:rsidR="00864AB3" w:rsidRPr="00423297">
        <w:t xml:space="preserve">industry and agreed </w:t>
      </w:r>
      <w:r w:rsidR="00EC63C9" w:rsidRPr="00423297">
        <w:t xml:space="preserve">on </w:t>
      </w:r>
      <w:r w:rsidR="00864AB3" w:rsidRPr="00423297">
        <w:t xml:space="preserve">a period that </w:t>
      </w:r>
      <w:r w:rsidR="000563A7" w:rsidRPr="00423297">
        <w:t>provides</w:t>
      </w:r>
      <w:r w:rsidR="005F22BD" w:rsidRPr="00423297">
        <w:t xml:space="preserve"> </w:t>
      </w:r>
      <w:r w:rsidR="00864AB3" w:rsidRPr="00423297">
        <w:t xml:space="preserve">sufficient time </w:t>
      </w:r>
      <w:r w:rsidR="00EC63C9" w:rsidRPr="00423297">
        <w:t>for</w:t>
      </w:r>
      <w:r w:rsidR="00864AB3" w:rsidRPr="00423297">
        <w:t xml:space="preserve"> the</w:t>
      </w:r>
      <w:r w:rsidR="00EC63C9" w:rsidRPr="00423297">
        <w:t>m</w:t>
      </w:r>
      <w:r w:rsidR="00864AB3" w:rsidRPr="00423297">
        <w:t xml:space="preserve"> to transition to the new arrangements.</w:t>
      </w:r>
    </w:p>
    <w:p w14:paraId="1FD2EC11" w14:textId="7896E077" w:rsidR="00B661EE" w:rsidRPr="00423297" w:rsidRDefault="00864AB3" w:rsidP="00183335">
      <w:pPr>
        <w:pStyle w:val="BodyText"/>
      </w:pPr>
      <w:bookmarkStart w:id="227" w:name="_Hlk38901876"/>
      <w:r w:rsidRPr="00423297">
        <w:t>We</w:t>
      </w:r>
      <w:r w:rsidR="00EC63C9" w:rsidRPr="00423297">
        <w:t xml:space="preserve"> will proactively</w:t>
      </w:r>
      <w:r w:rsidRPr="00423297">
        <w:t xml:space="preserve"> engage with industry and consumer groups</w:t>
      </w:r>
      <w:r w:rsidR="00EC63C9" w:rsidRPr="00423297">
        <w:t xml:space="preserve"> before</w:t>
      </w:r>
      <w:r w:rsidRPr="00423297">
        <w:t xml:space="preserve"> </w:t>
      </w:r>
      <w:r w:rsidR="00EC63C9" w:rsidRPr="00423297">
        <w:t xml:space="preserve">we </w:t>
      </w:r>
      <w:r w:rsidRPr="00423297">
        <w:t>release the revised settings, d</w:t>
      </w:r>
      <w:bookmarkEnd w:id="227"/>
      <w:r w:rsidR="00B87D7B" w:rsidRPr="00423297">
        <w:t>uring the transition period</w:t>
      </w:r>
      <w:r w:rsidR="005F22BD" w:rsidRPr="00423297">
        <w:t xml:space="preserve"> </w:t>
      </w:r>
      <w:r w:rsidR="000563A7" w:rsidRPr="00423297">
        <w:t xml:space="preserve">and after </w:t>
      </w:r>
      <w:r w:rsidR="00EC63C9" w:rsidRPr="00423297">
        <w:t>the period</w:t>
      </w:r>
      <w:r w:rsidR="000563A7" w:rsidRPr="00423297">
        <w:t xml:space="preserve"> finishes</w:t>
      </w:r>
      <w:r w:rsidR="00EC63C9" w:rsidRPr="00423297">
        <w:t>,</w:t>
      </w:r>
      <w:r w:rsidR="000563A7" w:rsidRPr="00423297">
        <w:t xml:space="preserve"> </w:t>
      </w:r>
      <w:bookmarkStart w:id="228" w:name="_Hlk38901905"/>
      <w:r w:rsidRPr="00423297">
        <w:t>to ensure the revised settings are implemented in practice. W</w:t>
      </w:r>
      <w:bookmarkEnd w:id="228"/>
      <w:r w:rsidR="00B87D7B" w:rsidRPr="00423297">
        <w:t xml:space="preserve">e will </w:t>
      </w:r>
      <w:r w:rsidR="00243660" w:rsidRPr="00423297">
        <w:t xml:space="preserve">respond to questions raised by </w:t>
      </w:r>
      <w:r w:rsidR="00B87D7B" w:rsidRPr="00423297">
        <w:t>operators</w:t>
      </w:r>
      <w:r w:rsidRPr="00423297">
        <w:t>, related finance providers</w:t>
      </w:r>
      <w:r w:rsidR="00B87D7B" w:rsidRPr="00423297">
        <w:t xml:space="preserve"> and legacy scheme operators about meeting the new requirements. </w:t>
      </w:r>
    </w:p>
    <w:p w14:paraId="1FA4C01F" w14:textId="22C272D0" w:rsidR="00B87D7B" w:rsidRPr="00423297" w:rsidRDefault="00467479" w:rsidP="002017E2">
      <w:pPr>
        <w:pStyle w:val="BodyText"/>
      </w:pPr>
      <w:bookmarkStart w:id="229" w:name="_Hlk36210783"/>
      <w:bookmarkStart w:id="230" w:name="_Ref36213467"/>
      <w:r w:rsidRPr="00423297">
        <w:t>W</w:t>
      </w:r>
      <w:r w:rsidR="00A224F5" w:rsidRPr="00423297">
        <w:t xml:space="preserve">e </w:t>
      </w:r>
      <w:r w:rsidR="00C51274" w:rsidRPr="00423297">
        <w:t xml:space="preserve">are mindful of the </w:t>
      </w:r>
      <w:r w:rsidR="00ED2DAD" w:rsidRPr="00423297">
        <w:t>challenges</w:t>
      </w:r>
      <w:r w:rsidR="00C51274" w:rsidRPr="00423297">
        <w:t xml:space="preserve"> that </w:t>
      </w:r>
      <w:r w:rsidR="00ED2DAD" w:rsidRPr="00423297">
        <w:t xml:space="preserve">the </w:t>
      </w:r>
      <w:r w:rsidR="00C51274" w:rsidRPr="00423297">
        <w:t>C</w:t>
      </w:r>
      <w:r w:rsidR="009E3750" w:rsidRPr="00423297">
        <w:t>OVID</w:t>
      </w:r>
      <w:r w:rsidR="00C51274" w:rsidRPr="00423297">
        <w:t>-19</w:t>
      </w:r>
      <w:r w:rsidR="00ED2DAD" w:rsidRPr="00423297">
        <w:t xml:space="preserve"> pandemic</w:t>
      </w:r>
      <w:r w:rsidR="00C51274" w:rsidRPr="00423297">
        <w:t xml:space="preserve"> </w:t>
      </w:r>
      <w:r w:rsidR="00ED2DAD" w:rsidRPr="00423297">
        <w:t>has created for</w:t>
      </w:r>
      <w:r w:rsidR="00C51274" w:rsidRPr="00423297">
        <w:t xml:space="preserve"> the tourism industry</w:t>
      </w:r>
      <w:r w:rsidR="009E3750" w:rsidRPr="00423297">
        <w:t>. We</w:t>
      </w:r>
      <w:r w:rsidR="00C51274" w:rsidRPr="00423297">
        <w:t xml:space="preserve"> have </w:t>
      </w:r>
      <w:bookmarkEnd w:id="229"/>
      <w:r w:rsidR="00C51274" w:rsidRPr="00423297">
        <w:t xml:space="preserve">decided to </w:t>
      </w:r>
      <w:bookmarkStart w:id="231" w:name="_Ref54971457"/>
      <w:r w:rsidR="00E51F71">
        <w:t xml:space="preserve">assess the </w:t>
      </w:r>
      <w:r w:rsidR="005669DD">
        <w:t>implementation</w:t>
      </w:r>
      <w:r w:rsidR="00E51F71">
        <w:t xml:space="preserve"> of the reforms and</w:t>
      </w:r>
      <w:r w:rsidR="005D4EE7" w:rsidRPr="00423297">
        <w:t xml:space="preserve"> </w:t>
      </w:r>
      <w:r w:rsidR="00785797" w:rsidRPr="00785797">
        <w:t>review time-sharing sales practice</w:t>
      </w:r>
      <w:r w:rsidR="00F72D9F">
        <w:t>s</w:t>
      </w:r>
      <w:r w:rsidR="00785797" w:rsidRPr="00785797">
        <w:t xml:space="preserve"> </w:t>
      </w:r>
      <w:r w:rsidR="00D85168">
        <w:t>in</w:t>
      </w:r>
      <w:r w:rsidR="00785797" w:rsidRPr="00785797">
        <w:t xml:space="preserve"> early 2022</w:t>
      </w:r>
      <w:r w:rsidR="00F72D9F">
        <w:t>. After this review,</w:t>
      </w:r>
      <w:r w:rsidR="008F77EF">
        <w:t xml:space="preserve"> we </w:t>
      </w:r>
      <w:r w:rsidR="00F72D9F">
        <w:t xml:space="preserve">will </w:t>
      </w:r>
      <w:r w:rsidR="005669DD">
        <w:t>decide</w:t>
      </w:r>
      <w:r w:rsidR="008F77EF">
        <w:t xml:space="preserve"> whether further consultation is necessary to address </w:t>
      </w:r>
      <w:r w:rsidR="00E74876">
        <w:t xml:space="preserve">residual </w:t>
      </w:r>
      <w:r w:rsidR="008F77EF">
        <w:t>consumer harms</w:t>
      </w:r>
      <w:r w:rsidR="00B661EE" w:rsidRPr="00423297">
        <w:t>.</w:t>
      </w:r>
      <w:r w:rsidR="00F84C40" w:rsidRPr="00423297">
        <w:t xml:space="preserve"> We will also prepare a new </w:t>
      </w:r>
      <w:r w:rsidR="00D810D4" w:rsidRPr="00423297">
        <w:t>RIS</w:t>
      </w:r>
      <w:r w:rsidR="00BE504B" w:rsidRPr="00423297">
        <w:t>,</w:t>
      </w:r>
      <w:r w:rsidR="00F84C40" w:rsidRPr="00423297">
        <w:t xml:space="preserve"> if necessary</w:t>
      </w:r>
      <w:r w:rsidR="00BE504B" w:rsidRPr="00423297">
        <w:t>,</w:t>
      </w:r>
      <w:r w:rsidR="00F84C40" w:rsidRPr="00423297">
        <w:t xml:space="preserve"> before implementing any new regulatory settings that result from this process.</w:t>
      </w:r>
      <w:bookmarkEnd w:id="230"/>
      <w:bookmarkEnd w:id="231"/>
    </w:p>
    <w:p w14:paraId="362D7EA3" w14:textId="5141F17A" w:rsidR="00423DE8" w:rsidRPr="00423297" w:rsidRDefault="00423DE8" w:rsidP="00423DE8">
      <w:pPr>
        <w:pStyle w:val="Heading1"/>
      </w:pPr>
      <w:bookmarkStart w:id="232" w:name="_Toc5365773"/>
      <w:bookmarkStart w:id="233" w:name="_Toc36467250"/>
      <w:bookmarkStart w:id="234" w:name="_Toc56669440"/>
      <w:r w:rsidRPr="00423297">
        <w:lastRenderedPageBreak/>
        <w:t xml:space="preserve">Evaluation </w:t>
      </w:r>
      <w:r w:rsidR="00183335" w:rsidRPr="00423297">
        <w:t>p</w:t>
      </w:r>
      <w:r w:rsidRPr="00423297">
        <w:t>lan</w:t>
      </w:r>
      <w:bookmarkEnd w:id="232"/>
      <w:bookmarkEnd w:id="233"/>
      <w:bookmarkEnd w:id="234"/>
    </w:p>
    <w:p w14:paraId="337A202E" w14:textId="77777777" w:rsidR="00A35941" w:rsidRPr="00423297" w:rsidRDefault="00A35941" w:rsidP="00E745C7">
      <w:pPr>
        <w:pStyle w:val="BodyText"/>
      </w:pPr>
      <w:r w:rsidRPr="00423297">
        <w:t>The changes to regulatory settings for time-sharing schemes can be measured against the following objectives:</w:t>
      </w:r>
    </w:p>
    <w:p w14:paraId="6F3142E6" w14:textId="64F51086" w:rsidR="00A35941" w:rsidRPr="00423297" w:rsidRDefault="00772EF6" w:rsidP="00A35941">
      <w:pPr>
        <w:pStyle w:val="subparaa"/>
      </w:pPr>
      <w:r w:rsidRPr="00423297">
        <w:t>C</w:t>
      </w:r>
      <w:r w:rsidR="00A35941" w:rsidRPr="00423297">
        <w:t>onsumers who purchase interests in time-sharing schemes (or enter into loan</w:t>
      </w:r>
      <w:r w:rsidR="00431034" w:rsidRPr="00423297">
        <w:t>s</w:t>
      </w:r>
      <w:r w:rsidR="00A35941" w:rsidRPr="00423297">
        <w:t xml:space="preserve"> to purchase interest</w:t>
      </w:r>
      <w:r w:rsidR="00431034" w:rsidRPr="00423297">
        <w:t>s</w:t>
      </w:r>
      <w:r w:rsidR="00A35941" w:rsidRPr="00423297">
        <w:t>):</w:t>
      </w:r>
    </w:p>
    <w:p w14:paraId="4FE0689D" w14:textId="19D0805F" w:rsidR="00A35941" w:rsidRPr="00423297" w:rsidRDefault="00A35941" w:rsidP="00A35941">
      <w:pPr>
        <w:pStyle w:val="subsubparai"/>
      </w:pPr>
      <w:r w:rsidRPr="00423297">
        <w:t>have been fully informed about the key features of time-sharing schemes, including the key risks, benefits, costs, terms of membership and</w:t>
      </w:r>
      <w:r w:rsidR="00E745C7" w:rsidRPr="00423297">
        <w:t xml:space="preserve"> their</w:t>
      </w:r>
      <w:r w:rsidRPr="00423297">
        <w:t xml:space="preserve"> cooling-off rights;</w:t>
      </w:r>
    </w:p>
    <w:p w14:paraId="6F1A4100" w14:textId="77777777" w:rsidR="00A35941" w:rsidRPr="00423297" w:rsidRDefault="00A35941" w:rsidP="00A35941">
      <w:pPr>
        <w:pStyle w:val="subsubparai"/>
      </w:pPr>
      <w:r w:rsidRPr="00423297">
        <w:t>have received financial advice that meets the best interests duty; and</w:t>
      </w:r>
    </w:p>
    <w:p w14:paraId="5D3C8167" w14:textId="6DED9383" w:rsidR="00A35941" w:rsidRPr="00423297" w:rsidRDefault="00480BAF" w:rsidP="00A35941">
      <w:pPr>
        <w:pStyle w:val="subsubparai"/>
      </w:pPr>
      <w:proofErr w:type="gramStart"/>
      <w:r w:rsidRPr="00423297">
        <w:t>are</w:t>
      </w:r>
      <w:proofErr w:type="gramEnd"/>
      <w:r w:rsidRPr="00423297">
        <w:t xml:space="preserve"> able to</w:t>
      </w:r>
      <w:r w:rsidR="001F20CC" w:rsidRPr="00423297">
        <w:t xml:space="preserve"> withdraw their application </w:t>
      </w:r>
      <w:r w:rsidR="00A35941" w:rsidRPr="00423297">
        <w:t xml:space="preserve">by exercising formal </w:t>
      </w:r>
      <w:r w:rsidR="00D61E78">
        <w:t>‘</w:t>
      </w:r>
      <w:r w:rsidR="00A35941" w:rsidRPr="00423297">
        <w:t>subject to finance</w:t>
      </w:r>
      <w:r w:rsidR="00D61E78">
        <w:t>’</w:t>
      </w:r>
      <w:r w:rsidR="00A35941" w:rsidRPr="00423297">
        <w:t xml:space="preserve"> rights</w:t>
      </w:r>
      <w:r w:rsidR="00E745C7" w:rsidRPr="00423297">
        <w:t>.</w:t>
      </w:r>
    </w:p>
    <w:p w14:paraId="753D358A" w14:textId="397CF6FD" w:rsidR="00A35941" w:rsidRPr="00423297" w:rsidRDefault="001F20CC" w:rsidP="00A35941">
      <w:pPr>
        <w:pStyle w:val="subparaa"/>
      </w:pPr>
      <w:r w:rsidRPr="00423297">
        <w:t>O</w:t>
      </w:r>
      <w:r w:rsidR="00A35941" w:rsidRPr="00423297">
        <w:t>perators and their representatives understand our interpretation of the existing obligations</w:t>
      </w:r>
      <w:r w:rsidR="00E745C7" w:rsidRPr="00423297">
        <w:t>.</w:t>
      </w:r>
    </w:p>
    <w:p w14:paraId="483BE944" w14:textId="3D80E3AF" w:rsidR="00A35941" w:rsidRPr="00667AB6" w:rsidRDefault="001F20CC" w:rsidP="00A35941">
      <w:pPr>
        <w:pStyle w:val="subparaa"/>
      </w:pPr>
      <w:r w:rsidRPr="00423297">
        <w:t>R</w:t>
      </w:r>
      <w:r w:rsidR="00A35941" w:rsidRPr="00423297">
        <w:t>elated finance providers and their representatives understand our interpretation of</w:t>
      </w:r>
      <w:r w:rsidR="00A803ED">
        <w:t xml:space="preserve"> existing obligations for the provision of credit to purchase </w:t>
      </w:r>
      <w:r w:rsidR="00075581">
        <w:t xml:space="preserve">an </w:t>
      </w:r>
      <w:r w:rsidR="00A803ED">
        <w:t xml:space="preserve">interest in </w:t>
      </w:r>
      <w:r w:rsidR="00075581">
        <w:t xml:space="preserve">a </w:t>
      </w:r>
      <w:r w:rsidR="00A803ED">
        <w:t xml:space="preserve">time-sharing scheme, and consumer rights to terminate a related loan if they </w:t>
      </w:r>
      <w:r w:rsidR="00075581">
        <w:t xml:space="preserve">exercise </w:t>
      </w:r>
      <w:r w:rsidR="00A803ED">
        <w:t xml:space="preserve">cooling off </w:t>
      </w:r>
      <w:r w:rsidR="00312AC9" w:rsidRPr="00667AB6">
        <w:t xml:space="preserve">or subject to finance </w:t>
      </w:r>
      <w:r w:rsidR="00A803ED" w:rsidRPr="00667AB6">
        <w:t>rights</w:t>
      </w:r>
      <w:r w:rsidR="00E745C7" w:rsidRPr="009877B9">
        <w:t>.</w:t>
      </w:r>
    </w:p>
    <w:p w14:paraId="3D70B28A" w14:textId="74D9BD6C" w:rsidR="00A35941" w:rsidRPr="00423297" w:rsidRDefault="00A35941" w:rsidP="00A35941">
      <w:pPr>
        <w:pStyle w:val="subparaa"/>
      </w:pPr>
      <w:r w:rsidRPr="00423297">
        <w:t xml:space="preserve">Members suffering hardship are able to apply </w:t>
      </w:r>
      <w:r w:rsidR="002E4564" w:rsidRPr="00423297">
        <w:t xml:space="preserve">to </w:t>
      </w:r>
      <w:r w:rsidRPr="00423297">
        <w:t>withdraw from the time-sharing scheme without further liability</w:t>
      </w:r>
      <w:r w:rsidR="005A7061" w:rsidRPr="00423297">
        <w:t xml:space="preserve"> to the scheme</w:t>
      </w:r>
      <w:r w:rsidR="00E745C7" w:rsidRPr="00423297">
        <w:t>.</w:t>
      </w:r>
    </w:p>
    <w:p w14:paraId="277E33FF" w14:textId="56222BA2" w:rsidR="00A35941" w:rsidRPr="00423297" w:rsidRDefault="001F20CC" w:rsidP="00A35941">
      <w:pPr>
        <w:pStyle w:val="subparaa"/>
      </w:pPr>
      <w:r w:rsidRPr="00423297">
        <w:t>M</w:t>
      </w:r>
      <w:r w:rsidR="00A35941" w:rsidRPr="00423297">
        <w:t xml:space="preserve">embers holding interests in points-based programs have </w:t>
      </w:r>
      <w:r w:rsidR="004657E5" w:rsidRPr="00423297">
        <w:t xml:space="preserve">not </w:t>
      </w:r>
      <w:r w:rsidR="00A35941" w:rsidRPr="00423297">
        <w:t>had their interests diluted by the issue of new interests.</w:t>
      </w:r>
    </w:p>
    <w:p w14:paraId="418A60D0" w14:textId="5C2283A6" w:rsidR="00C32A78" w:rsidRPr="00423297" w:rsidRDefault="00EB14AF" w:rsidP="00183335">
      <w:pPr>
        <w:pStyle w:val="BodyText"/>
      </w:pPr>
      <w:r w:rsidRPr="00423297">
        <w:rPr>
          <w:rFonts w:eastAsiaTheme="minorHAnsi"/>
          <w:lang w:eastAsia="en-US"/>
        </w:rPr>
        <w:t xml:space="preserve">We will </w:t>
      </w:r>
      <w:r w:rsidR="00C32A78" w:rsidRPr="00423297">
        <w:rPr>
          <w:rFonts w:eastAsiaTheme="minorHAnsi"/>
          <w:lang w:eastAsia="en-US"/>
        </w:rPr>
        <w:t>continue to monitor compliance by operators, promoters and related finance providers with their obligations</w:t>
      </w:r>
      <w:r w:rsidR="009E3750" w:rsidRPr="00423297">
        <w:rPr>
          <w:rFonts w:eastAsiaTheme="minorHAnsi"/>
          <w:lang w:eastAsia="en-US"/>
        </w:rPr>
        <w:t>. We will conduct risk-based surveillance of these entities</w:t>
      </w:r>
      <w:r w:rsidR="00C32A78" w:rsidRPr="00423297">
        <w:rPr>
          <w:rFonts w:eastAsiaTheme="minorHAnsi"/>
          <w:lang w:eastAsia="en-US"/>
        </w:rPr>
        <w:t xml:space="preserve"> and</w:t>
      </w:r>
      <w:r w:rsidR="009E3750" w:rsidRPr="00423297">
        <w:rPr>
          <w:rFonts w:eastAsiaTheme="minorHAnsi"/>
          <w:lang w:eastAsia="en-US"/>
        </w:rPr>
        <w:t>,</w:t>
      </w:r>
      <w:r w:rsidR="00C32A78" w:rsidRPr="00423297">
        <w:rPr>
          <w:rFonts w:eastAsiaTheme="minorHAnsi"/>
          <w:lang w:eastAsia="en-US"/>
        </w:rPr>
        <w:t xml:space="preserve"> where necessary</w:t>
      </w:r>
      <w:r w:rsidR="009E3750" w:rsidRPr="00423297">
        <w:rPr>
          <w:rFonts w:eastAsiaTheme="minorHAnsi"/>
          <w:lang w:eastAsia="en-US"/>
        </w:rPr>
        <w:t>,</w:t>
      </w:r>
      <w:r w:rsidR="00C32A78" w:rsidRPr="00423297">
        <w:rPr>
          <w:rFonts w:eastAsiaTheme="minorHAnsi"/>
          <w:lang w:eastAsia="en-US"/>
        </w:rPr>
        <w:t xml:space="preserve"> take appropriate regulatory action.</w:t>
      </w:r>
    </w:p>
    <w:p w14:paraId="5431C300" w14:textId="5490E089" w:rsidR="00EB14AF" w:rsidRPr="00423297" w:rsidRDefault="00C32A78" w:rsidP="00183335">
      <w:pPr>
        <w:pStyle w:val="BodyText"/>
      </w:pPr>
      <w:bookmarkStart w:id="235" w:name="_Ref54971470"/>
      <w:r w:rsidRPr="00423297">
        <w:rPr>
          <w:rFonts w:eastAsiaTheme="minorHAnsi"/>
          <w:lang w:eastAsia="en-US"/>
        </w:rPr>
        <w:t xml:space="preserve">We will </w:t>
      </w:r>
      <w:r w:rsidR="009E3750" w:rsidRPr="00423297">
        <w:rPr>
          <w:rFonts w:eastAsiaTheme="minorHAnsi"/>
          <w:lang w:eastAsia="en-US"/>
        </w:rPr>
        <w:t xml:space="preserve">also </w:t>
      </w:r>
      <w:r w:rsidRPr="00423297">
        <w:rPr>
          <w:rFonts w:eastAsiaTheme="minorHAnsi"/>
          <w:lang w:eastAsia="en-US"/>
        </w:rPr>
        <w:t>monitor</w:t>
      </w:r>
      <w:r w:rsidR="00EB14AF" w:rsidRPr="00423297">
        <w:rPr>
          <w:rFonts w:eastAsiaTheme="minorHAnsi"/>
          <w:lang w:eastAsia="en-US"/>
        </w:rPr>
        <w:t xml:space="preserve"> the impact of the policy changes for time-sharing schemes</w:t>
      </w:r>
      <w:r w:rsidR="00785797">
        <w:rPr>
          <w:rFonts w:eastAsiaTheme="minorHAnsi"/>
          <w:lang w:eastAsia="en-US"/>
        </w:rPr>
        <w:t xml:space="preserve"> and </w:t>
      </w:r>
      <w:r w:rsidR="00785797" w:rsidRPr="00785797">
        <w:rPr>
          <w:rFonts w:eastAsiaTheme="minorHAnsi"/>
          <w:lang w:eastAsia="en-US"/>
        </w:rPr>
        <w:t>review time-sharing sales practice</w:t>
      </w:r>
      <w:r w:rsidR="00AA63D5">
        <w:rPr>
          <w:rFonts w:eastAsiaTheme="minorHAnsi"/>
          <w:lang w:eastAsia="en-US"/>
        </w:rPr>
        <w:t>s</w:t>
      </w:r>
      <w:r w:rsidR="00785797" w:rsidRPr="00785797">
        <w:rPr>
          <w:rFonts w:eastAsiaTheme="minorHAnsi"/>
          <w:lang w:eastAsia="en-US"/>
        </w:rPr>
        <w:t xml:space="preserve"> </w:t>
      </w:r>
      <w:r w:rsidR="00D85168">
        <w:rPr>
          <w:rFonts w:eastAsiaTheme="minorHAnsi"/>
          <w:lang w:eastAsia="en-US"/>
        </w:rPr>
        <w:t>in</w:t>
      </w:r>
      <w:r w:rsidR="00785797" w:rsidRPr="00785797">
        <w:rPr>
          <w:rFonts w:eastAsiaTheme="minorHAnsi"/>
          <w:lang w:eastAsia="en-US"/>
        </w:rPr>
        <w:t xml:space="preserve"> early 2022</w:t>
      </w:r>
      <w:r w:rsidR="009E3750" w:rsidRPr="00423297">
        <w:rPr>
          <w:rFonts w:eastAsiaTheme="minorHAnsi"/>
          <w:lang w:eastAsia="en-US"/>
        </w:rPr>
        <w:t>.</w:t>
      </w:r>
      <w:r w:rsidRPr="00423297">
        <w:rPr>
          <w:rFonts w:eastAsiaTheme="minorHAnsi"/>
          <w:lang w:eastAsia="en-US"/>
        </w:rPr>
        <w:t xml:space="preserve"> </w:t>
      </w:r>
      <w:r w:rsidR="009E3750" w:rsidRPr="00423297">
        <w:rPr>
          <w:rFonts w:eastAsiaTheme="minorHAnsi"/>
          <w:lang w:eastAsia="en-US"/>
        </w:rPr>
        <w:t>We will</w:t>
      </w:r>
      <w:r w:rsidRPr="00423297">
        <w:rPr>
          <w:rFonts w:eastAsiaTheme="minorHAnsi"/>
          <w:lang w:eastAsia="en-US"/>
        </w:rPr>
        <w:t xml:space="preserve"> consider</w:t>
      </w:r>
      <w:r w:rsidR="00EB14AF" w:rsidRPr="00423297">
        <w:rPr>
          <w:rFonts w:eastAsiaTheme="minorHAnsi"/>
          <w:lang w:eastAsia="en-US"/>
        </w:rPr>
        <w:t xml:space="preserve"> whether any further changes to the policy settings </w:t>
      </w:r>
      <w:r w:rsidR="003922B9">
        <w:rPr>
          <w:rFonts w:eastAsiaTheme="minorHAnsi"/>
          <w:lang w:eastAsia="en-US"/>
        </w:rPr>
        <w:t>should be consulted on</w:t>
      </w:r>
      <w:r w:rsidR="00EB14AF" w:rsidRPr="00423297">
        <w:rPr>
          <w:rFonts w:eastAsiaTheme="minorHAnsi"/>
          <w:lang w:eastAsia="en-US"/>
        </w:rPr>
        <w:t xml:space="preserve"> following t</w:t>
      </w:r>
      <w:r w:rsidRPr="00423297">
        <w:rPr>
          <w:rFonts w:eastAsiaTheme="minorHAnsi"/>
          <w:lang w:eastAsia="en-US"/>
        </w:rPr>
        <w:t xml:space="preserve">he transitional period and </w:t>
      </w:r>
      <w:r w:rsidR="003922B9">
        <w:rPr>
          <w:rFonts w:eastAsiaTheme="minorHAnsi"/>
          <w:lang w:eastAsia="en-US"/>
        </w:rPr>
        <w:t>our planned review</w:t>
      </w:r>
      <w:r w:rsidR="00785797" w:rsidRPr="00785797">
        <w:rPr>
          <w:rFonts w:eastAsiaTheme="minorHAnsi"/>
          <w:lang w:eastAsia="en-US"/>
        </w:rPr>
        <w:t>.</w:t>
      </w:r>
      <w:bookmarkEnd w:id="235"/>
    </w:p>
    <w:p w14:paraId="34CF245F" w14:textId="367E3BDA" w:rsidR="00423DE8" w:rsidRPr="00423297" w:rsidRDefault="00423DE8" w:rsidP="008250FD">
      <w:pPr>
        <w:pStyle w:val="Heading1nonumber"/>
      </w:pPr>
      <w:bookmarkStart w:id="236" w:name="_Toc4423259"/>
      <w:bookmarkStart w:id="237" w:name="_Ref4163437"/>
      <w:bookmarkStart w:id="238" w:name="_Ref4769640"/>
      <w:bookmarkStart w:id="239" w:name="_Toc5365774"/>
      <w:bookmarkStart w:id="240" w:name="_Toc36467251"/>
      <w:bookmarkStart w:id="241" w:name="_Toc56669441"/>
      <w:bookmarkEnd w:id="236"/>
      <w:r w:rsidRPr="00423297">
        <w:lastRenderedPageBreak/>
        <w:t>Appendix: Background</w:t>
      </w:r>
      <w:r w:rsidR="00183335" w:rsidRPr="00423297">
        <w:t>—</w:t>
      </w:r>
      <w:r w:rsidR="00547280" w:rsidRPr="00423297">
        <w:t>Time-sharing schemes</w:t>
      </w:r>
      <w:bookmarkEnd w:id="237"/>
      <w:bookmarkEnd w:id="238"/>
      <w:bookmarkEnd w:id="239"/>
      <w:bookmarkEnd w:id="240"/>
      <w:bookmarkEnd w:id="241"/>
    </w:p>
    <w:p w14:paraId="26775F5D" w14:textId="77777777" w:rsidR="00547280" w:rsidRPr="00423297" w:rsidRDefault="00547280" w:rsidP="00837567">
      <w:pPr>
        <w:pStyle w:val="Heading2"/>
      </w:pPr>
      <w:bookmarkStart w:id="242" w:name="_Toc5365775"/>
      <w:bookmarkStart w:id="243" w:name="_Toc36467252"/>
      <w:bookmarkStart w:id="244" w:name="_Toc56669442"/>
      <w:r w:rsidRPr="00423297">
        <w:t>What is a time-sharing scheme?</w:t>
      </w:r>
      <w:bookmarkEnd w:id="242"/>
      <w:bookmarkEnd w:id="243"/>
      <w:bookmarkEnd w:id="244"/>
    </w:p>
    <w:p w14:paraId="5CA4D330" w14:textId="77777777" w:rsidR="007852AC" w:rsidRPr="00423297" w:rsidRDefault="00547280" w:rsidP="00183335">
      <w:pPr>
        <w:pStyle w:val="BodyText"/>
      </w:pPr>
      <w:r w:rsidRPr="00423297">
        <w:t>Time-sharing schemes are managed investment schemes and financial products</w:t>
      </w:r>
      <w:r w:rsidR="007852AC" w:rsidRPr="00423297">
        <w:t xml:space="preserve">. </w:t>
      </w:r>
    </w:p>
    <w:p w14:paraId="45FB5669" w14:textId="6FE188E6" w:rsidR="007852AC" w:rsidRPr="00423297" w:rsidRDefault="007852AC" w:rsidP="00953431">
      <w:pPr>
        <w:pStyle w:val="Note"/>
      </w:pPr>
      <w:r w:rsidRPr="00423297">
        <w:t xml:space="preserve">Note: For the definition of </w:t>
      </w:r>
      <w:r w:rsidR="00D61E78">
        <w:t>‘</w:t>
      </w:r>
      <w:r w:rsidRPr="00423297">
        <w:t>time-sharing scheme</w:t>
      </w:r>
      <w:r w:rsidR="00D61E78">
        <w:t>’</w:t>
      </w:r>
      <w:r w:rsidRPr="00423297">
        <w:t xml:space="preserve"> and </w:t>
      </w:r>
      <w:r w:rsidR="00D61E78">
        <w:t>‘</w:t>
      </w:r>
      <w:r w:rsidRPr="00423297">
        <w:t>managed investment scheme</w:t>
      </w:r>
      <w:r w:rsidR="00D61E78">
        <w:t>’</w:t>
      </w:r>
      <w:r w:rsidRPr="00423297">
        <w:t>, see s9 of the Corporations Act</w:t>
      </w:r>
      <w:r w:rsidR="00C37AE1" w:rsidRPr="00423297">
        <w:t>.</w:t>
      </w:r>
      <w:r w:rsidRPr="00423297">
        <w:t xml:space="preserve"> </w:t>
      </w:r>
      <w:r w:rsidR="00C37AE1" w:rsidRPr="00423297">
        <w:t>F</w:t>
      </w:r>
      <w:r w:rsidRPr="00423297">
        <w:t xml:space="preserve">or the definition of </w:t>
      </w:r>
      <w:r w:rsidR="00D61E78">
        <w:t>‘</w:t>
      </w:r>
      <w:r w:rsidRPr="00423297">
        <w:t>financial product</w:t>
      </w:r>
      <w:r w:rsidR="00D61E78">
        <w:t>’</w:t>
      </w:r>
      <w:r w:rsidRPr="00423297">
        <w:t>, see s764A of the Corporations Act</w:t>
      </w:r>
      <w:r w:rsidR="00547280" w:rsidRPr="00423297">
        <w:t xml:space="preserve">. </w:t>
      </w:r>
    </w:p>
    <w:p w14:paraId="4C9227D5" w14:textId="4253C53C" w:rsidR="00547280" w:rsidRPr="00423297" w:rsidRDefault="00547280" w:rsidP="00183335">
      <w:pPr>
        <w:pStyle w:val="BodyText"/>
      </w:pPr>
      <w:r w:rsidRPr="00423297">
        <w:rPr>
          <w:color w:val="000000"/>
        </w:rPr>
        <w:t xml:space="preserve">Unlike other managed investment schemes, time-sharing schemes are </w:t>
      </w:r>
      <w:r w:rsidR="00D61E78">
        <w:rPr>
          <w:color w:val="000000"/>
        </w:rPr>
        <w:t>‘</w:t>
      </w:r>
      <w:r w:rsidRPr="00423297">
        <w:rPr>
          <w:color w:val="000000"/>
        </w:rPr>
        <w:t>lifestyle products</w:t>
      </w:r>
      <w:r w:rsidR="00D61E78">
        <w:rPr>
          <w:color w:val="000000"/>
        </w:rPr>
        <w:t>’</w:t>
      </w:r>
      <w:r w:rsidR="007852AC" w:rsidRPr="00423297">
        <w:rPr>
          <w:color w:val="000000"/>
        </w:rPr>
        <w:t>—</w:t>
      </w:r>
      <w:r w:rsidRPr="00423297">
        <w:rPr>
          <w:color w:val="000000"/>
        </w:rPr>
        <w:t xml:space="preserve">that is, consumers purchase interests or membership in the schemes for </w:t>
      </w:r>
      <w:r w:rsidR="00D61E78">
        <w:rPr>
          <w:color w:val="000000"/>
        </w:rPr>
        <w:t>‘</w:t>
      </w:r>
      <w:r w:rsidRPr="00423297">
        <w:rPr>
          <w:color w:val="000000"/>
        </w:rPr>
        <w:t>recreational</w:t>
      </w:r>
      <w:r w:rsidR="00D61E78">
        <w:rPr>
          <w:color w:val="000000"/>
        </w:rPr>
        <w:t>’</w:t>
      </w:r>
      <w:r w:rsidRPr="00423297">
        <w:rPr>
          <w:color w:val="000000"/>
        </w:rPr>
        <w:t xml:space="preserve"> or </w:t>
      </w:r>
      <w:r w:rsidR="00D61E78">
        <w:rPr>
          <w:color w:val="000000"/>
        </w:rPr>
        <w:t>‘</w:t>
      </w:r>
      <w:r w:rsidRPr="00423297">
        <w:rPr>
          <w:color w:val="000000"/>
        </w:rPr>
        <w:t>lifestyle</w:t>
      </w:r>
      <w:r w:rsidR="00D61E78">
        <w:rPr>
          <w:color w:val="000000"/>
        </w:rPr>
        <w:t>’</w:t>
      </w:r>
      <w:r w:rsidRPr="00423297">
        <w:rPr>
          <w:color w:val="000000"/>
        </w:rPr>
        <w:t xml:space="preserve"> purposes, not to generate a </w:t>
      </w:r>
      <w:r w:rsidRPr="00423297">
        <w:t>financial return.</w:t>
      </w:r>
    </w:p>
    <w:p w14:paraId="1E0F074C" w14:textId="430E06A5" w:rsidR="00547280" w:rsidRPr="00423297" w:rsidRDefault="00547280" w:rsidP="00183335">
      <w:pPr>
        <w:pStyle w:val="BodyText"/>
      </w:pPr>
      <w:r w:rsidRPr="00423297">
        <w:t>Time-sharing schemes commonly involve property in the form of holiday accommodation (but can also include non-accommodation arrangements such as boating or aircraft syndicates), and are generally structured as:</w:t>
      </w:r>
    </w:p>
    <w:p w14:paraId="4197BE2F" w14:textId="0C21CF45" w:rsidR="00547280" w:rsidRPr="00423297" w:rsidRDefault="00547280" w:rsidP="00183335">
      <w:pPr>
        <w:pStyle w:val="subparaa"/>
      </w:pPr>
      <w:r w:rsidRPr="00423297">
        <w:t xml:space="preserve">points-based </w:t>
      </w:r>
      <w:r w:rsidR="00B0198C" w:rsidRPr="00423297">
        <w:t>programs</w:t>
      </w:r>
      <w:r w:rsidRPr="00423297">
        <w:t xml:space="preserve">, where members buy points that they can redeem at certain resorts or holiday accommodation; or </w:t>
      </w:r>
    </w:p>
    <w:p w14:paraId="7567E72A" w14:textId="77777777" w:rsidR="00547280" w:rsidRPr="00423297" w:rsidRDefault="00547280" w:rsidP="00183335">
      <w:pPr>
        <w:pStyle w:val="subparaa"/>
      </w:pPr>
      <w:proofErr w:type="gramStart"/>
      <w:r w:rsidRPr="00423297">
        <w:t>title-based</w:t>
      </w:r>
      <w:proofErr w:type="gramEnd"/>
      <w:r w:rsidRPr="00423297">
        <w:t xml:space="preserve"> arrangements, where members are given the use of a specific property for a given period of time. </w:t>
      </w:r>
    </w:p>
    <w:p w14:paraId="4B6B677B" w14:textId="4E20CF39" w:rsidR="008D77B4" w:rsidRPr="00423297" w:rsidRDefault="008D77B4" w:rsidP="008250FD">
      <w:pPr>
        <w:pStyle w:val="BodyText"/>
      </w:pPr>
      <w:r w:rsidRPr="00423297">
        <w:t xml:space="preserve">Points-based </w:t>
      </w:r>
      <w:r w:rsidR="00B0198C" w:rsidRPr="00423297">
        <w:t>program</w:t>
      </w:r>
      <w:r w:rsidR="000968B4" w:rsidRPr="00423297">
        <w:t>s</w:t>
      </w:r>
      <w:r w:rsidRPr="00423297">
        <w:t xml:space="preserve"> involve complexity in their different levels of membership, entitlement to points, worldwide booking processes and points exchange systems</w:t>
      </w:r>
      <w:r w:rsidR="00041F7A" w:rsidRPr="00423297">
        <w:t>.</w:t>
      </w:r>
    </w:p>
    <w:p w14:paraId="2E1C2B26" w14:textId="54DEAF83" w:rsidR="00547280" w:rsidRPr="00423297" w:rsidRDefault="00547280" w:rsidP="00953431">
      <w:pPr>
        <w:pStyle w:val="BodyText"/>
      </w:pPr>
      <w:r w:rsidRPr="00423297">
        <w:t xml:space="preserve">Time-sharing schemes must generally be registered and operated by a responsible entity (or </w:t>
      </w:r>
      <w:r w:rsidR="00D61E78">
        <w:t>‘</w:t>
      </w:r>
      <w:r w:rsidRPr="00423297">
        <w:t>operator</w:t>
      </w:r>
      <w:r w:rsidR="00D61E78">
        <w:t>’</w:t>
      </w:r>
      <w:r w:rsidRPr="00423297">
        <w:t>). Some time-sharing schemes are operated as legacy schemes by legacy scheme operators under individual relief provided by ASIC.</w:t>
      </w:r>
    </w:p>
    <w:p w14:paraId="09B01212" w14:textId="3ACD54C2" w:rsidR="00547280" w:rsidRPr="00423297" w:rsidRDefault="00547280" w:rsidP="00953431">
      <w:pPr>
        <w:pStyle w:val="BodyText"/>
      </w:pPr>
      <w:r w:rsidRPr="00423297">
        <w:t>ATHOC is the industry body for the time-shar</w:t>
      </w:r>
      <w:r w:rsidR="00896897" w:rsidRPr="00423297">
        <w:t>ing</w:t>
      </w:r>
      <w:r w:rsidRPr="00423297">
        <w:t xml:space="preserve"> sector. Members of ATHOC agree to be bound by a Code of Ethics and a Code of Practice.</w:t>
      </w:r>
    </w:p>
    <w:p w14:paraId="1EAE234F" w14:textId="6132036A" w:rsidR="00547280" w:rsidRPr="00423297" w:rsidRDefault="00645BA7" w:rsidP="00837567">
      <w:pPr>
        <w:pStyle w:val="Heading2"/>
      </w:pPr>
      <w:bookmarkStart w:id="245" w:name="_Toc5365777"/>
      <w:bookmarkStart w:id="246" w:name="_Toc36467253"/>
      <w:bookmarkStart w:id="247" w:name="_Toc56669443"/>
      <w:r w:rsidRPr="00423297">
        <w:t>Selling, advice and disclosure practices</w:t>
      </w:r>
      <w:bookmarkEnd w:id="245"/>
      <w:bookmarkEnd w:id="246"/>
      <w:bookmarkEnd w:id="247"/>
    </w:p>
    <w:p w14:paraId="276F80EF" w14:textId="58949196" w:rsidR="00894DBA" w:rsidRPr="00423297" w:rsidRDefault="00547280" w:rsidP="00183335">
      <w:pPr>
        <w:pStyle w:val="BodyText"/>
      </w:pPr>
      <w:bookmarkStart w:id="248" w:name="_Ref38999491"/>
      <w:r w:rsidRPr="00423297">
        <w:t xml:space="preserve">Consumers </w:t>
      </w:r>
      <w:r w:rsidR="006315B0" w:rsidRPr="00423297">
        <w:t xml:space="preserve">generally </w:t>
      </w:r>
      <w:r w:rsidRPr="00423297">
        <w:t xml:space="preserve">become members of </w:t>
      </w:r>
      <w:r w:rsidR="006315B0" w:rsidRPr="00423297">
        <w:t>time-sharing schemes</w:t>
      </w:r>
      <w:r w:rsidRPr="00423297">
        <w:t xml:space="preserve"> by purchasing interests in the scheme at sales presentations.</w:t>
      </w:r>
      <w:bookmarkEnd w:id="248"/>
      <w:r w:rsidRPr="00423297">
        <w:t xml:space="preserve"> </w:t>
      </w:r>
    </w:p>
    <w:p w14:paraId="4C61C6C6" w14:textId="33DB4537" w:rsidR="00894DBA" w:rsidRPr="00423297" w:rsidRDefault="00547280" w:rsidP="00183335">
      <w:pPr>
        <w:pStyle w:val="BodyText"/>
      </w:pPr>
      <w:r w:rsidRPr="00423297">
        <w:t>Consumers are generally offered an incentive to attend a sales presentation</w:t>
      </w:r>
      <w:r w:rsidR="00894DBA" w:rsidRPr="00423297">
        <w:t>, such as discount accommodation, vouchers or gifts.</w:t>
      </w:r>
      <w:r w:rsidR="00BD3A69">
        <w:t xml:space="preserve"> </w:t>
      </w:r>
    </w:p>
    <w:p w14:paraId="654A9638" w14:textId="77777777" w:rsidR="00B0198C" w:rsidRPr="00423297" w:rsidRDefault="00547280" w:rsidP="00183335">
      <w:pPr>
        <w:pStyle w:val="BodyText"/>
      </w:pPr>
      <w:r w:rsidRPr="00423297">
        <w:lastRenderedPageBreak/>
        <w:t xml:space="preserve">Sales presentations </w:t>
      </w:r>
      <w:r w:rsidR="00EB4B95" w:rsidRPr="00423297">
        <w:t>generally</w:t>
      </w:r>
      <w:r w:rsidRPr="00423297">
        <w:t xml:space="preserve"> consist of a group presentation</w:t>
      </w:r>
      <w:r w:rsidR="00B0198C" w:rsidRPr="00423297">
        <w:t>,</w:t>
      </w:r>
      <w:r w:rsidRPr="00423297">
        <w:t xml:space="preserve"> followed by an individual meeting between the consumer and representative of the operator, and a meeting with the related finance provider (if applicable). </w:t>
      </w:r>
    </w:p>
    <w:p w14:paraId="46CAD0FE" w14:textId="10336B22" w:rsidR="00645BA7" w:rsidRPr="00423297" w:rsidRDefault="00D61E78" w:rsidP="00183335">
      <w:pPr>
        <w:pStyle w:val="BodyText"/>
      </w:pPr>
      <w:r>
        <w:t>‘</w:t>
      </w:r>
      <w:r w:rsidR="00894DBA" w:rsidRPr="00423297">
        <w:t>Today only</w:t>
      </w:r>
      <w:r>
        <w:t>’</w:t>
      </w:r>
      <w:r w:rsidR="00894DBA" w:rsidRPr="00423297">
        <w:t xml:space="preserve">, </w:t>
      </w:r>
      <w:r>
        <w:t>‘</w:t>
      </w:r>
      <w:r w:rsidR="00894DBA" w:rsidRPr="00423297">
        <w:t>limited availability</w:t>
      </w:r>
      <w:r>
        <w:t>’</w:t>
      </w:r>
      <w:r w:rsidR="00894DBA" w:rsidRPr="00423297">
        <w:t xml:space="preserve">, </w:t>
      </w:r>
      <w:r>
        <w:t>‘</w:t>
      </w:r>
      <w:r w:rsidR="00894DBA" w:rsidRPr="00423297">
        <w:t>now or never</w:t>
      </w:r>
      <w:r>
        <w:t>’</w:t>
      </w:r>
      <w:r w:rsidR="00894DBA" w:rsidRPr="00423297">
        <w:t xml:space="preserve"> and </w:t>
      </w:r>
      <w:r>
        <w:t>‘</w:t>
      </w:r>
      <w:r w:rsidR="00894DBA" w:rsidRPr="00423297">
        <w:t>special offer</w:t>
      </w:r>
      <w:r>
        <w:t>’</w:t>
      </w:r>
      <w:r w:rsidR="00894DBA" w:rsidRPr="00423297">
        <w:t xml:space="preserve"> deals are </w:t>
      </w:r>
      <w:r w:rsidR="00E36E8C" w:rsidRPr="00423297">
        <w:t xml:space="preserve">endemic, and consumers are generally not provided with adequate opportunity to read the PDS before they purchase an interest in the scheme. </w:t>
      </w:r>
      <w:r w:rsidR="00894DBA" w:rsidRPr="00423297">
        <w:t xml:space="preserve">As a result, </w:t>
      </w:r>
      <w:r w:rsidR="00547280" w:rsidRPr="00423297">
        <w:t>sales to new members are almost exclusively same-day sales</w:t>
      </w:r>
      <w:r w:rsidR="00894DBA" w:rsidRPr="00423297">
        <w:t>, made before the consumer leaves the sales presentation</w:t>
      </w:r>
      <w:r w:rsidR="00547280" w:rsidRPr="00423297">
        <w:t xml:space="preserve"> </w:t>
      </w:r>
      <w:r w:rsidR="00894DBA" w:rsidRPr="00423297">
        <w:t>within a high-pressure selling environment</w:t>
      </w:r>
      <w:r w:rsidR="00645BA7" w:rsidRPr="00423297">
        <w:t>, compounded by the commission-based remuneration of representatives.</w:t>
      </w:r>
    </w:p>
    <w:p w14:paraId="4F29C9CC" w14:textId="1A11C272" w:rsidR="00B0198C" w:rsidRPr="00423297" w:rsidRDefault="00A6199A" w:rsidP="00B0198C">
      <w:pPr>
        <w:pStyle w:val="BodyText"/>
      </w:pPr>
      <w:bookmarkStart w:id="249" w:name="_Toc5365778"/>
      <w:r w:rsidRPr="00423297">
        <w:t>The time-sharing industry has relied on a</w:t>
      </w:r>
      <w:r w:rsidR="00B0198C" w:rsidRPr="00423297">
        <w:t xml:space="preserve"> carve-out from the ban on conflicted remuneration </w:t>
      </w:r>
      <w:r w:rsidRPr="00423297">
        <w:t>to pay these sales-based commissions</w:t>
      </w:r>
      <w:r w:rsidR="00B0198C" w:rsidRPr="00423297">
        <w:t>: see reg</w:t>
      </w:r>
      <w:r w:rsidR="00E745C7" w:rsidRPr="00423297">
        <w:t> </w:t>
      </w:r>
      <w:r w:rsidR="00B0198C" w:rsidRPr="00423297">
        <w:t xml:space="preserve">76.7A.12C of the Corporations Regulations. The time-sharing industry remains subject to other Future of Financial Advice (FOFA) reforms, including the best </w:t>
      </w:r>
      <w:proofErr w:type="gramStart"/>
      <w:r w:rsidR="00B0198C" w:rsidRPr="00423297">
        <w:t>interests</w:t>
      </w:r>
      <w:proofErr w:type="gramEnd"/>
      <w:r w:rsidR="00B0198C" w:rsidRPr="00423297">
        <w:t xml:space="preserve"> duty (which includes the obligation to give priority to consumer</w:t>
      </w:r>
      <w:r w:rsidR="00D61E78">
        <w:t>’</w:t>
      </w:r>
      <w:r w:rsidR="00B0198C" w:rsidRPr="00423297">
        <w:t>s interest over their own interests).</w:t>
      </w:r>
    </w:p>
    <w:p w14:paraId="5C696BC6" w14:textId="41633229" w:rsidR="009745DD" w:rsidRPr="00423297" w:rsidRDefault="009745DD" w:rsidP="00B0198C">
      <w:pPr>
        <w:pStyle w:val="BodyText"/>
      </w:pPr>
      <w:bookmarkStart w:id="250" w:name="_Ref36473902"/>
      <w:r w:rsidRPr="00423297">
        <w:t>Under the Financial Planners and Advisers Code of Ethics 2019 (FASEA Code of Ethics), issued by the Financial Adviser Standards and Ethics Authority Limited (FASEA), operators must not pay commissions to representatives. The FASEA Code of Ethics came into force on 1 January 2020.</w:t>
      </w:r>
      <w:bookmarkEnd w:id="250"/>
    </w:p>
    <w:p w14:paraId="0A1A51A9" w14:textId="423E63E7" w:rsidR="009745DD" w:rsidRPr="00423297" w:rsidRDefault="009745DD" w:rsidP="00B0198C">
      <w:pPr>
        <w:pStyle w:val="BodyText"/>
      </w:pPr>
      <w:bookmarkStart w:id="251" w:name="_Ref36473910"/>
      <w:r w:rsidRPr="00423297">
        <w:t xml:space="preserve">As at the date of this RIS, most operators have ceased marketing interests in their registered schemes. ATHOC and its members are actively lobbying the Australian Government for an exemption from the FASEA Code of Ethics to allow them to continue to pay commissions to their representatives for the sale of interests in time-sharing schemes. Compliance with the FASEA Code of Ethics is an existing obligation under the Corporations Act for the purposes of this RIS. For more information on the FASEA Code of Ethics and our facilitative approach to compliance, see paragraphs </w:t>
      </w:r>
      <w:r w:rsidR="00CC5209">
        <w:fldChar w:fldCharType="begin"/>
      </w:r>
      <w:r w:rsidR="00CC5209">
        <w:instrText xml:space="preserve"> REF _ASICRef871 \r \h </w:instrText>
      </w:r>
      <w:r w:rsidR="00CC5209">
        <w:fldChar w:fldCharType="separate"/>
      </w:r>
      <w:r w:rsidR="00B92808">
        <w:t>234</w:t>
      </w:r>
      <w:r w:rsidR="00CC5209">
        <w:fldChar w:fldCharType="end"/>
      </w:r>
      <w:r w:rsidR="00643E51" w:rsidRPr="00423297">
        <w:t>–</w:t>
      </w:r>
      <w:r w:rsidR="00643E51" w:rsidRPr="00423297">
        <w:fldChar w:fldCharType="begin"/>
      </w:r>
      <w:r w:rsidR="00643E51" w:rsidRPr="00423297">
        <w:instrText xml:space="preserve"> REF _ASICRef829 \w \h </w:instrText>
      </w:r>
      <w:r w:rsidR="00423297">
        <w:instrText xml:space="preserve"> \* MERGEFORMAT </w:instrText>
      </w:r>
      <w:r w:rsidR="00643E51" w:rsidRPr="00423297">
        <w:fldChar w:fldCharType="separate"/>
      </w:r>
      <w:r w:rsidR="00B92808">
        <w:t>236</w:t>
      </w:r>
      <w:r w:rsidR="00643E51" w:rsidRPr="00423297">
        <w:fldChar w:fldCharType="end"/>
      </w:r>
      <w:r w:rsidRPr="00423297">
        <w:t>.</w:t>
      </w:r>
      <w:bookmarkEnd w:id="251"/>
    </w:p>
    <w:p w14:paraId="2A446CA1" w14:textId="6810EC47" w:rsidR="00227503" w:rsidRPr="00423297" w:rsidRDefault="00227503" w:rsidP="00D43D01">
      <w:pPr>
        <w:pStyle w:val="Heading2"/>
      </w:pPr>
      <w:bookmarkStart w:id="252" w:name="_Toc36467254"/>
      <w:bookmarkStart w:id="253" w:name="_Toc56669444"/>
      <w:r w:rsidRPr="00423297">
        <w:t>Exit arrangements</w:t>
      </w:r>
      <w:bookmarkEnd w:id="249"/>
      <w:bookmarkEnd w:id="252"/>
      <w:bookmarkEnd w:id="253"/>
    </w:p>
    <w:p w14:paraId="7B226EA4" w14:textId="4D8F49B9" w:rsidR="00227503" w:rsidRPr="00423297" w:rsidRDefault="00227503" w:rsidP="00183335">
      <w:pPr>
        <w:pStyle w:val="BodyText"/>
      </w:pPr>
      <w:r w:rsidRPr="00423297">
        <w:t xml:space="preserve">There are no withdrawal rights after the end of the cooling-off period </w:t>
      </w:r>
      <w:r w:rsidR="00BA5ADB" w:rsidRPr="00423297">
        <w:t>and no</w:t>
      </w:r>
      <w:r w:rsidR="0082320A" w:rsidRPr="00423297">
        <w:t xml:space="preserve"> active </w:t>
      </w:r>
      <w:r w:rsidRPr="00423297">
        <w:t>secondary market for divesting interests in time-sharing schemes. Members who seek to exit are limited to attempting to sell or forfeit their interest in the scheme</w:t>
      </w:r>
      <w:r w:rsidR="00B0198C" w:rsidRPr="00423297">
        <w:t>,</w:t>
      </w:r>
      <w:r w:rsidRPr="00423297">
        <w:t xml:space="preserve"> generally at a nominal or nil value. </w:t>
      </w:r>
      <w:r w:rsidR="0082320A" w:rsidRPr="00423297">
        <w:t xml:space="preserve">Members will continue to be liable for financial obligations attached to their membership until the date of sale. </w:t>
      </w:r>
      <w:r w:rsidRPr="00423297">
        <w:t xml:space="preserve">Members are generally unable to sell </w:t>
      </w:r>
      <w:r w:rsidR="00D61E78">
        <w:t>‘</w:t>
      </w:r>
      <w:r w:rsidRPr="00423297">
        <w:t>special</w:t>
      </w:r>
      <w:r w:rsidR="00D61E78">
        <w:t>’</w:t>
      </w:r>
      <w:r w:rsidRPr="00423297">
        <w:t xml:space="preserve"> non-transferable features purchased with their membership. </w:t>
      </w:r>
    </w:p>
    <w:p w14:paraId="2D04CB5B" w14:textId="79428B58" w:rsidR="00547280" w:rsidRPr="00423297" w:rsidRDefault="00547280" w:rsidP="00837567">
      <w:pPr>
        <w:pStyle w:val="Heading2"/>
      </w:pPr>
      <w:bookmarkStart w:id="254" w:name="_Toc5365779"/>
      <w:bookmarkStart w:id="255" w:name="_Toc36467255"/>
      <w:bookmarkStart w:id="256" w:name="_Toc56669445"/>
      <w:r w:rsidRPr="00423297">
        <w:lastRenderedPageBreak/>
        <w:t>ASIC regulation of time-sharing schemes</w:t>
      </w:r>
      <w:bookmarkEnd w:id="254"/>
      <w:bookmarkEnd w:id="255"/>
      <w:bookmarkEnd w:id="256"/>
    </w:p>
    <w:p w14:paraId="2BFA299E" w14:textId="250BCA23" w:rsidR="00547280" w:rsidRPr="00423297" w:rsidRDefault="00547280" w:rsidP="00183335">
      <w:pPr>
        <w:pStyle w:val="BodyText"/>
      </w:pPr>
      <w:r w:rsidRPr="00423297">
        <w:t xml:space="preserve">In general, </w:t>
      </w:r>
      <w:r w:rsidR="001A62AA" w:rsidRPr="00423297">
        <w:t xml:space="preserve">ASIC is responsible for regulating </w:t>
      </w:r>
      <w:r w:rsidRPr="00423297">
        <w:t>the time-shar</w:t>
      </w:r>
      <w:r w:rsidR="001A62AA" w:rsidRPr="00423297">
        <w:t xml:space="preserve">ing </w:t>
      </w:r>
      <w:r w:rsidRPr="00423297">
        <w:t>industry</w:t>
      </w:r>
      <w:r w:rsidR="00D61E78">
        <w:t>’</w:t>
      </w:r>
      <w:r w:rsidR="001A62AA" w:rsidRPr="00423297">
        <w:t>s compliance with the following obligations</w:t>
      </w:r>
      <w:r w:rsidRPr="00423297">
        <w:t>:</w:t>
      </w:r>
    </w:p>
    <w:p w14:paraId="371B57C8" w14:textId="39247F14" w:rsidR="00547280" w:rsidRPr="00423297" w:rsidRDefault="001A62AA" w:rsidP="00183335">
      <w:pPr>
        <w:pStyle w:val="subparaa"/>
      </w:pPr>
      <w:r w:rsidRPr="00423297">
        <w:t>T</w:t>
      </w:r>
      <w:r w:rsidR="00547280" w:rsidRPr="00423297">
        <w:t>ime-sharing schemes must generally be registered and operated in accordance with the managed investment provisions (Ch 5C</w:t>
      </w:r>
      <w:r w:rsidR="0018706B" w:rsidRPr="00423297">
        <w:t xml:space="preserve"> of the</w:t>
      </w:r>
      <w:r w:rsidR="00547280" w:rsidRPr="00423297">
        <w:t xml:space="preserve"> Corporations Act)</w:t>
      </w:r>
      <w:r w:rsidRPr="00423297">
        <w:t>.</w:t>
      </w:r>
    </w:p>
    <w:p w14:paraId="2F037524" w14:textId="1C6DC769" w:rsidR="00547280" w:rsidRPr="00423297" w:rsidRDefault="00D42D97" w:rsidP="00183335">
      <w:pPr>
        <w:pStyle w:val="subparaa"/>
      </w:pPr>
      <w:r w:rsidRPr="00423297">
        <w:t>O</w:t>
      </w:r>
      <w:r w:rsidR="00547280" w:rsidRPr="00423297">
        <w:t>perators, promoters and dealers must hold an Australian financial services</w:t>
      </w:r>
      <w:r w:rsidR="0018706B" w:rsidRPr="00423297">
        <w:t xml:space="preserve"> (AFS)</w:t>
      </w:r>
      <w:r w:rsidR="00547280" w:rsidRPr="00423297">
        <w:t xml:space="preserve"> licence and operators must also be a public company (Pt</w:t>
      </w:r>
      <w:r w:rsidR="0018706B" w:rsidRPr="00423297">
        <w:t>s </w:t>
      </w:r>
      <w:r w:rsidR="00547280" w:rsidRPr="00423297">
        <w:t>5C.2 and 7.6</w:t>
      </w:r>
      <w:r w:rsidR="0018706B" w:rsidRPr="00423297">
        <w:t xml:space="preserve"> of the</w:t>
      </w:r>
      <w:r w:rsidR="00547280" w:rsidRPr="00423297">
        <w:t xml:space="preserve"> Corporations Act)</w:t>
      </w:r>
      <w:r w:rsidR="001A62AA" w:rsidRPr="00423297">
        <w:t>.</w:t>
      </w:r>
    </w:p>
    <w:p w14:paraId="63381A72" w14:textId="3A87D0E0" w:rsidR="00342DFC" w:rsidRPr="00423297" w:rsidRDefault="001A62AA" w:rsidP="00183335">
      <w:pPr>
        <w:pStyle w:val="subparaa"/>
      </w:pPr>
      <w:r w:rsidRPr="00423297">
        <w:t>O</w:t>
      </w:r>
      <w:r w:rsidR="00547280" w:rsidRPr="00423297">
        <w:t>perators and their representatives must comply with the</w:t>
      </w:r>
      <w:r w:rsidR="00342DFC" w:rsidRPr="00423297">
        <w:t xml:space="preserve"> following</w:t>
      </w:r>
      <w:r w:rsidR="00547280" w:rsidRPr="00423297">
        <w:t xml:space="preserve"> existing obligations</w:t>
      </w:r>
      <w:r w:rsidR="00342DFC" w:rsidRPr="00423297">
        <w:t>:</w:t>
      </w:r>
    </w:p>
    <w:p w14:paraId="23B737BC" w14:textId="324F9C97" w:rsidR="00342DFC" w:rsidRPr="00423297" w:rsidRDefault="00342DFC" w:rsidP="00183335">
      <w:pPr>
        <w:pStyle w:val="subsubparai"/>
      </w:pPr>
      <w:r w:rsidRPr="00423297">
        <w:t xml:space="preserve">the financial services disclosure provisions, including </w:t>
      </w:r>
      <w:r w:rsidR="0018706B" w:rsidRPr="00423297">
        <w:t>the S</w:t>
      </w:r>
      <w:r w:rsidR="002605FD" w:rsidRPr="00423297">
        <w:t>O</w:t>
      </w:r>
      <w:r w:rsidR="0018706B" w:rsidRPr="00423297">
        <w:t>A</w:t>
      </w:r>
      <w:r w:rsidRPr="00423297">
        <w:t xml:space="preserve">, </w:t>
      </w:r>
      <w:r w:rsidR="0018706B" w:rsidRPr="00423297">
        <w:t>FSG</w:t>
      </w:r>
      <w:r w:rsidRPr="00423297">
        <w:t xml:space="preserve"> and general advice warning requirements (Pt 7.7</w:t>
      </w:r>
      <w:r w:rsidR="0018706B" w:rsidRPr="00423297">
        <w:t xml:space="preserve"> of the</w:t>
      </w:r>
      <w:r w:rsidRPr="00423297">
        <w:t xml:space="preserve"> Corporations Act); </w:t>
      </w:r>
    </w:p>
    <w:p w14:paraId="46E1F034" w14:textId="779CD0D7" w:rsidR="00342DFC" w:rsidRPr="00423297" w:rsidRDefault="00342DFC" w:rsidP="00183335">
      <w:pPr>
        <w:pStyle w:val="subsubparai"/>
      </w:pPr>
      <w:r w:rsidRPr="00423297">
        <w:t>the best interests duty (Pt 7.7A</w:t>
      </w:r>
      <w:r w:rsidR="0018706B" w:rsidRPr="00423297">
        <w:t xml:space="preserve"> of the</w:t>
      </w:r>
      <w:r w:rsidRPr="00423297">
        <w:t xml:space="preserve"> Corporations Act)</w:t>
      </w:r>
      <w:r w:rsidR="0018706B" w:rsidRPr="00423297">
        <w:t>—</w:t>
      </w:r>
      <w:r w:rsidRPr="00423297">
        <w:t xml:space="preserve">see paragraphs </w:t>
      </w:r>
      <w:r w:rsidRPr="00423297">
        <w:fldChar w:fldCharType="begin"/>
      </w:r>
      <w:r w:rsidRPr="00423297">
        <w:instrText xml:space="preserve"> REF _Ref4422319 \r \h </w:instrText>
      </w:r>
      <w:r w:rsidR="00E27C1F" w:rsidRPr="00423297">
        <w:instrText xml:space="preserve"> \* MERGEFORMAT </w:instrText>
      </w:r>
      <w:r w:rsidRPr="00423297">
        <w:fldChar w:fldCharType="separate"/>
      </w:r>
      <w:r w:rsidR="00B92808">
        <w:t>231</w:t>
      </w:r>
      <w:r w:rsidRPr="00423297">
        <w:fldChar w:fldCharType="end"/>
      </w:r>
      <w:r w:rsidR="0018706B" w:rsidRPr="00423297">
        <w:t>–</w:t>
      </w:r>
      <w:r w:rsidRPr="00423297">
        <w:fldChar w:fldCharType="begin"/>
      </w:r>
      <w:r w:rsidRPr="00423297">
        <w:instrText xml:space="preserve"> REF _Ref4422324 \r \h </w:instrText>
      </w:r>
      <w:r w:rsidR="00E27C1F" w:rsidRPr="00423297">
        <w:instrText xml:space="preserve"> \* MERGEFORMAT </w:instrText>
      </w:r>
      <w:r w:rsidRPr="00423297">
        <w:fldChar w:fldCharType="separate"/>
      </w:r>
      <w:r w:rsidR="00B92808">
        <w:t>233</w:t>
      </w:r>
      <w:r w:rsidRPr="00423297">
        <w:fldChar w:fldCharType="end"/>
      </w:r>
      <w:r w:rsidRPr="00423297">
        <w:t>;</w:t>
      </w:r>
    </w:p>
    <w:p w14:paraId="22EC5B20" w14:textId="706F00E9" w:rsidR="00412DF0" w:rsidRPr="00423297" w:rsidRDefault="00412DF0" w:rsidP="00183335">
      <w:pPr>
        <w:pStyle w:val="subsubparai"/>
      </w:pPr>
      <w:r w:rsidRPr="00423297">
        <w:t xml:space="preserve">the </w:t>
      </w:r>
      <w:r w:rsidR="00E11E42" w:rsidRPr="00423297">
        <w:t>FASEA</w:t>
      </w:r>
      <w:r w:rsidRPr="00423297">
        <w:t xml:space="preserve"> Code of Ethics 2019 (</w:t>
      </w:r>
      <w:r w:rsidR="009E3750" w:rsidRPr="00423297">
        <w:t>s</w:t>
      </w:r>
      <w:r w:rsidRPr="00423297">
        <w:t>921U(2)(b) of the Corporations Act);</w:t>
      </w:r>
    </w:p>
    <w:p w14:paraId="64C8CA9D" w14:textId="3A5B3BA4" w:rsidR="00342DFC" w:rsidRPr="00423297" w:rsidRDefault="00342DFC" w:rsidP="00183335">
      <w:pPr>
        <w:pStyle w:val="subsubparai"/>
      </w:pPr>
      <w:r w:rsidRPr="00423297">
        <w:t>the hawking prohibitions (Div 8 of Pt 7.8</w:t>
      </w:r>
      <w:r w:rsidR="0018706B" w:rsidRPr="00423297">
        <w:t xml:space="preserve"> of the</w:t>
      </w:r>
      <w:r w:rsidRPr="00423297">
        <w:t xml:space="preserve"> Corporations Act)</w:t>
      </w:r>
      <w:r w:rsidR="0018706B" w:rsidRPr="00423297">
        <w:t>—</w:t>
      </w:r>
      <w:r w:rsidRPr="00423297">
        <w:t xml:space="preserve">see paragraphs </w:t>
      </w:r>
      <w:r w:rsidRPr="00423297">
        <w:fldChar w:fldCharType="begin"/>
      </w:r>
      <w:r w:rsidRPr="00423297">
        <w:instrText xml:space="preserve"> REF _Ref4422403 \r \h </w:instrText>
      </w:r>
      <w:r w:rsidR="00E27C1F" w:rsidRPr="00423297">
        <w:instrText xml:space="preserve"> \* MERGEFORMAT </w:instrText>
      </w:r>
      <w:r w:rsidRPr="00423297">
        <w:fldChar w:fldCharType="separate"/>
      </w:r>
      <w:r w:rsidR="00B92808">
        <w:t>237</w:t>
      </w:r>
      <w:r w:rsidRPr="00423297">
        <w:fldChar w:fldCharType="end"/>
      </w:r>
      <w:r w:rsidR="0018706B" w:rsidRPr="00423297">
        <w:t>–</w:t>
      </w:r>
      <w:r w:rsidRPr="00423297">
        <w:fldChar w:fldCharType="begin"/>
      </w:r>
      <w:r w:rsidRPr="00423297">
        <w:instrText xml:space="preserve"> REF _Ref4422405 \r \h </w:instrText>
      </w:r>
      <w:r w:rsidR="00E27C1F" w:rsidRPr="00423297">
        <w:instrText xml:space="preserve"> \* MERGEFORMAT </w:instrText>
      </w:r>
      <w:r w:rsidRPr="00423297">
        <w:fldChar w:fldCharType="separate"/>
      </w:r>
      <w:r w:rsidR="00B92808">
        <w:t>238</w:t>
      </w:r>
      <w:r w:rsidRPr="00423297">
        <w:fldChar w:fldCharType="end"/>
      </w:r>
      <w:r w:rsidRPr="00423297">
        <w:t xml:space="preserve">; </w:t>
      </w:r>
    </w:p>
    <w:p w14:paraId="0611CD11" w14:textId="6C9F2F7F" w:rsidR="00342DFC" w:rsidRPr="00423297" w:rsidRDefault="00342DFC" w:rsidP="00183335">
      <w:pPr>
        <w:pStyle w:val="subsubparai"/>
      </w:pPr>
      <w:r w:rsidRPr="00423297">
        <w:t>PDS and ongoing disclosure (Pt 7.9</w:t>
      </w:r>
      <w:r w:rsidR="0018706B" w:rsidRPr="00423297">
        <w:t xml:space="preserve"> of the</w:t>
      </w:r>
      <w:r w:rsidRPr="00423297">
        <w:t xml:space="preserve"> Corporations Act) and the enhanced fee disclosure requirements for disclosing fees and costs in PDSs and periodic statements (Sch 10</w:t>
      </w:r>
      <w:r w:rsidR="0018706B" w:rsidRPr="00423297">
        <w:t xml:space="preserve"> of the</w:t>
      </w:r>
      <w:r w:rsidRPr="00423297">
        <w:t xml:space="preserve"> Corporations Regulations)</w:t>
      </w:r>
      <w:r w:rsidR="0018706B" w:rsidRPr="00423297">
        <w:t>—</w:t>
      </w:r>
      <w:r w:rsidRPr="00423297">
        <w:t>see paragraph</w:t>
      </w:r>
      <w:r w:rsidR="00606495" w:rsidRPr="00423297">
        <w:t>s</w:t>
      </w:r>
      <w:r w:rsidRPr="00423297">
        <w:t xml:space="preserve"> </w:t>
      </w:r>
      <w:r w:rsidRPr="00423297">
        <w:fldChar w:fldCharType="begin"/>
      </w:r>
      <w:r w:rsidRPr="00423297">
        <w:instrText xml:space="preserve"> REF _Ref4422479 \r \h </w:instrText>
      </w:r>
      <w:r w:rsidR="00E27C1F" w:rsidRPr="00423297">
        <w:instrText xml:space="preserve"> \* MERGEFORMAT </w:instrText>
      </w:r>
      <w:r w:rsidRPr="00423297">
        <w:fldChar w:fldCharType="separate"/>
      </w:r>
      <w:r w:rsidR="00B92808">
        <w:t>229</w:t>
      </w:r>
      <w:r w:rsidRPr="00423297">
        <w:fldChar w:fldCharType="end"/>
      </w:r>
      <w:r w:rsidR="00606495" w:rsidRPr="00423297">
        <w:t>–</w:t>
      </w:r>
      <w:r w:rsidR="00606495" w:rsidRPr="00423297">
        <w:fldChar w:fldCharType="begin"/>
      </w:r>
      <w:r w:rsidR="00606495" w:rsidRPr="00423297">
        <w:instrText xml:space="preserve"> REF _ASICRef15 \w \h </w:instrText>
      </w:r>
      <w:r w:rsidR="00423297">
        <w:instrText xml:space="preserve"> \* MERGEFORMAT </w:instrText>
      </w:r>
      <w:r w:rsidR="00606495" w:rsidRPr="00423297">
        <w:fldChar w:fldCharType="separate"/>
      </w:r>
      <w:r w:rsidR="00B92808">
        <w:t>230</w:t>
      </w:r>
      <w:r w:rsidR="00606495" w:rsidRPr="00423297">
        <w:fldChar w:fldCharType="end"/>
      </w:r>
      <w:r w:rsidRPr="00423297">
        <w:t xml:space="preserve">; and </w:t>
      </w:r>
    </w:p>
    <w:p w14:paraId="32B1A59E" w14:textId="3ECFD988" w:rsidR="00547280" w:rsidRPr="00423297" w:rsidRDefault="00342DFC" w:rsidP="00183335">
      <w:pPr>
        <w:pStyle w:val="subsubparai"/>
      </w:pPr>
      <w:proofErr w:type="gramStart"/>
      <w:r w:rsidRPr="00423297">
        <w:t>the</w:t>
      </w:r>
      <w:proofErr w:type="gramEnd"/>
      <w:r w:rsidRPr="00423297">
        <w:t xml:space="preserve"> general consumer protection provisions (Pt 7.10</w:t>
      </w:r>
      <w:r w:rsidR="0018706B" w:rsidRPr="00423297">
        <w:t xml:space="preserve"> of the</w:t>
      </w:r>
      <w:r w:rsidRPr="00423297">
        <w:t xml:space="preserve"> Corporations Act and Div 2 of Pt 2</w:t>
      </w:r>
      <w:r w:rsidR="0018706B" w:rsidRPr="00423297">
        <w:t xml:space="preserve"> of the</w:t>
      </w:r>
      <w:r w:rsidRPr="00423297">
        <w:t xml:space="preserve"> ASIC Act)</w:t>
      </w:r>
      <w:r w:rsidR="000968B4" w:rsidRPr="00423297">
        <w:t>.</w:t>
      </w:r>
    </w:p>
    <w:p w14:paraId="642B796F" w14:textId="1FFB66AA" w:rsidR="00547280" w:rsidRPr="00423297" w:rsidRDefault="001A62AA" w:rsidP="00183335">
      <w:pPr>
        <w:pStyle w:val="subparaa"/>
      </w:pPr>
      <w:r w:rsidRPr="00423297">
        <w:t>R</w:t>
      </w:r>
      <w:r w:rsidR="00547280" w:rsidRPr="00423297">
        <w:t xml:space="preserve">elated finance providers and their representatives must comply with </w:t>
      </w:r>
      <w:r w:rsidR="00F72D9F">
        <w:t xml:space="preserve">the </w:t>
      </w:r>
      <w:r w:rsidR="00547280" w:rsidRPr="00423297">
        <w:t xml:space="preserve">obligations </w:t>
      </w:r>
      <w:r w:rsidR="0018706B" w:rsidRPr="00423297">
        <w:t xml:space="preserve">in the National Credit Act </w:t>
      </w:r>
      <w:r w:rsidR="004D32A0">
        <w:t xml:space="preserve">and National Credit Code </w:t>
      </w:r>
      <w:r w:rsidR="00547280" w:rsidRPr="00423297">
        <w:t>(see paragraph</w:t>
      </w:r>
      <w:r w:rsidR="00F72D9F">
        <w:t>s</w:t>
      </w:r>
      <w:r w:rsidR="00335254" w:rsidRPr="00423297">
        <w:t xml:space="preserve"> </w:t>
      </w:r>
      <w:r w:rsidR="0032380B" w:rsidRPr="00423297">
        <w:fldChar w:fldCharType="begin"/>
      </w:r>
      <w:r w:rsidR="0032380B" w:rsidRPr="00423297">
        <w:instrText xml:space="preserve"> REF _Ref4422526 \r \h  \* MERGEFORMAT </w:instrText>
      </w:r>
      <w:r w:rsidR="0032380B" w:rsidRPr="00423297">
        <w:fldChar w:fldCharType="separate"/>
      </w:r>
      <w:r w:rsidR="00B92808">
        <w:t>239</w:t>
      </w:r>
      <w:r w:rsidR="0032380B" w:rsidRPr="00423297">
        <w:fldChar w:fldCharType="end"/>
      </w:r>
      <w:r w:rsidR="00CC5209">
        <w:t>–</w:t>
      </w:r>
      <w:r w:rsidR="00CC5209">
        <w:fldChar w:fldCharType="begin"/>
      </w:r>
      <w:r w:rsidR="00CC5209">
        <w:instrText xml:space="preserve"> REF _Ref56118400 \r \h </w:instrText>
      </w:r>
      <w:r w:rsidR="00CC5209">
        <w:fldChar w:fldCharType="separate"/>
      </w:r>
      <w:r w:rsidR="00B92808">
        <w:t>241</w:t>
      </w:r>
      <w:r w:rsidR="00CC5209">
        <w:fldChar w:fldCharType="end"/>
      </w:r>
      <w:bookmarkStart w:id="257" w:name="_Toc512607260"/>
      <w:r w:rsidR="00547280" w:rsidRPr="00423297">
        <w:t xml:space="preserve">), and the general consumer protection provisions in Div 2 of Pt 2 </w:t>
      </w:r>
      <w:r w:rsidR="00E27C1F" w:rsidRPr="00423297">
        <w:t>the ASIC Act.</w:t>
      </w:r>
    </w:p>
    <w:p w14:paraId="72DE8BC3" w14:textId="5E594A65" w:rsidR="00547280" w:rsidRPr="00423297" w:rsidRDefault="0018706B" w:rsidP="00183335">
      <w:pPr>
        <w:pStyle w:val="BodyText"/>
      </w:pPr>
      <w:r w:rsidRPr="00423297">
        <w:t>We have</w:t>
      </w:r>
      <w:r w:rsidR="00547280" w:rsidRPr="00423297">
        <w:t xml:space="preserve"> provided relief from some of these requirements to legacy schemes.</w:t>
      </w:r>
    </w:p>
    <w:p w14:paraId="7EF38D28" w14:textId="50E452E4" w:rsidR="00227503" w:rsidRPr="00423297" w:rsidRDefault="00227503" w:rsidP="008250FD">
      <w:pPr>
        <w:pStyle w:val="Heading3"/>
      </w:pPr>
      <w:r w:rsidRPr="00423297">
        <w:t>Disclosure obligations</w:t>
      </w:r>
    </w:p>
    <w:p w14:paraId="67A32B57" w14:textId="2287E533" w:rsidR="001A62AA" w:rsidRPr="00423297" w:rsidRDefault="00227503" w:rsidP="00183335">
      <w:pPr>
        <w:pStyle w:val="BodyText"/>
      </w:pPr>
      <w:bookmarkStart w:id="258" w:name="_Ref4422479"/>
      <w:r w:rsidRPr="00423297">
        <w:t xml:space="preserve">Operators </w:t>
      </w:r>
      <w:r w:rsidR="001A62AA" w:rsidRPr="00423297">
        <w:t>must</w:t>
      </w:r>
      <w:r w:rsidRPr="00423297">
        <w:t xml:space="preserve"> provide consumers with a PDS containing prescribed information</w:t>
      </w:r>
      <w:r w:rsidR="001A62AA" w:rsidRPr="00423297">
        <w:t>,</w:t>
      </w:r>
      <w:r w:rsidRPr="00423297">
        <w:t xml:space="preserve"> including</w:t>
      </w:r>
      <w:r w:rsidR="001A62AA" w:rsidRPr="00423297">
        <w:t>:</w:t>
      </w:r>
      <w:r w:rsidRPr="00423297">
        <w:t xml:space="preserve"> </w:t>
      </w:r>
    </w:p>
    <w:p w14:paraId="01B85891" w14:textId="5270AD91" w:rsidR="001A62AA" w:rsidRPr="00423297" w:rsidRDefault="00227503" w:rsidP="001A62AA">
      <w:pPr>
        <w:pStyle w:val="subparaa"/>
      </w:pPr>
      <w:r w:rsidRPr="00423297">
        <w:t>the significant benefits and risks of the product</w:t>
      </w:r>
      <w:r w:rsidR="001A62AA" w:rsidRPr="00423297">
        <w:t>;</w:t>
      </w:r>
      <w:r w:rsidRPr="00423297">
        <w:t xml:space="preserve"> </w:t>
      </w:r>
    </w:p>
    <w:p w14:paraId="5DD9705F" w14:textId="47BF7DED" w:rsidR="001A62AA" w:rsidRPr="00423297" w:rsidRDefault="00227503" w:rsidP="001A62AA">
      <w:pPr>
        <w:pStyle w:val="subparaa"/>
      </w:pPr>
      <w:r w:rsidRPr="00423297">
        <w:t>the cost of the product</w:t>
      </w:r>
      <w:r w:rsidR="001A62AA" w:rsidRPr="00423297">
        <w:t>;</w:t>
      </w:r>
      <w:r w:rsidRPr="00423297">
        <w:t xml:space="preserve"> </w:t>
      </w:r>
      <w:r w:rsidR="001A62AA" w:rsidRPr="00423297">
        <w:t>and</w:t>
      </w:r>
    </w:p>
    <w:p w14:paraId="012F9525" w14:textId="77777777" w:rsidR="001A62AA" w:rsidRPr="00423297" w:rsidRDefault="00227503" w:rsidP="001A62AA">
      <w:pPr>
        <w:pStyle w:val="subparaa"/>
      </w:pPr>
      <w:r w:rsidRPr="00423297">
        <w:t>information about other significant characteristics or features of</w:t>
      </w:r>
      <w:r w:rsidR="001A62AA" w:rsidRPr="00423297">
        <w:t>:</w:t>
      </w:r>
      <w:r w:rsidRPr="00423297">
        <w:t xml:space="preserve"> </w:t>
      </w:r>
    </w:p>
    <w:p w14:paraId="6F1B2849" w14:textId="77777777" w:rsidR="001A62AA" w:rsidRPr="00423297" w:rsidRDefault="00227503" w:rsidP="001A62AA">
      <w:pPr>
        <w:pStyle w:val="subsubparai"/>
      </w:pPr>
      <w:r w:rsidRPr="00423297">
        <w:lastRenderedPageBreak/>
        <w:t>the product</w:t>
      </w:r>
      <w:r w:rsidR="001A62AA" w:rsidRPr="00423297">
        <w:t>;</w:t>
      </w:r>
      <w:r w:rsidRPr="00423297">
        <w:t xml:space="preserve"> or </w:t>
      </w:r>
    </w:p>
    <w:p w14:paraId="5F1CBAA8" w14:textId="79D4EBC6" w:rsidR="001A62AA" w:rsidRPr="00423297" w:rsidRDefault="00227503" w:rsidP="00953431">
      <w:pPr>
        <w:pStyle w:val="subsubparai"/>
      </w:pPr>
      <w:proofErr w:type="gramStart"/>
      <w:r w:rsidRPr="00423297">
        <w:t>the</w:t>
      </w:r>
      <w:proofErr w:type="gramEnd"/>
      <w:r w:rsidRPr="00423297">
        <w:t xml:space="preserve"> rights, terms, conditions and obligations attaching to the product. </w:t>
      </w:r>
    </w:p>
    <w:p w14:paraId="16BD2FE3" w14:textId="0D18EA56" w:rsidR="00227503" w:rsidRPr="00423297" w:rsidRDefault="00227503" w:rsidP="001A62AA">
      <w:pPr>
        <w:pStyle w:val="BodyText"/>
      </w:pPr>
      <w:bookmarkStart w:id="259" w:name="_ASICRef15"/>
      <w:r w:rsidRPr="00423297">
        <w:t>The PDS must be provided at the time of or before recommending that the consumer purchase an interest in the registered scheme</w:t>
      </w:r>
      <w:r w:rsidR="001A62AA" w:rsidRPr="00423297">
        <w:t>,</w:t>
      </w:r>
      <w:r w:rsidRPr="00423297">
        <w:t xml:space="preserve"> to ensure that the consumer makes an informed decision. Operators </w:t>
      </w:r>
      <w:r w:rsidR="001A62AA" w:rsidRPr="00423297">
        <w:t xml:space="preserve">must </w:t>
      </w:r>
      <w:r w:rsidRPr="00423297">
        <w:t>also meet the enhanced fees and costs disclosure regulations.</w:t>
      </w:r>
      <w:bookmarkEnd w:id="258"/>
      <w:bookmarkEnd w:id="259"/>
    </w:p>
    <w:p w14:paraId="5EA49C04" w14:textId="3E821328" w:rsidR="00547280" w:rsidRPr="00423297" w:rsidRDefault="00547280" w:rsidP="008250FD">
      <w:pPr>
        <w:pStyle w:val="Heading3"/>
      </w:pPr>
      <w:r w:rsidRPr="00423297">
        <w:t>Best interests duty</w:t>
      </w:r>
    </w:p>
    <w:p w14:paraId="71AED5BD" w14:textId="6E8B6085" w:rsidR="001A62AA" w:rsidRPr="00423297" w:rsidRDefault="00547280" w:rsidP="00183335">
      <w:pPr>
        <w:pStyle w:val="BodyText"/>
      </w:pPr>
      <w:bookmarkStart w:id="260" w:name="_Ref4422319"/>
      <w:r w:rsidRPr="00423297">
        <w:t>The best interests duty</w:t>
      </w:r>
      <w:r w:rsidR="001A62AA" w:rsidRPr="00423297">
        <w:t xml:space="preserve"> in Div 2 of Pt 7.7A of the Corporations Act was introduced as a result of the FOFA reforms: for guidance on the duty, see Section E of </w:t>
      </w:r>
      <w:hyperlink r:id="rId54" w:history="1">
        <w:r w:rsidR="001A62AA" w:rsidRPr="00423297">
          <w:rPr>
            <w:rStyle w:val="Hyperlink"/>
          </w:rPr>
          <w:t>Regulatory Guide 175</w:t>
        </w:r>
      </w:hyperlink>
      <w:r w:rsidR="001A62AA" w:rsidRPr="00423297">
        <w:t xml:space="preserve"> </w:t>
      </w:r>
      <w:r w:rsidR="001A62AA" w:rsidRPr="00423297">
        <w:rPr>
          <w:i/>
        </w:rPr>
        <w:t>Licensing: Financial product advisers—Conduct and disclosure</w:t>
      </w:r>
      <w:r w:rsidR="00E745C7" w:rsidRPr="00423297">
        <w:rPr>
          <w:i/>
        </w:rPr>
        <w:t xml:space="preserve"> </w:t>
      </w:r>
      <w:r w:rsidR="00E745C7" w:rsidRPr="00423297">
        <w:t>(RG 175)</w:t>
      </w:r>
      <w:r w:rsidR="001A62AA" w:rsidRPr="00423297">
        <w:t>.</w:t>
      </w:r>
      <w:r w:rsidRPr="00423297">
        <w:t xml:space="preserve"> </w:t>
      </w:r>
    </w:p>
    <w:p w14:paraId="6C02401C" w14:textId="7C376F19" w:rsidR="00547280" w:rsidRPr="00423297" w:rsidRDefault="001A62AA" w:rsidP="00183335">
      <w:pPr>
        <w:pStyle w:val="BodyText"/>
      </w:pPr>
      <w:r w:rsidRPr="00423297">
        <w:t xml:space="preserve">The best </w:t>
      </w:r>
      <w:proofErr w:type="gramStart"/>
      <w:r w:rsidRPr="00423297">
        <w:t>interests</w:t>
      </w:r>
      <w:proofErr w:type="gramEnd"/>
      <w:r w:rsidRPr="00423297">
        <w:t xml:space="preserve"> duty </w:t>
      </w:r>
      <w:r w:rsidR="00547280" w:rsidRPr="00423297">
        <w:t xml:space="preserve">has applied to representatives of operators who provide personal advice to consumers </w:t>
      </w:r>
      <w:r w:rsidRPr="00423297">
        <w:t>on</w:t>
      </w:r>
      <w:r w:rsidR="00547280" w:rsidRPr="00423297">
        <w:t xml:space="preserve"> time-sharing schemes since 1 July 2013.</w:t>
      </w:r>
      <w:bookmarkEnd w:id="260"/>
    </w:p>
    <w:p w14:paraId="2D625946" w14:textId="77777777" w:rsidR="00547280" w:rsidRPr="00423297" w:rsidRDefault="00547280" w:rsidP="00547280">
      <w:pPr>
        <w:pStyle w:val="Note"/>
      </w:pPr>
      <w:r w:rsidRPr="00423297">
        <w:t xml:space="preserve">Note: Any licensed legacy scheme operators who are authorised to provide personal advice are also subject to the best </w:t>
      </w:r>
      <w:proofErr w:type="gramStart"/>
      <w:r w:rsidRPr="00423297">
        <w:t>interests</w:t>
      </w:r>
      <w:proofErr w:type="gramEnd"/>
      <w:r w:rsidRPr="00423297">
        <w:t xml:space="preserve"> duty.</w:t>
      </w:r>
    </w:p>
    <w:p w14:paraId="3107A9DF" w14:textId="77777777" w:rsidR="00547280" w:rsidRPr="00423297" w:rsidRDefault="00547280" w:rsidP="00183335">
      <w:pPr>
        <w:pStyle w:val="BodyText"/>
      </w:pPr>
      <w:bookmarkStart w:id="261" w:name="_Ref4422324"/>
      <w:r w:rsidRPr="00423297">
        <w:t>Under the best interests duty, representatives must:</w:t>
      </w:r>
      <w:bookmarkEnd w:id="261"/>
      <w:r w:rsidRPr="00423297">
        <w:t xml:space="preserve"> </w:t>
      </w:r>
    </w:p>
    <w:p w14:paraId="0E0CA8E1" w14:textId="77777777" w:rsidR="00547280" w:rsidRPr="00423297" w:rsidRDefault="00547280" w:rsidP="00183335">
      <w:pPr>
        <w:pStyle w:val="subparaa"/>
      </w:pPr>
      <w:r w:rsidRPr="00423297">
        <w:t>consider whether it is in the best interests for the consumer to purchase a membership in the registered scheme and advise the consumer accordingly; and</w:t>
      </w:r>
    </w:p>
    <w:p w14:paraId="16B7838D" w14:textId="77777777" w:rsidR="00547280" w:rsidRPr="00423297" w:rsidRDefault="00547280" w:rsidP="00183335">
      <w:pPr>
        <w:pStyle w:val="subparaa"/>
      </w:pPr>
      <w:proofErr w:type="gramStart"/>
      <w:r w:rsidRPr="00423297">
        <w:t>give</w:t>
      </w:r>
      <w:proofErr w:type="gramEnd"/>
      <w:r w:rsidRPr="00423297">
        <w:t xml:space="preserve"> priority to the interests of the consumer over their own interests. </w:t>
      </w:r>
    </w:p>
    <w:p w14:paraId="14420C35" w14:textId="4A348DE4" w:rsidR="00791E60" w:rsidRPr="00423297" w:rsidRDefault="00791E60" w:rsidP="008250FD">
      <w:pPr>
        <w:pStyle w:val="Heading3"/>
      </w:pPr>
      <w:r w:rsidRPr="00423297">
        <w:t>Financial Planners and Advisers Code of Ethics 2019</w:t>
      </w:r>
    </w:p>
    <w:p w14:paraId="1BB87222" w14:textId="10212D38" w:rsidR="00791E60" w:rsidRPr="00423297" w:rsidRDefault="00791E60" w:rsidP="00791E60">
      <w:pPr>
        <w:pStyle w:val="BodyText"/>
      </w:pPr>
      <w:bookmarkStart w:id="262" w:name="_ASICRef871"/>
      <w:bookmarkStart w:id="263" w:name="_ASICRef949"/>
      <w:bookmarkStart w:id="264" w:name="_ASICRef279"/>
      <w:r w:rsidRPr="00423297">
        <w:t xml:space="preserve">Advice providers must comply with the </w:t>
      </w:r>
      <w:r w:rsidR="00E11E42" w:rsidRPr="00423297">
        <w:t>FASEA</w:t>
      </w:r>
      <w:r w:rsidR="00480BAF" w:rsidRPr="00423297">
        <w:t xml:space="preserve"> </w:t>
      </w:r>
      <w:r w:rsidR="00E11E42" w:rsidRPr="00423297">
        <w:t>Code of Ethics</w:t>
      </w:r>
      <w:r w:rsidRPr="00423297">
        <w:t xml:space="preserve">. AFS licensees are required to take reasonable steps to ensure that their advice providers comply with the </w:t>
      </w:r>
      <w:r w:rsidR="00E11E42" w:rsidRPr="00423297">
        <w:t xml:space="preserve">FASEA </w:t>
      </w:r>
      <w:r w:rsidRPr="00423297">
        <w:t>Code of Ethics.</w:t>
      </w:r>
      <w:bookmarkEnd w:id="262"/>
      <w:bookmarkEnd w:id="263"/>
      <w:bookmarkEnd w:id="264"/>
    </w:p>
    <w:p w14:paraId="0DFF4FC2" w14:textId="0A9E407B" w:rsidR="00791E60" w:rsidRPr="00423297" w:rsidRDefault="00791E60" w:rsidP="009E3750">
      <w:pPr>
        <w:pStyle w:val="Note"/>
      </w:pPr>
      <w:r w:rsidRPr="00423297">
        <w:t xml:space="preserve">Note: For information about the reasonable steps that we expect AFS licensees to take to ensure that their financial advisers comply with the </w:t>
      </w:r>
      <w:r w:rsidR="00E11E42" w:rsidRPr="00423297">
        <w:t xml:space="preserve">FASEA </w:t>
      </w:r>
      <w:r w:rsidRPr="00423297">
        <w:t xml:space="preserve">Code of Ethics, see </w:t>
      </w:r>
      <w:hyperlink r:id="rId55" w:history="1">
        <w:r w:rsidRPr="00423297">
          <w:rPr>
            <w:rStyle w:val="Hyperlink"/>
          </w:rPr>
          <w:t>Media Release (19-319MR)</w:t>
        </w:r>
      </w:hyperlink>
      <w:r w:rsidRPr="00423297">
        <w:t xml:space="preserve"> </w:t>
      </w:r>
      <w:r w:rsidRPr="00423297">
        <w:rPr>
          <w:i/>
        </w:rPr>
        <w:t>ASIC outlines approach to advice licensee obligations for the financial adviser code of ethics</w:t>
      </w:r>
      <w:r w:rsidRPr="00423297">
        <w:t xml:space="preserve"> (26 November 2019).</w:t>
      </w:r>
    </w:p>
    <w:p w14:paraId="16A36AF2" w14:textId="741C756A" w:rsidR="00791E60" w:rsidRPr="00423297" w:rsidRDefault="00791E60" w:rsidP="00791E60">
      <w:pPr>
        <w:pStyle w:val="BodyText"/>
      </w:pPr>
      <w:r w:rsidRPr="00423297">
        <w:t xml:space="preserve">In October 2019, FASEA issued </w:t>
      </w:r>
      <w:hyperlink r:id="rId56" w:history="1">
        <w:r w:rsidRPr="00423297">
          <w:rPr>
            <w:rStyle w:val="Hyperlink"/>
          </w:rPr>
          <w:t>FG002</w:t>
        </w:r>
      </w:hyperlink>
      <w:r w:rsidRPr="00423297">
        <w:t xml:space="preserve"> </w:t>
      </w:r>
      <w:r w:rsidRPr="00423297">
        <w:rPr>
          <w:i/>
        </w:rPr>
        <w:t>Financial Planners and Advisers Code of Ethics 2019 guidance</w:t>
      </w:r>
      <w:r w:rsidRPr="00423297">
        <w:t xml:space="preserve">, which outlines how it interprets the code. </w:t>
      </w:r>
    </w:p>
    <w:p w14:paraId="164A7280" w14:textId="425ABF25" w:rsidR="00791E60" w:rsidRPr="00423297" w:rsidRDefault="00791E60" w:rsidP="00791E60">
      <w:pPr>
        <w:pStyle w:val="BodyText"/>
      </w:pPr>
      <w:bookmarkStart w:id="265" w:name="_ASICRef56"/>
      <w:bookmarkStart w:id="266" w:name="_ASICRef364"/>
      <w:bookmarkStart w:id="267" w:name="_ASICRef829"/>
      <w:r w:rsidRPr="00423297">
        <w:t>A</w:t>
      </w:r>
      <w:r w:rsidR="00D52BA6" w:rsidRPr="00423297">
        <w:t>fter consulting</w:t>
      </w:r>
      <w:r w:rsidR="00643E51" w:rsidRPr="00423297">
        <w:t xml:space="preserve"> with</w:t>
      </w:r>
      <w:r w:rsidRPr="00423297">
        <w:t xml:space="preserve"> FASEA</w:t>
      </w:r>
      <w:r w:rsidR="00643E51" w:rsidRPr="00423297">
        <w:t>,</w:t>
      </w:r>
      <w:r w:rsidRPr="00423297">
        <w:t xml:space="preserve"> </w:t>
      </w:r>
      <w:r w:rsidR="00D52BA6" w:rsidRPr="00423297">
        <w:t>o</w:t>
      </w:r>
      <w:r w:rsidRPr="00423297">
        <w:t xml:space="preserve">n 26 November 2019 we announced that we would take a facilitative approach to compliance with Standards 3 and 7 of the </w:t>
      </w:r>
      <w:r w:rsidR="00E11E42" w:rsidRPr="00423297">
        <w:t xml:space="preserve">FASEA </w:t>
      </w:r>
      <w:r w:rsidRPr="00423297">
        <w:t xml:space="preserve">Code of Ethics until the new single disciplinary body for financial advisers (as recommended by the Royal Commission into Misconduct in the Banking, Superannuation and Financial Services Industry) is operational. </w:t>
      </w:r>
      <w:r w:rsidR="00D52BA6" w:rsidRPr="00423297">
        <w:t xml:space="preserve">FASEA consulted on </w:t>
      </w:r>
      <w:r w:rsidR="00643E51" w:rsidRPr="00423297">
        <w:t xml:space="preserve">an updated version of </w:t>
      </w:r>
      <w:hyperlink r:id="rId57" w:history="1">
        <w:r w:rsidR="00643E51" w:rsidRPr="00423297">
          <w:rPr>
            <w:rStyle w:val="Hyperlink"/>
          </w:rPr>
          <w:t>FG002</w:t>
        </w:r>
      </w:hyperlink>
      <w:r w:rsidR="00D52BA6" w:rsidRPr="00423297">
        <w:t xml:space="preserve"> in November and December 2019</w:t>
      </w:r>
      <w:r w:rsidR="00643E51" w:rsidRPr="00423297">
        <w:t>,</w:t>
      </w:r>
      <w:r w:rsidR="00D52BA6" w:rsidRPr="00423297">
        <w:t xml:space="preserve"> and on 20 December 2019 it released a Preliminary Response </w:t>
      </w:r>
      <w:r w:rsidR="00D52BA6" w:rsidRPr="00423297">
        <w:lastRenderedPageBreak/>
        <w:t>on Submissions. A</w:t>
      </w:r>
      <w:r w:rsidR="00A14B2D" w:rsidRPr="00423297">
        <w:t>s</w:t>
      </w:r>
      <w:r w:rsidR="00D52BA6" w:rsidRPr="00423297">
        <w:t xml:space="preserve"> at the date of this RIS,</w:t>
      </w:r>
      <w:r w:rsidR="00A14B2D" w:rsidRPr="00423297">
        <w:t xml:space="preserve"> </w:t>
      </w:r>
      <w:r w:rsidR="00D52BA6" w:rsidRPr="00423297">
        <w:t>FASEA contin</w:t>
      </w:r>
      <w:r w:rsidR="00A14B2D" w:rsidRPr="00423297">
        <w:t>u</w:t>
      </w:r>
      <w:r w:rsidR="00D52BA6" w:rsidRPr="00423297">
        <w:t>es to consult on the guidance for the code.</w:t>
      </w:r>
      <w:bookmarkEnd w:id="265"/>
      <w:bookmarkEnd w:id="266"/>
      <w:bookmarkEnd w:id="267"/>
    </w:p>
    <w:p w14:paraId="11D6B114" w14:textId="02D14F55" w:rsidR="00791E60" w:rsidRPr="00423297" w:rsidRDefault="00791E60" w:rsidP="009E3750">
      <w:pPr>
        <w:pStyle w:val="Note"/>
      </w:pPr>
      <w:r w:rsidRPr="00423297">
        <w:t>Note: For more information about ASIC</w:t>
      </w:r>
      <w:r w:rsidR="00D61E78">
        <w:t>’</w:t>
      </w:r>
      <w:r w:rsidRPr="00423297">
        <w:t xml:space="preserve">s facilitative approach to compliance with the code, see </w:t>
      </w:r>
      <w:hyperlink r:id="rId58" w:history="1">
        <w:r w:rsidRPr="00423297">
          <w:rPr>
            <w:rStyle w:val="Hyperlink"/>
          </w:rPr>
          <w:t>19-319MR</w:t>
        </w:r>
      </w:hyperlink>
      <w:r w:rsidRPr="00423297">
        <w:t>.</w:t>
      </w:r>
    </w:p>
    <w:p w14:paraId="193E7A76" w14:textId="6666E3E7" w:rsidR="00547280" w:rsidRPr="00423297" w:rsidRDefault="00547280" w:rsidP="008250FD">
      <w:pPr>
        <w:pStyle w:val="Heading3"/>
      </w:pPr>
      <w:r w:rsidRPr="00423297">
        <w:t>Hawking prohibitions</w:t>
      </w:r>
    </w:p>
    <w:p w14:paraId="0CECCA3A" w14:textId="4E55236D" w:rsidR="00547280" w:rsidRPr="00423297" w:rsidRDefault="00547280" w:rsidP="00183335">
      <w:pPr>
        <w:pStyle w:val="BodyText"/>
      </w:pPr>
      <w:bookmarkStart w:id="268" w:name="_Ref4422403"/>
      <w:r w:rsidRPr="00423297">
        <w:t xml:space="preserve">The hawking prohibitions </w:t>
      </w:r>
      <w:r w:rsidR="0082320A" w:rsidRPr="00423297">
        <w:t xml:space="preserve">were introduced into the Corporations Act in </w:t>
      </w:r>
      <w:r w:rsidRPr="00423297">
        <w:t>2007.</w:t>
      </w:r>
      <w:bookmarkEnd w:id="268"/>
    </w:p>
    <w:p w14:paraId="7316BFE0" w14:textId="00B20A29" w:rsidR="00547280" w:rsidRPr="00423297" w:rsidRDefault="00547280" w:rsidP="00183335">
      <w:pPr>
        <w:pStyle w:val="BodyText"/>
      </w:pPr>
      <w:bookmarkStart w:id="269" w:name="_Ref4422405"/>
      <w:r w:rsidRPr="00423297">
        <w:t>Under the hawking prohibitions, representatives are prohibited from offering an interest in a time-sharing scheme during, or because of, an unsolicited meeting or telephone call with a retail client. An offer of an inducement to participate in a survey on holiday destinations or to hear information about holidays without mention that this will be a presentation for a time-sharing scheme is an example of hawking.</w:t>
      </w:r>
      <w:bookmarkEnd w:id="269"/>
    </w:p>
    <w:p w14:paraId="4EBEE7FB" w14:textId="4A407354" w:rsidR="00D3186F" w:rsidRPr="00423297" w:rsidRDefault="004D32A0" w:rsidP="008250FD">
      <w:pPr>
        <w:pStyle w:val="Heading3"/>
      </w:pPr>
      <w:r>
        <w:t>Obligations on related finance providers</w:t>
      </w:r>
    </w:p>
    <w:p w14:paraId="42F6C8C3" w14:textId="12FBFF52" w:rsidR="004D32A0" w:rsidRDefault="004D32A0" w:rsidP="004D32A0">
      <w:pPr>
        <w:pStyle w:val="BodyText"/>
      </w:pPr>
      <w:bookmarkStart w:id="270" w:name="_Ref4422526"/>
      <w:r>
        <w:t xml:space="preserve">The National Credit Act and National Credit Code were made in 2010. The National Credit Act includes obligations for persons who engage in credit activities to be licensed, and for credit licensees to meet a range of </w:t>
      </w:r>
      <w:r w:rsidR="00D61E78">
        <w:t>‘</w:t>
      </w:r>
      <w:r>
        <w:t>responsible lending</w:t>
      </w:r>
      <w:r w:rsidR="00D61E78">
        <w:t>’</w:t>
      </w:r>
      <w:r>
        <w:t xml:space="preserve"> requirements, including disclosure requirements and provisions to prevent entry into unsuitable loans. </w:t>
      </w:r>
    </w:p>
    <w:p w14:paraId="33CEAAAC" w14:textId="1305C777" w:rsidR="004D32A0" w:rsidRDefault="004D32A0" w:rsidP="004D32A0">
      <w:pPr>
        <w:pStyle w:val="BodyText"/>
      </w:pPr>
      <w:r>
        <w:t xml:space="preserve">The Government has recently announced proposed reforms to replace some of the existing responsible lending obligations, which relate to </w:t>
      </w:r>
      <w:r w:rsidR="0077349E">
        <w:t>assessment of whether a loan is unsuitable for the consumer, with new obligations based on prudential standards for sound credit assessment.</w:t>
      </w:r>
    </w:p>
    <w:p w14:paraId="5FC1C8D7" w14:textId="139480F4" w:rsidR="0077349E" w:rsidRDefault="0077349E" w:rsidP="004D32A0">
      <w:pPr>
        <w:pStyle w:val="BodyText"/>
      </w:pPr>
      <w:bookmarkStart w:id="271" w:name="_Ref56118400"/>
      <w:r>
        <w:t>Under the National Credit Code, consumers who have purchased an interest in a time</w:t>
      </w:r>
      <w:r w:rsidR="00F72D9F">
        <w:t>-</w:t>
      </w:r>
      <w:r>
        <w:t>sharing</w:t>
      </w:r>
      <w:r w:rsidR="00F72D9F">
        <w:t xml:space="preserve"> </w:t>
      </w:r>
      <w:r>
        <w:t>scheme using a loan from a related finance provider may also have additional rights to terminate the loan if they exercise their cooling off rights: see s135 of the National Credit Code.</w:t>
      </w:r>
      <w:bookmarkEnd w:id="271"/>
      <w:r>
        <w:t xml:space="preserve"> </w:t>
      </w:r>
    </w:p>
    <w:bookmarkEnd w:id="270"/>
    <w:p w14:paraId="17AA450C" w14:textId="7D306FD2" w:rsidR="00547280" w:rsidRPr="00423297" w:rsidRDefault="00547280" w:rsidP="008250FD">
      <w:pPr>
        <w:pStyle w:val="Heading3"/>
      </w:pPr>
      <w:r w:rsidRPr="00423297">
        <w:t xml:space="preserve">ASIC </w:t>
      </w:r>
      <w:r w:rsidR="00183335" w:rsidRPr="00423297">
        <w:t>r</w:t>
      </w:r>
      <w:r w:rsidRPr="00423297">
        <w:t>elief</w:t>
      </w:r>
    </w:p>
    <w:p w14:paraId="7A27A237" w14:textId="17F94D29" w:rsidR="00547280" w:rsidRPr="00423297" w:rsidRDefault="00547280" w:rsidP="00183335">
      <w:pPr>
        <w:pStyle w:val="BodyText"/>
        <w:rPr>
          <w:color w:val="000000"/>
        </w:rPr>
      </w:pPr>
      <w:r w:rsidRPr="00423297">
        <w:t xml:space="preserve">Since 2000, </w:t>
      </w:r>
      <w:r w:rsidR="00535735" w:rsidRPr="00423297">
        <w:t>we have</w:t>
      </w:r>
      <w:r w:rsidRPr="00423297">
        <w:t xml:space="preserve"> granted conditional technical relief </w:t>
      </w:r>
      <w:r w:rsidR="00535735" w:rsidRPr="00423297">
        <w:t>through</w:t>
      </w:r>
      <w:r w:rsidRPr="00423297">
        <w:t>:</w:t>
      </w:r>
    </w:p>
    <w:p w14:paraId="5D871569" w14:textId="7C01D813" w:rsidR="00547280" w:rsidRPr="00423297" w:rsidRDefault="00547280" w:rsidP="00183335">
      <w:pPr>
        <w:pStyle w:val="subparaa"/>
        <w:rPr>
          <w:color w:val="000000"/>
        </w:rPr>
      </w:pPr>
      <w:r w:rsidRPr="00423297">
        <w:t>a series of class orders to operators of registered schemes</w:t>
      </w:r>
      <w:r w:rsidR="00535735" w:rsidRPr="00423297">
        <w:t xml:space="preserve"> (see [SCO 00/2460], [SCO 02/315] and [SCO 03/104])</w:t>
      </w:r>
      <w:r w:rsidRPr="00423297">
        <w:t>; and</w:t>
      </w:r>
    </w:p>
    <w:p w14:paraId="224D39AF" w14:textId="52B4FC06" w:rsidR="00547280" w:rsidRPr="00423297" w:rsidRDefault="00547280" w:rsidP="00183335">
      <w:pPr>
        <w:pStyle w:val="subparaa"/>
        <w:rPr>
          <w:color w:val="000000"/>
        </w:rPr>
      </w:pPr>
      <w:proofErr w:type="gramStart"/>
      <w:r w:rsidRPr="00423297">
        <w:t>individual</w:t>
      </w:r>
      <w:proofErr w:type="gramEnd"/>
      <w:r w:rsidRPr="00423297">
        <w:t xml:space="preserve"> pro forma and novel relief to legacy schemes operators</w:t>
      </w:r>
      <w:r w:rsidR="00535735" w:rsidRPr="00423297">
        <w:t xml:space="preserve"> (individual pro forma relief based on PF 205, PF 206 and PF 207, since withdrawn)</w:t>
      </w:r>
      <w:r w:rsidRPr="00423297">
        <w:t>.</w:t>
      </w:r>
    </w:p>
    <w:p w14:paraId="07AAAE91" w14:textId="463EC233" w:rsidR="00547280" w:rsidRPr="00423297" w:rsidRDefault="00547280" w:rsidP="008250FD">
      <w:pPr>
        <w:pStyle w:val="Heading4"/>
      </w:pPr>
      <w:r w:rsidRPr="00423297">
        <w:lastRenderedPageBreak/>
        <w:t xml:space="preserve">Existing cooling-off </w:t>
      </w:r>
      <w:r w:rsidR="00DD2FD6" w:rsidRPr="00423297">
        <w:t xml:space="preserve">model </w:t>
      </w:r>
      <w:r w:rsidRPr="00423297">
        <w:t>a condition of purchase price relief</w:t>
      </w:r>
    </w:p>
    <w:p w14:paraId="39F7A8CC" w14:textId="32DD320B" w:rsidR="00547280" w:rsidRPr="00423297" w:rsidRDefault="00535735" w:rsidP="00183335">
      <w:pPr>
        <w:pStyle w:val="BodyText"/>
      </w:pPr>
      <w:r w:rsidRPr="00423297">
        <w:t>We have</w:t>
      </w:r>
      <w:r w:rsidR="00547280" w:rsidRPr="00423297">
        <w:t xml:space="preserve"> given relief to operators of registered schemes in </w:t>
      </w:r>
      <w:hyperlink r:id="rId59" w:history="1">
        <w:r w:rsidR="007A56F9" w:rsidRPr="00423297">
          <w:rPr>
            <w:rStyle w:val="Hyperlink"/>
          </w:rPr>
          <w:t>ASIC Corporations (Time-sharing Schemes) Instrument 2017/272</w:t>
        </w:r>
      </w:hyperlink>
      <w:r w:rsidR="00547280" w:rsidRPr="00423297">
        <w:t xml:space="preserve"> to relieve them from the: </w:t>
      </w:r>
    </w:p>
    <w:p w14:paraId="6D1375D2" w14:textId="0AE31C45" w:rsidR="00547280" w:rsidRPr="00423297" w:rsidRDefault="00547280" w:rsidP="00183335">
      <w:pPr>
        <w:pStyle w:val="subparaa"/>
      </w:pPr>
      <w:r w:rsidRPr="00423297">
        <w:t>requirements in the Corporations Act to specify the price to purchase an interest in the scheme</w:t>
      </w:r>
      <w:r w:rsidR="00D61E78">
        <w:t>’</w:t>
      </w:r>
      <w:r w:rsidRPr="00423297">
        <w:t>s constitution and have scheme property valued at regular intervals</w:t>
      </w:r>
      <w:r w:rsidR="00DB41D4" w:rsidRPr="00423297">
        <w:t xml:space="preserve"> (this relief is subject to conditions)</w:t>
      </w:r>
      <w:r w:rsidRPr="00423297">
        <w:t>; and</w:t>
      </w:r>
    </w:p>
    <w:p w14:paraId="1E9BDFB8" w14:textId="77777777" w:rsidR="00547280" w:rsidRPr="00423297" w:rsidRDefault="00547280" w:rsidP="00183335">
      <w:pPr>
        <w:pStyle w:val="subparaa"/>
      </w:pPr>
      <w:proofErr w:type="gramStart"/>
      <w:r w:rsidRPr="00423297">
        <w:rPr>
          <w:color w:val="000000"/>
        </w:rPr>
        <w:t>restrictions</w:t>
      </w:r>
      <w:proofErr w:type="gramEnd"/>
      <w:r w:rsidRPr="00423297">
        <w:rPr>
          <w:color w:val="000000"/>
        </w:rPr>
        <w:t xml:space="preserve"> in the Corporations Act around acquiring and holding forfeited interests in the scheme.</w:t>
      </w:r>
    </w:p>
    <w:p w14:paraId="5CE25502" w14:textId="7531C262" w:rsidR="00547280" w:rsidRPr="00423297" w:rsidRDefault="00547280" w:rsidP="00183335">
      <w:pPr>
        <w:pStyle w:val="BodyText"/>
      </w:pPr>
      <w:bookmarkStart w:id="272" w:name="_Ref5113200"/>
      <w:r w:rsidRPr="00423297">
        <w:t xml:space="preserve">To </w:t>
      </w:r>
      <w:r w:rsidR="00535735" w:rsidRPr="00423297">
        <w:t xml:space="preserve">reduce the </w:t>
      </w:r>
      <w:r w:rsidR="00AA7698" w:rsidRPr="00423297">
        <w:t>consumer harm</w:t>
      </w:r>
      <w:r w:rsidRPr="00423297">
        <w:t xml:space="preserve"> arising from same-day sales, it is a condition of the purchase price relief that</w:t>
      </w:r>
      <w:r w:rsidRPr="00423297">
        <w:rPr>
          <w:color w:val="000000"/>
        </w:rPr>
        <w:t xml:space="preserve"> </w:t>
      </w:r>
      <w:r w:rsidRPr="00423297">
        <w:t>operators of registered schemes must</w:t>
      </w:r>
      <w:r w:rsidRPr="00423297">
        <w:rPr>
          <w:color w:val="000000"/>
        </w:rPr>
        <w:t>:</w:t>
      </w:r>
      <w:bookmarkEnd w:id="272"/>
      <w:r w:rsidRPr="00423297">
        <w:rPr>
          <w:color w:val="000000"/>
        </w:rPr>
        <w:t xml:space="preserve"> </w:t>
      </w:r>
    </w:p>
    <w:p w14:paraId="71E40C49" w14:textId="3CB49E75" w:rsidR="00547280" w:rsidRPr="00423297" w:rsidRDefault="00547280" w:rsidP="00183335">
      <w:pPr>
        <w:pStyle w:val="subparaa"/>
      </w:pPr>
      <w:r w:rsidRPr="00423297">
        <w:t xml:space="preserve">enable consumers to withdraw their application to purchase membership (or </w:t>
      </w:r>
      <w:r w:rsidR="009A2E85" w:rsidRPr="00423297">
        <w:t>cool</w:t>
      </w:r>
      <w:r w:rsidR="00535735" w:rsidRPr="00423297">
        <w:t xml:space="preserve"> </w:t>
      </w:r>
      <w:r w:rsidRPr="00423297">
        <w:t>off) during the 7-day cooling-off period for registered schemes operated by ATHOC members or 14-day cooling-off period for registered schemes that are not ATHOC members;</w:t>
      </w:r>
    </w:p>
    <w:p w14:paraId="782FCF88" w14:textId="3AA166BB" w:rsidR="00FE4804" w:rsidRPr="00423297" w:rsidRDefault="00FE4804" w:rsidP="008D5D3E">
      <w:pPr>
        <w:pStyle w:val="Note"/>
      </w:pPr>
      <w:r w:rsidRPr="00423297">
        <w:t xml:space="preserve">Note: </w:t>
      </w:r>
      <w:r w:rsidR="00BA52E8" w:rsidRPr="00423297">
        <w:t xml:space="preserve">Four of the five operators </w:t>
      </w:r>
      <w:r w:rsidRPr="00423297">
        <w:t>of active registered schemes are currently ATHOC members.</w:t>
      </w:r>
    </w:p>
    <w:p w14:paraId="54B82F33" w14:textId="77777777" w:rsidR="00547280" w:rsidRPr="00423297" w:rsidRDefault="00547280" w:rsidP="00183335">
      <w:pPr>
        <w:pStyle w:val="subparaa"/>
      </w:pPr>
      <w:r w:rsidRPr="00423297">
        <w:t xml:space="preserve">make disclosure about the cooling-off rights in a cooling-off statement and </w:t>
      </w:r>
      <w:r w:rsidRPr="00423297">
        <w:rPr>
          <w:color w:val="000000"/>
        </w:rPr>
        <w:t>PDS;</w:t>
      </w:r>
      <w:r w:rsidRPr="00423297">
        <w:t xml:space="preserve"> and</w:t>
      </w:r>
    </w:p>
    <w:p w14:paraId="38F799E9" w14:textId="5EB1C909" w:rsidR="00547280" w:rsidRPr="00423297" w:rsidRDefault="00547280" w:rsidP="00183335">
      <w:pPr>
        <w:pStyle w:val="subparaa"/>
      </w:pPr>
      <w:proofErr w:type="gramStart"/>
      <w:r w:rsidRPr="00423297">
        <w:t>return</w:t>
      </w:r>
      <w:proofErr w:type="gramEnd"/>
      <w:r w:rsidRPr="00423297">
        <w:t xml:space="preserve"> all money paid by the consumer to purchase an interest if the consumer exercises their cooling-off rights during the cooling-off period.</w:t>
      </w:r>
    </w:p>
    <w:p w14:paraId="6AACD8B1" w14:textId="7A46E0AC" w:rsidR="00B95447" w:rsidRPr="00423297" w:rsidRDefault="008D032D" w:rsidP="00183335">
      <w:pPr>
        <w:pStyle w:val="BodyText"/>
      </w:pPr>
      <w:bookmarkStart w:id="273" w:name="_Hlk10630394"/>
      <w:r w:rsidRPr="00423297">
        <w:t>We</w:t>
      </w:r>
      <w:r w:rsidR="00B95447" w:rsidRPr="00423297">
        <w:t xml:space="preserve"> </w:t>
      </w:r>
      <w:r w:rsidR="000969FF" w:rsidRPr="00423297">
        <w:t xml:space="preserve">currently </w:t>
      </w:r>
      <w:r w:rsidR="00B95447" w:rsidRPr="00423297">
        <w:t>provide cooling-off concessions to ATHOC members to encourage ATHOC membership</w:t>
      </w:r>
      <w:r w:rsidRPr="00423297">
        <w:t>.</w:t>
      </w:r>
      <w:r w:rsidR="00B95447" w:rsidRPr="00423297">
        <w:t xml:space="preserve"> </w:t>
      </w:r>
      <w:r w:rsidRPr="00423297">
        <w:t>M</w:t>
      </w:r>
      <w:r w:rsidR="00B95447" w:rsidRPr="00423297">
        <w:t>embership is open to the time-shar</w:t>
      </w:r>
      <w:r w:rsidRPr="00423297">
        <w:t xml:space="preserve">ing </w:t>
      </w:r>
      <w:r w:rsidR="00B95447" w:rsidRPr="00423297">
        <w:t>industry</w:t>
      </w:r>
      <w:r w:rsidRPr="00423297">
        <w:t>,</w:t>
      </w:r>
      <w:r w:rsidR="00B95447" w:rsidRPr="00423297">
        <w:t xml:space="preserve"> and all ATHOC members are subject to co-regulatory oversight and ATHOC</w:t>
      </w:r>
      <w:r w:rsidR="00D61E78">
        <w:t>’</w:t>
      </w:r>
      <w:r w:rsidR="00B95447" w:rsidRPr="00423297">
        <w:t>s Code of Ethics and Code of Practice.</w:t>
      </w:r>
    </w:p>
    <w:bookmarkEnd w:id="273"/>
    <w:p w14:paraId="657A3C9A" w14:textId="57119662" w:rsidR="00912914" w:rsidRPr="00423297" w:rsidRDefault="00B95447" w:rsidP="00183335">
      <w:pPr>
        <w:pStyle w:val="BodyText"/>
      </w:pPr>
      <w:r w:rsidRPr="00423297">
        <w:t xml:space="preserve">While there are no withdrawal rights after the end of the applicable cooling-off period, some operators provide informal </w:t>
      </w:r>
      <w:r w:rsidR="00D61E78">
        <w:t>‘</w:t>
      </w:r>
      <w:r w:rsidRPr="00423297">
        <w:t>subject to finance</w:t>
      </w:r>
      <w:r w:rsidR="00D61E78">
        <w:t>’</w:t>
      </w:r>
      <w:r w:rsidRPr="00423297">
        <w:t xml:space="preserve"> arrangements.</w:t>
      </w:r>
    </w:p>
    <w:p w14:paraId="3D053D37" w14:textId="70AD028E" w:rsidR="00547280" w:rsidRPr="00423297" w:rsidRDefault="00547280" w:rsidP="008250FD">
      <w:pPr>
        <w:pStyle w:val="Heading3"/>
      </w:pPr>
      <w:r w:rsidRPr="00423297">
        <w:t xml:space="preserve">ASIC </w:t>
      </w:r>
      <w:r w:rsidR="00183335" w:rsidRPr="00423297">
        <w:t>g</w:t>
      </w:r>
      <w:r w:rsidRPr="00423297">
        <w:t>uidance</w:t>
      </w:r>
    </w:p>
    <w:p w14:paraId="0D0A398E" w14:textId="6AD59262" w:rsidR="00547280" w:rsidRPr="00423297" w:rsidRDefault="00D53DE5" w:rsidP="00183335">
      <w:pPr>
        <w:pStyle w:val="BodyText"/>
      </w:pPr>
      <w:hyperlink r:id="rId60" w:history="1">
        <w:r w:rsidR="00547280" w:rsidRPr="00423297">
          <w:rPr>
            <w:rStyle w:val="Hyperlink"/>
          </w:rPr>
          <w:t>RG 160</w:t>
        </w:r>
      </w:hyperlink>
      <w:r w:rsidR="00547280" w:rsidRPr="00423297">
        <w:t xml:space="preserve"> sets out </w:t>
      </w:r>
      <w:r w:rsidR="008D032D" w:rsidRPr="00423297">
        <w:t>our</w:t>
      </w:r>
      <w:r w:rsidR="00547280" w:rsidRPr="00423297">
        <w:t xml:space="preserve"> guidance </w:t>
      </w:r>
      <w:r w:rsidR="008D032D" w:rsidRPr="00423297">
        <w:t>on</w:t>
      </w:r>
      <w:r w:rsidR="00547280" w:rsidRPr="00423297">
        <w:t xml:space="preserve"> time-sharing schemes but does not currently provide specific guidance</w:t>
      </w:r>
      <w:r w:rsidR="00BB7542" w:rsidRPr="00423297">
        <w:t xml:space="preserve"> to the time-sharing industry</w:t>
      </w:r>
      <w:r w:rsidR="00547280" w:rsidRPr="00423297">
        <w:t xml:space="preserve"> about the existing obligations.</w:t>
      </w:r>
    </w:p>
    <w:p w14:paraId="5C4EB681" w14:textId="77777777" w:rsidR="00547280" w:rsidRPr="00423297" w:rsidRDefault="00547280" w:rsidP="008250FD">
      <w:pPr>
        <w:pStyle w:val="Heading3"/>
      </w:pPr>
      <w:r w:rsidRPr="00423297">
        <w:t>ASIC licensing</w:t>
      </w:r>
    </w:p>
    <w:p w14:paraId="52BC5C5D" w14:textId="0AE96D8C" w:rsidR="00547280" w:rsidRPr="00423297" w:rsidRDefault="008D032D" w:rsidP="00183335">
      <w:pPr>
        <w:pStyle w:val="BodyText"/>
      </w:pPr>
      <w:r w:rsidRPr="00423297">
        <w:t>We have</w:t>
      </w:r>
      <w:r w:rsidR="00547280" w:rsidRPr="00423297">
        <w:t xml:space="preserve"> imposed specific licence conditions</w:t>
      </w:r>
      <w:r w:rsidRPr="00423297">
        <w:t>,</w:t>
      </w:r>
      <w:r w:rsidR="00547280" w:rsidRPr="00423297">
        <w:t xml:space="preserve"> tailored to time-sharing schemes</w:t>
      </w:r>
      <w:r w:rsidRPr="00423297">
        <w:t>,</w:t>
      </w:r>
      <w:r w:rsidR="00547280" w:rsidRPr="00423297">
        <w:t xml:space="preserve"> on operators, promoters and dealers</w:t>
      </w:r>
      <w:r w:rsidR="006C04F4" w:rsidRPr="00423297">
        <w:t xml:space="preserve"> who require a licence </w:t>
      </w:r>
      <w:r w:rsidR="00AF6850" w:rsidRPr="00423297">
        <w:t>to operate or deal in interests in a registered scheme</w:t>
      </w:r>
      <w:r w:rsidR="00547280" w:rsidRPr="00423297">
        <w:t xml:space="preserve">. </w:t>
      </w:r>
      <w:r w:rsidR="00AF6850" w:rsidRPr="00423297">
        <w:t>Some of these conditions also apply to exempt operators as conditions of relying on technical relief.</w:t>
      </w:r>
    </w:p>
    <w:p w14:paraId="1F302C09" w14:textId="77777777" w:rsidR="00547280" w:rsidRPr="00423297" w:rsidRDefault="00547280" w:rsidP="00183335">
      <w:pPr>
        <w:pStyle w:val="Heading3"/>
      </w:pPr>
      <w:r w:rsidRPr="00423297">
        <w:lastRenderedPageBreak/>
        <w:t>ASIC review of policy settings</w:t>
      </w:r>
    </w:p>
    <w:p w14:paraId="16161D5A" w14:textId="3A8B35F6" w:rsidR="00547280" w:rsidRPr="00423297" w:rsidRDefault="008D032D" w:rsidP="00183335">
      <w:pPr>
        <w:pStyle w:val="BodyText"/>
      </w:pPr>
      <w:r w:rsidRPr="00423297">
        <w:t>We</w:t>
      </w:r>
      <w:r w:rsidR="00547280" w:rsidRPr="00423297">
        <w:t xml:space="preserve"> last substantively reviewed the policy settings for time-sharing schemes in February </w:t>
      </w:r>
      <w:r w:rsidR="0040190A" w:rsidRPr="00423297">
        <w:t>2009</w:t>
      </w:r>
      <w:r w:rsidR="00547280" w:rsidRPr="00423297">
        <w:t>.</w:t>
      </w:r>
    </w:p>
    <w:p w14:paraId="106AAA94" w14:textId="1E5DA7E6" w:rsidR="009B38D4" w:rsidRPr="00423297" w:rsidRDefault="00547280" w:rsidP="00183335">
      <w:pPr>
        <w:pStyle w:val="BodyText"/>
      </w:pPr>
      <w:r w:rsidRPr="00423297">
        <w:t xml:space="preserve">In November 2016, </w:t>
      </w:r>
      <w:r w:rsidR="008D032D" w:rsidRPr="00423297">
        <w:t>we</w:t>
      </w:r>
      <w:r w:rsidRPr="00423297">
        <w:t xml:space="preserve"> issued </w:t>
      </w:r>
      <w:hyperlink r:id="rId61" w:history="1">
        <w:r w:rsidRPr="00423297">
          <w:rPr>
            <w:rStyle w:val="Hyperlink"/>
          </w:rPr>
          <w:t>CP 272</w:t>
        </w:r>
      </w:hyperlink>
      <w:r w:rsidR="00902558" w:rsidRPr="00423297">
        <w:t xml:space="preserve">, </w:t>
      </w:r>
      <w:r w:rsidRPr="00423297">
        <w:t>seeking feedback on</w:t>
      </w:r>
      <w:r w:rsidR="009B38D4" w:rsidRPr="00423297">
        <w:t>:</w:t>
      </w:r>
      <w:r w:rsidRPr="00423297">
        <w:t xml:space="preserve"> </w:t>
      </w:r>
    </w:p>
    <w:p w14:paraId="72A1AD11" w14:textId="65B1CDE3" w:rsidR="009B38D4" w:rsidRPr="00423297" w:rsidRDefault="00547280" w:rsidP="009B38D4">
      <w:pPr>
        <w:pStyle w:val="subparaa"/>
      </w:pPr>
      <w:r w:rsidRPr="00423297">
        <w:t xml:space="preserve">our proposals to remake the three class orders </w:t>
      </w:r>
      <w:r w:rsidR="00902558" w:rsidRPr="00423297">
        <w:t>that</w:t>
      </w:r>
      <w:r w:rsidRPr="00423297">
        <w:t xml:space="preserve"> were due to expire or sunset in April and October 2017</w:t>
      </w:r>
      <w:r w:rsidR="009B38D4" w:rsidRPr="00423297">
        <w:t>;</w:t>
      </w:r>
      <w:r w:rsidRPr="00423297">
        <w:t xml:space="preserve"> and </w:t>
      </w:r>
    </w:p>
    <w:p w14:paraId="3B8EE5EC" w14:textId="2717B4F0" w:rsidR="009B38D4" w:rsidRPr="00423297" w:rsidRDefault="00547280" w:rsidP="009B38D4">
      <w:pPr>
        <w:pStyle w:val="subparaa"/>
      </w:pPr>
      <w:proofErr w:type="gramStart"/>
      <w:r w:rsidRPr="00423297">
        <w:t>proposed</w:t>
      </w:r>
      <w:proofErr w:type="gramEnd"/>
      <w:r w:rsidRPr="00423297">
        <w:t xml:space="preserve"> amendments to our policy settings for time-sharing schemes.</w:t>
      </w:r>
      <w:r w:rsidR="00BD3A69">
        <w:t xml:space="preserve"> </w:t>
      </w:r>
    </w:p>
    <w:p w14:paraId="28BB2DC6" w14:textId="128DA9C0" w:rsidR="00547280" w:rsidRPr="00423297" w:rsidRDefault="009B38D4" w:rsidP="008510FF">
      <w:pPr>
        <w:pStyle w:val="BodyText"/>
      </w:pPr>
      <w:r w:rsidRPr="00423297">
        <w:t>We</w:t>
      </w:r>
      <w:r w:rsidR="00547280" w:rsidRPr="00423297">
        <w:t xml:space="preserve"> published </w:t>
      </w:r>
      <w:hyperlink r:id="rId62" w:history="1">
        <w:r w:rsidR="00547280" w:rsidRPr="00423297">
          <w:rPr>
            <w:rStyle w:val="Hyperlink"/>
          </w:rPr>
          <w:t>REP 522</w:t>
        </w:r>
      </w:hyperlink>
      <w:r w:rsidRPr="00423297">
        <w:t>, setting out the feedback we received,</w:t>
      </w:r>
      <w:r w:rsidR="00547280" w:rsidRPr="00423297">
        <w:t xml:space="preserve"> in April 2017.</w:t>
      </w:r>
      <w:r w:rsidRPr="00423297">
        <w:t xml:space="preserve"> We received</w:t>
      </w:r>
      <w:r w:rsidR="00547280" w:rsidRPr="00423297">
        <w:t xml:space="preserve"> divergent feedback </w:t>
      </w:r>
      <w:r w:rsidRPr="00423297">
        <w:t>about these proposed amendments</w:t>
      </w:r>
      <w:r w:rsidR="00547280" w:rsidRPr="00423297">
        <w:t xml:space="preserve"> from industry and consumer representatives</w:t>
      </w:r>
      <w:r w:rsidRPr="00423297">
        <w:t>.</w:t>
      </w:r>
      <w:r w:rsidR="00547280" w:rsidRPr="00423297">
        <w:t xml:space="preserve"> </w:t>
      </w:r>
      <w:r w:rsidRPr="00423297">
        <w:t>Given</w:t>
      </w:r>
      <w:r w:rsidR="00547280" w:rsidRPr="00423297">
        <w:t xml:space="preserve"> the looming sunsetting date, </w:t>
      </w:r>
      <w:r w:rsidRPr="00423297">
        <w:t>we</w:t>
      </w:r>
      <w:r w:rsidR="00547280" w:rsidRPr="00423297">
        <w:t xml:space="preserve"> remade the relief in the form of </w:t>
      </w:r>
      <w:hyperlink r:id="rId63" w:history="1">
        <w:r w:rsidRPr="00423297">
          <w:rPr>
            <w:rStyle w:val="Hyperlink"/>
          </w:rPr>
          <w:t xml:space="preserve">ASIC Corporations (Time-sharing Schemes) </w:t>
        </w:r>
        <w:r w:rsidR="00564B7B" w:rsidRPr="00423297">
          <w:rPr>
            <w:rStyle w:val="Hyperlink"/>
          </w:rPr>
          <w:t>Instrument 2017/272</w:t>
        </w:r>
      </w:hyperlink>
      <w:r w:rsidR="00564B7B" w:rsidRPr="00423297">
        <w:t xml:space="preserve"> </w:t>
      </w:r>
      <w:r w:rsidR="00547280" w:rsidRPr="00423297">
        <w:t xml:space="preserve">and continued to engage in </w:t>
      </w:r>
      <w:r w:rsidR="00AB0C15" w:rsidRPr="00423297">
        <w:t xml:space="preserve">further </w:t>
      </w:r>
      <w:r w:rsidR="00547280" w:rsidRPr="00423297">
        <w:t>consultation with industry and consumer representatives about the proposed amendments</w:t>
      </w:r>
      <w:r w:rsidR="00E27C1F" w:rsidRPr="00423297">
        <w:t>.</w:t>
      </w:r>
      <w:r w:rsidR="00547280" w:rsidRPr="00423297">
        <w:t xml:space="preserve"> </w:t>
      </w:r>
    </w:p>
    <w:p w14:paraId="2FD7C718" w14:textId="149ABB95" w:rsidR="00547280" w:rsidRPr="00423297" w:rsidRDefault="00547280" w:rsidP="00183335">
      <w:pPr>
        <w:pStyle w:val="BodyText"/>
      </w:pPr>
      <w:r w:rsidRPr="00423297">
        <w:t>Legacy schemes continue to operate under their respective instruments of individual relief</w:t>
      </w:r>
      <w:r w:rsidR="009B38D4" w:rsidRPr="00423297">
        <w:t>;</w:t>
      </w:r>
      <w:r w:rsidRPr="00423297">
        <w:t xml:space="preserve"> however</w:t>
      </w:r>
      <w:r w:rsidR="009B38D4" w:rsidRPr="00423297">
        <w:t>,</w:t>
      </w:r>
      <w:r w:rsidRPr="00423297">
        <w:t xml:space="preserve"> </w:t>
      </w:r>
      <w:r w:rsidR="009B38D4" w:rsidRPr="00423297">
        <w:t>we</w:t>
      </w:r>
      <w:r w:rsidRPr="00423297">
        <w:t xml:space="preserve"> revoked PF 205, PF 206 and PF 207</w:t>
      </w:r>
      <w:r w:rsidR="009B38D4" w:rsidRPr="00423297">
        <w:t>,</w:t>
      </w:r>
      <w:r w:rsidRPr="00423297">
        <w:t xml:space="preserve"> </w:t>
      </w:r>
      <w:r w:rsidR="009B38D4" w:rsidRPr="00423297">
        <w:t xml:space="preserve">the pro formas </w:t>
      </w:r>
      <w:r w:rsidRPr="00423297">
        <w:t>on which this individual relief is based.</w:t>
      </w:r>
    </w:p>
    <w:p w14:paraId="4EFCC132" w14:textId="46FEE836" w:rsidR="000F605A" w:rsidRPr="00423297" w:rsidRDefault="00326079" w:rsidP="00183335">
      <w:pPr>
        <w:pStyle w:val="BodyText"/>
      </w:pPr>
      <w:bookmarkStart w:id="274" w:name="_Ref7445522"/>
      <w:r w:rsidRPr="00423297">
        <w:t xml:space="preserve">This </w:t>
      </w:r>
      <w:r w:rsidR="00A74C3E" w:rsidRPr="00423297">
        <w:t>RIS</w:t>
      </w:r>
      <w:r w:rsidRPr="00423297">
        <w:t xml:space="preserve"> </w:t>
      </w:r>
      <w:r w:rsidR="0060030A" w:rsidRPr="00423297">
        <w:t xml:space="preserve">was submitted to </w:t>
      </w:r>
      <w:r w:rsidR="00C6337F" w:rsidRPr="00423297">
        <w:t>the</w:t>
      </w:r>
      <w:r w:rsidR="009B38D4" w:rsidRPr="00423297">
        <w:t xml:space="preserve"> Office of Best Practice Regulation</w:t>
      </w:r>
      <w:r w:rsidR="00C6337F" w:rsidRPr="00423297">
        <w:t xml:space="preserve"> </w:t>
      </w:r>
      <w:r w:rsidR="009B38D4" w:rsidRPr="00423297">
        <w:t>(</w:t>
      </w:r>
      <w:r w:rsidR="007A56F9" w:rsidRPr="00423297">
        <w:t>OBPR</w:t>
      </w:r>
      <w:r w:rsidR="009B38D4" w:rsidRPr="00423297">
        <w:t>)</w:t>
      </w:r>
      <w:r w:rsidR="00C6337F" w:rsidRPr="00423297">
        <w:t xml:space="preserve"> </w:t>
      </w:r>
      <w:r w:rsidR="0060030A" w:rsidRPr="00423297">
        <w:t>for assessment before a decision was sought on the revised regulatory settings.</w:t>
      </w:r>
      <w:bookmarkEnd w:id="257"/>
      <w:bookmarkEnd w:id="274"/>
    </w:p>
    <w:p w14:paraId="38AD5DBA" w14:textId="5133B4D1" w:rsidR="00B401A1" w:rsidRPr="00423297" w:rsidRDefault="00B401A1" w:rsidP="008250FD">
      <w:pPr>
        <w:pStyle w:val="Heading1nonumber"/>
      </w:pPr>
      <w:bookmarkStart w:id="275" w:name="_Toc5365781"/>
      <w:bookmarkStart w:id="276" w:name="_Toc36467256"/>
      <w:bookmarkStart w:id="277" w:name="_Toc56669446"/>
      <w:r w:rsidRPr="00423297">
        <w:lastRenderedPageBreak/>
        <w:t xml:space="preserve">Key </w:t>
      </w:r>
      <w:r w:rsidR="00614984" w:rsidRPr="00423297">
        <w:t>t</w:t>
      </w:r>
      <w:r w:rsidRPr="00423297">
        <w:t>erms</w:t>
      </w:r>
      <w:bookmarkEnd w:id="275"/>
      <w:bookmarkEnd w:id="276"/>
      <w:bookmarkEnd w:id="277"/>
    </w:p>
    <w:tbl>
      <w:tblPr>
        <w:tblW w:w="6809"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1986"/>
        <w:gridCol w:w="4817"/>
        <w:gridCol w:w="6"/>
      </w:tblGrid>
      <w:tr w:rsidR="00BE43A4" w:rsidRPr="00423297" w14:paraId="24BCF241" w14:textId="77777777" w:rsidTr="006727F2">
        <w:trPr>
          <w:gridAfter w:val="1"/>
          <w:wAfter w:w="6" w:type="dxa"/>
          <w:cantSplit/>
          <w:tblHeader/>
        </w:trPr>
        <w:tc>
          <w:tcPr>
            <w:tcW w:w="1986" w:type="dxa"/>
            <w:tcBorders>
              <w:bottom w:val="single" w:sz="4" w:space="0" w:color="999999"/>
            </w:tcBorders>
            <w:shd w:val="clear" w:color="auto" w:fill="C2E3FA"/>
          </w:tcPr>
          <w:p w14:paraId="5EFD52B3" w14:textId="77777777" w:rsidR="00BE43A4" w:rsidRPr="00423297" w:rsidRDefault="00BE43A4" w:rsidP="00811725">
            <w:pPr>
              <w:pStyle w:val="tablehead"/>
            </w:pPr>
            <w:r w:rsidRPr="00423297">
              <w:t>Term</w:t>
            </w:r>
          </w:p>
        </w:tc>
        <w:tc>
          <w:tcPr>
            <w:tcW w:w="4817" w:type="dxa"/>
            <w:tcBorders>
              <w:bottom w:val="single" w:sz="4" w:space="0" w:color="999999"/>
            </w:tcBorders>
            <w:shd w:val="clear" w:color="auto" w:fill="C2E3FA"/>
          </w:tcPr>
          <w:p w14:paraId="375A7811" w14:textId="77777777" w:rsidR="00BE43A4" w:rsidRPr="00423297" w:rsidRDefault="00BE43A4" w:rsidP="00811725">
            <w:pPr>
              <w:pStyle w:val="tablehead"/>
            </w:pPr>
            <w:r w:rsidRPr="00423297">
              <w:t>Meaning in this document</w:t>
            </w:r>
          </w:p>
        </w:tc>
      </w:tr>
      <w:tr w:rsidR="001F762E" w:rsidRPr="00423297" w14:paraId="0D792C5D" w14:textId="77777777" w:rsidTr="006727F2">
        <w:trPr>
          <w:gridAfter w:val="1"/>
          <w:wAfter w:w="6" w:type="dxa"/>
          <w:cantSplit/>
        </w:trPr>
        <w:tc>
          <w:tcPr>
            <w:tcW w:w="1986" w:type="dxa"/>
            <w:tcBorders>
              <w:top w:val="single" w:sz="4" w:space="0" w:color="999999"/>
              <w:bottom w:val="nil"/>
            </w:tcBorders>
            <w:shd w:val="clear" w:color="auto" w:fill="auto"/>
          </w:tcPr>
          <w:p w14:paraId="5425706D" w14:textId="79C87373" w:rsidR="001F762E" w:rsidRPr="00423297" w:rsidRDefault="001F762E" w:rsidP="00953431">
            <w:pPr>
              <w:pStyle w:val="tbltext"/>
            </w:pPr>
            <w:r w:rsidRPr="00423297">
              <w:t>ADI</w:t>
            </w:r>
          </w:p>
        </w:tc>
        <w:tc>
          <w:tcPr>
            <w:tcW w:w="4817" w:type="dxa"/>
            <w:tcBorders>
              <w:top w:val="single" w:sz="4" w:space="0" w:color="999999"/>
              <w:bottom w:val="nil"/>
            </w:tcBorders>
            <w:shd w:val="clear" w:color="auto" w:fill="auto"/>
          </w:tcPr>
          <w:p w14:paraId="1A01F426" w14:textId="77777777" w:rsidR="001F762E" w:rsidRPr="00423297" w:rsidRDefault="001F762E" w:rsidP="001F762E">
            <w:pPr>
              <w:pStyle w:val="tbltext"/>
            </w:pPr>
            <w:r w:rsidRPr="00423297">
              <w:t xml:space="preserve">An authorised deposit-taking institution—a corporation that is authorised under the </w:t>
            </w:r>
            <w:r w:rsidRPr="00423297">
              <w:rPr>
                <w:i/>
              </w:rPr>
              <w:t>Banking Act 1959</w:t>
            </w:r>
            <w:r w:rsidRPr="00423297">
              <w:t>. ADIs include:</w:t>
            </w:r>
          </w:p>
          <w:p w14:paraId="58000289" w14:textId="77777777" w:rsidR="001F762E" w:rsidRPr="00423297" w:rsidRDefault="001F762E" w:rsidP="001F762E">
            <w:pPr>
              <w:pStyle w:val="tablebullet"/>
              <w:numPr>
                <w:ilvl w:val="0"/>
                <w:numId w:val="115"/>
              </w:numPr>
            </w:pPr>
            <w:r w:rsidRPr="00423297">
              <w:t>banks;</w:t>
            </w:r>
          </w:p>
          <w:p w14:paraId="136E2C78" w14:textId="77777777" w:rsidR="001F762E" w:rsidRPr="00423297" w:rsidRDefault="001F762E" w:rsidP="001F762E">
            <w:pPr>
              <w:pStyle w:val="tablebullet"/>
              <w:numPr>
                <w:ilvl w:val="0"/>
                <w:numId w:val="115"/>
              </w:numPr>
            </w:pPr>
            <w:r w:rsidRPr="00423297">
              <w:t>building societies; and</w:t>
            </w:r>
          </w:p>
          <w:p w14:paraId="3B56D6BF" w14:textId="04ACC440" w:rsidR="001F762E" w:rsidRPr="00423297" w:rsidRDefault="001F762E" w:rsidP="00953431">
            <w:pPr>
              <w:pStyle w:val="tablebullet"/>
            </w:pPr>
            <w:r w:rsidRPr="00423297">
              <w:t xml:space="preserve">credit unions </w:t>
            </w:r>
          </w:p>
        </w:tc>
      </w:tr>
      <w:tr w:rsidR="001F762E" w:rsidRPr="00423297" w14:paraId="3B9FD03A" w14:textId="77777777" w:rsidTr="006727F2">
        <w:trPr>
          <w:gridAfter w:val="1"/>
          <w:wAfter w:w="6" w:type="dxa"/>
          <w:cantSplit/>
        </w:trPr>
        <w:tc>
          <w:tcPr>
            <w:tcW w:w="1986" w:type="dxa"/>
            <w:tcBorders>
              <w:top w:val="nil"/>
              <w:bottom w:val="nil"/>
            </w:tcBorders>
            <w:shd w:val="clear" w:color="auto" w:fill="auto"/>
          </w:tcPr>
          <w:p w14:paraId="4B2392A5" w14:textId="53D23EBA" w:rsidR="001F762E" w:rsidRPr="00423297" w:rsidRDefault="001F762E" w:rsidP="001F762E">
            <w:pPr>
              <w:pStyle w:val="tbltext"/>
            </w:pPr>
            <w:r w:rsidRPr="00423297">
              <w:t>AFS licence</w:t>
            </w:r>
          </w:p>
        </w:tc>
        <w:tc>
          <w:tcPr>
            <w:tcW w:w="4817" w:type="dxa"/>
            <w:tcBorders>
              <w:top w:val="nil"/>
              <w:bottom w:val="nil"/>
            </w:tcBorders>
            <w:shd w:val="clear" w:color="auto" w:fill="auto"/>
          </w:tcPr>
          <w:p w14:paraId="43BD50B8" w14:textId="6C0DAA75" w:rsidR="001F762E" w:rsidRPr="00423297" w:rsidRDefault="001F762E" w:rsidP="001F762E">
            <w:pPr>
              <w:pStyle w:val="tabletext"/>
            </w:pPr>
            <w:r w:rsidRPr="00423297">
              <w:t>An Australian financial services licence under s913B of the Corporations Act that authorises a person who carrie</w:t>
            </w:r>
            <w:r w:rsidR="006727F2">
              <w:t>s</w:t>
            </w:r>
            <w:r w:rsidRPr="00423297">
              <w:t xml:space="preserve"> out a financial services business to provide financial services</w:t>
            </w:r>
          </w:p>
          <w:p w14:paraId="2EBD9F95" w14:textId="50CE72F1" w:rsidR="001F762E" w:rsidRPr="00423297" w:rsidRDefault="001F762E" w:rsidP="00BB18A4">
            <w:pPr>
              <w:pStyle w:val="tblnote"/>
            </w:pPr>
            <w:r w:rsidRPr="00423297">
              <w:t>Note: This is a definition contained in s761A.</w:t>
            </w:r>
          </w:p>
        </w:tc>
      </w:tr>
      <w:tr w:rsidR="006727F2" w:rsidRPr="00AE3B33" w14:paraId="05776805" w14:textId="77777777" w:rsidTr="006727F2">
        <w:tblPrEx>
          <w:tblBorders>
            <w:top w:val="none" w:sz="0" w:space="0" w:color="auto"/>
            <w:bottom w:val="none" w:sz="0" w:space="0" w:color="auto"/>
            <w:insideH w:val="none" w:sz="0" w:space="0" w:color="auto"/>
          </w:tblBorders>
          <w:tblCellMar>
            <w:bottom w:w="85" w:type="dxa"/>
          </w:tblCellMar>
        </w:tblPrEx>
        <w:trPr>
          <w:gridAfter w:val="1"/>
          <w:wAfter w:w="5" w:type="dxa"/>
          <w:cantSplit/>
        </w:trPr>
        <w:tc>
          <w:tcPr>
            <w:tcW w:w="1986" w:type="dxa"/>
          </w:tcPr>
          <w:p w14:paraId="15ED4F3C" w14:textId="77777777" w:rsidR="006727F2" w:rsidRPr="004D5FCC" w:rsidRDefault="006727F2" w:rsidP="00BF65B2">
            <w:pPr>
              <w:pStyle w:val="tabletext"/>
              <w:tabs>
                <w:tab w:val="right" w:pos="9070"/>
              </w:tabs>
            </w:pPr>
            <w:r w:rsidRPr="004D5FCC">
              <w:t>AFS licensee</w:t>
            </w:r>
          </w:p>
        </w:tc>
        <w:tc>
          <w:tcPr>
            <w:tcW w:w="4818" w:type="dxa"/>
          </w:tcPr>
          <w:p w14:paraId="4C05616D" w14:textId="77777777" w:rsidR="006727F2" w:rsidRPr="00AE3B33" w:rsidRDefault="006727F2" w:rsidP="00BF65B2">
            <w:pPr>
              <w:pStyle w:val="tbltext"/>
            </w:pPr>
            <w:r w:rsidRPr="00D23EDC">
              <w:t>A person who holds an A</w:t>
            </w:r>
            <w:r>
              <w:t>FS</w:t>
            </w:r>
            <w:r w:rsidRPr="00D23EDC">
              <w:t xml:space="preserve"> licence under s913B of the Corporations Act</w:t>
            </w:r>
          </w:p>
        </w:tc>
      </w:tr>
      <w:tr w:rsidR="009E1ABF" w:rsidRPr="00423297" w14:paraId="252F5977" w14:textId="77777777" w:rsidTr="006727F2">
        <w:trPr>
          <w:gridAfter w:val="1"/>
          <w:wAfter w:w="6" w:type="dxa"/>
          <w:cantSplit/>
        </w:trPr>
        <w:tc>
          <w:tcPr>
            <w:tcW w:w="1986" w:type="dxa"/>
            <w:tcBorders>
              <w:top w:val="nil"/>
              <w:bottom w:val="nil"/>
            </w:tcBorders>
            <w:shd w:val="clear" w:color="auto" w:fill="auto"/>
          </w:tcPr>
          <w:p w14:paraId="3E404221" w14:textId="0C7489FB" w:rsidR="009E1ABF" w:rsidRPr="00423297" w:rsidRDefault="009E1ABF" w:rsidP="001F762E">
            <w:pPr>
              <w:pStyle w:val="tbltext"/>
            </w:pPr>
            <w:r w:rsidRPr="00423297">
              <w:t>ASIC</w:t>
            </w:r>
          </w:p>
        </w:tc>
        <w:tc>
          <w:tcPr>
            <w:tcW w:w="4817" w:type="dxa"/>
            <w:tcBorders>
              <w:top w:val="nil"/>
              <w:bottom w:val="nil"/>
            </w:tcBorders>
            <w:shd w:val="clear" w:color="auto" w:fill="auto"/>
          </w:tcPr>
          <w:p w14:paraId="4235CE12" w14:textId="3DD5852B" w:rsidR="009E1ABF" w:rsidRPr="00423297" w:rsidRDefault="009E1ABF" w:rsidP="001F762E">
            <w:pPr>
              <w:pStyle w:val="tabletext"/>
            </w:pPr>
            <w:r w:rsidRPr="00423297">
              <w:t>Australian Securities and Investments Commission</w:t>
            </w:r>
          </w:p>
        </w:tc>
      </w:tr>
      <w:tr w:rsidR="00BE43A4" w:rsidRPr="00423297" w14:paraId="7D053E62" w14:textId="77777777" w:rsidTr="006727F2">
        <w:trPr>
          <w:gridAfter w:val="1"/>
          <w:wAfter w:w="6" w:type="dxa"/>
          <w:cantSplit/>
        </w:trPr>
        <w:tc>
          <w:tcPr>
            <w:tcW w:w="1986" w:type="dxa"/>
            <w:tcBorders>
              <w:top w:val="nil"/>
              <w:bottom w:val="nil"/>
            </w:tcBorders>
          </w:tcPr>
          <w:p w14:paraId="3AAF3708" w14:textId="77777777" w:rsidR="00BE43A4" w:rsidRPr="00423297" w:rsidRDefault="00BE43A4" w:rsidP="00811725">
            <w:pPr>
              <w:pStyle w:val="tbltext"/>
            </w:pPr>
            <w:r w:rsidRPr="00423297">
              <w:t>ASIC Act</w:t>
            </w:r>
          </w:p>
        </w:tc>
        <w:tc>
          <w:tcPr>
            <w:tcW w:w="4817" w:type="dxa"/>
            <w:tcBorders>
              <w:top w:val="nil"/>
              <w:bottom w:val="nil"/>
            </w:tcBorders>
          </w:tcPr>
          <w:p w14:paraId="6EDF0665" w14:textId="77777777" w:rsidR="00BE43A4" w:rsidRPr="00423297" w:rsidRDefault="00BE43A4" w:rsidP="00811725">
            <w:pPr>
              <w:pStyle w:val="tbltext"/>
              <w:rPr>
                <w:i/>
              </w:rPr>
            </w:pPr>
            <w:r w:rsidRPr="00423297">
              <w:rPr>
                <w:i/>
              </w:rPr>
              <w:t>Australian Securities and Investments Commission Act 2001</w:t>
            </w:r>
          </w:p>
        </w:tc>
      </w:tr>
      <w:tr w:rsidR="00BE43A4" w:rsidRPr="00423297" w14:paraId="289B35DD" w14:textId="77777777" w:rsidTr="006727F2">
        <w:trPr>
          <w:gridAfter w:val="1"/>
          <w:wAfter w:w="6" w:type="dxa"/>
          <w:cantSplit/>
        </w:trPr>
        <w:tc>
          <w:tcPr>
            <w:tcW w:w="1986" w:type="dxa"/>
            <w:tcBorders>
              <w:top w:val="nil"/>
              <w:bottom w:val="nil"/>
            </w:tcBorders>
          </w:tcPr>
          <w:p w14:paraId="4D3732CE" w14:textId="77777777" w:rsidR="00BE43A4" w:rsidRPr="00423297" w:rsidRDefault="00BE43A4" w:rsidP="00811725">
            <w:pPr>
              <w:pStyle w:val="tbltext"/>
            </w:pPr>
            <w:r w:rsidRPr="00423297">
              <w:t>ATHOC</w:t>
            </w:r>
          </w:p>
        </w:tc>
        <w:tc>
          <w:tcPr>
            <w:tcW w:w="4817" w:type="dxa"/>
            <w:tcBorders>
              <w:top w:val="nil"/>
              <w:bottom w:val="nil"/>
            </w:tcBorders>
          </w:tcPr>
          <w:p w14:paraId="59A4F6C1" w14:textId="77777777" w:rsidR="00BE43A4" w:rsidRPr="00423297" w:rsidRDefault="00BE43A4" w:rsidP="00811725">
            <w:pPr>
              <w:pStyle w:val="tbltext"/>
            </w:pPr>
            <w:r w:rsidRPr="00423297">
              <w:t>The Australian Timeshare and Holiday Ownership Council</w:t>
            </w:r>
          </w:p>
        </w:tc>
      </w:tr>
      <w:tr w:rsidR="001F762E" w:rsidRPr="00423297" w14:paraId="4B6D85C3" w14:textId="77777777" w:rsidTr="006727F2">
        <w:tblPrEx>
          <w:tblBorders>
            <w:top w:val="none" w:sz="0" w:space="0" w:color="auto"/>
            <w:bottom w:val="none" w:sz="0" w:space="0" w:color="auto"/>
            <w:insideH w:val="none" w:sz="0" w:space="0" w:color="auto"/>
          </w:tblBorders>
          <w:tblCellMar>
            <w:bottom w:w="85" w:type="dxa"/>
          </w:tblCellMar>
        </w:tblPrEx>
        <w:trPr>
          <w:cantSplit/>
        </w:trPr>
        <w:tc>
          <w:tcPr>
            <w:tcW w:w="1986" w:type="dxa"/>
            <w:hideMark/>
          </w:tcPr>
          <w:p w14:paraId="33771B58" w14:textId="77777777" w:rsidR="001F762E" w:rsidRPr="00423297" w:rsidRDefault="001F762E">
            <w:pPr>
              <w:pStyle w:val="tabletext"/>
            </w:pPr>
            <w:r w:rsidRPr="00423297">
              <w:t xml:space="preserve">best interests duty </w:t>
            </w:r>
          </w:p>
        </w:tc>
        <w:tc>
          <w:tcPr>
            <w:tcW w:w="4823" w:type="dxa"/>
            <w:gridSpan w:val="2"/>
            <w:hideMark/>
          </w:tcPr>
          <w:p w14:paraId="7B60CB8B" w14:textId="295A84C0" w:rsidR="00667AB6" w:rsidRPr="00423297" w:rsidRDefault="001F762E" w:rsidP="00AE355F">
            <w:pPr>
              <w:pStyle w:val="tabletext"/>
            </w:pPr>
            <w:r w:rsidRPr="00423297">
              <w:t xml:space="preserve">The duty to act in the best interests of the client when giving personal advice to a client as set out in s961B(1) of the Corporations Act </w:t>
            </w:r>
          </w:p>
        </w:tc>
      </w:tr>
      <w:tr w:rsidR="008E527D" w:rsidRPr="00423297" w14:paraId="385B34FF" w14:textId="77777777" w:rsidTr="006727F2">
        <w:trPr>
          <w:gridAfter w:val="1"/>
          <w:wAfter w:w="6" w:type="dxa"/>
          <w:cantSplit/>
        </w:trPr>
        <w:tc>
          <w:tcPr>
            <w:tcW w:w="1986" w:type="dxa"/>
            <w:tcBorders>
              <w:top w:val="nil"/>
              <w:bottom w:val="nil"/>
            </w:tcBorders>
          </w:tcPr>
          <w:p w14:paraId="2E817F70" w14:textId="6781765B" w:rsidR="008E527D" w:rsidRPr="00423297" w:rsidRDefault="00456CEE" w:rsidP="00811725">
            <w:pPr>
              <w:pStyle w:val="tbltext"/>
            </w:pPr>
            <w:r w:rsidRPr="00423297">
              <w:t>Ch</w:t>
            </w:r>
            <w:r w:rsidR="00D722BA" w:rsidRPr="00423297">
              <w:t xml:space="preserve"> </w:t>
            </w:r>
            <w:r w:rsidR="008E527D" w:rsidRPr="00423297">
              <w:t>5C</w:t>
            </w:r>
          </w:p>
        </w:tc>
        <w:tc>
          <w:tcPr>
            <w:tcW w:w="4817" w:type="dxa"/>
            <w:tcBorders>
              <w:top w:val="nil"/>
              <w:bottom w:val="nil"/>
            </w:tcBorders>
          </w:tcPr>
          <w:p w14:paraId="3902B80A" w14:textId="0772ECB5" w:rsidR="008E527D" w:rsidRPr="00423297" w:rsidRDefault="008E527D" w:rsidP="00811725">
            <w:pPr>
              <w:pStyle w:val="tbltext"/>
            </w:pPr>
            <w:r w:rsidRPr="00423297">
              <w:t>A chapter of the Corporations Act (in this example numbered 5C), unless otherwise specified</w:t>
            </w:r>
          </w:p>
        </w:tc>
      </w:tr>
      <w:tr w:rsidR="00BE43A4" w:rsidRPr="00423297" w14:paraId="7BA66FD3" w14:textId="77777777" w:rsidTr="006727F2">
        <w:trPr>
          <w:gridAfter w:val="1"/>
          <w:wAfter w:w="6" w:type="dxa"/>
          <w:cantSplit/>
        </w:trPr>
        <w:tc>
          <w:tcPr>
            <w:tcW w:w="1986" w:type="dxa"/>
            <w:tcBorders>
              <w:top w:val="nil"/>
              <w:bottom w:val="nil"/>
            </w:tcBorders>
          </w:tcPr>
          <w:p w14:paraId="656E1A67" w14:textId="32EC68D4" w:rsidR="00BE43A4" w:rsidRPr="00423297" w:rsidRDefault="00BE43A4" w:rsidP="00811725">
            <w:pPr>
              <w:pStyle w:val="tbltext"/>
            </w:pPr>
            <w:r w:rsidRPr="00423297">
              <w:t>[CO 13/760]</w:t>
            </w:r>
            <w:r w:rsidR="001E0619" w:rsidRPr="00423297">
              <w:t xml:space="preserve"> (for example)</w:t>
            </w:r>
          </w:p>
        </w:tc>
        <w:tc>
          <w:tcPr>
            <w:tcW w:w="4817" w:type="dxa"/>
            <w:tcBorders>
              <w:top w:val="nil"/>
              <w:bottom w:val="nil"/>
            </w:tcBorders>
          </w:tcPr>
          <w:p w14:paraId="705F6686" w14:textId="77777777" w:rsidR="00BE43A4" w:rsidRPr="00423297" w:rsidRDefault="001E0619" w:rsidP="00811725">
            <w:pPr>
              <w:pStyle w:val="tbltext"/>
            </w:pPr>
            <w:r w:rsidRPr="00423297">
              <w:t>An ASIC class order (in this example numbered 13/760)</w:t>
            </w:r>
          </w:p>
          <w:p w14:paraId="4BF7C752" w14:textId="662C5D04" w:rsidR="001F762E" w:rsidRPr="00423297" w:rsidRDefault="001F762E" w:rsidP="004E075E">
            <w:pPr>
              <w:pStyle w:val="tblnote"/>
            </w:pPr>
            <w:r w:rsidRPr="00423297">
              <w:t>Note: Legislative instruments made from 2015 are referred to as ASIC instruments.</w:t>
            </w:r>
          </w:p>
        </w:tc>
      </w:tr>
      <w:tr w:rsidR="00BE43A4" w:rsidRPr="00423297" w14:paraId="3658EFBB" w14:textId="77777777" w:rsidTr="006727F2">
        <w:trPr>
          <w:gridAfter w:val="1"/>
          <w:wAfter w:w="6" w:type="dxa"/>
          <w:cantSplit/>
        </w:trPr>
        <w:tc>
          <w:tcPr>
            <w:tcW w:w="1986" w:type="dxa"/>
            <w:tcBorders>
              <w:top w:val="nil"/>
              <w:bottom w:val="nil"/>
            </w:tcBorders>
          </w:tcPr>
          <w:p w14:paraId="3B1CE617" w14:textId="77777777" w:rsidR="00BE43A4" w:rsidRPr="00423297" w:rsidRDefault="00BE43A4" w:rsidP="00811725">
            <w:pPr>
              <w:pStyle w:val="tbltext"/>
            </w:pPr>
            <w:r w:rsidRPr="00423297">
              <w:t>consumer</w:t>
            </w:r>
          </w:p>
        </w:tc>
        <w:tc>
          <w:tcPr>
            <w:tcW w:w="4817" w:type="dxa"/>
            <w:tcBorders>
              <w:top w:val="nil"/>
              <w:bottom w:val="nil"/>
            </w:tcBorders>
          </w:tcPr>
          <w:p w14:paraId="012F546B" w14:textId="764DD69F" w:rsidR="00561320" w:rsidRPr="00423297" w:rsidRDefault="00561320" w:rsidP="00811725">
            <w:pPr>
              <w:pStyle w:val="tbltext"/>
            </w:pPr>
            <w:r w:rsidRPr="00423297">
              <w:t>In the context of:</w:t>
            </w:r>
          </w:p>
          <w:p w14:paraId="4A8457C9" w14:textId="77777777" w:rsidR="00210921" w:rsidRPr="00423297" w:rsidRDefault="00561320" w:rsidP="00561320">
            <w:pPr>
              <w:pStyle w:val="tablebullet"/>
            </w:pPr>
            <w:r w:rsidRPr="00423297">
              <w:rPr>
                <w:i/>
              </w:rPr>
              <w:t>a credit product</w:t>
            </w:r>
            <w:r w:rsidR="00210921" w:rsidRPr="00423297">
              <w:rPr>
                <w:i/>
              </w:rPr>
              <w:t>—</w:t>
            </w:r>
            <w:r w:rsidR="00210921" w:rsidRPr="00423297">
              <w:t>means a natural person or strata corporations (see s5 of the National Credit Act); and</w:t>
            </w:r>
          </w:p>
          <w:p w14:paraId="5EB3E4AF" w14:textId="67036CE3" w:rsidR="00BE43A4" w:rsidRPr="00423297" w:rsidRDefault="00210921" w:rsidP="00B66510">
            <w:pPr>
              <w:pStyle w:val="tablebullet"/>
            </w:pPr>
            <w:r w:rsidRPr="00423297">
              <w:rPr>
                <w:i/>
              </w:rPr>
              <w:t>a financial product—</w:t>
            </w:r>
            <w:r w:rsidRPr="00423297">
              <w:t>means a retail client (see s761G of the Corporations Act and Div 2 of Pt 7.1 of the Corporations Regulations)</w:t>
            </w:r>
          </w:p>
        </w:tc>
      </w:tr>
      <w:tr w:rsidR="00351F2F" w:rsidRPr="00423297" w14:paraId="192BBCAE" w14:textId="77777777" w:rsidTr="006727F2">
        <w:trPr>
          <w:gridAfter w:val="1"/>
          <w:wAfter w:w="6" w:type="dxa"/>
          <w:cantSplit/>
        </w:trPr>
        <w:tc>
          <w:tcPr>
            <w:tcW w:w="1986" w:type="dxa"/>
            <w:tcBorders>
              <w:top w:val="nil"/>
              <w:bottom w:val="nil"/>
            </w:tcBorders>
          </w:tcPr>
          <w:p w14:paraId="790A9379" w14:textId="06BAFB32" w:rsidR="00351F2F" w:rsidRPr="00423297" w:rsidRDefault="00351F2F" w:rsidP="00351F2F">
            <w:pPr>
              <w:pStyle w:val="tbltext"/>
            </w:pPr>
            <w:r w:rsidRPr="00423297">
              <w:lastRenderedPageBreak/>
              <w:t>consumer protection provisions</w:t>
            </w:r>
          </w:p>
        </w:tc>
        <w:tc>
          <w:tcPr>
            <w:tcW w:w="4817" w:type="dxa"/>
            <w:tcBorders>
              <w:top w:val="nil"/>
              <w:bottom w:val="nil"/>
            </w:tcBorders>
          </w:tcPr>
          <w:p w14:paraId="4E4366C9" w14:textId="77777777" w:rsidR="00351F2F" w:rsidRPr="00423297" w:rsidRDefault="00351F2F" w:rsidP="00351F2F">
            <w:pPr>
              <w:pStyle w:val="tabletext"/>
            </w:pPr>
            <w:r w:rsidRPr="00423297">
              <w:t xml:space="preserve">Provisions in the Corporations Act and ASIC Act that prohibit certain conduct, including: </w:t>
            </w:r>
          </w:p>
          <w:p w14:paraId="0ACAFAA6" w14:textId="77777777" w:rsidR="00351F2F" w:rsidRPr="00423297" w:rsidRDefault="00351F2F" w:rsidP="00351F2F">
            <w:pPr>
              <w:pStyle w:val="tablebullet"/>
              <w:numPr>
                <w:ilvl w:val="0"/>
                <w:numId w:val="115"/>
              </w:numPr>
            </w:pPr>
            <w:r w:rsidRPr="00423297">
              <w:t xml:space="preserve">hawking (s992AA of the Corporations Act); </w:t>
            </w:r>
          </w:p>
          <w:p w14:paraId="27FE6CAD" w14:textId="77777777" w:rsidR="00351F2F" w:rsidRPr="00423297" w:rsidRDefault="00351F2F" w:rsidP="00351F2F">
            <w:pPr>
              <w:pStyle w:val="tablebullet"/>
              <w:numPr>
                <w:ilvl w:val="0"/>
                <w:numId w:val="115"/>
              </w:numPr>
            </w:pPr>
            <w:r w:rsidRPr="00423297">
              <w:t xml:space="preserve">misleading or deceptive conduct (s1041E–1041H of the Corporations Act and s12DA–12DB of the ASIC Act); </w:t>
            </w:r>
          </w:p>
          <w:p w14:paraId="669BEF6E" w14:textId="77777777" w:rsidR="00351F2F" w:rsidRPr="00423297" w:rsidRDefault="00351F2F" w:rsidP="00351F2F">
            <w:pPr>
              <w:pStyle w:val="tablebullet"/>
              <w:numPr>
                <w:ilvl w:val="0"/>
                <w:numId w:val="115"/>
              </w:numPr>
            </w:pPr>
            <w:r w:rsidRPr="00423297">
              <w:t>unconscionable conduct (s991A of the Corporations Act and s12CA–12CC of the ASIC Act); and</w:t>
            </w:r>
          </w:p>
          <w:p w14:paraId="25C88890" w14:textId="073D2CDA" w:rsidR="00351F2F" w:rsidRPr="00423297" w:rsidRDefault="00351F2F" w:rsidP="00953431">
            <w:pPr>
              <w:pStyle w:val="tablebullet"/>
            </w:pPr>
            <w:proofErr w:type="gramStart"/>
            <w:r w:rsidRPr="00423297">
              <w:t>harassment</w:t>
            </w:r>
            <w:proofErr w:type="gramEnd"/>
            <w:r w:rsidRPr="00423297">
              <w:t xml:space="preserve"> or coercion (s12DJ of the ASIC Act).</w:t>
            </w:r>
          </w:p>
        </w:tc>
      </w:tr>
      <w:tr w:rsidR="00BE43A4" w:rsidRPr="00423297" w14:paraId="7D29572D" w14:textId="77777777" w:rsidTr="006727F2">
        <w:trPr>
          <w:gridAfter w:val="1"/>
          <w:wAfter w:w="6" w:type="dxa"/>
          <w:cantSplit/>
        </w:trPr>
        <w:tc>
          <w:tcPr>
            <w:tcW w:w="1986" w:type="dxa"/>
            <w:tcBorders>
              <w:top w:val="nil"/>
              <w:bottom w:val="nil"/>
            </w:tcBorders>
          </w:tcPr>
          <w:p w14:paraId="0CF1B0D4" w14:textId="77777777" w:rsidR="00BE43A4" w:rsidRPr="00423297" w:rsidRDefault="00BE43A4" w:rsidP="00811725">
            <w:pPr>
              <w:pStyle w:val="tbltext"/>
            </w:pPr>
            <w:r w:rsidRPr="00423297">
              <w:t>Corporations Act</w:t>
            </w:r>
          </w:p>
        </w:tc>
        <w:tc>
          <w:tcPr>
            <w:tcW w:w="4817" w:type="dxa"/>
            <w:tcBorders>
              <w:top w:val="nil"/>
              <w:bottom w:val="nil"/>
            </w:tcBorders>
          </w:tcPr>
          <w:p w14:paraId="2F196AF7" w14:textId="77777777" w:rsidR="00BE43A4" w:rsidRPr="00423297" w:rsidRDefault="00BE43A4" w:rsidP="00811725">
            <w:pPr>
              <w:pStyle w:val="tbltext"/>
              <w:rPr>
                <w:i/>
              </w:rPr>
            </w:pPr>
            <w:r w:rsidRPr="00423297">
              <w:rPr>
                <w:i/>
              </w:rPr>
              <w:t>Corporations Act 2001</w:t>
            </w:r>
            <w:r w:rsidRPr="00423297">
              <w:t>, including regulations made for the purposes of that Act</w:t>
            </w:r>
          </w:p>
        </w:tc>
      </w:tr>
      <w:tr w:rsidR="00BE43A4" w:rsidRPr="00423297" w14:paraId="469ED27C" w14:textId="77777777" w:rsidTr="006727F2">
        <w:trPr>
          <w:gridAfter w:val="1"/>
          <w:wAfter w:w="6" w:type="dxa"/>
          <w:cantSplit/>
        </w:trPr>
        <w:tc>
          <w:tcPr>
            <w:tcW w:w="1986" w:type="dxa"/>
            <w:tcBorders>
              <w:top w:val="nil"/>
              <w:bottom w:val="nil"/>
            </w:tcBorders>
          </w:tcPr>
          <w:p w14:paraId="36024432" w14:textId="77777777" w:rsidR="00BE43A4" w:rsidRPr="00423297" w:rsidRDefault="00BE43A4" w:rsidP="00811725">
            <w:pPr>
              <w:pStyle w:val="tbltext"/>
            </w:pPr>
            <w:r w:rsidRPr="00423297">
              <w:t>Corporations Regulations</w:t>
            </w:r>
          </w:p>
        </w:tc>
        <w:tc>
          <w:tcPr>
            <w:tcW w:w="4817" w:type="dxa"/>
            <w:tcBorders>
              <w:top w:val="nil"/>
              <w:bottom w:val="nil"/>
            </w:tcBorders>
          </w:tcPr>
          <w:p w14:paraId="0FFF0CE8" w14:textId="77777777" w:rsidR="00BE43A4" w:rsidRPr="00423297" w:rsidRDefault="00BE43A4" w:rsidP="00811725">
            <w:pPr>
              <w:pStyle w:val="tbltext"/>
            </w:pPr>
            <w:bookmarkStart w:id="278" w:name="_Hlk10560811"/>
            <w:r w:rsidRPr="00423297">
              <w:t>Corporations Regulations 2001</w:t>
            </w:r>
            <w:bookmarkEnd w:id="278"/>
          </w:p>
        </w:tc>
      </w:tr>
      <w:tr w:rsidR="00351F2F" w:rsidRPr="00423297" w14:paraId="6062C1C8" w14:textId="77777777" w:rsidTr="006727F2">
        <w:trPr>
          <w:gridAfter w:val="1"/>
          <w:wAfter w:w="6" w:type="dxa"/>
          <w:cantSplit/>
        </w:trPr>
        <w:tc>
          <w:tcPr>
            <w:tcW w:w="1986" w:type="dxa"/>
            <w:tcBorders>
              <w:top w:val="nil"/>
              <w:bottom w:val="nil"/>
            </w:tcBorders>
          </w:tcPr>
          <w:p w14:paraId="367E29C9" w14:textId="48EC9786" w:rsidR="00351F2F" w:rsidRPr="00423297" w:rsidRDefault="00351F2F" w:rsidP="00351F2F">
            <w:pPr>
              <w:pStyle w:val="tbltext"/>
            </w:pPr>
            <w:r w:rsidRPr="00423297">
              <w:t>cooling-off rights</w:t>
            </w:r>
          </w:p>
        </w:tc>
        <w:tc>
          <w:tcPr>
            <w:tcW w:w="4817" w:type="dxa"/>
            <w:tcBorders>
              <w:top w:val="nil"/>
              <w:bottom w:val="nil"/>
            </w:tcBorders>
          </w:tcPr>
          <w:p w14:paraId="2115E79A" w14:textId="7D8C4870" w:rsidR="00351F2F" w:rsidRPr="00423297" w:rsidRDefault="00351F2F" w:rsidP="00351F2F">
            <w:pPr>
              <w:pStyle w:val="tbltext"/>
            </w:pPr>
            <w:r w:rsidRPr="00423297">
              <w:t>A consumer</w:t>
            </w:r>
            <w:r w:rsidR="00D61E78">
              <w:t>’</w:t>
            </w:r>
            <w:r w:rsidRPr="00423297">
              <w:t>s right to return an interest in a time-sharing scheme during the specified cooling-off period and have the money they paid for the interest repaid.</w:t>
            </w:r>
          </w:p>
        </w:tc>
      </w:tr>
      <w:tr w:rsidR="00351F2F" w:rsidRPr="00423297" w14:paraId="5E55215D" w14:textId="77777777" w:rsidTr="006727F2">
        <w:trPr>
          <w:gridAfter w:val="1"/>
          <w:wAfter w:w="6" w:type="dxa"/>
          <w:cantSplit/>
        </w:trPr>
        <w:tc>
          <w:tcPr>
            <w:tcW w:w="1986" w:type="dxa"/>
            <w:tcBorders>
              <w:top w:val="nil"/>
              <w:bottom w:val="nil"/>
            </w:tcBorders>
          </w:tcPr>
          <w:p w14:paraId="67BE38EE" w14:textId="6EC2CF55" w:rsidR="00351F2F" w:rsidRPr="00423297" w:rsidRDefault="00351F2F" w:rsidP="00351F2F">
            <w:pPr>
              <w:pStyle w:val="tbltext"/>
            </w:pPr>
            <w:r w:rsidRPr="00423297">
              <w:t>cooling-off statement</w:t>
            </w:r>
          </w:p>
        </w:tc>
        <w:tc>
          <w:tcPr>
            <w:tcW w:w="4817" w:type="dxa"/>
            <w:tcBorders>
              <w:top w:val="nil"/>
              <w:bottom w:val="nil"/>
            </w:tcBorders>
          </w:tcPr>
          <w:p w14:paraId="079AF27C" w14:textId="4298E00C" w:rsidR="00351F2F" w:rsidRPr="00423297" w:rsidRDefault="00351F2F" w:rsidP="00351F2F">
            <w:pPr>
              <w:pStyle w:val="tbltext"/>
            </w:pPr>
            <w:r w:rsidRPr="00423297">
              <w:t>A statement in a prescribed form about the cooling-off rights that must be provided to a consumer</w:t>
            </w:r>
          </w:p>
        </w:tc>
      </w:tr>
      <w:tr w:rsidR="00351F2F" w:rsidRPr="00423297" w14:paraId="55003FD6" w14:textId="77777777" w:rsidTr="006727F2">
        <w:tblPrEx>
          <w:tblBorders>
            <w:top w:val="none" w:sz="0" w:space="0" w:color="auto"/>
            <w:bottom w:val="none" w:sz="0" w:space="0" w:color="auto"/>
            <w:insideH w:val="none" w:sz="0" w:space="0" w:color="auto"/>
          </w:tblBorders>
          <w:tblCellMar>
            <w:bottom w:w="85" w:type="dxa"/>
          </w:tblCellMar>
        </w:tblPrEx>
        <w:trPr>
          <w:gridAfter w:val="1"/>
          <w:wAfter w:w="6" w:type="dxa"/>
          <w:cantSplit/>
        </w:trPr>
        <w:tc>
          <w:tcPr>
            <w:tcW w:w="1986" w:type="dxa"/>
            <w:hideMark/>
          </w:tcPr>
          <w:p w14:paraId="412BEFE2" w14:textId="77777777" w:rsidR="00351F2F" w:rsidRPr="00423297" w:rsidRDefault="00351F2F">
            <w:pPr>
              <w:pStyle w:val="tabletext"/>
            </w:pPr>
            <w:r w:rsidRPr="00423297">
              <w:t>credit contract</w:t>
            </w:r>
          </w:p>
        </w:tc>
        <w:tc>
          <w:tcPr>
            <w:tcW w:w="4817" w:type="dxa"/>
            <w:hideMark/>
          </w:tcPr>
          <w:p w14:paraId="4D9E8279" w14:textId="77777777" w:rsidR="00351F2F" w:rsidRPr="00423297" w:rsidRDefault="00351F2F">
            <w:pPr>
              <w:pStyle w:val="tbltext"/>
            </w:pPr>
            <w:r w:rsidRPr="00423297">
              <w:t xml:space="preserve">Has the meaning given in s4 of the National Credit Code </w:t>
            </w:r>
          </w:p>
        </w:tc>
      </w:tr>
      <w:tr w:rsidR="00351F2F" w:rsidRPr="00423297" w14:paraId="495B0E12" w14:textId="77777777" w:rsidTr="006727F2">
        <w:tblPrEx>
          <w:tblBorders>
            <w:top w:val="none" w:sz="0" w:space="0" w:color="auto"/>
            <w:bottom w:val="none" w:sz="0" w:space="0" w:color="auto"/>
            <w:insideH w:val="none" w:sz="0" w:space="0" w:color="auto"/>
          </w:tblBorders>
          <w:tblCellMar>
            <w:bottom w:w="85" w:type="dxa"/>
          </w:tblCellMar>
        </w:tblPrEx>
        <w:trPr>
          <w:gridAfter w:val="1"/>
          <w:wAfter w:w="6" w:type="dxa"/>
          <w:cantSplit/>
        </w:trPr>
        <w:tc>
          <w:tcPr>
            <w:tcW w:w="1986" w:type="dxa"/>
            <w:hideMark/>
          </w:tcPr>
          <w:p w14:paraId="6978BE63" w14:textId="77777777" w:rsidR="00351F2F" w:rsidRPr="00423297" w:rsidRDefault="00351F2F">
            <w:pPr>
              <w:pStyle w:val="tabletext"/>
            </w:pPr>
            <w:r w:rsidRPr="00423297">
              <w:t>credit provider</w:t>
            </w:r>
          </w:p>
        </w:tc>
        <w:tc>
          <w:tcPr>
            <w:tcW w:w="4817" w:type="dxa"/>
            <w:hideMark/>
          </w:tcPr>
          <w:p w14:paraId="582CCA55" w14:textId="77777777" w:rsidR="00351F2F" w:rsidRPr="00423297" w:rsidRDefault="00351F2F">
            <w:pPr>
              <w:pStyle w:val="tbltext"/>
            </w:pPr>
            <w:r w:rsidRPr="00423297">
              <w:t xml:space="preserve">Has the meaning given in s5 of the National Credit Act </w:t>
            </w:r>
          </w:p>
        </w:tc>
      </w:tr>
      <w:tr w:rsidR="008E527D" w:rsidRPr="00423297" w14:paraId="3D191E13" w14:textId="77777777" w:rsidTr="006727F2">
        <w:trPr>
          <w:gridAfter w:val="1"/>
          <w:wAfter w:w="6" w:type="dxa"/>
          <w:cantSplit/>
        </w:trPr>
        <w:tc>
          <w:tcPr>
            <w:tcW w:w="1986" w:type="dxa"/>
            <w:tcBorders>
              <w:top w:val="nil"/>
              <w:bottom w:val="nil"/>
            </w:tcBorders>
          </w:tcPr>
          <w:p w14:paraId="33F12315" w14:textId="12E88EAA" w:rsidR="008E527D" w:rsidRPr="00423297" w:rsidRDefault="00456CEE" w:rsidP="00811725">
            <w:pPr>
              <w:pStyle w:val="tbltext"/>
            </w:pPr>
            <w:r w:rsidRPr="00423297">
              <w:t>Div</w:t>
            </w:r>
            <w:r w:rsidR="00351F2F" w:rsidRPr="00423297">
              <w:t xml:space="preserve"> </w:t>
            </w:r>
            <w:r w:rsidR="008E527D" w:rsidRPr="00423297">
              <w:t>2</w:t>
            </w:r>
          </w:p>
        </w:tc>
        <w:tc>
          <w:tcPr>
            <w:tcW w:w="4817" w:type="dxa"/>
            <w:tcBorders>
              <w:top w:val="nil"/>
              <w:bottom w:val="nil"/>
            </w:tcBorders>
          </w:tcPr>
          <w:p w14:paraId="44DBBE1C" w14:textId="6BABC90A" w:rsidR="008E527D" w:rsidRPr="00423297" w:rsidRDefault="008E527D" w:rsidP="00811725">
            <w:pPr>
              <w:pStyle w:val="tbltext"/>
            </w:pPr>
            <w:r w:rsidRPr="00423297">
              <w:t>A division of the Corporations Act (in this example numbered 2), unless otherwise specified</w:t>
            </w:r>
          </w:p>
        </w:tc>
      </w:tr>
      <w:tr w:rsidR="00B97773" w:rsidRPr="00423297" w14:paraId="745C26AD" w14:textId="77777777" w:rsidTr="006727F2">
        <w:trPr>
          <w:gridAfter w:val="1"/>
          <w:wAfter w:w="6" w:type="dxa"/>
          <w:cantSplit/>
        </w:trPr>
        <w:tc>
          <w:tcPr>
            <w:tcW w:w="1986" w:type="dxa"/>
            <w:tcBorders>
              <w:top w:val="nil"/>
              <w:bottom w:val="nil"/>
            </w:tcBorders>
          </w:tcPr>
          <w:p w14:paraId="3CBF790D" w14:textId="3389D37C" w:rsidR="00B97773" w:rsidRPr="00423297" w:rsidRDefault="00643E51" w:rsidP="00811725">
            <w:pPr>
              <w:pStyle w:val="tbltext"/>
            </w:pPr>
            <w:r w:rsidRPr="00423297">
              <w:t>d</w:t>
            </w:r>
            <w:r w:rsidR="00B97773" w:rsidRPr="00423297">
              <w:t>ealer</w:t>
            </w:r>
          </w:p>
        </w:tc>
        <w:tc>
          <w:tcPr>
            <w:tcW w:w="4817" w:type="dxa"/>
            <w:tcBorders>
              <w:top w:val="nil"/>
              <w:bottom w:val="nil"/>
            </w:tcBorders>
          </w:tcPr>
          <w:p w14:paraId="1893ACE2" w14:textId="33C4A0E9" w:rsidR="00B97773" w:rsidRPr="00423297" w:rsidRDefault="007C3867" w:rsidP="00811725">
            <w:pPr>
              <w:pStyle w:val="tbltext"/>
            </w:pPr>
            <w:r w:rsidRPr="00423297">
              <w:t>A</w:t>
            </w:r>
            <w:r w:rsidR="00A506EC" w:rsidRPr="00423297">
              <w:t>n AFS</w:t>
            </w:r>
            <w:r w:rsidRPr="00423297">
              <w:t xml:space="preserve"> license</w:t>
            </w:r>
            <w:r w:rsidR="00A506EC" w:rsidRPr="00423297">
              <w:t>e</w:t>
            </w:r>
            <w:r w:rsidRPr="00423297">
              <w:t xml:space="preserve"> authorised to resell interests in time-sharing schemes</w:t>
            </w:r>
          </w:p>
        </w:tc>
      </w:tr>
      <w:tr w:rsidR="00BE43A4" w:rsidRPr="00423297" w14:paraId="60A52275" w14:textId="77777777" w:rsidTr="006727F2">
        <w:trPr>
          <w:gridAfter w:val="1"/>
          <w:wAfter w:w="6" w:type="dxa"/>
          <w:cantSplit/>
        </w:trPr>
        <w:tc>
          <w:tcPr>
            <w:tcW w:w="1986" w:type="dxa"/>
            <w:tcBorders>
              <w:top w:val="nil"/>
              <w:bottom w:val="nil"/>
            </w:tcBorders>
          </w:tcPr>
          <w:p w14:paraId="47C3F0E2" w14:textId="77777777" w:rsidR="00BE43A4" w:rsidRPr="00423297" w:rsidRDefault="00BE43A4" w:rsidP="00811725">
            <w:pPr>
              <w:pStyle w:val="tbltext"/>
            </w:pPr>
            <w:r w:rsidRPr="00423297">
              <w:t>existing obligations</w:t>
            </w:r>
          </w:p>
        </w:tc>
        <w:tc>
          <w:tcPr>
            <w:tcW w:w="4817" w:type="dxa"/>
            <w:tcBorders>
              <w:top w:val="nil"/>
              <w:bottom w:val="nil"/>
            </w:tcBorders>
          </w:tcPr>
          <w:p w14:paraId="7B0A9939" w14:textId="67A5E54C" w:rsidR="00BE43A4" w:rsidRPr="00423297" w:rsidRDefault="00A506EC" w:rsidP="00FC3C6A">
            <w:pPr>
              <w:pStyle w:val="tbltext"/>
            </w:pPr>
            <w:r w:rsidRPr="00423297">
              <w:t xml:space="preserve">The obligations set out at </w:t>
            </w:r>
            <w:r w:rsidRPr="000C324A">
              <w:t xml:space="preserve">paragraph </w:t>
            </w:r>
            <w:r w:rsidR="000E317C" w:rsidRPr="000C324A">
              <w:fldChar w:fldCharType="begin"/>
            </w:r>
            <w:r w:rsidR="000E317C" w:rsidRPr="000C324A">
              <w:instrText xml:space="preserve"> REF _ASICRef705 \r \h </w:instrText>
            </w:r>
            <w:r w:rsidR="000E317C" w:rsidRPr="00F8162B">
              <w:instrText xml:space="preserve"> \* MERGEFORMAT </w:instrText>
            </w:r>
            <w:r w:rsidR="000E317C" w:rsidRPr="000C324A">
              <w:fldChar w:fldCharType="separate"/>
            </w:r>
            <w:r w:rsidR="00B92808">
              <w:t>60</w:t>
            </w:r>
            <w:r w:rsidR="000E317C" w:rsidRPr="000C324A">
              <w:fldChar w:fldCharType="end"/>
            </w:r>
            <w:r w:rsidR="000E317C">
              <w:t xml:space="preserve"> </w:t>
            </w:r>
          </w:p>
        </w:tc>
      </w:tr>
      <w:tr w:rsidR="00C216A1" w:rsidRPr="00423297" w14:paraId="743439E9" w14:textId="77777777" w:rsidTr="006727F2">
        <w:trPr>
          <w:gridAfter w:val="1"/>
          <w:wAfter w:w="6" w:type="dxa"/>
          <w:cantSplit/>
        </w:trPr>
        <w:tc>
          <w:tcPr>
            <w:tcW w:w="1986" w:type="dxa"/>
            <w:tcBorders>
              <w:top w:val="nil"/>
              <w:bottom w:val="nil"/>
            </w:tcBorders>
          </w:tcPr>
          <w:p w14:paraId="4FB3A9A9" w14:textId="75718611" w:rsidR="00C216A1" w:rsidRPr="00423297" w:rsidRDefault="00C216A1" w:rsidP="00811725">
            <w:pPr>
              <w:pStyle w:val="tbltext"/>
            </w:pPr>
            <w:r w:rsidRPr="00423297">
              <w:t>FASEA</w:t>
            </w:r>
          </w:p>
        </w:tc>
        <w:tc>
          <w:tcPr>
            <w:tcW w:w="4817" w:type="dxa"/>
            <w:tcBorders>
              <w:top w:val="nil"/>
              <w:bottom w:val="nil"/>
            </w:tcBorders>
          </w:tcPr>
          <w:p w14:paraId="3A80A484" w14:textId="75D12664" w:rsidR="00C216A1" w:rsidRPr="00423297" w:rsidRDefault="00C216A1" w:rsidP="00FC3C6A">
            <w:pPr>
              <w:pStyle w:val="tbltext"/>
            </w:pPr>
            <w:r w:rsidRPr="00423297">
              <w:t>Financial Adviser Standards and Ethics Authority</w:t>
            </w:r>
          </w:p>
        </w:tc>
      </w:tr>
      <w:tr w:rsidR="002A2F18" w:rsidRPr="00423297" w14:paraId="62CA8DC9" w14:textId="77777777" w:rsidTr="006727F2">
        <w:trPr>
          <w:gridAfter w:val="1"/>
          <w:wAfter w:w="6" w:type="dxa"/>
          <w:cantSplit/>
        </w:trPr>
        <w:tc>
          <w:tcPr>
            <w:tcW w:w="1986" w:type="dxa"/>
            <w:tcBorders>
              <w:top w:val="nil"/>
              <w:bottom w:val="nil"/>
              <w:right w:val="nil"/>
            </w:tcBorders>
          </w:tcPr>
          <w:p w14:paraId="6CF1A39B" w14:textId="77777777" w:rsidR="002A2F18" w:rsidRPr="00423297" w:rsidRDefault="002A2F18" w:rsidP="00D20009">
            <w:pPr>
              <w:pStyle w:val="tbltext"/>
            </w:pPr>
            <w:r w:rsidRPr="00423297">
              <w:t>FASEA Code of Ethics</w:t>
            </w:r>
          </w:p>
        </w:tc>
        <w:tc>
          <w:tcPr>
            <w:tcW w:w="4817" w:type="dxa"/>
            <w:tcBorders>
              <w:top w:val="nil"/>
              <w:left w:val="nil"/>
              <w:bottom w:val="nil"/>
            </w:tcBorders>
          </w:tcPr>
          <w:p w14:paraId="0D1E69B9" w14:textId="77777777" w:rsidR="002A2F18" w:rsidRPr="00423297" w:rsidRDefault="002A2F18" w:rsidP="00D20009">
            <w:pPr>
              <w:pStyle w:val="tbltext"/>
            </w:pPr>
            <w:r w:rsidRPr="00423297">
              <w:t>Financial Planners and Advisers Code of Ethics 2019</w:t>
            </w:r>
          </w:p>
        </w:tc>
      </w:tr>
      <w:tr w:rsidR="00A506EC" w:rsidRPr="00423297" w14:paraId="066AA08D" w14:textId="77777777" w:rsidTr="006727F2">
        <w:trPr>
          <w:gridAfter w:val="1"/>
          <w:wAfter w:w="6" w:type="dxa"/>
          <w:cantSplit/>
        </w:trPr>
        <w:tc>
          <w:tcPr>
            <w:tcW w:w="1986" w:type="dxa"/>
            <w:tcBorders>
              <w:top w:val="nil"/>
              <w:bottom w:val="nil"/>
            </w:tcBorders>
          </w:tcPr>
          <w:p w14:paraId="5BA5A3C0" w14:textId="1187D186" w:rsidR="00A506EC" w:rsidRPr="00423297" w:rsidRDefault="00A506EC" w:rsidP="00A506EC">
            <w:pPr>
              <w:pStyle w:val="tbltext"/>
            </w:pPr>
            <w:r w:rsidRPr="00423297">
              <w:t>financial product</w:t>
            </w:r>
          </w:p>
        </w:tc>
        <w:tc>
          <w:tcPr>
            <w:tcW w:w="4817" w:type="dxa"/>
            <w:tcBorders>
              <w:top w:val="nil"/>
              <w:bottom w:val="nil"/>
            </w:tcBorders>
          </w:tcPr>
          <w:p w14:paraId="227DC771" w14:textId="77777777" w:rsidR="00A506EC" w:rsidRPr="00423297" w:rsidRDefault="00A506EC" w:rsidP="00A506EC">
            <w:pPr>
              <w:pStyle w:val="tbltext"/>
            </w:pPr>
            <w:r w:rsidRPr="00423297">
              <w:t>A facility through which, or through the acquisition of which, a person does one or more of the following:</w:t>
            </w:r>
          </w:p>
          <w:p w14:paraId="4E58F1A6" w14:textId="77777777" w:rsidR="00A506EC" w:rsidRPr="00423297" w:rsidRDefault="00A506EC" w:rsidP="00A506EC">
            <w:pPr>
              <w:pStyle w:val="tablebullet"/>
              <w:numPr>
                <w:ilvl w:val="0"/>
                <w:numId w:val="115"/>
              </w:numPr>
            </w:pPr>
            <w:r w:rsidRPr="00423297">
              <w:t>makes a financial investment (see s763B);</w:t>
            </w:r>
          </w:p>
          <w:p w14:paraId="453B3E9A" w14:textId="77777777" w:rsidR="00A506EC" w:rsidRPr="00423297" w:rsidRDefault="00A506EC" w:rsidP="00A506EC">
            <w:pPr>
              <w:pStyle w:val="tablebullet"/>
              <w:numPr>
                <w:ilvl w:val="0"/>
                <w:numId w:val="115"/>
              </w:numPr>
            </w:pPr>
            <w:r w:rsidRPr="00423297">
              <w:t>manages financial risk (see s763C);</w:t>
            </w:r>
          </w:p>
          <w:p w14:paraId="0CDD76DC" w14:textId="77777777" w:rsidR="00A506EC" w:rsidRPr="00423297" w:rsidRDefault="00A506EC" w:rsidP="00A506EC">
            <w:pPr>
              <w:pStyle w:val="tablebullet"/>
              <w:numPr>
                <w:ilvl w:val="0"/>
                <w:numId w:val="115"/>
              </w:numPr>
            </w:pPr>
            <w:r w:rsidRPr="00423297">
              <w:t>makes non-cash payments (see s763D)</w:t>
            </w:r>
          </w:p>
          <w:p w14:paraId="7C87F262" w14:textId="27259264" w:rsidR="00A506EC" w:rsidRPr="00423297" w:rsidRDefault="00A506EC">
            <w:pPr>
              <w:pStyle w:val="tblnote"/>
            </w:pPr>
            <w:r w:rsidRPr="00423297">
              <w:t>Note: This is a definition contained in s763A of the Corporations Act: see also s763B–765A.</w:t>
            </w:r>
          </w:p>
        </w:tc>
      </w:tr>
      <w:tr w:rsidR="00A506EC" w:rsidRPr="00423297" w14:paraId="0D64BF56" w14:textId="77777777" w:rsidTr="006727F2">
        <w:trPr>
          <w:gridAfter w:val="1"/>
          <w:wAfter w:w="6" w:type="dxa"/>
          <w:cantSplit/>
        </w:trPr>
        <w:tc>
          <w:tcPr>
            <w:tcW w:w="1986" w:type="dxa"/>
            <w:tcBorders>
              <w:top w:val="nil"/>
              <w:bottom w:val="nil"/>
            </w:tcBorders>
          </w:tcPr>
          <w:p w14:paraId="0A53CC2F" w14:textId="676DD035" w:rsidR="00A506EC" w:rsidRPr="00423297" w:rsidRDefault="00A506EC" w:rsidP="00A506EC">
            <w:pPr>
              <w:pStyle w:val="tbltext"/>
            </w:pPr>
            <w:r w:rsidRPr="00423297">
              <w:lastRenderedPageBreak/>
              <w:t>financial product advice</w:t>
            </w:r>
          </w:p>
        </w:tc>
        <w:tc>
          <w:tcPr>
            <w:tcW w:w="4817" w:type="dxa"/>
            <w:tcBorders>
              <w:top w:val="nil"/>
              <w:bottom w:val="nil"/>
            </w:tcBorders>
          </w:tcPr>
          <w:p w14:paraId="7AD95ED6" w14:textId="77777777" w:rsidR="00A506EC" w:rsidRPr="00423297" w:rsidRDefault="00A506EC" w:rsidP="00A506EC">
            <w:pPr>
              <w:pStyle w:val="tbltext"/>
            </w:pPr>
            <w:r w:rsidRPr="00423297">
              <w:t xml:space="preserve">A recommendation or a statement of opinion, or a report of either of these things, that: </w:t>
            </w:r>
          </w:p>
          <w:p w14:paraId="001832EE" w14:textId="77777777" w:rsidR="00A506EC" w:rsidRPr="00423297" w:rsidRDefault="00A506EC" w:rsidP="00A506EC">
            <w:pPr>
              <w:pStyle w:val="tablebullet"/>
              <w:numPr>
                <w:ilvl w:val="0"/>
                <w:numId w:val="115"/>
              </w:numPr>
            </w:pPr>
            <w:r w:rsidRPr="00423297">
              <w:t xml:space="preserve">is intended to influence a person or persons in making a decision about a particular financial product or class of financial product, or an interest in a particular financial product or class of financial product; or </w:t>
            </w:r>
          </w:p>
          <w:p w14:paraId="3B667940" w14:textId="77777777" w:rsidR="00A506EC" w:rsidRPr="00423297" w:rsidRDefault="00A506EC" w:rsidP="00A506EC">
            <w:pPr>
              <w:pStyle w:val="tablebullet"/>
              <w:numPr>
                <w:ilvl w:val="0"/>
                <w:numId w:val="115"/>
              </w:numPr>
            </w:pPr>
            <w:proofErr w:type="gramStart"/>
            <w:r w:rsidRPr="00423297">
              <w:t>could</w:t>
            </w:r>
            <w:proofErr w:type="gramEnd"/>
            <w:r w:rsidRPr="00423297">
              <w:t xml:space="preserve"> reasonably be regarded as being intended to have such an influence. </w:t>
            </w:r>
          </w:p>
          <w:p w14:paraId="65466D35" w14:textId="77777777" w:rsidR="00A506EC" w:rsidRPr="00423297" w:rsidRDefault="00A506EC" w:rsidP="00A506EC">
            <w:pPr>
              <w:pStyle w:val="tbltext"/>
            </w:pPr>
            <w:r w:rsidRPr="00423297">
              <w:t>This does not include anything in an exempt document or statement</w:t>
            </w:r>
          </w:p>
          <w:p w14:paraId="4BCCDDC5" w14:textId="59D87361" w:rsidR="00A506EC" w:rsidRPr="00423297" w:rsidRDefault="00A506EC">
            <w:pPr>
              <w:pStyle w:val="tblnote"/>
            </w:pPr>
            <w:r w:rsidRPr="00423297">
              <w:t xml:space="preserve">Note: This is the definition contained in s766B of the Corporations Act. </w:t>
            </w:r>
          </w:p>
        </w:tc>
      </w:tr>
      <w:tr w:rsidR="00BE43A4" w:rsidRPr="00423297" w14:paraId="51C8F3EF" w14:textId="77777777" w:rsidTr="006727F2">
        <w:trPr>
          <w:gridAfter w:val="1"/>
          <w:wAfter w:w="6" w:type="dxa"/>
          <w:cantSplit/>
        </w:trPr>
        <w:tc>
          <w:tcPr>
            <w:tcW w:w="1986" w:type="dxa"/>
            <w:tcBorders>
              <w:top w:val="nil"/>
              <w:bottom w:val="nil"/>
            </w:tcBorders>
          </w:tcPr>
          <w:p w14:paraId="3A27BAFF" w14:textId="77777777" w:rsidR="00BE43A4" w:rsidRPr="00423297" w:rsidRDefault="00BE43A4" w:rsidP="00811725">
            <w:pPr>
              <w:pStyle w:val="tbltext"/>
            </w:pPr>
            <w:r w:rsidRPr="00423297">
              <w:t>FOFA</w:t>
            </w:r>
          </w:p>
        </w:tc>
        <w:tc>
          <w:tcPr>
            <w:tcW w:w="4817" w:type="dxa"/>
            <w:tcBorders>
              <w:top w:val="nil"/>
              <w:bottom w:val="nil"/>
            </w:tcBorders>
          </w:tcPr>
          <w:p w14:paraId="213D8FF8" w14:textId="77777777" w:rsidR="00BE43A4" w:rsidRPr="00423297" w:rsidRDefault="00BE43A4" w:rsidP="00811725">
            <w:pPr>
              <w:pStyle w:val="tbltext"/>
            </w:pPr>
            <w:r w:rsidRPr="00423297">
              <w:t>Future of Financial Advice</w:t>
            </w:r>
          </w:p>
        </w:tc>
      </w:tr>
      <w:tr w:rsidR="00884924" w:rsidRPr="00423297" w14:paraId="6EC514C7" w14:textId="77777777" w:rsidTr="006727F2">
        <w:trPr>
          <w:gridAfter w:val="1"/>
          <w:wAfter w:w="6" w:type="dxa"/>
          <w:cantSplit/>
        </w:trPr>
        <w:tc>
          <w:tcPr>
            <w:tcW w:w="1986" w:type="dxa"/>
            <w:tcBorders>
              <w:top w:val="nil"/>
              <w:bottom w:val="nil"/>
            </w:tcBorders>
          </w:tcPr>
          <w:p w14:paraId="1FEDD32E" w14:textId="62FF277B" w:rsidR="00884924" w:rsidRPr="00423297" w:rsidRDefault="00884924" w:rsidP="00811725">
            <w:pPr>
              <w:pStyle w:val="tbltext"/>
            </w:pPr>
            <w:r w:rsidRPr="00423297">
              <w:t>formal hardship arrangements</w:t>
            </w:r>
          </w:p>
        </w:tc>
        <w:tc>
          <w:tcPr>
            <w:tcW w:w="4817" w:type="dxa"/>
            <w:tcBorders>
              <w:top w:val="nil"/>
              <w:bottom w:val="nil"/>
            </w:tcBorders>
          </w:tcPr>
          <w:p w14:paraId="01CB493B" w14:textId="43D2F1DC" w:rsidR="00884924" w:rsidRPr="00423297" w:rsidRDefault="00C348CE" w:rsidP="00953431">
            <w:pPr>
              <w:pStyle w:val="tbltext"/>
            </w:pPr>
            <w:r w:rsidRPr="00423297">
              <w:t xml:space="preserve">The arrangements set out in paragraph </w:t>
            </w:r>
            <w:r w:rsidRPr="00423297">
              <w:fldChar w:fldCharType="begin"/>
            </w:r>
            <w:r w:rsidRPr="00423297">
              <w:instrText xml:space="preserve"> REF _Ref10558677 \r \h  \* MERGEFORMAT </w:instrText>
            </w:r>
            <w:r w:rsidRPr="00423297">
              <w:fldChar w:fldCharType="separate"/>
            </w:r>
            <w:r w:rsidR="00B92808">
              <w:t>87</w:t>
            </w:r>
            <w:r w:rsidRPr="00423297">
              <w:fldChar w:fldCharType="end"/>
            </w:r>
          </w:p>
        </w:tc>
      </w:tr>
      <w:tr w:rsidR="00BE43A4" w:rsidRPr="00423297" w14:paraId="74024F8E" w14:textId="77777777" w:rsidTr="006727F2">
        <w:trPr>
          <w:gridAfter w:val="1"/>
          <w:wAfter w:w="6" w:type="dxa"/>
          <w:cantSplit/>
        </w:trPr>
        <w:tc>
          <w:tcPr>
            <w:tcW w:w="1986" w:type="dxa"/>
            <w:tcBorders>
              <w:top w:val="nil"/>
              <w:bottom w:val="nil"/>
            </w:tcBorders>
          </w:tcPr>
          <w:p w14:paraId="254305AC" w14:textId="3974A8F3" w:rsidR="00BE43A4" w:rsidRPr="00423297" w:rsidRDefault="00BE43A4" w:rsidP="00811725">
            <w:pPr>
              <w:pStyle w:val="tbltext"/>
            </w:pPr>
            <w:r w:rsidRPr="00423297">
              <w:t xml:space="preserve">formal </w:t>
            </w:r>
            <w:r w:rsidR="00D61E78">
              <w:t>‘</w:t>
            </w:r>
            <w:r w:rsidRPr="00423297">
              <w:t>subject to finance</w:t>
            </w:r>
            <w:r w:rsidR="00D61E78">
              <w:t>’</w:t>
            </w:r>
            <w:r w:rsidRPr="00423297">
              <w:t xml:space="preserve"> rights</w:t>
            </w:r>
          </w:p>
        </w:tc>
        <w:tc>
          <w:tcPr>
            <w:tcW w:w="4817" w:type="dxa"/>
            <w:tcBorders>
              <w:top w:val="nil"/>
              <w:bottom w:val="nil"/>
            </w:tcBorders>
          </w:tcPr>
          <w:p w14:paraId="173D55E7" w14:textId="73D8E184" w:rsidR="00BE43A4" w:rsidRPr="00423297" w:rsidRDefault="00C348CE" w:rsidP="00953431">
            <w:pPr>
              <w:pStyle w:val="tbltext"/>
            </w:pPr>
            <w:r w:rsidRPr="00423297">
              <w:t>The r</w:t>
            </w:r>
            <w:r w:rsidR="00BE43A4" w:rsidRPr="00423297">
              <w:t>ight of consumer</w:t>
            </w:r>
            <w:r w:rsidRPr="00423297">
              <w:t>s</w:t>
            </w:r>
            <w:r w:rsidR="00BE43A4" w:rsidRPr="00423297">
              <w:t xml:space="preserve"> to withdraw their application for membership </w:t>
            </w:r>
            <w:r w:rsidRPr="00423297">
              <w:t>if they</w:t>
            </w:r>
            <w:r w:rsidR="00BE43A4" w:rsidRPr="00423297">
              <w:t xml:space="preserve"> notif</w:t>
            </w:r>
            <w:r w:rsidRPr="00423297">
              <w:t>y</w:t>
            </w:r>
            <w:r w:rsidR="00BE43A4" w:rsidRPr="00423297">
              <w:t xml:space="preserve"> the operator that they have:</w:t>
            </w:r>
          </w:p>
          <w:p w14:paraId="27153E29" w14:textId="625086E1" w:rsidR="00BE43A4" w:rsidRPr="00423297" w:rsidRDefault="00BE43A4" w:rsidP="00953431">
            <w:pPr>
              <w:pStyle w:val="tablebullet"/>
            </w:pPr>
            <w:r w:rsidRPr="00423297">
              <w:t>failed to obtain finance;</w:t>
            </w:r>
          </w:p>
          <w:p w14:paraId="74FE6A0E" w14:textId="46533E61" w:rsidR="00BE43A4" w:rsidRPr="00423297" w:rsidRDefault="00BE43A4" w:rsidP="00953431">
            <w:pPr>
              <w:pStyle w:val="tablebullet"/>
            </w:pPr>
            <w:r w:rsidRPr="00423297">
              <w:t>decided not to proceed with the application for finance; or</w:t>
            </w:r>
          </w:p>
          <w:p w14:paraId="5F37A002" w14:textId="028CE483" w:rsidR="00BE43A4" w:rsidRPr="00423297" w:rsidRDefault="00BE43A4" w:rsidP="00953431">
            <w:pPr>
              <w:pStyle w:val="tablebullet"/>
            </w:pPr>
            <w:r w:rsidRPr="00423297">
              <w:t>rejected an offer of finance</w:t>
            </w:r>
          </w:p>
        </w:tc>
      </w:tr>
      <w:tr w:rsidR="00C223E7" w:rsidRPr="00423297" w14:paraId="07178864" w14:textId="77777777" w:rsidTr="006727F2">
        <w:tblPrEx>
          <w:tblCellMar>
            <w:bottom w:w="85" w:type="dxa"/>
          </w:tblCellMar>
        </w:tblPrEx>
        <w:trPr>
          <w:gridAfter w:val="1"/>
          <w:wAfter w:w="6" w:type="dxa"/>
          <w:cantSplit/>
        </w:trPr>
        <w:tc>
          <w:tcPr>
            <w:tcW w:w="1986" w:type="dxa"/>
            <w:tcBorders>
              <w:top w:val="nil"/>
              <w:bottom w:val="nil"/>
            </w:tcBorders>
            <w:shd w:val="clear" w:color="auto" w:fill="auto"/>
          </w:tcPr>
          <w:p w14:paraId="1093BD55" w14:textId="77777777" w:rsidR="00C223E7" w:rsidRPr="00423297" w:rsidRDefault="00C223E7" w:rsidP="00C223E7">
            <w:pPr>
              <w:pStyle w:val="tabletext"/>
            </w:pPr>
            <w:r w:rsidRPr="00423297">
              <w:t>FSG</w:t>
            </w:r>
          </w:p>
        </w:tc>
        <w:tc>
          <w:tcPr>
            <w:tcW w:w="4817" w:type="dxa"/>
            <w:tcBorders>
              <w:top w:val="nil"/>
              <w:bottom w:val="nil"/>
            </w:tcBorders>
            <w:shd w:val="clear" w:color="auto" w:fill="auto"/>
          </w:tcPr>
          <w:p w14:paraId="0ED31C0E" w14:textId="77777777" w:rsidR="00C223E7" w:rsidRPr="00423297" w:rsidRDefault="00C223E7" w:rsidP="00C223E7">
            <w:pPr>
              <w:pStyle w:val="tabletext"/>
            </w:pPr>
            <w:r w:rsidRPr="00423297">
              <w:t>A Financial Services Guide—a document required by s941A or 941B to be given in accordance with Div 2 of Pt 7.7 of the Corporations Act</w:t>
            </w:r>
          </w:p>
          <w:p w14:paraId="53E80513" w14:textId="77777777" w:rsidR="00C223E7" w:rsidRPr="00423297" w:rsidRDefault="00C223E7" w:rsidP="00C223E7">
            <w:pPr>
              <w:pStyle w:val="tblnote"/>
            </w:pPr>
            <w:r w:rsidRPr="00423297">
              <w:t>Note: This is a definition contained in s761A.</w:t>
            </w:r>
          </w:p>
        </w:tc>
      </w:tr>
      <w:tr w:rsidR="00BE43A4" w:rsidRPr="00423297" w14:paraId="2D5FC26C" w14:textId="77777777" w:rsidTr="006727F2">
        <w:trPr>
          <w:gridAfter w:val="1"/>
          <w:wAfter w:w="6" w:type="dxa"/>
          <w:cantSplit/>
        </w:trPr>
        <w:tc>
          <w:tcPr>
            <w:tcW w:w="1986" w:type="dxa"/>
            <w:tcBorders>
              <w:top w:val="nil"/>
              <w:bottom w:val="nil"/>
            </w:tcBorders>
          </w:tcPr>
          <w:p w14:paraId="17B2EAD5" w14:textId="77777777" w:rsidR="00BE43A4" w:rsidRPr="00423297" w:rsidRDefault="00BE43A4" w:rsidP="00811725">
            <w:pPr>
              <w:pStyle w:val="tbltext"/>
            </w:pPr>
            <w:r w:rsidRPr="00423297">
              <w:t>hardship</w:t>
            </w:r>
          </w:p>
        </w:tc>
        <w:tc>
          <w:tcPr>
            <w:tcW w:w="4817" w:type="dxa"/>
            <w:tcBorders>
              <w:top w:val="nil"/>
              <w:bottom w:val="nil"/>
            </w:tcBorders>
          </w:tcPr>
          <w:p w14:paraId="45E7A4C0" w14:textId="77777777" w:rsidR="00BE43A4" w:rsidRPr="00423297" w:rsidRDefault="00BE43A4" w:rsidP="00811725">
            <w:pPr>
              <w:pStyle w:val="tbltext"/>
            </w:pPr>
            <w:r w:rsidRPr="00423297">
              <w:t>Includes:</w:t>
            </w:r>
          </w:p>
          <w:p w14:paraId="62A83C81" w14:textId="088454FC" w:rsidR="00BE43A4" w:rsidRPr="00423297" w:rsidRDefault="00D61E78" w:rsidP="00953431">
            <w:pPr>
              <w:pStyle w:val="tablebullet"/>
            </w:pPr>
            <w:r>
              <w:t>‘</w:t>
            </w:r>
            <w:r w:rsidR="00BE43A4" w:rsidRPr="00423297">
              <w:t>severe financial hardship</w:t>
            </w:r>
            <w:r>
              <w:t>’</w:t>
            </w:r>
            <w:r w:rsidR="00BE43A4" w:rsidRPr="00423297">
              <w:t xml:space="preserve"> </w:t>
            </w:r>
            <w:r w:rsidR="00A71AE3">
              <w:t>(</w:t>
            </w:r>
            <w:r w:rsidR="00BE43A4" w:rsidRPr="00423297">
              <w:t xml:space="preserve">where a member </w:t>
            </w:r>
            <w:r w:rsidR="00D7118A" w:rsidRPr="00423297">
              <w:t>or a member</w:t>
            </w:r>
            <w:r>
              <w:t>’</w:t>
            </w:r>
            <w:r w:rsidR="00D7118A" w:rsidRPr="00423297">
              <w:t xml:space="preserve">s dependant </w:t>
            </w:r>
            <w:r w:rsidR="00BE43A4" w:rsidRPr="00423297">
              <w:t>is suffering</w:t>
            </w:r>
            <w:r w:rsidR="00D941EE" w:rsidRPr="00423297">
              <w:t>,</w:t>
            </w:r>
            <w:r w:rsidR="00BE43A4" w:rsidRPr="00423297">
              <w:t xml:space="preserve"> or will likely suffer, severe long-term or permanent financial hardship</w:t>
            </w:r>
            <w:r w:rsidR="00A71AE3">
              <w:t>)</w:t>
            </w:r>
            <w:r w:rsidR="00BE43A4" w:rsidRPr="00423297">
              <w:t xml:space="preserve">; </w:t>
            </w:r>
          </w:p>
          <w:p w14:paraId="3FCE4FB4" w14:textId="626B7841" w:rsidR="00D7118A" w:rsidRPr="00423297" w:rsidRDefault="00D61E78" w:rsidP="00953431">
            <w:pPr>
              <w:pStyle w:val="tablebullet"/>
            </w:pPr>
            <w:r>
              <w:t>‘</w:t>
            </w:r>
            <w:r w:rsidR="00BE43A4" w:rsidRPr="00423297">
              <w:t>compassionate grounds</w:t>
            </w:r>
            <w:r>
              <w:t>’</w:t>
            </w:r>
            <w:r w:rsidR="00BE43A4" w:rsidRPr="00423297">
              <w:t xml:space="preserve"> </w:t>
            </w:r>
            <w:r w:rsidR="00A71AE3">
              <w:t>(</w:t>
            </w:r>
            <w:r w:rsidR="00BE43A4" w:rsidRPr="00423297">
              <w:t>where a member</w:t>
            </w:r>
            <w:r w:rsidR="00D7118A" w:rsidRPr="00423297">
              <w:t xml:space="preserve"> or a member</w:t>
            </w:r>
            <w:r>
              <w:t>’</w:t>
            </w:r>
            <w:r w:rsidR="00D7118A" w:rsidRPr="00423297">
              <w:t>s dependant</w:t>
            </w:r>
            <w:r w:rsidR="00BE43A4" w:rsidRPr="00423297">
              <w:t xml:space="preserve"> is suffering </w:t>
            </w:r>
            <w:r w:rsidR="00A71AE3" w:rsidRPr="00D04583">
              <w:t>a life-threatening illness or injury, chronic pain, or a severe, long-term chronic mental disturbance</w:t>
            </w:r>
            <w:r w:rsidR="00A71AE3">
              <w:t>)</w:t>
            </w:r>
            <w:r w:rsidR="00D7118A" w:rsidRPr="00423297">
              <w:t>; and</w:t>
            </w:r>
          </w:p>
          <w:p w14:paraId="40F59652" w14:textId="0382C9C6" w:rsidR="00D7118A" w:rsidRPr="00423297" w:rsidRDefault="00D61E78" w:rsidP="00953431">
            <w:pPr>
              <w:pStyle w:val="tablebullet"/>
            </w:pPr>
            <w:r>
              <w:t>‘</w:t>
            </w:r>
            <w:proofErr w:type="gramStart"/>
            <w:r w:rsidR="00D7118A" w:rsidRPr="00423297">
              <w:t>permanent</w:t>
            </w:r>
            <w:proofErr w:type="gramEnd"/>
            <w:r w:rsidR="00D7118A" w:rsidRPr="00423297">
              <w:t xml:space="preserve"> incapacity</w:t>
            </w:r>
            <w:r>
              <w:t>’</w:t>
            </w:r>
            <w:r w:rsidR="00D7118A" w:rsidRPr="00423297">
              <w:t xml:space="preserve"> </w:t>
            </w:r>
            <w:r w:rsidR="00A71AE3">
              <w:t>(</w:t>
            </w:r>
            <w:r w:rsidR="00D7118A" w:rsidRPr="00423297">
              <w:t>where a member has ceased gainful employment by reason of mental or physical ill-health</w:t>
            </w:r>
            <w:r w:rsidR="00A71AE3">
              <w:t>)</w:t>
            </w:r>
            <w:r w:rsidR="00651D7B" w:rsidRPr="00423297">
              <w:t>.</w:t>
            </w:r>
          </w:p>
          <w:p w14:paraId="6B260A23" w14:textId="1CB0ADD5" w:rsidR="00BE43A4" w:rsidRPr="00423297" w:rsidRDefault="00651D7B" w:rsidP="008D5D3E">
            <w:pPr>
              <w:pStyle w:val="tbltext"/>
            </w:pPr>
            <w:r w:rsidRPr="00423297">
              <w:t>A</w:t>
            </w:r>
            <w:r w:rsidR="00D7118A" w:rsidRPr="00423297">
              <w:t>s a result</w:t>
            </w:r>
            <w:r w:rsidRPr="00423297">
              <w:t xml:space="preserve"> of the hardship, the member must be</w:t>
            </w:r>
            <w:r w:rsidR="00BE43A4" w:rsidRPr="00423297">
              <w:t xml:space="preserve"> unlikely </w:t>
            </w:r>
            <w:r w:rsidR="00D7118A" w:rsidRPr="00423297">
              <w:t xml:space="preserve">to use their membership </w:t>
            </w:r>
            <w:r w:rsidRPr="00423297">
              <w:t xml:space="preserve">in the </w:t>
            </w:r>
            <w:r w:rsidR="00D7118A" w:rsidRPr="00423297">
              <w:t>long term.</w:t>
            </w:r>
          </w:p>
        </w:tc>
      </w:tr>
      <w:tr w:rsidR="00C0501E" w:rsidRPr="00423297" w14:paraId="3B26B2BC" w14:textId="77777777" w:rsidTr="006727F2">
        <w:trPr>
          <w:gridAfter w:val="1"/>
          <w:wAfter w:w="6" w:type="dxa"/>
          <w:cantSplit/>
        </w:trPr>
        <w:tc>
          <w:tcPr>
            <w:tcW w:w="1986" w:type="dxa"/>
            <w:tcBorders>
              <w:top w:val="nil"/>
              <w:bottom w:val="nil"/>
            </w:tcBorders>
          </w:tcPr>
          <w:p w14:paraId="1A5984A2" w14:textId="77777777" w:rsidR="00C0501E" w:rsidRPr="00423297" w:rsidRDefault="00C0501E" w:rsidP="000E47B6">
            <w:pPr>
              <w:pStyle w:val="tbltext"/>
            </w:pPr>
            <w:r w:rsidRPr="00423297">
              <w:t xml:space="preserve">informal hardship arrangements </w:t>
            </w:r>
          </w:p>
        </w:tc>
        <w:tc>
          <w:tcPr>
            <w:tcW w:w="4817" w:type="dxa"/>
            <w:tcBorders>
              <w:top w:val="nil"/>
              <w:bottom w:val="nil"/>
            </w:tcBorders>
          </w:tcPr>
          <w:p w14:paraId="77420780" w14:textId="293C894A" w:rsidR="00C0501E" w:rsidRPr="00423297" w:rsidRDefault="00C0501E" w:rsidP="000E47B6">
            <w:pPr>
              <w:pStyle w:val="tbltext"/>
            </w:pPr>
            <w:bookmarkStart w:id="279" w:name="_Hlk10552403"/>
            <w:r w:rsidRPr="00423297">
              <w:t xml:space="preserve">Where operators exercise their discretion </w:t>
            </w:r>
            <w:r w:rsidR="006D5F82">
              <w:t>on an ad</w:t>
            </w:r>
            <w:r w:rsidR="00A71AE3">
              <w:t>-</w:t>
            </w:r>
            <w:r w:rsidR="006D5F82">
              <w:t xml:space="preserve">hoc basis </w:t>
            </w:r>
            <w:r w:rsidRPr="00423297">
              <w:t xml:space="preserve">to excuse members </w:t>
            </w:r>
            <w:r w:rsidR="00BE7A1B" w:rsidRPr="00423297">
              <w:t xml:space="preserve">suffering </w:t>
            </w:r>
            <w:r w:rsidRPr="00423297">
              <w:t xml:space="preserve">hardship from </w:t>
            </w:r>
            <w:r w:rsidRPr="00423297">
              <w:rPr>
                <w:rFonts w:eastAsia="Calibri"/>
              </w:rPr>
              <w:t>repaying</w:t>
            </w:r>
            <w:r w:rsidRPr="00423297">
              <w:t xml:space="preserve"> any shortfall or further payments on forfeiture</w:t>
            </w:r>
            <w:bookmarkEnd w:id="279"/>
          </w:p>
        </w:tc>
      </w:tr>
      <w:tr w:rsidR="00C0501E" w:rsidRPr="00423297" w14:paraId="68332D0A" w14:textId="77777777" w:rsidTr="006727F2">
        <w:trPr>
          <w:gridAfter w:val="1"/>
          <w:wAfter w:w="6" w:type="dxa"/>
          <w:cantSplit/>
        </w:trPr>
        <w:tc>
          <w:tcPr>
            <w:tcW w:w="1986" w:type="dxa"/>
            <w:tcBorders>
              <w:top w:val="nil"/>
              <w:bottom w:val="nil"/>
            </w:tcBorders>
          </w:tcPr>
          <w:p w14:paraId="56A3AC3D" w14:textId="21CC623E" w:rsidR="00C0501E" w:rsidRPr="00423297" w:rsidRDefault="00C0501E" w:rsidP="000E47B6">
            <w:pPr>
              <w:pStyle w:val="tbltext"/>
            </w:pPr>
            <w:r w:rsidRPr="00423297">
              <w:lastRenderedPageBreak/>
              <w:t xml:space="preserve">informal </w:t>
            </w:r>
            <w:r w:rsidR="00D61E78">
              <w:t>‘</w:t>
            </w:r>
            <w:r w:rsidRPr="00423297">
              <w:t>subject to finance</w:t>
            </w:r>
            <w:r w:rsidR="00D61E78">
              <w:t>’</w:t>
            </w:r>
            <w:r w:rsidRPr="00423297">
              <w:t xml:space="preserve"> arrangements</w:t>
            </w:r>
          </w:p>
        </w:tc>
        <w:tc>
          <w:tcPr>
            <w:tcW w:w="4817" w:type="dxa"/>
            <w:tcBorders>
              <w:top w:val="nil"/>
              <w:bottom w:val="nil"/>
            </w:tcBorders>
          </w:tcPr>
          <w:p w14:paraId="6013871C" w14:textId="439F1201" w:rsidR="00C0501E" w:rsidRPr="00423297" w:rsidRDefault="00C0501E" w:rsidP="000E47B6">
            <w:pPr>
              <w:pStyle w:val="tbltext"/>
            </w:pPr>
            <w:r w:rsidRPr="00423297">
              <w:t>Where operators exercise their discretion to extend the cooling-off period or permit consumers to withdraw their application for membership where the consumer</w:t>
            </w:r>
            <w:r w:rsidR="00D61E78">
              <w:t>’</w:t>
            </w:r>
            <w:r w:rsidRPr="00423297">
              <w:t>s application for finance is pending or refused</w:t>
            </w:r>
          </w:p>
        </w:tc>
      </w:tr>
      <w:tr w:rsidR="00BE43A4" w:rsidRPr="00423297" w14:paraId="5C6CFC3F" w14:textId="77777777" w:rsidTr="006727F2">
        <w:trPr>
          <w:gridAfter w:val="1"/>
          <w:wAfter w:w="6" w:type="dxa"/>
          <w:cantSplit/>
        </w:trPr>
        <w:tc>
          <w:tcPr>
            <w:tcW w:w="1986" w:type="dxa"/>
            <w:tcBorders>
              <w:top w:val="nil"/>
              <w:bottom w:val="nil"/>
            </w:tcBorders>
          </w:tcPr>
          <w:p w14:paraId="5043145F" w14:textId="77777777" w:rsidR="00BE43A4" w:rsidRPr="00423297" w:rsidRDefault="00BE43A4" w:rsidP="00811725">
            <w:pPr>
              <w:pStyle w:val="tbltext"/>
            </w:pPr>
            <w:r w:rsidRPr="00423297">
              <w:t>key features</w:t>
            </w:r>
          </w:p>
        </w:tc>
        <w:tc>
          <w:tcPr>
            <w:tcW w:w="4817" w:type="dxa"/>
            <w:tcBorders>
              <w:top w:val="nil"/>
              <w:bottom w:val="nil"/>
            </w:tcBorders>
          </w:tcPr>
          <w:p w14:paraId="7CE0F03B" w14:textId="292A567C" w:rsidR="00BE43A4" w:rsidRPr="00423297" w:rsidRDefault="00BE43A4" w:rsidP="00D941EE">
            <w:pPr>
              <w:pStyle w:val="tbltext"/>
            </w:pPr>
            <w:bookmarkStart w:id="280" w:name="_Hlk5011482"/>
            <w:r w:rsidRPr="00423297">
              <w:t>The information</w:t>
            </w:r>
            <w:r w:rsidR="00D941EE" w:rsidRPr="00423297">
              <w:t xml:space="preserve"> set out in </w:t>
            </w:r>
            <w:r w:rsidR="00D941EE" w:rsidRPr="00423297">
              <w:fldChar w:fldCharType="begin"/>
            </w:r>
            <w:r w:rsidR="00D941EE" w:rsidRPr="00423297">
              <w:instrText xml:space="preserve"> REF _Ref14855920 \h </w:instrText>
            </w:r>
            <w:r w:rsidR="008D3172" w:rsidRPr="00423297">
              <w:instrText xml:space="preserve"> \* MERGEFORMAT </w:instrText>
            </w:r>
            <w:r w:rsidR="00D941EE" w:rsidRPr="00423297">
              <w:fldChar w:fldCharType="separate"/>
            </w:r>
            <w:r w:rsidR="00B92808" w:rsidRPr="00423297">
              <w:t>Table </w:t>
            </w:r>
            <w:r w:rsidR="00B92808">
              <w:t>3</w:t>
            </w:r>
            <w:r w:rsidR="00D941EE" w:rsidRPr="00423297">
              <w:fldChar w:fldCharType="end"/>
            </w:r>
            <w:bookmarkEnd w:id="280"/>
          </w:p>
        </w:tc>
      </w:tr>
      <w:tr w:rsidR="00BE43A4" w:rsidRPr="00423297" w14:paraId="3A9584DB" w14:textId="77777777" w:rsidTr="006727F2">
        <w:trPr>
          <w:gridAfter w:val="1"/>
          <w:wAfter w:w="6" w:type="dxa"/>
          <w:cantSplit/>
        </w:trPr>
        <w:tc>
          <w:tcPr>
            <w:tcW w:w="1986" w:type="dxa"/>
            <w:tcBorders>
              <w:top w:val="nil"/>
              <w:bottom w:val="nil"/>
            </w:tcBorders>
          </w:tcPr>
          <w:p w14:paraId="5C15DD9E" w14:textId="2DF87CA8" w:rsidR="00BE43A4" w:rsidRPr="00423297" w:rsidRDefault="00BE43A4" w:rsidP="00811725">
            <w:pPr>
              <w:pStyle w:val="tbltext"/>
            </w:pPr>
            <w:r w:rsidRPr="00423297">
              <w:t>legacy scheme</w:t>
            </w:r>
            <w:r w:rsidR="00D941EE" w:rsidRPr="00423297">
              <w:t>s</w:t>
            </w:r>
          </w:p>
        </w:tc>
        <w:tc>
          <w:tcPr>
            <w:tcW w:w="4817" w:type="dxa"/>
            <w:tcBorders>
              <w:top w:val="nil"/>
              <w:bottom w:val="nil"/>
            </w:tcBorders>
          </w:tcPr>
          <w:p w14:paraId="4DE3E358" w14:textId="4B3C8E03" w:rsidR="00BE43A4" w:rsidRPr="00423297" w:rsidRDefault="00D941EE" w:rsidP="00811725">
            <w:pPr>
              <w:pStyle w:val="tbltext"/>
            </w:pPr>
            <w:r w:rsidRPr="00423297">
              <w:t>S</w:t>
            </w:r>
            <w:r w:rsidR="00BE43A4" w:rsidRPr="00423297">
              <w:t>tate-exempt time-sharing scheme</w:t>
            </w:r>
            <w:r w:rsidRPr="00423297">
              <w:t>s</w:t>
            </w:r>
            <w:r w:rsidR="00BE43A4" w:rsidRPr="00423297">
              <w:t xml:space="preserve">, title-based time-sharing scheme </w:t>
            </w:r>
            <w:r w:rsidRPr="00423297">
              <w:t>and</w:t>
            </w:r>
            <w:r w:rsidR="00BE43A4" w:rsidRPr="00423297">
              <w:t xml:space="preserve"> member-controlled club </w:t>
            </w:r>
            <w:r w:rsidRPr="00423297">
              <w:t>that still rely on the individual relief based on PF 205, PF 206 and PF</w:t>
            </w:r>
            <w:r w:rsidR="004F2891" w:rsidRPr="00423297">
              <w:t> </w:t>
            </w:r>
            <w:r w:rsidRPr="00423297">
              <w:t>207</w:t>
            </w:r>
          </w:p>
        </w:tc>
      </w:tr>
      <w:tr w:rsidR="00D941EE" w:rsidRPr="00423297" w:rsidDel="00D941EE" w14:paraId="5584D42E" w14:textId="77777777" w:rsidTr="006727F2">
        <w:trPr>
          <w:gridAfter w:val="1"/>
          <w:wAfter w:w="6" w:type="dxa"/>
          <w:cantSplit/>
        </w:trPr>
        <w:tc>
          <w:tcPr>
            <w:tcW w:w="1986" w:type="dxa"/>
            <w:tcBorders>
              <w:top w:val="nil"/>
              <w:bottom w:val="nil"/>
            </w:tcBorders>
          </w:tcPr>
          <w:p w14:paraId="159473D0" w14:textId="22E0147C" w:rsidR="00D941EE" w:rsidRPr="00423297" w:rsidDel="00D941EE" w:rsidRDefault="00D941EE" w:rsidP="00D941EE">
            <w:pPr>
              <w:pStyle w:val="tbltext"/>
            </w:pPr>
            <w:r w:rsidRPr="00423297">
              <w:rPr>
                <w:color w:val="000000"/>
                <w:lang w:val="en"/>
              </w:rPr>
              <w:t>National Credit Act</w:t>
            </w:r>
          </w:p>
        </w:tc>
        <w:tc>
          <w:tcPr>
            <w:tcW w:w="4817" w:type="dxa"/>
            <w:tcBorders>
              <w:top w:val="nil"/>
              <w:bottom w:val="nil"/>
            </w:tcBorders>
          </w:tcPr>
          <w:p w14:paraId="7B2BAC7B" w14:textId="097EB00B" w:rsidR="00D941EE" w:rsidRPr="00423297" w:rsidDel="00D941EE" w:rsidRDefault="00D941EE" w:rsidP="00D941EE">
            <w:pPr>
              <w:pStyle w:val="tbltext"/>
            </w:pPr>
            <w:r w:rsidRPr="00423297">
              <w:rPr>
                <w:i/>
                <w:iCs/>
                <w:color w:val="000000"/>
                <w:lang w:val="en"/>
              </w:rPr>
              <w:t>National Consumer Credit Protection Act 2009</w:t>
            </w:r>
          </w:p>
        </w:tc>
      </w:tr>
      <w:tr w:rsidR="00D941EE" w:rsidRPr="00423297" w:rsidDel="00D941EE" w14:paraId="6704C8C2" w14:textId="77777777" w:rsidTr="006727F2">
        <w:trPr>
          <w:gridAfter w:val="1"/>
          <w:wAfter w:w="6" w:type="dxa"/>
          <w:cantSplit/>
        </w:trPr>
        <w:tc>
          <w:tcPr>
            <w:tcW w:w="1986" w:type="dxa"/>
            <w:tcBorders>
              <w:top w:val="nil"/>
              <w:bottom w:val="nil"/>
            </w:tcBorders>
          </w:tcPr>
          <w:p w14:paraId="389E1A42" w14:textId="5C34450D" w:rsidR="00D941EE" w:rsidRPr="00423297" w:rsidDel="00D941EE" w:rsidRDefault="00D941EE" w:rsidP="00D941EE">
            <w:pPr>
              <w:pStyle w:val="tbltext"/>
            </w:pPr>
            <w:r w:rsidRPr="00423297">
              <w:t>National Credit Code</w:t>
            </w:r>
          </w:p>
        </w:tc>
        <w:tc>
          <w:tcPr>
            <w:tcW w:w="4817" w:type="dxa"/>
            <w:tcBorders>
              <w:top w:val="nil"/>
              <w:bottom w:val="nil"/>
            </w:tcBorders>
          </w:tcPr>
          <w:p w14:paraId="246237D6" w14:textId="5C49E042" w:rsidR="00D941EE" w:rsidRPr="00423297" w:rsidDel="00D941EE" w:rsidRDefault="00D941EE" w:rsidP="00D941EE">
            <w:pPr>
              <w:pStyle w:val="tbltext"/>
            </w:pPr>
            <w:r w:rsidRPr="00423297">
              <w:t xml:space="preserve">National Credit Code at Sch 1 to the National Credit Act </w:t>
            </w:r>
          </w:p>
        </w:tc>
      </w:tr>
      <w:tr w:rsidR="00BE43A4" w:rsidRPr="00423297" w14:paraId="591B436C" w14:textId="77777777" w:rsidTr="006727F2">
        <w:trPr>
          <w:gridAfter w:val="1"/>
          <w:wAfter w:w="6" w:type="dxa"/>
          <w:cantSplit/>
        </w:trPr>
        <w:tc>
          <w:tcPr>
            <w:tcW w:w="1986" w:type="dxa"/>
            <w:tcBorders>
              <w:top w:val="nil"/>
              <w:bottom w:val="nil"/>
            </w:tcBorders>
          </w:tcPr>
          <w:p w14:paraId="2EC2193C" w14:textId="77777777" w:rsidR="00BE43A4" w:rsidRPr="00423297" w:rsidRDefault="00BE43A4" w:rsidP="00811725">
            <w:pPr>
              <w:pStyle w:val="tbltext"/>
            </w:pPr>
            <w:r w:rsidRPr="00423297">
              <w:t>operator</w:t>
            </w:r>
          </w:p>
        </w:tc>
        <w:tc>
          <w:tcPr>
            <w:tcW w:w="4817" w:type="dxa"/>
            <w:tcBorders>
              <w:top w:val="nil"/>
              <w:bottom w:val="nil"/>
            </w:tcBorders>
          </w:tcPr>
          <w:p w14:paraId="674EE7B0" w14:textId="77777777" w:rsidR="00BE43A4" w:rsidRPr="00423297" w:rsidRDefault="00BE43A4" w:rsidP="00811725">
            <w:pPr>
              <w:pStyle w:val="tbltext"/>
            </w:pPr>
            <w:r w:rsidRPr="00423297">
              <w:t>The responsible entity of a registered scheme</w:t>
            </w:r>
          </w:p>
        </w:tc>
      </w:tr>
      <w:tr w:rsidR="00BE43A4" w:rsidRPr="00423297" w14:paraId="4106789F" w14:textId="77777777" w:rsidTr="006727F2">
        <w:trPr>
          <w:gridAfter w:val="1"/>
          <w:wAfter w:w="6" w:type="dxa"/>
          <w:cantSplit/>
        </w:trPr>
        <w:tc>
          <w:tcPr>
            <w:tcW w:w="1986" w:type="dxa"/>
            <w:tcBorders>
              <w:top w:val="nil"/>
              <w:bottom w:val="nil"/>
            </w:tcBorders>
          </w:tcPr>
          <w:p w14:paraId="4CC3A731" w14:textId="77777777" w:rsidR="00BE43A4" w:rsidRPr="00423297" w:rsidRDefault="00BE43A4" w:rsidP="00811725">
            <w:pPr>
              <w:pStyle w:val="tbltext"/>
            </w:pPr>
            <w:r w:rsidRPr="00423297">
              <w:t>PDS</w:t>
            </w:r>
          </w:p>
        </w:tc>
        <w:tc>
          <w:tcPr>
            <w:tcW w:w="4817" w:type="dxa"/>
            <w:tcBorders>
              <w:top w:val="nil"/>
              <w:bottom w:val="nil"/>
            </w:tcBorders>
          </w:tcPr>
          <w:p w14:paraId="05FC65F1" w14:textId="77777777" w:rsidR="00D941EE" w:rsidRPr="00423297" w:rsidRDefault="00D941EE" w:rsidP="00D941EE">
            <w:pPr>
              <w:pStyle w:val="tabletext"/>
              <w:rPr>
                <w:rFonts w:eastAsia="MS Mincho"/>
              </w:rPr>
            </w:pPr>
            <w:r w:rsidRPr="00423297">
              <w:rPr>
                <w:rFonts w:eastAsia="MS Mincho"/>
              </w:rPr>
              <w:t>A Product Disclosure Statement—a document that must be given to a retail client for the offer or issue of a financial product in accordance with Div 2 of Pt 7.9 of the Corporations Act</w:t>
            </w:r>
          </w:p>
          <w:p w14:paraId="08F1D85F" w14:textId="0BDF991F" w:rsidR="00BE43A4" w:rsidRPr="00423297" w:rsidRDefault="00D941EE">
            <w:pPr>
              <w:pStyle w:val="tblnote"/>
            </w:pPr>
            <w:r w:rsidRPr="00423297">
              <w:rPr>
                <w:rFonts w:eastAsia="MS Mincho"/>
              </w:rPr>
              <w:t>Note: See s761A for the exact definition.</w:t>
            </w:r>
          </w:p>
        </w:tc>
      </w:tr>
      <w:tr w:rsidR="00D941EE" w:rsidRPr="00423297" w14:paraId="35151F18" w14:textId="77777777" w:rsidTr="006727F2">
        <w:trPr>
          <w:gridAfter w:val="1"/>
          <w:wAfter w:w="6" w:type="dxa"/>
          <w:cantSplit/>
        </w:trPr>
        <w:tc>
          <w:tcPr>
            <w:tcW w:w="1986" w:type="dxa"/>
            <w:tcBorders>
              <w:top w:val="nil"/>
              <w:bottom w:val="nil"/>
            </w:tcBorders>
          </w:tcPr>
          <w:p w14:paraId="3271FDC2" w14:textId="03BDF4B1" w:rsidR="00D941EE" w:rsidRPr="00423297" w:rsidRDefault="00D941EE" w:rsidP="00D941EE">
            <w:pPr>
              <w:pStyle w:val="tbltext"/>
            </w:pPr>
            <w:r w:rsidRPr="00423297">
              <w:rPr>
                <w:rFonts w:eastAsia="MS Mincho"/>
              </w:rPr>
              <w:t>PF 209 (for example)</w:t>
            </w:r>
          </w:p>
        </w:tc>
        <w:tc>
          <w:tcPr>
            <w:tcW w:w="4817" w:type="dxa"/>
            <w:tcBorders>
              <w:top w:val="nil"/>
              <w:bottom w:val="nil"/>
            </w:tcBorders>
          </w:tcPr>
          <w:p w14:paraId="5A20BD90" w14:textId="2960D89C" w:rsidR="00D941EE" w:rsidRPr="00423297" w:rsidRDefault="00D941EE" w:rsidP="00D941EE">
            <w:pPr>
              <w:pStyle w:val="tabletext"/>
              <w:rPr>
                <w:rFonts w:eastAsia="MS Mincho"/>
              </w:rPr>
            </w:pPr>
            <w:r w:rsidRPr="00423297">
              <w:rPr>
                <w:rFonts w:eastAsia="MS Mincho"/>
              </w:rPr>
              <w:t>An ASIC pro forma (in this example numbered 209)</w:t>
            </w:r>
          </w:p>
        </w:tc>
      </w:tr>
      <w:tr w:rsidR="00D941EE" w:rsidRPr="00423297" w14:paraId="5EC9B824" w14:textId="77777777" w:rsidTr="006727F2">
        <w:trPr>
          <w:gridAfter w:val="1"/>
          <w:wAfter w:w="6" w:type="dxa"/>
          <w:cantSplit/>
        </w:trPr>
        <w:tc>
          <w:tcPr>
            <w:tcW w:w="1986" w:type="dxa"/>
            <w:tcBorders>
              <w:top w:val="nil"/>
              <w:bottom w:val="nil"/>
            </w:tcBorders>
          </w:tcPr>
          <w:p w14:paraId="300DECF3" w14:textId="185BF929" w:rsidR="00D941EE" w:rsidRPr="00423297" w:rsidRDefault="00D941EE" w:rsidP="00D941EE">
            <w:pPr>
              <w:pStyle w:val="tbltext"/>
              <w:rPr>
                <w:rFonts w:eastAsia="MS Mincho"/>
              </w:rPr>
            </w:pPr>
            <w:r w:rsidRPr="00423297">
              <w:t>points</w:t>
            </w:r>
          </w:p>
        </w:tc>
        <w:tc>
          <w:tcPr>
            <w:tcW w:w="4817" w:type="dxa"/>
            <w:tcBorders>
              <w:top w:val="nil"/>
              <w:bottom w:val="nil"/>
            </w:tcBorders>
          </w:tcPr>
          <w:p w14:paraId="2147E931" w14:textId="1B7250D2" w:rsidR="00D941EE" w:rsidRPr="00423297" w:rsidRDefault="00D941EE" w:rsidP="00D941EE">
            <w:pPr>
              <w:pStyle w:val="tabletext"/>
              <w:rPr>
                <w:rFonts w:eastAsia="MS Mincho"/>
              </w:rPr>
            </w:pPr>
            <w:r w:rsidRPr="00423297">
              <w:t>A unit of measurement for the amount payable for the use of the time-sharing scheme property</w:t>
            </w:r>
          </w:p>
        </w:tc>
      </w:tr>
      <w:tr w:rsidR="00D941EE" w:rsidRPr="00423297" w14:paraId="21488FB2" w14:textId="77777777" w:rsidTr="006727F2">
        <w:trPr>
          <w:gridAfter w:val="1"/>
          <w:wAfter w:w="6" w:type="dxa"/>
          <w:cantSplit/>
        </w:trPr>
        <w:tc>
          <w:tcPr>
            <w:tcW w:w="1986" w:type="dxa"/>
            <w:tcBorders>
              <w:top w:val="nil"/>
              <w:bottom w:val="nil"/>
            </w:tcBorders>
          </w:tcPr>
          <w:p w14:paraId="3AA70A6E" w14:textId="0B93413D" w:rsidR="00D941EE" w:rsidRPr="00423297" w:rsidRDefault="00D941EE" w:rsidP="00D941EE">
            <w:pPr>
              <w:pStyle w:val="tbltext"/>
              <w:rPr>
                <w:rFonts w:eastAsia="MS Mincho"/>
              </w:rPr>
            </w:pPr>
            <w:r w:rsidRPr="00423297">
              <w:t>points-based program</w:t>
            </w:r>
          </w:p>
        </w:tc>
        <w:tc>
          <w:tcPr>
            <w:tcW w:w="4817" w:type="dxa"/>
            <w:tcBorders>
              <w:top w:val="nil"/>
              <w:bottom w:val="nil"/>
            </w:tcBorders>
          </w:tcPr>
          <w:p w14:paraId="3547DF26" w14:textId="77E4DDD5" w:rsidR="00D941EE" w:rsidRPr="00423297" w:rsidRDefault="00D941EE" w:rsidP="00D941EE">
            <w:pPr>
              <w:pStyle w:val="tabletext"/>
              <w:rPr>
                <w:rFonts w:eastAsia="MS Mincho"/>
              </w:rPr>
            </w:pPr>
            <w:r w:rsidRPr="00423297">
              <w:t>Where members of a time-sharing scheme exchange points for the right to use the time-sharing scheme property. It includes allocation-points programs and pay-as-you-go (PAYG) points-based programs</w:t>
            </w:r>
          </w:p>
        </w:tc>
      </w:tr>
      <w:tr w:rsidR="00BE43A4" w:rsidRPr="00423297" w14:paraId="3804982C" w14:textId="77777777" w:rsidTr="006727F2">
        <w:trPr>
          <w:gridAfter w:val="1"/>
          <w:wAfter w:w="6" w:type="dxa"/>
          <w:cantSplit/>
        </w:trPr>
        <w:tc>
          <w:tcPr>
            <w:tcW w:w="1986" w:type="dxa"/>
            <w:tcBorders>
              <w:top w:val="nil"/>
              <w:bottom w:val="nil"/>
            </w:tcBorders>
          </w:tcPr>
          <w:p w14:paraId="304E49DF" w14:textId="77777777" w:rsidR="00BE43A4" w:rsidRPr="00423297" w:rsidRDefault="00BE43A4" w:rsidP="00811725">
            <w:pPr>
              <w:pStyle w:val="tbltext"/>
            </w:pPr>
            <w:r w:rsidRPr="00423297">
              <w:t>prescribed consumer warning</w:t>
            </w:r>
          </w:p>
        </w:tc>
        <w:tc>
          <w:tcPr>
            <w:tcW w:w="4817" w:type="dxa"/>
            <w:tcBorders>
              <w:top w:val="nil"/>
              <w:bottom w:val="nil"/>
            </w:tcBorders>
          </w:tcPr>
          <w:p w14:paraId="0D7E0EA5" w14:textId="7E8BB501" w:rsidR="00BE43A4" w:rsidRPr="00423297" w:rsidRDefault="00BE43A4" w:rsidP="00D941EE">
            <w:pPr>
              <w:pStyle w:val="tbltext"/>
            </w:pPr>
            <w:r w:rsidRPr="00423297">
              <w:t>The information</w:t>
            </w:r>
            <w:r w:rsidR="00D941EE" w:rsidRPr="00423297">
              <w:t xml:space="preserve"> in </w:t>
            </w:r>
            <w:hyperlink r:id="rId64" w:history="1">
              <w:r w:rsidR="00D941EE" w:rsidRPr="00423297">
                <w:rPr>
                  <w:rStyle w:val="Hyperlink"/>
                </w:rPr>
                <w:t>ASIC Corporations (Time-</w:t>
              </w:r>
              <w:r w:rsidR="00C74B7C" w:rsidRPr="00423297">
                <w:rPr>
                  <w:rStyle w:val="Hyperlink"/>
                </w:rPr>
                <w:t>s</w:t>
              </w:r>
              <w:r w:rsidR="00D941EE" w:rsidRPr="00423297">
                <w:rPr>
                  <w:rStyle w:val="Hyperlink"/>
                </w:rPr>
                <w:t>haring Schemes) Instrument 2017/272</w:t>
              </w:r>
            </w:hyperlink>
          </w:p>
        </w:tc>
      </w:tr>
      <w:tr w:rsidR="00B97773" w:rsidRPr="00423297" w14:paraId="30C37DB6" w14:textId="77777777" w:rsidTr="006727F2">
        <w:trPr>
          <w:gridAfter w:val="1"/>
          <w:wAfter w:w="6" w:type="dxa"/>
          <w:cantSplit/>
        </w:trPr>
        <w:tc>
          <w:tcPr>
            <w:tcW w:w="1986" w:type="dxa"/>
            <w:tcBorders>
              <w:top w:val="nil"/>
              <w:bottom w:val="nil"/>
            </w:tcBorders>
          </w:tcPr>
          <w:p w14:paraId="59DBC588" w14:textId="33DFF5E4" w:rsidR="00B97773" w:rsidRPr="00423297" w:rsidRDefault="00B97773" w:rsidP="00811725">
            <w:pPr>
              <w:pStyle w:val="tbltext"/>
            </w:pPr>
            <w:r w:rsidRPr="00423297">
              <w:t>promoter</w:t>
            </w:r>
          </w:p>
        </w:tc>
        <w:tc>
          <w:tcPr>
            <w:tcW w:w="4817" w:type="dxa"/>
            <w:tcBorders>
              <w:top w:val="nil"/>
              <w:bottom w:val="nil"/>
            </w:tcBorders>
          </w:tcPr>
          <w:p w14:paraId="5F35DF47" w14:textId="54E288B5" w:rsidR="00B97773" w:rsidRPr="00423297" w:rsidRDefault="00386AD4" w:rsidP="00811725">
            <w:pPr>
              <w:pStyle w:val="tbltext"/>
            </w:pPr>
            <w:r w:rsidRPr="00423297">
              <w:t xml:space="preserve">A licensed associate of an operator </w:t>
            </w:r>
            <w:r w:rsidR="007C3867" w:rsidRPr="00423297">
              <w:t>authorised to</w:t>
            </w:r>
            <w:r w:rsidRPr="00423297">
              <w:t xml:space="preserve"> promote sales of interests in the operator</w:t>
            </w:r>
            <w:r w:rsidR="00D61E78">
              <w:t>’</w:t>
            </w:r>
            <w:r w:rsidRPr="00423297">
              <w:t>s registered scheme</w:t>
            </w:r>
            <w:r w:rsidR="007C3867" w:rsidRPr="00423297">
              <w:t>s</w:t>
            </w:r>
          </w:p>
        </w:tc>
      </w:tr>
      <w:tr w:rsidR="008E527D" w:rsidRPr="00423297" w14:paraId="68B4D09D" w14:textId="77777777" w:rsidTr="006727F2">
        <w:trPr>
          <w:gridAfter w:val="1"/>
          <w:wAfter w:w="6" w:type="dxa"/>
          <w:cantSplit/>
        </w:trPr>
        <w:tc>
          <w:tcPr>
            <w:tcW w:w="1986" w:type="dxa"/>
            <w:tcBorders>
              <w:top w:val="nil"/>
              <w:bottom w:val="nil"/>
            </w:tcBorders>
          </w:tcPr>
          <w:p w14:paraId="056A64E7" w14:textId="66920C06" w:rsidR="008E527D" w:rsidRPr="00423297" w:rsidRDefault="00456CEE" w:rsidP="00811725">
            <w:pPr>
              <w:pStyle w:val="tbltext"/>
            </w:pPr>
            <w:r w:rsidRPr="00423297">
              <w:t>Pt</w:t>
            </w:r>
            <w:r w:rsidR="00D722BA" w:rsidRPr="00423297">
              <w:t xml:space="preserve"> </w:t>
            </w:r>
            <w:r w:rsidR="008E527D" w:rsidRPr="00423297">
              <w:t>7.7 (for example)</w:t>
            </w:r>
          </w:p>
        </w:tc>
        <w:tc>
          <w:tcPr>
            <w:tcW w:w="4817" w:type="dxa"/>
            <w:tcBorders>
              <w:top w:val="nil"/>
              <w:bottom w:val="nil"/>
            </w:tcBorders>
          </w:tcPr>
          <w:p w14:paraId="5DAD9EE0" w14:textId="7146CC93" w:rsidR="008E527D" w:rsidRPr="00423297" w:rsidRDefault="008E527D" w:rsidP="00811725">
            <w:pPr>
              <w:pStyle w:val="tbltext"/>
            </w:pPr>
            <w:r w:rsidRPr="00423297">
              <w:t>A part of the Corporations Act (in this example numbered 7.7), unless otherwise specified</w:t>
            </w:r>
          </w:p>
        </w:tc>
      </w:tr>
      <w:tr w:rsidR="00C0501E" w:rsidRPr="00423297" w14:paraId="0AB8FCED" w14:textId="77777777" w:rsidTr="006727F2">
        <w:trPr>
          <w:gridAfter w:val="1"/>
          <w:wAfter w:w="6" w:type="dxa"/>
          <w:cantSplit/>
        </w:trPr>
        <w:tc>
          <w:tcPr>
            <w:tcW w:w="1986" w:type="dxa"/>
            <w:tcBorders>
              <w:top w:val="nil"/>
              <w:bottom w:val="nil"/>
            </w:tcBorders>
          </w:tcPr>
          <w:p w14:paraId="43890792" w14:textId="0C11D61E" w:rsidR="00C0501E" w:rsidRPr="00423297" w:rsidRDefault="00C0501E" w:rsidP="000E47B6">
            <w:pPr>
              <w:pStyle w:val="tbltext"/>
            </w:pPr>
            <w:r w:rsidRPr="00423297">
              <w:t>registered scheme</w:t>
            </w:r>
          </w:p>
        </w:tc>
        <w:tc>
          <w:tcPr>
            <w:tcW w:w="4817" w:type="dxa"/>
            <w:tcBorders>
              <w:top w:val="nil"/>
              <w:bottom w:val="nil"/>
            </w:tcBorders>
          </w:tcPr>
          <w:p w14:paraId="7AF456F5" w14:textId="5EC52975" w:rsidR="00C0501E" w:rsidRPr="00423297" w:rsidRDefault="00C0501E" w:rsidP="000E47B6">
            <w:pPr>
              <w:pStyle w:val="tbltext"/>
            </w:pPr>
            <w:r w:rsidRPr="00423297">
              <w:t>A time-sharing scheme</w:t>
            </w:r>
            <w:r w:rsidR="00D941EE" w:rsidRPr="00423297">
              <w:t xml:space="preserve"> registered in accordance with s601ED of the Corporations Act</w:t>
            </w:r>
          </w:p>
        </w:tc>
      </w:tr>
      <w:tr w:rsidR="00BE43A4" w:rsidRPr="00423297" w14:paraId="0715B87C" w14:textId="77777777" w:rsidTr="006727F2">
        <w:trPr>
          <w:gridAfter w:val="1"/>
          <w:wAfter w:w="6" w:type="dxa"/>
          <w:cantSplit/>
        </w:trPr>
        <w:tc>
          <w:tcPr>
            <w:tcW w:w="1986" w:type="dxa"/>
            <w:tcBorders>
              <w:top w:val="nil"/>
              <w:bottom w:val="nil"/>
            </w:tcBorders>
          </w:tcPr>
          <w:p w14:paraId="03CCAF45" w14:textId="77777777" w:rsidR="00BE43A4" w:rsidRPr="00423297" w:rsidRDefault="00BE43A4" w:rsidP="00811725">
            <w:pPr>
              <w:pStyle w:val="tbltext"/>
            </w:pPr>
            <w:r w:rsidRPr="00423297">
              <w:t>related finance provider</w:t>
            </w:r>
          </w:p>
        </w:tc>
        <w:tc>
          <w:tcPr>
            <w:tcW w:w="4817" w:type="dxa"/>
            <w:tcBorders>
              <w:top w:val="nil"/>
              <w:bottom w:val="nil"/>
            </w:tcBorders>
          </w:tcPr>
          <w:p w14:paraId="5E6C9825" w14:textId="4CD45B59" w:rsidR="00BE43A4" w:rsidRPr="00423297" w:rsidRDefault="00BE43A4" w:rsidP="00811725">
            <w:pPr>
              <w:pStyle w:val="tbltext"/>
            </w:pPr>
            <w:r w:rsidRPr="00423297">
              <w:t xml:space="preserve">A </w:t>
            </w:r>
            <w:r w:rsidR="00FC3C6A" w:rsidRPr="00423297">
              <w:t xml:space="preserve">finance </w:t>
            </w:r>
            <w:r w:rsidRPr="00423297">
              <w:t>provider that is an associate of the operator</w:t>
            </w:r>
          </w:p>
        </w:tc>
      </w:tr>
      <w:tr w:rsidR="00FC3C6A" w:rsidRPr="00423297" w14:paraId="0C712E1E" w14:textId="77777777" w:rsidTr="006727F2">
        <w:trPr>
          <w:gridAfter w:val="1"/>
          <w:wAfter w:w="6" w:type="dxa"/>
          <w:cantSplit/>
        </w:trPr>
        <w:tc>
          <w:tcPr>
            <w:tcW w:w="1986" w:type="dxa"/>
            <w:tcBorders>
              <w:top w:val="nil"/>
              <w:bottom w:val="nil"/>
            </w:tcBorders>
          </w:tcPr>
          <w:p w14:paraId="21CEECAB" w14:textId="4F82C8D8" w:rsidR="00FC3C6A" w:rsidRPr="00423297" w:rsidRDefault="00FC3C6A" w:rsidP="00FC3C6A">
            <w:pPr>
              <w:pStyle w:val="tbltext"/>
            </w:pPr>
            <w:r w:rsidRPr="00423297">
              <w:t>responsible entity</w:t>
            </w:r>
          </w:p>
        </w:tc>
        <w:tc>
          <w:tcPr>
            <w:tcW w:w="4817" w:type="dxa"/>
            <w:tcBorders>
              <w:top w:val="nil"/>
              <w:bottom w:val="nil"/>
            </w:tcBorders>
          </w:tcPr>
          <w:p w14:paraId="1A5A11FF" w14:textId="675FE686" w:rsidR="00FC3C6A" w:rsidRPr="00423297" w:rsidRDefault="00FC3C6A" w:rsidP="00953431">
            <w:pPr>
              <w:pStyle w:val="tbltext"/>
              <w:rPr>
                <w:szCs w:val="22"/>
              </w:rPr>
            </w:pPr>
            <w:r w:rsidRPr="00423297">
              <w:t xml:space="preserve">A responsible entity of a registered scheme as defined in s9 of the Corporations </w:t>
            </w:r>
          </w:p>
        </w:tc>
      </w:tr>
      <w:tr w:rsidR="00FC3C6A" w:rsidRPr="00423297" w14:paraId="71B81D98" w14:textId="77777777" w:rsidTr="006727F2">
        <w:trPr>
          <w:gridAfter w:val="1"/>
          <w:wAfter w:w="6" w:type="dxa"/>
          <w:cantSplit/>
        </w:trPr>
        <w:tc>
          <w:tcPr>
            <w:tcW w:w="1986" w:type="dxa"/>
            <w:tcBorders>
              <w:top w:val="nil"/>
              <w:bottom w:val="nil"/>
            </w:tcBorders>
          </w:tcPr>
          <w:p w14:paraId="61B59B60" w14:textId="1D4DC812" w:rsidR="00FC3C6A" w:rsidRPr="00423297" w:rsidRDefault="00FC3C6A" w:rsidP="00FC3C6A">
            <w:pPr>
              <w:pStyle w:val="tbltext"/>
            </w:pPr>
            <w:r w:rsidRPr="00423297">
              <w:lastRenderedPageBreak/>
              <w:t>responsible lending obligations</w:t>
            </w:r>
          </w:p>
        </w:tc>
        <w:tc>
          <w:tcPr>
            <w:tcW w:w="4817" w:type="dxa"/>
            <w:tcBorders>
              <w:top w:val="nil"/>
              <w:bottom w:val="nil"/>
            </w:tcBorders>
          </w:tcPr>
          <w:p w14:paraId="2589857C" w14:textId="77777777" w:rsidR="00FC3C6A" w:rsidRDefault="00FC3C6A" w:rsidP="00FC3C6A">
            <w:pPr>
              <w:pStyle w:val="tbltext"/>
            </w:pPr>
            <w:r w:rsidRPr="00423297">
              <w:t>The obligations under Ch 3 of the National Credit Act</w:t>
            </w:r>
          </w:p>
          <w:p w14:paraId="0F169E00" w14:textId="005A058B" w:rsidR="009877B9" w:rsidRPr="00F8162B" w:rsidRDefault="009877B9" w:rsidP="00F8162B">
            <w:pPr>
              <w:pStyle w:val="tbltext"/>
              <w:spacing w:line="240" w:lineRule="auto"/>
              <w:ind w:left="170"/>
              <w:rPr>
                <w:sz w:val="16"/>
                <w:szCs w:val="16"/>
              </w:rPr>
            </w:pPr>
            <w:r w:rsidRPr="00F8162B">
              <w:rPr>
                <w:sz w:val="16"/>
                <w:szCs w:val="16"/>
              </w:rPr>
              <w:t xml:space="preserve">Note: The </w:t>
            </w:r>
            <w:r w:rsidR="00A71AE3">
              <w:rPr>
                <w:sz w:val="16"/>
                <w:szCs w:val="16"/>
              </w:rPr>
              <w:t xml:space="preserve">Australian </w:t>
            </w:r>
            <w:r w:rsidRPr="00F8162B">
              <w:rPr>
                <w:sz w:val="16"/>
                <w:szCs w:val="16"/>
              </w:rPr>
              <w:t xml:space="preserve">Government has announced proposed reforms that will replace the current responsible lending obligations. </w:t>
            </w:r>
          </w:p>
        </w:tc>
      </w:tr>
      <w:tr w:rsidR="00B36D69" w:rsidRPr="00423297" w14:paraId="335381BB" w14:textId="77777777" w:rsidTr="006727F2">
        <w:trPr>
          <w:gridAfter w:val="1"/>
          <w:wAfter w:w="6" w:type="dxa"/>
          <w:cantSplit/>
        </w:trPr>
        <w:tc>
          <w:tcPr>
            <w:tcW w:w="1986" w:type="dxa"/>
            <w:tcBorders>
              <w:top w:val="nil"/>
              <w:bottom w:val="nil"/>
            </w:tcBorders>
          </w:tcPr>
          <w:p w14:paraId="35B32FAB" w14:textId="691B0F24" w:rsidR="00B36D69" w:rsidRPr="00423297" w:rsidRDefault="00B36D69" w:rsidP="00FC3C6A">
            <w:pPr>
              <w:pStyle w:val="tbltext"/>
            </w:pPr>
            <w:r w:rsidRPr="00423297">
              <w:t>retail client</w:t>
            </w:r>
          </w:p>
        </w:tc>
        <w:tc>
          <w:tcPr>
            <w:tcW w:w="4817" w:type="dxa"/>
            <w:tcBorders>
              <w:top w:val="nil"/>
              <w:bottom w:val="nil"/>
            </w:tcBorders>
          </w:tcPr>
          <w:p w14:paraId="3638925B" w14:textId="5290DD03" w:rsidR="00B36D69" w:rsidRPr="00423297" w:rsidRDefault="00B36D69" w:rsidP="00FC3C6A">
            <w:pPr>
              <w:pStyle w:val="tbltext"/>
            </w:pPr>
            <w:r w:rsidRPr="00423297">
              <w:t xml:space="preserve">A </w:t>
            </w:r>
            <w:r w:rsidR="00CC49A4">
              <w:t xml:space="preserve">retail </w:t>
            </w:r>
            <w:r w:rsidRPr="00423297">
              <w:t>client as defined in s761G</w:t>
            </w:r>
            <w:r w:rsidR="00CC49A4">
              <w:t xml:space="preserve"> and</w:t>
            </w:r>
            <w:r w:rsidRPr="00423297">
              <w:t xml:space="preserve"> </w:t>
            </w:r>
            <w:r w:rsidR="00CC49A4" w:rsidRPr="00423297">
              <w:t>761GA of the Corporations Act</w:t>
            </w:r>
          </w:p>
        </w:tc>
      </w:tr>
      <w:tr w:rsidR="00BE43A4" w:rsidRPr="00423297" w14:paraId="5A381450" w14:textId="77777777" w:rsidTr="006727F2">
        <w:trPr>
          <w:gridAfter w:val="1"/>
          <w:wAfter w:w="6" w:type="dxa"/>
          <w:cantSplit/>
        </w:trPr>
        <w:tc>
          <w:tcPr>
            <w:tcW w:w="1986" w:type="dxa"/>
            <w:tcBorders>
              <w:top w:val="nil"/>
              <w:bottom w:val="nil"/>
            </w:tcBorders>
          </w:tcPr>
          <w:p w14:paraId="38C5CF9A" w14:textId="78FC8042" w:rsidR="00BE43A4" w:rsidRPr="00423297" w:rsidRDefault="00BE43A4" w:rsidP="00811725">
            <w:pPr>
              <w:pStyle w:val="tbltext"/>
            </w:pPr>
            <w:r w:rsidRPr="00423297">
              <w:t>RG 160</w:t>
            </w:r>
            <w:r w:rsidR="00FA79EE" w:rsidRPr="00423297">
              <w:t xml:space="preserve"> (for example)</w:t>
            </w:r>
          </w:p>
        </w:tc>
        <w:tc>
          <w:tcPr>
            <w:tcW w:w="4817" w:type="dxa"/>
            <w:tcBorders>
              <w:top w:val="nil"/>
              <w:bottom w:val="nil"/>
            </w:tcBorders>
          </w:tcPr>
          <w:p w14:paraId="17BA1EB0" w14:textId="621C958B" w:rsidR="00BE43A4" w:rsidRPr="00423297" w:rsidRDefault="00FA79EE" w:rsidP="00953431">
            <w:pPr>
              <w:pStyle w:val="tbltext"/>
            </w:pPr>
            <w:r w:rsidRPr="00423297">
              <w:t xml:space="preserve">An </w:t>
            </w:r>
            <w:r w:rsidR="00BE43A4" w:rsidRPr="00423297">
              <w:t xml:space="preserve">ASIC </w:t>
            </w:r>
            <w:r w:rsidRPr="00423297">
              <w:t>r</w:t>
            </w:r>
            <w:r w:rsidR="00BE43A4" w:rsidRPr="00423297">
              <w:t xml:space="preserve">egulatory </w:t>
            </w:r>
            <w:r w:rsidRPr="00423297">
              <w:t>g</w:t>
            </w:r>
            <w:r w:rsidR="00BE43A4" w:rsidRPr="00423297">
              <w:t>uide</w:t>
            </w:r>
            <w:r w:rsidRPr="00423297">
              <w:t xml:space="preserve"> (in this example numbered 160)</w:t>
            </w:r>
          </w:p>
        </w:tc>
      </w:tr>
      <w:tr w:rsidR="00A74C3E" w:rsidRPr="00423297" w14:paraId="3776AE64" w14:textId="77777777" w:rsidTr="006727F2">
        <w:trPr>
          <w:gridAfter w:val="1"/>
          <w:wAfter w:w="6" w:type="dxa"/>
          <w:cantSplit/>
        </w:trPr>
        <w:tc>
          <w:tcPr>
            <w:tcW w:w="1986" w:type="dxa"/>
            <w:tcBorders>
              <w:top w:val="nil"/>
              <w:bottom w:val="nil"/>
            </w:tcBorders>
          </w:tcPr>
          <w:p w14:paraId="2C0C00C6" w14:textId="70C199AC" w:rsidR="00A74C3E" w:rsidRPr="00423297" w:rsidDel="00FC3C6A" w:rsidRDefault="00A74C3E" w:rsidP="00811725">
            <w:pPr>
              <w:pStyle w:val="tbltext"/>
            </w:pPr>
            <w:r w:rsidRPr="00423297">
              <w:t>RIS</w:t>
            </w:r>
          </w:p>
        </w:tc>
        <w:tc>
          <w:tcPr>
            <w:tcW w:w="4817" w:type="dxa"/>
            <w:tcBorders>
              <w:top w:val="nil"/>
              <w:bottom w:val="nil"/>
            </w:tcBorders>
          </w:tcPr>
          <w:p w14:paraId="63866FAA" w14:textId="6D3F96CF" w:rsidR="00A74C3E" w:rsidRPr="00423297" w:rsidRDefault="00A74C3E">
            <w:pPr>
              <w:pStyle w:val="tbltext"/>
            </w:pPr>
            <w:r w:rsidRPr="00423297">
              <w:t>Regulatory Impact Statement</w:t>
            </w:r>
          </w:p>
        </w:tc>
      </w:tr>
      <w:tr w:rsidR="001E0619" w:rsidRPr="00423297" w14:paraId="294B446A" w14:textId="77777777" w:rsidTr="006727F2">
        <w:trPr>
          <w:gridAfter w:val="1"/>
          <w:wAfter w:w="6" w:type="dxa"/>
          <w:cantSplit/>
        </w:trPr>
        <w:tc>
          <w:tcPr>
            <w:tcW w:w="1986" w:type="dxa"/>
            <w:tcBorders>
              <w:top w:val="nil"/>
              <w:bottom w:val="nil"/>
            </w:tcBorders>
          </w:tcPr>
          <w:p w14:paraId="607EAE4C" w14:textId="5744F9C6" w:rsidR="001E0619" w:rsidRPr="00423297" w:rsidRDefault="00AE44C4" w:rsidP="00811725">
            <w:pPr>
              <w:pStyle w:val="tbltext"/>
            </w:pPr>
            <w:r w:rsidRPr="00423297">
              <w:t>s601FB</w:t>
            </w:r>
            <w:r w:rsidR="001E0619" w:rsidRPr="00423297">
              <w:t xml:space="preserve"> (for example)</w:t>
            </w:r>
          </w:p>
        </w:tc>
        <w:tc>
          <w:tcPr>
            <w:tcW w:w="4817" w:type="dxa"/>
            <w:tcBorders>
              <w:top w:val="nil"/>
              <w:bottom w:val="nil"/>
            </w:tcBorders>
          </w:tcPr>
          <w:p w14:paraId="76F17CBD" w14:textId="0DABE490" w:rsidR="001E0619" w:rsidRPr="00423297" w:rsidRDefault="001E0619" w:rsidP="00953431">
            <w:pPr>
              <w:pStyle w:val="tbltext"/>
            </w:pPr>
            <w:r w:rsidRPr="00423297">
              <w:t xml:space="preserve">A section of the Corporations Act (in this example numbered </w:t>
            </w:r>
            <w:r w:rsidR="00AE44C4" w:rsidRPr="00423297">
              <w:t xml:space="preserve">601FB), </w:t>
            </w:r>
            <w:r w:rsidRPr="00423297">
              <w:t>unless otherwise specified</w:t>
            </w:r>
          </w:p>
        </w:tc>
      </w:tr>
      <w:tr w:rsidR="001E0619" w:rsidRPr="00423297" w14:paraId="3603FBC3" w14:textId="77777777" w:rsidTr="006727F2">
        <w:trPr>
          <w:gridAfter w:val="1"/>
          <w:wAfter w:w="6" w:type="dxa"/>
          <w:cantSplit/>
        </w:trPr>
        <w:tc>
          <w:tcPr>
            <w:tcW w:w="1986" w:type="dxa"/>
            <w:tcBorders>
              <w:top w:val="nil"/>
              <w:bottom w:val="nil"/>
            </w:tcBorders>
          </w:tcPr>
          <w:p w14:paraId="36418761" w14:textId="2D410C2D" w:rsidR="001E0619" w:rsidRPr="00423297" w:rsidRDefault="001E0619" w:rsidP="00811725">
            <w:pPr>
              <w:pStyle w:val="tbltext"/>
            </w:pPr>
            <w:r w:rsidRPr="00423297">
              <w:t>Sch 10 (for example)</w:t>
            </w:r>
          </w:p>
        </w:tc>
        <w:tc>
          <w:tcPr>
            <w:tcW w:w="4817" w:type="dxa"/>
            <w:tcBorders>
              <w:top w:val="nil"/>
              <w:bottom w:val="nil"/>
            </w:tcBorders>
          </w:tcPr>
          <w:p w14:paraId="0AF36204" w14:textId="08314616" w:rsidR="001E0619" w:rsidRPr="00423297" w:rsidRDefault="001E0619" w:rsidP="00953431">
            <w:pPr>
              <w:pStyle w:val="tbltext"/>
            </w:pPr>
            <w:r w:rsidRPr="00423297">
              <w:t>A schedule to the Corporations Regulations (in this example numbered 10), unless otherwise specified</w:t>
            </w:r>
          </w:p>
        </w:tc>
      </w:tr>
      <w:tr w:rsidR="00C0501E" w:rsidRPr="00423297" w14:paraId="200EC5E2" w14:textId="77777777" w:rsidTr="006727F2">
        <w:trPr>
          <w:gridAfter w:val="1"/>
          <w:wAfter w:w="6" w:type="dxa"/>
          <w:cantSplit/>
        </w:trPr>
        <w:tc>
          <w:tcPr>
            <w:tcW w:w="1986" w:type="dxa"/>
            <w:tcBorders>
              <w:top w:val="nil"/>
              <w:bottom w:val="nil"/>
            </w:tcBorders>
          </w:tcPr>
          <w:p w14:paraId="20AA3C09" w14:textId="77777777" w:rsidR="00C0501E" w:rsidRPr="00423297" w:rsidRDefault="00C0501E" w:rsidP="000E47B6">
            <w:pPr>
              <w:pStyle w:val="tbltext"/>
            </w:pPr>
            <w:r w:rsidRPr="00423297">
              <w:t>[SCO 02/237] (for example)</w:t>
            </w:r>
          </w:p>
        </w:tc>
        <w:tc>
          <w:tcPr>
            <w:tcW w:w="4817" w:type="dxa"/>
            <w:tcBorders>
              <w:top w:val="nil"/>
              <w:bottom w:val="nil"/>
            </w:tcBorders>
          </w:tcPr>
          <w:p w14:paraId="3DCDED20" w14:textId="0C2F0676" w:rsidR="00C0501E" w:rsidRPr="00423297" w:rsidRDefault="00C0501E" w:rsidP="00953431">
            <w:pPr>
              <w:pStyle w:val="tbltext"/>
            </w:pPr>
            <w:r w:rsidRPr="00423297">
              <w:t xml:space="preserve">A </w:t>
            </w:r>
            <w:r w:rsidR="00A24E82" w:rsidRPr="00423297">
              <w:t>superseded</w:t>
            </w:r>
            <w:r w:rsidR="00FC3C6A" w:rsidRPr="00423297">
              <w:t xml:space="preserve"> ASIC</w:t>
            </w:r>
            <w:r w:rsidRPr="00423297">
              <w:t xml:space="preserve"> class order (in this example numbered 02/237)</w:t>
            </w:r>
          </w:p>
        </w:tc>
      </w:tr>
      <w:tr w:rsidR="002605FD" w:rsidRPr="00423297" w14:paraId="372B4FBF" w14:textId="77777777" w:rsidTr="006727F2">
        <w:trPr>
          <w:gridAfter w:val="1"/>
          <w:wAfter w:w="6" w:type="dxa"/>
          <w:cantSplit/>
        </w:trPr>
        <w:tc>
          <w:tcPr>
            <w:tcW w:w="1986" w:type="dxa"/>
            <w:tcBorders>
              <w:top w:val="nil"/>
              <w:bottom w:val="nil"/>
            </w:tcBorders>
          </w:tcPr>
          <w:p w14:paraId="69238231" w14:textId="0AB6BB67" w:rsidR="002605FD" w:rsidRPr="00423297" w:rsidRDefault="002605FD" w:rsidP="000E47B6">
            <w:pPr>
              <w:pStyle w:val="tbltext"/>
            </w:pPr>
            <w:r w:rsidRPr="00423297">
              <w:t>SOA</w:t>
            </w:r>
          </w:p>
        </w:tc>
        <w:tc>
          <w:tcPr>
            <w:tcW w:w="4817" w:type="dxa"/>
            <w:tcBorders>
              <w:top w:val="nil"/>
              <w:bottom w:val="nil"/>
            </w:tcBorders>
          </w:tcPr>
          <w:p w14:paraId="18826950" w14:textId="7B2CA7EE" w:rsidR="00C223E7" w:rsidRPr="00423297" w:rsidRDefault="002605FD" w:rsidP="00C223E7">
            <w:pPr>
              <w:pStyle w:val="tabletext"/>
              <w:rPr>
                <w:rFonts w:eastAsia="MS Mincho"/>
              </w:rPr>
            </w:pPr>
            <w:r w:rsidRPr="00423297">
              <w:t>A Statement of Advice</w:t>
            </w:r>
            <w:r w:rsidR="00C223E7" w:rsidRPr="00423297">
              <w:rPr>
                <w:rFonts w:eastAsia="MS Mincho"/>
              </w:rPr>
              <w:t>—a document that must be given to a retail client for the provision of personal advice under Subdivs C and D of Div 3 of Pt 7.7 of the Corporations Act</w:t>
            </w:r>
          </w:p>
          <w:p w14:paraId="12468A10" w14:textId="5E0ED456" w:rsidR="002605FD" w:rsidRPr="00423297" w:rsidRDefault="00C223E7" w:rsidP="00FA0886">
            <w:pPr>
              <w:pStyle w:val="tblnote"/>
            </w:pPr>
            <w:r w:rsidRPr="00423297">
              <w:rPr>
                <w:rFonts w:eastAsia="MS Mincho"/>
              </w:rPr>
              <w:t>Note: See s761A for the exact definition.</w:t>
            </w:r>
          </w:p>
        </w:tc>
      </w:tr>
      <w:tr w:rsidR="00BE43A4" w:rsidRPr="00423297" w14:paraId="550A8C39" w14:textId="77777777" w:rsidTr="006727F2">
        <w:trPr>
          <w:gridAfter w:val="1"/>
          <w:wAfter w:w="6" w:type="dxa"/>
          <w:cantSplit/>
        </w:trPr>
        <w:tc>
          <w:tcPr>
            <w:tcW w:w="1986" w:type="dxa"/>
            <w:tcBorders>
              <w:top w:val="nil"/>
              <w:bottom w:val="nil"/>
            </w:tcBorders>
          </w:tcPr>
          <w:p w14:paraId="6B2E99B4" w14:textId="77777777" w:rsidR="00BE43A4" w:rsidRPr="00423297" w:rsidRDefault="00BE43A4" w:rsidP="00811725">
            <w:pPr>
              <w:pStyle w:val="tbltext"/>
            </w:pPr>
            <w:r w:rsidRPr="00423297">
              <w:t>special custody assets</w:t>
            </w:r>
          </w:p>
        </w:tc>
        <w:tc>
          <w:tcPr>
            <w:tcW w:w="4817" w:type="dxa"/>
            <w:tcBorders>
              <w:top w:val="nil"/>
              <w:bottom w:val="nil"/>
            </w:tcBorders>
          </w:tcPr>
          <w:p w14:paraId="2B8D09F7" w14:textId="50ABEE15" w:rsidR="00C0501E" w:rsidRPr="00423297" w:rsidRDefault="001C100D" w:rsidP="00953431">
            <w:pPr>
              <w:pStyle w:val="tbltext"/>
            </w:pPr>
            <w:bookmarkStart w:id="281" w:name="_Hlk5016946"/>
            <w:r w:rsidRPr="00423297">
              <w:t>Has the meaning given</w:t>
            </w:r>
            <w:r w:rsidR="00041F7A" w:rsidRPr="00423297">
              <w:t xml:space="preserve"> in </w:t>
            </w:r>
            <w:hyperlink r:id="rId65" w:history="1">
              <w:r w:rsidR="00041F7A" w:rsidRPr="00423297">
                <w:rPr>
                  <w:rStyle w:val="Hyperlink"/>
                </w:rPr>
                <w:t>[CO 13/760]</w:t>
              </w:r>
            </w:hyperlink>
            <w:r w:rsidRPr="00423297">
              <w:t>,</w:t>
            </w:r>
            <w:r w:rsidR="00041F7A" w:rsidRPr="00423297">
              <w:t xml:space="preserve"> but also includ</w:t>
            </w:r>
            <w:r w:rsidRPr="00423297">
              <w:t>es</w:t>
            </w:r>
            <w:r w:rsidR="00C0501E" w:rsidRPr="00423297">
              <w:t>:</w:t>
            </w:r>
          </w:p>
          <w:p w14:paraId="75CB87B2" w14:textId="35E1E915" w:rsidR="00BE43A4" w:rsidRPr="00423297" w:rsidRDefault="00BE43A4" w:rsidP="00953431">
            <w:pPr>
              <w:pStyle w:val="tablebullet"/>
            </w:pPr>
            <w:r w:rsidRPr="00423297">
              <w:t xml:space="preserve">land and other real property of a time-sharing scheme; and </w:t>
            </w:r>
          </w:p>
          <w:p w14:paraId="1C21BADE" w14:textId="36B7A119" w:rsidR="00BE43A4" w:rsidRPr="00423297" w:rsidRDefault="00BE43A4" w:rsidP="00953431">
            <w:pPr>
              <w:pStyle w:val="tablebullet"/>
            </w:pPr>
            <w:r w:rsidRPr="00423297">
              <w:t>levies of a time-sharing scheme that are held in an account with an Australian ADI, styled as a trust account</w:t>
            </w:r>
            <w:bookmarkEnd w:id="281"/>
          </w:p>
        </w:tc>
      </w:tr>
      <w:tr w:rsidR="00FC3C6A" w:rsidRPr="00423297" w14:paraId="644EB260" w14:textId="77777777" w:rsidTr="006727F2">
        <w:trPr>
          <w:gridAfter w:val="1"/>
          <w:wAfter w:w="6" w:type="dxa"/>
          <w:cantSplit/>
        </w:trPr>
        <w:tc>
          <w:tcPr>
            <w:tcW w:w="1986" w:type="dxa"/>
            <w:tcBorders>
              <w:top w:val="nil"/>
              <w:bottom w:val="nil"/>
            </w:tcBorders>
          </w:tcPr>
          <w:p w14:paraId="333BC66E" w14:textId="03491A3B" w:rsidR="00FC3C6A" w:rsidRPr="00423297" w:rsidRDefault="00FC3C6A" w:rsidP="00FC3C6A">
            <w:pPr>
              <w:pStyle w:val="tbltext"/>
            </w:pPr>
            <w:r w:rsidRPr="00423297">
              <w:t>time-sharing scheme</w:t>
            </w:r>
          </w:p>
        </w:tc>
        <w:tc>
          <w:tcPr>
            <w:tcW w:w="4817" w:type="dxa"/>
            <w:tcBorders>
              <w:top w:val="nil"/>
              <w:bottom w:val="nil"/>
            </w:tcBorders>
          </w:tcPr>
          <w:p w14:paraId="267FFD70" w14:textId="77777777" w:rsidR="00FC3C6A" w:rsidRPr="00423297" w:rsidRDefault="00FC3C6A" w:rsidP="00FC3C6A">
            <w:pPr>
              <w:pStyle w:val="tabletext"/>
            </w:pPr>
            <w:r w:rsidRPr="00423297">
              <w:t xml:space="preserve">A scheme, undertaking or enterprise, whether in Australia or elsewhere: </w:t>
            </w:r>
          </w:p>
          <w:p w14:paraId="172A676B" w14:textId="77777777" w:rsidR="00FC3C6A" w:rsidRPr="00423297" w:rsidRDefault="00FC3C6A" w:rsidP="00FC3C6A">
            <w:pPr>
              <w:pStyle w:val="tablebullet"/>
              <w:numPr>
                <w:ilvl w:val="0"/>
                <w:numId w:val="115"/>
              </w:numPr>
            </w:pPr>
            <w:r w:rsidRPr="00423297">
              <w:t xml:space="preserve">where participants are or may become entitled to use, occupy or possess property of the scheme, undertaking or enterprise for two or more periods; and </w:t>
            </w:r>
          </w:p>
          <w:p w14:paraId="50CE210D" w14:textId="77777777" w:rsidR="00FC3C6A" w:rsidRPr="00423297" w:rsidRDefault="00FC3C6A" w:rsidP="00FC3C6A">
            <w:pPr>
              <w:pStyle w:val="tablebullet"/>
              <w:numPr>
                <w:ilvl w:val="0"/>
                <w:numId w:val="115"/>
              </w:numPr>
            </w:pPr>
            <w:r w:rsidRPr="00423297">
              <w:t>that is to operate for no less than three years</w:t>
            </w:r>
          </w:p>
          <w:p w14:paraId="17384228" w14:textId="0ED6DDDF" w:rsidR="00FC3C6A" w:rsidRPr="00423297" w:rsidDel="001C100D" w:rsidRDefault="00FC3C6A" w:rsidP="004E075E">
            <w:pPr>
              <w:pStyle w:val="tblnote"/>
            </w:pPr>
            <w:r w:rsidRPr="00423297">
              <w:t>Note: See s9 of the Corporations Act for the exact definition.</w:t>
            </w:r>
          </w:p>
        </w:tc>
      </w:tr>
    </w:tbl>
    <w:p w14:paraId="37162247" w14:textId="1AFC55C9" w:rsidR="002B77AF" w:rsidRPr="00423297" w:rsidRDefault="002B77AF" w:rsidP="00953431">
      <w:pPr>
        <w:pStyle w:val="Heading1nonumber"/>
      </w:pPr>
      <w:bookmarkStart w:id="282" w:name="_Toc5365782"/>
      <w:bookmarkStart w:id="283" w:name="_Toc36467257"/>
      <w:bookmarkStart w:id="284" w:name="_Toc56669447"/>
      <w:r w:rsidRPr="00423297">
        <w:lastRenderedPageBreak/>
        <w:t>Related information</w:t>
      </w:r>
      <w:bookmarkEnd w:id="282"/>
      <w:bookmarkEnd w:id="283"/>
      <w:bookmarkEnd w:id="284"/>
    </w:p>
    <w:p w14:paraId="4BFA5EE7" w14:textId="44D86878" w:rsidR="00B401A1" w:rsidRPr="00423297" w:rsidRDefault="00B401A1" w:rsidP="003516CB">
      <w:pPr>
        <w:pStyle w:val="Heading2indented"/>
        <w:spacing w:before="240"/>
      </w:pPr>
      <w:bookmarkStart w:id="285" w:name="_Toc36467258"/>
      <w:r w:rsidRPr="00423297">
        <w:t>Regulatory guides</w:t>
      </w:r>
      <w:bookmarkEnd w:id="285"/>
    </w:p>
    <w:p w14:paraId="3D2C914C" w14:textId="04AD11A0" w:rsidR="00FA79EE" w:rsidRPr="00423297" w:rsidRDefault="00D53DE5" w:rsidP="003516CB">
      <w:pPr>
        <w:pStyle w:val="Bodytextplain"/>
      </w:pPr>
      <w:hyperlink r:id="rId66" w:history="1">
        <w:r w:rsidR="00FA79EE" w:rsidRPr="00423297">
          <w:rPr>
            <w:rStyle w:val="Hyperlink"/>
          </w:rPr>
          <w:t>RG 160</w:t>
        </w:r>
      </w:hyperlink>
      <w:r w:rsidR="00FA79EE" w:rsidRPr="00423297">
        <w:t xml:space="preserve"> </w:t>
      </w:r>
      <w:r w:rsidR="00FA79EE" w:rsidRPr="00423297">
        <w:rPr>
          <w:i/>
        </w:rPr>
        <w:t>Time-sharing schemes</w:t>
      </w:r>
    </w:p>
    <w:p w14:paraId="4F693BCA" w14:textId="7E89E90F" w:rsidR="002B77AF" w:rsidRPr="00423297" w:rsidRDefault="00D53DE5" w:rsidP="003516CB">
      <w:pPr>
        <w:pStyle w:val="Bodytextplain"/>
        <w:spacing w:before="120"/>
        <w:rPr>
          <w:i/>
        </w:rPr>
      </w:pPr>
      <w:hyperlink r:id="rId67" w:history="1">
        <w:r w:rsidR="002B77AF" w:rsidRPr="00423297">
          <w:rPr>
            <w:rStyle w:val="Hyperlink"/>
          </w:rPr>
          <w:t>RG 175</w:t>
        </w:r>
      </w:hyperlink>
      <w:r w:rsidR="002B77AF" w:rsidRPr="00423297">
        <w:rPr>
          <w:i/>
        </w:rPr>
        <w:t xml:space="preserve"> Licensing: Financial product advisers</w:t>
      </w:r>
      <w:r w:rsidR="00FC3C6A" w:rsidRPr="00423297">
        <w:rPr>
          <w:i/>
        </w:rPr>
        <w:t>—</w:t>
      </w:r>
      <w:r w:rsidR="002B77AF" w:rsidRPr="00423297">
        <w:rPr>
          <w:i/>
        </w:rPr>
        <w:t xml:space="preserve">Conduct and disclosure </w:t>
      </w:r>
    </w:p>
    <w:p w14:paraId="7DD164E1" w14:textId="2548C2EB" w:rsidR="00B401A1" w:rsidRPr="00423297" w:rsidRDefault="00B401A1" w:rsidP="00EC0071">
      <w:pPr>
        <w:pStyle w:val="Heading2indented"/>
      </w:pPr>
      <w:bookmarkStart w:id="286" w:name="_Toc36467259"/>
      <w:r w:rsidRPr="00423297">
        <w:t>Consultation papers and reports</w:t>
      </w:r>
      <w:bookmarkEnd w:id="286"/>
    </w:p>
    <w:p w14:paraId="3848642F" w14:textId="0BBEDEA9" w:rsidR="00FA79EE" w:rsidRPr="00423297" w:rsidRDefault="00D53DE5" w:rsidP="003516CB">
      <w:pPr>
        <w:pStyle w:val="Bodytextplain"/>
      </w:pPr>
      <w:hyperlink r:id="rId68" w:history="1">
        <w:r w:rsidR="00FA79EE" w:rsidRPr="00423297">
          <w:rPr>
            <w:rStyle w:val="Hyperlink"/>
          </w:rPr>
          <w:t>CP 272</w:t>
        </w:r>
      </w:hyperlink>
      <w:r w:rsidR="00FA79EE" w:rsidRPr="00423297">
        <w:t xml:space="preserve"> </w:t>
      </w:r>
      <w:r w:rsidR="001E0619" w:rsidRPr="00423297">
        <w:rPr>
          <w:i/>
        </w:rPr>
        <w:t>Remaking ASIC class orders on time-sharing schemes</w:t>
      </w:r>
    </w:p>
    <w:p w14:paraId="7241C01F" w14:textId="3470B6C3" w:rsidR="00222C03" w:rsidRPr="00423297" w:rsidRDefault="00D53DE5" w:rsidP="003516CB">
      <w:pPr>
        <w:pStyle w:val="Bodytextplain"/>
        <w:spacing w:before="120"/>
        <w:rPr>
          <w:i/>
        </w:rPr>
      </w:pPr>
      <w:hyperlink r:id="rId69" w:history="1">
        <w:r w:rsidR="001E0619" w:rsidRPr="00423297">
          <w:rPr>
            <w:rStyle w:val="Hyperlink"/>
          </w:rPr>
          <w:t>REP 522</w:t>
        </w:r>
      </w:hyperlink>
      <w:r w:rsidR="001E0619" w:rsidRPr="00423297">
        <w:t xml:space="preserve"> </w:t>
      </w:r>
      <w:r w:rsidR="001E0619" w:rsidRPr="00423297">
        <w:rPr>
          <w:i/>
        </w:rPr>
        <w:t>Response to submissions on CP 272</w:t>
      </w:r>
      <w:r w:rsidR="00FC3C6A" w:rsidRPr="00423297">
        <w:rPr>
          <w:i/>
        </w:rPr>
        <w:t>:</w:t>
      </w:r>
      <w:r w:rsidR="001E0619" w:rsidRPr="00423297">
        <w:rPr>
          <w:i/>
        </w:rPr>
        <w:t xml:space="preserve"> Remaking ASIC class orders on time-sharing schemes</w:t>
      </w:r>
      <w:bookmarkEnd w:id="0"/>
    </w:p>
    <w:p w14:paraId="7F728958" w14:textId="1BEC431B" w:rsidR="00F84C40" w:rsidRPr="00423297" w:rsidRDefault="00D53DE5" w:rsidP="003516CB">
      <w:pPr>
        <w:pStyle w:val="Bodytextplain"/>
        <w:spacing w:before="120"/>
        <w:rPr>
          <w:i/>
        </w:rPr>
      </w:pPr>
      <w:hyperlink r:id="rId70" w:history="1">
        <w:r w:rsidR="00F84C40" w:rsidRPr="00423297">
          <w:rPr>
            <w:rStyle w:val="Hyperlink"/>
          </w:rPr>
          <w:t>REP 642</w:t>
        </w:r>
      </w:hyperlink>
      <w:r w:rsidR="00F84C40" w:rsidRPr="00423297">
        <w:t xml:space="preserve"> </w:t>
      </w:r>
      <w:r w:rsidR="00F84C40" w:rsidRPr="00423297">
        <w:rPr>
          <w:i/>
        </w:rPr>
        <w:t>Timeshare: Consumers</w:t>
      </w:r>
      <w:r w:rsidR="00D61E78">
        <w:rPr>
          <w:i/>
        </w:rPr>
        <w:t>’</w:t>
      </w:r>
      <w:r w:rsidR="00F84C40" w:rsidRPr="00423297">
        <w:rPr>
          <w:i/>
        </w:rPr>
        <w:t xml:space="preserve"> experiences</w:t>
      </w:r>
    </w:p>
    <w:p w14:paraId="52C964A0" w14:textId="77777777" w:rsidR="00E05421" w:rsidRPr="00423297" w:rsidRDefault="00E05421" w:rsidP="00E05421">
      <w:pPr>
        <w:pStyle w:val="Heading2indented"/>
      </w:pPr>
      <w:bookmarkStart w:id="287" w:name="_Toc36467260"/>
      <w:r w:rsidRPr="00423297">
        <w:t>Legislative instruments and pro formas</w:t>
      </w:r>
      <w:bookmarkEnd w:id="287"/>
    </w:p>
    <w:p w14:paraId="1326257F" w14:textId="51D72E69" w:rsidR="00E05421" w:rsidRPr="00423297" w:rsidRDefault="00D53DE5" w:rsidP="003516CB">
      <w:pPr>
        <w:pStyle w:val="Bodytextplain"/>
        <w:rPr>
          <w:rStyle w:val="Hyperlink"/>
          <w:b/>
          <w:szCs w:val="20"/>
        </w:rPr>
      </w:pPr>
      <w:hyperlink r:id="rId71" w:history="1">
        <w:r w:rsidR="00E05421" w:rsidRPr="00423297">
          <w:rPr>
            <w:rStyle w:val="Hyperlink"/>
          </w:rPr>
          <w:t>ASIC Corporations (Time-sharing Schemes) Instrument 2017/272</w:t>
        </w:r>
      </w:hyperlink>
    </w:p>
    <w:p w14:paraId="397924AC" w14:textId="471C568C" w:rsidR="00E05421" w:rsidRPr="00423297" w:rsidRDefault="00D53DE5" w:rsidP="003516CB">
      <w:pPr>
        <w:pStyle w:val="Bodytextplain"/>
      </w:pPr>
      <w:hyperlink r:id="rId72" w:history="1">
        <w:r w:rsidR="00E05421" w:rsidRPr="00423297">
          <w:rPr>
            <w:rStyle w:val="Hyperlink"/>
          </w:rPr>
          <w:t>[CO 13/760]</w:t>
        </w:r>
      </w:hyperlink>
      <w:r w:rsidR="00E05421" w:rsidRPr="00423297">
        <w:t xml:space="preserve"> </w:t>
      </w:r>
      <w:r w:rsidR="00E05421" w:rsidRPr="00423297">
        <w:rPr>
          <w:i/>
        </w:rPr>
        <w:t>Financial requirements for responsible entities and operators of investor directed portfolio service</w:t>
      </w:r>
    </w:p>
    <w:p w14:paraId="7780A26A" w14:textId="77777777" w:rsidR="00E05421" w:rsidRPr="00423297" w:rsidRDefault="00E05421" w:rsidP="003516CB">
      <w:pPr>
        <w:pStyle w:val="Bodytextplain"/>
        <w:spacing w:before="120"/>
      </w:pPr>
      <w:r w:rsidRPr="00423297">
        <w:t xml:space="preserve">[SCO 00/2460] </w:t>
      </w:r>
      <w:r w:rsidRPr="00423297">
        <w:rPr>
          <w:i/>
        </w:rPr>
        <w:t>Time-sharing schemes—Property valuations</w:t>
      </w:r>
    </w:p>
    <w:p w14:paraId="1CE3A4BC" w14:textId="77777777" w:rsidR="00E05421" w:rsidRPr="00423297" w:rsidRDefault="00E05421" w:rsidP="003516CB">
      <w:pPr>
        <w:pStyle w:val="Bodytextplain"/>
        <w:spacing w:before="120"/>
      </w:pPr>
      <w:r w:rsidRPr="00423297">
        <w:t xml:space="preserve">[SCO 02/237] </w:t>
      </w:r>
      <w:r w:rsidRPr="00423297">
        <w:rPr>
          <w:i/>
        </w:rPr>
        <w:t>Time-sharing schemes—Operation of rental pool</w:t>
      </w:r>
    </w:p>
    <w:p w14:paraId="64338D3F" w14:textId="77777777" w:rsidR="00E05421" w:rsidRPr="00423297" w:rsidRDefault="00E05421" w:rsidP="003516CB">
      <w:pPr>
        <w:pStyle w:val="Bodytextplain"/>
        <w:spacing w:before="120"/>
      </w:pPr>
      <w:r w:rsidRPr="00423297">
        <w:t>[SCO 02/315]</w:t>
      </w:r>
      <w:r w:rsidRPr="00423297">
        <w:rPr>
          <w:i/>
        </w:rPr>
        <w:t xml:space="preserve"> Time-sharing schemes—Use of loose-leaf price list</w:t>
      </w:r>
    </w:p>
    <w:p w14:paraId="28BE98A2" w14:textId="77777777" w:rsidR="00E05421" w:rsidRPr="00423297" w:rsidRDefault="00E05421" w:rsidP="003516CB">
      <w:pPr>
        <w:pStyle w:val="Bodytextplain"/>
        <w:spacing w:before="120"/>
      </w:pPr>
      <w:r w:rsidRPr="00423297">
        <w:t xml:space="preserve">[SCO 03/104] </w:t>
      </w:r>
      <w:r w:rsidRPr="00423297">
        <w:rPr>
          <w:i/>
        </w:rPr>
        <w:t>Relief facilitating the acquisition and sale of forfeited interests in registered time-sharing schemes</w:t>
      </w:r>
    </w:p>
    <w:p w14:paraId="32F24429" w14:textId="77777777" w:rsidR="00E05421" w:rsidRPr="00423297" w:rsidRDefault="00E05421" w:rsidP="003516CB">
      <w:pPr>
        <w:pStyle w:val="Bodytextplain"/>
      </w:pPr>
      <w:r w:rsidRPr="00423297">
        <w:t xml:space="preserve">PF 205 </w:t>
      </w:r>
      <w:r w:rsidRPr="00423297">
        <w:rPr>
          <w:i/>
        </w:rPr>
        <w:t>Time-sharing schemes formerly exempt under state laws</w:t>
      </w:r>
    </w:p>
    <w:p w14:paraId="132DB369" w14:textId="77777777" w:rsidR="00E05421" w:rsidRPr="00423297" w:rsidRDefault="00E05421" w:rsidP="003516CB">
      <w:pPr>
        <w:pStyle w:val="Bodytextplain"/>
        <w:spacing w:before="120"/>
      </w:pPr>
      <w:r w:rsidRPr="00423297">
        <w:t xml:space="preserve">PF 206 </w:t>
      </w:r>
      <w:r w:rsidRPr="00423297">
        <w:rPr>
          <w:i/>
        </w:rPr>
        <w:t>Time-sharing schemes—Chapter 5C relief</w:t>
      </w:r>
    </w:p>
    <w:p w14:paraId="5B4886CE" w14:textId="77777777" w:rsidR="00E05421" w:rsidRPr="00423297" w:rsidRDefault="00E05421" w:rsidP="003516CB">
      <w:pPr>
        <w:pStyle w:val="Bodytextplain"/>
        <w:spacing w:before="120"/>
      </w:pPr>
      <w:r w:rsidRPr="00423297">
        <w:t xml:space="preserve">PF 207 </w:t>
      </w:r>
      <w:r w:rsidRPr="00423297">
        <w:rPr>
          <w:i/>
        </w:rPr>
        <w:t>Title-based time-sharing schemes</w:t>
      </w:r>
    </w:p>
    <w:p w14:paraId="08686781" w14:textId="253121FC" w:rsidR="00E05421" w:rsidRPr="00423297" w:rsidRDefault="00D53DE5" w:rsidP="003516CB">
      <w:pPr>
        <w:pStyle w:val="Bodytextplain"/>
        <w:spacing w:before="120"/>
      </w:pPr>
      <w:hyperlink r:id="rId73" w:history="1">
        <w:r w:rsidR="00E05421" w:rsidRPr="00423297">
          <w:rPr>
            <w:rStyle w:val="Hyperlink"/>
          </w:rPr>
          <w:t>PF 208</w:t>
        </w:r>
      </w:hyperlink>
      <w:r w:rsidR="00E05421" w:rsidRPr="00423297">
        <w:t xml:space="preserve"> </w:t>
      </w:r>
      <w:r w:rsidR="00E05421" w:rsidRPr="00423297">
        <w:rPr>
          <w:i/>
        </w:rPr>
        <w:t>Time-sharing schemes: Cooling-off statement</w:t>
      </w:r>
    </w:p>
    <w:p w14:paraId="315CDE50" w14:textId="141A85A6" w:rsidR="00E05421" w:rsidRPr="00423297" w:rsidRDefault="00E05421" w:rsidP="00E05421">
      <w:pPr>
        <w:pStyle w:val="Heading2indented"/>
      </w:pPr>
      <w:bookmarkStart w:id="288" w:name="_Toc36467261"/>
      <w:r w:rsidRPr="00423297">
        <w:t>Legislation</w:t>
      </w:r>
      <w:bookmarkEnd w:id="288"/>
    </w:p>
    <w:p w14:paraId="5885F497" w14:textId="1829809C" w:rsidR="00E05421" w:rsidRPr="00423297" w:rsidRDefault="00E05421" w:rsidP="003516CB">
      <w:pPr>
        <w:pStyle w:val="Bodytextplain"/>
        <w:spacing w:before="120"/>
      </w:pPr>
      <w:r w:rsidRPr="00423297">
        <w:t>ASIC Act, Pt 2 Div 2</w:t>
      </w:r>
    </w:p>
    <w:p w14:paraId="431E9877" w14:textId="4222CC70" w:rsidR="00E05421" w:rsidRPr="00423297" w:rsidRDefault="00E05421" w:rsidP="003516CB">
      <w:pPr>
        <w:pStyle w:val="Bodytextplain"/>
        <w:spacing w:before="120"/>
      </w:pPr>
      <w:r w:rsidRPr="00423297">
        <w:t xml:space="preserve">Corporations Act, Ch 5C; Pts 5C.2, 7.6, 7.7, 7.7A, 7.8 Div 8, 7.9, 7.10; s9, </w:t>
      </w:r>
      <w:proofErr w:type="gramStart"/>
      <w:r w:rsidRPr="00423297">
        <w:t>601FB(</w:t>
      </w:r>
      <w:proofErr w:type="gramEnd"/>
      <w:r w:rsidRPr="00423297">
        <w:t>1), 601FC(1)(b)–(d), 601FC(1)(k), 761G, 761GA, 764A</w:t>
      </w:r>
      <w:r w:rsidR="007E691D" w:rsidRPr="00423297">
        <w:t>, 921U(2)(b)</w:t>
      </w:r>
    </w:p>
    <w:p w14:paraId="77DA3101" w14:textId="50035767" w:rsidR="00E05421" w:rsidRPr="00423297" w:rsidRDefault="00E05421" w:rsidP="003516CB">
      <w:pPr>
        <w:pStyle w:val="Bodytextplain"/>
        <w:spacing w:before="120"/>
      </w:pPr>
      <w:r w:rsidRPr="00423297">
        <w:t>Corporations Regulations, Sch 10</w:t>
      </w:r>
    </w:p>
    <w:p w14:paraId="406FA03C" w14:textId="1A48C47B" w:rsidR="00E05421" w:rsidRPr="00E05421" w:rsidRDefault="00E05421" w:rsidP="003516CB">
      <w:pPr>
        <w:pStyle w:val="Bodytextplain"/>
        <w:spacing w:before="120"/>
      </w:pPr>
      <w:r w:rsidRPr="00423297">
        <w:t>National Credit Act, Ch 3</w:t>
      </w:r>
      <w:r w:rsidR="007E691D" w:rsidRPr="00423297">
        <w:t>, s6</w:t>
      </w:r>
      <w:r w:rsidRPr="00423297">
        <w:t>; National Credit Code</w:t>
      </w:r>
      <w:r w:rsidR="00274231">
        <w:t>, s135</w:t>
      </w:r>
    </w:p>
    <w:sectPr w:rsidR="00E05421" w:rsidRPr="00E05421" w:rsidSect="003516CB">
      <w:headerReference w:type="even" r:id="rId74"/>
      <w:headerReference w:type="default" r:id="rId75"/>
      <w:footerReference w:type="even" r:id="rId76"/>
      <w:footerReference w:type="default" r:id="rId77"/>
      <w:headerReference w:type="first" r:id="rId78"/>
      <w:footerReference w:type="first" r:id="rId79"/>
      <w:pgSz w:w="11906" w:h="16838" w:code="9"/>
      <w:pgMar w:top="1644" w:right="1274"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89D2" w14:textId="77777777" w:rsidR="00BF65B2" w:rsidRDefault="00BF65B2">
      <w:r>
        <w:separator/>
      </w:r>
    </w:p>
  </w:endnote>
  <w:endnote w:type="continuationSeparator" w:id="0">
    <w:p w14:paraId="40E71425" w14:textId="77777777" w:rsidR="00BF65B2" w:rsidRDefault="00BF65B2">
      <w:r>
        <w:continuationSeparator/>
      </w:r>
    </w:p>
  </w:endnote>
  <w:endnote w:type="continuationNotice" w:id="1">
    <w:p w14:paraId="26EE6138" w14:textId="77777777" w:rsidR="00BF65B2" w:rsidRDefault="00BF6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189A" w14:textId="3919E673" w:rsidR="00BF65B2" w:rsidRDefault="00BF6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FAA91ED" w14:textId="77777777" w:rsidR="00BF65B2" w:rsidRDefault="00BF65B2">
    <w:pPr>
      <w:pStyle w:val="Footer"/>
      <w:ind w:right="360"/>
    </w:pPr>
  </w:p>
  <w:p w14:paraId="4DAD23F6" w14:textId="77777777" w:rsidR="00BF65B2" w:rsidRDefault="00BF65B2"/>
  <w:p w14:paraId="06497FBE" w14:textId="77777777" w:rsidR="00BF65B2" w:rsidRDefault="00BF65B2"/>
  <w:p w14:paraId="4CB65AAA" w14:textId="77777777" w:rsidR="00BF65B2" w:rsidRDefault="00BF65B2"/>
  <w:p w14:paraId="0AC0FFE8" w14:textId="77777777" w:rsidR="00BF65B2" w:rsidRDefault="00BF65B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7750" w14:textId="66A498FE" w:rsidR="00BF65B2" w:rsidRDefault="00BF65B2" w:rsidP="00E865DD">
    <w:pPr>
      <w:pStyle w:val="Footer"/>
      <w:pBdr>
        <w:top w:val="single" w:sz="4" w:space="1" w:color="117DC7"/>
      </w:pBdr>
      <w:tabs>
        <w:tab w:val="clear" w:pos="9070"/>
        <w:tab w:val="right" w:pos="9214"/>
      </w:tabs>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B92808">
      <w:rPr>
        <w:color w:val="117DC7"/>
      </w:rPr>
      <w:t>December 2020</w:t>
    </w:r>
    <w:r>
      <w:rPr>
        <w:color w:val="117DC7"/>
      </w:rPr>
      <w:fldChar w:fldCharType="end"/>
    </w:r>
    <w:r>
      <w:rPr>
        <w:color w:val="117DC7"/>
      </w:rPr>
      <w:tab/>
    </w:r>
    <w:r w:rsidR="00E865DD">
      <w:rPr>
        <w:color w:val="117DC7"/>
      </w:rPr>
      <w:t xml:space="preserve">Page </w:t>
    </w:r>
    <w:r w:rsidR="00E865DD" w:rsidRPr="00E865DD">
      <w:rPr>
        <w:b/>
        <w:bCs/>
        <w:color w:val="117DC7"/>
      </w:rPr>
      <w:fldChar w:fldCharType="begin"/>
    </w:r>
    <w:r w:rsidR="00E865DD" w:rsidRPr="00E865DD">
      <w:rPr>
        <w:b/>
        <w:bCs/>
        <w:color w:val="117DC7"/>
      </w:rPr>
      <w:instrText xml:space="preserve"> PAGE  \* Arabic  \* MERGEFORMAT </w:instrText>
    </w:r>
    <w:r w:rsidR="00E865DD" w:rsidRPr="00E865DD">
      <w:rPr>
        <w:b/>
        <w:bCs/>
        <w:color w:val="117DC7"/>
      </w:rPr>
      <w:fldChar w:fldCharType="separate"/>
    </w:r>
    <w:r w:rsidR="00D53DE5">
      <w:rPr>
        <w:b/>
        <w:bCs/>
        <w:noProof/>
        <w:color w:val="117DC7"/>
      </w:rPr>
      <w:t>20</w:t>
    </w:r>
    <w:r w:rsidR="00E865DD" w:rsidRPr="00E865DD">
      <w:rPr>
        <w:b/>
        <w:bCs/>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C41D" w14:textId="77777777" w:rsidR="00B92808" w:rsidRDefault="00B92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4707" w14:textId="77777777" w:rsidR="00BF65B2" w:rsidRDefault="00BF65B2">
      <w:r>
        <w:separator/>
      </w:r>
    </w:p>
  </w:footnote>
  <w:footnote w:type="continuationSeparator" w:id="0">
    <w:p w14:paraId="1A3B0A74" w14:textId="77777777" w:rsidR="00BF65B2" w:rsidRDefault="00BF65B2">
      <w:r>
        <w:continuationSeparator/>
      </w:r>
    </w:p>
  </w:footnote>
  <w:footnote w:type="continuationNotice" w:id="1">
    <w:p w14:paraId="12430AAF" w14:textId="77777777" w:rsidR="00BF65B2" w:rsidRDefault="00BF65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3A6B" w14:textId="77777777" w:rsidR="00BF65B2" w:rsidRDefault="00BF65B2"/>
  <w:p w14:paraId="4059F5C2" w14:textId="77777777" w:rsidR="00BF65B2" w:rsidRDefault="00BF65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D83D" w14:textId="5C77888B" w:rsidR="00BF65B2" w:rsidRDefault="00BF65B2" w:rsidP="005E1FEE">
    <w:pPr>
      <w:pStyle w:val="Footer"/>
      <w:pBdr>
        <w:bottom w:val="single" w:sz="4" w:space="1" w:color="117DC7"/>
      </w:pBdr>
      <w:jc w:val="right"/>
      <w:rPr>
        <w:color w:val="117DC7"/>
      </w:rPr>
    </w:pPr>
    <w:r w:rsidRPr="000F605A">
      <w:rPr>
        <w:color w:val="117DC7"/>
      </w:rPr>
      <w:t>REGULATION IMPACT STATEMENT</w:t>
    </w:r>
    <w:r>
      <w:rPr>
        <w:color w:val="117DC7"/>
      </w:rPr>
      <w:t xml:space="preserve">: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sidR="00B92808">
      <w:rPr>
        <w:color w:val="117DC7"/>
      </w:rPr>
      <w:t>Review of policy settings for regulating time-sharing schemes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7F90" w14:textId="41D3A5E8" w:rsidR="00BF65B2" w:rsidRDefault="00BF65B2">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160AD04"/>
    <w:lvl w:ilvl="0">
      <w:start w:val="1"/>
      <w:numFmt w:val="decimal"/>
      <w:lvlText w:val="%1."/>
      <w:lvlJc w:val="left"/>
      <w:pPr>
        <w:tabs>
          <w:tab w:val="num" w:pos="360"/>
        </w:tabs>
        <w:ind w:left="360" w:hanging="360"/>
      </w:pPr>
    </w:lvl>
  </w:abstractNum>
  <w:abstractNum w:abstractNumId="1" w15:restartNumberingAfterBreak="0">
    <w:nsid w:val="001D7E14"/>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03046C56"/>
    <w:multiLevelType w:val="multilevel"/>
    <w:tmpl w:val="96CEEED6"/>
    <w:lvl w:ilvl="0">
      <w:start w:val="5"/>
      <w:numFmt w:val="decimal"/>
      <w:lvlText w:val="%1"/>
      <w:lvlJc w:val="left"/>
      <w:pPr>
        <w:tabs>
          <w:tab w:val="num" w:pos="2268"/>
        </w:tabs>
        <w:ind w:left="2268" w:hanging="1134"/>
      </w:pPr>
      <w:rPr>
        <w:rFonts w:hint="default"/>
        <w:b w:val="0"/>
        <w:i w:val="0"/>
        <w:color w:val="auto"/>
        <w:sz w:val="18"/>
        <w:szCs w:val="18"/>
      </w:rPr>
    </w:lvl>
    <w:lvl w:ilvl="1">
      <w:start w:val="35"/>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03F91772"/>
    <w:multiLevelType w:val="hybridMultilevel"/>
    <w:tmpl w:val="AB985A56"/>
    <w:lvl w:ilvl="0" w:tplc="0470783A">
      <w:start w:val="1"/>
      <w:numFmt w:val="low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4"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A55E1"/>
    <w:multiLevelType w:val="multilevel"/>
    <w:tmpl w:val="6944EAC4"/>
    <w:lvl w:ilvl="0">
      <w:start w:val="5"/>
      <w:numFmt w:val="decimal"/>
      <w:lvlText w:val="%1"/>
      <w:lvlJc w:val="left"/>
      <w:pPr>
        <w:tabs>
          <w:tab w:val="num" w:pos="1984"/>
        </w:tabs>
        <w:ind w:left="1984" w:hanging="1134"/>
      </w:pPr>
      <w:rPr>
        <w:rFonts w:hint="default"/>
        <w:b w:val="0"/>
        <w:i w:val="0"/>
        <w:color w:val="auto"/>
        <w:sz w:val="18"/>
        <w:szCs w:val="18"/>
      </w:rPr>
    </w:lvl>
    <w:lvl w:ilvl="1">
      <w:start w:val="1"/>
      <w:numFmt w:val="lowerLetter"/>
      <w:lvlText w:val="(%2)"/>
      <w:lvlJc w:val="left"/>
      <w:pPr>
        <w:tabs>
          <w:tab w:val="num" w:pos="2835"/>
        </w:tabs>
        <w:ind w:left="2835" w:hanging="425"/>
      </w:pPr>
      <w:rPr>
        <w:rFonts w:hint="default"/>
        <w:b w:val="0"/>
        <w:i w:val="0"/>
        <w:color w:val="auto"/>
        <w:sz w:val="18"/>
        <w:szCs w:val="18"/>
      </w:rPr>
    </w:lvl>
    <w:lvl w:ilvl="2">
      <w:start w:val="1"/>
      <w:numFmt w:val="lowerRoman"/>
      <w:lvlText w:val="(%3)"/>
      <w:lvlJc w:val="left"/>
      <w:pPr>
        <w:tabs>
          <w:tab w:val="num" w:pos="2835"/>
        </w:tabs>
        <w:ind w:left="283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260"/>
        </w:tabs>
        <w:ind w:left="3260" w:hanging="425"/>
      </w:pPr>
      <w:rPr>
        <w:rFonts w:hint="default"/>
        <w:sz w:val="16"/>
        <w:szCs w:val="16"/>
      </w:rPr>
    </w:lvl>
    <w:lvl w:ilvl="4">
      <w:start w:val="1"/>
      <w:numFmt w:val="upperRoman"/>
      <w:lvlText w:val="(%5)"/>
      <w:lvlJc w:val="left"/>
      <w:pPr>
        <w:tabs>
          <w:tab w:val="num" w:pos="3685"/>
        </w:tabs>
        <w:ind w:left="3685" w:hanging="425"/>
      </w:pPr>
      <w:rPr>
        <w:rFonts w:hint="default"/>
        <w:sz w:val="16"/>
        <w:szCs w:val="16"/>
      </w:rPr>
    </w:lvl>
    <w:lvl w:ilvl="5">
      <w:start w:val="1"/>
      <w:numFmt w:val="none"/>
      <w:lvlText w:val=""/>
      <w:lvlJc w:val="left"/>
      <w:pPr>
        <w:tabs>
          <w:tab w:val="num" w:pos="3676"/>
        </w:tabs>
        <w:ind w:left="2452" w:hanging="936"/>
      </w:pPr>
      <w:rPr>
        <w:rFonts w:hint="default"/>
      </w:rPr>
    </w:lvl>
    <w:lvl w:ilvl="6">
      <w:start w:val="1"/>
      <w:numFmt w:val="none"/>
      <w:lvlText w:val=""/>
      <w:lvlJc w:val="left"/>
      <w:pPr>
        <w:tabs>
          <w:tab w:val="num" w:pos="4036"/>
        </w:tabs>
        <w:ind w:left="2956" w:hanging="1080"/>
      </w:pPr>
      <w:rPr>
        <w:rFonts w:hint="default"/>
      </w:rPr>
    </w:lvl>
    <w:lvl w:ilvl="7">
      <w:start w:val="1"/>
      <w:numFmt w:val="none"/>
      <w:lvlText w:val=""/>
      <w:lvlJc w:val="left"/>
      <w:pPr>
        <w:tabs>
          <w:tab w:val="num" w:pos="4756"/>
        </w:tabs>
        <w:ind w:left="3460" w:hanging="1224"/>
      </w:pPr>
      <w:rPr>
        <w:rFonts w:hint="default"/>
      </w:rPr>
    </w:lvl>
    <w:lvl w:ilvl="8">
      <w:start w:val="1"/>
      <w:numFmt w:val="none"/>
      <w:lvlText w:val=""/>
      <w:lvlJc w:val="left"/>
      <w:pPr>
        <w:tabs>
          <w:tab w:val="num" w:pos="5476"/>
        </w:tabs>
        <w:ind w:left="4036" w:hanging="1440"/>
      </w:pPr>
      <w:rPr>
        <w:rFonts w:hint="default"/>
      </w:rPr>
    </w:lvl>
  </w:abstractNum>
  <w:abstractNum w:abstractNumId="6" w15:restartNumberingAfterBreak="0">
    <w:nsid w:val="05A25A8A"/>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0622014B"/>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A50A68"/>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070E5B9D"/>
    <w:multiLevelType w:val="hybridMultilevel"/>
    <w:tmpl w:val="B24491B2"/>
    <w:lvl w:ilvl="0" w:tplc="00646EDE">
      <w:start w:val="1"/>
      <w:numFmt w:val="lowerLetter"/>
      <w:lvlText w:val="(%1)"/>
      <w:lvlJc w:val="left"/>
      <w:pPr>
        <w:ind w:left="2988" w:hanging="360"/>
      </w:pPr>
    </w:lvl>
    <w:lvl w:ilvl="1" w:tplc="0C090019">
      <w:start w:val="1"/>
      <w:numFmt w:val="lowerLetter"/>
      <w:lvlText w:val="%2."/>
      <w:lvlJc w:val="left"/>
      <w:pPr>
        <w:ind w:left="3708" w:hanging="360"/>
      </w:pPr>
    </w:lvl>
    <w:lvl w:ilvl="2" w:tplc="0C09001B">
      <w:start w:val="1"/>
      <w:numFmt w:val="lowerRoman"/>
      <w:lvlText w:val="%3."/>
      <w:lvlJc w:val="right"/>
      <w:pPr>
        <w:ind w:left="4428" w:hanging="180"/>
      </w:pPr>
    </w:lvl>
    <w:lvl w:ilvl="3" w:tplc="0C09000F">
      <w:start w:val="1"/>
      <w:numFmt w:val="decimal"/>
      <w:lvlText w:val="%4."/>
      <w:lvlJc w:val="left"/>
      <w:pPr>
        <w:ind w:left="5148" w:hanging="360"/>
      </w:pPr>
    </w:lvl>
    <w:lvl w:ilvl="4" w:tplc="0C090019">
      <w:start w:val="1"/>
      <w:numFmt w:val="lowerLetter"/>
      <w:lvlText w:val="%5."/>
      <w:lvlJc w:val="left"/>
      <w:pPr>
        <w:ind w:left="5868" w:hanging="360"/>
      </w:pPr>
    </w:lvl>
    <w:lvl w:ilvl="5" w:tplc="0C09001B">
      <w:start w:val="1"/>
      <w:numFmt w:val="lowerRoman"/>
      <w:lvlText w:val="%6."/>
      <w:lvlJc w:val="right"/>
      <w:pPr>
        <w:ind w:left="6588" w:hanging="180"/>
      </w:pPr>
    </w:lvl>
    <w:lvl w:ilvl="6" w:tplc="0C09000F">
      <w:start w:val="1"/>
      <w:numFmt w:val="decimal"/>
      <w:lvlText w:val="%7."/>
      <w:lvlJc w:val="left"/>
      <w:pPr>
        <w:ind w:left="7308" w:hanging="360"/>
      </w:pPr>
    </w:lvl>
    <w:lvl w:ilvl="7" w:tplc="0C090019">
      <w:start w:val="1"/>
      <w:numFmt w:val="lowerLetter"/>
      <w:lvlText w:val="%8."/>
      <w:lvlJc w:val="left"/>
      <w:pPr>
        <w:ind w:left="8028" w:hanging="360"/>
      </w:pPr>
    </w:lvl>
    <w:lvl w:ilvl="8" w:tplc="0C09001B">
      <w:start w:val="1"/>
      <w:numFmt w:val="lowerRoman"/>
      <w:lvlText w:val="%9."/>
      <w:lvlJc w:val="right"/>
      <w:pPr>
        <w:ind w:left="8748" w:hanging="180"/>
      </w:pPr>
    </w:lvl>
  </w:abstractNum>
  <w:abstractNum w:abstractNumId="11" w15:restartNumberingAfterBreak="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2" w15:restartNumberingAfterBreak="0">
    <w:nsid w:val="09413EDA"/>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15:restartNumberingAfterBreak="0">
    <w:nsid w:val="0BCC3E3C"/>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15:restartNumberingAfterBreak="0">
    <w:nsid w:val="0C1004A9"/>
    <w:multiLevelType w:val="hybridMultilevel"/>
    <w:tmpl w:val="A008EA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983F2F"/>
    <w:multiLevelType w:val="hybridMultilevel"/>
    <w:tmpl w:val="FCD8A374"/>
    <w:lvl w:ilvl="0" w:tplc="8D0C70F6">
      <w:start w:val="2"/>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18" w15:restartNumberingAfterBreak="0">
    <w:nsid w:val="0E2F48B7"/>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0EB73763"/>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15:restartNumberingAfterBreak="0">
    <w:nsid w:val="122B2A92"/>
    <w:multiLevelType w:val="hybridMultilevel"/>
    <w:tmpl w:val="A43E62DC"/>
    <w:lvl w:ilvl="0" w:tplc="DF0ECE4A">
      <w:start w:val="1"/>
      <w:numFmt w:val="lowerLetter"/>
      <w:lvlText w:val="%1."/>
      <w:lvlJc w:val="left"/>
      <w:pPr>
        <w:ind w:left="1630" w:hanging="360"/>
      </w:pPr>
      <w:rPr>
        <w:rFonts w:hint="default"/>
      </w:rPr>
    </w:lvl>
    <w:lvl w:ilvl="1" w:tplc="0C090019" w:tentative="1">
      <w:start w:val="1"/>
      <w:numFmt w:val="lowerLetter"/>
      <w:lvlText w:val="%2."/>
      <w:lvlJc w:val="left"/>
      <w:pPr>
        <w:ind w:left="2350" w:hanging="360"/>
      </w:pPr>
    </w:lvl>
    <w:lvl w:ilvl="2" w:tplc="0C09001B" w:tentative="1">
      <w:start w:val="1"/>
      <w:numFmt w:val="lowerRoman"/>
      <w:lvlText w:val="%3."/>
      <w:lvlJc w:val="right"/>
      <w:pPr>
        <w:ind w:left="3070" w:hanging="180"/>
      </w:pPr>
    </w:lvl>
    <w:lvl w:ilvl="3" w:tplc="0C09000F" w:tentative="1">
      <w:start w:val="1"/>
      <w:numFmt w:val="decimal"/>
      <w:lvlText w:val="%4."/>
      <w:lvlJc w:val="left"/>
      <w:pPr>
        <w:ind w:left="3790" w:hanging="360"/>
      </w:pPr>
    </w:lvl>
    <w:lvl w:ilvl="4" w:tplc="0C090019" w:tentative="1">
      <w:start w:val="1"/>
      <w:numFmt w:val="lowerLetter"/>
      <w:lvlText w:val="%5."/>
      <w:lvlJc w:val="left"/>
      <w:pPr>
        <w:ind w:left="4510" w:hanging="360"/>
      </w:pPr>
    </w:lvl>
    <w:lvl w:ilvl="5" w:tplc="0C09001B" w:tentative="1">
      <w:start w:val="1"/>
      <w:numFmt w:val="lowerRoman"/>
      <w:lvlText w:val="%6."/>
      <w:lvlJc w:val="right"/>
      <w:pPr>
        <w:ind w:left="5230" w:hanging="180"/>
      </w:pPr>
    </w:lvl>
    <w:lvl w:ilvl="6" w:tplc="0C09000F" w:tentative="1">
      <w:start w:val="1"/>
      <w:numFmt w:val="decimal"/>
      <w:lvlText w:val="%7."/>
      <w:lvlJc w:val="left"/>
      <w:pPr>
        <w:ind w:left="5950" w:hanging="360"/>
      </w:pPr>
    </w:lvl>
    <w:lvl w:ilvl="7" w:tplc="0C090019" w:tentative="1">
      <w:start w:val="1"/>
      <w:numFmt w:val="lowerLetter"/>
      <w:lvlText w:val="%8."/>
      <w:lvlJc w:val="left"/>
      <w:pPr>
        <w:ind w:left="6670" w:hanging="360"/>
      </w:pPr>
    </w:lvl>
    <w:lvl w:ilvl="8" w:tplc="0C09001B" w:tentative="1">
      <w:start w:val="1"/>
      <w:numFmt w:val="lowerRoman"/>
      <w:lvlText w:val="%9."/>
      <w:lvlJc w:val="right"/>
      <w:pPr>
        <w:ind w:left="7390" w:hanging="180"/>
      </w:pPr>
    </w:lvl>
  </w:abstractNum>
  <w:abstractNum w:abstractNumId="21" w15:restartNumberingAfterBreak="0">
    <w:nsid w:val="14122E7A"/>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2" w15:restartNumberingAfterBreak="0">
    <w:nsid w:val="168222F8"/>
    <w:multiLevelType w:val="multilevel"/>
    <w:tmpl w:val="EC0C5108"/>
    <w:lvl w:ilvl="0">
      <w:start w:val="5"/>
      <w:numFmt w:val="decimal"/>
      <w:lvlText w:val="%1"/>
      <w:lvlJc w:val="left"/>
      <w:pPr>
        <w:tabs>
          <w:tab w:val="num" w:pos="2268"/>
        </w:tabs>
        <w:ind w:left="2268" w:hanging="1134"/>
      </w:pPr>
      <w:rPr>
        <w:rFonts w:hint="default"/>
        <w:b w:val="0"/>
        <w:i w:val="0"/>
        <w:color w:val="auto"/>
        <w:sz w:val="18"/>
        <w:szCs w:val="18"/>
      </w:rPr>
    </w:lvl>
    <w:lvl w:ilvl="1">
      <w:start w:val="6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3" w15:restartNumberingAfterBreak="0">
    <w:nsid w:val="18162CA9"/>
    <w:multiLevelType w:val="hybridMultilevel"/>
    <w:tmpl w:val="7890A796"/>
    <w:lvl w:ilvl="0" w:tplc="0470783A">
      <w:start w:val="1"/>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24" w15:restartNumberingAfterBreak="0">
    <w:nsid w:val="18BC0DDA"/>
    <w:multiLevelType w:val="hybridMultilevel"/>
    <w:tmpl w:val="EAE87264"/>
    <w:lvl w:ilvl="0" w:tplc="ABF8DF94">
      <w:start w:val="1"/>
      <w:numFmt w:val="lowerRoman"/>
      <w:lvlText w:val="%1."/>
      <w:lvlJc w:val="left"/>
      <w:pPr>
        <w:ind w:left="1140" w:hanging="72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1DC703C4"/>
    <w:multiLevelType w:val="multilevel"/>
    <w:tmpl w:val="EF123CA6"/>
    <w:lvl w:ilvl="0">
      <w:start w:val="5"/>
      <w:numFmt w:val="decimal"/>
      <w:lvlText w:val="%1"/>
      <w:lvlJc w:val="left"/>
      <w:pPr>
        <w:tabs>
          <w:tab w:val="num" w:pos="2268"/>
        </w:tabs>
        <w:ind w:left="2268" w:hanging="1134"/>
      </w:pPr>
      <w:rPr>
        <w:rFonts w:hint="default"/>
        <w:b w:val="0"/>
        <w:i w:val="0"/>
        <w:color w:val="auto"/>
        <w:sz w:val="18"/>
        <w:szCs w:val="18"/>
      </w:rPr>
    </w:lvl>
    <w:lvl w:ilvl="1">
      <w:start w:val="9"/>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15:restartNumberingAfterBreak="0">
    <w:nsid w:val="1E0C6808"/>
    <w:multiLevelType w:val="multilevel"/>
    <w:tmpl w:val="2D00BB6E"/>
    <w:lvl w:ilvl="0">
      <w:start w:val="1"/>
      <w:numFmt w:val="decimal"/>
      <w:pStyle w:val="BodyText"/>
      <w:lvlText w:val="%1"/>
      <w:lvlJc w:val="left"/>
      <w:pPr>
        <w:tabs>
          <w:tab w:val="num" w:pos="2268"/>
        </w:tabs>
        <w:ind w:left="2268" w:hanging="1134"/>
      </w:pPr>
      <w:rPr>
        <w:rFonts w:ascii="Times New Roman" w:hAnsi="Times New Roman" w:cs="Times New Roman"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7" w15:restartNumberingAfterBreak="0">
    <w:nsid w:val="1EE57DE1"/>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8" w15:restartNumberingAfterBreak="0">
    <w:nsid w:val="1F88500E"/>
    <w:multiLevelType w:val="singleLevel"/>
    <w:tmpl w:val="286E529C"/>
    <w:lvl w:ilvl="0">
      <w:start w:val="1"/>
      <w:numFmt w:val="bullet"/>
      <w:lvlText w:val=""/>
      <w:lvlJc w:val="left"/>
      <w:pPr>
        <w:tabs>
          <w:tab w:val="num" w:pos="425"/>
        </w:tabs>
        <w:ind w:left="425" w:hanging="425"/>
      </w:pPr>
      <w:rPr>
        <w:rFonts w:ascii="Symbol" w:hAnsi="Symbol" w:hint="default"/>
      </w:rPr>
    </w:lvl>
  </w:abstractNum>
  <w:abstractNum w:abstractNumId="29" w15:restartNumberingAfterBreak="0">
    <w:nsid w:val="20435333"/>
    <w:multiLevelType w:val="multilevel"/>
    <w:tmpl w:val="2BF2360A"/>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15:restartNumberingAfterBreak="0">
    <w:nsid w:val="21061E57"/>
    <w:multiLevelType w:val="hybridMultilevel"/>
    <w:tmpl w:val="AB985A56"/>
    <w:lvl w:ilvl="0" w:tplc="0470783A">
      <w:start w:val="1"/>
      <w:numFmt w:val="low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31" w15:restartNumberingAfterBreak="0">
    <w:nsid w:val="21E76146"/>
    <w:multiLevelType w:val="hybridMultilevel"/>
    <w:tmpl w:val="6C4862C2"/>
    <w:lvl w:ilvl="0" w:tplc="F644457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25C5D48"/>
    <w:multiLevelType w:val="hybridMultilevel"/>
    <w:tmpl w:val="9C3E8724"/>
    <w:lvl w:ilvl="0" w:tplc="6B065BFE">
      <w:start w:val="1"/>
      <w:numFmt w:val="bullet"/>
      <w:lvlText w:val=""/>
      <w:lvlJc w:val="left"/>
      <w:pPr>
        <w:tabs>
          <w:tab w:val="num" w:pos="1418"/>
        </w:tabs>
        <w:ind w:left="1418" w:hanging="426"/>
      </w:pPr>
      <w:rPr>
        <w:rFonts w:ascii="Symbol" w:hAnsi="Symbol" w:hint="default"/>
        <w:color w:val="0082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15:restartNumberingAfterBreak="0">
    <w:nsid w:val="2310514E"/>
    <w:multiLevelType w:val="hybridMultilevel"/>
    <w:tmpl w:val="DE4C8B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510315"/>
    <w:multiLevelType w:val="multilevel"/>
    <w:tmpl w:val="D8548B8A"/>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836"/>
        </w:tabs>
        <w:ind w:left="2836"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6" w15:restartNumberingAfterBreak="0">
    <w:nsid w:val="243B1A7D"/>
    <w:multiLevelType w:val="multilevel"/>
    <w:tmpl w:val="D292D8DE"/>
    <w:name w:val="ASIC proposal"/>
    <w:lvl w:ilvl="0">
      <w:start w:val="1"/>
      <w:numFmt w:val="upperLetter"/>
      <w:pStyle w:val="Heading1"/>
      <w:lvlText w:val="%1"/>
      <w:lvlJc w:val="left"/>
      <w:pPr>
        <w:tabs>
          <w:tab w:val="num" w:pos="851"/>
        </w:tabs>
        <w:ind w:left="851" w:hanging="851"/>
      </w:pPr>
      <w:rPr>
        <w:rFonts w:hint="default"/>
        <w:b/>
        <w:i w:val="0"/>
        <w:color w:val="0072CE"/>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7" w15:restartNumberingAfterBreak="0">
    <w:nsid w:val="24E47630"/>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25655C90"/>
    <w:multiLevelType w:val="multilevel"/>
    <w:tmpl w:val="F6F0F32E"/>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D0142F1"/>
    <w:multiLevelType w:val="hybridMultilevel"/>
    <w:tmpl w:val="AA806800"/>
    <w:lvl w:ilvl="0" w:tplc="0C09000F">
      <w:start w:val="1"/>
      <w:numFmt w:val="decimal"/>
      <w:lvlText w:val="%1."/>
      <w:lvlJc w:val="left"/>
      <w:pPr>
        <w:ind w:left="1854" w:hanging="360"/>
      </w:pPr>
    </w:lvl>
    <w:lvl w:ilvl="1" w:tplc="0470783A">
      <w:start w:val="1"/>
      <w:numFmt w:val="lowerLetter"/>
      <w:lvlText w:val="(%2)"/>
      <w:lvlJc w:val="left"/>
      <w:pPr>
        <w:ind w:left="2574" w:hanging="360"/>
      </w:pPr>
      <w:rPr>
        <w:rFonts w:hint="default"/>
      </w:r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15:restartNumberingAfterBreak="0">
    <w:nsid w:val="2D682AC5"/>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15:restartNumberingAfterBreak="0">
    <w:nsid w:val="34B94DA6"/>
    <w:multiLevelType w:val="hybridMultilevel"/>
    <w:tmpl w:val="858A80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44" w15:restartNumberingAfterBreak="0">
    <w:nsid w:val="3FB41480"/>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5" w15:restartNumberingAfterBreak="0">
    <w:nsid w:val="40C8041D"/>
    <w:multiLevelType w:val="hybridMultilevel"/>
    <w:tmpl w:val="FF7E35F8"/>
    <w:lvl w:ilvl="0" w:tplc="58BCBED2">
      <w:start w:val="1"/>
      <w:numFmt w:val="lowerRoman"/>
      <w:lvlText w:val="%1."/>
      <w:lvlJc w:val="left"/>
      <w:pPr>
        <w:ind w:left="1145" w:hanging="72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6" w15:restartNumberingAfterBreak="0">
    <w:nsid w:val="41842A66"/>
    <w:multiLevelType w:val="hybridMultilevel"/>
    <w:tmpl w:val="02224B18"/>
    <w:lvl w:ilvl="0" w:tplc="0C090019">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7" w15:restartNumberingAfterBreak="0">
    <w:nsid w:val="43490EC6"/>
    <w:multiLevelType w:val="hybridMultilevel"/>
    <w:tmpl w:val="DC287F08"/>
    <w:lvl w:ilvl="0" w:tplc="0C09000F">
      <w:start w:val="1"/>
      <w:numFmt w:val="decimal"/>
      <w:lvlText w:val="%1."/>
      <w:lvlJc w:val="left"/>
      <w:pPr>
        <w:ind w:left="1854" w:hanging="360"/>
      </w:pPr>
    </w:lvl>
    <w:lvl w:ilvl="1" w:tplc="0470783A">
      <w:start w:val="1"/>
      <w:numFmt w:val="lowerLetter"/>
      <w:lvlText w:val="(%2)"/>
      <w:lvlJc w:val="left"/>
      <w:pPr>
        <w:ind w:left="2574" w:hanging="360"/>
      </w:pPr>
      <w:rPr>
        <w:rFonts w:hint="default"/>
      </w:r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8" w15:restartNumberingAfterBreak="0">
    <w:nsid w:val="43AB45D5"/>
    <w:multiLevelType w:val="hybridMultilevel"/>
    <w:tmpl w:val="F0DE2B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3F00C06"/>
    <w:multiLevelType w:val="hybridMultilevel"/>
    <w:tmpl w:val="C3B8FF10"/>
    <w:lvl w:ilvl="0" w:tplc="B69029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63176A4"/>
    <w:multiLevelType w:val="multilevel"/>
    <w:tmpl w:val="DD3007F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Roman"/>
      <w:lvlText w:val="%4)"/>
      <w:lvlJc w:val="left"/>
      <w:pPr>
        <w:tabs>
          <w:tab w:val="num" w:pos="1701"/>
        </w:tabs>
        <w:ind w:left="1701" w:hanging="425"/>
      </w:pPr>
      <w:rPr>
        <w:rFonts w:hint="default"/>
      </w:rPr>
    </w:lvl>
    <w:lvl w:ilvl="4">
      <w:start w:val="1"/>
      <w:numFmt w:val="decimal"/>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75B2E7D"/>
    <w:multiLevelType w:val="hybridMultilevel"/>
    <w:tmpl w:val="067C3C0C"/>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2" w15:restartNumberingAfterBreak="0">
    <w:nsid w:val="481B798B"/>
    <w:multiLevelType w:val="hybridMultilevel"/>
    <w:tmpl w:val="286E75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8454CD2"/>
    <w:multiLevelType w:val="multilevel"/>
    <w:tmpl w:val="76FC0354"/>
    <w:lvl w:ilvl="0">
      <w:start w:val="5"/>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4" w15:restartNumberingAfterBreak="0">
    <w:nsid w:val="4CC32557"/>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5" w15:restartNumberingAfterBreak="0">
    <w:nsid w:val="51E92B1F"/>
    <w:multiLevelType w:val="hybridMultilevel"/>
    <w:tmpl w:val="1728A442"/>
    <w:lvl w:ilvl="0" w:tplc="42729A2C">
      <w:start w:val="1"/>
      <w:numFmt w:val="lowerRoman"/>
      <w:lvlText w:val="(%1)"/>
      <w:lvlJc w:val="left"/>
      <w:pPr>
        <w:ind w:left="2934" w:hanging="72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56" w15:restartNumberingAfterBreak="0">
    <w:nsid w:val="52165488"/>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7" w15:restartNumberingAfterBreak="0">
    <w:nsid w:val="52543331"/>
    <w:multiLevelType w:val="hybridMultilevel"/>
    <w:tmpl w:val="F3A48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074751"/>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0" w15:restartNumberingAfterBreak="0">
    <w:nsid w:val="55C05C2C"/>
    <w:multiLevelType w:val="hybridMultilevel"/>
    <w:tmpl w:val="937C6B74"/>
    <w:lvl w:ilvl="0" w:tplc="017EB694">
      <w:start w:val="1"/>
      <w:numFmt w:val="bullet"/>
      <w:lvlText w:val=""/>
      <w:lvlJc w:val="left"/>
      <w:pPr>
        <w:ind w:left="3413" w:hanging="360"/>
      </w:pPr>
      <w:rPr>
        <w:rFonts w:ascii="Symbol" w:hAnsi="Symbol" w:hint="default"/>
        <w:sz w:val="16"/>
      </w:rPr>
    </w:lvl>
    <w:lvl w:ilvl="1" w:tplc="0C090003" w:tentative="1">
      <w:start w:val="1"/>
      <w:numFmt w:val="bullet"/>
      <w:lvlText w:val="o"/>
      <w:lvlJc w:val="left"/>
      <w:pPr>
        <w:ind w:left="4133" w:hanging="360"/>
      </w:pPr>
      <w:rPr>
        <w:rFonts w:ascii="Courier New" w:hAnsi="Courier New" w:cs="Courier New" w:hint="default"/>
      </w:rPr>
    </w:lvl>
    <w:lvl w:ilvl="2" w:tplc="0C090005" w:tentative="1">
      <w:start w:val="1"/>
      <w:numFmt w:val="bullet"/>
      <w:lvlText w:val=""/>
      <w:lvlJc w:val="left"/>
      <w:pPr>
        <w:ind w:left="4853" w:hanging="360"/>
      </w:pPr>
      <w:rPr>
        <w:rFonts w:ascii="Wingdings" w:hAnsi="Wingdings" w:hint="default"/>
      </w:rPr>
    </w:lvl>
    <w:lvl w:ilvl="3" w:tplc="0C090001" w:tentative="1">
      <w:start w:val="1"/>
      <w:numFmt w:val="bullet"/>
      <w:lvlText w:val=""/>
      <w:lvlJc w:val="left"/>
      <w:pPr>
        <w:ind w:left="5573" w:hanging="360"/>
      </w:pPr>
      <w:rPr>
        <w:rFonts w:ascii="Symbol" w:hAnsi="Symbol" w:hint="default"/>
      </w:rPr>
    </w:lvl>
    <w:lvl w:ilvl="4" w:tplc="0C090003" w:tentative="1">
      <w:start w:val="1"/>
      <w:numFmt w:val="bullet"/>
      <w:lvlText w:val="o"/>
      <w:lvlJc w:val="left"/>
      <w:pPr>
        <w:ind w:left="6293" w:hanging="360"/>
      </w:pPr>
      <w:rPr>
        <w:rFonts w:ascii="Courier New" w:hAnsi="Courier New" w:cs="Courier New" w:hint="default"/>
      </w:rPr>
    </w:lvl>
    <w:lvl w:ilvl="5" w:tplc="0C090005" w:tentative="1">
      <w:start w:val="1"/>
      <w:numFmt w:val="bullet"/>
      <w:lvlText w:val=""/>
      <w:lvlJc w:val="left"/>
      <w:pPr>
        <w:ind w:left="7013" w:hanging="360"/>
      </w:pPr>
      <w:rPr>
        <w:rFonts w:ascii="Wingdings" w:hAnsi="Wingdings" w:hint="default"/>
      </w:rPr>
    </w:lvl>
    <w:lvl w:ilvl="6" w:tplc="0C090001" w:tentative="1">
      <w:start w:val="1"/>
      <w:numFmt w:val="bullet"/>
      <w:lvlText w:val=""/>
      <w:lvlJc w:val="left"/>
      <w:pPr>
        <w:ind w:left="7733" w:hanging="360"/>
      </w:pPr>
      <w:rPr>
        <w:rFonts w:ascii="Symbol" w:hAnsi="Symbol" w:hint="default"/>
      </w:rPr>
    </w:lvl>
    <w:lvl w:ilvl="7" w:tplc="0C090003" w:tentative="1">
      <w:start w:val="1"/>
      <w:numFmt w:val="bullet"/>
      <w:lvlText w:val="o"/>
      <w:lvlJc w:val="left"/>
      <w:pPr>
        <w:ind w:left="8453" w:hanging="360"/>
      </w:pPr>
      <w:rPr>
        <w:rFonts w:ascii="Courier New" w:hAnsi="Courier New" w:cs="Courier New" w:hint="default"/>
      </w:rPr>
    </w:lvl>
    <w:lvl w:ilvl="8" w:tplc="0C090005" w:tentative="1">
      <w:start w:val="1"/>
      <w:numFmt w:val="bullet"/>
      <w:lvlText w:val=""/>
      <w:lvlJc w:val="left"/>
      <w:pPr>
        <w:ind w:left="9173" w:hanging="360"/>
      </w:pPr>
      <w:rPr>
        <w:rFonts w:ascii="Wingdings" w:hAnsi="Wingdings" w:hint="default"/>
      </w:rPr>
    </w:lvl>
  </w:abstractNum>
  <w:abstractNum w:abstractNumId="61" w15:restartNumberingAfterBreak="0">
    <w:nsid w:val="578A0477"/>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2" w15:restartNumberingAfterBreak="0">
    <w:nsid w:val="585E61FA"/>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3" w15:restartNumberingAfterBreak="0">
    <w:nsid w:val="58AE5B77"/>
    <w:multiLevelType w:val="hybridMultilevel"/>
    <w:tmpl w:val="2BACEEF2"/>
    <w:lvl w:ilvl="0" w:tplc="6F56940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9036E9"/>
    <w:multiLevelType w:val="hybridMultilevel"/>
    <w:tmpl w:val="A95CC468"/>
    <w:lvl w:ilvl="0" w:tplc="D4FEAD2A">
      <w:start w:val="3"/>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65" w15:restartNumberingAfterBreak="0">
    <w:nsid w:val="5A890D75"/>
    <w:multiLevelType w:val="multilevel"/>
    <w:tmpl w:val="D01661A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836"/>
        </w:tabs>
        <w:ind w:left="2836"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6"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FD2AFF"/>
    <w:multiLevelType w:val="multilevel"/>
    <w:tmpl w:val="D924CF72"/>
    <w:lvl w:ilvl="0">
      <w:start w:val="5"/>
      <w:numFmt w:val="decimal"/>
      <w:lvlText w:val="%1"/>
      <w:lvlJc w:val="left"/>
      <w:pPr>
        <w:tabs>
          <w:tab w:val="num" w:pos="1984"/>
        </w:tabs>
        <w:ind w:left="1984" w:hanging="1134"/>
      </w:pPr>
      <w:rPr>
        <w:rFonts w:hint="default"/>
        <w:b w:val="0"/>
        <w:i w:val="0"/>
        <w:color w:val="auto"/>
        <w:sz w:val="18"/>
        <w:szCs w:val="18"/>
      </w:rPr>
    </w:lvl>
    <w:lvl w:ilvl="1">
      <w:start w:val="1"/>
      <w:numFmt w:val="lowerLetter"/>
      <w:lvlText w:val="(%2)"/>
      <w:lvlJc w:val="left"/>
      <w:pPr>
        <w:tabs>
          <w:tab w:val="num" w:pos="2835"/>
        </w:tabs>
        <w:ind w:left="2835" w:hanging="425"/>
      </w:pPr>
      <w:rPr>
        <w:rFonts w:hint="default"/>
        <w:b w:val="0"/>
        <w:i w:val="0"/>
        <w:color w:val="auto"/>
        <w:sz w:val="18"/>
        <w:szCs w:val="18"/>
      </w:rPr>
    </w:lvl>
    <w:lvl w:ilvl="2">
      <w:start w:val="1"/>
      <w:numFmt w:val="lowerRoman"/>
      <w:lvlText w:val="(%3)"/>
      <w:lvlJc w:val="left"/>
      <w:pPr>
        <w:tabs>
          <w:tab w:val="num" w:pos="2835"/>
        </w:tabs>
        <w:ind w:left="283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260"/>
        </w:tabs>
        <w:ind w:left="3260" w:hanging="425"/>
      </w:pPr>
      <w:rPr>
        <w:rFonts w:hint="default"/>
        <w:sz w:val="16"/>
        <w:szCs w:val="16"/>
      </w:rPr>
    </w:lvl>
    <w:lvl w:ilvl="4">
      <w:start w:val="1"/>
      <w:numFmt w:val="upperRoman"/>
      <w:lvlText w:val="(%5)"/>
      <w:lvlJc w:val="left"/>
      <w:pPr>
        <w:tabs>
          <w:tab w:val="num" w:pos="3685"/>
        </w:tabs>
        <w:ind w:left="3685" w:hanging="425"/>
      </w:pPr>
      <w:rPr>
        <w:rFonts w:hint="default"/>
        <w:sz w:val="16"/>
        <w:szCs w:val="16"/>
      </w:rPr>
    </w:lvl>
    <w:lvl w:ilvl="5">
      <w:start w:val="1"/>
      <w:numFmt w:val="none"/>
      <w:lvlText w:val=""/>
      <w:lvlJc w:val="left"/>
      <w:pPr>
        <w:tabs>
          <w:tab w:val="num" w:pos="3676"/>
        </w:tabs>
        <w:ind w:left="2452" w:hanging="936"/>
      </w:pPr>
      <w:rPr>
        <w:rFonts w:hint="default"/>
      </w:rPr>
    </w:lvl>
    <w:lvl w:ilvl="6">
      <w:start w:val="1"/>
      <w:numFmt w:val="none"/>
      <w:lvlText w:val=""/>
      <w:lvlJc w:val="left"/>
      <w:pPr>
        <w:tabs>
          <w:tab w:val="num" w:pos="4036"/>
        </w:tabs>
        <w:ind w:left="2956" w:hanging="1080"/>
      </w:pPr>
      <w:rPr>
        <w:rFonts w:hint="default"/>
      </w:rPr>
    </w:lvl>
    <w:lvl w:ilvl="7">
      <w:start w:val="1"/>
      <w:numFmt w:val="none"/>
      <w:lvlText w:val=""/>
      <w:lvlJc w:val="left"/>
      <w:pPr>
        <w:tabs>
          <w:tab w:val="num" w:pos="4756"/>
        </w:tabs>
        <w:ind w:left="3460" w:hanging="1224"/>
      </w:pPr>
      <w:rPr>
        <w:rFonts w:hint="default"/>
      </w:rPr>
    </w:lvl>
    <w:lvl w:ilvl="8">
      <w:start w:val="1"/>
      <w:numFmt w:val="none"/>
      <w:lvlText w:val=""/>
      <w:lvlJc w:val="left"/>
      <w:pPr>
        <w:tabs>
          <w:tab w:val="num" w:pos="5476"/>
        </w:tabs>
        <w:ind w:left="4036" w:hanging="1440"/>
      </w:pPr>
      <w:rPr>
        <w:rFonts w:hint="default"/>
      </w:rPr>
    </w:lvl>
  </w:abstractNum>
  <w:abstractNum w:abstractNumId="68"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347556D"/>
    <w:multiLevelType w:val="hybridMultilevel"/>
    <w:tmpl w:val="0E66B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792CA6"/>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1" w15:restartNumberingAfterBreak="0">
    <w:nsid w:val="669C3BD8"/>
    <w:multiLevelType w:val="hybridMultilevel"/>
    <w:tmpl w:val="88E88F76"/>
    <w:lvl w:ilvl="0" w:tplc="0470783A">
      <w:start w:val="1"/>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72"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75584D"/>
    <w:multiLevelType w:val="hybridMultilevel"/>
    <w:tmpl w:val="79E6DDD2"/>
    <w:lvl w:ilvl="0" w:tplc="0C09000F">
      <w:start w:val="1"/>
      <w:numFmt w:val="decimal"/>
      <w:lvlText w:val="%1."/>
      <w:lvlJc w:val="left"/>
      <w:pPr>
        <w:ind w:left="1854" w:hanging="360"/>
      </w:pPr>
    </w:lvl>
    <w:lvl w:ilvl="1" w:tplc="0470783A">
      <w:start w:val="1"/>
      <w:numFmt w:val="lowerLetter"/>
      <w:lvlText w:val="(%2)"/>
      <w:lvlJc w:val="left"/>
      <w:pPr>
        <w:ind w:left="2574" w:hanging="360"/>
      </w:pPr>
      <w:rPr>
        <w:rFonts w:hint="default"/>
      </w:r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4"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75" w15:restartNumberingAfterBreak="0">
    <w:nsid w:val="6C2A528C"/>
    <w:multiLevelType w:val="hybridMultilevel"/>
    <w:tmpl w:val="E1D2AF82"/>
    <w:lvl w:ilvl="0" w:tplc="55E0F6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FF01D67"/>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7" w15:restartNumberingAfterBreak="0">
    <w:nsid w:val="70EB2DDB"/>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8" w15:restartNumberingAfterBreak="0">
    <w:nsid w:val="71312B98"/>
    <w:multiLevelType w:val="hybridMultilevel"/>
    <w:tmpl w:val="171A995A"/>
    <w:lvl w:ilvl="0" w:tplc="060C742C">
      <w:start w:val="4"/>
      <w:numFmt w:val="lowerRoman"/>
      <w:lvlText w:val="(%1)"/>
      <w:lvlJc w:val="left"/>
      <w:pPr>
        <w:ind w:left="3556" w:hanging="720"/>
      </w:pPr>
      <w:rPr>
        <w:rFonts w:hint="default"/>
      </w:rPr>
    </w:lvl>
    <w:lvl w:ilvl="1" w:tplc="0C090019">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79" w15:restartNumberingAfterBreak="0">
    <w:nsid w:val="760F7437"/>
    <w:multiLevelType w:val="hybridMultilevel"/>
    <w:tmpl w:val="46D83158"/>
    <w:lvl w:ilvl="0" w:tplc="73F618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EA6E03"/>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1" w15:restartNumberingAfterBreak="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2D57D5"/>
    <w:multiLevelType w:val="multilevel"/>
    <w:tmpl w:val="FF82C70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836"/>
        </w:tabs>
        <w:ind w:left="283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num w:numId="1">
    <w:abstractNumId w:val="43"/>
  </w:num>
  <w:num w:numId="2">
    <w:abstractNumId w:val="39"/>
  </w:num>
  <w:num w:numId="3">
    <w:abstractNumId w:val="74"/>
  </w:num>
  <w:num w:numId="4">
    <w:abstractNumId w:val="72"/>
  </w:num>
  <w:num w:numId="5">
    <w:abstractNumId w:val="8"/>
  </w:num>
  <w:num w:numId="6">
    <w:abstractNumId w:val="68"/>
  </w:num>
  <w:num w:numId="7">
    <w:abstractNumId w:val="36"/>
  </w:num>
  <w:num w:numId="8">
    <w:abstractNumId w:val="26"/>
  </w:num>
  <w:num w:numId="9">
    <w:abstractNumId w:val="81"/>
  </w:num>
  <w:num w:numId="10">
    <w:abstractNumId w:val="58"/>
  </w:num>
  <w:num w:numId="11">
    <w:abstractNumId w:val="66"/>
  </w:num>
  <w:num w:numId="12">
    <w:abstractNumId w:val="4"/>
  </w:num>
  <w:num w:numId="13">
    <w:abstractNumId w:val="26"/>
  </w:num>
  <w:num w:numId="14">
    <w:abstractNumId w:val="26"/>
  </w:num>
  <w:num w:numId="15">
    <w:abstractNumId w:val="26"/>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3"/>
  </w:num>
  <w:num w:numId="20">
    <w:abstractNumId w:val="2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836"/>
          </w:tabs>
          <w:ind w:left="2836"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51"/>
  </w:num>
  <w:num w:numId="34">
    <w:abstractNumId w:val="23"/>
  </w:num>
  <w:num w:numId="35">
    <w:abstractNumId w:val="71"/>
  </w:num>
  <w:num w:numId="36">
    <w:abstractNumId w:val="55"/>
  </w:num>
  <w:num w:numId="37">
    <w:abstractNumId w:val="3"/>
  </w:num>
  <w:num w:numId="38">
    <w:abstractNumId w:val="30"/>
  </w:num>
  <w:num w:numId="39">
    <w:abstractNumId w:val="27"/>
  </w:num>
  <w:num w:numId="40">
    <w:abstractNumId w:val="47"/>
  </w:num>
  <w:num w:numId="41">
    <w:abstractNumId w:val="73"/>
  </w:num>
  <w:num w:numId="42">
    <w:abstractNumId w:val="40"/>
  </w:num>
  <w:num w:numId="43">
    <w:abstractNumId w:val="59"/>
  </w:num>
  <w:num w:numId="44">
    <w:abstractNumId w:val="18"/>
  </w:num>
  <w:num w:numId="45">
    <w:abstractNumId w:val="56"/>
  </w:num>
  <w:num w:numId="46">
    <w:abstractNumId w:val="54"/>
  </w:num>
  <w:num w:numId="47">
    <w:abstractNumId w:val="9"/>
  </w:num>
  <w:num w:numId="48">
    <w:abstractNumId w:val="37"/>
  </w:num>
  <w:num w:numId="49">
    <w:abstractNumId w:val="41"/>
  </w:num>
  <w:num w:numId="50">
    <w:abstractNumId w:val="1"/>
  </w:num>
  <w:num w:numId="51">
    <w:abstractNumId w:val="44"/>
  </w:num>
  <w:num w:numId="52">
    <w:abstractNumId w:val="42"/>
  </w:num>
  <w:num w:numId="53">
    <w:abstractNumId w:val="14"/>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35"/>
  </w:num>
  <w:num w:numId="57">
    <w:abstractNumId w:val="76"/>
  </w:num>
  <w:num w:numId="58">
    <w:abstractNumId w:val="82"/>
  </w:num>
  <w:num w:numId="59">
    <w:abstractNumId w:val="34"/>
  </w:num>
  <w:num w:numId="60">
    <w:abstractNumId w:val="64"/>
  </w:num>
  <w:num w:numId="61">
    <w:abstractNumId w:val="25"/>
  </w:num>
  <w:num w:numId="62">
    <w:abstractNumId w:val="2"/>
  </w:num>
  <w:num w:numId="63">
    <w:abstractNumId w:val="22"/>
  </w:num>
  <w:num w:numId="64">
    <w:abstractNumId w:val="78"/>
  </w:num>
  <w:num w:numId="65">
    <w:abstractNumId w:val="16"/>
  </w:num>
  <w:num w:numId="66">
    <w:abstractNumId w:val="20"/>
  </w:num>
  <w:num w:numId="67">
    <w:abstractNumId w:val="6"/>
  </w:num>
  <w:num w:numId="68">
    <w:abstractNumId w:val="65"/>
  </w:num>
  <w:num w:numId="69">
    <w:abstractNumId w:val="62"/>
  </w:num>
  <w:num w:numId="70">
    <w:abstractNumId w:val="7"/>
  </w:num>
  <w:num w:numId="71">
    <w:abstractNumId w:val="2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836"/>
          </w:tabs>
          <w:ind w:left="2836" w:hanging="425"/>
        </w:pPr>
        <w:rPr>
          <w:rFonts w:hint="default"/>
          <w:b w:val="0"/>
          <w:i w:val="0"/>
          <w:color w:val="auto"/>
          <w:sz w:val="18"/>
          <w:szCs w:val="18"/>
        </w:rPr>
      </w:lvl>
    </w:lvlOverride>
    <w:lvlOverride w:ilvl="2">
      <w:lvl w:ilvl="2">
        <w:start w:val="1"/>
        <w:numFmt w:val="lowerRoman"/>
        <w:pStyle w:val="subsubparai"/>
        <w:lvlText w:val="(%3)"/>
        <w:lvlJc w:val="left"/>
        <w:pPr>
          <w:tabs>
            <w:tab w:val="num" w:pos="3402"/>
          </w:tabs>
          <w:ind w:left="3402" w:hanging="567"/>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827"/>
          </w:tabs>
          <w:ind w:left="3827" w:hanging="425"/>
        </w:pPr>
        <w:rPr>
          <w:rFonts w:hint="default"/>
          <w:sz w:val="16"/>
          <w:szCs w:val="16"/>
        </w:rPr>
      </w:lvl>
    </w:lvlOverride>
    <w:lvlOverride w:ilvl="4">
      <w:lvl w:ilvl="4">
        <w:start w:val="1"/>
        <w:numFmt w:val="upperRoman"/>
        <w:pStyle w:val="sub4paraI"/>
        <w:lvlText w:val="(%5)"/>
        <w:lvlJc w:val="left"/>
        <w:pPr>
          <w:tabs>
            <w:tab w:val="num" w:pos="4253"/>
          </w:tabs>
          <w:ind w:left="4253" w:hanging="426"/>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72">
    <w:abstractNumId w:val="5"/>
  </w:num>
  <w:num w:numId="73">
    <w:abstractNumId w:val="21"/>
  </w:num>
  <w:num w:numId="74">
    <w:abstractNumId w:val="53"/>
  </w:num>
  <w:num w:numId="75">
    <w:abstractNumId w:val="67"/>
  </w:num>
  <w:num w:numId="76">
    <w:abstractNumId w:val="70"/>
  </w:num>
  <w:num w:numId="77">
    <w:abstractNumId w:val="77"/>
  </w:num>
  <w:num w:numId="78">
    <w:abstractNumId w:val="61"/>
  </w:num>
  <w:num w:numId="79">
    <w:abstractNumId w:val="57"/>
  </w:num>
  <w:num w:numId="80">
    <w:abstractNumId w:val="69"/>
  </w:num>
  <w:num w:numId="81">
    <w:abstractNumId w:val="24"/>
  </w:num>
  <w:num w:numId="82">
    <w:abstractNumId w:val="75"/>
  </w:num>
  <w:num w:numId="83">
    <w:abstractNumId w:val="45"/>
  </w:num>
  <w:num w:numId="84">
    <w:abstractNumId w:val="63"/>
  </w:num>
  <w:num w:numId="85">
    <w:abstractNumId w:val="15"/>
  </w:num>
  <w:num w:numId="86">
    <w:abstractNumId w:val="52"/>
  </w:num>
  <w:num w:numId="87">
    <w:abstractNumId w:val="48"/>
  </w:num>
  <w:num w:numId="88">
    <w:abstractNumId w:val="46"/>
  </w:num>
  <w:num w:numId="89">
    <w:abstractNumId w:val="49"/>
  </w:num>
  <w:num w:numId="90">
    <w:abstractNumId w:val="79"/>
  </w:num>
  <w:num w:numId="91">
    <w:abstractNumId w:val="12"/>
  </w:num>
  <w:num w:numId="92">
    <w:abstractNumId w:val="26"/>
  </w:num>
  <w:num w:numId="93">
    <w:abstractNumId w:val="58"/>
  </w:num>
  <w:num w:numId="94">
    <w:abstractNumId w:val="4"/>
  </w:num>
  <w:num w:numId="95">
    <w:abstractNumId w:val="36"/>
  </w:num>
  <w:num w:numId="96">
    <w:abstractNumId w:val="36"/>
  </w:num>
  <w:num w:numId="97">
    <w:abstractNumId w:val="36"/>
  </w:num>
  <w:num w:numId="98">
    <w:abstractNumId w:val="36"/>
  </w:num>
  <w:num w:numId="99">
    <w:abstractNumId w:val="68"/>
  </w:num>
  <w:num w:numId="100">
    <w:abstractNumId w:val="72"/>
  </w:num>
  <w:num w:numId="101">
    <w:abstractNumId w:val="66"/>
  </w:num>
  <w:num w:numId="102">
    <w:abstractNumId w:val="43"/>
  </w:num>
  <w:num w:numId="103">
    <w:abstractNumId w:val="43"/>
  </w:num>
  <w:num w:numId="104">
    <w:abstractNumId w:val="36"/>
  </w:num>
  <w:num w:numId="105">
    <w:abstractNumId w:val="36"/>
  </w:num>
  <w:num w:numId="106">
    <w:abstractNumId w:val="36"/>
  </w:num>
  <w:num w:numId="107">
    <w:abstractNumId w:val="26"/>
  </w:num>
  <w:num w:numId="108">
    <w:abstractNumId w:val="26"/>
  </w:num>
  <w:num w:numId="109">
    <w:abstractNumId w:val="26"/>
  </w:num>
  <w:num w:numId="110">
    <w:abstractNumId w:val="26"/>
  </w:num>
  <w:num w:numId="111">
    <w:abstractNumId w:val="39"/>
  </w:num>
  <w:num w:numId="112">
    <w:abstractNumId w:val="8"/>
  </w:num>
  <w:num w:numId="113">
    <w:abstractNumId w:val="2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14">
    <w:abstractNumId w:val="32"/>
  </w:num>
  <w:num w:numId="115">
    <w:abstractNumId w:val="39"/>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num>
  <w:num w:numId="124">
    <w:abstractNumId w:val="60"/>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9"/>
  </w:num>
  <w:num w:numId="127">
    <w:abstractNumId w:val="50"/>
  </w:num>
  <w:num w:numId="128">
    <w:abstractNumId w:val="0"/>
  </w:num>
  <w:num w:numId="129">
    <w:abstractNumId w:val="17"/>
  </w:num>
  <w:num w:numId="130">
    <w:abstractNumId w:val="2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236545">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5A"/>
    <w:rsid w:val="00000BE7"/>
    <w:rsid w:val="00001801"/>
    <w:rsid w:val="000027FA"/>
    <w:rsid w:val="0000290F"/>
    <w:rsid w:val="000049DD"/>
    <w:rsid w:val="00005A1B"/>
    <w:rsid w:val="00005A2D"/>
    <w:rsid w:val="0000707A"/>
    <w:rsid w:val="000073EC"/>
    <w:rsid w:val="000074BA"/>
    <w:rsid w:val="00007DF9"/>
    <w:rsid w:val="00010421"/>
    <w:rsid w:val="0001091D"/>
    <w:rsid w:val="00010B17"/>
    <w:rsid w:val="000111E3"/>
    <w:rsid w:val="000113D3"/>
    <w:rsid w:val="0001189A"/>
    <w:rsid w:val="000122F5"/>
    <w:rsid w:val="00013B8D"/>
    <w:rsid w:val="00013D3F"/>
    <w:rsid w:val="0001409E"/>
    <w:rsid w:val="0001468E"/>
    <w:rsid w:val="00014789"/>
    <w:rsid w:val="00014A97"/>
    <w:rsid w:val="00015007"/>
    <w:rsid w:val="0001516D"/>
    <w:rsid w:val="00015267"/>
    <w:rsid w:val="00015C21"/>
    <w:rsid w:val="0001612A"/>
    <w:rsid w:val="00016BCB"/>
    <w:rsid w:val="0001790E"/>
    <w:rsid w:val="00017C8F"/>
    <w:rsid w:val="00020635"/>
    <w:rsid w:val="00020901"/>
    <w:rsid w:val="00020D58"/>
    <w:rsid w:val="00021DEF"/>
    <w:rsid w:val="00022130"/>
    <w:rsid w:val="00022850"/>
    <w:rsid w:val="00022C3B"/>
    <w:rsid w:val="00022E7A"/>
    <w:rsid w:val="00023B60"/>
    <w:rsid w:val="00023EF3"/>
    <w:rsid w:val="000248D6"/>
    <w:rsid w:val="0002521C"/>
    <w:rsid w:val="000268E8"/>
    <w:rsid w:val="00026A55"/>
    <w:rsid w:val="00027312"/>
    <w:rsid w:val="00031D4A"/>
    <w:rsid w:val="0003202D"/>
    <w:rsid w:val="00032863"/>
    <w:rsid w:val="0003295C"/>
    <w:rsid w:val="00032BC2"/>
    <w:rsid w:val="00033A2C"/>
    <w:rsid w:val="0003429A"/>
    <w:rsid w:val="00035130"/>
    <w:rsid w:val="000351D6"/>
    <w:rsid w:val="000355DF"/>
    <w:rsid w:val="00035B0C"/>
    <w:rsid w:val="00035BA6"/>
    <w:rsid w:val="00035E90"/>
    <w:rsid w:val="00037460"/>
    <w:rsid w:val="00037C74"/>
    <w:rsid w:val="00040177"/>
    <w:rsid w:val="00040266"/>
    <w:rsid w:val="0004031A"/>
    <w:rsid w:val="00040B06"/>
    <w:rsid w:val="000417F1"/>
    <w:rsid w:val="0004189A"/>
    <w:rsid w:val="00041F7A"/>
    <w:rsid w:val="00042470"/>
    <w:rsid w:val="000424F1"/>
    <w:rsid w:val="00042D52"/>
    <w:rsid w:val="000431FD"/>
    <w:rsid w:val="00043E41"/>
    <w:rsid w:val="0004456B"/>
    <w:rsid w:val="000455B9"/>
    <w:rsid w:val="00045B22"/>
    <w:rsid w:val="00045D98"/>
    <w:rsid w:val="00045EAC"/>
    <w:rsid w:val="00046D99"/>
    <w:rsid w:val="0004706C"/>
    <w:rsid w:val="00047DB4"/>
    <w:rsid w:val="0005037E"/>
    <w:rsid w:val="00050F6E"/>
    <w:rsid w:val="00051547"/>
    <w:rsid w:val="000520BA"/>
    <w:rsid w:val="00052200"/>
    <w:rsid w:val="00052385"/>
    <w:rsid w:val="00052CE7"/>
    <w:rsid w:val="000530A4"/>
    <w:rsid w:val="00055150"/>
    <w:rsid w:val="00055479"/>
    <w:rsid w:val="0005598D"/>
    <w:rsid w:val="000563A7"/>
    <w:rsid w:val="0006104A"/>
    <w:rsid w:val="0006107D"/>
    <w:rsid w:val="000614FC"/>
    <w:rsid w:val="000616EC"/>
    <w:rsid w:val="00061AE6"/>
    <w:rsid w:val="00063621"/>
    <w:rsid w:val="0006380C"/>
    <w:rsid w:val="00063BBD"/>
    <w:rsid w:val="00064F37"/>
    <w:rsid w:val="00065132"/>
    <w:rsid w:val="00065E3D"/>
    <w:rsid w:val="00066D2D"/>
    <w:rsid w:val="00070EE3"/>
    <w:rsid w:val="000711A1"/>
    <w:rsid w:val="0007183B"/>
    <w:rsid w:val="000718F5"/>
    <w:rsid w:val="00071E5C"/>
    <w:rsid w:val="000729D0"/>
    <w:rsid w:val="00072B1C"/>
    <w:rsid w:val="00073334"/>
    <w:rsid w:val="00073A63"/>
    <w:rsid w:val="00074C24"/>
    <w:rsid w:val="00075581"/>
    <w:rsid w:val="00075F3C"/>
    <w:rsid w:val="0007656B"/>
    <w:rsid w:val="00076BFC"/>
    <w:rsid w:val="00077A69"/>
    <w:rsid w:val="0008120C"/>
    <w:rsid w:val="00081B92"/>
    <w:rsid w:val="00082FD6"/>
    <w:rsid w:val="000830F7"/>
    <w:rsid w:val="00083408"/>
    <w:rsid w:val="000834D8"/>
    <w:rsid w:val="0008358D"/>
    <w:rsid w:val="00084178"/>
    <w:rsid w:val="00084B74"/>
    <w:rsid w:val="00085E99"/>
    <w:rsid w:val="0008679E"/>
    <w:rsid w:val="00086B78"/>
    <w:rsid w:val="00086F6D"/>
    <w:rsid w:val="00087052"/>
    <w:rsid w:val="00087222"/>
    <w:rsid w:val="00090D56"/>
    <w:rsid w:val="0009216B"/>
    <w:rsid w:val="00092DEC"/>
    <w:rsid w:val="0009352A"/>
    <w:rsid w:val="00093DB9"/>
    <w:rsid w:val="000942EE"/>
    <w:rsid w:val="00094669"/>
    <w:rsid w:val="000946AD"/>
    <w:rsid w:val="00094E08"/>
    <w:rsid w:val="00094FE1"/>
    <w:rsid w:val="00095C68"/>
    <w:rsid w:val="00096565"/>
    <w:rsid w:val="000968B4"/>
    <w:rsid w:val="000969FF"/>
    <w:rsid w:val="00096FD5"/>
    <w:rsid w:val="00097838"/>
    <w:rsid w:val="00097C49"/>
    <w:rsid w:val="000A0531"/>
    <w:rsid w:val="000A07DB"/>
    <w:rsid w:val="000A32F5"/>
    <w:rsid w:val="000A419D"/>
    <w:rsid w:val="000A49C9"/>
    <w:rsid w:val="000A4F7C"/>
    <w:rsid w:val="000A4F97"/>
    <w:rsid w:val="000A51B9"/>
    <w:rsid w:val="000A61D7"/>
    <w:rsid w:val="000A719A"/>
    <w:rsid w:val="000A767A"/>
    <w:rsid w:val="000A7E01"/>
    <w:rsid w:val="000B0195"/>
    <w:rsid w:val="000B07E6"/>
    <w:rsid w:val="000B0864"/>
    <w:rsid w:val="000B0CEE"/>
    <w:rsid w:val="000B1318"/>
    <w:rsid w:val="000B1B72"/>
    <w:rsid w:val="000B1CB3"/>
    <w:rsid w:val="000B2055"/>
    <w:rsid w:val="000B20D2"/>
    <w:rsid w:val="000B34D3"/>
    <w:rsid w:val="000B3836"/>
    <w:rsid w:val="000B39FA"/>
    <w:rsid w:val="000B4357"/>
    <w:rsid w:val="000B4A80"/>
    <w:rsid w:val="000B50D0"/>
    <w:rsid w:val="000B5ADB"/>
    <w:rsid w:val="000B67FC"/>
    <w:rsid w:val="000B6DF3"/>
    <w:rsid w:val="000B72C5"/>
    <w:rsid w:val="000B7FBA"/>
    <w:rsid w:val="000C0155"/>
    <w:rsid w:val="000C08CC"/>
    <w:rsid w:val="000C0BFF"/>
    <w:rsid w:val="000C0C92"/>
    <w:rsid w:val="000C0CD6"/>
    <w:rsid w:val="000C0DA8"/>
    <w:rsid w:val="000C1280"/>
    <w:rsid w:val="000C1473"/>
    <w:rsid w:val="000C1747"/>
    <w:rsid w:val="000C1875"/>
    <w:rsid w:val="000C1B8C"/>
    <w:rsid w:val="000C303E"/>
    <w:rsid w:val="000C324A"/>
    <w:rsid w:val="000C3765"/>
    <w:rsid w:val="000C3A18"/>
    <w:rsid w:val="000C3B49"/>
    <w:rsid w:val="000C497B"/>
    <w:rsid w:val="000C4B56"/>
    <w:rsid w:val="000C4D2A"/>
    <w:rsid w:val="000C4EDE"/>
    <w:rsid w:val="000C66C6"/>
    <w:rsid w:val="000C6768"/>
    <w:rsid w:val="000C6F76"/>
    <w:rsid w:val="000C71B7"/>
    <w:rsid w:val="000C74AC"/>
    <w:rsid w:val="000C7915"/>
    <w:rsid w:val="000D08FC"/>
    <w:rsid w:val="000D13CC"/>
    <w:rsid w:val="000D1923"/>
    <w:rsid w:val="000D251E"/>
    <w:rsid w:val="000D3832"/>
    <w:rsid w:val="000D38BC"/>
    <w:rsid w:val="000D3BB0"/>
    <w:rsid w:val="000D3EE5"/>
    <w:rsid w:val="000D42DE"/>
    <w:rsid w:val="000D4577"/>
    <w:rsid w:val="000D50AE"/>
    <w:rsid w:val="000D5381"/>
    <w:rsid w:val="000D59A9"/>
    <w:rsid w:val="000D6CD5"/>
    <w:rsid w:val="000E0136"/>
    <w:rsid w:val="000E0234"/>
    <w:rsid w:val="000E02B6"/>
    <w:rsid w:val="000E0648"/>
    <w:rsid w:val="000E16F0"/>
    <w:rsid w:val="000E1B18"/>
    <w:rsid w:val="000E2032"/>
    <w:rsid w:val="000E223E"/>
    <w:rsid w:val="000E317C"/>
    <w:rsid w:val="000E31E8"/>
    <w:rsid w:val="000E3255"/>
    <w:rsid w:val="000E370F"/>
    <w:rsid w:val="000E42B6"/>
    <w:rsid w:val="000E4460"/>
    <w:rsid w:val="000E47B6"/>
    <w:rsid w:val="000E56E2"/>
    <w:rsid w:val="000E64C7"/>
    <w:rsid w:val="000E7FF4"/>
    <w:rsid w:val="000F0369"/>
    <w:rsid w:val="000F0CA9"/>
    <w:rsid w:val="000F130B"/>
    <w:rsid w:val="000F1F88"/>
    <w:rsid w:val="000F2572"/>
    <w:rsid w:val="000F30D0"/>
    <w:rsid w:val="000F3351"/>
    <w:rsid w:val="000F3A68"/>
    <w:rsid w:val="000F46A7"/>
    <w:rsid w:val="000F4BDD"/>
    <w:rsid w:val="000F5755"/>
    <w:rsid w:val="000F5F83"/>
    <w:rsid w:val="000F605A"/>
    <w:rsid w:val="000F60A0"/>
    <w:rsid w:val="000F68FF"/>
    <w:rsid w:val="000F6BC1"/>
    <w:rsid w:val="00101ED5"/>
    <w:rsid w:val="001023FC"/>
    <w:rsid w:val="00102DBA"/>
    <w:rsid w:val="00102E05"/>
    <w:rsid w:val="0010342C"/>
    <w:rsid w:val="0010355D"/>
    <w:rsid w:val="00103669"/>
    <w:rsid w:val="00104255"/>
    <w:rsid w:val="001052C5"/>
    <w:rsid w:val="001053B6"/>
    <w:rsid w:val="001058D4"/>
    <w:rsid w:val="00105F49"/>
    <w:rsid w:val="00106471"/>
    <w:rsid w:val="001068A7"/>
    <w:rsid w:val="0010728E"/>
    <w:rsid w:val="001077FF"/>
    <w:rsid w:val="00110657"/>
    <w:rsid w:val="001108FC"/>
    <w:rsid w:val="0011092E"/>
    <w:rsid w:val="00110DE3"/>
    <w:rsid w:val="001113F5"/>
    <w:rsid w:val="00111A25"/>
    <w:rsid w:val="001120C6"/>
    <w:rsid w:val="00112650"/>
    <w:rsid w:val="001139CA"/>
    <w:rsid w:val="001142E2"/>
    <w:rsid w:val="00115957"/>
    <w:rsid w:val="00116565"/>
    <w:rsid w:val="00116A9F"/>
    <w:rsid w:val="00116B52"/>
    <w:rsid w:val="00116FEE"/>
    <w:rsid w:val="001170D3"/>
    <w:rsid w:val="001170F0"/>
    <w:rsid w:val="00117AAC"/>
    <w:rsid w:val="00117B95"/>
    <w:rsid w:val="00120559"/>
    <w:rsid w:val="00121349"/>
    <w:rsid w:val="00122DE4"/>
    <w:rsid w:val="00123177"/>
    <w:rsid w:val="001233C4"/>
    <w:rsid w:val="00124735"/>
    <w:rsid w:val="00126020"/>
    <w:rsid w:val="00127184"/>
    <w:rsid w:val="00127724"/>
    <w:rsid w:val="00127A4B"/>
    <w:rsid w:val="00127B02"/>
    <w:rsid w:val="00127F87"/>
    <w:rsid w:val="001302F8"/>
    <w:rsid w:val="00130808"/>
    <w:rsid w:val="00130C34"/>
    <w:rsid w:val="00131BA9"/>
    <w:rsid w:val="0013228A"/>
    <w:rsid w:val="00133C4D"/>
    <w:rsid w:val="0013405B"/>
    <w:rsid w:val="00134B71"/>
    <w:rsid w:val="0013632C"/>
    <w:rsid w:val="0013670B"/>
    <w:rsid w:val="001368D7"/>
    <w:rsid w:val="00136CCE"/>
    <w:rsid w:val="00137EC1"/>
    <w:rsid w:val="00140ECA"/>
    <w:rsid w:val="001417A5"/>
    <w:rsid w:val="00141CD8"/>
    <w:rsid w:val="00142779"/>
    <w:rsid w:val="00142802"/>
    <w:rsid w:val="0014372F"/>
    <w:rsid w:val="001456FB"/>
    <w:rsid w:val="00145CA1"/>
    <w:rsid w:val="00145CCB"/>
    <w:rsid w:val="00145F97"/>
    <w:rsid w:val="00145FCF"/>
    <w:rsid w:val="001467E7"/>
    <w:rsid w:val="001469FB"/>
    <w:rsid w:val="00146B76"/>
    <w:rsid w:val="00146B7C"/>
    <w:rsid w:val="00146F85"/>
    <w:rsid w:val="00147100"/>
    <w:rsid w:val="0014710F"/>
    <w:rsid w:val="00147190"/>
    <w:rsid w:val="001475BE"/>
    <w:rsid w:val="0014771C"/>
    <w:rsid w:val="0014794B"/>
    <w:rsid w:val="00150081"/>
    <w:rsid w:val="0015057A"/>
    <w:rsid w:val="00151205"/>
    <w:rsid w:val="00151845"/>
    <w:rsid w:val="00153346"/>
    <w:rsid w:val="001537FD"/>
    <w:rsid w:val="00153DCE"/>
    <w:rsid w:val="00153E5E"/>
    <w:rsid w:val="00154737"/>
    <w:rsid w:val="0015483A"/>
    <w:rsid w:val="00155331"/>
    <w:rsid w:val="0015561A"/>
    <w:rsid w:val="001557D5"/>
    <w:rsid w:val="00155BA4"/>
    <w:rsid w:val="0015611A"/>
    <w:rsid w:val="00156843"/>
    <w:rsid w:val="001568D5"/>
    <w:rsid w:val="001569FE"/>
    <w:rsid w:val="00157880"/>
    <w:rsid w:val="00157961"/>
    <w:rsid w:val="00157A78"/>
    <w:rsid w:val="00160E39"/>
    <w:rsid w:val="00161380"/>
    <w:rsid w:val="00161481"/>
    <w:rsid w:val="00161792"/>
    <w:rsid w:val="00161C8F"/>
    <w:rsid w:val="001624E4"/>
    <w:rsid w:val="001625C3"/>
    <w:rsid w:val="00162B63"/>
    <w:rsid w:val="00163F99"/>
    <w:rsid w:val="00164320"/>
    <w:rsid w:val="001645ED"/>
    <w:rsid w:val="00164D7B"/>
    <w:rsid w:val="00165553"/>
    <w:rsid w:val="001679D9"/>
    <w:rsid w:val="00167BBB"/>
    <w:rsid w:val="00167D3A"/>
    <w:rsid w:val="0017009D"/>
    <w:rsid w:val="001712D6"/>
    <w:rsid w:val="001726A1"/>
    <w:rsid w:val="001742C7"/>
    <w:rsid w:val="00174832"/>
    <w:rsid w:val="00174862"/>
    <w:rsid w:val="00174ECF"/>
    <w:rsid w:val="00175333"/>
    <w:rsid w:val="001758B7"/>
    <w:rsid w:val="00175C85"/>
    <w:rsid w:val="00175F8B"/>
    <w:rsid w:val="001762DF"/>
    <w:rsid w:val="00176BEB"/>
    <w:rsid w:val="00177604"/>
    <w:rsid w:val="00177B5A"/>
    <w:rsid w:val="00177C7E"/>
    <w:rsid w:val="001816BA"/>
    <w:rsid w:val="001818E5"/>
    <w:rsid w:val="00181CA8"/>
    <w:rsid w:val="00182EB1"/>
    <w:rsid w:val="00183335"/>
    <w:rsid w:val="001833CB"/>
    <w:rsid w:val="001835BB"/>
    <w:rsid w:val="001836EF"/>
    <w:rsid w:val="00183829"/>
    <w:rsid w:val="0018383B"/>
    <w:rsid w:val="0018395F"/>
    <w:rsid w:val="00183B8A"/>
    <w:rsid w:val="001846FE"/>
    <w:rsid w:val="00184C30"/>
    <w:rsid w:val="00184FD5"/>
    <w:rsid w:val="001854A8"/>
    <w:rsid w:val="00185583"/>
    <w:rsid w:val="00185687"/>
    <w:rsid w:val="00185CF3"/>
    <w:rsid w:val="001861D0"/>
    <w:rsid w:val="0018706B"/>
    <w:rsid w:val="001870AC"/>
    <w:rsid w:val="001875E7"/>
    <w:rsid w:val="00187615"/>
    <w:rsid w:val="001876B3"/>
    <w:rsid w:val="00187EA5"/>
    <w:rsid w:val="0019042E"/>
    <w:rsid w:val="00191ED8"/>
    <w:rsid w:val="00192D74"/>
    <w:rsid w:val="001932CD"/>
    <w:rsid w:val="00193312"/>
    <w:rsid w:val="00193393"/>
    <w:rsid w:val="00193985"/>
    <w:rsid w:val="00193CE9"/>
    <w:rsid w:val="0019459A"/>
    <w:rsid w:val="00195A8F"/>
    <w:rsid w:val="00196555"/>
    <w:rsid w:val="00196655"/>
    <w:rsid w:val="00196B87"/>
    <w:rsid w:val="001A0799"/>
    <w:rsid w:val="001A07AB"/>
    <w:rsid w:val="001A0AF7"/>
    <w:rsid w:val="001A0B04"/>
    <w:rsid w:val="001A1584"/>
    <w:rsid w:val="001A230C"/>
    <w:rsid w:val="001A23AB"/>
    <w:rsid w:val="001A49DD"/>
    <w:rsid w:val="001A5ABD"/>
    <w:rsid w:val="001A5BBC"/>
    <w:rsid w:val="001A600A"/>
    <w:rsid w:val="001A62AA"/>
    <w:rsid w:val="001A63BF"/>
    <w:rsid w:val="001A6EA3"/>
    <w:rsid w:val="001B0F78"/>
    <w:rsid w:val="001B1073"/>
    <w:rsid w:val="001B10CE"/>
    <w:rsid w:val="001B3050"/>
    <w:rsid w:val="001B3916"/>
    <w:rsid w:val="001B4350"/>
    <w:rsid w:val="001B4F42"/>
    <w:rsid w:val="001B507F"/>
    <w:rsid w:val="001B6434"/>
    <w:rsid w:val="001B65C0"/>
    <w:rsid w:val="001B682E"/>
    <w:rsid w:val="001B6F5E"/>
    <w:rsid w:val="001B7CBF"/>
    <w:rsid w:val="001C0398"/>
    <w:rsid w:val="001C06F4"/>
    <w:rsid w:val="001C100D"/>
    <w:rsid w:val="001C167E"/>
    <w:rsid w:val="001C204A"/>
    <w:rsid w:val="001C209D"/>
    <w:rsid w:val="001C2288"/>
    <w:rsid w:val="001C26B3"/>
    <w:rsid w:val="001C31CF"/>
    <w:rsid w:val="001C40F7"/>
    <w:rsid w:val="001C4122"/>
    <w:rsid w:val="001C4273"/>
    <w:rsid w:val="001C566D"/>
    <w:rsid w:val="001C6FC5"/>
    <w:rsid w:val="001D1CD9"/>
    <w:rsid w:val="001D2252"/>
    <w:rsid w:val="001D231C"/>
    <w:rsid w:val="001D322F"/>
    <w:rsid w:val="001D356C"/>
    <w:rsid w:val="001D3CE6"/>
    <w:rsid w:val="001D4438"/>
    <w:rsid w:val="001D5629"/>
    <w:rsid w:val="001D5A9B"/>
    <w:rsid w:val="001D5B44"/>
    <w:rsid w:val="001D6DAA"/>
    <w:rsid w:val="001D6DBA"/>
    <w:rsid w:val="001D7A07"/>
    <w:rsid w:val="001D7AE1"/>
    <w:rsid w:val="001E0619"/>
    <w:rsid w:val="001E0EB8"/>
    <w:rsid w:val="001E1114"/>
    <w:rsid w:val="001E2D48"/>
    <w:rsid w:val="001E4AFE"/>
    <w:rsid w:val="001E4D5D"/>
    <w:rsid w:val="001E4E5C"/>
    <w:rsid w:val="001E526D"/>
    <w:rsid w:val="001E57D0"/>
    <w:rsid w:val="001E6530"/>
    <w:rsid w:val="001E6CB2"/>
    <w:rsid w:val="001E7091"/>
    <w:rsid w:val="001E7127"/>
    <w:rsid w:val="001E747C"/>
    <w:rsid w:val="001E764B"/>
    <w:rsid w:val="001F153C"/>
    <w:rsid w:val="001F15FE"/>
    <w:rsid w:val="001F20CC"/>
    <w:rsid w:val="001F2889"/>
    <w:rsid w:val="001F30DF"/>
    <w:rsid w:val="001F3CFA"/>
    <w:rsid w:val="001F3E56"/>
    <w:rsid w:val="001F4776"/>
    <w:rsid w:val="001F47CB"/>
    <w:rsid w:val="001F4D3A"/>
    <w:rsid w:val="001F4EB5"/>
    <w:rsid w:val="001F5300"/>
    <w:rsid w:val="001F543B"/>
    <w:rsid w:val="001F6365"/>
    <w:rsid w:val="001F642F"/>
    <w:rsid w:val="001F762E"/>
    <w:rsid w:val="001F7745"/>
    <w:rsid w:val="002017E2"/>
    <w:rsid w:val="00201B20"/>
    <w:rsid w:val="00201CFC"/>
    <w:rsid w:val="00202804"/>
    <w:rsid w:val="00203243"/>
    <w:rsid w:val="00203698"/>
    <w:rsid w:val="00204340"/>
    <w:rsid w:val="00204552"/>
    <w:rsid w:val="00204B02"/>
    <w:rsid w:val="002056B2"/>
    <w:rsid w:val="0020739F"/>
    <w:rsid w:val="002074D1"/>
    <w:rsid w:val="00207B56"/>
    <w:rsid w:val="00207F66"/>
    <w:rsid w:val="00207F78"/>
    <w:rsid w:val="00210305"/>
    <w:rsid w:val="0021034C"/>
    <w:rsid w:val="00210921"/>
    <w:rsid w:val="00210E33"/>
    <w:rsid w:val="00210ECB"/>
    <w:rsid w:val="00212273"/>
    <w:rsid w:val="0021283F"/>
    <w:rsid w:val="0021313D"/>
    <w:rsid w:val="002134D4"/>
    <w:rsid w:val="002136DC"/>
    <w:rsid w:val="00213854"/>
    <w:rsid w:val="00213B85"/>
    <w:rsid w:val="0021580A"/>
    <w:rsid w:val="00215E73"/>
    <w:rsid w:val="00215F53"/>
    <w:rsid w:val="00216A91"/>
    <w:rsid w:val="002179AF"/>
    <w:rsid w:val="00217D1D"/>
    <w:rsid w:val="00220760"/>
    <w:rsid w:val="00220C41"/>
    <w:rsid w:val="00220EED"/>
    <w:rsid w:val="00222682"/>
    <w:rsid w:val="00222C03"/>
    <w:rsid w:val="002233EF"/>
    <w:rsid w:val="0022484A"/>
    <w:rsid w:val="00224CE8"/>
    <w:rsid w:val="00225C2D"/>
    <w:rsid w:val="00225D6A"/>
    <w:rsid w:val="00226649"/>
    <w:rsid w:val="00226FCA"/>
    <w:rsid w:val="00227503"/>
    <w:rsid w:val="00230D98"/>
    <w:rsid w:val="002319C9"/>
    <w:rsid w:val="00231EC8"/>
    <w:rsid w:val="00232209"/>
    <w:rsid w:val="00232984"/>
    <w:rsid w:val="00233298"/>
    <w:rsid w:val="00233DEE"/>
    <w:rsid w:val="00234B4D"/>
    <w:rsid w:val="002360DA"/>
    <w:rsid w:val="00236D83"/>
    <w:rsid w:val="00237511"/>
    <w:rsid w:val="00237F09"/>
    <w:rsid w:val="00240FE9"/>
    <w:rsid w:val="002415F2"/>
    <w:rsid w:val="00241A50"/>
    <w:rsid w:val="0024211A"/>
    <w:rsid w:val="00242316"/>
    <w:rsid w:val="0024355F"/>
    <w:rsid w:val="00243660"/>
    <w:rsid w:val="002450FE"/>
    <w:rsid w:val="00245375"/>
    <w:rsid w:val="0024540D"/>
    <w:rsid w:val="00245995"/>
    <w:rsid w:val="00245A64"/>
    <w:rsid w:val="00245C84"/>
    <w:rsid w:val="00246222"/>
    <w:rsid w:val="00246334"/>
    <w:rsid w:val="00246518"/>
    <w:rsid w:val="00247EC5"/>
    <w:rsid w:val="00250D6C"/>
    <w:rsid w:val="002511B8"/>
    <w:rsid w:val="00251775"/>
    <w:rsid w:val="0025184F"/>
    <w:rsid w:val="0025187D"/>
    <w:rsid w:val="00253065"/>
    <w:rsid w:val="0025335E"/>
    <w:rsid w:val="002534EC"/>
    <w:rsid w:val="00253709"/>
    <w:rsid w:val="00253B7D"/>
    <w:rsid w:val="00253DC7"/>
    <w:rsid w:val="00253E1F"/>
    <w:rsid w:val="00254B18"/>
    <w:rsid w:val="00256A06"/>
    <w:rsid w:val="0025713F"/>
    <w:rsid w:val="002579A0"/>
    <w:rsid w:val="0026054B"/>
    <w:rsid w:val="002605FD"/>
    <w:rsid w:val="0026089B"/>
    <w:rsid w:val="00260DD7"/>
    <w:rsid w:val="002613F7"/>
    <w:rsid w:val="00262A63"/>
    <w:rsid w:val="00264378"/>
    <w:rsid w:val="0026452E"/>
    <w:rsid w:val="00264BBE"/>
    <w:rsid w:val="00265235"/>
    <w:rsid w:val="002664EC"/>
    <w:rsid w:val="00266CEA"/>
    <w:rsid w:val="002674FD"/>
    <w:rsid w:val="00267670"/>
    <w:rsid w:val="002677E0"/>
    <w:rsid w:val="002700A9"/>
    <w:rsid w:val="00270FAE"/>
    <w:rsid w:val="0027130B"/>
    <w:rsid w:val="00271408"/>
    <w:rsid w:val="00271828"/>
    <w:rsid w:val="0027206C"/>
    <w:rsid w:val="002721AB"/>
    <w:rsid w:val="002725EA"/>
    <w:rsid w:val="00272657"/>
    <w:rsid w:val="00273718"/>
    <w:rsid w:val="0027398A"/>
    <w:rsid w:val="00273AB2"/>
    <w:rsid w:val="00273BFA"/>
    <w:rsid w:val="00274231"/>
    <w:rsid w:val="00274422"/>
    <w:rsid w:val="00274743"/>
    <w:rsid w:val="00275027"/>
    <w:rsid w:val="0027506F"/>
    <w:rsid w:val="00276496"/>
    <w:rsid w:val="0027710D"/>
    <w:rsid w:val="002774A0"/>
    <w:rsid w:val="002774D3"/>
    <w:rsid w:val="0027762E"/>
    <w:rsid w:val="002777A5"/>
    <w:rsid w:val="0028025F"/>
    <w:rsid w:val="00280818"/>
    <w:rsid w:val="00281118"/>
    <w:rsid w:val="00281724"/>
    <w:rsid w:val="00281F16"/>
    <w:rsid w:val="00282C10"/>
    <w:rsid w:val="00282F2A"/>
    <w:rsid w:val="002835F3"/>
    <w:rsid w:val="00284142"/>
    <w:rsid w:val="00285C0F"/>
    <w:rsid w:val="0028674A"/>
    <w:rsid w:val="002900BA"/>
    <w:rsid w:val="002903AF"/>
    <w:rsid w:val="002930A0"/>
    <w:rsid w:val="002937C0"/>
    <w:rsid w:val="00293D77"/>
    <w:rsid w:val="002949B0"/>
    <w:rsid w:val="00294BB6"/>
    <w:rsid w:val="00295163"/>
    <w:rsid w:val="002952A9"/>
    <w:rsid w:val="00295A1B"/>
    <w:rsid w:val="00295CF1"/>
    <w:rsid w:val="00296186"/>
    <w:rsid w:val="002968A9"/>
    <w:rsid w:val="00296DA0"/>
    <w:rsid w:val="00297708"/>
    <w:rsid w:val="00297C3F"/>
    <w:rsid w:val="002A1C6F"/>
    <w:rsid w:val="002A24A5"/>
    <w:rsid w:val="002A258F"/>
    <w:rsid w:val="002A2F18"/>
    <w:rsid w:val="002A39B7"/>
    <w:rsid w:val="002A3C49"/>
    <w:rsid w:val="002A4613"/>
    <w:rsid w:val="002A4D2F"/>
    <w:rsid w:val="002A5482"/>
    <w:rsid w:val="002A5860"/>
    <w:rsid w:val="002A5B79"/>
    <w:rsid w:val="002A5E11"/>
    <w:rsid w:val="002A5FE4"/>
    <w:rsid w:val="002A61A9"/>
    <w:rsid w:val="002A6BB8"/>
    <w:rsid w:val="002A7218"/>
    <w:rsid w:val="002A72FF"/>
    <w:rsid w:val="002A78CB"/>
    <w:rsid w:val="002B043D"/>
    <w:rsid w:val="002B1D98"/>
    <w:rsid w:val="002B2778"/>
    <w:rsid w:val="002B2780"/>
    <w:rsid w:val="002B35E8"/>
    <w:rsid w:val="002B3DAC"/>
    <w:rsid w:val="002B415F"/>
    <w:rsid w:val="002B4358"/>
    <w:rsid w:val="002B4B18"/>
    <w:rsid w:val="002B4D57"/>
    <w:rsid w:val="002B58F7"/>
    <w:rsid w:val="002B72A3"/>
    <w:rsid w:val="002B74F1"/>
    <w:rsid w:val="002B77AF"/>
    <w:rsid w:val="002B7E7A"/>
    <w:rsid w:val="002C00A2"/>
    <w:rsid w:val="002C015D"/>
    <w:rsid w:val="002C080D"/>
    <w:rsid w:val="002C0BF0"/>
    <w:rsid w:val="002C11CE"/>
    <w:rsid w:val="002C13D9"/>
    <w:rsid w:val="002C27C6"/>
    <w:rsid w:val="002C3506"/>
    <w:rsid w:val="002C372D"/>
    <w:rsid w:val="002C38BD"/>
    <w:rsid w:val="002C40B8"/>
    <w:rsid w:val="002C4A2F"/>
    <w:rsid w:val="002C4DB3"/>
    <w:rsid w:val="002C5093"/>
    <w:rsid w:val="002C547F"/>
    <w:rsid w:val="002C575C"/>
    <w:rsid w:val="002C68E7"/>
    <w:rsid w:val="002C7910"/>
    <w:rsid w:val="002D04D7"/>
    <w:rsid w:val="002D06F1"/>
    <w:rsid w:val="002D1329"/>
    <w:rsid w:val="002D20B6"/>
    <w:rsid w:val="002D2DD6"/>
    <w:rsid w:val="002D347D"/>
    <w:rsid w:val="002D3F93"/>
    <w:rsid w:val="002D4458"/>
    <w:rsid w:val="002D50EC"/>
    <w:rsid w:val="002D7030"/>
    <w:rsid w:val="002D71CF"/>
    <w:rsid w:val="002D73EE"/>
    <w:rsid w:val="002E0433"/>
    <w:rsid w:val="002E0589"/>
    <w:rsid w:val="002E0D06"/>
    <w:rsid w:val="002E0F7A"/>
    <w:rsid w:val="002E1084"/>
    <w:rsid w:val="002E12C3"/>
    <w:rsid w:val="002E2D5A"/>
    <w:rsid w:val="002E2E55"/>
    <w:rsid w:val="002E33A4"/>
    <w:rsid w:val="002E355C"/>
    <w:rsid w:val="002E3B49"/>
    <w:rsid w:val="002E40A6"/>
    <w:rsid w:val="002E4564"/>
    <w:rsid w:val="002E4D55"/>
    <w:rsid w:val="002E566F"/>
    <w:rsid w:val="002E5E51"/>
    <w:rsid w:val="002E6D1B"/>
    <w:rsid w:val="002F146F"/>
    <w:rsid w:val="002F17E3"/>
    <w:rsid w:val="002F21DD"/>
    <w:rsid w:val="002F2B7F"/>
    <w:rsid w:val="002F2DE8"/>
    <w:rsid w:val="002F409C"/>
    <w:rsid w:val="002F4712"/>
    <w:rsid w:val="002F512F"/>
    <w:rsid w:val="002F51FA"/>
    <w:rsid w:val="002F5EEF"/>
    <w:rsid w:val="002F60F7"/>
    <w:rsid w:val="002F6CB6"/>
    <w:rsid w:val="003007B7"/>
    <w:rsid w:val="00300F0F"/>
    <w:rsid w:val="0030188E"/>
    <w:rsid w:val="003024F0"/>
    <w:rsid w:val="0030296D"/>
    <w:rsid w:val="00302FB8"/>
    <w:rsid w:val="00303905"/>
    <w:rsid w:val="0030443A"/>
    <w:rsid w:val="003049F7"/>
    <w:rsid w:val="003056A6"/>
    <w:rsid w:val="003058FE"/>
    <w:rsid w:val="00305980"/>
    <w:rsid w:val="00306160"/>
    <w:rsid w:val="003065DA"/>
    <w:rsid w:val="00306804"/>
    <w:rsid w:val="00306F82"/>
    <w:rsid w:val="00306F92"/>
    <w:rsid w:val="00307360"/>
    <w:rsid w:val="00310E7F"/>
    <w:rsid w:val="00310F51"/>
    <w:rsid w:val="003114FB"/>
    <w:rsid w:val="00311BD7"/>
    <w:rsid w:val="00312AC9"/>
    <w:rsid w:val="0031352E"/>
    <w:rsid w:val="0031396B"/>
    <w:rsid w:val="00313CEF"/>
    <w:rsid w:val="0031437B"/>
    <w:rsid w:val="003149D5"/>
    <w:rsid w:val="00315BBA"/>
    <w:rsid w:val="00316235"/>
    <w:rsid w:val="0031696D"/>
    <w:rsid w:val="003179E3"/>
    <w:rsid w:val="003204A1"/>
    <w:rsid w:val="00320F22"/>
    <w:rsid w:val="00321581"/>
    <w:rsid w:val="00322BC7"/>
    <w:rsid w:val="00322D04"/>
    <w:rsid w:val="003233AE"/>
    <w:rsid w:val="0032380B"/>
    <w:rsid w:val="00323D5C"/>
    <w:rsid w:val="00324002"/>
    <w:rsid w:val="0032444F"/>
    <w:rsid w:val="00324789"/>
    <w:rsid w:val="00324DAF"/>
    <w:rsid w:val="003257F7"/>
    <w:rsid w:val="00326079"/>
    <w:rsid w:val="00326784"/>
    <w:rsid w:val="00326B53"/>
    <w:rsid w:val="00326DBC"/>
    <w:rsid w:val="0032730D"/>
    <w:rsid w:val="003275A9"/>
    <w:rsid w:val="0033011F"/>
    <w:rsid w:val="003303E3"/>
    <w:rsid w:val="00330886"/>
    <w:rsid w:val="00331CF6"/>
    <w:rsid w:val="00331FA9"/>
    <w:rsid w:val="00331FFF"/>
    <w:rsid w:val="00332C6F"/>
    <w:rsid w:val="0033339C"/>
    <w:rsid w:val="003338CD"/>
    <w:rsid w:val="00333EDA"/>
    <w:rsid w:val="0033487B"/>
    <w:rsid w:val="00335254"/>
    <w:rsid w:val="00335950"/>
    <w:rsid w:val="0033688C"/>
    <w:rsid w:val="003368E7"/>
    <w:rsid w:val="00336933"/>
    <w:rsid w:val="00337358"/>
    <w:rsid w:val="003376DE"/>
    <w:rsid w:val="003379E9"/>
    <w:rsid w:val="00340D59"/>
    <w:rsid w:val="00341AA6"/>
    <w:rsid w:val="00341C09"/>
    <w:rsid w:val="003424EF"/>
    <w:rsid w:val="00342601"/>
    <w:rsid w:val="00342DFC"/>
    <w:rsid w:val="00343CA4"/>
    <w:rsid w:val="003440C1"/>
    <w:rsid w:val="0034479F"/>
    <w:rsid w:val="003448DF"/>
    <w:rsid w:val="003449CA"/>
    <w:rsid w:val="00344E5D"/>
    <w:rsid w:val="003460E7"/>
    <w:rsid w:val="00347BC3"/>
    <w:rsid w:val="00350670"/>
    <w:rsid w:val="00350C54"/>
    <w:rsid w:val="00350CAC"/>
    <w:rsid w:val="003516CB"/>
    <w:rsid w:val="00351D16"/>
    <w:rsid w:val="00351E35"/>
    <w:rsid w:val="00351F2F"/>
    <w:rsid w:val="003523D4"/>
    <w:rsid w:val="00353240"/>
    <w:rsid w:val="003534AF"/>
    <w:rsid w:val="00354F07"/>
    <w:rsid w:val="00355538"/>
    <w:rsid w:val="00355FF5"/>
    <w:rsid w:val="003562F8"/>
    <w:rsid w:val="0035652D"/>
    <w:rsid w:val="00356720"/>
    <w:rsid w:val="00356E63"/>
    <w:rsid w:val="00357443"/>
    <w:rsid w:val="00357543"/>
    <w:rsid w:val="0035762C"/>
    <w:rsid w:val="00357BA8"/>
    <w:rsid w:val="0036128F"/>
    <w:rsid w:val="00361370"/>
    <w:rsid w:val="0036152D"/>
    <w:rsid w:val="003635FF"/>
    <w:rsid w:val="00363CC2"/>
    <w:rsid w:val="0036442D"/>
    <w:rsid w:val="00364B27"/>
    <w:rsid w:val="00367C14"/>
    <w:rsid w:val="00367EAC"/>
    <w:rsid w:val="00370562"/>
    <w:rsid w:val="003707D1"/>
    <w:rsid w:val="00371565"/>
    <w:rsid w:val="0037199B"/>
    <w:rsid w:val="00371EDD"/>
    <w:rsid w:val="00371FCB"/>
    <w:rsid w:val="00372D79"/>
    <w:rsid w:val="003731D0"/>
    <w:rsid w:val="003746C7"/>
    <w:rsid w:val="00375607"/>
    <w:rsid w:val="00375CD4"/>
    <w:rsid w:val="0037728E"/>
    <w:rsid w:val="003772CD"/>
    <w:rsid w:val="00377CFB"/>
    <w:rsid w:val="00380438"/>
    <w:rsid w:val="00380660"/>
    <w:rsid w:val="003808E3"/>
    <w:rsid w:val="003810AE"/>
    <w:rsid w:val="003819BC"/>
    <w:rsid w:val="003820BB"/>
    <w:rsid w:val="003829F7"/>
    <w:rsid w:val="00383114"/>
    <w:rsid w:val="00383DD7"/>
    <w:rsid w:val="00384925"/>
    <w:rsid w:val="00384B76"/>
    <w:rsid w:val="003859A5"/>
    <w:rsid w:val="00385BAF"/>
    <w:rsid w:val="0038603B"/>
    <w:rsid w:val="0038605E"/>
    <w:rsid w:val="00386AD4"/>
    <w:rsid w:val="00386D98"/>
    <w:rsid w:val="00386FD1"/>
    <w:rsid w:val="003871B5"/>
    <w:rsid w:val="0039014C"/>
    <w:rsid w:val="00390D92"/>
    <w:rsid w:val="00390E45"/>
    <w:rsid w:val="0039123F"/>
    <w:rsid w:val="003915E1"/>
    <w:rsid w:val="0039179E"/>
    <w:rsid w:val="00391D88"/>
    <w:rsid w:val="003922B9"/>
    <w:rsid w:val="003922E0"/>
    <w:rsid w:val="003923DF"/>
    <w:rsid w:val="003923FF"/>
    <w:rsid w:val="003928C9"/>
    <w:rsid w:val="0039316E"/>
    <w:rsid w:val="00393477"/>
    <w:rsid w:val="00393BB9"/>
    <w:rsid w:val="0039447E"/>
    <w:rsid w:val="00394F2A"/>
    <w:rsid w:val="003959EB"/>
    <w:rsid w:val="003962EC"/>
    <w:rsid w:val="00396E27"/>
    <w:rsid w:val="00396EB6"/>
    <w:rsid w:val="003979AB"/>
    <w:rsid w:val="003A0052"/>
    <w:rsid w:val="003A1080"/>
    <w:rsid w:val="003A115E"/>
    <w:rsid w:val="003A17EB"/>
    <w:rsid w:val="003A1C29"/>
    <w:rsid w:val="003A2383"/>
    <w:rsid w:val="003A321C"/>
    <w:rsid w:val="003A328A"/>
    <w:rsid w:val="003A32E3"/>
    <w:rsid w:val="003A3982"/>
    <w:rsid w:val="003A4913"/>
    <w:rsid w:val="003A5652"/>
    <w:rsid w:val="003A6974"/>
    <w:rsid w:val="003A6B11"/>
    <w:rsid w:val="003A6C43"/>
    <w:rsid w:val="003A6EE7"/>
    <w:rsid w:val="003A7E1E"/>
    <w:rsid w:val="003B03D4"/>
    <w:rsid w:val="003B0479"/>
    <w:rsid w:val="003B0FEA"/>
    <w:rsid w:val="003B19D0"/>
    <w:rsid w:val="003B1AC8"/>
    <w:rsid w:val="003B1D6B"/>
    <w:rsid w:val="003B21D8"/>
    <w:rsid w:val="003B23CE"/>
    <w:rsid w:val="003B3343"/>
    <w:rsid w:val="003B36B4"/>
    <w:rsid w:val="003B3952"/>
    <w:rsid w:val="003B3DD0"/>
    <w:rsid w:val="003B40CD"/>
    <w:rsid w:val="003B5003"/>
    <w:rsid w:val="003B5FB0"/>
    <w:rsid w:val="003B6465"/>
    <w:rsid w:val="003B6C10"/>
    <w:rsid w:val="003B7308"/>
    <w:rsid w:val="003B77BF"/>
    <w:rsid w:val="003B7ED4"/>
    <w:rsid w:val="003C1987"/>
    <w:rsid w:val="003C19D0"/>
    <w:rsid w:val="003C1F84"/>
    <w:rsid w:val="003C2056"/>
    <w:rsid w:val="003C228B"/>
    <w:rsid w:val="003C24BC"/>
    <w:rsid w:val="003C3660"/>
    <w:rsid w:val="003C3719"/>
    <w:rsid w:val="003C47E2"/>
    <w:rsid w:val="003C4896"/>
    <w:rsid w:val="003C4956"/>
    <w:rsid w:val="003C5111"/>
    <w:rsid w:val="003C7798"/>
    <w:rsid w:val="003C7C4E"/>
    <w:rsid w:val="003D02C9"/>
    <w:rsid w:val="003D0E06"/>
    <w:rsid w:val="003D0E1C"/>
    <w:rsid w:val="003D0F2A"/>
    <w:rsid w:val="003D115B"/>
    <w:rsid w:val="003D13F3"/>
    <w:rsid w:val="003D160E"/>
    <w:rsid w:val="003D1D15"/>
    <w:rsid w:val="003D25AF"/>
    <w:rsid w:val="003D3048"/>
    <w:rsid w:val="003D3198"/>
    <w:rsid w:val="003D3343"/>
    <w:rsid w:val="003D35E3"/>
    <w:rsid w:val="003D3E5D"/>
    <w:rsid w:val="003D45F3"/>
    <w:rsid w:val="003D490F"/>
    <w:rsid w:val="003D4BEA"/>
    <w:rsid w:val="003D54CD"/>
    <w:rsid w:val="003D6481"/>
    <w:rsid w:val="003D665A"/>
    <w:rsid w:val="003D6F4E"/>
    <w:rsid w:val="003D70F3"/>
    <w:rsid w:val="003D74B4"/>
    <w:rsid w:val="003E0051"/>
    <w:rsid w:val="003E0B07"/>
    <w:rsid w:val="003E12F2"/>
    <w:rsid w:val="003E133F"/>
    <w:rsid w:val="003E168F"/>
    <w:rsid w:val="003E273D"/>
    <w:rsid w:val="003E33AD"/>
    <w:rsid w:val="003E380E"/>
    <w:rsid w:val="003E4177"/>
    <w:rsid w:val="003E549E"/>
    <w:rsid w:val="003E70E7"/>
    <w:rsid w:val="003E7D6A"/>
    <w:rsid w:val="003F0019"/>
    <w:rsid w:val="003F09AE"/>
    <w:rsid w:val="003F14FB"/>
    <w:rsid w:val="003F1B46"/>
    <w:rsid w:val="003F1C8F"/>
    <w:rsid w:val="003F1EC9"/>
    <w:rsid w:val="003F2088"/>
    <w:rsid w:val="003F296B"/>
    <w:rsid w:val="003F35C5"/>
    <w:rsid w:val="003F4394"/>
    <w:rsid w:val="003F43D8"/>
    <w:rsid w:val="003F4818"/>
    <w:rsid w:val="003F481B"/>
    <w:rsid w:val="003F4ECB"/>
    <w:rsid w:val="003F5847"/>
    <w:rsid w:val="003F5D16"/>
    <w:rsid w:val="003F5E74"/>
    <w:rsid w:val="003F61D5"/>
    <w:rsid w:val="003F71EF"/>
    <w:rsid w:val="003F78C8"/>
    <w:rsid w:val="004000AE"/>
    <w:rsid w:val="0040045F"/>
    <w:rsid w:val="004005B2"/>
    <w:rsid w:val="00401277"/>
    <w:rsid w:val="004013B7"/>
    <w:rsid w:val="0040190A"/>
    <w:rsid w:val="004019CD"/>
    <w:rsid w:val="00401F16"/>
    <w:rsid w:val="004024E8"/>
    <w:rsid w:val="004032CE"/>
    <w:rsid w:val="00403432"/>
    <w:rsid w:val="004054F6"/>
    <w:rsid w:val="00405583"/>
    <w:rsid w:val="00407F0D"/>
    <w:rsid w:val="00411185"/>
    <w:rsid w:val="00411325"/>
    <w:rsid w:val="00411813"/>
    <w:rsid w:val="00411AB2"/>
    <w:rsid w:val="0041210E"/>
    <w:rsid w:val="00412AB9"/>
    <w:rsid w:val="00412DF0"/>
    <w:rsid w:val="00412EC4"/>
    <w:rsid w:val="00413657"/>
    <w:rsid w:val="00413B06"/>
    <w:rsid w:val="00413B21"/>
    <w:rsid w:val="0041413C"/>
    <w:rsid w:val="00414292"/>
    <w:rsid w:val="00414B1C"/>
    <w:rsid w:val="0041547E"/>
    <w:rsid w:val="004159A1"/>
    <w:rsid w:val="004172C5"/>
    <w:rsid w:val="00417487"/>
    <w:rsid w:val="004178F4"/>
    <w:rsid w:val="00417B10"/>
    <w:rsid w:val="00417DE2"/>
    <w:rsid w:val="004202A3"/>
    <w:rsid w:val="004220EE"/>
    <w:rsid w:val="00423297"/>
    <w:rsid w:val="00423508"/>
    <w:rsid w:val="00423BC9"/>
    <w:rsid w:val="00423DE8"/>
    <w:rsid w:val="00424042"/>
    <w:rsid w:val="004248AD"/>
    <w:rsid w:val="00424F7D"/>
    <w:rsid w:val="004251D0"/>
    <w:rsid w:val="00426335"/>
    <w:rsid w:val="00426620"/>
    <w:rsid w:val="00426687"/>
    <w:rsid w:val="00426C5A"/>
    <w:rsid w:val="00427668"/>
    <w:rsid w:val="00427F7F"/>
    <w:rsid w:val="00427F9B"/>
    <w:rsid w:val="00430A4E"/>
    <w:rsid w:val="00431034"/>
    <w:rsid w:val="004321F0"/>
    <w:rsid w:val="00433A13"/>
    <w:rsid w:val="00433BFB"/>
    <w:rsid w:val="00433E85"/>
    <w:rsid w:val="00434072"/>
    <w:rsid w:val="00435237"/>
    <w:rsid w:val="0043528B"/>
    <w:rsid w:val="00436CBB"/>
    <w:rsid w:val="0043733C"/>
    <w:rsid w:val="00437A4E"/>
    <w:rsid w:val="00437D39"/>
    <w:rsid w:val="00437DDF"/>
    <w:rsid w:val="00437EBF"/>
    <w:rsid w:val="00441130"/>
    <w:rsid w:val="00441924"/>
    <w:rsid w:val="0044193C"/>
    <w:rsid w:val="0044293C"/>
    <w:rsid w:val="004433F6"/>
    <w:rsid w:val="00443616"/>
    <w:rsid w:val="004437DA"/>
    <w:rsid w:val="00444033"/>
    <w:rsid w:val="00444680"/>
    <w:rsid w:val="00444E7C"/>
    <w:rsid w:val="0044515D"/>
    <w:rsid w:val="00445B40"/>
    <w:rsid w:val="004468F7"/>
    <w:rsid w:val="004469B7"/>
    <w:rsid w:val="004475B3"/>
    <w:rsid w:val="004502EC"/>
    <w:rsid w:val="00453327"/>
    <w:rsid w:val="00453729"/>
    <w:rsid w:val="004540B0"/>
    <w:rsid w:val="00454C60"/>
    <w:rsid w:val="00454EDE"/>
    <w:rsid w:val="004569C1"/>
    <w:rsid w:val="00456CEE"/>
    <w:rsid w:val="0045719D"/>
    <w:rsid w:val="00457C6C"/>
    <w:rsid w:val="00457DB1"/>
    <w:rsid w:val="00460F81"/>
    <w:rsid w:val="00461515"/>
    <w:rsid w:val="004619C3"/>
    <w:rsid w:val="00461A56"/>
    <w:rsid w:val="0046343E"/>
    <w:rsid w:val="00463B7D"/>
    <w:rsid w:val="00464465"/>
    <w:rsid w:val="0046469A"/>
    <w:rsid w:val="004657E5"/>
    <w:rsid w:val="004657F8"/>
    <w:rsid w:val="00465BBF"/>
    <w:rsid w:val="00465FC9"/>
    <w:rsid w:val="004665F0"/>
    <w:rsid w:val="00466645"/>
    <w:rsid w:val="00466731"/>
    <w:rsid w:val="00466AA7"/>
    <w:rsid w:val="00467479"/>
    <w:rsid w:val="0046797C"/>
    <w:rsid w:val="0046797F"/>
    <w:rsid w:val="00467B47"/>
    <w:rsid w:val="00470747"/>
    <w:rsid w:val="00470778"/>
    <w:rsid w:val="00470FAF"/>
    <w:rsid w:val="0047171B"/>
    <w:rsid w:val="00471D8F"/>
    <w:rsid w:val="00472A70"/>
    <w:rsid w:val="004734FA"/>
    <w:rsid w:val="00474E98"/>
    <w:rsid w:val="00475548"/>
    <w:rsid w:val="00475801"/>
    <w:rsid w:val="00476315"/>
    <w:rsid w:val="00476358"/>
    <w:rsid w:val="0047643A"/>
    <w:rsid w:val="0047687A"/>
    <w:rsid w:val="00476C39"/>
    <w:rsid w:val="00476D4B"/>
    <w:rsid w:val="004779D7"/>
    <w:rsid w:val="004779F5"/>
    <w:rsid w:val="00477AAD"/>
    <w:rsid w:val="00477B1E"/>
    <w:rsid w:val="00480161"/>
    <w:rsid w:val="0048099E"/>
    <w:rsid w:val="00480A82"/>
    <w:rsid w:val="00480BAF"/>
    <w:rsid w:val="00481861"/>
    <w:rsid w:val="00481DAD"/>
    <w:rsid w:val="004823CF"/>
    <w:rsid w:val="00482A3C"/>
    <w:rsid w:val="0048328A"/>
    <w:rsid w:val="00483FAA"/>
    <w:rsid w:val="004865AA"/>
    <w:rsid w:val="00487A8B"/>
    <w:rsid w:val="00487E72"/>
    <w:rsid w:val="004901EF"/>
    <w:rsid w:val="00490610"/>
    <w:rsid w:val="00490E28"/>
    <w:rsid w:val="004921CB"/>
    <w:rsid w:val="00493250"/>
    <w:rsid w:val="00493748"/>
    <w:rsid w:val="004942FD"/>
    <w:rsid w:val="00494525"/>
    <w:rsid w:val="00494CB1"/>
    <w:rsid w:val="004950CE"/>
    <w:rsid w:val="00496AFE"/>
    <w:rsid w:val="00496BC9"/>
    <w:rsid w:val="00496DA8"/>
    <w:rsid w:val="004A026A"/>
    <w:rsid w:val="004A0D26"/>
    <w:rsid w:val="004A0D35"/>
    <w:rsid w:val="004A0FD0"/>
    <w:rsid w:val="004A19EF"/>
    <w:rsid w:val="004A2437"/>
    <w:rsid w:val="004A24F8"/>
    <w:rsid w:val="004A28FB"/>
    <w:rsid w:val="004A3092"/>
    <w:rsid w:val="004A40DD"/>
    <w:rsid w:val="004A4114"/>
    <w:rsid w:val="004A50B4"/>
    <w:rsid w:val="004A5734"/>
    <w:rsid w:val="004A59E2"/>
    <w:rsid w:val="004A5FCA"/>
    <w:rsid w:val="004A6E25"/>
    <w:rsid w:val="004A7AE0"/>
    <w:rsid w:val="004A7C5C"/>
    <w:rsid w:val="004B20E7"/>
    <w:rsid w:val="004B29D2"/>
    <w:rsid w:val="004B2DF8"/>
    <w:rsid w:val="004B2F83"/>
    <w:rsid w:val="004B50FF"/>
    <w:rsid w:val="004B583A"/>
    <w:rsid w:val="004B63E4"/>
    <w:rsid w:val="004B69C0"/>
    <w:rsid w:val="004B7502"/>
    <w:rsid w:val="004C0005"/>
    <w:rsid w:val="004C0043"/>
    <w:rsid w:val="004C048B"/>
    <w:rsid w:val="004C08DD"/>
    <w:rsid w:val="004C0CC9"/>
    <w:rsid w:val="004C182D"/>
    <w:rsid w:val="004C2015"/>
    <w:rsid w:val="004C26F9"/>
    <w:rsid w:val="004C2EEA"/>
    <w:rsid w:val="004C4244"/>
    <w:rsid w:val="004C458B"/>
    <w:rsid w:val="004C5BB9"/>
    <w:rsid w:val="004C5E9E"/>
    <w:rsid w:val="004C6308"/>
    <w:rsid w:val="004C649B"/>
    <w:rsid w:val="004C718D"/>
    <w:rsid w:val="004C72A9"/>
    <w:rsid w:val="004C7CA6"/>
    <w:rsid w:val="004D001C"/>
    <w:rsid w:val="004D0FCE"/>
    <w:rsid w:val="004D1D8F"/>
    <w:rsid w:val="004D2196"/>
    <w:rsid w:val="004D2AF5"/>
    <w:rsid w:val="004D2CE8"/>
    <w:rsid w:val="004D2D75"/>
    <w:rsid w:val="004D2F42"/>
    <w:rsid w:val="004D32A0"/>
    <w:rsid w:val="004D32B9"/>
    <w:rsid w:val="004D3537"/>
    <w:rsid w:val="004D364C"/>
    <w:rsid w:val="004D3CC4"/>
    <w:rsid w:val="004D3E25"/>
    <w:rsid w:val="004D4369"/>
    <w:rsid w:val="004D5E7E"/>
    <w:rsid w:val="004D63C5"/>
    <w:rsid w:val="004D6B4D"/>
    <w:rsid w:val="004D75B9"/>
    <w:rsid w:val="004D798F"/>
    <w:rsid w:val="004D7A5D"/>
    <w:rsid w:val="004E0381"/>
    <w:rsid w:val="004E075E"/>
    <w:rsid w:val="004E21AE"/>
    <w:rsid w:val="004E29A1"/>
    <w:rsid w:val="004E2DE7"/>
    <w:rsid w:val="004E4009"/>
    <w:rsid w:val="004E487A"/>
    <w:rsid w:val="004E4E3B"/>
    <w:rsid w:val="004E5046"/>
    <w:rsid w:val="004E61FB"/>
    <w:rsid w:val="004E6CD9"/>
    <w:rsid w:val="004F0ADC"/>
    <w:rsid w:val="004F0D9C"/>
    <w:rsid w:val="004F0F2C"/>
    <w:rsid w:val="004F128A"/>
    <w:rsid w:val="004F1829"/>
    <w:rsid w:val="004F1976"/>
    <w:rsid w:val="004F1CCD"/>
    <w:rsid w:val="004F2891"/>
    <w:rsid w:val="004F35A0"/>
    <w:rsid w:val="004F4202"/>
    <w:rsid w:val="004F4615"/>
    <w:rsid w:val="004F4CA5"/>
    <w:rsid w:val="004F56F8"/>
    <w:rsid w:val="004F59BA"/>
    <w:rsid w:val="004F5CAC"/>
    <w:rsid w:val="004F6680"/>
    <w:rsid w:val="004F676C"/>
    <w:rsid w:val="004F6A7A"/>
    <w:rsid w:val="004F7B80"/>
    <w:rsid w:val="005000F1"/>
    <w:rsid w:val="005002D4"/>
    <w:rsid w:val="00500D49"/>
    <w:rsid w:val="00501553"/>
    <w:rsid w:val="00501565"/>
    <w:rsid w:val="00502F5B"/>
    <w:rsid w:val="005032F4"/>
    <w:rsid w:val="005037D9"/>
    <w:rsid w:val="00503B37"/>
    <w:rsid w:val="00505453"/>
    <w:rsid w:val="00505698"/>
    <w:rsid w:val="00505E3D"/>
    <w:rsid w:val="00506331"/>
    <w:rsid w:val="0051055E"/>
    <w:rsid w:val="00510B67"/>
    <w:rsid w:val="0051105C"/>
    <w:rsid w:val="005126E8"/>
    <w:rsid w:val="005135BA"/>
    <w:rsid w:val="005138D6"/>
    <w:rsid w:val="00513F9E"/>
    <w:rsid w:val="005154C6"/>
    <w:rsid w:val="0051633E"/>
    <w:rsid w:val="00516910"/>
    <w:rsid w:val="00516B55"/>
    <w:rsid w:val="00517131"/>
    <w:rsid w:val="00520805"/>
    <w:rsid w:val="00520B6C"/>
    <w:rsid w:val="00520BF5"/>
    <w:rsid w:val="00520E8B"/>
    <w:rsid w:val="00520FBF"/>
    <w:rsid w:val="0052280B"/>
    <w:rsid w:val="00523608"/>
    <w:rsid w:val="00523932"/>
    <w:rsid w:val="00524769"/>
    <w:rsid w:val="005249A7"/>
    <w:rsid w:val="00524EDC"/>
    <w:rsid w:val="005259B4"/>
    <w:rsid w:val="0052610C"/>
    <w:rsid w:val="00526795"/>
    <w:rsid w:val="00526D2A"/>
    <w:rsid w:val="00527ADA"/>
    <w:rsid w:val="0053146F"/>
    <w:rsid w:val="00531DFB"/>
    <w:rsid w:val="00531EAD"/>
    <w:rsid w:val="0053205D"/>
    <w:rsid w:val="00532FEE"/>
    <w:rsid w:val="00533759"/>
    <w:rsid w:val="00533D9B"/>
    <w:rsid w:val="00533F35"/>
    <w:rsid w:val="00534805"/>
    <w:rsid w:val="005349EA"/>
    <w:rsid w:val="00534B58"/>
    <w:rsid w:val="005353C5"/>
    <w:rsid w:val="00535735"/>
    <w:rsid w:val="00536153"/>
    <w:rsid w:val="00536B8F"/>
    <w:rsid w:val="0053741A"/>
    <w:rsid w:val="00540859"/>
    <w:rsid w:val="00540F6B"/>
    <w:rsid w:val="0054184C"/>
    <w:rsid w:val="00542671"/>
    <w:rsid w:val="00543DCE"/>
    <w:rsid w:val="005444BD"/>
    <w:rsid w:val="00545211"/>
    <w:rsid w:val="00545D16"/>
    <w:rsid w:val="00545DAF"/>
    <w:rsid w:val="00546274"/>
    <w:rsid w:val="00547280"/>
    <w:rsid w:val="0055017D"/>
    <w:rsid w:val="005513EF"/>
    <w:rsid w:val="00551B1F"/>
    <w:rsid w:val="00551B30"/>
    <w:rsid w:val="0055274C"/>
    <w:rsid w:val="00552A65"/>
    <w:rsid w:val="00552AB7"/>
    <w:rsid w:val="00553360"/>
    <w:rsid w:val="005539A8"/>
    <w:rsid w:val="00553D3C"/>
    <w:rsid w:val="005549B6"/>
    <w:rsid w:val="00555B4D"/>
    <w:rsid w:val="005569BD"/>
    <w:rsid w:val="00557728"/>
    <w:rsid w:val="00560CB3"/>
    <w:rsid w:val="00561320"/>
    <w:rsid w:val="00561593"/>
    <w:rsid w:val="00561D1E"/>
    <w:rsid w:val="00562290"/>
    <w:rsid w:val="00563771"/>
    <w:rsid w:val="0056378A"/>
    <w:rsid w:val="00563CC1"/>
    <w:rsid w:val="0056484D"/>
    <w:rsid w:val="00564B7B"/>
    <w:rsid w:val="0056530F"/>
    <w:rsid w:val="005669DD"/>
    <w:rsid w:val="00566AAC"/>
    <w:rsid w:val="00566BB8"/>
    <w:rsid w:val="00566DA2"/>
    <w:rsid w:val="0056757B"/>
    <w:rsid w:val="00570689"/>
    <w:rsid w:val="00570891"/>
    <w:rsid w:val="00570F0F"/>
    <w:rsid w:val="00572FBB"/>
    <w:rsid w:val="005734E0"/>
    <w:rsid w:val="00574058"/>
    <w:rsid w:val="00575291"/>
    <w:rsid w:val="00575B21"/>
    <w:rsid w:val="00576583"/>
    <w:rsid w:val="00576C1B"/>
    <w:rsid w:val="00576F06"/>
    <w:rsid w:val="00577208"/>
    <w:rsid w:val="00577CA2"/>
    <w:rsid w:val="00577F7B"/>
    <w:rsid w:val="00580304"/>
    <w:rsid w:val="0058048F"/>
    <w:rsid w:val="005805E9"/>
    <w:rsid w:val="00581912"/>
    <w:rsid w:val="00581E0E"/>
    <w:rsid w:val="00582851"/>
    <w:rsid w:val="0058296E"/>
    <w:rsid w:val="00582D5D"/>
    <w:rsid w:val="00584548"/>
    <w:rsid w:val="005849FF"/>
    <w:rsid w:val="00585301"/>
    <w:rsid w:val="00590077"/>
    <w:rsid w:val="00590109"/>
    <w:rsid w:val="005906AE"/>
    <w:rsid w:val="00591361"/>
    <w:rsid w:val="0059145B"/>
    <w:rsid w:val="00591893"/>
    <w:rsid w:val="005930E5"/>
    <w:rsid w:val="00593A0D"/>
    <w:rsid w:val="00593EB5"/>
    <w:rsid w:val="00594A01"/>
    <w:rsid w:val="00594A75"/>
    <w:rsid w:val="00594F1C"/>
    <w:rsid w:val="00595327"/>
    <w:rsid w:val="0059547C"/>
    <w:rsid w:val="0059599D"/>
    <w:rsid w:val="00596ABE"/>
    <w:rsid w:val="00596E0C"/>
    <w:rsid w:val="0059746D"/>
    <w:rsid w:val="00597947"/>
    <w:rsid w:val="00597DE4"/>
    <w:rsid w:val="00597F97"/>
    <w:rsid w:val="00597FA9"/>
    <w:rsid w:val="005A0B8F"/>
    <w:rsid w:val="005A0DAF"/>
    <w:rsid w:val="005A2488"/>
    <w:rsid w:val="005A2705"/>
    <w:rsid w:val="005A29A5"/>
    <w:rsid w:val="005A33E8"/>
    <w:rsid w:val="005A3DFC"/>
    <w:rsid w:val="005A3E5B"/>
    <w:rsid w:val="005A457D"/>
    <w:rsid w:val="005A490C"/>
    <w:rsid w:val="005A5DA8"/>
    <w:rsid w:val="005A5E2D"/>
    <w:rsid w:val="005A5E69"/>
    <w:rsid w:val="005A5FAE"/>
    <w:rsid w:val="005A67C5"/>
    <w:rsid w:val="005A6F34"/>
    <w:rsid w:val="005A7061"/>
    <w:rsid w:val="005B00F5"/>
    <w:rsid w:val="005B0B7E"/>
    <w:rsid w:val="005B10F0"/>
    <w:rsid w:val="005B1C19"/>
    <w:rsid w:val="005B2498"/>
    <w:rsid w:val="005B2528"/>
    <w:rsid w:val="005B2925"/>
    <w:rsid w:val="005B2BED"/>
    <w:rsid w:val="005B3735"/>
    <w:rsid w:val="005B52A8"/>
    <w:rsid w:val="005B5AC5"/>
    <w:rsid w:val="005B5D99"/>
    <w:rsid w:val="005B64B4"/>
    <w:rsid w:val="005B6717"/>
    <w:rsid w:val="005B6FC8"/>
    <w:rsid w:val="005B7BE7"/>
    <w:rsid w:val="005C0857"/>
    <w:rsid w:val="005C0C92"/>
    <w:rsid w:val="005C1074"/>
    <w:rsid w:val="005C1410"/>
    <w:rsid w:val="005C23A2"/>
    <w:rsid w:val="005C2797"/>
    <w:rsid w:val="005C2F1F"/>
    <w:rsid w:val="005C373E"/>
    <w:rsid w:val="005C4010"/>
    <w:rsid w:val="005C515C"/>
    <w:rsid w:val="005C5885"/>
    <w:rsid w:val="005C6838"/>
    <w:rsid w:val="005C7184"/>
    <w:rsid w:val="005D06ED"/>
    <w:rsid w:val="005D1E45"/>
    <w:rsid w:val="005D210F"/>
    <w:rsid w:val="005D212B"/>
    <w:rsid w:val="005D2318"/>
    <w:rsid w:val="005D244B"/>
    <w:rsid w:val="005D2967"/>
    <w:rsid w:val="005D2C9E"/>
    <w:rsid w:val="005D2EE1"/>
    <w:rsid w:val="005D3634"/>
    <w:rsid w:val="005D4AE0"/>
    <w:rsid w:val="005D4EE7"/>
    <w:rsid w:val="005D5908"/>
    <w:rsid w:val="005D7057"/>
    <w:rsid w:val="005D7E1A"/>
    <w:rsid w:val="005E0954"/>
    <w:rsid w:val="005E0FA2"/>
    <w:rsid w:val="005E1573"/>
    <w:rsid w:val="005E1CC3"/>
    <w:rsid w:val="005E1D04"/>
    <w:rsid w:val="005E1E4D"/>
    <w:rsid w:val="005E1FEE"/>
    <w:rsid w:val="005E22DC"/>
    <w:rsid w:val="005E252B"/>
    <w:rsid w:val="005E356B"/>
    <w:rsid w:val="005E407D"/>
    <w:rsid w:val="005E45D1"/>
    <w:rsid w:val="005E48B2"/>
    <w:rsid w:val="005E4DEC"/>
    <w:rsid w:val="005E59BB"/>
    <w:rsid w:val="005E5C9A"/>
    <w:rsid w:val="005E5E17"/>
    <w:rsid w:val="005E62E5"/>
    <w:rsid w:val="005E66D4"/>
    <w:rsid w:val="005E705A"/>
    <w:rsid w:val="005E7606"/>
    <w:rsid w:val="005E7992"/>
    <w:rsid w:val="005E7C34"/>
    <w:rsid w:val="005F0809"/>
    <w:rsid w:val="005F107A"/>
    <w:rsid w:val="005F133B"/>
    <w:rsid w:val="005F202E"/>
    <w:rsid w:val="005F22BD"/>
    <w:rsid w:val="005F3564"/>
    <w:rsid w:val="005F3C21"/>
    <w:rsid w:val="005F43BB"/>
    <w:rsid w:val="005F49A3"/>
    <w:rsid w:val="005F573C"/>
    <w:rsid w:val="005F5F16"/>
    <w:rsid w:val="005F633B"/>
    <w:rsid w:val="005F67F5"/>
    <w:rsid w:val="005F6B1F"/>
    <w:rsid w:val="005F70A8"/>
    <w:rsid w:val="005F754B"/>
    <w:rsid w:val="00600056"/>
    <w:rsid w:val="0060030A"/>
    <w:rsid w:val="00600F0F"/>
    <w:rsid w:val="006024D0"/>
    <w:rsid w:val="00603A88"/>
    <w:rsid w:val="00603D08"/>
    <w:rsid w:val="00603E3F"/>
    <w:rsid w:val="00604049"/>
    <w:rsid w:val="00604DAC"/>
    <w:rsid w:val="0060648C"/>
    <w:rsid w:val="00606495"/>
    <w:rsid w:val="00606701"/>
    <w:rsid w:val="00606808"/>
    <w:rsid w:val="00606B7F"/>
    <w:rsid w:val="00607FC5"/>
    <w:rsid w:val="0061028F"/>
    <w:rsid w:val="00610804"/>
    <w:rsid w:val="00610DDF"/>
    <w:rsid w:val="0061119C"/>
    <w:rsid w:val="006111DD"/>
    <w:rsid w:val="00611384"/>
    <w:rsid w:val="00611972"/>
    <w:rsid w:val="00611994"/>
    <w:rsid w:val="00612180"/>
    <w:rsid w:val="00612611"/>
    <w:rsid w:val="00612DB3"/>
    <w:rsid w:val="006133DD"/>
    <w:rsid w:val="00613E75"/>
    <w:rsid w:val="00613F83"/>
    <w:rsid w:val="00614984"/>
    <w:rsid w:val="00614B07"/>
    <w:rsid w:val="00615CFB"/>
    <w:rsid w:val="00616CAF"/>
    <w:rsid w:val="00617089"/>
    <w:rsid w:val="00617665"/>
    <w:rsid w:val="00620A97"/>
    <w:rsid w:val="0062156E"/>
    <w:rsid w:val="00621B04"/>
    <w:rsid w:val="00624AEB"/>
    <w:rsid w:val="0062558C"/>
    <w:rsid w:val="006258EC"/>
    <w:rsid w:val="00625DB5"/>
    <w:rsid w:val="00626400"/>
    <w:rsid w:val="0062655C"/>
    <w:rsid w:val="00626AA7"/>
    <w:rsid w:val="00626F3F"/>
    <w:rsid w:val="00630890"/>
    <w:rsid w:val="006315B0"/>
    <w:rsid w:val="00631BF3"/>
    <w:rsid w:val="006329F5"/>
    <w:rsid w:val="00632F89"/>
    <w:rsid w:val="0063450D"/>
    <w:rsid w:val="00634695"/>
    <w:rsid w:val="00634B82"/>
    <w:rsid w:val="00634E4C"/>
    <w:rsid w:val="00635FFF"/>
    <w:rsid w:val="00636199"/>
    <w:rsid w:val="00636FD9"/>
    <w:rsid w:val="00637420"/>
    <w:rsid w:val="00637F0C"/>
    <w:rsid w:val="0064161A"/>
    <w:rsid w:val="00642B16"/>
    <w:rsid w:val="00642EA6"/>
    <w:rsid w:val="00643075"/>
    <w:rsid w:val="006436EE"/>
    <w:rsid w:val="00643E51"/>
    <w:rsid w:val="006447AA"/>
    <w:rsid w:val="0064492A"/>
    <w:rsid w:val="00645BA7"/>
    <w:rsid w:val="006467CF"/>
    <w:rsid w:val="006471FD"/>
    <w:rsid w:val="00647BBE"/>
    <w:rsid w:val="00647D5F"/>
    <w:rsid w:val="00650209"/>
    <w:rsid w:val="00650617"/>
    <w:rsid w:val="00650D94"/>
    <w:rsid w:val="00651D7B"/>
    <w:rsid w:val="00651EE8"/>
    <w:rsid w:val="006523DF"/>
    <w:rsid w:val="00652C9F"/>
    <w:rsid w:val="00653DA5"/>
    <w:rsid w:val="00654654"/>
    <w:rsid w:val="006551B2"/>
    <w:rsid w:val="006553A3"/>
    <w:rsid w:val="00655D76"/>
    <w:rsid w:val="006563D8"/>
    <w:rsid w:val="00656459"/>
    <w:rsid w:val="006567EF"/>
    <w:rsid w:val="00657846"/>
    <w:rsid w:val="00661EDB"/>
    <w:rsid w:val="00662EFE"/>
    <w:rsid w:val="00663DDA"/>
    <w:rsid w:val="00664EBB"/>
    <w:rsid w:val="00665EF0"/>
    <w:rsid w:val="006660B4"/>
    <w:rsid w:val="00666573"/>
    <w:rsid w:val="00666867"/>
    <w:rsid w:val="00666F7C"/>
    <w:rsid w:val="0066729D"/>
    <w:rsid w:val="006675D2"/>
    <w:rsid w:val="006675EA"/>
    <w:rsid w:val="006677A8"/>
    <w:rsid w:val="00667AB6"/>
    <w:rsid w:val="00667C72"/>
    <w:rsid w:val="006702D0"/>
    <w:rsid w:val="00671455"/>
    <w:rsid w:val="00671528"/>
    <w:rsid w:val="006717AC"/>
    <w:rsid w:val="00671DB3"/>
    <w:rsid w:val="00671F50"/>
    <w:rsid w:val="006727F2"/>
    <w:rsid w:val="00673822"/>
    <w:rsid w:val="00673CB4"/>
    <w:rsid w:val="00673DC1"/>
    <w:rsid w:val="00674F0C"/>
    <w:rsid w:val="0067516A"/>
    <w:rsid w:val="0067581D"/>
    <w:rsid w:val="006765D8"/>
    <w:rsid w:val="00681844"/>
    <w:rsid w:val="00682112"/>
    <w:rsid w:val="006823D4"/>
    <w:rsid w:val="00682E31"/>
    <w:rsid w:val="00682E5B"/>
    <w:rsid w:val="00682FBE"/>
    <w:rsid w:val="0068387C"/>
    <w:rsid w:val="00683D90"/>
    <w:rsid w:val="00683ED2"/>
    <w:rsid w:val="00684333"/>
    <w:rsid w:val="00684E55"/>
    <w:rsid w:val="006856BA"/>
    <w:rsid w:val="00685858"/>
    <w:rsid w:val="00686C9A"/>
    <w:rsid w:val="00687ED6"/>
    <w:rsid w:val="00690C38"/>
    <w:rsid w:val="00690F97"/>
    <w:rsid w:val="006911D5"/>
    <w:rsid w:val="00691DA9"/>
    <w:rsid w:val="00692199"/>
    <w:rsid w:val="00692277"/>
    <w:rsid w:val="00692CB0"/>
    <w:rsid w:val="006933A8"/>
    <w:rsid w:val="00694193"/>
    <w:rsid w:val="0069445A"/>
    <w:rsid w:val="00694555"/>
    <w:rsid w:val="00694727"/>
    <w:rsid w:val="00694868"/>
    <w:rsid w:val="00695476"/>
    <w:rsid w:val="00695DF3"/>
    <w:rsid w:val="00697D57"/>
    <w:rsid w:val="006A0595"/>
    <w:rsid w:val="006A0618"/>
    <w:rsid w:val="006A0FD6"/>
    <w:rsid w:val="006A1D97"/>
    <w:rsid w:val="006A2625"/>
    <w:rsid w:val="006A30C7"/>
    <w:rsid w:val="006A48A0"/>
    <w:rsid w:val="006A5422"/>
    <w:rsid w:val="006A6142"/>
    <w:rsid w:val="006A61E1"/>
    <w:rsid w:val="006A6C37"/>
    <w:rsid w:val="006A6E39"/>
    <w:rsid w:val="006A72B8"/>
    <w:rsid w:val="006A7FD2"/>
    <w:rsid w:val="006B02B8"/>
    <w:rsid w:val="006B0423"/>
    <w:rsid w:val="006B07DC"/>
    <w:rsid w:val="006B0B41"/>
    <w:rsid w:val="006B14D5"/>
    <w:rsid w:val="006B1717"/>
    <w:rsid w:val="006B177A"/>
    <w:rsid w:val="006B1BD6"/>
    <w:rsid w:val="006B1CB2"/>
    <w:rsid w:val="006B1E1E"/>
    <w:rsid w:val="006B22BD"/>
    <w:rsid w:val="006B27E4"/>
    <w:rsid w:val="006B2B35"/>
    <w:rsid w:val="006B3607"/>
    <w:rsid w:val="006B3CBF"/>
    <w:rsid w:val="006B481F"/>
    <w:rsid w:val="006B4AE3"/>
    <w:rsid w:val="006B4D2A"/>
    <w:rsid w:val="006B53E2"/>
    <w:rsid w:val="006B6436"/>
    <w:rsid w:val="006C04F4"/>
    <w:rsid w:val="006C0B7A"/>
    <w:rsid w:val="006C1F68"/>
    <w:rsid w:val="006C32DA"/>
    <w:rsid w:val="006C3939"/>
    <w:rsid w:val="006C3DF2"/>
    <w:rsid w:val="006C432C"/>
    <w:rsid w:val="006C4413"/>
    <w:rsid w:val="006C4575"/>
    <w:rsid w:val="006C4BFD"/>
    <w:rsid w:val="006C4DCC"/>
    <w:rsid w:val="006C6090"/>
    <w:rsid w:val="006C778A"/>
    <w:rsid w:val="006D0BA3"/>
    <w:rsid w:val="006D1236"/>
    <w:rsid w:val="006D17E8"/>
    <w:rsid w:val="006D2D6A"/>
    <w:rsid w:val="006D2D71"/>
    <w:rsid w:val="006D3211"/>
    <w:rsid w:val="006D3236"/>
    <w:rsid w:val="006D3CB3"/>
    <w:rsid w:val="006D462C"/>
    <w:rsid w:val="006D495F"/>
    <w:rsid w:val="006D50FE"/>
    <w:rsid w:val="006D5384"/>
    <w:rsid w:val="006D572F"/>
    <w:rsid w:val="006D57D7"/>
    <w:rsid w:val="006D5F82"/>
    <w:rsid w:val="006D6E65"/>
    <w:rsid w:val="006D7032"/>
    <w:rsid w:val="006D7E61"/>
    <w:rsid w:val="006E01B3"/>
    <w:rsid w:val="006E0A9C"/>
    <w:rsid w:val="006E0ACB"/>
    <w:rsid w:val="006E0F71"/>
    <w:rsid w:val="006E1A2F"/>
    <w:rsid w:val="006E1B7D"/>
    <w:rsid w:val="006E32B7"/>
    <w:rsid w:val="006E380B"/>
    <w:rsid w:val="006E4516"/>
    <w:rsid w:val="006E4CA8"/>
    <w:rsid w:val="006E5E08"/>
    <w:rsid w:val="006E5F5F"/>
    <w:rsid w:val="006E6481"/>
    <w:rsid w:val="006F05C6"/>
    <w:rsid w:val="006F09F2"/>
    <w:rsid w:val="006F0B5C"/>
    <w:rsid w:val="006F0C92"/>
    <w:rsid w:val="006F128A"/>
    <w:rsid w:val="006F13FB"/>
    <w:rsid w:val="006F3F45"/>
    <w:rsid w:val="006F42A0"/>
    <w:rsid w:val="006F44F2"/>
    <w:rsid w:val="006F4693"/>
    <w:rsid w:val="006F4C4B"/>
    <w:rsid w:val="006F5064"/>
    <w:rsid w:val="006F63B1"/>
    <w:rsid w:val="006F6D15"/>
    <w:rsid w:val="006F6DD7"/>
    <w:rsid w:val="00700CC5"/>
    <w:rsid w:val="00700CD7"/>
    <w:rsid w:val="00700EE4"/>
    <w:rsid w:val="00701B9C"/>
    <w:rsid w:val="00701F18"/>
    <w:rsid w:val="0070206C"/>
    <w:rsid w:val="007021D4"/>
    <w:rsid w:val="007024EF"/>
    <w:rsid w:val="007030B9"/>
    <w:rsid w:val="00703A9C"/>
    <w:rsid w:val="00704146"/>
    <w:rsid w:val="00704A1F"/>
    <w:rsid w:val="00704C51"/>
    <w:rsid w:val="00705385"/>
    <w:rsid w:val="00705450"/>
    <w:rsid w:val="00705BAF"/>
    <w:rsid w:val="00705FDB"/>
    <w:rsid w:val="007062A4"/>
    <w:rsid w:val="0070633E"/>
    <w:rsid w:val="00706474"/>
    <w:rsid w:val="007106AE"/>
    <w:rsid w:val="00710A68"/>
    <w:rsid w:val="00711327"/>
    <w:rsid w:val="007113B7"/>
    <w:rsid w:val="00712448"/>
    <w:rsid w:val="007127CD"/>
    <w:rsid w:val="00713433"/>
    <w:rsid w:val="00713878"/>
    <w:rsid w:val="00713BD6"/>
    <w:rsid w:val="00713C7E"/>
    <w:rsid w:val="00713EC1"/>
    <w:rsid w:val="0071410D"/>
    <w:rsid w:val="0071424C"/>
    <w:rsid w:val="00714626"/>
    <w:rsid w:val="00714933"/>
    <w:rsid w:val="00714CE6"/>
    <w:rsid w:val="007157E3"/>
    <w:rsid w:val="00715C95"/>
    <w:rsid w:val="00715DD4"/>
    <w:rsid w:val="0071689B"/>
    <w:rsid w:val="00716B67"/>
    <w:rsid w:val="00717335"/>
    <w:rsid w:val="007177A5"/>
    <w:rsid w:val="00720ACB"/>
    <w:rsid w:val="007219AF"/>
    <w:rsid w:val="00722910"/>
    <w:rsid w:val="00722DC0"/>
    <w:rsid w:val="007232E7"/>
    <w:rsid w:val="0072344E"/>
    <w:rsid w:val="00723EE9"/>
    <w:rsid w:val="00723F90"/>
    <w:rsid w:val="0072438E"/>
    <w:rsid w:val="00725242"/>
    <w:rsid w:val="00725E22"/>
    <w:rsid w:val="00726433"/>
    <w:rsid w:val="00726B10"/>
    <w:rsid w:val="0072708A"/>
    <w:rsid w:val="007273C4"/>
    <w:rsid w:val="007301F2"/>
    <w:rsid w:val="007310D4"/>
    <w:rsid w:val="00731C39"/>
    <w:rsid w:val="00731D6A"/>
    <w:rsid w:val="007321E6"/>
    <w:rsid w:val="0073279C"/>
    <w:rsid w:val="00733285"/>
    <w:rsid w:val="00734C2C"/>
    <w:rsid w:val="0073637F"/>
    <w:rsid w:val="0073644A"/>
    <w:rsid w:val="00737012"/>
    <w:rsid w:val="0073740C"/>
    <w:rsid w:val="00737A58"/>
    <w:rsid w:val="00737B4C"/>
    <w:rsid w:val="007401DE"/>
    <w:rsid w:val="00741906"/>
    <w:rsid w:val="00741C6A"/>
    <w:rsid w:val="00741D8C"/>
    <w:rsid w:val="00741E54"/>
    <w:rsid w:val="007421D9"/>
    <w:rsid w:val="00742ADB"/>
    <w:rsid w:val="0074398B"/>
    <w:rsid w:val="00743B7C"/>
    <w:rsid w:val="00743BDB"/>
    <w:rsid w:val="00745DE1"/>
    <w:rsid w:val="007465F3"/>
    <w:rsid w:val="007474B7"/>
    <w:rsid w:val="00747843"/>
    <w:rsid w:val="00750CD5"/>
    <w:rsid w:val="007517DA"/>
    <w:rsid w:val="00751857"/>
    <w:rsid w:val="0075211B"/>
    <w:rsid w:val="00752BF1"/>
    <w:rsid w:val="00753379"/>
    <w:rsid w:val="00754505"/>
    <w:rsid w:val="00754B44"/>
    <w:rsid w:val="00754CDB"/>
    <w:rsid w:val="00755654"/>
    <w:rsid w:val="00755EB3"/>
    <w:rsid w:val="007566CF"/>
    <w:rsid w:val="0075763F"/>
    <w:rsid w:val="0076053B"/>
    <w:rsid w:val="007607DB"/>
    <w:rsid w:val="00760EE2"/>
    <w:rsid w:val="0076185A"/>
    <w:rsid w:val="00761CC1"/>
    <w:rsid w:val="00761FCD"/>
    <w:rsid w:val="00762889"/>
    <w:rsid w:val="00762A42"/>
    <w:rsid w:val="00763C61"/>
    <w:rsid w:val="00766A23"/>
    <w:rsid w:val="00766A40"/>
    <w:rsid w:val="00766B07"/>
    <w:rsid w:val="00766C43"/>
    <w:rsid w:val="0076724E"/>
    <w:rsid w:val="007673F0"/>
    <w:rsid w:val="00770327"/>
    <w:rsid w:val="00770FF8"/>
    <w:rsid w:val="00772265"/>
    <w:rsid w:val="00772EF6"/>
    <w:rsid w:val="00773381"/>
    <w:rsid w:val="007733BC"/>
    <w:rsid w:val="0077349E"/>
    <w:rsid w:val="00773738"/>
    <w:rsid w:val="00773FF4"/>
    <w:rsid w:val="0077400A"/>
    <w:rsid w:val="007749AA"/>
    <w:rsid w:val="00774AE8"/>
    <w:rsid w:val="007757E9"/>
    <w:rsid w:val="00776013"/>
    <w:rsid w:val="0077611A"/>
    <w:rsid w:val="0077646F"/>
    <w:rsid w:val="00776568"/>
    <w:rsid w:val="007767B5"/>
    <w:rsid w:val="00776888"/>
    <w:rsid w:val="0077724D"/>
    <w:rsid w:val="007773BA"/>
    <w:rsid w:val="00777868"/>
    <w:rsid w:val="00780919"/>
    <w:rsid w:val="0078215C"/>
    <w:rsid w:val="0078215E"/>
    <w:rsid w:val="00782E20"/>
    <w:rsid w:val="0078396D"/>
    <w:rsid w:val="00784643"/>
    <w:rsid w:val="007847CF"/>
    <w:rsid w:val="007852AC"/>
    <w:rsid w:val="00785518"/>
    <w:rsid w:val="00785797"/>
    <w:rsid w:val="007857CF"/>
    <w:rsid w:val="0078624D"/>
    <w:rsid w:val="00786BE1"/>
    <w:rsid w:val="00786F53"/>
    <w:rsid w:val="00790CFE"/>
    <w:rsid w:val="00791332"/>
    <w:rsid w:val="0079145D"/>
    <w:rsid w:val="00791D6E"/>
    <w:rsid w:val="00791E60"/>
    <w:rsid w:val="00791E92"/>
    <w:rsid w:val="007925F5"/>
    <w:rsid w:val="00792859"/>
    <w:rsid w:val="00793773"/>
    <w:rsid w:val="0079390C"/>
    <w:rsid w:val="00794777"/>
    <w:rsid w:val="00794D25"/>
    <w:rsid w:val="007953A4"/>
    <w:rsid w:val="007958AC"/>
    <w:rsid w:val="007A0B8D"/>
    <w:rsid w:val="007A0DD1"/>
    <w:rsid w:val="007A1332"/>
    <w:rsid w:val="007A13DC"/>
    <w:rsid w:val="007A14EC"/>
    <w:rsid w:val="007A1B2B"/>
    <w:rsid w:val="007A1D90"/>
    <w:rsid w:val="007A2273"/>
    <w:rsid w:val="007A2413"/>
    <w:rsid w:val="007A3610"/>
    <w:rsid w:val="007A376B"/>
    <w:rsid w:val="007A3DE0"/>
    <w:rsid w:val="007A4172"/>
    <w:rsid w:val="007A42CF"/>
    <w:rsid w:val="007A46B5"/>
    <w:rsid w:val="007A4777"/>
    <w:rsid w:val="007A4D86"/>
    <w:rsid w:val="007A5082"/>
    <w:rsid w:val="007A54D1"/>
    <w:rsid w:val="007A56F9"/>
    <w:rsid w:val="007A5D77"/>
    <w:rsid w:val="007A5F72"/>
    <w:rsid w:val="007A7DF9"/>
    <w:rsid w:val="007A7F6C"/>
    <w:rsid w:val="007B035C"/>
    <w:rsid w:val="007B0F9F"/>
    <w:rsid w:val="007B1358"/>
    <w:rsid w:val="007B1A37"/>
    <w:rsid w:val="007B1F21"/>
    <w:rsid w:val="007B2A59"/>
    <w:rsid w:val="007B3ABD"/>
    <w:rsid w:val="007B4B38"/>
    <w:rsid w:val="007B4CFE"/>
    <w:rsid w:val="007B5021"/>
    <w:rsid w:val="007B5092"/>
    <w:rsid w:val="007B57E9"/>
    <w:rsid w:val="007B5D4B"/>
    <w:rsid w:val="007B65AC"/>
    <w:rsid w:val="007B6EF7"/>
    <w:rsid w:val="007B71D5"/>
    <w:rsid w:val="007B7A85"/>
    <w:rsid w:val="007C041E"/>
    <w:rsid w:val="007C0664"/>
    <w:rsid w:val="007C117F"/>
    <w:rsid w:val="007C32A4"/>
    <w:rsid w:val="007C32B5"/>
    <w:rsid w:val="007C3867"/>
    <w:rsid w:val="007C3898"/>
    <w:rsid w:val="007C3982"/>
    <w:rsid w:val="007C479E"/>
    <w:rsid w:val="007C4C84"/>
    <w:rsid w:val="007C50EC"/>
    <w:rsid w:val="007C5ABB"/>
    <w:rsid w:val="007C5D7A"/>
    <w:rsid w:val="007C60C6"/>
    <w:rsid w:val="007C6945"/>
    <w:rsid w:val="007C6F38"/>
    <w:rsid w:val="007C7686"/>
    <w:rsid w:val="007D0204"/>
    <w:rsid w:val="007D1753"/>
    <w:rsid w:val="007D18FC"/>
    <w:rsid w:val="007D2225"/>
    <w:rsid w:val="007D23A7"/>
    <w:rsid w:val="007D26BE"/>
    <w:rsid w:val="007D2C2E"/>
    <w:rsid w:val="007D352B"/>
    <w:rsid w:val="007D39C0"/>
    <w:rsid w:val="007D3B0D"/>
    <w:rsid w:val="007D3C0C"/>
    <w:rsid w:val="007D3D87"/>
    <w:rsid w:val="007D3EB1"/>
    <w:rsid w:val="007D50A0"/>
    <w:rsid w:val="007D50F9"/>
    <w:rsid w:val="007D54CD"/>
    <w:rsid w:val="007D563F"/>
    <w:rsid w:val="007D70B7"/>
    <w:rsid w:val="007E0274"/>
    <w:rsid w:val="007E0E46"/>
    <w:rsid w:val="007E1578"/>
    <w:rsid w:val="007E2406"/>
    <w:rsid w:val="007E24D8"/>
    <w:rsid w:val="007E39B1"/>
    <w:rsid w:val="007E3B04"/>
    <w:rsid w:val="007E475F"/>
    <w:rsid w:val="007E61B1"/>
    <w:rsid w:val="007E691D"/>
    <w:rsid w:val="007E6F8F"/>
    <w:rsid w:val="007E708F"/>
    <w:rsid w:val="007E70D3"/>
    <w:rsid w:val="007E7219"/>
    <w:rsid w:val="007F17C1"/>
    <w:rsid w:val="007F1A2C"/>
    <w:rsid w:val="007F1BB5"/>
    <w:rsid w:val="007F243B"/>
    <w:rsid w:val="007F3761"/>
    <w:rsid w:val="007F3C05"/>
    <w:rsid w:val="007F4CCE"/>
    <w:rsid w:val="007F4F89"/>
    <w:rsid w:val="007F6608"/>
    <w:rsid w:val="007F6970"/>
    <w:rsid w:val="007F69B9"/>
    <w:rsid w:val="007F6AA4"/>
    <w:rsid w:val="007F6C2F"/>
    <w:rsid w:val="007F6CB7"/>
    <w:rsid w:val="007F78D8"/>
    <w:rsid w:val="00801EE2"/>
    <w:rsid w:val="008025BA"/>
    <w:rsid w:val="00802D84"/>
    <w:rsid w:val="00802EDD"/>
    <w:rsid w:val="00802FA2"/>
    <w:rsid w:val="008038C2"/>
    <w:rsid w:val="008044FD"/>
    <w:rsid w:val="00806202"/>
    <w:rsid w:val="00806BF4"/>
    <w:rsid w:val="00810CF6"/>
    <w:rsid w:val="00810D84"/>
    <w:rsid w:val="00811038"/>
    <w:rsid w:val="00811725"/>
    <w:rsid w:val="0081190D"/>
    <w:rsid w:val="008124BC"/>
    <w:rsid w:val="008131C6"/>
    <w:rsid w:val="0081340E"/>
    <w:rsid w:val="00813DE1"/>
    <w:rsid w:val="0081499A"/>
    <w:rsid w:val="00815037"/>
    <w:rsid w:val="00816003"/>
    <w:rsid w:val="0081633A"/>
    <w:rsid w:val="00816C97"/>
    <w:rsid w:val="008172E8"/>
    <w:rsid w:val="008179B6"/>
    <w:rsid w:val="00817AC0"/>
    <w:rsid w:val="00820093"/>
    <w:rsid w:val="0082055F"/>
    <w:rsid w:val="00821602"/>
    <w:rsid w:val="008217D9"/>
    <w:rsid w:val="00822179"/>
    <w:rsid w:val="0082320A"/>
    <w:rsid w:val="00823282"/>
    <w:rsid w:val="00823B94"/>
    <w:rsid w:val="0082447B"/>
    <w:rsid w:val="008250FD"/>
    <w:rsid w:val="0082675E"/>
    <w:rsid w:val="00827368"/>
    <w:rsid w:val="008273CC"/>
    <w:rsid w:val="00830025"/>
    <w:rsid w:val="00830060"/>
    <w:rsid w:val="00830765"/>
    <w:rsid w:val="00830EEE"/>
    <w:rsid w:val="00832B4A"/>
    <w:rsid w:val="00832C6E"/>
    <w:rsid w:val="00833910"/>
    <w:rsid w:val="008339EF"/>
    <w:rsid w:val="00833AC1"/>
    <w:rsid w:val="00834D1F"/>
    <w:rsid w:val="00834E84"/>
    <w:rsid w:val="00835051"/>
    <w:rsid w:val="008360F4"/>
    <w:rsid w:val="00836D50"/>
    <w:rsid w:val="00836E76"/>
    <w:rsid w:val="008371F6"/>
    <w:rsid w:val="00837567"/>
    <w:rsid w:val="0083764C"/>
    <w:rsid w:val="00837853"/>
    <w:rsid w:val="00837887"/>
    <w:rsid w:val="00837947"/>
    <w:rsid w:val="00837A73"/>
    <w:rsid w:val="00837F02"/>
    <w:rsid w:val="0084051D"/>
    <w:rsid w:val="00840C4A"/>
    <w:rsid w:val="00841BCB"/>
    <w:rsid w:val="00842661"/>
    <w:rsid w:val="0084368C"/>
    <w:rsid w:val="0084371D"/>
    <w:rsid w:val="00843A43"/>
    <w:rsid w:val="00843CC4"/>
    <w:rsid w:val="00843E0E"/>
    <w:rsid w:val="0084401D"/>
    <w:rsid w:val="008444C5"/>
    <w:rsid w:val="00845489"/>
    <w:rsid w:val="008459AF"/>
    <w:rsid w:val="00846142"/>
    <w:rsid w:val="0084620A"/>
    <w:rsid w:val="00846FAA"/>
    <w:rsid w:val="00847185"/>
    <w:rsid w:val="00847DC3"/>
    <w:rsid w:val="00847DEF"/>
    <w:rsid w:val="00847E98"/>
    <w:rsid w:val="00847F01"/>
    <w:rsid w:val="0085050A"/>
    <w:rsid w:val="008510FF"/>
    <w:rsid w:val="008537CF"/>
    <w:rsid w:val="0085450F"/>
    <w:rsid w:val="00855707"/>
    <w:rsid w:val="00855B0C"/>
    <w:rsid w:val="00856226"/>
    <w:rsid w:val="0085686B"/>
    <w:rsid w:val="00856BFA"/>
    <w:rsid w:val="00856F3E"/>
    <w:rsid w:val="00857489"/>
    <w:rsid w:val="00857A2A"/>
    <w:rsid w:val="00860882"/>
    <w:rsid w:val="008609F1"/>
    <w:rsid w:val="00860BC1"/>
    <w:rsid w:val="00861669"/>
    <w:rsid w:val="0086168F"/>
    <w:rsid w:val="008622B7"/>
    <w:rsid w:val="00862D6E"/>
    <w:rsid w:val="00863B1C"/>
    <w:rsid w:val="00863C83"/>
    <w:rsid w:val="00863D26"/>
    <w:rsid w:val="00863F76"/>
    <w:rsid w:val="008643E8"/>
    <w:rsid w:val="00864843"/>
    <w:rsid w:val="0086490C"/>
    <w:rsid w:val="00864986"/>
    <w:rsid w:val="00864AB3"/>
    <w:rsid w:val="008650C3"/>
    <w:rsid w:val="00865C3A"/>
    <w:rsid w:val="00865D80"/>
    <w:rsid w:val="00865DFB"/>
    <w:rsid w:val="0086609D"/>
    <w:rsid w:val="00866663"/>
    <w:rsid w:val="008668BB"/>
    <w:rsid w:val="00866B77"/>
    <w:rsid w:val="00866CBC"/>
    <w:rsid w:val="00866ED9"/>
    <w:rsid w:val="00867665"/>
    <w:rsid w:val="008730CB"/>
    <w:rsid w:val="00873310"/>
    <w:rsid w:val="0087335A"/>
    <w:rsid w:val="00875319"/>
    <w:rsid w:val="0087575E"/>
    <w:rsid w:val="00875A22"/>
    <w:rsid w:val="00876BBA"/>
    <w:rsid w:val="0087741F"/>
    <w:rsid w:val="008775DA"/>
    <w:rsid w:val="00882024"/>
    <w:rsid w:val="008820F3"/>
    <w:rsid w:val="00883664"/>
    <w:rsid w:val="008837EF"/>
    <w:rsid w:val="00884805"/>
    <w:rsid w:val="00884924"/>
    <w:rsid w:val="008849D4"/>
    <w:rsid w:val="008850C5"/>
    <w:rsid w:val="00885726"/>
    <w:rsid w:val="0088620C"/>
    <w:rsid w:val="0088662A"/>
    <w:rsid w:val="00890492"/>
    <w:rsid w:val="00890C91"/>
    <w:rsid w:val="00890ECE"/>
    <w:rsid w:val="0089256B"/>
    <w:rsid w:val="0089316B"/>
    <w:rsid w:val="0089373D"/>
    <w:rsid w:val="008943D7"/>
    <w:rsid w:val="0089474E"/>
    <w:rsid w:val="0089497D"/>
    <w:rsid w:val="00894DBA"/>
    <w:rsid w:val="00895C25"/>
    <w:rsid w:val="00896897"/>
    <w:rsid w:val="008969C8"/>
    <w:rsid w:val="00896EAE"/>
    <w:rsid w:val="0089706C"/>
    <w:rsid w:val="00897AEB"/>
    <w:rsid w:val="008A1A3B"/>
    <w:rsid w:val="008A1DF9"/>
    <w:rsid w:val="008A20B7"/>
    <w:rsid w:val="008A27AA"/>
    <w:rsid w:val="008A282F"/>
    <w:rsid w:val="008A2F06"/>
    <w:rsid w:val="008A30D3"/>
    <w:rsid w:val="008A35F9"/>
    <w:rsid w:val="008A381D"/>
    <w:rsid w:val="008A445E"/>
    <w:rsid w:val="008A475A"/>
    <w:rsid w:val="008A5736"/>
    <w:rsid w:val="008A5854"/>
    <w:rsid w:val="008A59A3"/>
    <w:rsid w:val="008A65C9"/>
    <w:rsid w:val="008A77E8"/>
    <w:rsid w:val="008B11D6"/>
    <w:rsid w:val="008B3BC3"/>
    <w:rsid w:val="008B3C8D"/>
    <w:rsid w:val="008B3CBF"/>
    <w:rsid w:val="008B3EF0"/>
    <w:rsid w:val="008B4D5F"/>
    <w:rsid w:val="008B5CDF"/>
    <w:rsid w:val="008B63A2"/>
    <w:rsid w:val="008B676F"/>
    <w:rsid w:val="008C0C10"/>
    <w:rsid w:val="008C0FC4"/>
    <w:rsid w:val="008C11D1"/>
    <w:rsid w:val="008C2057"/>
    <w:rsid w:val="008C2283"/>
    <w:rsid w:val="008C2D66"/>
    <w:rsid w:val="008C31A8"/>
    <w:rsid w:val="008C33DF"/>
    <w:rsid w:val="008C4047"/>
    <w:rsid w:val="008C4BC9"/>
    <w:rsid w:val="008C5819"/>
    <w:rsid w:val="008C5E07"/>
    <w:rsid w:val="008C619C"/>
    <w:rsid w:val="008C6745"/>
    <w:rsid w:val="008C6EEC"/>
    <w:rsid w:val="008C7479"/>
    <w:rsid w:val="008D032D"/>
    <w:rsid w:val="008D07CA"/>
    <w:rsid w:val="008D0D98"/>
    <w:rsid w:val="008D1761"/>
    <w:rsid w:val="008D1EFE"/>
    <w:rsid w:val="008D260F"/>
    <w:rsid w:val="008D3172"/>
    <w:rsid w:val="008D49D4"/>
    <w:rsid w:val="008D4A63"/>
    <w:rsid w:val="008D4AB0"/>
    <w:rsid w:val="008D4D86"/>
    <w:rsid w:val="008D4E74"/>
    <w:rsid w:val="008D4FEF"/>
    <w:rsid w:val="008D5D3E"/>
    <w:rsid w:val="008D5DBE"/>
    <w:rsid w:val="008D602C"/>
    <w:rsid w:val="008D673D"/>
    <w:rsid w:val="008D77B4"/>
    <w:rsid w:val="008D7CFD"/>
    <w:rsid w:val="008E04E7"/>
    <w:rsid w:val="008E0EFE"/>
    <w:rsid w:val="008E182F"/>
    <w:rsid w:val="008E223F"/>
    <w:rsid w:val="008E2CFB"/>
    <w:rsid w:val="008E2DD9"/>
    <w:rsid w:val="008E32A5"/>
    <w:rsid w:val="008E34F3"/>
    <w:rsid w:val="008E3EB8"/>
    <w:rsid w:val="008E40A6"/>
    <w:rsid w:val="008E4425"/>
    <w:rsid w:val="008E482A"/>
    <w:rsid w:val="008E527D"/>
    <w:rsid w:val="008E5688"/>
    <w:rsid w:val="008E58F3"/>
    <w:rsid w:val="008E5957"/>
    <w:rsid w:val="008E5C12"/>
    <w:rsid w:val="008E6655"/>
    <w:rsid w:val="008E6719"/>
    <w:rsid w:val="008E6A6D"/>
    <w:rsid w:val="008E6B5D"/>
    <w:rsid w:val="008E6BCD"/>
    <w:rsid w:val="008E717D"/>
    <w:rsid w:val="008E7185"/>
    <w:rsid w:val="008E718D"/>
    <w:rsid w:val="008E760B"/>
    <w:rsid w:val="008E79E8"/>
    <w:rsid w:val="008E7A71"/>
    <w:rsid w:val="008F1235"/>
    <w:rsid w:val="008F17B0"/>
    <w:rsid w:val="008F1D30"/>
    <w:rsid w:val="008F1E95"/>
    <w:rsid w:val="008F28BE"/>
    <w:rsid w:val="008F2D03"/>
    <w:rsid w:val="008F3302"/>
    <w:rsid w:val="008F39BF"/>
    <w:rsid w:val="008F3DA7"/>
    <w:rsid w:val="008F4625"/>
    <w:rsid w:val="008F4FDB"/>
    <w:rsid w:val="008F5162"/>
    <w:rsid w:val="008F5AB4"/>
    <w:rsid w:val="008F5D5E"/>
    <w:rsid w:val="008F77BF"/>
    <w:rsid w:val="008F77EF"/>
    <w:rsid w:val="00900105"/>
    <w:rsid w:val="00900246"/>
    <w:rsid w:val="009002B7"/>
    <w:rsid w:val="00900ABD"/>
    <w:rsid w:val="009018DF"/>
    <w:rsid w:val="00902558"/>
    <w:rsid w:val="00902869"/>
    <w:rsid w:val="009041CD"/>
    <w:rsid w:val="00905C10"/>
    <w:rsid w:val="00905FC6"/>
    <w:rsid w:val="00906618"/>
    <w:rsid w:val="00906C74"/>
    <w:rsid w:val="00907C20"/>
    <w:rsid w:val="009114A5"/>
    <w:rsid w:val="00911E45"/>
    <w:rsid w:val="009123DC"/>
    <w:rsid w:val="00912914"/>
    <w:rsid w:val="00912DA2"/>
    <w:rsid w:val="00912DEC"/>
    <w:rsid w:val="00913015"/>
    <w:rsid w:val="009139FB"/>
    <w:rsid w:val="00913D11"/>
    <w:rsid w:val="00914B8B"/>
    <w:rsid w:val="00914C08"/>
    <w:rsid w:val="00915259"/>
    <w:rsid w:val="00915EC0"/>
    <w:rsid w:val="009165E7"/>
    <w:rsid w:val="00917C38"/>
    <w:rsid w:val="00917F6C"/>
    <w:rsid w:val="00920393"/>
    <w:rsid w:val="009212FB"/>
    <w:rsid w:val="00921B0D"/>
    <w:rsid w:val="00922695"/>
    <w:rsid w:val="009226DB"/>
    <w:rsid w:val="009227ED"/>
    <w:rsid w:val="00923410"/>
    <w:rsid w:val="009236EC"/>
    <w:rsid w:val="00923A0D"/>
    <w:rsid w:val="0092457F"/>
    <w:rsid w:val="00925452"/>
    <w:rsid w:val="00926EB2"/>
    <w:rsid w:val="00927442"/>
    <w:rsid w:val="0092788A"/>
    <w:rsid w:val="00927C3F"/>
    <w:rsid w:val="00930599"/>
    <w:rsid w:val="00930A0A"/>
    <w:rsid w:val="0093129D"/>
    <w:rsid w:val="00931C42"/>
    <w:rsid w:val="009322C8"/>
    <w:rsid w:val="0093540A"/>
    <w:rsid w:val="009365BA"/>
    <w:rsid w:val="009369D0"/>
    <w:rsid w:val="00937693"/>
    <w:rsid w:val="0093784B"/>
    <w:rsid w:val="009378FB"/>
    <w:rsid w:val="00937EDB"/>
    <w:rsid w:val="00942510"/>
    <w:rsid w:val="00942692"/>
    <w:rsid w:val="00943F38"/>
    <w:rsid w:val="0094439B"/>
    <w:rsid w:val="009446FE"/>
    <w:rsid w:val="00944BFF"/>
    <w:rsid w:val="009451EF"/>
    <w:rsid w:val="009455D3"/>
    <w:rsid w:val="00945AD2"/>
    <w:rsid w:val="0094623F"/>
    <w:rsid w:val="009464E3"/>
    <w:rsid w:val="00946F60"/>
    <w:rsid w:val="009503CB"/>
    <w:rsid w:val="00950422"/>
    <w:rsid w:val="00950DCF"/>
    <w:rsid w:val="009513C7"/>
    <w:rsid w:val="00951C66"/>
    <w:rsid w:val="009522C3"/>
    <w:rsid w:val="00952927"/>
    <w:rsid w:val="00952AC2"/>
    <w:rsid w:val="00953431"/>
    <w:rsid w:val="009535CA"/>
    <w:rsid w:val="00953913"/>
    <w:rsid w:val="00954D87"/>
    <w:rsid w:val="009557B1"/>
    <w:rsid w:val="009559FF"/>
    <w:rsid w:val="00956647"/>
    <w:rsid w:val="0095678A"/>
    <w:rsid w:val="009569FC"/>
    <w:rsid w:val="00956F9D"/>
    <w:rsid w:val="00957BDD"/>
    <w:rsid w:val="00957CDB"/>
    <w:rsid w:val="0096079E"/>
    <w:rsid w:val="00960960"/>
    <w:rsid w:val="00960ECA"/>
    <w:rsid w:val="0096107A"/>
    <w:rsid w:val="009614E8"/>
    <w:rsid w:val="009629F4"/>
    <w:rsid w:val="00962F07"/>
    <w:rsid w:val="009633BD"/>
    <w:rsid w:val="0096397A"/>
    <w:rsid w:val="00963FC3"/>
    <w:rsid w:val="0096427C"/>
    <w:rsid w:val="0096459E"/>
    <w:rsid w:val="00964B85"/>
    <w:rsid w:val="00965617"/>
    <w:rsid w:val="009657B8"/>
    <w:rsid w:val="00966478"/>
    <w:rsid w:val="0096657E"/>
    <w:rsid w:val="00966D1F"/>
    <w:rsid w:val="009672E7"/>
    <w:rsid w:val="0096791D"/>
    <w:rsid w:val="009679EC"/>
    <w:rsid w:val="00967C4D"/>
    <w:rsid w:val="00970F22"/>
    <w:rsid w:val="00973A11"/>
    <w:rsid w:val="00973B1D"/>
    <w:rsid w:val="00974318"/>
    <w:rsid w:val="009745DD"/>
    <w:rsid w:val="00974846"/>
    <w:rsid w:val="00975664"/>
    <w:rsid w:val="0097590D"/>
    <w:rsid w:val="0097654E"/>
    <w:rsid w:val="009767B6"/>
    <w:rsid w:val="00976DC9"/>
    <w:rsid w:val="009771D0"/>
    <w:rsid w:val="009778A6"/>
    <w:rsid w:val="00977A93"/>
    <w:rsid w:val="009814D5"/>
    <w:rsid w:val="00981EB9"/>
    <w:rsid w:val="00982163"/>
    <w:rsid w:val="00982B1C"/>
    <w:rsid w:val="009834E3"/>
    <w:rsid w:val="0098422D"/>
    <w:rsid w:val="0098480D"/>
    <w:rsid w:val="00985AF8"/>
    <w:rsid w:val="00985D03"/>
    <w:rsid w:val="00985D8C"/>
    <w:rsid w:val="00985EF8"/>
    <w:rsid w:val="009865C3"/>
    <w:rsid w:val="00987140"/>
    <w:rsid w:val="009877B9"/>
    <w:rsid w:val="00987993"/>
    <w:rsid w:val="00987ADD"/>
    <w:rsid w:val="009913B4"/>
    <w:rsid w:val="00992422"/>
    <w:rsid w:val="00992AB4"/>
    <w:rsid w:val="009935C1"/>
    <w:rsid w:val="00994398"/>
    <w:rsid w:val="009947CC"/>
    <w:rsid w:val="00995108"/>
    <w:rsid w:val="0099542B"/>
    <w:rsid w:val="00995A57"/>
    <w:rsid w:val="009961D8"/>
    <w:rsid w:val="0099634C"/>
    <w:rsid w:val="009969D9"/>
    <w:rsid w:val="00997427"/>
    <w:rsid w:val="00997502"/>
    <w:rsid w:val="009976A0"/>
    <w:rsid w:val="009A0383"/>
    <w:rsid w:val="009A1BC3"/>
    <w:rsid w:val="009A2562"/>
    <w:rsid w:val="009A2E85"/>
    <w:rsid w:val="009A2F56"/>
    <w:rsid w:val="009A309A"/>
    <w:rsid w:val="009A30D6"/>
    <w:rsid w:val="009A324E"/>
    <w:rsid w:val="009A3472"/>
    <w:rsid w:val="009A347A"/>
    <w:rsid w:val="009A3930"/>
    <w:rsid w:val="009A4D9D"/>
    <w:rsid w:val="009A4E82"/>
    <w:rsid w:val="009A505E"/>
    <w:rsid w:val="009A553D"/>
    <w:rsid w:val="009A59A2"/>
    <w:rsid w:val="009A6F0A"/>
    <w:rsid w:val="009A7EBB"/>
    <w:rsid w:val="009B065D"/>
    <w:rsid w:val="009B15C7"/>
    <w:rsid w:val="009B1D10"/>
    <w:rsid w:val="009B3067"/>
    <w:rsid w:val="009B36F7"/>
    <w:rsid w:val="009B38D4"/>
    <w:rsid w:val="009B3EB1"/>
    <w:rsid w:val="009B40C0"/>
    <w:rsid w:val="009B4790"/>
    <w:rsid w:val="009B5C5C"/>
    <w:rsid w:val="009B5F37"/>
    <w:rsid w:val="009B70BC"/>
    <w:rsid w:val="009B73DE"/>
    <w:rsid w:val="009B75EE"/>
    <w:rsid w:val="009B77CC"/>
    <w:rsid w:val="009B77D8"/>
    <w:rsid w:val="009B7B29"/>
    <w:rsid w:val="009C03A5"/>
    <w:rsid w:val="009C0C78"/>
    <w:rsid w:val="009C11C4"/>
    <w:rsid w:val="009C1EE2"/>
    <w:rsid w:val="009C2169"/>
    <w:rsid w:val="009C259A"/>
    <w:rsid w:val="009C27EC"/>
    <w:rsid w:val="009C2D34"/>
    <w:rsid w:val="009C3064"/>
    <w:rsid w:val="009C3261"/>
    <w:rsid w:val="009C3862"/>
    <w:rsid w:val="009C4101"/>
    <w:rsid w:val="009C4D1E"/>
    <w:rsid w:val="009C4DB9"/>
    <w:rsid w:val="009C4E30"/>
    <w:rsid w:val="009C520A"/>
    <w:rsid w:val="009C57BC"/>
    <w:rsid w:val="009C596A"/>
    <w:rsid w:val="009C5A4F"/>
    <w:rsid w:val="009C5F5B"/>
    <w:rsid w:val="009C608B"/>
    <w:rsid w:val="009C6159"/>
    <w:rsid w:val="009C761E"/>
    <w:rsid w:val="009C7C9F"/>
    <w:rsid w:val="009D0692"/>
    <w:rsid w:val="009D0EC4"/>
    <w:rsid w:val="009D38F2"/>
    <w:rsid w:val="009D3C39"/>
    <w:rsid w:val="009D3DF4"/>
    <w:rsid w:val="009D4662"/>
    <w:rsid w:val="009D4F3C"/>
    <w:rsid w:val="009D51C6"/>
    <w:rsid w:val="009D54CA"/>
    <w:rsid w:val="009D59FB"/>
    <w:rsid w:val="009D5ABF"/>
    <w:rsid w:val="009D5DB4"/>
    <w:rsid w:val="009D6A45"/>
    <w:rsid w:val="009D732D"/>
    <w:rsid w:val="009D7B6D"/>
    <w:rsid w:val="009D7DE5"/>
    <w:rsid w:val="009E0EB2"/>
    <w:rsid w:val="009E1263"/>
    <w:rsid w:val="009E142C"/>
    <w:rsid w:val="009E1483"/>
    <w:rsid w:val="009E167B"/>
    <w:rsid w:val="009E1ABF"/>
    <w:rsid w:val="009E1B71"/>
    <w:rsid w:val="009E244D"/>
    <w:rsid w:val="009E2692"/>
    <w:rsid w:val="009E2EC8"/>
    <w:rsid w:val="009E339E"/>
    <w:rsid w:val="009E3750"/>
    <w:rsid w:val="009E3C7B"/>
    <w:rsid w:val="009E3F1A"/>
    <w:rsid w:val="009E4E5E"/>
    <w:rsid w:val="009E5A5A"/>
    <w:rsid w:val="009E5C4B"/>
    <w:rsid w:val="009E5EDB"/>
    <w:rsid w:val="009E5FEF"/>
    <w:rsid w:val="009E63A8"/>
    <w:rsid w:val="009E7264"/>
    <w:rsid w:val="009E7567"/>
    <w:rsid w:val="009F1CFC"/>
    <w:rsid w:val="009F212B"/>
    <w:rsid w:val="009F25A8"/>
    <w:rsid w:val="009F2696"/>
    <w:rsid w:val="009F3BAB"/>
    <w:rsid w:val="009F3C3B"/>
    <w:rsid w:val="009F4DE3"/>
    <w:rsid w:val="009F4DEC"/>
    <w:rsid w:val="009F4FD4"/>
    <w:rsid w:val="009F51B7"/>
    <w:rsid w:val="009F648F"/>
    <w:rsid w:val="009F6E56"/>
    <w:rsid w:val="009F6E60"/>
    <w:rsid w:val="00A014BD"/>
    <w:rsid w:val="00A024A8"/>
    <w:rsid w:val="00A02E3F"/>
    <w:rsid w:val="00A02EA9"/>
    <w:rsid w:val="00A02FF6"/>
    <w:rsid w:val="00A0302A"/>
    <w:rsid w:val="00A03450"/>
    <w:rsid w:val="00A03B5F"/>
    <w:rsid w:val="00A0415C"/>
    <w:rsid w:val="00A047BE"/>
    <w:rsid w:val="00A0598A"/>
    <w:rsid w:val="00A06081"/>
    <w:rsid w:val="00A065F7"/>
    <w:rsid w:val="00A07FAE"/>
    <w:rsid w:val="00A10398"/>
    <w:rsid w:val="00A10A1F"/>
    <w:rsid w:val="00A10B7A"/>
    <w:rsid w:val="00A11637"/>
    <w:rsid w:val="00A117AB"/>
    <w:rsid w:val="00A11D2A"/>
    <w:rsid w:val="00A12276"/>
    <w:rsid w:val="00A12845"/>
    <w:rsid w:val="00A1323A"/>
    <w:rsid w:val="00A132A6"/>
    <w:rsid w:val="00A1347B"/>
    <w:rsid w:val="00A14B2D"/>
    <w:rsid w:val="00A14F64"/>
    <w:rsid w:val="00A15D32"/>
    <w:rsid w:val="00A1762D"/>
    <w:rsid w:val="00A1766A"/>
    <w:rsid w:val="00A20462"/>
    <w:rsid w:val="00A217DD"/>
    <w:rsid w:val="00A21DBF"/>
    <w:rsid w:val="00A2237A"/>
    <w:rsid w:val="00A224F5"/>
    <w:rsid w:val="00A22B1B"/>
    <w:rsid w:val="00A23369"/>
    <w:rsid w:val="00A237DC"/>
    <w:rsid w:val="00A23802"/>
    <w:rsid w:val="00A24E82"/>
    <w:rsid w:val="00A2540A"/>
    <w:rsid w:val="00A25C79"/>
    <w:rsid w:val="00A26A90"/>
    <w:rsid w:val="00A26B8B"/>
    <w:rsid w:val="00A26D09"/>
    <w:rsid w:val="00A26D4B"/>
    <w:rsid w:val="00A27C82"/>
    <w:rsid w:val="00A30089"/>
    <w:rsid w:val="00A30D8F"/>
    <w:rsid w:val="00A3174A"/>
    <w:rsid w:val="00A32B8F"/>
    <w:rsid w:val="00A33459"/>
    <w:rsid w:val="00A33BF9"/>
    <w:rsid w:val="00A34731"/>
    <w:rsid w:val="00A34756"/>
    <w:rsid w:val="00A3486F"/>
    <w:rsid w:val="00A35941"/>
    <w:rsid w:val="00A35B08"/>
    <w:rsid w:val="00A35FC4"/>
    <w:rsid w:val="00A36766"/>
    <w:rsid w:val="00A36D59"/>
    <w:rsid w:val="00A36D9F"/>
    <w:rsid w:val="00A3732D"/>
    <w:rsid w:val="00A37463"/>
    <w:rsid w:val="00A37538"/>
    <w:rsid w:val="00A37B19"/>
    <w:rsid w:val="00A37E75"/>
    <w:rsid w:val="00A40B2F"/>
    <w:rsid w:val="00A40CA4"/>
    <w:rsid w:val="00A4120C"/>
    <w:rsid w:val="00A41648"/>
    <w:rsid w:val="00A41AD1"/>
    <w:rsid w:val="00A41CA5"/>
    <w:rsid w:val="00A42C03"/>
    <w:rsid w:val="00A43175"/>
    <w:rsid w:val="00A43B7F"/>
    <w:rsid w:val="00A44215"/>
    <w:rsid w:val="00A44281"/>
    <w:rsid w:val="00A44A30"/>
    <w:rsid w:val="00A44B2F"/>
    <w:rsid w:val="00A4523F"/>
    <w:rsid w:val="00A45304"/>
    <w:rsid w:val="00A45D39"/>
    <w:rsid w:val="00A46AFC"/>
    <w:rsid w:val="00A46EE3"/>
    <w:rsid w:val="00A4702B"/>
    <w:rsid w:val="00A472D3"/>
    <w:rsid w:val="00A474E2"/>
    <w:rsid w:val="00A475DB"/>
    <w:rsid w:val="00A5002B"/>
    <w:rsid w:val="00A5037B"/>
    <w:rsid w:val="00A504E5"/>
    <w:rsid w:val="00A506EC"/>
    <w:rsid w:val="00A512B0"/>
    <w:rsid w:val="00A513D2"/>
    <w:rsid w:val="00A52B4C"/>
    <w:rsid w:val="00A52C95"/>
    <w:rsid w:val="00A53027"/>
    <w:rsid w:val="00A53434"/>
    <w:rsid w:val="00A547D2"/>
    <w:rsid w:val="00A548CC"/>
    <w:rsid w:val="00A54C68"/>
    <w:rsid w:val="00A554A0"/>
    <w:rsid w:val="00A55F87"/>
    <w:rsid w:val="00A56877"/>
    <w:rsid w:val="00A57662"/>
    <w:rsid w:val="00A576EC"/>
    <w:rsid w:val="00A5796F"/>
    <w:rsid w:val="00A6199A"/>
    <w:rsid w:val="00A624ED"/>
    <w:rsid w:val="00A629D5"/>
    <w:rsid w:val="00A62F32"/>
    <w:rsid w:val="00A63579"/>
    <w:rsid w:val="00A6390A"/>
    <w:rsid w:val="00A641FD"/>
    <w:rsid w:val="00A64987"/>
    <w:rsid w:val="00A655C9"/>
    <w:rsid w:val="00A661ED"/>
    <w:rsid w:val="00A67204"/>
    <w:rsid w:val="00A678D5"/>
    <w:rsid w:val="00A67DAB"/>
    <w:rsid w:val="00A67DC0"/>
    <w:rsid w:val="00A70B42"/>
    <w:rsid w:val="00A70E0E"/>
    <w:rsid w:val="00A71692"/>
    <w:rsid w:val="00A71AE3"/>
    <w:rsid w:val="00A727EF"/>
    <w:rsid w:val="00A7302F"/>
    <w:rsid w:val="00A7336D"/>
    <w:rsid w:val="00A73E1A"/>
    <w:rsid w:val="00A73FEE"/>
    <w:rsid w:val="00A74A04"/>
    <w:rsid w:val="00A74BD3"/>
    <w:rsid w:val="00A74C3E"/>
    <w:rsid w:val="00A74F69"/>
    <w:rsid w:val="00A757BE"/>
    <w:rsid w:val="00A770E6"/>
    <w:rsid w:val="00A7739A"/>
    <w:rsid w:val="00A778B3"/>
    <w:rsid w:val="00A80037"/>
    <w:rsid w:val="00A803ED"/>
    <w:rsid w:val="00A808A3"/>
    <w:rsid w:val="00A80932"/>
    <w:rsid w:val="00A80D18"/>
    <w:rsid w:val="00A80EC8"/>
    <w:rsid w:val="00A81B1B"/>
    <w:rsid w:val="00A81E14"/>
    <w:rsid w:val="00A822EC"/>
    <w:rsid w:val="00A82330"/>
    <w:rsid w:val="00A84336"/>
    <w:rsid w:val="00A84568"/>
    <w:rsid w:val="00A84788"/>
    <w:rsid w:val="00A860D9"/>
    <w:rsid w:val="00A8786A"/>
    <w:rsid w:val="00A87CC2"/>
    <w:rsid w:val="00A90796"/>
    <w:rsid w:val="00A90FE4"/>
    <w:rsid w:val="00A9205D"/>
    <w:rsid w:val="00A9236F"/>
    <w:rsid w:val="00A925C4"/>
    <w:rsid w:val="00A93360"/>
    <w:rsid w:val="00A9368C"/>
    <w:rsid w:val="00A94C14"/>
    <w:rsid w:val="00A94CC4"/>
    <w:rsid w:val="00A95887"/>
    <w:rsid w:val="00A96612"/>
    <w:rsid w:val="00A9665F"/>
    <w:rsid w:val="00A96B77"/>
    <w:rsid w:val="00AA10F0"/>
    <w:rsid w:val="00AA1D52"/>
    <w:rsid w:val="00AA2610"/>
    <w:rsid w:val="00AA2B85"/>
    <w:rsid w:val="00AA2C8A"/>
    <w:rsid w:val="00AA31A1"/>
    <w:rsid w:val="00AA36A4"/>
    <w:rsid w:val="00AA3C0C"/>
    <w:rsid w:val="00AA49A8"/>
    <w:rsid w:val="00AA4B77"/>
    <w:rsid w:val="00AA55C6"/>
    <w:rsid w:val="00AA5885"/>
    <w:rsid w:val="00AA59EE"/>
    <w:rsid w:val="00AA5DB9"/>
    <w:rsid w:val="00AA628A"/>
    <w:rsid w:val="00AA63D5"/>
    <w:rsid w:val="00AA6B26"/>
    <w:rsid w:val="00AA747A"/>
    <w:rsid w:val="00AA7698"/>
    <w:rsid w:val="00AA7B44"/>
    <w:rsid w:val="00AA7DC7"/>
    <w:rsid w:val="00AA7EDA"/>
    <w:rsid w:val="00AB04C3"/>
    <w:rsid w:val="00AB07AF"/>
    <w:rsid w:val="00AB09E8"/>
    <w:rsid w:val="00AB0C15"/>
    <w:rsid w:val="00AB0F23"/>
    <w:rsid w:val="00AB2196"/>
    <w:rsid w:val="00AB2405"/>
    <w:rsid w:val="00AB3C74"/>
    <w:rsid w:val="00AB6687"/>
    <w:rsid w:val="00AB6CC6"/>
    <w:rsid w:val="00AB6CF2"/>
    <w:rsid w:val="00AB7B88"/>
    <w:rsid w:val="00AC016C"/>
    <w:rsid w:val="00AC078C"/>
    <w:rsid w:val="00AC0D9E"/>
    <w:rsid w:val="00AC1B5F"/>
    <w:rsid w:val="00AC2F0A"/>
    <w:rsid w:val="00AC38A6"/>
    <w:rsid w:val="00AC3CCC"/>
    <w:rsid w:val="00AC4376"/>
    <w:rsid w:val="00AC444B"/>
    <w:rsid w:val="00AC5563"/>
    <w:rsid w:val="00AC58F1"/>
    <w:rsid w:val="00AC6299"/>
    <w:rsid w:val="00AC65C8"/>
    <w:rsid w:val="00AC6F8D"/>
    <w:rsid w:val="00AC75A0"/>
    <w:rsid w:val="00AD0262"/>
    <w:rsid w:val="00AD0413"/>
    <w:rsid w:val="00AD08EC"/>
    <w:rsid w:val="00AD0B38"/>
    <w:rsid w:val="00AD1464"/>
    <w:rsid w:val="00AD22BA"/>
    <w:rsid w:val="00AD27DC"/>
    <w:rsid w:val="00AD32B4"/>
    <w:rsid w:val="00AD33FE"/>
    <w:rsid w:val="00AD4A11"/>
    <w:rsid w:val="00AD5910"/>
    <w:rsid w:val="00AD6844"/>
    <w:rsid w:val="00AD68D5"/>
    <w:rsid w:val="00AD6A4A"/>
    <w:rsid w:val="00AD7036"/>
    <w:rsid w:val="00AD72AC"/>
    <w:rsid w:val="00AD7E79"/>
    <w:rsid w:val="00AE0E6B"/>
    <w:rsid w:val="00AE1B69"/>
    <w:rsid w:val="00AE21FA"/>
    <w:rsid w:val="00AE2744"/>
    <w:rsid w:val="00AE2A22"/>
    <w:rsid w:val="00AE2B0E"/>
    <w:rsid w:val="00AE331B"/>
    <w:rsid w:val="00AE344C"/>
    <w:rsid w:val="00AE355F"/>
    <w:rsid w:val="00AE44C4"/>
    <w:rsid w:val="00AE497B"/>
    <w:rsid w:val="00AE4EE1"/>
    <w:rsid w:val="00AE4F21"/>
    <w:rsid w:val="00AE5141"/>
    <w:rsid w:val="00AE5852"/>
    <w:rsid w:val="00AE5E30"/>
    <w:rsid w:val="00AE62FC"/>
    <w:rsid w:val="00AE705E"/>
    <w:rsid w:val="00AE70DF"/>
    <w:rsid w:val="00AE73A9"/>
    <w:rsid w:val="00AE79B8"/>
    <w:rsid w:val="00AF065F"/>
    <w:rsid w:val="00AF090E"/>
    <w:rsid w:val="00AF0EC7"/>
    <w:rsid w:val="00AF3C29"/>
    <w:rsid w:val="00AF45F4"/>
    <w:rsid w:val="00AF4ABB"/>
    <w:rsid w:val="00AF4B53"/>
    <w:rsid w:val="00AF505D"/>
    <w:rsid w:val="00AF54B4"/>
    <w:rsid w:val="00AF6575"/>
    <w:rsid w:val="00AF6850"/>
    <w:rsid w:val="00AF7081"/>
    <w:rsid w:val="00AF71DB"/>
    <w:rsid w:val="00AF7EA5"/>
    <w:rsid w:val="00B004C4"/>
    <w:rsid w:val="00B007B3"/>
    <w:rsid w:val="00B01325"/>
    <w:rsid w:val="00B0198C"/>
    <w:rsid w:val="00B01F2D"/>
    <w:rsid w:val="00B022DA"/>
    <w:rsid w:val="00B0257D"/>
    <w:rsid w:val="00B028F2"/>
    <w:rsid w:val="00B02FE2"/>
    <w:rsid w:val="00B03651"/>
    <w:rsid w:val="00B03D20"/>
    <w:rsid w:val="00B03E8B"/>
    <w:rsid w:val="00B04533"/>
    <w:rsid w:val="00B04B9A"/>
    <w:rsid w:val="00B05272"/>
    <w:rsid w:val="00B064F6"/>
    <w:rsid w:val="00B0669A"/>
    <w:rsid w:val="00B06925"/>
    <w:rsid w:val="00B06DA6"/>
    <w:rsid w:val="00B07B0B"/>
    <w:rsid w:val="00B106A5"/>
    <w:rsid w:val="00B1080E"/>
    <w:rsid w:val="00B10EFE"/>
    <w:rsid w:val="00B10FB6"/>
    <w:rsid w:val="00B11107"/>
    <w:rsid w:val="00B126EE"/>
    <w:rsid w:val="00B13615"/>
    <w:rsid w:val="00B14714"/>
    <w:rsid w:val="00B15D34"/>
    <w:rsid w:val="00B1605E"/>
    <w:rsid w:val="00B16ACE"/>
    <w:rsid w:val="00B175CA"/>
    <w:rsid w:val="00B17DA7"/>
    <w:rsid w:val="00B17F3C"/>
    <w:rsid w:val="00B2033E"/>
    <w:rsid w:val="00B20C02"/>
    <w:rsid w:val="00B20C12"/>
    <w:rsid w:val="00B20C9D"/>
    <w:rsid w:val="00B212C4"/>
    <w:rsid w:val="00B215CF"/>
    <w:rsid w:val="00B22C6E"/>
    <w:rsid w:val="00B22D4E"/>
    <w:rsid w:val="00B22F74"/>
    <w:rsid w:val="00B235DA"/>
    <w:rsid w:val="00B2458B"/>
    <w:rsid w:val="00B24ACA"/>
    <w:rsid w:val="00B24E90"/>
    <w:rsid w:val="00B24EDD"/>
    <w:rsid w:val="00B25500"/>
    <w:rsid w:val="00B258DC"/>
    <w:rsid w:val="00B259CD"/>
    <w:rsid w:val="00B25B19"/>
    <w:rsid w:val="00B26C1C"/>
    <w:rsid w:val="00B26F6B"/>
    <w:rsid w:val="00B27222"/>
    <w:rsid w:val="00B2797F"/>
    <w:rsid w:val="00B27996"/>
    <w:rsid w:val="00B27BC8"/>
    <w:rsid w:val="00B305B0"/>
    <w:rsid w:val="00B30880"/>
    <w:rsid w:val="00B3280B"/>
    <w:rsid w:val="00B32D15"/>
    <w:rsid w:val="00B33108"/>
    <w:rsid w:val="00B332DA"/>
    <w:rsid w:val="00B34E2E"/>
    <w:rsid w:val="00B35396"/>
    <w:rsid w:val="00B35ADC"/>
    <w:rsid w:val="00B35FBD"/>
    <w:rsid w:val="00B36ABF"/>
    <w:rsid w:val="00B36D69"/>
    <w:rsid w:val="00B36F17"/>
    <w:rsid w:val="00B379C1"/>
    <w:rsid w:val="00B4007C"/>
    <w:rsid w:val="00B401A1"/>
    <w:rsid w:val="00B40788"/>
    <w:rsid w:val="00B41748"/>
    <w:rsid w:val="00B41947"/>
    <w:rsid w:val="00B41966"/>
    <w:rsid w:val="00B4257B"/>
    <w:rsid w:val="00B42C5F"/>
    <w:rsid w:val="00B42EF4"/>
    <w:rsid w:val="00B43C3E"/>
    <w:rsid w:val="00B444B6"/>
    <w:rsid w:val="00B44C21"/>
    <w:rsid w:val="00B46EEB"/>
    <w:rsid w:val="00B46F11"/>
    <w:rsid w:val="00B50199"/>
    <w:rsid w:val="00B512DD"/>
    <w:rsid w:val="00B51B01"/>
    <w:rsid w:val="00B51C56"/>
    <w:rsid w:val="00B51FCD"/>
    <w:rsid w:val="00B531B1"/>
    <w:rsid w:val="00B54749"/>
    <w:rsid w:val="00B5576F"/>
    <w:rsid w:val="00B57D4D"/>
    <w:rsid w:val="00B60822"/>
    <w:rsid w:val="00B60D90"/>
    <w:rsid w:val="00B617FE"/>
    <w:rsid w:val="00B62078"/>
    <w:rsid w:val="00B622FD"/>
    <w:rsid w:val="00B62614"/>
    <w:rsid w:val="00B62CC6"/>
    <w:rsid w:val="00B643AD"/>
    <w:rsid w:val="00B64789"/>
    <w:rsid w:val="00B656A7"/>
    <w:rsid w:val="00B657D8"/>
    <w:rsid w:val="00B6600B"/>
    <w:rsid w:val="00B661EE"/>
    <w:rsid w:val="00B66510"/>
    <w:rsid w:val="00B6661D"/>
    <w:rsid w:val="00B66AC6"/>
    <w:rsid w:val="00B66CD3"/>
    <w:rsid w:val="00B66F34"/>
    <w:rsid w:val="00B67142"/>
    <w:rsid w:val="00B677B2"/>
    <w:rsid w:val="00B702EB"/>
    <w:rsid w:val="00B71444"/>
    <w:rsid w:val="00B7148B"/>
    <w:rsid w:val="00B72ED0"/>
    <w:rsid w:val="00B73082"/>
    <w:rsid w:val="00B73B71"/>
    <w:rsid w:val="00B749D2"/>
    <w:rsid w:val="00B74BD1"/>
    <w:rsid w:val="00B752DC"/>
    <w:rsid w:val="00B75824"/>
    <w:rsid w:val="00B764BD"/>
    <w:rsid w:val="00B80024"/>
    <w:rsid w:val="00B8067E"/>
    <w:rsid w:val="00B808E0"/>
    <w:rsid w:val="00B816E3"/>
    <w:rsid w:val="00B8270E"/>
    <w:rsid w:val="00B841FE"/>
    <w:rsid w:val="00B84209"/>
    <w:rsid w:val="00B844E6"/>
    <w:rsid w:val="00B84EDA"/>
    <w:rsid w:val="00B855F8"/>
    <w:rsid w:val="00B85E2B"/>
    <w:rsid w:val="00B872A7"/>
    <w:rsid w:val="00B8737D"/>
    <w:rsid w:val="00B87D7B"/>
    <w:rsid w:val="00B9129B"/>
    <w:rsid w:val="00B918F5"/>
    <w:rsid w:val="00B919E8"/>
    <w:rsid w:val="00B9237C"/>
    <w:rsid w:val="00B924EC"/>
    <w:rsid w:val="00B92808"/>
    <w:rsid w:val="00B929B7"/>
    <w:rsid w:val="00B92C0F"/>
    <w:rsid w:val="00B92ED8"/>
    <w:rsid w:val="00B930E1"/>
    <w:rsid w:val="00B9374B"/>
    <w:rsid w:val="00B93A65"/>
    <w:rsid w:val="00B94309"/>
    <w:rsid w:val="00B944C7"/>
    <w:rsid w:val="00B95447"/>
    <w:rsid w:val="00B957EC"/>
    <w:rsid w:val="00B95878"/>
    <w:rsid w:val="00B96316"/>
    <w:rsid w:val="00B964C1"/>
    <w:rsid w:val="00B9655C"/>
    <w:rsid w:val="00B97556"/>
    <w:rsid w:val="00B97773"/>
    <w:rsid w:val="00B97AF7"/>
    <w:rsid w:val="00B97C4D"/>
    <w:rsid w:val="00B97DB5"/>
    <w:rsid w:val="00BA0B9F"/>
    <w:rsid w:val="00BA1272"/>
    <w:rsid w:val="00BA1998"/>
    <w:rsid w:val="00BA248A"/>
    <w:rsid w:val="00BA3980"/>
    <w:rsid w:val="00BA3A3B"/>
    <w:rsid w:val="00BA3DD9"/>
    <w:rsid w:val="00BA5227"/>
    <w:rsid w:val="00BA52E8"/>
    <w:rsid w:val="00BA5ADB"/>
    <w:rsid w:val="00BA618B"/>
    <w:rsid w:val="00BA6814"/>
    <w:rsid w:val="00BA6B51"/>
    <w:rsid w:val="00BA6F65"/>
    <w:rsid w:val="00BB1523"/>
    <w:rsid w:val="00BB18A4"/>
    <w:rsid w:val="00BB1A13"/>
    <w:rsid w:val="00BB2D90"/>
    <w:rsid w:val="00BB428A"/>
    <w:rsid w:val="00BB4DE8"/>
    <w:rsid w:val="00BB4E1B"/>
    <w:rsid w:val="00BB556E"/>
    <w:rsid w:val="00BB729D"/>
    <w:rsid w:val="00BB7315"/>
    <w:rsid w:val="00BB7469"/>
    <w:rsid w:val="00BB74AC"/>
    <w:rsid w:val="00BB7542"/>
    <w:rsid w:val="00BC0404"/>
    <w:rsid w:val="00BC048C"/>
    <w:rsid w:val="00BC06BF"/>
    <w:rsid w:val="00BC0860"/>
    <w:rsid w:val="00BC1484"/>
    <w:rsid w:val="00BC1568"/>
    <w:rsid w:val="00BC1F1C"/>
    <w:rsid w:val="00BC2F8D"/>
    <w:rsid w:val="00BC3060"/>
    <w:rsid w:val="00BC4329"/>
    <w:rsid w:val="00BC5611"/>
    <w:rsid w:val="00BC56FE"/>
    <w:rsid w:val="00BC635C"/>
    <w:rsid w:val="00BC6A97"/>
    <w:rsid w:val="00BC7D41"/>
    <w:rsid w:val="00BC7E2B"/>
    <w:rsid w:val="00BD01FF"/>
    <w:rsid w:val="00BD0A10"/>
    <w:rsid w:val="00BD118D"/>
    <w:rsid w:val="00BD1714"/>
    <w:rsid w:val="00BD2D27"/>
    <w:rsid w:val="00BD2F2D"/>
    <w:rsid w:val="00BD3A69"/>
    <w:rsid w:val="00BD3ABD"/>
    <w:rsid w:val="00BD45B4"/>
    <w:rsid w:val="00BD5254"/>
    <w:rsid w:val="00BD526F"/>
    <w:rsid w:val="00BD5360"/>
    <w:rsid w:val="00BD5635"/>
    <w:rsid w:val="00BD580A"/>
    <w:rsid w:val="00BD66E8"/>
    <w:rsid w:val="00BE1189"/>
    <w:rsid w:val="00BE25A6"/>
    <w:rsid w:val="00BE2669"/>
    <w:rsid w:val="00BE3E73"/>
    <w:rsid w:val="00BE43A4"/>
    <w:rsid w:val="00BE49D7"/>
    <w:rsid w:val="00BE4B92"/>
    <w:rsid w:val="00BE504B"/>
    <w:rsid w:val="00BE610B"/>
    <w:rsid w:val="00BE67B6"/>
    <w:rsid w:val="00BE70EE"/>
    <w:rsid w:val="00BE79A4"/>
    <w:rsid w:val="00BE7A1B"/>
    <w:rsid w:val="00BF0907"/>
    <w:rsid w:val="00BF189F"/>
    <w:rsid w:val="00BF2295"/>
    <w:rsid w:val="00BF2F70"/>
    <w:rsid w:val="00BF4C82"/>
    <w:rsid w:val="00BF4D6D"/>
    <w:rsid w:val="00BF5166"/>
    <w:rsid w:val="00BF520E"/>
    <w:rsid w:val="00BF6487"/>
    <w:rsid w:val="00BF653D"/>
    <w:rsid w:val="00BF65B2"/>
    <w:rsid w:val="00BF660F"/>
    <w:rsid w:val="00BF675B"/>
    <w:rsid w:val="00BF6888"/>
    <w:rsid w:val="00BF6B6D"/>
    <w:rsid w:val="00C0036C"/>
    <w:rsid w:val="00C003CE"/>
    <w:rsid w:val="00C00DAA"/>
    <w:rsid w:val="00C01A9C"/>
    <w:rsid w:val="00C02FB2"/>
    <w:rsid w:val="00C0300D"/>
    <w:rsid w:val="00C04D31"/>
    <w:rsid w:val="00C0501E"/>
    <w:rsid w:val="00C059EB"/>
    <w:rsid w:val="00C06D90"/>
    <w:rsid w:val="00C06FD2"/>
    <w:rsid w:val="00C0769E"/>
    <w:rsid w:val="00C0773E"/>
    <w:rsid w:val="00C07F94"/>
    <w:rsid w:val="00C1037A"/>
    <w:rsid w:val="00C10E3B"/>
    <w:rsid w:val="00C12110"/>
    <w:rsid w:val="00C13866"/>
    <w:rsid w:val="00C16456"/>
    <w:rsid w:val="00C16AAA"/>
    <w:rsid w:val="00C16EBC"/>
    <w:rsid w:val="00C1711A"/>
    <w:rsid w:val="00C17187"/>
    <w:rsid w:val="00C17E30"/>
    <w:rsid w:val="00C216A1"/>
    <w:rsid w:val="00C2198E"/>
    <w:rsid w:val="00C21F1D"/>
    <w:rsid w:val="00C223E7"/>
    <w:rsid w:val="00C22405"/>
    <w:rsid w:val="00C22583"/>
    <w:rsid w:val="00C2385E"/>
    <w:rsid w:val="00C23B9B"/>
    <w:rsid w:val="00C24240"/>
    <w:rsid w:val="00C2430A"/>
    <w:rsid w:val="00C2493F"/>
    <w:rsid w:val="00C24EE9"/>
    <w:rsid w:val="00C2529B"/>
    <w:rsid w:val="00C25486"/>
    <w:rsid w:val="00C25539"/>
    <w:rsid w:val="00C25B5E"/>
    <w:rsid w:val="00C26052"/>
    <w:rsid w:val="00C2669F"/>
    <w:rsid w:val="00C2765D"/>
    <w:rsid w:val="00C27F59"/>
    <w:rsid w:val="00C31217"/>
    <w:rsid w:val="00C31918"/>
    <w:rsid w:val="00C31F0F"/>
    <w:rsid w:val="00C32A78"/>
    <w:rsid w:val="00C33881"/>
    <w:rsid w:val="00C3486B"/>
    <w:rsid w:val="00C348CE"/>
    <w:rsid w:val="00C3557D"/>
    <w:rsid w:val="00C35803"/>
    <w:rsid w:val="00C359D2"/>
    <w:rsid w:val="00C370FA"/>
    <w:rsid w:val="00C378D6"/>
    <w:rsid w:val="00C37AE1"/>
    <w:rsid w:val="00C40470"/>
    <w:rsid w:val="00C406AF"/>
    <w:rsid w:val="00C413E5"/>
    <w:rsid w:val="00C42A28"/>
    <w:rsid w:val="00C42E71"/>
    <w:rsid w:val="00C44149"/>
    <w:rsid w:val="00C4506E"/>
    <w:rsid w:val="00C456BB"/>
    <w:rsid w:val="00C45741"/>
    <w:rsid w:val="00C45DCB"/>
    <w:rsid w:val="00C4663E"/>
    <w:rsid w:val="00C4773A"/>
    <w:rsid w:val="00C4796E"/>
    <w:rsid w:val="00C47F38"/>
    <w:rsid w:val="00C51274"/>
    <w:rsid w:val="00C512F0"/>
    <w:rsid w:val="00C51BBC"/>
    <w:rsid w:val="00C53C5A"/>
    <w:rsid w:val="00C5534E"/>
    <w:rsid w:val="00C55632"/>
    <w:rsid w:val="00C564F2"/>
    <w:rsid w:val="00C57F73"/>
    <w:rsid w:val="00C600F7"/>
    <w:rsid w:val="00C611A0"/>
    <w:rsid w:val="00C611FA"/>
    <w:rsid w:val="00C61E4C"/>
    <w:rsid w:val="00C62125"/>
    <w:rsid w:val="00C622F6"/>
    <w:rsid w:val="00C6231E"/>
    <w:rsid w:val="00C624C1"/>
    <w:rsid w:val="00C6337F"/>
    <w:rsid w:val="00C63D4B"/>
    <w:rsid w:val="00C64523"/>
    <w:rsid w:val="00C645A1"/>
    <w:rsid w:val="00C645CA"/>
    <w:rsid w:val="00C657A4"/>
    <w:rsid w:val="00C660F2"/>
    <w:rsid w:val="00C66773"/>
    <w:rsid w:val="00C66DDA"/>
    <w:rsid w:val="00C66E84"/>
    <w:rsid w:val="00C677D5"/>
    <w:rsid w:val="00C67C6F"/>
    <w:rsid w:val="00C67E83"/>
    <w:rsid w:val="00C70321"/>
    <w:rsid w:val="00C7253D"/>
    <w:rsid w:val="00C7318E"/>
    <w:rsid w:val="00C7365F"/>
    <w:rsid w:val="00C74B7C"/>
    <w:rsid w:val="00C761EE"/>
    <w:rsid w:val="00C7631C"/>
    <w:rsid w:val="00C76B91"/>
    <w:rsid w:val="00C76C07"/>
    <w:rsid w:val="00C771D1"/>
    <w:rsid w:val="00C7752B"/>
    <w:rsid w:val="00C77791"/>
    <w:rsid w:val="00C777A3"/>
    <w:rsid w:val="00C77824"/>
    <w:rsid w:val="00C8199D"/>
    <w:rsid w:val="00C81A0F"/>
    <w:rsid w:val="00C81B5F"/>
    <w:rsid w:val="00C81D9B"/>
    <w:rsid w:val="00C81DC8"/>
    <w:rsid w:val="00C81EAA"/>
    <w:rsid w:val="00C841DA"/>
    <w:rsid w:val="00C84223"/>
    <w:rsid w:val="00C84D54"/>
    <w:rsid w:val="00C84D79"/>
    <w:rsid w:val="00C850E1"/>
    <w:rsid w:val="00C851EE"/>
    <w:rsid w:val="00C85225"/>
    <w:rsid w:val="00C85DE7"/>
    <w:rsid w:val="00C86ACC"/>
    <w:rsid w:val="00C86D3D"/>
    <w:rsid w:val="00C87323"/>
    <w:rsid w:val="00C87E6D"/>
    <w:rsid w:val="00C905B8"/>
    <w:rsid w:val="00C90630"/>
    <w:rsid w:val="00C91DBA"/>
    <w:rsid w:val="00C92052"/>
    <w:rsid w:val="00C929BA"/>
    <w:rsid w:val="00C9428B"/>
    <w:rsid w:val="00C953EC"/>
    <w:rsid w:val="00C95A6F"/>
    <w:rsid w:val="00C95D32"/>
    <w:rsid w:val="00C9625F"/>
    <w:rsid w:val="00C96E23"/>
    <w:rsid w:val="00C978B8"/>
    <w:rsid w:val="00C97AAB"/>
    <w:rsid w:val="00CA13DB"/>
    <w:rsid w:val="00CA159D"/>
    <w:rsid w:val="00CA1B7B"/>
    <w:rsid w:val="00CA20D7"/>
    <w:rsid w:val="00CA2C49"/>
    <w:rsid w:val="00CA49F5"/>
    <w:rsid w:val="00CA5998"/>
    <w:rsid w:val="00CA65E2"/>
    <w:rsid w:val="00CA6DDE"/>
    <w:rsid w:val="00CA7957"/>
    <w:rsid w:val="00CA7D07"/>
    <w:rsid w:val="00CA7FB5"/>
    <w:rsid w:val="00CB0702"/>
    <w:rsid w:val="00CB196D"/>
    <w:rsid w:val="00CB2163"/>
    <w:rsid w:val="00CB2C81"/>
    <w:rsid w:val="00CB2CF2"/>
    <w:rsid w:val="00CB2F9E"/>
    <w:rsid w:val="00CB3560"/>
    <w:rsid w:val="00CB3817"/>
    <w:rsid w:val="00CB417F"/>
    <w:rsid w:val="00CB4A32"/>
    <w:rsid w:val="00CB4A5D"/>
    <w:rsid w:val="00CB4C29"/>
    <w:rsid w:val="00CB4C97"/>
    <w:rsid w:val="00CB511E"/>
    <w:rsid w:val="00CB738C"/>
    <w:rsid w:val="00CB7CB7"/>
    <w:rsid w:val="00CC29D0"/>
    <w:rsid w:val="00CC2EA9"/>
    <w:rsid w:val="00CC3145"/>
    <w:rsid w:val="00CC3D78"/>
    <w:rsid w:val="00CC3E64"/>
    <w:rsid w:val="00CC4444"/>
    <w:rsid w:val="00CC49A4"/>
    <w:rsid w:val="00CC5209"/>
    <w:rsid w:val="00CC5C6E"/>
    <w:rsid w:val="00CC6040"/>
    <w:rsid w:val="00CC6D89"/>
    <w:rsid w:val="00CC7106"/>
    <w:rsid w:val="00CC79CE"/>
    <w:rsid w:val="00CD0676"/>
    <w:rsid w:val="00CD1040"/>
    <w:rsid w:val="00CD212C"/>
    <w:rsid w:val="00CD2673"/>
    <w:rsid w:val="00CD35F0"/>
    <w:rsid w:val="00CD38CE"/>
    <w:rsid w:val="00CD44F0"/>
    <w:rsid w:val="00CD4E2A"/>
    <w:rsid w:val="00CD5080"/>
    <w:rsid w:val="00CD690F"/>
    <w:rsid w:val="00CD6ADC"/>
    <w:rsid w:val="00CD7623"/>
    <w:rsid w:val="00CD79C2"/>
    <w:rsid w:val="00CE0948"/>
    <w:rsid w:val="00CE0AEB"/>
    <w:rsid w:val="00CE0E91"/>
    <w:rsid w:val="00CE12BC"/>
    <w:rsid w:val="00CE13CA"/>
    <w:rsid w:val="00CE1F98"/>
    <w:rsid w:val="00CE20E6"/>
    <w:rsid w:val="00CE21E2"/>
    <w:rsid w:val="00CE25C6"/>
    <w:rsid w:val="00CE3E22"/>
    <w:rsid w:val="00CE4845"/>
    <w:rsid w:val="00CE4A08"/>
    <w:rsid w:val="00CE5319"/>
    <w:rsid w:val="00CE5521"/>
    <w:rsid w:val="00CE57CD"/>
    <w:rsid w:val="00CE5B16"/>
    <w:rsid w:val="00CE5E0F"/>
    <w:rsid w:val="00CE6186"/>
    <w:rsid w:val="00CE6226"/>
    <w:rsid w:val="00CE6E91"/>
    <w:rsid w:val="00CE7025"/>
    <w:rsid w:val="00CF21BA"/>
    <w:rsid w:val="00CF24C9"/>
    <w:rsid w:val="00CF270D"/>
    <w:rsid w:val="00CF3368"/>
    <w:rsid w:val="00CF4078"/>
    <w:rsid w:val="00CF4089"/>
    <w:rsid w:val="00CF52D4"/>
    <w:rsid w:val="00CF5988"/>
    <w:rsid w:val="00CF6B4A"/>
    <w:rsid w:val="00CF708C"/>
    <w:rsid w:val="00CF7542"/>
    <w:rsid w:val="00D0026A"/>
    <w:rsid w:val="00D017C0"/>
    <w:rsid w:val="00D01EB7"/>
    <w:rsid w:val="00D03001"/>
    <w:rsid w:val="00D03640"/>
    <w:rsid w:val="00D04438"/>
    <w:rsid w:val="00D04583"/>
    <w:rsid w:val="00D050F3"/>
    <w:rsid w:val="00D0659A"/>
    <w:rsid w:val="00D07949"/>
    <w:rsid w:val="00D07D74"/>
    <w:rsid w:val="00D10267"/>
    <w:rsid w:val="00D10A9F"/>
    <w:rsid w:val="00D10C3A"/>
    <w:rsid w:val="00D11798"/>
    <w:rsid w:val="00D11A0F"/>
    <w:rsid w:val="00D11DD5"/>
    <w:rsid w:val="00D11FE0"/>
    <w:rsid w:val="00D12419"/>
    <w:rsid w:val="00D1243B"/>
    <w:rsid w:val="00D13653"/>
    <w:rsid w:val="00D1376D"/>
    <w:rsid w:val="00D1422A"/>
    <w:rsid w:val="00D146D7"/>
    <w:rsid w:val="00D14E49"/>
    <w:rsid w:val="00D155D1"/>
    <w:rsid w:val="00D16EFE"/>
    <w:rsid w:val="00D20009"/>
    <w:rsid w:val="00D20A8E"/>
    <w:rsid w:val="00D21144"/>
    <w:rsid w:val="00D21FE4"/>
    <w:rsid w:val="00D226A3"/>
    <w:rsid w:val="00D23747"/>
    <w:rsid w:val="00D24518"/>
    <w:rsid w:val="00D24AED"/>
    <w:rsid w:val="00D254B0"/>
    <w:rsid w:val="00D254CD"/>
    <w:rsid w:val="00D25706"/>
    <w:rsid w:val="00D26081"/>
    <w:rsid w:val="00D26A6A"/>
    <w:rsid w:val="00D26BF0"/>
    <w:rsid w:val="00D27BBE"/>
    <w:rsid w:val="00D302CA"/>
    <w:rsid w:val="00D3122C"/>
    <w:rsid w:val="00D3156D"/>
    <w:rsid w:val="00D3186F"/>
    <w:rsid w:val="00D31E41"/>
    <w:rsid w:val="00D34D7F"/>
    <w:rsid w:val="00D34FF0"/>
    <w:rsid w:val="00D356DA"/>
    <w:rsid w:val="00D35BA7"/>
    <w:rsid w:val="00D360C6"/>
    <w:rsid w:val="00D36577"/>
    <w:rsid w:val="00D373A8"/>
    <w:rsid w:val="00D37CEE"/>
    <w:rsid w:val="00D422B0"/>
    <w:rsid w:val="00D42D97"/>
    <w:rsid w:val="00D43391"/>
    <w:rsid w:val="00D43A5E"/>
    <w:rsid w:val="00D43C5B"/>
    <w:rsid w:val="00D43D01"/>
    <w:rsid w:val="00D4487E"/>
    <w:rsid w:val="00D452C8"/>
    <w:rsid w:val="00D47496"/>
    <w:rsid w:val="00D47D95"/>
    <w:rsid w:val="00D505A5"/>
    <w:rsid w:val="00D506B2"/>
    <w:rsid w:val="00D51024"/>
    <w:rsid w:val="00D5142D"/>
    <w:rsid w:val="00D518AE"/>
    <w:rsid w:val="00D51C99"/>
    <w:rsid w:val="00D52325"/>
    <w:rsid w:val="00D5240E"/>
    <w:rsid w:val="00D52464"/>
    <w:rsid w:val="00D52BA6"/>
    <w:rsid w:val="00D53C6B"/>
    <w:rsid w:val="00D53DE5"/>
    <w:rsid w:val="00D5538D"/>
    <w:rsid w:val="00D563B0"/>
    <w:rsid w:val="00D56690"/>
    <w:rsid w:val="00D56A3C"/>
    <w:rsid w:val="00D61623"/>
    <w:rsid w:val="00D61E19"/>
    <w:rsid w:val="00D61E78"/>
    <w:rsid w:val="00D6254D"/>
    <w:rsid w:val="00D63B2F"/>
    <w:rsid w:val="00D640B0"/>
    <w:rsid w:val="00D650BF"/>
    <w:rsid w:val="00D660AA"/>
    <w:rsid w:val="00D668A5"/>
    <w:rsid w:val="00D66E27"/>
    <w:rsid w:val="00D66EA8"/>
    <w:rsid w:val="00D66ED1"/>
    <w:rsid w:val="00D67522"/>
    <w:rsid w:val="00D679CF"/>
    <w:rsid w:val="00D679F3"/>
    <w:rsid w:val="00D67FC0"/>
    <w:rsid w:val="00D709F8"/>
    <w:rsid w:val="00D71163"/>
    <w:rsid w:val="00D7118A"/>
    <w:rsid w:val="00D7120F"/>
    <w:rsid w:val="00D716BA"/>
    <w:rsid w:val="00D71883"/>
    <w:rsid w:val="00D71C24"/>
    <w:rsid w:val="00D71E9D"/>
    <w:rsid w:val="00D72108"/>
    <w:rsid w:val="00D722BA"/>
    <w:rsid w:val="00D741D9"/>
    <w:rsid w:val="00D74FB0"/>
    <w:rsid w:val="00D76CB7"/>
    <w:rsid w:val="00D7709F"/>
    <w:rsid w:val="00D7716F"/>
    <w:rsid w:val="00D7727F"/>
    <w:rsid w:val="00D773B4"/>
    <w:rsid w:val="00D776BC"/>
    <w:rsid w:val="00D7774E"/>
    <w:rsid w:val="00D77BF6"/>
    <w:rsid w:val="00D804A5"/>
    <w:rsid w:val="00D80796"/>
    <w:rsid w:val="00D810D4"/>
    <w:rsid w:val="00D81AB6"/>
    <w:rsid w:val="00D81B93"/>
    <w:rsid w:val="00D822A8"/>
    <w:rsid w:val="00D8270F"/>
    <w:rsid w:val="00D82CE0"/>
    <w:rsid w:val="00D83080"/>
    <w:rsid w:val="00D83E5A"/>
    <w:rsid w:val="00D84281"/>
    <w:rsid w:val="00D8459B"/>
    <w:rsid w:val="00D847AA"/>
    <w:rsid w:val="00D8482F"/>
    <w:rsid w:val="00D8487A"/>
    <w:rsid w:val="00D849F4"/>
    <w:rsid w:val="00D84CC1"/>
    <w:rsid w:val="00D84EF4"/>
    <w:rsid w:val="00D85168"/>
    <w:rsid w:val="00D864F3"/>
    <w:rsid w:val="00D86568"/>
    <w:rsid w:val="00D86D13"/>
    <w:rsid w:val="00D87175"/>
    <w:rsid w:val="00D8724F"/>
    <w:rsid w:val="00D876E1"/>
    <w:rsid w:val="00D87892"/>
    <w:rsid w:val="00D87BBB"/>
    <w:rsid w:val="00D87E16"/>
    <w:rsid w:val="00D9023C"/>
    <w:rsid w:val="00D91449"/>
    <w:rsid w:val="00D91D2E"/>
    <w:rsid w:val="00D92370"/>
    <w:rsid w:val="00D92652"/>
    <w:rsid w:val="00D9287C"/>
    <w:rsid w:val="00D92B5F"/>
    <w:rsid w:val="00D930B6"/>
    <w:rsid w:val="00D9352F"/>
    <w:rsid w:val="00D941EE"/>
    <w:rsid w:val="00D94D14"/>
    <w:rsid w:val="00D9510C"/>
    <w:rsid w:val="00D96418"/>
    <w:rsid w:val="00D97C35"/>
    <w:rsid w:val="00D97DBA"/>
    <w:rsid w:val="00DA2B6B"/>
    <w:rsid w:val="00DA2BFA"/>
    <w:rsid w:val="00DA3DA5"/>
    <w:rsid w:val="00DA463C"/>
    <w:rsid w:val="00DA5516"/>
    <w:rsid w:val="00DA5BB8"/>
    <w:rsid w:val="00DA6AAA"/>
    <w:rsid w:val="00DA6EC0"/>
    <w:rsid w:val="00DA7707"/>
    <w:rsid w:val="00DB05FA"/>
    <w:rsid w:val="00DB20B2"/>
    <w:rsid w:val="00DB2273"/>
    <w:rsid w:val="00DB2F26"/>
    <w:rsid w:val="00DB3E4A"/>
    <w:rsid w:val="00DB41D4"/>
    <w:rsid w:val="00DB5006"/>
    <w:rsid w:val="00DB56BC"/>
    <w:rsid w:val="00DB5775"/>
    <w:rsid w:val="00DB5E79"/>
    <w:rsid w:val="00DB665F"/>
    <w:rsid w:val="00DB6B03"/>
    <w:rsid w:val="00DB6EA4"/>
    <w:rsid w:val="00DC0217"/>
    <w:rsid w:val="00DC05EA"/>
    <w:rsid w:val="00DC084A"/>
    <w:rsid w:val="00DC1E20"/>
    <w:rsid w:val="00DC21CD"/>
    <w:rsid w:val="00DC2226"/>
    <w:rsid w:val="00DC3D80"/>
    <w:rsid w:val="00DC4207"/>
    <w:rsid w:val="00DC488E"/>
    <w:rsid w:val="00DC4937"/>
    <w:rsid w:val="00DC4BF8"/>
    <w:rsid w:val="00DC4FB2"/>
    <w:rsid w:val="00DC50F2"/>
    <w:rsid w:val="00DC51E3"/>
    <w:rsid w:val="00DC6021"/>
    <w:rsid w:val="00DC6A24"/>
    <w:rsid w:val="00DC729B"/>
    <w:rsid w:val="00DC7465"/>
    <w:rsid w:val="00DC7A19"/>
    <w:rsid w:val="00DC7D0F"/>
    <w:rsid w:val="00DD02A8"/>
    <w:rsid w:val="00DD06DD"/>
    <w:rsid w:val="00DD102A"/>
    <w:rsid w:val="00DD1C52"/>
    <w:rsid w:val="00DD2312"/>
    <w:rsid w:val="00DD2463"/>
    <w:rsid w:val="00DD27BF"/>
    <w:rsid w:val="00DD2FD6"/>
    <w:rsid w:val="00DD319E"/>
    <w:rsid w:val="00DD3332"/>
    <w:rsid w:val="00DD3B5A"/>
    <w:rsid w:val="00DD45BC"/>
    <w:rsid w:val="00DD4C90"/>
    <w:rsid w:val="00DD4CD0"/>
    <w:rsid w:val="00DD5794"/>
    <w:rsid w:val="00DD651F"/>
    <w:rsid w:val="00DD6A36"/>
    <w:rsid w:val="00DE1543"/>
    <w:rsid w:val="00DE1751"/>
    <w:rsid w:val="00DE29F2"/>
    <w:rsid w:val="00DE3AE5"/>
    <w:rsid w:val="00DE3C87"/>
    <w:rsid w:val="00DE5867"/>
    <w:rsid w:val="00DE7B13"/>
    <w:rsid w:val="00DF0514"/>
    <w:rsid w:val="00DF0585"/>
    <w:rsid w:val="00DF18B1"/>
    <w:rsid w:val="00DF194E"/>
    <w:rsid w:val="00DF22E8"/>
    <w:rsid w:val="00DF23C4"/>
    <w:rsid w:val="00DF2AAA"/>
    <w:rsid w:val="00DF38A5"/>
    <w:rsid w:val="00DF4246"/>
    <w:rsid w:val="00DF5D3F"/>
    <w:rsid w:val="00DF62ED"/>
    <w:rsid w:val="00DF6FCC"/>
    <w:rsid w:val="00DF7B7C"/>
    <w:rsid w:val="00E00074"/>
    <w:rsid w:val="00E0011A"/>
    <w:rsid w:val="00E00209"/>
    <w:rsid w:val="00E0155D"/>
    <w:rsid w:val="00E017D5"/>
    <w:rsid w:val="00E01C26"/>
    <w:rsid w:val="00E01F51"/>
    <w:rsid w:val="00E02575"/>
    <w:rsid w:val="00E02834"/>
    <w:rsid w:val="00E02932"/>
    <w:rsid w:val="00E029F1"/>
    <w:rsid w:val="00E033E3"/>
    <w:rsid w:val="00E05421"/>
    <w:rsid w:val="00E05964"/>
    <w:rsid w:val="00E062C5"/>
    <w:rsid w:val="00E0678D"/>
    <w:rsid w:val="00E10390"/>
    <w:rsid w:val="00E10595"/>
    <w:rsid w:val="00E10BEA"/>
    <w:rsid w:val="00E10C27"/>
    <w:rsid w:val="00E10F47"/>
    <w:rsid w:val="00E1100E"/>
    <w:rsid w:val="00E11B3B"/>
    <w:rsid w:val="00E11E42"/>
    <w:rsid w:val="00E11F07"/>
    <w:rsid w:val="00E12817"/>
    <w:rsid w:val="00E133B7"/>
    <w:rsid w:val="00E1364D"/>
    <w:rsid w:val="00E13A6C"/>
    <w:rsid w:val="00E14248"/>
    <w:rsid w:val="00E143CA"/>
    <w:rsid w:val="00E14620"/>
    <w:rsid w:val="00E14871"/>
    <w:rsid w:val="00E14E09"/>
    <w:rsid w:val="00E1516C"/>
    <w:rsid w:val="00E15D82"/>
    <w:rsid w:val="00E161A0"/>
    <w:rsid w:val="00E167B4"/>
    <w:rsid w:val="00E16D30"/>
    <w:rsid w:val="00E2011F"/>
    <w:rsid w:val="00E203F9"/>
    <w:rsid w:val="00E2043C"/>
    <w:rsid w:val="00E20510"/>
    <w:rsid w:val="00E206BB"/>
    <w:rsid w:val="00E210A6"/>
    <w:rsid w:val="00E21221"/>
    <w:rsid w:val="00E22303"/>
    <w:rsid w:val="00E22320"/>
    <w:rsid w:val="00E2246F"/>
    <w:rsid w:val="00E226E9"/>
    <w:rsid w:val="00E230B8"/>
    <w:rsid w:val="00E2337B"/>
    <w:rsid w:val="00E23E48"/>
    <w:rsid w:val="00E24EF2"/>
    <w:rsid w:val="00E26960"/>
    <w:rsid w:val="00E26BB3"/>
    <w:rsid w:val="00E27418"/>
    <w:rsid w:val="00E27B8E"/>
    <w:rsid w:val="00E27C1F"/>
    <w:rsid w:val="00E30CFF"/>
    <w:rsid w:val="00E322DA"/>
    <w:rsid w:val="00E32B17"/>
    <w:rsid w:val="00E334FF"/>
    <w:rsid w:val="00E3369E"/>
    <w:rsid w:val="00E3389D"/>
    <w:rsid w:val="00E33C5C"/>
    <w:rsid w:val="00E3406A"/>
    <w:rsid w:val="00E34B2B"/>
    <w:rsid w:val="00E34C20"/>
    <w:rsid w:val="00E355DF"/>
    <w:rsid w:val="00E35837"/>
    <w:rsid w:val="00E35847"/>
    <w:rsid w:val="00E36547"/>
    <w:rsid w:val="00E36730"/>
    <w:rsid w:val="00E36E8C"/>
    <w:rsid w:val="00E373DF"/>
    <w:rsid w:val="00E37B9D"/>
    <w:rsid w:val="00E40D2B"/>
    <w:rsid w:val="00E41504"/>
    <w:rsid w:val="00E4194C"/>
    <w:rsid w:val="00E41C12"/>
    <w:rsid w:val="00E41EAC"/>
    <w:rsid w:val="00E41F72"/>
    <w:rsid w:val="00E42A97"/>
    <w:rsid w:val="00E43156"/>
    <w:rsid w:val="00E43EB4"/>
    <w:rsid w:val="00E44BCD"/>
    <w:rsid w:val="00E45238"/>
    <w:rsid w:val="00E4635E"/>
    <w:rsid w:val="00E47003"/>
    <w:rsid w:val="00E507D2"/>
    <w:rsid w:val="00E51B37"/>
    <w:rsid w:val="00E51F71"/>
    <w:rsid w:val="00E53962"/>
    <w:rsid w:val="00E544C9"/>
    <w:rsid w:val="00E55211"/>
    <w:rsid w:val="00E569E5"/>
    <w:rsid w:val="00E56A4F"/>
    <w:rsid w:val="00E5722C"/>
    <w:rsid w:val="00E57713"/>
    <w:rsid w:val="00E57B2B"/>
    <w:rsid w:val="00E6047C"/>
    <w:rsid w:val="00E6149E"/>
    <w:rsid w:val="00E61A83"/>
    <w:rsid w:val="00E61DF1"/>
    <w:rsid w:val="00E62548"/>
    <w:rsid w:val="00E62550"/>
    <w:rsid w:val="00E6282C"/>
    <w:rsid w:val="00E63A63"/>
    <w:rsid w:val="00E65C58"/>
    <w:rsid w:val="00E65DBC"/>
    <w:rsid w:val="00E66C65"/>
    <w:rsid w:val="00E66CE6"/>
    <w:rsid w:val="00E66F03"/>
    <w:rsid w:val="00E70324"/>
    <w:rsid w:val="00E703D9"/>
    <w:rsid w:val="00E706A1"/>
    <w:rsid w:val="00E70851"/>
    <w:rsid w:val="00E71458"/>
    <w:rsid w:val="00E71EB9"/>
    <w:rsid w:val="00E721BD"/>
    <w:rsid w:val="00E72AB9"/>
    <w:rsid w:val="00E72E7E"/>
    <w:rsid w:val="00E72ED1"/>
    <w:rsid w:val="00E7309F"/>
    <w:rsid w:val="00E73543"/>
    <w:rsid w:val="00E73750"/>
    <w:rsid w:val="00E739ED"/>
    <w:rsid w:val="00E73FB3"/>
    <w:rsid w:val="00E745C7"/>
    <w:rsid w:val="00E74876"/>
    <w:rsid w:val="00E754F2"/>
    <w:rsid w:val="00E75E97"/>
    <w:rsid w:val="00E76839"/>
    <w:rsid w:val="00E7759E"/>
    <w:rsid w:val="00E77ADE"/>
    <w:rsid w:val="00E77B97"/>
    <w:rsid w:val="00E80E7A"/>
    <w:rsid w:val="00E818B4"/>
    <w:rsid w:val="00E83677"/>
    <w:rsid w:val="00E83868"/>
    <w:rsid w:val="00E84CC8"/>
    <w:rsid w:val="00E85602"/>
    <w:rsid w:val="00E8562C"/>
    <w:rsid w:val="00E85C2E"/>
    <w:rsid w:val="00E85EEF"/>
    <w:rsid w:val="00E8637E"/>
    <w:rsid w:val="00E865DD"/>
    <w:rsid w:val="00E869B5"/>
    <w:rsid w:val="00E86ED0"/>
    <w:rsid w:val="00E87619"/>
    <w:rsid w:val="00E8782B"/>
    <w:rsid w:val="00E879B1"/>
    <w:rsid w:val="00E87FFD"/>
    <w:rsid w:val="00E90544"/>
    <w:rsid w:val="00E90E10"/>
    <w:rsid w:val="00E92293"/>
    <w:rsid w:val="00E926CC"/>
    <w:rsid w:val="00E92A95"/>
    <w:rsid w:val="00E933AE"/>
    <w:rsid w:val="00E93A9A"/>
    <w:rsid w:val="00E93DB8"/>
    <w:rsid w:val="00E944C1"/>
    <w:rsid w:val="00E94FD6"/>
    <w:rsid w:val="00E9504C"/>
    <w:rsid w:val="00E95684"/>
    <w:rsid w:val="00E9627B"/>
    <w:rsid w:val="00E96363"/>
    <w:rsid w:val="00E96427"/>
    <w:rsid w:val="00E964A3"/>
    <w:rsid w:val="00E975AB"/>
    <w:rsid w:val="00EA00B9"/>
    <w:rsid w:val="00EA07AE"/>
    <w:rsid w:val="00EA081B"/>
    <w:rsid w:val="00EA08CA"/>
    <w:rsid w:val="00EA09C0"/>
    <w:rsid w:val="00EA11AE"/>
    <w:rsid w:val="00EA1643"/>
    <w:rsid w:val="00EA17D0"/>
    <w:rsid w:val="00EA1932"/>
    <w:rsid w:val="00EA1C60"/>
    <w:rsid w:val="00EA2108"/>
    <w:rsid w:val="00EA23BB"/>
    <w:rsid w:val="00EA2821"/>
    <w:rsid w:val="00EA2EAD"/>
    <w:rsid w:val="00EA390C"/>
    <w:rsid w:val="00EA5371"/>
    <w:rsid w:val="00EA55EF"/>
    <w:rsid w:val="00EA59B7"/>
    <w:rsid w:val="00EA5B2E"/>
    <w:rsid w:val="00EA5BDF"/>
    <w:rsid w:val="00EA67F1"/>
    <w:rsid w:val="00EA7885"/>
    <w:rsid w:val="00EA7AC4"/>
    <w:rsid w:val="00EA7ECA"/>
    <w:rsid w:val="00EB0393"/>
    <w:rsid w:val="00EB07A1"/>
    <w:rsid w:val="00EB14AF"/>
    <w:rsid w:val="00EB43E2"/>
    <w:rsid w:val="00EB473B"/>
    <w:rsid w:val="00EB475B"/>
    <w:rsid w:val="00EB4B95"/>
    <w:rsid w:val="00EB4D43"/>
    <w:rsid w:val="00EB57AF"/>
    <w:rsid w:val="00EB5B2A"/>
    <w:rsid w:val="00EB666A"/>
    <w:rsid w:val="00EB6FA8"/>
    <w:rsid w:val="00EB7FC5"/>
    <w:rsid w:val="00EC0071"/>
    <w:rsid w:val="00EC01A6"/>
    <w:rsid w:val="00EC0B17"/>
    <w:rsid w:val="00EC11EF"/>
    <w:rsid w:val="00EC15F1"/>
    <w:rsid w:val="00EC199C"/>
    <w:rsid w:val="00EC2656"/>
    <w:rsid w:val="00EC2AC6"/>
    <w:rsid w:val="00EC2CA9"/>
    <w:rsid w:val="00EC2D17"/>
    <w:rsid w:val="00EC2DFD"/>
    <w:rsid w:val="00EC2EA9"/>
    <w:rsid w:val="00EC3323"/>
    <w:rsid w:val="00EC4AD4"/>
    <w:rsid w:val="00EC63C9"/>
    <w:rsid w:val="00EC668C"/>
    <w:rsid w:val="00EC73B9"/>
    <w:rsid w:val="00EC7D4F"/>
    <w:rsid w:val="00ED06E7"/>
    <w:rsid w:val="00ED1A2C"/>
    <w:rsid w:val="00ED1C9E"/>
    <w:rsid w:val="00ED24E6"/>
    <w:rsid w:val="00ED2796"/>
    <w:rsid w:val="00ED2DAD"/>
    <w:rsid w:val="00ED2EA7"/>
    <w:rsid w:val="00ED4847"/>
    <w:rsid w:val="00ED4AAB"/>
    <w:rsid w:val="00ED5084"/>
    <w:rsid w:val="00ED51D9"/>
    <w:rsid w:val="00ED5820"/>
    <w:rsid w:val="00ED58C1"/>
    <w:rsid w:val="00ED6245"/>
    <w:rsid w:val="00ED6319"/>
    <w:rsid w:val="00ED6D90"/>
    <w:rsid w:val="00ED7604"/>
    <w:rsid w:val="00ED7CE5"/>
    <w:rsid w:val="00EE0178"/>
    <w:rsid w:val="00EE063E"/>
    <w:rsid w:val="00EE0B63"/>
    <w:rsid w:val="00EE0BFC"/>
    <w:rsid w:val="00EE115A"/>
    <w:rsid w:val="00EE1E08"/>
    <w:rsid w:val="00EE22FD"/>
    <w:rsid w:val="00EE277F"/>
    <w:rsid w:val="00EE2C75"/>
    <w:rsid w:val="00EE3A0E"/>
    <w:rsid w:val="00EE3EBD"/>
    <w:rsid w:val="00EE3F0C"/>
    <w:rsid w:val="00EE40B2"/>
    <w:rsid w:val="00EE4868"/>
    <w:rsid w:val="00EE5430"/>
    <w:rsid w:val="00EE5548"/>
    <w:rsid w:val="00EE5923"/>
    <w:rsid w:val="00EE62F3"/>
    <w:rsid w:val="00EE6983"/>
    <w:rsid w:val="00EE6C83"/>
    <w:rsid w:val="00EE74E3"/>
    <w:rsid w:val="00EE7531"/>
    <w:rsid w:val="00EE7FDB"/>
    <w:rsid w:val="00EF0198"/>
    <w:rsid w:val="00EF1610"/>
    <w:rsid w:val="00EF20CC"/>
    <w:rsid w:val="00EF21BB"/>
    <w:rsid w:val="00EF2618"/>
    <w:rsid w:val="00EF2CCA"/>
    <w:rsid w:val="00EF2E7C"/>
    <w:rsid w:val="00EF54A6"/>
    <w:rsid w:val="00EF5E7E"/>
    <w:rsid w:val="00EF6BF9"/>
    <w:rsid w:val="00F0058A"/>
    <w:rsid w:val="00F014D9"/>
    <w:rsid w:val="00F01542"/>
    <w:rsid w:val="00F01609"/>
    <w:rsid w:val="00F01F4C"/>
    <w:rsid w:val="00F02302"/>
    <w:rsid w:val="00F026EA"/>
    <w:rsid w:val="00F0291D"/>
    <w:rsid w:val="00F02D12"/>
    <w:rsid w:val="00F03AA3"/>
    <w:rsid w:val="00F03FDD"/>
    <w:rsid w:val="00F04AD7"/>
    <w:rsid w:val="00F04FE0"/>
    <w:rsid w:val="00F05960"/>
    <w:rsid w:val="00F05A2D"/>
    <w:rsid w:val="00F05B88"/>
    <w:rsid w:val="00F062AF"/>
    <w:rsid w:val="00F066D2"/>
    <w:rsid w:val="00F067FC"/>
    <w:rsid w:val="00F068AF"/>
    <w:rsid w:val="00F076D8"/>
    <w:rsid w:val="00F07A54"/>
    <w:rsid w:val="00F10142"/>
    <w:rsid w:val="00F10360"/>
    <w:rsid w:val="00F106AA"/>
    <w:rsid w:val="00F10B79"/>
    <w:rsid w:val="00F1265C"/>
    <w:rsid w:val="00F13369"/>
    <w:rsid w:val="00F136D9"/>
    <w:rsid w:val="00F13EBB"/>
    <w:rsid w:val="00F14158"/>
    <w:rsid w:val="00F141D3"/>
    <w:rsid w:val="00F146A2"/>
    <w:rsid w:val="00F14E74"/>
    <w:rsid w:val="00F150E2"/>
    <w:rsid w:val="00F15653"/>
    <w:rsid w:val="00F15994"/>
    <w:rsid w:val="00F173C6"/>
    <w:rsid w:val="00F17AC4"/>
    <w:rsid w:val="00F20298"/>
    <w:rsid w:val="00F20726"/>
    <w:rsid w:val="00F20B86"/>
    <w:rsid w:val="00F216F1"/>
    <w:rsid w:val="00F21D20"/>
    <w:rsid w:val="00F22122"/>
    <w:rsid w:val="00F227E0"/>
    <w:rsid w:val="00F23263"/>
    <w:rsid w:val="00F236E1"/>
    <w:rsid w:val="00F2374D"/>
    <w:rsid w:val="00F23970"/>
    <w:rsid w:val="00F25169"/>
    <w:rsid w:val="00F25424"/>
    <w:rsid w:val="00F25878"/>
    <w:rsid w:val="00F25EF8"/>
    <w:rsid w:val="00F2692C"/>
    <w:rsid w:val="00F271C5"/>
    <w:rsid w:val="00F276BE"/>
    <w:rsid w:val="00F2770C"/>
    <w:rsid w:val="00F27C06"/>
    <w:rsid w:val="00F27C29"/>
    <w:rsid w:val="00F30381"/>
    <w:rsid w:val="00F30588"/>
    <w:rsid w:val="00F30D50"/>
    <w:rsid w:val="00F30F85"/>
    <w:rsid w:val="00F316AB"/>
    <w:rsid w:val="00F31A81"/>
    <w:rsid w:val="00F31C38"/>
    <w:rsid w:val="00F31CA4"/>
    <w:rsid w:val="00F32D11"/>
    <w:rsid w:val="00F33137"/>
    <w:rsid w:val="00F3483A"/>
    <w:rsid w:val="00F35353"/>
    <w:rsid w:val="00F35DCD"/>
    <w:rsid w:val="00F4020A"/>
    <w:rsid w:val="00F402ED"/>
    <w:rsid w:val="00F4096D"/>
    <w:rsid w:val="00F40CE9"/>
    <w:rsid w:val="00F41F16"/>
    <w:rsid w:val="00F42879"/>
    <w:rsid w:val="00F43759"/>
    <w:rsid w:val="00F43939"/>
    <w:rsid w:val="00F43FB5"/>
    <w:rsid w:val="00F4524C"/>
    <w:rsid w:val="00F45DA4"/>
    <w:rsid w:val="00F46C26"/>
    <w:rsid w:val="00F471CB"/>
    <w:rsid w:val="00F47532"/>
    <w:rsid w:val="00F47FC9"/>
    <w:rsid w:val="00F50CDF"/>
    <w:rsid w:val="00F51091"/>
    <w:rsid w:val="00F514F7"/>
    <w:rsid w:val="00F52AA1"/>
    <w:rsid w:val="00F52C65"/>
    <w:rsid w:val="00F52DC1"/>
    <w:rsid w:val="00F533A0"/>
    <w:rsid w:val="00F53C11"/>
    <w:rsid w:val="00F54D05"/>
    <w:rsid w:val="00F55610"/>
    <w:rsid w:val="00F55EF9"/>
    <w:rsid w:val="00F56CDE"/>
    <w:rsid w:val="00F56ECF"/>
    <w:rsid w:val="00F602D3"/>
    <w:rsid w:val="00F607ED"/>
    <w:rsid w:val="00F60BD6"/>
    <w:rsid w:val="00F61601"/>
    <w:rsid w:val="00F62CCC"/>
    <w:rsid w:val="00F62EE8"/>
    <w:rsid w:val="00F62F18"/>
    <w:rsid w:val="00F63B17"/>
    <w:rsid w:val="00F63C07"/>
    <w:rsid w:val="00F64268"/>
    <w:rsid w:val="00F643A6"/>
    <w:rsid w:val="00F64C6E"/>
    <w:rsid w:val="00F66DE6"/>
    <w:rsid w:val="00F66E03"/>
    <w:rsid w:val="00F675EE"/>
    <w:rsid w:val="00F67821"/>
    <w:rsid w:val="00F67AC8"/>
    <w:rsid w:val="00F7012D"/>
    <w:rsid w:val="00F70FE5"/>
    <w:rsid w:val="00F71361"/>
    <w:rsid w:val="00F71BF9"/>
    <w:rsid w:val="00F72118"/>
    <w:rsid w:val="00F72D9F"/>
    <w:rsid w:val="00F730F1"/>
    <w:rsid w:val="00F736F4"/>
    <w:rsid w:val="00F73C74"/>
    <w:rsid w:val="00F7421D"/>
    <w:rsid w:val="00F747F8"/>
    <w:rsid w:val="00F76993"/>
    <w:rsid w:val="00F77074"/>
    <w:rsid w:val="00F776D0"/>
    <w:rsid w:val="00F77E3C"/>
    <w:rsid w:val="00F8162B"/>
    <w:rsid w:val="00F82144"/>
    <w:rsid w:val="00F836D7"/>
    <w:rsid w:val="00F84610"/>
    <w:rsid w:val="00F84B6A"/>
    <w:rsid w:val="00F84C40"/>
    <w:rsid w:val="00F85F73"/>
    <w:rsid w:val="00F86452"/>
    <w:rsid w:val="00F86863"/>
    <w:rsid w:val="00F86A06"/>
    <w:rsid w:val="00F87D5F"/>
    <w:rsid w:val="00F87FEE"/>
    <w:rsid w:val="00F90697"/>
    <w:rsid w:val="00F91005"/>
    <w:rsid w:val="00F911C8"/>
    <w:rsid w:val="00F916A9"/>
    <w:rsid w:val="00F91C5B"/>
    <w:rsid w:val="00F92323"/>
    <w:rsid w:val="00F92D40"/>
    <w:rsid w:val="00F94699"/>
    <w:rsid w:val="00F947DD"/>
    <w:rsid w:val="00F947DE"/>
    <w:rsid w:val="00F95F7A"/>
    <w:rsid w:val="00F964DD"/>
    <w:rsid w:val="00F96607"/>
    <w:rsid w:val="00F9681F"/>
    <w:rsid w:val="00F97806"/>
    <w:rsid w:val="00FA0886"/>
    <w:rsid w:val="00FA0EA4"/>
    <w:rsid w:val="00FA1644"/>
    <w:rsid w:val="00FA17AD"/>
    <w:rsid w:val="00FA1BFE"/>
    <w:rsid w:val="00FA1F8E"/>
    <w:rsid w:val="00FA282A"/>
    <w:rsid w:val="00FA2CCF"/>
    <w:rsid w:val="00FA2D78"/>
    <w:rsid w:val="00FA32CA"/>
    <w:rsid w:val="00FA3E41"/>
    <w:rsid w:val="00FA41E4"/>
    <w:rsid w:val="00FA4C56"/>
    <w:rsid w:val="00FA51AA"/>
    <w:rsid w:val="00FA5E6B"/>
    <w:rsid w:val="00FA62BC"/>
    <w:rsid w:val="00FA67BC"/>
    <w:rsid w:val="00FA75CC"/>
    <w:rsid w:val="00FA79EE"/>
    <w:rsid w:val="00FA7D25"/>
    <w:rsid w:val="00FB038F"/>
    <w:rsid w:val="00FB03E7"/>
    <w:rsid w:val="00FB1E60"/>
    <w:rsid w:val="00FB22CA"/>
    <w:rsid w:val="00FB3018"/>
    <w:rsid w:val="00FB68C3"/>
    <w:rsid w:val="00FB70F3"/>
    <w:rsid w:val="00FB7753"/>
    <w:rsid w:val="00FC1C5F"/>
    <w:rsid w:val="00FC2A64"/>
    <w:rsid w:val="00FC3081"/>
    <w:rsid w:val="00FC37AF"/>
    <w:rsid w:val="00FC3C6A"/>
    <w:rsid w:val="00FC3D2E"/>
    <w:rsid w:val="00FC3DB1"/>
    <w:rsid w:val="00FC3FBA"/>
    <w:rsid w:val="00FC4D35"/>
    <w:rsid w:val="00FC4EA8"/>
    <w:rsid w:val="00FC5C0D"/>
    <w:rsid w:val="00FC5DF3"/>
    <w:rsid w:val="00FC6802"/>
    <w:rsid w:val="00FC7714"/>
    <w:rsid w:val="00FC7C25"/>
    <w:rsid w:val="00FD06AD"/>
    <w:rsid w:val="00FD0C95"/>
    <w:rsid w:val="00FD1DC5"/>
    <w:rsid w:val="00FD1E83"/>
    <w:rsid w:val="00FD3C0D"/>
    <w:rsid w:val="00FD3EB1"/>
    <w:rsid w:val="00FD5D0C"/>
    <w:rsid w:val="00FD5D3F"/>
    <w:rsid w:val="00FD60DD"/>
    <w:rsid w:val="00FD6341"/>
    <w:rsid w:val="00FD7067"/>
    <w:rsid w:val="00FD7881"/>
    <w:rsid w:val="00FD7B83"/>
    <w:rsid w:val="00FD7F9C"/>
    <w:rsid w:val="00FE0395"/>
    <w:rsid w:val="00FE0400"/>
    <w:rsid w:val="00FE099A"/>
    <w:rsid w:val="00FE0FC0"/>
    <w:rsid w:val="00FE1947"/>
    <w:rsid w:val="00FE1A3E"/>
    <w:rsid w:val="00FE26B2"/>
    <w:rsid w:val="00FE2B86"/>
    <w:rsid w:val="00FE2C71"/>
    <w:rsid w:val="00FE2FE5"/>
    <w:rsid w:val="00FE3636"/>
    <w:rsid w:val="00FE4804"/>
    <w:rsid w:val="00FE4C20"/>
    <w:rsid w:val="00FE5029"/>
    <w:rsid w:val="00FE60D0"/>
    <w:rsid w:val="00FE641D"/>
    <w:rsid w:val="00FE744F"/>
    <w:rsid w:val="00FF0065"/>
    <w:rsid w:val="00FF3E42"/>
    <w:rsid w:val="00FF4D95"/>
    <w:rsid w:val="00FF5037"/>
    <w:rsid w:val="00FF5E4A"/>
    <w:rsid w:val="00FF659F"/>
    <w:rsid w:val="00FF66BB"/>
    <w:rsid w:val="00FF68ED"/>
    <w:rsid w:val="00FF6A04"/>
    <w:rsid w:val="00FF6DE2"/>
    <w:rsid w:val="00FF74B5"/>
    <w:rsid w:val="00FF7562"/>
    <w:rsid w:val="03DB62DB"/>
    <w:rsid w:val="06E18DF8"/>
    <w:rsid w:val="07C1D4E7"/>
    <w:rsid w:val="0F6842E2"/>
    <w:rsid w:val="11113540"/>
    <w:rsid w:val="11BB9B7B"/>
    <w:rsid w:val="14D84B5D"/>
    <w:rsid w:val="2169EB4A"/>
    <w:rsid w:val="21799418"/>
    <w:rsid w:val="220104CB"/>
    <w:rsid w:val="2D3EEC0F"/>
    <w:rsid w:val="30383CC3"/>
    <w:rsid w:val="348516B7"/>
    <w:rsid w:val="3510B1C8"/>
    <w:rsid w:val="38185FEF"/>
    <w:rsid w:val="3981D84F"/>
    <w:rsid w:val="3BAD5DEF"/>
    <w:rsid w:val="47C851FB"/>
    <w:rsid w:val="4D3BAEBE"/>
    <w:rsid w:val="4E05A19E"/>
    <w:rsid w:val="4F53F093"/>
    <w:rsid w:val="52C7FEAB"/>
    <w:rsid w:val="53DE4189"/>
    <w:rsid w:val="55A9B366"/>
    <w:rsid w:val="56827876"/>
    <w:rsid w:val="5E3B173B"/>
    <w:rsid w:val="5EA6B2B8"/>
    <w:rsid w:val="6150245D"/>
    <w:rsid w:val="647259B8"/>
    <w:rsid w:val="6CF8F910"/>
    <w:rsid w:val="72767706"/>
    <w:rsid w:val="7AE48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colormru v:ext="edit" colors="#00a8d0,#008eb0,#1492e8,#1287d6,#117dc7,#c2e3fa"/>
    </o:shapedefaults>
    <o:shapelayout v:ext="edit">
      <o:idmap v:ext="edit" data="1"/>
    </o:shapelayout>
  </w:shapeDefaults>
  <w:decimalSymbol w:val="."/>
  <w:listSeparator w:val=","/>
  <w14:docId w14:val="5685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0C5"/>
    <w:pPr>
      <w:spacing w:after="240"/>
    </w:pPr>
    <w:rPr>
      <w:sz w:val="22"/>
    </w:rPr>
  </w:style>
  <w:style w:type="paragraph" w:styleId="Heading1">
    <w:name w:val="heading 1"/>
    <w:basedOn w:val="Normal"/>
    <w:next w:val="BodyText"/>
    <w:link w:val="Heading1Char"/>
    <w:qFormat/>
    <w:rsid w:val="008850C5"/>
    <w:pPr>
      <w:keepNext/>
      <w:pageBreakBefore/>
      <w:numPr>
        <w:numId w:val="7"/>
      </w:numPr>
      <w:spacing w:after="72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8850C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8850C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8850C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8850C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8850C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8850C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50C5"/>
    <w:pPr>
      <w:numPr>
        <w:numId w:val="8"/>
      </w:numPr>
      <w:spacing w:before="200" w:after="0" w:line="300" w:lineRule="atLeast"/>
    </w:pPr>
    <w:rPr>
      <w:szCs w:val="22"/>
    </w:rPr>
  </w:style>
  <w:style w:type="paragraph" w:customStyle="1" w:styleId="sourcenotefullwidth">
    <w:name w:val="source note full width"/>
    <w:rsid w:val="008850C5"/>
    <w:pPr>
      <w:spacing w:before="120"/>
    </w:pPr>
    <w:rPr>
      <w:rFonts w:ascii="Arial" w:hAnsi="Arial"/>
      <w:sz w:val="16"/>
      <w:szCs w:val="22"/>
    </w:rPr>
  </w:style>
  <w:style w:type="paragraph" w:styleId="Footer">
    <w:name w:val="footer"/>
    <w:basedOn w:val="Normal"/>
    <w:link w:val="FooterChar"/>
    <w:rsid w:val="008850C5"/>
    <w:pPr>
      <w:tabs>
        <w:tab w:val="right" w:pos="9070"/>
      </w:tabs>
      <w:spacing w:after="0"/>
    </w:pPr>
    <w:rPr>
      <w:rFonts w:ascii="Arial" w:hAnsi="Arial"/>
      <w:sz w:val="16"/>
      <w:szCs w:val="16"/>
    </w:rPr>
  </w:style>
  <w:style w:type="character" w:styleId="PageNumber">
    <w:name w:val="page number"/>
    <w:basedOn w:val="DefaultParagraphFont"/>
    <w:rsid w:val="008850C5"/>
    <w:rPr>
      <w:b/>
      <w:sz w:val="20"/>
    </w:rPr>
  </w:style>
  <w:style w:type="paragraph" w:styleId="Header">
    <w:name w:val="header"/>
    <w:basedOn w:val="Normal"/>
    <w:link w:val="HeaderChar"/>
    <w:rsid w:val="008850C5"/>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8850C5"/>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086F6D"/>
  </w:style>
  <w:style w:type="paragraph" w:customStyle="1" w:styleId="ListNumber1">
    <w:name w:val="List Number1"/>
    <w:basedOn w:val="Normal"/>
    <w:rsid w:val="00086F6D"/>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8850C5"/>
    <w:pPr>
      <w:ind w:left="3260"/>
    </w:pPr>
  </w:style>
  <w:style w:type="paragraph" w:customStyle="1" w:styleId="figuretitlefullwidth">
    <w:name w:val="figure title full width"/>
    <w:basedOn w:val="tabletitlefullwidth"/>
    <w:next w:val="figuretext"/>
    <w:rsid w:val="008850C5"/>
    <w:rPr>
      <w:szCs w:val="22"/>
    </w:rPr>
  </w:style>
  <w:style w:type="paragraph" w:customStyle="1" w:styleId="tabletitlefullwidth">
    <w:name w:val="table title full width"/>
    <w:basedOn w:val="Normal"/>
    <w:rsid w:val="008850C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8850C5"/>
    <w:pPr>
      <w:widowControl w:val="0"/>
      <w:spacing w:after="0" w:line="240" w:lineRule="atLeast"/>
    </w:pPr>
    <w:rPr>
      <w:rFonts w:ascii="Arial" w:hAnsi="Arial" w:cs="Arial"/>
      <w:sz w:val="18"/>
      <w:szCs w:val="18"/>
    </w:rPr>
  </w:style>
  <w:style w:type="paragraph" w:customStyle="1" w:styleId="tbltext">
    <w:name w:val="tbl text"/>
    <w:basedOn w:val="Bodytextplain"/>
    <w:link w:val="tbltextChar"/>
    <w:rsid w:val="008850C5"/>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8850C5"/>
    <w:pPr>
      <w:numPr>
        <w:numId w:val="0"/>
      </w:numPr>
      <w:ind w:left="2268"/>
    </w:pPr>
  </w:style>
  <w:style w:type="paragraph" w:customStyle="1" w:styleId="tablehead">
    <w:name w:val="table head"/>
    <w:basedOn w:val="Normal"/>
    <w:rsid w:val="008850C5"/>
    <w:pPr>
      <w:keepNext/>
      <w:spacing w:before="120" w:after="0" w:line="240" w:lineRule="atLeast"/>
    </w:pPr>
    <w:rPr>
      <w:rFonts w:ascii="Arial" w:hAnsi="Arial" w:cs="Arial"/>
      <w:b/>
      <w:sz w:val="18"/>
      <w:szCs w:val="18"/>
    </w:rPr>
  </w:style>
  <w:style w:type="paragraph" w:styleId="ListBullet2">
    <w:name w:val="List Bullet 2"/>
    <w:basedOn w:val="Normal"/>
    <w:rsid w:val="008850C5"/>
    <w:pPr>
      <w:numPr>
        <w:numId w:val="11"/>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8850C5"/>
    <w:rPr>
      <w:color w:val="0000FF"/>
      <w:u w:val="single"/>
    </w:rPr>
  </w:style>
  <w:style w:type="paragraph" w:customStyle="1" w:styleId="tablebullet">
    <w:name w:val="table bullet"/>
    <w:basedOn w:val="Normal"/>
    <w:rsid w:val="008850C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8850C5"/>
    <w:pPr>
      <w:spacing w:after="0"/>
    </w:pPr>
    <w:rPr>
      <w:sz w:val="18"/>
    </w:rPr>
  </w:style>
  <w:style w:type="character" w:styleId="FootnoteReference">
    <w:name w:val="footnote reference"/>
    <w:basedOn w:val="DefaultParagraphFont"/>
    <w:semiHidden/>
    <w:rsid w:val="008850C5"/>
    <w:rPr>
      <w:vertAlign w:val="superscript"/>
    </w:rPr>
  </w:style>
  <w:style w:type="paragraph" w:styleId="TOC1">
    <w:name w:val="toc 1"/>
    <w:basedOn w:val="Normal"/>
    <w:next w:val="Normal"/>
    <w:autoRedefine/>
    <w:uiPriority w:val="39"/>
    <w:rsid w:val="008850C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8850C5"/>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8850C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8850C5"/>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8850C5"/>
    <w:pPr>
      <w:ind w:left="3260"/>
    </w:pPr>
  </w:style>
  <w:style w:type="paragraph" w:styleId="Caption">
    <w:name w:val="caption"/>
    <w:basedOn w:val="Normal"/>
    <w:next w:val="Normal"/>
    <w:qFormat/>
    <w:rsid w:val="00086F6D"/>
    <w:pPr>
      <w:spacing w:before="120" w:after="120"/>
    </w:pPr>
    <w:rPr>
      <w:b/>
      <w:bCs/>
      <w:sz w:val="20"/>
    </w:rPr>
  </w:style>
  <w:style w:type="paragraph" w:customStyle="1" w:styleId="tabledash">
    <w:name w:val="table dash"/>
    <w:basedOn w:val="tablebullet"/>
    <w:rsid w:val="008850C5"/>
    <w:pPr>
      <w:numPr>
        <w:numId w:val="5"/>
      </w:numPr>
    </w:pPr>
  </w:style>
  <w:style w:type="paragraph" w:customStyle="1" w:styleId="Tablebody">
    <w:name w:val="Table body"/>
    <w:basedOn w:val="Normal"/>
    <w:semiHidden/>
    <w:rsid w:val="008850C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8850C5"/>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8850C5"/>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8850C5"/>
    <w:rPr>
      <w:b w:val="0"/>
    </w:rPr>
  </w:style>
  <w:style w:type="paragraph" w:customStyle="1" w:styleId="KPbullet">
    <w:name w:val="KP bullet"/>
    <w:basedOn w:val="KPtext"/>
    <w:rsid w:val="008850C5"/>
    <w:pPr>
      <w:numPr>
        <w:numId w:val="6"/>
      </w:numPr>
      <w:tabs>
        <w:tab w:val="clear" w:pos="2807"/>
        <w:tab w:val="left" w:pos="2665"/>
      </w:tabs>
      <w:spacing w:before="100"/>
      <w:ind w:left="2665" w:hanging="284"/>
    </w:pPr>
  </w:style>
  <w:style w:type="paragraph" w:customStyle="1" w:styleId="Note">
    <w:name w:val="Note"/>
    <w:basedOn w:val="BodyText"/>
    <w:next w:val="BodyText"/>
    <w:rsid w:val="008850C5"/>
    <w:pPr>
      <w:numPr>
        <w:numId w:val="0"/>
      </w:numPr>
      <w:spacing w:line="240" w:lineRule="atLeast"/>
      <w:ind w:left="2693"/>
    </w:pPr>
    <w:rPr>
      <w:sz w:val="18"/>
    </w:rPr>
  </w:style>
  <w:style w:type="paragraph" w:customStyle="1" w:styleId="subparaa">
    <w:name w:val="sub para (a)"/>
    <w:basedOn w:val="BodyText"/>
    <w:rsid w:val="008850C5"/>
    <w:pPr>
      <w:numPr>
        <w:ilvl w:val="1"/>
      </w:numPr>
      <w:spacing w:before="100"/>
    </w:pPr>
  </w:style>
  <w:style w:type="paragraph" w:customStyle="1" w:styleId="Feedbackhead">
    <w:name w:val="Feedback head"/>
    <w:basedOn w:val="KPhead"/>
    <w:next w:val="Feedbackquestion"/>
    <w:rsid w:val="008850C5"/>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8850C5"/>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8850C5"/>
    <w:pPr>
      <w:numPr>
        <w:ilvl w:val="5"/>
      </w:numPr>
    </w:pPr>
  </w:style>
  <w:style w:type="paragraph" w:customStyle="1" w:styleId="subsubparai">
    <w:name w:val="sub sub para (i)"/>
    <w:basedOn w:val="subparaa"/>
    <w:rsid w:val="008850C5"/>
    <w:pPr>
      <w:numPr>
        <w:ilvl w:val="2"/>
      </w:numPr>
    </w:pPr>
  </w:style>
  <w:style w:type="paragraph" w:customStyle="1" w:styleId="DescriptorRG">
    <w:name w:val="Descriptor RG"/>
    <w:basedOn w:val="Normal"/>
    <w:next w:val="Normal"/>
    <w:rsid w:val="008850C5"/>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8850C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8850C5"/>
    <w:pPr>
      <w:spacing w:line="260" w:lineRule="atLeast"/>
    </w:pPr>
    <w:rPr>
      <w:rFonts w:ascii="Arial" w:hAnsi="Arial" w:cs="Arial"/>
      <w:sz w:val="20"/>
      <w:szCs w:val="20"/>
    </w:rPr>
  </w:style>
  <w:style w:type="paragraph" w:customStyle="1" w:styleId="Frontbullet">
    <w:name w:val="Front bullet"/>
    <w:basedOn w:val="Fronttext"/>
    <w:rsid w:val="008850C5"/>
    <w:pPr>
      <w:numPr>
        <w:ilvl w:val="5"/>
        <w:numId w:val="10"/>
      </w:numPr>
      <w:spacing w:before="120"/>
    </w:pPr>
  </w:style>
  <w:style w:type="paragraph" w:customStyle="1" w:styleId="Frontheading">
    <w:name w:val="Front heading"/>
    <w:basedOn w:val="Heading3"/>
    <w:next w:val="Fronttext"/>
    <w:rsid w:val="008850C5"/>
    <w:pPr>
      <w:outlineLvl w:val="0"/>
    </w:pPr>
  </w:style>
  <w:style w:type="paragraph" w:customStyle="1" w:styleId="Blockquote">
    <w:name w:val="Block quote"/>
    <w:basedOn w:val="Bodytextplain"/>
    <w:rsid w:val="008850C5"/>
    <w:pPr>
      <w:spacing w:before="100" w:line="240" w:lineRule="auto"/>
      <w:ind w:left="2693"/>
    </w:pPr>
    <w:rPr>
      <w:sz w:val="21"/>
      <w:szCs w:val="21"/>
    </w:rPr>
  </w:style>
  <w:style w:type="paragraph" w:customStyle="1" w:styleId="Proposalhead">
    <w:name w:val="Proposal head"/>
    <w:basedOn w:val="Bodytextplain"/>
    <w:next w:val="Proposaltext"/>
    <w:rsid w:val="008850C5"/>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text">
    <w:name w:val="Proposal text"/>
    <w:basedOn w:val="Bodytextplain"/>
    <w:rsid w:val="008850C5"/>
    <w:pPr>
      <w:numPr>
        <w:ilvl w:val="1"/>
        <w:numId w:val="7"/>
      </w:numPr>
      <w:spacing w:line="260" w:lineRule="atLeast"/>
    </w:pPr>
    <w:rPr>
      <w:rFonts w:ascii="Arial" w:hAnsi="Arial" w:cs="Arial"/>
      <w:sz w:val="20"/>
      <w:szCs w:val="20"/>
    </w:rPr>
  </w:style>
  <w:style w:type="paragraph" w:customStyle="1" w:styleId="Proposalsubpara">
    <w:name w:val="Proposal sub para"/>
    <w:basedOn w:val="Proposaltext"/>
    <w:rsid w:val="008850C5"/>
    <w:pPr>
      <w:numPr>
        <w:ilvl w:val="2"/>
      </w:numPr>
      <w:spacing w:before="100"/>
    </w:pPr>
  </w:style>
  <w:style w:type="paragraph" w:customStyle="1" w:styleId="Proposalsubsubpara">
    <w:name w:val="Proposal sub sub para"/>
    <w:basedOn w:val="Proposaltext"/>
    <w:rsid w:val="008850C5"/>
    <w:pPr>
      <w:numPr>
        <w:ilvl w:val="3"/>
      </w:numPr>
      <w:spacing w:before="100"/>
    </w:pPr>
  </w:style>
  <w:style w:type="paragraph" w:customStyle="1" w:styleId="Proposalnote">
    <w:name w:val="Proposal note"/>
    <w:basedOn w:val="Note"/>
    <w:rsid w:val="008850C5"/>
    <w:pPr>
      <w:spacing w:before="100"/>
      <w:ind w:left="3119"/>
    </w:pPr>
    <w:rPr>
      <w:rFonts w:ascii="Arial" w:hAnsi="Arial" w:cs="Arial"/>
      <w:sz w:val="16"/>
      <w:szCs w:val="16"/>
    </w:rPr>
  </w:style>
  <w:style w:type="character" w:styleId="CommentReference">
    <w:name w:val="annotation reference"/>
    <w:basedOn w:val="DefaultParagraphFont"/>
    <w:semiHidden/>
    <w:rsid w:val="008850C5"/>
    <w:rPr>
      <w:sz w:val="16"/>
      <w:szCs w:val="16"/>
    </w:rPr>
  </w:style>
  <w:style w:type="paragraph" w:styleId="CommentText">
    <w:name w:val="annotation text"/>
    <w:basedOn w:val="Normal"/>
    <w:link w:val="CommentTextChar"/>
    <w:rsid w:val="008850C5"/>
    <w:rPr>
      <w:sz w:val="20"/>
    </w:rPr>
  </w:style>
  <w:style w:type="paragraph" w:styleId="BalloonText">
    <w:name w:val="Balloon Text"/>
    <w:basedOn w:val="Normal"/>
    <w:semiHidden/>
    <w:rsid w:val="008850C5"/>
    <w:rPr>
      <w:rFonts w:ascii="Tahoma" w:hAnsi="Tahoma" w:cs="Tahoma"/>
      <w:sz w:val="16"/>
      <w:szCs w:val="16"/>
    </w:rPr>
  </w:style>
  <w:style w:type="paragraph" w:customStyle="1" w:styleId="boxbullet">
    <w:name w:val="box bullet"/>
    <w:basedOn w:val="Frontbullet"/>
    <w:rsid w:val="008850C5"/>
    <w:pPr>
      <w:numPr>
        <w:ilvl w:val="0"/>
        <w:numId w:val="12"/>
      </w:numPr>
      <w:spacing w:before="60"/>
    </w:pPr>
  </w:style>
  <w:style w:type="paragraph" w:customStyle="1" w:styleId="boxtext">
    <w:name w:val="box text"/>
    <w:basedOn w:val="Fronttext"/>
    <w:rsid w:val="008850C5"/>
    <w:pPr>
      <w:spacing w:before="120"/>
      <w:ind w:left="0"/>
    </w:pPr>
  </w:style>
  <w:style w:type="paragraph" w:customStyle="1" w:styleId="sub3paraA">
    <w:name w:val="sub3para (A)"/>
    <w:basedOn w:val="subsubparai"/>
    <w:qFormat/>
    <w:rsid w:val="008850C5"/>
    <w:pPr>
      <w:numPr>
        <w:ilvl w:val="3"/>
      </w:numPr>
    </w:pPr>
  </w:style>
  <w:style w:type="paragraph" w:customStyle="1" w:styleId="sub4paraI">
    <w:name w:val="sub4para (I)"/>
    <w:basedOn w:val="subsubparai"/>
    <w:qFormat/>
    <w:rsid w:val="008850C5"/>
    <w:pPr>
      <w:numPr>
        <w:ilvl w:val="4"/>
      </w:numPr>
    </w:pPr>
  </w:style>
  <w:style w:type="paragraph" w:customStyle="1" w:styleId="Feedbacksubsubquestion">
    <w:name w:val="Feedback subsubquestion"/>
    <w:basedOn w:val="Feedbacksubquestion"/>
    <w:qFormat/>
    <w:rsid w:val="008850C5"/>
    <w:pPr>
      <w:numPr>
        <w:ilvl w:val="6"/>
      </w:numPr>
    </w:pPr>
  </w:style>
  <w:style w:type="paragraph" w:customStyle="1" w:styleId="sourcenoteindented">
    <w:name w:val="source note indented"/>
    <w:basedOn w:val="sourcenotefullwidth"/>
    <w:qFormat/>
    <w:rsid w:val="008850C5"/>
    <w:pPr>
      <w:ind w:left="2268"/>
    </w:pPr>
  </w:style>
  <w:style w:type="paragraph" w:customStyle="1" w:styleId="tblnote">
    <w:name w:val="tbl note"/>
    <w:basedOn w:val="sourcenotefullwidth"/>
    <w:next w:val="tbltext"/>
    <w:qFormat/>
    <w:rsid w:val="008850C5"/>
    <w:pPr>
      <w:ind w:left="170"/>
    </w:pPr>
  </w:style>
  <w:style w:type="paragraph" w:customStyle="1" w:styleId="tblProposalsubpara">
    <w:name w:val="tbl Proposal sub para"/>
    <w:basedOn w:val="tbltext"/>
    <w:qFormat/>
    <w:rsid w:val="008850C5"/>
    <w:pPr>
      <w:ind w:left="885" w:hanging="425"/>
    </w:pPr>
  </w:style>
  <w:style w:type="paragraph" w:customStyle="1" w:styleId="tblProposalsubsubpara">
    <w:name w:val="tbl Proposal sub sub para"/>
    <w:basedOn w:val="tbltext"/>
    <w:qFormat/>
    <w:rsid w:val="008850C5"/>
    <w:pPr>
      <w:ind w:left="1310" w:hanging="425"/>
    </w:pPr>
  </w:style>
  <w:style w:type="paragraph" w:customStyle="1" w:styleId="tblProposaltext">
    <w:name w:val="tbl Proposal text"/>
    <w:basedOn w:val="tbltext"/>
    <w:qFormat/>
    <w:rsid w:val="008850C5"/>
    <w:pPr>
      <w:ind w:left="425" w:hanging="425"/>
    </w:pPr>
  </w:style>
  <w:style w:type="paragraph" w:customStyle="1" w:styleId="tblProposaltextnonumber">
    <w:name w:val="tbl Proposal text no number"/>
    <w:basedOn w:val="tbltext"/>
    <w:qFormat/>
    <w:rsid w:val="008850C5"/>
    <w:pPr>
      <w:ind w:left="425"/>
    </w:pPr>
  </w:style>
  <w:style w:type="paragraph" w:customStyle="1" w:styleId="tblFeedbackquestion">
    <w:name w:val="tbl Feedback question"/>
    <w:basedOn w:val="Proposaltext"/>
    <w:qFormat/>
    <w:rsid w:val="008850C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8850C5"/>
    <w:rPr>
      <w:sz w:val="16"/>
      <w:szCs w:val="16"/>
    </w:rPr>
  </w:style>
  <w:style w:type="paragraph" w:customStyle="1" w:styleId="tblFeedbacksubquestion">
    <w:name w:val="tbl Feedback subquestion"/>
    <w:basedOn w:val="tblProposalsubpara"/>
    <w:rsid w:val="008850C5"/>
    <w:pPr>
      <w:ind w:left="964" w:hanging="340"/>
    </w:pPr>
  </w:style>
  <w:style w:type="paragraph" w:customStyle="1" w:styleId="tblFeedbacksubsubquestion">
    <w:name w:val="tbl Feedback subsubquestion"/>
    <w:basedOn w:val="tblProposalsubsubpara"/>
    <w:qFormat/>
    <w:rsid w:val="008850C5"/>
    <w:pPr>
      <w:ind w:left="1304" w:hanging="340"/>
    </w:pPr>
  </w:style>
  <w:style w:type="paragraph" w:customStyle="1" w:styleId="tabletext">
    <w:name w:val="table text"/>
    <w:basedOn w:val="tablehead"/>
    <w:rsid w:val="000F605A"/>
    <w:pPr>
      <w:keepNext w:val="0"/>
    </w:pPr>
    <w:rPr>
      <w:b w:val="0"/>
    </w:rPr>
  </w:style>
  <w:style w:type="character" w:customStyle="1" w:styleId="HeaderChar">
    <w:name w:val="Header Char"/>
    <w:basedOn w:val="DefaultParagraphFont"/>
    <w:link w:val="Header"/>
    <w:rsid w:val="000F605A"/>
    <w:rPr>
      <w:rFonts w:ascii="Arial" w:hAnsi="Arial" w:cs="Arial"/>
      <w:caps/>
      <w:color w:val="008291"/>
      <w:sz w:val="16"/>
      <w:szCs w:val="16"/>
    </w:rPr>
  </w:style>
  <w:style w:type="character" w:customStyle="1" w:styleId="BodyTextChar">
    <w:name w:val="Body Text Char"/>
    <w:basedOn w:val="DefaultParagraphFont"/>
    <w:link w:val="BodyText"/>
    <w:rsid w:val="000F605A"/>
    <w:rPr>
      <w:sz w:val="22"/>
      <w:szCs w:val="22"/>
    </w:rPr>
  </w:style>
  <w:style w:type="character" w:customStyle="1" w:styleId="Heading1Char">
    <w:name w:val="Heading 1 Char"/>
    <w:basedOn w:val="DefaultParagraphFont"/>
    <w:link w:val="Heading1"/>
    <w:rsid w:val="00D8724F"/>
    <w:rPr>
      <w:rFonts w:ascii="Arial" w:hAnsi="Arial" w:cs="Arial"/>
      <w:b/>
      <w:kern w:val="28"/>
      <w:sz w:val="36"/>
      <w:szCs w:val="36"/>
    </w:rPr>
  </w:style>
  <w:style w:type="character" w:customStyle="1" w:styleId="Heading2Char">
    <w:name w:val="Heading 2 Char"/>
    <w:basedOn w:val="DefaultParagraphFont"/>
    <w:link w:val="Heading2"/>
    <w:rsid w:val="000F605A"/>
    <w:rPr>
      <w:rFonts w:ascii="Arial" w:hAnsi="Arial" w:cs="Arial"/>
      <w:b/>
      <w:sz w:val="28"/>
      <w:szCs w:val="28"/>
    </w:rPr>
  </w:style>
  <w:style w:type="character" w:customStyle="1" w:styleId="Heading3Char">
    <w:name w:val="Heading 3 Char"/>
    <w:basedOn w:val="DefaultParagraphFont"/>
    <w:link w:val="Heading3"/>
    <w:rsid w:val="000F605A"/>
    <w:rPr>
      <w:rFonts w:ascii="Arial" w:hAnsi="Arial" w:cs="Arial"/>
      <w:b/>
      <w:sz w:val="24"/>
      <w:szCs w:val="24"/>
    </w:rPr>
  </w:style>
  <w:style w:type="paragraph" w:customStyle="1" w:styleId="Default">
    <w:name w:val="Default"/>
    <w:rsid w:val="000F605A"/>
    <w:pPr>
      <w:autoSpaceDE w:val="0"/>
      <w:autoSpaceDN w:val="0"/>
      <w:adjustRightInd w:val="0"/>
    </w:pPr>
    <w:rPr>
      <w:rFonts w:eastAsiaTheme="minorEastAsia"/>
      <w:color w:val="000000"/>
      <w:sz w:val="24"/>
      <w:szCs w:val="24"/>
    </w:rPr>
  </w:style>
  <w:style w:type="character" w:customStyle="1" w:styleId="Heading5Char">
    <w:name w:val="Heading 5 Char"/>
    <w:basedOn w:val="DefaultParagraphFont"/>
    <w:link w:val="Heading5"/>
    <w:rsid w:val="000F605A"/>
    <w:rPr>
      <w:rFonts w:ascii="Arial" w:hAnsi="Arial" w:cs="Arial"/>
      <w:i/>
    </w:rPr>
  </w:style>
  <w:style w:type="character" w:customStyle="1" w:styleId="Heading4Char">
    <w:name w:val="Heading 4 Char"/>
    <w:basedOn w:val="DefaultParagraphFont"/>
    <w:link w:val="Heading4"/>
    <w:rsid w:val="000F605A"/>
    <w:rPr>
      <w:rFonts w:ascii="Arial" w:hAnsi="Arial" w:cs="Arial"/>
      <w:b/>
      <w:szCs w:val="22"/>
    </w:rPr>
  </w:style>
  <w:style w:type="paragraph" w:styleId="NormalWeb">
    <w:name w:val="Normal (Web)"/>
    <w:basedOn w:val="Normal"/>
    <w:uiPriority w:val="99"/>
    <w:unhideWhenUsed/>
    <w:rsid w:val="000F605A"/>
    <w:pPr>
      <w:spacing w:before="100" w:beforeAutospacing="1" w:after="100" w:afterAutospacing="1"/>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132A6"/>
    <w:rPr>
      <w:b/>
      <w:bCs/>
    </w:rPr>
  </w:style>
  <w:style w:type="character" w:customStyle="1" w:styleId="CommentTextChar">
    <w:name w:val="Comment Text Char"/>
    <w:basedOn w:val="DefaultParagraphFont"/>
    <w:link w:val="CommentText"/>
    <w:rsid w:val="00A132A6"/>
  </w:style>
  <w:style w:type="character" w:customStyle="1" w:styleId="CommentSubjectChar">
    <w:name w:val="Comment Subject Char"/>
    <w:basedOn w:val="CommentTextChar"/>
    <w:link w:val="CommentSubject"/>
    <w:uiPriority w:val="99"/>
    <w:semiHidden/>
    <w:rsid w:val="00A132A6"/>
    <w:rPr>
      <w:b/>
      <w:bCs/>
    </w:rPr>
  </w:style>
  <w:style w:type="character" w:customStyle="1" w:styleId="UnresolvedMention">
    <w:name w:val="Unresolved Mention"/>
    <w:basedOn w:val="DefaultParagraphFont"/>
    <w:uiPriority w:val="99"/>
    <w:semiHidden/>
    <w:unhideWhenUsed/>
    <w:rsid w:val="002E6D1B"/>
    <w:rPr>
      <w:color w:val="808080"/>
      <w:shd w:val="clear" w:color="auto" w:fill="E6E6E6"/>
    </w:rPr>
  </w:style>
  <w:style w:type="paragraph" w:styleId="Revision">
    <w:name w:val="Revision"/>
    <w:hidden/>
    <w:uiPriority w:val="99"/>
    <w:semiHidden/>
    <w:rsid w:val="0018395F"/>
    <w:rPr>
      <w:sz w:val="22"/>
    </w:rPr>
  </w:style>
  <w:style w:type="paragraph" w:styleId="ListParagraph">
    <w:name w:val="List Paragraph"/>
    <w:basedOn w:val="Normal"/>
    <w:uiPriority w:val="34"/>
    <w:qFormat/>
    <w:rsid w:val="00776568"/>
    <w:pPr>
      <w:ind w:left="720"/>
      <w:contextualSpacing/>
    </w:pPr>
  </w:style>
  <w:style w:type="character" w:customStyle="1" w:styleId="FootnoteTextChar">
    <w:name w:val="Footnote Text Char"/>
    <w:basedOn w:val="DefaultParagraphFont"/>
    <w:link w:val="FootnoteText"/>
    <w:semiHidden/>
    <w:rsid w:val="00866ED9"/>
    <w:rPr>
      <w:sz w:val="18"/>
    </w:rPr>
  </w:style>
  <w:style w:type="character" w:styleId="FollowedHyperlink">
    <w:name w:val="FollowedHyperlink"/>
    <w:basedOn w:val="DefaultParagraphFont"/>
    <w:uiPriority w:val="99"/>
    <w:semiHidden/>
    <w:unhideWhenUsed/>
    <w:rsid w:val="00AC016C"/>
    <w:rPr>
      <w:color w:val="800080" w:themeColor="followedHyperlink"/>
      <w:u w:val="single"/>
    </w:rPr>
  </w:style>
  <w:style w:type="table" w:styleId="TableGrid">
    <w:name w:val="Table Grid"/>
    <w:basedOn w:val="TableNormal"/>
    <w:uiPriority w:val="59"/>
    <w:rsid w:val="00C8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BodyTextSubparai">
    <w:name w:val="LI - Body Text Subpara (i)"/>
    <w:basedOn w:val="Normal"/>
    <w:link w:val="LI-BodyTextSubparaiChar"/>
    <w:qFormat/>
    <w:rsid w:val="00866B77"/>
    <w:pPr>
      <w:spacing w:before="240"/>
      <w:ind w:left="2268" w:hanging="567"/>
    </w:pPr>
    <w:rPr>
      <w:sz w:val="24"/>
      <w:szCs w:val="24"/>
    </w:rPr>
  </w:style>
  <w:style w:type="character" w:customStyle="1" w:styleId="LI-BodyTextSubparaiChar">
    <w:name w:val="LI - Body Text Subpara (i) Char"/>
    <w:basedOn w:val="DefaultParagraphFont"/>
    <w:link w:val="LI-BodyTextSubparai"/>
    <w:rsid w:val="00866B77"/>
    <w:rPr>
      <w:sz w:val="24"/>
      <w:szCs w:val="24"/>
    </w:rPr>
  </w:style>
  <w:style w:type="character" w:customStyle="1" w:styleId="tbltextChar">
    <w:name w:val="tbl text Char"/>
    <w:basedOn w:val="DefaultParagraphFont"/>
    <w:link w:val="tbltext"/>
    <w:rsid w:val="005F133B"/>
    <w:rPr>
      <w:rFonts w:ascii="Arial" w:hAnsi="Arial" w:cs="Arial"/>
      <w:sz w:val="18"/>
      <w:szCs w:val="18"/>
    </w:rPr>
  </w:style>
  <w:style w:type="paragraph" w:customStyle="1" w:styleId="Heading1nonumber">
    <w:name w:val="Heading 1 no number"/>
    <w:basedOn w:val="Heading1"/>
    <w:next w:val="Bodytextplain"/>
    <w:link w:val="Heading1nonumberChar"/>
    <w:rsid w:val="008850C5"/>
    <w:pPr>
      <w:numPr>
        <w:numId w:val="0"/>
      </w:numPr>
    </w:pPr>
  </w:style>
  <w:style w:type="character" w:customStyle="1" w:styleId="Heading1nonumberChar">
    <w:name w:val="Heading 1 no number Char"/>
    <w:basedOn w:val="Heading1Char"/>
    <w:link w:val="Heading1nonumber"/>
    <w:rsid w:val="00183335"/>
    <w:rPr>
      <w:rFonts w:ascii="Arial" w:hAnsi="Arial" w:cs="Arial"/>
      <w:b/>
      <w:kern w:val="28"/>
      <w:sz w:val="36"/>
      <w:szCs w:val="36"/>
    </w:rPr>
  </w:style>
  <w:style w:type="character" w:customStyle="1" w:styleId="BodytextplainChar">
    <w:name w:val="Body text plain Char"/>
    <w:basedOn w:val="DefaultParagraphFont"/>
    <w:link w:val="Bodytextplain"/>
    <w:rsid w:val="0094439B"/>
    <w:rPr>
      <w:sz w:val="22"/>
      <w:szCs w:val="22"/>
    </w:rPr>
  </w:style>
  <w:style w:type="paragraph" w:customStyle="1" w:styleId="Heading2indented">
    <w:name w:val="Heading 2 indented"/>
    <w:basedOn w:val="Normal"/>
    <w:next w:val="Bodytextplain"/>
    <w:qFormat/>
    <w:rsid w:val="008850C5"/>
    <w:pPr>
      <w:keepNext/>
      <w:spacing w:before="400" w:after="0" w:line="280" w:lineRule="atLeast"/>
      <w:ind w:left="2268"/>
      <w:outlineLvl w:val="1"/>
    </w:pPr>
    <w:rPr>
      <w:rFonts w:ascii="Arial" w:hAnsi="Arial" w:cs="Arial"/>
      <w:b/>
      <w:sz w:val="24"/>
      <w:szCs w:val="24"/>
    </w:rPr>
  </w:style>
  <w:style w:type="character" w:customStyle="1" w:styleId="FooterChar">
    <w:name w:val="Footer Char"/>
    <w:basedOn w:val="DefaultParagraphFont"/>
    <w:link w:val="Footer"/>
    <w:locked/>
    <w:rsid w:val="00C223E7"/>
    <w:rPr>
      <w:rFonts w:ascii="Arial" w:hAnsi="Arial"/>
      <w:sz w:val="16"/>
      <w:szCs w:val="16"/>
    </w:rPr>
  </w:style>
  <w:style w:type="paragraph" w:styleId="TOCHeading">
    <w:name w:val="TOC Heading"/>
    <w:basedOn w:val="Heading1"/>
    <w:next w:val="Normal"/>
    <w:uiPriority w:val="39"/>
    <w:qFormat/>
    <w:rsid w:val="008850C5"/>
    <w:pPr>
      <w:numPr>
        <w:numId w:val="0"/>
      </w:numPr>
      <w:spacing w:before="200" w:line="240" w:lineRule="auto"/>
    </w:pPr>
    <w:rPr>
      <w:rFonts w:eastAsiaTheme="majorEastAsia"/>
      <w:kern w:val="0"/>
    </w:rPr>
  </w:style>
  <w:style w:type="paragraph" w:customStyle="1" w:styleId="Heading2noToC">
    <w:name w:val="Heading 2 no ToC"/>
    <w:basedOn w:val="Bodytextplain"/>
    <w:next w:val="Bodytextplain"/>
    <w:rsid w:val="008850C5"/>
    <w:pPr>
      <w:keepNext/>
      <w:spacing w:before="720" w:line="280" w:lineRule="atLeast"/>
      <w:ind w:left="0"/>
      <w:outlineLvl w:val="1"/>
    </w:pPr>
    <w:rPr>
      <w:rFonts w:ascii="Arial" w:hAnsi="Arial" w:cs="Arial"/>
      <w:b/>
      <w:sz w:val="28"/>
      <w:szCs w:val="28"/>
    </w:rPr>
  </w:style>
  <w:style w:type="paragraph" w:customStyle="1" w:styleId="Frontmatternote">
    <w:name w:val="Front matter note"/>
    <w:basedOn w:val="tblnote"/>
    <w:qFormat/>
    <w:rsid w:val="008850C5"/>
    <w:pPr>
      <w:spacing w:before="200"/>
      <w:ind w:left="2693"/>
    </w:pPr>
  </w:style>
  <w:style w:type="paragraph" w:customStyle="1" w:styleId="Responsehead">
    <w:name w:val="Response head"/>
    <w:basedOn w:val="Feedbackhead"/>
    <w:next w:val="Responsetext"/>
    <w:qFormat/>
    <w:rsid w:val="008850C5"/>
    <w:pPr>
      <w:spacing w:before="400"/>
      <w:ind w:right="4309"/>
    </w:pPr>
  </w:style>
  <w:style w:type="paragraph" w:customStyle="1" w:styleId="Responsetext">
    <w:name w:val="Response text"/>
    <w:basedOn w:val="Responsehead"/>
    <w:qFormat/>
    <w:rsid w:val="008850C5"/>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8850C5"/>
    <w:pPr>
      <w:numPr>
        <w:numId w:val="129"/>
      </w:numPr>
      <w:ind w:left="3572"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5511">
      <w:bodyDiv w:val="1"/>
      <w:marLeft w:val="0"/>
      <w:marRight w:val="0"/>
      <w:marTop w:val="0"/>
      <w:marBottom w:val="0"/>
      <w:divBdr>
        <w:top w:val="none" w:sz="0" w:space="0" w:color="auto"/>
        <w:left w:val="none" w:sz="0" w:space="0" w:color="auto"/>
        <w:bottom w:val="none" w:sz="0" w:space="0" w:color="auto"/>
        <w:right w:val="none" w:sz="0" w:space="0" w:color="auto"/>
      </w:divBdr>
    </w:div>
    <w:div w:id="72243370">
      <w:bodyDiv w:val="1"/>
      <w:marLeft w:val="0"/>
      <w:marRight w:val="0"/>
      <w:marTop w:val="0"/>
      <w:marBottom w:val="0"/>
      <w:divBdr>
        <w:top w:val="none" w:sz="0" w:space="0" w:color="auto"/>
        <w:left w:val="none" w:sz="0" w:space="0" w:color="auto"/>
        <w:bottom w:val="none" w:sz="0" w:space="0" w:color="auto"/>
        <w:right w:val="none" w:sz="0" w:space="0" w:color="auto"/>
      </w:divBdr>
    </w:div>
    <w:div w:id="116876114">
      <w:bodyDiv w:val="1"/>
      <w:marLeft w:val="0"/>
      <w:marRight w:val="0"/>
      <w:marTop w:val="0"/>
      <w:marBottom w:val="0"/>
      <w:divBdr>
        <w:top w:val="none" w:sz="0" w:space="0" w:color="auto"/>
        <w:left w:val="none" w:sz="0" w:space="0" w:color="auto"/>
        <w:bottom w:val="none" w:sz="0" w:space="0" w:color="auto"/>
        <w:right w:val="none" w:sz="0" w:space="0" w:color="auto"/>
      </w:divBdr>
    </w:div>
    <w:div w:id="117721228">
      <w:bodyDiv w:val="1"/>
      <w:marLeft w:val="0"/>
      <w:marRight w:val="0"/>
      <w:marTop w:val="0"/>
      <w:marBottom w:val="0"/>
      <w:divBdr>
        <w:top w:val="none" w:sz="0" w:space="0" w:color="auto"/>
        <w:left w:val="none" w:sz="0" w:space="0" w:color="auto"/>
        <w:bottom w:val="none" w:sz="0" w:space="0" w:color="auto"/>
        <w:right w:val="none" w:sz="0" w:space="0" w:color="auto"/>
      </w:divBdr>
    </w:div>
    <w:div w:id="142044167">
      <w:bodyDiv w:val="1"/>
      <w:marLeft w:val="0"/>
      <w:marRight w:val="0"/>
      <w:marTop w:val="0"/>
      <w:marBottom w:val="0"/>
      <w:divBdr>
        <w:top w:val="none" w:sz="0" w:space="0" w:color="auto"/>
        <w:left w:val="none" w:sz="0" w:space="0" w:color="auto"/>
        <w:bottom w:val="none" w:sz="0" w:space="0" w:color="auto"/>
        <w:right w:val="none" w:sz="0" w:space="0" w:color="auto"/>
      </w:divBdr>
    </w:div>
    <w:div w:id="206920805">
      <w:bodyDiv w:val="1"/>
      <w:marLeft w:val="0"/>
      <w:marRight w:val="0"/>
      <w:marTop w:val="0"/>
      <w:marBottom w:val="0"/>
      <w:divBdr>
        <w:top w:val="none" w:sz="0" w:space="0" w:color="auto"/>
        <w:left w:val="none" w:sz="0" w:space="0" w:color="auto"/>
        <w:bottom w:val="none" w:sz="0" w:space="0" w:color="auto"/>
        <w:right w:val="none" w:sz="0" w:space="0" w:color="auto"/>
      </w:divBdr>
    </w:div>
    <w:div w:id="311518894">
      <w:bodyDiv w:val="1"/>
      <w:marLeft w:val="0"/>
      <w:marRight w:val="0"/>
      <w:marTop w:val="0"/>
      <w:marBottom w:val="0"/>
      <w:divBdr>
        <w:top w:val="none" w:sz="0" w:space="0" w:color="auto"/>
        <w:left w:val="none" w:sz="0" w:space="0" w:color="auto"/>
        <w:bottom w:val="none" w:sz="0" w:space="0" w:color="auto"/>
        <w:right w:val="none" w:sz="0" w:space="0" w:color="auto"/>
      </w:divBdr>
    </w:div>
    <w:div w:id="317266781">
      <w:bodyDiv w:val="1"/>
      <w:marLeft w:val="0"/>
      <w:marRight w:val="0"/>
      <w:marTop w:val="0"/>
      <w:marBottom w:val="0"/>
      <w:divBdr>
        <w:top w:val="none" w:sz="0" w:space="0" w:color="auto"/>
        <w:left w:val="none" w:sz="0" w:space="0" w:color="auto"/>
        <w:bottom w:val="none" w:sz="0" w:space="0" w:color="auto"/>
        <w:right w:val="none" w:sz="0" w:space="0" w:color="auto"/>
      </w:divBdr>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373963217">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443696071">
      <w:bodyDiv w:val="1"/>
      <w:marLeft w:val="0"/>
      <w:marRight w:val="0"/>
      <w:marTop w:val="0"/>
      <w:marBottom w:val="0"/>
      <w:divBdr>
        <w:top w:val="none" w:sz="0" w:space="0" w:color="auto"/>
        <w:left w:val="none" w:sz="0" w:space="0" w:color="auto"/>
        <w:bottom w:val="none" w:sz="0" w:space="0" w:color="auto"/>
        <w:right w:val="none" w:sz="0" w:space="0" w:color="auto"/>
      </w:divBdr>
    </w:div>
    <w:div w:id="490221018">
      <w:bodyDiv w:val="1"/>
      <w:marLeft w:val="0"/>
      <w:marRight w:val="0"/>
      <w:marTop w:val="0"/>
      <w:marBottom w:val="0"/>
      <w:divBdr>
        <w:top w:val="none" w:sz="0" w:space="0" w:color="auto"/>
        <w:left w:val="none" w:sz="0" w:space="0" w:color="auto"/>
        <w:bottom w:val="none" w:sz="0" w:space="0" w:color="auto"/>
        <w:right w:val="none" w:sz="0" w:space="0" w:color="auto"/>
      </w:divBdr>
    </w:div>
    <w:div w:id="563296180">
      <w:bodyDiv w:val="1"/>
      <w:marLeft w:val="0"/>
      <w:marRight w:val="0"/>
      <w:marTop w:val="0"/>
      <w:marBottom w:val="0"/>
      <w:divBdr>
        <w:top w:val="none" w:sz="0" w:space="0" w:color="auto"/>
        <w:left w:val="none" w:sz="0" w:space="0" w:color="auto"/>
        <w:bottom w:val="none" w:sz="0" w:space="0" w:color="auto"/>
        <w:right w:val="none" w:sz="0" w:space="0" w:color="auto"/>
      </w:divBdr>
    </w:div>
    <w:div w:id="564726107">
      <w:bodyDiv w:val="1"/>
      <w:marLeft w:val="0"/>
      <w:marRight w:val="0"/>
      <w:marTop w:val="0"/>
      <w:marBottom w:val="0"/>
      <w:divBdr>
        <w:top w:val="none" w:sz="0" w:space="0" w:color="auto"/>
        <w:left w:val="none" w:sz="0" w:space="0" w:color="auto"/>
        <w:bottom w:val="none" w:sz="0" w:space="0" w:color="auto"/>
        <w:right w:val="none" w:sz="0" w:space="0" w:color="auto"/>
      </w:divBdr>
    </w:div>
    <w:div w:id="843788132">
      <w:bodyDiv w:val="1"/>
      <w:marLeft w:val="0"/>
      <w:marRight w:val="0"/>
      <w:marTop w:val="0"/>
      <w:marBottom w:val="0"/>
      <w:divBdr>
        <w:top w:val="none" w:sz="0" w:space="0" w:color="auto"/>
        <w:left w:val="none" w:sz="0" w:space="0" w:color="auto"/>
        <w:bottom w:val="none" w:sz="0" w:space="0" w:color="auto"/>
        <w:right w:val="none" w:sz="0" w:space="0" w:color="auto"/>
      </w:divBdr>
    </w:div>
    <w:div w:id="898900779">
      <w:bodyDiv w:val="1"/>
      <w:marLeft w:val="0"/>
      <w:marRight w:val="0"/>
      <w:marTop w:val="0"/>
      <w:marBottom w:val="0"/>
      <w:divBdr>
        <w:top w:val="none" w:sz="0" w:space="0" w:color="auto"/>
        <w:left w:val="none" w:sz="0" w:space="0" w:color="auto"/>
        <w:bottom w:val="none" w:sz="0" w:space="0" w:color="auto"/>
        <w:right w:val="none" w:sz="0" w:space="0" w:color="auto"/>
      </w:divBdr>
    </w:div>
    <w:div w:id="940114305">
      <w:bodyDiv w:val="1"/>
      <w:marLeft w:val="0"/>
      <w:marRight w:val="0"/>
      <w:marTop w:val="0"/>
      <w:marBottom w:val="0"/>
      <w:divBdr>
        <w:top w:val="none" w:sz="0" w:space="0" w:color="auto"/>
        <w:left w:val="none" w:sz="0" w:space="0" w:color="auto"/>
        <w:bottom w:val="none" w:sz="0" w:space="0" w:color="auto"/>
        <w:right w:val="none" w:sz="0" w:space="0" w:color="auto"/>
      </w:divBdr>
    </w:div>
    <w:div w:id="944308406">
      <w:bodyDiv w:val="1"/>
      <w:marLeft w:val="0"/>
      <w:marRight w:val="0"/>
      <w:marTop w:val="0"/>
      <w:marBottom w:val="0"/>
      <w:divBdr>
        <w:top w:val="none" w:sz="0" w:space="0" w:color="auto"/>
        <w:left w:val="none" w:sz="0" w:space="0" w:color="auto"/>
        <w:bottom w:val="none" w:sz="0" w:space="0" w:color="auto"/>
        <w:right w:val="none" w:sz="0" w:space="0" w:color="auto"/>
      </w:divBdr>
    </w:div>
    <w:div w:id="949507428">
      <w:bodyDiv w:val="1"/>
      <w:marLeft w:val="0"/>
      <w:marRight w:val="0"/>
      <w:marTop w:val="0"/>
      <w:marBottom w:val="0"/>
      <w:divBdr>
        <w:top w:val="none" w:sz="0" w:space="0" w:color="auto"/>
        <w:left w:val="none" w:sz="0" w:space="0" w:color="auto"/>
        <w:bottom w:val="none" w:sz="0" w:space="0" w:color="auto"/>
        <w:right w:val="none" w:sz="0" w:space="0" w:color="auto"/>
      </w:divBdr>
    </w:div>
    <w:div w:id="967079629">
      <w:bodyDiv w:val="1"/>
      <w:marLeft w:val="0"/>
      <w:marRight w:val="0"/>
      <w:marTop w:val="0"/>
      <w:marBottom w:val="0"/>
      <w:divBdr>
        <w:top w:val="none" w:sz="0" w:space="0" w:color="auto"/>
        <w:left w:val="none" w:sz="0" w:space="0" w:color="auto"/>
        <w:bottom w:val="none" w:sz="0" w:space="0" w:color="auto"/>
        <w:right w:val="none" w:sz="0" w:space="0" w:color="auto"/>
      </w:divBdr>
    </w:div>
    <w:div w:id="977489813">
      <w:bodyDiv w:val="1"/>
      <w:marLeft w:val="0"/>
      <w:marRight w:val="0"/>
      <w:marTop w:val="0"/>
      <w:marBottom w:val="0"/>
      <w:divBdr>
        <w:top w:val="none" w:sz="0" w:space="0" w:color="auto"/>
        <w:left w:val="none" w:sz="0" w:space="0" w:color="auto"/>
        <w:bottom w:val="none" w:sz="0" w:space="0" w:color="auto"/>
        <w:right w:val="none" w:sz="0" w:space="0" w:color="auto"/>
      </w:divBdr>
    </w:div>
    <w:div w:id="981813817">
      <w:bodyDiv w:val="1"/>
      <w:marLeft w:val="0"/>
      <w:marRight w:val="0"/>
      <w:marTop w:val="0"/>
      <w:marBottom w:val="0"/>
      <w:divBdr>
        <w:top w:val="none" w:sz="0" w:space="0" w:color="auto"/>
        <w:left w:val="none" w:sz="0" w:space="0" w:color="auto"/>
        <w:bottom w:val="none" w:sz="0" w:space="0" w:color="auto"/>
        <w:right w:val="none" w:sz="0" w:space="0" w:color="auto"/>
      </w:divBdr>
    </w:div>
    <w:div w:id="1022710669">
      <w:bodyDiv w:val="1"/>
      <w:marLeft w:val="0"/>
      <w:marRight w:val="0"/>
      <w:marTop w:val="0"/>
      <w:marBottom w:val="0"/>
      <w:divBdr>
        <w:top w:val="none" w:sz="0" w:space="0" w:color="auto"/>
        <w:left w:val="none" w:sz="0" w:space="0" w:color="auto"/>
        <w:bottom w:val="none" w:sz="0" w:space="0" w:color="auto"/>
        <w:right w:val="none" w:sz="0" w:space="0" w:color="auto"/>
      </w:divBdr>
    </w:div>
    <w:div w:id="1250306519">
      <w:bodyDiv w:val="1"/>
      <w:marLeft w:val="0"/>
      <w:marRight w:val="0"/>
      <w:marTop w:val="0"/>
      <w:marBottom w:val="0"/>
      <w:divBdr>
        <w:top w:val="none" w:sz="0" w:space="0" w:color="auto"/>
        <w:left w:val="none" w:sz="0" w:space="0" w:color="auto"/>
        <w:bottom w:val="none" w:sz="0" w:space="0" w:color="auto"/>
        <w:right w:val="none" w:sz="0" w:space="0" w:color="auto"/>
      </w:divBdr>
    </w:div>
    <w:div w:id="1345210801">
      <w:bodyDiv w:val="1"/>
      <w:marLeft w:val="0"/>
      <w:marRight w:val="0"/>
      <w:marTop w:val="0"/>
      <w:marBottom w:val="0"/>
      <w:divBdr>
        <w:top w:val="none" w:sz="0" w:space="0" w:color="auto"/>
        <w:left w:val="none" w:sz="0" w:space="0" w:color="auto"/>
        <w:bottom w:val="none" w:sz="0" w:space="0" w:color="auto"/>
        <w:right w:val="none" w:sz="0" w:space="0" w:color="auto"/>
      </w:divBdr>
      <w:divsChild>
        <w:div w:id="1957373666">
          <w:marLeft w:val="0"/>
          <w:marRight w:val="0"/>
          <w:marTop w:val="0"/>
          <w:marBottom w:val="0"/>
          <w:divBdr>
            <w:top w:val="none" w:sz="0" w:space="0" w:color="auto"/>
            <w:left w:val="none" w:sz="0" w:space="0" w:color="auto"/>
            <w:bottom w:val="none" w:sz="0" w:space="0" w:color="auto"/>
            <w:right w:val="none" w:sz="0" w:space="0" w:color="auto"/>
          </w:divBdr>
          <w:divsChild>
            <w:div w:id="1419979724">
              <w:marLeft w:val="0"/>
              <w:marRight w:val="0"/>
              <w:marTop w:val="0"/>
              <w:marBottom w:val="0"/>
              <w:divBdr>
                <w:top w:val="none" w:sz="0" w:space="0" w:color="auto"/>
                <w:left w:val="none" w:sz="0" w:space="0" w:color="auto"/>
                <w:bottom w:val="none" w:sz="0" w:space="0" w:color="auto"/>
                <w:right w:val="none" w:sz="0" w:space="0" w:color="auto"/>
              </w:divBdr>
              <w:divsChild>
                <w:div w:id="574122954">
                  <w:marLeft w:val="0"/>
                  <w:marRight w:val="0"/>
                  <w:marTop w:val="0"/>
                  <w:marBottom w:val="0"/>
                  <w:divBdr>
                    <w:top w:val="none" w:sz="0" w:space="0" w:color="auto"/>
                    <w:left w:val="none" w:sz="0" w:space="0" w:color="auto"/>
                    <w:bottom w:val="none" w:sz="0" w:space="0" w:color="auto"/>
                    <w:right w:val="none" w:sz="0" w:space="0" w:color="auto"/>
                  </w:divBdr>
                  <w:divsChild>
                    <w:div w:id="147672894">
                      <w:marLeft w:val="0"/>
                      <w:marRight w:val="0"/>
                      <w:marTop w:val="0"/>
                      <w:marBottom w:val="0"/>
                      <w:divBdr>
                        <w:top w:val="none" w:sz="0" w:space="0" w:color="auto"/>
                        <w:left w:val="none" w:sz="0" w:space="0" w:color="auto"/>
                        <w:bottom w:val="none" w:sz="0" w:space="0" w:color="auto"/>
                        <w:right w:val="none" w:sz="0" w:space="0" w:color="auto"/>
                      </w:divBdr>
                      <w:divsChild>
                        <w:div w:id="155146650">
                          <w:marLeft w:val="0"/>
                          <w:marRight w:val="0"/>
                          <w:marTop w:val="0"/>
                          <w:marBottom w:val="0"/>
                          <w:divBdr>
                            <w:top w:val="none" w:sz="0" w:space="0" w:color="auto"/>
                            <w:left w:val="none" w:sz="0" w:space="0" w:color="auto"/>
                            <w:bottom w:val="none" w:sz="0" w:space="0" w:color="auto"/>
                            <w:right w:val="none" w:sz="0" w:space="0" w:color="auto"/>
                          </w:divBdr>
                          <w:divsChild>
                            <w:div w:id="13623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435">
              <w:marLeft w:val="0"/>
              <w:marRight w:val="0"/>
              <w:marTop w:val="0"/>
              <w:marBottom w:val="0"/>
              <w:divBdr>
                <w:top w:val="none" w:sz="0" w:space="0" w:color="auto"/>
                <w:left w:val="none" w:sz="0" w:space="0" w:color="auto"/>
                <w:bottom w:val="none" w:sz="0" w:space="0" w:color="auto"/>
                <w:right w:val="none" w:sz="0" w:space="0" w:color="auto"/>
              </w:divBdr>
            </w:div>
            <w:div w:id="1733773740">
              <w:marLeft w:val="0"/>
              <w:marRight w:val="0"/>
              <w:marTop w:val="0"/>
              <w:marBottom w:val="0"/>
              <w:divBdr>
                <w:top w:val="none" w:sz="0" w:space="0" w:color="auto"/>
                <w:left w:val="none" w:sz="0" w:space="0" w:color="auto"/>
                <w:bottom w:val="none" w:sz="0" w:space="0" w:color="auto"/>
                <w:right w:val="none" w:sz="0" w:space="0" w:color="auto"/>
              </w:divBdr>
              <w:divsChild>
                <w:div w:id="230241136">
                  <w:marLeft w:val="0"/>
                  <w:marRight w:val="0"/>
                  <w:marTop w:val="0"/>
                  <w:marBottom w:val="0"/>
                  <w:divBdr>
                    <w:top w:val="none" w:sz="0" w:space="0" w:color="auto"/>
                    <w:left w:val="none" w:sz="0" w:space="0" w:color="auto"/>
                    <w:bottom w:val="none" w:sz="0" w:space="0" w:color="auto"/>
                    <w:right w:val="none" w:sz="0" w:space="0" w:color="auto"/>
                  </w:divBdr>
                  <w:divsChild>
                    <w:div w:id="833644088">
                      <w:marLeft w:val="0"/>
                      <w:marRight w:val="0"/>
                      <w:marTop w:val="0"/>
                      <w:marBottom w:val="0"/>
                      <w:divBdr>
                        <w:top w:val="none" w:sz="0" w:space="0" w:color="auto"/>
                        <w:left w:val="none" w:sz="0" w:space="0" w:color="auto"/>
                        <w:bottom w:val="none" w:sz="0" w:space="0" w:color="auto"/>
                        <w:right w:val="none" w:sz="0" w:space="0" w:color="auto"/>
                      </w:divBdr>
                      <w:divsChild>
                        <w:div w:id="1885366431">
                          <w:marLeft w:val="0"/>
                          <w:marRight w:val="0"/>
                          <w:marTop w:val="0"/>
                          <w:marBottom w:val="0"/>
                          <w:divBdr>
                            <w:top w:val="none" w:sz="0" w:space="0" w:color="auto"/>
                            <w:left w:val="none" w:sz="0" w:space="0" w:color="auto"/>
                            <w:bottom w:val="none" w:sz="0" w:space="0" w:color="auto"/>
                            <w:right w:val="none" w:sz="0" w:space="0" w:color="auto"/>
                          </w:divBdr>
                          <w:divsChild>
                            <w:div w:id="183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0070">
      <w:bodyDiv w:val="1"/>
      <w:marLeft w:val="0"/>
      <w:marRight w:val="0"/>
      <w:marTop w:val="0"/>
      <w:marBottom w:val="0"/>
      <w:divBdr>
        <w:top w:val="none" w:sz="0" w:space="0" w:color="auto"/>
        <w:left w:val="none" w:sz="0" w:space="0" w:color="auto"/>
        <w:bottom w:val="none" w:sz="0" w:space="0" w:color="auto"/>
        <w:right w:val="none" w:sz="0" w:space="0" w:color="auto"/>
      </w:divBdr>
    </w:div>
    <w:div w:id="1384525682">
      <w:bodyDiv w:val="1"/>
      <w:marLeft w:val="0"/>
      <w:marRight w:val="0"/>
      <w:marTop w:val="0"/>
      <w:marBottom w:val="0"/>
      <w:divBdr>
        <w:top w:val="none" w:sz="0" w:space="0" w:color="auto"/>
        <w:left w:val="none" w:sz="0" w:space="0" w:color="auto"/>
        <w:bottom w:val="none" w:sz="0" w:space="0" w:color="auto"/>
        <w:right w:val="none" w:sz="0" w:space="0" w:color="auto"/>
      </w:divBdr>
    </w:div>
    <w:div w:id="1402094021">
      <w:bodyDiv w:val="1"/>
      <w:marLeft w:val="0"/>
      <w:marRight w:val="0"/>
      <w:marTop w:val="0"/>
      <w:marBottom w:val="0"/>
      <w:divBdr>
        <w:top w:val="none" w:sz="0" w:space="0" w:color="auto"/>
        <w:left w:val="none" w:sz="0" w:space="0" w:color="auto"/>
        <w:bottom w:val="none" w:sz="0" w:space="0" w:color="auto"/>
        <w:right w:val="none" w:sz="0" w:space="0" w:color="auto"/>
      </w:divBdr>
    </w:div>
    <w:div w:id="1421871009">
      <w:bodyDiv w:val="1"/>
      <w:marLeft w:val="0"/>
      <w:marRight w:val="0"/>
      <w:marTop w:val="0"/>
      <w:marBottom w:val="0"/>
      <w:divBdr>
        <w:top w:val="none" w:sz="0" w:space="0" w:color="auto"/>
        <w:left w:val="none" w:sz="0" w:space="0" w:color="auto"/>
        <w:bottom w:val="none" w:sz="0" w:space="0" w:color="auto"/>
        <w:right w:val="none" w:sz="0" w:space="0" w:color="auto"/>
      </w:divBdr>
    </w:div>
    <w:div w:id="1429738014">
      <w:bodyDiv w:val="1"/>
      <w:marLeft w:val="0"/>
      <w:marRight w:val="0"/>
      <w:marTop w:val="0"/>
      <w:marBottom w:val="0"/>
      <w:divBdr>
        <w:top w:val="none" w:sz="0" w:space="0" w:color="auto"/>
        <w:left w:val="none" w:sz="0" w:space="0" w:color="auto"/>
        <w:bottom w:val="none" w:sz="0" w:space="0" w:color="auto"/>
        <w:right w:val="none" w:sz="0" w:space="0" w:color="auto"/>
      </w:divBdr>
    </w:div>
    <w:div w:id="1452551756">
      <w:bodyDiv w:val="1"/>
      <w:marLeft w:val="0"/>
      <w:marRight w:val="0"/>
      <w:marTop w:val="0"/>
      <w:marBottom w:val="0"/>
      <w:divBdr>
        <w:top w:val="none" w:sz="0" w:space="0" w:color="auto"/>
        <w:left w:val="none" w:sz="0" w:space="0" w:color="auto"/>
        <w:bottom w:val="none" w:sz="0" w:space="0" w:color="auto"/>
        <w:right w:val="none" w:sz="0" w:space="0" w:color="auto"/>
      </w:divBdr>
    </w:div>
    <w:div w:id="1622688515">
      <w:bodyDiv w:val="1"/>
      <w:marLeft w:val="0"/>
      <w:marRight w:val="0"/>
      <w:marTop w:val="0"/>
      <w:marBottom w:val="0"/>
      <w:divBdr>
        <w:top w:val="none" w:sz="0" w:space="0" w:color="auto"/>
        <w:left w:val="none" w:sz="0" w:space="0" w:color="auto"/>
        <w:bottom w:val="none" w:sz="0" w:space="0" w:color="auto"/>
        <w:right w:val="none" w:sz="0" w:space="0" w:color="auto"/>
      </w:divBdr>
    </w:div>
    <w:div w:id="1654986283">
      <w:bodyDiv w:val="1"/>
      <w:marLeft w:val="0"/>
      <w:marRight w:val="0"/>
      <w:marTop w:val="0"/>
      <w:marBottom w:val="0"/>
      <w:divBdr>
        <w:top w:val="none" w:sz="0" w:space="0" w:color="auto"/>
        <w:left w:val="none" w:sz="0" w:space="0" w:color="auto"/>
        <w:bottom w:val="none" w:sz="0" w:space="0" w:color="auto"/>
        <w:right w:val="none" w:sz="0" w:space="0" w:color="auto"/>
      </w:divBdr>
    </w:div>
    <w:div w:id="1710642272">
      <w:bodyDiv w:val="1"/>
      <w:marLeft w:val="0"/>
      <w:marRight w:val="0"/>
      <w:marTop w:val="0"/>
      <w:marBottom w:val="0"/>
      <w:divBdr>
        <w:top w:val="none" w:sz="0" w:space="0" w:color="auto"/>
        <w:left w:val="none" w:sz="0" w:space="0" w:color="auto"/>
        <w:bottom w:val="none" w:sz="0" w:space="0" w:color="auto"/>
        <w:right w:val="none" w:sz="0" w:space="0" w:color="auto"/>
      </w:divBdr>
    </w:div>
    <w:div w:id="1833451772">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933659712">
      <w:bodyDiv w:val="1"/>
      <w:marLeft w:val="0"/>
      <w:marRight w:val="0"/>
      <w:marTop w:val="0"/>
      <w:marBottom w:val="0"/>
      <w:divBdr>
        <w:top w:val="none" w:sz="0" w:space="0" w:color="auto"/>
        <w:left w:val="none" w:sz="0" w:space="0" w:color="auto"/>
        <w:bottom w:val="none" w:sz="0" w:space="0" w:color="auto"/>
        <w:right w:val="none" w:sz="0" w:space="0" w:color="auto"/>
      </w:divBdr>
    </w:div>
    <w:div w:id="1966346441">
      <w:bodyDiv w:val="1"/>
      <w:marLeft w:val="0"/>
      <w:marRight w:val="0"/>
      <w:marTop w:val="0"/>
      <w:marBottom w:val="0"/>
      <w:divBdr>
        <w:top w:val="none" w:sz="0" w:space="0" w:color="auto"/>
        <w:left w:val="none" w:sz="0" w:space="0" w:color="auto"/>
        <w:bottom w:val="none" w:sz="0" w:space="0" w:color="auto"/>
        <w:right w:val="none" w:sz="0" w:space="0" w:color="auto"/>
      </w:divBdr>
    </w:div>
    <w:div w:id="2012642112">
      <w:bodyDiv w:val="1"/>
      <w:marLeft w:val="0"/>
      <w:marRight w:val="0"/>
      <w:marTop w:val="0"/>
      <w:marBottom w:val="0"/>
      <w:divBdr>
        <w:top w:val="none" w:sz="0" w:space="0" w:color="auto"/>
        <w:left w:val="none" w:sz="0" w:space="0" w:color="auto"/>
        <w:bottom w:val="none" w:sz="0" w:space="0" w:color="auto"/>
        <w:right w:val="none" w:sz="0" w:space="0" w:color="auto"/>
      </w:divBdr>
    </w:div>
    <w:div w:id="2088337099">
      <w:bodyDiv w:val="1"/>
      <w:marLeft w:val="0"/>
      <w:marRight w:val="0"/>
      <w:marTop w:val="0"/>
      <w:marBottom w:val="0"/>
      <w:divBdr>
        <w:top w:val="none" w:sz="0" w:space="0" w:color="auto"/>
        <w:left w:val="none" w:sz="0" w:space="0" w:color="auto"/>
        <w:bottom w:val="none" w:sz="0" w:space="0" w:color="auto"/>
        <w:right w:val="none" w:sz="0" w:space="0" w:color="auto"/>
      </w:divBdr>
    </w:div>
    <w:div w:id="21176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ic.gov.au/regulatory-resources/find-a-document/reports/rep-642-timeshare-consumers-experiences/" TargetMode="External"/><Relationship Id="rId18" Type="http://schemas.openxmlformats.org/officeDocument/2006/relationships/hyperlink" Target="http://asic.gov.au/regulatory-resources/find-a-document/pro-formas/" TargetMode="External"/><Relationship Id="rId26" Type="http://schemas.openxmlformats.org/officeDocument/2006/relationships/hyperlink" Target="https://www.legislation.gov.au/current/F2017L00315" TargetMode="External"/><Relationship Id="rId39" Type="http://schemas.openxmlformats.org/officeDocument/2006/relationships/hyperlink" Target="https://www.legislation.gov.au/current/F2017L00315" TargetMode="External"/><Relationship Id="rId21" Type="http://schemas.openxmlformats.org/officeDocument/2006/relationships/hyperlink" Target="https://asic.gov.au/regulatory-resources/find-a-document/reports/rep-642-timeshare-consumers-experiences/" TargetMode="External"/><Relationship Id="rId34" Type="http://schemas.openxmlformats.org/officeDocument/2006/relationships/hyperlink" Target="https://www.legislation.gov.au/current/F2017L00315" TargetMode="External"/><Relationship Id="rId42" Type="http://schemas.openxmlformats.org/officeDocument/2006/relationships/hyperlink" Target="https://asic.gov.au/regulatory-resources/find-a-document/regulatory-guides/rg-160-time-sharing-schemes/" TargetMode="External"/><Relationship Id="rId47" Type="http://schemas.openxmlformats.org/officeDocument/2006/relationships/hyperlink" Target="https://asic.gov.au/regulatory-resources/find-a-document/consultation-papers/cp-272-remaking-asic-class-orders-on-time-sharing-schemes/" TargetMode="External"/><Relationship Id="rId50" Type="http://schemas.openxmlformats.org/officeDocument/2006/relationships/hyperlink" Target="https://asic.gov.au/regulatory-resources/find-a-document/reports/rep-642-timeshare-consumers-experiences/" TargetMode="External"/><Relationship Id="rId55" Type="http://schemas.openxmlformats.org/officeDocument/2006/relationships/hyperlink" Target="https://asic.gov.au/about-asic/news-centre/find-a-media-release/2019-releases/19-319mr-asic-outlines-approach-to-advice-licensee-obligations-for-the-financial-adviser-code-of-ethics/" TargetMode="External"/><Relationship Id="rId63" Type="http://schemas.openxmlformats.org/officeDocument/2006/relationships/hyperlink" Target="https://www.legislation.gov.au/details/F2017L00315" TargetMode="External"/><Relationship Id="rId68" Type="http://schemas.openxmlformats.org/officeDocument/2006/relationships/hyperlink" Target="https://asic.gov.au/regulatory-resources/find-a-document/consultation-papers/cp-272-remaking-asic-class-orders-on-time-sharing-schemes/"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www.legislation.gov.au/current/F2017L00315" TargetMode="External"/><Relationship Id="rId2" Type="http://schemas.openxmlformats.org/officeDocument/2006/relationships/styles" Target="styles.xml"/><Relationship Id="rId16" Type="http://schemas.openxmlformats.org/officeDocument/2006/relationships/hyperlink" Target="https://asic.gov.au/regulatory-resources/find-a-document/reports/rep-642-timeshare-consumers-experiences/" TargetMode="External"/><Relationship Id="rId29" Type="http://schemas.openxmlformats.org/officeDocument/2006/relationships/hyperlink" Target="https://asic.gov.au/about-asic/news-centre/find-a-media-release/2018-releases/18-253mr-ultiqa-lifestyle-timeshare-lender-fined-for-responsible-lending-failures/" TargetMode="External"/><Relationship Id="rId11" Type="http://schemas.openxmlformats.org/officeDocument/2006/relationships/hyperlink" Target="https://asic.gov.au/regulatory-resources/find-a-document/consultation-papers/cp-272-remaking-asic-class-orders-on-time-sharing-schemes/time-sharing-schemes-update-on-the-status-of-our-review-of-the-policy-settings/" TargetMode="External"/><Relationship Id="rId24" Type="http://schemas.openxmlformats.org/officeDocument/2006/relationships/hyperlink" Target="https://asic.gov.au/regulatory-resources/find-a-document/reports/rep-642-timeshare-consumers-experiences/" TargetMode="External"/><Relationship Id="rId32" Type="http://schemas.openxmlformats.org/officeDocument/2006/relationships/hyperlink" Target="https://www.legislation.gov.au/current/F2017C00923" TargetMode="External"/><Relationship Id="rId37" Type="http://schemas.openxmlformats.org/officeDocument/2006/relationships/hyperlink" Target="https://asic.gov.au/regulatory-resources/find-a-document/regulatory-guides/rg-160-time-sharing-schemes/" TargetMode="External"/><Relationship Id="rId40" Type="http://schemas.openxmlformats.org/officeDocument/2006/relationships/hyperlink" Target="https://www.legislation.gov.au/current/F2017L00315" TargetMode="External"/><Relationship Id="rId45" Type="http://schemas.openxmlformats.org/officeDocument/2006/relationships/hyperlink" Target="https://asic.gov.au/regulatory-resources/find-a-document/reports/rep-642-timeshare-consumers-experiences/" TargetMode="External"/><Relationship Id="rId53" Type="http://schemas.openxmlformats.org/officeDocument/2006/relationships/hyperlink" Target="https://www.legislation.gov.au/current/F2017C00923" TargetMode="External"/><Relationship Id="rId58" Type="http://schemas.openxmlformats.org/officeDocument/2006/relationships/hyperlink" Target="https://asic.gov.au/about-asic/news-centre/find-a-media-release/2019-releases/19-319mr-asic-outlines-approach-to-advice-licensee-obligations-for-the-financial-adviser-code-of-ethics/" TargetMode="External"/><Relationship Id="rId66" Type="http://schemas.openxmlformats.org/officeDocument/2006/relationships/hyperlink" Target="https://asic.gov.au/regulatory-resources/find-a-document/regulatory-guides/rg-160-time-sharing-schemes/"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asic.gov.au/regulatory-resources/find-a-document/consultation-papers/cp-272-remaking-asic-class-orders-on-time-sharing-schemes/" TargetMode="External"/><Relationship Id="rId10" Type="http://schemas.openxmlformats.org/officeDocument/2006/relationships/hyperlink" Target="https://asic.gov.au/regulatory-resources/find-a-document/reports/rep-642-timeshare-consumers-experiences/" TargetMode="External"/><Relationship Id="rId19" Type="http://schemas.openxmlformats.org/officeDocument/2006/relationships/hyperlink" Target="https://asic.gov.au/regulatory-resources/find-a-document/reports/rep-642-timeshare-consumers-experiences/" TargetMode="External"/><Relationship Id="rId31" Type="http://schemas.openxmlformats.org/officeDocument/2006/relationships/hyperlink" Target="https://asic.gov.au/regulatory-resources/find-a-document/regulatory-guides/rg-160-time-sharing-schemes/" TargetMode="External"/><Relationship Id="rId44" Type="http://schemas.openxmlformats.org/officeDocument/2006/relationships/hyperlink" Target="https://download.asic.gov.au/media/4215116/cp272-submissions-athoc.pdf" TargetMode="External"/><Relationship Id="rId52" Type="http://schemas.openxmlformats.org/officeDocument/2006/relationships/hyperlink" Target="https://www.legislation.gov.au/current/F2017L00315" TargetMode="External"/><Relationship Id="rId60" Type="http://schemas.openxmlformats.org/officeDocument/2006/relationships/hyperlink" Target="https://asic.gov.au/regulatory-resources/find-a-document/regulatory-guides/rg-160-time-sharing-schemes/" TargetMode="External"/><Relationship Id="rId65" Type="http://schemas.openxmlformats.org/officeDocument/2006/relationships/hyperlink" Target="https://www.legislation.gov.au/Details/F2017C00923" TargetMode="External"/><Relationship Id="rId73" Type="http://schemas.openxmlformats.org/officeDocument/2006/relationships/hyperlink" Target="http://asic.gov.au/regulatory-resources/find-a-document/pro-formas/"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ic.gov.au/regulatory-resources/find-a-document/consultation-papers/cp-272-remaking-asic-class-orders-on-time-sharing-schemes/" TargetMode="External"/><Relationship Id="rId14" Type="http://schemas.openxmlformats.org/officeDocument/2006/relationships/hyperlink" Target="https://asic.gov.au/regulatory-resources/find-a-document/reports/rep-642-timeshare-consumers-experiences/" TargetMode="External"/><Relationship Id="rId22" Type="http://schemas.openxmlformats.org/officeDocument/2006/relationships/hyperlink" Target="https://asic.gov.au/regulatory-resources/find-a-document/reports/rep-642-timeshare-consumers-experiences/" TargetMode="External"/><Relationship Id="rId27" Type="http://schemas.openxmlformats.org/officeDocument/2006/relationships/hyperlink" Target="https://www.legislation.gov.au/current/F2017L00315" TargetMode="External"/><Relationship Id="rId30" Type="http://schemas.openxmlformats.org/officeDocument/2006/relationships/hyperlink" Target="https://www.legislation.gov.au/current/F2017L00315" TargetMode="External"/><Relationship Id="rId35" Type="http://schemas.openxmlformats.org/officeDocument/2006/relationships/hyperlink" Target="https://www.legislation.gov.au/current/F2017L00315" TargetMode="External"/><Relationship Id="rId43" Type="http://schemas.openxmlformats.org/officeDocument/2006/relationships/hyperlink" Target="https://asic.gov.au/regulatory-resources/find-a-document/reports/rep-642-timeshare-consumers-experiences/" TargetMode="External"/><Relationship Id="rId48" Type="http://schemas.openxmlformats.org/officeDocument/2006/relationships/hyperlink" Target="https://asic.gov.au/regulatory-resources/find-a-document/reports/rep-522-response-to-submissions-on-cp-272-remaking-asic-class-orders-on-time-sharing-schemes/" TargetMode="External"/><Relationship Id="rId56" Type="http://schemas.openxmlformats.org/officeDocument/2006/relationships/hyperlink" Target="https://www.fasea.gov.au/code-of-ethics-guidance/" TargetMode="External"/><Relationship Id="rId64" Type="http://schemas.openxmlformats.org/officeDocument/2006/relationships/hyperlink" Target="https://www.legislation.gov.au/current/F2017L00315" TargetMode="External"/><Relationship Id="rId69" Type="http://schemas.openxmlformats.org/officeDocument/2006/relationships/hyperlink" Target="https://asic.gov.au/regulatory-resources/find-a-document/reports/rep-522-response-to-submissions-on-cp-272-remaking-asic-class-orders-on-time-sharing-schemes/" TargetMode="External"/><Relationship Id="rId77" Type="http://schemas.openxmlformats.org/officeDocument/2006/relationships/footer" Target="footer2.xml"/><Relationship Id="rId8" Type="http://schemas.openxmlformats.org/officeDocument/2006/relationships/hyperlink" Target="https://asic.gov.au/about-asic/news-centre/find-a-media-release/2019-releases/19-339mr-asic-report-offers-insights-into-consumer-harm-from-timeshare-schemes/" TargetMode="External"/><Relationship Id="rId51" Type="http://schemas.openxmlformats.org/officeDocument/2006/relationships/hyperlink" Target="https://asic.gov.au/regulatory-resources/find-a-document/regulatory-guides/rg-160-time-sharing-schemes/" TargetMode="External"/><Relationship Id="rId72" Type="http://schemas.openxmlformats.org/officeDocument/2006/relationships/hyperlink" Target="https://www.legislation.gov.au/Details/F2017C00923"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sic.gov.au/regulatory-resources/find-a-document/reports/rep-642-timeshare-consumers-experiences/" TargetMode="External"/><Relationship Id="rId17" Type="http://schemas.openxmlformats.org/officeDocument/2006/relationships/hyperlink" Target="https://asic.gov.au/regulatory-resources/find-a-document/reports/rep-642-timeshare-consumers-experiences/" TargetMode="External"/><Relationship Id="rId25" Type="http://schemas.openxmlformats.org/officeDocument/2006/relationships/hyperlink" Target="https://asic.gov.au/regulatory-resources/find-a-document/reports/rep-642-timeshare-consumers-experiences/" TargetMode="External"/><Relationship Id="rId33" Type="http://schemas.openxmlformats.org/officeDocument/2006/relationships/hyperlink" Target="https://www.legislation.gov.au/current/F2017L00315" TargetMode="External"/><Relationship Id="rId38" Type="http://schemas.openxmlformats.org/officeDocument/2006/relationships/hyperlink" Target="https://www.legislation.gov.au/current/F2017L00315" TargetMode="External"/><Relationship Id="rId46" Type="http://schemas.openxmlformats.org/officeDocument/2006/relationships/hyperlink" Target="https://asic.gov.au/regulatory-resources/find-a-document/consultation-papers/cp-272-remaking-asic-class-orders-on-time-sharing-schemes/" TargetMode="External"/><Relationship Id="rId59" Type="http://schemas.openxmlformats.org/officeDocument/2006/relationships/hyperlink" Target="https://www.legislation.gov.au/current/F2017L00315" TargetMode="External"/><Relationship Id="rId67" Type="http://schemas.openxmlformats.org/officeDocument/2006/relationships/hyperlink" Target="https://asic.gov.au/regulatory-resources/find-a-document/regulatory-guides/rg-175-licensing-financial-product-advisers-conduct-and-disclosure/" TargetMode="External"/><Relationship Id="rId20" Type="http://schemas.openxmlformats.org/officeDocument/2006/relationships/hyperlink" Target="https://asic.gov.au/regulatory-resources/find-a-document/reports/rep-642-timeshare-consumers-experiences/" TargetMode="External"/><Relationship Id="rId41" Type="http://schemas.openxmlformats.org/officeDocument/2006/relationships/hyperlink" Target="https://www.legislation.gov.au/details/F2017L00315" TargetMode="External"/><Relationship Id="rId54" Type="http://schemas.openxmlformats.org/officeDocument/2006/relationships/hyperlink" Target="https://asic.gov.au/regulatory-resources/find-a-document/regulatory-guides/rg-175-licensing-financial-product-advisers-conduct-and-disclosure/" TargetMode="External"/><Relationship Id="rId62" Type="http://schemas.openxmlformats.org/officeDocument/2006/relationships/hyperlink" Target="https://asic.gov.au/regulatory-resources/find-a-document/reports/rep-522-response-to-submissions-on-cp-272-remaking-asic-class-orders-on-time-sharing-schemes/" TargetMode="External"/><Relationship Id="rId70" Type="http://schemas.openxmlformats.org/officeDocument/2006/relationships/hyperlink" Target="https://asic.gov.au/regulatory-resources/find-a-document/reports/rep-642-timeshare-consumers-experiences/"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sic.gov.au/regulatory-resources/find-a-document/reports/rep-642-timeshare-consumers-experiences/" TargetMode="External"/><Relationship Id="rId23" Type="http://schemas.openxmlformats.org/officeDocument/2006/relationships/hyperlink" Target="https://www.legislation.gov.au/current/F2017L00315" TargetMode="External"/><Relationship Id="rId28" Type="http://schemas.openxmlformats.org/officeDocument/2006/relationships/hyperlink" Target="https://www.legislation.gov.au/current/F2017L00315" TargetMode="External"/><Relationship Id="rId36" Type="http://schemas.openxmlformats.org/officeDocument/2006/relationships/hyperlink" Target="https://www.legislation.gov.au/current/F2017L00315" TargetMode="External"/><Relationship Id="rId49" Type="http://schemas.openxmlformats.org/officeDocument/2006/relationships/hyperlink" Target="https://asic.gov.au/regulatory-resources/find-a-document/reports/rep-642-timeshare-consumers-experiences/" TargetMode="External"/><Relationship Id="rId57" Type="http://schemas.openxmlformats.org/officeDocument/2006/relationships/hyperlink" Target="https://www.fasea.gov.au/code-of-ethic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19574</Words>
  <Characters>119341</Characters>
  <Application>Microsoft Office Word</Application>
  <DocSecurity>0</DocSecurity>
  <Lines>994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2020-12-15T03:01:00Z</dcterms:created>
  <dcterms:modified xsi:type="dcterms:W3CDTF">2020-12-15T03:01:00Z</dcterms:modified>
  <cp:category/>
</cp:coreProperties>
</file>