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43661897"/>
    <w:bookmarkStart w:id="1" w:name="_GoBack"/>
    <w:bookmarkEnd w:id="1"/>
    <w:p w14:paraId="05112BF1" w14:textId="77777777" w:rsidR="00993F09" w:rsidRPr="000266F5" w:rsidRDefault="00993F09" w:rsidP="00993F09">
      <w:pPr>
        <w:keepNext/>
        <w:keepLines/>
        <w:tabs>
          <w:tab w:val="left" w:pos="567"/>
        </w:tabs>
        <w:spacing w:before="240" w:after="200" w:line="240" w:lineRule="auto"/>
        <w:jc w:val="center"/>
        <w:outlineLvl w:val="0"/>
        <w:rPr>
          <w:rFonts w:ascii="Times New Roman" w:eastAsia="MS PGothic" w:hAnsi="Times New Roman" w:cs="Times New Roman"/>
          <w:b/>
          <w:bCs/>
          <w:color w:val="003865"/>
          <w:sz w:val="24"/>
          <w:szCs w:val="28"/>
        </w:rPr>
      </w:pPr>
      <w:r w:rsidRPr="000266F5">
        <w:rPr>
          <w:rFonts w:ascii="Times New Roman" w:eastAsia="MS PGothic" w:hAnsi="Times New Roman" w:cs="Times New Roman"/>
          <w:b/>
          <w:bCs/>
          <w:color w:val="003865"/>
          <w:sz w:val="24"/>
          <w:szCs w:val="28"/>
        </w:rPr>
        <w:fldChar w:fldCharType="begin"/>
      </w:r>
      <w:r w:rsidRPr="000266F5">
        <w:rPr>
          <w:rFonts w:ascii="Times New Roman" w:eastAsia="MS PGothic" w:hAnsi="Times New Roman" w:cs="Times New Roman"/>
          <w:b/>
          <w:bCs/>
          <w:color w:val="003865"/>
          <w:sz w:val="24"/>
          <w:szCs w:val="28"/>
        </w:rPr>
        <w:instrText xml:space="preserve"> DOCPROPERTY  CABNET_DOCUMENT_TITLE  \* MERGEFORMAT </w:instrText>
      </w:r>
      <w:r w:rsidRPr="000266F5">
        <w:rPr>
          <w:rFonts w:ascii="Times New Roman" w:eastAsia="MS PGothic" w:hAnsi="Times New Roman" w:cs="Times New Roman"/>
          <w:b/>
          <w:bCs/>
          <w:color w:val="003865"/>
          <w:sz w:val="24"/>
          <w:szCs w:val="28"/>
        </w:rPr>
        <w:fldChar w:fldCharType="separate"/>
      </w:r>
      <w:r w:rsidRPr="000266F5">
        <w:rPr>
          <w:rFonts w:ascii="Times New Roman" w:eastAsia="MS PGothic" w:hAnsi="Times New Roman" w:cs="Times New Roman"/>
          <w:b/>
          <w:bCs/>
          <w:color w:val="003865"/>
          <w:sz w:val="24"/>
          <w:szCs w:val="28"/>
        </w:rPr>
        <w:t>Regulation Impact Statement (RIS)</w:t>
      </w:r>
      <w:r w:rsidRPr="000266F5">
        <w:rPr>
          <w:rFonts w:ascii="Times New Roman" w:eastAsia="MS PGothic" w:hAnsi="Times New Roman" w:cs="Times New Roman"/>
          <w:b/>
          <w:bCs/>
          <w:color w:val="003865"/>
          <w:sz w:val="24"/>
          <w:szCs w:val="28"/>
        </w:rPr>
        <w:fldChar w:fldCharType="end"/>
      </w:r>
      <w:bookmarkEnd w:id="0"/>
    </w:p>
    <w:tbl>
      <w:tblPr>
        <w:tblStyle w:val="GridTable4-Accent21"/>
        <w:tblW w:w="0" w:type="auto"/>
        <w:tblLook w:val="04A0" w:firstRow="1" w:lastRow="0" w:firstColumn="1" w:lastColumn="0" w:noHBand="0" w:noVBand="1"/>
        <w:tblCaption w:val="Insert text here"/>
      </w:tblPr>
      <w:tblGrid>
        <w:gridCol w:w="3823"/>
        <w:gridCol w:w="5193"/>
      </w:tblGrid>
      <w:tr w:rsidR="00993F09" w:rsidRPr="000266F5" w14:paraId="76E15B85" w14:textId="77777777" w:rsidTr="00602D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7ECF6EFA" w14:textId="77777777" w:rsidR="00993F09" w:rsidRPr="000266F5" w:rsidRDefault="00993F09" w:rsidP="00602DDE">
            <w:pPr>
              <w:spacing w:before="80" w:after="80"/>
              <w:rPr>
                <w:rFonts w:ascii="Times New Roman" w:eastAsia="Arial" w:hAnsi="Times New Roman" w:cs="Times New Roman"/>
                <w:color w:val="000000"/>
              </w:rPr>
            </w:pPr>
          </w:p>
        </w:tc>
      </w:tr>
      <w:tr w:rsidR="00993F09" w:rsidRPr="000266F5" w14:paraId="61DC0152" w14:textId="77777777" w:rsidTr="0060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E80F115" w14:textId="77777777" w:rsidR="00993F09" w:rsidRPr="000266F5" w:rsidRDefault="00993F09" w:rsidP="00602DDE">
            <w:pPr>
              <w:spacing w:before="80" w:after="80"/>
              <w:rPr>
                <w:rFonts w:ascii="Times New Roman" w:eastAsia="Arial" w:hAnsi="Times New Roman" w:cs="Times New Roman"/>
                <w:color w:val="000000"/>
              </w:rPr>
            </w:pPr>
            <w:r w:rsidRPr="000266F5">
              <w:rPr>
                <w:rFonts w:ascii="Times New Roman" w:eastAsia="Arial" w:hAnsi="Times New Roman" w:cs="Times New Roman"/>
                <w:color w:val="000000"/>
              </w:rPr>
              <w:t>Name of Department/Agency:</w:t>
            </w:r>
          </w:p>
        </w:tc>
        <w:tc>
          <w:tcPr>
            <w:tcW w:w="5193" w:type="dxa"/>
          </w:tcPr>
          <w:p w14:paraId="73AD7E87" w14:textId="787BBD95" w:rsidR="00993F09" w:rsidRPr="000266F5" w:rsidRDefault="00993F09" w:rsidP="00602DDE">
            <w:pPr>
              <w:spacing w:before="80" w:after="8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i/>
                <w:iCs/>
                <w:color w:val="000000"/>
              </w:rPr>
            </w:pPr>
            <w:r w:rsidRPr="000266F5">
              <w:rPr>
                <w:rFonts w:ascii="Times New Roman" w:eastAsia="Arial" w:hAnsi="Times New Roman" w:cs="Times New Roman"/>
                <w:i/>
                <w:iCs/>
                <w:color w:val="000000"/>
              </w:rPr>
              <w:t xml:space="preserve">Department of Home Affairs </w:t>
            </w:r>
          </w:p>
        </w:tc>
      </w:tr>
      <w:tr w:rsidR="00993F09" w:rsidRPr="000266F5" w14:paraId="1EABCA09" w14:textId="77777777" w:rsidTr="00602DDE">
        <w:tc>
          <w:tcPr>
            <w:cnfStyle w:val="001000000000" w:firstRow="0" w:lastRow="0" w:firstColumn="1" w:lastColumn="0" w:oddVBand="0" w:evenVBand="0" w:oddHBand="0" w:evenHBand="0" w:firstRowFirstColumn="0" w:firstRowLastColumn="0" w:lastRowFirstColumn="0" w:lastRowLastColumn="0"/>
            <w:tcW w:w="3823" w:type="dxa"/>
          </w:tcPr>
          <w:p w14:paraId="502B7F6E" w14:textId="77777777" w:rsidR="00993F09" w:rsidRPr="000266F5" w:rsidRDefault="00993F09" w:rsidP="00602DDE">
            <w:pPr>
              <w:spacing w:before="80" w:after="80"/>
              <w:rPr>
                <w:rFonts w:ascii="Times New Roman" w:eastAsia="Arial" w:hAnsi="Times New Roman" w:cs="Times New Roman"/>
                <w:color w:val="000000"/>
              </w:rPr>
            </w:pPr>
            <w:r w:rsidRPr="000266F5">
              <w:rPr>
                <w:rFonts w:ascii="Times New Roman" w:eastAsia="Arial" w:hAnsi="Times New Roman" w:cs="Times New Roman"/>
                <w:color w:val="000000"/>
              </w:rPr>
              <w:t>OBPR Reference Number:</w:t>
            </w:r>
          </w:p>
        </w:tc>
        <w:tc>
          <w:tcPr>
            <w:tcW w:w="5193" w:type="dxa"/>
          </w:tcPr>
          <w:p w14:paraId="2FC4743B" w14:textId="77777777" w:rsidR="00993F09" w:rsidRPr="000266F5" w:rsidRDefault="00993F09" w:rsidP="00602DDE">
            <w:pPr>
              <w:spacing w:before="80" w:after="8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i/>
                <w:iCs/>
                <w:color w:val="000000"/>
              </w:rPr>
            </w:pPr>
            <w:r w:rsidRPr="000266F5">
              <w:rPr>
                <w:rFonts w:ascii="Times New Roman" w:eastAsia="Arial" w:hAnsi="Times New Roman" w:cs="Times New Roman"/>
                <w:color w:val="000000"/>
              </w:rPr>
              <w:t>25902</w:t>
            </w:r>
          </w:p>
        </w:tc>
      </w:tr>
    </w:tbl>
    <w:p w14:paraId="3F728380" w14:textId="2443039E" w:rsidR="00993F09" w:rsidRPr="00EE0D81" w:rsidRDefault="00993F09" w:rsidP="00EE0D81">
      <w:pPr>
        <w:tabs>
          <w:tab w:val="left" w:pos="426"/>
        </w:tabs>
        <w:spacing w:after="0" w:line="240" w:lineRule="auto"/>
        <w:rPr>
          <w:rFonts w:ascii="Times New Roman" w:hAnsi="Times New Roman"/>
        </w:rPr>
      </w:pPr>
    </w:p>
    <w:p w14:paraId="272BA33D" w14:textId="77777777" w:rsidR="00993F09" w:rsidRPr="00EE0D81" w:rsidRDefault="00993F09" w:rsidP="00EE0D81">
      <w:pPr>
        <w:spacing w:line="240" w:lineRule="auto"/>
        <w:rPr>
          <w:rFonts w:ascii="Times New Roman" w:hAnsi="Times New Roman"/>
          <w:color w:val="000000"/>
        </w:rPr>
      </w:pPr>
      <w:r w:rsidRPr="000266F5">
        <w:rPr>
          <w:rFonts w:ascii="Times New Roman" w:eastAsia="Arial" w:hAnsi="Times New Roman" w:cs="Times New Roman"/>
          <w:b/>
          <w:bCs/>
          <w:color w:val="000000"/>
          <w:sz w:val="26"/>
          <w:szCs w:val="26"/>
        </w:rPr>
        <w:t xml:space="preserve">BACKGROUND </w:t>
      </w:r>
    </w:p>
    <w:p w14:paraId="5022178D" w14:textId="51FF19B0" w:rsidR="00993F09" w:rsidRPr="000266F5" w:rsidRDefault="00993F09" w:rsidP="00EE0D81">
      <w:pPr>
        <w:spacing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An interim Regulation Impact Statement was completed in May 2020. This Regulation Impact Statement builds on the interim Regulation Impact Statement to assess the high level regulatory impact to industry of uplifting the security and resilience of Australia’s critical infrastructure. It includes further analysis of the proposed reforms, taking into account existing security measures, and includes a more in-depth analysis of the costs and benefits to industry, the community and the Government. If agreed, the Regulation Impact Statement will also support the introduction of legislation into Parliament. The legislation will outline what is required from industry and include sector specific thresholds to provide greater certainty to industry on which entities will be captured. The development of the reforms has been informed through industry engagement as detailed in section 5. </w:t>
      </w:r>
    </w:p>
    <w:p w14:paraId="46EE657F" w14:textId="77777777" w:rsidR="00993F09" w:rsidRPr="000266F5" w:rsidRDefault="00993F09" w:rsidP="00993F09">
      <w:pPr>
        <w:tabs>
          <w:tab w:val="left" w:pos="426"/>
        </w:tabs>
        <w:spacing w:before="240" w:after="24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Sector specific rules are expected to be developed in early 2021 through a co-design process with industry. These rules will inform a more detailed regulation impact statement which will provide clarity around the costs and benefits of the specific obligations</w:t>
      </w:r>
      <w:r>
        <w:rPr>
          <w:rFonts w:ascii="Times New Roman" w:eastAsia="Arial" w:hAnsi="Times New Roman" w:cs="Times New Roman"/>
          <w:color w:val="000000"/>
        </w:rPr>
        <w:t xml:space="preserve"> of the Risk Management Program</w:t>
      </w:r>
      <w:r w:rsidRPr="000266F5">
        <w:rPr>
          <w:rFonts w:ascii="Times New Roman" w:eastAsia="Arial" w:hAnsi="Times New Roman" w:cs="Times New Roman"/>
          <w:color w:val="000000"/>
        </w:rPr>
        <w:t xml:space="preserve"> for each sector and will form a key aspect of engagement with industry during this co-design process. </w:t>
      </w:r>
    </w:p>
    <w:p w14:paraId="42B89AD8" w14:textId="77777777" w:rsidR="00993F09" w:rsidRPr="000266F5" w:rsidRDefault="00993F09" w:rsidP="00993F09">
      <w:pPr>
        <w:spacing w:after="200" w:line="240" w:lineRule="auto"/>
        <w:rPr>
          <w:rFonts w:ascii="Times New Roman" w:eastAsia="Arial" w:hAnsi="Times New Roman" w:cs="Times New Roman"/>
          <w:color w:val="000000"/>
          <w:sz w:val="26"/>
          <w:szCs w:val="26"/>
        </w:rPr>
      </w:pPr>
      <w:r w:rsidRPr="000266F5">
        <w:rPr>
          <w:rFonts w:ascii="Times New Roman" w:eastAsia="Arial" w:hAnsi="Times New Roman" w:cs="Times New Roman"/>
          <w:color w:val="000000"/>
          <w:sz w:val="26"/>
          <w:szCs w:val="26"/>
        </w:rPr>
        <w:br w:type="page"/>
      </w:r>
    </w:p>
    <w:p w14:paraId="3F1924EA" w14:textId="77777777" w:rsidR="00993F09" w:rsidRPr="000266F5" w:rsidRDefault="00993F09" w:rsidP="00993F09">
      <w:pPr>
        <w:keepNext/>
        <w:keepLines/>
        <w:numPr>
          <w:ilvl w:val="0"/>
          <w:numId w:val="5"/>
        </w:numPr>
        <w:tabs>
          <w:tab w:val="left" w:pos="567"/>
        </w:tabs>
        <w:spacing w:before="240" w:after="200" w:line="240" w:lineRule="auto"/>
        <w:contextualSpacing/>
        <w:outlineLvl w:val="0"/>
        <w:rPr>
          <w:rFonts w:ascii="Times New Roman" w:eastAsia="MS PGothic" w:hAnsi="Times New Roman" w:cs="Times New Roman"/>
          <w:b/>
          <w:bCs/>
          <w:color w:val="003865"/>
          <w:sz w:val="28"/>
          <w:szCs w:val="28"/>
        </w:rPr>
      </w:pPr>
      <w:r w:rsidRPr="000266F5">
        <w:rPr>
          <w:rFonts w:ascii="Times New Roman" w:eastAsia="MS PGothic" w:hAnsi="Times New Roman" w:cs="Times New Roman"/>
          <w:b/>
          <w:bCs/>
          <w:color w:val="003865"/>
          <w:sz w:val="28"/>
          <w:szCs w:val="28"/>
        </w:rPr>
        <w:lastRenderedPageBreak/>
        <w:t>WHAT IS THE POLICY PROBLEM YOU ARE TRYING TO SOLVE?</w:t>
      </w:r>
    </w:p>
    <w:p w14:paraId="42A9F3AF" w14:textId="77777777" w:rsidR="00993F09" w:rsidRPr="000266F5" w:rsidRDefault="00993F09" w:rsidP="00993F09">
      <w:pPr>
        <w:tabs>
          <w:tab w:val="num" w:pos="340"/>
        </w:tabs>
        <w:spacing w:after="0" w:line="240" w:lineRule="auto"/>
        <w:rPr>
          <w:rFonts w:ascii="Times New Roman" w:eastAsia="Arial" w:hAnsi="Times New Roman" w:cs="Times New Roman"/>
          <w:b/>
          <w:bCs/>
        </w:rPr>
      </w:pPr>
    </w:p>
    <w:p w14:paraId="0CF64FC7" w14:textId="77777777" w:rsidR="00993F09" w:rsidRPr="000266F5" w:rsidRDefault="00993F09" w:rsidP="00B369B5">
      <w:pPr>
        <w:pStyle w:val="ListParagraph"/>
        <w:numPr>
          <w:ilvl w:val="1"/>
          <w:numId w:val="12"/>
        </w:numPr>
        <w:tabs>
          <w:tab w:val="num" w:pos="340"/>
        </w:tabs>
        <w:spacing w:after="200" w:line="240" w:lineRule="auto"/>
        <w:rPr>
          <w:rFonts w:ascii="Times New Roman" w:eastAsia="Arial" w:hAnsi="Times New Roman" w:cs="Times New Roman"/>
          <w:b/>
          <w:bCs/>
        </w:rPr>
      </w:pPr>
      <w:r w:rsidRPr="000266F5">
        <w:rPr>
          <w:rFonts w:ascii="Times New Roman" w:eastAsia="Arial" w:hAnsi="Times New Roman" w:cs="Times New Roman"/>
          <w:b/>
          <w:bCs/>
        </w:rPr>
        <w:t>Overview of the problem</w:t>
      </w:r>
    </w:p>
    <w:p w14:paraId="605F388B" w14:textId="77777777" w:rsidR="00993F09" w:rsidRPr="000266F5" w:rsidRDefault="00993F09" w:rsidP="00993F09">
      <w:pPr>
        <w:tabs>
          <w:tab w:val="left" w:pos="426"/>
        </w:tabs>
        <w:spacing w:before="240" w:after="24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The security of critical infrastructure is vital to Australia’s social and economic stability, defence and national security. It enables the provision of essential services such as food, water, health services, education, energy, communications, transportation and banking. Without these services, our economic prosperity and public safety are threatened. The resilience of Australia’s critical infrastructure is integral to the prosperity of the nation. </w:t>
      </w:r>
    </w:p>
    <w:p w14:paraId="40090FA0" w14:textId="77777777" w:rsidR="00993F09" w:rsidRPr="000266F5" w:rsidRDefault="00993F09" w:rsidP="00993F09">
      <w:pPr>
        <w:tabs>
          <w:tab w:val="left" w:pos="426"/>
        </w:tabs>
        <w:spacing w:before="240" w:after="24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The existing framework governing critical infrastructure is being outpaced by an evolving threat environment as natural hazards become more prevalent, information technology and operational systems converge, the complexity of cyber threats grow, and foreign intelligence activities against Australian interests increase in frequency and sophistication. At the same time there are limited mechanisms in place to drive an uplift in all hazards risk management across all </w:t>
      </w:r>
      <w:r w:rsidRPr="00EE0D81">
        <w:rPr>
          <w:rFonts w:ascii="Times New Roman" w:hAnsi="Times New Roman"/>
          <w:i/>
          <w:color w:val="000000"/>
        </w:rPr>
        <w:t>critical infrastructure sector</w:t>
      </w:r>
      <w:r w:rsidRPr="000266F5">
        <w:rPr>
          <w:rFonts w:ascii="Times New Roman" w:eastAsia="Arial" w:hAnsi="Times New Roman" w:cs="Times New Roman"/>
          <w:color w:val="000000"/>
        </w:rPr>
        <w:t xml:space="preserve">s. </w:t>
      </w:r>
    </w:p>
    <w:p w14:paraId="36A952E1" w14:textId="428965A1" w:rsidR="00993F09" w:rsidRPr="000266F5" w:rsidRDefault="00993F09" w:rsidP="00993F09">
      <w:pPr>
        <w:tabs>
          <w:tab w:val="left" w:pos="426"/>
        </w:tabs>
        <w:spacing w:before="240" w:after="24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Without proper safeguards, security vulnerabilities in interconnected infrastructure can deliberately or inadvertently cause disruption that cascade across Australia’s social and economic stability, defence and national security. While businesses have a strong incentive to ensure the resilience of their own critical infrastructure, the increasingly interconnected nature of critical sectors means that weaknesses within unprotected infrastructure can easily cascade and disrupt assets and systems vital to Australia’s prosperity. As such, a wholesale uplift in security resilience is key to ensuring that </w:t>
      </w:r>
      <w:r w:rsidRPr="00EE0D81">
        <w:rPr>
          <w:rFonts w:ascii="Times New Roman" w:hAnsi="Times New Roman"/>
          <w:i/>
          <w:color w:val="000000"/>
        </w:rPr>
        <w:t>critical infrastructure asset</w:t>
      </w:r>
      <w:r w:rsidRPr="000266F5">
        <w:rPr>
          <w:rFonts w:ascii="Times New Roman" w:eastAsia="Arial" w:hAnsi="Times New Roman" w:cs="Times New Roman"/>
          <w:color w:val="000000"/>
        </w:rPr>
        <w:t xml:space="preserve">s are able to withstand significant compromise from </w:t>
      </w:r>
      <w:r>
        <w:rPr>
          <w:rFonts w:ascii="Times New Roman" w:eastAsia="Arial" w:hAnsi="Times New Roman" w:cs="Times New Roman"/>
          <w:color w:val="000000"/>
        </w:rPr>
        <w:t>a</w:t>
      </w:r>
      <w:r w:rsidRPr="000266F5">
        <w:rPr>
          <w:rFonts w:ascii="Times New Roman" w:eastAsia="Arial" w:hAnsi="Times New Roman" w:cs="Times New Roman"/>
          <w:color w:val="000000"/>
        </w:rPr>
        <w:t xml:space="preserve"> range of hazards.</w:t>
      </w:r>
    </w:p>
    <w:p w14:paraId="18DD4ED8" w14:textId="2C0CB286" w:rsidR="00993F09" w:rsidRPr="000266F5" w:rsidRDefault="00993F09" w:rsidP="00993F09">
      <w:pPr>
        <w:tabs>
          <w:tab w:val="left" w:pos="426"/>
        </w:tabs>
        <w:spacing w:before="240" w:after="24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The Department of Home Affairs</w:t>
      </w:r>
      <w:r>
        <w:rPr>
          <w:rFonts w:ascii="Times New Roman" w:eastAsia="Arial" w:hAnsi="Times New Roman" w:cs="Times New Roman"/>
          <w:color w:val="000000"/>
        </w:rPr>
        <w:t xml:space="preserve"> (the Department)</w:t>
      </w:r>
      <w:r w:rsidRPr="000266F5">
        <w:rPr>
          <w:rFonts w:ascii="Times New Roman" w:eastAsia="Arial" w:hAnsi="Times New Roman" w:cs="Times New Roman"/>
          <w:color w:val="000000"/>
        </w:rPr>
        <w:t xml:space="preserve"> has undertaken industry focussed consultation to guide these reforms. Consultation considered the details of an enhanced critical infrastructure security regulatory regime, and how it should be approached. During consultation industry reaffirmed the lack of consistent national guidance available to assist in uplifting their security. As such, a wholesale uplift in all hazards security and resilience practices is integral to securing Australia’s </w:t>
      </w:r>
      <w:r>
        <w:rPr>
          <w:rFonts w:ascii="Times New Roman" w:eastAsia="Arial" w:hAnsi="Times New Roman" w:cs="Times New Roman"/>
          <w:color w:val="000000"/>
        </w:rPr>
        <w:t>critical infrastructure</w:t>
      </w:r>
      <w:r w:rsidRPr="000266F5">
        <w:rPr>
          <w:rFonts w:ascii="Times New Roman" w:eastAsia="Arial" w:hAnsi="Times New Roman" w:cs="Times New Roman"/>
          <w:color w:val="000000"/>
        </w:rPr>
        <w:t xml:space="preserve">. This will allow Australians to be assured that the Government is taking steps to manage threats to critical infrastructure and protect Australia’s future. </w:t>
      </w:r>
    </w:p>
    <w:p w14:paraId="7D26646B" w14:textId="77777777" w:rsidR="00993F09" w:rsidRPr="000266F5" w:rsidRDefault="00993F09" w:rsidP="00B369B5">
      <w:pPr>
        <w:pStyle w:val="ListParagraph"/>
        <w:numPr>
          <w:ilvl w:val="1"/>
          <w:numId w:val="12"/>
        </w:numPr>
        <w:tabs>
          <w:tab w:val="num" w:pos="340"/>
        </w:tabs>
        <w:spacing w:after="200" w:line="240" w:lineRule="auto"/>
        <w:rPr>
          <w:rFonts w:ascii="Times New Roman" w:eastAsia="Arial" w:hAnsi="Times New Roman" w:cs="Times New Roman"/>
          <w:b/>
          <w:bCs/>
        </w:rPr>
      </w:pPr>
      <w:r w:rsidRPr="000266F5">
        <w:rPr>
          <w:rFonts w:ascii="Times New Roman" w:eastAsia="Arial" w:hAnsi="Times New Roman" w:cs="Times New Roman"/>
          <w:b/>
          <w:bCs/>
        </w:rPr>
        <w:t>What is critical infrastructure?</w:t>
      </w:r>
    </w:p>
    <w:p w14:paraId="44E766AA" w14:textId="77777777" w:rsidR="00993F09" w:rsidRPr="000266F5" w:rsidRDefault="00993F09" w:rsidP="00993F09">
      <w:pPr>
        <w:spacing w:after="200" w:line="240" w:lineRule="auto"/>
        <w:rPr>
          <w:rFonts w:ascii="Times New Roman" w:eastAsia="Arial" w:hAnsi="Times New Roman" w:cs="Times New Roman"/>
        </w:rPr>
      </w:pPr>
      <w:r w:rsidRPr="000266F5">
        <w:rPr>
          <w:rFonts w:ascii="Times New Roman" w:eastAsia="Arial" w:hAnsi="Times New Roman" w:cs="Times New Roman"/>
        </w:rPr>
        <w:t>The 2015 Critical Infrastructure Resilience Strategy defines critical infrastructure as ‘those physical facilities, supply chains, information technologies and communication networks which, if destroyed, degraded or rendered unavailable for an extended period, would significantly impact the social or economic wellbeing of the nation or affect Australia's ability to conduct national defence and ensure national security’.</w:t>
      </w:r>
    </w:p>
    <w:p w14:paraId="7C5A6318" w14:textId="77777777" w:rsidR="00993F09" w:rsidRPr="000266F5" w:rsidRDefault="00993F09" w:rsidP="00993F09">
      <w:pPr>
        <w:spacing w:after="200" w:line="240" w:lineRule="auto"/>
        <w:rPr>
          <w:rFonts w:ascii="Times New Roman" w:eastAsia="Arial" w:hAnsi="Times New Roman" w:cs="Times New Roman"/>
        </w:rPr>
      </w:pPr>
      <w:r w:rsidRPr="000266F5">
        <w:rPr>
          <w:rFonts w:ascii="Times New Roman" w:eastAsia="Arial" w:hAnsi="Times New Roman" w:cs="Times New Roman"/>
        </w:rPr>
        <w:t xml:space="preserve">Building on this definition, the Government intends to provide greater clarity on what is </w:t>
      </w:r>
      <w:r w:rsidRPr="000266F5">
        <w:rPr>
          <w:rFonts w:ascii="Times New Roman" w:eastAsia="Arial" w:hAnsi="Times New Roman" w:cs="Times New Roman"/>
          <w:i/>
          <w:iCs/>
        </w:rPr>
        <w:t>regulated</w:t>
      </w:r>
      <w:r w:rsidRPr="000266F5">
        <w:rPr>
          <w:rFonts w:ascii="Times New Roman" w:eastAsia="Arial" w:hAnsi="Times New Roman" w:cs="Times New Roman"/>
        </w:rPr>
        <w:t xml:space="preserve"> as critical infrastructure. For the proposed reforms, </w:t>
      </w:r>
      <w:r w:rsidRPr="00EE0D81">
        <w:rPr>
          <w:rFonts w:ascii="Times New Roman" w:hAnsi="Times New Roman"/>
          <w:i/>
        </w:rPr>
        <w:t>critical infrastructure sector</w:t>
      </w:r>
      <w:r w:rsidRPr="000266F5">
        <w:rPr>
          <w:rFonts w:ascii="Times New Roman" w:eastAsia="Arial" w:hAnsi="Times New Roman" w:cs="Times New Roman"/>
        </w:rPr>
        <w:t>s are to be defined as:</w:t>
      </w:r>
    </w:p>
    <w:tbl>
      <w:tblPr>
        <w:tblStyle w:val="TableGrid11"/>
        <w:tblW w:w="10491" w:type="dxa"/>
        <w:tblInd w:w="-4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83"/>
        <w:gridCol w:w="5438"/>
        <w:gridCol w:w="3470"/>
      </w:tblGrid>
      <w:tr w:rsidR="007E189C" w:rsidRPr="000266F5" w14:paraId="3A48862F" w14:textId="77777777" w:rsidTr="004A7840">
        <w:trPr>
          <w:cnfStyle w:val="100000000000" w:firstRow="1" w:lastRow="0" w:firstColumn="0" w:lastColumn="0" w:oddVBand="0" w:evenVBand="0" w:oddHBand="0" w:evenHBand="0" w:firstRowFirstColumn="0" w:firstRowLastColumn="0" w:lastRowFirstColumn="0" w:lastRowLastColumn="0"/>
        </w:trPr>
        <w:tc>
          <w:tcPr>
            <w:tcW w:w="1583" w:type="dxa"/>
            <w:tcBorders>
              <w:top w:val="single" w:sz="4" w:space="0" w:color="auto"/>
              <w:left w:val="single" w:sz="4" w:space="0" w:color="auto"/>
              <w:bottom w:val="single" w:sz="4" w:space="0" w:color="auto"/>
              <w:right w:val="single" w:sz="4" w:space="0" w:color="auto"/>
            </w:tcBorders>
          </w:tcPr>
          <w:p w14:paraId="1E8068F8" w14:textId="1857CB55" w:rsidR="00993F09" w:rsidRPr="000266F5" w:rsidRDefault="00993F09" w:rsidP="00602DDE">
            <w:pPr>
              <w:spacing w:after="200"/>
              <w:rPr>
                <w:rFonts w:ascii="Times New Roman" w:eastAsia="Arial" w:hAnsi="Times New Roman" w:cs="Times New Roman"/>
                <w:b/>
                <w:bCs/>
              </w:rPr>
            </w:pPr>
            <w:r w:rsidRPr="00EE0D81">
              <w:rPr>
                <w:rFonts w:ascii="Times New Roman" w:hAnsi="Times New Roman"/>
                <w:b/>
                <w:i/>
              </w:rPr>
              <w:t xml:space="preserve">Critical </w:t>
            </w:r>
            <w:r w:rsidRPr="00B1725B">
              <w:rPr>
                <w:rFonts w:ascii="Times New Roman" w:eastAsia="Arial" w:hAnsi="Times New Roman" w:cs="Times New Roman"/>
                <w:b/>
                <w:bCs/>
                <w:i/>
              </w:rPr>
              <w:t>infrastructure sector</w:t>
            </w:r>
            <w:r w:rsidRPr="000266F5">
              <w:rPr>
                <w:rFonts w:ascii="Times New Roman" w:eastAsia="Arial" w:hAnsi="Times New Roman" w:cs="Times New Roman"/>
                <w:b/>
                <w:bCs/>
              </w:rPr>
              <w:t>s</w:t>
            </w:r>
          </w:p>
        </w:tc>
        <w:tc>
          <w:tcPr>
            <w:tcW w:w="5438" w:type="dxa"/>
            <w:tcBorders>
              <w:top w:val="single" w:sz="4" w:space="0" w:color="auto"/>
              <w:left w:val="single" w:sz="4" w:space="0" w:color="auto"/>
              <w:bottom w:val="single" w:sz="4" w:space="0" w:color="auto"/>
              <w:right w:val="single" w:sz="4" w:space="0" w:color="auto"/>
            </w:tcBorders>
          </w:tcPr>
          <w:p w14:paraId="3F47AF63" w14:textId="77777777" w:rsidR="00993F09" w:rsidRPr="000266F5" w:rsidRDefault="00993F09" w:rsidP="00602DDE">
            <w:pPr>
              <w:spacing w:after="200"/>
              <w:rPr>
                <w:rFonts w:ascii="Times New Roman" w:eastAsia="Arial" w:hAnsi="Times New Roman" w:cs="Times New Roman"/>
                <w:b/>
                <w:bCs/>
              </w:rPr>
            </w:pPr>
            <w:r w:rsidRPr="000266F5">
              <w:rPr>
                <w:rFonts w:ascii="Times New Roman" w:eastAsia="Arial" w:hAnsi="Times New Roman" w:cs="Times New Roman"/>
                <w:b/>
                <w:bCs/>
              </w:rPr>
              <w:t>Definitions</w:t>
            </w:r>
          </w:p>
        </w:tc>
        <w:tc>
          <w:tcPr>
            <w:tcW w:w="3470" w:type="dxa"/>
            <w:tcBorders>
              <w:top w:val="single" w:sz="4" w:space="0" w:color="auto"/>
              <w:left w:val="single" w:sz="4" w:space="0" w:color="auto"/>
              <w:bottom w:val="single" w:sz="4" w:space="0" w:color="auto"/>
              <w:right w:val="single" w:sz="4" w:space="0" w:color="auto"/>
            </w:tcBorders>
          </w:tcPr>
          <w:p w14:paraId="3C2032C5" w14:textId="77777777" w:rsidR="00993F09" w:rsidRPr="000266F5" w:rsidRDefault="00993F09" w:rsidP="00602DDE">
            <w:pPr>
              <w:spacing w:after="200"/>
              <w:rPr>
                <w:rFonts w:ascii="Times New Roman" w:eastAsia="Arial" w:hAnsi="Times New Roman" w:cs="Times New Roman"/>
                <w:b/>
                <w:bCs/>
              </w:rPr>
            </w:pPr>
            <w:r w:rsidRPr="000266F5">
              <w:rPr>
                <w:rFonts w:ascii="Times New Roman" w:eastAsia="Arial" w:hAnsi="Times New Roman" w:cs="Times New Roman"/>
                <w:b/>
                <w:bCs/>
              </w:rPr>
              <w:t>Examples</w:t>
            </w:r>
          </w:p>
        </w:tc>
      </w:tr>
      <w:tr w:rsidR="00993F09" w:rsidRPr="000266F5" w14:paraId="56DF9D12" w14:textId="77777777" w:rsidTr="00EE0D81">
        <w:tc>
          <w:tcPr>
            <w:tcW w:w="1583" w:type="dxa"/>
          </w:tcPr>
          <w:p w14:paraId="0B509205" w14:textId="206E9D93" w:rsidR="00993F09" w:rsidRPr="000266F5" w:rsidRDefault="00993F09" w:rsidP="00602DDE">
            <w:pPr>
              <w:spacing w:after="200"/>
              <w:rPr>
                <w:rFonts w:ascii="Times New Roman" w:eastAsia="Arial" w:hAnsi="Times New Roman" w:cs="Times New Roman"/>
              </w:rPr>
            </w:pPr>
            <w:r>
              <w:rPr>
                <w:rFonts w:ascii="Times New Roman" w:eastAsia="Arial" w:hAnsi="Times New Roman" w:cs="Times New Roman"/>
              </w:rPr>
              <w:t>Financial Services and markets</w:t>
            </w:r>
          </w:p>
        </w:tc>
        <w:tc>
          <w:tcPr>
            <w:tcW w:w="5438" w:type="dxa"/>
          </w:tcPr>
          <w:p w14:paraId="2CFE6E3C" w14:textId="77777777" w:rsidR="00993F09" w:rsidRPr="0036430E" w:rsidRDefault="00993F09" w:rsidP="00602DDE">
            <w:pPr>
              <w:rPr>
                <w:rFonts w:ascii="Times New Roman" w:eastAsia="Times New Roman" w:hAnsi="Times New Roman" w:cs="Times New Roman"/>
              </w:rPr>
            </w:pPr>
            <w:r w:rsidRPr="0036430E">
              <w:rPr>
                <w:rFonts w:ascii="Times New Roman" w:eastAsia="Times New Roman" w:hAnsi="Times New Roman" w:cs="Times New Roman"/>
              </w:rPr>
              <w:t xml:space="preserve">The sector of the Australian economy that involves: </w:t>
            </w:r>
          </w:p>
          <w:p w14:paraId="37D7B1EA" w14:textId="33254A7D" w:rsidR="00993F09" w:rsidRDefault="00993F09" w:rsidP="00EE0D81">
            <w:pPr>
              <w:pStyle w:val="ListParagraph"/>
              <w:numPr>
                <w:ilvl w:val="0"/>
                <w:numId w:val="20"/>
              </w:numPr>
              <w:rPr>
                <w:rFonts w:ascii="Times New Roman" w:eastAsia="Times New Roman" w:hAnsi="Times New Roman" w:cs="Times New Roman"/>
              </w:rPr>
            </w:pPr>
            <w:r w:rsidRPr="009E5417">
              <w:rPr>
                <w:rFonts w:ascii="Times New Roman" w:eastAsia="Times New Roman" w:hAnsi="Times New Roman" w:cs="Times New Roman"/>
              </w:rPr>
              <w:t xml:space="preserve">carrying on banking business; or </w:t>
            </w:r>
          </w:p>
          <w:p w14:paraId="68D127BC" w14:textId="514948FC" w:rsidR="00993F09" w:rsidRDefault="00993F09" w:rsidP="00EE0D81">
            <w:pPr>
              <w:pStyle w:val="ListParagraph"/>
              <w:numPr>
                <w:ilvl w:val="0"/>
                <w:numId w:val="20"/>
              </w:numPr>
              <w:rPr>
                <w:rFonts w:ascii="Times New Roman" w:eastAsia="Times New Roman" w:hAnsi="Times New Roman" w:cs="Times New Roman"/>
              </w:rPr>
            </w:pPr>
            <w:r w:rsidRPr="009E5417">
              <w:rPr>
                <w:rFonts w:ascii="Times New Roman" w:eastAsia="Times New Roman" w:hAnsi="Times New Roman" w:cs="Times New Roman"/>
              </w:rPr>
              <w:t xml:space="preserve">operating a superannuation fund; or </w:t>
            </w:r>
          </w:p>
          <w:p w14:paraId="3AEE4D4F" w14:textId="418B70F3" w:rsidR="00993F09" w:rsidRDefault="00993F09" w:rsidP="00EE0D81">
            <w:pPr>
              <w:pStyle w:val="ListParagraph"/>
              <w:numPr>
                <w:ilvl w:val="0"/>
                <w:numId w:val="20"/>
              </w:numPr>
              <w:rPr>
                <w:rFonts w:ascii="Times New Roman" w:eastAsia="Times New Roman" w:hAnsi="Times New Roman" w:cs="Times New Roman"/>
              </w:rPr>
            </w:pPr>
            <w:r w:rsidRPr="009E5417">
              <w:rPr>
                <w:rFonts w:ascii="Times New Roman" w:eastAsia="Times New Roman" w:hAnsi="Times New Roman" w:cs="Times New Roman"/>
              </w:rPr>
              <w:t>carrying on insurance bu</w:t>
            </w:r>
            <w:r>
              <w:rPr>
                <w:rFonts w:ascii="Times New Roman" w:eastAsia="Times New Roman" w:hAnsi="Times New Roman" w:cs="Times New Roman"/>
              </w:rPr>
              <w:t xml:space="preserve">siness; or </w:t>
            </w:r>
          </w:p>
          <w:p w14:paraId="6318ACC2" w14:textId="16E4A9AF" w:rsidR="00993F09" w:rsidRDefault="00993F09" w:rsidP="00EE0D81">
            <w:pPr>
              <w:pStyle w:val="ListParagraph"/>
              <w:numPr>
                <w:ilvl w:val="0"/>
                <w:numId w:val="20"/>
              </w:numPr>
              <w:rPr>
                <w:rFonts w:ascii="Times New Roman" w:eastAsia="Times New Roman" w:hAnsi="Times New Roman" w:cs="Times New Roman"/>
              </w:rPr>
            </w:pPr>
            <w:r w:rsidRPr="009E5417">
              <w:rPr>
                <w:rFonts w:ascii="Times New Roman" w:eastAsia="Times New Roman" w:hAnsi="Times New Roman" w:cs="Times New Roman"/>
              </w:rPr>
              <w:t xml:space="preserve">carrying on life insurance business; or </w:t>
            </w:r>
          </w:p>
          <w:p w14:paraId="44A87F3E" w14:textId="69657B66" w:rsidR="00993F09" w:rsidRDefault="00993F09" w:rsidP="00EE0D81">
            <w:pPr>
              <w:pStyle w:val="ListParagraph"/>
              <w:numPr>
                <w:ilvl w:val="0"/>
                <w:numId w:val="20"/>
              </w:numPr>
              <w:rPr>
                <w:rFonts w:ascii="Times New Roman" w:eastAsia="Times New Roman" w:hAnsi="Times New Roman" w:cs="Times New Roman"/>
              </w:rPr>
            </w:pPr>
            <w:r w:rsidRPr="009E5417">
              <w:rPr>
                <w:rFonts w:ascii="Times New Roman" w:eastAsia="Times New Roman" w:hAnsi="Times New Roman" w:cs="Times New Roman"/>
              </w:rPr>
              <w:lastRenderedPageBreak/>
              <w:t xml:space="preserve">carrying on health insurance business; or </w:t>
            </w:r>
          </w:p>
          <w:p w14:paraId="0F265587" w14:textId="27844D89" w:rsidR="00993F09" w:rsidRDefault="00993F09" w:rsidP="00EE0D81">
            <w:pPr>
              <w:pStyle w:val="ListParagraph"/>
              <w:numPr>
                <w:ilvl w:val="0"/>
                <w:numId w:val="20"/>
              </w:numPr>
              <w:rPr>
                <w:rFonts w:ascii="Times New Roman" w:eastAsia="Times New Roman" w:hAnsi="Times New Roman" w:cs="Times New Roman"/>
              </w:rPr>
            </w:pPr>
            <w:r w:rsidRPr="009E5417">
              <w:rPr>
                <w:rFonts w:ascii="Times New Roman" w:eastAsia="Times New Roman" w:hAnsi="Times New Roman" w:cs="Times New Roman"/>
              </w:rPr>
              <w:t xml:space="preserve">operating a financial market; or </w:t>
            </w:r>
          </w:p>
          <w:p w14:paraId="4CABD404" w14:textId="778DBDF6" w:rsidR="00993F09" w:rsidRDefault="00993F09" w:rsidP="00EE0D81">
            <w:pPr>
              <w:pStyle w:val="ListParagraph"/>
              <w:numPr>
                <w:ilvl w:val="0"/>
                <w:numId w:val="20"/>
              </w:numPr>
              <w:rPr>
                <w:rFonts w:ascii="Times New Roman" w:eastAsia="Times New Roman" w:hAnsi="Times New Roman" w:cs="Times New Roman"/>
              </w:rPr>
            </w:pPr>
            <w:r w:rsidRPr="009E5417">
              <w:rPr>
                <w:rFonts w:ascii="Times New Roman" w:eastAsia="Times New Roman" w:hAnsi="Times New Roman" w:cs="Times New Roman"/>
              </w:rPr>
              <w:t xml:space="preserve">operating a clearing and settlement </w:t>
            </w:r>
            <w:r>
              <w:rPr>
                <w:rFonts w:ascii="Times New Roman" w:eastAsia="Times New Roman" w:hAnsi="Times New Roman" w:cs="Times New Roman"/>
              </w:rPr>
              <w:t>f</w:t>
            </w:r>
            <w:r w:rsidRPr="009E5417">
              <w:rPr>
                <w:rFonts w:ascii="Times New Roman" w:eastAsia="Times New Roman" w:hAnsi="Times New Roman" w:cs="Times New Roman"/>
              </w:rPr>
              <w:t>acility;</w:t>
            </w:r>
          </w:p>
          <w:p w14:paraId="76F16B3A" w14:textId="54773C63" w:rsidR="00993F09" w:rsidRDefault="00993F09" w:rsidP="00EE0D81">
            <w:pPr>
              <w:pStyle w:val="ListParagraph"/>
              <w:numPr>
                <w:ilvl w:val="0"/>
                <w:numId w:val="20"/>
              </w:numPr>
              <w:rPr>
                <w:rFonts w:ascii="Times New Roman" w:eastAsia="Times New Roman" w:hAnsi="Times New Roman" w:cs="Times New Roman"/>
              </w:rPr>
            </w:pPr>
            <w:r w:rsidRPr="009E5417">
              <w:rPr>
                <w:rFonts w:ascii="Times New Roman" w:eastAsia="Times New Roman" w:hAnsi="Times New Roman" w:cs="Times New Roman"/>
              </w:rPr>
              <w:t xml:space="preserve">operating a derivative trade repository; or </w:t>
            </w:r>
          </w:p>
          <w:p w14:paraId="26AB7EBE" w14:textId="168BFBB8" w:rsidR="00993F09" w:rsidRDefault="00993F09" w:rsidP="00EE0D81">
            <w:pPr>
              <w:pStyle w:val="ListParagraph"/>
              <w:numPr>
                <w:ilvl w:val="0"/>
                <w:numId w:val="20"/>
              </w:numPr>
              <w:rPr>
                <w:rFonts w:ascii="Times New Roman" w:eastAsia="Times New Roman" w:hAnsi="Times New Roman" w:cs="Times New Roman"/>
              </w:rPr>
            </w:pPr>
            <w:r w:rsidRPr="009E5417">
              <w:rPr>
                <w:rFonts w:ascii="Times New Roman" w:eastAsia="Times New Roman" w:hAnsi="Times New Roman" w:cs="Times New Roman"/>
              </w:rPr>
              <w:t>administe</w:t>
            </w:r>
            <w:r>
              <w:rPr>
                <w:rFonts w:ascii="Times New Roman" w:eastAsia="Times New Roman" w:hAnsi="Times New Roman" w:cs="Times New Roman"/>
              </w:rPr>
              <w:t xml:space="preserve">ring a financial benchmark; or </w:t>
            </w:r>
          </w:p>
          <w:p w14:paraId="1C29FD71" w14:textId="3F18B31D" w:rsidR="00993F09" w:rsidRDefault="00993F09" w:rsidP="00EE0D81">
            <w:pPr>
              <w:pStyle w:val="ListParagraph"/>
              <w:numPr>
                <w:ilvl w:val="0"/>
                <w:numId w:val="20"/>
              </w:numPr>
              <w:rPr>
                <w:rFonts w:ascii="Times New Roman" w:eastAsia="Times New Roman" w:hAnsi="Times New Roman" w:cs="Times New Roman"/>
              </w:rPr>
            </w:pPr>
            <w:r w:rsidRPr="009E5417">
              <w:rPr>
                <w:rFonts w:ascii="Times New Roman" w:eastAsia="Times New Roman" w:hAnsi="Times New Roman" w:cs="Times New Roman"/>
              </w:rPr>
              <w:t xml:space="preserve">operating a payment system; or </w:t>
            </w:r>
          </w:p>
          <w:p w14:paraId="11EC974B" w14:textId="77777777" w:rsidR="00993F09" w:rsidRDefault="00993F09" w:rsidP="00B369B5">
            <w:pPr>
              <w:pStyle w:val="ListParagraph"/>
              <w:numPr>
                <w:ilvl w:val="0"/>
                <w:numId w:val="20"/>
              </w:numPr>
              <w:rPr>
                <w:rFonts w:ascii="Times New Roman" w:eastAsia="Times New Roman" w:hAnsi="Times New Roman" w:cs="Times New Roman"/>
              </w:rPr>
            </w:pPr>
            <w:r w:rsidRPr="009E5417">
              <w:rPr>
                <w:rFonts w:ascii="Times New Roman" w:eastAsia="Times New Roman" w:hAnsi="Times New Roman" w:cs="Times New Roman"/>
              </w:rPr>
              <w:t xml:space="preserve">carrying on financial services business; or </w:t>
            </w:r>
          </w:p>
          <w:p w14:paraId="3C74D769" w14:textId="77777777" w:rsidR="00993F09" w:rsidRPr="00327B73" w:rsidRDefault="00993F09" w:rsidP="00EE0D81">
            <w:pPr>
              <w:pStyle w:val="ListParagraph"/>
              <w:numPr>
                <w:ilvl w:val="0"/>
                <w:numId w:val="20"/>
              </w:numPr>
              <w:rPr>
                <w:rFonts w:ascii="Times New Roman" w:eastAsia="Times New Roman" w:hAnsi="Times New Roman" w:cs="Times New Roman"/>
              </w:rPr>
            </w:pPr>
            <w:r w:rsidRPr="009E5417">
              <w:rPr>
                <w:rFonts w:ascii="Times New Roman" w:eastAsia="Times New Roman" w:hAnsi="Times New Roman" w:cs="Times New Roman"/>
              </w:rPr>
              <w:t>carrying on credit facility business.</w:t>
            </w:r>
          </w:p>
        </w:tc>
        <w:tc>
          <w:tcPr>
            <w:tcW w:w="3470" w:type="dxa"/>
          </w:tcPr>
          <w:p w14:paraId="6978B5B4" w14:textId="77777777" w:rsidR="00993F09" w:rsidRPr="000266F5" w:rsidRDefault="00993F09" w:rsidP="00602DDE">
            <w:pPr>
              <w:spacing w:after="200"/>
              <w:rPr>
                <w:rFonts w:ascii="Times New Roman" w:eastAsia="Times New Roman" w:hAnsi="Times New Roman" w:cs="Times New Roman"/>
              </w:rPr>
            </w:pPr>
            <w:r w:rsidRPr="000266F5">
              <w:rPr>
                <w:rFonts w:ascii="Times New Roman" w:eastAsia="Times New Roman" w:hAnsi="Times New Roman" w:cs="Times New Roman"/>
              </w:rPr>
              <w:lastRenderedPageBreak/>
              <w:t>Banks, superannuation entities, financial market infrastructure.</w:t>
            </w:r>
          </w:p>
        </w:tc>
      </w:tr>
      <w:tr w:rsidR="00993F09" w:rsidRPr="000266F5" w14:paraId="0E65FD96" w14:textId="77777777" w:rsidTr="00EE0D81">
        <w:tc>
          <w:tcPr>
            <w:tcW w:w="1583" w:type="dxa"/>
          </w:tcPr>
          <w:p w14:paraId="5B999DD8" w14:textId="77777777" w:rsidR="00993F09" w:rsidRPr="000266F5" w:rsidRDefault="00993F09" w:rsidP="00602DDE">
            <w:pPr>
              <w:spacing w:after="200"/>
              <w:rPr>
                <w:rFonts w:ascii="Times New Roman" w:eastAsia="Arial" w:hAnsi="Times New Roman" w:cs="Times New Roman"/>
              </w:rPr>
            </w:pPr>
            <w:r w:rsidRPr="000266F5">
              <w:rPr>
                <w:rFonts w:ascii="Times New Roman" w:eastAsia="Arial" w:hAnsi="Times New Roman" w:cs="Times New Roman"/>
              </w:rPr>
              <w:t>Communications</w:t>
            </w:r>
          </w:p>
        </w:tc>
        <w:tc>
          <w:tcPr>
            <w:tcW w:w="5438" w:type="dxa"/>
          </w:tcPr>
          <w:p w14:paraId="2F494D4C" w14:textId="319C35C7" w:rsidR="00993F09" w:rsidRPr="000266F5" w:rsidRDefault="00993F09" w:rsidP="00602DDE">
            <w:pPr>
              <w:contextualSpacing/>
              <w:rPr>
                <w:rFonts w:ascii="Times New Roman" w:eastAsia="Times New Roman" w:hAnsi="Times New Roman" w:cs="Times New Roman"/>
              </w:rPr>
            </w:pPr>
            <w:r>
              <w:rPr>
                <w:rFonts w:ascii="Times New Roman" w:eastAsia="Times New Roman" w:hAnsi="Times New Roman" w:cs="Times New Roman"/>
              </w:rPr>
              <w:t xml:space="preserve">The sector of the Australian </w:t>
            </w:r>
            <w:r w:rsidRPr="007B4331">
              <w:rPr>
                <w:rFonts w:ascii="Times New Roman" w:eastAsia="Times New Roman" w:hAnsi="Times New Roman" w:cs="Times New Roman"/>
              </w:rPr>
              <w:t>economy that involves:</w:t>
            </w:r>
            <w:r w:rsidRPr="000266F5">
              <w:rPr>
                <w:rFonts w:ascii="Times New Roman" w:eastAsia="Times New Roman" w:hAnsi="Times New Roman" w:cs="Times New Roman"/>
              </w:rPr>
              <w:t xml:space="preserve">: </w:t>
            </w:r>
          </w:p>
          <w:p w14:paraId="2A2730AE" w14:textId="77777777" w:rsidR="00993F09" w:rsidRDefault="00993F09" w:rsidP="00B369B5">
            <w:pPr>
              <w:pStyle w:val="ListParagraph"/>
              <w:numPr>
                <w:ilvl w:val="0"/>
                <w:numId w:val="22"/>
              </w:numPr>
              <w:rPr>
                <w:rFonts w:ascii="Times New Roman" w:eastAsia="Times New Roman" w:hAnsi="Times New Roman" w:cs="Times New Roman"/>
              </w:rPr>
            </w:pPr>
            <w:r w:rsidRPr="007B4331">
              <w:rPr>
                <w:rFonts w:ascii="Times New Roman" w:eastAsia="Times New Roman" w:hAnsi="Times New Roman" w:cs="Times New Roman"/>
              </w:rPr>
              <w:t xml:space="preserve">supplying a carriage service; or </w:t>
            </w:r>
          </w:p>
          <w:p w14:paraId="3C835568" w14:textId="50C7EFC1" w:rsidR="00993F09" w:rsidRDefault="00993F09" w:rsidP="00EE0D81">
            <w:pPr>
              <w:pStyle w:val="ListParagraph"/>
              <w:numPr>
                <w:ilvl w:val="0"/>
                <w:numId w:val="22"/>
              </w:numPr>
              <w:rPr>
                <w:rFonts w:ascii="Times New Roman" w:eastAsia="Times New Roman" w:hAnsi="Times New Roman" w:cs="Times New Roman"/>
              </w:rPr>
            </w:pPr>
            <w:r w:rsidRPr="007B4331">
              <w:rPr>
                <w:rFonts w:ascii="Times New Roman" w:eastAsia="Times New Roman" w:hAnsi="Times New Roman" w:cs="Times New Roman"/>
              </w:rPr>
              <w:t xml:space="preserve">providing a broadcasting service; or </w:t>
            </w:r>
          </w:p>
          <w:p w14:paraId="15705A97" w14:textId="21459E80" w:rsidR="00993F09" w:rsidRDefault="00993F09" w:rsidP="00B369B5">
            <w:pPr>
              <w:pStyle w:val="ListParagraph"/>
              <w:numPr>
                <w:ilvl w:val="0"/>
                <w:numId w:val="22"/>
              </w:numPr>
              <w:rPr>
                <w:rFonts w:ascii="Times New Roman" w:eastAsia="Times New Roman" w:hAnsi="Times New Roman" w:cs="Times New Roman"/>
              </w:rPr>
            </w:pPr>
            <w:r w:rsidRPr="007B4331">
              <w:rPr>
                <w:rFonts w:ascii="Times New Roman" w:eastAsia="Times New Roman" w:hAnsi="Times New Roman" w:cs="Times New Roman"/>
              </w:rPr>
              <w:t xml:space="preserve">owning or operating assets that are used in connection with the supply of a carriage service; or </w:t>
            </w:r>
          </w:p>
          <w:p w14:paraId="1250043D" w14:textId="06DE50BF" w:rsidR="00993F09" w:rsidRDefault="00993F09" w:rsidP="00EE0D81">
            <w:pPr>
              <w:pStyle w:val="ListParagraph"/>
              <w:numPr>
                <w:ilvl w:val="0"/>
                <w:numId w:val="22"/>
              </w:numPr>
              <w:rPr>
                <w:rFonts w:ascii="Times New Roman" w:eastAsia="Times New Roman" w:hAnsi="Times New Roman" w:cs="Times New Roman"/>
              </w:rPr>
            </w:pPr>
            <w:r w:rsidRPr="007B4331">
              <w:rPr>
                <w:rFonts w:ascii="Times New Roman" w:eastAsia="Times New Roman" w:hAnsi="Times New Roman" w:cs="Times New Roman"/>
              </w:rPr>
              <w:t>owning or operating assets that are used in connection with the transmission of a broadcasting serv</w:t>
            </w:r>
            <w:r>
              <w:rPr>
                <w:rFonts w:ascii="Times New Roman" w:eastAsia="Times New Roman" w:hAnsi="Times New Roman" w:cs="Times New Roman"/>
              </w:rPr>
              <w:t xml:space="preserve">ice; or </w:t>
            </w:r>
          </w:p>
          <w:p w14:paraId="22BF402D" w14:textId="77777777" w:rsidR="00993F09" w:rsidRPr="000266F5" w:rsidRDefault="00993F09" w:rsidP="00EE0D81">
            <w:pPr>
              <w:pStyle w:val="ListParagraph"/>
              <w:numPr>
                <w:ilvl w:val="0"/>
                <w:numId w:val="22"/>
              </w:numPr>
              <w:rPr>
                <w:rFonts w:ascii="Times New Roman" w:eastAsia="Times New Roman" w:hAnsi="Times New Roman" w:cs="Times New Roman"/>
              </w:rPr>
            </w:pPr>
            <w:r w:rsidRPr="007B4331">
              <w:rPr>
                <w:rFonts w:ascii="Times New Roman" w:eastAsia="Times New Roman" w:hAnsi="Times New Roman" w:cs="Times New Roman"/>
              </w:rPr>
              <w:t>administering an Australian domain name system.</w:t>
            </w:r>
          </w:p>
        </w:tc>
        <w:tc>
          <w:tcPr>
            <w:tcW w:w="3470" w:type="dxa"/>
          </w:tcPr>
          <w:p w14:paraId="1E0DB1AD" w14:textId="77777777" w:rsidR="00993F09" w:rsidRPr="000266F5" w:rsidRDefault="00993F09" w:rsidP="00602DDE">
            <w:pPr>
              <w:spacing w:after="200"/>
              <w:rPr>
                <w:rFonts w:ascii="Times New Roman" w:eastAsia="Times New Roman" w:hAnsi="Times New Roman" w:cs="Times New Roman"/>
              </w:rPr>
            </w:pPr>
            <w:r w:rsidRPr="000266F5">
              <w:rPr>
                <w:rFonts w:ascii="Times New Roman" w:eastAsia="Times New Roman" w:hAnsi="Times New Roman" w:cs="Times New Roman"/>
              </w:rPr>
              <w:t>Broadcasters, telecommunication companies.</w:t>
            </w:r>
          </w:p>
        </w:tc>
      </w:tr>
      <w:tr w:rsidR="00993F09" w:rsidRPr="000266F5" w14:paraId="1E43C346" w14:textId="77777777" w:rsidTr="00EE0D81">
        <w:tc>
          <w:tcPr>
            <w:tcW w:w="1583" w:type="dxa"/>
          </w:tcPr>
          <w:p w14:paraId="79BE1EC2" w14:textId="19CC645D" w:rsidR="00993F09" w:rsidRPr="000266F5" w:rsidRDefault="00993F09" w:rsidP="00602DDE">
            <w:pPr>
              <w:spacing w:after="200"/>
              <w:rPr>
                <w:rFonts w:ascii="Times New Roman" w:eastAsia="Arial" w:hAnsi="Times New Roman" w:cs="Times New Roman"/>
              </w:rPr>
            </w:pPr>
            <w:r w:rsidRPr="000266F5">
              <w:rPr>
                <w:rFonts w:ascii="Times New Roman" w:eastAsia="Arial" w:hAnsi="Times New Roman" w:cs="Times New Roman"/>
              </w:rPr>
              <w:t>Data</w:t>
            </w:r>
            <w:r>
              <w:rPr>
                <w:rFonts w:ascii="Times New Roman" w:eastAsia="Arial" w:hAnsi="Times New Roman" w:cs="Times New Roman"/>
              </w:rPr>
              <w:t xml:space="preserve"> storage and processing </w:t>
            </w:r>
          </w:p>
        </w:tc>
        <w:tc>
          <w:tcPr>
            <w:tcW w:w="5438" w:type="dxa"/>
          </w:tcPr>
          <w:p w14:paraId="0DAEEC52" w14:textId="5133075F" w:rsidR="00993F09" w:rsidRPr="000266F5" w:rsidRDefault="00993F09" w:rsidP="00EE0D81">
            <w:pPr>
              <w:rPr>
                <w:rFonts w:ascii="Times New Roman" w:eastAsia="Times New Roman" w:hAnsi="Times New Roman" w:cs="Times New Roman"/>
              </w:rPr>
            </w:pPr>
            <w:r>
              <w:rPr>
                <w:rFonts w:ascii="Times New Roman" w:eastAsia="Times New Roman" w:hAnsi="Times New Roman" w:cs="Times New Roman"/>
              </w:rPr>
              <w:t xml:space="preserve">The sector of the </w:t>
            </w:r>
            <w:r w:rsidRPr="009E5417">
              <w:rPr>
                <w:rFonts w:ascii="Times New Roman" w:eastAsia="Times New Roman" w:hAnsi="Times New Roman" w:cs="Times New Roman"/>
              </w:rPr>
              <w:t>Australian economy that invol</w:t>
            </w:r>
            <w:r>
              <w:rPr>
                <w:rFonts w:ascii="Times New Roman" w:eastAsia="Times New Roman" w:hAnsi="Times New Roman" w:cs="Times New Roman"/>
              </w:rPr>
              <w:t>ves providing data storage or</w:t>
            </w:r>
            <w:r w:rsidRPr="009E5417">
              <w:rPr>
                <w:rFonts w:ascii="Times New Roman" w:eastAsia="Times New Roman" w:hAnsi="Times New Roman" w:cs="Times New Roman"/>
              </w:rPr>
              <w:t xml:space="preserve"> processing services on a commercial basis.</w:t>
            </w:r>
          </w:p>
        </w:tc>
        <w:tc>
          <w:tcPr>
            <w:tcW w:w="3470" w:type="dxa"/>
          </w:tcPr>
          <w:p w14:paraId="0AACB260" w14:textId="77777777" w:rsidR="00993F09" w:rsidRPr="000266F5" w:rsidRDefault="00993F09" w:rsidP="00602DDE">
            <w:pPr>
              <w:spacing w:after="200"/>
              <w:rPr>
                <w:rFonts w:ascii="Times New Roman" w:eastAsia="Times New Roman" w:hAnsi="Times New Roman" w:cs="Times New Roman"/>
              </w:rPr>
            </w:pPr>
            <w:r w:rsidRPr="000266F5">
              <w:rPr>
                <w:rFonts w:ascii="Times New Roman" w:eastAsia="Times New Roman" w:hAnsi="Times New Roman" w:cs="Times New Roman"/>
              </w:rPr>
              <w:t>Cloud service providers, data centres.</w:t>
            </w:r>
          </w:p>
        </w:tc>
      </w:tr>
      <w:tr w:rsidR="00993F09" w:rsidRPr="000266F5" w14:paraId="42C95D91" w14:textId="77777777" w:rsidTr="00EE0D81">
        <w:tc>
          <w:tcPr>
            <w:tcW w:w="1583" w:type="dxa"/>
          </w:tcPr>
          <w:p w14:paraId="28A72953" w14:textId="77777777" w:rsidR="00993F09" w:rsidRPr="000266F5" w:rsidRDefault="00993F09" w:rsidP="00602DDE">
            <w:pPr>
              <w:spacing w:after="200"/>
              <w:rPr>
                <w:rFonts w:ascii="Times New Roman" w:eastAsia="Arial" w:hAnsi="Times New Roman" w:cs="Times New Roman"/>
              </w:rPr>
            </w:pPr>
            <w:r w:rsidRPr="000266F5">
              <w:rPr>
                <w:rFonts w:ascii="Times New Roman" w:eastAsia="Arial" w:hAnsi="Times New Roman" w:cs="Times New Roman"/>
              </w:rPr>
              <w:t>Defence industry</w:t>
            </w:r>
          </w:p>
        </w:tc>
        <w:tc>
          <w:tcPr>
            <w:tcW w:w="5438" w:type="dxa"/>
          </w:tcPr>
          <w:p w14:paraId="2FE92746" w14:textId="00A33128" w:rsidR="00993F09" w:rsidRPr="000266F5" w:rsidRDefault="00993F09" w:rsidP="00602DDE">
            <w:pPr>
              <w:rPr>
                <w:rFonts w:ascii="Times New Roman" w:eastAsia="Times New Roman" w:hAnsi="Times New Roman" w:cs="Times New Roman"/>
                <w:szCs w:val="20"/>
              </w:rPr>
            </w:pPr>
            <w:r>
              <w:rPr>
                <w:rFonts w:ascii="Times New Roman" w:eastAsia="Times New Roman" w:hAnsi="Times New Roman" w:cs="Times New Roman"/>
                <w:szCs w:val="20"/>
              </w:rPr>
              <w:t>T</w:t>
            </w:r>
            <w:r w:rsidRPr="009E5417">
              <w:rPr>
                <w:rFonts w:ascii="Times New Roman" w:eastAsia="Times New Roman" w:hAnsi="Times New Roman" w:cs="Times New Roman"/>
                <w:szCs w:val="20"/>
              </w:rPr>
              <w:t>he sector of the Australi</w:t>
            </w:r>
            <w:r>
              <w:rPr>
                <w:rFonts w:ascii="Times New Roman" w:eastAsia="Times New Roman" w:hAnsi="Times New Roman" w:cs="Times New Roman"/>
                <w:szCs w:val="20"/>
              </w:rPr>
              <w:t xml:space="preserve">an </w:t>
            </w:r>
            <w:r w:rsidRPr="009E5417">
              <w:rPr>
                <w:rFonts w:ascii="Times New Roman" w:eastAsia="Times New Roman" w:hAnsi="Times New Roman" w:cs="Times New Roman"/>
                <w:szCs w:val="20"/>
              </w:rPr>
              <w:t xml:space="preserve">economy that involves the </w:t>
            </w:r>
            <w:r>
              <w:rPr>
                <w:rFonts w:ascii="Times New Roman" w:eastAsia="Times New Roman" w:hAnsi="Times New Roman" w:cs="Times New Roman"/>
                <w:szCs w:val="20"/>
              </w:rPr>
              <w:t xml:space="preserve">provision of critical defence </w:t>
            </w:r>
            <w:r w:rsidRPr="009E5417">
              <w:rPr>
                <w:rFonts w:ascii="Times New Roman" w:eastAsia="Times New Roman" w:hAnsi="Times New Roman" w:cs="Times New Roman"/>
                <w:szCs w:val="20"/>
              </w:rPr>
              <w:t>capabilities.</w:t>
            </w:r>
          </w:p>
        </w:tc>
        <w:tc>
          <w:tcPr>
            <w:tcW w:w="3470" w:type="dxa"/>
          </w:tcPr>
          <w:p w14:paraId="1E948545" w14:textId="77777777" w:rsidR="00993F09" w:rsidRPr="000266F5" w:rsidRDefault="00993F09" w:rsidP="00602DDE">
            <w:pPr>
              <w:spacing w:after="200"/>
              <w:rPr>
                <w:rFonts w:ascii="Times New Roman" w:eastAsia="Times New Roman" w:hAnsi="Times New Roman" w:cs="Times New Roman"/>
                <w:szCs w:val="20"/>
              </w:rPr>
            </w:pPr>
          </w:p>
        </w:tc>
      </w:tr>
      <w:tr w:rsidR="00993F09" w:rsidRPr="000266F5" w14:paraId="0E09DB63" w14:textId="77777777" w:rsidTr="00EE0D81">
        <w:tc>
          <w:tcPr>
            <w:tcW w:w="1583" w:type="dxa"/>
          </w:tcPr>
          <w:p w14:paraId="421751AD" w14:textId="3ECC4158" w:rsidR="00993F09" w:rsidRPr="000266F5" w:rsidRDefault="00993F09" w:rsidP="00602DDE">
            <w:pPr>
              <w:spacing w:after="200"/>
              <w:rPr>
                <w:rFonts w:ascii="Times New Roman" w:eastAsia="Arial" w:hAnsi="Times New Roman" w:cs="Times New Roman"/>
              </w:rPr>
            </w:pPr>
            <w:r>
              <w:rPr>
                <w:rFonts w:ascii="Times New Roman" w:eastAsia="Arial" w:hAnsi="Times New Roman" w:cs="Times New Roman"/>
              </w:rPr>
              <w:t>Higher Education and research</w:t>
            </w:r>
          </w:p>
        </w:tc>
        <w:tc>
          <w:tcPr>
            <w:tcW w:w="5438" w:type="dxa"/>
          </w:tcPr>
          <w:p w14:paraId="13A53710" w14:textId="77777777" w:rsidR="00993F09" w:rsidRDefault="00993F09" w:rsidP="00602DDE">
            <w:pPr>
              <w:contextualSpacing/>
              <w:rPr>
                <w:rFonts w:ascii="Times New Roman" w:eastAsia="Times New Roman" w:hAnsi="Times New Roman" w:cs="Times New Roman"/>
              </w:rPr>
            </w:pPr>
            <w:r>
              <w:rPr>
                <w:rFonts w:ascii="Times New Roman" w:eastAsia="Times New Roman" w:hAnsi="Times New Roman" w:cs="Times New Roman"/>
              </w:rPr>
              <w:t>The sector of the</w:t>
            </w:r>
            <w:r w:rsidRPr="00BB3DD6">
              <w:rPr>
                <w:rFonts w:ascii="Times New Roman" w:eastAsia="Times New Roman" w:hAnsi="Times New Roman" w:cs="Times New Roman"/>
              </w:rPr>
              <w:t xml:space="preserve"> Australian </w:t>
            </w:r>
            <w:r w:rsidRPr="0036430E">
              <w:rPr>
                <w:rFonts w:ascii="Times New Roman" w:eastAsia="Times New Roman" w:hAnsi="Times New Roman" w:cs="Times New Roman"/>
                <w:szCs w:val="20"/>
              </w:rPr>
              <w:t>economy</w:t>
            </w:r>
            <w:r w:rsidRPr="00BB3DD6">
              <w:rPr>
                <w:rFonts w:ascii="Times New Roman" w:eastAsia="Times New Roman" w:hAnsi="Times New Roman" w:cs="Times New Roman"/>
              </w:rPr>
              <w:t xml:space="preserve"> that involves: </w:t>
            </w:r>
          </w:p>
          <w:p w14:paraId="443E12CA" w14:textId="694C20AA" w:rsidR="00993F09" w:rsidRDefault="00993F09" w:rsidP="00EE0D81">
            <w:pPr>
              <w:pStyle w:val="ListParagraph"/>
              <w:numPr>
                <w:ilvl w:val="0"/>
                <w:numId w:val="24"/>
              </w:numPr>
              <w:rPr>
                <w:rFonts w:ascii="Times New Roman" w:eastAsia="Times New Roman" w:hAnsi="Times New Roman" w:cs="Times New Roman"/>
              </w:rPr>
            </w:pPr>
            <w:r w:rsidRPr="00BB3DD6">
              <w:rPr>
                <w:rFonts w:ascii="Times New Roman" w:eastAsia="Times New Roman" w:hAnsi="Times New Roman" w:cs="Times New Roman"/>
              </w:rPr>
              <w:t xml:space="preserve">being a higher education provider; or </w:t>
            </w:r>
          </w:p>
          <w:p w14:paraId="1C63AF25" w14:textId="288E0F79" w:rsidR="00993F09" w:rsidRDefault="00993F09" w:rsidP="00EE0D81">
            <w:pPr>
              <w:pStyle w:val="ListParagraph"/>
              <w:numPr>
                <w:ilvl w:val="0"/>
                <w:numId w:val="24"/>
              </w:numPr>
              <w:rPr>
                <w:rFonts w:ascii="Times New Roman" w:eastAsia="Times New Roman" w:hAnsi="Times New Roman" w:cs="Times New Roman"/>
              </w:rPr>
            </w:pPr>
            <w:r w:rsidRPr="00BB3DD6">
              <w:rPr>
                <w:rFonts w:ascii="Times New Roman" w:eastAsia="Times New Roman" w:hAnsi="Times New Roman" w:cs="Times New Roman"/>
              </w:rPr>
              <w:t>undertaki</w:t>
            </w:r>
            <w:r>
              <w:rPr>
                <w:rFonts w:ascii="Times New Roman" w:eastAsia="Times New Roman" w:hAnsi="Times New Roman" w:cs="Times New Roman"/>
              </w:rPr>
              <w:t xml:space="preserve">ng a program of research that: </w:t>
            </w:r>
          </w:p>
          <w:p w14:paraId="3742D72A" w14:textId="129692D3" w:rsidR="00993F09" w:rsidRDefault="00993F09" w:rsidP="00EE0D81">
            <w:pPr>
              <w:pStyle w:val="ListParagraph"/>
              <w:numPr>
                <w:ilvl w:val="1"/>
                <w:numId w:val="24"/>
              </w:numPr>
              <w:rPr>
                <w:rFonts w:ascii="Times New Roman" w:eastAsia="Times New Roman" w:hAnsi="Times New Roman" w:cs="Times New Roman"/>
              </w:rPr>
            </w:pPr>
            <w:r w:rsidRPr="00BB3DD6">
              <w:rPr>
                <w:rFonts w:ascii="Times New Roman" w:eastAsia="Times New Roman" w:hAnsi="Times New Roman" w:cs="Times New Roman"/>
              </w:rPr>
              <w:t>is supported financially</w:t>
            </w:r>
            <w:r>
              <w:rPr>
                <w:rFonts w:ascii="Times New Roman" w:eastAsia="Times New Roman" w:hAnsi="Times New Roman" w:cs="Times New Roman"/>
              </w:rPr>
              <w:t xml:space="preserve"> (in whole or in part) by the</w:t>
            </w:r>
            <w:r w:rsidRPr="00BB3DD6">
              <w:rPr>
                <w:rFonts w:ascii="Times New Roman" w:eastAsia="Times New Roman" w:hAnsi="Times New Roman" w:cs="Times New Roman"/>
              </w:rPr>
              <w:t xml:space="preserve"> Commonwealth; or </w:t>
            </w:r>
          </w:p>
          <w:p w14:paraId="1A452CFE" w14:textId="65F5CEEC" w:rsidR="00993F09" w:rsidRPr="00327B73" w:rsidRDefault="00993F09" w:rsidP="00EE0D81">
            <w:pPr>
              <w:pStyle w:val="ListParagraph"/>
              <w:numPr>
                <w:ilvl w:val="1"/>
                <w:numId w:val="24"/>
              </w:numPr>
              <w:rPr>
                <w:rFonts w:ascii="Times New Roman" w:eastAsia="Times New Roman" w:hAnsi="Times New Roman" w:cs="Times New Roman"/>
              </w:rPr>
            </w:pPr>
            <w:r>
              <w:rPr>
                <w:rFonts w:ascii="Times New Roman" w:eastAsia="Times New Roman" w:hAnsi="Times New Roman" w:cs="Times New Roman"/>
              </w:rPr>
              <w:t xml:space="preserve">is relevant to a </w:t>
            </w:r>
            <w:r w:rsidRPr="00EE0D81">
              <w:rPr>
                <w:rFonts w:ascii="Times New Roman" w:hAnsi="Times New Roman"/>
                <w:i/>
              </w:rPr>
              <w:t>critical infrastructure sector</w:t>
            </w:r>
            <w:r>
              <w:rPr>
                <w:rFonts w:ascii="Times New Roman" w:eastAsia="Times New Roman" w:hAnsi="Times New Roman" w:cs="Times New Roman"/>
              </w:rPr>
              <w:t xml:space="preserve"> (other than the higher education and research sector)</w:t>
            </w:r>
          </w:p>
        </w:tc>
        <w:tc>
          <w:tcPr>
            <w:tcW w:w="3470" w:type="dxa"/>
          </w:tcPr>
          <w:p w14:paraId="6ADBD1BB" w14:textId="77777777" w:rsidR="00993F09" w:rsidRPr="000266F5" w:rsidRDefault="00993F09" w:rsidP="00602DDE">
            <w:pPr>
              <w:spacing w:after="200"/>
              <w:rPr>
                <w:rFonts w:ascii="Times New Roman" w:eastAsia="Arial" w:hAnsi="Times New Roman" w:cs="Times New Roman"/>
              </w:rPr>
            </w:pPr>
            <w:r w:rsidRPr="000266F5">
              <w:rPr>
                <w:rFonts w:ascii="Times New Roman" w:eastAsia="Arial" w:hAnsi="Times New Roman" w:cs="Times New Roman"/>
              </w:rPr>
              <w:t>Universities.</w:t>
            </w:r>
          </w:p>
        </w:tc>
      </w:tr>
      <w:tr w:rsidR="00993F09" w:rsidRPr="000266F5" w14:paraId="7870710C" w14:textId="77777777" w:rsidTr="00EE0D81">
        <w:tc>
          <w:tcPr>
            <w:tcW w:w="1583" w:type="dxa"/>
          </w:tcPr>
          <w:p w14:paraId="2B322089" w14:textId="77777777" w:rsidR="00993F09" w:rsidRPr="000266F5" w:rsidRDefault="00993F09" w:rsidP="00602DDE">
            <w:pPr>
              <w:spacing w:after="200"/>
              <w:rPr>
                <w:rFonts w:ascii="Times New Roman" w:eastAsia="Arial" w:hAnsi="Times New Roman" w:cs="Times New Roman"/>
              </w:rPr>
            </w:pPr>
            <w:r w:rsidRPr="000266F5">
              <w:rPr>
                <w:rFonts w:ascii="Times New Roman" w:eastAsia="Arial" w:hAnsi="Times New Roman" w:cs="Times New Roman"/>
              </w:rPr>
              <w:t>Energy</w:t>
            </w:r>
          </w:p>
        </w:tc>
        <w:tc>
          <w:tcPr>
            <w:tcW w:w="5438" w:type="dxa"/>
          </w:tcPr>
          <w:p w14:paraId="3D16EAC2" w14:textId="221016B8" w:rsidR="00993F09" w:rsidRDefault="00993F09" w:rsidP="00602DDE">
            <w:pPr>
              <w:rPr>
                <w:rFonts w:ascii="Times New Roman" w:eastAsia="Arial" w:hAnsi="Times New Roman" w:cs="Times New Roman"/>
              </w:rPr>
            </w:pPr>
            <w:r>
              <w:rPr>
                <w:rFonts w:ascii="Times New Roman" w:eastAsia="Arial" w:hAnsi="Times New Roman" w:cs="Times New Roman"/>
              </w:rPr>
              <w:t>T</w:t>
            </w:r>
            <w:r w:rsidRPr="009E5417">
              <w:rPr>
                <w:rFonts w:ascii="Times New Roman" w:eastAsia="Arial" w:hAnsi="Times New Roman" w:cs="Times New Roman"/>
              </w:rPr>
              <w:t xml:space="preserve">he sector of the Australian economy that involves: </w:t>
            </w:r>
          </w:p>
          <w:p w14:paraId="3338D6CA" w14:textId="516C2BE0" w:rsidR="00993F09" w:rsidRPr="0036430E" w:rsidRDefault="00993F09" w:rsidP="00B369B5">
            <w:pPr>
              <w:pStyle w:val="ListParagraph"/>
              <w:numPr>
                <w:ilvl w:val="0"/>
                <w:numId w:val="21"/>
              </w:numPr>
              <w:rPr>
                <w:rFonts w:ascii="Times New Roman" w:eastAsia="Times New Roman" w:hAnsi="Times New Roman" w:cs="Times New Roman"/>
              </w:rPr>
            </w:pPr>
            <w:r>
              <w:rPr>
                <w:rFonts w:ascii="Times New Roman" w:eastAsia="Times New Roman" w:hAnsi="Times New Roman" w:cs="Times New Roman"/>
              </w:rPr>
              <w:t>t</w:t>
            </w:r>
            <w:r w:rsidRPr="0036430E">
              <w:rPr>
                <w:rFonts w:ascii="Times New Roman" w:eastAsia="Times New Roman" w:hAnsi="Times New Roman" w:cs="Times New Roman"/>
              </w:rPr>
              <w:t xml:space="preserve">he production, distribution or supply of electricity; or </w:t>
            </w:r>
          </w:p>
          <w:p w14:paraId="2694D3B5" w14:textId="77777777" w:rsidR="00993F09" w:rsidRPr="0036430E" w:rsidRDefault="00993F09" w:rsidP="00B369B5">
            <w:pPr>
              <w:pStyle w:val="ListParagraph"/>
              <w:numPr>
                <w:ilvl w:val="0"/>
                <w:numId w:val="21"/>
              </w:numPr>
              <w:rPr>
                <w:rFonts w:ascii="Times New Roman" w:eastAsia="Times New Roman" w:hAnsi="Times New Roman" w:cs="Times New Roman"/>
              </w:rPr>
            </w:pPr>
            <w:r w:rsidRPr="0036430E">
              <w:rPr>
                <w:rFonts w:ascii="Times New Roman" w:eastAsia="Times New Roman" w:hAnsi="Times New Roman" w:cs="Times New Roman"/>
              </w:rPr>
              <w:t xml:space="preserve">the production, processing, distribution or supply of gas; or </w:t>
            </w:r>
          </w:p>
          <w:p w14:paraId="368A95CE" w14:textId="3DDC1C6C" w:rsidR="00993F09" w:rsidRPr="000266F5" w:rsidRDefault="00993F09" w:rsidP="00EE0D81">
            <w:pPr>
              <w:pStyle w:val="ListParagraph"/>
              <w:numPr>
                <w:ilvl w:val="0"/>
                <w:numId w:val="21"/>
              </w:numPr>
              <w:rPr>
                <w:rFonts w:ascii="Times New Roman" w:eastAsia="Arial" w:hAnsi="Times New Roman" w:cs="Times New Roman"/>
              </w:rPr>
            </w:pPr>
            <w:r w:rsidRPr="0036430E">
              <w:rPr>
                <w:rFonts w:ascii="Times New Roman" w:eastAsia="Times New Roman" w:hAnsi="Times New Roman" w:cs="Times New Roman"/>
              </w:rPr>
              <w:t>the production, processing, dis</w:t>
            </w:r>
            <w:r>
              <w:rPr>
                <w:rFonts w:ascii="Times New Roman" w:eastAsia="Times New Roman" w:hAnsi="Times New Roman" w:cs="Times New Roman"/>
              </w:rPr>
              <w:t>tribution or supply of liquid</w:t>
            </w:r>
            <w:r w:rsidRPr="0036430E">
              <w:rPr>
                <w:rFonts w:ascii="Times New Roman" w:eastAsia="Times New Roman" w:hAnsi="Times New Roman" w:cs="Times New Roman"/>
              </w:rPr>
              <w:t xml:space="preserve"> fuel.</w:t>
            </w:r>
          </w:p>
        </w:tc>
        <w:tc>
          <w:tcPr>
            <w:tcW w:w="3470" w:type="dxa"/>
          </w:tcPr>
          <w:p w14:paraId="7DA1CB83" w14:textId="77777777" w:rsidR="00993F09" w:rsidRPr="000266F5" w:rsidRDefault="00993F09" w:rsidP="00602DDE">
            <w:pPr>
              <w:spacing w:after="200"/>
              <w:rPr>
                <w:rFonts w:ascii="Times New Roman" w:eastAsia="Arial" w:hAnsi="Times New Roman" w:cs="Times New Roman"/>
              </w:rPr>
            </w:pPr>
            <w:r w:rsidRPr="000266F5">
              <w:rPr>
                <w:rFonts w:ascii="Times New Roman" w:eastAsia="Arial" w:hAnsi="Times New Roman" w:cs="Times New Roman"/>
              </w:rPr>
              <w:t>Liquid fuel includes crude oil and condensate, refined products such as petrol, diesel and jet fuels, and ethanol and biodiesel.</w:t>
            </w:r>
          </w:p>
          <w:p w14:paraId="43094BF6" w14:textId="77777777" w:rsidR="00993F09" w:rsidRPr="000266F5" w:rsidRDefault="00993F09" w:rsidP="00602DDE">
            <w:pPr>
              <w:rPr>
                <w:rFonts w:ascii="Times New Roman" w:eastAsia="Arial" w:hAnsi="Times New Roman" w:cs="Times New Roman"/>
              </w:rPr>
            </w:pPr>
            <w:r w:rsidRPr="000266F5">
              <w:rPr>
                <w:rFonts w:ascii="Times New Roman" w:eastAsia="Arial" w:hAnsi="Times New Roman" w:cs="Times New Roman"/>
              </w:rPr>
              <w:t>Gas means a substance that:</w:t>
            </w:r>
          </w:p>
          <w:p w14:paraId="56B40172" w14:textId="77777777" w:rsidR="00993F09" w:rsidRPr="000266F5" w:rsidRDefault="00993F09" w:rsidP="00993F09">
            <w:pPr>
              <w:pStyle w:val="ListParagraph"/>
              <w:numPr>
                <w:ilvl w:val="0"/>
                <w:numId w:val="6"/>
              </w:numPr>
              <w:rPr>
                <w:rFonts w:ascii="Times New Roman" w:eastAsia="Times New Roman" w:hAnsi="Times New Roman" w:cs="Times New Roman"/>
              </w:rPr>
            </w:pPr>
            <w:r w:rsidRPr="000266F5">
              <w:rPr>
                <w:rFonts w:ascii="Times New Roman" w:eastAsia="Times New Roman" w:hAnsi="Times New Roman" w:cs="Times New Roman"/>
              </w:rPr>
              <w:t>is in a gaseous state at standard temperature and pressure; and</w:t>
            </w:r>
          </w:p>
          <w:p w14:paraId="52A84D87" w14:textId="77777777" w:rsidR="00993F09" w:rsidRPr="000266F5" w:rsidRDefault="00993F09" w:rsidP="00993F09">
            <w:pPr>
              <w:pStyle w:val="ListParagraph"/>
              <w:numPr>
                <w:ilvl w:val="0"/>
                <w:numId w:val="6"/>
              </w:numPr>
              <w:rPr>
                <w:rFonts w:ascii="Times New Roman" w:eastAsia="Times New Roman" w:hAnsi="Times New Roman" w:cs="Times New Roman"/>
              </w:rPr>
            </w:pPr>
            <w:r w:rsidRPr="000266F5">
              <w:rPr>
                <w:rFonts w:ascii="Times New Roman" w:eastAsia="Times New Roman" w:hAnsi="Times New Roman" w:cs="Times New Roman"/>
              </w:rPr>
              <w:t>consists of naturally occurring hydrocarbons, or a naturally occurring mixture of hydrocarbons and non-hydrocarbons, the principal constituent of which is methane; and</w:t>
            </w:r>
          </w:p>
          <w:p w14:paraId="1DB30917" w14:textId="77777777" w:rsidR="00993F09" w:rsidRPr="000266F5" w:rsidRDefault="00993F09" w:rsidP="00993F09">
            <w:pPr>
              <w:pStyle w:val="ListParagraph"/>
              <w:numPr>
                <w:ilvl w:val="0"/>
                <w:numId w:val="6"/>
              </w:numPr>
              <w:rPr>
                <w:rFonts w:ascii="Times New Roman" w:eastAsia="Arial" w:hAnsi="Times New Roman" w:cs="Times New Roman"/>
              </w:rPr>
            </w:pPr>
            <w:r w:rsidRPr="000266F5">
              <w:rPr>
                <w:rFonts w:ascii="Times New Roman" w:eastAsia="Times New Roman" w:hAnsi="Times New Roman" w:cs="Times New Roman"/>
              </w:rPr>
              <w:t>is suitable for consumption.</w:t>
            </w:r>
          </w:p>
        </w:tc>
      </w:tr>
      <w:tr w:rsidR="00993F09" w:rsidRPr="000266F5" w14:paraId="69075893" w14:textId="77777777" w:rsidTr="00EE0D81">
        <w:tc>
          <w:tcPr>
            <w:tcW w:w="1583" w:type="dxa"/>
          </w:tcPr>
          <w:p w14:paraId="0CADD452" w14:textId="77777777" w:rsidR="00993F09" w:rsidRPr="000266F5" w:rsidRDefault="00993F09" w:rsidP="00602DDE">
            <w:pPr>
              <w:spacing w:after="200"/>
              <w:rPr>
                <w:rFonts w:ascii="Times New Roman" w:eastAsia="Arial" w:hAnsi="Times New Roman" w:cs="Times New Roman"/>
              </w:rPr>
            </w:pPr>
            <w:r w:rsidRPr="000266F5">
              <w:rPr>
                <w:rFonts w:ascii="Times New Roman" w:eastAsia="Arial" w:hAnsi="Times New Roman" w:cs="Times New Roman"/>
              </w:rPr>
              <w:t>Food and grocery</w:t>
            </w:r>
          </w:p>
        </w:tc>
        <w:tc>
          <w:tcPr>
            <w:tcW w:w="5438" w:type="dxa"/>
          </w:tcPr>
          <w:p w14:paraId="03B7041E" w14:textId="403B323A" w:rsidR="00993F09" w:rsidRDefault="00993F09" w:rsidP="00602DDE">
            <w:pPr>
              <w:rPr>
                <w:rFonts w:ascii="Times New Roman" w:eastAsia="Arial" w:hAnsi="Times New Roman" w:cs="Times New Roman"/>
              </w:rPr>
            </w:pPr>
            <w:r>
              <w:rPr>
                <w:rFonts w:ascii="Times New Roman" w:eastAsia="Arial" w:hAnsi="Times New Roman" w:cs="Times New Roman"/>
              </w:rPr>
              <w:t>T</w:t>
            </w:r>
            <w:r w:rsidRPr="009E5417">
              <w:rPr>
                <w:rFonts w:ascii="Times New Roman" w:eastAsia="Arial" w:hAnsi="Times New Roman" w:cs="Times New Roman"/>
              </w:rPr>
              <w:t xml:space="preserve">he sector of the Australian </w:t>
            </w:r>
            <w:r>
              <w:rPr>
                <w:rFonts w:ascii="Times New Roman" w:eastAsia="Arial" w:hAnsi="Times New Roman" w:cs="Times New Roman"/>
              </w:rPr>
              <w:t>e</w:t>
            </w:r>
            <w:r w:rsidRPr="009E5417">
              <w:rPr>
                <w:rFonts w:ascii="Times New Roman" w:eastAsia="Arial" w:hAnsi="Times New Roman" w:cs="Times New Roman"/>
              </w:rPr>
              <w:t xml:space="preserve">conomy that involves: </w:t>
            </w:r>
          </w:p>
          <w:p w14:paraId="1F259A77" w14:textId="3A02B07D" w:rsidR="00993F09" w:rsidRDefault="00993F09" w:rsidP="00B369B5">
            <w:pPr>
              <w:pStyle w:val="ListParagraph"/>
              <w:numPr>
                <w:ilvl w:val="0"/>
                <w:numId w:val="23"/>
              </w:numPr>
              <w:rPr>
                <w:rFonts w:ascii="Times New Roman" w:eastAsia="Arial" w:hAnsi="Times New Roman" w:cs="Times New Roman"/>
              </w:rPr>
            </w:pPr>
            <w:r w:rsidRPr="0036430E">
              <w:rPr>
                <w:rFonts w:ascii="Times New Roman" w:eastAsia="Times New Roman" w:hAnsi="Times New Roman" w:cs="Times New Roman"/>
              </w:rPr>
              <w:t>manufacturing</w:t>
            </w:r>
            <w:r>
              <w:rPr>
                <w:rFonts w:ascii="Times New Roman" w:eastAsia="Arial" w:hAnsi="Times New Roman" w:cs="Times New Roman"/>
              </w:rPr>
              <w:t xml:space="preserve">; or </w:t>
            </w:r>
          </w:p>
          <w:p w14:paraId="00A3771D" w14:textId="77777777" w:rsidR="00993F09" w:rsidRPr="0036430E" w:rsidRDefault="00993F09" w:rsidP="00B369B5">
            <w:pPr>
              <w:pStyle w:val="ListParagraph"/>
              <w:numPr>
                <w:ilvl w:val="0"/>
                <w:numId w:val="23"/>
              </w:numPr>
              <w:rPr>
                <w:rFonts w:ascii="Times New Roman" w:eastAsia="Times New Roman" w:hAnsi="Times New Roman" w:cs="Times New Roman"/>
              </w:rPr>
            </w:pPr>
            <w:r w:rsidRPr="0036430E">
              <w:rPr>
                <w:rFonts w:ascii="Times New Roman" w:eastAsia="Times New Roman" w:hAnsi="Times New Roman" w:cs="Times New Roman"/>
              </w:rPr>
              <w:t xml:space="preserve">processing; or </w:t>
            </w:r>
          </w:p>
          <w:p w14:paraId="1A1D49A3" w14:textId="143987F3" w:rsidR="00993F09" w:rsidRPr="0036430E" w:rsidRDefault="00993F09" w:rsidP="00B369B5">
            <w:pPr>
              <w:pStyle w:val="ListParagraph"/>
              <w:numPr>
                <w:ilvl w:val="0"/>
                <w:numId w:val="23"/>
              </w:numPr>
              <w:rPr>
                <w:rFonts w:ascii="Times New Roman" w:eastAsia="Times New Roman" w:hAnsi="Times New Roman" w:cs="Times New Roman"/>
              </w:rPr>
            </w:pPr>
            <w:r w:rsidRPr="0036430E">
              <w:rPr>
                <w:rFonts w:ascii="Times New Roman" w:eastAsia="Times New Roman" w:hAnsi="Times New Roman" w:cs="Times New Roman"/>
              </w:rPr>
              <w:t xml:space="preserve">packaging; or </w:t>
            </w:r>
          </w:p>
          <w:p w14:paraId="709EAB3C" w14:textId="7E213543" w:rsidR="00993F09" w:rsidRPr="0036430E" w:rsidRDefault="00993F09" w:rsidP="00B369B5">
            <w:pPr>
              <w:pStyle w:val="ListParagraph"/>
              <w:numPr>
                <w:ilvl w:val="0"/>
                <w:numId w:val="23"/>
              </w:numPr>
              <w:rPr>
                <w:rFonts w:ascii="Times New Roman" w:eastAsia="Times New Roman" w:hAnsi="Times New Roman" w:cs="Times New Roman"/>
              </w:rPr>
            </w:pPr>
            <w:r w:rsidRPr="0036430E">
              <w:rPr>
                <w:rFonts w:ascii="Times New Roman" w:eastAsia="Times New Roman" w:hAnsi="Times New Roman" w:cs="Times New Roman"/>
              </w:rPr>
              <w:t xml:space="preserve">distributing; or </w:t>
            </w:r>
          </w:p>
          <w:p w14:paraId="121C0AE8" w14:textId="5B055030" w:rsidR="00993F09" w:rsidRPr="0036430E" w:rsidRDefault="00993F09" w:rsidP="00B369B5">
            <w:pPr>
              <w:pStyle w:val="ListParagraph"/>
              <w:numPr>
                <w:ilvl w:val="0"/>
                <w:numId w:val="23"/>
              </w:numPr>
              <w:rPr>
                <w:rFonts w:ascii="Times New Roman" w:eastAsia="Times New Roman" w:hAnsi="Times New Roman" w:cs="Times New Roman"/>
              </w:rPr>
            </w:pPr>
            <w:r w:rsidRPr="0036430E">
              <w:rPr>
                <w:rFonts w:ascii="Times New Roman" w:eastAsia="Times New Roman" w:hAnsi="Times New Roman" w:cs="Times New Roman"/>
              </w:rPr>
              <w:t xml:space="preserve">supplying; </w:t>
            </w:r>
          </w:p>
          <w:p w14:paraId="58DB29F1" w14:textId="75E21D39" w:rsidR="00993F09" w:rsidRPr="000266F5" w:rsidRDefault="00993F09" w:rsidP="00602DDE">
            <w:pPr>
              <w:rPr>
                <w:rFonts w:ascii="Times New Roman" w:eastAsia="Arial" w:hAnsi="Times New Roman" w:cs="Times New Roman"/>
              </w:rPr>
            </w:pPr>
            <w:r w:rsidRPr="009E5417">
              <w:rPr>
                <w:rFonts w:ascii="Times New Roman" w:eastAsia="Arial" w:hAnsi="Times New Roman" w:cs="Times New Roman"/>
              </w:rPr>
              <w:t>food or groceries on a commercial basis.</w:t>
            </w:r>
          </w:p>
        </w:tc>
        <w:tc>
          <w:tcPr>
            <w:tcW w:w="3470" w:type="dxa"/>
          </w:tcPr>
          <w:p w14:paraId="6AE4DD36" w14:textId="77777777" w:rsidR="00993F09" w:rsidRPr="000266F5" w:rsidRDefault="00993F09" w:rsidP="00602DDE">
            <w:pPr>
              <w:spacing w:after="200"/>
              <w:rPr>
                <w:rFonts w:ascii="Times New Roman" w:eastAsia="Arial" w:hAnsi="Times New Roman" w:cs="Times New Roman"/>
              </w:rPr>
            </w:pPr>
            <w:r w:rsidRPr="000266F5">
              <w:rPr>
                <w:rFonts w:ascii="Times New Roman" w:eastAsia="Arial" w:hAnsi="Times New Roman" w:cs="Times New Roman"/>
              </w:rPr>
              <w:t>Supermarkets, distribution centres.</w:t>
            </w:r>
          </w:p>
        </w:tc>
      </w:tr>
      <w:tr w:rsidR="00993F09" w:rsidRPr="000266F5" w14:paraId="76CBCEAB" w14:textId="77777777" w:rsidTr="00EE0D81">
        <w:tc>
          <w:tcPr>
            <w:tcW w:w="1583" w:type="dxa"/>
          </w:tcPr>
          <w:p w14:paraId="59DDF843" w14:textId="77777777" w:rsidR="00993F09" w:rsidRPr="000266F5" w:rsidRDefault="00993F09" w:rsidP="00602DDE">
            <w:pPr>
              <w:spacing w:after="200"/>
              <w:rPr>
                <w:rFonts w:ascii="Times New Roman" w:eastAsia="Arial" w:hAnsi="Times New Roman" w:cs="Times New Roman"/>
              </w:rPr>
            </w:pPr>
            <w:r w:rsidRPr="000266F5">
              <w:rPr>
                <w:rFonts w:ascii="Times New Roman" w:eastAsia="Arial" w:hAnsi="Times New Roman" w:cs="Times New Roman"/>
              </w:rPr>
              <w:t>Health</w:t>
            </w:r>
            <w:r>
              <w:rPr>
                <w:rFonts w:ascii="Times New Roman" w:eastAsia="Arial" w:hAnsi="Times New Roman" w:cs="Times New Roman"/>
              </w:rPr>
              <w:t xml:space="preserve"> care and medical</w:t>
            </w:r>
          </w:p>
        </w:tc>
        <w:tc>
          <w:tcPr>
            <w:tcW w:w="5438" w:type="dxa"/>
          </w:tcPr>
          <w:p w14:paraId="3389FBA8" w14:textId="7E880119" w:rsidR="00993F09" w:rsidRDefault="00993F09" w:rsidP="00602DDE">
            <w:pPr>
              <w:rPr>
                <w:rFonts w:ascii="Times New Roman" w:eastAsia="Arial" w:hAnsi="Times New Roman" w:cs="Times New Roman"/>
              </w:rPr>
            </w:pPr>
            <w:r>
              <w:rPr>
                <w:rFonts w:ascii="Times New Roman" w:eastAsia="Arial" w:hAnsi="Times New Roman" w:cs="Times New Roman"/>
              </w:rPr>
              <w:t>T</w:t>
            </w:r>
            <w:r w:rsidRPr="00BB3DD6">
              <w:rPr>
                <w:rFonts w:ascii="Times New Roman" w:eastAsia="Arial" w:hAnsi="Times New Roman" w:cs="Times New Roman"/>
              </w:rPr>
              <w:t xml:space="preserve">he sector of the Australian economy that involves: </w:t>
            </w:r>
          </w:p>
          <w:p w14:paraId="4F88234A" w14:textId="429F23C7" w:rsidR="00993F09" w:rsidRDefault="00993F09" w:rsidP="00602DDE">
            <w:pPr>
              <w:pStyle w:val="ListParagraph"/>
              <w:rPr>
                <w:rFonts w:ascii="Times New Roman" w:eastAsia="Times New Roman" w:hAnsi="Times New Roman" w:cs="Times New Roman"/>
              </w:rPr>
            </w:pPr>
            <w:r w:rsidRPr="0036430E">
              <w:rPr>
                <w:rFonts w:ascii="Times New Roman" w:eastAsia="Times New Roman" w:hAnsi="Times New Roman" w:cs="Times New Roman"/>
              </w:rPr>
              <w:t xml:space="preserve">(a) the provision of health care; or </w:t>
            </w:r>
          </w:p>
          <w:p w14:paraId="34BE9DC2" w14:textId="379EE421" w:rsidR="00993F09" w:rsidRPr="00EE0D81" w:rsidRDefault="00993F09" w:rsidP="00EE0D81">
            <w:pPr>
              <w:pStyle w:val="ListParagraph"/>
            </w:pPr>
            <w:r w:rsidRPr="0036430E">
              <w:rPr>
                <w:rFonts w:ascii="Times New Roman" w:eastAsia="Times New Roman" w:hAnsi="Times New Roman" w:cs="Times New Roman"/>
              </w:rPr>
              <w:t>(b) the production, distribution or supply of medical supplies.</w:t>
            </w:r>
          </w:p>
        </w:tc>
        <w:tc>
          <w:tcPr>
            <w:tcW w:w="3470" w:type="dxa"/>
          </w:tcPr>
          <w:p w14:paraId="0FB6E715" w14:textId="77777777" w:rsidR="00993F09" w:rsidRPr="000266F5" w:rsidRDefault="00993F09" w:rsidP="00602DDE">
            <w:pPr>
              <w:spacing w:after="200"/>
              <w:rPr>
                <w:rFonts w:ascii="Times New Roman" w:eastAsia="Arial" w:hAnsi="Times New Roman" w:cs="Times New Roman"/>
              </w:rPr>
            </w:pPr>
            <w:r w:rsidRPr="000266F5">
              <w:rPr>
                <w:rFonts w:ascii="Times New Roman" w:eastAsia="Arial" w:hAnsi="Times New Roman" w:cs="Times New Roman"/>
              </w:rPr>
              <w:t>Hospitals.</w:t>
            </w:r>
          </w:p>
        </w:tc>
      </w:tr>
      <w:tr w:rsidR="00993F09" w:rsidRPr="000266F5" w14:paraId="1FE5B9EA" w14:textId="77777777" w:rsidTr="00EE0D81">
        <w:tc>
          <w:tcPr>
            <w:tcW w:w="1583" w:type="dxa"/>
          </w:tcPr>
          <w:p w14:paraId="03C45F40" w14:textId="77777777" w:rsidR="00993F09" w:rsidRPr="000266F5" w:rsidRDefault="00993F09" w:rsidP="00602DDE">
            <w:pPr>
              <w:spacing w:after="200"/>
              <w:rPr>
                <w:rFonts w:ascii="Times New Roman" w:eastAsia="Arial" w:hAnsi="Times New Roman" w:cs="Times New Roman"/>
              </w:rPr>
            </w:pPr>
            <w:r w:rsidRPr="000266F5">
              <w:rPr>
                <w:rFonts w:ascii="Times New Roman" w:eastAsia="Arial" w:hAnsi="Times New Roman" w:cs="Times New Roman"/>
              </w:rPr>
              <w:lastRenderedPageBreak/>
              <w:t>Space</w:t>
            </w:r>
            <w:r>
              <w:rPr>
                <w:rFonts w:ascii="Times New Roman" w:eastAsia="Arial" w:hAnsi="Times New Roman" w:cs="Times New Roman"/>
              </w:rPr>
              <w:t xml:space="preserve"> technology </w:t>
            </w:r>
          </w:p>
        </w:tc>
        <w:tc>
          <w:tcPr>
            <w:tcW w:w="5438" w:type="dxa"/>
          </w:tcPr>
          <w:p w14:paraId="1F86C7BC" w14:textId="6DDFC1F7" w:rsidR="00993F09" w:rsidRDefault="00993F09" w:rsidP="00602DDE">
            <w:pPr>
              <w:contextualSpacing/>
              <w:rPr>
                <w:rFonts w:ascii="Times New Roman" w:eastAsia="Times New Roman" w:hAnsi="Times New Roman" w:cs="Times New Roman"/>
                <w:szCs w:val="20"/>
              </w:rPr>
            </w:pPr>
            <w:r>
              <w:rPr>
                <w:rFonts w:ascii="Times New Roman" w:eastAsia="Times New Roman" w:hAnsi="Times New Roman" w:cs="Times New Roman"/>
                <w:szCs w:val="20"/>
              </w:rPr>
              <w:t xml:space="preserve">The sector of the Australian </w:t>
            </w:r>
            <w:r w:rsidRPr="00AA204C">
              <w:rPr>
                <w:rFonts w:ascii="Times New Roman" w:eastAsia="Times New Roman" w:hAnsi="Times New Roman" w:cs="Times New Roman"/>
                <w:szCs w:val="20"/>
              </w:rPr>
              <w:t>economy that involves the commerci</w:t>
            </w:r>
            <w:r>
              <w:rPr>
                <w:rFonts w:ascii="Times New Roman" w:eastAsia="Times New Roman" w:hAnsi="Times New Roman" w:cs="Times New Roman"/>
                <w:szCs w:val="20"/>
              </w:rPr>
              <w:t>al provision of space-related</w:t>
            </w:r>
            <w:r w:rsidRPr="00AA204C">
              <w:rPr>
                <w:rFonts w:ascii="Times New Roman" w:eastAsia="Times New Roman" w:hAnsi="Times New Roman" w:cs="Times New Roman"/>
                <w:szCs w:val="20"/>
              </w:rPr>
              <w:t xml:space="preserve"> services.</w:t>
            </w:r>
          </w:p>
          <w:p w14:paraId="10A93497" w14:textId="77777777" w:rsidR="00993F09" w:rsidRDefault="00993F09" w:rsidP="00602DDE">
            <w:pPr>
              <w:contextualSpacing/>
              <w:rPr>
                <w:rFonts w:ascii="Times New Roman" w:eastAsia="Times New Roman" w:hAnsi="Times New Roman" w:cs="Times New Roman"/>
                <w:szCs w:val="20"/>
              </w:rPr>
            </w:pPr>
          </w:p>
          <w:p w14:paraId="46534EA9" w14:textId="77777777" w:rsidR="00993F09" w:rsidRPr="00882684" w:rsidRDefault="00993F09" w:rsidP="00602DDE">
            <w:pPr>
              <w:contextualSpacing/>
              <w:rPr>
                <w:rFonts w:ascii="Times New Roman" w:eastAsia="Times New Roman" w:hAnsi="Times New Roman" w:cs="Times New Roman"/>
                <w:sz w:val="18"/>
                <w:szCs w:val="18"/>
              </w:rPr>
            </w:pPr>
            <w:r w:rsidRPr="00882684">
              <w:rPr>
                <w:rFonts w:ascii="Times New Roman" w:eastAsia="Times New Roman" w:hAnsi="Times New Roman" w:cs="Times New Roman"/>
                <w:sz w:val="18"/>
                <w:szCs w:val="18"/>
                <w:u w:val="single"/>
              </w:rPr>
              <w:t>Note</w:t>
            </w:r>
            <w:r w:rsidRPr="00882684">
              <w:rPr>
                <w:rFonts w:ascii="Times New Roman" w:eastAsia="Times New Roman" w:hAnsi="Times New Roman" w:cs="Times New Roman"/>
                <w:sz w:val="18"/>
                <w:szCs w:val="18"/>
              </w:rPr>
              <w:t xml:space="preserve">: The following are examples of space-related services: </w:t>
            </w:r>
          </w:p>
          <w:p w14:paraId="04FD8004" w14:textId="77777777" w:rsidR="00993F09" w:rsidRPr="00882684" w:rsidRDefault="00993F09" w:rsidP="00602DDE">
            <w:pPr>
              <w:pStyle w:val="ListParagraph"/>
              <w:rPr>
                <w:rFonts w:ascii="Times New Roman" w:eastAsia="Times New Roman" w:hAnsi="Times New Roman" w:cs="Times New Roman"/>
                <w:sz w:val="18"/>
                <w:szCs w:val="18"/>
              </w:rPr>
            </w:pPr>
            <w:r w:rsidRPr="00882684">
              <w:rPr>
                <w:rFonts w:ascii="Times New Roman" w:eastAsia="Times New Roman" w:hAnsi="Times New Roman" w:cs="Times New Roman"/>
                <w:sz w:val="18"/>
                <w:szCs w:val="18"/>
              </w:rPr>
              <w:t>(a) position, navigation and timing services in relation to space objects;</w:t>
            </w:r>
          </w:p>
          <w:p w14:paraId="0C24CC09" w14:textId="77777777" w:rsidR="00993F09" w:rsidRPr="00882684" w:rsidRDefault="00993F09" w:rsidP="00602DDE">
            <w:pPr>
              <w:pStyle w:val="ListParagraph"/>
              <w:rPr>
                <w:rFonts w:ascii="Times New Roman" w:eastAsia="Times New Roman" w:hAnsi="Times New Roman" w:cs="Times New Roman"/>
                <w:sz w:val="18"/>
                <w:szCs w:val="18"/>
              </w:rPr>
            </w:pPr>
            <w:r w:rsidRPr="00882684">
              <w:rPr>
                <w:rFonts w:ascii="Times New Roman" w:eastAsia="Times New Roman" w:hAnsi="Times New Roman" w:cs="Times New Roman"/>
                <w:sz w:val="18"/>
                <w:szCs w:val="18"/>
              </w:rPr>
              <w:t xml:space="preserve">(b) space situational awareness services; </w:t>
            </w:r>
          </w:p>
          <w:p w14:paraId="7AB419AE" w14:textId="3C211AB7" w:rsidR="00993F09" w:rsidRPr="00EE0D81" w:rsidRDefault="00993F09" w:rsidP="00EE0D81">
            <w:pPr>
              <w:pStyle w:val="ListParagraph"/>
              <w:rPr>
                <w:rFonts w:ascii="Times New Roman" w:hAnsi="Times New Roman"/>
                <w:sz w:val="18"/>
              </w:rPr>
            </w:pPr>
            <w:r w:rsidRPr="00882684">
              <w:rPr>
                <w:rFonts w:ascii="Times New Roman" w:eastAsia="Times New Roman" w:hAnsi="Times New Roman" w:cs="Times New Roman"/>
                <w:sz w:val="18"/>
                <w:szCs w:val="18"/>
              </w:rPr>
              <w:t>(c) space</w:t>
            </w:r>
            <w:r w:rsidRPr="00EE0D81">
              <w:rPr>
                <w:rFonts w:ascii="Times New Roman" w:hAnsi="Times New Roman"/>
                <w:sz w:val="18"/>
              </w:rPr>
              <w:t xml:space="preserve"> weather monitoring </w:t>
            </w:r>
            <w:r w:rsidRPr="00882684">
              <w:rPr>
                <w:rFonts w:ascii="Times New Roman" w:eastAsia="Times New Roman" w:hAnsi="Times New Roman" w:cs="Times New Roman"/>
                <w:sz w:val="18"/>
                <w:szCs w:val="18"/>
              </w:rPr>
              <w:t>and forecasting;</w:t>
            </w:r>
          </w:p>
          <w:p w14:paraId="6A4A330D" w14:textId="7DA48699" w:rsidR="00993F09" w:rsidRPr="00EE0D81" w:rsidRDefault="00993F09" w:rsidP="00EE0D81">
            <w:pPr>
              <w:pStyle w:val="ListParagraph"/>
              <w:rPr>
                <w:rFonts w:ascii="Times New Roman" w:hAnsi="Times New Roman"/>
                <w:sz w:val="18"/>
              </w:rPr>
            </w:pPr>
            <w:r w:rsidRPr="00882684">
              <w:rPr>
                <w:rFonts w:ascii="Times New Roman" w:eastAsia="Times New Roman" w:hAnsi="Times New Roman" w:cs="Times New Roman"/>
                <w:sz w:val="18"/>
                <w:szCs w:val="18"/>
              </w:rPr>
              <w:t>(d) communications, tracking, telemetry and control</w:t>
            </w:r>
            <w:r w:rsidRPr="00EE0D81">
              <w:rPr>
                <w:rFonts w:ascii="Times New Roman" w:hAnsi="Times New Roman"/>
                <w:sz w:val="18"/>
              </w:rPr>
              <w:t xml:space="preserve"> in relation to space objects</w:t>
            </w:r>
            <w:r w:rsidRPr="00882684">
              <w:rPr>
                <w:rFonts w:ascii="Times New Roman" w:eastAsia="Times New Roman" w:hAnsi="Times New Roman" w:cs="Times New Roman"/>
                <w:sz w:val="18"/>
                <w:szCs w:val="18"/>
              </w:rPr>
              <w:t>;</w:t>
            </w:r>
          </w:p>
          <w:p w14:paraId="3B9569E4" w14:textId="77777777" w:rsidR="00993F09" w:rsidRPr="00882684" w:rsidRDefault="00993F09" w:rsidP="00602DDE">
            <w:pPr>
              <w:pStyle w:val="ListParagraph"/>
              <w:rPr>
                <w:rFonts w:ascii="Times New Roman" w:eastAsia="Times New Roman" w:hAnsi="Times New Roman" w:cs="Times New Roman"/>
                <w:sz w:val="18"/>
                <w:szCs w:val="18"/>
              </w:rPr>
            </w:pPr>
            <w:r w:rsidRPr="00882684">
              <w:rPr>
                <w:rFonts w:ascii="Times New Roman" w:eastAsia="Times New Roman" w:hAnsi="Times New Roman" w:cs="Times New Roman"/>
                <w:sz w:val="18"/>
                <w:szCs w:val="18"/>
              </w:rPr>
              <w:t xml:space="preserve">(e) remote sensing earth observations from space; </w:t>
            </w:r>
          </w:p>
          <w:p w14:paraId="6E0C2671" w14:textId="77777777" w:rsidR="00993F09" w:rsidRPr="00327B73" w:rsidRDefault="00993F09" w:rsidP="00EE0D81">
            <w:pPr>
              <w:pStyle w:val="ListParagraph"/>
              <w:rPr>
                <w:rFonts w:ascii="Times New Roman" w:eastAsia="Times New Roman" w:hAnsi="Times New Roman" w:cs="Times New Roman"/>
              </w:rPr>
            </w:pPr>
            <w:r w:rsidRPr="00882684">
              <w:rPr>
                <w:rFonts w:ascii="Times New Roman" w:eastAsia="Times New Roman" w:hAnsi="Times New Roman" w:cs="Times New Roman"/>
                <w:sz w:val="18"/>
                <w:szCs w:val="18"/>
              </w:rPr>
              <w:t>(f) facilitating access to space.</w:t>
            </w:r>
          </w:p>
        </w:tc>
        <w:tc>
          <w:tcPr>
            <w:tcW w:w="3470" w:type="dxa"/>
          </w:tcPr>
          <w:p w14:paraId="632BBC5A" w14:textId="77777777" w:rsidR="00993F09" w:rsidRPr="000266F5" w:rsidRDefault="00993F09" w:rsidP="00602DDE">
            <w:pPr>
              <w:spacing w:after="200"/>
              <w:rPr>
                <w:rFonts w:ascii="Times New Roman" w:eastAsia="Arial" w:hAnsi="Times New Roman" w:cs="Times New Roman"/>
              </w:rPr>
            </w:pPr>
            <w:r w:rsidRPr="000266F5">
              <w:rPr>
                <w:rFonts w:ascii="Times New Roman" w:eastAsia="Arial" w:hAnsi="Times New Roman" w:cs="Times New Roman"/>
              </w:rPr>
              <w:t>Ground stations, control centres.</w:t>
            </w:r>
          </w:p>
        </w:tc>
      </w:tr>
      <w:tr w:rsidR="00993F09" w:rsidRPr="000266F5" w14:paraId="7BC667D0" w14:textId="77777777" w:rsidTr="00EE0D81">
        <w:tc>
          <w:tcPr>
            <w:tcW w:w="1583" w:type="dxa"/>
          </w:tcPr>
          <w:p w14:paraId="4B1A0B17" w14:textId="77777777" w:rsidR="00993F09" w:rsidRPr="000266F5" w:rsidRDefault="00993F09" w:rsidP="00602DDE">
            <w:pPr>
              <w:spacing w:after="200"/>
              <w:rPr>
                <w:rFonts w:ascii="Times New Roman" w:eastAsia="Arial" w:hAnsi="Times New Roman" w:cs="Times New Roman"/>
              </w:rPr>
            </w:pPr>
            <w:r w:rsidRPr="000266F5">
              <w:rPr>
                <w:rFonts w:ascii="Times New Roman" w:eastAsia="Arial" w:hAnsi="Times New Roman" w:cs="Times New Roman"/>
              </w:rPr>
              <w:t>Transport</w:t>
            </w:r>
          </w:p>
        </w:tc>
        <w:tc>
          <w:tcPr>
            <w:tcW w:w="5438" w:type="dxa"/>
          </w:tcPr>
          <w:p w14:paraId="41285D54" w14:textId="6D88E1AB" w:rsidR="00993F09" w:rsidRDefault="00993F09" w:rsidP="00602DDE">
            <w:pPr>
              <w:rPr>
                <w:rFonts w:ascii="Times New Roman" w:eastAsia="Arial" w:hAnsi="Times New Roman" w:cs="Times New Roman"/>
              </w:rPr>
            </w:pPr>
            <w:r>
              <w:rPr>
                <w:rFonts w:ascii="Times New Roman" w:eastAsia="Arial" w:hAnsi="Times New Roman" w:cs="Times New Roman"/>
              </w:rPr>
              <w:t>T</w:t>
            </w:r>
            <w:r w:rsidRPr="00AF60CF">
              <w:rPr>
                <w:rFonts w:ascii="Times New Roman" w:eastAsia="Arial" w:hAnsi="Times New Roman" w:cs="Times New Roman"/>
              </w:rPr>
              <w:t>he sector of the Australian economy that involves:</w:t>
            </w:r>
          </w:p>
          <w:p w14:paraId="44912F8A" w14:textId="20C7B2DD" w:rsidR="00993F09" w:rsidRDefault="00993F09" w:rsidP="00602DDE">
            <w:pPr>
              <w:pStyle w:val="ListParagraph"/>
              <w:rPr>
                <w:rFonts w:ascii="Times New Roman" w:eastAsia="Times New Roman" w:hAnsi="Times New Roman" w:cs="Times New Roman"/>
              </w:rPr>
            </w:pPr>
            <w:r w:rsidRPr="0036430E">
              <w:rPr>
                <w:rFonts w:ascii="Times New Roman" w:eastAsia="Times New Roman" w:hAnsi="Times New Roman" w:cs="Times New Roman"/>
              </w:rPr>
              <w:t>(a) owning or operating assets th</w:t>
            </w:r>
            <w:r>
              <w:rPr>
                <w:rFonts w:ascii="Times New Roman" w:eastAsia="Times New Roman" w:hAnsi="Times New Roman" w:cs="Times New Roman"/>
              </w:rPr>
              <w:t>at are used in connection with</w:t>
            </w:r>
            <w:r w:rsidRPr="0036430E">
              <w:rPr>
                <w:rFonts w:ascii="Times New Roman" w:eastAsia="Times New Roman" w:hAnsi="Times New Roman" w:cs="Times New Roman"/>
              </w:rPr>
              <w:t xml:space="preserve"> the transport of goods or passengers on a commercial basis; or </w:t>
            </w:r>
          </w:p>
          <w:p w14:paraId="10D99AAD" w14:textId="77777777" w:rsidR="00993F09" w:rsidRPr="00327B73" w:rsidRDefault="00993F09" w:rsidP="00EE0D81">
            <w:pPr>
              <w:pStyle w:val="ListParagraph"/>
              <w:rPr>
                <w:rFonts w:ascii="Times New Roman" w:eastAsia="Times New Roman" w:hAnsi="Times New Roman" w:cs="Times New Roman"/>
              </w:rPr>
            </w:pPr>
            <w:r w:rsidRPr="0036430E">
              <w:rPr>
                <w:rFonts w:ascii="Times New Roman" w:eastAsia="Times New Roman" w:hAnsi="Times New Roman" w:cs="Times New Roman"/>
              </w:rPr>
              <w:t>(b) the transport of goods or passengers on a commercial basis.</w:t>
            </w:r>
          </w:p>
        </w:tc>
        <w:tc>
          <w:tcPr>
            <w:tcW w:w="3470" w:type="dxa"/>
          </w:tcPr>
          <w:p w14:paraId="070F94A6" w14:textId="77777777" w:rsidR="00993F09" w:rsidRPr="000266F5" w:rsidRDefault="00993F09" w:rsidP="00602DDE">
            <w:pPr>
              <w:spacing w:after="200"/>
              <w:rPr>
                <w:rFonts w:ascii="Times New Roman" w:eastAsia="Arial" w:hAnsi="Times New Roman" w:cs="Times New Roman"/>
              </w:rPr>
            </w:pPr>
            <w:r w:rsidRPr="000266F5">
              <w:rPr>
                <w:rFonts w:ascii="Times New Roman" w:eastAsia="Arial" w:hAnsi="Times New Roman" w:cs="Times New Roman"/>
              </w:rPr>
              <w:t>Public transport companies, freight logistic companies</w:t>
            </w:r>
            <w:r>
              <w:rPr>
                <w:rFonts w:ascii="Times New Roman" w:eastAsia="Arial" w:hAnsi="Times New Roman" w:cs="Times New Roman"/>
              </w:rPr>
              <w:t>, aviation and maritime entities.</w:t>
            </w:r>
          </w:p>
        </w:tc>
      </w:tr>
      <w:tr w:rsidR="00993F09" w:rsidRPr="000266F5" w14:paraId="220779F2" w14:textId="77777777" w:rsidTr="00EE0D81">
        <w:trPr>
          <w:trHeight w:val="454"/>
        </w:trPr>
        <w:tc>
          <w:tcPr>
            <w:tcW w:w="1583" w:type="dxa"/>
          </w:tcPr>
          <w:p w14:paraId="058989A8" w14:textId="77777777" w:rsidR="00993F09" w:rsidRPr="000266F5" w:rsidRDefault="00993F09" w:rsidP="00602DDE">
            <w:pPr>
              <w:spacing w:after="200"/>
              <w:rPr>
                <w:rFonts w:ascii="Times New Roman" w:eastAsia="Arial" w:hAnsi="Times New Roman" w:cs="Times New Roman"/>
              </w:rPr>
            </w:pPr>
            <w:r w:rsidRPr="000266F5">
              <w:rPr>
                <w:rFonts w:ascii="Times New Roman" w:eastAsia="Arial" w:hAnsi="Times New Roman" w:cs="Times New Roman"/>
              </w:rPr>
              <w:t>Water</w:t>
            </w:r>
            <w:r>
              <w:rPr>
                <w:rFonts w:ascii="Times New Roman" w:eastAsia="Arial" w:hAnsi="Times New Roman" w:cs="Times New Roman"/>
              </w:rPr>
              <w:t xml:space="preserve"> and sewerage</w:t>
            </w:r>
          </w:p>
        </w:tc>
        <w:tc>
          <w:tcPr>
            <w:tcW w:w="5438" w:type="dxa"/>
          </w:tcPr>
          <w:p w14:paraId="0872A583" w14:textId="1E78335C" w:rsidR="00993F09" w:rsidRPr="000266F5" w:rsidRDefault="00993F09" w:rsidP="00602DDE">
            <w:pPr>
              <w:rPr>
                <w:rFonts w:ascii="Times New Roman" w:eastAsia="Arial" w:hAnsi="Times New Roman" w:cs="Times New Roman"/>
              </w:rPr>
            </w:pPr>
            <w:r>
              <w:rPr>
                <w:rFonts w:ascii="Times New Roman" w:eastAsia="Arial" w:hAnsi="Times New Roman" w:cs="Times New Roman"/>
              </w:rPr>
              <w:t xml:space="preserve">The sector of the Australian </w:t>
            </w:r>
            <w:r w:rsidRPr="00AF60CF">
              <w:rPr>
                <w:rFonts w:ascii="Times New Roman" w:eastAsia="Arial" w:hAnsi="Times New Roman" w:cs="Times New Roman"/>
              </w:rPr>
              <w:t xml:space="preserve">economy that involves operating </w:t>
            </w:r>
            <w:r>
              <w:rPr>
                <w:rFonts w:ascii="Times New Roman" w:eastAsia="Arial" w:hAnsi="Times New Roman" w:cs="Times New Roman"/>
              </w:rPr>
              <w:t xml:space="preserve">water or sewerage systems or </w:t>
            </w:r>
            <w:r w:rsidRPr="00AF60CF">
              <w:rPr>
                <w:rFonts w:ascii="Times New Roman" w:eastAsia="Arial" w:hAnsi="Times New Roman" w:cs="Times New Roman"/>
              </w:rPr>
              <w:t>networks.</w:t>
            </w:r>
          </w:p>
        </w:tc>
        <w:tc>
          <w:tcPr>
            <w:tcW w:w="3470" w:type="dxa"/>
          </w:tcPr>
          <w:p w14:paraId="31443DE6" w14:textId="77777777" w:rsidR="00993F09" w:rsidRPr="000266F5" w:rsidRDefault="00993F09" w:rsidP="00602DDE">
            <w:pPr>
              <w:spacing w:after="200"/>
              <w:rPr>
                <w:rFonts w:ascii="Times New Roman" w:eastAsia="Arial" w:hAnsi="Times New Roman" w:cs="Times New Roman"/>
              </w:rPr>
            </w:pPr>
            <w:r w:rsidRPr="000266F5">
              <w:rPr>
                <w:rFonts w:ascii="Times New Roman" w:eastAsia="Arial" w:hAnsi="Times New Roman" w:cs="Times New Roman"/>
              </w:rPr>
              <w:t>Water utilities, desalination plants.</w:t>
            </w:r>
          </w:p>
        </w:tc>
      </w:tr>
    </w:tbl>
    <w:p w14:paraId="13DE0724" w14:textId="216FBE37" w:rsidR="00993F09" w:rsidRPr="001A7788" w:rsidRDefault="00993F09" w:rsidP="00993F09">
      <w:pPr>
        <w:spacing w:before="240" w:after="200" w:line="240" w:lineRule="auto"/>
        <w:rPr>
          <w:rFonts w:ascii="Times New Roman" w:eastAsia="Arial" w:hAnsi="Times New Roman" w:cs="Times New Roman"/>
        </w:rPr>
      </w:pPr>
      <w:r w:rsidRPr="001A7788">
        <w:rPr>
          <w:rFonts w:ascii="Times New Roman" w:eastAsia="Arial" w:hAnsi="Times New Roman" w:cs="Times New Roman"/>
        </w:rPr>
        <w:t xml:space="preserve">These </w:t>
      </w:r>
      <w:r>
        <w:rPr>
          <w:rFonts w:ascii="Times New Roman" w:eastAsia="Arial" w:hAnsi="Times New Roman" w:cs="Times New Roman"/>
        </w:rPr>
        <w:t xml:space="preserve">definitions were designed </w:t>
      </w:r>
      <w:r w:rsidR="00AF57D9">
        <w:rPr>
          <w:rFonts w:ascii="Times New Roman" w:eastAsia="Arial" w:hAnsi="Times New Roman" w:cs="Times New Roman"/>
        </w:rPr>
        <w:t>through</w:t>
      </w:r>
      <w:r>
        <w:rPr>
          <w:rFonts w:ascii="Times New Roman" w:eastAsia="Arial" w:hAnsi="Times New Roman" w:cs="Times New Roman"/>
        </w:rPr>
        <w:t xml:space="preserve"> close consultation within industry</w:t>
      </w:r>
      <w:r w:rsidR="00AF57D9">
        <w:rPr>
          <w:rFonts w:ascii="Times New Roman" w:eastAsia="Arial" w:hAnsi="Times New Roman" w:cs="Times New Roman"/>
        </w:rPr>
        <w:t xml:space="preserve">, as outlined in detail in </w:t>
      </w:r>
      <w:r>
        <w:rPr>
          <w:rFonts w:ascii="Times New Roman" w:eastAsia="Arial" w:hAnsi="Times New Roman" w:cs="Times New Roman"/>
        </w:rPr>
        <w:t>section 5.</w:t>
      </w:r>
    </w:p>
    <w:p w14:paraId="47C4BBD5" w14:textId="77777777" w:rsidR="00993F09" w:rsidRPr="000266F5" w:rsidRDefault="00993F09" w:rsidP="00B369B5">
      <w:pPr>
        <w:pStyle w:val="ListParagraph"/>
        <w:numPr>
          <w:ilvl w:val="1"/>
          <w:numId w:val="12"/>
        </w:numPr>
        <w:tabs>
          <w:tab w:val="num" w:pos="340"/>
        </w:tabs>
        <w:spacing w:after="200" w:line="240" w:lineRule="auto"/>
        <w:rPr>
          <w:rFonts w:ascii="Times New Roman" w:eastAsia="Arial" w:hAnsi="Times New Roman" w:cs="Times New Roman"/>
          <w:b/>
          <w:bCs/>
        </w:rPr>
      </w:pPr>
      <w:r w:rsidRPr="000266F5">
        <w:rPr>
          <w:rFonts w:ascii="Times New Roman" w:eastAsia="Arial" w:hAnsi="Times New Roman" w:cs="Times New Roman"/>
          <w:b/>
          <w:bCs/>
        </w:rPr>
        <w:t>Why is critical infrastructure important?</w:t>
      </w:r>
    </w:p>
    <w:p w14:paraId="6166A65B" w14:textId="77777777" w:rsidR="00993F09" w:rsidRPr="000266F5" w:rsidRDefault="00993F09" w:rsidP="00993F09">
      <w:pPr>
        <w:spacing w:after="200" w:line="240" w:lineRule="auto"/>
        <w:rPr>
          <w:rFonts w:ascii="Times New Roman" w:eastAsia="Arial" w:hAnsi="Times New Roman" w:cs="Times New Roman"/>
          <w:b/>
          <w:bCs/>
        </w:rPr>
      </w:pPr>
      <w:r w:rsidRPr="000266F5">
        <w:rPr>
          <w:rFonts w:ascii="Times New Roman" w:eastAsia="Arial" w:hAnsi="Times New Roman" w:cs="Times New Roman"/>
        </w:rPr>
        <w:t xml:space="preserve">The above sectors are critical to the functioning and prosperity of Australia’s social and economic stability, defence and national security. If any of these sectors or key assets within these sectors, are destroyed, degraded or rendered unavailable for an extended period, it would significantly impact the social and economic wellbeing of the nation or affect Australia's ability to conduct national defence and ensure national security. </w:t>
      </w:r>
    </w:p>
    <w:p w14:paraId="3A08D1F1" w14:textId="77777777" w:rsidR="00993F09" w:rsidRPr="000266F5" w:rsidRDefault="00993F09" w:rsidP="00993F09">
      <w:pPr>
        <w:spacing w:before="120"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Due to the increasingly connected nature of critical infrastructure, the impacts of compromises to critical infrastructure can spread rapidly across the economy with immediate and cascading consequences. For example, the consequences of a prolonged and widespread failure in the energy sector (through threats such as a cyber incident, weather events, or unlawful interference) could be catastrophic, causing: </w:t>
      </w:r>
    </w:p>
    <w:p w14:paraId="7F6ADF11" w14:textId="77777777" w:rsidR="00993F09" w:rsidRPr="000266F5" w:rsidRDefault="00993F09" w:rsidP="00993F09">
      <w:pPr>
        <w:numPr>
          <w:ilvl w:val="0"/>
          <w:numId w:val="4"/>
        </w:numPr>
        <w:tabs>
          <w:tab w:val="left" w:pos="426"/>
        </w:tabs>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shortages or destruction of essential medical supplies that need refrigeration;</w:t>
      </w:r>
    </w:p>
    <w:p w14:paraId="41FC8B2F" w14:textId="77777777" w:rsidR="00993F09" w:rsidRPr="000266F5" w:rsidRDefault="00993F09" w:rsidP="00993F09">
      <w:pPr>
        <w:numPr>
          <w:ilvl w:val="0"/>
          <w:numId w:val="4"/>
        </w:numPr>
        <w:tabs>
          <w:tab w:val="left" w:pos="426"/>
        </w:tabs>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instability in the supply of food and groceries; </w:t>
      </w:r>
    </w:p>
    <w:p w14:paraId="1074553B" w14:textId="77777777" w:rsidR="00993F09" w:rsidRPr="000266F5" w:rsidRDefault="00993F09" w:rsidP="00993F09">
      <w:pPr>
        <w:numPr>
          <w:ilvl w:val="0"/>
          <w:numId w:val="4"/>
        </w:numPr>
        <w:tabs>
          <w:tab w:val="left" w:pos="426"/>
        </w:tabs>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impacts to water supply and sanitation;</w:t>
      </w:r>
    </w:p>
    <w:p w14:paraId="59F67307" w14:textId="77777777" w:rsidR="00993F09" w:rsidRPr="000266F5" w:rsidRDefault="00993F09" w:rsidP="00993F09">
      <w:pPr>
        <w:numPr>
          <w:ilvl w:val="0"/>
          <w:numId w:val="4"/>
        </w:numPr>
        <w:tabs>
          <w:tab w:val="left" w:pos="426"/>
        </w:tabs>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impacts to telecommunications networks that are dependent on electricity;</w:t>
      </w:r>
    </w:p>
    <w:p w14:paraId="5EA7AF07" w14:textId="77777777" w:rsidR="00993F09" w:rsidRPr="000266F5" w:rsidRDefault="00993F09" w:rsidP="00993F09">
      <w:pPr>
        <w:numPr>
          <w:ilvl w:val="0"/>
          <w:numId w:val="4"/>
        </w:numPr>
        <w:tabs>
          <w:tab w:val="left" w:pos="426"/>
        </w:tabs>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disruptions to transport, traffic management systems and fuel;</w:t>
      </w:r>
    </w:p>
    <w:p w14:paraId="61F2976D" w14:textId="77777777" w:rsidR="00993F09" w:rsidRPr="000266F5" w:rsidRDefault="00993F09" w:rsidP="00993F09">
      <w:pPr>
        <w:numPr>
          <w:ilvl w:val="0"/>
          <w:numId w:val="4"/>
        </w:numPr>
        <w:tabs>
          <w:tab w:val="left" w:pos="426"/>
        </w:tabs>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reduced services or shutdown of the banking, finance and retail sectors; and </w:t>
      </w:r>
    </w:p>
    <w:p w14:paraId="32A8226A" w14:textId="77777777" w:rsidR="00993F09" w:rsidRDefault="00993F09" w:rsidP="00993F09">
      <w:pPr>
        <w:numPr>
          <w:ilvl w:val="0"/>
          <w:numId w:val="4"/>
        </w:numPr>
        <w:tabs>
          <w:tab w:val="left" w:pos="426"/>
        </w:tabs>
        <w:spacing w:after="24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inability for businesses and governments to function. </w:t>
      </w:r>
    </w:p>
    <w:p w14:paraId="7D0DCBD2" w14:textId="77777777" w:rsidR="00993F09" w:rsidRPr="000266F5" w:rsidRDefault="00993F09" w:rsidP="00B369B5">
      <w:pPr>
        <w:pStyle w:val="ListParagraph"/>
        <w:numPr>
          <w:ilvl w:val="1"/>
          <w:numId w:val="12"/>
        </w:numPr>
        <w:tabs>
          <w:tab w:val="num" w:pos="340"/>
        </w:tabs>
        <w:spacing w:after="200" w:line="240" w:lineRule="auto"/>
        <w:rPr>
          <w:rFonts w:ascii="Times New Roman" w:eastAsia="Arial" w:hAnsi="Times New Roman" w:cs="Times New Roman"/>
          <w:b/>
          <w:bCs/>
        </w:rPr>
      </w:pPr>
      <w:r w:rsidRPr="000266F5">
        <w:rPr>
          <w:rFonts w:ascii="Times New Roman" w:eastAsia="Arial" w:hAnsi="Times New Roman" w:cs="Times New Roman"/>
          <w:b/>
          <w:bCs/>
        </w:rPr>
        <w:t>What are the risks to critical infrastructure?</w:t>
      </w:r>
    </w:p>
    <w:p w14:paraId="155130C0" w14:textId="77777777" w:rsidR="00993F09" w:rsidRPr="000266F5" w:rsidRDefault="00993F09" w:rsidP="00993F09">
      <w:pPr>
        <w:tabs>
          <w:tab w:val="left" w:pos="426"/>
        </w:tabs>
        <w:spacing w:before="240"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The primary objective of the reforms is to increase the resilience of Australia’s critical infrastructure from all hazards. All hazard threats include both natural threats (including meteorological or weather events) and man-made threats (including unlawful interference, cyber incident, espionage, chemical or oil spills, trusted insiders) that have the potential to significantly disrupt critical infrastructure. Australia’s social and economic stability, defence and national security are underpinned by secure and resilient critical infrastructure. Government, industry and the Australian public will have greater confidence in the resilience of Australia’s critical infrastructure providers through a clear uplift in all-hazards risk management and contingency planning. </w:t>
      </w:r>
    </w:p>
    <w:p w14:paraId="66C7FA28" w14:textId="77777777" w:rsidR="00993F09" w:rsidRPr="000266F5" w:rsidRDefault="00993F09" w:rsidP="00993F09">
      <w:pPr>
        <w:tabs>
          <w:tab w:val="left" w:pos="426"/>
        </w:tabs>
        <w:spacing w:before="240"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lastRenderedPageBreak/>
        <w:t>All hazard threats can be realised through inadequate protections within four key risk domains:</w:t>
      </w:r>
    </w:p>
    <w:p w14:paraId="20D4CA84" w14:textId="77777777" w:rsidR="00993F09" w:rsidRPr="000266F5" w:rsidRDefault="00993F09" w:rsidP="00993F09">
      <w:pPr>
        <w:numPr>
          <w:ilvl w:val="0"/>
          <w:numId w:val="4"/>
        </w:numPr>
        <w:tabs>
          <w:tab w:val="left" w:pos="426"/>
        </w:tabs>
        <w:spacing w:after="0" w:line="240" w:lineRule="auto"/>
        <w:rPr>
          <w:rFonts w:ascii="Times New Roman" w:eastAsia="Arial" w:hAnsi="Times New Roman" w:cs="Times New Roman"/>
          <w:color w:val="000000"/>
        </w:rPr>
      </w:pPr>
      <w:r w:rsidRPr="000266F5">
        <w:rPr>
          <w:rFonts w:ascii="Times New Roman" w:eastAsia="Arial" w:hAnsi="Times New Roman" w:cs="Times New Roman"/>
          <w:b/>
          <w:color w:val="000000"/>
        </w:rPr>
        <w:t>Physical</w:t>
      </w:r>
      <w:r w:rsidRPr="000266F5">
        <w:rPr>
          <w:rFonts w:ascii="Times New Roman" w:eastAsia="Arial" w:hAnsi="Times New Roman" w:cs="Times New Roman"/>
          <w:color w:val="000000"/>
        </w:rPr>
        <w:t xml:space="preserve"> – the organisation’s systems and networks, specifically protecting and mitigating them from natural, and human induced threats. </w:t>
      </w:r>
    </w:p>
    <w:p w14:paraId="1E69F8B5" w14:textId="77777777" w:rsidR="00993F09" w:rsidRPr="000266F5" w:rsidRDefault="00993F09" w:rsidP="00993F09">
      <w:pPr>
        <w:numPr>
          <w:ilvl w:val="0"/>
          <w:numId w:val="4"/>
        </w:numPr>
        <w:tabs>
          <w:tab w:val="left" w:pos="426"/>
        </w:tabs>
        <w:spacing w:after="0" w:line="240" w:lineRule="auto"/>
        <w:rPr>
          <w:rFonts w:ascii="Times New Roman" w:eastAsia="Arial" w:hAnsi="Times New Roman" w:cs="Times New Roman"/>
          <w:color w:val="000000"/>
        </w:rPr>
      </w:pPr>
      <w:r w:rsidRPr="000266F5">
        <w:rPr>
          <w:rFonts w:ascii="Times New Roman" w:eastAsia="Arial" w:hAnsi="Times New Roman" w:cs="Times New Roman"/>
          <w:b/>
          <w:color w:val="000000"/>
        </w:rPr>
        <w:t>Cyber</w:t>
      </w:r>
      <w:r w:rsidRPr="000266F5">
        <w:rPr>
          <w:rFonts w:ascii="Times New Roman" w:eastAsia="Arial" w:hAnsi="Times New Roman" w:cs="Times New Roman"/>
          <w:color w:val="000000"/>
        </w:rPr>
        <w:t xml:space="preserve"> – the digital systems, computers, datasets, and networks that underpin critical infrastructure system, and protecting them from cyber threats. </w:t>
      </w:r>
    </w:p>
    <w:p w14:paraId="6276E78E" w14:textId="77777777" w:rsidR="00993F09" w:rsidRPr="000266F5" w:rsidRDefault="00993F09" w:rsidP="00993F09">
      <w:pPr>
        <w:numPr>
          <w:ilvl w:val="0"/>
          <w:numId w:val="4"/>
        </w:numPr>
        <w:tabs>
          <w:tab w:val="left" w:pos="426"/>
        </w:tabs>
        <w:spacing w:after="0" w:line="240" w:lineRule="auto"/>
        <w:rPr>
          <w:rFonts w:ascii="Times New Roman" w:eastAsia="Arial" w:hAnsi="Times New Roman" w:cs="Times New Roman"/>
          <w:color w:val="000000"/>
        </w:rPr>
      </w:pPr>
      <w:r w:rsidRPr="000266F5">
        <w:rPr>
          <w:rFonts w:ascii="Times New Roman" w:eastAsia="Arial" w:hAnsi="Times New Roman" w:cs="Times New Roman"/>
          <w:b/>
          <w:color w:val="000000"/>
        </w:rPr>
        <w:t>Supply</w:t>
      </w:r>
      <w:r w:rsidRPr="000266F5">
        <w:rPr>
          <w:rFonts w:ascii="Times New Roman" w:eastAsia="Arial" w:hAnsi="Times New Roman" w:cs="Times New Roman"/>
          <w:color w:val="000000"/>
        </w:rPr>
        <w:t xml:space="preserve"> </w:t>
      </w:r>
      <w:r w:rsidRPr="000266F5">
        <w:rPr>
          <w:rFonts w:ascii="Times New Roman" w:eastAsia="Arial" w:hAnsi="Times New Roman" w:cs="Times New Roman"/>
          <w:b/>
          <w:color w:val="000000"/>
        </w:rPr>
        <w:t>chain</w:t>
      </w:r>
      <w:r w:rsidRPr="000266F5">
        <w:rPr>
          <w:rFonts w:ascii="Times New Roman" w:eastAsia="Arial" w:hAnsi="Times New Roman" w:cs="Times New Roman"/>
          <w:color w:val="000000"/>
        </w:rPr>
        <w:t xml:space="preserve"> – the systems of organisations, people, activities, information, and resources that support Australia’s critical infrastructure, and protecting their operations by understanding supply chain risk. </w:t>
      </w:r>
    </w:p>
    <w:p w14:paraId="069E2E72" w14:textId="77777777" w:rsidR="00993F09" w:rsidRPr="000266F5" w:rsidRDefault="00993F09" w:rsidP="00993F09">
      <w:pPr>
        <w:numPr>
          <w:ilvl w:val="0"/>
          <w:numId w:val="4"/>
        </w:numPr>
        <w:tabs>
          <w:tab w:val="left" w:pos="426"/>
        </w:tabs>
        <w:spacing w:after="0" w:line="240" w:lineRule="auto"/>
        <w:rPr>
          <w:rFonts w:ascii="Times New Roman" w:eastAsia="Arial" w:hAnsi="Times New Roman" w:cs="Times New Roman"/>
          <w:color w:val="000000"/>
        </w:rPr>
      </w:pPr>
      <w:r w:rsidRPr="000266F5">
        <w:rPr>
          <w:rFonts w:ascii="Times New Roman" w:eastAsia="Arial" w:hAnsi="Times New Roman" w:cs="Times New Roman"/>
          <w:b/>
          <w:color w:val="000000"/>
        </w:rPr>
        <w:t>Personnel</w:t>
      </w:r>
      <w:r w:rsidRPr="000266F5">
        <w:rPr>
          <w:rFonts w:ascii="Times New Roman" w:eastAsia="Arial" w:hAnsi="Times New Roman" w:cs="Times New Roman"/>
          <w:color w:val="000000"/>
        </w:rPr>
        <w:t xml:space="preserve"> – the employees, owners, operators, contractors, and subcontractors engaged with Australia’s critical infrastructure, and the policies supporting these personnel. </w:t>
      </w:r>
    </w:p>
    <w:p w14:paraId="7D68888D" w14:textId="77777777" w:rsidR="00993F09" w:rsidRPr="000266F5" w:rsidRDefault="00993F09" w:rsidP="00993F09">
      <w:pPr>
        <w:tabs>
          <w:tab w:val="left" w:pos="426"/>
        </w:tabs>
        <w:spacing w:after="0" w:line="240" w:lineRule="auto"/>
        <w:rPr>
          <w:rFonts w:ascii="Times New Roman" w:eastAsia="Arial" w:hAnsi="Times New Roman" w:cs="Times New Roman"/>
          <w:color w:val="000000"/>
        </w:rPr>
      </w:pPr>
    </w:p>
    <w:p w14:paraId="2E4B91D1" w14:textId="77777777" w:rsidR="00993F09" w:rsidRPr="000266F5" w:rsidRDefault="00993F09" w:rsidP="00993F09">
      <w:pPr>
        <w:tabs>
          <w:tab w:val="left" w:pos="426"/>
        </w:tabs>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The vital functions of critical infrastructure, such as the provision of electricity, food and health services, means that security must be considered from an all hazards approach, to ensure Australia’s essential services and the Australian way of life is not disrupted or degraded, regardless of the source of a threat.</w:t>
      </w:r>
    </w:p>
    <w:p w14:paraId="2425DDDD" w14:textId="77777777" w:rsidR="00993F09" w:rsidRPr="000266F5" w:rsidRDefault="00993F09" w:rsidP="00993F09">
      <w:pPr>
        <w:tabs>
          <w:tab w:val="left" w:pos="426"/>
        </w:tabs>
        <w:spacing w:after="0" w:line="240" w:lineRule="auto"/>
        <w:ind w:left="720"/>
        <w:rPr>
          <w:rFonts w:ascii="Times New Roman" w:eastAsia="Arial" w:hAnsi="Times New Roman" w:cs="Times New Roman"/>
          <w:color w:val="000000"/>
        </w:rPr>
      </w:pPr>
    </w:p>
    <w:p w14:paraId="5BBD2014" w14:textId="77777777" w:rsidR="00993F09" w:rsidRPr="000266F5" w:rsidRDefault="00993F09" w:rsidP="00B369B5">
      <w:pPr>
        <w:pStyle w:val="ListParagraph"/>
        <w:numPr>
          <w:ilvl w:val="1"/>
          <w:numId w:val="12"/>
        </w:numPr>
        <w:tabs>
          <w:tab w:val="num" w:pos="340"/>
        </w:tabs>
        <w:spacing w:after="200" w:line="240" w:lineRule="auto"/>
        <w:rPr>
          <w:rFonts w:ascii="Times New Roman" w:eastAsia="Arial" w:hAnsi="Times New Roman" w:cs="Times New Roman"/>
          <w:b/>
          <w:bCs/>
        </w:rPr>
      </w:pPr>
      <w:r w:rsidRPr="000266F5">
        <w:rPr>
          <w:rFonts w:ascii="Times New Roman" w:eastAsia="Arial" w:hAnsi="Times New Roman" w:cs="Times New Roman"/>
          <w:b/>
          <w:bCs/>
        </w:rPr>
        <w:t>Increasing threats, connectivity and complexity of critical infrastructure</w:t>
      </w:r>
    </w:p>
    <w:p w14:paraId="01849355" w14:textId="77777777" w:rsidR="00993F09" w:rsidRPr="000266F5" w:rsidRDefault="00993F09" w:rsidP="00993F09">
      <w:pPr>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Critical infrastructure owners and operators, whether publicly or privately owned, operate in a market environment characterised by interconnectivity and an increasing reliance on technology. This connectivity and technology delivers efficiencies and economic benefits, but can also present new vulnerabilities when combined with the evolving critical infrastructure all hazards threat environment.</w:t>
      </w:r>
    </w:p>
    <w:p w14:paraId="5614E537" w14:textId="77777777" w:rsidR="00993F09" w:rsidRPr="000266F5" w:rsidRDefault="00993F09" w:rsidP="00993F09">
      <w:pPr>
        <w:spacing w:after="0" w:line="240" w:lineRule="auto"/>
        <w:rPr>
          <w:rFonts w:ascii="Times New Roman" w:eastAsia="Arial" w:hAnsi="Times New Roman" w:cs="Times New Roman"/>
          <w:color w:val="000000"/>
        </w:rPr>
      </w:pPr>
    </w:p>
    <w:p w14:paraId="7AAA57CE" w14:textId="01D8BE76" w:rsidR="00993F09" w:rsidRPr="000266F5" w:rsidRDefault="00993F09" w:rsidP="00EE0D81">
      <w:pPr>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Vulnerabilities and increasing threats mean that a range of hazards have the potential to significantly compromise the supply of essential services across Australia. This year alone COVID-19 ha</w:t>
      </w:r>
      <w:r>
        <w:rPr>
          <w:rFonts w:ascii="Times New Roman" w:eastAsia="Arial" w:hAnsi="Times New Roman" w:cs="Times New Roman"/>
          <w:color w:val="000000"/>
        </w:rPr>
        <w:t>s</w:t>
      </w:r>
      <w:r w:rsidRPr="000266F5">
        <w:rPr>
          <w:rFonts w:ascii="Times New Roman" w:eastAsia="Arial" w:hAnsi="Times New Roman" w:cs="Times New Roman"/>
          <w:color w:val="000000"/>
        </w:rPr>
        <w:t xml:space="preserve"> demonstrated how quickly the consequences of significant incidents spread throughout the nation, with substantial security, social and economic impacts. During the COVID-19 pandemic there have been delays in a range of goods and services due to disruptions within different segments of supply chains, such as food and grocery delays due to interruptions at distribution centres.</w:t>
      </w:r>
    </w:p>
    <w:p w14:paraId="73F7638F" w14:textId="77777777" w:rsidR="00993F09" w:rsidRPr="000266F5" w:rsidRDefault="00993F09" w:rsidP="00993F09">
      <w:pPr>
        <w:tabs>
          <w:tab w:val="left" w:pos="426"/>
        </w:tabs>
        <w:spacing w:before="240" w:after="24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An asset is only as strong as its weakest link. The interconnected nature of critical infrastructure means that a disruption to a </w:t>
      </w:r>
      <w:r w:rsidRPr="00EE0D81">
        <w:rPr>
          <w:rFonts w:ascii="Times New Roman" w:hAnsi="Times New Roman"/>
          <w:i/>
          <w:color w:val="000000"/>
        </w:rPr>
        <w:t>critical infrastructure asset</w:t>
      </w:r>
      <w:r w:rsidRPr="000266F5">
        <w:rPr>
          <w:rFonts w:ascii="Times New Roman" w:eastAsia="Arial" w:hAnsi="Times New Roman" w:cs="Times New Roman"/>
          <w:color w:val="000000"/>
        </w:rPr>
        <w:t xml:space="preserve"> or their supply chains can have extensive, and costly externalities cascading beyond their immediate environment and network. It is not enough for an asset to have secure practices in place that protect them from all hazard threats, their supply chain must also be secure.  </w:t>
      </w:r>
    </w:p>
    <w:p w14:paraId="74B34A2D" w14:textId="77777777" w:rsidR="00993F09" w:rsidRPr="000266F5" w:rsidRDefault="00993F09" w:rsidP="00993F09">
      <w:pPr>
        <w:tabs>
          <w:tab w:val="left" w:pos="426"/>
        </w:tabs>
        <w:spacing w:before="240" w:after="24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For example, disruption to the operability of the energy sector would have a significant domestic impact on the banking and finance sector.</w:t>
      </w:r>
      <w:r w:rsidRPr="000266F5">
        <w:rPr>
          <w:vertAlign w:val="superscript"/>
        </w:rPr>
        <w:footnoteReference w:id="2"/>
      </w:r>
      <w:r w:rsidRPr="000266F5">
        <w:rPr>
          <w:rFonts w:ascii="Times New Roman" w:eastAsia="Arial" w:hAnsi="Times New Roman" w:cs="Times New Roman"/>
          <w:color w:val="000000"/>
        </w:rPr>
        <w:t xml:space="preserve"> This is due to the reliance the banking and finance sector has on the energy sector, through powering communications, online banking, automated teller machines, etc. Similarly, a significant disruption to the operability of the transport sector would have a cascading impact on the food and grocery sector. This is due to the reliance the food and grocery sector has on the trucking industry as the primary source of delivery for food and groceries to major distribution centres and supermarkets.  </w:t>
      </w:r>
    </w:p>
    <w:p w14:paraId="1D318979" w14:textId="77777777" w:rsidR="00993F09" w:rsidRPr="000266F5" w:rsidRDefault="00993F09" w:rsidP="00993F09">
      <w:pPr>
        <w:tabs>
          <w:tab w:val="left" w:pos="426"/>
        </w:tabs>
        <w:spacing w:before="240"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Prolonged disruptions to Australia’s critical infrastructure can have severe flow on consequences to our economy, as demonstrated by several incidents of critical infrastructure disruption. </w:t>
      </w:r>
    </w:p>
    <w:p w14:paraId="1073BACE" w14:textId="77777777" w:rsidR="00993F09" w:rsidRPr="000266F5" w:rsidRDefault="00993F09" w:rsidP="00993F09">
      <w:pPr>
        <w:numPr>
          <w:ilvl w:val="0"/>
          <w:numId w:val="4"/>
        </w:numPr>
        <w:tabs>
          <w:tab w:val="left" w:pos="426"/>
        </w:tabs>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A state-wide blackout in 2016, triggered by severe weather that damaged transmission and distribution assets, resulted in the suspension of the wholesale market in South Australia for </w:t>
      </w:r>
      <w:r w:rsidRPr="000266F5">
        <w:rPr>
          <w:rFonts w:ascii="Times New Roman" w:eastAsia="Arial" w:hAnsi="Times New Roman" w:cs="Times New Roman"/>
          <w:color w:val="000000"/>
        </w:rPr>
        <w:lastRenderedPageBreak/>
        <w:t>13 hours, costing an estimated $120,000 per minute for businesses operating in South Australia.</w:t>
      </w:r>
      <w:r w:rsidRPr="000266F5">
        <w:rPr>
          <w:rFonts w:ascii="Times New Roman" w:eastAsia="Arial" w:hAnsi="Times New Roman" w:cs="Times New Roman"/>
          <w:color w:val="000000"/>
          <w:vertAlign w:val="superscript"/>
        </w:rPr>
        <w:footnoteReference w:id="3"/>
      </w:r>
    </w:p>
    <w:p w14:paraId="42D22E21" w14:textId="77777777" w:rsidR="00993F09" w:rsidRPr="000266F5" w:rsidRDefault="00993F09" w:rsidP="00993F09">
      <w:pPr>
        <w:numPr>
          <w:ilvl w:val="0"/>
          <w:numId w:val="4"/>
        </w:numPr>
        <w:tabs>
          <w:tab w:val="left" w:pos="426"/>
        </w:tabs>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A Telstra outage in July 2019 impacted ATMs and EFTPOS machines across the country. According to National Retailers Association the five hour outage cost $100m in lost sales.</w:t>
      </w:r>
      <w:r w:rsidRPr="000266F5">
        <w:rPr>
          <w:rFonts w:ascii="Times New Roman" w:eastAsia="Arial" w:hAnsi="Times New Roman" w:cs="Times New Roman"/>
          <w:color w:val="000000"/>
          <w:vertAlign w:val="superscript"/>
        </w:rPr>
        <w:footnoteReference w:id="4"/>
      </w:r>
    </w:p>
    <w:p w14:paraId="144071CC" w14:textId="77777777" w:rsidR="00993F09" w:rsidRPr="000266F5" w:rsidRDefault="00993F09" w:rsidP="00993F09">
      <w:pPr>
        <w:numPr>
          <w:ilvl w:val="0"/>
          <w:numId w:val="4"/>
        </w:numPr>
        <w:tabs>
          <w:tab w:val="left" w:pos="426"/>
        </w:tabs>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In 2018, a single morning peak hour disruption on the Sydney Harbour Bridge, caused by a member of the public climbing onto the bridge, resulted in disruptions that were estimated to have had an economic cost up to $10 million.</w:t>
      </w:r>
      <w:r w:rsidRPr="000266F5">
        <w:rPr>
          <w:rFonts w:ascii="Times New Roman" w:eastAsia="Arial" w:hAnsi="Times New Roman" w:cs="Times New Roman"/>
          <w:color w:val="000000"/>
          <w:vertAlign w:val="superscript"/>
        </w:rPr>
        <w:footnoteReference w:id="5"/>
      </w:r>
    </w:p>
    <w:p w14:paraId="075A4F5E" w14:textId="77777777" w:rsidR="00993F09" w:rsidRPr="000266F5" w:rsidRDefault="00993F09" w:rsidP="00993F09">
      <w:pPr>
        <w:numPr>
          <w:ilvl w:val="0"/>
          <w:numId w:val="4"/>
        </w:numPr>
        <w:tabs>
          <w:tab w:val="left" w:pos="426"/>
        </w:tabs>
        <w:spacing w:after="24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Costs of natural disasters in 2015 were estimated to be $9 billion, with an expected increase to $33 billion by the year 2050.</w:t>
      </w:r>
      <w:r w:rsidRPr="000266F5">
        <w:rPr>
          <w:rFonts w:ascii="Times New Roman" w:eastAsia="Arial" w:hAnsi="Times New Roman" w:cs="Times New Roman"/>
          <w:color w:val="000000"/>
          <w:vertAlign w:val="superscript"/>
        </w:rPr>
        <w:footnoteReference w:id="6"/>
      </w:r>
    </w:p>
    <w:p w14:paraId="2EA37BBA" w14:textId="77777777" w:rsidR="00993F09" w:rsidRPr="000266F5" w:rsidRDefault="00993F09" w:rsidP="00993F09">
      <w:pPr>
        <w:tabs>
          <w:tab w:val="left" w:pos="426"/>
        </w:tabs>
        <w:spacing w:before="240" w:after="24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The number all hazards impacting the operation of critical infrastructure through weaknesses in supply chains, personnel security, cyber connectivity, and physical characteristics are expected to increase over the coming years, especially within the cyber domain and from foreign intelligence services. The Australian Cyber Security Centre has reported that malicious cyber activity against Australia’s national and economic interests is increasing in frequency, scale, sophistication and severity. Australia’s Cyber Security Strategy 2020 noted that critical infrastructure providers were the victims of around 35 per cent of reported cyber incidents perpetrated by malicious actors in the year to 30 June 2020.</w:t>
      </w:r>
      <w:r w:rsidRPr="000266F5">
        <w:rPr>
          <w:vertAlign w:val="superscript"/>
        </w:rPr>
        <w:footnoteReference w:id="7"/>
      </w:r>
      <w:r w:rsidRPr="000266F5">
        <w:rPr>
          <w:rFonts w:ascii="Times New Roman" w:eastAsia="MS PGothic" w:hAnsi="Times New Roman" w:cs="Times New Roman"/>
          <w:color w:val="000000"/>
        </w:rPr>
        <w:t xml:space="preserve"> It is estimated that a four week interruption to digital infrastructures resulting from a significant cyber incident would cost the economy $30 billion (1.5 per cent of Australia’s Gross Domestic Product) and around 163,000 jobs.</w:t>
      </w:r>
      <w:r w:rsidRPr="000266F5">
        <w:rPr>
          <w:vertAlign w:val="superscript"/>
        </w:rPr>
        <w:footnoteReference w:id="8"/>
      </w:r>
      <w:r w:rsidRPr="000266F5">
        <w:rPr>
          <w:rFonts w:ascii="Times New Roman" w:eastAsia="MS PGothic" w:hAnsi="Times New Roman" w:cs="Times New Roman"/>
          <w:color w:val="000000"/>
        </w:rPr>
        <w:t xml:space="preserve"> </w:t>
      </w:r>
    </w:p>
    <w:p w14:paraId="50CE5959" w14:textId="77777777" w:rsidR="00993F09" w:rsidRPr="000266F5" w:rsidRDefault="00993F09" w:rsidP="00993F09">
      <w:pPr>
        <w:tabs>
          <w:tab w:val="left" w:pos="426"/>
        </w:tabs>
        <w:spacing w:before="240" w:after="24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Similarly, the Australian Security Intelligence Organisation’s (ASIO) 2018-19 Annual Report identified that Australia continues to be a target for espionage and foreign interference. The report states that “Foreign intelligence services seek to exploit Australia’s businesses for intelligence purposes” and “[t]hat threat will persist across critical infrastructure, industries that hold large amounts of personal data, and emerging sectors with unique intellectual property that could provide an economic or strategic edge”.</w:t>
      </w:r>
    </w:p>
    <w:p w14:paraId="17468FD0" w14:textId="77777777" w:rsidR="00993F09" w:rsidRPr="000266F5" w:rsidRDefault="00993F09" w:rsidP="00B369B5">
      <w:pPr>
        <w:pStyle w:val="ListParagraph"/>
        <w:numPr>
          <w:ilvl w:val="1"/>
          <w:numId w:val="12"/>
        </w:numPr>
        <w:tabs>
          <w:tab w:val="num" w:pos="340"/>
        </w:tabs>
        <w:spacing w:after="200" w:line="240" w:lineRule="auto"/>
        <w:rPr>
          <w:rFonts w:ascii="Times New Roman" w:eastAsia="Arial" w:hAnsi="Times New Roman" w:cs="Times New Roman"/>
          <w:b/>
          <w:bCs/>
        </w:rPr>
      </w:pPr>
      <w:r w:rsidRPr="000266F5">
        <w:rPr>
          <w:rFonts w:ascii="Times New Roman" w:eastAsia="Arial" w:hAnsi="Times New Roman" w:cs="Times New Roman"/>
          <w:b/>
          <w:bCs/>
        </w:rPr>
        <w:t>Existing legislative arrangements are insufficient for the current threat environment</w:t>
      </w:r>
    </w:p>
    <w:p w14:paraId="0907E84C" w14:textId="3CD21250" w:rsidR="00993F09" w:rsidRPr="000266F5" w:rsidRDefault="00993F09" w:rsidP="00993F09">
      <w:pPr>
        <w:tabs>
          <w:tab w:val="left" w:pos="426"/>
        </w:tabs>
        <w:spacing w:before="240"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There are a range of legislative frameworks in place across </w:t>
      </w:r>
      <w:r w:rsidRPr="00EE0D81">
        <w:rPr>
          <w:rFonts w:ascii="Times New Roman" w:hAnsi="Times New Roman"/>
          <w:i/>
          <w:color w:val="000000"/>
        </w:rPr>
        <w:t>critical infrastructure sector</w:t>
      </w:r>
      <w:r w:rsidRPr="000266F5">
        <w:rPr>
          <w:rFonts w:ascii="Times New Roman" w:eastAsia="Arial" w:hAnsi="Times New Roman" w:cs="Times New Roman"/>
          <w:color w:val="000000"/>
        </w:rPr>
        <w:t xml:space="preserve">s that go to uplifting sections of critical infrastructure against aspects of all hazard threats. Many operators of critical infrastructure, particularly in the banking, finance, aviation, maritime and communications sectors already operate under regulatory frameworks that impose risk management, reporting and </w:t>
      </w:r>
      <w:r w:rsidRPr="000266F5">
        <w:rPr>
          <w:rFonts w:ascii="Times New Roman" w:eastAsia="MS PGothic" w:hAnsi="Times New Roman" w:cs="Times New Roman"/>
          <w:color w:val="000000"/>
        </w:rPr>
        <w:t>transparency</w:t>
      </w:r>
      <w:r w:rsidRPr="000266F5">
        <w:rPr>
          <w:rFonts w:ascii="Times New Roman" w:eastAsia="Arial" w:hAnsi="Times New Roman" w:cs="Times New Roman"/>
          <w:color w:val="000000"/>
        </w:rPr>
        <w:t xml:space="preserve"> obligations. Regulators in those sectors are already equipped to supervise those entities, identify emerging threats, and assist regulated entities respond to those threats.</w:t>
      </w:r>
      <w:r w:rsidR="00233CC6">
        <w:rPr>
          <w:rFonts w:ascii="Times New Roman" w:eastAsia="Arial" w:hAnsi="Times New Roman" w:cs="Times New Roman"/>
          <w:color w:val="000000"/>
        </w:rPr>
        <w:t xml:space="preserve"> </w:t>
      </w:r>
      <w:r w:rsidR="00865F05">
        <w:rPr>
          <w:rFonts w:ascii="Times New Roman" w:eastAsia="Arial" w:hAnsi="Times New Roman" w:cs="Times New Roman"/>
          <w:color w:val="000000"/>
        </w:rPr>
        <w:t xml:space="preserve">Existing regulatory frameworks often do not consider all hazard threats, and government powers are very limited in </w:t>
      </w:r>
      <w:r w:rsidR="00865F05" w:rsidRPr="000266F5">
        <w:rPr>
          <w:rFonts w:ascii="Times New Roman" w:eastAsia="Arial" w:hAnsi="Times New Roman" w:cs="Times New Roman"/>
          <w:color w:val="000000"/>
        </w:rPr>
        <w:t>purpose and functions</w:t>
      </w:r>
      <w:r w:rsidR="00865F05">
        <w:rPr>
          <w:rFonts w:ascii="Times New Roman" w:eastAsia="Arial" w:hAnsi="Times New Roman" w:cs="Times New Roman"/>
          <w:color w:val="000000"/>
        </w:rPr>
        <w:t xml:space="preserve"> which do not meet security and resilience policy objectives.</w:t>
      </w:r>
      <w:r w:rsidR="00865F05" w:rsidRPr="000266F5">
        <w:rPr>
          <w:rFonts w:ascii="Times New Roman" w:eastAsia="Arial" w:hAnsi="Times New Roman" w:cs="Times New Roman"/>
          <w:color w:val="000000"/>
        </w:rPr>
        <w:t xml:space="preserve"> Some of the current regulators, frameworks and legislation includes:</w:t>
      </w:r>
      <w:r w:rsidR="00865F05">
        <w:rPr>
          <w:rFonts w:ascii="Times New Roman" w:eastAsia="Arial" w:hAnsi="Times New Roman" w:cs="Times New Roman"/>
          <w:color w:val="000000"/>
        </w:rPr>
        <w:br/>
      </w:r>
    </w:p>
    <w:p w14:paraId="0F6754E6" w14:textId="1E6F463B" w:rsidR="00993F09" w:rsidRPr="000266F5" w:rsidRDefault="00993F09" w:rsidP="00993F09">
      <w:pPr>
        <w:numPr>
          <w:ilvl w:val="0"/>
          <w:numId w:val="4"/>
        </w:numPr>
        <w:tabs>
          <w:tab w:val="left" w:pos="426"/>
        </w:tabs>
        <w:spacing w:line="240" w:lineRule="auto"/>
        <w:rPr>
          <w:rFonts w:ascii="Times New Roman" w:eastAsia="Arial" w:hAnsi="Times New Roman" w:cs="Times New Roman"/>
          <w:color w:val="000000"/>
        </w:rPr>
      </w:pPr>
      <w:r w:rsidRPr="000266F5">
        <w:rPr>
          <w:rFonts w:ascii="Times New Roman" w:eastAsia="Arial" w:hAnsi="Times New Roman" w:cs="Times New Roman"/>
          <w:color w:val="000000"/>
        </w:rPr>
        <w:t>The Australian Energy Regulator regulates</w:t>
      </w:r>
      <w:r w:rsidR="00865F05">
        <w:rPr>
          <w:rFonts w:ascii="Times New Roman" w:eastAsia="Arial" w:hAnsi="Times New Roman" w:cs="Times New Roman"/>
          <w:color w:val="000000"/>
        </w:rPr>
        <w:t xml:space="preserve"> the</w:t>
      </w:r>
      <w:r w:rsidRPr="000266F5">
        <w:rPr>
          <w:rFonts w:ascii="Times New Roman" w:eastAsia="Arial" w:hAnsi="Times New Roman" w:cs="Times New Roman"/>
          <w:color w:val="000000"/>
        </w:rPr>
        <w:t xml:space="preserve"> Australian electricity and gas market. Their governance, functions, powers and duties include inspection and audit powers, however these powers are tied to the purposes and function of the </w:t>
      </w:r>
      <w:r w:rsidRPr="000266F5">
        <w:rPr>
          <w:rFonts w:ascii="Times New Roman" w:eastAsia="Arial" w:hAnsi="Times New Roman" w:cs="Times New Roman"/>
          <w:i/>
          <w:iCs/>
          <w:color w:val="000000"/>
        </w:rPr>
        <w:t>National Electricity Laws</w:t>
      </w:r>
      <w:r w:rsidRPr="000266F5">
        <w:rPr>
          <w:rFonts w:ascii="Times New Roman" w:eastAsia="Arial" w:hAnsi="Times New Roman" w:cs="Times New Roman"/>
          <w:color w:val="000000"/>
        </w:rPr>
        <w:t xml:space="preserve"> and </w:t>
      </w:r>
      <w:r w:rsidRPr="000266F5">
        <w:rPr>
          <w:rFonts w:ascii="Times New Roman" w:eastAsia="Arial" w:hAnsi="Times New Roman" w:cs="Times New Roman"/>
          <w:i/>
          <w:iCs/>
          <w:color w:val="000000"/>
        </w:rPr>
        <w:t xml:space="preserve">National </w:t>
      </w:r>
      <w:r w:rsidRPr="000266F5">
        <w:rPr>
          <w:rFonts w:ascii="Times New Roman" w:eastAsia="Arial" w:hAnsi="Times New Roman" w:cs="Times New Roman"/>
          <w:i/>
          <w:iCs/>
          <w:color w:val="000000"/>
        </w:rPr>
        <w:lastRenderedPageBreak/>
        <w:t xml:space="preserve">Gas Laws. </w:t>
      </w:r>
      <w:r w:rsidRPr="000266F5">
        <w:rPr>
          <w:rFonts w:ascii="Times New Roman" w:eastAsia="Arial" w:hAnsi="Times New Roman" w:cs="Times New Roman"/>
          <w:color w:val="000000"/>
        </w:rPr>
        <w:t>The Laws establish the key obligations surrounding the national electricity market, the regulation of access to electricity networks, access to gas pipelines and establishment of the gas market bulletin board to ensure reliable energy supply but critically, do not impose baseline all hazards risk reduction requirements on entities.</w:t>
      </w:r>
    </w:p>
    <w:p w14:paraId="0A30B242" w14:textId="6BC9E5F5" w:rsidR="00993F09" w:rsidRPr="000266F5" w:rsidRDefault="00993F09" w:rsidP="00993F09">
      <w:pPr>
        <w:numPr>
          <w:ilvl w:val="0"/>
          <w:numId w:val="4"/>
        </w:numPr>
        <w:tabs>
          <w:tab w:val="left" w:pos="426"/>
        </w:tabs>
        <w:spacing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The Aviation and Maritime Security (AMS) Division within the Department regulates the aviation and maritime transport sectors under the </w:t>
      </w:r>
      <w:r w:rsidRPr="000266F5">
        <w:rPr>
          <w:rFonts w:ascii="Times New Roman" w:eastAsia="Arial" w:hAnsi="Times New Roman" w:cs="Times New Roman"/>
          <w:i/>
          <w:iCs/>
          <w:color w:val="000000"/>
        </w:rPr>
        <w:t>Aviation Transport Security Act 2004</w:t>
      </w:r>
      <w:r w:rsidRPr="000266F5">
        <w:rPr>
          <w:rFonts w:ascii="Times New Roman" w:eastAsia="Arial" w:hAnsi="Times New Roman" w:cs="Times New Roman"/>
          <w:color w:val="000000"/>
        </w:rPr>
        <w:t xml:space="preserve"> (ATSA) and the </w:t>
      </w:r>
      <w:r w:rsidRPr="000266F5">
        <w:rPr>
          <w:rFonts w:ascii="Times New Roman" w:eastAsia="Arial" w:hAnsi="Times New Roman" w:cs="Times New Roman"/>
          <w:i/>
          <w:iCs/>
          <w:color w:val="000000"/>
        </w:rPr>
        <w:t>Maritime Transport and Offshore Facilities Security Act 2003</w:t>
      </w:r>
      <w:r w:rsidRPr="000266F5">
        <w:rPr>
          <w:rFonts w:ascii="Times New Roman" w:eastAsia="Arial" w:hAnsi="Times New Roman" w:cs="Times New Roman"/>
          <w:color w:val="000000"/>
        </w:rPr>
        <w:t xml:space="preserve"> (MTOFSA). These Acts (and their associated regulations) put in place a number of regulatory requirements on aviation and maritime operators to protect their operations from the threat of unlawful interference. In addition, security regulated airports, aircraft operators, regulated cargo agents, regulated ports, regulated ships, and regulated offshore facility operators are required to conduct security risk assessments. </w:t>
      </w:r>
      <w:r>
        <w:rPr>
          <w:rFonts w:ascii="Times New Roman" w:eastAsia="Arial" w:hAnsi="Times New Roman" w:cs="Times New Roman"/>
          <w:color w:val="000000"/>
        </w:rPr>
        <w:t>S</w:t>
      </w:r>
      <w:r w:rsidRPr="000266F5">
        <w:rPr>
          <w:rFonts w:ascii="Times New Roman" w:eastAsia="Arial" w:hAnsi="Times New Roman" w:cs="Times New Roman"/>
          <w:color w:val="000000"/>
        </w:rPr>
        <w:t xml:space="preserve">ecurity risks and vulnerabilities identified through these assessments inform the mitigation measures contained in a security plan that is submitted to AMS for approval. AMS also conducts compliance activities and has the power to impose infringements and penalties on operators who fail to comply with requirements. The ATSA and MTOFSA frameworks are not presently capable of applying in the context of naturally occurring risks to safety, human made risks to business operations, or risks which are otherwise not connected with unlawful interferences. The focus of </w:t>
      </w:r>
      <w:r w:rsidRPr="000266F5">
        <w:rPr>
          <w:rFonts w:ascii="Times New Roman" w:eastAsia="MS PGothic" w:hAnsi="Times New Roman" w:cs="Times New Roman"/>
          <w:color w:val="000000"/>
        </w:rPr>
        <w:t>existing</w:t>
      </w:r>
      <w:r w:rsidRPr="000266F5">
        <w:rPr>
          <w:rFonts w:ascii="Times New Roman" w:eastAsia="Arial" w:hAnsi="Times New Roman" w:cs="Times New Roman"/>
          <w:color w:val="000000"/>
        </w:rPr>
        <w:t xml:space="preserve"> legislative schemes is on security or safety of operations, not business continuity in a serious emergency. This means that the existing legislative schemes would not generally envisage the impacts of all hazards to the availability, confidentiality and integrity of aviation or maritime operations to be addressed. </w:t>
      </w:r>
    </w:p>
    <w:p w14:paraId="09333205" w14:textId="77777777" w:rsidR="00993F09" w:rsidRPr="000266F5" w:rsidRDefault="00993F09" w:rsidP="00993F09">
      <w:pPr>
        <w:numPr>
          <w:ilvl w:val="0"/>
          <w:numId w:val="4"/>
        </w:numPr>
        <w:tabs>
          <w:tab w:val="left" w:pos="426"/>
        </w:tabs>
        <w:spacing w:line="240" w:lineRule="auto"/>
        <w:rPr>
          <w:rFonts w:ascii="Times New Roman" w:eastAsia="Arial" w:hAnsi="Times New Roman" w:cs="Times New Roman"/>
          <w:color w:val="000000"/>
        </w:rPr>
      </w:pPr>
      <w:r w:rsidRPr="000266F5">
        <w:rPr>
          <w:rFonts w:ascii="Times New Roman" w:eastAsia="Arial" w:hAnsi="Times New Roman" w:cs="Times New Roman"/>
          <w:color w:val="000000"/>
        </w:rPr>
        <w:t>In New South Wales, the Independent Pricing and Regulatory Tribunal (IPART) is responsible for licencing arrangements some of which include critical infrastructure licence conditions such as physical and data security.</w:t>
      </w:r>
      <w:r w:rsidRPr="000266F5">
        <w:rPr>
          <w:rFonts w:ascii="Times New Roman" w:eastAsia="Arial" w:hAnsi="Times New Roman" w:cs="Times New Roman"/>
          <w:color w:val="000000"/>
          <w:vertAlign w:val="superscript"/>
        </w:rPr>
        <w:footnoteReference w:id="9"/>
      </w:r>
      <w:r w:rsidRPr="000266F5">
        <w:rPr>
          <w:rFonts w:ascii="Times New Roman" w:eastAsia="Arial" w:hAnsi="Times New Roman" w:cs="Times New Roman"/>
          <w:color w:val="000000"/>
        </w:rPr>
        <w:t xml:space="preserve"> These licencing conditions were established in </w:t>
      </w:r>
      <w:r w:rsidRPr="000266F5">
        <w:rPr>
          <w:rFonts w:ascii="Times New Roman" w:eastAsia="MS PGothic" w:hAnsi="Times New Roman" w:cs="Times New Roman"/>
          <w:color w:val="000000"/>
        </w:rPr>
        <w:t>consultation</w:t>
      </w:r>
      <w:r w:rsidRPr="000266F5">
        <w:rPr>
          <w:rFonts w:ascii="Times New Roman" w:eastAsia="Arial" w:hAnsi="Times New Roman" w:cs="Times New Roman"/>
          <w:color w:val="000000"/>
        </w:rPr>
        <w:t xml:space="preserve"> with the Critical Infrastructure Centre (CIC) and do not exist in other states. These conditions also only apply for certain assets within the electricity and water sector, and not more broadly across all critical infrastructure. </w:t>
      </w:r>
    </w:p>
    <w:p w14:paraId="0C12AB75" w14:textId="77777777" w:rsidR="00993F09" w:rsidRPr="000266F5" w:rsidRDefault="00993F09" w:rsidP="00993F09">
      <w:pPr>
        <w:numPr>
          <w:ilvl w:val="0"/>
          <w:numId w:val="4"/>
        </w:numPr>
        <w:tabs>
          <w:tab w:val="left" w:pos="426"/>
        </w:tabs>
        <w:spacing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The </w:t>
      </w:r>
      <w:r w:rsidRPr="000266F5">
        <w:rPr>
          <w:rFonts w:ascii="Times New Roman" w:eastAsia="Arial" w:hAnsi="Times New Roman" w:cs="Times New Roman"/>
          <w:i/>
          <w:iCs/>
          <w:color w:val="000000"/>
        </w:rPr>
        <w:t>Security of Critical Infrastructure Act 2018</w:t>
      </w:r>
      <w:r>
        <w:rPr>
          <w:rFonts w:ascii="Times New Roman" w:eastAsia="Arial" w:hAnsi="Times New Roman" w:cs="Times New Roman"/>
          <w:i/>
          <w:iCs/>
          <w:color w:val="000000"/>
        </w:rPr>
        <w:t xml:space="preserve"> </w:t>
      </w:r>
      <w:r>
        <w:rPr>
          <w:rFonts w:ascii="Times New Roman" w:eastAsia="Arial" w:hAnsi="Times New Roman" w:cs="Times New Roman"/>
          <w:iCs/>
          <w:color w:val="000000"/>
        </w:rPr>
        <w:t>(SoCI)</w:t>
      </w:r>
      <w:r w:rsidRPr="000266F5">
        <w:rPr>
          <w:rFonts w:ascii="Times New Roman" w:eastAsia="Arial" w:hAnsi="Times New Roman" w:cs="Times New Roman"/>
          <w:color w:val="000000"/>
        </w:rPr>
        <w:t xml:space="preserve"> currently does not impose security obligations on </w:t>
      </w:r>
      <w:r w:rsidRPr="00EE0D81">
        <w:rPr>
          <w:rFonts w:ascii="Times New Roman" w:hAnsi="Times New Roman"/>
          <w:i/>
          <w:color w:val="000000"/>
        </w:rPr>
        <w:t>critical infrastructure asset</w:t>
      </w:r>
      <w:r w:rsidRPr="000266F5">
        <w:rPr>
          <w:rFonts w:ascii="Times New Roman" w:eastAsia="Arial" w:hAnsi="Times New Roman" w:cs="Times New Roman"/>
          <w:color w:val="000000"/>
        </w:rPr>
        <w:t xml:space="preserve">s (electricity, gas, water and maritime ports). </w:t>
      </w:r>
      <w:r w:rsidRPr="000266F5">
        <w:rPr>
          <w:rFonts w:ascii="Times New Roman" w:eastAsia="MS PGothic" w:hAnsi="Times New Roman" w:cs="Times New Roman"/>
          <w:color w:val="000000"/>
        </w:rPr>
        <w:t>Requirements</w:t>
      </w:r>
      <w:r w:rsidRPr="000266F5">
        <w:rPr>
          <w:rFonts w:ascii="Times New Roman" w:eastAsia="Arial" w:hAnsi="Times New Roman" w:cs="Times New Roman"/>
          <w:color w:val="000000"/>
        </w:rPr>
        <w:t xml:space="preserve"> on industry, such as reporting obligations, are limited and do not require them to take active steps to manage their security. While reporting is a useful mechanism to increase visibility of assets and notify the Government of potentially problematic changes, it does not improve all hazards risk management. The existing Ministerial directions power requires remediation action to improve asset security but these are reactive powers and are only applicable in the most extreme circumstances.  </w:t>
      </w:r>
    </w:p>
    <w:p w14:paraId="43485F7A" w14:textId="79C38353" w:rsidR="00993F09" w:rsidRPr="000266F5" w:rsidRDefault="00865F05" w:rsidP="00993F09">
      <w:pPr>
        <w:numPr>
          <w:ilvl w:val="0"/>
          <w:numId w:val="4"/>
        </w:numPr>
        <w:tabs>
          <w:tab w:val="left" w:pos="426"/>
        </w:tabs>
        <w:spacing w:line="240" w:lineRule="auto"/>
        <w:rPr>
          <w:rFonts w:ascii="Times New Roman" w:eastAsia="Arial" w:hAnsi="Times New Roman" w:cs="Times New Roman"/>
          <w:color w:val="000000"/>
        </w:rPr>
      </w:pPr>
      <w:r>
        <w:rPr>
          <w:rFonts w:ascii="Times New Roman" w:eastAsia="Arial" w:hAnsi="Times New Roman" w:cs="Times New Roman"/>
          <w:color w:val="000000"/>
        </w:rPr>
        <w:t>The</w:t>
      </w:r>
      <w:r w:rsidR="00993F09" w:rsidRPr="000266F5">
        <w:rPr>
          <w:rFonts w:ascii="Times New Roman" w:eastAsia="Arial" w:hAnsi="Times New Roman" w:cs="Times New Roman"/>
          <w:color w:val="000000"/>
        </w:rPr>
        <w:t xml:space="preserve"> </w:t>
      </w:r>
      <w:r w:rsidR="00993F09" w:rsidRPr="000266F5">
        <w:rPr>
          <w:rFonts w:ascii="Times New Roman" w:eastAsia="Arial" w:hAnsi="Times New Roman" w:cs="Times New Roman"/>
          <w:i/>
          <w:iCs/>
          <w:color w:val="000000"/>
        </w:rPr>
        <w:t>Telecommunication and Other Legislation Act 2017</w:t>
      </w:r>
      <w:r w:rsidR="00993F09" w:rsidRPr="000266F5">
        <w:rPr>
          <w:rFonts w:ascii="Times New Roman" w:eastAsia="Arial" w:hAnsi="Times New Roman" w:cs="Times New Roman"/>
          <w:color w:val="000000"/>
        </w:rPr>
        <w:t xml:space="preserve"> was passed to enhance security obligations for Australian carriers and carriage service providers (through the Telecommunications Sector Security Reforms). The Telecommunications Sector Security Reforms framework establishes a security obligation and notification obligation on industry, and provides the Government with an information gathering power and directions power. However, the Directions Power under s315A and s315B is not adequate to address time-sensitive security concerns. In order to exercise the Directions Power, the Australian Security Intelligence Organisation must provide an Adverse Security Assessment (ASA) in relation to the entity being directed, and the Direction must be given by the Minister</w:t>
      </w:r>
      <w:r w:rsidR="00993F09">
        <w:rPr>
          <w:rFonts w:ascii="Times New Roman" w:eastAsia="Arial" w:hAnsi="Times New Roman" w:cs="Times New Roman"/>
          <w:color w:val="000000"/>
        </w:rPr>
        <w:t xml:space="preserve"> for Home Affairs</w:t>
      </w:r>
      <w:r w:rsidR="00993F09" w:rsidRPr="000266F5">
        <w:rPr>
          <w:rFonts w:ascii="Times New Roman" w:eastAsia="Arial" w:hAnsi="Times New Roman" w:cs="Times New Roman"/>
          <w:color w:val="000000"/>
        </w:rPr>
        <w:t xml:space="preserve">. Both of these processes can be quite lengthy and as a result could risk the direction not being able to be issued until well after the prejudicial security action has been taken by the offending entity. The current security obligations under the </w:t>
      </w:r>
      <w:r w:rsidR="00993F09" w:rsidRPr="000266F5">
        <w:rPr>
          <w:rFonts w:ascii="Times New Roman" w:eastAsia="Arial" w:hAnsi="Times New Roman" w:cs="Times New Roman"/>
          <w:i/>
          <w:iCs/>
          <w:color w:val="000000"/>
        </w:rPr>
        <w:t>Telecommunications Act 1997</w:t>
      </w:r>
      <w:r w:rsidR="00993F09" w:rsidRPr="000266F5">
        <w:rPr>
          <w:rFonts w:ascii="Times New Roman" w:eastAsia="Arial" w:hAnsi="Times New Roman" w:cs="Times New Roman"/>
          <w:color w:val="000000"/>
        </w:rPr>
        <w:t xml:space="preserve"> </w:t>
      </w:r>
      <w:r w:rsidR="00993F09" w:rsidRPr="000266F5">
        <w:rPr>
          <w:rFonts w:ascii="Times New Roman" w:eastAsia="Arial" w:hAnsi="Times New Roman" w:cs="Times New Roman"/>
          <w:color w:val="000000"/>
        </w:rPr>
        <w:lastRenderedPageBreak/>
        <w:t xml:space="preserve">also require Carriers and Carriage Service Providers to “do their best” to protect networks and facilities, but does not explicitly outline the specific security conditions which will be a core feature of the proposed reforms. </w:t>
      </w:r>
    </w:p>
    <w:p w14:paraId="4A839918" w14:textId="5C91F825" w:rsidR="00993F09" w:rsidRPr="000266F5" w:rsidRDefault="00993F09" w:rsidP="00993F09">
      <w:pPr>
        <w:spacing w:before="120"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In other </w:t>
      </w:r>
      <w:r w:rsidRPr="00EE0D81">
        <w:rPr>
          <w:rFonts w:ascii="Times New Roman" w:hAnsi="Times New Roman"/>
          <w:i/>
          <w:color w:val="000000"/>
        </w:rPr>
        <w:t>critical infrastructure sector</w:t>
      </w:r>
      <w:r w:rsidRPr="000266F5">
        <w:rPr>
          <w:rFonts w:ascii="Times New Roman" w:eastAsia="Arial" w:hAnsi="Times New Roman" w:cs="Times New Roman"/>
          <w:color w:val="000000"/>
        </w:rPr>
        <w:t>s there is minimal regulation addressing all</w:t>
      </w:r>
      <w:r w:rsidR="00AF57D9">
        <w:rPr>
          <w:rFonts w:ascii="Times New Roman" w:eastAsia="Arial" w:hAnsi="Times New Roman" w:cs="Times New Roman"/>
          <w:color w:val="000000"/>
        </w:rPr>
        <w:t>-</w:t>
      </w:r>
      <w:r w:rsidRPr="000266F5">
        <w:rPr>
          <w:rFonts w:ascii="Times New Roman" w:eastAsia="Arial" w:hAnsi="Times New Roman" w:cs="Times New Roman"/>
          <w:color w:val="000000"/>
        </w:rPr>
        <w:t xml:space="preserve">hazards risks. For example, within the food and grocery sector, existing regulators are mostly focused on enforcing compliance with food standards, not in addressing threats from all hazards. Within the health sector, most entities are regulated at a state and territory level with minimal, consistent, overarching guidance from Federal Government, particularly against all hazards threats. </w:t>
      </w:r>
    </w:p>
    <w:p w14:paraId="35951C64" w14:textId="77777777" w:rsidR="00993F09" w:rsidRPr="000266F5" w:rsidRDefault="00993F09" w:rsidP="00993F09">
      <w:pPr>
        <w:spacing w:after="0" w:line="240" w:lineRule="auto"/>
        <w:rPr>
          <w:rFonts w:ascii="Times New Roman" w:eastAsia="Arial" w:hAnsi="Times New Roman" w:cs="Times New Roman"/>
          <w:color w:val="000000"/>
        </w:rPr>
      </w:pPr>
    </w:p>
    <w:p w14:paraId="1AD90BDB" w14:textId="25F98A85" w:rsidR="00865F05" w:rsidRDefault="00993F09" w:rsidP="00993F09">
      <w:pPr>
        <w:spacing w:after="120" w:line="240" w:lineRule="auto"/>
        <w:rPr>
          <w:rFonts w:ascii="Times New Roman" w:eastAsia="MS PGothic" w:hAnsi="Times New Roman" w:cs="Times New Roman"/>
          <w:color w:val="000000"/>
        </w:rPr>
      </w:pPr>
      <w:r w:rsidRPr="000266F5">
        <w:rPr>
          <w:rFonts w:ascii="Times New Roman" w:eastAsia="Arial" w:hAnsi="Times New Roman" w:cs="Times New Roman"/>
          <w:color w:val="000000"/>
        </w:rPr>
        <w:t>Where critical infrastructure owners and operators have taken positive voluntary steps to address all</w:t>
      </w:r>
      <w:r w:rsidR="00AF57D9">
        <w:rPr>
          <w:rFonts w:ascii="Times New Roman" w:eastAsia="Arial" w:hAnsi="Times New Roman" w:cs="Times New Roman"/>
          <w:color w:val="000000"/>
        </w:rPr>
        <w:t>-</w:t>
      </w:r>
      <w:r w:rsidRPr="000266F5">
        <w:rPr>
          <w:rFonts w:ascii="Times New Roman" w:eastAsia="Arial" w:hAnsi="Times New Roman" w:cs="Times New Roman"/>
          <w:color w:val="000000"/>
        </w:rPr>
        <w:t>hazards risks (such as improving cyber security arrangements), these can be ad-hoc and inconsistent across sectors. For example t</w:t>
      </w:r>
      <w:r w:rsidRPr="000266F5">
        <w:rPr>
          <w:rFonts w:ascii="Times New Roman" w:eastAsia="MS PGothic" w:hAnsi="Times New Roman" w:cs="Times New Roman"/>
          <w:color w:val="000000"/>
        </w:rPr>
        <w:t xml:space="preserve">he Australian Cyber Security Centre’s Essential Eight advises on broad baseline cyber security strategies that businesses can implement. However, entities are able to select the strategies they implement, how they implement them, and even whether they implement them at all, ultimately resulting in </w:t>
      </w:r>
      <w:r w:rsidR="00865F05">
        <w:rPr>
          <w:rFonts w:ascii="Times New Roman" w:eastAsia="MS PGothic" w:hAnsi="Times New Roman" w:cs="Times New Roman"/>
          <w:color w:val="000000"/>
        </w:rPr>
        <w:t>inconsistent standards</w:t>
      </w:r>
      <w:r w:rsidRPr="000266F5">
        <w:rPr>
          <w:rFonts w:ascii="Times New Roman" w:eastAsia="MS PGothic" w:hAnsi="Times New Roman" w:cs="Times New Roman"/>
          <w:color w:val="000000"/>
        </w:rPr>
        <w:t xml:space="preserve"> across industry. </w:t>
      </w:r>
    </w:p>
    <w:p w14:paraId="346EE6AB" w14:textId="5D157291" w:rsidR="00993F09" w:rsidRPr="000266F5" w:rsidRDefault="00993F09" w:rsidP="00993F09">
      <w:pPr>
        <w:spacing w:after="12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Without a clear and consistent approach it can be difficult for businesses to justify expenditure on uplifting all hazards security practices. This will increasingly lead to greater vulnerabilities being exposed in the nation’s critical infrastructure. To ensure sector-wide resilience and security, industry must continue to adapt and keep up with the latest innovation and research. Without a more proactive stance on all hazards risk management there is a greater likelihood of critical infrastructure incidents. While certain </w:t>
      </w:r>
      <w:r w:rsidRPr="00EE0D81">
        <w:rPr>
          <w:rFonts w:ascii="Times New Roman" w:hAnsi="Times New Roman"/>
          <w:i/>
          <w:color w:val="000000"/>
        </w:rPr>
        <w:t>critical infrastructure asset</w:t>
      </w:r>
      <w:r w:rsidRPr="000266F5">
        <w:rPr>
          <w:rFonts w:ascii="Times New Roman" w:eastAsia="MS PGothic" w:hAnsi="Times New Roman" w:cs="Times New Roman"/>
          <w:color w:val="000000"/>
        </w:rPr>
        <w:t xml:space="preserve">s may have mature security practices, they may rely on an industry or asset with less secure practices creating inherent vulnerabilities within their supply chains. This means that without a complete, sector-wide uplift in security the true benefits of reform cannot be realised. </w:t>
      </w:r>
    </w:p>
    <w:p w14:paraId="1D940CC2" w14:textId="53D72515" w:rsidR="00993F09" w:rsidRPr="000266F5" w:rsidRDefault="00865F05" w:rsidP="00993F09">
      <w:pPr>
        <w:spacing w:after="120" w:line="240" w:lineRule="auto"/>
        <w:rPr>
          <w:rFonts w:ascii="Times New Roman" w:eastAsia="MS PGothic" w:hAnsi="Times New Roman" w:cs="Times New Roman"/>
          <w:color w:val="000000"/>
        </w:rPr>
      </w:pPr>
      <w:r>
        <w:rPr>
          <w:rFonts w:ascii="Times New Roman" w:eastAsia="MS PGothic" w:hAnsi="Times New Roman" w:cs="Times New Roman"/>
          <w:color w:val="000000"/>
        </w:rPr>
        <w:t>If</w:t>
      </w:r>
      <w:r w:rsidR="00993F09" w:rsidRPr="000266F5">
        <w:rPr>
          <w:rFonts w:ascii="Times New Roman" w:eastAsia="MS PGothic" w:hAnsi="Times New Roman" w:cs="Times New Roman"/>
          <w:color w:val="000000"/>
        </w:rPr>
        <w:t xml:space="preserve"> a significant cyber incident on critical infrastructure happened today, there is a risk that the Government may not have the mechanisms to act decisively to support an entity to stop or prevent an attack, nor does industry have obligations to report significant cyber incidents or apply minimum cyber security standards. </w:t>
      </w:r>
    </w:p>
    <w:p w14:paraId="53BA31C3" w14:textId="77777777" w:rsidR="00993F09" w:rsidRPr="000266F5" w:rsidRDefault="00993F09" w:rsidP="00993F09">
      <w:pPr>
        <w:spacing w:after="120" w:line="240" w:lineRule="auto"/>
        <w:rPr>
          <w:rFonts w:ascii="Times New Roman" w:eastAsia="Times New Roman" w:hAnsi="Times New Roman" w:cs="Times New Roman"/>
          <w:i/>
          <w:iCs/>
          <w:color w:val="000000"/>
        </w:rPr>
      </w:pPr>
      <w:r w:rsidRPr="000266F5">
        <w:rPr>
          <w:rFonts w:ascii="Times New Roman" w:eastAsia="Times New Roman" w:hAnsi="Times New Roman" w:cs="Times New Roman"/>
          <w:i/>
          <w:iCs/>
          <w:color w:val="000000"/>
        </w:rPr>
        <w:t>Foreign Acquisitions and Takeovers Act 1975</w:t>
      </w:r>
    </w:p>
    <w:p w14:paraId="2913E407" w14:textId="7FB68A3D" w:rsidR="00993F09" w:rsidRDefault="00993F09" w:rsidP="00993F09">
      <w:pPr>
        <w:spacing w:before="120"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The inability of the Government to impose requirements on entities to protect their assets is a significant shortcoming in the current threat environment. This has created an over-reliance on the </w:t>
      </w:r>
      <w:r w:rsidRPr="000266F5">
        <w:rPr>
          <w:rFonts w:ascii="Times New Roman" w:eastAsia="Arial" w:hAnsi="Times New Roman" w:cs="Times New Roman"/>
          <w:i/>
          <w:iCs/>
          <w:color w:val="000000"/>
        </w:rPr>
        <w:t>Foreign Acquisitions and Takeovers Act 1975</w:t>
      </w:r>
      <w:r w:rsidRPr="000266F5">
        <w:rPr>
          <w:rFonts w:ascii="Times New Roman" w:eastAsia="Arial" w:hAnsi="Times New Roman" w:cs="Times New Roman"/>
          <w:iCs/>
          <w:color w:val="000000"/>
        </w:rPr>
        <w:t xml:space="preserve"> (FATA)</w:t>
      </w:r>
      <w:r w:rsidRPr="000266F5">
        <w:rPr>
          <w:rFonts w:ascii="Times New Roman" w:eastAsia="Arial" w:hAnsi="Times New Roman" w:cs="Times New Roman"/>
          <w:color w:val="000000"/>
        </w:rPr>
        <w:t xml:space="preserve"> to manage risks. </w:t>
      </w:r>
      <w:r w:rsidRPr="005E4E88">
        <w:rPr>
          <w:rFonts w:ascii="Times New Roman" w:eastAsia="Arial" w:hAnsi="Times New Roman" w:cs="Times New Roman"/>
          <w:color w:val="000000"/>
        </w:rPr>
        <w:t xml:space="preserve">As the geopolitical environment continues to evolve, and as our national economy and critical infrastructure become ever more complex and interconnected, it is essential that the foreign investment </w:t>
      </w:r>
      <w:r>
        <w:rPr>
          <w:rFonts w:ascii="Times New Roman" w:eastAsia="Arial" w:hAnsi="Times New Roman" w:cs="Times New Roman"/>
          <w:color w:val="000000"/>
        </w:rPr>
        <w:t xml:space="preserve">review </w:t>
      </w:r>
      <w:r w:rsidRPr="005E4E88">
        <w:rPr>
          <w:rFonts w:ascii="Times New Roman" w:eastAsia="Arial" w:hAnsi="Times New Roman" w:cs="Times New Roman"/>
          <w:color w:val="000000"/>
        </w:rPr>
        <w:t xml:space="preserve">framework </w:t>
      </w:r>
      <w:r>
        <w:rPr>
          <w:rFonts w:ascii="Times New Roman" w:eastAsia="Arial" w:hAnsi="Times New Roman" w:cs="Times New Roman"/>
          <w:color w:val="000000"/>
        </w:rPr>
        <w:t xml:space="preserve">as </w:t>
      </w:r>
      <w:r w:rsidRPr="005E4E88">
        <w:rPr>
          <w:rFonts w:ascii="Times New Roman" w:eastAsia="Arial" w:hAnsi="Times New Roman" w:cs="Times New Roman"/>
          <w:color w:val="000000"/>
        </w:rPr>
        <w:t xml:space="preserve">set out in the </w:t>
      </w:r>
      <w:r>
        <w:rPr>
          <w:rFonts w:ascii="Times New Roman" w:eastAsia="Arial" w:hAnsi="Times New Roman" w:cs="Times New Roman"/>
          <w:color w:val="000000"/>
        </w:rPr>
        <w:t xml:space="preserve">FATA and </w:t>
      </w:r>
      <w:r w:rsidRPr="001A7788">
        <w:rPr>
          <w:rFonts w:ascii="Times New Roman" w:eastAsia="Arial" w:hAnsi="Times New Roman" w:cs="Times New Roman"/>
          <w:color w:val="000000"/>
        </w:rPr>
        <w:t xml:space="preserve">the risk management framework under </w:t>
      </w:r>
      <w:r>
        <w:rPr>
          <w:rFonts w:ascii="Times New Roman" w:eastAsia="Arial" w:hAnsi="Times New Roman" w:cs="Times New Roman"/>
          <w:color w:val="000000"/>
        </w:rPr>
        <w:t xml:space="preserve">the SoCI </w:t>
      </w:r>
      <w:r w:rsidRPr="005E4E88">
        <w:rPr>
          <w:rFonts w:ascii="Times New Roman" w:eastAsia="Arial" w:hAnsi="Times New Roman" w:cs="Times New Roman"/>
          <w:color w:val="000000"/>
        </w:rPr>
        <w:t>adapt to meet these challenges.</w:t>
      </w:r>
      <w:r w:rsidRPr="001A7788">
        <w:rPr>
          <w:rFonts w:ascii="Times New Roman" w:eastAsia="Arial" w:hAnsi="Times New Roman" w:cs="Times New Roman"/>
          <w:color w:val="000000"/>
        </w:rPr>
        <w:t xml:space="preserve"> </w:t>
      </w:r>
      <w:r w:rsidRPr="000266F5">
        <w:rPr>
          <w:rFonts w:ascii="Times New Roman" w:eastAsia="Arial" w:hAnsi="Times New Roman" w:cs="Times New Roman"/>
          <w:color w:val="000000"/>
        </w:rPr>
        <w:t xml:space="preserve">The critical infrastructure reforms look to compliment the FATA by providing an ownership agnostic risk management framework. </w:t>
      </w:r>
    </w:p>
    <w:p w14:paraId="7B1FA061" w14:textId="77777777" w:rsidR="00993F09" w:rsidRDefault="00993F09" w:rsidP="00EE0D81">
      <w:pPr>
        <w:spacing w:before="120" w:after="0" w:line="240" w:lineRule="auto"/>
        <w:rPr>
          <w:rFonts w:ascii="Times New Roman" w:eastAsia="Arial" w:hAnsi="Times New Roman" w:cs="Times New Roman"/>
          <w:color w:val="000000"/>
        </w:rPr>
      </w:pPr>
    </w:p>
    <w:p w14:paraId="0758A027" w14:textId="307F771A" w:rsidR="00993F09" w:rsidRPr="000266F5" w:rsidRDefault="00993F09" w:rsidP="00993F09">
      <w:pPr>
        <w:spacing w:after="0" w:line="240" w:lineRule="auto"/>
        <w:rPr>
          <w:rFonts w:ascii="Times New Roman" w:eastAsia="Arial" w:hAnsi="Times New Roman" w:cs="Times New Roman"/>
          <w:color w:val="000000"/>
        </w:rPr>
      </w:pPr>
      <w:r>
        <w:rPr>
          <w:rFonts w:ascii="Times New Roman" w:eastAsia="Arial" w:hAnsi="Times New Roman" w:cs="Times New Roman"/>
          <w:color w:val="000000"/>
        </w:rPr>
        <w:t>The Department</w:t>
      </w:r>
      <w:r w:rsidRPr="00BD1875">
        <w:rPr>
          <w:rFonts w:ascii="Times New Roman" w:eastAsia="Arial" w:hAnsi="Times New Roman" w:cs="Times New Roman"/>
          <w:color w:val="000000"/>
        </w:rPr>
        <w:t xml:space="preserve"> is one of several national security partners the Treasury consults in preparing advice for the decision-maker on foreign investment applications</w:t>
      </w:r>
      <w:r>
        <w:rPr>
          <w:rFonts w:ascii="Times New Roman" w:eastAsia="Arial" w:hAnsi="Times New Roman" w:cs="Times New Roman"/>
          <w:color w:val="000000"/>
        </w:rPr>
        <w:t xml:space="preserve"> under the FATA</w:t>
      </w:r>
      <w:r w:rsidRPr="00BD1875">
        <w:rPr>
          <w:rFonts w:ascii="Times New Roman" w:eastAsia="Arial" w:hAnsi="Times New Roman" w:cs="Times New Roman"/>
          <w:color w:val="000000"/>
        </w:rPr>
        <w:t xml:space="preserve">. </w:t>
      </w:r>
      <w:r>
        <w:rPr>
          <w:rFonts w:ascii="Times New Roman" w:eastAsia="Arial" w:hAnsi="Times New Roman" w:cs="Times New Roman"/>
          <w:color w:val="000000"/>
        </w:rPr>
        <w:t>CIC</w:t>
      </w:r>
      <w:r w:rsidRPr="00BD1875">
        <w:rPr>
          <w:rFonts w:ascii="Times New Roman" w:eastAsia="Arial" w:hAnsi="Times New Roman" w:cs="Times New Roman"/>
          <w:color w:val="000000"/>
        </w:rPr>
        <w:t xml:space="preserve"> undertakes risk assessments on a case by case basis where an acquisition </w:t>
      </w:r>
      <w:r w:rsidR="00AF57D9">
        <w:rPr>
          <w:rFonts w:ascii="Times New Roman" w:eastAsia="Arial" w:hAnsi="Times New Roman" w:cs="Times New Roman"/>
          <w:color w:val="000000"/>
        </w:rPr>
        <w:t xml:space="preserve">is </w:t>
      </w:r>
      <w:r w:rsidRPr="00BD1875">
        <w:rPr>
          <w:rFonts w:ascii="Times New Roman" w:eastAsia="Arial" w:hAnsi="Times New Roman" w:cs="Times New Roman"/>
          <w:color w:val="000000"/>
        </w:rPr>
        <w:t xml:space="preserve">in one of Australia’s </w:t>
      </w:r>
      <w:r w:rsidRPr="00B1725B">
        <w:rPr>
          <w:rFonts w:ascii="Times New Roman" w:eastAsia="Arial" w:hAnsi="Times New Roman" w:cs="Times New Roman"/>
          <w:i/>
          <w:color w:val="000000"/>
        </w:rPr>
        <w:t>critical infrastructure sector</w:t>
      </w:r>
      <w:r w:rsidRPr="00BD1875">
        <w:rPr>
          <w:rFonts w:ascii="Times New Roman" w:eastAsia="Arial" w:hAnsi="Times New Roman" w:cs="Times New Roman"/>
          <w:color w:val="000000"/>
        </w:rPr>
        <w:t>s</w:t>
      </w:r>
      <w:r>
        <w:rPr>
          <w:rFonts w:ascii="Times New Roman" w:eastAsia="Arial" w:hAnsi="Times New Roman" w:cs="Times New Roman"/>
          <w:color w:val="000000"/>
        </w:rPr>
        <w:t xml:space="preserve">. </w:t>
      </w:r>
      <w:r w:rsidRPr="00086962">
        <w:rPr>
          <w:rFonts w:ascii="Times New Roman" w:eastAsia="Arial" w:hAnsi="Times New Roman" w:cs="Times New Roman"/>
          <w:color w:val="000000"/>
        </w:rPr>
        <w:t xml:space="preserve">Where national security risks are identified, the </w:t>
      </w:r>
      <w:r>
        <w:rPr>
          <w:rFonts w:ascii="Times New Roman" w:eastAsia="Arial" w:hAnsi="Times New Roman" w:cs="Times New Roman"/>
          <w:color w:val="000000"/>
        </w:rPr>
        <w:t>CIC</w:t>
      </w:r>
      <w:r w:rsidRPr="00086962">
        <w:rPr>
          <w:rFonts w:ascii="Times New Roman" w:eastAsia="Arial" w:hAnsi="Times New Roman" w:cs="Times New Roman"/>
          <w:color w:val="000000"/>
        </w:rPr>
        <w:t xml:space="preserve"> may recommend imposing mitigations, which include a spectrum of binding conditions on the acquisition or, in the most extreme cases, </w:t>
      </w:r>
      <w:r w:rsidR="00AF57D9">
        <w:rPr>
          <w:rFonts w:ascii="Times New Roman" w:eastAsia="Arial" w:hAnsi="Times New Roman" w:cs="Times New Roman"/>
          <w:color w:val="000000"/>
        </w:rPr>
        <w:t>that no conditions would manage the risk posed by the transaction</w:t>
      </w:r>
      <w:r w:rsidRPr="00086962">
        <w:rPr>
          <w:rFonts w:ascii="Times New Roman" w:eastAsia="Arial" w:hAnsi="Times New Roman" w:cs="Times New Roman"/>
          <w:color w:val="000000"/>
        </w:rPr>
        <w:t>.</w:t>
      </w:r>
      <w:r w:rsidRPr="004D46E5">
        <w:t xml:space="preserve"> </w:t>
      </w:r>
    </w:p>
    <w:p w14:paraId="6E04B5D5" w14:textId="77777777" w:rsidR="00993F09" w:rsidRPr="000266F5" w:rsidRDefault="00993F09" w:rsidP="00993F09">
      <w:pPr>
        <w:spacing w:after="0" w:line="240" w:lineRule="auto"/>
        <w:rPr>
          <w:rFonts w:ascii="Times New Roman" w:eastAsia="Arial" w:hAnsi="Times New Roman" w:cs="Times New Roman"/>
          <w:color w:val="000000"/>
        </w:rPr>
      </w:pPr>
    </w:p>
    <w:p w14:paraId="45C09906" w14:textId="6B3C7A5F" w:rsidR="00993F09" w:rsidRPr="000266F5" w:rsidRDefault="00993F09" w:rsidP="00993F09">
      <w:pPr>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Since the creation of the CIC in January 2017, there has been an average 61 per cent annual increase in critical infrastructure-related foreign investment applications being referred to the CIC for review. In the first year of its existence, the CIC assessed 242 cases (2017/18). Since then, case numbers have increased </w:t>
      </w:r>
      <w:r>
        <w:rPr>
          <w:rFonts w:ascii="Times New Roman" w:eastAsia="Arial" w:hAnsi="Times New Roman" w:cs="Times New Roman"/>
          <w:color w:val="000000"/>
        </w:rPr>
        <w:t>significantly</w:t>
      </w:r>
      <w:r w:rsidRPr="000266F5">
        <w:rPr>
          <w:rFonts w:ascii="Times New Roman" w:eastAsia="Arial" w:hAnsi="Times New Roman" w:cs="Times New Roman"/>
          <w:color w:val="000000"/>
        </w:rPr>
        <w:t xml:space="preserve"> with 626 cases assessed by the </w:t>
      </w:r>
      <w:r>
        <w:rPr>
          <w:rFonts w:ascii="Times New Roman" w:eastAsia="Arial" w:hAnsi="Times New Roman" w:cs="Times New Roman"/>
          <w:color w:val="000000"/>
        </w:rPr>
        <w:t>CIC</w:t>
      </w:r>
      <w:r w:rsidRPr="000266F5">
        <w:rPr>
          <w:rFonts w:ascii="Times New Roman" w:eastAsia="Arial" w:hAnsi="Times New Roman" w:cs="Times New Roman"/>
          <w:color w:val="000000"/>
        </w:rPr>
        <w:t xml:space="preserve"> in 2019-20. </w:t>
      </w:r>
      <w:r w:rsidRPr="00086962">
        <w:rPr>
          <w:rFonts w:ascii="Times New Roman" w:eastAsia="Arial" w:hAnsi="Times New Roman" w:cs="Times New Roman"/>
          <w:color w:val="000000"/>
        </w:rPr>
        <w:t xml:space="preserve">On 29 March 2020, the Treasurer announced temporary changes to Australia’s foreign investment </w:t>
      </w:r>
      <w:r>
        <w:rPr>
          <w:rFonts w:ascii="Times New Roman" w:eastAsia="Arial" w:hAnsi="Times New Roman" w:cs="Times New Roman"/>
          <w:color w:val="000000"/>
        </w:rPr>
        <w:t xml:space="preserve">review </w:t>
      </w:r>
      <w:r w:rsidRPr="00086962">
        <w:rPr>
          <w:rFonts w:ascii="Times New Roman" w:eastAsia="Arial" w:hAnsi="Times New Roman" w:cs="Times New Roman"/>
          <w:color w:val="000000"/>
        </w:rPr>
        <w:t xml:space="preserve">framework in </w:t>
      </w:r>
      <w:r w:rsidRPr="00086962">
        <w:rPr>
          <w:rFonts w:ascii="Times New Roman" w:eastAsia="Arial" w:hAnsi="Times New Roman" w:cs="Times New Roman"/>
          <w:color w:val="000000"/>
        </w:rPr>
        <w:lastRenderedPageBreak/>
        <w:t xml:space="preserve">response to the COVID-19 pandemic, setting a $0 </w:t>
      </w:r>
      <w:r>
        <w:rPr>
          <w:rFonts w:ascii="Times New Roman" w:eastAsia="Arial" w:hAnsi="Times New Roman" w:cs="Times New Roman"/>
          <w:color w:val="000000"/>
        </w:rPr>
        <w:t xml:space="preserve">monetary screening </w:t>
      </w:r>
      <w:r w:rsidRPr="00086962">
        <w:rPr>
          <w:rFonts w:ascii="Times New Roman" w:eastAsia="Arial" w:hAnsi="Times New Roman" w:cs="Times New Roman"/>
          <w:color w:val="000000"/>
        </w:rPr>
        <w:t xml:space="preserve">threshold for all </w:t>
      </w:r>
      <w:r w:rsidR="00AF57D9">
        <w:rPr>
          <w:rFonts w:ascii="Times New Roman" w:eastAsia="Arial" w:hAnsi="Times New Roman" w:cs="Times New Roman"/>
          <w:color w:val="000000"/>
        </w:rPr>
        <w:t>proposed</w:t>
      </w:r>
      <w:r>
        <w:rPr>
          <w:rFonts w:ascii="Times New Roman" w:eastAsia="Arial" w:hAnsi="Times New Roman" w:cs="Times New Roman"/>
          <w:color w:val="000000"/>
        </w:rPr>
        <w:t xml:space="preserve"> </w:t>
      </w:r>
      <w:r w:rsidRPr="00086962">
        <w:rPr>
          <w:rFonts w:ascii="Times New Roman" w:eastAsia="Arial" w:hAnsi="Times New Roman" w:cs="Times New Roman"/>
          <w:color w:val="000000"/>
        </w:rPr>
        <w:t xml:space="preserve">foreign investment in Australian businesses and land. The change resulted in a significant spike in the volume of applications referred to </w:t>
      </w:r>
      <w:r>
        <w:rPr>
          <w:rFonts w:ascii="Times New Roman" w:eastAsia="Arial" w:hAnsi="Times New Roman" w:cs="Times New Roman"/>
          <w:color w:val="000000"/>
        </w:rPr>
        <w:t>the Department</w:t>
      </w:r>
      <w:r w:rsidRPr="00086962">
        <w:rPr>
          <w:rFonts w:ascii="Times New Roman" w:eastAsia="Arial" w:hAnsi="Times New Roman" w:cs="Times New Roman"/>
          <w:color w:val="000000"/>
        </w:rPr>
        <w:t xml:space="preserve"> for scrutiny, which it would not normally see under the regular monetary thresholds.</w:t>
      </w:r>
      <w:r w:rsidRPr="000266F5">
        <w:rPr>
          <w:rFonts w:ascii="Times New Roman" w:eastAsia="Arial" w:hAnsi="Times New Roman" w:cs="Times New Roman"/>
          <w:color w:val="000000"/>
        </w:rPr>
        <w:t xml:space="preserve"> </w:t>
      </w:r>
    </w:p>
    <w:p w14:paraId="08BB63B5" w14:textId="77777777" w:rsidR="00993F09" w:rsidRPr="000266F5" w:rsidRDefault="00993F09" w:rsidP="00993F09">
      <w:pPr>
        <w:spacing w:after="0" w:line="240" w:lineRule="auto"/>
        <w:rPr>
          <w:rFonts w:ascii="Times New Roman" w:eastAsia="Arial" w:hAnsi="Times New Roman" w:cs="Times New Roman"/>
          <w:color w:val="000000"/>
        </w:rPr>
      </w:pPr>
    </w:p>
    <w:p w14:paraId="17ECD925" w14:textId="1C69A4F0" w:rsidR="00993F09" w:rsidRDefault="00993F09" w:rsidP="00993F09">
      <w:pPr>
        <w:spacing w:after="0" w:line="240" w:lineRule="auto"/>
        <w:rPr>
          <w:rFonts w:ascii="Times New Roman" w:eastAsia="Arial" w:hAnsi="Times New Roman" w:cs="Times New Roman"/>
          <w:color w:val="000000"/>
        </w:rPr>
      </w:pPr>
      <w:r>
        <w:rPr>
          <w:rFonts w:ascii="Times New Roman" w:eastAsia="Arial" w:hAnsi="Times New Roman" w:cs="Times New Roman"/>
          <w:color w:val="000000"/>
        </w:rPr>
        <w:t>The</w:t>
      </w:r>
      <w:r w:rsidRPr="00086962">
        <w:rPr>
          <w:rFonts w:ascii="Times New Roman" w:eastAsia="Arial" w:hAnsi="Times New Roman" w:cs="Times New Roman"/>
          <w:color w:val="000000"/>
        </w:rPr>
        <w:t xml:space="preserve"> proposed reforms </w:t>
      </w:r>
      <w:r>
        <w:rPr>
          <w:rFonts w:ascii="Times New Roman" w:eastAsia="Arial" w:hAnsi="Times New Roman" w:cs="Times New Roman"/>
          <w:color w:val="000000"/>
        </w:rPr>
        <w:t xml:space="preserve">within this RIS intend to </w:t>
      </w:r>
      <w:r w:rsidRPr="00086962">
        <w:rPr>
          <w:rFonts w:ascii="Times New Roman" w:eastAsia="Arial" w:hAnsi="Times New Roman" w:cs="Times New Roman"/>
          <w:color w:val="000000"/>
        </w:rPr>
        <w:t xml:space="preserve">address the increasing threats to our </w:t>
      </w:r>
      <w:r w:rsidRPr="00B1725B">
        <w:rPr>
          <w:rFonts w:ascii="Times New Roman" w:eastAsia="Arial" w:hAnsi="Times New Roman" w:cs="Times New Roman"/>
          <w:i/>
          <w:color w:val="000000"/>
        </w:rPr>
        <w:t>critical infrastructure sector</w:t>
      </w:r>
      <w:r w:rsidRPr="00086962">
        <w:rPr>
          <w:rFonts w:ascii="Times New Roman" w:eastAsia="Arial" w:hAnsi="Times New Roman" w:cs="Times New Roman"/>
          <w:color w:val="000000"/>
        </w:rPr>
        <w:t xml:space="preserve">s by placing obligations on critical infrastructure owners and operators to protect their assets against all hazards. </w:t>
      </w:r>
      <w:r w:rsidR="00AF57D9">
        <w:rPr>
          <w:rFonts w:ascii="Times New Roman" w:eastAsia="Arial" w:hAnsi="Times New Roman" w:cs="Times New Roman"/>
          <w:color w:val="000000"/>
        </w:rPr>
        <w:t>This is designed to o</w:t>
      </w:r>
      <w:r w:rsidRPr="00086962">
        <w:rPr>
          <w:rFonts w:ascii="Times New Roman" w:eastAsia="Arial" w:hAnsi="Times New Roman" w:cs="Times New Roman"/>
          <w:color w:val="000000"/>
        </w:rPr>
        <w:t>ver time relieve the pressure on the foreign investment process, by allowing sector-wide obligations to take the place of case-by-case national security conditions. Sector-wide obligations will also ensure that foreign-owned and Australian-owned businesses are held to the same security standards.</w:t>
      </w:r>
      <w:r>
        <w:rPr>
          <w:rFonts w:ascii="Times New Roman" w:eastAsia="Arial" w:hAnsi="Times New Roman" w:cs="Times New Roman"/>
          <w:color w:val="000000"/>
        </w:rPr>
        <w:t xml:space="preserve"> These reforms will, however, </w:t>
      </w:r>
      <w:r w:rsidRPr="00083C33">
        <w:rPr>
          <w:rFonts w:ascii="Times New Roman" w:eastAsia="Arial" w:hAnsi="Times New Roman" w:cs="Times New Roman"/>
          <w:color w:val="000000"/>
        </w:rPr>
        <w:t xml:space="preserve">have limited effectiveness in mitigating risks where a foreign-owned entity is deliberately and deceptively acting to undermine Australia’s national security. The </w:t>
      </w:r>
      <w:r w:rsidR="003276BE">
        <w:rPr>
          <w:rFonts w:ascii="Times New Roman" w:eastAsia="Arial" w:hAnsi="Times New Roman" w:cs="Times New Roman"/>
          <w:color w:val="000000"/>
        </w:rPr>
        <w:t>changes</w:t>
      </w:r>
      <w:r w:rsidRPr="00083C33">
        <w:rPr>
          <w:rFonts w:ascii="Times New Roman" w:eastAsia="Arial" w:hAnsi="Times New Roman" w:cs="Times New Roman"/>
          <w:color w:val="000000"/>
        </w:rPr>
        <w:t xml:space="preserve"> contemplated in the </w:t>
      </w:r>
      <w:r>
        <w:rPr>
          <w:rFonts w:ascii="Times New Roman" w:eastAsia="Arial" w:hAnsi="Times New Roman" w:cs="Times New Roman"/>
          <w:color w:val="000000"/>
        </w:rPr>
        <w:t>FATA reforms</w:t>
      </w:r>
      <w:r w:rsidRPr="00083C33">
        <w:rPr>
          <w:rFonts w:ascii="Times New Roman" w:eastAsia="Arial" w:hAnsi="Times New Roman" w:cs="Times New Roman"/>
          <w:color w:val="000000"/>
        </w:rPr>
        <w:t xml:space="preserve"> will complement </w:t>
      </w:r>
      <w:r w:rsidR="00AF57D9">
        <w:rPr>
          <w:rFonts w:ascii="Times New Roman" w:eastAsia="Arial" w:hAnsi="Times New Roman" w:cs="Times New Roman"/>
          <w:color w:val="000000"/>
        </w:rPr>
        <w:t>the</w:t>
      </w:r>
      <w:r w:rsidRPr="00083C33">
        <w:rPr>
          <w:rFonts w:ascii="Times New Roman" w:eastAsia="Arial" w:hAnsi="Times New Roman" w:cs="Times New Roman"/>
          <w:color w:val="000000"/>
        </w:rPr>
        <w:t xml:space="preserve"> critical infrastructure security reform</w:t>
      </w:r>
      <w:r w:rsidR="00AF57D9">
        <w:rPr>
          <w:rFonts w:ascii="Times New Roman" w:eastAsia="Arial" w:hAnsi="Times New Roman" w:cs="Times New Roman"/>
          <w:color w:val="000000"/>
        </w:rPr>
        <w:t>s</w:t>
      </w:r>
      <w:r w:rsidRPr="00083C33">
        <w:rPr>
          <w:rFonts w:ascii="Times New Roman" w:eastAsia="Arial" w:hAnsi="Times New Roman" w:cs="Times New Roman"/>
          <w:color w:val="000000"/>
        </w:rPr>
        <w:t xml:space="preserve"> by effectively managing national security risk arising from ownership.</w:t>
      </w:r>
    </w:p>
    <w:p w14:paraId="7453115E" w14:textId="77777777" w:rsidR="00993F09" w:rsidRDefault="00993F09" w:rsidP="00993F09">
      <w:pPr>
        <w:spacing w:after="0" w:line="240" w:lineRule="auto"/>
        <w:rPr>
          <w:rFonts w:ascii="Times New Roman" w:eastAsia="Arial" w:hAnsi="Times New Roman" w:cs="Times New Roman"/>
          <w:color w:val="000000"/>
        </w:rPr>
      </w:pPr>
    </w:p>
    <w:p w14:paraId="31CE3471" w14:textId="2AD1AE90" w:rsidR="00993F09" w:rsidRPr="00064472" w:rsidRDefault="00993F09" w:rsidP="00993F09">
      <w:pPr>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The proposed critical infrastructure enhanced framework will </w:t>
      </w:r>
      <w:r>
        <w:rPr>
          <w:rFonts w:ascii="Times New Roman" w:eastAsia="Arial" w:hAnsi="Times New Roman" w:cs="Times New Roman"/>
          <w:color w:val="000000"/>
        </w:rPr>
        <w:t xml:space="preserve">further </w:t>
      </w:r>
      <w:r w:rsidRPr="000266F5">
        <w:rPr>
          <w:rFonts w:ascii="Times New Roman" w:eastAsia="Arial" w:hAnsi="Times New Roman" w:cs="Times New Roman"/>
          <w:color w:val="000000"/>
        </w:rPr>
        <w:t xml:space="preserve">align with </w:t>
      </w:r>
      <w:r>
        <w:rPr>
          <w:rFonts w:ascii="Times New Roman" w:eastAsia="Arial" w:hAnsi="Times New Roman" w:cs="Times New Roman"/>
          <w:color w:val="000000"/>
        </w:rPr>
        <w:t xml:space="preserve">the </w:t>
      </w:r>
      <w:r w:rsidR="00AF57D9">
        <w:rPr>
          <w:rFonts w:ascii="Times New Roman" w:eastAsia="Arial" w:hAnsi="Times New Roman" w:cs="Times New Roman"/>
          <w:color w:val="000000"/>
        </w:rPr>
        <w:t>FATA reforms</w:t>
      </w:r>
      <w:r>
        <w:rPr>
          <w:rFonts w:ascii="Times New Roman" w:eastAsia="Arial" w:hAnsi="Times New Roman" w:cs="Times New Roman"/>
          <w:color w:val="000000"/>
        </w:rPr>
        <w:t xml:space="preserve"> through a linked understanding of ‘national security business’</w:t>
      </w:r>
      <w:r w:rsidRPr="000266F5">
        <w:rPr>
          <w:rFonts w:ascii="Times New Roman" w:eastAsia="Arial" w:hAnsi="Times New Roman" w:cs="Times New Roman"/>
          <w:color w:val="000000"/>
        </w:rPr>
        <w:t xml:space="preserve">. </w:t>
      </w:r>
      <w:r w:rsidRPr="00083C33">
        <w:rPr>
          <w:rFonts w:ascii="Times New Roman" w:eastAsia="Arial" w:hAnsi="Times New Roman" w:cs="Times New Roman"/>
          <w:color w:val="000000"/>
        </w:rPr>
        <w:t xml:space="preserve">The </w:t>
      </w:r>
      <w:r w:rsidR="003276BE">
        <w:rPr>
          <w:rFonts w:ascii="Times New Roman" w:eastAsia="Arial" w:hAnsi="Times New Roman" w:cs="Times New Roman"/>
          <w:color w:val="000000"/>
        </w:rPr>
        <w:t>FATA</w:t>
      </w:r>
      <w:r w:rsidRPr="00D65832">
        <w:rPr>
          <w:rFonts w:ascii="Times New Roman" w:eastAsia="Arial" w:hAnsi="Times New Roman" w:cs="Times New Roman"/>
          <w:color w:val="000000"/>
        </w:rPr>
        <w:t xml:space="preserve"> Reform</w:t>
      </w:r>
      <w:r>
        <w:rPr>
          <w:rFonts w:ascii="Times New Roman" w:eastAsia="Arial" w:hAnsi="Times New Roman" w:cs="Times New Roman"/>
          <w:color w:val="000000"/>
        </w:rPr>
        <w:t xml:space="preserve">s </w:t>
      </w:r>
      <w:r w:rsidRPr="00083C33">
        <w:rPr>
          <w:rFonts w:ascii="Times New Roman" w:eastAsia="Arial" w:hAnsi="Times New Roman" w:cs="Times New Roman"/>
          <w:color w:val="000000"/>
        </w:rPr>
        <w:t xml:space="preserve">proposes a new national security test which requires the mandatory notification of any proposed direct interest in a sensitive ‘national security business’ (including starting such a business). The definition of a national security business will be prescribed in the accompanying Regulation and will, among other things, include </w:t>
      </w:r>
      <w:r w:rsidRPr="00B1725B">
        <w:rPr>
          <w:rFonts w:ascii="Times New Roman" w:eastAsia="Arial" w:hAnsi="Times New Roman" w:cs="Times New Roman"/>
          <w:i/>
          <w:color w:val="000000"/>
        </w:rPr>
        <w:t>critical infrastructure asset</w:t>
      </w:r>
      <w:r w:rsidRPr="00083C33">
        <w:rPr>
          <w:rFonts w:ascii="Times New Roman" w:eastAsia="Arial" w:hAnsi="Times New Roman" w:cs="Times New Roman"/>
          <w:color w:val="000000"/>
        </w:rPr>
        <w:t xml:space="preserve">s as defined in the </w:t>
      </w:r>
      <w:r w:rsidRPr="001A7788">
        <w:rPr>
          <w:rFonts w:ascii="Times New Roman" w:eastAsia="Arial" w:hAnsi="Times New Roman" w:cs="Times New Roman"/>
          <w:color w:val="000000"/>
        </w:rPr>
        <w:t>SoCI</w:t>
      </w:r>
      <w:r w:rsidRPr="00064472">
        <w:rPr>
          <w:rFonts w:ascii="Times New Roman" w:eastAsia="Arial" w:hAnsi="Times New Roman" w:cs="Times New Roman"/>
          <w:color w:val="000000"/>
        </w:rPr>
        <w:t>.</w:t>
      </w:r>
      <w:r w:rsidRPr="00EE0D81">
        <w:t xml:space="preserve"> </w:t>
      </w:r>
    </w:p>
    <w:p w14:paraId="4EBE9F1A" w14:textId="77777777" w:rsidR="00993F09" w:rsidRPr="000266F5" w:rsidRDefault="00993F09" w:rsidP="00993F09">
      <w:pPr>
        <w:spacing w:after="0" w:line="240" w:lineRule="auto"/>
        <w:rPr>
          <w:rFonts w:ascii="Times New Roman" w:eastAsia="Arial" w:hAnsi="Times New Roman" w:cs="Times New Roman"/>
          <w:color w:val="000000"/>
        </w:rPr>
      </w:pPr>
    </w:p>
    <w:p w14:paraId="01EA904D" w14:textId="77777777" w:rsidR="00993F09" w:rsidRPr="000266F5" w:rsidRDefault="00993F09" w:rsidP="00B369B5">
      <w:pPr>
        <w:pStyle w:val="ListParagraph"/>
        <w:numPr>
          <w:ilvl w:val="1"/>
          <w:numId w:val="12"/>
        </w:numPr>
        <w:tabs>
          <w:tab w:val="num" w:pos="340"/>
        </w:tabs>
        <w:spacing w:after="200" w:line="240" w:lineRule="auto"/>
        <w:rPr>
          <w:rFonts w:ascii="Times New Roman" w:eastAsia="Arial" w:hAnsi="Times New Roman" w:cs="Times New Roman"/>
          <w:b/>
          <w:bCs/>
        </w:rPr>
      </w:pPr>
      <w:r w:rsidRPr="000266F5">
        <w:rPr>
          <w:rFonts w:ascii="Times New Roman" w:eastAsia="Arial" w:hAnsi="Times New Roman" w:cs="Times New Roman"/>
          <w:b/>
          <w:bCs/>
        </w:rPr>
        <w:t>The Government currently has limited visibility and power to act</w:t>
      </w:r>
    </w:p>
    <w:p w14:paraId="1EAE8403" w14:textId="77777777" w:rsidR="00993F09" w:rsidRPr="000266F5" w:rsidRDefault="00993F09" w:rsidP="00993F09">
      <w:pPr>
        <w:spacing w:before="120"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Globally, we have recently witnessed a number of cyber security incidents in relation to </w:t>
      </w:r>
      <w:r w:rsidRPr="00EE0D81">
        <w:rPr>
          <w:rFonts w:ascii="Times New Roman" w:hAnsi="Times New Roman"/>
          <w:i/>
          <w:color w:val="000000"/>
        </w:rPr>
        <w:t>critical infrastructure asset</w:t>
      </w:r>
      <w:r w:rsidRPr="000266F5">
        <w:rPr>
          <w:rFonts w:ascii="Times New Roman" w:eastAsia="Arial" w:hAnsi="Times New Roman" w:cs="Times New Roman"/>
          <w:color w:val="000000"/>
        </w:rPr>
        <w:t>s that have had significant direct and indirect consequences. The impacts of these cyber incidents have ranged from large scale financial losses to loss of life.</w:t>
      </w:r>
    </w:p>
    <w:p w14:paraId="280B16C0" w14:textId="77777777" w:rsidR="00993F09" w:rsidRPr="000266F5" w:rsidRDefault="00993F09" w:rsidP="00EE0D81">
      <w:pPr>
        <w:spacing w:after="0" w:line="240" w:lineRule="auto"/>
        <w:rPr>
          <w:rFonts w:ascii="Times New Roman" w:eastAsia="Arial" w:hAnsi="Times New Roman" w:cs="Times New Roman"/>
          <w:color w:val="000000"/>
        </w:rPr>
      </w:pPr>
    </w:p>
    <w:p w14:paraId="4C747BF2" w14:textId="1B5CAB8E" w:rsidR="00993F09" w:rsidRPr="000266F5" w:rsidRDefault="00993F09" w:rsidP="00EE0D81">
      <w:pPr>
        <w:pBdr>
          <w:top w:val="single" w:sz="4" w:space="1" w:color="auto"/>
          <w:left w:val="single" w:sz="4" w:space="4" w:color="auto"/>
          <w:bottom w:val="single" w:sz="4" w:space="1" w:color="auto"/>
          <w:right w:val="single" w:sz="4" w:space="4" w:color="auto"/>
        </w:pBdr>
        <w:shd w:val="clear" w:color="auto" w:fill="DEEAF6" w:themeFill="accent1" w:themeFillTint="33"/>
        <w:spacing w:after="200" w:line="240" w:lineRule="auto"/>
        <w:rPr>
          <w:rFonts w:ascii="Times New Roman" w:eastAsia="Arial" w:hAnsi="Times New Roman" w:cs="Times New Roman"/>
          <w:color w:val="000000"/>
        </w:rPr>
      </w:pPr>
      <w:r w:rsidRPr="000266F5">
        <w:rPr>
          <w:rFonts w:ascii="Times New Roman" w:eastAsia="Arial" w:hAnsi="Times New Roman" w:cs="Times New Roman"/>
          <w:b/>
          <w:color w:val="000000"/>
        </w:rPr>
        <w:t>Ukraine power outages, 2015</w:t>
      </w:r>
      <w:r w:rsidRPr="000266F5">
        <w:rPr>
          <w:rFonts w:ascii="Times New Roman" w:eastAsia="Arial" w:hAnsi="Times New Roman" w:cs="Times New Roman"/>
          <w:color w:val="000000"/>
          <w:u w:val="single"/>
        </w:rPr>
        <w:br/>
      </w:r>
      <w:r w:rsidRPr="000266F5">
        <w:rPr>
          <w:rFonts w:ascii="Times New Roman" w:eastAsia="Arial" w:hAnsi="Times New Roman" w:cs="Times New Roman"/>
          <w:color w:val="000000"/>
        </w:rPr>
        <w:t xml:space="preserve">The Ukrainian power outages </w:t>
      </w:r>
      <w:r w:rsidR="00865F05">
        <w:rPr>
          <w:rFonts w:ascii="Times New Roman" w:eastAsia="Arial" w:hAnsi="Times New Roman" w:cs="Times New Roman"/>
          <w:color w:val="000000"/>
        </w:rPr>
        <w:t xml:space="preserve">on </w:t>
      </w:r>
      <w:r w:rsidR="00865F05" w:rsidRPr="000266F5">
        <w:rPr>
          <w:rFonts w:ascii="Times New Roman" w:eastAsia="Arial" w:hAnsi="Times New Roman" w:cs="Times New Roman"/>
          <w:color w:val="000000"/>
        </w:rPr>
        <w:t xml:space="preserve">23 December 2015 </w:t>
      </w:r>
      <w:r w:rsidRPr="000266F5">
        <w:rPr>
          <w:rFonts w:ascii="Times New Roman" w:eastAsia="Arial" w:hAnsi="Times New Roman" w:cs="Times New Roman"/>
          <w:color w:val="000000"/>
        </w:rPr>
        <w:t>highlighted the potential impacts of cyber attacks on critical infrastructure. The attack involved sophisticated malicious actors taking command and control of the Supervisory Control and Data Acquisition networks of three energy distributors, resulting in 30 substations being switched off. The attack disabled or destroyed other digital infrastructure and wiped data from the companies’ networks. An employee reportedly watched on helplessly as the malicious actor took substations offline. Concurrently, a call centre that provided up to date information to consumers about the blackout became inoperable due to a denial-of-service attack. While less than 1% of the country’s daily consumption of energy was disrupted, the attack left over 225,000 Ukrainians, in the middle of winter, without power for several hours. Two months after the attack, some control centres were still not fully operational with manual procedures required. However, the potential for far greater consequences remain. Cyber attacks can destroy physical components. With the means and motive, an attack on the energy sector could result in impacts that are significantly more difficult to repair.</w:t>
      </w:r>
    </w:p>
    <w:p w14:paraId="2BC3D599" w14:textId="77777777" w:rsidR="00993F09" w:rsidRPr="000266F5" w:rsidRDefault="00993F09" w:rsidP="00EE0D81">
      <w:pPr>
        <w:pBdr>
          <w:top w:val="single" w:sz="4" w:space="1" w:color="auto"/>
          <w:left w:val="single" w:sz="4" w:space="4" w:color="auto"/>
          <w:bottom w:val="single" w:sz="4" w:space="1" w:color="auto"/>
          <w:right w:val="single" w:sz="4" w:space="4" w:color="auto"/>
        </w:pBdr>
        <w:shd w:val="clear" w:color="auto" w:fill="DEEAF6" w:themeFill="accent1" w:themeFillTint="33"/>
        <w:spacing w:after="200" w:line="240" w:lineRule="auto"/>
        <w:rPr>
          <w:rFonts w:ascii="Times New Roman" w:eastAsia="Arial" w:hAnsi="Times New Roman" w:cs="Times New Roman"/>
          <w:color w:val="000000"/>
          <w:u w:val="single"/>
        </w:rPr>
      </w:pPr>
      <w:r w:rsidRPr="000266F5">
        <w:rPr>
          <w:rFonts w:ascii="Times New Roman" w:eastAsia="Arial" w:hAnsi="Times New Roman" w:cs="Times New Roman"/>
          <w:b/>
          <w:color w:val="000000"/>
        </w:rPr>
        <w:t>Wannacry, 2017</w:t>
      </w:r>
      <w:r w:rsidRPr="000266F5">
        <w:rPr>
          <w:rFonts w:ascii="Times New Roman" w:eastAsia="Arial" w:hAnsi="Times New Roman" w:cs="Times New Roman"/>
          <w:color w:val="000000"/>
          <w:u w:val="single"/>
        </w:rPr>
        <w:br/>
      </w:r>
      <w:r w:rsidRPr="000266F5">
        <w:rPr>
          <w:rFonts w:ascii="Times New Roman" w:eastAsia="Arial" w:hAnsi="Times New Roman" w:cs="Times New Roman"/>
          <w:color w:val="000000"/>
        </w:rPr>
        <w:t>In 2017, a large-scale ransomware campaign, commonly called WannaCry, affected some 230,000 individuals and over 300,000 computer systems in 150 countries. The incident resulted in an estimated USD$4 billion in financial losses globally. Wannacry targeted vulnerabilities in Microsoft Windows software, impacting communications, financial, transport and healthcare services. This included the United Kingdom’s National Health Service which was forced to turn away non-critical patients and cancel around 20,000 appointments.</w:t>
      </w:r>
    </w:p>
    <w:p w14:paraId="12E60A87" w14:textId="2E3B17F0" w:rsidR="00993F09" w:rsidRPr="000266F5" w:rsidRDefault="00993F09" w:rsidP="00993F09">
      <w:pPr>
        <w:pBdr>
          <w:top w:val="single" w:sz="4" w:space="1" w:color="auto"/>
          <w:left w:val="single" w:sz="4" w:space="4" w:color="auto"/>
          <w:bottom w:val="single" w:sz="4" w:space="1" w:color="auto"/>
          <w:right w:val="single" w:sz="4" w:space="4" w:color="auto"/>
        </w:pBdr>
        <w:shd w:val="clear" w:color="auto" w:fill="DEEAF6" w:themeFill="accent1" w:themeFillTint="33"/>
        <w:spacing w:after="0" w:line="240" w:lineRule="auto"/>
        <w:rPr>
          <w:rFonts w:ascii="Times New Roman" w:eastAsia="Arial" w:hAnsi="Times New Roman" w:cs="Times New Roman"/>
          <w:color w:val="000000"/>
          <w:u w:val="single"/>
        </w:rPr>
      </w:pPr>
      <w:r w:rsidRPr="000266F5">
        <w:rPr>
          <w:rFonts w:ascii="Times New Roman" w:eastAsia="Arial" w:hAnsi="Times New Roman" w:cs="Times New Roman"/>
          <w:b/>
          <w:color w:val="000000"/>
        </w:rPr>
        <w:t>Hospital attacks, 2020</w:t>
      </w:r>
      <w:r w:rsidRPr="000266F5">
        <w:rPr>
          <w:rFonts w:ascii="Times New Roman" w:eastAsia="Arial" w:hAnsi="Times New Roman" w:cs="Times New Roman"/>
          <w:color w:val="000000"/>
          <w:u w:val="single"/>
        </w:rPr>
        <w:br/>
      </w:r>
      <w:r w:rsidRPr="000266F5">
        <w:rPr>
          <w:rFonts w:ascii="Times New Roman" w:eastAsia="Arial" w:hAnsi="Times New Roman" w:cs="Times New Roman"/>
          <w:color w:val="000000"/>
        </w:rPr>
        <w:t xml:space="preserve">Since the COVID-19 pandemic began, hospitals have come under increasing strain due to malicious </w:t>
      </w:r>
      <w:r w:rsidRPr="000266F5">
        <w:rPr>
          <w:rFonts w:ascii="Times New Roman" w:eastAsia="Arial" w:hAnsi="Times New Roman" w:cs="Times New Roman"/>
          <w:color w:val="000000"/>
        </w:rPr>
        <w:lastRenderedPageBreak/>
        <w:t xml:space="preserve">cyber incidents, particularly ransomware attacks. The March 2020 ransomware attack on Brno University Hospital, one of Czechia’s largest COVID-19 testing laboratories, saw the forced shut down of its entire information technology network. In September 2020, Dusseldorf University Hospital suffered a ransomware attack that brought down its computer systems. As a result, an individual being transported to the hospital by ambulance was re-routed to another hospital 30 kilometres </w:t>
      </w:r>
      <w:r w:rsidR="00865F05">
        <w:rPr>
          <w:rFonts w:ascii="Times New Roman" w:eastAsia="Arial" w:hAnsi="Times New Roman" w:cs="Times New Roman"/>
          <w:color w:val="000000"/>
        </w:rPr>
        <w:t xml:space="preserve">away </w:t>
      </w:r>
      <w:r w:rsidRPr="000266F5">
        <w:rPr>
          <w:rFonts w:ascii="Times New Roman" w:eastAsia="Arial" w:hAnsi="Times New Roman" w:cs="Times New Roman"/>
          <w:color w:val="000000"/>
        </w:rPr>
        <w:t>and passed away en route.</w:t>
      </w:r>
    </w:p>
    <w:p w14:paraId="1E2E9C82" w14:textId="77777777" w:rsidR="00993F09" w:rsidRPr="00EE0D81" w:rsidRDefault="00993F09" w:rsidP="00EE0D81">
      <w:pPr>
        <w:spacing w:after="0" w:line="240" w:lineRule="auto"/>
        <w:rPr>
          <w:rFonts w:ascii="Times New Roman" w:hAnsi="Times New Roman"/>
          <w:color w:val="000000"/>
        </w:rPr>
      </w:pPr>
    </w:p>
    <w:p w14:paraId="7D36FB4B" w14:textId="77777777" w:rsidR="00993F09" w:rsidRPr="000266F5" w:rsidRDefault="00993F09" w:rsidP="00EE0D81">
      <w:pPr>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In Australia, current legislative regimes do not provide the Government with the ability to develop adequate visibility of threats to Australia’s most significant systems (near real-time situational awareness), or provide directions to critical infrastructure entities in response to significant cyber incidents, if entities are unwilling or unable to resolve the incident. </w:t>
      </w:r>
    </w:p>
    <w:p w14:paraId="415364CE" w14:textId="77777777" w:rsidR="00993F09" w:rsidRPr="000266F5" w:rsidRDefault="00993F09" w:rsidP="00993F09">
      <w:pPr>
        <w:spacing w:after="0" w:line="240" w:lineRule="auto"/>
        <w:rPr>
          <w:rFonts w:ascii="Times New Roman" w:eastAsia="Arial" w:hAnsi="Times New Roman" w:cs="Times New Roman"/>
          <w:color w:val="000000"/>
        </w:rPr>
      </w:pPr>
    </w:p>
    <w:p w14:paraId="374F16B7" w14:textId="77777777" w:rsidR="00993F09" w:rsidRPr="000266F5" w:rsidRDefault="00993F09" w:rsidP="00993F09">
      <w:pPr>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As the majority of </w:t>
      </w:r>
      <w:r w:rsidRPr="00EE0D81">
        <w:rPr>
          <w:rFonts w:ascii="Times New Roman" w:hAnsi="Times New Roman"/>
          <w:i/>
          <w:color w:val="000000"/>
        </w:rPr>
        <w:t>critical infrastructure asset</w:t>
      </w:r>
      <w:r w:rsidRPr="000266F5">
        <w:rPr>
          <w:rFonts w:ascii="Times New Roman" w:eastAsia="Arial" w:hAnsi="Times New Roman" w:cs="Times New Roman"/>
          <w:color w:val="000000"/>
        </w:rPr>
        <w:t>s are owned and/or operated by the private sector, Government may not be aware of threats or cyber security incidents impacting industry and the Government has limited power to assist if it is not requested by the affected entity. This can result in delays that substantially impact the Government’s ability to successfully assist in resolving an incident, especially when dealing with time sensitive matters such as cyber incident.</w:t>
      </w:r>
    </w:p>
    <w:p w14:paraId="70274930" w14:textId="77777777" w:rsidR="00993F09" w:rsidRPr="000266F5" w:rsidRDefault="00993F09" w:rsidP="00993F09">
      <w:pPr>
        <w:spacing w:after="0" w:line="240" w:lineRule="auto"/>
        <w:rPr>
          <w:rFonts w:ascii="Times New Roman" w:eastAsia="Arial" w:hAnsi="Times New Roman" w:cs="Times New Roman"/>
          <w:color w:val="000000"/>
        </w:rPr>
      </w:pPr>
    </w:p>
    <w:p w14:paraId="2E2FA70E" w14:textId="77777777" w:rsidR="00993F09" w:rsidRPr="000266F5" w:rsidRDefault="00993F09" w:rsidP="00B369B5">
      <w:pPr>
        <w:pStyle w:val="ListParagraph"/>
        <w:numPr>
          <w:ilvl w:val="1"/>
          <w:numId w:val="12"/>
        </w:numPr>
        <w:tabs>
          <w:tab w:val="num" w:pos="340"/>
        </w:tabs>
        <w:spacing w:after="200" w:line="240" w:lineRule="auto"/>
        <w:rPr>
          <w:rFonts w:ascii="Times New Roman" w:eastAsia="Arial" w:hAnsi="Times New Roman" w:cs="Times New Roman"/>
          <w:b/>
          <w:bCs/>
        </w:rPr>
      </w:pPr>
      <w:r w:rsidRPr="000266F5">
        <w:rPr>
          <w:rFonts w:ascii="Times New Roman" w:eastAsia="Arial" w:hAnsi="Times New Roman" w:cs="Times New Roman"/>
          <w:b/>
          <w:bCs/>
        </w:rPr>
        <w:t>Regulation is wanted and needed to drive a wholesale uplift in security and resilience</w:t>
      </w:r>
    </w:p>
    <w:p w14:paraId="75289E39" w14:textId="77777777" w:rsidR="00993F09" w:rsidRPr="000266F5" w:rsidRDefault="00993F09" w:rsidP="00993F09">
      <w:pPr>
        <w:spacing w:before="120"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Consultation for the Cyber Security Strategy 2020 highlighted that industry seeks greater direction from the Government in the protection of critical infrastructure. For the Cyber Security Strategy 2020, the Government:</w:t>
      </w:r>
    </w:p>
    <w:p w14:paraId="324ADE41"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met with more than 1,400 people from across the country in face-to-face consultations, including workshops, roundtables and bilateral meetings; and</w:t>
      </w:r>
    </w:p>
    <w:p w14:paraId="7D3D2CAA" w14:textId="77777777" w:rsidR="00993F09" w:rsidRPr="000266F5" w:rsidRDefault="00993F09" w:rsidP="00993F09">
      <w:pPr>
        <w:numPr>
          <w:ilvl w:val="0"/>
          <w:numId w:val="4"/>
        </w:numPr>
        <w:tabs>
          <w:tab w:val="left" w:pos="426"/>
        </w:tabs>
        <w:spacing w:after="24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received 215 submissions in response to the Cyber Security Strategy 2020 Discussion Paper.</w:t>
      </w:r>
    </w:p>
    <w:p w14:paraId="2EE779C8" w14:textId="77777777" w:rsidR="00993F09" w:rsidRPr="000266F5" w:rsidRDefault="00993F09" w:rsidP="00993F09">
      <w:pPr>
        <w:spacing w:before="120"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The Government heard that Australia’s critical systems are facing a worsening threat environment and the nation needs to address vulnerabilities in supply chain security, control systems and operational technology. This is consistent with advice from the national intelligence community and other sources.</w:t>
      </w:r>
      <w:r w:rsidRPr="000266F5">
        <w:rPr>
          <w:vertAlign w:val="superscript"/>
        </w:rPr>
        <w:footnoteReference w:id="10"/>
      </w:r>
      <w:r w:rsidRPr="000266F5">
        <w:rPr>
          <w:rFonts w:ascii="Times New Roman" w:eastAsia="Arial" w:hAnsi="Times New Roman" w:cs="Times New Roman"/>
          <w:color w:val="000000"/>
        </w:rPr>
        <w:t xml:space="preserve"> Timely and actionable information sharing was identified as a critical gap.</w:t>
      </w:r>
    </w:p>
    <w:p w14:paraId="0137C999" w14:textId="77777777" w:rsidR="00993F09" w:rsidRPr="000266F5" w:rsidRDefault="00993F09" w:rsidP="00993F09">
      <w:pPr>
        <w:spacing w:after="0" w:line="240" w:lineRule="auto"/>
        <w:rPr>
          <w:rFonts w:ascii="Times New Roman" w:eastAsia="Arial" w:hAnsi="Times New Roman" w:cs="Times New Roman"/>
          <w:color w:val="000000"/>
        </w:rPr>
      </w:pPr>
    </w:p>
    <w:p w14:paraId="543DA130" w14:textId="7C34CEC9" w:rsidR="00993F09" w:rsidRPr="000266F5" w:rsidRDefault="00993F09" w:rsidP="00993F09">
      <w:pPr>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To ensure sector-wide resilience and security, industry must continue to adapt and keep up with the latest innovation and research. Without a more proactive stance on all hazards risk management there is a greater likelihood of critical infrastructure incidents as industry is left to develop their own. </w:t>
      </w:r>
    </w:p>
    <w:p w14:paraId="5B5D8787" w14:textId="77777777" w:rsidR="00993F09" w:rsidRPr="000266F5" w:rsidRDefault="00993F09" w:rsidP="00993F09">
      <w:pPr>
        <w:spacing w:after="0" w:line="240" w:lineRule="auto"/>
        <w:rPr>
          <w:rFonts w:ascii="Times New Roman" w:eastAsia="Arial" w:hAnsi="Times New Roman" w:cs="Times New Roman"/>
          <w:color w:val="000000"/>
        </w:rPr>
      </w:pPr>
    </w:p>
    <w:p w14:paraId="2E252A39" w14:textId="56200FC7" w:rsidR="00993F09" w:rsidRPr="000266F5" w:rsidRDefault="00993F09" w:rsidP="00993F09">
      <w:pPr>
        <w:spacing w:after="0" w:line="240" w:lineRule="auto"/>
        <w:rPr>
          <w:rFonts w:ascii="Times New Roman" w:eastAsia="Arial" w:hAnsi="Times New Roman" w:cs="Times New Roman"/>
        </w:rPr>
      </w:pPr>
      <w:r w:rsidRPr="000266F5">
        <w:rPr>
          <w:rFonts w:ascii="Times New Roman" w:eastAsia="Arial" w:hAnsi="Times New Roman" w:cs="Times New Roman"/>
          <w:color w:val="000000"/>
        </w:rPr>
        <w:t>The Government values its ongoing engagement with critical infrastructure entities. Mechanisms like the Trusted Information Sharing Network (TISN) are important forums for cross sector dialogue, facilitating ongoing discussion on critical infrastructure resilience, including national security. Extensive engagement with industry and states and territories has</w:t>
      </w:r>
      <w:r w:rsidRPr="000266F5">
        <w:rPr>
          <w:rFonts w:ascii="Times New Roman" w:eastAsia="Arial" w:hAnsi="Times New Roman" w:cs="Times New Roman"/>
        </w:rPr>
        <w:t xml:space="preserve"> revealed broad support for the introduction of an enhanced framework to secure critical infrastructure. Consultation on proposed reforms were conducted through six virtual town halls (attended by 620 representatives from business and civil society), 22 virtual workshops (attended by 949 individuals) and 194 submissions in response to the Protecting Critical Infrastructure and </w:t>
      </w:r>
      <w:r w:rsidRPr="00865F05">
        <w:rPr>
          <w:rFonts w:ascii="Times New Roman" w:eastAsia="Arial" w:hAnsi="Times New Roman" w:cs="Times New Roman"/>
        </w:rPr>
        <w:t>Systems of national significance</w:t>
      </w:r>
      <w:r w:rsidRPr="000266F5">
        <w:rPr>
          <w:rFonts w:ascii="Times New Roman" w:eastAsia="Arial" w:hAnsi="Times New Roman" w:cs="Times New Roman"/>
        </w:rPr>
        <w:t xml:space="preserve"> Consultation Paper.</w:t>
      </w:r>
      <w:r>
        <w:rPr>
          <w:rFonts w:ascii="Times New Roman" w:eastAsia="Arial" w:hAnsi="Times New Roman" w:cs="Times New Roman"/>
        </w:rPr>
        <w:t xml:space="preserve"> This was further complemented by an </w:t>
      </w:r>
      <w:r w:rsidR="00233CC6">
        <w:rPr>
          <w:rFonts w:ascii="Times New Roman" w:eastAsia="Arial" w:hAnsi="Times New Roman" w:cs="Times New Roman"/>
        </w:rPr>
        <w:t>additional four</w:t>
      </w:r>
      <w:r>
        <w:rPr>
          <w:rFonts w:ascii="Times New Roman" w:eastAsia="Arial" w:hAnsi="Times New Roman" w:cs="Times New Roman"/>
        </w:rPr>
        <w:t xml:space="preserve"> town halls and numerous </w:t>
      </w:r>
      <w:r w:rsidR="009F17F8">
        <w:rPr>
          <w:rFonts w:ascii="Times New Roman" w:eastAsia="Arial" w:hAnsi="Times New Roman" w:cs="Times New Roman"/>
        </w:rPr>
        <w:t xml:space="preserve">bilateral conversations across industry as well as state and territory Government. A number of </w:t>
      </w:r>
      <w:r>
        <w:rPr>
          <w:rFonts w:ascii="Times New Roman" w:eastAsia="Arial" w:hAnsi="Times New Roman" w:cs="Times New Roman"/>
        </w:rPr>
        <w:t>submissions</w:t>
      </w:r>
      <w:r w:rsidR="009F17F8">
        <w:rPr>
          <w:rFonts w:ascii="Times New Roman" w:eastAsia="Arial" w:hAnsi="Times New Roman" w:cs="Times New Roman"/>
        </w:rPr>
        <w:t xml:space="preserve"> were also received</w:t>
      </w:r>
      <w:r>
        <w:rPr>
          <w:rFonts w:ascii="Times New Roman" w:eastAsia="Arial" w:hAnsi="Times New Roman" w:cs="Times New Roman"/>
        </w:rPr>
        <w:t xml:space="preserve"> in response to a publically released </w:t>
      </w:r>
      <w:r w:rsidR="0014290C">
        <w:rPr>
          <w:rFonts w:ascii="Times New Roman" w:eastAsia="Arial" w:hAnsi="Times New Roman" w:cs="Times New Roman"/>
        </w:rPr>
        <w:t xml:space="preserve">exposure </w:t>
      </w:r>
      <w:r>
        <w:rPr>
          <w:rFonts w:ascii="Times New Roman" w:eastAsia="Arial" w:hAnsi="Times New Roman" w:cs="Times New Roman"/>
        </w:rPr>
        <w:t>draft Bill.</w:t>
      </w:r>
    </w:p>
    <w:p w14:paraId="62D1A0ED" w14:textId="77777777" w:rsidR="00993F09" w:rsidRPr="000266F5" w:rsidRDefault="00993F09" w:rsidP="00993F09">
      <w:pPr>
        <w:spacing w:after="0" w:line="240" w:lineRule="auto"/>
        <w:rPr>
          <w:rFonts w:ascii="Times New Roman" w:eastAsia="Arial" w:hAnsi="Times New Roman" w:cs="Times New Roman"/>
        </w:rPr>
      </w:pPr>
    </w:p>
    <w:p w14:paraId="1F17843C" w14:textId="77777777" w:rsidR="00993F09" w:rsidRPr="000266F5" w:rsidRDefault="00993F09" w:rsidP="00993F09">
      <w:pPr>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Consultations highlighted that the Australian public looks to both the Government and critical infrastructure providers to secure the delivery of essential services. Collaboration and preparation ahead of time is needed so that everyone knows what their role is and what they need to do in an </w:t>
      </w:r>
      <w:r w:rsidRPr="000266F5">
        <w:rPr>
          <w:rFonts w:ascii="Times New Roman" w:eastAsia="Arial" w:hAnsi="Times New Roman" w:cs="Times New Roman"/>
          <w:color w:val="000000"/>
        </w:rPr>
        <w:lastRenderedPageBreak/>
        <w:t>emergency. To do this, the Government and critical infrastructure entities need the right processes, authorisations and powers in place to respond rapidly and decisively.</w:t>
      </w:r>
    </w:p>
    <w:p w14:paraId="6438A6FE" w14:textId="77777777" w:rsidR="00993F09" w:rsidRPr="000266F5" w:rsidRDefault="00993F09" w:rsidP="00993F09">
      <w:pPr>
        <w:spacing w:after="0" w:line="240" w:lineRule="auto"/>
        <w:rPr>
          <w:rFonts w:ascii="Times New Roman" w:eastAsia="Arial" w:hAnsi="Times New Roman" w:cs="Times New Roman"/>
          <w:color w:val="000000"/>
        </w:rPr>
      </w:pPr>
    </w:p>
    <w:p w14:paraId="6C6B5D20" w14:textId="77777777" w:rsidR="00993F09" w:rsidRPr="000266F5" w:rsidRDefault="00993F09" w:rsidP="00993F09">
      <w:pPr>
        <w:keepNext/>
        <w:keepLines/>
        <w:numPr>
          <w:ilvl w:val="0"/>
          <w:numId w:val="5"/>
        </w:numPr>
        <w:tabs>
          <w:tab w:val="left" w:pos="567"/>
        </w:tabs>
        <w:spacing w:before="240" w:after="200" w:line="240" w:lineRule="auto"/>
        <w:contextualSpacing/>
        <w:outlineLvl w:val="0"/>
        <w:rPr>
          <w:rFonts w:ascii="Times New Roman" w:eastAsia="MS PGothic" w:hAnsi="Times New Roman" w:cs="Times New Roman"/>
          <w:b/>
          <w:bCs/>
          <w:color w:val="003865"/>
          <w:sz w:val="28"/>
          <w:szCs w:val="28"/>
        </w:rPr>
      </w:pPr>
      <w:r w:rsidRPr="000266F5">
        <w:rPr>
          <w:rFonts w:ascii="Times New Roman" w:eastAsia="MS PGothic" w:hAnsi="Times New Roman" w:cs="Times New Roman"/>
          <w:b/>
          <w:bCs/>
          <w:color w:val="003865"/>
          <w:sz w:val="28"/>
          <w:szCs w:val="28"/>
        </w:rPr>
        <w:t>WHY IS GOVERNMENT ACTION NEEDED?</w:t>
      </w:r>
    </w:p>
    <w:p w14:paraId="6DE08251" w14:textId="77777777" w:rsidR="00993F09" w:rsidRPr="000266F5" w:rsidRDefault="00993F09" w:rsidP="00993F09">
      <w:pPr>
        <w:tabs>
          <w:tab w:val="num" w:pos="340"/>
        </w:tabs>
        <w:spacing w:after="0" w:line="240" w:lineRule="auto"/>
        <w:rPr>
          <w:rFonts w:ascii="Times New Roman" w:eastAsia="Arial" w:hAnsi="Times New Roman" w:cs="Times New Roman"/>
          <w:b/>
          <w:bCs/>
        </w:rPr>
      </w:pPr>
    </w:p>
    <w:p w14:paraId="58F45AA1" w14:textId="77777777" w:rsidR="00993F09" w:rsidRPr="000266F5" w:rsidRDefault="00993F09" w:rsidP="00B369B5">
      <w:pPr>
        <w:pStyle w:val="ListParagraph"/>
        <w:numPr>
          <w:ilvl w:val="0"/>
          <w:numId w:val="12"/>
        </w:numPr>
        <w:spacing w:after="200" w:line="240" w:lineRule="auto"/>
        <w:rPr>
          <w:rFonts w:ascii="Times New Roman" w:eastAsia="Arial" w:hAnsi="Times New Roman" w:cs="Times New Roman"/>
          <w:b/>
          <w:bCs/>
          <w:vanish/>
        </w:rPr>
      </w:pPr>
    </w:p>
    <w:p w14:paraId="3145C069" w14:textId="77777777" w:rsidR="00993F09" w:rsidRPr="000266F5" w:rsidRDefault="00993F09" w:rsidP="00B369B5">
      <w:pPr>
        <w:pStyle w:val="ListParagraph"/>
        <w:numPr>
          <w:ilvl w:val="1"/>
          <w:numId w:val="12"/>
        </w:numPr>
        <w:spacing w:after="200" w:line="240" w:lineRule="auto"/>
        <w:rPr>
          <w:rFonts w:ascii="Times New Roman" w:eastAsia="Arial" w:hAnsi="Times New Roman" w:cs="Times New Roman"/>
          <w:b/>
          <w:bCs/>
        </w:rPr>
      </w:pPr>
      <w:r w:rsidRPr="000266F5">
        <w:rPr>
          <w:rFonts w:ascii="Times New Roman" w:eastAsia="Arial" w:hAnsi="Times New Roman" w:cs="Times New Roman"/>
          <w:b/>
          <w:bCs/>
        </w:rPr>
        <w:t xml:space="preserve">Overview </w:t>
      </w:r>
    </w:p>
    <w:p w14:paraId="5BF34187" w14:textId="77777777" w:rsidR="00993F09" w:rsidRPr="000266F5" w:rsidRDefault="00993F09" w:rsidP="00993F09">
      <w:pPr>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The safe and secure functioning of Australia’s critical infrastructure is essential to Australia’s social and economic stability, defence and national security. Recognising the challenges outlined above, the existing regulatory framework across government is insufficient to manage the growing risks to critical infrastructure. The Government must act now to ensure a consistent and nation-wide uplift to the security and resilience of </w:t>
      </w:r>
      <w:r w:rsidRPr="00EE0D81">
        <w:rPr>
          <w:rFonts w:ascii="Times New Roman" w:hAnsi="Times New Roman"/>
          <w:i/>
          <w:color w:val="000000"/>
        </w:rPr>
        <w:t>critical infrastructure asset</w:t>
      </w:r>
      <w:r w:rsidRPr="000266F5">
        <w:rPr>
          <w:rFonts w:ascii="Times New Roman" w:eastAsia="Arial" w:hAnsi="Times New Roman" w:cs="Times New Roman"/>
          <w:color w:val="000000"/>
        </w:rPr>
        <w:t xml:space="preserve">s. </w:t>
      </w:r>
    </w:p>
    <w:p w14:paraId="1E25B987" w14:textId="77777777" w:rsidR="00993F09" w:rsidRPr="000266F5" w:rsidRDefault="00993F09" w:rsidP="00993F09">
      <w:pPr>
        <w:spacing w:after="0" w:line="240" w:lineRule="auto"/>
        <w:rPr>
          <w:rFonts w:ascii="Times New Roman" w:eastAsia="Arial" w:hAnsi="Times New Roman" w:cs="Times New Roman"/>
          <w:color w:val="000000"/>
        </w:rPr>
      </w:pPr>
    </w:p>
    <w:p w14:paraId="284B2F95" w14:textId="77777777" w:rsidR="00993F09" w:rsidRPr="000266F5" w:rsidRDefault="00993F09" w:rsidP="00EE0D81">
      <w:pPr>
        <w:pStyle w:val="ListParagraph"/>
        <w:numPr>
          <w:ilvl w:val="1"/>
          <w:numId w:val="12"/>
        </w:numPr>
        <w:spacing w:after="0" w:line="240" w:lineRule="auto"/>
        <w:rPr>
          <w:rFonts w:ascii="Times New Roman" w:eastAsia="Arial" w:hAnsi="Times New Roman" w:cs="Times New Roman"/>
          <w:b/>
          <w:bCs/>
        </w:rPr>
      </w:pPr>
      <w:r w:rsidRPr="000266F5">
        <w:rPr>
          <w:rFonts w:ascii="Times New Roman" w:eastAsia="Arial" w:hAnsi="Times New Roman" w:cs="Times New Roman"/>
          <w:b/>
          <w:bCs/>
        </w:rPr>
        <w:t>How can the Government successfully intervene?</w:t>
      </w:r>
    </w:p>
    <w:p w14:paraId="676D422A" w14:textId="69B187A1" w:rsidR="00993F09" w:rsidRDefault="00993F09" w:rsidP="00993F09">
      <w:pPr>
        <w:spacing w:after="0" w:line="240" w:lineRule="auto"/>
        <w:rPr>
          <w:rFonts w:ascii="Times New Roman" w:eastAsia="Arial" w:hAnsi="Times New Roman" w:cs="Times New Roman"/>
          <w:color w:val="000000"/>
        </w:rPr>
      </w:pPr>
    </w:p>
    <w:p w14:paraId="659039B2" w14:textId="7C676539" w:rsidR="00993F09" w:rsidRPr="000266F5" w:rsidRDefault="00865F05" w:rsidP="00993F09">
      <w:pPr>
        <w:spacing w:after="0" w:line="240" w:lineRule="auto"/>
        <w:rPr>
          <w:rFonts w:ascii="Times New Roman" w:eastAsia="Arial" w:hAnsi="Times New Roman" w:cs="Times New Roman"/>
          <w:color w:val="000000"/>
        </w:rPr>
      </w:pPr>
      <w:r>
        <w:rPr>
          <w:rFonts w:ascii="Times New Roman" w:eastAsia="Arial" w:hAnsi="Times New Roman" w:cs="Times New Roman"/>
          <w:color w:val="000000"/>
        </w:rPr>
        <w:t>T</w:t>
      </w:r>
      <w:r w:rsidR="00993F09" w:rsidRPr="000266F5">
        <w:rPr>
          <w:rFonts w:ascii="Times New Roman" w:eastAsia="Arial" w:hAnsi="Times New Roman" w:cs="Times New Roman"/>
          <w:color w:val="000000"/>
        </w:rPr>
        <w:t>he Government will work closely with industry to ensure that any reforms are directed at the most critical entities regardless of their ownership arrangements. This will achieve the broadest and most effective uplift and will create an even playing field for owners and operators. This will also maintain Australia’s existing open investment settings, and ensure that businesses who take security seriously are not at a commercial disadvantage.</w:t>
      </w:r>
    </w:p>
    <w:p w14:paraId="690245D7" w14:textId="77777777" w:rsidR="00993F09" w:rsidRPr="000266F5" w:rsidRDefault="00993F09" w:rsidP="00993F09">
      <w:pPr>
        <w:spacing w:after="0" w:line="240" w:lineRule="auto"/>
        <w:rPr>
          <w:rFonts w:ascii="Times New Roman" w:eastAsia="Arial" w:hAnsi="Times New Roman" w:cs="Times New Roman"/>
          <w:color w:val="000000"/>
        </w:rPr>
      </w:pPr>
    </w:p>
    <w:p w14:paraId="173E43B1" w14:textId="77777777" w:rsidR="00993F09" w:rsidRPr="000266F5" w:rsidRDefault="00993F09" w:rsidP="00993F09">
      <w:pPr>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Ultimately, the objective of each option within the Regulation Impact Statement is to ensure that Australia has resilient critical infrastructure for the benefit of all Australians. This could be achieved through addressing the shortfalls in our current critical infrastructure framework and strengthen the Government’s ability to:</w:t>
      </w:r>
    </w:p>
    <w:p w14:paraId="4AB79712"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safeguard Australia’s critical infrastructure against increasingly complex all hazards risks through increased industry responsibility;</w:t>
      </w:r>
    </w:p>
    <w:p w14:paraId="002B691B"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manage these risks collaboratively with industry through strengthened engagement and a more structured relationship with the owners and operators of our most critical systems (including cyber security activities to proactively identify vulnerabilities);</w:t>
      </w:r>
    </w:p>
    <w:p w14:paraId="1C6BE2F0"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identify and mitigate cyber threats to Australia’s most critical systems through increased situational awareness of the threat environment;</w:t>
      </w:r>
    </w:p>
    <w:p w14:paraId="71EDD885"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provide directions to industry where necessary in response to cyber incidents; </w:t>
      </w:r>
    </w:p>
    <w:p w14:paraId="4C984B8B"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respond rapidly in exceptional circumstances by making it clear what the Government is authorised to do; and</w:t>
      </w:r>
    </w:p>
    <w:p w14:paraId="0996FCA0" w14:textId="77777777" w:rsidR="00993F09" w:rsidRPr="000266F5" w:rsidRDefault="00993F09" w:rsidP="00993F09">
      <w:pPr>
        <w:numPr>
          <w:ilvl w:val="0"/>
          <w:numId w:val="4"/>
        </w:numPr>
        <w:tabs>
          <w:tab w:val="left" w:pos="426"/>
        </w:tabs>
        <w:spacing w:after="24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maintain Australia’s open investment policy settings, when in the national interest, in an ever evolving geopolitical and economic landscape.</w:t>
      </w:r>
    </w:p>
    <w:p w14:paraId="00663389" w14:textId="77777777" w:rsidR="00993F09" w:rsidRPr="000266F5" w:rsidRDefault="00993F09" w:rsidP="00B369B5">
      <w:pPr>
        <w:pStyle w:val="ListParagraph"/>
        <w:numPr>
          <w:ilvl w:val="1"/>
          <w:numId w:val="12"/>
        </w:numPr>
        <w:spacing w:after="200" w:line="240" w:lineRule="auto"/>
        <w:rPr>
          <w:rFonts w:ascii="Times New Roman" w:eastAsia="Arial" w:hAnsi="Times New Roman" w:cs="Times New Roman"/>
          <w:b/>
          <w:bCs/>
        </w:rPr>
      </w:pPr>
      <w:r w:rsidRPr="000266F5">
        <w:rPr>
          <w:rFonts w:ascii="Times New Roman" w:eastAsia="Arial" w:hAnsi="Times New Roman" w:cs="Times New Roman"/>
          <w:b/>
          <w:bCs/>
        </w:rPr>
        <w:t>Externalities</w:t>
      </w:r>
    </w:p>
    <w:p w14:paraId="6BD3C517" w14:textId="7B408EDE" w:rsidR="00993F09" w:rsidRPr="000266F5" w:rsidRDefault="00993F09" w:rsidP="00993F09">
      <w:pPr>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The increasingly interconnected nature of critical infrastructure means that disruption to </w:t>
      </w:r>
      <w:r w:rsidRPr="00EE0D81">
        <w:rPr>
          <w:rFonts w:ascii="Times New Roman" w:hAnsi="Times New Roman"/>
          <w:i/>
          <w:color w:val="000000"/>
        </w:rPr>
        <w:t>critical infrastructure asset</w:t>
      </w:r>
      <w:r w:rsidRPr="000266F5">
        <w:rPr>
          <w:rFonts w:ascii="Times New Roman" w:eastAsia="Arial" w:hAnsi="Times New Roman" w:cs="Times New Roman"/>
          <w:color w:val="000000"/>
        </w:rPr>
        <w:t xml:space="preserve">s or their supply chains can have extensive and costly externalities. While an entity may have stringent security practices in place, if </w:t>
      </w:r>
      <w:r w:rsidR="00865F05">
        <w:rPr>
          <w:rFonts w:ascii="Times New Roman" w:eastAsia="Arial" w:hAnsi="Times New Roman" w:cs="Times New Roman"/>
          <w:color w:val="000000"/>
        </w:rPr>
        <w:t>a third party</w:t>
      </w:r>
      <w:r w:rsidRPr="000266F5">
        <w:rPr>
          <w:rFonts w:ascii="Times New Roman" w:eastAsia="Arial" w:hAnsi="Times New Roman" w:cs="Times New Roman"/>
          <w:color w:val="000000"/>
        </w:rPr>
        <w:t xml:space="preserve"> responsible for a core component of their supply chain is not secure, it can have cascading and damaging effects. For example, while a hospital may have secure cyber practices, a data centre that hold</w:t>
      </w:r>
      <w:r w:rsidR="00865F05">
        <w:rPr>
          <w:rFonts w:ascii="Times New Roman" w:eastAsia="Arial" w:hAnsi="Times New Roman" w:cs="Times New Roman"/>
          <w:color w:val="000000"/>
        </w:rPr>
        <w:t>s</w:t>
      </w:r>
      <w:r w:rsidRPr="000266F5">
        <w:rPr>
          <w:rFonts w:ascii="Times New Roman" w:eastAsia="Arial" w:hAnsi="Times New Roman" w:cs="Times New Roman"/>
          <w:color w:val="000000"/>
        </w:rPr>
        <w:t xml:space="preserve"> their patient data may not. As such, a compromise within a data centre could have cascading effects on a hospital, even though </w:t>
      </w:r>
      <w:r w:rsidR="00865F05">
        <w:rPr>
          <w:rFonts w:ascii="Times New Roman" w:eastAsia="Arial" w:hAnsi="Times New Roman" w:cs="Times New Roman"/>
          <w:color w:val="000000"/>
        </w:rPr>
        <w:t>a</w:t>
      </w:r>
      <w:r w:rsidRPr="000266F5">
        <w:rPr>
          <w:rFonts w:ascii="Times New Roman" w:eastAsia="Arial" w:hAnsi="Times New Roman" w:cs="Times New Roman"/>
          <w:color w:val="000000"/>
        </w:rPr>
        <w:t xml:space="preserve"> hospital itself has done everything in its power to secure its patient records. Consequently, market forces are not sufficient to safeguard all critical infrastructure against all hazard threats. Government action is needed to provide greater assurance that vulnerabilities are proactively detected, prevented and any realised incidents impacting Australia’s critical infrastructure are resolved without negatively influencing Australia’s social and economic stability, defence and national security, or the reliability and security of other </w:t>
      </w:r>
      <w:r w:rsidRPr="00EE0D81">
        <w:rPr>
          <w:rFonts w:ascii="Times New Roman" w:hAnsi="Times New Roman"/>
          <w:i/>
          <w:color w:val="000000"/>
        </w:rPr>
        <w:t>critical infrastructure asset</w:t>
      </w:r>
      <w:r w:rsidRPr="000266F5">
        <w:rPr>
          <w:rFonts w:ascii="Times New Roman" w:eastAsia="Arial" w:hAnsi="Times New Roman" w:cs="Times New Roman"/>
          <w:color w:val="000000"/>
        </w:rPr>
        <w:t xml:space="preserve">s. </w:t>
      </w:r>
    </w:p>
    <w:p w14:paraId="363CF7A6" w14:textId="77777777" w:rsidR="00993F09" w:rsidRPr="000266F5" w:rsidRDefault="00993F09" w:rsidP="00993F09">
      <w:pPr>
        <w:spacing w:after="0" w:line="240" w:lineRule="auto"/>
        <w:rPr>
          <w:rFonts w:ascii="Times New Roman" w:eastAsia="Arial" w:hAnsi="Times New Roman" w:cs="Times New Roman"/>
          <w:color w:val="000000"/>
        </w:rPr>
      </w:pPr>
    </w:p>
    <w:p w14:paraId="5BF55992" w14:textId="77777777" w:rsidR="00993F09" w:rsidRPr="000266F5" w:rsidRDefault="00993F09" w:rsidP="00993F09">
      <w:pPr>
        <w:keepNext/>
        <w:keepLines/>
        <w:numPr>
          <w:ilvl w:val="0"/>
          <w:numId w:val="5"/>
        </w:numPr>
        <w:tabs>
          <w:tab w:val="left" w:pos="567"/>
        </w:tabs>
        <w:spacing w:before="240" w:after="200" w:line="240" w:lineRule="auto"/>
        <w:contextualSpacing/>
        <w:outlineLvl w:val="0"/>
        <w:rPr>
          <w:rFonts w:ascii="Times New Roman" w:eastAsia="MS PGothic" w:hAnsi="Times New Roman" w:cs="Times New Roman"/>
          <w:b/>
          <w:bCs/>
          <w:color w:val="003865"/>
          <w:sz w:val="28"/>
          <w:szCs w:val="28"/>
        </w:rPr>
      </w:pPr>
      <w:r w:rsidRPr="000266F5">
        <w:rPr>
          <w:rFonts w:ascii="Times New Roman" w:eastAsia="MS PGothic" w:hAnsi="Times New Roman" w:cs="Times New Roman"/>
          <w:b/>
          <w:bCs/>
          <w:color w:val="003865"/>
          <w:sz w:val="28"/>
          <w:szCs w:val="28"/>
        </w:rPr>
        <w:lastRenderedPageBreak/>
        <w:t>QUESTION THREE: WHAT POLICY OPTIONS ARE YOU CONSIDERING?</w:t>
      </w:r>
    </w:p>
    <w:p w14:paraId="6E7A0DB4" w14:textId="77777777" w:rsidR="00993F09" w:rsidRPr="000266F5" w:rsidRDefault="00993F09" w:rsidP="00993F09">
      <w:pPr>
        <w:tabs>
          <w:tab w:val="left" w:pos="426"/>
        </w:tabs>
        <w:spacing w:after="0" w:line="240" w:lineRule="auto"/>
        <w:rPr>
          <w:rFonts w:ascii="Times New Roman" w:eastAsia="Arial" w:hAnsi="Times New Roman" w:cs="Times New Roman"/>
          <w:color w:val="000000"/>
        </w:rPr>
      </w:pPr>
    </w:p>
    <w:p w14:paraId="5B6CA029" w14:textId="76B5DAC6" w:rsidR="00993F09" w:rsidRPr="000266F5" w:rsidRDefault="00993F09" w:rsidP="00993F09">
      <w:pPr>
        <w:tabs>
          <w:tab w:val="left" w:pos="426"/>
        </w:tabs>
        <w:spacing w:after="24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The Department has considered three broad options to address the identified problems:</w:t>
      </w:r>
    </w:p>
    <w:p w14:paraId="714922C7" w14:textId="77777777" w:rsidR="00993F09" w:rsidRPr="000266F5" w:rsidRDefault="00993F09" w:rsidP="00993F09">
      <w:pPr>
        <w:tabs>
          <w:tab w:val="num" w:pos="340"/>
        </w:tabs>
        <w:spacing w:before="240" w:after="200" w:line="240" w:lineRule="auto"/>
        <w:ind w:left="227"/>
        <w:rPr>
          <w:rFonts w:ascii="Times New Roman" w:eastAsia="Arial" w:hAnsi="Times New Roman" w:cs="Times New Roman"/>
          <w:bCs/>
        </w:rPr>
      </w:pPr>
      <w:r w:rsidRPr="000266F5">
        <w:rPr>
          <w:rFonts w:ascii="Times New Roman" w:eastAsia="Arial" w:hAnsi="Times New Roman" w:cs="Times New Roman"/>
          <w:bCs/>
        </w:rPr>
        <w:t>Option 1: Maintaining the existing arrangements without amendment.</w:t>
      </w:r>
    </w:p>
    <w:p w14:paraId="1DC81CFD" w14:textId="77777777" w:rsidR="00993F09" w:rsidRPr="000266F5" w:rsidRDefault="00993F09" w:rsidP="00993F09">
      <w:pPr>
        <w:tabs>
          <w:tab w:val="num" w:pos="340"/>
        </w:tabs>
        <w:spacing w:before="240" w:after="200" w:line="240" w:lineRule="auto"/>
        <w:ind w:left="227"/>
        <w:rPr>
          <w:rFonts w:ascii="Times New Roman" w:eastAsia="Arial" w:hAnsi="Times New Roman" w:cs="Times New Roman"/>
          <w:bCs/>
        </w:rPr>
      </w:pPr>
      <w:r w:rsidRPr="000266F5">
        <w:rPr>
          <w:rFonts w:ascii="Times New Roman" w:eastAsia="Arial" w:hAnsi="Times New Roman" w:cs="Times New Roman"/>
          <w:bCs/>
        </w:rPr>
        <w:t>Option 2: Strengthened government regulation, enhanced compliance and voluntary engagement through the TISN for Critical Infrastructure Resilience.</w:t>
      </w:r>
    </w:p>
    <w:p w14:paraId="210CD095" w14:textId="77777777" w:rsidR="00993F09" w:rsidRDefault="00993F09" w:rsidP="00993F09">
      <w:pPr>
        <w:tabs>
          <w:tab w:val="num" w:pos="340"/>
        </w:tabs>
        <w:spacing w:before="240" w:after="200" w:line="240" w:lineRule="auto"/>
        <w:ind w:left="227"/>
        <w:rPr>
          <w:rFonts w:ascii="Times New Roman" w:eastAsia="Arial" w:hAnsi="Times New Roman" w:cs="Times New Roman"/>
          <w:bCs/>
        </w:rPr>
      </w:pPr>
      <w:r w:rsidRPr="000266F5">
        <w:rPr>
          <w:rFonts w:ascii="Times New Roman" w:eastAsia="Arial" w:hAnsi="Times New Roman" w:cs="Times New Roman"/>
          <w:bCs/>
        </w:rPr>
        <w:t>Option 3: No legislative change, achieve improvements to critical infrastructure resilience with voluntary engagement through the TISN and publishing additional guidance alongside the updated Critical Infrastructure Resilience Strategy</w:t>
      </w:r>
    </w:p>
    <w:p w14:paraId="03AAA03A" w14:textId="77777777" w:rsidR="00993F09" w:rsidRDefault="00993F09" w:rsidP="00993F09">
      <w:pPr>
        <w:spacing w:after="0" w:line="240" w:lineRule="auto"/>
        <w:rPr>
          <w:rFonts w:ascii="Times New Roman" w:eastAsia="Arial" w:hAnsi="Times New Roman" w:cs="Times New Roman"/>
          <w:color w:val="000000"/>
        </w:rPr>
      </w:pPr>
      <w:r>
        <w:rPr>
          <w:rFonts w:ascii="Times New Roman" w:eastAsia="Arial" w:hAnsi="Times New Roman" w:cs="Times New Roman"/>
          <w:color w:val="000000"/>
        </w:rPr>
        <w:t>The detailed costs and benefits of all three options are provided within section 4.</w:t>
      </w:r>
    </w:p>
    <w:p w14:paraId="43D1781C" w14:textId="77777777" w:rsidR="00993F09" w:rsidRDefault="00993F09" w:rsidP="00993F09">
      <w:pPr>
        <w:spacing w:after="0" w:line="240" w:lineRule="auto"/>
        <w:rPr>
          <w:rFonts w:ascii="Times New Roman" w:eastAsia="Arial" w:hAnsi="Times New Roman" w:cs="Times New Roman"/>
          <w:color w:val="000000"/>
        </w:rPr>
      </w:pPr>
    </w:p>
    <w:p w14:paraId="55F99600" w14:textId="77777777" w:rsidR="00993F09" w:rsidRPr="000266F5" w:rsidRDefault="00993F09" w:rsidP="00B369B5">
      <w:pPr>
        <w:pStyle w:val="ListParagraph"/>
        <w:numPr>
          <w:ilvl w:val="0"/>
          <w:numId w:val="12"/>
        </w:numPr>
        <w:spacing w:after="200" w:line="240" w:lineRule="auto"/>
        <w:rPr>
          <w:rFonts w:ascii="Times New Roman" w:eastAsia="Arial" w:hAnsi="Times New Roman" w:cs="Times New Roman"/>
          <w:b/>
          <w:bCs/>
          <w:vanish/>
        </w:rPr>
      </w:pPr>
    </w:p>
    <w:p w14:paraId="62FC50F2" w14:textId="77777777" w:rsidR="00993F09" w:rsidRPr="000266F5" w:rsidRDefault="00993F09" w:rsidP="00B369B5">
      <w:pPr>
        <w:pStyle w:val="ListParagraph"/>
        <w:numPr>
          <w:ilvl w:val="1"/>
          <w:numId w:val="12"/>
        </w:numPr>
        <w:spacing w:after="200" w:line="240" w:lineRule="auto"/>
        <w:rPr>
          <w:rFonts w:ascii="Times New Roman" w:eastAsia="Arial" w:hAnsi="Times New Roman" w:cs="Times New Roman"/>
          <w:b/>
          <w:bCs/>
        </w:rPr>
      </w:pPr>
      <w:r w:rsidRPr="000266F5">
        <w:rPr>
          <w:rFonts w:ascii="Times New Roman" w:eastAsia="Arial" w:hAnsi="Times New Roman" w:cs="Times New Roman"/>
          <w:b/>
          <w:bCs/>
        </w:rPr>
        <w:t xml:space="preserve">Option One – No regulatory change or enhanced compliance </w:t>
      </w:r>
    </w:p>
    <w:p w14:paraId="04BA30AE" w14:textId="77777777" w:rsidR="00993F09" w:rsidRDefault="00993F09" w:rsidP="00993F09">
      <w:pPr>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This option involves no legislative reform and maintaining the status quo of the TISN, the Australian </w:t>
      </w:r>
      <w:r w:rsidRPr="000266F5">
        <w:rPr>
          <w:rFonts w:ascii="Times New Roman" w:eastAsia="Arial" w:hAnsi="Times New Roman" w:cs="Times New Roman"/>
          <w:color w:val="000000"/>
        </w:rPr>
        <w:t>Cyber</w:t>
      </w:r>
      <w:r w:rsidRPr="000266F5">
        <w:rPr>
          <w:rFonts w:ascii="Times New Roman" w:eastAsia="MS PGothic" w:hAnsi="Times New Roman" w:cs="Times New Roman"/>
          <w:color w:val="000000"/>
        </w:rPr>
        <w:t xml:space="preserve"> Security Centre and their Joint Cyber Security Centres. The Government would have no direct involvement or influence over the security practices of owners and operators of </w:t>
      </w:r>
      <w:r w:rsidRPr="00EE0D81">
        <w:rPr>
          <w:rFonts w:ascii="Times New Roman" w:hAnsi="Times New Roman"/>
          <w:i/>
          <w:color w:val="000000"/>
        </w:rPr>
        <w:t>critical infrastructure asset</w:t>
      </w:r>
      <w:r w:rsidRPr="000266F5">
        <w:rPr>
          <w:rFonts w:ascii="Times New Roman" w:eastAsia="MS PGothic" w:hAnsi="Times New Roman" w:cs="Times New Roman"/>
          <w:color w:val="000000"/>
        </w:rPr>
        <w:t xml:space="preserve">s in Australia, have little understanding of Australia’s most vital systems beyond water, electricity, gas and maritime ports, and lack the ability to source real-time situational </w:t>
      </w:r>
      <w:r w:rsidRPr="000266F5">
        <w:rPr>
          <w:rFonts w:ascii="Times New Roman" w:eastAsia="Arial" w:hAnsi="Times New Roman" w:cs="Times New Roman"/>
          <w:color w:val="000000"/>
        </w:rPr>
        <w:t>awareness</w:t>
      </w:r>
      <w:r w:rsidRPr="000266F5">
        <w:rPr>
          <w:rFonts w:ascii="Times New Roman" w:eastAsia="MS PGothic" w:hAnsi="Times New Roman" w:cs="Times New Roman"/>
          <w:color w:val="000000"/>
        </w:rPr>
        <w:t xml:space="preserve"> or assist industry to prevent or respond to threats in exceptional circumstances. Owners and operators would continue to have minimal security requirements in many </w:t>
      </w:r>
      <w:r w:rsidRPr="00EE0D81">
        <w:rPr>
          <w:rFonts w:ascii="Times New Roman" w:hAnsi="Times New Roman"/>
          <w:i/>
          <w:color w:val="000000"/>
        </w:rPr>
        <w:t>critical infrastructure sector</w:t>
      </w:r>
      <w:r w:rsidRPr="000266F5">
        <w:rPr>
          <w:rFonts w:ascii="Times New Roman" w:eastAsia="MS PGothic" w:hAnsi="Times New Roman" w:cs="Times New Roman"/>
          <w:color w:val="000000"/>
        </w:rPr>
        <w:t xml:space="preserve">s. </w:t>
      </w:r>
    </w:p>
    <w:p w14:paraId="75EA31BD" w14:textId="77777777" w:rsidR="00993F09" w:rsidRDefault="00993F09" w:rsidP="00993F09">
      <w:pPr>
        <w:spacing w:after="0" w:line="240" w:lineRule="auto"/>
        <w:rPr>
          <w:rFonts w:ascii="Times New Roman" w:eastAsia="MS PGothic" w:hAnsi="Times New Roman" w:cs="Times New Roman"/>
          <w:color w:val="000000"/>
        </w:rPr>
      </w:pPr>
    </w:p>
    <w:p w14:paraId="34831825" w14:textId="213394E6" w:rsidR="00993F09" w:rsidRPr="000266F5" w:rsidRDefault="00993F09" w:rsidP="00993F09">
      <w:pPr>
        <w:spacing w:after="0" w:line="240" w:lineRule="auto"/>
        <w:rPr>
          <w:rFonts w:ascii="Times New Roman" w:eastAsia="MS PGothic" w:hAnsi="Times New Roman" w:cs="Times New Roman"/>
          <w:color w:val="000000"/>
        </w:rPr>
      </w:pPr>
      <w:r>
        <w:rPr>
          <w:rFonts w:ascii="Times New Roman" w:eastAsia="MS PGothic" w:hAnsi="Times New Roman" w:cs="Times New Roman"/>
          <w:color w:val="000000"/>
        </w:rPr>
        <w:t>This approach would not address the current risk to critical infrastructure outlined within section 1.</w:t>
      </w:r>
    </w:p>
    <w:p w14:paraId="24422048" w14:textId="77777777" w:rsidR="00993F09" w:rsidRPr="000266F5" w:rsidRDefault="00993F09" w:rsidP="00993F09">
      <w:pPr>
        <w:spacing w:after="0" w:line="240" w:lineRule="auto"/>
        <w:rPr>
          <w:rFonts w:ascii="Times New Roman" w:eastAsia="MS PGothic" w:hAnsi="Times New Roman" w:cs="Times New Roman"/>
          <w:color w:val="000000"/>
        </w:rPr>
      </w:pPr>
    </w:p>
    <w:p w14:paraId="17DD1FA8" w14:textId="77777777" w:rsidR="00993F09" w:rsidRPr="000266F5" w:rsidRDefault="00993F09" w:rsidP="00EE0D81">
      <w:pPr>
        <w:pStyle w:val="ListParagraph"/>
        <w:numPr>
          <w:ilvl w:val="1"/>
          <w:numId w:val="12"/>
        </w:numPr>
        <w:spacing w:after="0" w:line="240" w:lineRule="auto"/>
        <w:rPr>
          <w:rFonts w:ascii="Times New Roman" w:eastAsia="Arial" w:hAnsi="Times New Roman" w:cs="Times New Roman"/>
          <w:b/>
          <w:bCs/>
        </w:rPr>
      </w:pPr>
      <w:r w:rsidRPr="000266F5">
        <w:rPr>
          <w:rFonts w:ascii="Times New Roman" w:eastAsia="Arial" w:hAnsi="Times New Roman" w:cs="Times New Roman"/>
          <w:b/>
          <w:bCs/>
        </w:rPr>
        <w:t xml:space="preserve">Option Two – Strengthened government regulation, enhanced compliance and voluntary engagement through the Trusted Information Sharing Network for Critical Infrastructure Resilience  </w:t>
      </w:r>
    </w:p>
    <w:p w14:paraId="19143E09" w14:textId="77777777" w:rsidR="00993F09" w:rsidRDefault="00993F09" w:rsidP="00993F09">
      <w:pPr>
        <w:spacing w:after="0" w:line="240" w:lineRule="auto"/>
        <w:rPr>
          <w:rFonts w:ascii="Times New Roman" w:eastAsia="Arial" w:hAnsi="Times New Roman" w:cs="Times New Roman"/>
          <w:color w:val="000000"/>
        </w:rPr>
      </w:pPr>
    </w:p>
    <w:p w14:paraId="389C961E" w14:textId="549639CA" w:rsidR="00993F09" w:rsidRDefault="00993F09" w:rsidP="00993F09">
      <w:pPr>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Option two involves </w:t>
      </w:r>
      <w:r w:rsidRPr="000266F5">
        <w:rPr>
          <w:rFonts w:ascii="Times New Roman" w:eastAsia="MS PGothic" w:hAnsi="Times New Roman" w:cs="Times New Roman"/>
          <w:color w:val="000000"/>
        </w:rPr>
        <w:t>legislative</w:t>
      </w:r>
      <w:r w:rsidRPr="000266F5">
        <w:rPr>
          <w:rFonts w:ascii="Times New Roman" w:eastAsia="Arial" w:hAnsi="Times New Roman" w:cs="Times New Roman"/>
          <w:color w:val="000000"/>
        </w:rPr>
        <w:t xml:space="preserve"> amendments to </w:t>
      </w:r>
      <w:r w:rsidR="003276BE">
        <w:rPr>
          <w:rFonts w:ascii="Times New Roman" w:eastAsia="Arial" w:hAnsi="Times New Roman" w:cs="Times New Roman"/>
          <w:color w:val="000000"/>
        </w:rPr>
        <w:t xml:space="preserve">SoCI </w:t>
      </w:r>
      <w:r w:rsidRPr="000266F5">
        <w:rPr>
          <w:rFonts w:ascii="Times New Roman" w:eastAsia="Arial" w:hAnsi="Times New Roman" w:cs="Times New Roman"/>
          <w:color w:val="000000"/>
        </w:rPr>
        <w:t xml:space="preserve">to enhance existing powers, combined with </w:t>
      </w:r>
      <w:r w:rsidR="0014290C">
        <w:rPr>
          <w:rFonts w:ascii="Times New Roman" w:eastAsia="Arial" w:hAnsi="Times New Roman" w:cs="Times New Roman"/>
          <w:color w:val="000000"/>
        </w:rPr>
        <w:t xml:space="preserve">revitalising </w:t>
      </w:r>
      <w:r w:rsidRPr="000266F5">
        <w:rPr>
          <w:rFonts w:ascii="Times New Roman" w:eastAsia="Arial" w:hAnsi="Times New Roman" w:cs="Times New Roman"/>
          <w:color w:val="000000"/>
        </w:rPr>
        <w:t xml:space="preserve">the TISN and </w:t>
      </w:r>
      <w:r w:rsidR="0014290C">
        <w:rPr>
          <w:rFonts w:ascii="Times New Roman" w:eastAsia="Arial" w:hAnsi="Times New Roman" w:cs="Times New Roman"/>
          <w:color w:val="000000"/>
        </w:rPr>
        <w:t xml:space="preserve">releasing a new </w:t>
      </w:r>
      <w:r w:rsidRPr="000266F5">
        <w:rPr>
          <w:rFonts w:ascii="Times New Roman" w:eastAsia="Arial" w:hAnsi="Times New Roman" w:cs="Times New Roman"/>
          <w:color w:val="000000"/>
        </w:rPr>
        <w:t xml:space="preserve">Critical Infrastructure Resilience Strategy. </w:t>
      </w:r>
      <w:r w:rsidR="00553E6A">
        <w:rPr>
          <w:rFonts w:ascii="Times New Roman" w:eastAsia="Arial" w:hAnsi="Times New Roman" w:cs="Times New Roman"/>
          <w:color w:val="000000"/>
        </w:rPr>
        <w:t xml:space="preserve">Collectively these </w:t>
      </w:r>
      <w:r w:rsidR="0014290C">
        <w:rPr>
          <w:rFonts w:ascii="Times New Roman" w:eastAsia="Arial" w:hAnsi="Times New Roman" w:cs="Times New Roman"/>
          <w:color w:val="000000"/>
        </w:rPr>
        <w:t>measures</w:t>
      </w:r>
      <w:r w:rsidR="00553E6A">
        <w:rPr>
          <w:rFonts w:ascii="Times New Roman" w:eastAsia="Arial" w:hAnsi="Times New Roman" w:cs="Times New Roman"/>
          <w:color w:val="000000"/>
        </w:rPr>
        <w:t xml:space="preserve"> will go to addressing the problems defined within section </w:t>
      </w:r>
      <w:r w:rsidR="009F17F8">
        <w:rPr>
          <w:rFonts w:ascii="Times New Roman" w:eastAsia="Arial" w:hAnsi="Times New Roman" w:cs="Times New Roman"/>
          <w:color w:val="000000"/>
        </w:rPr>
        <w:t>1</w:t>
      </w:r>
      <w:r w:rsidR="00553E6A">
        <w:rPr>
          <w:rFonts w:ascii="Times New Roman" w:eastAsia="Arial" w:hAnsi="Times New Roman" w:cs="Times New Roman"/>
          <w:color w:val="000000"/>
        </w:rPr>
        <w:t>, helping to reduce the risk and consequence of security incidents.</w:t>
      </w:r>
    </w:p>
    <w:p w14:paraId="6A37D53D" w14:textId="77777777" w:rsidR="00993F09" w:rsidRDefault="00993F09" w:rsidP="00993F09">
      <w:pPr>
        <w:spacing w:after="0" w:line="240" w:lineRule="auto"/>
        <w:rPr>
          <w:rFonts w:ascii="Times New Roman" w:eastAsia="Arial" w:hAnsi="Times New Roman" w:cs="Times New Roman"/>
          <w:color w:val="000000"/>
        </w:rPr>
      </w:pPr>
    </w:p>
    <w:p w14:paraId="7AFC64EA" w14:textId="385DFF8E" w:rsidR="00993F09" w:rsidRPr="000266F5" w:rsidRDefault="00993F09" w:rsidP="00EE0D81">
      <w:pPr>
        <w:spacing w:line="240" w:lineRule="auto"/>
        <w:rPr>
          <w:rFonts w:ascii="Times New Roman" w:eastAsia="Arial" w:hAnsi="Times New Roman" w:cs="Times New Roman"/>
          <w:color w:val="000000"/>
        </w:rPr>
      </w:pPr>
      <w:r>
        <w:rPr>
          <w:rFonts w:ascii="Times New Roman" w:eastAsia="Arial" w:hAnsi="Times New Roman" w:cs="Times New Roman"/>
          <w:color w:val="000000"/>
        </w:rPr>
        <w:t>Option two will introduce a range of regulatory obligations and non-regulatory mechanisms for three broad classes of entities</w:t>
      </w:r>
      <w:r w:rsidRPr="000266F5">
        <w:rPr>
          <w:rFonts w:ascii="Times New Roman" w:eastAsia="Arial" w:hAnsi="Times New Roman" w:cs="Times New Roman"/>
          <w:color w:val="000000"/>
        </w:rPr>
        <w:t>:</w:t>
      </w:r>
    </w:p>
    <w:p w14:paraId="3FB86A75" w14:textId="0921CC12" w:rsidR="00993F09" w:rsidRPr="000266F5" w:rsidRDefault="00993F09" w:rsidP="00993F09">
      <w:pPr>
        <w:numPr>
          <w:ilvl w:val="0"/>
          <w:numId w:val="1"/>
        </w:numPr>
        <w:spacing w:line="240" w:lineRule="auto"/>
        <w:rPr>
          <w:rFonts w:ascii="Times New Roman" w:eastAsia="Arial" w:hAnsi="Times New Roman" w:cs="Times New Roman"/>
          <w:color w:val="000000"/>
        </w:rPr>
      </w:pPr>
      <w:r w:rsidRPr="00B1725B">
        <w:rPr>
          <w:rFonts w:ascii="Times New Roman" w:eastAsia="Arial" w:hAnsi="Times New Roman" w:cs="Times New Roman"/>
          <w:i/>
          <w:color w:val="000000"/>
        </w:rPr>
        <w:t>Critical infrastructure sector</w:t>
      </w:r>
      <w:r w:rsidRPr="00F24E51">
        <w:rPr>
          <w:rFonts w:ascii="Times New Roman" w:eastAsia="Arial" w:hAnsi="Times New Roman" w:cs="Times New Roman"/>
          <w:i/>
          <w:color w:val="000000"/>
        </w:rPr>
        <w:t>s</w:t>
      </w:r>
      <w:r w:rsidRPr="000266F5">
        <w:rPr>
          <w:rFonts w:ascii="Times New Roman" w:eastAsia="Arial" w:hAnsi="Times New Roman" w:cs="Times New Roman"/>
          <w:color w:val="000000"/>
        </w:rPr>
        <w:t xml:space="preserve"> – </w:t>
      </w:r>
      <w:r w:rsidR="00AA49A3">
        <w:rPr>
          <w:rFonts w:ascii="Times New Roman" w:eastAsia="Arial" w:hAnsi="Times New Roman" w:cs="Times New Roman"/>
          <w:color w:val="000000"/>
        </w:rPr>
        <w:t>as defined within s</w:t>
      </w:r>
      <w:r>
        <w:rPr>
          <w:rFonts w:ascii="Times New Roman" w:eastAsia="Arial" w:hAnsi="Times New Roman" w:cs="Times New Roman"/>
          <w:color w:val="000000"/>
        </w:rPr>
        <w:t>ection 1.2;</w:t>
      </w:r>
    </w:p>
    <w:p w14:paraId="20D8D150" w14:textId="37530CA8" w:rsidR="00993F09" w:rsidRPr="000266F5" w:rsidRDefault="00993F09" w:rsidP="00EE0D81">
      <w:pPr>
        <w:numPr>
          <w:ilvl w:val="0"/>
          <w:numId w:val="1"/>
        </w:numPr>
        <w:spacing w:line="240" w:lineRule="auto"/>
        <w:rPr>
          <w:rFonts w:ascii="Times New Roman" w:eastAsia="Arial" w:hAnsi="Times New Roman" w:cs="Times New Roman"/>
          <w:color w:val="000000"/>
        </w:rPr>
      </w:pPr>
      <w:r w:rsidRPr="00EE0D81">
        <w:rPr>
          <w:rFonts w:ascii="Times New Roman" w:hAnsi="Times New Roman"/>
          <w:i/>
          <w:color w:val="000000"/>
        </w:rPr>
        <w:t xml:space="preserve">Critical </w:t>
      </w:r>
      <w:r w:rsidRPr="00B1725B">
        <w:rPr>
          <w:rFonts w:ascii="Times New Roman" w:eastAsia="Arial" w:hAnsi="Times New Roman" w:cs="Times New Roman"/>
          <w:i/>
          <w:color w:val="000000"/>
        </w:rPr>
        <w:t>infrastructure asset</w:t>
      </w:r>
      <w:r w:rsidRPr="00F24E51">
        <w:rPr>
          <w:rFonts w:ascii="Times New Roman" w:eastAsia="Arial" w:hAnsi="Times New Roman" w:cs="Times New Roman"/>
          <w:i/>
          <w:color w:val="000000"/>
        </w:rPr>
        <w:t>s</w:t>
      </w:r>
      <w:r w:rsidRPr="000266F5">
        <w:rPr>
          <w:rFonts w:ascii="Times New Roman" w:eastAsia="Arial" w:hAnsi="Times New Roman" w:cs="Times New Roman"/>
          <w:color w:val="000000"/>
        </w:rPr>
        <w:t xml:space="preserve"> – a specific subset of assets within </w:t>
      </w:r>
      <w:r w:rsidRPr="00EE0D81">
        <w:rPr>
          <w:rFonts w:ascii="Times New Roman" w:hAnsi="Times New Roman"/>
          <w:i/>
          <w:color w:val="000000"/>
        </w:rPr>
        <w:t>critical infrastructure sector</w:t>
      </w:r>
      <w:r w:rsidRPr="000266F5">
        <w:rPr>
          <w:rFonts w:ascii="Times New Roman" w:eastAsia="Arial" w:hAnsi="Times New Roman" w:cs="Times New Roman"/>
          <w:color w:val="000000"/>
        </w:rPr>
        <w:t xml:space="preserve">s </w:t>
      </w:r>
      <w:r>
        <w:rPr>
          <w:rFonts w:ascii="Times New Roman" w:eastAsia="Arial" w:hAnsi="Times New Roman" w:cs="Times New Roman"/>
          <w:color w:val="000000"/>
        </w:rPr>
        <w:t xml:space="preserve">that </w:t>
      </w:r>
      <w:r w:rsidRPr="000266F5">
        <w:rPr>
          <w:rFonts w:ascii="Times New Roman" w:eastAsia="Arial" w:hAnsi="Times New Roman" w:cs="Times New Roman"/>
          <w:color w:val="000000"/>
        </w:rPr>
        <w:t xml:space="preserve">will be </w:t>
      </w:r>
      <w:r>
        <w:rPr>
          <w:rFonts w:ascii="Times New Roman" w:eastAsia="Arial" w:hAnsi="Times New Roman" w:cs="Times New Roman"/>
          <w:color w:val="000000"/>
        </w:rPr>
        <w:t>defined with</w:t>
      </w:r>
      <w:r w:rsidRPr="000266F5">
        <w:rPr>
          <w:rFonts w:ascii="Times New Roman" w:eastAsia="Arial" w:hAnsi="Times New Roman" w:cs="Times New Roman"/>
          <w:color w:val="000000"/>
        </w:rPr>
        <w:t xml:space="preserve">in </w:t>
      </w:r>
      <w:r w:rsidRPr="001A7788">
        <w:rPr>
          <w:rFonts w:ascii="Times New Roman" w:eastAsia="Arial" w:hAnsi="Times New Roman" w:cs="Times New Roman"/>
          <w:color w:val="000000"/>
        </w:rPr>
        <w:t>SoCI</w:t>
      </w:r>
      <w:r>
        <w:rPr>
          <w:rFonts w:ascii="Times New Roman" w:eastAsia="Arial" w:hAnsi="Times New Roman" w:cs="Times New Roman"/>
          <w:color w:val="000000"/>
        </w:rPr>
        <w:t xml:space="preserve">. The thresholds for </w:t>
      </w:r>
      <w:r w:rsidRPr="001A7788">
        <w:rPr>
          <w:rFonts w:ascii="Times New Roman" w:eastAsia="Arial" w:hAnsi="Times New Roman" w:cs="Times New Roman"/>
          <w:i/>
          <w:color w:val="000000"/>
        </w:rPr>
        <w:t>critical infrastructure asset</w:t>
      </w:r>
      <w:r>
        <w:rPr>
          <w:rFonts w:ascii="Times New Roman" w:eastAsia="Arial" w:hAnsi="Times New Roman" w:cs="Times New Roman"/>
          <w:i/>
          <w:color w:val="000000"/>
        </w:rPr>
        <w:t>s</w:t>
      </w:r>
      <w:r>
        <w:rPr>
          <w:rFonts w:ascii="Times New Roman" w:eastAsia="Arial" w:hAnsi="Times New Roman" w:cs="Times New Roman"/>
          <w:color w:val="000000"/>
        </w:rPr>
        <w:t xml:space="preserve"> are further explained in Attachment A;</w:t>
      </w:r>
    </w:p>
    <w:p w14:paraId="38E2B67D" w14:textId="2993AF8E" w:rsidR="00993F09" w:rsidRPr="000266F5" w:rsidRDefault="00993F09" w:rsidP="00993F09">
      <w:pPr>
        <w:numPr>
          <w:ilvl w:val="0"/>
          <w:numId w:val="1"/>
        </w:numPr>
        <w:spacing w:after="0" w:line="240" w:lineRule="auto"/>
        <w:rPr>
          <w:rFonts w:ascii="Times New Roman" w:eastAsia="MS PGothic" w:hAnsi="Times New Roman" w:cs="Times New Roman"/>
          <w:color w:val="000000"/>
        </w:rPr>
      </w:pPr>
      <w:r w:rsidRPr="00EE0D81">
        <w:rPr>
          <w:rFonts w:ascii="Times New Roman" w:hAnsi="Times New Roman"/>
          <w:i/>
          <w:color w:val="000000"/>
        </w:rPr>
        <w:t xml:space="preserve">Systems of national </w:t>
      </w:r>
      <w:r w:rsidRPr="00B1725B">
        <w:rPr>
          <w:rFonts w:ascii="Times New Roman" w:eastAsia="MS PGothic" w:hAnsi="Times New Roman" w:cs="Times New Roman"/>
          <w:i/>
          <w:color w:val="000000"/>
        </w:rPr>
        <w:t>significance</w:t>
      </w:r>
      <w:r w:rsidRPr="000266F5">
        <w:rPr>
          <w:rFonts w:ascii="Times New Roman" w:eastAsia="MS PGothic" w:hAnsi="Times New Roman" w:cs="Times New Roman"/>
          <w:color w:val="000000"/>
        </w:rPr>
        <w:t xml:space="preserve"> – those assets declared by the Minister </w:t>
      </w:r>
      <w:r>
        <w:rPr>
          <w:rFonts w:ascii="Times New Roman" w:eastAsia="MS PGothic" w:hAnsi="Times New Roman" w:cs="Times New Roman"/>
          <w:color w:val="000000"/>
        </w:rPr>
        <w:t xml:space="preserve">for Home Affairs </w:t>
      </w:r>
      <w:r w:rsidRPr="000266F5">
        <w:rPr>
          <w:rFonts w:ascii="Times New Roman" w:eastAsia="MS PGothic" w:hAnsi="Times New Roman" w:cs="Times New Roman"/>
          <w:color w:val="000000"/>
        </w:rPr>
        <w:t xml:space="preserve">to be most critical to Australia’s social and economic stability, defence and national. These systems will be a specific and limited subset of </w:t>
      </w:r>
      <w:r w:rsidRPr="00B1725B">
        <w:rPr>
          <w:rFonts w:ascii="Times New Roman" w:eastAsia="MS PGothic" w:hAnsi="Times New Roman" w:cs="Times New Roman"/>
          <w:i/>
          <w:color w:val="000000"/>
        </w:rPr>
        <w:t>Critical infrastructure asset</w:t>
      </w:r>
      <w:r w:rsidRPr="00F24E51">
        <w:rPr>
          <w:rFonts w:ascii="Times New Roman" w:eastAsia="MS PGothic" w:hAnsi="Times New Roman" w:cs="Times New Roman"/>
          <w:i/>
          <w:color w:val="000000"/>
        </w:rPr>
        <w:t>s</w:t>
      </w:r>
      <w:r>
        <w:rPr>
          <w:rFonts w:ascii="Times New Roman" w:eastAsia="MS PGothic" w:hAnsi="Times New Roman" w:cs="Times New Roman"/>
          <w:color w:val="000000"/>
        </w:rPr>
        <w:t>.</w:t>
      </w:r>
      <w:r w:rsidRPr="000266F5">
        <w:rPr>
          <w:rFonts w:ascii="Times New Roman" w:eastAsia="MS PGothic" w:hAnsi="Times New Roman" w:cs="Times New Roman"/>
          <w:color w:val="000000"/>
        </w:rPr>
        <w:t xml:space="preserve"> It is proposed that </w:t>
      </w:r>
      <w:r w:rsidRPr="001A7788">
        <w:rPr>
          <w:rFonts w:ascii="Times New Roman" w:eastAsia="MS PGothic" w:hAnsi="Times New Roman" w:cs="Times New Roman"/>
          <w:color w:val="000000"/>
        </w:rPr>
        <w:t>SoCI</w:t>
      </w:r>
      <w:r w:rsidRPr="000266F5">
        <w:rPr>
          <w:rFonts w:ascii="Times New Roman" w:eastAsia="MS PGothic" w:hAnsi="Times New Roman" w:cs="Times New Roman"/>
          <w:i/>
          <w:iCs/>
          <w:color w:val="000000"/>
        </w:rPr>
        <w:t xml:space="preserve"> </w:t>
      </w:r>
      <w:r w:rsidRPr="000266F5">
        <w:rPr>
          <w:rFonts w:ascii="Times New Roman" w:eastAsia="MS PGothic" w:hAnsi="Times New Roman" w:cs="Times New Roman"/>
          <w:color w:val="000000"/>
        </w:rPr>
        <w:t xml:space="preserve">be amended to allow the Minister to declare, in writing, that a particular asset is a </w:t>
      </w:r>
      <w:r w:rsidRPr="00EE0D81">
        <w:rPr>
          <w:rFonts w:ascii="Times New Roman" w:hAnsi="Times New Roman"/>
          <w:i/>
          <w:color w:val="000000"/>
        </w:rPr>
        <w:t>system of national significance</w:t>
      </w:r>
      <w:r w:rsidRPr="000266F5">
        <w:rPr>
          <w:rFonts w:ascii="Times New Roman" w:eastAsia="MS PGothic" w:hAnsi="Times New Roman" w:cs="Times New Roman"/>
          <w:color w:val="000000"/>
        </w:rPr>
        <w:t xml:space="preserve"> if:</w:t>
      </w:r>
    </w:p>
    <w:p w14:paraId="6C7FBDBD" w14:textId="77777777" w:rsidR="00993F09" w:rsidRPr="000266F5" w:rsidRDefault="00993F09" w:rsidP="00993F09">
      <w:pPr>
        <w:numPr>
          <w:ilvl w:val="1"/>
          <w:numId w:val="1"/>
        </w:numPr>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the asset is a </w:t>
      </w:r>
      <w:r w:rsidRPr="00EE0D81">
        <w:rPr>
          <w:rFonts w:ascii="Times New Roman" w:hAnsi="Times New Roman"/>
          <w:i/>
          <w:color w:val="000000"/>
        </w:rPr>
        <w:t>critical infrastructure asset</w:t>
      </w:r>
      <w:r w:rsidRPr="000266F5">
        <w:rPr>
          <w:rFonts w:ascii="Times New Roman" w:eastAsia="MS PGothic" w:hAnsi="Times New Roman" w:cs="Times New Roman"/>
          <w:color w:val="000000"/>
        </w:rPr>
        <w:t>; and</w:t>
      </w:r>
    </w:p>
    <w:p w14:paraId="7B9EDDD0" w14:textId="77777777" w:rsidR="00993F09" w:rsidRPr="000266F5" w:rsidRDefault="00993F09" w:rsidP="00993F09">
      <w:pPr>
        <w:numPr>
          <w:ilvl w:val="1"/>
          <w:numId w:val="2"/>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the Minister is satisfied that the asset is of national significance having considered:</w:t>
      </w:r>
    </w:p>
    <w:p w14:paraId="18B072F8" w14:textId="77777777" w:rsidR="00993F09" w:rsidRPr="000266F5" w:rsidRDefault="00993F09" w:rsidP="00993F09">
      <w:pPr>
        <w:numPr>
          <w:ilvl w:val="2"/>
          <w:numId w:val="2"/>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the extent of shared interdependencies of the asset across the economy; and</w:t>
      </w:r>
    </w:p>
    <w:p w14:paraId="4437580E" w14:textId="77777777" w:rsidR="00993F09" w:rsidRDefault="00993F09" w:rsidP="00993F09">
      <w:pPr>
        <w:numPr>
          <w:ilvl w:val="2"/>
          <w:numId w:val="2"/>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lastRenderedPageBreak/>
        <w:t>any other matters the Minister considers relevant.</w:t>
      </w:r>
    </w:p>
    <w:p w14:paraId="1A39E143" w14:textId="76805116" w:rsidR="00993F09" w:rsidRDefault="00993F09" w:rsidP="00993F09">
      <w:pPr>
        <w:tabs>
          <w:tab w:val="left" w:pos="426"/>
        </w:tabs>
        <w:spacing w:line="240" w:lineRule="auto"/>
        <w:ind w:left="720"/>
        <w:rPr>
          <w:rFonts w:ascii="Times New Roman" w:eastAsia="MS PGothic" w:hAnsi="Times New Roman" w:cs="Times New Roman"/>
          <w:color w:val="000000"/>
        </w:rPr>
      </w:pPr>
      <w:r>
        <w:rPr>
          <w:rFonts w:ascii="Times New Roman" w:eastAsia="MS PGothic" w:hAnsi="Times New Roman" w:cs="Times New Roman"/>
          <w:color w:val="000000"/>
        </w:rPr>
        <w:t xml:space="preserve">The </w:t>
      </w:r>
      <w:r w:rsidR="00CC2DD4">
        <w:rPr>
          <w:rFonts w:ascii="Times New Roman" w:eastAsia="MS PGothic" w:hAnsi="Times New Roman" w:cs="Times New Roman"/>
          <w:color w:val="000000"/>
        </w:rPr>
        <w:t xml:space="preserve">Minister for Home Affairs will be able to declare a </w:t>
      </w:r>
      <w:r w:rsidR="00CC2DD4" w:rsidRPr="00EE0D81">
        <w:rPr>
          <w:rFonts w:ascii="Times New Roman" w:eastAsia="MS PGothic" w:hAnsi="Times New Roman" w:cs="Times New Roman"/>
          <w:i/>
          <w:color w:val="000000"/>
        </w:rPr>
        <w:t>system of national significance</w:t>
      </w:r>
      <w:r w:rsidR="00CC2DD4">
        <w:rPr>
          <w:rFonts w:ascii="Times New Roman" w:eastAsia="MS PGothic" w:hAnsi="Times New Roman" w:cs="Times New Roman"/>
          <w:color w:val="000000"/>
        </w:rPr>
        <w:t xml:space="preserve"> once legislation has passed</w:t>
      </w:r>
      <w:r>
        <w:rPr>
          <w:rFonts w:ascii="Times New Roman" w:eastAsia="MS PGothic" w:hAnsi="Times New Roman" w:cs="Times New Roman"/>
          <w:color w:val="000000"/>
        </w:rPr>
        <w:t>.</w:t>
      </w:r>
      <w:r w:rsidR="00CC2DD4">
        <w:rPr>
          <w:rFonts w:ascii="Times New Roman" w:eastAsia="MS PGothic" w:hAnsi="Times New Roman" w:cs="Times New Roman"/>
          <w:color w:val="000000"/>
        </w:rPr>
        <w:t xml:space="preserve"> However, it is proposed that there will be a consultation requirement within the legislation dictating that the Minister for Home Affairs must first consult with an entity before declaring it a </w:t>
      </w:r>
      <w:r w:rsidR="00CC2DD4" w:rsidRPr="00EE0D81">
        <w:rPr>
          <w:rFonts w:ascii="Times New Roman" w:eastAsia="MS PGothic" w:hAnsi="Times New Roman" w:cs="Times New Roman"/>
          <w:i/>
          <w:color w:val="000000"/>
        </w:rPr>
        <w:t>system of national significance</w:t>
      </w:r>
      <w:r w:rsidR="00CC2DD4">
        <w:rPr>
          <w:rFonts w:ascii="Times New Roman" w:eastAsia="MS PGothic" w:hAnsi="Times New Roman" w:cs="Times New Roman"/>
          <w:color w:val="000000"/>
        </w:rPr>
        <w:t xml:space="preserve">. </w:t>
      </w:r>
    </w:p>
    <w:p w14:paraId="39838874" w14:textId="4FC9FF9C" w:rsidR="00993F09" w:rsidRPr="00EE0D81" w:rsidRDefault="00993F09" w:rsidP="00EE0D81">
      <w:pPr>
        <w:spacing w:after="0" w:line="240" w:lineRule="auto"/>
        <w:rPr>
          <w:rFonts w:ascii="Times New Roman" w:hAnsi="Times New Roman"/>
          <w:color w:val="000000"/>
        </w:rPr>
      </w:pPr>
      <w:r>
        <w:rPr>
          <w:rFonts w:ascii="Times New Roman" w:eastAsia="MS PGothic" w:hAnsi="Times New Roman" w:cs="Times New Roman"/>
          <w:color w:val="000000"/>
        </w:rPr>
        <w:t>The four elements of the enhanced framework under O</w:t>
      </w:r>
      <w:r w:rsidRPr="000266F5">
        <w:rPr>
          <w:rFonts w:ascii="Times New Roman" w:eastAsia="MS PGothic" w:hAnsi="Times New Roman" w:cs="Times New Roman"/>
          <w:color w:val="000000"/>
        </w:rPr>
        <w:t>ption</w:t>
      </w:r>
      <w:r w:rsidRPr="000266F5">
        <w:rPr>
          <w:rFonts w:ascii="Times New Roman" w:eastAsia="Arial" w:hAnsi="Times New Roman" w:cs="Times New Roman"/>
          <w:color w:val="000000"/>
        </w:rPr>
        <w:t xml:space="preserve"> </w:t>
      </w:r>
      <w:r>
        <w:rPr>
          <w:rFonts w:ascii="Times New Roman" w:eastAsia="Arial" w:hAnsi="Times New Roman" w:cs="Times New Roman"/>
          <w:color w:val="000000"/>
        </w:rPr>
        <w:t>T</w:t>
      </w:r>
      <w:r w:rsidRPr="000266F5">
        <w:rPr>
          <w:rFonts w:ascii="Times New Roman" w:eastAsia="Arial" w:hAnsi="Times New Roman" w:cs="Times New Roman"/>
          <w:color w:val="000000"/>
        </w:rPr>
        <w:t xml:space="preserve">wo </w:t>
      </w:r>
      <w:r>
        <w:rPr>
          <w:rFonts w:ascii="Times New Roman" w:eastAsia="Arial" w:hAnsi="Times New Roman" w:cs="Times New Roman"/>
          <w:color w:val="000000"/>
        </w:rPr>
        <w:t xml:space="preserve">include </w:t>
      </w:r>
      <w:r w:rsidRPr="00EE0D81">
        <w:rPr>
          <w:rFonts w:ascii="Times New Roman" w:hAnsi="Times New Roman"/>
          <w:color w:val="000000"/>
        </w:rPr>
        <w:t>Positive Security Obligations</w:t>
      </w:r>
      <w:r>
        <w:rPr>
          <w:rFonts w:ascii="Times New Roman" w:eastAsia="Arial" w:hAnsi="Times New Roman" w:cs="Times New Roman"/>
          <w:color w:val="000000"/>
        </w:rPr>
        <w:t>, Enhanced</w:t>
      </w:r>
      <w:r w:rsidRPr="00EE0D81">
        <w:rPr>
          <w:rFonts w:ascii="Times New Roman" w:hAnsi="Times New Roman"/>
          <w:color w:val="000000"/>
        </w:rPr>
        <w:t xml:space="preserve"> Cyber Security </w:t>
      </w:r>
      <w:r>
        <w:rPr>
          <w:rFonts w:ascii="Times New Roman" w:eastAsia="Arial" w:hAnsi="Times New Roman" w:cs="Times New Roman"/>
          <w:color w:val="000000"/>
        </w:rPr>
        <w:t xml:space="preserve">Obligations, Government Assistance and Ministerial Directions as further detailed below. The following entities will be subject to each of the </w:t>
      </w:r>
      <w:r w:rsidR="0014290C">
        <w:rPr>
          <w:rFonts w:ascii="Times New Roman" w:eastAsia="Arial" w:hAnsi="Times New Roman" w:cs="Times New Roman"/>
          <w:color w:val="000000"/>
        </w:rPr>
        <w:t>measures</w:t>
      </w:r>
      <w:r>
        <w:rPr>
          <w:rFonts w:ascii="Times New Roman" w:eastAsia="Arial" w:hAnsi="Times New Roman" w:cs="Times New Roman"/>
          <w:color w:val="000000"/>
        </w:rPr>
        <w:t>:</w:t>
      </w:r>
    </w:p>
    <w:p w14:paraId="06169E10" w14:textId="5ED8E6BC" w:rsidR="00993F09" w:rsidRDefault="00993F09" w:rsidP="00993F09">
      <w:pPr>
        <w:spacing w:after="0" w:line="240" w:lineRule="auto"/>
        <w:rPr>
          <w:rFonts w:ascii="Times New Roman" w:eastAsia="Arial" w:hAnsi="Times New Roman" w:cs="Times New Roman"/>
          <w:color w:val="000000"/>
        </w:rPr>
      </w:pPr>
    </w:p>
    <w:tbl>
      <w:tblPr>
        <w:tblStyle w:val="GridTable1Light"/>
        <w:tblW w:w="9104" w:type="dxa"/>
        <w:tblLook w:val="04A0" w:firstRow="1" w:lastRow="0" w:firstColumn="1" w:lastColumn="0" w:noHBand="0" w:noVBand="1"/>
      </w:tblPr>
      <w:tblGrid>
        <w:gridCol w:w="1980"/>
        <w:gridCol w:w="2374"/>
        <w:gridCol w:w="2375"/>
        <w:gridCol w:w="2375"/>
      </w:tblGrid>
      <w:tr w:rsidR="00993F09" w:rsidRPr="00924D81" w14:paraId="78C972C4" w14:textId="77777777" w:rsidTr="00602DD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hemeFill="background1" w:themeFillShade="D9"/>
          </w:tcPr>
          <w:p w14:paraId="2CBA9013" w14:textId="77777777" w:rsidR="00993F09" w:rsidRPr="001A7788" w:rsidRDefault="00993F09" w:rsidP="00602DDE">
            <w:pPr>
              <w:rPr>
                <w:rFonts w:ascii="Times New Roman" w:eastAsia="Arial" w:hAnsi="Times New Roman" w:cs="Times New Roman"/>
                <w:color w:val="000000" w:themeColor="text1"/>
              </w:rPr>
            </w:pPr>
          </w:p>
        </w:tc>
        <w:tc>
          <w:tcPr>
            <w:tcW w:w="2374" w:type="dxa"/>
            <w:shd w:val="clear" w:color="auto" w:fill="D9D9D9" w:themeFill="background1" w:themeFillShade="D9"/>
          </w:tcPr>
          <w:p w14:paraId="0C35EE97" w14:textId="77777777" w:rsidR="00993F09" w:rsidRPr="001A7788" w:rsidRDefault="00993F09" w:rsidP="00602DDE">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color w:val="000000" w:themeColor="text1"/>
              </w:rPr>
            </w:pPr>
            <w:r w:rsidRPr="001A7788">
              <w:rPr>
                <w:rFonts w:ascii="Times New Roman" w:eastAsia="Arial" w:hAnsi="Times New Roman" w:cs="Times New Roman"/>
                <w:color w:val="000000" w:themeColor="text1"/>
              </w:rPr>
              <w:t xml:space="preserve">Entities within </w:t>
            </w:r>
            <w:r>
              <w:rPr>
                <w:rFonts w:ascii="Times New Roman" w:eastAsia="Arial" w:hAnsi="Times New Roman" w:cs="Times New Roman"/>
                <w:color w:val="000000" w:themeColor="text1"/>
              </w:rPr>
              <w:t>C</w:t>
            </w:r>
            <w:r w:rsidRPr="001A7788">
              <w:rPr>
                <w:rFonts w:ascii="Times New Roman" w:eastAsia="Arial" w:hAnsi="Times New Roman" w:cs="Times New Roman"/>
                <w:i/>
                <w:color w:val="000000" w:themeColor="text1"/>
              </w:rPr>
              <w:t>ritical Infrastructure Sector</w:t>
            </w:r>
            <w:r>
              <w:rPr>
                <w:rFonts w:ascii="Times New Roman" w:eastAsia="Arial" w:hAnsi="Times New Roman" w:cs="Times New Roman"/>
                <w:i/>
                <w:color w:val="000000" w:themeColor="text1"/>
              </w:rPr>
              <w:t>s</w:t>
            </w:r>
          </w:p>
        </w:tc>
        <w:tc>
          <w:tcPr>
            <w:tcW w:w="2375" w:type="dxa"/>
            <w:shd w:val="clear" w:color="auto" w:fill="D9D9D9" w:themeFill="background1" w:themeFillShade="D9"/>
          </w:tcPr>
          <w:p w14:paraId="0C0EC77D" w14:textId="77777777" w:rsidR="00993F09" w:rsidRPr="001A7788" w:rsidRDefault="00993F09" w:rsidP="00602DDE">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i/>
                <w:color w:val="000000" w:themeColor="text1"/>
              </w:rPr>
            </w:pPr>
            <w:r w:rsidRPr="001A7788">
              <w:rPr>
                <w:rFonts w:ascii="Times New Roman" w:eastAsia="Arial" w:hAnsi="Times New Roman" w:cs="Times New Roman"/>
                <w:i/>
                <w:color w:val="000000" w:themeColor="text1"/>
              </w:rPr>
              <w:t xml:space="preserve">Critical Infrastructure Assets </w:t>
            </w:r>
          </w:p>
        </w:tc>
        <w:tc>
          <w:tcPr>
            <w:tcW w:w="2375" w:type="dxa"/>
            <w:shd w:val="clear" w:color="auto" w:fill="D9D9D9" w:themeFill="background1" w:themeFillShade="D9"/>
          </w:tcPr>
          <w:p w14:paraId="2E07B577" w14:textId="77777777" w:rsidR="00993F09" w:rsidRPr="001A7788" w:rsidRDefault="00993F09" w:rsidP="00602DDE">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i/>
                <w:color w:val="000000" w:themeColor="text1"/>
              </w:rPr>
            </w:pPr>
            <w:r w:rsidRPr="001A7788">
              <w:rPr>
                <w:rFonts w:ascii="Times New Roman" w:eastAsia="Arial" w:hAnsi="Times New Roman" w:cs="Times New Roman"/>
                <w:i/>
                <w:color w:val="000000" w:themeColor="text1"/>
              </w:rPr>
              <w:t>Systems of National Significance</w:t>
            </w:r>
          </w:p>
        </w:tc>
      </w:tr>
      <w:tr w:rsidR="00993F09" w14:paraId="115BF6B6" w14:textId="77777777" w:rsidTr="00602DDE">
        <w:trPr>
          <w:trHeight w:val="572"/>
        </w:trPr>
        <w:tc>
          <w:tcPr>
            <w:cnfStyle w:val="001000000000" w:firstRow="0" w:lastRow="0" w:firstColumn="1" w:lastColumn="0" w:oddVBand="0" w:evenVBand="0" w:oddHBand="0" w:evenHBand="0" w:firstRowFirstColumn="0" w:firstRowLastColumn="0" w:lastRowFirstColumn="0" w:lastRowLastColumn="0"/>
            <w:tcW w:w="1980" w:type="dxa"/>
          </w:tcPr>
          <w:p w14:paraId="6344AF8E" w14:textId="77777777" w:rsidR="00993F09" w:rsidRDefault="00993F09" w:rsidP="00602DDE">
            <w:pPr>
              <w:rPr>
                <w:rFonts w:ascii="Times New Roman" w:eastAsia="Arial" w:hAnsi="Times New Roman" w:cs="Times New Roman"/>
                <w:color w:val="000000"/>
              </w:rPr>
            </w:pPr>
            <w:r>
              <w:rPr>
                <w:rFonts w:ascii="Times New Roman" w:eastAsia="Arial" w:hAnsi="Times New Roman" w:cs="Times New Roman"/>
                <w:color w:val="000000"/>
              </w:rPr>
              <w:t>Positive Security Obligations*</w:t>
            </w:r>
          </w:p>
        </w:tc>
        <w:tc>
          <w:tcPr>
            <w:tcW w:w="2374" w:type="dxa"/>
            <w:shd w:val="clear" w:color="auto" w:fill="FAB4C0"/>
            <w:vAlign w:val="center"/>
          </w:tcPr>
          <w:p w14:paraId="5D0FB938" w14:textId="77777777" w:rsidR="00993F09" w:rsidRDefault="00993F09" w:rsidP="00602DDE">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000000"/>
              </w:rPr>
            </w:pPr>
            <w:r>
              <w:rPr>
                <w:rFonts w:ascii="Times New Roman" w:eastAsia="Arial" w:hAnsi="Times New Roman" w:cs="Times New Roman"/>
                <w:color w:val="000000"/>
              </w:rPr>
              <w:t>No</w:t>
            </w:r>
          </w:p>
        </w:tc>
        <w:tc>
          <w:tcPr>
            <w:tcW w:w="2375" w:type="dxa"/>
            <w:shd w:val="clear" w:color="auto" w:fill="C5E0B3" w:themeFill="accent6" w:themeFillTint="66"/>
            <w:vAlign w:val="center"/>
          </w:tcPr>
          <w:p w14:paraId="3F4182FE" w14:textId="77777777" w:rsidR="00993F09" w:rsidRDefault="00993F09" w:rsidP="00602DDE">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000000"/>
              </w:rPr>
            </w:pPr>
            <w:r>
              <w:rPr>
                <w:rFonts w:ascii="Times New Roman" w:eastAsia="Arial" w:hAnsi="Times New Roman" w:cs="Times New Roman"/>
                <w:color w:val="000000"/>
              </w:rPr>
              <w:t>Yes</w:t>
            </w:r>
          </w:p>
        </w:tc>
        <w:tc>
          <w:tcPr>
            <w:tcW w:w="2375" w:type="dxa"/>
            <w:shd w:val="clear" w:color="auto" w:fill="C5E0B3" w:themeFill="accent6" w:themeFillTint="66"/>
            <w:vAlign w:val="center"/>
          </w:tcPr>
          <w:p w14:paraId="4F4B2875" w14:textId="77777777" w:rsidR="00993F09" w:rsidRDefault="00993F09" w:rsidP="00602DDE">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000000"/>
              </w:rPr>
            </w:pPr>
            <w:r>
              <w:rPr>
                <w:rFonts w:ascii="Times New Roman" w:eastAsia="Arial" w:hAnsi="Times New Roman" w:cs="Times New Roman"/>
                <w:color w:val="000000"/>
              </w:rPr>
              <w:t>Yes</w:t>
            </w:r>
          </w:p>
        </w:tc>
      </w:tr>
      <w:tr w:rsidR="00993F09" w14:paraId="394887E8" w14:textId="77777777" w:rsidTr="00602DDE">
        <w:trPr>
          <w:trHeight w:val="555"/>
        </w:trPr>
        <w:tc>
          <w:tcPr>
            <w:cnfStyle w:val="001000000000" w:firstRow="0" w:lastRow="0" w:firstColumn="1" w:lastColumn="0" w:oddVBand="0" w:evenVBand="0" w:oddHBand="0" w:evenHBand="0" w:firstRowFirstColumn="0" w:firstRowLastColumn="0" w:lastRowFirstColumn="0" w:lastRowLastColumn="0"/>
            <w:tcW w:w="1980" w:type="dxa"/>
          </w:tcPr>
          <w:p w14:paraId="10144E4E" w14:textId="77777777" w:rsidR="00993F09" w:rsidRDefault="00993F09" w:rsidP="00602DDE">
            <w:pPr>
              <w:rPr>
                <w:rFonts w:ascii="Times New Roman" w:eastAsia="Arial" w:hAnsi="Times New Roman" w:cs="Times New Roman"/>
                <w:color w:val="000000"/>
              </w:rPr>
            </w:pPr>
            <w:r>
              <w:rPr>
                <w:rFonts w:ascii="Times New Roman" w:eastAsia="Arial" w:hAnsi="Times New Roman" w:cs="Times New Roman"/>
                <w:color w:val="000000"/>
              </w:rPr>
              <w:t>Enhanced Cyber Security Obligations</w:t>
            </w:r>
          </w:p>
        </w:tc>
        <w:tc>
          <w:tcPr>
            <w:tcW w:w="2374" w:type="dxa"/>
            <w:shd w:val="clear" w:color="auto" w:fill="FAB4C0"/>
            <w:vAlign w:val="center"/>
          </w:tcPr>
          <w:p w14:paraId="760CC3ED" w14:textId="77777777" w:rsidR="00993F09" w:rsidRDefault="00993F09" w:rsidP="00602DDE">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000000"/>
              </w:rPr>
            </w:pPr>
            <w:r>
              <w:rPr>
                <w:rFonts w:ascii="Times New Roman" w:eastAsia="Arial" w:hAnsi="Times New Roman" w:cs="Times New Roman"/>
                <w:color w:val="000000"/>
              </w:rPr>
              <w:t>No</w:t>
            </w:r>
          </w:p>
        </w:tc>
        <w:tc>
          <w:tcPr>
            <w:tcW w:w="2375" w:type="dxa"/>
            <w:shd w:val="clear" w:color="auto" w:fill="FAB4C0"/>
            <w:vAlign w:val="center"/>
          </w:tcPr>
          <w:p w14:paraId="62C540C6" w14:textId="77777777" w:rsidR="00993F09" w:rsidRDefault="00993F09" w:rsidP="00602DDE">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000000"/>
              </w:rPr>
            </w:pPr>
            <w:r>
              <w:rPr>
                <w:rFonts w:ascii="Times New Roman" w:eastAsia="Arial" w:hAnsi="Times New Roman" w:cs="Times New Roman"/>
                <w:color w:val="000000"/>
              </w:rPr>
              <w:t>No</w:t>
            </w:r>
          </w:p>
        </w:tc>
        <w:tc>
          <w:tcPr>
            <w:tcW w:w="2375" w:type="dxa"/>
            <w:shd w:val="clear" w:color="auto" w:fill="C5E0B3" w:themeFill="accent6" w:themeFillTint="66"/>
            <w:vAlign w:val="center"/>
          </w:tcPr>
          <w:p w14:paraId="4452D880" w14:textId="77777777" w:rsidR="00993F09" w:rsidRDefault="00993F09" w:rsidP="00602DDE">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000000"/>
              </w:rPr>
            </w:pPr>
            <w:r>
              <w:rPr>
                <w:rFonts w:ascii="Times New Roman" w:eastAsia="Arial" w:hAnsi="Times New Roman" w:cs="Times New Roman"/>
                <w:color w:val="000000"/>
              </w:rPr>
              <w:t>Yes</w:t>
            </w:r>
          </w:p>
        </w:tc>
      </w:tr>
      <w:tr w:rsidR="00993F09" w14:paraId="06350F1A" w14:textId="77777777" w:rsidTr="00602DDE">
        <w:trPr>
          <w:trHeight w:val="555"/>
        </w:trPr>
        <w:tc>
          <w:tcPr>
            <w:cnfStyle w:val="001000000000" w:firstRow="0" w:lastRow="0" w:firstColumn="1" w:lastColumn="0" w:oddVBand="0" w:evenVBand="0" w:oddHBand="0" w:evenHBand="0" w:firstRowFirstColumn="0" w:firstRowLastColumn="0" w:lastRowFirstColumn="0" w:lastRowLastColumn="0"/>
            <w:tcW w:w="1980" w:type="dxa"/>
          </w:tcPr>
          <w:p w14:paraId="2E92AE37" w14:textId="77777777" w:rsidR="00993F09" w:rsidRDefault="00993F09" w:rsidP="00602DDE">
            <w:pPr>
              <w:rPr>
                <w:rFonts w:ascii="Times New Roman" w:eastAsia="Arial" w:hAnsi="Times New Roman" w:cs="Times New Roman"/>
                <w:color w:val="000000"/>
              </w:rPr>
            </w:pPr>
            <w:r>
              <w:rPr>
                <w:rFonts w:ascii="Times New Roman" w:eastAsia="Arial" w:hAnsi="Times New Roman" w:cs="Times New Roman"/>
                <w:color w:val="000000"/>
              </w:rPr>
              <w:t>Government Assistance</w:t>
            </w:r>
          </w:p>
        </w:tc>
        <w:tc>
          <w:tcPr>
            <w:tcW w:w="2374" w:type="dxa"/>
            <w:shd w:val="clear" w:color="auto" w:fill="C5E0B3" w:themeFill="accent6" w:themeFillTint="66"/>
            <w:vAlign w:val="center"/>
          </w:tcPr>
          <w:p w14:paraId="4C325324" w14:textId="77777777" w:rsidR="00993F09" w:rsidRDefault="00993F09" w:rsidP="00602DDE">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000000"/>
              </w:rPr>
            </w:pPr>
            <w:r>
              <w:rPr>
                <w:rFonts w:ascii="Times New Roman" w:eastAsia="Arial" w:hAnsi="Times New Roman" w:cs="Times New Roman"/>
                <w:color w:val="000000"/>
              </w:rPr>
              <w:t>Yes</w:t>
            </w:r>
          </w:p>
        </w:tc>
        <w:tc>
          <w:tcPr>
            <w:tcW w:w="2375" w:type="dxa"/>
            <w:shd w:val="clear" w:color="auto" w:fill="C5E0B3" w:themeFill="accent6" w:themeFillTint="66"/>
            <w:vAlign w:val="center"/>
          </w:tcPr>
          <w:p w14:paraId="41AC59C7" w14:textId="77777777" w:rsidR="00993F09" w:rsidRDefault="00993F09" w:rsidP="00602DDE">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000000"/>
              </w:rPr>
            </w:pPr>
            <w:r>
              <w:rPr>
                <w:rFonts w:ascii="Times New Roman" w:eastAsia="Arial" w:hAnsi="Times New Roman" w:cs="Times New Roman"/>
                <w:color w:val="000000"/>
              </w:rPr>
              <w:t>Yes</w:t>
            </w:r>
          </w:p>
        </w:tc>
        <w:tc>
          <w:tcPr>
            <w:tcW w:w="2375" w:type="dxa"/>
            <w:shd w:val="clear" w:color="auto" w:fill="C5E0B3" w:themeFill="accent6" w:themeFillTint="66"/>
            <w:vAlign w:val="center"/>
          </w:tcPr>
          <w:p w14:paraId="0BFD0EFF" w14:textId="77777777" w:rsidR="00993F09" w:rsidRDefault="00993F09" w:rsidP="00602DDE">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000000"/>
              </w:rPr>
            </w:pPr>
            <w:r>
              <w:rPr>
                <w:rFonts w:ascii="Times New Roman" w:eastAsia="Arial" w:hAnsi="Times New Roman" w:cs="Times New Roman"/>
                <w:color w:val="000000"/>
              </w:rPr>
              <w:t>Yes</w:t>
            </w:r>
          </w:p>
        </w:tc>
      </w:tr>
      <w:tr w:rsidR="00993F09" w14:paraId="091CA125" w14:textId="77777777" w:rsidTr="00602DDE">
        <w:trPr>
          <w:trHeight w:val="286"/>
        </w:trPr>
        <w:tc>
          <w:tcPr>
            <w:cnfStyle w:val="001000000000" w:firstRow="0" w:lastRow="0" w:firstColumn="1" w:lastColumn="0" w:oddVBand="0" w:evenVBand="0" w:oddHBand="0" w:evenHBand="0" w:firstRowFirstColumn="0" w:firstRowLastColumn="0" w:lastRowFirstColumn="0" w:lastRowLastColumn="0"/>
            <w:tcW w:w="1980" w:type="dxa"/>
          </w:tcPr>
          <w:p w14:paraId="3C911058" w14:textId="77777777" w:rsidR="00993F09" w:rsidRDefault="00993F09" w:rsidP="00602DDE">
            <w:pPr>
              <w:rPr>
                <w:rFonts w:ascii="Times New Roman" w:eastAsia="Arial" w:hAnsi="Times New Roman" w:cs="Times New Roman"/>
                <w:color w:val="000000"/>
              </w:rPr>
            </w:pPr>
            <w:r>
              <w:rPr>
                <w:rFonts w:ascii="Times New Roman" w:eastAsia="Arial" w:hAnsi="Times New Roman" w:cs="Times New Roman"/>
                <w:color w:val="000000"/>
              </w:rPr>
              <w:t>Ministerial Direction</w:t>
            </w:r>
          </w:p>
        </w:tc>
        <w:tc>
          <w:tcPr>
            <w:tcW w:w="2374" w:type="dxa"/>
            <w:shd w:val="clear" w:color="auto" w:fill="FAB4C0"/>
            <w:vAlign w:val="center"/>
          </w:tcPr>
          <w:p w14:paraId="242CC6C7" w14:textId="77777777" w:rsidR="00993F09" w:rsidRDefault="00993F09" w:rsidP="00602DDE">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000000"/>
              </w:rPr>
            </w:pPr>
            <w:r>
              <w:rPr>
                <w:rFonts w:ascii="Times New Roman" w:eastAsia="Arial" w:hAnsi="Times New Roman" w:cs="Times New Roman"/>
                <w:color w:val="000000"/>
              </w:rPr>
              <w:t>No</w:t>
            </w:r>
          </w:p>
        </w:tc>
        <w:tc>
          <w:tcPr>
            <w:tcW w:w="2375" w:type="dxa"/>
            <w:shd w:val="clear" w:color="auto" w:fill="C5E0B3" w:themeFill="accent6" w:themeFillTint="66"/>
            <w:vAlign w:val="center"/>
          </w:tcPr>
          <w:p w14:paraId="64D28CB8" w14:textId="77777777" w:rsidR="00993F09" w:rsidRDefault="00993F09" w:rsidP="00602DDE">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000000"/>
              </w:rPr>
            </w:pPr>
            <w:r>
              <w:rPr>
                <w:rFonts w:ascii="Times New Roman" w:eastAsia="Arial" w:hAnsi="Times New Roman" w:cs="Times New Roman"/>
                <w:color w:val="000000"/>
              </w:rPr>
              <w:t>Yes</w:t>
            </w:r>
          </w:p>
        </w:tc>
        <w:tc>
          <w:tcPr>
            <w:tcW w:w="2375" w:type="dxa"/>
            <w:shd w:val="clear" w:color="auto" w:fill="C5E0B3" w:themeFill="accent6" w:themeFillTint="66"/>
            <w:vAlign w:val="center"/>
          </w:tcPr>
          <w:p w14:paraId="7C6D532B" w14:textId="77777777" w:rsidR="00993F09" w:rsidRDefault="00993F09" w:rsidP="00602DDE">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000000"/>
              </w:rPr>
            </w:pPr>
            <w:r>
              <w:rPr>
                <w:rFonts w:ascii="Times New Roman" w:eastAsia="Arial" w:hAnsi="Times New Roman" w:cs="Times New Roman"/>
                <w:color w:val="000000"/>
              </w:rPr>
              <w:t>Yes</w:t>
            </w:r>
          </w:p>
        </w:tc>
      </w:tr>
    </w:tbl>
    <w:p w14:paraId="2A5EBA1F" w14:textId="7BA84D86" w:rsidR="00993F09" w:rsidRPr="001A7788" w:rsidRDefault="00993F09" w:rsidP="00993F09">
      <w:pPr>
        <w:spacing w:after="0" w:line="240" w:lineRule="auto"/>
        <w:rPr>
          <w:rFonts w:ascii="Times New Roman" w:eastAsia="Arial" w:hAnsi="Times New Roman" w:cs="Times New Roman"/>
          <w:i/>
          <w:color w:val="000000"/>
        </w:rPr>
      </w:pPr>
      <w:r w:rsidRPr="001A7788">
        <w:rPr>
          <w:rFonts w:ascii="Times New Roman" w:eastAsia="Arial" w:hAnsi="Times New Roman" w:cs="Times New Roman"/>
          <w:i/>
          <w:color w:val="000000"/>
          <w:sz w:val="18"/>
        </w:rPr>
        <w:t>*</w:t>
      </w:r>
      <w:r w:rsidRPr="001A7788">
        <w:rPr>
          <w:rFonts w:ascii="Times New Roman" w:eastAsia="Arial" w:hAnsi="Times New Roman" w:cs="Times New Roman"/>
          <w:i/>
          <w:color w:val="000000"/>
        </w:rPr>
        <w:t xml:space="preserve"> </w:t>
      </w:r>
      <w:r w:rsidR="002B0BEA">
        <w:rPr>
          <w:rFonts w:ascii="Times New Roman" w:eastAsia="Arial" w:hAnsi="Times New Roman" w:cs="Times New Roman"/>
          <w:color w:val="000000"/>
          <w:sz w:val="18"/>
        </w:rPr>
        <w:t>T</w:t>
      </w:r>
      <w:r w:rsidRPr="001A7788">
        <w:rPr>
          <w:rFonts w:ascii="Times New Roman" w:eastAsia="Arial" w:hAnsi="Times New Roman" w:cs="Times New Roman"/>
          <w:color w:val="000000"/>
          <w:sz w:val="18"/>
        </w:rPr>
        <w:t>he obligations under the Positive Security Obligation</w:t>
      </w:r>
      <w:r>
        <w:rPr>
          <w:rFonts w:ascii="Times New Roman" w:eastAsia="Arial" w:hAnsi="Times New Roman" w:cs="Times New Roman"/>
          <w:color w:val="000000"/>
          <w:sz w:val="18"/>
        </w:rPr>
        <w:t>s</w:t>
      </w:r>
      <w:r w:rsidRPr="00EE0D81">
        <w:rPr>
          <w:rFonts w:ascii="Times New Roman" w:hAnsi="Times New Roman"/>
          <w:color w:val="000000"/>
          <w:sz w:val="18"/>
        </w:rPr>
        <w:t xml:space="preserve"> will </w:t>
      </w:r>
      <w:r w:rsidRPr="001A7788">
        <w:rPr>
          <w:rFonts w:ascii="Times New Roman" w:eastAsia="Arial" w:hAnsi="Times New Roman" w:cs="Times New Roman"/>
          <w:color w:val="000000"/>
          <w:sz w:val="18"/>
        </w:rPr>
        <w:t xml:space="preserve">need to be </w:t>
      </w:r>
      <w:r>
        <w:rPr>
          <w:rFonts w:ascii="Times New Roman" w:eastAsia="Arial" w:hAnsi="Times New Roman" w:cs="Times New Roman"/>
          <w:color w:val="000000"/>
          <w:sz w:val="18"/>
        </w:rPr>
        <w:t>“</w:t>
      </w:r>
      <w:r w:rsidRPr="001A7788">
        <w:rPr>
          <w:rFonts w:ascii="Times New Roman" w:eastAsia="Arial" w:hAnsi="Times New Roman" w:cs="Times New Roman"/>
          <w:color w:val="000000"/>
          <w:sz w:val="18"/>
        </w:rPr>
        <w:t>turned on</w:t>
      </w:r>
      <w:r>
        <w:rPr>
          <w:rFonts w:ascii="Times New Roman" w:eastAsia="Arial" w:hAnsi="Times New Roman" w:cs="Times New Roman"/>
          <w:color w:val="000000"/>
          <w:sz w:val="18"/>
        </w:rPr>
        <w:t>”</w:t>
      </w:r>
      <w:r w:rsidRPr="001A7788">
        <w:rPr>
          <w:rFonts w:ascii="Times New Roman" w:eastAsia="Arial" w:hAnsi="Times New Roman" w:cs="Times New Roman"/>
          <w:color w:val="000000"/>
          <w:sz w:val="18"/>
        </w:rPr>
        <w:t xml:space="preserve"> (through the making of a rule) fo</w:t>
      </w:r>
      <w:r w:rsidRPr="00924D81">
        <w:rPr>
          <w:rFonts w:ascii="Times New Roman" w:eastAsia="Arial" w:hAnsi="Times New Roman" w:cs="Times New Roman"/>
          <w:color w:val="000000"/>
          <w:sz w:val="18"/>
        </w:rPr>
        <w:t>r each class</w:t>
      </w:r>
      <w:r w:rsidRPr="00EE0D81">
        <w:rPr>
          <w:rFonts w:ascii="Times New Roman" w:hAnsi="Times New Roman"/>
          <w:color w:val="000000"/>
          <w:sz w:val="18"/>
        </w:rPr>
        <w:t xml:space="preserve"> of assets, </w:t>
      </w:r>
      <w:r w:rsidRPr="00924D81">
        <w:rPr>
          <w:rFonts w:ascii="Times New Roman" w:eastAsia="Arial" w:hAnsi="Times New Roman" w:cs="Times New Roman"/>
          <w:color w:val="000000"/>
          <w:sz w:val="18"/>
        </w:rPr>
        <w:t>meaning</w:t>
      </w:r>
      <w:r w:rsidRPr="00EE0D81">
        <w:rPr>
          <w:rFonts w:ascii="Times New Roman" w:hAnsi="Times New Roman"/>
          <w:color w:val="000000"/>
          <w:sz w:val="18"/>
        </w:rPr>
        <w:t xml:space="preserve"> that </w:t>
      </w:r>
      <w:r w:rsidRPr="00924D81">
        <w:rPr>
          <w:rFonts w:ascii="Times New Roman" w:eastAsia="Arial" w:hAnsi="Times New Roman" w:cs="Times New Roman"/>
          <w:color w:val="000000"/>
          <w:sz w:val="18"/>
        </w:rPr>
        <w:t xml:space="preserve">there will be no regulatory burden </w:t>
      </w:r>
      <w:r>
        <w:rPr>
          <w:rFonts w:ascii="Times New Roman" w:eastAsia="Arial" w:hAnsi="Times New Roman" w:cs="Times New Roman"/>
          <w:color w:val="000000"/>
          <w:sz w:val="18"/>
        </w:rPr>
        <w:t>experience</w:t>
      </w:r>
      <w:r w:rsidRPr="00924D81">
        <w:rPr>
          <w:rFonts w:ascii="Times New Roman" w:eastAsia="Arial" w:hAnsi="Times New Roman" w:cs="Times New Roman"/>
          <w:color w:val="000000"/>
          <w:sz w:val="18"/>
        </w:rPr>
        <w:t>d by industry under the Positive Security Obligations until defined within the Rules.</w:t>
      </w:r>
    </w:p>
    <w:p w14:paraId="0F16FB26" w14:textId="77777777" w:rsidR="00993F09" w:rsidRDefault="00993F09" w:rsidP="00993F09">
      <w:pPr>
        <w:spacing w:after="0" w:line="240" w:lineRule="auto"/>
        <w:rPr>
          <w:rFonts w:ascii="Times New Roman" w:eastAsia="Arial" w:hAnsi="Times New Roman" w:cs="Times New Roman"/>
          <w:color w:val="000000"/>
        </w:rPr>
      </w:pPr>
    </w:p>
    <w:p w14:paraId="7FADAA02" w14:textId="3BDA86D0" w:rsidR="00993F09" w:rsidRPr="00EE0D81" w:rsidRDefault="00993F09" w:rsidP="00EE0D81">
      <w:pPr>
        <w:pStyle w:val="ListParagraph"/>
        <w:numPr>
          <w:ilvl w:val="2"/>
          <w:numId w:val="12"/>
        </w:numPr>
        <w:spacing w:after="0" w:line="240" w:lineRule="auto"/>
        <w:rPr>
          <w:rFonts w:ascii="Times New Roman" w:hAnsi="Times New Roman"/>
          <w:color w:val="000000"/>
        </w:rPr>
      </w:pPr>
      <w:r w:rsidRPr="001A7788">
        <w:rPr>
          <w:rFonts w:ascii="Times New Roman" w:eastAsia="Arial" w:hAnsi="Times New Roman" w:cs="Times New Roman"/>
          <w:bCs/>
          <w:u w:val="single"/>
        </w:rPr>
        <w:t>Positive</w:t>
      </w:r>
      <w:r w:rsidRPr="00924D81">
        <w:rPr>
          <w:rFonts w:ascii="Times New Roman" w:eastAsia="Arial" w:hAnsi="Times New Roman" w:cs="Times New Roman"/>
          <w:color w:val="000000"/>
          <w:u w:val="single"/>
        </w:rPr>
        <w:t xml:space="preserve"> Security Obligation</w:t>
      </w:r>
      <w:r w:rsidRPr="001A7788">
        <w:rPr>
          <w:rFonts w:ascii="Times New Roman" w:eastAsia="Arial" w:hAnsi="Times New Roman" w:cs="Times New Roman"/>
          <w:color w:val="000000"/>
          <w:u w:val="single"/>
        </w:rPr>
        <w:t>s</w:t>
      </w:r>
      <w:r w:rsidRPr="00924D81">
        <w:rPr>
          <w:rFonts w:ascii="Times New Roman" w:eastAsia="Arial" w:hAnsi="Times New Roman" w:cs="Times New Roman"/>
          <w:color w:val="000000"/>
          <w:u w:val="single"/>
        </w:rPr>
        <w:t xml:space="preserve"> </w:t>
      </w:r>
      <w:r w:rsidRPr="00924D81">
        <w:rPr>
          <w:rFonts w:ascii="Times New Roman" w:eastAsia="Arial" w:hAnsi="Times New Roman" w:cs="Times New Roman"/>
          <w:color w:val="000000"/>
        </w:rPr>
        <w:t>is the collective name for three regulatory obligations</w:t>
      </w:r>
      <w:r w:rsidRPr="001A7788">
        <w:rPr>
          <w:rFonts w:ascii="Times New Roman" w:eastAsia="Arial" w:hAnsi="Times New Roman" w:cs="Times New Roman"/>
          <w:color w:val="000000"/>
        </w:rPr>
        <w:t xml:space="preserve"> intend</w:t>
      </w:r>
      <w:r w:rsidRPr="00924D81">
        <w:rPr>
          <w:rFonts w:ascii="Times New Roman" w:eastAsia="Arial" w:hAnsi="Times New Roman" w:cs="Times New Roman"/>
          <w:color w:val="000000"/>
        </w:rPr>
        <w:t>ed to uplift the security and</w:t>
      </w:r>
      <w:r w:rsidRPr="00EE0D81">
        <w:rPr>
          <w:rFonts w:ascii="Times New Roman" w:hAnsi="Times New Roman"/>
          <w:color w:val="000000"/>
        </w:rPr>
        <w:t xml:space="preserve"> resilience of </w:t>
      </w:r>
      <w:r w:rsidRPr="00924D81">
        <w:rPr>
          <w:rFonts w:ascii="Times New Roman" w:eastAsia="Arial" w:hAnsi="Times New Roman" w:cs="Times New Roman"/>
          <w:i/>
          <w:color w:val="000000"/>
        </w:rPr>
        <w:t>critical infrastructure asset</w:t>
      </w:r>
      <w:r w:rsidRPr="00924D81">
        <w:rPr>
          <w:rFonts w:ascii="Times New Roman" w:eastAsia="Arial" w:hAnsi="Times New Roman" w:cs="Times New Roman"/>
          <w:color w:val="000000"/>
        </w:rPr>
        <w:t>s, build</w:t>
      </w:r>
      <w:r w:rsidRPr="00EE0D81">
        <w:rPr>
          <w:rFonts w:ascii="Times New Roman" w:hAnsi="Times New Roman"/>
          <w:color w:val="000000"/>
        </w:rPr>
        <w:t xml:space="preserve"> </w:t>
      </w:r>
      <w:r w:rsidR="0014290C">
        <w:rPr>
          <w:rFonts w:ascii="Times New Roman" w:hAnsi="Times New Roman"/>
          <w:color w:val="000000"/>
        </w:rPr>
        <w:t xml:space="preserve">cyber </w:t>
      </w:r>
      <w:r w:rsidRPr="00EE0D81">
        <w:rPr>
          <w:rFonts w:ascii="Times New Roman" w:hAnsi="Times New Roman"/>
          <w:color w:val="000000"/>
        </w:rPr>
        <w:t xml:space="preserve">situational awareness </w:t>
      </w:r>
      <w:r w:rsidRPr="00924D81">
        <w:rPr>
          <w:rFonts w:ascii="Times New Roman" w:eastAsia="Arial" w:hAnsi="Times New Roman" w:cs="Times New Roman"/>
          <w:color w:val="000000"/>
        </w:rPr>
        <w:t>and enable the Government and industry to</w:t>
      </w:r>
      <w:r w:rsidR="0014290C">
        <w:rPr>
          <w:rFonts w:ascii="Times New Roman" w:eastAsia="Arial" w:hAnsi="Times New Roman" w:cs="Times New Roman"/>
          <w:color w:val="000000"/>
        </w:rPr>
        <w:t xml:space="preserve"> more</w:t>
      </w:r>
      <w:r w:rsidRPr="00924D81">
        <w:rPr>
          <w:rFonts w:ascii="Times New Roman" w:eastAsia="Arial" w:hAnsi="Times New Roman" w:cs="Times New Roman"/>
          <w:color w:val="000000"/>
        </w:rPr>
        <w:t xml:space="preserve"> effectively prevent, defend against and recover from all hazards. These obligations will apply</w:t>
      </w:r>
      <w:r w:rsidRPr="00EE0D81">
        <w:rPr>
          <w:rFonts w:ascii="Times New Roman" w:hAnsi="Times New Roman"/>
          <w:color w:val="000000"/>
        </w:rPr>
        <w:t xml:space="preserve"> to </w:t>
      </w:r>
      <w:r w:rsidRPr="00EE0D81">
        <w:rPr>
          <w:rFonts w:ascii="Times New Roman" w:hAnsi="Times New Roman"/>
          <w:i/>
          <w:color w:val="000000"/>
        </w:rPr>
        <w:t>critical infrastructure asset</w:t>
      </w:r>
      <w:r w:rsidRPr="00EE0D81">
        <w:rPr>
          <w:rFonts w:ascii="Times New Roman" w:hAnsi="Times New Roman"/>
          <w:color w:val="000000"/>
        </w:rPr>
        <w:t>s</w:t>
      </w:r>
      <w:r w:rsidRPr="00924D81">
        <w:rPr>
          <w:rFonts w:ascii="Times New Roman" w:eastAsia="Arial" w:hAnsi="Times New Roman" w:cs="Times New Roman"/>
          <w:color w:val="000000"/>
        </w:rPr>
        <w:t xml:space="preserve"> and each</w:t>
      </w:r>
      <w:r w:rsidRPr="00EE0D81">
        <w:rPr>
          <w:rFonts w:ascii="Times New Roman" w:hAnsi="Times New Roman"/>
          <w:color w:val="000000"/>
        </w:rPr>
        <w:t xml:space="preserve"> of the obligations will need to be explicitly turned on (through the making of a rule) for each asset or class of assets. This will be used to </w:t>
      </w:r>
      <w:r>
        <w:rPr>
          <w:rFonts w:ascii="Times New Roman" w:eastAsia="Arial" w:hAnsi="Times New Roman" w:cs="Times New Roman"/>
          <w:color w:val="000000"/>
        </w:rPr>
        <w:t>offset</w:t>
      </w:r>
      <w:r w:rsidRPr="00924D81">
        <w:rPr>
          <w:rFonts w:ascii="Times New Roman" w:eastAsia="Arial" w:hAnsi="Times New Roman" w:cs="Times New Roman"/>
          <w:color w:val="000000"/>
        </w:rPr>
        <w:t xml:space="preserve"> potential regulatory burden through managing</w:t>
      </w:r>
      <w:r w:rsidRPr="00EE0D81">
        <w:rPr>
          <w:rFonts w:ascii="Times New Roman" w:hAnsi="Times New Roman"/>
          <w:color w:val="000000"/>
        </w:rPr>
        <w:t xml:space="preserve"> any potential areas of duplication with existing arrangements</w:t>
      </w:r>
      <w:r w:rsidR="008F1A01">
        <w:rPr>
          <w:rFonts w:ascii="Times New Roman" w:eastAsia="Arial" w:hAnsi="Times New Roman" w:cs="Times New Roman"/>
          <w:color w:val="000000"/>
        </w:rPr>
        <w:t>, recognising equivalent regimes</w:t>
      </w:r>
      <w:r w:rsidR="008F1A01" w:rsidRPr="00EE0D81">
        <w:rPr>
          <w:rFonts w:ascii="Times New Roman" w:hAnsi="Times New Roman"/>
          <w:color w:val="000000"/>
        </w:rPr>
        <w:t xml:space="preserve"> that </w:t>
      </w:r>
      <w:r w:rsidR="008F1A01">
        <w:rPr>
          <w:rFonts w:ascii="Times New Roman" w:eastAsia="Arial" w:hAnsi="Times New Roman" w:cs="Times New Roman"/>
          <w:color w:val="000000"/>
        </w:rPr>
        <w:t>are already in place</w:t>
      </w:r>
      <w:r w:rsidRPr="00924D81">
        <w:rPr>
          <w:rFonts w:ascii="Times New Roman" w:eastAsia="Arial" w:hAnsi="Times New Roman" w:cs="Times New Roman"/>
          <w:color w:val="000000"/>
        </w:rPr>
        <w:t>. There will be three distinct</w:t>
      </w:r>
      <w:r w:rsidRPr="00EE0D81">
        <w:rPr>
          <w:rFonts w:ascii="Times New Roman" w:hAnsi="Times New Roman"/>
          <w:color w:val="000000"/>
        </w:rPr>
        <w:t xml:space="preserve"> obligations </w:t>
      </w:r>
      <w:r w:rsidRPr="00924D81">
        <w:rPr>
          <w:rFonts w:ascii="Times New Roman" w:eastAsia="Arial" w:hAnsi="Times New Roman" w:cs="Times New Roman"/>
          <w:color w:val="000000"/>
        </w:rPr>
        <w:t>within the Positive Security Obligations:</w:t>
      </w:r>
    </w:p>
    <w:p w14:paraId="445FFA53" w14:textId="77777777" w:rsidR="00993F09" w:rsidRPr="00EE0D81" w:rsidRDefault="00993F09" w:rsidP="00EE0D81">
      <w:pPr>
        <w:spacing w:after="0" w:line="240" w:lineRule="auto"/>
        <w:ind w:left="720"/>
        <w:rPr>
          <w:rFonts w:ascii="Times New Roman" w:hAnsi="Times New Roman"/>
          <w:color w:val="000000"/>
        </w:rPr>
      </w:pPr>
    </w:p>
    <w:p w14:paraId="311315B3" w14:textId="3DC85FE6" w:rsidR="00993F09" w:rsidRPr="00EE0D81" w:rsidRDefault="00993F09" w:rsidP="00EE0D81">
      <w:pPr>
        <w:numPr>
          <w:ilvl w:val="1"/>
          <w:numId w:val="16"/>
        </w:numPr>
        <w:spacing w:after="0" w:line="240" w:lineRule="auto"/>
        <w:rPr>
          <w:rFonts w:ascii="Times New Roman" w:hAnsi="Times New Roman"/>
          <w:color w:val="000000"/>
        </w:rPr>
      </w:pPr>
      <w:r w:rsidRPr="001A7788">
        <w:rPr>
          <w:rFonts w:ascii="Times New Roman" w:eastAsia="Arial" w:hAnsi="Times New Roman" w:cs="Times New Roman"/>
          <w:i/>
          <w:color w:val="000000"/>
        </w:rPr>
        <w:t>Register</w:t>
      </w:r>
      <w:r w:rsidRPr="00EE0D81">
        <w:rPr>
          <w:rFonts w:ascii="Times New Roman" w:hAnsi="Times New Roman"/>
          <w:i/>
          <w:color w:val="000000"/>
        </w:rPr>
        <w:t xml:space="preserve"> of Critical infrastructure asset</w:t>
      </w:r>
      <w:r w:rsidRPr="00EE0D81">
        <w:rPr>
          <w:rFonts w:ascii="Times New Roman" w:hAnsi="Times New Roman"/>
          <w:color w:val="000000"/>
        </w:rPr>
        <w:t xml:space="preserve"> </w:t>
      </w:r>
      <w:r w:rsidRPr="001A7788">
        <w:rPr>
          <w:rFonts w:ascii="Times New Roman" w:eastAsia="Arial" w:hAnsi="Times New Roman" w:cs="Times New Roman"/>
          <w:color w:val="000000"/>
        </w:rPr>
        <w:t xml:space="preserve">– </w:t>
      </w:r>
      <w:r w:rsidRPr="00EE0D81">
        <w:rPr>
          <w:rFonts w:ascii="Times New Roman" w:hAnsi="Times New Roman"/>
          <w:color w:val="000000"/>
        </w:rPr>
        <w:t xml:space="preserve">Part 2 of the current SOCI </w:t>
      </w:r>
      <w:r>
        <w:rPr>
          <w:rFonts w:ascii="Times New Roman" w:eastAsia="Arial" w:hAnsi="Times New Roman" w:cs="Times New Roman"/>
          <w:color w:val="000000"/>
        </w:rPr>
        <w:t xml:space="preserve">created </w:t>
      </w:r>
      <w:r w:rsidRPr="001047B2">
        <w:rPr>
          <w:rFonts w:ascii="Times New Roman" w:eastAsia="Arial" w:hAnsi="Times New Roman" w:cs="Times New Roman"/>
          <w:color w:val="000000"/>
        </w:rPr>
        <w:t xml:space="preserve">a Register of </w:t>
      </w:r>
      <w:r w:rsidRPr="00B1725B">
        <w:rPr>
          <w:rFonts w:ascii="Times New Roman" w:eastAsia="Arial" w:hAnsi="Times New Roman" w:cs="Times New Roman"/>
          <w:i/>
          <w:color w:val="000000"/>
        </w:rPr>
        <w:t>Critical infrastructure asset</w:t>
      </w:r>
      <w:r w:rsidRPr="001047B2">
        <w:rPr>
          <w:rFonts w:ascii="Times New Roman" w:eastAsia="Arial" w:hAnsi="Times New Roman" w:cs="Times New Roman"/>
          <w:color w:val="000000"/>
        </w:rPr>
        <w:t xml:space="preserve">s which </w:t>
      </w:r>
      <w:r>
        <w:rPr>
          <w:rFonts w:ascii="Times New Roman" w:eastAsia="Arial" w:hAnsi="Times New Roman" w:cs="Times New Roman"/>
          <w:color w:val="000000"/>
        </w:rPr>
        <w:t>wa</w:t>
      </w:r>
      <w:r w:rsidRPr="001047B2">
        <w:rPr>
          <w:rFonts w:ascii="Times New Roman" w:eastAsia="Arial" w:hAnsi="Times New Roman" w:cs="Times New Roman"/>
          <w:color w:val="000000"/>
        </w:rPr>
        <w:t xml:space="preserve">s designed to assist the Government in gaining greater visibility of who owns, controls and has access to </w:t>
      </w:r>
      <w:r w:rsidRPr="00B1725B">
        <w:rPr>
          <w:rFonts w:ascii="Times New Roman" w:eastAsia="Arial" w:hAnsi="Times New Roman" w:cs="Times New Roman"/>
          <w:i/>
          <w:color w:val="000000"/>
        </w:rPr>
        <w:t>critical infrastructure asset</w:t>
      </w:r>
      <w:r w:rsidRPr="001047B2">
        <w:rPr>
          <w:rFonts w:ascii="Times New Roman" w:eastAsia="Arial" w:hAnsi="Times New Roman" w:cs="Times New Roman"/>
          <w:color w:val="000000"/>
        </w:rPr>
        <w:t>s, including board structures,</w:t>
      </w:r>
      <w:r>
        <w:rPr>
          <w:rFonts w:ascii="Times New Roman" w:eastAsia="Arial" w:hAnsi="Times New Roman" w:cs="Times New Roman"/>
          <w:color w:val="000000"/>
        </w:rPr>
        <w:t xml:space="preserve"> and</w:t>
      </w:r>
      <w:r w:rsidRPr="001047B2">
        <w:rPr>
          <w:rFonts w:ascii="Times New Roman" w:eastAsia="Arial" w:hAnsi="Times New Roman" w:cs="Times New Roman"/>
          <w:color w:val="000000"/>
        </w:rPr>
        <w:t xml:space="preserve"> outsourcing and offshoring information ultimately ensuring the security and resilience of critical infrastructure.</w:t>
      </w:r>
      <w:r w:rsidRPr="00F24E51">
        <w:rPr>
          <w:rFonts w:ascii="Times New Roman" w:eastAsia="Arial" w:hAnsi="Times New Roman" w:cs="Times New Roman"/>
          <w:color w:val="000000"/>
        </w:rPr>
        <w:t xml:space="preserve"> The Register requires reporting entities, who are either direct interest holders or </w:t>
      </w:r>
      <w:r w:rsidRPr="00EE0D81">
        <w:rPr>
          <w:rFonts w:ascii="Times New Roman" w:hAnsi="Times New Roman"/>
          <w:color w:val="000000"/>
        </w:rPr>
        <w:t xml:space="preserve">the responsible entity of </w:t>
      </w:r>
      <w:r w:rsidRPr="00EE0D81">
        <w:rPr>
          <w:rFonts w:ascii="Times New Roman" w:hAnsi="Times New Roman"/>
          <w:i/>
          <w:color w:val="000000"/>
        </w:rPr>
        <w:t>critical infrastructure asset</w:t>
      </w:r>
      <w:r w:rsidRPr="00EE0D81">
        <w:rPr>
          <w:rFonts w:ascii="Times New Roman" w:hAnsi="Times New Roman"/>
          <w:color w:val="000000"/>
        </w:rPr>
        <w:t>s</w:t>
      </w:r>
      <w:r w:rsidRPr="00F24E51">
        <w:rPr>
          <w:rFonts w:ascii="Times New Roman" w:eastAsia="Arial" w:hAnsi="Times New Roman" w:cs="Times New Roman"/>
          <w:color w:val="000000"/>
        </w:rPr>
        <w:t>,</w:t>
      </w:r>
      <w:r w:rsidRPr="00EE0D81">
        <w:rPr>
          <w:rFonts w:ascii="Times New Roman" w:hAnsi="Times New Roman"/>
          <w:color w:val="000000"/>
        </w:rPr>
        <w:t xml:space="preserve"> to provide interest and control information </w:t>
      </w:r>
      <w:r w:rsidRPr="00F24E51">
        <w:rPr>
          <w:rFonts w:ascii="Times New Roman" w:eastAsia="Arial" w:hAnsi="Times New Roman" w:cs="Times New Roman"/>
          <w:color w:val="000000"/>
        </w:rPr>
        <w:t xml:space="preserve">and operational information to the Secretary within a certain timeframe. </w:t>
      </w:r>
      <w:r>
        <w:rPr>
          <w:rFonts w:ascii="Times New Roman" w:eastAsia="Arial" w:hAnsi="Times New Roman" w:cs="Times New Roman"/>
          <w:color w:val="000000"/>
        </w:rPr>
        <w:t xml:space="preserve">The number of entities required to report to Register is expected to increase in conjunction with </w:t>
      </w:r>
      <w:r w:rsidRPr="00EE0D81">
        <w:rPr>
          <w:rFonts w:ascii="Times New Roman" w:hAnsi="Times New Roman"/>
          <w:color w:val="000000"/>
        </w:rPr>
        <w:t xml:space="preserve">the expanded </w:t>
      </w:r>
      <w:r>
        <w:rPr>
          <w:rFonts w:ascii="Times New Roman" w:eastAsia="Arial" w:hAnsi="Times New Roman" w:cs="Times New Roman"/>
          <w:color w:val="000000"/>
        </w:rPr>
        <w:t>definition</w:t>
      </w:r>
      <w:r w:rsidRPr="00EE0D81">
        <w:rPr>
          <w:rFonts w:ascii="Times New Roman" w:hAnsi="Times New Roman"/>
          <w:color w:val="000000"/>
        </w:rPr>
        <w:t xml:space="preserve"> of </w:t>
      </w:r>
      <w:r w:rsidRPr="00EE0D81">
        <w:rPr>
          <w:rFonts w:ascii="Times New Roman" w:hAnsi="Times New Roman"/>
          <w:i/>
          <w:color w:val="000000"/>
        </w:rPr>
        <w:t>critical infrastructure assets</w:t>
      </w:r>
      <w:r w:rsidR="008F1A01" w:rsidRPr="00EE0D81">
        <w:rPr>
          <w:rFonts w:ascii="Times New Roman" w:hAnsi="Times New Roman"/>
          <w:i/>
          <w:color w:val="000000"/>
        </w:rPr>
        <w:t>.</w:t>
      </w:r>
      <w:r w:rsidRPr="00EE0D81">
        <w:rPr>
          <w:rFonts w:ascii="Times New Roman" w:hAnsi="Times New Roman"/>
          <w:i/>
          <w:color w:val="000000"/>
        </w:rPr>
        <w:t xml:space="preserve"> </w:t>
      </w:r>
      <w:r>
        <w:rPr>
          <w:rFonts w:ascii="Times New Roman" w:eastAsia="Arial" w:hAnsi="Times New Roman" w:cs="Times New Roman"/>
          <w:color w:val="000000"/>
        </w:rPr>
        <w:t>However, the obligation to report to the register will not be activated until t</w:t>
      </w:r>
      <w:r w:rsidRPr="00F24E51">
        <w:rPr>
          <w:rFonts w:ascii="Times New Roman" w:eastAsia="Arial" w:hAnsi="Times New Roman" w:cs="Times New Roman"/>
          <w:color w:val="000000"/>
        </w:rPr>
        <w:t xml:space="preserve">he Minister for Home Affairs, through the rules, </w:t>
      </w:r>
      <w:r>
        <w:rPr>
          <w:rFonts w:ascii="Times New Roman" w:eastAsia="Arial" w:hAnsi="Times New Roman" w:cs="Times New Roman"/>
          <w:color w:val="000000"/>
        </w:rPr>
        <w:t>has</w:t>
      </w:r>
      <w:r w:rsidRPr="00F24E51">
        <w:rPr>
          <w:rFonts w:ascii="Times New Roman" w:eastAsia="Arial" w:hAnsi="Times New Roman" w:cs="Times New Roman"/>
          <w:color w:val="000000"/>
        </w:rPr>
        <w:t xml:space="preserve"> activate</w:t>
      </w:r>
      <w:r>
        <w:rPr>
          <w:rFonts w:ascii="Times New Roman" w:eastAsia="Arial" w:hAnsi="Times New Roman" w:cs="Times New Roman"/>
          <w:color w:val="000000"/>
        </w:rPr>
        <w:t>d</w:t>
      </w:r>
      <w:r w:rsidRPr="00F24E51">
        <w:rPr>
          <w:rFonts w:ascii="Times New Roman" w:eastAsia="Arial" w:hAnsi="Times New Roman" w:cs="Times New Roman"/>
          <w:color w:val="000000"/>
        </w:rPr>
        <w:t xml:space="preserve"> the obligation for particular </w:t>
      </w:r>
      <w:r w:rsidRPr="00B1725B">
        <w:rPr>
          <w:rFonts w:ascii="Times New Roman" w:eastAsia="Arial" w:hAnsi="Times New Roman" w:cs="Times New Roman"/>
          <w:i/>
          <w:color w:val="000000"/>
        </w:rPr>
        <w:t>critical infrastructure asset</w:t>
      </w:r>
      <w:r w:rsidRPr="00F24E51">
        <w:rPr>
          <w:rFonts w:ascii="Times New Roman" w:eastAsia="Arial" w:hAnsi="Times New Roman" w:cs="Times New Roman"/>
          <w:color w:val="000000"/>
        </w:rPr>
        <w:t>s</w:t>
      </w:r>
      <w:r>
        <w:rPr>
          <w:rFonts w:ascii="Times New Roman" w:eastAsia="Arial" w:hAnsi="Times New Roman" w:cs="Times New Roman"/>
          <w:color w:val="000000"/>
        </w:rPr>
        <w:t xml:space="preserve"> after consultation with industry</w:t>
      </w:r>
      <w:r w:rsidRPr="00F24E51">
        <w:rPr>
          <w:rFonts w:ascii="Times New Roman" w:eastAsia="Arial" w:hAnsi="Times New Roman" w:cs="Times New Roman"/>
          <w:color w:val="000000"/>
        </w:rPr>
        <w:t>.</w:t>
      </w:r>
      <w:r>
        <w:rPr>
          <w:rFonts w:ascii="Times New Roman" w:eastAsia="Arial" w:hAnsi="Times New Roman" w:cs="Times New Roman"/>
          <w:color w:val="000000"/>
        </w:rPr>
        <w:t xml:space="preserve"> This is intended to prevent duplication, offset the potential regulatory burden experienced by industry</w:t>
      </w:r>
      <w:r w:rsidR="008F1A01" w:rsidRPr="008F1A01">
        <w:rPr>
          <w:rFonts w:ascii="Times New Roman" w:eastAsia="Arial" w:hAnsi="Times New Roman" w:cs="Times New Roman"/>
          <w:color w:val="000000"/>
        </w:rPr>
        <w:t xml:space="preserve"> </w:t>
      </w:r>
      <w:r w:rsidR="008F1A01">
        <w:rPr>
          <w:rFonts w:ascii="Times New Roman" w:eastAsia="Arial" w:hAnsi="Times New Roman" w:cs="Times New Roman"/>
          <w:color w:val="000000"/>
        </w:rPr>
        <w:t>by not requiring further reporting on</w:t>
      </w:r>
      <w:r w:rsidR="00553E6A">
        <w:rPr>
          <w:rFonts w:ascii="Times New Roman" w:eastAsia="Arial" w:hAnsi="Times New Roman" w:cs="Times New Roman"/>
          <w:color w:val="000000"/>
        </w:rPr>
        <w:t xml:space="preserve"> </w:t>
      </w:r>
      <w:r w:rsidR="008F1A01">
        <w:rPr>
          <w:rFonts w:ascii="Times New Roman" w:eastAsia="Arial" w:hAnsi="Times New Roman" w:cs="Times New Roman"/>
          <w:color w:val="000000"/>
        </w:rPr>
        <w:t>to</w:t>
      </w:r>
      <w:r w:rsidR="00553E6A">
        <w:rPr>
          <w:rFonts w:ascii="Times New Roman" w:eastAsia="Arial" w:hAnsi="Times New Roman" w:cs="Times New Roman"/>
          <w:color w:val="000000"/>
        </w:rPr>
        <w:t>p</w:t>
      </w:r>
      <w:r w:rsidR="008F1A01">
        <w:rPr>
          <w:rFonts w:ascii="Times New Roman" w:eastAsia="Arial" w:hAnsi="Times New Roman" w:cs="Times New Roman"/>
          <w:color w:val="000000"/>
        </w:rPr>
        <w:t xml:space="preserve"> of existing obligations</w:t>
      </w:r>
      <w:r w:rsidRPr="00EE0D81">
        <w:rPr>
          <w:rFonts w:ascii="Times New Roman" w:hAnsi="Times New Roman"/>
          <w:color w:val="000000"/>
        </w:rPr>
        <w:t>.</w:t>
      </w:r>
    </w:p>
    <w:p w14:paraId="2501B358" w14:textId="77777777" w:rsidR="008F1A01" w:rsidRPr="00EE0D81" w:rsidRDefault="008F1A01" w:rsidP="00EE0D81">
      <w:pPr>
        <w:spacing w:after="0" w:line="240" w:lineRule="auto"/>
        <w:ind w:left="1440"/>
        <w:rPr>
          <w:rFonts w:ascii="Times New Roman" w:hAnsi="Times New Roman"/>
          <w:color w:val="000000"/>
        </w:rPr>
      </w:pPr>
    </w:p>
    <w:p w14:paraId="1A5BEFA5" w14:textId="53775079" w:rsidR="008F1A01" w:rsidRPr="00EE0D81" w:rsidRDefault="008F1A01" w:rsidP="00EE0D81">
      <w:pPr>
        <w:spacing w:after="0" w:line="240" w:lineRule="auto"/>
        <w:ind w:left="1440"/>
        <w:rPr>
          <w:rFonts w:ascii="Times New Roman" w:hAnsi="Times New Roman"/>
          <w:color w:val="000000"/>
        </w:rPr>
      </w:pPr>
      <w:r w:rsidRPr="00EE0D81">
        <w:rPr>
          <w:rFonts w:ascii="Times New Roman" w:hAnsi="Times New Roman"/>
          <w:color w:val="000000"/>
        </w:rPr>
        <w:lastRenderedPageBreak/>
        <w:t xml:space="preserve">The expansion of the Register will be </w:t>
      </w:r>
      <w:r w:rsidR="0014290C">
        <w:rPr>
          <w:rFonts w:ascii="Times New Roman" w:hAnsi="Times New Roman"/>
          <w:color w:val="000000"/>
        </w:rPr>
        <w:t xml:space="preserve">in line with existing protections already in the SoCI Act, </w:t>
      </w:r>
      <w:r w:rsidRPr="00EE0D81">
        <w:rPr>
          <w:rFonts w:ascii="Times New Roman" w:hAnsi="Times New Roman"/>
          <w:color w:val="000000"/>
        </w:rPr>
        <w:t xml:space="preserve">consistent with the Australian Privacy Principles </w:t>
      </w:r>
    </w:p>
    <w:p w14:paraId="540554A6" w14:textId="77777777" w:rsidR="008F1A01" w:rsidRPr="00EE0D81" w:rsidRDefault="008F1A01" w:rsidP="00EE0D81">
      <w:pPr>
        <w:spacing w:after="0" w:line="240" w:lineRule="auto"/>
        <w:ind w:left="1440"/>
        <w:rPr>
          <w:rFonts w:ascii="Times New Roman" w:hAnsi="Times New Roman"/>
          <w:color w:val="000000"/>
        </w:rPr>
      </w:pPr>
    </w:p>
    <w:p w14:paraId="0D2517C0" w14:textId="7AA21764" w:rsidR="008F1A01" w:rsidRPr="00EE0D81" w:rsidRDefault="008F1A01" w:rsidP="00EE0D81">
      <w:pPr>
        <w:spacing w:after="0" w:line="240" w:lineRule="auto"/>
        <w:ind w:left="1440"/>
        <w:rPr>
          <w:rFonts w:ascii="Times New Roman" w:hAnsi="Times New Roman"/>
          <w:color w:val="000000"/>
        </w:rPr>
      </w:pPr>
      <w:r w:rsidRPr="008F1A01">
        <w:rPr>
          <w:rFonts w:ascii="Times New Roman" w:eastAsia="Arial" w:hAnsi="Times New Roman" w:cs="Times New Roman"/>
          <w:color w:val="000000"/>
        </w:rPr>
        <w:t xml:space="preserve">The Government recognises that a range of mechanisms to manage certain hazards already exist. The Government does not propose to duplicate or replace these existing mechanisms but instead will work with key stakeholders (including industry, peak bodies, regulators, and state and territory governments) to leverage existing </w:t>
      </w:r>
      <w:r w:rsidRPr="00EE0D81">
        <w:rPr>
          <w:rFonts w:ascii="Times New Roman" w:hAnsi="Times New Roman"/>
          <w:color w:val="000000"/>
        </w:rPr>
        <w:t>regulations</w:t>
      </w:r>
      <w:r w:rsidRPr="008F1A01">
        <w:rPr>
          <w:rFonts w:ascii="Times New Roman" w:eastAsia="Arial" w:hAnsi="Times New Roman" w:cs="Times New Roman"/>
          <w:color w:val="000000"/>
        </w:rPr>
        <w:t xml:space="preserve"> and frameworks, and where necessary build on them to deliver a more consistent approach to managing risk across all sectors. This will be achieved through deferring to existing regulatory obligations where they are equivalent to components of the risk management obligations.</w:t>
      </w:r>
    </w:p>
    <w:p w14:paraId="44343BCF" w14:textId="77777777" w:rsidR="00993F09" w:rsidRPr="001A7788" w:rsidRDefault="00993F09" w:rsidP="00993F09">
      <w:pPr>
        <w:spacing w:after="0" w:line="240" w:lineRule="auto"/>
        <w:ind w:left="1440"/>
        <w:rPr>
          <w:rFonts w:ascii="Times New Roman" w:eastAsia="Arial" w:hAnsi="Times New Roman" w:cs="Times New Roman"/>
          <w:color w:val="000000"/>
        </w:rPr>
      </w:pPr>
    </w:p>
    <w:p w14:paraId="22E74E7D" w14:textId="30B5B3CD" w:rsidR="00993F09" w:rsidRDefault="00993F09" w:rsidP="00B369B5">
      <w:pPr>
        <w:numPr>
          <w:ilvl w:val="1"/>
          <w:numId w:val="15"/>
        </w:numPr>
        <w:spacing w:line="240" w:lineRule="auto"/>
        <w:rPr>
          <w:rFonts w:ascii="Times New Roman" w:eastAsia="Arial" w:hAnsi="Times New Roman" w:cs="Times New Roman"/>
          <w:color w:val="000000"/>
        </w:rPr>
      </w:pPr>
      <w:r w:rsidRPr="001A7788">
        <w:rPr>
          <w:rFonts w:ascii="Times New Roman" w:eastAsia="Arial" w:hAnsi="Times New Roman" w:cs="Times New Roman"/>
          <w:i/>
          <w:color w:val="000000"/>
        </w:rPr>
        <w:t>Critical Infrastructure Risk Management Program</w:t>
      </w:r>
      <w:r w:rsidRPr="001A7788">
        <w:rPr>
          <w:rFonts w:ascii="Times New Roman" w:eastAsia="Arial" w:hAnsi="Times New Roman" w:cs="Times New Roman"/>
          <w:color w:val="000000"/>
        </w:rPr>
        <w:t xml:space="preserve"> – </w:t>
      </w:r>
      <w:r w:rsidRPr="001047B2">
        <w:rPr>
          <w:rFonts w:ascii="Times New Roman" w:eastAsia="Arial" w:hAnsi="Times New Roman" w:cs="Times New Roman"/>
          <w:color w:val="000000"/>
        </w:rPr>
        <w:t xml:space="preserve">under this obligation, assets that are considered </w:t>
      </w:r>
      <w:r w:rsidRPr="00B1725B">
        <w:rPr>
          <w:rFonts w:ascii="Times New Roman" w:eastAsia="Arial" w:hAnsi="Times New Roman" w:cs="Times New Roman"/>
          <w:i/>
          <w:color w:val="000000"/>
        </w:rPr>
        <w:t>critical infrastructure asset</w:t>
      </w:r>
      <w:r w:rsidRPr="001047B2">
        <w:rPr>
          <w:rFonts w:ascii="Times New Roman" w:eastAsia="Arial" w:hAnsi="Times New Roman" w:cs="Times New Roman"/>
          <w:color w:val="000000"/>
        </w:rPr>
        <w:t xml:space="preserve">s will be required to develop and comply with a critical infrastructure risk management program. </w:t>
      </w:r>
      <w:r w:rsidR="0014290C">
        <w:rPr>
          <w:rFonts w:ascii="Times New Roman" w:eastAsia="Arial" w:hAnsi="Times New Roman" w:cs="Times New Roman"/>
          <w:color w:val="000000"/>
        </w:rPr>
        <w:t>The program is intended to increase resilience across critical infrastructure assets, address vulnerabilities across physical, cyber, supply chain and personnel domains, provide a wholesale uplift in the security of critical infrastructure and reassure Government that critical infrastructure assets are appropriately safeguarded against all hazard risks (as explored in section 1).</w:t>
      </w:r>
      <w:r w:rsidRPr="001047B2">
        <w:rPr>
          <w:rFonts w:ascii="Times New Roman" w:eastAsia="Arial" w:hAnsi="Times New Roman" w:cs="Times New Roman"/>
          <w:color w:val="000000"/>
        </w:rPr>
        <w:t xml:space="preserve">The Bill will set out the overarching obligations for the risk management programs with the more detailed, sector-specific requirements to be contained </w:t>
      </w:r>
      <w:r>
        <w:rPr>
          <w:rFonts w:ascii="Times New Roman" w:eastAsia="Arial" w:hAnsi="Times New Roman" w:cs="Times New Roman"/>
          <w:color w:val="000000"/>
        </w:rPr>
        <w:t>with</w:t>
      </w:r>
      <w:r w:rsidRPr="001047B2">
        <w:rPr>
          <w:rFonts w:ascii="Times New Roman" w:eastAsia="Arial" w:hAnsi="Times New Roman" w:cs="Times New Roman"/>
          <w:color w:val="000000"/>
        </w:rPr>
        <w:t xml:space="preserve">in </w:t>
      </w:r>
      <w:r>
        <w:rPr>
          <w:rFonts w:ascii="Times New Roman" w:eastAsia="Arial" w:hAnsi="Times New Roman" w:cs="Times New Roman"/>
          <w:color w:val="000000"/>
        </w:rPr>
        <w:t xml:space="preserve">the </w:t>
      </w:r>
      <w:r w:rsidRPr="001047B2">
        <w:rPr>
          <w:rFonts w:ascii="Times New Roman" w:eastAsia="Arial" w:hAnsi="Times New Roman" w:cs="Times New Roman"/>
          <w:color w:val="000000"/>
        </w:rPr>
        <w:t xml:space="preserve">rules. The risk management program will require a responsible entity of a </w:t>
      </w:r>
      <w:r w:rsidRPr="00B1725B">
        <w:rPr>
          <w:rFonts w:ascii="Times New Roman" w:eastAsia="Arial" w:hAnsi="Times New Roman" w:cs="Times New Roman"/>
          <w:i/>
          <w:color w:val="000000"/>
        </w:rPr>
        <w:t>critical infrastructure asset</w:t>
      </w:r>
      <w:r w:rsidRPr="001047B2">
        <w:rPr>
          <w:rFonts w:ascii="Times New Roman" w:eastAsia="Arial" w:hAnsi="Times New Roman" w:cs="Times New Roman"/>
          <w:color w:val="000000"/>
        </w:rPr>
        <w:t xml:space="preserve"> to identify material risks to their asset, propose a plan to mitigate risks so as to prevent incidents, minimise the impact of any realised risks and have appropriate risk management oversight arrangements in place for their program. </w:t>
      </w:r>
      <w:r>
        <w:rPr>
          <w:rFonts w:ascii="Times New Roman" w:eastAsia="Arial" w:hAnsi="Times New Roman" w:cs="Times New Roman"/>
          <w:color w:val="000000"/>
        </w:rPr>
        <w:t>T</w:t>
      </w:r>
      <w:r w:rsidRPr="001047B2">
        <w:rPr>
          <w:rFonts w:ascii="Times New Roman" w:eastAsia="Arial" w:hAnsi="Times New Roman" w:cs="Times New Roman"/>
          <w:color w:val="000000"/>
        </w:rPr>
        <w:t xml:space="preserve">he Minister for Home Affairs, through the rules, will </w:t>
      </w:r>
      <w:r w:rsidR="0014290C">
        <w:rPr>
          <w:rFonts w:ascii="Times New Roman" w:eastAsia="Arial" w:hAnsi="Times New Roman" w:cs="Times New Roman"/>
          <w:color w:val="000000"/>
        </w:rPr>
        <w:t xml:space="preserve">be required to </w:t>
      </w:r>
      <w:r w:rsidRPr="001047B2">
        <w:rPr>
          <w:rFonts w:ascii="Times New Roman" w:eastAsia="Arial" w:hAnsi="Times New Roman" w:cs="Times New Roman"/>
          <w:color w:val="000000"/>
        </w:rPr>
        <w:t xml:space="preserve">activate the obligation for </w:t>
      </w:r>
      <w:r w:rsidRPr="00B1725B">
        <w:rPr>
          <w:rFonts w:ascii="Times New Roman" w:eastAsia="Arial" w:hAnsi="Times New Roman" w:cs="Times New Roman"/>
          <w:i/>
          <w:color w:val="000000"/>
        </w:rPr>
        <w:t>critical infrastructure asset</w:t>
      </w:r>
      <w:r w:rsidRPr="001047B2">
        <w:rPr>
          <w:rFonts w:ascii="Times New Roman" w:eastAsia="Arial" w:hAnsi="Times New Roman" w:cs="Times New Roman"/>
          <w:color w:val="000000"/>
        </w:rPr>
        <w:t>s.</w:t>
      </w:r>
      <w:r>
        <w:rPr>
          <w:rFonts w:ascii="Times New Roman" w:eastAsia="Arial" w:hAnsi="Times New Roman" w:cs="Times New Roman"/>
          <w:color w:val="000000"/>
        </w:rPr>
        <w:t xml:space="preserve"> </w:t>
      </w:r>
    </w:p>
    <w:p w14:paraId="1EBAE688" w14:textId="40F8519D" w:rsidR="00993F09" w:rsidRDefault="00993F09" w:rsidP="00993F09">
      <w:pPr>
        <w:spacing w:after="0" w:line="240" w:lineRule="auto"/>
        <w:ind w:left="1440"/>
        <w:rPr>
          <w:rFonts w:ascii="Times New Roman" w:eastAsia="Arial" w:hAnsi="Times New Roman" w:cs="Times New Roman"/>
          <w:color w:val="000000"/>
        </w:rPr>
      </w:pPr>
      <w:r w:rsidRPr="00717C7C">
        <w:rPr>
          <w:rFonts w:ascii="Times New Roman" w:eastAsia="Arial" w:hAnsi="Times New Roman" w:cs="Times New Roman"/>
          <w:color w:val="000000"/>
        </w:rPr>
        <w:t xml:space="preserve">The Minister for Home Affairs will </w:t>
      </w:r>
      <w:r>
        <w:rPr>
          <w:rFonts w:ascii="Times New Roman" w:eastAsia="Arial" w:hAnsi="Times New Roman" w:cs="Times New Roman"/>
          <w:color w:val="000000"/>
        </w:rPr>
        <w:t xml:space="preserve">also </w:t>
      </w:r>
      <w:r w:rsidRPr="00717C7C">
        <w:rPr>
          <w:rFonts w:ascii="Times New Roman" w:eastAsia="Arial" w:hAnsi="Times New Roman" w:cs="Times New Roman"/>
          <w:color w:val="000000"/>
        </w:rPr>
        <w:t>have a rule making power to specify how an entity must meet these security ob</w:t>
      </w:r>
      <w:r>
        <w:rPr>
          <w:rFonts w:ascii="Times New Roman" w:eastAsia="Arial" w:hAnsi="Times New Roman" w:cs="Times New Roman"/>
          <w:color w:val="000000"/>
        </w:rPr>
        <w:t>ligations</w:t>
      </w:r>
      <w:r w:rsidRPr="00717C7C">
        <w:rPr>
          <w:rFonts w:ascii="Times New Roman" w:eastAsia="Arial" w:hAnsi="Times New Roman" w:cs="Times New Roman"/>
          <w:color w:val="000000"/>
        </w:rPr>
        <w:t>.</w:t>
      </w:r>
      <w:r w:rsidRPr="00EE0D81">
        <w:rPr>
          <w:rFonts w:ascii="Times New Roman" w:hAnsi="Times New Roman"/>
          <w:color w:val="000000"/>
        </w:rPr>
        <w:t xml:space="preserve"> These rules will be legislative instruments and disallowable by Parliament. </w:t>
      </w:r>
      <w:r w:rsidRPr="00717C7C">
        <w:rPr>
          <w:rFonts w:ascii="Times New Roman" w:eastAsia="Arial" w:hAnsi="Times New Roman" w:cs="Times New Roman"/>
          <w:color w:val="000000"/>
        </w:rPr>
        <w:t xml:space="preserve">Sector-specific rules </w:t>
      </w:r>
      <w:r>
        <w:rPr>
          <w:rFonts w:ascii="Times New Roman" w:eastAsia="Arial" w:hAnsi="Times New Roman" w:cs="Times New Roman"/>
          <w:color w:val="000000"/>
        </w:rPr>
        <w:t>will</w:t>
      </w:r>
      <w:r w:rsidRPr="00717C7C">
        <w:rPr>
          <w:rFonts w:ascii="Times New Roman" w:eastAsia="Arial" w:hAnsi="Times New Roman" w:cs="Times New Roman"/>
          <w:color w:val="000000"/>
        </w:rPr>
        <w:t xml:space="preserve"> be co-designed with industry to provide clarity around expectations, and what would be considered a reasonable and proportionate response to meeting the obligations.</w:t>
      </w:r>
      <w:r>
        <w:rPr>
          <w:rFonts w:ascii="Times New Roman" w:eastAsia="Arial" w:hAnsi="Times New Roman" w:cs="Times New Roman"/>
          <w:color w:val="000000"/>
        </w:rPr>
        <w:t xml:space="preserve"> </w:t>
      </w:r>
      <w:r w:rsidRPr="000D41EA">
        <w:rPr>
          <w:rFonts w:ascii="Times New Roman" w:eastAsia="Arial" w:hAnsi="Times New Roman" w:cs="Times New Roman"/>
          <w:color w:val="000000"/>
        </w:rPr>
        <w:t xml:space="preserve">Following commencement and the enactment of sector-specific rules, industry would be provided </w:t>
      </w:r>
      <w:r>
        <w:rPr>
          <w:rFonts w:ascii="Times New Roman" w:eastAsia="Arial" w:hAnsi="Times New Roman" w:cs="Times New Roman"/>
          <w:color w:val="000000"/>
        </w:rPr>
        <w:t>a</w:t>
      </w:r>
      <w:r w:rsidRPr="000D41EA">
        <w:rPr>
          <w:rFonts w:ascii="Times New Roman" w:eastAsia="Arial" w:hAnsi="Times New Roman" w:cs="Times New Roman"/>
          <w:color w:val="000000"/>
        </w:rPr>
        <w:t xml:space="preserve"> grace period during which they are legally obliged to comply with the obligation but no enforcement action </w:t>
      </w:r>
      <w:r w:rsidR="0014290C">
        <w:rPr>
          <w:rFonts w:ascii="Times New Roman" w:eastAsia="Arial" w:hAnsi="Times New Roman" w:cs="Times New Roman"/>
          <w:color w:val="000000"/>
        </w:rPr>
        <w:t>can</w:t>
      </w:r>
      <w:r w:rsidRPr="000D41EA">
        <w:rPr>
          <w:rFonts w:ascii="Times New Roman" w:eastAsia="Arial" w:hAnsi="Times New Roman" w:cs="Times New Roman"/>
          <w:color w:val="000000"/>
        </w:rPr>
        <w:t xml:space="preserve"> be taken. This will provide industry time for the necessary uplifts to occur with the support of extensive outreach and education from the </w:t>
      </w:r>
      <w:r>
        <w:rPr>
          <w:rFonts w:ascii="Times New Roman" w:eastAsia="Arial" w:hAnsi="Times New Roman" w:cs="Times New Roman"/>
          <w:color w:val="000000"/>
        </w:rPr>
        <w:t xml:space="preserve">CIC. </w:t>
      </w:r>
    </w:p>
    <w:p w14:paraId="032AB013" w14:textId="77777777" w:rsidR="00993F09" w:rsidRDefault="00993F09" w:rsidP="00993F09">
      <w:pPr>
        <w:spacing w:after="0" w:line="240" w:lineRule="auto"/>
        <w:ind w:left="1440"/>
        <w:rPr>
          <w:rFonts w:ascii="Times New Roman" w:eastAsia="Arial" w:hAnsi="Times New Roman" w:cs="Times New Roman"/>
          <w:color w:val="000000"/>
        </w:rPr>
      </w:pPr>
    </w:p>
    <w:p w14:paraId="17B17304" w14:textId="2C3C5760" w:rsidR="00993F09" w:rsidRPr="00270D64" w:rsidRDefault="00993F09" w:rsidP="00993F09">
      <w:pPr>
        <w:spacing w:after="0" w:line="240" w:lineRule="auto"/>
        <w:ind w:left="1440"/>
        <w:rPr>
          <w:rFonts w:ascii="Times New Roman" w:eastAsia="Arial" w:hAnsi="Times New Roman" w:cs="Times New Roman"/>
          <w:color w:val="000000"/>
        </w:rPr>
      </w:pPr>
      <w:r>
        <w:rPr>
          <w:rFonts w:ascii="Times New Roman" w:eastAsia="Arial" w:hAnsi="Times New Roman" w:cs="Times New Roman"/>
          <w:color w:val="000000"/>
        </w:rPr>
        <w:t>W</w:t>
      </w:r>
      <w:r w:rsidRPr="00270D64">
        <w:rPr>
          <w:rFonts w:ascii="Times New Roman" w:eastAsia="Arial" w:hAnsi="Times New Roman" w:cs="Times New Roman"/>
          <w:color w:val="000000"/>
        </w:rPr>
        <w:t xml:space="preserve">here a risk management plan is in place, the responsible entity of that critical infrastructure asset must provide a report to the Secretary of Home Affairs, or relevant Commonwealth regulator, </w:t>
      </w:r>
      <w:r w:rsidRPr="00EE0D81">
        <w:rPr>
          <w:rFonts w:ascii="Times New Roman" w:eastAsia="Arial" w:hAnsi="Times New Roman" w:cs="Times New Roman"/>
        </w:rPr>
        <w:t xml:space="preserve">within </w:t>
      </w:r>
      <w:r w:rsidR="00FF061B" w:rsidRPr="00EE0D81">
        <w:rPr>
          <w:rFonts w:ascii="Times New Roman" w:eastAsia="Arial" w:hAnsi="Times New Roman" w:cs="Times New Roman"/>
        </w:rPr>
        <w:t>90</w:t>
      </w:r>
      <w:r w:rsidRPr="00EE0D81">
        <w:rPr>
          <w:rFonts w:ascii="Times New Roman" w:eastAsia="Arial" w:hAnsi="Times New Roman" w:cs="Times New Roman"/>
        </w:rPr>
        <w:t xml:space="preserve"> days of the end </w:t>
      </w:r>
      <w:r w:rsidRPr="00270D64">
        <w:rPr>
          <w:rFonts w:ascii="Times New Roman" w:eastAsia="Arial" w:hAnsi="Times New Roman" w:cs="Times New Roman"/>
          <w:color w:val="000000"/>
        </w:rPr>
        <w:t>of the financial year. The report must:</w:t>
      </w:r>
    </w:p>
    <w:p w14:paraId="0D961715" w14:textId="77777777" w:rsidR="00993F09" w:rsidRPr="001A7788" w:rsidRDefault="00993F09" w:rsidP="00B369B5">
      <w:pPr>
        <w:pStyle w:val="ListParagraph"/>
        <w:numPr>
          <w:ilvl w:val="0"/>
          <w:numId w:val="63"/>
        </w:numPr>
        <w:spacing w:after="0" w:line="240" w:lineRule="auto"/>
        <w:rPr>
          <w:rFonts w:ascii="Times New Roman" w:eastAsia="Arial" w:hAnsi="Times New Roman" w:cs="Times New Roman"/>
          <w:color w:val="000000"/>
        </w:rPr>
      </w:pPr>
      <w:r w:rsidRPr="001A7788">
        <w:rPr>
          <w:rFonts w:ascii="Times New Roman" w:eastAsia="Arial" w:hAnsi="Times New Roman" w:cs="Times New Roman"/>
          <w:color w:val="000000"/>
        </w:rPr>
        <w:t>state whether or not the program was up to date during the financial year;</w:t>
      </w:r>
    </w:p>
    <w:p w14:paraId="520034B4" w14:textId="77777777" w:rsidR="00993F09" w:rsidRPr="001A7788" w:rsidRDefault="00993F09" w:rsidP="00B369B5">
      <w:pPr>
        <w:pStyle w:val="ListParagraph"/>
        <w:numPr>
          <w:ilvl w:val="0"/>
          <w:numId w:val="63"/>
        </w:numPr>
        <w:spacing w:after="0" w:line="240" w:lineRule="auto"/>
        <w:rPr>
          <w:rFonts w:ascii="Times New Roman" w:eastAsia="Arial" w:hAnsi="Times New Roman" w:cs="Times New Roman"/>
          <w:color w:val="000000"/>
        </w:rPr>
      </w:pPr>
      <w:r w:rsidRPr="001A7788">
        <w:rPr>
          <w:rFonts w:ascii="Times New Roman" w:eastAsia="Arial" w:hAnsi="Times New Roman" w:cs="Times New Roman"/>
          <w:color w:val="000000"/>
        </w:rPr>
        <w:t>if a hazard had a significant relevant impact on one or more of those assets during the relevant period—includes a statement that identifies the hazard; evaluates the effectiveness of the program in mitigating the significant relevant impact of the hazard on the assets concerned; and outlines any variations made to the program as a result of the hazard occurring.</w:t>
      </w:r>
    </w:p>
    <w:p w14:paraId="6CF2C072" w14:textId="77777777" w:rsidR="00993F09" w:rsidRPr="00EE0D81" w:rsidRDefault="00993F09" w:rsidP="00EE0D81">
      <w:pPr>
        <w:pStyle w:val="ListParagraph"/>
        <w:spacing w:after="0"/>
        <w:ind w:left="1440"/>
        <w:rPr>
          <w:rFonts w:ascii="Times New Roman" w:hAnsi="Times New Roman"/>
          <w:color w:val="000000"/>
        </w:rPr>
      </w:pPr>
    </w:p>
    <w:p w14:paraId="37CDB433" w14:textId="77777777" w:rsidR="00993F09" w:rsidRDefault="00993F09" w:rsidP="00993F09">
      <w:pPr>
        <w:pStyle w:val="ListParagraph"/>
        <w:spacing w:after="0"/>
        <w:ind w:left="1440"/>
        <w:rPr>
          <w:rFonts w:ascii="Times New Roman" w:eastAsia="Arial" w:hAnsi="Times New Roman" w:cs="Times New Roman"/>
          <w:color w:val="000000"/>
        </w:rPr>
      </w:pPr>
      <w:r>
        <w:rPr>
          <w:rFonts w:ascii="Times New Roman" w:eastAsia="Arial" w:hAnsi="Times New Roman" w:cs="Times New Roman"/>
          <w:color w:val="000000"/>
        </w:rPr>
        <w:lastRenderedPageBreak/>
        <w:t>All costs associated with the critical infrastructure risk management program will be costed within future RIS(s) – including the costs associated with an entity’s obligation to report annually to the Secretary of Home Affairs.</w:t>
      </w:r>
    </w:p>
    <w:p w14:paraId="6986D9D3" w14:textId="77777777" w:rsidR="00993F09" w:rsidRDefault="00993F09" w:rsidP="00993F09">
      <w:pPr>
        <w:pStyle w:val="ListParagraph"/>
        <w:spacing w:after="0"/>
        <w:rPr>
          <w:rFonts w:ascii="Times New Roman" w:eastAsia="Arial" w:hAnsi="Times New Roman" w:cs="Times New Roman"/>
          <w:color w:val="000000"/>
        </w:rPr>
      </w:pPr>
    </w:p>
    <w:p w14:paraId="64A28724" w14:textId="6D7225AA" w:rsidR="00993F09" w:rsidRPr="008C69F2" w:rsidRDefault="00993F09" w:rsidP="00EE0D81">
      <w:pPr>
        <w:numPr>
          <w:ilvl w:val="1"/>
          <w:numId w:val="15"/>
        </w:numPr>
        <w:spacing w:line="240" w:lineRule="auto"/>
        <w:rPr>
          <w:rFonts w:ascii="Times New Roman" w:eastAsia="Arial" w:hAnsi="Times New Roman" w:cs="Times New Roman"/>
          <w:color w:val="000000"/>
        </w:rPr>
      </w:pPr>
      <w:r w:rsidRPr="008C69F2">
        <w:rPr>
          <w:rFonts w:ascii="Times New Roman" w:eastAsia="Arial" w:hAnsi="Times New Roman" w:cs="Times New Roman"/>
          <w:i/>
          <w:color w:val="000000"/>
        </w:rPr>
        <w:t>Notification of cyber security incidents</w:t>
      </w:r>
      <w:r w:rsidRPr="008C69F2">
        <w:rPr>
          <w:rFonts w:ascii="Times New Roman" w:eastAsia="Arial" w:hAnsi="Times New Roman" w:cs="Times New Roman"/>
          <w:color w:val="000000"/>
        </w:rPr>
        <w:t xml:space="preserve"> –</w:t>
      </w:r>
      <w:r w:rsidR="008C69F2" w:rsidRPr="008C69F2">
        <w:rPr>
          <w:rFonts w:ascii="Times New Roman" w:eastAsia="Arial" w:hAnsi="Times New Roman" w:cs="Times New Roman"/>
          <w:color w:val="000000"/>
        </w:rPr>
        <w:t xml:space="preserve"> </w:t>
      </w:r>
      <w:r w:rsidR="008F1A01" w:rsidRPr="008C69F2">
        <w:rPr>
          <w:rFonts w:ascii="Times New Roman" w:eastAsia="Arial" w:hAnsi="Times New Roman" w:cs="Times New Roman"/>
          <w:color w:val="000000"/>
        </w:rPr>
        <w:t>the responsible entity of a critical infrastructure asset, who is not subject to an equivalent obligation elsewhere, will be required to report cyber security incidents which involves a direct compromise of the system or impacts the functioning of the asset.</w:t>
      </w:r>
      <w:r w:rsidR="008F1A01">
        <w:rPr>
          <w:rStyle w:val="FootnoteReference"/>
          <w:rFonts w:ascii="Times New Roman" w:eastAsia="Arial" w:hAnsi="Times New Roman" w:cs="Times New Roman"/>
          <w:color w:val="000000"/>
        </w:rPr>
        <w:footnoteReference w:id="11"/>
      </w:r>
      <w:r w:rsidR="008F1A01" w:rsidRPr="008C69F2">
        <w:rPr>
          <w:rFonts w:ascii="Times New Roman" w:eastAsia="Arial" w:hAnsi="Times New Roman" w:cs="Times New Roman"/>
          <w:color w:val="000000"/>
        </w:rPr>
        <w:t xml:space="preserve"> T</w:t>
      </w:r>
      <w:r w:rsidRPr="008C69F2">
        <w:rPr>
          <w:rFonts w:ascii="Times New Roman" w:eastAsia="Arial" w:hAnsi="Times New Roman" w:cs="Times New Roman"/>
          <w:color w:val="000000"/>
        </w:rPr>
        <w:t xml:space="preserve">his obligation imposes a two-tiered reporting obligation on the responsible entity for a </w:t>
      </w:r>
      <w:r w:rsidRPr="008C69F2">
        <w:rPr>
          <w:rFonts w:ascii="Times New Roman" w:eastAsia="Arial" w:hAnsi="Times New Roman" w:cs="Times New Roman"/>
          <w:i/>
          <w:color w:val="000000"/>
        </w:rPr>
        <w:t>critical infrastructure asset</w:t>
      </w:r>
      <w:r w:rsidRPr="008C69F2">
        <w:rPr>
          <w:rFonts w:ascii="Times New Roman" w:eastAsia="Arial" w:hAnsi="Times New Roman" w:cs="Times New Roman"/>
          <w:color w:val="000000"/>
        </w:rPr>
        <w:t xml:space="preserve"> based on the severity of a cyber security incident. The first tier is where an entity is experiencing a cyber security incident that has had, or is having, a </w:t>
      </w:r>
      <w:r w:rsidRPr="008C69F2">
        <w:rPr>
          <w:rFonts w:ascii="Times New Roman" w:eastAsia="Arial" w:hAnsi="Times New Roman" w:cs="Times New Roman"/>
          <w:color w:val="000000"/>
          <w:u w:val="single"/>
        </w:rPr>
        <w:t>significant impact</w:t>
      </w:r>
      <w:r w:rsidRPr="008C69F2">
        <w:rPr>
          <w:rFonts w:ascii="Times New Roman" w:eastAsia="Arial" w:hAnsi="Times New Roman" w:cs="Times New Roman"/>
          <w:color w:val="000000"/>
        </w:rPr>
        <w:t xml:space="preserve"> on the availability of the asset and must report the incident </w:t>
      </w:r>
      <w:r w:rsidRPr="00FF061B">
        <w:rPr>
          <w:rFonts w:ascii="Times New Roman" w:eastAsia="Arial" w:hAnsi="Times New Roman" w:cs="Times New Roman"/>
          <w:color w:val="000000"/>
        </w:rPr>
        <w:t>within 12 hours of the entity becoming aware of the incident.</w:t>
      </w:r>
      <w:r w:rsidRPr="00FF061B">
        <w:rPr>
          <w:rStyle w:val="FootnoteReference"/>
          <w:rFonts w:ascii="Times New Roman" w:eastAsia="Arial" w:hAnsi="Times New Roman" w:cs="Times New Roman"/>
          <w:color w:val="000000"/>
        </w:rPr>
        <w:footnoteReference w:id="12"/>
      </w:r>
      <w:r w:rsidRPr="00FF061B">
        <w:rPr>
          <w:rFonts w:ascii="Times New Roman" w:eastAsia="Arial" w:hAnsi="Times New Roman" w:cs="Times New Roman"/>
          <w:color w:val="000000"/>
        </w:rPr>
        <w:t xml:space="preserve"> The second tier is where an entity is experiencing a cyber security incident that has had, is having, or is likely to have, a </w:t>
      </w:r>
      <w:r w:rsidRPr="00FF061B">
        <w:rPr>
          <w:rFonts w:ascii="Times New Roman" w:eastAsia="Arial" w:hAnsi="Times New Roman" w:cs="Times New Roman"/>
          <w:color w:val="000000"/>
          <w:u w:val="single"/>
        </w:rPr>
        <w:t>relevant impact</w:t>
      </w:r>
      <w:r w:rsidRPr="00FF061B">
        <w:rPr>
          <w:rFonts w:ascii="Times New Roman" w:eastAsia="Arial" w:hAnsi="Times New Roman" w:cs="Times New Roman"/>
          <w:color w:val="000000"/>
        </w:rPr>
        <w:t xml:space="preserve"> on an asset and mu</w:t>
      </w:r>
      <w:r w:rsidR="00FF061B" w:rsidRPr="00EE0D81">
        <w:rPr>
          <w:rFonts w:ascii="Times New Roman" w:eastAsia="Arial" w:hAnsi="Times New Roman" w:cs="Times New Roman"/>
          <w:color w:val="000000"/>
        </w:rPr>
        <w:t>st report the incident within 72</w:t>
      </w:r>
      <w:r w:rsidRPr="00FF061B">
        <w:rPr>
          <w:rFonts w:ascii="Times New Roman" w:eastAsia="Arial" w:hAnsi="Times New Roman" w:cs="Times New Roman"/>
          <w:color w:val="000000"/>
        </w:rPr>
        <w:t xml:space="preserve"> hours of the entity becoming aware of the incident.</w:t>
      </w:r>
      <w:r w:rsidRPr="00FF061B">
        <w:rPr>
          <w:rStyle w:val="FootnoteReference"/>
          <w:rFonts w:ascii="Times New Roman" w:eastAsia="Arial" w:hAnsi="Times New Roman" w:cs="Times New Roman"/>
          <w:color w:val="000000"/>
        </w:rPr>
        <w:footnoteReference w:id="13"/>
      </w:r>
      <w:r w:rsidRPr="00FF061B">
        <w:rPr>
          <w:rFonts w:ascii="Times New Roman" w:eastAsia="Arial" w:hAnsi="Times New Roman" w:cs="Times New Roman"/>
          <w:color w:val="000000"/>
        </w:rPr>
        <w:t xml:space="preserve"> The reports must be made to the Australian</w:t>
      </w:r>
      <w:r w:rsidRPr="008C69F2">
        <w:rPr>
          <w:rFonts w:ascii="Times New Roman" w:eastAsia="Arial" w:hAnsi="Times New Roman" w:cs="Times New Roman"/>
          <w:color w:val="000000"/>
        </w:rPr>
        <w:t xml:space="preserve"> Cyber Security Centre (unless another Commonwealth body is prescribed in the rules), and made orally or in writing. </w:t>
      </w:r>
      <w:r w:rsidRPr="00EE0D81">
        <w:rPr>
          <w:rFonts w:ascii="Times New Roman" w:hAnsi="Times New Roman"/>
          <w:color w:val="000000"/>
        </w:rPr>
        <w:t>For example, the entity will be required to report the detection of malware on their system or a denial of service attack that disrupts the service, but not phishing emails</w:t>
      </w:r>
      <w:r w:rsidR="008C69F2">
        <w:rPr>
          <w:rFonts w:ascii="Times New Roman" w:hAnsi="Times New Roman"/>
          <w:color w:val="000000"/>
        </w:rPr>
        <w:t xml:space="preserve"> that do not have an impact on the entity</w:t>
      </w:r>
      <w:r w:rsidRPr="00EE0D81">
        <w:rPr>
          <w:rFonts w:ascii="Times New Roman" w:hAnsi="Times New Roman"/>
          <w:color w:val="000000"/>
        </w:rPr>
        <w:t>.</w:t>
      </w:r>
      <w:r w:rsidRPr="008C69F2">
        <w:rPr>
          <w:rFonts w:ascii="Times New Roman" w:eastAsia="Arial" w:hAnsi="Times New Roman" w:cs="Times New Roman"/>
          <w:color w:val="000000"/>
        </w:rPr>
        <w:t xml:space="preserve"> </w:t>
      </w:r>
      <w:r w:rsidRPr="00EE0D81">
        <w:rPr>
          <w:rFonts w:ascii="Times New Roman" w:hAnsi="Times New Roman"/>
          <w:color w:val="000000"/>
        </w:rPr>
        <w:t xml:space="preserve">These reporting obligations are only engaged (i.e. the clock starts) when the entity becomes aware of the incident, and therefore may not be activated until sometime after the incident has occurred and an internal investigation has revealed the source of the problem. </w:t>
      </w:r>
    </w:p>
    <w:p w14:paraId="4A276065" w14:textId="77777777" w:rsidR="00993F09" w:rsidRPr="00EE0D81" w:rsidRDefault="00993F09" w:rsidP="00EE0D81">
      <w:pPr>
        <w:spacing w:after="0" w:line="240" w:lineRule="auto"/>
        <w:ind w:left="1440"/>
        <w:rPr>
          <w:rFonts w:ascii="Times New Roman" w:hAnsi="Times New Roman"/>
          <w:color w:val="000000"/>
        </w:rPr>
      </w:pPr>
      <w:r w:rsidRPr="00EE0D81">
        <w:rPr>
          <w:rFonts w:ascii="Times New Roman" w:hAnsi="Times New Roman"/>
          <w:color w:val="000000"/>
        </w:rPr>
        <w:t>These reports will be used by the Australian Cyber Security Centre:</w:t>
      </w:r>
    </w:p>
    <w:p w14:paraId="63A9E73E" w14:textId="77777777" w:rsidR="00993F09" w:rsidRPr="00EE0D81" w:rsidRDefault="00993F09" w:rsidP="00EE0D81">
      <w:pPr>
        <w:numPr>
          <w:ilvl w:val="2"/>
          <w:numId w:val="15"/>
        </w:numPr>
        <w:spacing w:after="0" w:line="240" w:lineRule="auto"/>
        <w:rPr>
          <w:rFonts w:ascii="Times New Roman" w:hAnsi="Times New Roman"/>
          <w:color w:val="000000"/>
        </w:rPr>
      </w:pPr>
      <w:r w:rsidRPr="00EE0D81">
        <w:rPr>
          <w:rFonts w:ascii="Times New Roman" w:hAnsi="Times New Roman"/>
          <w:color w:val="000000"/>
        </w:rPr>
        <w:t>where appropriate, to initiate an offer of assistance or in particularly serious situations, an application for government assistance (discussed below), and</w:t>
      </w:r>
    </w:p>
    <w:p w14:paraId="08192C97" w14:textId="77777777" w:rsidR="00993F09" w:rsidRPr="00EE0D81" w:rsidRDefault="00993F09" w:rsidP="00EE0D81">
      <w:pPr>
        <w:numPr>
          <w:ilvl w:val="2"/>
          <w:numId w:val="15"/>
        </w:numPr>
        <w:spacing w:line="240" w:lineRule="auto"/>
        <w:rPr>
          <w:rFonts w:ascii="Times New Roman" w:hAnsi="Times New Roman"/>
          <w:color w:val="000000"/>
        </w:rPr>
      </w:pPr>
      <w:r w:rsidRPr="00EE0D81">
        <w:rPr>
          <w:rFonts w:ascii="Times New Roman" w:hAnsi="Times New Roman"/>
          <w:color w:val="000000"/>
        </w:rPr>
        <w:t>provide intelligence to support the development of an improved national situation awareness.</w:t>
      </w:r>
    </w:p>
    <w:p w14:paraId="48D04205" w14:textId="14FA7C66" w:rsidR="00993F09" w:rsidRDefault="00993F09" w:rsidP="00993F09">
      <w:pPr>
        <w:pStyle w:val="ListParagraph"/>
        <w:spacing w:after="0"/>
        <w:ind w:left="1440"/>
        <w:rPr>
          <w:rFonts w:ascii="Times New Roman" w:eastAsia="Arial" w:hAnsi="Times New Roman" w:cs="Times New Roman"/>
          <w:color w:val="000000"/>
        </w:rPr>
      </w:pPr>
      <w:r>
        <w:rPr>
          <w:rFonts w:ascii="Times New Roman" w:eastAsia="Arial" w:hAnsi="Times New Roman" w:cs="Times New Roman"/>
          <w:color w:val="000000"/>
        </w:rPr>
        <w:t>This obligations will provide Government with greater visibility of the current cyber environment that critical infrastructure assets are operating within, allowing Government to develop an aggregate threat picture which can then be used to inform industry of</w:t>
      </w:r>
      <w:r w:rsidR="008C69F2">
        <w:rPr>
          <w:rFonts w:ascii="Times New Roman" w:eastAsia="Arial" w:hAnsi="Times New Roman" w:cs="Times New Roman"/>
          <w:color w:val="000000"/>
        </w:rPr>
        <w:t>, and assist industry to de</w:t>
      </w:r>
      <w:r w:rsidR="00233CC6">
        <w:rPr>
          <w:rFonts w:ascii="Times New Roman" w:eastAsia="Arial" w:hAnsi="Times New Roman" w:cs="Times New Roman"/>
          <w:color w:val="000000"/>
        </w:rPr>
        <w:t>a</w:t>
      </w:r>
      <w:r w:rsidR="008C69F2">
        <w:rPr>
          <w:rFonts w:ascii="Times New Roman" w:eastAsia="Arial" w:hAnsi="Times New Roman" w:cs="Times New Roman"/>
          <w:color w:val="000000"/>
        </w:rPr>
        <w:t>l with,</w:t>
      </w:r>
      <w:r>
        <w:rPr>
          <w:rFonts w:ascii="Times New Roman" w:eastAsia="Arial" w:hAnsi="Times New Roman" w:cs="Times New Roman"/>
          <w:color w:val="000000"/>
        </w:rPr>
        <w:t xml:space="preserve"> the threats they face. </w:t>
      </w:r>
    </w:p>
    <w:p w14:paraId="78819740" w14:textId="77777777" w:rsidR="00993F09" w:rsidRDefault="00993F09" w:rsidP="00993F09">
      <w:pPr>
        <w:pStyle w:val="ListParagraph"/>
        <w:spacing w:after="0"/>
        <w:ind w:left="1440"/>
        <w:rPr>
          <w:rFonts w:ascii="Times New Roman" w:eastAsia="Arial" w:hAnsi="Times New Roman" w:cs="Times New Roman"/>
          <w:color w:val="000000"/>
        </w:rPr>
      </w:pPr>
    </w:p>
    <w:p w14:paraId="1E945F7F" w14:textId="78436876" w:rsidR="00993F09" w:rsidRPr="000D41EA" w:rsidRDefault="00993F09" w:rsidP="00993F09">
      <w:pPr>
        <w:pStyle w:val="ListParagraph"/>
        <w:spacing w:after="0"/>
        <w:ind w:left="1440"/>
        <w:rPr>
          <w:rFonts w:ascii="Times New Roman" w:eastAsia="Arial" w:hAnsi="Times New Roman" w:cs="Times New Roman"/>
          <w:color w:val="000000"/>
        </w:rPr>
      </w:pPr>
      <w:r w:rsidRPr="00717C7C">
        <w:rPr>
          <w:rFonts w:ascii="Times New Roman" w:eastAsia="Arial" w:hAnsi="Times New Roman" w:cs="Times New Roman"/>
          <w:color w:val="000000"/>
        </w:rPr>
        <w:t xml:space="preserve">The Bill will define the obligations, however the Minister for Home Affairs, through the rules, </w:t>
      </w:r>
      <w:r w:rsidR="008C69F2">
        <w:rPr>
          <w:rFonts w:ascii="Times New Roman" w:eastAsia="Arial" w:hAnsi="Times New Roman" w:cs="Times New Roman"/>
          <w:color w:val="000000"/>
        </w:rPr>
        <w:t xml:space="preserve">is required to </w:t>
      </w:r>
      <w:r w:rsidRPr="00717C7C">
        <w:rPr>
          <w:rFonts w:ascii="Times New Roman" w:eastAsia="Arial" w:hAnsi="Times New Roman" w:cs="Times New Roman"/>
          <w:color w:val="000000"/>
        </w:rPr>
        <w:t xml:space="preserve">activate the obligation for particular </w:t>
      </w:r>
      <w:r w:rsidRPr="00B1725B">
        <w:rPr>
          <w:rFonts w:ascii="Times New Roman" w:eastAsia="Arial" w:hAnsi="Times New Roman" w:cs="Times New Roman"/>
          <w:i/>
          <w:color w:val="000000"/>
        </w:rPr>
        <w:t>critical infrastructure asset</w:t>
      </w:r>
      <w:r w:rsidRPr="00717C7C">
        <w:rPr>
          <w:rFonts w:ascii="Times New Roman" w:eastAsia="Arial" w:hAnsi="Times New Roman" w:cs="Times New Roman"/>
          <w:color w:val="000000"/>
        </w:rPr>
        <w:t>s.</w:t>
      </w:r>
    </w:p>
    <w:p w14:paraId="3D205EAF" w14:textId="77777777" w:rsidR="00993F09" w:rsidRPr="00625085" w:rsidRDefault="00993F09" w:rsidP="00993F09">
      <w:pPr>
        <w:spacing w:after="0" w:line="240" w:lineRule="auto"/>
        <w:rPr>
          <w:rFonts w:ascii="Times New Roman" w:eastAsia="Arial" w:hAnsi="Times New Roman" w:cs="Times New Roman"/>
          <w:color w:val="000000"/>
        </w:rPr>
      </w:pPr>
    </w:p>
    <w:p w14:paraId="1DDD275C" w14:textId="36907B79" w:rsidR="00993F09" w:rsidRDefault="00993F09" w:rsidP="00B369B5">
      <w:pPr>
        <w:pStyle w:val="ListParagraph"/>
        <w:numPr>
          <w:ilvl w:val="2"/>
          <w:numId w:val="12"/>
        </w:numPr>
        <w:spacing w:after="0" w:line="240" w:lineRule="auto"/>
        <w:rPr>
          <w:rFonts w:ascii="Times New Roman" w:eastAsia="Arial" w:hAnsi="Times New Roman" w:cs="Times New Roman"/>
          <w:color w:val="000000"/>
        </w:rPr>
      </w:pPr>
      <w:r w:rsidRPr="000D41EA">
        <w:rPr>
          <w:rFonts w:ascii="Times New Roman" w:eastAsia="Arial" w:hAnsi="Times New Roman" w:cs="Times New Roman"/>
          <w:color w:val="000000"/>
          <w:u w:val="single"/>
        </w:rPr>
        <w:t>Enhanced Cyber Security Obligations</w:t>
      </w:r>
      <w:r>
        <w:rPr>
          <w:rFonts w:ascii="Times New Roman" w:eastAsia="Arial" w:hAnsi="Times New Roman" w:cs="Times New Roman"/>
          <w:color w:val="000000"/>
        </w:rPr>
        <w:t xml:space="preserve"> will only apply to </w:t>
      </w:r>
      <w:r w:rsidRPr="000266F5">
        <w:rPr>
          <w:rFonts w:ascii="Times New Roman" w:eastAsia="Arial" w:hAnsi="Times New Roman" w:cs="Times New Roman"/>
          <w:color w:val="000000"/>
        </w:rPr>
        <w:t xml:space="preserve">assets which are </w:t>
      </w:r>
      <w:r>
        <w:rPr>
          <w:rFonts w:ascii="Times New Roman" w:eastAsia="Arial" w:hAnsi="Times New Roman" w:cs="Times New Roman"/>
          <w:color w:val="000000"/>
        </w:rPr>
        <w:t xml:space="preserve">considered to be </w:t>
      </w:r>
      <w:r w:rsidRPr="000266F5">
        <w:rPr>
          <w:rFonts w:ascii="Times New Roman" w:eastAsia="Arial" w:hAnsi="Times New Roman" w:cs="Times New Roman"/>
          <w:color w:val="000000"/>
        </w:rPr>
        <w:t>of the highest criticality (</w:t>
      </w:r>
      <w:r w:rsidRPr="00B1725B">
        <w:rPr>
          <w:rFonts w:ascii="Times New Roman" w:eastAsia="Arial" w:hAnsi="Times New Roman" w:cs="Times New Roman"/>
          <w:i/>
          <w:color w:val="000000"/>
        </w:rPr>
        <w:t>systems of national significance</w:t>
      </w:r>
      <w:r w:rsidRPr="000266F5">
        <w:rPr>
          <w:rFonts w:ascii="Times New Roman" w:eastAsia="Arial" w:hAnsi="Times New Roman" w:cs="Times New Roman"/>
          <w:color w:val="000000"/>
        </w:rPr>
        <w:t>)</w:t>
      </w:r>
      <w:r>
        <w:rPr>
          <w:rFonts w:ascii="Times New Roman" w:eastAsia="Arial" w:hAnsi="Times New Roman" w:cs="Times New Roman"/>
          <w:color w:val="000000"/>
        </w:rPr>
        <w:t>. These obligations are intended</w:t>
      </w:r>
      <w:r w:rsidRPr="000266F5">
        <w:rPr>
          <w:rFonts w:ascii="Times New Roman" w:eastAsia="Arial" w:hAnsi="Times New Roman" w:cs="Times New Roman"/>
          <w:color w:val="000000"/>
        </w:rPr>
        <w:t xml:space="preserve"> to build </w:t>
      </w:r>
      <w:r>
        <w:rPr>
          <w:rFonts w:ascii="Times New Roman" w:eastAsia="Arial" w:hAnsi="Times New Roman" w:cs="Times New Roman"/>
          <w:color w:val="000000"/>
        </w:rPr>
        <w:t>upon</w:t>
      </w:r>
      <w:r w:rsidRPr="000266F5">
        <w:rPr>
          <w:rFonts w:ascii="Times New Roman" w:eastAsia="Arial" w:hAnsi="Times New Roman" w:cs="Times New Roman"/>
          <w:color w:val="000000"/>
        </w:rPr>
        <w:t xml:space="preserve"> </w:t>
      </w:r>
      <w:r w:rsidR="008C69F2">
        <w:rPr>
          <w:rFonts w:ascii="Times New Roman" w:eastAsia="Arial" w:hAnsi="Times New Roman" w:cs="Times New Roman"/>
          <w:color w:val="000000"/>
        </w:rPr>
        <w:t xml:space="preserve">the existing strong </w:t>
      </w:r>
      <w:r w:rsidRPr="000266F5">
        <w:rPr>
          <w:rFonts w:ascii="Times New Roman" w:eastAsia="Arial" w:hAnsi="Times New Roman" w:cs="Times New Roman"/>
          <w:color w:val="000000"/>
        </w:rPr>
        <w:t xml:space="preserve">Government-industry partnership and provide </w:t>
      </w:r>
      <w:r>
        <w:rPr>
          <w:rFonts w:ascii="Times New Roman" w:eastAsia="Arial" w:hAnsi="Times New Roman" w:cs="Times New Roman"/>
          <w:color w:val="000000"/>
        </w:rPr>
        <w:t xml:space="preserve">the Government with </w:t>
      </w:r>
      <w:r w:rsidRPr="000266F5">
        <w:rPr>
          <w:rFonts w:ascii="Times New Roman" w:eastAsia="Arial" w:hAnsi="Times New Roman" w:cs="Times New Roman"/>
          <w:color w:val="000000"/>
        </w:rPr>
        <w:t xml:space="preserve">the information </w:t>
      </w:r>
      <w:r w:rsidR="008C69F2">
        <w:rPr>
          <w:rFonts w:ascii="Times New Roman" w:eastAsia="Arial" w:hAnsi="Times New Roman" w:cs="Times New Roman"/>
          <w:color w:val="000000"/>
        </w:rPr>
        <w:t xml:space="preserve">and understanding </w:t>
      </w:r>
      <w:r w:rsidRPr="000266F5">
        <w:rPr>
          <w:rFonts w:ascii="Times New Roman" w:eastAsia="Arial" w:hAnsi="Times New Roman" w:cs="Times New Roman"/>
          <w:color w:val="000000"/>
        </w:rPr>
        <w:t xml:space="preserve">necessary to reduce the risk </w:t>
      </w:r>
      <w:r w:rsidR="008C69F2">
        <w:rPr>
          <w:rFonts w:ascii="Times New Roman" w:eastAsia="Arial" w:hAnsi="Times New Roman" w:cs="Times New Roman"/>
          <w:color w:val="000000"/>
        </w:rPr>
        <w:t xml:space="preserve">and potential impacts </w:t>
      </w:r>
      <w:r w:rsidRPr="000266F5">
        <w:rPr>
          <w:rFonts w:ascii="Times New Roman" w:eastAsia="Arial" w:hAnsi="Times New Roman" w:cs="Times New Roman"/>
          <w:color w:val="000000"/>
        </w:rPr>
        <w:t>of significant cyber incidents.</w:t>
      </w:r>
      <w:r>
        <w:rPr>
          <w:rFonts w:ascii="Times New Roman" w:eastAsia="Arial" w:hAnsi="Times New Roman" w:cs="Times New Roman"/>
          <w:color w:val="000000"/>
        </w:rPr>
        <w:t xml:space="preserve"> It will also provide the Government with assurance that assets of the highest criticality are actively safeguarding their assets from cyber vulnerabilities above </w:t>
      </w:r>
      <w:r>
        <w:rPr>
          <w:rFonts w:ascii="Times New Roman" w:eastAsia="Arial" w:hAnsi="Times New Roman" w:cs="Times New Roman"/>
          <w:color w:val="000000"/>
        </w:rPr>
        <w:lastRenderedPageBreak/>
        <w:t>and beyond their requirements under the Positive Security Obligations</w:t>
      </w:r>
      <w:r w:rsidRPr="00E950A8">
        <w:rPr>
          <w:rFonts w:ascii="Times New Roman" w:eastAsia="Arial" w:hAnsi="Times New Roman" w:cs="Times New Roman"/>
          <w:color w:val="000000"/>
        </w:rPr>
        <w:t>.</w:t>
      </w:r>
      <w:r w:rsidRPr="00FE579D">
        <w:rPr>
          <w:rFonts w:ascii="Times New Roman" w:eastAsia="Arial" w:hAnsi="Times New Roman" w:cs="Times New Roman"/>
          <w:color w:val="000000"/>
        </w:rPr>
        <w:t xml:space="preserve"> </w:t>
      </w:r>
      <w:r w:rsidR="00FE579D" w:rsidRPr="00EE0D81">
        <w:rPr>
          <w:rFonts w:ascii="Times New Roman" w:eastAsia="Arial" w:hAnsi="Times New Roman" w:cs="Times New Roman"/>
          <w:color w:val="000000"/>
        </w:rPr>
        <w:t>Due to the increasingly interconnected nature of critical infrastructure, it is vital that those of the highest criticality (</w:t>
      </w:r>
      <w:r w:rsidR="00FE579D" w:rsidRPr="00EE0D81">
        <w:rPr>
          <w:rFonts w:ascii="Times New Roman" w:eastAsia="Arial" w:hAnsi="Times New Roman" w:cs="Times New Roman"/>
          <w:i/>
          <w:color w:val="000000"/>
        </w:rPr>
        <w:t>systems of national significance</w:t>
      </w:r>
      <w:r w:rsidR="00FE579D" w:rsidRPr="00EE0D81">
        <w:rPr>
          <w:rFonts w:ascii="Times New Roman" w:eastAsia="Arial" w:hAnsi="Times New Roman" w:cs="Times New Roman"/>
          <w:color w:val="000000"/>
        </w:rPr>
        <w:t>) are actively safeguarding against significant cyber security incidents to reduce the occurrence and impacts of such incidents.</w:t>
      </w:r>
      <w:r w:rsidR="00FE579D">
        <w:rPr>
          <w:rFonts w:ascii="Times New Roman" w:eastAsia="Arial" w:hAnsi="Times New Roman" w:cs="Times New Roman"/>
          <w:color w:val="000000"/>
        </w:rPr>
        <w:t xml:space="preserve"> </w:t>
      </w:r>
      <w:r w:rsidRPr="00717C7C">
        <w:rPr>
          <w:rFonts w:ascii="Times New Roman" w:eastAsia="Arial" w:hAnsi="Times New Roman" w:cs="Times New Roman"/>
          <w:color w:val="000000"/>
        </w:rPr>
        <w:t>The Minister for Home Affairs will provide an annual report to Parliament on the use of these powers.</w:t>
      </w:r>
      <w:r>
        <w:rPr>
          <w:rFonts w:ascii="Times New Roman" w:eastAsia="Arial" w:hAnsi="Times New Roman" w:cs="Times New Roman"/>
          <w:color w:val="000000"/>
        </w:rPr>
        <w:t xml:space="preserve"> There will be four</w:t>
      </w:r>
      <w:r w:rsidRPr="000E71AE">
        <w:rPr>
          <w:rFonts w:ascii="Times New Roman" w:eastAsia="Arial" w:hAnsi="Times New Roman" w:cs="Times New Roman"/>
          <w:color w:val="000000"/>
        </w:rPr>
        <w:t xml:space="preserve"> distinct components of the</w:t>
      </w:r>
      <w:r w:rsidRPr="000266F5">
        <w:rPr>
          <w:rFonts w:ascii="Times New Roman" w:eastAsia="Arial" w:hAnsi="Times New Roman" w:cs="Times New Roman"/>
          <w:color w:val="000000"/>
        </w:rPr>
        <w:t xml:space="preserve"> </w:t>
      </w:r>
      <w:r>
        <w:rPr>
          <w:rFonts w:ascii="Times New Roman" w:eastAsia="Arial" w:hAnsi="Times New Roman" w:cs="Times New Roman"/>
          <w:color w:val="000000"/>
        </w:rPr>
        <w:t>Enhanced Cyber Security Obligations which will be activ</w:t>
      </w:r>
      <w:r w:rsidR="008C69F2">
        <w:rPr>
          <w:rFonts w:ascii="Times New Roman" w:eastAsia="Arial" w:hAnsi="Times New Roman" w:cs="Times New Roman"/>
          <w:color w:val="000000"/>
        </w:rPr>
        <w:t>ated only</w:t>
      </w:r>
      <w:r>
        <w:rPr>
          <w:rFonts w:ascii="Times New Roman" w:eastAsia="Arial" w:hAnsi="Times New Roman" w:cs="Times New Roman"/>
          <w:color w:val="000000"/>
        </w:rPr>
        <w:t xml:space="preserve"> on request </w:t>
      </w:r>
      <w:r w:rsidRPr="000266F5">
        <w:rPr>
          <w:rFonts w:ascii="Times New Roman" w:eastAsia="Arial" w:hAnsi="Times New Roman" w:cs="Times New Roman"/>
          <w:color w:val="000000"/>
        </w:rPr>
        <w:t>(meaning there is no standing obligation):</w:t>
      </w:r>
    </w:p>
    <w:p w14:paraId="483BA859" w14:textId="77777777" w:rsidR="00993F09" w:rsidRPr="000266F5" w:rsidRDefault="00993F09" w:rsidP="00993F09">
      <w:pPr>
        <w:spacing w:after="0" w:line="240" w:lineRule="auto"/>
        <w:ind w:left="720"/>
        <w:rPr>
          <w:rFonts w:ascii="Times New Roman" w:eastAsia="Arial" w:hAnsi="Times New Roman" w:cs="Times New Roman"/>
          <w:color w:val="000000"/>
        </w:rPr>
      </w:pPr>
    </w:p>
    <w:p w14:paraId="33B63374" w14:textId="77777777" w:rsidR="00993F09" w:rsidRDefault="00993F09" w:rsidP="00B369B5">
      <w:pPr>
        <w:numPr>
          <w:ilvl w:val="1"/>
          <w:numId w:val="16"/>
        </w:numPr>
        <w:spacing w:after="0" w:line="240" w:lineRule="auto"/>
        <w:rPr>
          <w:rFonts w:ascii="Times New Roman" w:eastAsia="Arial" w:hAnsi="Times New Roman" w:cs="Times New Roman"/>
          <w:color w:val="000000"/>
        </w:rPr>
      </w:pPr>
      <w:r w:rsidRPr="001A7788">
        <w:rPr>
          <w:rFonts w:ascii="Times New Roman" w:eastAsia="Arial" w:hAnsi="Times New Roman" w:cs="Times New Roman"/>
          <w:i/>
          <w:color w:val="000000"/>
        </w:rPr>
        <w:t>Develop and maintain incident response plans</w:t>
      </w:r>
      <w:r>
        <w:rPr>
          <w:rFonts w:ascii="Times New Roman" w:eastAsia="Arial" w:hAnsi="Times New Roman" w:cs="Times New Roman"/>
          <w:color w:val="000000"/>
        </w:rPr>
        <w:t xml:space="preserve"> - </w:t>
      </w:r>
      <w:r w:rsidRPr="004E4E39">
        <w:rPr>
          <w:rFonts w:ascii="Times New Roman" w:eastAsia="Arial" w:hAnsi="Times New Roman" w:cs="Times New Roman"/>
          <w:color w:val="000000"/>
        </w:rPr>
        <w:t xml:space="preserve">under this obligation the Secretary may require the responsible entity for a </w:t>
      </w:r>
      <w:r w:rsidRPr="00B1725B">
        <w:rPr>
          <w:rFonts w:ascii="Times New Roman" w:eastAsia="Arial" w:hAnsi="Times New Roman" w:cs="Times New Roman"/>
          <w:i/>
          <w:color w:val="000000"/>
        </w:rPr>
        <w:t>system of national significance</w:t>
      </w:r>
      <w:r w:rsidRPr="004E4E39">
        <w:rPr>
          <w:rFonts w:ascii="Times New Roman" w:eastAsia="Arial" w:hAnsi="Times New Roman" w:cs="Times New Roman"/>
          <w:color w:val="000000"/>
        </w:rPr>
        <w:t xml:space="preserve"> to establish and maintain an incident response plan. Incident response plans are designed to ensure</w:t>
      </w:r>
      <w:r w:rsidRPr="001047B2">
        <w:t xml:space="preserve"> </w:t>
      </w:r>
      <w:r w:rsidRPr="004E4E39">
        <w:rPr>
          <w:rFonts w:ascii="Times New Roman" w:eastAsia="Arial" w:hAnsi="Times New Roman" w:cs="Times New Roman"/>
          <w:color w:val="000000"/>
        </w:rPr>
        <w:t>an entity has established processes and tools to prepare for and respond to cyber security incidents.</w:t>
      </w:r>
      <w:r w:rsidRPr="00F24E51">
        <w:rPr>
          <w:rFonts w:ascii="Times New Roman" w:eastAsia="Arial" w:hAnsi="Times New Roman" w:cs="Times New Roman"/>
          <w:color w:val="000000"/>
        </w:rPr>
        <w:t xml:space="preserve"> It is intended that t</w:t>
      </w:r>
      <w:r w:rsidRPr="004E4E39">
        <w:rPr>
          <w:rFonts w:ascii="Times New Roman" w:eastAsia="Arial" w:hAnsi="Times New Roman" w:cs="Times New Roman"/>
          <w:color w:val="000000"/>
        </w:rPr>
        <w:t xml:space="preserve">he plan would need to comply with any requirements specified in the rules, which may include details on procedures to be included in the plan for responding to a particular cyber security incident. An incident response plan typically includes profiles of common incident types and response activities for the organisation and sector, roles, responsibilities and contact details, and checklist of actions (for detection and analysis, containment and eradication, communications and recovery) and templates to use when required. </w:t>
      </w:r>
      <w:r>
        <w:rPr>
          <w:rFonts w:ascii="Times New Roman" w:eastAsia="Arial" w:hAnsi="Times New Roman" w:cs="Times New Roman"/>
          <w:color w:val="000000"/>
        </w:rPr>
        <w:t>Engagement with industry has indicated that m</w:t>
      </w:r>
      <w:r w:rsidRPr="004E4E39">
        <w:rPr>
          <w:rFonts w:ascii="Times New Roman" w:eastAsia="Arial" w:hAnsi="Times New Roman" w:cs="Times New Roman"/>
          <w:color w:val="000000"/>
        </w:rPr>
        <w:t xml:space="preserve">any </w:t>
      </w:r>
      <w:r w:rsidRPr="00B1725B">
        <w:rPr>
          <w:rFonts w:ascii="Times New Roman" w:eastAsia="Arial" w:hAnsi="Times New Roman" w:cs="Times New Roman"/>
          <w:i/>
          <w:color w:val="000000"/>
        </w:rPr>
        <w:t>systems of national significance</w:t>
      </w:r>
      <w:r w:rsidRPr="004E4E39">
        <w:rPr>
          <w:rFonts w:ascii="Times New Roman" w:eastAsia="Arial" w:hAnsi="Times New Roman" w:cs="Times New Roman"/>
          <w:color w:val="000000"/>
        </w:rPr>
        <w:t xml:space="preserve"> are likely to already have an existing incident response plan tha</w:t>
      </w:r>
      <w:r>
        <w:rPr>
          <w:rFonts w:ascii="Times New Roman" w:eastAsia="Arial" w:hAnsi="Times New Roman" w:cs="Times New Roman"/>
          <w:color w:val="000000"/>
        </w:rPr>
        <w:t>t can be provided to the Government upon request.</w:t>
      </w:r>
    </w:p>
    <w:p w14:paraId="6FE0A9CD" w14:textId="77777777" w:rsidR="00993F09" w:rsidRPr="000266F5" w:rsidRDefault="00993F09" w:rsidP="00EE0D81">
      <w:pPr>
        <w:spacing w:after="0" w:line="240" w:lineRule="auto"/>
        <w:ind w:left="1440"/>
        <w:rPr>
          <w:rFonts w:ascii="Times New Roman" w:eastAsia="Arial" w:hAnsi="Times New Roman" w:cs="Times New Roman"/>
          <w:color w:val="000000"/>
        </w:rPr>
      </w:pPr>
    </w:p>
    <w:p w14:paraId="18DF1450" w14:textId="77777777" w:rsidR="00993F09" w:rsidRDefault="00993F09" w:rsidP="00B369B5">
      <w:pPr>
        <w:numPr>
          <w:ilvl w:val="1"/>
          <w:numId w:val="16"/>
        </w:numPr>
        <w:spacing w:after="0" w:line="240" w:lineRule="auto"/>
        <w:rPr>
          <w:rFonts w:ascii="Times New Roman" w:eastAsia="Arial" w:hAnsi="Times New Roman" w:cs="Times New Roman"/>
          <w:color w:val="000000"/>
        </w:rPr>
      </w:pPr>
      <w:r w:rsidRPr="00EE0D81">
        <w:rPr>
          <w:rFonts w:ascii="Times New Roman" w:hAnsi="Times New Roman"/>
          <w:i/>
          <w:color w:val="000000"/>
        </w:rPr>
        <w:t>Undertake a scenario based exercise</w:t>
      </w:r>
      <w:r>
        <w:rPr>
          <w:rFonts w:ascii="Times New Roman" w:eastAsia="Arial" w:hAnsi="Times New Roman" w:cs="Times New Roman"/>
          <w:color w:val="000000"/>
        </w:rPr>
        <w:t xml:space="preserve"> - </w:t>
      </w:r>
      <w:r w:rsidRPr="00F24E51">
        <w:rPr>
          <w:rFonts w:ascii="Times New Roman" w:eastAsia="Arial" w:hAnsi="Times New Roman" w:cs="Times New Roman"/>
          <w:color w:val="000000"/>
        </w:rPr>
        <w:t xml:space="preserve">under this obligation the Secretary may require the responsible entity for a </w:t>
      </w:r>
      <w:r w:rsidRPr="00B1725B">
        <w:rPr>
          <w:rFonts w:ascii="Times New Roman" w:eastAsia="Arial" w:hAnsi="Times New Roman" w:cs="Times New Roman"/>
          <w:i/>
          <w:color w:val="000000"/>
        </w:rPr>
        <w:t>system of national significance</w:t>
      </w:r>
      <w:r w:rsidRPr="004B67DC">
        <w:rPr>
          <w:rFonts w:ascii="Times New Roman" w:eastAsia="Arial" w:hAnsi="Times New Roman" w:cs="Times New Roman"/>
          <w:i/>
          <w:color w:val="000000"/>
        </w:rPr>
        <w:t xml:space="preserve"> </w:t>
      </w:r>
      <w:r w:rsidRPr="004B67DC">
        <w:rPr>
          <w:rFonts w:ascii="Times New Roman" w:eastAsia="Arial" w:hAnsi="Times New Roman" w:cs="Times New Roman"/>
          <w:color w:val="000000"/>
        </w:rPr>
        <w:t xml:space="preserve">to undertake a cyber security exercise. It is intended that the Secretary of Home Affairs may, by written notice, require a </w:t>
      </w:r>
      <w:r w:rsidRPr="00B1725B">
        <w:rPr>
          <w:rFonts w:ascii="Times New Roman" w:eastAsia="Arial" w:hAnsi="Times New Roman" w:cs="Times New Roman"/>
          <w:i/>
          <w:color w:val="000000"/>
        </w:rPr>
        <w:t>system of national significance</w:t>
      </w:r>
      <w:r w:rsidRPr="004B67DC">
        <w:rPr>
          <w:rFonts w:ascii="Times New Roman" w:eastAsia="Arial" w:hAnsi="Times New Roman" w:cs="Times New Roman"/>
          <w:color w:val="000000"/>
        </w:rPr>
        <w:t xml:space="preserve"> to undertake a cyber security exercise in relation to all types of cyber security incidents, or one or more specified types of cyber security incidents (for example, a denial of service or ransomware attack). Conducting a cyber security exercise is an important activity for an</w:t>
      </w:r>
      <w:r>
        <w:rPr>
          <w:rFonts w:ascii="Times New Roman" w:eastAsia="Arial" w:hAnsi="Times New Roman" w:cs="Times New Roman"/>
          <w:color w:val="000000"/>
        </w:rPr>
        <w:t xml:space="preserve"> </w:t>
      </w:r>
      <w:r w:rsidRPr="004B67DC">
        <w:rPr>
          <w:rFonts w:ascii="Times New Roman" w:eastAsia="Arial" w:hAnsi="Times New Roman" w:cs="Times New Roman"/>
          <w:color w:val="000000"/>
        </w:rPr>
        <w:t>organisation to test and improve their cyber resilience.</w:t>
      </w:r>
      <w:r>
        <w:rPr>
          <w:rFonts w:ascii="Times New Roman" w:eastAsia="Arial" w:hAnsi="Times New Roman" w:cs="Times New Roman"/>
          <w:color w:val="000000"/>
        </w:rPr>
        <w:t xml:space="preserve"> </w:t>
      </w:r>
      <w:r w:rsidRPr="004B67DC">
        <w:rPr>
          <w:rFonts w:ascii="Times New Roman" w:eastAsia="Arial" w:hAnsi="Times New Roman" w:cs="Times New Roman"/>
          <w:color w:val="000000"/>
        </w:rPr>
        <w:t>The scope of the exercise will be determined based on threats and incident trends, as well as consideration of the consequential or cascading effects that may occur should the system be impacted by a cyber security incident. This is intended to test an entity’s ability to respond appropriately to a cyber security incident, preparedness to respond to a cyber security incident and ability to mitigate relevant impacts of a cyber security incident.</w:t>
      </w:r>
    </w:p>
    <w:p w14:paraId="411AF7D6" w14:textId="77777777" w:rsidR="00993F09" w:rsidRPr="000266F5" w:rsidRDefault="00993F09" w:rsidP="00EE0D81">
      <w:pPr>
        <w:spacing w:after="0" w:line="240" w:lineRule="auto"/>
        <w:rPr>
          <w:rFonts w:ascii="Times New Roman" w:eastAsia="Arial" w:hAnsi="Times New Roman" w:cs="Times New Roman"/>
          <w:color w:val="000000"/>
        </w:rPr>
      </w:pPr>
    </w:p>
    <w:p w14:paraId="42A29E1D" w14:textId="77777777" w:rsidR="00993F09" w:rsidRPr="000001A4" w:rsidRDefault="00993F09" w:rsidP="00B369B5">
      <w:pPr>
        <w:numPr>
          <w:ilvl w:val="1"/>
          <w:numId w:val="16"/>
        </w:numPr>
        <w:spacing w:after="0" w:line="240" w:lineRule="auto"/>
        <w:rPr>
          <w:rFonts w:ascii="Times New Roman" w:eastAsia="Arial" w:hAnsi="Times New Roman" w:cs="Times New Roman"/>
          <w:color w:val="000000"/>
        </w:rPr>
      </w:pPr>
      <w:r w:rsidRPr="00EE0D81">
        <w:rPr>
          <w:rFonts w:ascii="Times New Roman" w:hAnsi="Times New Roman"/>
          <w:i/>
          <w:color w:val="000000"/>
        </w:rPr>
        <w:t>Conduct a vulnerability assessment</w:t>
      </w:r>
      <w:r w:rsidRPr="000266F5">
        <w:rPr>
          <w:rFonts w:ascii="Times New Roman" w:eastAsia="Arial" w:hAnsi="Times New Roman" w:cs="Times New Roman"/>
          <w:color w:val="000000"/>
        </w:rPr>
        <w:t xml:space="preserve"> </w:t>
      </w:r>
      <w:r>
        <w:rPr>
          <w:rFonts w:ascii="Times New Roman" w:eastAsia="Arial" w:hAnsi="Times New Roman" w:cs="Times New Roman"/>
          <w:color w:val="000000"/>
        </w:rPr>
        <w:t xml:space="preserve">- </w:t>
      </w:r>
      <w:r w:rsidRPr="005355E2">
        <w:rPr>
          <w:rFonts w:ascii="Times New Roman" w:eastAsia="Arial" w:hAnsi="Times New Roman" w:cs="Times New Roman"/>
          <w:color w:val="000000"/>
        </w:rPr>
        <w:t xml:space="preserve">under this obligation the Secretary may require the responsible entity for a </w:t>
      </w:r>
      <w:r w:rsidRPr="00B1725B">
        <w:rPr>
          <w:rFonts w:ascii="Times New Roman" w:eastAsia="Arial" w:hAnsi="Times New Roman" w:cs="Times New Roman"/>
          <w:i/>
          <w:color w:val="000000"/>
        </w:rPr>
        <w:t>system of national significance</w:t>
      </w:r>
      <w:r w:rsidRPr="005355E2">
        <w:rPr>
          <w:rFonts w:ascii="Times New Roman" w:eastAsia="Arial" w:hAnsi="Times New Roman" w:cs="Times New Roman"/>
          <w:color w:val="000000"/>
        </w:rPr>
        <w:t xml:space="preserve"> to undertake </w:t>
      </w:r>
      <w:r>
        <w:rPr>
          <w:rFonts w:ascii="Times New Roman" w:eastAsia="Arial" w:hAnsi="Times New Roman" w:cs="Times New Roman"/>
          <w:color w:val="000000"/>
        </w:rPr>
        <w:t xml:space="preserve">a vulnerability assessment. </w:t>
      </w:r>
      <w:r w:rsidRPr="005355E2">
        <w:rPr>
          <w:rFonts w:ascii="Times New Roman" w:eastAsia="Arial" w:hAnsi="Times New Roman" w:cs="Times New Roman"/>
          <w:color w:val="000000"/>
        </w:rPr>
        <w:t>Vulnerability assessments are a routine cyber security practice undertaken to identify vulnerabilities or ‘gaps’ in systems which expose them to particular types of cyber incidents.</w:t>
      </w:r>
      <w:r w:rsidRPr="00310F67" w:rsidDel="005355E2">
        <w:rPr>
          <w:rFonts w:ascii="Times New Roman" w:eastAsia="Arial" w:hAnsi="Times New Roman" w:cs="Times New Roman"/>
          <w:color w:val="000000"/>
        </w:rPr>
        <w:t xml:space="preserve"> </w:t>
      </w:r>
      <w:r w:rsidRPr="005355E2">
        <w:rPr>
          <w:rFonts w:ascii="Times New Roman" w:eastAsia="Arial" w:hAnsi="Times New Roman" w:cs="Times New Roman"/>
          <w:color w:val="000000"/>
        </w:rPr>
        <w:t xml:space="preserve">These preparatory activities also enable the entity to evaluate the risk of particular vulnerabilities. This will enable entities that operate Australia’s </w:t>
      </w:r>
      <w:r w:rsidRPr="00B1725B">
        <w:rPr>
          <w:rFonts w:ascii="Times New Roman" w:eastAsia="Arial" w:hAnsi="Times New Roman" w:cs="Times New Roman"/>
          <w:i/>
          <w:color w:val="000000"/>
        </w:rPr>
        <w:t>systems of national significance</w:t>
      </w:r>
      <w:r w:rsidRPr="005355E2">
        <w:rPr>
          <w:rFonts w:ascii="Times New Roman" w:eastAsia="Arial" w:hAnsi="Times New Roman" w:cs="Times New Roman"/>
          <w:color w:val="000000"/>
        </w:rPr>
        <w:t xml:space="preserve"> to remediate vulnerabilities before they can be exploited by malicious actors.</w:t>
      </w:r>
      <w:r w:rsidRPr="00310F67" w:rsidDel="005355E2">
        <w:rPr>
          <w:rFonts w:ascii="Times New Roman" w:eastAsia="Arial" w:hAnsi="Times New Roman" w:cs="Times New Roman"/>
          <w:color w:val="000000"/>
        </w:rPr>
        <w:t xml:space="preserve"> </w:t>
      </w:r>
      <w:r>
        <w:rPr>
          <w:rFonts w:ascii="Times New Roman" w:eastAsia="Arial" w:hAnsi="Times New Roman" w:cs="Times New Roman"/>
          <w:color w:val="000000"/>
        </w:rPr>
        <w:t xml:space="preserve">A </w:t>
      </w:r>
      <w:r w:rsidRPr="005355E2">
        <w:rPr>
          <w:rFonts w:ascii="Times New Roman" w:eastAsia="Arial" w:hAnsi="Times New Roman" w:cs="Times New Roman"/>
          <w:color w:val="000000"/>
        </w:rPr>
        <w:t>vulnerability assessment can consist of a documentation-based review of a system’s design, a hands-on assessment or automated scanning with software tools. In each case, the goal is to identify security vulnerabilities</w:t>
      </w:r>
      <w:r>
        <w:rPr>
          <w:rFonts w:ascii="Times New Roman" w:eastAsia="Arial" w:hAnsi="Times New Roman" w:cs="Times New Roman"/>
          <w:color w:val="000000"/>
        </w:rPr>
        <w:t xml:space="preserve"> and the requirements of the assessment will be outlined in the request made by the Secretary. This assessment can be undertaken by the entity or a third party on behalf of the responsible entity. Where an entity is unable to conduct an assessment, Government may also to undertake a vulnerability assessment of the asset on the assets behalf.</w:t>
      </w:r>
    </w:p>
    <w:p w14:paraId="7398A269" w14:textId="77777777" w:rsidR="00993F09" w:rsidRPr="000D41EA" w:rsidRDefault="00993F09" w:rsidP="00993F09">
      <w:pPr>
        <w:spacing w:after="0" w:line="240" w:lineRule="auto"/>
        <w:rPr>
          <w:rFonts w:ascii="Times New Roman" w:eastAsia="Arial" w:hAnsi="Times New Roman" w:cs="Times New Roman"/>
          <w:color w:val="000000"/>
        </w:rPr>
      </w:pPr>
    </w:p>
    <w:p w14:paraId="419B9B38" w14:textId="77777777" w:rsidR="00993F09" w:rsidRDefault="00993F09" w:rsidP="00B369B5">
      <w:pPr>
        <w:numPr>
          <w:ilvl w:val="1"/>
          <w:numId w:val="16"/>
        </w:numPr>
        <w:spacing w:after="0" w:line="240" w:lineRule="auto"/>
        <w:rPr>
          <w:rFonts w:ascii="Times New Roman" w:eastAsia="Arial" w:hAnsi="Times New Roman" w:cs="Times New Roman"/>
          <w:color w:val="000000"/>
        </w:rPr>
      </w:pPr>
      <w:r w:rsidRPr="001A7788">
        <w:rPr>
          <w:rFonts w:ascii="Times New Roman" w:eastAsia="Arial" w:hAnsi="Times New Roman" w:cs="Times New Roman"/>
          <w:i/>
          <w:color w:val="000000"/>
        </w:rPr>
        <w:lastRenderedPageBreak/>
        <w:t>Provide access to system information relating to the functioning of a system</w:t>
      </w:r>
      <w:r w:rsidRPr="00924D81">
        <w:rPr>
          <w:rFonts w:ascii="Times New Roman" w:eastAsia="Arial" w:hAnsi="Times New Roman" w:cs="Times New Roman"/>
          <w:color w:val="000000"/>
        </w:rPr>
        <w:t xml:space="preserve"> - An organisation's ability to detect and respond to a cyber incident depends on having visibility across their technology environment. This visibility is provided in the form of telemetry (often referred to as system logs</w:t>
      </w:r>
      <w:r>
        <w:rPr>
          <w:rFonts w:ascii="Times New Roman" w:eastAsia="Arial" w:hAnsi="Times New Roman" w:cs="Times New Roman"/>
          <w:color w:val="000000"/>
        </w:rPr>
        <w:t xml:space="preserve"> or systems information</w:t>
      </w:r>
      <w:r w:rsidRPr="00924D81">
        <w:rPr>
          <w:rFonts w:ascii="Times New Roman" w:eastAsia="Arial" w:hAnsi="Times New Roman" w:cs="Times New Roman"/>
          <w:color w:val="000000"/>
        </w:rPr>
        <w:t>) that</w:t>
      </w:r>
      <w:r>
        <w:rPr>
          <w:rFonts w:ascii="Times New Roman" w:eastAsia="Arial" w:hAnsi="Times New Roman" w:cs="Times New Roman"/>
          <w:color w:val="000000"/>
        </w:rPr>
        <w:t xml:space="preserve"> </w:t>
      </w:r>
      <w:r w:rsidRPr="00924D81">
        <w:rPr>
          <w:rFonts w:ascii="Times New Roman" w:eastAsia="Arial" w:hAnsi="Times New Roman" w:cs="Times New Roman"/>
          <w:color w:val="000000"/>
        </w:rPr>
        <w:t>are usually aggregated into a centralised security operations capability.</w:t>
      </w:r>
      <w:r>
        <w:rPr>
          <w:rFonts w:ascii="Times New Roman" w:eastAsia="Arial" w:hAnsi="Times New Roman" w:cs="Times New Roman"/>
          <w:color w:val="000000"/>
        </w:rPr>
        <w:t xml:space="preserve"> Under the ECSO, t</w:t>
      </w:r>
      <w:r w:rsidRPr="00924D81">
        <w:rPr>
          <w:rFonts w:ascii="Times New Roman" w:eastAsia="Arial" w:hAnsi="Times New Roman" w:cs="Times New Roman"/>
          <w:color w:val="000000"/>
        </w:rPr>
        <w:t xml:space="preserve">he Secretary may require the responsible entity for a </w:t>
      </w:r>
      <w:r w:rsidRPr="00924D81">
        <w:rPr>
          <w:rFonts w:ascii="Times New Roman" w:eastAsia="Arial" w:hAnsi="Times New Roman" w:cs="Times New Roman"/>
          <w:i/>
          <w:color w:val="000000"/>
        </w:rPr>
        <w:t>system of national significance</w:t>
      </w:r>
      <w:r w:rsidRPr="00924D81">
        <w:rPr>
          <w:rFonts w:ascii="Times New Roman" w:eastAsia="Arial" w:hAnsi="Times New Roman" w:cs="Times New Roman"/>
          <w:color w:val="000000"/>
        </w:rPr>
        <w:t xml:space="preserve"> to provide </w:t>
      </w:r>
      <w:r>
        <w:rPr>
          <w:rFonts w:ascii="Times New Roman" w:eastAsia="Arial" w:hAnsi="Times New Roman" w:cs="Times New Roman"/>
          <w:color w:val="000000"/>
        </w:rPr>
        <w:t xml:space="preserve">such </w:t>
      </w:r>
      <w:r w:rsidRPr="00924D81">
        <w:rPr>
          <w:rFonts w:ascii="Times New Roman" w:eastAsia="Arial" w:hAnsi="Times New Roman" w:cs="Times New Roman"/>
          <w:color w:val="000000"/>
        </w:rPr>
        <w:t>system information.</w:t>
      </w:r>
      <w:r w:rsidRPr="00310F67">
        <w:t xml:space="preserve"> </w:t>
      </w:r>
      <w:r w:rsidRPr="00924D81">
        <w:rPr>
          <w:rFonts w:ascii="Times New Roman" w:eastAsia="Arial" w:hAnsi="Times New Roman" w:cs="Times New Roman"/>
          <w:color w:val="000000"/>
        </w:rPr>
        <w:t xml:space="preserve">If the Secretary of Home Affairs believes on reasonable grounds that the responsible entity for the </w:t>
      </w:r>
      <w:r w:rsidRPr="00924D81">
        <w:rPr>
          <w:rFonts w:ascii="Times New Roman" w:eastAsia="Arial" w:hAnsi="Times New Roman" w:cs="Times New Roman"/>
          <w:i/>
          <w:color w:val="000000"/>
        </w:rPr>
        <w:t>system of national significance</w:t>
      </w:r>
      <w:r w:rsidRPr="00924D81">
        <w:rPr>
          <w:rFonts w:ascii="Times New Roman" w:eastAsia="Arial" w:hAnsi="Times New Roman" w:cs="Times New Roman"/>
          <w:color w:val="000000"/>
        </w:rPr>
        <w:t xml:space="preserve"> is technically capable of doing so, the Secretary may require the entity to provide the Australian Signals Directorate with periodic reports consisting of specified system information (‘a system information periodic reporting notice’). The Secretary may specify the intervals, manner and form in which the information is to be provided, as well as any other information technology requirements relating to the provision of the information. Depending on the information required and the ability for automated provision (such as automated machine-to-machine cyber threat intelligence sharing), these reports may be required to be made at rapid intervals, for example, every minute.</w:t>
      </w:r>
    </w:p>
    <w:p w14:paraId="099E7D9A" w14:textId="77777777" w:rsidR="00993F09" w:rsidRDefault="00993F09" w:rsidP="00993F09">
      <w:pPr>
        <w:spacing w:after="0" w:line="240" w:lineRule="auto"/>
        <w:rPr>
          <w:rFonts w:ascii="Times New Roman" w:eastAsia="Arial" w:hAnsi="Times New Roman" w:cs="Times New Roman"/>
          <w:color w:val="000000"/>
        </w:rPr>
      </w:pPr>
    </w:p>
    <w:p w14:paraId="204530A6" w14:textId="2CCFE3A2" w:rsidR="00993F09" w:rsidRPr="00924D81" w:rsidRDefault="00993F09" w:rsidP="00993F09">
      <w:pPr>
        <w:spacing w:after="0" w:line="240" w:lineRule="auto"/>
        <w:ind w:left="1440"/>
        <w:rPr>
          <w:rFonts w:ascii="Times New Roman" w:eastAsia="Arial" w:hAnsi="Times New Roman" w:cs="Times New Roman"/>
          <w:color w:val="000000"/>
        </w:rPr>
      </w:pPr>
      <w:r w:rsidRPr="007D6A0A">
        <w:rPr>
          <w:rFonts w:ascii="Times New Roman" w:eastAsia="Arial" w:hAnsi="Times New Roman" w:cs="Times New Roman"/>
          <w:color w:val="000000"/>
        </w:rPr>
        <w:t>If an entity is requested to provide access to telemetry (host, gateway,</w:t>
      </w:r>
      <w:r>
        <w:rPr>
          <w:rFonts w:ascii="Times New Roman" w:eastAsia="Arial" w:hAnsi="Times New Roman" w:cs="Times New Roman"/>
          <w:color w:val="000000"/>
        </w:rPr>
        <w:t xml:space="preserve"> </w:t>
      </w:r>
      <w:r w:rsidRPr="007D6A0A">
        <w:rPr>
          <w:rFonts w:ascii="Times New Roman" w:eastAsia="Arial" w:hAnsi="Times New Roman" w:cs="Times New Roman"/>
          <w:color w:val="000000"/>
        </w:rPr>
        <w:t xml:space="preserve">etc), they could utilise existing arrangements or procure </w:t>
      </w:r>
      <w:r w:rsidR="00D40BA4">
        <w:rPr>
          <w:rFonts w:ascii="Times New Roman" w:eastAsia="Arial" w:hAnsi="Times New Roman" w:cs="Times New Roman"/>
          <w:color w:val="000000"/>
        </w:rPr>
        <w:t>relevant technology</w:t>
      </w:r>
      <w:r w:rsidRPr="007D6A0A">
        <w:rPr>
          <w:rFonts w:ascii="Times New Roman" w:eastAsia="Arial" w:hAnsi="Times New Roman" w:cs="Times New Roman"/>
          <w:color w:val="000000"/>
        </w:rPr>
        <w:t>. Most</w:t>
      </w:r>
      <w:r>
        <w:rPr>
          <w:rFonts w:ascii="Times New Roman" w:eastAsia="Arial" w:hAnsi="Times New Roman" w:cs="Times New Roman"/>
          <w:color w:val="000000"/>
        </w:rPr>
        <w:t xml:space="preserve"> </w:t>
      </w:r>
      <w:r w:rsidRPr="007D6A0A">
        <w:rPr>
          <w:rFonts w:ascii="Times New Roman" w:eastAsia="Arial" w:hAnsi="Times New Roman" w:cs="Times New Roman"/>
          <w:color w:val="000000"/>
        </w:rPr>
        <w:t>large organisations are likely to have an already established cyber security</w:t>
      </w:r>
      <w:r>
        <w:rPr>
          <w:rFonts w:ascii="Times New Roman" w:eastAsia="Arial" w:hAnsi="Times New Roman" w:cs="Times New Roman"/>
          <w:color w:val="000000"/>
        </w:rPr>
        <w:t xml:space="preserve"> </w:t>
      </w:r>
      <w:r w:rsidRPr="007D6A0A">
        <w:rPr>
          <w:rFonts w:ascii="Times New Roman" w:eastAsia="Arial" w:hAnsi="Times New Roman" w:cs="Times New Roman"/>
          <w:color w:val="000000"/>
        </w:rPr>
        <w:t>function or existing engagement with a cyber security service provider.</w:t>
      </w:r>
      <w:r>
        <w:rPr>
          <w:rFonts w:ascii="Times New Roman" w:eastAsia="Arial" w:hAnsi="Times New Roman" w:cs="Times New Roman"/>
          <w:color w:val="000000"/>
        </w:rPr>
        <w:t xml:space="preserve"> </w:t>
      </w:r>
      <w:r w:rsidRPr="007D6A0A">
        <w:rPr>
          <w:rFonts w:ascii="Times New Roman" w:eastAsia="Arial" w:hAnsi="Times New Roman" w:cs="Times New Roman"/>
          <w:color w:val="000000"/>
        </w:rPr>
        <w:t>This information could be streamed or dumped. Software delivers this</w:t>
      </w:r>
      <w:r>
        <w:rPr>
          <w:rFonts w:ascii="Times New Roman" w:eastAsia="Arial" w:hAnsi="Times New Roman" w:cs="Times New Roman"/>
          <w:color w:val="000000"/>
        </w:rPr>
        <w:t xml:space="preserve"> </w:t>
      </w:r>
      <w:r w:rsidRPr="007D6A0A">
        <w:rPr>
          <w:rFonts w:ascii="Times New Roman" w:eastAsia="Arial" w:hAnsi="Times New Roman" w:cs="Times New Roman"/>
          <w:color w:val="000000"/>
        </w:rPr>
        <w:t>function and can be configured as required. The ‘serviceability’ of this</w:t>
      </w:r>
      <w:r>
        <w:rPr>
          <w:rFonts w:ascii="Times New Roman" w:eastAsia="Arial" w:hAnsi="Times New Roman" w:cs="Times New Roman"/>
          <w:color w:val="000000"/>
        </w:rPr>
        <w:t xml:space="preserve"> </w:t>
      </w:r>
      <w:r w:rsidRPr="007D6A0A">
        <w:rPr>
          <w:rFonts w:ascii="Times New Roman" w:eastAsia="Arial" w:hAnsi="Times New Roman" w:cs="Times New Roman"/>
          <w:color w:val="000000"/>
        </w:rPr>
        <w:t>software is likely within the ability of in house IT functions. After initial set</w:t>
      </w:r>
      <w:r>
        <w:rPr>
          <w:rFonts w:ascii="Times New Roman" w:eastAsia="Arial" w:hAnsi="Times New Roman" w:cs="Times New Roman"/>
          <w:color w:val="000000"/>
        </w:rPr>
        <w:t xml:space="preserve"> </w:t>
      </w:r>
      <w:r w:rsidRPr="007D6A0A">
        <w:rPr>
          <w:rFonts w:ascii="Times New Roman" w:eastAsia="Arial" w:hAnsi="Times New Roman" w:cs="Times New Roman"/>
          <w:color w:val="000000"/>
        </w:rPr>
        <w:t>up/deployment, monitoring the serviceability and maintenance of the</w:t>
      </w:r>
      <w:r>
        <w:rPr>
          <w:rFonts w:ascii="Times New Roman" w:eastAsia="Arial" w:hAnsi="Times New Roman" w:cs="Times New Roman"/>
          <w:color w:val="000000"/>
        </w:rPr>
        <w:t xml:space="preserve"> </w:t>
      </w:r>
      <w:r w:rsidRPr="007D6A0A">
        <w:rPr>
          <w:rFonts w:ascii="Times New Roman" w:eastAsia="Arial" w:hAnsi="Times New Roman" w:cs="Times New Roman"/>
          <w:color w:val="000000"/>
        </w:rPr>
        <w:t>software could easily be integrated into BAU practices. If in house cyber</w:t>
      </w:r>
      <w:r>
        <w:rPr>
          <w:rFonts w:ascii="Times New Roman" w:eastAsia="Arial" w:hAnsi="Times New Roman" w:cs="Times New Roman"/>
          <w:color w:val="000000"/>
        </w:rPr>
        <w:t xml:space="preserve"> </w:t>
      </w:r>
      <w:r w:rsidRPr="007D6A0A">
        <w:rPr>
          <w:rFonts w:ascii="Times New Roman" w:eastAsia="Arial" w:hAnsi="Times New Roman" w:cs="Times New Roman"/>
          <w:color w:val="000000"/>
        </w:rPr>
        <w:t>security wanted to use the program for their own monitoring (other than to</w:t>
      </w:r>
      <w:r>
        <w:rPr>
          <w:rFonts w:ascii="Times New Roman" w:eastAsia="Arial" w:hAnsi="Times New Roman" w:cs="Times New Roman"/>
          <w:color w:val="000000"/>
        </w:rPr>
        <w:t xml:space="preserve"> </w:t>
      </w:r>
      <w:r w:rsidRPr="007D6A0A">
        <w:rPr>
          <w:rFonts w:ascii="Times New Roman" w:eastAsia="Arial" w:hAnsi="Times New Roman" w:cs="Times New Roman"/>
          <w:color w:val="000000"/>
        </w:rPr>
        <w:t>undertake this obligation), then this would likely be integrated into BAU</w:t>
      </w:r>
      <w:r>
        <w:rPr>
          <w:rFonts w:ascii="Times New Roman" w:eastAsia="Arial" w:hAnsi="Times New Roman" w:cs="Times New Roman"/>
          <w:color w:val="000000"/>
        </w:rPr>
        <w:t xml:space="preserve"> </w:t>
      </w:r>
      <w:r w:rsidRPr="007D6A0A">
        <w:rPr>
          <w:rFonts w:ascii="Times New Roman" w:eastAsia="Arial" w:hAnsi="Times New Roman" w:cs="Times New Roman"/>
          <w:color w:val="000000"/>
        </w:rPr>
        <w:t>processes as well.</w:t>
      </w:r>
      <w:r>
        <w:rPr>
          <w:rFonts w:ascii="Times New Roman" w:eastAsia="Arial" w:hAnsi="Times New Roman" w:cs="Times New Roman"/>
          <w:color w:val="000000"/>
        </w:rPr>
        <w:t xml:space="preserve"> </w:t>
      </w:r>
      <w:r w:rsidRPr="007D6A0A">
        <w:rPr>
          <w:rFonts w:ascii="Times New Roman" w:eastAsia="Arial" w:hAnsi="Times New Roman" w:cs="Times New Roman"/>
          <w:color w:val="000000"/>
        </w:rPr>
        <w:t xml:space="preserve">The </w:t>
      </w:r>
      <w:r w:rsidR="00D40BA4">
        <w:rPr>
          <w:rFonts w:ascii="Times New Roman" w:eastAsia="Arial" w:hAnsi="Times New Roman" w:cs="Times New Roman"/>
          <w:color w:val="000000"/>
        </w:rPr>
        <w:t xml:space="preserve">type of technology required </w:t>
      </w:r>
      <w:r w:rsidRPr="007D6A0A">
        <w:rPr>
          <w:rFonts w:ascii="Times New Roman" w:eastAsia="Arial" w:hAnsi="Times New Roman" w:cs="Times New Roman"/>
          <w:color w:val="000000"/>
        </w:rPr>
        <w:t>will vary between network</w:t>
      </w:r>
      <w:r w:rsidR="00D40BA4">
        <w:rPr>
          <w:rFonts w:ascii="Times New Roman" w:eastAsia="Arial" w:hAnsi="Times New Roman" w:cs="Times New Roman"/>
          <w:color w:val="000000"/>
        </w:rPr>
        <w:t>s</w:t>
      </w:r>
      <w:r w:rsidRPr="007D6A0A">
        <w:rPr>
          <w:rFonts w:ascii="Times New Roman" w:eastAsia="Arial" w:hAnsi="Times New Roman" w:cs="Times New Roman"/>
          <w:color w:val="000000"/>
        </w:rPr>
        <w:t>.</w:t>
      </w:r>
    </w:p>
    <w:p w14:paraId="19681085" w14:textId="77777777" w:rsidR="00993F09" w:rsidRPr="000266F5" w:rsidRDefault="00993F09" w:rsidP="00993F09">
      <w:pPr>
        <w:spacing w:after="0" w:line="240" w:lineRule="auto"/>
        <w:ind w:left="1440"/>
        <w:rPr>
          <w:rFonts w:ascii="Times New Roman" w:eastAsia="Arial" w:hAnsi="Times New Roman" w:cs="Times New Roman"/>
          <w:color w:val="000000"/>
        </w:rPr>
      </w:pPr>
    </w:p>
    <w:p w14:paraId="5E5D0970" w14:textId="4A162432" w:rsidR="00FB4153" w:rsidRPr="00717C7C" w:rsidRDefault="00993F09" w:rsidP="00993F09">
      <w:pPr>
        <w:spacing w:line="240" w:lineRule="auto"/>
        <w:ind w:left="1440"/>
        <w:rPr>
          <w:rFonts w:ascii="Times New Roman" w:eastAsia="Arial" w:hAnsi="Times New Roman" w:cs="Times New Roman"/>
          <w:color w:val="000000"/>
        </w:rPr>
      </w:pPr>
      <w:r w:rsidRPr="00717C7C">
        <w:rPr>
          <w:rFonts w:ascii="Times New Roman" w:eastAsia="Arial" w:hAnsi="Times New Roman" w:cs="Times New Roman"/>
          <w:color w:val="000000"/>
        </w:rPr>
        <w:t>I</w:t>
      </w:r>
      <w:r>
        <w:rPr>
          <w:rFonts w:ascii="Times New Roman" w:eastAsia="Arial" w:hAnsi="Times New Roman" w:cs="Times New Roman"/>
          <w:color w:val="000000"/>
        </w:rPr>
        <w:t>mportantly i</w:t>
      </w:r>
      <w:r w:rsidRPr="00717C7C">
        <w:rPr>
          <w:rFonts w:ascii="Times New Roman" w:eastAsia="Arial" w:hAnsi="Times New Roman" w:cs="Times New Roman"/>
          <w:color w:val="000000"/>
        </w:rPr>
        <w:t xml:space="preserve">nformation able to be requested under these obligations will be limited to information about networks and systems and </w:t>
      </w:r>
      <w:r w:rsidRPr="00EE0D81">
        <w:rPr>
          <w:rFonts w:ascii="Times New Roman" w:hAnsi="Times New Roman"/>
          <w:color w:val="000000"/>
        </w:rPr>
        <w:t>not</w:t>
      </w:r>
      <w:r w:rsidRPr="00717C7C">
        <w:rPr>
          <w:rFonts w:ascii="Times New Roman" w:eastAsia="Arial" w:hAnsi="Times New Roman" w:cs="Times New Roman"/>
          <w:color w:val="000000"/>
        </w:rPr>
        <w:t xml:space="preserve"> information about consumers. Any incidental personal or commercially sensitive information collected will be subject to the Australian Privacy Principles and principles on data minimisation, to the greatest extent possible. </w:t>
      </w:r>
      <w:r>
        <w:rPr>
          <w:rFonts w:ascii="Times New Roman" w:eastAsia="Arial" w:hAnsi="Times New Roman" w:cs="Times New Roman"/>
          <w:color w:val="000000"/>
        </w:rPr>
        <w:t>N</w:t>
      </w:r>
      <w:r w:rsidRPr="00717C7C">
        <w:rPr>
          <w:rFonts w:ascii="Times New Roman" w:eastAsia="Arial" w:hAnsi="Times New Roman" w:cs="Times New Roman"/>
          <w:color w:val="000000"/>
        </w:rPr>
        <w:t xml:space="preserve">otifiable data breaches </w:t>
      </w:r>
      <w:r>
        <w:rPr>
          <w:rFonts w:ascii="Times New Roman" w:eastAsia="Arial" w:hAnsi="Times New Roman" w:cs="Times New Roman"/>
          <w:color w:val="000000"/>
        </w:rPr>
        <w:t>will be</w:t>
      </w:r>
      <w:r w:rsidRPr="00717C7C">
        <w:rPr>
          <w:rFonts w:ascii="Times New Roman" w:eastAsia="Arial" w:hAnsi="Times New Roman" w:cs="Times New Roman"/>
          <w:color w:val="000000"/>
        </w:rPr>
        <w:t xml:space="preserve"> reported to the Office of the Australian Information Commissioner.</w:t>
      </w:r>
    </w:p>
    <w:p w14:paraId="6544DDA7" w14:textId="129F5360" w:rsidR="00FB4153" w:rsidRPr="00EE0D81" w:rsidRDefault="00993F09" w:rsidP="00FB4153">
      <w:pPr>
        <w:pStyle w:val="ListParagraph"/>
        <w:numPr>
          <w:ilvl w:val="2"/>
          <w:numId w:val="12"/>
        </w:numPr>
        <w:spacing w:after="0" w:line="240" w:lineRule="auto"/>
        <w:rPr>
          <w:rFonts w:ascii="Times New Roman" w:eastAsia="Arial" w:hAnsi="Times New Roman" w:cs="Times New Roman"/>
          <w:color w:val="000000"/>
        </w:rPr>
      </w:pPr>
      <w:r w:rsidRPr="00EE0D81">
        <w:rPr>
          <w:rFonts w:ascii="Times New Roman" w:eastAsia="Arial" w:hAnsi="Times New Roman" w:cs="Times New Roman"/>
          <w:color w:val="000000"/>
          <w:u w:val="single"/>
        </w:rPr>
        <w:t xml:space="preserve">Government assistance </w:t>
      </w:r>
      <w:r w:rsidRPr="00EE0D81">
        <w:rPr>
          <w:rFonts w:ascii="Times New Roman" w:eastAsia="Arial" w:hAnsi="Times New Roman" w:cs="Times New Roman"/>
          <w:color w:val="000000"/>
        </w:rPr>
        <w:t xml:space="preserve">to relevant entities within </w:t>
      </w:r>
      <w:r w:rsidRPr="00EE0D81">
        <w:rPr>
          <w:rFonts w:ascii="Times New Roman" w:eastAsia="Arial" w:hAnsi="Times New Roman" w:cs="Times New Roman"/>
          <w:i/>
          <w:color w:val="000000"/>
        </w:rPr>
        <w:t>critical infrastructure sectors</w:t>
      </w:r>
      <w:r w:rsidRPr="00EE0D81">
        <w:rPr>
          <w:rFonts w:ascii="Times New Roman" w:eastAsia="Arial" w:hAnsi="Times New Roman" w:cs="Times New Roman"/>
          <w:color w:val="000000"/>
        </w:rPr>
        <w:t xml:space="preserve"> in response to significant cyber attacks that impact on Australia’s </w:t>
      </w:r>
      <w:r w:rsidRPr="00EE0D81">
        <w:rPr>
          <w:rFonts w:ascii="Times New Roman" w:eastAsia="Arial" w:hAnsi="Times New Roman" w:cs="Times New Roman"/>
          <w:i/>
          <w:color w:val="000000"/>
        </w:rPr>
        <w:t>critical infrastructure assets</w:t>
      </w:r>
      <w:r w:rsidRPr="00EE0D81">
        <w:rPr>
          <w:rFonts w:ascii="Times New Roman" w:eastAsia="Arial" w:hAnsi="Times New Roman" w:cs="Times New Roman"/>
          <w:color w:val="000000"/>
        </w:rPr>
        <w:t xml:space="preserve">. Entities outside of </w:t>
      </w:r>
      <w:r w:rsidRPr="00EE0D81">
        <w:rPr>
          <w:rFonts w:ascii="Times New Roman" w:eastAsia="Arial" w:hAnsi="Times New Roman" w:cs="Times New Roman"/>
          <w:i/>
          <w:color w:val="000000"/>
        </w:rPr>
        <w:t>critical infrastructure sectors</w:t>
      </w:r>
      <w:r w:rsidRPr="00EE0D81">
        <w:rPr>
          <w:rFonts w:ascii="Times New Roman" w:eastAsia="Arial" w:hAnsi="Times New Roman" w:cs="Times New Roman"/>
          <w:color w:val="000000"/>
        </w:rPr>
        <w:t xml:space="preserve"> will not be subject to these measures. Entities are primarily responsible for managing cyber security risks through calibrated risk management, preparatory activities and enhanced situational awareness. However, in exceptional circumstances, the enhanced framework will provide the Government with the power to take appropriate steps to prevent and address cyber security incidents that threaten serious prejudice to Australia’s interests, mitigate the impacts of such incidents on critical infrastructure, and restore the functioning of those assets. These powers will provide Government with the power to act in exceptional circumstance in order to protect our nation’s critical infrastructure assets. This will be achieved by enabling the Minister for Home Affairs to authorise the Secretary of Home Affairs to </w:t>
      </w:r>
      <w:r w:rsidR="00FB4153" w:rsidRPr="00EE0D81">
        <w:rPr>
          <w:rFonts w:ascii="Times New Roman" w:eastAsia="Arial" w:hAnsi="Times New Roman" w:cs="Times New Roman"/>
          <w:color w:val="000000"/>
        </w:rPr>
        <w:t xml:space="preserve">issue an </w:t>
      </w:r>
      <w:r w:rsidR="00FB4153" w:rsidRPr="00EE0D81">
        <w:rPr>
          <w:rFonts w:ascii="Times New Roman" w:eastAsia="Arial" w:hAnsi="Times New Roman" w:cs="Times New Roman"/>
          <w:i/>
          <w:color w:val="000000"/>
        </w:rPr>
        <w:t>information gathering direction</w:t>
      </w:r>
      <w:r w:rsidR="00FB4153" w:rsidRPr="00EE0D81">
        <w:rPr>
          <w:rFonts w:ascii="Times New Roman" w:eastAsia="Arial" w:hAnsi="Times New Roman" w:cs="Times New Roman"/>
          <w:color w:val="000000"/>
        </w:rPr>
        <w:t xml:space="preserve">, an </w:t>
      </w:r>
      <w:r w:rsidR="00FB4153" w:rsidRPr="00EE0D81">
        <w:rPr>
          <w:rFonts w:ascii="Times New Roman" w:eastAsia="Arial" w:hAnsi="Times New Roman" w:cs="Times New Roman"/>
          <w:i/>
          <w:color w:val="000000"/>
        </w:rPr>
        <w:t>action direction</w:t>
      </w:r>
      <w:r w:rsidR="00FB4153" w:rsidRPr="00EE0D81">
        <w:rPr>
          <w:rFonts w:ascii="Times New Roman" w:eastAsia="Arial" w:hAnsi="Times New Roman" w:cs="Times New Roman"/>
          <w:color w:val="000000"/>
        </w:rPr>
        <w:t xml:space="preserve"> or an </w:t>
      </w:r>
      <w:r w:rsidR="00FB4153" w:rsidRPr="00EE0D81">
        <w:rPr>
          <w:rFonts w:ascii="Times New Roman" w:eastAsia="Arial" w:hAnsi="Times New Roman" w:cs="Times New Roman"/>
          <w:i/>
          <w:color w:val="000000"/>
        </w:rPr>
        <w:t>intervention request</w:t>
      </w:r>
      <w:r w:rsidR="00FB4153" w:rsidRPr="00EE0D81">
        <w:rPr>
          <w:rFonts w:ascii="Times New Roman" w:eastAsia="Arial" w:hAnsi="Times New Roman" w:cs="Times New Roman"/>
          <w:color w:val="000000"/>
        </w:rPr>
        <w:t xml:space="preserve"> (as explained below). </w:t>
      </w:r>
    </w:p>
    <w:p w14:paraId="7CED7ED7" w14:textId="2E573441" w:rsidR="00FB4153" w:rsidRDefault="00FB4153" w:rsidP="00EE0D81">
      <w:pPr>
        <w:pStyle w:val="ListParagraph"/>
        <w:spacing w:after="0" w:line="240" w:lineRule="auto"/>
        <w:rPr>
          <w:rFonts w:ascii="Times New Roman" w:eastAsia="Arial" w:hAnsi="Times New Roman" w:cs="Times New Roman"/>
          <w:color w:val="000000"/>
        </w:rPr>
      </w:pPr>
    </w:p>
    <w:p w14:paraId="1FEB80B6" w14:textId="77777777" w:rsidR="00FB4153" w:rsidRPr="00C7211D" w:rsidRDefault="00FB4153" w:rsidP="00FB4153">
      <w:pPr>
        <w:spacing w:after="0" w:line="240" w:lineRule="auto"/>
        <w:ind w:left="720"/>
        <w:rPr>
          <w:rFonts w:ascii="Times New Roman" w:eastAsia="Arial" w:hAnsi="Times New Roman" w:cs="Times New Roman"/>
          <w:color w:val="000000"/>
        </w:rPr>
      </w:pPr>
      <w:r>
        <w:rPr>
          <w:rFonts w:ascii="Times New Roman" w:eastAsia="Arial" w:hAnsi="Times New Roman" w:cs="Times New Roman"/>
          <w:color w:val="000000"/>
        </w:rPr>
        <w:t>Importantly, p</w:t>
      </w:r>
      <w:r w:rsidRPr="00C7211D">
        <w:rPr>
          <w:rFonts w:ascii="Times New Roman" w:eastAsia="Arial" w:hAnsi="Times New Roman" w:cs="Times New Roman"/>
          <w:color w:val="000000"/>
        </w:rPr>
        <w:t>rior to authorising the Secretary of Home Affairs to issue directions to</w:t>
      </w:r>
      <w:r>
        <w:rPr>
          <w:rFonts w:ascii="Times New Roman" w:eastAsia="Arial" w:hAnsi="Times New Roman" w:cs="Times New Roman"/>
          <w:color w:val="000000"/>
        </w:rPr>
        <w:t xml:space="preserve"> a</w:t>
      </w:r>
      <w:r w:rsidRPr="00C7211D">
        <w:rPr>
          <w:rFonts w:ascii="Times New Roman" w:eastAsia="Arial" w:hAnsi="Times New Roman" w:cs="Times New Roman"/>
          <w:color w:val="000000"/>
        </w:rPr>
        <w:t xml:space="preserve"> critical infrastructure </w:t>
      </w:r>
      <w:r>
        <w:rPr>
          <w:rFonts w:ascii="Times New Roman" w:eastAsia="Arial" w:hAnsi="Times New Roman" w:cs="Times New Roman"/>
          <w:color w:val="000000"/>
        </w:rPr>
        <w:t>asset</w:t>
      </w:r>
      <w:r w:rsidRPr="00C7211D">
        <w:rPr>
          <w:rFonts w:ascii="Times New Roman" w:eastAsia="Arial" w:hAnsi="Times New Roman" w:cs="Times New Roman"/>
          <w:color w:val="000000"/>
        </w:rPr>
        <w:t xml:space="preserve">, the Minister for Home Affairs </w:t>
      </w:r>
      <w:r>
        <w:rPr>
          <w:rFonts w:ascii="Times New Roman" w:eastAsia="Arial" w:hAnsi="Times New Roman" w:cs="Times New Roman"/>
          <w:color w:val="000000"/>
        </w:rPr>
        <w:t>would need to</w:t>
      </w:r>
      <w:r w:rsidRPr="00C7211D">
        <w:rPr>
          <w:rFonts w:ascii="Times New Roman" w:eastAsia="Arial" w:hAnsi="Times New Roman" w:cs="Times New Roman"/>
          <w:color w:val="000000"/>
        </w:rPr>
        <w:t xml:space="preserve"> be satisfied </w:t>
      </w:r>
      <w:r>
        <w:rPr>
          <w:rFonts w:ascii="Times New Roman" w:eastAsia="Arial" w:hAnsi="Times New Roman" w:cs="Times New Roman"/>
          <w:color w:val="000000"/>
        </w:rPr>
        <w:t>that</w:t>
      </w:r>
      <w:r w:rsidRPr="00C7211D">
        <w:rPr>
          <w:rFonts w:ascii="Times New Roman" w:eastAsia="Arial" w:hAnsi="Times New Roman" w:cs="Times New Roman"/>
          <w:color w:val="000000"/>
        </w:rPr>
        <w:t>:</w:t>
      </w:r>
    </w:p>
    <w:p w14:paraId="28B59624" w14:textId="77777777" w:rsidR="00FB4153" w:rsidRPr="00C7211D" w:rsidRDefault="00FB4153" w:rsidP="00FB4153">
      <w:pPr>
        <w:numPr>
          <w:ilvl w:val="1"/>
          <w:numId w:val="15"/>
        </w:numPr>
        <w:spacing w:after="0" w:line="240" w:lineRule="auto"/>
        <w:rPr>
          <w:rFonts w:ascii="Times New Roman" w:eastAsia="Arial" w:hAnsi="Times New Roman" w:cs="Times New Roman"/>
          <w:color w:val="000000"/>
        </w:rPr>
      </w:pPr>
      <w:r w:rsidRPr="00C7211D">
        <w:rPr>
          <w:rFonts w:ascii="Times New Roman" w:eastAsia="Arial" w:hAnsi="Times New Roman" w:cs="Times New Roman"/>
          <w:color w:val="000000"/>
        </w:rPr>
        <w:t>a cyber security incident has occurred, is occurring, or will imminently occur</w:t>
      </w:r>
    </w:p>
    <w:p w14:paraId="594DBC9E" w14:textId="77777777" w:rsidR="00FB4153" w:rsidRPr="00C7211D" w:rsidRDefault="00FB4153" w:rsidP="00FB4153">
      <w:pPr>
        <w:numPr>
          <w:ilvl w:val="1"/>
          <w:numId w:val="15"/>
        </w:numPr>
        <w:spacing w:after="0" w:line="240" w:lineRule="auto"/>
        <w:rPr>
          <w:rFonts w:ascii="Times New Roman" w:eastAsia="Arial" w:hAnsi="Times New Roman" w:cs="Times New Roman"/>
          <w:color w:val="000000"/>
        </w:rPr>
      </w:pPr>
      <w:r w:rsidRPr="00C7211D">
        <w:rPr>
          <w:rFonts w:ascii="Times New Roman" w:eastAsia="Arial" w:hAnsi="Times New Roman" w:cs="Times New Roman"/>
          <w:color w:val="000000"/>
        </w:rPr>
        <w:lastRenderedPageBreak/>
        <w:t xml:space="preserve">the incident has had, is having, or is likely to have, a relevant impact on a </w:t>
      </w:r>
      <w:r w:rsidRPr="00B1725B">
        <w:rPr>
          <w:rFonts w:ascii="Times New Roman" w:eastAsia="Arial" w:hAnsi="Times New Roman" w:cs="Times New Roman"/>
          <w:i/>
          <w:color w:val="000000"/>
        </w:rPr>
        <w:t>critical infrastructure asset</w:t>
      </w:r>
    </w:p>
    <w:p w14:paraId="1649D590" w14:textId="77777777" w:rsidR="00FB4153" w:rsidRPr="00974B76" w:rsidRDefault="00FB4153" w:rsidP="00FB4153">
      <w:pPr>
        <w:numPr>
          <w:ilvl w:val="1"/>
          <w:numId w:val="15"/>
        </w:numPr>
        <w:spacing w:after="0" w:line="240" w:lineRule="auto"/>
        <w:rPr>
          <w:rFonts w:ascii="Times New Roman" w:hAnsi="Times New Roman"/>
          <w:color w:val="000000"/>
        </w:rPr>
      </w:pPr>
      <w:r w:rsidRPr="00974B76">
        <w:rPr>
          <w:rFonts w:ascii="Times New Roman" w:hAnsi="Times New Roman"/>
          <w:color w:val="000000"/>
        </w:rPr>
        <w:t>there is a material risk that the incident has, is, or is likely to, seriously prejudice:</w:t>
      </w:r>
    </w:p>
    <w:p w14:paraId="2992B8D3" w14:textId="77777777" w:rsidR="00FB4153" w:rsidRPr="00974B76" w:rsidRDefault="00FB4153" w:rsidP="00FB4153">
      <w:pPr>
        <w:numPr>
          <w:ilvl w:val="2"/>
          <w:numId w:val="15"/>
        </w:numPr>
        <w:spacing w:after="0" w:line="240" w:lineRule="auto"/>
        <w:rPr>
          <w:rFonts w:ascii="Times New Roman" w:hAnsi="Times New Roman"/>
          <w:color w:val="000000"/>
        </w:rPr>
      </w:pPr>
      <w:r w:rsidRPr="00974B76">
        <w:rPr>
          <w:rFonts w:ascii="Times New Roman" w:hAnsi="Times New Roman"/>
          <w:color w:val="000000"/>
        </w:rPr>
        <w:t>the social or economic stability of Australia or its people, or</w:t>
      </w:r>
    </w:p>
    <w:p w14:paraId="7CC94360" w14:textId="77777777" w:rsidR="00FB4153" w:rsidRPr="00974B76" w:rsidRDefault="00FB4153" w:rsidP="00FB4153">
      <w:pPr>
        <w:numPr>
          <w:ilvl w:val="2"/>
          <w:numId w:val="15"/>
        </w:numPr>
        <w:spacing w:after="0" w:line="240" w:lineRule="auto"/>
        <w:rPr>
          <w:rFonts w:ascii="Times New Roman" w:hAnsi="Times New Roman"/>
          <w:color w:val="000000"/>
        </w:rPr>
      </w:pPr>
      <w:r w:rsidRPr="00974B76">
        <w:rPr>
          <w:rFonts w:ascii="Times New Roman" w:hAnsi="Times New Roman"/>
          <w:color w:val="000000"/>
        </w:rPr>
        <w:t>the defence of Australia, or</w:t>
      </w:r>
    </w:p>
    <w:p w14:paraId="502ABA14" w14:textId="77777777" w:rsidR="00FB4153" w:rsidRPr="00974B76" w:rsidRDefault="00FB4153" w:rsidP="00FB4153">
      <w:pPr>
        <w:numPr>
          <w:ilvl w:val="2"/>
          <w:numId w:val="15"/>
        </w:numPr>
        <w:spacing w:after="0" w:line="240" w:lineRule="auto"/>
        <w:rPr>
          <w:rFonts w:ascii="Times New Roman" w:hAnsi="Times New Roman"/>
          <w:color w:val="000000"/>
        </w:rPr>
      </w:pPr>
      <w:r w:rsidRPr="00974B76">
        <w:rPr>
          <w:rFonts w:ascii="Times New Roman" w:hAnsi="Times New Roman"/>
          <w:color w:val="000000"/>
        </w:rPr>
        <w:t>national security, and</w:t>
      </w:r>
    </w:p>
    <w:p w14:paraId="12316304" w14:textId="77777777" w:rsidR="00FB4153" w:rsidRDefault="00FB4153" w:rsidP="00FB4153">
      <w:pPr>
        <w:numPr>
          <w:ilvl w:val="2"/>
          <w:numId w:val="15"/>
        </w:numPr>
        <w:spacing w:line="240" w:lineRule="auto"/>
        <w:rPr>
          <w:rFonts w:ascii="Times New Roman" w:eastAsia="Arial" w:hAnsi="Times New Roman" w:cs="Times New Roman"/>
          <w:color w:val="000000"/>
        </w:rPr>
      </w:pPr>
      <w:r w:rsidRPr="00974B76">
        <w:rPr>
          <w:rFonts w:ascii="Times New Roman" w:hAnsi="Times New Roman"/>
          <w:color w:val="000000"/>
        </w:rPr>
        <w:t>no other existing Commonwealth, State or Territory regulatory regime could more effectively be used to respond to the incident.</w:t>
      </w:r>
    </w:p>
    <w:p w14:paraId="0BB04A73" w14:textId="77777777" w:rsidR="00FB4153" w:rsidRDefault="00FB4153" w:rsidP="00FB4153">
      <w:pPr>
        <w:pStyle w:val="ListParagraph"/>
        <w:spacing w:after="0" w:line="240" w:lineRule="auto"/>
        <w:rPr>
          <w:rFonts w:ascii="Times New Roman" w:hAnsi="Times New Roman" w:cs="Times New Roman"/>
        </w:rPr>
      </w:pPr>
      <w:r w:rsidRPr="002B3E64">
        <w:rPr>
          <w:rFonts w:ascii="Times New Roman" w:hAnsi="Times New Roman" w:cs="Times New Roman"/>
        </w:rPr>
        <w:t xml:space="preserve">In considering an application in relation to the exercise of </w:t>
      </w:r>
      <w:r>
        <w:rPr>
          <w:rFonts w:ascii="Times New Roman" w:hAnsi="Times New Roman" w:cs="Times New Roman"/>
        </w:rPr>
        <w:t>information gathering, action direction or</w:t>
      </w:r>
      <w:r w:rsidRPr="002B3E64">
        <w:rPr>
          <w:rFonts w:ascii="Times New Roman" w:hAnsi="Times New Roman" w:cs="Times New Roman"/>
        </w:rPr>
        <w:t xml:space="preserve"> intervention powers, as a matter of practice, the Minister for Home Affairs will notify other relevant Commonwealth Ministers at an appropriate time. Those other Ministers may choose to make representations to the Minister for Home Affairs or Prime Minister to support their respective decisions. An operational protocol, to be agreed by Government, will be developed to support the implementation of this regime and will expressly articulate procedures for consultation, including for example, circumstances where the Prime Minister would call a meeting of the National Security Committee of Cabinet or consultation with relevant regulators to coordinate action. This will allow the Government to determine the most appropriate way of ensuring relevant Ministers are involved in the decision making process.</w:t>
      </w:r>
    </w:p>
    <w:p w14:paraId="0524E7E3" w14:textId="77777777" w:rsidR="00FB4153" w:rsidRDefault="00FB4153" w:rsidP="00FB4153">
      <w:pPr>
        <w:pStyle w:val="ListParagraph"/>
        <w:spacing w:after="0" w:line="240" w:lineRule="auto"/>
        <w:ind w:left="0"/>
        <w:rPr>
          <w:rFonts w:ascii="Times New Roman" w:hAnsi="Times New Roman" w:cs="Times New Roman"/>
        </w:rPr>
      </w:pPr>
    </w:p>
    <w:p w14:paraId="73E0953A" w14:textId="77777777" w:rsidR="00FB4153" w:rsidRDefault="00FB4153" w:rsidP="00FB4153">
      <w:pPr>
        <w:pStyle w:val="ListParagraph"/>
        <w:spacing w:after="0" w:line="240" w:lineRule="auto"/>
        <w:rPr>
          <w:rFonts w:ascii="Times New Roman" w:hAnsi="Times New Roman" w:cs="Times New Roman"/>
        </w:rPr>
      </w:pPr>
      <w:r>
        <w:rPr>
          <w:rFonts w:ascii="Times New Roman" w:hAnsi="Times New Roman" w:cs="Times New Roman"/>
        </w:rPr>
        <w:t>Furthermore, a</w:t>
      </w:r>
      <w:r w:rsidRPr="00162624">
        <w:rPr>
          <w:rFonts w:ascii="Times New Roman" w:hAnsi="Times New Roman" w:cs="Times New Roman"/>
        </w:rPr>
        <w:t>n authorisation made for directions or intervention powers will cease after 20 days, unless the Minister</w:t>
      </w:r>
      <w:r>
        <w:rPr>
          <w:rFonts w:ascii="Times New Roman" w:hAnsi="Times New Roman" w:cs="Times New Roman"/>
        </w:rPr>
        <w:t xml:space="preserve"> for Home Affairs</w:t>
      </w:r>
      <w:r w:rsidRPr="00162624">
        <w:rPr>
          <w:rFonts w:ascii="Times New Roman" w:hAnsi="Times New Roman" w:cs="Times New Roman"/>
        </w:rPr>
        <w:t xml:space="preserve"> has revoked </w:t>
      </w:r>
      <w:r>
        <w:rPr>
          <w:rFonts w:ascii="Times New Roman" w:hAnsi="Times New Roman" w:cs="Times New Roman"/>
        </w:rPr>
        <w:t xml:space="preserve">the authorisation </w:t>
      </w:r>
      <w:r w:rsidRPr="00162624">
        <w:rPr>
          <w:rFonts w:ascii="Times New Roman" w:hAnsi="Times New Roman" w:cs="Times New Roman"/>
        </w:rPr>
        <w:t xml:space="preserve">earlier due to the resolution of the incident or compulsory powers no longer being required. Where an emergency continues beyond this time period, the Minister </w:t>
      </w:r>
      <w:r>
        <w:rPr>
          <w:rFonts w:ascii="Times New Roman" w:hAnsi="Times New Roman" w:cs="Times New Roman"/>
        </w:rPr>
        <w:t xml:space="preserve">for Home Affairs </w:t>
      </w:r>
      <w:r w:rsidRPr="00162624">
        <w:rPr>
          <w:rFonts w:ascii="Times New Roman" w:hAnsi="Times New Roman" w:cs="Times New Roman"/>
        </w:rPr>
        <w:t>may make another authorisation in relation to the particular incident if satisfie</w:t>
      </w:r>
      <w:r>
        <w:rPr>
          <w:rFonts w:ascii="Times New Roman" w:hAnsi="Times New Roman" w:cs="Times New Roman"/>
        </w:rPr>
        <w:t xml:space="preserve">d of all the necessary criteria. In the event that the Minister for Home Affairs seeks another authorisation to a particular event, the </w:t>
      </w:r>
      <w:r w:rsidRPr="003F41F4">
        <w:rPr>
          <w:rFonts w:ascii="Times New Roman" w:hAnsi="Times New Roman" w:cs="Times New Roman"/>
        </w:rPr>
        <w:t xml:space="preserve">Minister for Home Affairs will </w:t>
      </w:r>
      <w:r w:rsidRPr="001A7788">
        <w:rPr>
          <w:rFonts w:ascii="Times New Roman" w:hAnsi="Times New Roman" w:cs="Times New Roman"/>
        </w:rPr>
        <w:t xml:space="preserve">again </w:t>
      </w:r>
      <w:r w:rsidRPr="003F41F4">
        <w:rPr>
          <w:rFonts w:ascii="Times New Roman" w:hAnsi="Times New Roman" w:cs="Times New Roman"/>
        </w:rPr>
        <w:t>require the agreement of the Minister for Defence and the Prime Minister.</w:t>
      </w:r>
    </w:p>
    <w:p w14:paraId="4317C112" w14:textId="77777777" w:rsidR="00FB4153" w:rsidRDefault="00FB4153" w:rsidP="00EE0D81">
      <w:pPr>
        <w:pStyle w:val="ListParagraph"/>
        <w:spacing w:after="0" w:line="240" w:lineRule="auto"/>
        <w:rPr>
          <w:rFonts w:ascii="Times New Roman" w:eastAsia="Arial" w:hAnsi="Times New Roman" w:cs="Times New Roman"/>
          <w:color w:val="000000"/>
        </w:rPr>
      </w:pPr>
    </w:p>
    <w:p w14:paraId="012F878B" w14:textId="740A5076" w:rsidR="00FB4153" w:rsidRDefault="00A84F12" w:rsidP="00EE0D81">
      <w:pPr>
        <w:pStyle w:val="ListParagraph"/>
        <w:spacing w:after="0" w:line="240" w:lineRule="auto"/>
        <w:rPr>
          <w:rFonts w:ascii="Times New Roman" w:eastAsia="Arial" w:hAnsi="Times New Roman" w:cs="Times New Roman"/>
          <w:color w:val="000000"/>
        </w:rPr>
      </w:pPr>
      <w:r>
        <w:rPr>
          <w:rFonts w:ascii="Times New Roman" w:eastAsia="Arial" w:hAnsi="Times New Roman" w:cs="Times New Roman"/>
          <w:color w:val="000000"/>
        </w:rPr>
        <w:t xml:space="preserve">Under the Government Assistance measures the </w:t>
      </w:r>
      <w:r w:rsidRPr="00974B76">
        <w:rPr>
          <w:rFonts w:ascii="Times New Roman" w:eastAsia="Arial" w:hAnsi="Times New Roman" w:cs="Times New Roman"/>
          <w:color w:val="000000"/>
        </w:rPr>
        <w:t>Minister for Home Affairs to authorise the Secretary of Home Affairs to</w:t>
      </w:r>
      <w:r>
        <w:rPr>
          <w:rFonts w:ascii="Times New Roman" w:eastAsia="Arial" w:hAnsi="Times New Roman" w:cs="Times New Roman"/>
          <w:color w:val="000000"/>
        </w:rPr>
        <w:t xml:space="preserve"> do one or more of the following:</w:t>
      </w:r>
    </w:p>
    <w:p w14:paraId="08447E52" w14:textId="054E539C" w:rsidR="00993F09" w:rsidRPr="000467D1" w:rsidRDefault="00993F09" w:rsidP="00EE0D81">
      <w:pPr>
        <w:pStyle w:val="ListParagraph"/>
        <w:spacing w:after="0" w:line="240" w:lineRule="auto"/>
        <w:rPr>
          <w:rFonts w:ascii="Times New Roman" w:eastAsia="Arial" w:hAnsi="Times New Roman" w:cs="Times New Roman"/>
          <w:color w:val="000000"/>
        </w:rPr>
      </w:pPr>
    </w:p>
    <w:p w14:paraId="46AED0FA" w14:textId="77777777" w:rsidR="00993F09" w:rsidRDefault="00993F09" w:rsidP="00B369B5">
      <w:pPr>
        <w:numPr>
          <w:ilvl w:val="1"/>
          <w:numId w:val="15"/>
        </w:numPr>
        <w:spacing w:line="240" w:lineRule="auto"/>
        <w:rPr>
          <w:rFonts w:ascii="Times New Roman" w:eastAsia="Arial" w:hAnsi="Times New Roman" w:cs="Times New Roman"/>
          <w:color w:val="000000"/>
        </w:rPr>
      </w:pPr>
      <w:r>
        <w:rPr>
          <w:rFonts w:ascii="Times New Roman" w:eastAsia="Arial" w:hAnsi="Times New Roman" w:cs="Times New Roman"/>
          <w:i/>
          <w:color w:val="000000"/>
        </w:rPr>
        <w:t>Information gathering direction</w:t>
      </w:r>
      <w:r>
        <w:rPr>
          <w:rFonts w:ascii="Times New Roman" w:eastAsia="Arial" w:hAnsi="Times New Roman" w:cs="Times New Roman"/>
          <w:color w:val="000000"/>
        </w:rPr>
        <w:t xml:space="preserve"> – the</w:t>
      </w:r>
      <w:r w:rsidRPr="006C3F13">
        <w:rPr>
          <w:rFonts w:ascii="Times New Roman" w:eastAsia="Arial" w:hAnsi="Times New Roman" w:cs="Times New Roman"/>
          <w:color w:val="000000"/>
        </w:rPr>
        <w:t xml:space="preserve"> Secretary </w:t>
      </w:r>
      <w:r>
        <w:rPr>
          <w:rFonts w:ascii="Times New Roman" w:eastAsia="Arial" w:hAnsi="Times New Roman" w:cs="Times New Roman"/>
          <w:color w:val="000000"/>
        </w:rPr>
        <w:t xml:space="preserve">may require </w:t>
      </w:r>
      <w:r w:rsidRPr="006C3F13">
        <w:rPr>
          <w:rFonts w:ascii="Times New Roman" w:eastAsia="Arial" w:hAnsi="Times New Roman" w:cs="Times New Roman"/>
          <w:color w:val="000000"/>
        </w:rPr>
        <w:t xml:space="preserve">the responsible entity for an asset within a </w:t>
      </w:r>
      <w:r w:rsidRPr="00B1725B">
        <w:rPr>
          <w:rFonts w:ascii="Times New Roman" w:eastAsia="Arial" w:hAnsi="Times New Roman" w:cs="Times New Roman"/>
          <w:i/>
          <w:color w:val="000000"/>
        </w:rPr>
        <w:t>critical infrastructure sector</w:t>
      </w:r>
      <w:r w:rsidRPr="006C3F13">
        <w:rPr>
          <w:rFonts w:ascii="Times New Roman" w:eastAsia="Arial" w:hAnsi="Times New Roman" w:cs="Times New Roman"/>
          <w:color w:val="000000"/>
        </w:rPr>
        <w:t xml:space="preserve"> to </w:t>
      </w:r>
      <w:r>
        <w:rPr>
          <w:rFonts w:ascii="Times New Roman" w:eastAsia="Arial" w:hAnsi="Times New Roman" w:cs="Times New Roman"/>
          <w:color w:val="000000"/>
        </w:rPr>
        <w:t>provide</w:t>
      </w:r>
      <w:r w:rsidRPr="006C3F13">
        <w:rPr>
          <w:rFonts w:ascii="Times New Roman" w:eastAsia="Arial" w:hAnsi="Times New Roman" w:cs="Times New Roman"/>
          <w:color w:val="000000"/>
        </w:rPr>
        <w:t xml:space="preserve"> information in order to support the Minister for Home Affairs’ decision as to whether to pursue further direction or intervention powers</w:t>
      </w:r>
      <w:r>
        <w:rPr>
          <w:rFonts w:ascii="Times New Roman" w:eastAsia="Arial" w:hAnsi="Times New Roman" w:cs="Times New Roman"/>
          <w:color w:val="000000"/>
        </w:rPr>
        <w:t xml:space="preserve"> (as discussed below) in light of a cyber security incident</w:t>
      </w:r>
      <w:r w:rsidRPr="006C3F13">
        <w:rPr>
          <w:rFonts w:ascii="Times New Roman" w:eastAsia="Arial" w:hAnsi="Times New Roman" w:cs="Times New Roman"/>
          <w:color w:val="000000"/>
        </w:rPr>
        <w:t>. Importantly, the Secretary of Home Affairs must not give a direction unless satisfied that the direction is a proportionate means of obtaining the information and compliance with the dir</w:t>
      </w:r>
      <w:r>
        <w:rPr>
          <w:rFonts w:ascii="Times New Roman" w:eastAsia="Arial" w:hAnsi="Times New Roman" w:cs="Times New Roman"/>
          <w:color w:val="000000"/>
        </w:rPr>
        <w:t xml:space="preserve">ection is technically feasible or </w:t>
      </w:r>
      <w:r w:rsidRPr="006C3F13">
        <w:rPr>
          <w:rFonts w:ascii="Times New Roman" w:eastAsia="Arial" w:hAnsi="Times New Roman" w:cs="Times New Roman"/>
          <w:color w:val="000000"/>
        </w:rPr>
        <w:t>is</w:t>
      </w:r>
      <w:r>
        <w:rPr>
          <w:rFonts w:ascii="Times New Roman" w:eastAsia="Arial" w:hAnsi="Times New Roman" w:cs="Times New Roman"/>
          <w:color w:val="000000"/>
        </w:rPr>
        <w:t xml:space="preserve"> reasonably possible to execute</w:t>
      </w:r>
      <w:r w:rsidRPr="006C3F13">
        <w:rPr>
          <w:rFonts w:ascii="Times New Roman" w:eastAsia="Arial" w:hAnsi="Times New Roman" w:cs="Times New Roman"/>
          <w:color w:val="000000"/>
        </w:rPr>
        <w:t xml:space="preserve">. </w:t>
      </w:r>
      <w:r w:rsidRPr="00C45A55">
        <w:rPr>
          <w:rFonts w:ascii="Times New Roman" w:eastAsia="Arial" w:hAnsi="Times New Roman" w:cs="Times New Roman"/>
          <w:color w:val="000000"/>
        </w:rPr>
        <w:t xml:space="preserve">This direction would only be made upon suspicion of </w:t>
      </w:r>
      <w:r>
        <w:rPr>
          <w:rFonts w:ascii="Times New Roman" w:eastAsia="Arial" w:hAnsi="Times New Roman" w:cs="Times New Roman"/>
          <w:color w:val="000000"/>
        </w:rPr>
        <w:t>a cyber-crime having</w:t>
      </w:r>
      <w:r w:rsidRPr="00F70AF8">
        <w:rPr>
          <w:rFonts w:ascii="Times New Roman" w:eastAsia="Arial" w:hAnsi="Times New Roman" w:cs="Times New Roman"/>
          <w:color w:val="000000"/>
        </w:rPr>
        <w:t xml:space="preserve"> occurred, </w:t>
      </w:r>
      <w:r>
        <w:rPr>
          <w:rFonts w:ascii="Times New Roman" w:eastAsia="Arial" w:hAnsi="Times New Roman" w:cs="Times New Roman"/>
          <w:color w:val="000000"/>
        </w:rPr>
        <w:t>occurring, or occurring imminently</w:t>
      </w:r>
      <w:r w:rsidRPr="00C45A55">
        <w:rPr>
          <w:rFonts w:ascii="Times New Roman" w:eastAsia="Arial" w:hAnsi="Times New Roman" w:cs="Times New Roman"/>
          <w:color w:val="000000"/>
        </w:rPr>
        <w:t>.</w:t>
      </w:r>
    </w:p>
    <w:p w14:paraId="3B93E1B5" w14:textId="77777777" w:rsidR="00993F09" w:rsidRDefault="00993F09" w:rsidP="00993F09">
      <w:pPr>
        <w:spacing w:line="240" w:lineRule="auto"/>
        <w:ind w:left="1440"/>
        <w:rPr>
          <w:rFonts w:ascii="Times New Roman" w:eastAsia="Arial" w:hAnsi="Times New Roman" w:cs="Times New Roman"/>
          <w:color w:val="000000"/>
        </w:rPr>
      </w:pPr>
      <w:r>
        <w:rPr>
          <w:rFonts w:ascii="Times New Roman" w:eastAsia="Arial" w:hAnsi="Times New Roman" w:cs="Times New Roman"/>
          <w:color w:val="000000"/>
        </w:rPr>
        <w:t>An</w:t>
      </w:r>
      <w:r w:rsidRPr="006C3F13">
        <w:rPr>
          <w:rFonts w:ascii="Times New Roman" w:eastAsia="Arial" w:hAnsi="Times New Roman" w:cs="Times New Roman"/>
          <w:color w:val="000000"/>
        </w:rPr>
        <w:t xml:space="preserve"> entity is not excused from giving information in response to a direction </w:t>
      </w:r>
      <w:r>
        <w:rPr>
          <w:rFonts w:ascii="Times New Roman" w:eastAsia="Arial" w:hAnsi="Times New Roman" w:cs="Times New Roman"/>
          <w:color w:val="000000"/>
        </w:rPr>
        <w:t>if</w:t>
      </w:r>
      <w:r w:rsidRPr="006C3F13">
        <w:rPr>
          <w:rFonts w:ascii="Times New Roman" w:eastAsia="Arial" w:hAnsi="Times New Roman" w:cs="Times New Roman"/>
          <w:color w:val="000000"/>
        </w:rPr>
        <w:t xml:space="preserve"> the information </w:t>
      </w:r>
      <w:r>
        <w:rPr>
          <w:rFonts w:ascii="Times New Roman" w:eastAsia="Arial" w:hAnsi="Times New Roman" w:cs="Times New Roman"/>
          <w:color w:val="000000"/>
        </w:rPr>
        <w:t>could</w:t>
      </w:r>
      <w:r w:rsidRPr="006C3F13">
        <w:rPr>
          <w:rFonts w:ascii="Times New Roman" w:eastAsia="Arial" w:hAnsi="Times New Roman" w:cs="Times New Roman"/>
          <w:color w:val="000000"/>
        </w:rPr>
        <w:t xml:space="preserve"> pote</w:t>
      </w:r>
      <w:r>
        <w:rPr>
          <w:rFonts w:ascii="Times New Roman" w:eastAsia="Arial" w:hAnsi="Times New Roman" w:cs="Times New Roman"/>
          <w:color w:val="000000"/>
        </w:rPr>
        <w:t xml:space="preserve">ntially incriminate the entity and </w:t>
      </w:r>
      <w:r w:rsidRPr="006C3F13">
        <w:rPr>
          <w:rFonts w:ascii="Times New Roman" w:eastAsia="Arial" w:hAnsi="Times New Roman" w:cs="Times New Roman"/>
          <w:color w:val="000000"/>
        </w:rPr>
        <w:t>any information provided is not admissible in evidence against the entity except in relation to proceedings for providing false or misleading information or documents and failing to comply with the direction. This reflects that the purpose of information gathering power is to better understand the situation to facilitate a better response to an incident.</w:t>
      </w:r>
    </w:p>
    <w:p w14:paraId="3346C342" w14:textId="77777777" w:rsidR="00993F09" w:rsidRPr="00F24E51" w:rsidRDefault="00993F09" w:rsidP="00993F09">
      <w:pPr>
        <w:pBdr>
          <w:top w:val="single" w:sz="4" w:space="1" w:color="auto"/>
          <w:left w:val="single" w:sz="4" w:space="4" w:color="auto"/>
          <w:bottom w:val="single" w:sz="4" w:space="1" w:color="auto"/>
          <w:right w:val="single" w:sz="4" w:space="4" w:color="auto"/>
        </w:pBdr>
        <w:shd w:val="clear" w:color="auto" w:fill="D5DCE4" w:themeFill="text2" w:themeFillTint="33"/>
        <w:spacing w:line="240" w:lineRule="auto"/>
        <w:ind w:left="720"/>
        <w:rPr>
          <w:rFonts w:ascii="Times New Roman" w:eastAsia="Arial" w:hAnsi="Times New Roman" w:cs="Times New Roman"/>
          <w:color w:val="000000"/>
          <w:u w:val="single"/>
        </w:rPr>
      </w:pPr>
      <w:r>
        <w:rPr>
          <w:rFonts w:ascii="Times New Roman" w:eastAsia="Arial" w:hAnsi="Times New Roman" w:cs="Times New Roman"/>
          <w:color w:val="000000"/>
          <w:u w:val="single"/>
        </w:rPr>
        <w:t>S</w:t>
      </w:r>
      <w:r w:rsidRPr="00F24E51">
        <w:rPr>
          <w:rFonts w:ascii="Times New Roman" w:eastAsia="Arial" w:hAnsi="Times New Roman" w:cs="Times New Roman"/>
          <w:color w:val="000000"/>
          <w:u w:val="single"/>
        </w:rPr>
        <w:t>cenario</w:t>
      </w:r>
      <w:r>
        <w:rPr>
          <w:rFonts w:ascii="Times New Roman" w:eastAsia="Arial" w:hAnsi="Times New Roman" w:cs="Times New Roman"/>
          <w:color w:val="000000"/>
          <w:u w:val="single"/>
        </w:rPr>
        <w:t xml:space="preserve"> (information gathering direction)</w:t>
      </w:r>
      <w:r w:rsidRPr="00F24E51">
        <w:rPr>
          <w:rFonts w:ascii="Times New Roman" w:eastAsia="Arial" w:hAnsi="Times New Roman" w:cs="Times New Roman"/>
          <w:color w:val="000000"/>
          <w:u w:val="single"/>
        </w:rPr>
        <w:t xml:space="preserve">: </w:t>
      </w:r>
    </w:p>
    <w:p w14:paraId="3CBD8109" w14:textId="77777777" w:rsidR="00993F09" w:rsidRPr="00F24E51" w:rsidRDefault="00993F09" w:rsidP="00993F09">
      <w:pPr>
        <w:pBdr>
          <w:top w:val="single" w:sz="4" w:space="1" w:color="auto"/>
          <w:left w:val="single" w:sz="4" w:space="4" w:color="auto"/>
          <w:bottom w:val="single" w:sz="4" w:space="1" w:color="auto"/>
          <w:right w:val="single" w:sz="4" w:space="4" w:color="auto"/>
        </w:pBdr>
        <w:shd w:val="clear" w:color="auto" w:fill="D5DCE4" w:themeFill="text2" w:themeFillTint="33"/>
        <w:spacing w:line="240" w:lineRule="auto"/>
        <w:ind w:left="720"/>
        <w:rPr>
          <w:rFonts w:ascii="Times New Roman" w:eastAsia="Arial" w:hAnsi="Times New Roman" w:cs="Times New Roman"/>
          <w:color w:val="000000"/>
        </w:rPr>
      </w:pPr>
      <w:r w:rsidRPr="00F24E51">
        <w:rPr>
          <w:rFonts w:ascii="Times New Roman" w:eastAsia="Arial" w:hAnsi="Times New Roman" w:cs="Times New Roman"/>
          <w:color w:val="000000"/>
        </w:rPr>
        <w:t xml:space="preserve">A key supplier of logistical services to a critical freight service asset is subject to a cyber security incident which results in the critical freight service asset being unable to distribute medical supplies nationally. </w:t>
      </w:r>
    </w:p>
    <w:p w14:paraId="4D0C09BD" w14:textId="68BD77C4" w:rsidR="00993F09" w:rsidRPr="000467D1" w:rsidRDefault="00993F09" w:rsidP="00993F09">
      <w:pPr>
        <w:pBdr>
          <w:top w:val="single" w:sz="4" w:space="1" w:color="auto"/>
          <w:left w:val="single" w:sz="4" w:space="4" w:color="auto"/>
          <w:bottom w:val="single" w:sz="4" w:space="1" w:color="auto"/>
          <w:right w:val="single" w:sz="4" w:space="4" w:color="auto"/>
        </w:pBdr>
        <w:shd w:val="clear" w:color="auto" w:fill="D5DCE4" w:themeFill="text2" w:themeFillTint="33"/>
        <w:spacing w:line="240" w:lineRule="auto"/>
        <w:ind w:left="720"/>
        <w:rPr>
          <w:rFonts w:ascii="Times New Roman" w:eastAsia="Arial" w:hAnsi="Times New Roman" w:cs="Times New Roman"/>
          <w:color w:val="000000"/>
        </w:rPr>
      </w:pPr>
      <w:r w:rsidRPr="00F24E51">
        <w:rPr>
          <w:rFonts w:ascii="Times New Roman" w:eastAsia="Arial" w:hAnsi="Times New Roman" w:cs="Times New Roman"/>
          <w:color w:val="000000"/>
        </w:rPr>
        <w:lastRenderedPageBreak/>
        <w:t>The</w:t>
      </w:r>
      <w:r w:rsidRPr="00EE0D81">
        <w:rPr>
          <w:rFonts w:ascii="Times New Roman" w:hAnsi="Times New Roman"/>
          <w:color w:val="000000"/>
        </w:rPr>
        <w:t xml:space="preserve"> Minister for Home Affairs</w:t>
      </w:r>
      <w:r w:rsidRPr="00F24E51">
        <w:rPr>
          <w:rFonts w:ascii="Times New Roman" w:eastAsia="Arial" w:hAnsi="Times New Roman" w:cs="Times New Roman"/>
          <w:color w:val="000000"/>
        </w:rPr>
        <w:t xml:space="preserve"> </w:t>
      </w:r>
      <w:r>
        <w:rPr>
          <w:rFonts w:ascii="Times New Roman" w:eastAsia="Arial" w:hAnsi="Times New Roman" w:cs="Times New Roman"/>
          <w:color w:val="000000"/>
        </w:rPr>
        <w:t xml:space="preserve">would </w:t>
      </w:r>
      <w:r w:rsidRPr="00F24E51">
        <w:rPr>
          <w:rFonts w:ascii="Times New Roman" w:eastAsia="Arial" w:hAnsi="Times New Roman" w:cs="Times New Roman"/>
          <w:color w:val="000000"/>
        </w:rPr>
        <w:t>authorise</w:t>
      </w:r>
      <w:r w:rsidRPr="00EE0D81">
        <w:rPr>
          <w:rFonts w:ascii="Times New Roman" w:hAnsi="Times New Roman"/>
          <w:color w:val="000000"/>
        </w:rPr>
        <w:t xml:space="preserve"> the Secretary to issue </w:t>
      </w:r>
      <w:r>
        <w:rPr>
          <w:rFonts w:ascii="Times New Roman" w:eastAsia="Arial" w:hAnsi="Times New Roman" w:cs="Times New Roman"/>
          <w:color w:val="000000"/>
        </w:rPr>
        <w:t>an</w:t>
      </w:r>
      <w:r w:rsidRPr="00F24E51">
        <w:rPr>
          <w:rFonts w:ascii="Times New Roman" w:eastAsia="Arial" w:hAnsi="Times New Roman" w:cs="Times New Roman"/>
          <w:color w:val="000000"/>
        </w:rPr>
        <w:t xml:space="preserve"> information gathering direction</w:t>
      </w:r>
      <w:r w:rsidRPr="00EE0D81">
        <w:rPr>
          <w:rFonts w:ascii="Times New Roman" w:hAnsi="Times New Roman"/>
          <w:color w:val="000000"/>
        </w:rPr>
        <w:t xml:space="preserve"> to the </w:t>
      </w:r>
      <w:r w:rsidRPr="00F24E51">
        <w:rPr>
          <w:rFonts w:ascii="Times New Roman" w:eastAsia="Arial" w:hAnsi="Times New Roman" w:cs="Times New Roman"/>
          <w:color w:val="000000"/>
        </w:rPr>
        <w:t xml:space="preserve">supplier, to provide the necessary information. This information </w:t>
      </w:r>
      <w:r>
        <w:rPr>
          <w:rFonts w:ascii="Times New Roman" w:eastAsia="Arial" w:hAnsi="Times New Roman" w:cs="Times New Roman"/>
          <w:color w:val="000000"/>
        </w:rPr>
        <w:t>could be used to j</w:t>
      </w:r>
      <w:r w:rsidRPr="00F24E51">
        <w:rPr>
          <w:rFonts w:ascii="Times New Roman" w:eastAsia="Arial" w:hAnsi="Times New Roman" w:cs="Times New Roman"/>
          <w:color w:val="000000"/>
        </w:rPr>
        <w:t xml:space="preserve">ointly develop an appropriate response with the responsible </w:t>
      </w:r>
      <w:r>
        <w:rPr>
          <w:rFonts w:ascii="Times New Roman" w:eastAsia="Arial" w:hAnsi="Times New Roman" w:cs="Times New Roman"/>
          <w:color w:val="000000"/>
        </w:rPr>
        <w:t xml:space="preserve">and determine whether further Government assistance is required to mitigate the incident. </w:t>
      </w:r>
    </w:p>
    <w:p w14:paraId="61DE7ED6" w14:textId="252513E9" w:rsidR="00993F09" w:rsidRPr="00EE0D81" w:rsidRDefault="00993F09" w:rsidP="00EE0D81">
      <w:pPr>
        <w:numPr>
          <w:ilvl w:val="1"/>
          <w:numId w:val="15"/>
        </w:numPr>
        <w:spacing w:line="240" w:lineRule="auto"/>
        <w:rPr>
          <w:rFonts w:ascii="Times New Roman" w:hAnsi="Times New Roman"/>
          <w:color w:val="000000"/>
        </w:rPr>
      </w:pPr>
      <w:r>
        <w:rPr>
          <w:rFonts w:ascii="Times New Roman" w:eastAsia="Arial" w:hAnsi="Times New Roman" w:cs="Times New Roman"/>
          <w:i/>
          <w:color w:val="000000"/>
        </w:rPr>
        <w:t>Action direction</w:t>
      </w:r>
      <w:r w:rsidRPr="00ED75C8">
        <w:rPr>
          <w:rFonts w:ascii="Times New Roman" w:eastAsia="Arial" w:hAnsi="Times New Roman" w:cs="Times New Roman"/>
          <w:color w:val="000000"/>
        </w:rPr>
        <w:t xml:space="preserve"> – the Secretary may require the responsible entity for an asset within a</w:t>
      </w:r>
      <w:r w:rsidRPr="00EE0D81">
        <w:rPr>
          <w:rFonts w:ascii="Times New Roman" w:hAnsi="Times New Roman"/>
          <w:color w:val="000000"/>
        </w:rPr>
        <w:t xml:space="preserve"> </w:t>
      </w:r>
      <w:r w:rsidRPr="00EE0D81">
        <w:rPr>
          <w:rFonts w:ascii="Times New Roman" w:hAnsi="Times New Roman"/>
          <w:i/>
          <w:color w:val="000000"/>
        </w:rPr>
        <w:t>critical infrastructure sector</w:t>
      </w:r>
      <w:r w:rsidRPr="00EE0D81">
        <w:rPr>
          <w:rFonts w:ascii="Times New Roman" w:hAnsi="Times New Roman"/>
          <w:color w:val="000000"/>
        </w:rPr>
        <w:t xml:space="preserve"> to prevent </w:t>
      </w:r>
      <w:r w:rsidRPr="00ED75C8">
        <w:rPr>
          <w:rFonts w:ascii="Times New Roman" w:eastAsia="Arial" w:hAnsi="Times New Roman" w:cs="Times New Roman"/>
          <w:color w:val="000000"/>
        </w:rPr>
        <w:t>a</w:t>
      </w:r>
      <w:r w:rsidRPr="00EE0D81">
        <w:rPr>
          <w:rFonts w:ascii="Times New Roman" w:hAnsi="Times New Roman"/>
          <w:color w:val="000000"/>
        </w:rPr>
        <w:t xml:space="preserve"> cyber security incident, mitigate the impact of the incident, or restore the functionality of a </w:t>
      </w:r>
      <w:r w:rsidRPr="00EE0D81">
        <w:rPr>
          <w:rFonts w:ascii="Times New Roman" w:hAnsi="Times New Roman"/>
          <w:i/>
          <w:color w:val="000000"/>
        </w:rPr>
        <w:t>critical infrastructure asset</w:t>
      </w:r>
      <w:r w:rsidRPr="00EE0D81">
        <w:rPr>
          <w:rFonts w:ascii="Times New Roman" w:hAnsi="Times New Roman"/>
          <w:color w:val="000000"/>
        </w:rPr>
        <w:t xml:space="preserve"> affected by the incident.</w:t>
      </w:r>
      <w:r w:rsidRPr="00EE0D81">
        <w:t xml:space="preserve"> </w:t>
      </w:r>
      <w:r w:rsidRPr="00ED75C8">
        <w:rPr>
          <w:rFonts w:ascii="Times New Roman" w:eastAsia="Arial" w:hAnsi="Times New Roman" w:cs="Times New Roman"/>
          <w:color w:val="000000"/>
        </w:rPr>
        <w:t>The Secretary will also be required, if practicable, to consult with the responsible entity prior to making any direction to ensure a proper understanding of potential unintended consequences, and may consult with relevant Commonwealth agencies in determining necessary actions.</w:t>
      </w:r>
      <w:r>
        <w:rPr>
          <w:rFonts w:ascii="Times New Roman" w:eastAsia="Arial" w:hAnsi="Times New Roman" w:cs="Times New Roman"/>
          <w:color w:val="000000"/>
        </w:rPr>
        <w:t xml:space="preserve"> </w:t>
      </w:r>
      <w:r w:rsidRPr="00EE0D81">
        <w:rPr>
          <w:rFonts w:ascii="Times New Roman" w:hAnsi="Times New Roman"/>
          <w:color w:val="000000"/>
        </w:rPr>
        <w:t>In practice, the Secretary of Home Affairs will work closely with relevant agencies to determine necessary directions. For example, the Australian Signals Directorate may advise the Secretary that a relevant software patch is likely to be effective in preventing an imminent incident, advice which forms the basis of the Secretary’s direction.</w:t>
      </w:r>
    </w:p>
    <w:p w14:paraId="2FB4B627" w14:textId="28FAD22C" w:rsidR="00993F09" w:rsidRPr="00EE0D81" w:rsidRDefault="00993F09" w:rsidP="00EE0D81">
      <w:pPr>
        <w:spacing w:line="240" w:lineRule="auto"/>
        <w:ind w:left="1440"/>
        <w:rPr>
          <w:rFonts w:ascii="Times New Roman" w:hAnsi="Times New Roman"/>
          <w:color w:val="000000"/>
        </w:rPr>
      </w:pPr>
      <w:r w:rsidRPr="00EE0D81">
        <w:rPr>
          <w:rFonts w:ascii="Times New Roman" w:hAnsi="Times New Roman"/>
          <w:color w:val="000000"/>
        </w:rPr>
        <w:t>The Minister may authorise the Secretary making directions which:</w:t>
      </w:r>
    </w:p>
    <w:p w14:paraId="42BCCAE9" w14:textId="77777777" w:rsidR="00993F09" w:rsidRPr="00EE0D81" w:rsidRDefault="00993F09" w:rsidP="00EE0D81">
      <w:pPr>
        <w:numPr>
          <w:ilvl w:val="2"/>
          <w:numId w:val="15"/>
        </w:numPr>
        <w:spacing w:line="240" w:lineRule="auto"/>
        <w:rPr>
          <w:rFonts w:ascii="Times New Roman" w:hAnsi="Times New Roman"/>
          <w:color w:val="000000"/>
        </w:rPr>
      </w:pPr>
      <w:r w:rsidRPr="00EE0D81">
        <w:rPr>
          <w:rFonts w:ascii="Times New Roman" w:hAnsi="Times New Roman"/>
          <w:color w:val="000000"/>
        </w:rPr>
        <w:t>are prescribed in the legislation and are reasonably necessary and proportionate to achieving the objective of resolving the incident, or</w:t>
      </w:r>
    </w:p>
    <w:p w14:paraId="5FC13731" w14:textId="77777777" w:rsidR="00993F09" w:rsidRPr="00EE0D81" w:rsidRDefault="00993F09" w:rsidP="00EE0D81">
      <w:pPr>
        <w:numPr>
          <w:ilvl w:val="2"/>
          <w:numId w:val="15"/>
        </w:numPr>
        <w:spacing w:line="240" w:lineRule="auto"/>
        <w:rPr>
          <w:rFonts w:ascii="Times New Roman" w:hAnsi="Times New Roman"/>
          <w:color w:val="000000"/>
        </w:rPr>
      </w:pPr>
      <w:r w:rsidRPr="00EE0D81">
        <w:rPr>
          <w:rFonts w:ascii="Times New Roman" w:hAnsi="Times New Roman"/>
          <w:color w:val="000000"/>
        </w:rPr>
        <w:t>such other directions as the Minister for Home Affairs expressly authorises and are reasonably necessary and proportionate to achieving the objective of resolving the incident.</w:t>
      </w:r>
    </w:p>
    <w:p w14:paraId="126F37E2" w14:textId="77777777" w:rsidR="00993F09" w:rsidRPr="00EE0D81" w:rsidRDefault="00993F09" w:rsidP="00EE0D81">
      <w:pPr>
        <w:spacing w:line="240" w:lineRule="auto"/>
        <w:ind w:left="1440"/>
        <w:rPr>
          <w:rFonts w:ascii="Times New Roman" w:hAnsi="Times New Roman"/>
          <w:color w:val="000000"/>
        </w:rPr>
      </w:pPr>
      <w:r w:rsidRPr="00EE0D81">
        <w:rPr>
          <w:rFonts w:ascii="Times New Roman" w:hAnsi="Times New Roman"/>
          <w:color w:val="000000"/>
        </w:rPr>
        <w:t>If a direction is required which is not prescribed, or has not been directly authorised, the Secretary would need to return to the Minister for authorisation to make such a direction. This allows the flexibility to respond to a fast-moving cyber emergency, while ensuring the Minister retains oversight of directions being made.</w:t>
      </w:r>
    </w:p>
    <w:p w14:paraId="4FBF8DDA" w14:textId="16BD9EB2" w:rsidR="00993F09" w:rsidRPr="00EE0D81" w:rsidRDefault="00993F09" w:rsidP="00EE0D81">
      <w:pPr>
        <w:spacing w:line="240" w:lineRule="auto"/>
        <w:ind w:left="1440"/>
        <w:rPr>
          <w:rFonts w:ascii="Times New Roman" w:hAnsi="Times New Roman"/>
          <w:color w:val="000000"/>
        </w:rPr>
      </w:pPr>
      <w:r w:rsidRPr="00EE0D81">
        <w:rPr>
          <w:rFonts w:ascii="Times New Roman" w:hAnsi="Times New Roman"/>
          <w:color w:val="000000"/>
        </w:rPr>
        <w:t xml:space="preserve">The ability to direct the entity to provide a government official with direct access to a network will be expressly excluded to ensure it cannot be used as a backdoor to </w:t>
      </w:r>
      <w:r>
        <w:rPr>
          <w:rFonts w:ascii="Times New Roman" w:eastAsia="Arial" w:hAnsi="Times New Roman" w:cs="Times New Roman"/>
          <w:color w:val="000000"/>
        </w:rPr>
        <w:t>these</w:t>
      </w:r>
      <w:r w:rsidRPr="00227960">
        <w:rPr>
          <w:rFonts w:ascii="Times New Roman" w:eastAsia="Arial" w:hAnsi="Times New Roman" w:cs="Times New Roman"/>
          <w:color w:val="000000"/>
        </w:rPr>
        <w:t xml:space="preserve"> powers.</w:t>
      </w:r>
    </w:p>
    <w:p w14:paraId="02B1B93E" w14:textId="01C43C09" w:rsidR="00993F09" w:rsidRPr="00EE0D81" w:rsidRDefault="00767EB6" w:rsidP="00EE0D81">
      <w:pPr>
        <w:spacing w:line="240" w:lineRule="auto"/>
        <w:ind w:left="1440"/>
        <w:rPr>
          <w:rFonts w:ascii="Times New Roman" w:hAnsi="Times New Roman"/>
          <w:color w:val="000000"/>
        </w:rPr>
      </w:pPr>
      <w:r w:rsidRPr="00767EB6">
        <w:rPr>
          <w:rFonts w:ascii="Times New Roman" w:hAnsi="Times New Roman" w:cs="Times New Roman"/>
        </w:rPr>
        <w:t xml:space="preserve">It is not proposed that directions can be issued to private sector entities who are not otherwise connected with the operation of the asset as it would not be appropriate to compel an unconnected third party. Rather any direction to a related critical infrastructure sector asset must be necessary to respond to the incident and if the entity cannot respond appropriately, direct intervention should be limited to the Government to minimise impacts on the privacy of the asset. </w:t>
      </w:r>
    </w:p>
    <w:p w14:paraId="771C3937" w14:textId="77777777" w:rsidR="00993F09" w:rsidRPr="00EE0D81" w:rsidRDefault="00993F09" w:rsidP="00EE0D81">
      <w:pPr>
        <w:spacing w:line="240" w:lineRule="auto"/>
        <w:ind w:left="1440"/>
        <w:rPr>
          <w:rFonts w:ascii="Times New Roman" w:hAnsi="Times New Roman"/>
          <w:color w:val="000000"/>
        </w:rPr>
      </w:pPr>
      <w:r w:rsidRPr="00EE0D81">
        <w:rPr>
          <w:rFonts w:ascii="Times New Roman" w:hAnsi="Times New Roman"/>
          <w:color w:val="000000"/>
        </w:rPr>
        <w:t>It will be a criminal offence for an entity to fail to comply with a lawfully issued direction. Noting this, the entity, or officers acting on its behalf, will be provided with immunities from any civil claim when acting in accordance with such a direction. Similarly, an industry provider that provides voluntary assistance in line with a request will be provided immunities from any civil claim. This will support the Government receiving the necessarily technical advice in an emergency.</w:t>
      </w:r>
    </w:p>
    <w:p w14:paraId="02530987" w14:textId="0D324F4C" w:rsidR="00993F09" w:rsidRPr="00EE0D81" w:rsidRDefault="00993F09" w:rsidP="00EE0D81">
      <w:pPr>
        <w:numPr>
          <w:ilvl w:val="1"/>
          <w:numId w:val="15"/>
        </w:numPr>
        <w:spacing w:line="240" w:lineRule="auto"/>
        <w:rPr>
          <w:rFonts w:ascii="Times New Roman" w:hAnsi="Times New Roman"/>
          <w:color w:val="000000"/>
        </w:rPr>
      </w:pPr>
      <w:r>
        <w:rPr>
          <w:rFonts w:ascii="Times New Roman" w:eastAsia="Arial" w:hAnsi="Times New Roman" w:cs="Times New Roman"/>
          <w:i/>
          <w:color w:val="000000"/>
        </w:rPr>
        <w:t>Intervention</w:t>
      </w:r>
      <w:r w:rsidRPr="00EE0D81">
        <w:rPr>
          <w:rFonts w:ascii="Times New Roman" w:hAnsi="Times New Roman"/>
          <w:i/>
          <w:color w:val="000000"/>
        </w:rPr>
        <w:t xml:space="preserve"> request </w:t>
      </w:r>
      <w:r>
        <w:rPr>
          <w:rFonts w:ascii="Times New Roman" w:eastAsia="Arial" w:hAnsi="Times New Roman" w:cs="Times New Roman"/>
          <w:color w:val="000000"/>
        </w:rPr>
        <w:t xml:space="preserve">– in the event that an </w:t>
      </w:r>
      <w:r w:rsidRPr="00EE0D81">
        <w:rPr>
          <w:rFonts w:ascii="Times New Roman" w:hAnsi="Times New Roman"/>
          <w:color w:val="000000"/>
        </w:rPr>
        <w:t xml:space="preserve">entity is not </w:t>
      </w:r>
      <w:r>
        <w:rPr>
          <w:rFonts w:ascii="Times New Roman" w:eastAsia="Arial" w:hAnsi="Times New Roman" w:cs="Times New Roman"/>
          <w:color w:val="000000"/>
        </w:rPr>
        <w:t xml:space="preserve">responding to an information gathering </w:t>
      </w:r>
      <w:r w:rsidRPr="00EE0D81">
        <w:rPr>
          <w:rFonts w:ascii="Times New Roman" w:hAnsi="Times New Roman"/>
          <w:color w:val="000000"/>
        </w:rPr>
        <w:t xml:space="preserve">direction </w:t>
      </w:r>
      <w:r>
        <w:rPr>
          <w:rFonts w:ascii="Times New Roman" w:eastAsia="Arial" w:hAnsi="Times New Roman" w:cs="Times New Roman"/>
          <w:color w:val="000000"/>
        </w:rPr>
        <w:t>or</w:t>
      </w:r>
      <w:r w:rsidRPr="00EE0D81">
        <w:rPr>
          <w:rFonts w:ascii="Times New Roman" w:hAnsi="Times New Roman"/>
          <w:color w:val="000000"/>
        </w:rPr>
        <w:t xml:space="preserve"> an </w:t>
      </w:r>
      <w:r>
        <w:rPr>
          <w:rFonts w:ascii="Times New Roman" w:eastAsia="Arial" w:hAnsi="Times New Roman" w:cs="Times New Roman"/>
          <w:color w:val="000000"/>
        </w:rPr>
        <w:t>action direction</w:t>
      </w:r>
      <w:r w:rsidRPr="00EE0D81">
        <w:rPr>
          <w:rFonts w:ascii="Times New Roman" w:hAnsi="Times New Roman"/>
          <w:color w:val="000000"/>
        </w:rPr>
        <w:t xml:space="preserve">, the Secretary </w:t>
      </w:r>
      <w:r>
        <w:rPr>
          <w:rFonts w:ascii="Times New Roman" w:eastAsia="Arial" w:hAnsi="Times New Roman" w:cs="Times New Roman"/>
          <w:color w:val="000000"/>
        </w:rPr>
        <w:t>would</w:t>
      </w:r>
      <w:r w:rsidRPr="00EE0D81">
        <w:rPr>
          <w:rFonts w:ascii="Times New Roman" w:hAnsi="Times New Roman"/>
          <w:color w:val="000000"/>
        </w:rPr>
        <w:t xml:space="preserve"> be able to request assistance from, the Australian Signals Directorate through the exercise of </w:t>
      </w:r>
      <w:r>
        <w:rPr>
          <w:rFonts w:ascii="Times New Roman" w:eastAsia="Arial" w:hAnsi="Times New Roman" w:cs="Times New Roman"/>
          <w:color w:val="000000"/>
        </w:rPr>
        <w:t>intervention request</w:t>
      </w:r>
      <w:r w:rsidRPr="003658AC">
        <w:rPr>
          <w:rFonts w:ascii="Times New Roman" w:eastAsia="Arial" w:hAnsi="Times New Roman" w:cs="Times New Roman"/>
          <w:color w:val="000000"/>
        </w:rPr>
        <w:t xml:space="preserve"> powers</w:t>
      </w:r>
      <w:r>
        <w:rPr>
          <w:rFonts w:ascii="Times New Roman" w:eastAsia="Arial" w:hAnsi="Times New Roman" w:cs="Times New Roman"/>
          <w:color w:val="000000"/>
        </w:rPr>
        <w:t xml:space="preserve"> in relation to a cyber </w:t>
      </w:r>
      <w:r w:rsidRPr="00EE0D81">
        <w:rPr>
          <w:rFonts w:ascii="Times New Roman" w:hAnsi="Times New Roman"/>
          <w:color w:val="000000"/>
        </w:rPr>
        <w:t>incident</w:t>
      </w:r>
      <w:r>
        <w:rPr>
          <w:rFonts w:ascii="Times New Roman" w:eastAsia="Arial" w:hAnsi="Times New Roman" w:cs="Times New Roman"/>
          <w:color w:val="000000"/>
        </w:rPr>
        <w:t>. Essentially,</w:t>
      </w:r>
      <w:r w:rsidRPr="00EE0D81">
        <w:rPr>
          <w:rFonts w:ascii="Times New Roman" w:hAnsi="Times New Roman"/>
          <w:color w:val="000000"/>
        </w:rPr>
        <w:t xml:space="preserve"> this </w:t>
      </w:r>
      <w:r>
        <w:rPr>
          <w:rFonts w:ascii="Times New Roman" w:eastAsia="Arial" w:hAnsi="Times New Roman" w:cs="Times New Roman"/>
          <w:color w:val="000000"/>
        </w:rPr>
        <w:t xml:space="preserve">will be a last resort power and would also require </w:t>
      </w:r>
      <w:r w:rsidRPr="003658AC">
        <w:rPr>
          <w:rFonts w:ascii="Times New Roman" w:eastAsia="Arial" w:hAnsi="Times New Roman" w:cs="Times New Roman"/>
          <w:color w:val="000000"/>
        </w:rPr>
        <w:t>the agreement of the Minister for Defence and the Prime Minister</w:t>
      </w:r>
      <w:r>
        <w:rPr>
          <w:rFonts w:ascii="Times New Roman" w:eastAsia="Arial" w:hAnsi="Times New Roman" w:cs="Times New Roman"/>
          <w:color w:val="000000"/>
        </w:rPr>
        <w:t xml:space="preserve">. This intervention request will be limited to the ASD accessing an entities computer, undertaking analysis of computer data, altering data </w:t>
      </w:r>
      <w:r>
        <w:rPr>
          <w:rFonts w:ascii="Times New Roman" w:eastAsia="Arial" w:hAnsi="Times New Roman" w:cs="Times New Roman"/>
          <w:color w:val="000000"/>
        </w:rPr>
        <w:lastRenderedPageBreak/>
        <w:t xml:space="preserve">held in a computer and altering the functioning of a computer. This </w:t>
      </w:r>
      <w:r w:rsidRPr="00CF6FAA">
        <w:rPr>
          <w:rFonts w:ascii="Times New Roman" w:eastAsia="Arial" w:hAnsi="Times New Roman" w:cs="Times New Roman"/>
          <w:color w:val="000000"/>
        </w:rPr>
        <w:t xml:space="preserve">serves as </w:t>
      </w:r>
      <w:r>
        <w:rPr>
          <w:rFonts w:ascii="Times New Roman" w:eastAsia="Arial" w:hAnsi="Times New Roman" w:cs="Times New Roman"/>
          <w:color w:val="000000"/>
        </w:rPr>
        <w:t>a</w:t>
      </w:r>
      <w:r w:rsidRPr="00CF6FAA">
        <w:rPr>
          <w:rFonts w:ascii="Times New Roman" w:eastAsia="Arial" w:hAnsi="Times New Roman" w:cs="Times New Roman"/>
          <w:color w:val="000000"/>
        </w:rPr>
        <w:t xml:space="preserve"> limiter to ensure that the actions are computer-related acts and appropriately targeted as responding to the cyber security incident.</w:t>
      </w:r>
    </w:p>
    <w:p w14:paraId="46A12A87" w14:textId="77777777" w:rsidR="00993F09" w:rsidRPr="00EE0D81" w:rsidRDefault="00993F09" w:rsidP="00EE0D81">
      <w:pPr>
        <w:spacing w:line="240" w:lineRule="auto"/>
        <w:ind w:left="1440"/>
        <w:rPr>
          <w:rFonts w:ascii="Times New Roman" w:hAnsi="Times New Roman"/>
          <w:color w:val="000000"/>
        </w:rPr>
      </w:pPr>
      <w:r w:rsidRPr="00EE0D81">
        <w:rPr>
          <w:rFonts w:ascii="Times New Roman" w:hAnsi="Times New Roman"/>
          <w:color w:val="000000"/>
        </w:rPr>
        <w:t>The use of force against a person or offensive cyber activities (for example, hacking back) will be expressly prohibited from occurring under the Government Assistance portion of this regime. The Australian Federal Police will support the Australian Signals Directorate in the exercise of these powers as required, including using force to gain entry to a premise.</w:t>
      </w:r>
    </w:p>
    <w:p w14:paraId="2FE95683" w14:textId="77777777" w:rsidR="00993F09" w:rsidRPr="00EE0D81" w:rsidRDefault="00993F09" w:rsidP="00EE0D81">
      <w:pPr>
        <w:spacing w:line="240" w:lineRule="auto"/>
        <w:ind w:left="1440"/>
        <w:rPr>
          <w:rFonts w:ascii="Times New Roman" w:hAnsi="Times New Roman"/>
          <w:color w:val="000000"/>
        </w:rPr>
      </w:pPr>
      <w:r w:rsidRPr="00EE0D81">
        <w:rPr>
          <w:rFonts w:ascii="Times New Roman" w:hAnsi="Times New Roman"/>
          <w:color w:val="000000"/>
        </w:rPr>
        <w:t xml:space="preserve">Noting the complexity of a nationally significant cyber security incident and the systems being impacted, it is crucial that any direct action taken by the Government is done by experts to ensure quick resolution with limited collateral impacts. Officers of the Australian Signals Directorate will remain subject to any relevant legislation, as well as their own organisation and ministerial oversight arrangements when considering and responding to a request for cooperation or assistance. </w:t>
      </w:r>
    </w:p>
    <w:p w14:paraId="25A8A56D" w14:textId="77777777" w:rsidR="00993F09" w:rsidRPr="00EE0D81" w:rsidRDefault="00993F09" w:rsidP="00EE0D81">
      <w:pPr>
        <w:spacing w:line="240" w:lineRule="auto"/>
        <w:ind w:left="1440"/>
        <w:rPr>
          <w:rFonts w:ascii="Times New Roman" w:hAnsi="Times New Roman"/>
          <w:color w:val="000000"/>
        </w:rPr>
      </w:pPr>
      <w:r w:rsidRPr="00EE0D81">
        <w:rPr>
          <w:rFonts w:ascii="Times New Roman" w:hAnsi="Times New Roman"/>
          <w:color w:val="000000"/>
        </w:rPr>
        <w:t>It is a criminal offence, under section 149.1 of the Criminal Code, for a person to hinder or obstruct a Commonwealth officer in the exercise of their powers. A person obstructing an Australian Signals Directorate official exercising powers under this regime would be liable to imprisonment of up to 2 years.</w:t>
      </w:r>
    </w:p>
    <w:p w14:paraId="51DF0529" w14:textId="76447439" w:rsidR="00993F09" w:rsidRPr="00EE0D81" w:rsidRDefault="00993F09" w:rsidP="00EE0D81">
      <w:pPr>
        <w:spacing w:line="240" w:lineRule="auto"/>
        <w:ind w:left="1440"/>
        <w:rPr>
          <w:rFonts w:ascii="Times New Roman" w:hAnsi="Times New Roman"/>
          <w:color w:val="000000"/>
        </w:rPr>
      </w:pPr>
      <w:r w:rsidRPr="00EE0D81">
        <w:rPr>
          <w:rFonts w:ascii="Times New Roman" w:hAnsi="Times New Roman"/>
          <w:color w:val="000000"/>
        </w:rPr>
        <w:t xml:space="preserve">Officers of the Australian Signals Directorate, including any industry contractors that are engaged by the entity through the Intelligence Services Act 2001, will be provided with immunity from any civil claims when exercising </w:t>
      </w:r>
      <w:r>
        <w:rPr>
          <w:rFonts w:ascii="Times New Roman" w:eastAsia="Arial" w:hAnsi="Times New Roman" w:cs="Times New Roman"/>
          <w:color w:val="000000"/>
        </w:rPr>
        <w:t>Government Assistance</w:t>
      </w:r>
      <w:r w:rsidRPr="00EE0D81">
        <w:rPr>
          <w:rFonts w:ascii="Times New Roman" w:hAnsi="Times New Roman"/>
          <w:color w:val="000000"/>
        </w:rPr>
        <w:t xml:space="preserve"> powers at the request of the Secretary. Further, those officers will also be provided criminal immunities when acting in good faith in compliance with lawful authority, similar to those provided under other domestic intelligence and law enforcement regimes. Noting the express exclusion of the use of force against a person, the criminal immunities will not extend to conduct that is intended to cause death or serious injury to any person.</w:t>
      </w:r>
    </w:p>
    <w:p w14:paraId="73D5E96E" w14:textId="04B47908" w:rsidR="00993F09" w:rsidRDefault="00993F09" w:rsidP="00993F09">
      <w:pPr>
        <w:spacing w:line="240" w:lineRule="auto"/>
        <w:ind w:left="1440"/>
        <w:rPr>
          <w:rFonts w:ascii="Times New Roman" w:eastAsia="Arial" w:hAnsi="Times New Roman" w:cs="Times New Roman"/>
          <w:color w:val="000000"/>
        </w:rPr>
      </w:pPr>
      <w:r>
        <w:rPr>
          <w:rFonts w:ascii="Times New Roman" w:eastAsia="Arial" w:hAnsi="Times New Roman" w:cs="Times New Roman"/>
          <w:color w:val="000000"/>
        </w:rPr>
        <w:t xml:space="preserve">It is proposed that are a range of safeguards </w:t>
      </w:r>
      <w:r w:rsidR="008C69F2">
        <w:rPr>
          <w:rFonts w:ascii="Times New Roman" w:eastAsia="Arial" w:hAnsi="Times New Roman" w:cs="Times New Roman"/>
          <w:color w:val="000000"/>
        </w:rPr>
        <w:t xml:space="preserve">be </w:t>
      </w:r>
      <w:r>
        <w:rPr>
          <w:rFonts w:ascii="Times New Roman" w:eastAsia="Arial" w:hAnsi="Times New Roman" w:cs="Times New Roman"/>
          <w:color w:val="000000"/>
        </w:rPr>
        <w:t xml:space="preserve">included to ensure that an intervention request only occurs as a last resort. These safeguards include the need for the Minister for Home Affairs to be satisfied that </w:t>
      </w:r>
      <w:r w:rsidRPr="00CF6FAA">
        <w:rPr>
          <w:rFonts w:ascii="Times New Roman" w:eastAsia="Arial" w:hAnsi="Times New Roman" w:cs="Times New Roman"/>
          <w:color w:val="000000"/>
        </w:rPr>
        <w:t>the entity is unwilling or unable to take all reasonably necessary steps to appropriately resolve the incident</w:t>
      </w:r>
      <w:r>
        <w:rPr>
          <w:rFonts w:ascii="Times New Roman" w:eastAsia="Arial" w:hAnsi="Times New Roman" w:cs="Times New Roman"/>
          <w:color w:val="000000"/>
        </w:rPr>
        <w:t>. The Minister for Home Affairs must not make such an authorisation unless satisfied that the request is reasonably necessary for the purpose of responding to the incident</w:t>
      </w:r>
      <w:r w:rsidR="008C69F2">
        <w:rPr>
          <w:rFonts w:ascii="Times New Roman" w:eastAsia="Arial" w:hAnsi="Times New Roman" w:cs="Times New Roman"/>
          <w:color w:val="000000"/>
        </w:rPr>
        <w:t xml:space="preserve">, </w:t>
      </w:r>
      <w:r w:rsidRPr="00CF6FAA">
        <w:rPr>
          <w:rFonts w:ascii="Times New Roman" w:eastAsia="Arial" w:hAnsi="Times New Roman" w:cs="Times New Roman"/>
          <w:color w:val="000000"/>
        </w:rPr>
        <w:t>the specified request is a proportionate response to the incident</w:t>
      </w:r>
      <w:r>
        <w:rPr>
          <w:rFonts w:ascii="Times New Roman" w:eastAsia="Arial" w:hAnsi="Times New Roman" w:cs="Times New Roman"/>
          <w:color w:val="000000"/>
        </w:rPr>
        <w:t>, and the authorisation of an action direction would not be practical or effective response to the incident.</w:t>
      </w:r>
    </w:p>
    <w:p w14:paraId="7069249B" w14:textId="77777777" w:rsidR="00993F09" w:rsidRPr="00F24E51" w:rsidRDefault="00993F09" w:rsidP="00993F09">
      <w:pPr>
        <w:pBdr>
          <w:top w:val="single" w:sz="4" w:space="1" w:color="auto"/>
          <w:left w:val="single" w:sz="4" w:space="4" w:color="auto"/>
          <w:bottom w:val="single" w:sz="4" w:space="1" w:color="auto"/>
          <w:right w:val="single" w:sz="4" w:space="4" w:color="auto"/>
        </w:pBdr>
        <w:shd w:val="clear" w:color="auto" w:fill="D5DCE4" w:themeFill="text2" w:themeFillTint="33"/>
        <w:spacing w:line="240" w:lineRule="auto"/>
        <w:ind w:left="720"/>
        <w:rPr>
          <w:rFonts w:ascii="Times New Roman" w:eastAsia="Arial" w:hAnsi="Times New Roman" w:cs="Times New Roman"/>
          <w:color w:val="000000"/>
        </w:rPr>
      </w:pPr>
      <w:r w:rsidRPr="00F24E51">
        <w:rPr>
          <w:rFonts w:ascii="Times New Roman" w:eastAsia="Arial" w:hAnsi="Times New Roman" w:cs="Times New Roman"/>
          <w:color w:val="000000"/>
        </w:rPr>
        <w:t>Scenario</w:t>
      </w:r>
      <w:r>
        <w:rPr>
          <w:rFonts w:ascii="Times New Roman" w:eastAsia="Arial" w:hAnsi="Times New Roman" w:cs="Times New Roman"/>
          <w:color w:val="000000"/>
        </w:rPr>
        <w:t xml:space="preserve"> (action direction and intervention request)</w:t>
      </w:r>
      <w:r w:rsidRPr="00F24E51">
        <w:rPr>
          <w:rFonts w:ascii="Times New Roman" w:eastAsia="Arial" w:hAnsi="Times New Roman" w:cs="Times New Roman"/>
          <w:color w:val="000000"/>
        </w:rPr>
        <w:t xml:space="preserve">: </w:t>
      </w:r>
    </w:p>
    <w:p w14:paraId="0CAE540F" w14:textId="0898931A" w:rsidR="00993F09" w:rsidRPr="00F24E51" w:rsidRDefault="00993F09" w:rsidP="00993F09">
      <w:pPr>
        <w:pBdr>
          <w:top w:val="single" w:sz="4" w:space="1" w:color="auto"/>
          <w:left w:val="single" w:sz="4" w:space="4" w:color="auto"/>
          <w:bottom w:val="single" w:sz="4" w:space="1" w:color="auto"/>
          <w:right w:val="single" w:sz="4" w:space="4" w:color="auto"/>
        </w:pBdr>
        <w:shd w:val="clear" w:color="auto" w:fill="D5DCE4" w:themeFill="text2" w:themeFillTint="33"/>
        <w:spacing w:line="240" w:lineRule="auto"/>
        <w:ind w:left="720"/>
        <w:rPr>
          <w:rFonts w:ascii="Times New Roman" w:eastAsia="Arial" w:hAnsi="Times New Roman" w:cs="Times New Roman"/>
          <w:color w:val="000000"/>
        </w:rPr>
      </w:pPr>
      <w:r w:rsidRPr="00F24E51">
        <w:rPr>
          <w:rFonts w:ascii="Times New Roman" w:eastAsia="Arial" w:hAnsi="Times New Roman" w:cs="Times New Roman"/>
          <w:color w:val="000000"/>
        </w:rPr>
        <w:t xml:space="preserve">During </w:t>
      </w:r>
      <w:r>
        <w:rPr>
          <w:rFonts w:ascii="Times New Roman" w:eastAsia="Arial" w:hAnsi="Times New Roman" w:cs="Times New Roman"/>
          <w:color w:val="000000"/>
        </w:rPr>
        <w:t xml:space="preserve">an </w:t>
      </w:r>
      <w:r w:rsidRPr="00F24E51">
        <w:rPr>
          <w:rFonts w:ascii="Times New Roman" w:eastAsia="Arial" w:hAnsi="Times New Roman" w:cs="Times New Roman"/>
          <w:color w:val="000000"/>
        </w:rPr>
        <w:t xml:space="preserve">incident response, the authorised agency may require access to various types of data and information, such as systems logs and host images, to determine what malicious activity had occurred and what systems have been affected. The authorised agency may also need to install investigation tools, or network monitoring capabilities, to analyse the extent of malicious activity and inform effective remediation actions. </w:t>
      </w:r>
    </w:p>
    <w:p w14:paraId="16DB7FC5" w14:textId="77777777" w:rsidR="00993F09" w:rsidRPr="00F24E51" w:rsidRDefault="00993F09" w:rsidP="00993F09">
      <w:pPr>
        <w:pBdr>
          <w:top w:val="single" w:sz="4" w:space="1" w:color="auto"/>
          <w:left w:val="single" w:sz="4" w:space="4" w:color="auto"/>
          <w:bottom w:val="single" w:sz="4" w:space="1" w:color="auto"/>
          <w:right w:val="single" w:sz="4" w:space="4" w:color="auto"/>
        </w:pBdr>
        <w:shd w:val="clear" w:color="auto" w:fill="D5DCE4" w:themeFill="text2" w:themeFillTint="33"/>
        <w:spacing w:line="240" w:lineRule="auto"/>
        <w:ind w:left="720"/>
        <w:rPr>
          <w:rFonts w:ascii="Times New Roman" w:eastAsia="Arial" w:hAnsi="Times New Roman" w:cs="Times New Roman"/>
          <w:color w:val="000000"/>
        </w:rPr>
      </w:pPr>
      <w:r w:rsidRPr="00F24E51">
        <w:rPr>
          <w:rFonts w:ascii="Times New Roman" w:eastAsia="Arial" w:hAnsi="Times New Roman" w:cs="Times New Roman"/>
          <w:color w:val="000000"/>
        </w:rPr>
        <w:t xml:space="preserve">To remediate the cyber security incident, the authorised agency may need to remove malicious software (e.g. web shells, ransomware, and/or reconnaissance tools) which requires altering/removing of data in a computer. The authorised agency may need to conduct these activities on-site with the victim or remotely, where capability exists to do so. </w:t>
      </w:r>
    </w:p>
    <w:p w14:paraId="7DC16481" w14:textId="77777777" w:rsidR="00993F09" w:rsidRPr="00F24E51" w:rsidRDefault="00993F09" w:rsidP="00993F09">
      <w:pPr>
        <w:pBdr>
          <w:top w:val="single" w:sz="4" w:space="1" w:color="auto"/>
          <w:left w:val="single" w:sz="4" w:space="4" w:color="auto"/>
          <w:bottom w:val="single" w:sz="4" w:space="1" w:color="auto"/>
          <w:right w:val="single" w:sz="4" w:space="4" w:color="auto"/>
        </w:pBdr>
        <w:shd w:val="clear" w:color="auto" w:fill="D5DCE4" w:themeFill="text2" w:themeFillTint="33"/>
        <w:spacing w:line="240" w:lineRule="auto"/>
        <w:ind w:left="720"/>
        <w:rPr>
          <w:rFonts w:ascii="Times New Roman" w:eastAsia="Arial" w:hAnsi="Times New Roman" w:cs="Times New Roman"/>
          <w:color w:val="000000"/>
        </w:rPr>
      </w:pPr>
      <w:r w:rsidRPr="00F24E51">
        <w:rPr>
          <w:rFonts w:ascii="Times New Roman" w:eastAsia="Arial" w:hAnsi="Times New Roman" w:cs="Times New Roman"/>
          <w:color w:val="000000"/>
        </w:rPr>
        <w:t xml:space="preserve">The authorised agency may also implement blocking of malicious domains, may disable internet access or may implement other specified mitigations. The authorised agency may also </w:t>
      </w:r>
      <w:r w:rsidRPr="00F24E51">
        <w:rPr>
          <w:rFonts w:ascii="Times New Roman" w:eastAsia="Arial" w:hAnsi="Times New Roman" w:cs="Times New Roman"/>
          <w:color w:val="000000"/>
        </w:rPr>
        <w:lastRenderedPageBreak/>
        <w:t xml:space="preserve">require systems to be patched (altering data) or a change in network configurations, to alter the function of the system, to prevent a similar activity. </w:t>
      </w:r>
    </w:p>
    <w:p w14:paraId="7F39B50D" w14:textId="77777777" w:rsidR="00993F09" w:rsidRDefault="00993F09" w:rsidP="00993F09">
      <w:pPr>
        <w:pBdr>
          <w:top w:val="single" w:sz="4" w:space="1" w:color="auto"/>
          <w:left w:val="single" w:sz="4" w:space="4" w:color="auto"/>
          <w:bottom w:val="single" w:sz="4" w:space="1" w:color="auto"/>
          <w:right w:val="single" w:sz="4" w:space="4" w:color="auto"/>
        </w:pBdr>
        <w:shd w:val="clear" w:color="auto" w:fill="D5DCE4" w:themeFill="text2" w:themeFillTint="33"/>
        <w:spacing w:line="240" w:lineRule="auto"/>
        <w:ind w:left="720"/>
        <w:rPr>
          <w:rFonts w:ascii="Times New Roman" w:eastAsia="Arial" w:hAnsi="Times New Roman" w:cs="Times New Roman"/>
          <w:color w:val="000000"/>
        </w:rPr>
      </w:pPr>
      <w:r w:rsidRPr="00F24E51">
        <w:rPr>
          <w:rFonts w:ascii="Times New Roman" w:eastAsia="Arial" w:hAnsi="Times New Roman" w:cs="Times New Roman"/>
          <w:color w:val="000000"/>
        </w:rPr>
        <w:t xml:space="preserve">A Ministerial authorisation may be sought for an </w:t>
      </w:r>
      <w:r>
        <w:rPr>
          <w:rFonts w:ascii="Times New Roman" w:eastAsia="Arial" w:hAnsi="Times New Roman" w:cs="Times New Roman"/>
          <w:color w:val="000000"/>
        </w:rPr>
        <w:t xml:space="preserve">action direction relating to each of these specific actions. Where an action direction is not actioned by the respective entity (either through a refusal to do so, or a lack of capability), then an </w:t>
      </w:r>
      <w:r w:rsidRPr="00F24E51">
        <w:rPr>
          <w:rFonts w:ascii="Times New Roman" w:eastAsia="Arial" w:hAnsi="Times New Roman" w:cs="Times New Roman"/>
          <w:color w:val="000000"/>
        </w:rPr>
        <w:t xml:space="preserve">intervention request relating to each of these specific actions. </w:t>
      </w:r>
    </w:p>
    <w:p w14:paraId="788ABE6C" w14:textId="77777777" w:rsidR="00993F09" w:rsidRDefault="00993F09" w:rsidP="00EE0D81">
      <w:pPr>
        <w:pStyle w:val="ListParagraph"/>
        <w:spacing w:after="0" w:line="240" w:lineRule="auto"/>
        <w:rPr>
          <w:rFonts w:ascii="Times New Roman" w:hAnsi="Times New Roman" w:cs="Times New Roman"/>
        </w:rPr>
      </w:pPr>
    </w:p>
    <w:p w14:paraId="7DB828D8" w14:textId="77777777" w:rsidR="00993F09" w:rsidRPr="000266F5" w:rsidRDefault="00993F09" w:rsidP="00EE0D81">
      <w:pPr>
        <w:spacing w:line="240" w:lineRule="auto"/>
        <w:ind w:left="720"/>
        <w:rPr>
          <w:rFonts w:ascii="Times New Roman" w:hAnsi="Times New Roman" w:cs="Times New Roman"/>
          <w:i/>
        </w:rPr>
      </w:pPr>
      <w:r w:rsidRPr="000266F5">
        <w:rPr>
          <w:rFonts w:ascii="Times New Roman" w:hAnsi="Times New Roman" w:cs="Times New Roman"/>
          <w:i/>
        </w:rPr>
        <w:t>Oversight</w:t>
      </w:r>
    </w:p>
    <w:p w14:paraId="1D03F12A" w14:textId="1B6645BE" w:rsidR="00993F09" w:rsidRPr="003F41F4" w:rsidRDefault="00993F09" w:rsidP="00EE0D81">
      <w:pPr>
        <w:spacing w:after="0" w:line="240" w:lineRule="auto"/>
        <w:ind w:left="720"/>
        <w:rPr>
          <w:rFonts w:ascii="Times New Roman" w:hAnsi="Times New Roman" w:cs="Times New Roman"/>
        </w:rPr>
      </w:pPr>
      <w:r w:rsidRPr="003F41F4">
        <w:rPr>
          <w:rFonts w:ascii="Times New Roman" w:hAnsi="Times New Roman" w:cs="Times New Roman"/>
        </w:rPr>
        <w:t xml:space="preserve">The Commonwealth Ombudsman, within its current mandate, will have the ability to receive, consider and take action in relation to complaints made by an entity in relation to a direction issued by the Secretary of Home Affairs under this power or the Australian Federal Police’s actions in supporting the Australian Signals Directorate. The Inspector-General of Intelligence and Security, within its current mandate, will have the ability to oversight any exercise of the </w:t>
      </w:r>
      <w:r>
        <w:rPr>
          <w:rFonts w:ascii="Times New Roman" w:hAnsi="Times New Roman" w:cs="Times New Roman"/>
        </w:rPr>
        <w:t>Government Assistance</w:t>
      </w:r>
      <w:r w:rsidRPr="003F41F4">
        <w:rPr>
          <w:rFonts w:ascii="Times New Roman" w:hAnsi="Times New Roman" w:cs="Times New Roman"/>
        </w:rPr>
        <w:t xml:space="preserve"> powers by the Australian Signals Directorate as well as any advice provided to the Secretary of Home Affairs by an intelligence agency within its jurisdiction to support the making of a direction. Information sharing provisions will be included to ensure these two oversight bodies can work effectively together. The oversight powers of the Inspector-General of Intelligence and Security in relation to the regime will be significantly greater than those of the Ombudsman, which is proportionate to the nature of the respective powers over which they have supervision.</w:t>
      </w:r>
    </w:p>
    <w:p w14:paraId="3B479420" w14:textId="77777777" w:rsidR="00993F09" w:rsidRPr="003F41F4" w:rsidRDefault="00993F09" w:rsidP="00EE0D81">
      <w:pPr>
        <w:spacing w:after="0" w:line="240" w:lineRule="auto"/>
        <w:ind w:left="720"/>
        <w:rPr>
          <w:rFonts w:ascii="Times New Roman" w:hAnsi="Times New Roman" w:cs="Times New Roman"/>
        </w:rPr>
      </w:pPr>
    </w:p>
    <w:p w14:paraId="440A6E7C" w14:textId="3D8E5D7E" w:rsidR="00993F09" w:rsidRPr="003F41F4" w:rsidRDefault="00993F09" w:rsidP="00EE0D81">
      <w:pPr>
        <w:spacing w:after="0" w:line="240" w:lineRule="auto"/>
        <w:ind w:left="720"/>
        <w:rPr>
          <w:rFonts w:ascii="Times New Roman" w:hAnsi="Times New Roman" w:cs="Times New Roman"/>
        </w:rPr>
      </w:pPr>
      <w:r w:rsidRPr="003F41F4">
        <w:rPr>
          <w:rFonts w:ascii="Times New Roman" w:hAnsi="Times New Roman" w:cs="Times New Roman"/>
        </w:rPr>
        <w:t xml:space="preserve">The Secretary of Home Affairs will be required to provide the Minister for Home Affairs a report on the exercise of powers under the authorisation including how they contributed to the resolution of the cyber security incident and an assessment of any prejudice caused. Where </w:t>
      </w:r>
      <w:r>
        <w:rPr>
          <w:rFonts w:ascii="Times New Roman" w:hAnsi="Times New Roman" w:cs="Times New Roman"/>
        </w:rPr>
        <w:t>Government Assistance</w:t>
      </w:r>
      <w:r w:rsidRPr="003F41F4">
        <w:rPr>
          <w:rFonts w:ascii="Times New Roman" w:hAnsi="Times New Roman" w:cs="Times New Roman"/>
        </w:rPr>
        <w:t xml:space="preserve"> powers were used, this report will be copied to the Minister for Defence and the Prime Minister.</w:t>
      </w:r>
    </w:p>
    <w:p w14:paraId="5F3D633C" w14:textId="77777777" w:rsidR="00993F09" w:rsidRPr="003F41F4" w:rsidRDefault="00993F09" w:rsidP="00EE0D81">
      <w:pPr>
        <w:spacing w:after="0" w:line="240" w:lineRule="auto"/>
        <w:ind w:left="720"/>
        <w:rPr>
          <w:rFonts w:ascii="Times New Roman" w:hAnsi="Times New Roman" w:cs="Times New Roman"/>
        </w:rPr>
      </w:pPr>
    </w:p>
    <w:p w14:paraId="5114ECFB" w14:textId="19A591F4" w:rsidR="00993F09" w:rsidRDefault="00993F09" w:rsidP="00EE0D81">
      <w:pPr>
        <w:spacing w:after="0" w:line="240" w:lineRule="auto"/>
        <w:ind w:left="720"/>
        <w:rPr>
          <w:rFonts w:ascii="Times New Roman" w:hAnsi="Times New Roman" w:cs="Times New Roman"/>
        </w:rPr>
      </w:pPr>
      <w:r w:rsidRPr="003F41F4">
        <w:rPr>
          <w:rFonts w:ascii="Times New Roman" w:hAnsi="Times New Roman" w:cs="Times New Roman"/>
        </w:rPr>
        <w:t xml:space="preserve">It is proposed that the ministerial authorisation, and administrative decisions made in accordance with that authorisation, will not be subject to judicial review under the </w:t>
      </w:r>
      <w:r w:rsidRPr="00EE0D81">
        <w:rPr>
          <w:rFonts w:ascii="Times New Roman" w:hAnsi="Times New Roman"/>
        </w:rPr>
        <w:t>Administrative Decisions (Judicial Review) Act 1977</w:t>
      </w:r>
      <w:r w:rsidRPr="003F41F4">
        <w:rPr>
          <w:rFonts w:ascii="Times New Roman" w:hAnsi="Times New Roman" w:cs="Times New Roman"/>
        </w:rPr>
        <w:t xml:space="preserve"> or obligations to consult the relevant entity prior to making the authorisation. This is reflective of the emergency nature of these powers, national security information that will used to satisfy the various decision makers, and their connection with the protection of Australia’s national security, defence, economy and social stability. However, the bias rule aspect of procedural fairness will be unaffected, and judicial review will remain available by way of section 75(v) of the Constitution and section 39B of the </w:t>
      </w:r>
      <w:r w:rsidRPr="00EE0D81">
        <w:rPr>
          <w:rFonts w:ascii="Times New Roman" w:hAnsi="Times New Roman"/>
        </w:rPr>
        <w:t>Judiciary Act 1903</w:t>
      </w:r>
      <w:r w:rsidRPr="003F41F4">
        <w:rPr>
          <w:rFonts w:ascii="Times New Roman" w:hAnsi="Times New Roman" w:cs="Times New Roman"/>
        </w:rPr>
        <w:t>.</w:t>
      </w:r>
    </w:p>
    <w:p w14:paraId="2AD44083" w14:textId="77777777" w:rsidR="00993F09" w:rsidRPr="000266F5" w:rsidRDefault="00993F09" w:rsidP="00993F09">
      <w:pPr>
        <w:spacing w:after="0" w:line="240" w:lineRule="auto"/>
        <w:ind w:left="720"/>
        <w:rPr>
          <w:rFonts w:ascii="Times New Roman" w:hAnsi="Times New Roman" w:cs="Times New Roman"/>
        </w:rPr>
      </w:pPr>
    </w:p>
    <w:p w14:paraId="2BBBA793" w14:textId="77777777" w:rsidR="00993F09" w:rsidRPr="00DB5750" w:rsidRDefault="00993F09" w:rsidP="00B369B5">
      <w:pPr>
        <w:pStyle w:val="ListParagraph"/>
        <w:numPr>
          <w:ilvl w:val="2"/>
          <w:numId w:val="12"/>
        </w:numPr>
        <w:spacing w:after="0" w:line="240" w:lineRule="auto"/>
        <w:rPr>
          <w:rFonts w:ascii="Times New Roman" w:eastAsia="MS PGothic" w:hAnsi="Times New Roman" w:cs="Times New Roman"/>
          <w:iCs/>
          <w:color w:val="000000"/>
          <w:u w:val="single"/>
        </w:rPr>
      </w:pPr>
      <w:r w:rsidRPr="001A7788">
        <w:rPr>
          <w:rFonts w:ascii="Times New Roman" w:eastAsia="Arial" w:hAnsi="Times New Roman" w:cs="Times New Roman"/>
          <w:color w:val="000000"/>
          <w:u w:val="single"/>
        </w:rPr>
        <w:t>Ministerial Direction power</w:t>
      </w:r>
    </w:p>
    <w:p w14:paraId="59187EE7" w14:textId="77777777" w:rsidR="00993F09" w:rsidRDefault="00993F09" w:rsidP="00993F09">
      <w:pPr>
        <w:spacing w:after="0" w:line="240" w:lineRule="auto"/>
        <w:rPr>
          <w:rFonts w:ascii="Times New Roman" w:eastAsia="MS PGothic" w:hAnsi="Times New Roman" w:cs="Times New Roman"/>
          <w:color w:val="000000"/>
        </w:rPr>
      </w:pPr>
    </w:p>
    <w:p w14:paraId="1BC94F38" w14:textId="09F43532" w:rsidR="00993F09" w:rsidRDefault="00993F09" w:rsidP="00993F09">
      <w:pPr>
        <w:pStyle w:val="ListParagraph"/>
        <w:spacing w:after="0" w:line="240" w:lineRule="auto"/>
        <w:rPr>
          <w:rFonts w:ascii="Times New Roman" w:eastAsia="MS PGothic" w:hAnsi="Times New Roman" w:cs="Times New Roman"/>
          <w:color w:val="000000"/>
        </w:rPr>
      </w:pPr>
      <w:r w:rsidRPr="00D86D4B">
        <w:rPr>
          <w:rFonts w:ascii="Times New Roman" w:eastAsia="MS PGothic" w:hAnsi="Times New Roman" w:cs="Times New Roman"/>
          <w:color w:val="000000"/>
        </w:rPr>
        <w:t xml:space="preserve">Option 2 would also include expanding the assets to which the current Ministerial Direction within the </w:t>
      </w:r>
      <w:r>
        <w:rPr>
          <w:rFonts w:ascii="Times New Roman" w:eastAsia="MS PGothic" w:hAnsi="Times New Roman" w:cs="Times New Roman"/>
          <w:color w:val="000000"/>
        </w:rPr>
        <w:t xml:space="preserve">SoCI </w:t>
      </w:r>
      <w:r w:rsidRPr="00D86D4B">
        <w:rPr>
          <w:rFonts w:ascii="Times New Roman" w:eastAsia="MS PGothic" w:hAnsi="Times New Roman" w:cs="Times New Roman"/>
          <w:color w:val="000000"/>
        </w:rPr>
        <w:t>may app</w:t>
      </w:r>
      <w:r>
        <w:rPr>
          <w:rFonts w:ascii="Times New Roman" w:eastAsia="MS PGothic" w:hAnsi="Times New Roman" w:cs="Times New Roman"/>
          <w:color w:val="000000"/>
        </w:rPr>
        <w:t>ly.</w:t>
      </w:r>
      <w:r>
        <w:rPr>
          <w:rStyle w:val="FootnoteReference"/>
          <w:rFonts w:ascii="Times New Roman" w:eastAsia="MS PGothic" w:hAnsi="Times New Roman" w:cs="Times New Roman"/>
          <w:color w:val="000000"/>
        </w:rPr>
        <w:footnoteReference w:id="14"/>
      </w:r>
      <w:r>
        <w:rPr>
          <w:rFonts w:ascii="Times New Roman" w:eastAsia="MS PGothic" w:hAnsi="Times New Roman" w:cs="Times New Roman"/>
          <w:color w:val="000000"/>
        </w:rPr>
        <w:t xml:space="preserve"> Current section 32 of the So</w:t>
      </w:r>
      <w:r w:rsidRPr="00D86D4B">
        <w:rPr>
          <w:rFonts w:ascii="Times New Roman" w:eastAsia="MS PGothic" w:hAnsi="Times New Roman" w:cs="Times New Roman"/>
          <w:color w:val="000000"/>
        </w:rPr>
        <w:t xml:space="preserve">CI allows the Minister for Home Affairs to issue a direction to an </w:t>
      </w:r>
      <w:r w:rsidRPr="001A7788">
        <w:rPr>
          <w:rFonts w:ascii="Times New Roman" w:eastAsia="Arial" w:hAnsi="Times New Roman" w:cs="Times New Roman"/>
          <w:color w:val="000000"/>
        </w:rPr>
        <w:t>owner</w:t>
      </w:r>
      <w:r w:rsidRPr="00D86D4B">
        <w:rPr>
          <w:rFonts w:ascii="Times New Roman" w:eastAsia="MS PGothic" w:hAnsi="Times New Roman" w:cs="Times New Roman"/>
          <w:color w:val="000000"/>
        </w:rPr>
        <w:t xml:space="preserve"> or operator of a </w:t>
      </w:r>
      <w:r w:rsidRPr="00B1725B">
        <w:rPr>
          <w:rFonts w:ascii="Times New Roman" w:eastAsia="MS PGothic" w:hAnsi="Times New Roman" w:cs="Times New Roman"/>
          <w:i/>
          <w:color w:val="000000"/>
        </w:rPr>
        <w:t>critical infrastructure asset</w:t>
      </w:r>
      <w:r w:rsidRPr="00D86D4B">
        <w:rPr>
          <w:rFonts w:ascii="Times New Roman" w:eastAsia="MS PGothic" w:hAnsi="Times New Roman" w:cs="Times New Roman"/>
          <w:color w:val="000000"/>
        </w:rPr>
        <w:t xml:space="preserve">. The primary purpose of this existing directions power is to ensure that, as a last resort, the Government can address risks to </w:t>
      </w:r>
      <w:r w:rsidRPr="00B1725B">
        <w:rPr>
          <w:rFonts w:ascii="Times New Roman" w:eastAsia="MS PGothic" w:hAnsi="Times New Roman" w:cs="Times New Roman"/>
          <w:i/>
          <w:color w:val="000000"/>
        </w:rPr>
        <w:t>critical infrastructure asset</w:t>
      </w:r>
      <w:r w:rsidRPr="00D86D4B">
        <w:rPr>
          <w:rFonts w:ascii="Times New Roman" w:eastAsia="MS PGothic" w:hAnsi="Times New Roman" w:cs="Times New Roman"/>
          <w:color w:val="000000"/>
        </w:rPr>
        <w:t xml:space="preserve">s that are prejudicial to security (within the meaning of the </w:t>
      </w:r>
      <w:r w:rsidRPr="0036430E">
        <w:rPr>
          <w:rFonts w:ascii="Times New Roman" w:eastAsia="MS PGothic" w:hAnsi="Times New Roman" w:cs="Times New Roman"/>
          <w:i/>
          <w:color w:val="000000"/>
        </w:rPr>
        <w:t>ASIO Act 1979</w:t>
      </w:r>
      <w:r w:rsidRPr="00D86D4B">
        <w:rPr>
          <w:rFonts w:ascii="Times New Roman" w:eastAsia="MS PGothic" w:hAnsi="Times New Roman" w:cs="Times New Roman"/>
          <w:color w:val="000000"/>
        </w:rPr>
        <w:t xml:space="preserve">). </w:t>
      </w:r>
    </w:p>
    <w:p w14:paraId="52841127" w14:textId="77777777" w:rsidR="008F1A01" w:rsidRDefault="008F1A01" w:rsidP="008F1A01">
      <w:pPr>
        <w:pStyle w:val="ListParagraph"/>
        <w:spacing w:after="0" w:line="240" w:lineRule="auto"/>
        <w:rPr>
          <w:rFonts w:ascii="Times New Roman" w:eastAsia="MS PGothic" w:hAnsi="Times New Roman" w:cs="Times New Roman"/>
          <w:color w:val="000000"/>
        </w:rPr>
      </w:pPr>
    </w:p>
    <w:p w14:paraId="7172E03F" w14:textId="50FEA415" w:rsidR="008F1A01" w:rsidRDefault="008F1A01" w:rsidP="008F1A01">
      <w:pPr>
        <w:pStyle w:val="ListParagraph"/>
        <w:spacing w:after="0" w:line="240" w:lineRule="auto"/>
        <w:rPr>
          <w:rFonts w:ascii="Times New Roman" w:eastAsia="MS PGothic" w:hAnsi="Times New Roman" w:cs="Times New Roman"/>
          <w:color w:val="000000"/>
        </w:rPr>
      </w:pPr>
      <w:r>
        <w:rPr>
          <w:rFonts w:ascii="Times New Roman" w:eastAsia="MS PGothic" w:hAnsi="Times New Roman" w:cs="Times New Roman"/>
          <w:color w:val="000000"/>
        </w:rPr>
        <w:t>For example</w:t>
      </w:r>
      <w:r w:rsidR="002B0BEA">
        <w:rPr>
          <w:rFonts w:ascii="Times New Roman" w:eastAsia="MS PGothic" w:hAnsi="Times New Roman" w:cs="Times New Roman"/>
          <w:color w:val="000000"/>
        </w:rPr>
        <w:t>, a Ministerial Direction may</w:t>
      </w:r>
      <w:r>
        <w:rPr>
          <w:rFonts w:ascii="Times New Roman" w:eastAsia="MS PGothic" w:hAnsi="Times New Roman" w:cs="Times New Roman"/>
          <w:color w:val="000000"/>
        </w:rPr>
        <w:t xml:space="preserve"> </w:t>
      </w:r>
      <w:r w:rsidR="002B0BEA">
        <w:rPr>
          <w:rFonts w:ascii="Times New Roman" w:eastAsia="MS PGothic" w:hAnsi="Times New Roman" w:cs="Times New Roman"/>
          <w:color w:val="000000"/>
        </w:rPr>
        <w:t>require</w:t>
      </w:r>
      <w:r w:rsidRPr="00CD6078">
        <w:rPr>
          <w:rFonts w:ascii="Times New Roman" w:eastAsia="MS PGothic" w:hAnsi="Times New Roman" w:cs="Times New Roman"/>
          <w:color w:val="000000"/>
        </w:rPr>
        <w:t xml:space="preserve"> a business to limit any offshore access to its industrial control systems unless approved by Government</w:t>
      </w:r>
      <w:r>
        <w:rPr>
          <w:rFonts w:ascii="Times New Roman" w:eastAsia="MS PGothic" w:hAnsi="Times New Roman" w:cs="Times New Roman"/>
          <w:color w:val="000000"/>
        </w:rPr>
        <w:t xml:space="preserve"> where underlying security risks, </w:t>
      </w:r>
      <w:r>
        <w:rPr>
          <w:rFonts w:ascii="Times New Roman" w:eastAsia="MS PGothic" w:hAnsi="Times New Roman" w:cs="Times New Roman"/>
          <w:color w:val="000000"/>
        </w:rPr>
        <w:lastRenderedPageBreak/>
        <w:t>such as the potential for extrajudicial influence, are identified</w:t>
      </w:r>
      <w:r w:rsidRPr="00CD6078">
        <w:rPr>
          <w:rFonts w:ascii="Times New Roman" w:eastAsia="MS PGothic" w:hAnsi="Times New Roman" w:cs="Times New Roman"/>
          <w:color w:val="000000"/>
        </w:rPr>
        <w:t>.</w:t>
      </w:r>
      <w:r>
        <w:rPr>
          <w:rFonts w:ascii="Times New Roman" w:eastAsia="MS PGothic" w:hAnsi="Times New Roman" w:cs="Times New Roman"/>
          <w:color w:val="000000"/>
        </w:rPr>
        <w:t xml:space="preserve"> This scenario is costed with section 4 of the RIS.</w:t>
      </w:r>
      <w:r w:rsidRPr="00CD6078">
        <w:rPr>
          <w:rFonts w:ascii="Times New Roman" w:eastAsia="MS PGothic" w:hAnsi="Times New Roman" w:cs="Times New Roman"/>
          <w:color w:val="000000"/>
        </w:rPr>
        <w:t xml:space="preserve"> </w:t>
      </w:r>
    </w:p>
    <w:p w14:paraId="5F11BC8F" w14:textId="77777777" w:rsidR="008F1A01" w:rsidRDefault="008F1A01" w:rsidP="008F1A01">
      <w:pPr>
        <w:pStyle w:val="ListParagraph"/>
        <w:spacing w:after="0" w:line="240" w:lineRule="auto"/>
        <w:rPr>
          <w:rFonts w:ascii="Times New Roman" w:eastAsia="MS PGothic" w:hAnsi="Times New Roman" w:cs="Times New Roman"/>
          <w:color w:val="000000"/>
        </w:rPr>
      </w:pPr>
    </w:p>
    <w:p w14:paraId="467B948A" w14:textId="77777777" w:rsidR="008F1A01" w:rsidRDefault="008F1A01" w:rsidP="008F1A01">
      <w:pPr>
        <w:pStyle w:val="ListParagraph"/>
        <w:spacing w:after="0" w:line="240" w:lineRule="auto"/>
        <w:rPr>
          <w:rFonts w:ascii="Times New Roman" w:eastAsia="MS PGothic" w:hAnsi="Times New Roman" w:cs="Times New Roman"/>
          <w:color w:val="000000"/>
        </w:rPr>
      </w:pPr>
      <w:r>
        <w:rPr>
          <w:rFonts w:ascii="Times New Roman" w:eastAsia="MS PGothic" w:hAnsi="Times New Roman" w:cs="Times New Roman"/>
          <w:color w:val="000000"/>
        </w:rPr>
        <w:t xml:space="preserve">The expansion of the </w:t>
      </w:r>
      <w:r w:rsidRPr="0048390D">
        <w:rPr>
          <w:rFonts w:ascii="Times New Roman" w:eastAsia="MS PGothic" w:hAnsi="Times New Roman" w:cs="Times New Roman"/>
          <w:color w:val="000000"/>
        </w:rPr>
        <w:t xml:space="preserve">Ministerial </w:t>
      </w:r>
      <w:r>
        <w:rPr>
          <w:rFonts w:ascii="Times New Roman" w:eastAsia="MS PGothic" w:hAnsi="Times New Roman" w:cs="Times New Roman"/>
          <w:color w:val="000000"/>
        </w:rPr>
        <w:t>D</w:t>
      </w:r>
      <w:r w:rsidRPr="0048390D">
        <w:rPr>
          <w:rFonts w:ascii="Times New Roman" w:eastAsia="MS PGothic" w:hAnsi="Times New Roman" w:cs="Times New Roman"/>
          <w:color w:val="000000"/>
        </w:rPr>
        <w:t xml:space="preserve">irections power will ensure the Government has the necessary powers to address security risks </w:t>
      </w:r>
      <w:r>
        <w:rPr>
          <w:rFonts w:ascii="Times New Roman" w:eastAsia="MS PGothic" w:hAnsi="Times New Roman" w:cs="Times New Roman"/>
          <w:color w:val="000000"/>
        </w:rPr>
        <w:t xml:space="preserve">across all critical infrastructure assets, including the newly defined </w:t>
      </w:r>
      <w:r w:rsidRPr="00373068">
        <w:rPr>
          <w:rFonts w:ascii="Times New Roman" w:eastAsia="MS PGothic" w:hAnsi="Times New Roman" w:cs="Times New Roman"/>
          <w:i/>
          <w:color w:val="000000"/>
        </w:rPr>
        <w:t>critical infrastructure assets</w:t>
      </w:r>
      <w:r>
        <w:rPr>
          <w:rFonts w:ascii="Times New Roman" w:eastAsia="MS PGothic" w:hAnsi="Times New Roman" w:cs="Times New Roman"/>
          <w:color w:val="000000"/>
        </w:rPr>
        <w:t xml:space="preserve"> proposed under this reform,</w:t>
      </w:r>
      <w:r w:rsidRPr="0048390D">
        <w:rPr>
          <w:rFonts w:ascii="Times New Roman" w:eastAsia="MS PGothic" w:hAnsi="Times New Roman" w:cs="Times New Roman"/>
          <w:color w:val="000000"/>
        </w:rPr>
        <w:t xml:space="preserve"> where these cannot be managed through other mechanisms.</w:t>
      </w:r>
      <w:r w:rsidRPr="00CD6078">
        <w:t xml:space="preserve"> </w:t>
      </w:r>
      <w:r w:rsidRPr="00CD6078">
        <w:rPr>
          <w:rFonts w:ascii="Times New Roman" w:eastAsia="MS PGothic" w:hAnsi="Times New Roman" w:cs="Times New Roman"/>
          <w:color w:val="000000"/>
        </w:rPr>
        <w:t xml:space="preserve">The current SOCI explicitly mandates that the Government must consider the use of existing mechanisms, including state and territory regimes, before issuing a direction. This mandate </w:t>
      </w:r>
      <w:r>
        <w:rPr>
          <w:rFonts w:ascii="Times New Roman" w:eastAsia="MS PGothic" w:hAnsi="Times New Roman" w:cs="Times New Roman"/>
          <w:color w:val="000000"/>
        </w:rPr>
        <w:t>provides</w:t>
      </w:r>
      <w:r w:rsidRPr="00CD6078">
        <w:rPr>
          <w:rFonts w:ascii="Times New Roman" w:eastAsia="MS PGothic" w:hAnsi="Times New Roman" w:cs="Times New Roman"/>
          <w:color w:val="000000"/>
        </w:rPr>
        <w:t xml:space="preserve"> safeguards that will ensure the power is used appropriately and not exercised beyond the remit of specific risks that are prejudicial to security </w:t>
      </w:r>
      <w:r>
        <w:rPr>
          <w:rFonts w:ascii="Times New Roman" w:eastAsia="MS PGothic" w:hAnsi="Times New Roman" w:cs="Times New Roman"/>
          <w:color w:val="000000"/>
        </w:rPr>
        <w:t>that</w:t>
      </w:r>
      <w:r w:rsidRPr="00CD6078">
        <w:rPr>
          <w:rFonts w:ascii="Times New Roman" w:eastAsia="MS PGothic" w:hAnsi="Times New Roman" w:cs="Times New Roman"/>
          <w:color w:val="000000"/>
        </w:rPr>
        <w:t xml:space="preserve"> cannot be addressed through other means. Further stringent safeguards include </w:t>
      </w:r>
      <w:r>
        <w:rPr>
          <w:rFonts w:ascii="Times New Roman" w:eastAsia="MS PGothic" w:hAnsi="Times New Roman" w:cs="Times New Roman"/>
          <w:color w:val="000000"/>
        </w:rPr>
        <w:t>the need for</w:t>
      </w:r>
      <w:r w:rsidRPr="00CD6078">
        <w:rPr>
          <w:rFonts w:ascii="Times New Roman" w:eastAsia="MS PGothic" w:hAnsi="Times New Roman" w:cs="Times New Roman"/>
          <w:color w:val="000000"/>
        </w:rPr>
        <w:t xml:space="preserve"> the directions </w:t>
      </w:r>
      <w:r>
        <w:rPr>
          <w:rFonts w:ascii="Times New Roman" w:eastAsia="MS PGothic" w:hAnsi="Times New Roman" w:cs="Times New Roman"/>
          <w:color w:val="000000"/>
        </w:rPr>
        <w:t>to only</w:t>
      </w:r>
      <w:r w:rsidRPr="00CD6078">
        <w:rPr>
          <w:rFonts w:ascii="Times New Roman" w:eastAsia="MS PGothic" w:hAnsi="Times New Roman" w:cs="Times New Roman"/>
          <w:color w:val="000000"/>
        </w:rPr>
        <w:t xml:space="preserve"> be issued in connection with the operation of a critical infrastructure asset or the delivery of a service by a critical infrastructure asset, </w:t>
      </w:r>
      <w:r>
        <w:rPr>
          <w:rFonts w:ascii="Times New Roman" w:eastAsia="MS PGothic" w:hAnsi="Times New Roman" w:cs="Times New Roman"/>
          <w:color w:val="000000"/>
        </w:rPr>
        <w:t xml:space="preserve">where </w:t>
      </w:r>
      <w:r w:rsidRPr="00CD6078">
        <w:rPr>
          <w:rFonts w:ascii="Times New Roman" w:eastAsia="MS PGothic" w:hAnsi="Times New Roman" w:cs="Times New Roman"/>
          <w:color w:val="000000"/>
        </w:rPr>
        <w:t>there is a risk of an act of omission, and that the risk would be prejudicial to security</w:t>
      </w:r>
    </w:p>
    <w:p w14:paraId="78A96380" w14:textId="77777777" w:rsidR="008F1A01" w:rsidRDefault="008F1A01" w:rsidP="00993F09">
      <w:pPr>
        <w:pStyle w:val="ListParagraph"/>
        <w:spacing w:after="0" w:line="240" w:lineRule="auto"/>
        <w:rPr>
          <w:rFonts w:ascii="Times New Roman" w:eastAsia="MS PGothic" w:hAnsi="Times New Roman" w:cs="Times New Roman"/>
          <w:color w:val="000000"/>
        </w:rPr>
      </w:pPr>
    </w:p>
    <w:p w14:paraId="18B5FFA3" w14:textId="77777777" w:rsidR="00993F09" w:rsidRPr="00D86D4B" w:rsidRDefault="00993F09" w:rsidP="00993F09">
      <w:pPr>
        <w:spacing w:after="0" w:line="240" w:lineRule="auto"/>
        <w:ind w:left="720"/>
        <w:rPr>
          <w:rFonts w:ascii="Times New Roman" w:eastAsia="MS PGothic" w:hAnsi="Times New Roman" w:cs="Times New Roman"/>
          <w:color w:val="000000"/>
        </w:rPr>
      </w:pPr>
    </w:p>
    <w:p w14:paraId="191CCD22" w14:textId="039D0BD0" w:rsidR="00993F09" w:rsidRPr="00D86D4B" w:rsidRDefault="002D0188" w:rsidP="00993F09">
      <w:pPr>
        <w:spacing w:after="0" w:line="240" w:lineRule="auto"/>
        <w:ind w:left="720"/>
        <w:rPr>
          <w:rFonts w:ascii="Times New Roman" w:eastAsia="MS PGothic" w:hAnsi="Times New Roman" w:cs="Times New Roman"/>
          <w:color w:val="000000"/>
        </w:rPr>
      </w:pPr>
      <w:r>
        <w:rPr>
          <w:rFonts w:ascii="Times New Roman" w:eastAsia="MS PGothic" w:hAnsi="Times New Roman" w:cs="Times New Roman"/>
          <w:color w:val="000000"/>
        </w:rPr>
        <w:t>T</w:t>
      </w:r>
      <w:r w:rsidR="00993F09" w:rsidRPr="00D86D4B">
        <w:rPr>
          <w:rFonts w:ascii="Times New Roman" w:eastAsia="MS PGothic" w:hAnsi="Times New Roman" w:cs="Times New Roman"/>
          <w:color w:val="000000"/>
        </w:rPr>
        <w:t>he Government Assistance measures ar</w:t>
      </w:r>
      <w:r w:rsidR="00993F09">
        <w:rPr>
          <w:rFonts w:ascii="Times New Roman" w:eastAsia="MS PGothic" w:hAnsi="Times New Roman" w:cs="Times New Roman"/>
          <w:color w:val="000000"/>
        </w:rPr>
        <w:t xml:space="preserve">e a necessary </w:t>
      </w:r>
      <w:r w:rsidR="008F1A01">
        <w:rPr>
          <w:rFonts w:ascii="Times New Roman" w:eastAsia="MS PGothic" w:hAnsi="Times New Roman" w:cs="Times New Roman"/>
          <w:color w:val="000000"/>
        </w:rPr>
        <w:t>in addition to the expansion of the Ministerial Direction powers in order to respond</w:t>
      </w:r>
      <w:r w:rsidR="00993F09">
        <w:rPr>
          <w:rFonts w:ascii="Times New Roman" w:eastAsia="MS PGothic" w:hAnsi="Times New Roman" w:cs="Times New Roman"/>
          <w:color w:val="000000"/>
        </w:rPr>
        <w:t xml:space="preserve"> to fast moving and significant cyber security incidents affecting </w:t>
      </w:r>
      <w:r w:rsidR="00993F09" w:rsidRPr="00B1725B">
        <w:rPr>
          <w:rFonts w:ascii="Times New Roman" w:eastAsia="MS PGothic" w:hAnsi="Times New Roman" w:cs="Times New Roman"/>
          <w:i/>
          <w:color w:val="000000"/>
        </w:rPr>
        <w:t>critical infrastructure asset</w:t>
      </w:r>
      <w:r w:rsidR="00993F09">
        <w:rPr>
          <w:rFonts w:ascii="Times New Roman" w:eastAsia="MS PGothic" w:hAnsi="Times New Roman" w:cs="Times New Roman"/>
          <w:i/>
          <w:color w:val="000000"/>
        </w:rPr>
        <w:t>s.</w:t>
      </w:r>
      <w:r w:rsidR="00993F09">
        <w:rPr>
          <w:rFonts w:ascii="Times New Roman" w:eastAsia="MS PGothic" w:hAnsi="Times New Roman" w:cs="Times New Roman"/>
          <w:color w:val="000000"/>
        </w:rPr>
        <w:t xml:space="preserve"> While Ministerial Directions can only be issue</w:t>
      </w:r>
      <w:r w:rsidR="008F1A01">
        <w:rPr>
          <w:rFonts w:ascii="Times New Roman" w:eastAsia="MS PGothic" w:hAnsi="Times New Roman" w:cs="Times New Roman"/>
          <w:color w:val="000000"/>
        </w:rPr>
        <w:t>d</w:t>
      </w:r>
      <w:r w:rsidR="00993F09">
        <w:rPr>
          <w:rFonts w:ascii="Times New Roman" w:eastAsia="MS PGothic" w:hAnsi="Times New Roman" w:cs="Times New Roman"/>
          <w:color w:val="000000"/>
        </w:rPr>
        <w:t xml:space="preserve"> to </w:t>
      </w:r>
      <w:r w:rsidR="00993F09" w:rsidRPr="00B1725B">
        <w:rPr>
          <w:rFonts w:ascii="Times New Roman" w:eastAsia="MS PGothic" w:hAnsi="Times New Roman" w:cs="Times New Roman"/>
          <w:i/>
          <w:color w:val="000000"/>
        </w:rPr>
        <w:t>critical infrastructure asset</w:t>
      </w:r>
      <w:r w:rsidR="00993F09">
        <w:rPr>
          <w:rFonts w:ascii="Times New Roman" w:eastAsia="MS PGothic" w:hAnsi="Times New Roman" w:cs="Times New Roman"/>
          <w:color w:val="000000"/>
        </w:rPr>
        <w:t xml:space="preserve">s and their operators, Government Assistance measures are intended to be directed at an asset within a </w:t>
      </w:r>
      <w:r w:rsidR="00993F09" w:rsidRPr="00B1725B">
        <w:rPr>
          <w:rFonts w:ascii="Times New Roman" w:eastAsia="MS PGothic" w:hAnsi="Times New Roman" w:cs="Times New Roman"/>
          <w:i/>
          <w:color w:val="000000"/>
        </w:rPr>
        <w:t>critical infrastructure sector</w:t>
      </w:r>
      <w:r w:rsidR="00993F09">
        <w:rPr>
          <w:rFonts w:ascii="Times New Roman" w:eastAsia="MS PGothic" w:hAnsi="Times New Roman" w:cs="Times New Roman"/>
          <w:color w:val="000000"/>
        </w:rPr>
        <w:t xml:space="preserve"> that is impacting a </w:t>
      </w:r>
      <w:r w:rsidR="00993F09" w:rsidRPr="00B1725B">
        <w:rPr>
          <w:rFonts w:ascii="Times New Roman" w:eastAsia="MS PGothic" w:hAnsi="Times New Roman" w:cs="Times New Roman"/>
          <w:i/>
          <w:color w:val="000000"/>
        </w:rPr>
        <w:t>critical infrastructure asset</w:t>
      </w:r>
      <w:r w:rsidR="00993F09">
        <w:rPr>
          <w:rFonts w:ascii="Times New Roman" w:eastAsia="MS PGothic" w:hAnsi="Times New Roman" w:cs="Times New Roman"/>
          <w:color w:val="000000"/>
        </w:rPr>
        <w:t xml:space="preserve">s. This allows measures to be directed at the entity best placed to respond to an incident. </w:t>
      </w:r>
      <w:r w:rsidR="00993F09" w:rsidRPr="00DB5750">
        <w:rPr>
          <w:rFonts w:ascii="Times New Roman" w:eastAsia="MS PGothic" w:hAnsi="Times New Roman" w:cs="Times New Roman"/>
          <w:color w:val="000000"/>
        </w:rPr>
        <w:t xml:space="preserve">This reflects the complex and interconnected nature of Australia’s economy where the functionality and operability of </w:t>
      </w:r>
      <w:r w:rsidR="00993F09" w:rsidRPr="00B1725B">
        <w:rPr>
          <w:rFonts w:ascii="Times New Roman" w:eastAsia="MS PGothic" w:hAnsi="Times New Roman" w:cs="Times New Roman"/>
          <w:i/>
          <w:color w:val="000000"/>
        </w:rPr>
        <w:t>critical infrastructure asset</w:t>
      </w:r>
      <w:r w:rsidR="00993F09" w:rsidRPr="0036430E">
        <w:rPr>
          <w:rFonts w:ascii="Times New Roman" w:eastAsia="MS PGothic" w:hAnsi="Times New Roman" w:cs="Times New Roman"/>
          <w:i/>
          <w:color w:val="000000"/>
        </w:rPr>
        <w:t xml:space="preserve">s </w:t>
      </w:r>
      <w:r w:rsidR="00993F09" w:rsidRPr="00DB5750">
        <w:rPr>
          <w:rFonts w:ascii="Times New Roman" w:eastAsia="MS PGothic" w:hAnsi="Times New Roman" w:cs="Times New Roman"/>
          <w:color w:val="000000"/>
        </w:rPr>
        <w:t xml:space="preserve">are dependent on the services of a variety of assets </w:t>
      </w:r>
      <w:r w:rsidR="00993F09">
        <w:rPr>
          <w:rFonts w:ascii="Times New Roman" w:eastAsia="MS PGothic" w:hAnsi="Times New Roman" w:cs="Times New Roman"/>
          <w:color w:val="000000"/>
        </w:rPr>
        <w:t>with</w:t>
      </w:r>
      <w:r w:rsidR="00993F09" w:rsidRPr="00DB5750">
        <w:rPr>
          <w:rFonts w:ascii="Times New Roman" w:eastAsia="MS PGothic" w:hAnsi="Times New Roman" w:cs="Times New Roman"/>
          <w:color w:val="000000"/>
        </w:rPr>
        <w:t xml:space="preserve">in </w:t>
      </w:r>
      <w:r w:rsidR="00993F09" w:rsidRPr="00B1725B">
        <w:rPr>
          <w:rFonts w:ascii="Times New Roman" w:eastAsia="MS PGothic" w:hAnsi="Times New Roman" w:cs="Times New Roman"/>
          <w:i/>
          <w:color w:val="000000"/>
        </w:rPr>
        <w:t>critical infrastructure sector</w:t>
      </w:r>
      <w:r w:rsidR="00993F09" w:rsidRPr="0036430E">
        <w:rPr>
          <w:rFonts w:ascii="Times New Roman" w:eastAsia="MS PGothic" w:hAnsi="Times New Roman" w:cs="Times New Roman"/>
          <w:i/>
          <w:color w:val="000000"/>
        </w:rPr>
        <w:t>s</w:t>
      </w:r>
      <w:r w:rsidR="00993F09" w:rsidRPr="00DB5750">
        <w:rPr>
          <w:rFonts w:ascii="Times New Roman" w:eastAsia="MS PGothic" w:hAnsi="Times New Roman" w:cs="Times New Roman"/>
          <w:color w:val="000000"/>
        </w:rPr>
        <w:t>. In particular, this relationship is often dependent on, or facilitated by, an interconnected digital network or internet-connected systems</w:t>
      </w:r>
      <w:r w:rsidR="00993F09">
        <w:rPr>
          <w:rFonts w:ascii="Times New Roman" w:eastAsia="MS PGothic" w:hAnsi="Times New Roman" w:cs="Times New Roman"/>
          <w:color w:val="000000"/>
        </w:rPr>
        <w:t>.</w:t>
      </w:r>
    </w:p>
    <w:p w14:paraId="00F65EAF" w14:textId="073711F4" w:rsidR="00993F09" w:rsidRPr="000266F5" w:rsidRDefault="00993F09" w:rsidP="00993F09">
      <w:pPr>
        <w:tabs>
          <w:tab w:val="left" w:pos="426"/>
        </w:tabs>
        <w:spacing w:before="240" w:after="0" w:line="240" w:lineRule="auto"/>
        <w:rPr>
          <w:rFonts w:ascii="Times New Roman" w:eastAsia="MS PGothic" w:hAnsi="Times New Roman" w:cs="Times New Roman"/>
          <w:iCs/>
          <w:color w:val="000000"/>
          <w:u w:val="single"/>
        </w:rPr>
      </w:pPr>
      <w:r w:rsidRPr="000266F5">
        <w:rPr>
          <w:rFonts w:ascii="Times New Roman" w:eastAsia="MS PGothic" w:hAnsi="Times New Roman" w:cs="Times New Roman"/>
          <w:iCs/>
          <w:color w:val="000000"/>
          <w:u w:val="single"/>
        </w:rPr>
        <w:t xml:space="preserve">Voluntary engagement through the Trusted Information Sharing Network </w:t>
      </w:r>
      <w:r w:rsidR="002D0188">
        <w:rPr>
          <w:rFonts w:ascii="Times New Roman" w:eastAsia="MS PGothic" w:hAnsi="Times New Roman" w:cs="Times New Roman"/>
          <w:iCs/>
          <w:color w:val="000000"/>
          <w:u w:val="single"/>
        </w:rPr>
        <w:t xml:space="preserve">for Critical Infrastructure Resilience </w:t>
      </w:r>
      <w:r w:rsidRPr="000266F5">
        <w:rPr>
          <w:rFonts w:ascii="Times New Roman" w:eastAsia="MS PGothic" w:hAnsi="Times New Roman" w:cs="Times New Roman"/>
          <w:iCs/>
          <w:color w:val="000000"/>
          <w:u w:val="single"/>
        </w:rPr>
        <w:t xml:space="preserve">(TISN) </w:t>
      </w:r>
    </w:p>
    <w:p w14:paraId="069AFE13" w14:textId="77777777" w:rsidR="00993F09" w:rsidRPr="000266F5" w:rsidRDefault="00993F09" w:rsidP="00993F09">
      <w:pPr>
        <w:tabs>
          <w:tab w:val="left" w:pos="426"/>
        </w:tabs>
        <w:spacing w:after="0" w:line="240" w:lineRule="auto"/>
        <w:rPr>
          <w:rFonts w:ascii="Times New Roman" w:eastAsia="MS PGothic" w:hAnsi="Times New Roman" w:cs="Times New Roman"/>
          <w:iCs/>
          <w:color w:val="000000"/>
          <w:u w:val="single"/>
        </w:rPr>
      </w:pPr>
    </w:p>
    <w:p w14:paraId="0311CF9C" w14:textId="51084C8C" w:rsidR="00993F09" w:rsidRPr="000266F5" w:rsidRDefault="00993F09" w:rsidP="00993F09">
      <w:pPr>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The proposed measures are intended to leverage and enhance existing regulatory frameworks, and will be </w:t>
      </w:r>
      <w:r w:rsidRPr="000266F5">
        <w:rPr>
          <w:rFonts w:ascii="Times New Roman" w:eastAsia="Arial" w:hAnsi="Times New Roman" w:cs="Times New Roman"/>
          <w:color w:val="000000"/>
        </w:rPr>
        <w:t>enriched</w:t>
      </w:r>
      <w:r w:rsidRPr="000266F5">
        <w:rPr>
          <w:rFonts w:ascii="Times New Roman" w:eastAsia="MS PGothic" w:hAnsi="Times New Roman" w:cs="Times New Roman"/>
          <w:color w:val="000000"/>
        </w:rPr>
        <w:t xml:space="preserve"> by enhanced government-industry engagement and collaboration through the TISN.</w:t>
      </w:r>
    </w:p>
    <w:p w14:paraId="5D565531" w14:textId="77777777" w:rsidR="00993F09" w:rsidRDefault="00993F09" w:rsidP="00EE0D81">
      <w:pPr>
        <w:spacing w:after="0"/>
        <w:rPr>
          <w:rFonts w:ascii="Times New Roman" w:eastAsia="Arial" w:hAnsi="Times New Roman" w:cs="Times New Roman"/>
          <w:color w:val="000000"/>
        </w:rPr>
      </w:pPr>
    </w:p>
    <w:p w14:paraId="540F183D" w14:textId="0DCD6BB2" w:rsidR="00993F09" w:rsidRPr="000266F5" w:rsidRDefault="00993F09" w:rsidP="00993F09">
      <w:pPr>
        <w:rPr>
          <w:rFonts w:ascii="Times New Roman" w:eastAsia="Arial" w:hAnsi="Times New Roman" w:cs="Times New Roman"/>
        </w:rPr>
      </w:pPr>
      <w:r w:rsidRPr="000266F5">
        <w:rPr>
          <w:rFonts w:ascii="Times New Roman" w:eastAsia="Arial" w:hAnsi="Times New Roman" w:cs="Times New Roman"/>
          <w:color w:val="000000"/>
        </w:rPr>
        <w:t>T</w:t>
      </w:r>
      <w:r w:rsidRPr="000266F5">
        <w:rPr>
          <w:rFonts w:ascii="Times New Roman" w:eastAsia="Arial" w:hAnsi="Times New Roman" w:cs="Times New Roman"/>
        </w:rPr>
        <w:t xml:space="preserve">he </w:t>
      </w:r>
      <w:r>
        <w:rPr>
          <w:rFonts w:ascii="Times New Roman" w:eastAsia="Arial" w:hAnsi="Times New Roman" w:cs="Times New Roman"/>
          <w:color w:val="000000"/>
        </w:rPr>
        <w:t>TISN</w:t>
      </w:r>
      <w:r w:rsidRPr="000266F5">
        <w:rPr>
          <w:rFonts w:ascii="Times New Roman" w:eastAsia="Arial" w:hAnsi="Times New Roman" w:cs="Times New Roman"/>
        </w:rPr>
        <w:t xml:space="preserve"> was established in 2003 and is the primary voluntary engagement mechanism for industry-government information sharing and resilience building initiatives. The refreshed </w:t>
      </w:r>
      <w:r>
        <w:rPr>
          <w:rFonts w:ascii="Times New Roman" w:eastAsia="Arial" w:hAnsi="Times New Roman" w:cs="Times New Roman"/>
        </w:rPr>
        <w:t>TISN</w:t>
      </w:r>
      <w:r w:rsidRPr="000266F5">
        <w:rPr>
          <w:rFonts w:ascii="Times New Roman" w:eastAsia="Arial" w:hAnsi="Times New Roman" w:cs="Times New Roman"/>
        </w:rPr>
        <w:t xml:space="preserve"> will better support the wide-ranging regulatory reforms to </w:t>
      </w:r>
      <w:r>
        <w:rPr>
          <w:rFonts w:ascii="Times New Roman" w:eastAsia="Arial" w:hAnsi="Times New Roman" w:cs="Times New Roman"/>
        </w:rPr>
        <w:t>SoCI</w:t>
      </w:r>
      <w:r w:rsidRPr="000266F5">
        <w:rPr>
          <w:rFonts w:ascii="Times New Roman" w:eastAsia="Arial" w:hAnsi="Times New Roman" w:cs="Times New Roman"/>
          <w:i/>
        </w:rPr>
        <w:t xml:space="preserve">, </w:t>
      </w:r>
      <w:r w:rsidRPr="000266F5">
        <w:rPr>
          <w:rFonts w:ascii="Times New Roman" w:eastAsia="Arial" w:hAnsi="Times New Roman" w:cs="Times New Roman"/>
        </w:rPr>
        <w:t xml:space="preserve">reflecting the increased interdependency of </w:t>
      </w:r>
      <w:r w:rsidRPr="00EE0D81">
        <w:rPr>
          <w:rFonts w:ascii="Times New Roman" w:hAnsi="Times New Roman"/>
          <w:i/>
        </w:rPr>
        <w:t>critical infrastructure sector</w:t>
      </w:r>
      <w:r w:rsidRPr="000266F5">
        <w:rPr>
          <w:rFonts w:ascii="Times New Roman" w:eastAsia="Arial" w:hAnsi="Times New Roman" w:cs="Times New Roman"/>
        </w:rPr>
        <w:t xml:space="preserve">s. </w:t>
      </w:r>
      <w:r w:rsidRPr="000266F5">
        <w:rPr>
          <w:rFonts w:ascii="Times New Roman" w:eastAsia="Arial" w:hAnsi="Times New Roman" w:cs="Times New Roman"/>
          <w:color w:val="000000"/>
        </w:rPr>
        <w:t xml:space="preserve">The success of the regulatory changes outlined above will be underpinned by enhancements to the network, which </w:t>
      </w:r>
      <w:r w:rsidRPr="000266F5">
        <w:rPr>
          <w:rFonts w:ascii="Times New Roman" w:eastAsia="Arial" w:hAnsi="Times New Roman" w:cs="Times New Roman"/>
        </w:rPr>
        <w:t>i</w:t>
      </w:r>
      <w:r w:rsidRPr="000266F5">
        <w:rPr>
          <w:rFonts w:ascii="Times New Roman" w:eastAsia="Arial" w:hAnsi="Times New Roman" w:cs="Times New Roman"/>
          <w:color w:val="000000"/>
        </w:rPr>
        <w:t>nclude greater engagement, education, guidance and collaboration with industry.</w:t>
      </w:r>
    </w:p>
    <w:p w14:paraId="6221B699" w14:textId="39F57000" w:rsidR="00993F09" w:rsidRPr="000266F5" w:rsidRDefault="00993F09" w:rsidP="00993F09">
      <w:pPr>
        <w:rPr>
          <w:rFonts w:ascii="Times New Roman" w:eastAsia="MS PGothic" w:hAnsi="Times New Roman" w:cs="Times New Roman"/>
          <w:color w:val="000000"/>
        </w:rPr>
      </w:pPr>
      <w:r>
        <w:rPr>
          <w:rFonts w:ascii="Times New Roman" w:eastAsia="Arial" w:hAnsi="Times New Roman" w:cs="Times New Roman"/>
        </w:rPr>
        <w:t>The TISN</w:t>
      </w:r>
      <w:r w:rsidRPr="000266F5">
        <w:rPr>
          <w:rFonts w:ascii="Times New Roman" w:eastAsia="Arial" w:hAnsi="Times New Roman" w:cs="Times New Roman"/>
        </w:rPr>
        <w:t xml:space="preserve"> will support the implementation and delivery of the proposed reforms to </w:t>
      </w:r>
      <w:r>
        <w:rPr>
          <w:rFonts w:ascii="Times New Roman" w:eastAsia="MS PGothic" w:hAnsi="Times New Roman" w:cs="Times New Roman"/>
          <w:color w:val="000000"/>
        </w:rPr>
        <w:t>SoCI</w:t>
      </w:r>
      <w:r w:rsidRPr="000266F5">
        <w:rPr>
          <w:rFonts w:ascii="Times New Roman" w:eastAsia="MS PGothic" w:hAnsi="Times New Roman" w:cs="Times New Roman"/>
          <w:i/>
          <w:color w:val="000000"/>
        </w:rPr>
        <w:t xml:space="preserve"> </w:t>
      </w:r>
      <w:r w:rsidRPr="000266F5">
        <w:rPr>
          <w:rFonts w:ascii="Times New Roman" w:eastAsia="MS PGothic" w:hAnsi="Times New Roman" w:cs="Times New Roman"/>
          <w:color w:val="000000"/>
        </w:rPr>
        <w:t xml:space="preserve">by providing a forum to co-design sector specific regulations and best practice guidance to ensure the obligations are fit for purpose and to support industry to comply with its obligations. The </w:t>
      </w:r>
      <w:r>
        <w:rPr>
          <w:rFonts w:ascii="Times New Roman" w:eastAsia="MS PGothic" w:hAnsi="Times New Roman" w:cs="Times New Roman"/>
          <w:color w:val="000000"/>
        </w:rPr>
        <w:t>TISN</w:t>
      </w:r>
      <w:r w:rsidRPr="000266F5">
        <w:rPr>
          <w:rFonts w:ascii="Times New Roman" w:eastAsia="MS PGothic" w:hAnsi="Times New Roman" w:cs="Times New Roman"/>
          <w:color w:val="000000"/>
        </w:rPr>
        <w:t xml:space="preserve"> will expand the number of sector groups to better support the range of critical infrastructure owners and operators in the 11 identified </w:t>
      </w:r>
      <w:r w:rsidRPr="00EE0D81">
        <w:rPr>
          <w:rFonts w:ascii="Times New Roman" w:hAnsi="Times New Roman"/>
          <w:i/>
          <w:color w:val="000000"/>
        </w:rPr>
        <w:t>critical infrastructure sector</w:t>
      </w:r>
      <w:r w:rsidRPr="000266F5">
        <w:rPr>
          <w:rFonts w:ascii="Times New Roman" w:eastAsia="MS PGothic" w:hAnsi="Times New Roman" w:cs="Times New Roman"/>
          <w:color w:val="000000"/>
        </w:rPr>
        <w:t xml:space="preserve">s, reflecting the broader </w:t>
      </w:r>
      <w:r w:rsidRPr="000266F5">
        <w:rPr>
          <w:rFonts w:ascii="Times New Roman" w:eastAsia="Arial" w:hAnsi="Times New Roman" w:cs="Times New Roman"/>
        </w:rPr>
        <w:t xml:space="preserve">regulatory environment. The </w:t>
      </w:r>
      <w:r>
        <w:rPr>
          <w:rFonts w:ascii="Times New Roman" w:eastAsia="Arial" w:hAnsi="Times New Roman" w:cs="Times New Roman"/>
        </w:rPr>
        <w:t>TISN</w:t>
      </w:r>
      <w:r w:rsidRPr="000266F5">
        <w:rPr>
          <w:rFonts w:ascii="Times New Roman" w:eastAsia="Arial" w:hAnsi="Times New Roman" w:cs="Times New Roman"/>
        </w:rPr>
        <w:t xml:space="preserve"> structure will also provide greater opportunities for cross-sector collaboration, in recognition of increasing sector interdependencies. </w:t>
      </w:r>
      <w:r w:rsidRPr="000266F5">
        <w:rPr>
          <w:rFonts w:ascii="Times New Roman" w:eastAsia="MS PGothic" w:hAnsi="Times New Roman" w:cs="Times New Roman"/>
          <w:color w:val="000000"/>
        </w:rPr>
        <w:t xml:space="preserve">This approach will encourage all affected entities, large and small, to participate in the design process and ensure the resulting regulations provide a level playing field for all participants. It will also enable members to better understand, and therefore fulfil, their regulatory responsibilities, which will result in a decrease in the need and cost of compliance activity. </w:t>
      </w:r>
      <w:r w:rsidRPr="000266F5">
        <w:rPr>
          <w:rFonts w:ascii="Times New Roman" w:eastAsia="Arial" w:hAnsi="Times New Roman" w:cs="Times New Roman"/>
        </w:rPr>
        <w:lastRenderedPageBreak/>
        <w:t xml:space="preserve">By facilitating government-industry engagement across a broader range of sectors and issues, owners and operators of </w:t>
      </w:r>
      <w:r w:rsidRPr="00EE0D81">
        <w:rPr>
          <w:rFonts w:ascii="Times New Roman" w:hAnsi="Times New Roman"/>
          <w:i/>
        </w:rPr>
        <w:t>critical infrastructure asset</w:t>
      </w:r>
      <w:r w:rsidRPr="000266F5">
        <w:rPr>
          <w:rFonts w:ascii="Times New Roman" w:eastAsia="Arial" w:hAnsi="Times New Roman" w:cs="Times New Roman"/>
        </w:rPr>
        <w:t xml:space="preserve">s will have an improved ability to ensure continuity of service of </w:t>
      </w:r>
      <w:r w:rsidRPr="00EE0D81">
        <w:rPr>
          <w:rFonts w:ascii="Times New Roman" w:hAnsi="Times New Roman"/>
          <w:i/>
        </w:rPr>
        <w:t>critical infrastructure asset</w:t>
      </w:r>
      <w:r w:rsidRPr="000266F5">
        <w:rPr>
          <w:rFonts w:ascii="Times New Roman" w:eastAsia="Arial" w:hAnsi="Times New Roman" w:cs="Times New Roman"/>
        </w:rPr>
        <w:t>s in the face of all-hazards.</w:t>
      </w:r>
      <w:r w:rsidRPr="000266F5">
        <w:rPr>
          <w:rFonts w:ascii="Times New Roman" w:eastAsia="MS PGothic" w:hAnsi="Times New Roman" w:cs="Times New Roman"/>
          <w:color w:val="000000"/>
        </w:rPr>
        <w:t xml:space="preserve"> </w:t>
      </w:r>
    </w:p>
    <w:p w14:paraId="4266EEA3" w14:textId="1E4479D4" w:rsidR="00993F09" w:rsidRPr="000266F5" w:rsidRDefault="00993F09" w:rsidP="00993F09">
      <w:pPr>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The refreshed </w:t>
      </w:r>
      <w:r>
        <w:rPr>
          <w:rFonts w:ascii="Times New Roman" w:eastAsia="MS PGothic" w:hAnsi="Times New Roman" w:cs="Times New Roman"/>
          <w:color w:val="000000"/>
        </w:rPr>
        <w:t>TISN</w:t>
      </w:r>
      <w:r w:rsidRPr="000266F5">
        <w:rPr>
          <w:rFonts w:ascii="Times New Roman" w:eastAsia="MS PGothic" w:hAnsi="Times New Roman" w:cs="Times New Roman"/>
          <w:color w:val="000000"/>
        </w:rPr>
        <w:t xml:space="preserve"> will </w:t>
      </w:r>
      <w:r>
        <w:rPr>
          <w:rFonts w:ascii="Times New Roman" w:eastAsia="MS PGothic" w:hAnsi="Times New Roman" w:cs="Times New Roman"/>
          <w:color w:val="000000"/>
        </w:rPr>
        <w:t xml:space="preserve">also </w:t>
      </w:r>
      <w:r w:rsidRPr="000266F5">
        <w:rPr>
          <w:rFonts w:ascii="Times New Roman" w:eastAsia="MS PGothic" w:hAnsi="Times New Roman" w:cs="Times New Roman"/>
          <w:color w:val="000000"/>
        </w:rPr>
        <w:t xml:space="preserve">help achieve the objective of the new </w:t>
      </w:r>
      <w:r w:rsidRPr="000266F5">
        <w:rPr>
          <w:rFonts w:ascii="Times New Roman" w:eastAsia="MS PGothic" w:hAnsi="Times New Roman" w:cs="Times New Roman"/>
          <w:i/>
          <w:iCs/>
          <w:color w:val="000000"/>
        </w:rPr>
        <w:t>Critical Infrastructure Resilience Strategy</w:t>
      </w:r>
      <w:r w:rsidRPr="000266F5">
        <w:rPr>
          <w:rFonts w:ascii="Times New Roman" w:eastAsia="MS PGothic" w:hAnsi="Times New Roman" w:cs="Times New Roman"/>
          <w:color w:val="000000"/>
        </w:rPr>
        <w:t xml:space="preserve"> (due for release in early 2021) to establish a common understanding of critical infrastructure resilience and to promote critical infrastructure that can withstand and mitigate the effects of all hazards and to quickly return to service after any periods of disruption. </w:t>
      </w:r>
    </w:p>
    <w:p w14:paraId="01DDC201" w14:textId="77777777" w:rsidR="00993F09" w:rsidRPr="000266F5" w:rsidRDefault="00993F09" w:rsidP="00993F09">
      <w:pPr>
        <w:tabs>
          <w:tab w:val="left" w:pos="426"/>
        </w:tabs>
        <w:spacing w:after="0" w:line="240" w:lineRule="auto"/>
        <w:rPr>
          <w:rFonts w:ascii="Times New Roman" w:eastAsia="MS PGothic" w:hAnsi="Times New Roman" w:cs="Times New Roman"/>
          <w:iCs/>
          <w:color w:val="000000"/>
          <w:u w:val="single"/>
        </w:rPr>
      </w:pPr>
      <w:r w:rsidRPr="000266F5">
        <w:rPr>
          <w:rFonts w:ascii="Times New Roman" w:eastAsia="MS PGothic" w:hAnsi="Times New Roman" w:cs="Times New Roman"/>
          <w:iCs/>
          <w:color w:val="000000"/>
          <w:u w:val="single"/>
        </w:rPr>
        <w:t>Compliance and enforcement</w:t>
      </w:r>
    </w:p>
    <w:p w14:paraId="33684B39" w14:textId="77777777" w:rsidR="00993F09" w:rsidRPr="000266F5" w:rsidRDefault="00993F09" w:rsidP="00993F09">
      <w:pPr>
        <w:tabs>
          <w:tab w:val="left" w:pos="426"/>
        </w:tabs>
        <w:spacing w:after="0" w:line="240" w:lineRule="auto"/>
        <w:rPr>
          <w:rFonts w:ascii="Times New Roman" w:eastAsia="MS PGothic" w:hAnsi="Times New Roman" w:cs="Times New Roman"/>
          <w:iCs/>
          <w:color w:val="000000"/>
          <w:u w:val="single"/>
        </w:rPr>
      </w:pPr>
    </w:p>
    <w:p w14:paraId="431A9FA7" w14:textId="114BAFAD" w:rsidR="00993F09" w:rsidRPr="000266F5" w:rsidRDefault="00993F09" w:rsidP="00993F09">
      <w:pPr>
        <w:spacing w:after="0" w:line="240" w:lineRule="auto"/>
        <w:rPr>
          <w:rFonts w:ascii="Times New Roman" w:eastAsia="Arial" w:hAnsi="Times New Roman" w:cs="Times New Roman"/>
          <w:color w:val="000000"/>
        </w:rPr>
      </w:pPr>
      <w:r w:rsidRPr="000266F5">
        <w:rPr>
          <w:rFonts w:ascii="Times New Roman" w:eastAsia="MS PGothic" w:hAnsi="Times New Roman" w:cs="Times New Roman"/>
          <w:color w:val="000000"/>
        </w:rPr>
        <w:t xml:space="preserve">The Department, as the primary regulator, will have various monitoring and investigation powers to support compliance and enforcement activities. In addition to those powers already contained in </w:t>
      </w:r>
      <w:r>
        <w:rPr>
          <w:rFonts w:ascii="Times New Roman" w:eastAsia="MS PGothic" w:hAnsi="Times New Roman" w:cs="Times New Roman"/>
          <w:color w:val="000000"/>
        </w:rPr>
        <w:t>SoCI</w:t>
      </w:r>
      <w:r w:rsidRPr="000266F5">
        <w:rPr>
          <w:rFonts w:ascii="Times New Roman" w:eastAsia="MS PGothic" w:hAnsi="Times New Roman" w:cs="Times New Roman"/>
          <w:color w:val="000000"/>
        </w:rPr>
        <w:t xml:space="preserve">, Parts 2 and 3 of the </w:t>
      </w:r>
      <w:r w:rsidRPr="000266F5">
        <w:rPr>
          <w:rFonts w:ascii="Times New Roman" w:eastAsia="Arial" w:hAnsi="Times New Roman" w:cs="Times New Roman"/>
          <w:i/>
          <w:iCs/>
          <w:color w:val="000000"/>
        </w:rPr>
        <w:t xml:space="preserve">Regulatory Powers (Standard Provisions) Act 2014 </w:t>
      </w:r>
      <w:r w:rsidRPr="000266F5">
        <w:rPr>
          <w:rFonts w:ascii="Times New Roman" w:eastAsia="Arial" w:hAnsi="Times New Roman" w:cs="Times New Roman"/>
          <w:color w:val="000000"/>
        </w:rPr>
        <w:t xml:space="preserve">will be activated in relation to provisions of </w:t>
      </w:r>
      <w:r>
        <w:rPr>
          <w:rFonts w:ascii="Times New Roman" w:eastAsia="Arial" w:hAnsi="Times New Roman" w:cs="Times New Roman"/>
          <w:color w:val="000000"/>
        </w:rPr>
        <w:t>SoCI</w:t>
      </w:r>
      <w:r w:rsidRPr="000266F5">
        <w:rPr>
          <w:rFonts w:ascii="Times New Roman" w:eastAsia="Arial" w:hAnsi="Times New Roman" w:cs="Times New Roman"/>
          <w:color w:val="000000"/>
        </w:rPr>
        <w:t xml:space="preserve">. These powers will also be able to be conferred on another relevant Commonwealth regulator where it is determined that they are best placed to regulate compliance </w:t>
      </w:r>
      <w:r w:rsidRPr="000266F5">
        <w:rPr>
          <w:rFonts w:ascii="Times New Roman" w:eastAsia="Arial" w:hAnsi="Times New Roman" w:cs="Times New Roman"/>
        </w:rPr>
        <w:t>with</w:t>
      </w:r>
      <w:r w:rsidRPr="000266F5">
        <w:rPr>
          <w:rFonts w:ascii="Times New Roman" w:eastAsia="Arial" w:hAnsi="Times New Roman" w:cs="Times New Roman"/>
          <w:color w:val="000000"/>
        </w:rPr>
        <w:t xml:space="preserve"> the obligations in a particular sector.</w:t>
      </w:r>
    </w:p>
    <w:p w14:paraId="6F6BA142" w14:textId="77777777" w:rsidR="00993F09" w:rsidRPr="000266F5" w:rsidRDefault="00993F09" w:rsidP="00993F09">
      <w:pPr>
        <w:pStyle w:val="ListParagraph"/>
        <w:tabs>
          <w:tab w:val="left" w:pos="426"/>
        </w:tabs>
        <w:spacing w:after="0" w:line="240" w:lineRule="auto"/>
        <w:ind w:left="227"/>
        <w:rPr>
          <w:rFonts w:ascii="Times New Roman" w:eastAsia="Arial" w:hAnsi="Times New Roman" w:cs="Times New Roman"/>
          <w:color w:val="000000"/>
        </w:rPr>
      </w:pPr>
    </w:p>
    <w:p w14:paraId="0F1647C8" w14:textId="628B456F" w:rsidR="00993F09" w:rsidRDefault="00993F09" w:rsidP="00993F09">
      <w:pPr>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These monitoring and investigation powers will be supported by a </w:t>
      </w:r>
      <w:r w:rsidRPr="000266F5">
        <w:rPr>
          <w:rFonts w:ascii="Times New Roman" w:eastAsia="Arial" w:hAnsi="Times New Roman" w:cs="Times New Roman"/>
        </w:rPr>
        <w:t>series of civil penalties and criminal sanctions which attach to non-compliance with the obligations under the Act.</w:t>
      </w:r>
      <w:r>
        <w:rPr>
          <w:rFonts w:ascii="Times New Roman" w:eastAsia="Arial" w:hAnsi="Times New Roman" w:cs="Times New Roman"/>
        </w:rPr>
        <w:t xml:space="preserve"> </w:t>
      </w:r>
      <w:r>
        <w:rPr>
          <w:rFonts w:ascii="Times New Roman" w:eastAsia="Arial" w:hAnsi="Times New Roman" w:cs="Times New Roman"/>
          <w:color w:val="000000"/>
        </w:rPr>
        <w:t>Civil penalties range from 150 to 200 penalty units</w:t>
      </w:r>
      <w:r w:rsidR="002D0188">
        <w:rPr>
          <w:rFonts w:ascii="Times New Roman" w:eastAsia="Arial" w:hAnsi="Times New Roman" w:cs="Times New Roman"/>
          <w:color w:val="000000"/>
        </w:rPr>
        <w:t xml:space="preserve"> per day of non-compliance</w:t>
      </w:r>
      <w:r>
        <w:rPr>
          <w:rFonts w:ascii="Times New Roman" w:eastAsia="Arial" w:hAnsi="Times New Roman" w:cs="Times New Roman"/>
          <w:color w:val="000000"/>
        </w:rPr>
        <w:t xml:space="preserve">. This is to ensure that the penalties associated with the new obligations are proportionate to the existing penalties within the current SoCI as well as reflect the </w:t>
      </w:r>
      <w:r w:rsidRPr="00C866D3">
        <w:rPr>
          <w:rFonts w:ascii="Times New Roman" w:eastAsia="Arial" w:hAnsi="Times New Roman" w:cs="Times New Roman"/>
          <w:color w:val="000000"/>
        </w:rPr>
        <w:t xml:space="preserve">seriousness of inaction </w:t>
      </w:r>
      <w:r>
        <w:rPr>
          <w:rFonts w:ascii="Times New Roman" w:eastAsia="Arial" w:hAnsi="Times New Roman" w:cs="Times New Roman"/>
          <w:color w:val="000000"/>
        </w:rPr>
        <w:t>and</w:t>
      </w:r>
      <w:r w:rsidRPr="00C866D3">
        <w:rPr>
          <w:rFonts w:ascii="Times New Roman" w:eastAsia="Arial" w:hAnsi="Times New Roman" w:cs="Times New Roman"/>
          <w:color w:val="000000"/>
        </w:rPr>
        <w:t xml:space="preserve"> dissuade entities from not meeting their obligations.</w:t>
      </w:r>
    </w:p>
    <w:p w14:paraId="64CC7F39" w14:textId="77777777" w:rsidR="00993F09" w:rsidRPr="000266F5" w:rsidRDefault="00993F09" w:rsidP="00993F09">
      <w:pPr>
        <w:spacing w:after="0" w:line="240" w:lineRule="auto"/>
        <w:rPr>
          <w:rFonts w:ascii="Times New Roman" w:eastAsia="Arial" w:hAnsi="Times New Roman" w:cs="Times New Roman"/>
          <w:color w:val="000000"/>
        </w:rPr>
      </w:pPr>
    </w:p>
    <w:p w14:paraId="1439970F" w14:textId="1F9F3C04" w:rsidR="00993F09" w:rsidRPr="00EE0D81" w:rsidRDefault="00993F09" w:rsidP="00993F09">
      <w:pPr>
        <w:spacing w:after="0" w:line="240" w:lineRule="auto"/>
        <w:rPr>
          <w:rFonts w:ascii="Times New Roman" w:hAnsi="Times New Roman"/>
        </w:rPr>
      </w:pPr>
      <w:r w:rsidRPr="000266F5">
        <w:rPr>
          <w:rFonts w:ascii="Times New Roman" w:eastAsia="Arial" w:hAnsi="Times New Roman" w:cs="Times New Roman"/>
        </w:rPr>
        <w:t xml:space="preserve">The amendments will provide the </w:t>
      </w:r>
      <w:r w:rsidRPr="000266F5">
        <w:rPr>
          <w:rFonts w:ascii="Times New Roman" w:eastAsia="MS PGothic" w:hAnsi="Times New Roman" w:cs="Times New Roman"/>
          <w:color w:val="000000"/>
        </w:rPr>
        <w:t>Department</w:t>
      </w:r>
      <w:r w:rsidRPr="00EE0D81">
        <w:rPr>
          <w:rFonts w:ascii="Times New Roman" w:hAnsi="Times New Roman"/>
          <w:color w:val="000000"/>
        </w:rPr>
        <w:t xml:space="preserve"> </w:t>
      </w:r>
      <w:r w:rsidRPr="000266F5">
        <w:rPr>
          <w:rFonts w:ascii="Times New Roman" w:eastAsia="Arial" w:hAnsi="Times New Roman" w:cs="Times New Roman"/>
        </w:rPr>
        <w:t xml:space="preserve">or alternative regulator, with a range of graduated enforcement options which can be scaled to address the particular circumstances of non-compliance. For example, non-compliance which derives from a misunderstanding can be dealt with through closer engagement and education, while significant penalties could be pursued for repeated, serious violations by a non-cooperative entity.  </w:t>
      </w:r>
      <w:r>
        <w:rPr>
          <w:rFonts w:ascii="Times New Roman" w:eastAsia="Arial" w:hAnsi="Times New Roman" w:cs="Times New Roman"/>
        </w:rPr>
        <w:t xml:space="preserve"> </w:t>
      </w:r>
    </w:p>
    <w:p w14:paraId="0064DCC4" w14:textId="77777777" w:rsidR="00993F09" w:rsidRPr="000266F5" w:rsidRDefault="00993F09" w:rsidP="00993F09">
      <w:pPr>
        <w:spacing w:after="0" w:line="240" w:lineRule="auto"/>
        <w:rPr>
          <w:rFonts w:ascii="Times New Roman" w:eastAsia="Arial" w:hAnsi="Times New Roman" w:cs="Times New Roman"/>
          <w:color w:val="000000"/>
        </w:rPr>
      </w:pPr>
    </w:p>
    <w:p w14:paraId="3875F52A" w14:textId="3ACE39D3" w:rsidR="00993F09" w:rsidRDefault="00993F09" w:rsidP="00993F09">
      <w:pPr>
        <w:spacing w:after="0" w:line="240" w:lineRule="auto"/>
        <w:rPr>
          <w:rFonts w:ascii="Times New Roman" w:eastAsia="Arial" w:hAnsi="Times New Roman" w:cs="Times New Roman"/>
        </w:rPr>
      </w:pPr>
      <w:r w:rsidRPr="000266F5">
        <w:rPr>
          <w:rFonts w:ascii="Times New Roman" w:eastAsia="Arial" w:hAnsi="Times New Roman" w:cs="Times New Roman"/>
        </w:rPr>
        <w:t xml:space="preserve">It is proposed that the Department will take a risk based approach to compliance and enforcement by prioritising monitoring of assets based on their criticality, with more proactive monitoring focused on </w:t>
      </w:r>
      <w:r w:rsidRPr="00EE0D81">
        <w:rPr>
          <w:rFonts w:ascii="Times New Roman" w:hAnsi="Times New Roman"/>
          <w:i/>
        </w:rPr>
        <w:t>systems of national significance</w:t>
      </w:r>
      <w:r w:rsidRPr="000266F5">
        <w:rPr>
          <w:rFonts w:ascii="Times New Roman" w:eastAsia="Arial" w:hAnsi="Times New Roman" w:cs="Times New Roman"/>
        </w:rPr>
        <w:t>.</w:t>
      </w:r>
    </w:p>
    <w:p w14:paraId="204B1B50" w14:textId="77777777" w:rsidR="00993F09" w:rsidRDefault="00993F09" w:rsidP="00993F09">
      <w:pPr>
        <w:spacing w:after="0" w:line="240" w:lineRule="auto"/>
        <w:rPr>
          <w:rFonts w:ascii="Times New Roman" w:eastAsia="Arial" w:hAnsi="Times New Roman" w:cs="Times New Roman"/>
        </w:rPr>
      </w:pPr>
    </w:p>
    <w:p w14:paraId="7C637FC2" w14:textId="045F6BBF" w:rsidR="00993F09" w:rsidRDefault="00993F09" w:rsidP="00993F09">
      <w:pPr>
        <w:spacing w:after="0" w:line="240" w:lineRule="auto"/>
        <w:rPr>
          <w:rFonts w:ascii="Times New Roman" w:eastAsia="Arial" w:hAnsi="Times New Roman" w:cs="Times New Roman"/>
        </w:rPr>
      </w:pPr>
      <w:r>
        <w:rPr>
          <w:rFonts w:ascii="Times New Roman" w:eastAsia="Arial" w:hAnsi="Times New Roman" w:cs="Times New Roman"/>
        </w:rPr>
        <w:t xml:space="preserve">The expansion of Government powers and regulations necessitate significant transparency and oversight. Consequently, it is proposed that the Department would expanded its reporting requirements to Parliament under the current SoCI to include all proposed </w:t>
      </w:r>
      <w:r w:rsidR="002D0188">
        <w:rPr>
          <w:rFonts w:ascii="Times New Roman" w:eastAsia="Arial" w:hAnsi="Times New Roman" w:cs="Times New Roman"/>
        </w:rPr>
        <w:t>new measures and powers</w:t>
      </w:r>
      <w:r>
        <w:rPr>
          <w:rFonts w:ascii="Times New Roman" w:eastAsia="Arial" w:hAnsi="Times New Roman" w:cs="Times New Roman"/>
        </w:rPr>
        <w:t>. This would enable Parliamentary scrutiny as well as provide public oversight on the extent of actions being undertaken by the Government under the powers granted under the proposed reforms. Under current SoCI t</w:t>
      </w:r>
      <w:r w:rsidRPr="00916B51">
        <w:rPr>
          <w:rFonts w:ascii="Times New Roman" w:eastAsia="Arial" w:hAnsi="Times New Roman" w:cs="Times New Roman"/>
        </w:rPr>
        <w:t xml:space="preserve">he Secretary must give the Minister, for presentation to the Parliament, a report on the operation of </w:t>
      </w:r>
      <w:r>
        <w:rPr>
          <w:rFonts w:ascii="Times New Roman" w:eastAsia="Arial" w:hAnsi="Times New Roman" w:cs="Times New Roman"/>
        </w:rPr>
        <w:t>SoCI</w:t>
      </w:r>
      <w:r w:rsidRPr="00916B51">
        <w:rPr>
          <w:rFonts w:ascii="Times New Roman" w:eastAsia="Arial" w:hAnsi="Times New Roman" w:cs="Times New Roman"/>
        </w:rPr>
        <w:t xml:space="preserve"> for a financial year</w:t>
      </w:r>
      <w:r>
        <w:rPr>
          <w:rFonts w:ascii="Times New Roman" w:eastAsia="Arial" w:hAnsi="Times New Roman" w:cs="Times New Roman"/>
        </w:rPr>
        <w:t xml:space="preserve"> including information regarding the number of notifications made to the Register of Critical Infrastructure Act, directions made under Ministerial Direction powers, the declaration of critical infrastructure assets by the Minister and the enforcement of SoCI. It is proposed that this will be expanded to also include information on:</w:t>
      </w:r>
    </w:p>
    <w:p w14:paraId="1029426C" w14:textId="77777777" w:rsidR="00993F09" w:rsidRPr="009A0829" w:rsidRDefault="00993F09" w:rsidP="00B369B5">
      <w:pPr>
        <w:pStyle w:val="ListParagraph"/>
        <w:numPr>
          <w:ilvl w:val="0"/>
          <w:numId w:val="64"/>
        </w:numPr>
        <w:spacing w:after="0" w:line="240" w:lineRule="auto"/>
        <w:rPr>
          <w:rFonts w:ascii="Times New Roman" w:eastAsia="MS PGothic" w:hAnsi="Times New Roman" w:cs="Times New Roman"/>
          <w:color w:val="000000"/>
        </w:rPr>
      </w:pPr>
      <w:r w:rsidRPr="001A7788">
        <w:rPr>
          <w:rFonts w:ascii="Times New Roman" w:eastAsia="MS PGothic" w:hAnsi="Times New Roman" w:cs="Times New Roman"/>
          <w:color w:val="000000"/>
        </w:rPr>
        <w:t>the number of annual reports provided un</w:t>
      </w:r>
      <w:r w:rsidRPr="009A0829">
        <w:rPr>
          <w:rFonts w:ascii="Times New Roman" w:eastAsia="MS PGothic" w:hAnsi="Times New Roman" w:cs="Times New Roman"/>
          <w:color w:val="000000"/>
        </w:rPr>
        <w:t>der the risk management program;</w:t>
      </w:r>
    </w:p>
    <w:p w14:paraId="19E5CFFA" w14:textId="77777777" w:rsidR="00993F09" w:rsidRPr="009A0829" w:rsidRDefault="00993F09" w:rsidP="00B369B5">
      <w:pPr>
        <w:pStyle w:val="ListParagraph"/>
        <w:numPr>
          <w:ilvl w:val="0"/>
          <w:numId w:val="64"/>
        </w:numPr>
        <w:spacing w:after="0" w:line="240" w:lineRule="auto"/>
        <w:rPr>
          <w:rFonts w:ascii="Times New Roman" w:eastAsia="MS PGothic" w:hAnsi="Times New Roman" w:cs="Times New Roman"/>
          <w:color w:val="000000"/>
        </w:rPr>
      </w:pPr>
      <w:r w:rsidRPr="001A7788">
        <w:rPr>
          <w:rFonts w:ascii="Times New Roman" w:eastAsia="MS PGothic" w:hAnsi="Times New Roman" w:cs="Times New Roman"/>
          <w:color w:val="000000"/>
        </w:rPr>
        <w:t>the number of cyber incidents reported under the mandatory cyber repo</w:t>
      </w:r>
      <w:r w:rsidRPr="009A0829">
        <w:rPr>
          <w:rFonts w:ascii="Times New Roman" w:eastAsia="MS PGothic" w:hAnsi="Times New Roman" w:cs="Times New Roman"/>
          <w:color w:val="000000"/>
        </w:rPr>
        <w:t>rting obligation;</w:t>
      </w:r>
    </w:p>
    <w:p w14:paraId="206859C7" w14:textId="77777777" w:rsidR="00993F09" w:rsidRDefault="00993F09" w:rsidP="00B369B5">
      <w:pPr>
        <w:pStyle w:val="ListParagraph"/>
        <w:numPr>
          <w:ilvl w:val="0"/>
          <w:numId w:val="64"/>
        </w:numPr>
        <w:spacing w:after="0" w:line="240" w:lineRule="auto"/>
        <w:rPr>
          <w:rFonts w:ascii="Times New Roman" w:eastAsia="MS PGothic" w:hAnsi="Times New Roman" w:cs="Times New Roman"/>
          <w:color w:val="000000"/>
        </w:rPr>
      </w:pPr>
      <w:r w:rsidRPr="001A7788">
        <w:rPr>
          <w:rFonts w:ascii="Times New Roman" w:eastAsia="MS PGothic" w:hAnsi="Times New Roman" w:cs="Times New Roman"/>
          <w:color w:val="000000"/>
        </w:rPr>
        <w:t xml:space="preserve">the number of systems of national significance required to undertake incident response plans, provision of telemetry, </w:t>
      </w:r>
      <w:r>
        <w:rPr>
          <w:rFonts w:ascii="Times New Roman" w:eastAsia="MS PGothic" w:hAnsi="Times New Roman" w:cs="Times New Roman"/>
          <w:color w:val="000000"/>
        </w:rPr>
        <w:t>vulnerability assessment and cyber security exercise;</w:t>
      </w:r>
    </w:p>
    <w:p w14:paraId="5E48E45C" w14:textId="77777777" w:rsidR="00993F09" w:rsidRDefault="00993F09" w:rsidP="00B369B5">
      <w:pPr>
        <w:pStyle w:val="ListParagraph"/>
        <w:numPr>
          <w:ilvl w:val="0"/>
          <w:numId w:val="64"/>
        </w:numPr>
        <w:spacing w:after="0" w:line="240" w:lineRule="auto"/>
        <w:rPr>
          <w:rFonts w:ascii="Times New Roman" w:eastAsia="MS PGothic" w:hAnsi="Times New Roman" w:cs="Times New Roman"/>
          <w:color w:val="000000"/>
        </w:rPr>
      </w:pPr>
      <w:r>
        <w:rPr>
          <w:rFonts w:ascii="Times New Roman" w:eastAsia="MS PGothic" w:hAnsi="Times New Roman" w:cs="Times New Roman"/>
          <w:color w:val="000000"/>
        </w:rPr>
        <w:t xml:space="preserve">the number of Ministerial authorisations for all aspects of the Government Assistance measures; and </w:t>
      </w:r>
    </w:p>
    <w:p w14:paraId="2D6D78B0" w14:textId="77777777" w:rsidR="00993F09" w:rsidRPr="001A7788" w:rsidRDefault="00993F09" w:rsidP="00B369B5">
      <w:pPr>
        <w:pStyle w:val="ListParagraph"/>
        <w:numPr>
          <w:ilvl w:val="0"/>
          <w:numId w:val="64"/>
        </w:numPr>
        <w:spacing w:after="0" w:line="240" w:lineRule="auto"/>
        <w:rPr>
          <w:rFonts w:ascii="Times New Roman" w:eastAsia="MS PGothic" w:hAnsi="Times New Roman" w:cs="Times New Roman"/>
          <w:color w:val="000000"/>
        </w:rPr>
      </w:pPr>
      <w:r>
        <w:rPr>
          <w:rFonts w:ascii="Times New Roman" w:eastAsia="MS PGothic" w:hAnsi="Times New Roman" w:cs="Times New Roman"/>
          <w:color w:val="000000"/>
        </w:rPr>
        <w:t>the number of systems of national significance declared.</w:t>
      </w:r>
    </w:p>
    <w:p w14:paraId="5BBBB48E" w14:textId="77777777" w:rsidR="00993F09" w:rsidRPr="000266F5" w:rsidRDefault="00993F09" w:rsidP="00993F09">
      <w:pPr>
        <w:spacing w:after="0" w:line="240" w:lineRule="auto"/>
        <w:rPr>
          <w:rFonts w:ascii="Times New Roman" w:eastAsia="Arial" w:hAnsi="Times New Roman" w:cs="Times New Roman"/>
        </w:rPr>
      </w:pPr>
    </w:p>
    <w:p w14:paraId="4B0A8367" w14:textId="77777777" w:rsidR="00993F09" w:rsidRPr="000266F5" w:rsidRDefault="00993F09" w:rsidP="00EE0D81">
      <w:pPr>
        <w:pStyle w:val="ListParagraph"/>
        <w:numPr>
          <w:ilvl w:val="1"/>
          <w:numId w:val="12"/>
        </w:numPr>
        <w:spacing w:after="0" w:line="240" w:lineRule="auto"/>
        <w:rPr>
          <w:rFonts w:ascii="Times New Roman" w:eastAsia="Arial" w:hAnsi="Times New Roman" w:cs="Times New Roman"/>
          <w:b/>
          <w:bCs/>
        </w:rPr>
      </w:pPr>
      <w:r w:rsidRPr="000266F5">
        <w:rPr>
          <w:rFonts w:ascii="Times New Roman" w:eastAsia="Arial" w:hAnsi="Times New Roman" w:cs="Times New Roman"/>
          <w:b/>
          <w:bCs/>
        </w:rPr>
        <w:lastRenderedPageBreak/>
        <w:t>Option Three – No legislative change, achieve improvements to critical infrastructure resilience with voluntary engagement through the Trusted Information Sharing Network and publishing additional guidance alongside the updated Critical Infrastructure Resilience Strategy</w:t>
      </w:r>
    </w:p>
    <w:p w14:paraId="6D5FDBC2" w14:textId="77777777" w:rsidR="00993F09" w:rsidRDefault="00993F09" w:rsidP="00993F09">
      <w:pPr>
        <w:spacing w:after="0" w:line="260" w:lineRule="exact"/>
        <w:rPr>
          <w:rFonts w:ascii="Times New Roman" w:eastAsia="Arial" w:hAnsi="Times New Roman" w:cs="Times New Roman"/>
          <w:color w:val="000000"/>
        </w:rPr>
      </w:pPr>
    </w:p>
    <w:p w14:paraId="117E9D69" w14:textId="5BB53143" w:rsidR="00993F09" w:rsidRDefault="00993F09" w:rsidP="00EE0D81">
      <w:pPr>
        <w:spacing w:after="0" w:line="260" w:lineRule="exact"/>
        <w:rPr>
          <w:rFonts w:ascii="Times New Roman" w:eastAsia="Arial" w:hAnsi="Times New Roman" w:cs="Times New Roman"/>
          <w:color w:val="000000"/>
        </w:rPr>
      </w:pPr>
      <w:r w:rsidRPr="000266F5">
        <w:rPr>
          <w:rFonts w:ascii="Times New Roman" w:eastAsia="Arial" w:hAnsi="Times New Roman" w:cs="Times New Roman"/>
          <w:color w:val="000000"/>
        </w:rPr>
        <w:t xml:space="preserve">The third option focusses on the additional government resources, outlined under Option Two, to enhance engagement on all hazards resilience for critical infrastructure through refreshing the </w:t>
      </w:r>
      <w:r>
        <w:rPr>
          <w:rFonts w:ascii="Times New Roman" w:eastAsia="Arial" w:hAnsi="Times New Roman" w:cs="Times New Roman"/>
          <w:color w:val="000000"/>
        </w:rPr>
        <w:t>TISN</w:t>
      </w:r>
      <w:r w:rsidRPr="000266F5">
        <w:rPr>
          <w:rFonts w:ascii="Times New Roman" w:eastAsia="Arial" w:hAnsi="Times New Roman" w:cs="Times New Roman"/>
          <w:color w:val="000000"/>
        </w:rPr>
        <w:t xml:space="preserve"> and re-writing the </w:t>
      </w:r>
      <w:r w:rsidRPr="000266F5">
        <w:rPr>
          <w:rFonts w:ascii="Times New Roman" w:eastAsia="Arial" w:hAnsi="Times New Roman" w:cs="Times New Roman"/>
          <w:i/>
          <w:iCs/>
          <w:color w:val="000000"/>
        </w:rPr>
        <w:t>Critical Infrastructure Resilience Strategy</w:t>
      </w:r>
      <w:r w:rsidRPr="000266F5">
        <w:rPr>
          <w:rFonts w:ascii="Times New Roman" w:eastAsia="Arial" w:hAnsi="Times New Roman" w:cs="Times New Roman"/>
          <w:color w:val="000000"/>
        </w:rPr>
        <w:t xml:space="preserve"> to identify and provide guidance to Australia’s critical infrastructure. This could occur without legislative reform.</w:t>
      </w:r>
    </w:p>
    <w:p w14:paraId="41698968" w14:textId="77777777" w:rsidR="00993F09" w:rsidRPr="000266F5" w:rsidRDefault="00993F09" w:rsidP="00993F09">
      <w:pPr>
        <w:spacing w:after="0" w:line="260" w:lineRule="exact"/>
        <w:rPr>
          <w:rFonts w:ascii="Times New Roman" w:eastAsia="Arial" w:hAnsi="Times New Roman" w:cs="Times New Roman"/>
          <w:color w:val="000000"/>
        </w:rPr>
      </w:pPr>
    </w:p>
    <w:p w14:paraId="08C92078" w14:textId="512FBDFE" w:rsidR="00993F09" w:rsidRDefault="00993F09" w:rsidP="00EE0D81">
      <w:pPr>
        <w:spacing w:after="0" w:line="260" w:lineRule="exact"/>
        <w:rPr>
          <w:rFonts w:ascii="Times New Roman" w:eastAsia="Arial" w:hAnsi="Times New Roman" w:cs="Times New Roman"/>
          <w:color w:val="000000"/>
        </w:rPr>
      </w:pPr>
      <w:r w:rsidRPr="000266F5">
        <w:rPr>
          <w:rFonts w:ascii="Times New Roman" w:eastAsia="Arial" w:hAnsi="Times New Roman" w:cs="Times New Roman"/>
          <w:color w:val="000000"/>
        </w:rPr>
        <w:t xml:space="preserve">Greater engagement with industry would be undertaken through the </w:t>
      </w:r>
      <w:r>
        <w:rPr>
          <w:rFonts w:ascii="Times New Roman" w:eastAsia="Arial" w:hAnsi="Times New Roman" w:cs="Times New Roman"/>
          <w:color w:val="000000"/>
        </w:rPr>
        <w:t>TISN</w:t>
      </w:r>
      <w:r w:rsidRPr="000266F5">
        <w:rPr>
          <w:rFonts w:ascii="Times New Roman" w:eastAsia="Arial" w:hAnsi="Times New Roman" w:cs="Times New Roman"/>
          <w:color w:val="000000"/>
        </w:rPr>
        <w:t xml:space="preserve"> sector groups as outlined above, noting that industry engagement would continue to be on a voluntary basis. This option would involve a voluntary version of the Positive Security Obligation</w:t>
      </w:r>
      <w:r>
        <w:rPr>
          <w:rFonts w:ascii="Times New Roman" w:eastAsia="Arial" w:hAnsi="Times New Roman" w:cs="Times New Roman"/>
          <w:color w:val="000000"/>
        </w:rPr>
        <w:t>s</w:t>
      </w:r>
      <w:r w:rsidRPr="000266F5">
        <w:rPr>
          <w:rFonts w:ascii="Times New Roman" w:eastAsia="Arial" w:hAnsi="Times New Roman" w:cs="Times New Roman"/>
          <w:color w:val="000000"/>
        </w:rPr>
        <w:t xml:space="preserve">, Enhanced Cyber Security Obligation and Government Assistance outlined within Option Two. Industry would be encouraged to work with the Government to uplift security against all-hazards and accept Government Assistance where necessary. </w:t>
      </w:r>
    </w:p>
    <w:p w14:paraId="26EF4C39" w14:textId="77777777" w:rsidR="00993F09" w:rsidRPr="000266F5" w:rsidRDefault="00993F09" w:rsidP="00993F09">
      <w:pPr>
        <w:spacing w:after="0" w:line="260" w:lineRule="exact"/>
        <w:rPr>
          <w:rFonts w:ascii="Times New Roman" w:eastAsia="Arial" w:hAnsi="Times New Roman" w:cs="Times New Roman"/>
          <w:color w:val="000000"/>
        </w:rPr>
      </w:pPr>
    </w:p>
    <w:p w14:paraId="454BFC20" w14:textId="77777777" w:rsidR="00993F09" w:rsidRPr="000266F5" w:rsidRDefault="00993F09" w:rsidP="00993F09">
      <w:pPr>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However, this option will have limited effectiveness without the support of legislative change.  Enforcement under legislation provides a greater degree of assurance to the Government that national security risks are being managed, not just considered. The benefits associated with the additional resources will be </w:t>
      </w:r>
      <w:r w:rsidRPr="000266F5">
        <w:rPr>
          <w:rFonts w:ascii="Times New Roman" w:eastAsia="Arial" w:hAnsi="Times New Roman" w:cs="Times New Roman"/>
        </w:rPr>
        <w:t>restricted</w:t>
      </w:r>
      <w:r w:rsidRPr="000266F5">
        <w:rPr>
          <w:rFonts w:ascii="Times New Roman" w:eastAsia="Arial" w:hAnsi="Times New Roman" w:cs="Times New Roman"/>
          <w:color w:val="000000"/>
        </w:rPr>
        <w:t xml:space="preserve"> as it will be at the discretion of industry to inform the Government of problems and vulnerabilities within critical infrastructure networks. The interconnected nature of these networks also means that any information provided by industry would be incomplete if all assets within a supply chain did not participate. </w:t>
      </w:r>
    </w:p>
    <w:p w14:paraId="0F14342A" w14:textId="77777777" w:rsidR="00993F09" w:rsidRPr="000266F5" w:rsidRDefault="00993F09" w:rsidP="00993F09">
      <w:pPr>
        <w:spacing w:after="0" w:line="240" w:lineRule="auto"/>
        <w:rPr>
          <w:rFonts w:ascii="Times New Roman" w:eastAsia="MS PGothic" w:hAnsi="Times New Roman" w:cs="Times New Roman"/>
          <w:color w:val="000000"/>
        </w:rPr>
      </w:pPr>
    </w:p>
    <w:p w14:paraId="1521EF40" w14:textId="2F988D45" w:rsidR="00993F09" w:rsidRPr="000266F5" w:rsidRDefault="00993F09" w:rsidP="00993F09">
      <w:pPr>
        <w:spacing w:after="0" w:line="240" w:lineRule="auto"/>
        <w:rPr>
          <w:rFonts w:ascii="Times New Roman" w:eastAsia="Times New Roman" w:hAnsi="Times New Roman" w:cs="Times New Roman"/>
          <w:color w:val="000000"/>
        </w:rPr>
      </w:pPr>
      <w:r w:rsidRPr="000266F5">
        <w:rPr>
          <w:rFonts w:ascii="Times New Roman" w:eastAsia="MS PGothic" w:hAnsi="Times New Roman" w:cs="Times New Roman"/>
          <w:color w:val="000000"/>
        </w:rPr>
        <w:t>Entities could be encouraged to report to the Register of Critical Infrastructure. H</w:t>
      </w:r>
      <w:r w:rsidRPr="000266F5">
        <w:rPr>
          <w:rFonts w:ascii="Times New Roman" w:eastAsia="Arial" w:hAnsi="Times New Roman" w:cs="Times New Roman"/>
          <w:color w:val="000000"/>
        </w:rPr>
        <w:t xml:space="preserve">owever, this would be </w:t>
      </w:r>
      <w:r w:rsidRPr="000266F5">
        <w:rPr>
          <w:rFonts w:ascii="Times New Roman" w:eastAsia="Arial" w:hAnsi="Times New Roman" w:cs="Times New Roman"/>
        </w:rPr>
        <w:t>reliant</w:t>
      </w:r>
      <w:r w:rsidRPr="000266F5">
        <w:rPr>
          <w:rFonts w:ascii="Times New Roman" w:eastAsia="Arial" w:hAnsi="Times New Roman" w:cs="Times New Roman"/>
          <w:color w:val="000000"/>
        </w:rPr>
        <w:t xml:space="preserve"> on </w:t>
      </w:r>
      <w:r>
        <w:rPr>
          <w:rFonts w:ascii="Times New Roman" w:eastAsia="Arial" w:hAnsi="Times New Roman" w:cs="Times New Roman"/>
          <w:color w:val="000000"/>
        </w:rPr>
        <w:t>the voluntary provision of information</w:t>
      </w:r>
      <w:r w:rsidRPr="000266F5">
        <w:rPr>
          <w:rFonts w:ascii="Times New Roman" w:eastAsia="Arial" w:hAnsi="Times New Roman" w:cs="Times New Roman"/>
          <w:color w:val="000000"/>
        </w:rPr>
        <w:t xml:space="preserve"> and would therefore likely be incomplete. Further, the Government would have limited scope to utilise this information to better protect these assets without legislative change. Given the interdependent nature of Australia’s critical infrastructure, weaknesses in one critical asset could have cascading consequences across sectors. </w:t>
      </w:r>
    </w:p>
    <w:p w14:paraId="51E4225F" w14:textId="77777777" w:rsidR="00993F09" w:rsidRPr="000266F5" w:rsidRDefault="00993F09" w:rsidP="00993F09">
      <w:pPr>
        <w:tabs>
          <w:tab w:val="left" w:pos="426"/>
        </w:tabs>
        <w:spacing w:after="0" w:line="240" w:lineRule="auto"/>
        <w:rPr>
          <w:rFonts w:ascii="Times New Roman" w:eastAsia="Times New Roman" w:hAnsi="Times New Roman" w:cs="Times New Roman"/>
          <w:color w:val="000000"/>
        </w:rPr>
      </w:pPr>
    </w:p>
    <w:p w14:paraId="3807723A" w14:textId="77777777" w:rsidR="00993F09" w:rsidRPr="000266F5" w:rsidRDefault="00993F09" w:rsidP="00993F09">
      <w:pPr>
        <w:spacing w:after="0" w:line="240" w:lineRule="auto"/>
        <w:rPr>
          <w:rFonts w:ascii="Times New Roman" w:eastAsia="Arial" w:hAnsi="Times New Roman" w:cs="Times New Roman"/>
          <w:color w:val="000000"/>
        </w:rPr>
      </w:pPr>
      <w:r w:rsidRPr="000266F5">
        <w:rPr>
          <w:rFonts w:ascii="Times New Roman" w:eastAsia="Arial" w:hAnsi="Times New Roman" w:cs="Times New Roman"/>
          <w:color w:val="000000"/>
        </w:rPr>
        <w:t xml:space="preserve">Current TISN members tend to have a higher level of security and resilience maturity, and this option is likely to further widen the gap between those organisations, and organisations that do not place a high value on </w:t>
      </w:r>
      <w:r w:rsidRPr="000266F5">
        <w:rPr>
          <w:rFonts w:ascii="Times New Roman" w:eastAsia="Arial" w:hAnsi="Times New Roman" w:cs="Times New Roman"/>
        </w:rPr>
        <w:t>resilience</w:t>
      </w:r>
      <w:r w:rsidRPr="000266F5">
        <w:rPr>
          <w:rFonts w:ascii="Times New Roman" w:eastAsia="Arial" w:hAnsi="Times New Roman" w:cs="Times New Roman"/>
          <w:color w:val="000000"/>
        </w:rPr>
        <w:t xml:space="preserve"> beyond commercial imperatives. It is likely that the more mature entities in each sector would engage, but that those entities currently lacking a mature security posture would continue in this posture.</w:t>
      </w:r>
    </w:p>
    <w:p w14:paraId="10B5DB23" w14:textId="77777777" w:rsidR="00993F09" w:rsidRPr="000266F5" w:rsidRDefault="00993F09" w:rsidP="00993F09">
      <w:pPr>
        <w:spacing w:after="0" w:line="240" w:lineRule="auto"/>
        <w:rPr>
          <w:rFonts w:ascii="Times New Roman" w:eastAsia="Arial" w:hAnsi="Times New Roman" w:cs="Times New Roman"/>
          <w:color w:val="000000"/>
        </w:rPr>
      </w:pPr>
    </w:p>
    <w:p w14:paraId="2BA48CCE" w14:textId="77777777" w:rsidR="00993F09" w:rsidRPr="000266F5" w:rsidRDefault="00993F09" w:rsidP="00993F09">
      <w:pPr>
        <w:keepNext/>
        <w:keepLines/>
        <w:numPr>
          <w:ilvl w:val="0"/>
          <w:numId w:val="5"/>
        </w:numPr>
        <w:tabs>
          <w:tab w:val="left" w:pos="567"/>
        </w:tabs>
        <w:spacing w:before="240" w:after="200" w:line="240" w:lineRule="auto"/>
        <w:contextualSpacing/>
        <w:outlineLvl w:val="0"/>
        <w:rPr>
          <w:rFonts w:ascii="Times New Roman" w:eastAsia="MS PGothic" w:hAnsi="Times New Roman" w:cs="Times New Roman"/>
          <w:b/>
          <w:bCs/>
          <w:color w:val="003865"/>
          <w:sz w:val="28"/>
          <w:szCs w:val="28"/>
        </w:rPr>
      </w:pPr>
      <w:r w:rsidRPr="000266F5">
        <w:rPr>
          <w:rFonts w:ascii="Times New Roman" w:eastAsia="MS PGothic" w:hAnsi="Times New Roman" w:cs="Times New Roman"/>
          <w:b/>
          <w:bCs/>
          <w:color w:val="003865"/>
          <w:sz w:val="28"/>
          <w:szCs w:val="28"/>
        </w:rPr>
        <w:t>RIS QUESTION FOUR: WHAT IS THE LIKELY NET BENEFIT OF EACH OPTION?</w:t>
      </w:r>
    </w:p>
    <w:p w14:paraId="62BA926D" w14:textId="77777777" w:rsidR="00993F09" w:rsidRPr="000266F5" w:rsidRDefault="00993F09" w:rsidP="00993F09">
      <w:pPr>
        <w:tabs>
          <w:tab w:val="num" w:pos="340"/>
        </w:tabs>
        <w:spacing w:after="0" w:line="240" w:lineRule="auto"/>
        <w:rPr>
          <w:rFonts w:ascii="Times New Roman" w:eastAsia="MS PGothic" w:hAnsi="Times New Roman" w:cs="Times New Roman"/>
          <w:b/>
          <w:bCs/>
          <w:color w:val="003865"/>
          <w:szCs w:val="28"/>
        </w:rPr>
      </w:pPr>
    </w:p>
    <w:p w14:paraId="2A904667" w14:textId="77777777" w:rsidR="00993F09" w:rsidRPr="000266F5" w:rsidRDefault="00993F09" w:rsidP="00B369B5">
      <w:pPr>
        <w:pStyle w:val="ListParagraph"/>
        <w:numPr>
          <w:ilvl w:val="0"/>
          <w:numId w:val="12"/>
        </w:numPr>
        <w:spacing w:after="200" w:line="240" w:lineRule="auto"/>
        <w:rPr>
          <w:rFonts w:ascii="Times New Roman" w:eastAsia="Arial" w:hAnsi="Times New Roman" w:cs="Times New Roman"/>
          <w:b/>
          <w:bCs/>
          <w:vanish/>
        </w:rPr>
      </w:pPr>
    </w:p>
    <w:p w14:paraId="7BE998FC" w14:textId="77777777" w:rsidR="00993F09" w:rsidRPr="000266F5" w:rsidRDefault="00993F09" w:rsidP="00EE0D81">
      <w:pPr>
        <w:pStyle w:val="ListParagraph"/>
        <w:numPr>
          <w:ilvl w:val="1"/>
          <w:numId w:val="12"/>
        </w:numPr>
        <w:spacing w:after="0" w:line="240" w:lineRule="auto"/>
        <w:rPr>
          <w:rFonts w:ascii="Times New Roman" w:eastAsia="Arial" w:hAnsi="Times New Roman" w:cs="Times New Roman"/>
          <w:b/>
          <w:bCs/>
        </w:rPr>
      </w:pPr>
      <w:r w:rsidRPr="000266F5">
        <w:rPr>
          <w:rFonts w:ascii="Times New Roman" w:eastAsia="Arial" w:hAnsi="Times New Roman" w:cs="Times New Roman"/>
          <w:b/>
          <w:bCs/>
        </w:rPr>
        <w:t>Option One - No regulatory change or enhanced compliance (status quo)</w:t>
      </w:r>
    </w:p>
    <w:p w14:paraId="4B9EE4E5" w14:textId="77777777" w:rsidR="00993F09" w:rsidRPr="00EE0D81" w:rsidRDefault="00993F09" w:rsidP="00EE0D81">
      <w:pPr>
        <w:spacing w:after="0" w:line="240" w:lineRule="auto"/>
        <w:rPr>
          <w:rFonts w:ascii="Times New Roman" w:hAnsi="Times New Roman"/>
          <w:color w:val="000000"/>
        </w:rPr>
      </w:pPr>
    </w:p>
    <w:p w14:paraId="29C00E05" w14:textId="77777777" w:rsidR="00993F09" w:rsidRPr="000266F5" w:rsidRDefault="00993F09" w:rsidP="00993F09">
      <w:pPr>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Maintaining the status quo will mean that the Government is unable to provide support and direction to critical </w:t>
      </w:r>
      <w:r w:rsidRPr="000266F5">
        <w:rPr>
          <w:rFonts w:ascii="Times New Roman" w:eastAsia="Arial" w:hAnsi="Times New Roman" w:cs="Times New Roman"/>
          <w:color w:val="000000"/>
        </w:rPr>
        <w:t>infrastructure</w:t>
      </w:r>
      <w:r w:rsidRPr="000266F5">
        <w:rPr>
          <w:rFonts w:ascii="Times New Roman" w:eastAsia="MS PGothic" w:hAnsi="Times New Roman" w:cs="Times New Roman"/>
          <w:color w:val="000000"/>
        </w:rPr>
        <w:t xml:space="preserve"> owners and operators on managing security risks in a timely manner. While </w:t>
      </w:r>
      <w:r w:rsidRPr="000266F5">
        <w:rPr>
          <w:rFonts w:ascii="Times New Roman" w:eastAsia="Arial" w:hAnsi="Times New Roman" w:cs="Times New Roman"/>
        </w:rPr>
        <w:t>organisations</w:t>
      </w:r>
      <w:r w:rsidRPr="000266F5">
        <w:rPr>
          <w:rFonts w:ascii="Times New Roman" w:eastAsia="MS PGothic" w:hAnsi="Times New Roman" w:cs="Times New Roman"/>
          <w:color w:val="000000"/>
        </w:rPr>
        <w:t xml:space="preserve"> likely already consider threats to business operations and utilise security standards as a result of existing frameworks, the level of security is not sufficiently robust across all </w:t>
      </w:r>
      <w:r w:rsidRPr="00EE0D81">
        <w:rPr>
          <w:rFonts w:ascii="Times New Roman" w:hAnsi="Times New Roman"/>
          <w:i/>
          <w:color w:val="000000"/>
        </w:rPr>
        <w:t>critical infrastructure sector</w:t>
      </w:r>
      <w:r w:rsidRPr="000266F5">
        <w:rPr>
          <w:rFonts w:ascii="Times New Roman" w:eastAsia="MS PGothic" w:hAnsi="Times New Roman" w:cs="Times New Roman"/>
          <w:color w:val="000000"/>
        </w:rPr>
        <w:t xml:space="preserve">s. </w:t>
      </w:r>
    </w:p>
    <w:p w14:paraId="47E68DB6" w14:textId="77777777" w:rsidR="00993F09" w:rsidRPr="000266F5" w:rsidRDefault="00993F09" w:rsidP="00993F09">
      <w:pPr>
        <w:pStyle w:val="ListParagraph"/>
        <w:tabs>
          <w:tab w:val="left" w:pos="426"/>
        </w:tabs>
        <w:spacing w:after="0" w:line="240" w:lineRule="auto"/>
        <w:ind w:left="227"/>
        <w:rPr>
          <w:rFonts w:ascii="Times New Roman" w:eastAsia="MS PGothic" w:hAnsi="Times New Roman" w:cs="Times New Roman"/>
          <w:color w:val="000000"/>
        </w:rPr>
      </w:pPr>
    </w:p>
    <w:p w14:paraId="72D76C49" w14:textId="77777777" w:rsidR="00993F09" w:rsidRPr="000266F5" w:rsidRDefault="00993F09" w:rsidP="00993F09">
      <w:pPr>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Some critical infrastructure owners and operators may take steps to address risks (such as </w:t>
      </w:r>
      <w:r w:rsidRPr="000266F5">
        <w:rPr>
          <w:rFonts w:ascii="Times New Roman" w:eastAsia="Arial" w:hAnsi="Times New Roman" w:cs="Times New Roman"/>
        </w:rPr>
        <w:t>improving</w:t>
      </w:r>
      <w:r w:rsidRPr="000266F5">
        <w:rPr>
          <w:rFonts w:ascii="Times New Roman" w:eastAsia="MS PGothic" w:hAnsi="Times New Roman" w:cs="Times New Roman"/>
          <w:color w:val="000000"/>
        </w:rPr>
        <w:t xml:space="preserve"> cyber security standards) irrespective of any regulatory change. The benefit of no regulatory change is that owners and operators have the flexibility to address these challenges as they see fit. However, </w:t>
      </w:r>
      <w:r w:rsidRPr="000266F5">
        <w:rPr>
          <w:rFonts w:ascii="Times New Roman" w:eastAsia="MS PGothic" w:hAnsi="Times New Roman" w:cs="Times New Roman"/>
          <w:color w:val="000000"/>
        </w:rPr>
        <w:lastRenderedPageBreak/>
        <w:t xml:space="preserve">these steps are generally ad-hoc, influenced by commerciality and either not consistent, or limited to a specific </w:t>
      </w:r>
      <w:r w:rsidRPr="00EE0D81">
        <w:rPr>
          <w:rFonts w:ascii="Times New Roman" w:hAnsi="Times New Roman"/>
          <w:i/>
          <w:color w:val="000000"/>
        </w:rPr>
        <w:t>critical infrastructure sector</w:t>
      </w:r>
      <w:r w:rsidRPr="000266F5">
        <w:rPr>
          <w:rFonts w:ascii="Times New Roman" w:eastAsia="MS PGothic" w:hAnsi="Times New Roman" w:cs="Times New Roman"/>
          <w:color w:val="000000"/>
        </w:rPr>
        <w:t xml:space="preserve">. </w:t>
      </w:r>
    </w:p>
    <w:p w14:paraId="4D621F4F" w14:textId="77777777" w:rsidR="00993F09" w:rsidRPr="000266F5" w:rsidRDefault="00993F09" w:rsidP="00993F09">
      <w:pPr>
        <w:spacing w:after="0" w:line="240" w:lineRule="auto"/>
        <w:rPr>
          <w:rFonts w:ascii="Times New Roman" w:eastAsia="MS PGothic" w:hAnsi="Times New Roman" w:cs="Times New Roman"/>
          <w:color w:val="000000"/>
        </w:rPr>
      </w:pPr>
    </w:p>
    <w:p w14:paraId="4857FE07" w14:textId="2B9381C9" w:rsidR="00993F09" w:rsidRPr="000266F5" w:rsidRDefault="00993F09" w:rsidP="00993F09">
      <w:pPr>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This option would have the least upfront impost on business given there would be no requirement to uplift </w:t>
      </w:r>
      <w:r w:rsidRPr="000266F5">
        <w:rPr>
          <w:rFonts w:ascii="Times New Roman" w:eastAsia="Arial" w:hAnsi="Times New Roman" w:cs="Times New Roman"/>
        </w:rPr>
        <w:t>security</w:t>
      </w:r>
      <w:r w:rsidRPr="000266F5">
        <w:rPr>
          <w:rFonts w:ascii="Times New Roman" w:eastAsia="MS PGothic" w:hAnsi="Times New Roman" w:cs="Times New Roman"/>
          <w:color w:val="000000"/>
        </w:rPr>
        <w:t xml:space="preserve"> practices. Given existing challenges with COVID-19 this may offer short term benefits to industry. The additional regulatory burden to business, community organisations and individuals under Option One will be nil as no regulatory obligations would be introduced above those that already exist. However, the potential costs of a significant disruption to </w:t>
      </w:r>
      <w:r w:rsidRPr="00EE0D81">
        <w:rPr>
          <w:rFonts w:ascii="Times New Roman" w:hAnsi="Times New Roman"/>
          <w:i/>
          <w:color w:val="000000"/>
        </w:rPr>
        <w:t>critical infrastructure asset</w:t>
      </w:r>
      <w:r w:rsidRPr="000266F5">
        <w:rPr>
          <w:rFonts w:ascii="Times New Roman" w:eastAsia="MS PGothic" w:hAnsi="Times New Roman" w:cs="Times New Roman"/>
          <w:color w:val="000000"/>
        </w:rPr>
        <w:t>s could be catastrophic to Australia’s social and economic stability, defence and national security.</w:t>
      </w:r>
    </w:p>
    <w:p w14:paraId="486EBA46" w14:textId="77777777" w:rsidR="004A7840" w:rsidRPr="00EE0D81" w:rsidRDefault="004A7840" w:rsidP="00EE0D81">
      <w:pPr>
        <w:tabs>
          <w:tab w:val="num" w:pos="340"/>
          <w:tab w:val="left" w:pos="426"/>
        </w:tabs>
        <w:spacing w:after="0" w:line="240" w:lineRule="auto"/>
        <w:rPr>
          <w:rFonts w:ascii="Times New Roman" w:hAnsi="Times New Roman"/>
          <w:color w:val="000000"/>
          <w:u w:val="single"/>
        </w:rPr>
      </w:pPr>
    </w:p>
    <w:p w14:paraId="46278EEB" w14:textId="0FC66072" w:rsidR="00993F09" w:rsidRPr="000266F5" w:rsidRDefault="00993F09" w:rsidP="00EE0D81">
      <w:pPr>
        <w:tabs>
          <w:tab w:val="num" w:pos="340"/>
          <w:tab w:val="left" w:pos="426"/>
        </w:tabs>
        <w:spacing w:after="0" w:line="240" w:lineRule="auto"/>
        <w:rPr>
          <w:rFonts w:ascii="Times New Roman" w:eastAsia="MS PGothic" w:hAnsi="Times New Roman" w:cs="Times New Roman"/>
          <w:color w:val="000000"/>
          <w:u w:val="single"/>
        </w:rPr>
      </w:pPr>
      <w:r w:rsidRPr="000266F5">
        <w:rPr>
          <w:rFonts w:ascii="Times New Roman" w:eastAsia="MS PGothic" w:hAnsi="Times New Roman" w:cs="Times New Roman"/>
          <w:color w:val="000000"/>
          <w:u w:val="single"/>
        </w:rPr>
        <w:t>The cost of inaction</w:t>
      </w:r>
    </w:p>
    <w:p w14:paraId="76A2A9C1" w14:textId="54E6BD6E" w:rsidR="00993F09" w:rsidRDefault="00993F09" w:rsidP="00993F09">
      <w:pPr>
        <w:spacing w:after="0" w:line="240" w:lineRule="auto"/>
        <w:rPr>
          <w:rFonts w:ascii="Times New Roman" w:eastAsia="Arial" w:hAnsi="Times New Roman" w:cs="Times New Roman"/>
        </w:rPr>
      </w:pPr>
    </w:p>
    <w:p w14:paraId="59574FE4" w14:textId="36E926CC" w:rsidR="00993F09" w:rsidRPr="001A7788" w:rsidRDefault="00993F09" w:rsidP="00993F09">
      <w:pPr>
        <w:spacing w:after="0" w:line="240" w:lineRule="auto"/>
        <w:rPr>
          <w:rFonts w:ascii="Times New Roman" w:eastAsia="Arial" w:hAnsi="Times New Roman" w:cs="Times New Roman"/>
        </w:rPr>
      </w:pPr>
      <w:r w:rsidRPr="001A7788">
        <w:rPr>
          <w:rFonts w:ascii="Times New Roman" w:eastAsia="Arial" w:hAnsi="Times New Roman" w:cs="Times New Roman"/>
        </w:rPr>
        <w:t>Synergy Group, undertook high level economic modelling to determine the costs of inaction</w:t>
      </w:r>
      <w:r>
        <w:rPr>
          <w:rFonts w:ascii="Times New Roman" w:eastAsia="Arial" w:hAnsi="Times New Roman" w:cs="Times New Roman"/>
        </w:rPr>
        <w:t xml:space="preserve"> without the reforms being introduced</w:t>
      </w:r>
      <w:r w:rsidRPr="001A7788">
        <w:rPr>
          <w:rFonts w:ascii="Times New Roman" w:eastAsia="Arial" w:hAnsi="Times New Roman" w:cs="Times New Roman"/>
        </w:rPr>
        <w:t xml:space="preserve">. The costs of inaction was quantified by the maximum potential cost of operability disruption to 10% of each of the </w:t>
      </w:r>
      <w:r w:rsidRPr="00EE0D81">
        <w:rPr>
          <w:rFonts w:ascii="Times New Roman" w:hAnsi="Times New Roman"/>
          <w:i/>
        </w:rPr>
        <w:t>critical infrastructure sector</w:t>
      </w:r>
      <w:r w:rsidRPr="001A7788">
        <w:rPr>
          <w:rFonts w:ascii="Times New Roman" w:eastAsia="Arial" w:hAnsi="Times New Roman" w:cs="Times New Roman"/>
        </w:rPr>
        <w:t xml:space="preserve">s for a single week. </w:t>
      </w:r>
    </w:p>
    <w:p w14:paraId="05A0C48F" w14:textId="77777777" w:rsidR="00993F09" w:rsidRPr="001A7788" w:rsidRDefault="00993F09" w:rsidP="00993F09">
      <w:pPr>
        <w:spacing w:after="0" w:line="240" w:lineRule="auto"/>
        <w:rPr>
          <w:rFonts w:ascii="Times New Roman" w:eastAsia="Arial" w:hAnsi="Times New Roman" w:cs="Times New Roman"/>
        </w:rPr>
      </w:pPr>
    </w:p>
    <w:p w14:paraId="03A1568E" w14:textId="08571334" w:rsidR="00993F09" w:rsidRPr="001A7788" w:rsidRDefault="00993F09" w:rsidP="00993F09">
      <w:pPr>
        <w:spacing w:after="0" w:line="240" w:lineRule="auto"/>
        <w:rPr>
          <w:rFonts w:ascii="Times New Roman" w:eastAsia="Arial" w:hAnsi="Times New Roman" w:cs="Times New Roman"/>
        </w:rPr>
      </w:pPr>
      <w:r w:rsidRPr="001A7788">
        <w:rPr>
          <w:rFonts w:ascii="Times New Roman" w:eastAsia="Arial" w:hAnsi="Times New Roman" w:cs="Times New Roman"/>
        </w:rPr>
        <w:t>Uncertainty around the likelihood and severity of all hazards makes it almost impossible to know what the costs of inaction would be. However</w:t>
      </w:r>
      <w:r>
        <w:rPr>
          <w:rFonts w:ascii="Times New Roman" w:eastAsia="Arial" w:hAnsi="Times New Roman" w:cs="Times New Roman"/>
        </w:rPr>
        <w:t>,</w:t>
      </w:r>
      <w:r w:rsidRPr="001A7788">
        <w:rPr>
          <w:rFonts w:ascii="Times New Roman" w:eastAsia="Arial" w:hAnsi="Times New Roman" w:cs="Times New Roman"/>
        </w:rPr>
        <w:t xml:space="preserve"> to give a sense of the magnitude of the cost of inaction on other critical infrastructure sectors and the broader Australian economy, an operability disruption of 10 per cent has been modelled for each critical infrastructure sector. The possible costs of this scenario for each sector</w:t>
      </w:r>
      <w:r w:rsidR="002B0BEA">
        <w:rPr>
          <w:rFonts w:ascii="Times New Roman" w:eastAsia="Arial" w:hAnsi="Times New Roman" w:cs="Times New Roman"/>
        </w:rPr>
        <w:t xml:space="preserve"> for a single week</w:t>
      </w:r>
      <w:r w:rsidRPr="001A7788">
        <w:rPr>
          <w:rFonts w:ascii="Times New Roman" w:eastAsia="Arial" w:hAnsi="Times New Roman" w:cs="Times New Roman"/>
        </w:rPr>
        <w:t xml:space="preserve"> is estimated at:</w:t>
      </w:r>
    </w:p>
    <w:p w14:paraId="5F822654" w14:textId="77777777" w:rsidR="00993F09" w:rsidRPr="000266F5" w:rsidRDefault="00993F09" w:rsidP="00993F09">
      <w:pPr>
        <w:pStyle w:val="ListParagraph"/>
        <w:numPr>
          <w:ilvl w:val="0"/>
          <w:numId w:val="7"/>
        </w:numPr>
        <w:tabs>
          <w:tab w:val="left" w:pos="426"/>
        </w:tabs>
        <w:spacing w:after="240" w:line="240" w:lineRule="auto"/>
        <w:rPr>
          <w:rFonts w:ascii="Times New Roman" w:eastAsia="Arial" w:hAnsi="Times New Roman" w:cs="Times New Roman"/>
        </w:rPr>
      </w:pPr>
      <w:r w:rsidRPr="000266F5">
        <w:rPr>
          <w:rFonts w:ascii="Times New Roman" w:eastAsia="Arial" w:hAnsi="Times New Roman" w:cs="Times New Roman"/>
        </w:rPr>
        <w:t>$2.4 billion for the Energy Sector</w:t>
      </w:r>
    </w:p>
    <w:p w14:paraId="1F054CD1" w14:textId="77777777" w:rsidR="00993F09" w:rsidRPr="000266F5" w:rsidRDefault="00993F09" w:rsidP="00993F09">
      <w:pPr>
        <w:pStyle w:val="ListParagraph"/>
        <w:numPr>
          <w:ilvl w:val="0"/>
          <w:numId w:val="7"/>
        </w:numPr>
        <w:tabs>
          <w:tab w:val="left" w:pos="426"/>
        </w:tabs>
        <w:spacing w:before="240" w:after="240" w:line="240" w:lineRule="auto"/>
        <w:rPr>
          <w:rFonts w:ascii="Times New Roman" w:eastAsia="Arial" w:hAnsi="Times New Roman" w:cs="Times New Roman"/>
        </w:rPr>
      </w:pPr>
      <w:r w:rsidRPr="000266F5">
        <w:rPr>
          <w:rFonts w:ascii="Times New Roman" w:eastAsia="Arial" w:hAnsi="Times New Roman" w:cs="Times New Roman"/>
        </w:rPr>
        <w:t>$3.0 billion for the Financial Services and Market Sector</w:t>
      </w:r>
    </w:p>
    <w:p w14:paraId="2960C1C6" w14:textId="77777777" w:rsidR="00993F09" w:rsidRPr="000266F5" w:rsidRDefault="00993F09" w:rsidP="00993F09">
      <w:pPr>
        <w:pStyle w:val="ListParagraph"/>
        <w:numPr>
          <w:ilvl w:val="0"/>
          <w:numId w:val="7"/>
        </w:numPr>
        <w:tabs>
          <w:tab w:val="left" w:pos="426"/>
        </w:tabs>
        <w:spacing w:before="240" w:after="240" w:line="240" w:lineRule="auto"/>
        <w:rPr>
          <w:rFonts w:ascii="Times New Roman" w:eastAsia="Arial" w:hAnsi="Times New Roman" w:cs="Times New Roman"/>
        </w:rPr>
      </w:pPr>
      <w:r w:rsidRPr="000266F5">
        <w:rPr>
          <w:rFonts w:ascii="Times New Roman" w:eastAsia="Arial" w:hAnsi="Times New Roman" w:cs="Times New Roman"/>
        </w:rPr>
        <w:t>$0.9 billion for the Communications Sector</w:t>
      </w:r>
    </w:p>
    <w:p w14:paraId="7FF68638" w14:textId="77777777" w:rsidR="00993F09" w:rsidRPr="000266F5" w:rsidRDefault="00993F09" w:rsidP="00993F09">
      <w:pPr>
        <w:pStyle w:val="ListParagraph"/>
        <w:numPr>
          <w:ilvl w:val="0"/>
          <w:numId w:val="7"/>
        </w:numPr>
        <w:tabs>
          <w:tab w:val="left" w:pos="426"/>
        </w:tabs>
        <w:spacing w:before="240" w:after="240" w:line="240" w:lineRule="auto"/>
        <w:rPr>
          <w:rFonts w:ascii="Times New Roman" w:eastAsia="Arial" w:hAnsi="Times New Roman" w:cs="Times New Roman"/>
        </w:rPr>
      </w:pPr>
      <w:r w:rsidRPr="000266F5">
        <w:rPr>
          <w:rFonts w:ascii="Times New Roman" w:eastAsia="Arial" w:hAnsi="Times New Roman" w:cs="Times New Roman"/>
        </w:rPr>
        <w:t>$1.0 billion for the Data Storage and Processing Sector</w:t>
      </w:r>
    </w:p>
    <w:p w14:paraId="2F880283" w14:textId="77777777" w:rsidR="00993F09" w:rsidRPr="000266F5" w:rsidRDefault="00993F09" w:rsidP="00993F09">
      <w:pPr>
        <w:pStyle w:val="ListParagraph"/>
        <w:numPr>
          <w:ilvl w:val="0"/>
          <w:numId w:val="7"/>
        </w:numPr>
        <w:tabs>
          <w:tab w:val="left" w:pos="426"/>
        </w:tabs>
        <w:spacing w:before="240" w:after="240" w:line="240" w:lineRule="auto"/>
        <w:rPr>
          <w:rFonts w:ascii="Times New Roman" w:eastAsia="Arial" w:hAnsi="Times New Roman" w:cs="Times New Roman"/>
        </w:rPr>
      </w:pPr>
      <w:r w:rsidRPr="000266F5">
        <w:rPr>
          <w:rFonts w:ascii="Times New Roman" w:eastAsia="Arial" w:hAnsi="Times New Roman" w:cs="Times New Roman"/>
        </w:rPr>
        <w:t>$1.6 billion for the Higher Education and Research Sector</w:t>
      </w:r>
    </w:p>
    <w:p w14:paraId="0FD53249" w14:textId="77777777" w:rsidR="00993F09" w:rsidRPr="000266F5" w:rsidRDefault="00993F09" w:rsidP="00993F09">
      <w:pPr>
        <w:pStyle w:val="ListParagraph"/>
        <w:numPr>
          <w:ilvl w:val="0"/>
          <w:numId w:val="7"/>
        </w:numPr>
        <w:tabs>
          <w:tab w:val="left" w:pos="426"/>
        </w:tabs>
        <w:spacing w:before="240" w:after="240" w:line="240" w:lineRule="auto"/>
        <w:rPr>
          <w:rFonts w:ascii="Times New Roman" w:eastAsia="Arial" w:hAnsi="Times New Roman" w:cs="Times New Roman"/>
        </w:rPr>
      </w:pPr>
      <w:r w:rsidRPr="000266F5">
        <w:rPr>
          <w:rFonts w:ascii="Times New Roman" w:eastAsia="Arial" w:hAnsi="Times New Roman" w:cs="Times New Roman"/>
        </w:rPr>
        <w:t>$0.7 billion for the Food and Grocery Sector</w:t>
      </w:r>
    </w:p>
    <w:p w14:paraId="00F6D412" w14:textId="77777777" w:rsidR="00993F09" w:rsidRPr="000266F5" w:rsidRDefault="00993F09" w:rsidP="00993F09">
      <w:pPr>
        <w:pStyle w:val="ListParagraph"/>
        <w:numPr>
          <w:ilvl w:val="0"/>
          <w:numId w:val="7"/>
        </w:numPr>
        <w:tabs>
          <w:tab w:val="left" w:pos="426"/>
        </w:tabs>
        <w:spacing w:before="240" w:after="240" w:line="240" w:lineRule="auto"/>
        <w:rPr>
          <w:rFonts w:ascii="Times New Roman" w:eastAsia="Arial" w:hAnsi="Times New Roman" w:cs="Times New Roman"/>
        </w:rPr>
      </w:pPr>
      <w:r w:rsidRPr="000266F5">
        <w:rPr>
          <w:rFonts w:ascii="Times New Roman" w:eastAsia="Arial" w:hAnsi="Times New Roman" w:cs="Times New Roman"/>
        </w:rPr>
        <w:t>$0.6 billion for the Health Care and Medical Sector</w:t>
      </w:r>
    </w:p>
    <w:p w14:paraId="183256D6" w14:textId="77777777" w:rsidR="00993F09" w:rsidRPr="000266F5" w:rsidRDefault="00993F09" w:rsidP="00993F09">
      <w:pPr>
        <w:pStyle w:val="ListParagraph"/>
        <w:numPr>
          <w:ilvl w:val="0"/>
          <w:numId w:val="7"/>
        </w:numPr>
        <w:tabs>
          <w:tab w:val="left" w:pos="426"/>
        </w:tabs>
        <w:spacing w:before="240" w:after="240" w:line="240" w:lineRule="auto"/>
        <w:rPr>
          <w:rFonts w:ascii="Times New Roman" w:eastAsia="Arial" w:hAnsi="Times New Roman" w:cs="Times New Roman"/>
        </w:rPr>
      </w:pPr>
      <w:r w:rsidRPr="000266F5">
        <w:rPr>
          <w:rFonts w:ascii="Times New Roman" w:eastAsia="Arial" w:hAnsi="Times New Roman" w:cs="Times New Roman"/>
        </w:rPr>
        <w:t>$0.06 billion for the Space Technology Sector</w:t>
      </w:r>
    </w:p>
    <w:p w14:paraId="5E3A0E3B" w14:textId="77777777" w:rsidR="00993F09" w:rsidRPr="000266F5" w:rsidRDefault="00993F09" w:rsidP="00993F09">
      <w:pPr>
        <w:pStyle w:val="ListParagraph"/>
        <w:numPr>
          <w:ilvl w:val="0"/>
          <w:numId w:val="7"/>
        </w:numPr>
        <w:tabs>
          <w:tab w:val="left" w:pos="426"/>
        </w:tabs>
        <w:spacing w:before="240" w:after="240" w:line="240" w:lineRule="auto"/>
        <w:rPr>
          <w:rFonts w:ascii="Times New Roman" w:eastAsia="Arial" w:hAnsi="Times New Roman" w:cs="Times New Roman"/>
        </w:rPr>
      </w:pPr>
      <w:r w:rsidRPr="000266F5">
        <w:rPr>
          <w:rFonts w:ascii="Times New Roman" w:eastAsia="Arial" w:hAnsi="Times New Roman" w:cs="Times New Roman"/>
        </w:rPr>
        <w:t>$1.2 billion for the Transport Sector</w:t>
      </w:r>
    </w:p>
    <w:p w14:paraId="7440E581" w14:textId="77777777" w:rsidR="00993F09" w:rsidRPr="000266F5" w:rsidRDefault="00993F09" w:rsidP="00993F09">
      <w:pPr>
        <w:pStyle w:val="ListParagraph"/>
        <w:numPr>
          <w:ilvl w:val="0"/>
          <w:numId w:val="7"/>
        </w:numPr>
        <w:tabs>
          <w:tab w:val="left" w:pos="426"/>
        </w:tabs>
        <w:spacing w:before="240" w:after="0" w:line="240" w:lineRule="auto"/>
        <w:rPr>
          <w:rFonts w:ascii="Times New Roman" w:eastAsia="Arial" w:hAnsi="Times New Roman" w:cs="Times New Roman"/>
        </w:rPr>
      </w:pPr>
      <w:r w:rsidRPr="000266F5">
        <w:rPr>
          <w:rFonts w:ascii="Times New Roman" w:eastAsia="Arial" w:hAnsi="Times New Roman" w:cs="Times New Roman"/>
        </w:rPr>
        <w:t>$0.2 billion for the Water and Sewerage Sector</w:t>
      </w:r>
    </w:p>
    <w:p w14:paraId="78B175F4" w14:textId="77777777" w:rsidR="00993F09" w:rsidRPr="000266F5" w:rsidRDefault="00993F09" w:rsidP="00993F09">
      <w:pPr>
        <w:pStyle w:val="ListParagraph"/>
        <w:tabs>
          <w:tab w:val="left" w:pos="426"/>
        </w:tabs>
        <w:spacing w:before="240" w:after="0" w:line="240" w:lineRule="auto"/>
        <w:rPr>
          <w:rFonts w:ascii="Times New Roman" w:eastAsia="Arial" w:hAnsi="Times New Roman" w:cs="Times New Roman"/>
        </w:rPr>
      </w:pPr>
    </w:p>
    <w:p w14:paraId="4B0707A7" w14:textId="77777777" w:rsidR="00993F09" w:rsidRPr="00934FE4" w:rsidRDefault="00993F09" w:rsidP="00993F09">
      <w:pPr>
        <w:tabs>
          <w:tab w:val="left" w:pos="426"/>
        </w:tabs>
        <w:spacing w:after="0" w:line="240" w:lineRule="auto"/>
        <w:rPr>
          <w:rFonts w:ascii="Times New Roman" w:eastAsia="Arial" w:hAnsi="Times New Roman" w:cs="Times New Roman"/>
        </w:rPr>
      </w:pPr>
      <w:r w:rsidRPr="00934FE4">
        <w:rPr>
          <w:rFonts w:ascii="Times New Roman" w:eastAsia="Arial" w:hAnsi="Times New Roman" w:cs="Times New Roman"/>
        </w:rPr>
        <w:t xml:space="preserve">These costs represent the maximum possible cost of inaction if an incident occurred causing a disruption to 10% of a </w:t>
      </w:r>
      <w:r w:rsidRPr="00EE0D81">
        <w:rPr>
          <w:rFonts w:ascii="Times New Roman" w:hAnsi="Times New Roman"/>
          <w:i/>
        </w:rPr>
        <w:t>critical infrastructure sector</w:t>
      </w:r>
      <w:r w:rsidRPr="00934FE4">
        <w:rPr>
          <w:rFonts w:ascii="Times New Roman" w:eastAsia="Arial" w:hAnsi="Times New Roman" w:cs="Times New Roman"/>
        </w:rPr>
        <w:t xml:space="preserve"> for a single week, with smaller incidents likely to cost less. These costs take into account the flow on impacts to other critical infrastructure areas and the broader Australian economy.</w:t>
      </w:r>
      <w:r>
        <w:rPr>
          <w:rFonts w:ascii="Times New Roman" w:eastAsia="Arial" w:hAnsi="Times New Roman" w:cs="Times New Roman"/>
        </w:rPr>
        <w:t xml:space="preserve"> These costs have not been tested with industry. </w:t>
      </w:r>
    </w:p>
    <w:p w14:paraId="67BD6ECD" w14:textId="77777777" w:rsidR="00993F09" w:rsidRDefault="00993F09" w:rsidP="00993F09">
      <w:pPr>
        <w:tabs>
          <w:tab w:val="left" w:pos="426"/>
        </w:tabs>
        <w:spacing w:after="0" w:line="240" w:lineRule="auto"/>
        <w:rPr>
          <w:rFonts w:ascii="Times New Roman" w:eastAsia="Arial" w:hAnsi="Times New Roman" w:cs="Times New Roman"/>
        </w:rPr>
      </w:pPr>
    </w:p>
    <w:p w14:paraId="6950A635" w14:textId="7777777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The Defence Industry Sector is currently regulated by the Defence Industry Security Program and therefore is unlikely to experience costs of inaction as they are already governed by significant Government oversight preventing significant hazards from having cascading impacts. </w:t>
      </w:r>
    </w:p>
    <w:p w14:paraId="56052322" w14:textId="77777777" w:rsidR="00993F09" w:rsidRPr="000266F5" w:rsidRDefault="00993F09" w:rsidP="00993F09">
      <w:pPr>
        <w:tabs>
          <w:tab w:val="left" w:pos="426"/>
        </w:tabs>
        <w:spacing w:after="0" w:line="240" w:lineRule="auto"/>
        <w:rPr>
          <w:rFonts w:ascii="Times New Roman" w:eastAsia="Arial" w:hAnsi="Times New Roman" w:cs="Times New Roman"/>
          <w:i/>
        </w:rPr>
      </w:pPr>
    </w:p>
    <w:p w14:paraId="1E21AE10" w14:textId="77777777" w:rsidR="00993F09" w:rsidRPr="000266F5" w:rsidRDefault="00993F09" w:rsidP="00993F09">
      <w:pPr>
        <w:tabs>
          <w:tab w:val="left" w:pos="426"/>
        </w:tabs>
        <w:spacing w:after="0" w:line="240" w:lineRule="auto"/>
        <w:rPr>
          <w:rFonts w:ascii="Times New Roman" w:eastAsia="Arial" w:hAnsi="Times New Roman" w:cs="Times New Roman"/>
          <w:i/>
        </w:rPr>
      </w:pPr>
      <w:r w:rsidRPr="000266F5">
        <w:rPr>
          <w:rFonts w:ascii="Times New Roman" w:eastAsia="Arial" w:hAnsi="Times New Roman" w:cs="Times New Roman"/>
          <w:i/>
        </w:rPr>
        <w:t>Cost assumptions</w:t>
      </w:r>
    </w:p>
    <w:p w14:paraId="0D1F6612"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089B743E" w14:textId="7777777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The cost of the shock is estimated by:</w:t>
      </w:r>
    </w:p>
    <w:p w14:paraId="4EC72EBD" w14:textId="77777777" w:rsidR="00993F09" w:rsidRPr="000266F5" w:rsidRDefault="00993F09" w:rsidP="00993F09">
      <w:pPr>
        <w:pStyle w:val="ListParagraph"/>
        <w:numPr>
          <w:ilvl w:val="0"/>
          <w:numId w:val="7"/>
        </w:numPr>
        <w:tabs>
          <w:tab w:val="left" w:pos="426"/>
        </w:tabs>
        <w:spacing w:after="240" w:line="240" w:lineRule="auto"/>
        <w:rPr>
          <w:rFonts w:ascii="Times New Roman" w:eastAsia="Arial" w:hAnsi="Times New Roman" w:cs="Times New Roman"/>
        </w:rPr>
      </w:pPr>
      <w:r w:rsidRPr="000266F5">
        <w:rPr>
          <w:rFonts w:ascii="Times New Roman" w:eastAsia="Arial" w:hAnsi="Times New Roman" w:cs="Times New Roman"/>
        </w:rPr>
        <w:t>multiplying total output of the relevant sector by 1/52 to determine the output per week of the sector;</w:t>
      </w:r>
    </w:p>
    <w:p w14:paraId="4A58D5B0" w14:textId="77777777" w:rsidR="00993F09" w:rsidRPr="000266F5" w:rsidRDefault="00993F09" w:rsidP="00993F09">
      <w:pPr>
        <w:pStyle w:val="ListParagraph"/>
        <w:numPr>
          <w:ilvl w:val="0"/>
          <w:numId w:val="7"/>
        </w:numPr>
        <w:tabs>
          <w:tab w:val="left" w:pos="426"/>
        </w:tabs>
        <w:spacing w:before="240" w:after="0" w:line="240" w:lineRule="auto"/>
        <w:rPr>
          <w:rFonts w:ascii="Times New Roman" w:eastAsia="Arial" w:hAnsi="Times New Roman" w:cs="Times New Roman"/>
        </w:rPr>
      </w:pPr>
      <w:r w:rsidRPr="000266F5">
        <w:rPr>
          <w:rFonts w:ascii="Times New Roman" w:eastAsia="Arial" w:hAnsi="Times New Roman" w:cs="Times New Roman"/>
        </w:rPr>
        <w:t xml:space="preserve">this figure is then multiplied by 10% to determine the impact – or loss of output – from a disruption to 10% of the critical sector per year. </w:t>
      </w:r>
    </w:p>
    <w:p w14:paraId="4D0A9049" w14:textId="77777777" w:rsidR="00993F09" w:rsidRPr="000266F5" w:rsidRDefault="00993F09" w:rsidP="00993F09">
      <w:pPr>
        <w:pStyle w:val="ListParagraph"/>
        <w:tabs>
          <w:tab w:val="left" w:pos="426"/>
        </w:tabs>
        <w:spacing w:before="240" w:after="0" w:line="240" w:lineRule="auto"/>
        <w:rPr>
          <w:rFonts w:ascii="Times New Roman" w:eastAsia="Arial" w:hAnsi="Times New Roman" w:cs="Times New Roman"/>
        </w:rPr>
      </w:pPr>
    </w:p>
    <w:p w14:paraId="294E2812" w14:textId="32FFF861"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For example, if the energy </w:t>
      </w:r>
      <w:r w:rsidRPr="00EE0D81">
        <w:rPr>
          <w:rFonts w:ascii="Times New Roman" w:hAnsi="Times New Roman"/>
          <w:i/>
        </w:rPr>
        <w:t>critical infrastructure sector</w:t>
      </w:r>
      <w:r w:rsidRPr="000266F5">
        <w:rPr>
          <w:rFonts w:ascii="Times New Roman" w:eastAsia="Arial" w:hAnsi="Times New Roman" w:cs="Times New Roman"/>
        </w:rPr>
        <w:t xml:space="preserve"> suffered a 10% operability shock it would imply that Australia’s energy </w:t>
      </w:r>
      <w:r w:rsidRPr="00EE0D81">
        <w:rPr>
          <w:rFonts w:ascii="Times New Roman" w:hAnsi="Times New Roman"/>
          <w:i/>
        </w:rPr>
        <w:t>critical infrastructure sector</w:t>
      </w:r>
      <w:r w:rsidRPr="000266F5">
        <w:rPr>
          <w:rFonts w:ascii="Times New Roman" w:eastAsia="Arial" w:hAnsi="Times New Roman" w:cs="Times New Roman"/>
        </w:rPr>
        <w:t xml:space="preserve"> is only operating at 90% of its ordinary productivity level. A 10% operability shock within the energy sector could occur through a number of </w:t>
      </w:r>
      <w:r w:rsidRPr="000266F5">
        <w:rPr>
          <w:rFonts w:ascii="Times New Roman" w:eastAsia="Arial" w:hAnsi="Times New Roman" w:cs="Times New Roman"/>
        </w:rPr>
        <w:lastRenderedPageBreak/>
        <w:t xml:space="preserve">cyber failings or </w:t>
      </w:r>
      <w:r>
        <w:rPr>
          <w:rFonts w:ascii="Times New Roman" w:eastAsia="Arial" w:hAnsi="Times New Roman" w:cs="Times New Roman"/>
        </w:rPr>
        <w:t>incidents</w:t>
      </w:r>
      <w:r w:rsidRPr="000266F5">
        <w:rPr>
          <w:rFonts w:ascii="Times New Roman" w:eastAsia="Arial" w:hAnsi="Times New Roman" w:cs="Times New Roman"/>
        </w:rPr>
        <w:t xml:space="preserve"> within the energy sector. For example, a 10% operability shock could occur if a supplier of critical SCADA equipment was subject to a cyber</w:t>
      </w:r>
      <w:r>
        <w:rPr>
          <w:rFonts w:ascii="Times New Roman" w:eastAsia="Arial" w:hAnsi="Times New Roman" w:cs="Times New Roman"/>
        </w:rPr>
        <w:t xml:space="preserve"> incident</w:t>
      </w:r>
      <w:r w:rsidRPr="000266F5">
        <w:rPr>
          <w:rFonts w:ascii="Times New Roman" w:eastAsia="Arial" w:hAnsi="Times New Roman" w:cs="Times New Roman"/>
        </w:rPr>
        <w:t xml:space="preserve"> which impacted multiple SCADA systems across a number of critical energy assets in turn causing the failure of </w:t>
      </w:r>
      <w:r>
        <w:rPr>
          <w:rFonts w:ascii="Times New Roman" w:eastAsia="Arial" w:hAnsi="Times New Roman" w:cs="Times New Roman"/>
        </w:rPr>
        <w:t>those</w:t>
      </w:r>
      <w:r w:rsidRPr="000266F5">
        <w:rPr>
          <w:rFonts w:ascii="Times New Roman" w:eastAsia="Arial" w:hAnsi="Times New Roman" w:cs="Times New Roman"/>
        </w:rPr>
        <w:t xml:space="preserve"> assets. This in turn would affect the availability of energy causing cascading and compounding disruptions across all the </w:t>
      </w:r>
      <w:r w:rsidRPr="00EE0D81">
        <w:rPr>
          <w:rFonts w:ascii="Times New Roman" w:hAnsi="Times New Roman"/>
          <w:i/>
        </w:rPr>
        <w:t>critical infrastructure sector</w:t>
      </w:r>
      <w:r w:rsidRPr="000266F5">
        <w:rPr>
          <w:rFonts w:ascii="Times New Roman" w:eastAsia="Arial" w:hAnsi="Times New Roman" w:cs="Times New Roman"/>
        </w:rPr>
        <w:t xml:space="preserve">s dependant on energy, and the broader Australian economy. </w:t>
      </w:r>
    </w:p>
    <w:p w14:paraId="3664156E"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3896DD1A" w14:textId="4C6C59D8"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A 10% operability shock within the transport sector could occur if the control centre of the organisation was subject to a </w:t>
      </w:r>
      <w:r>
        <w:rPr>
          <w:rFonts w:ascii="Times New Roman" w:eastAsia="Arial" w:hAnsi="Times New Roman" w:cs="Times New Roman"/>
        </w:rPr>
        <w:t xml:space="preserve">weather event </w:t>
      </w:r>
      <w:r w:rsidRPr="000266F5">
        <w:rPr>
          <w:rFonts w:ascii="Times New Roman" w:eastAsia="Arial" w:hAnsi="Times New Roman" w:cs="Times New Roman"/>
        </w:rPr>
        <w:t>resulting in the shutdown of their control centre</w:t>
      </w:r>
      <w:r>
        <w:rPr>
          <w:rFonts w:ascii="Times New Roman" w:eastAsia="Arial" w:hAnsi="Times New Roman" w:cs="Times New Roman"/>
        </w:rPr>
        <w:t xml:space="preserve"> </w:t>
      </w:r>
      <w:r w:rsidRPr="000266F5">
        <w:rPr>
          <w:rFonts w:ascii="Times New Roman" w:eastAsia="Arial" w:hAnsi="Times New Roman" w:cs="Times New Roman"/>
        </w:rPr>
        <w:t>until alternative arrangements for the</w:t>
      </w:r>
      <w:r>
        <w:rPr>
          <w:rFonts w:ascii="Times New Roman" w:eastAsia="Arial" w:hAnsi="Times New Roman" w:cs="Times New Roman"/>
        </w:rPr>
        <w:t>ir</w:t>
      </w:r>
      <w:r w:rsidRPr="000266F5">
        <w:rPr>
          <w:rFonts w:ascii="Times New Roman" w:eastAsia="Arial" w:hAnsi="Times New Roman" w:cs="Times New Roman"/>
        </w:rPr>
        <w:t xml:space="preserve"> operation of the entity </w:t>
      </w:r>
      <w:r>
        <w:rPr>
          <w:rFonts w:ascii="Times New Roman" w:eastAsia="Arial" w:hAnsi="Times New Roman" w:cs="Times New Roman"/>
        </w:rPr>
        <w:t>could</w:t>
      </w:r>
      <w:r w:rsidRPr="000266F5">
        <w:rPr>
          <w:rFonts w:ascii="Times New Roman" w:eastAsia="Arial" w:hAnsi="Times New Roman" w:cs="Times New Roman"/>
        </w:rPr>
        <w:t xml:space="preserve"> be arranged. This would have significant flow on affects for other </w:t>
      </w:r>
      <w:r w:rsidRPr="00EE0D81">
        <w:rPr>
          <w:rFonts w:ascii="Times New Roman" w:hAnsi="Times New Roman"/>
          <w:i/>
        </w:rPr>
        <w:t>critical infrastructure sector</w:t>
      </w:r>
      <w:r w:rsidRPr="000266F5">
        <w:rPr>
          <w:rFonts w:ascii="Times New Roman" w:eastAsia="Arial" w:hAnsi="Times New Roman" w:cs="Times New Roman"/>
        </w:rPr>
        <w:t xml:space="preserve">s such as the food and grocery sector and liquid fuels sub-sector which both rely heavily on the transport sector for transportation of goods from one part of the country to another. </w:t>
      </w:r>
    </w:p>
    <w:p w14:paraId="0EACF482"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1C2CCC56" w14:textId="7777777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An operability shock of 10% has been employed as it is unlikely that within any </w:t>
      </w:r>
      <w:r w:rsidRPr="00EE0D81">
        <w:rPr>
          <w:rFonts w:ascii="Times New Roman" w:hAnsi="Times New Roman"/>
          <w:i/>
        </w:rPr>
        <w:t>critical infrastructure sector</w:t>
      </w:r>
      <w:r w:rsidRPr="000266F5">
        <w:rPr>
          <w:rFonts w:ascii="Times New Roman" w:eastAsia="Arial" w:hAnsi="Times New Roman" w:cs="Times New Roman"/>
        </w:rPr>
        <w:t xml:space="preserve"> there will be an entity with a greater than 10% monopoly on the operations of the sector. Therefore, if an entity were disrupted</w:t>
      </w:r>
      <w:r>
        <w:rPr>
          <w:rFonts w:ascii="Times New Roman" w:eastAsia="Arial" w:hAnsi="Times New Roman" w:cs="Times New Roman"/>
        </w:rPr>
        <w:t>,</w:t>
      </w:r>
      <w:r w:rsidRPr="000266F5">
        <w:rPr>
          <w:rFonts w:ascii="Times New Roman" w:eastAsia="Arial" w:hAnsi="Times New Roman" w:cs="Times New Roman"/>
        </w:rPr>
        <w:t xml:space="preserve"> it is unlikely to have a greater than 10% disruption to the sector.</w:t>
      </w:r>
    </w:p>
    <w:p w14:paraId="7DA7C00D"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277FB77F" w14:textId="1513131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These costs are indicative. It is difficult to determine the exact extent of the cost of inaction due to the complex, interrelated nature of the </w:t>
      </w:r>
      <w:r w:rsidRPr="00EE0D81">
        <w:rPr>
          <w:rFonts w:ascii="Times New Roman" w:hAnsi="Times New Roman"/>
          <w:i/>
        </w:rPr>
        <w:t>critical infrastructure sector</w:t>
      </w:r>
      <w:r w:rsidRPr="000266F5">
        <w:rPr>
          <w:rFonts w:ascii="Times New Roman" w:eastAsia="Arial" w:hAnsi="Times New Roman" w:cs="Times New Roman"/>
        </w:rPr>
        <w:t xml:space="preserve">s and the potential cascading impacts disruptions could have on other </w:t>
      </w:r>
      <w:r w:rsidRPr="00EE0D81">
        <w:rPr>
          <w:rFonts w:ascii="Times New Roman" w:hAnsi="Times New Roman"/>
          <w:i/>
        </w:rPr>
        <w:t>critical infrastructure sector</w:t>
      </w:r>
      <w:r w:rsidRPr="000266F5">
        <w:rPr>
          <w:rFonts w:ascii="Times New Roman" w:eastAsia="Arial" w:hAnsi="Times New Roman" w:cs="Times New Roman"/>
        </w:rPr>
        <w:t>s and the broader social and economic stability, defence and national security of Australia.</w:t>
      </w:r>
    </w:p>
    <w:p w14:paraId="69AF57E1"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06CB3D4A" w14:textId="2799AA3D" w:rsidR="00993F09"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Without proper safeguards across Australia’s </w:t>
      </w:r>
      <w:r w:rsidRPr="00EE0D81">
        <w:rPr>
          <w:rFonts w:ascii="Times New Roman" w:hAnsi="Times New Roman"/>
          <w:i/>
        </w:rPr>
        <w:t>critical infrastructure sector</w:t>
      </w:r>
      <w:r w:rsidRPr="000266F5">
        <w:rPr>
          <w:rFonts w:ascii="Times New Roman" w:eastAsia="Arial" w:hAnsi="Times New Roman" w:cs="Times New Roman"/>
        </w:rPr>
        <w:t>s</w:t>
      </w:r>
      <w:r>
        <w:rPr>
          <w:rFonts w:ascii="Times New Roman" w:eastAsia="Arial" w:hAnsi="Times New Roman" w:cs="Times New Roman"/>
        </w:rPr>
        <w:t>,</w:t>
      </w:r>
      <w:r w:rsidRPr="000266F5">
        <w:rPr>
          <w:rFonts w:ascii="Times New Roman" w:eastAsia="Arial" w:hAnsi="Times New Roman" w:cs="Times New Roman"/>
        </w:rPr>
        <w:t xml:space="preserve"> hazards may cause long lasting and far reaching consequences</w:t>
      </w:r>
      <w:r>
        <w:rPr>
          <w:rFonts w:ascii="Times New Roman" w:eastAsia="Arial" w:hAnsi="Times New Roman" w:cs="Times New Roman"/>
        </w:rPr>
        <w:t>.</w:t>
      </w:r>
    </w:p>
    <w:p w14:paraId="3DFAFE99" w14:textId="09415297" w:rsidR="00993F09" w:rsidRDefault="00993F09" w:rsidP="00993F09">
      <w:pPr>
        <w:tabs>
          <w:tab w:val="left" w:pos="426"/>
        </w:tabs>
        <w:spacing w:after="0" w:line="240" w:lineRule="auto"/>
        <w:rPr>
          <w:rFonts w:ascii="Times New Roman" w:eastAsia="Arial" w:hAnsi="Times New Roman" w:cs="Times New Roman"/>
        </w:rPr>
      </w:pPr>
    </w:p>
    <w:tbl>
      <w:tblPr>
        <w:tblStyle w:val="GridTable4-Accent21"/>
        <w:tblW w:w="0" w:type="auto"/>
        <w:tblLook w:val="04A0" w:firstRow="1" w:lastRow="0" w:firstColumn="1" w:lastColumn="0" w:noHBand="0" w:noVBand="1"/>
      </w:tblPr>
      <w:tblGrid>
        <w:gridCol w:w="4508"/>
        <w:gridCol w:w="4508"/>
      </w:tblGrid>
      <w:tr w:rsidR="00993F09" w:rsidRPr="000266F5" w14:paraId="6DBEDACF" w14:textId="77777777" w:rsidTr="00602D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1060EB1" w14:textId="77777777" w:rsidR="00993F09" w:rsidRPr="000266F5" w:rsidRDefault="00993F09" w:rsidP="00602DDE">
            <w:pPr>
              <w:tabs>
                <w:tab w:val="left" w:pos="426"/>
              </w:tabs>
              <w:spacing w:before="240" w:after="240"/>
              <w:jc w:val="center"/>
              <w:rPr>
                <w:rFonts w:ascii="Times New Roman" w:eastAsia="MS PGothic" w:hAnsi="Times New Roman" w:cs="Times New Roman"/>
                <w:color w:val="000000"/>
              </w:rPr>
            </w:pPr>
            <w:r w:rsidRPr="000266F5">
              <w:rPr>
                <w:rFonts w:ascii="Times New Roman" w:eastAsia="MS PGothic" w:hAnsi="Times New Roman" w:cs="Times New Roman"/>
                <w:color w:val="000000"/>
              </w:rPr>
              <w:t>Benefits</w:t>
            </w:r>
          </w:p>
        </w:tc>
        <w:tc>
          <w:tcPr>
            <w:tcW w:w="4508" w:type="dxa"/>
          </w:tcPr>
          <w:p w14:paraId="406E97B5" w14:textId="77777777" w:rsidR="00993F09" w:rsidRPr="000266F5" w:rsidRDefault="00993F09" w:rsidP="00602DDE">
            <w:pPr>
              <w:tabs>
                <w:tab w:val="left" w:pos="426"/>
              </w:tabs>
              <w:spacing w:before="240" w:after="240"/>
              <w:jc w:val="center"/>
              <w:cnfStyle w:val="100000000000" w:firstRow="1" w:lastRow="0" w:firstColumn="0" w:lastColumn="0" w:oddVBand="0" w:evenVBand="0" w:oddHBand="0" w:evenHBand="0" w:firstRowFirstColumn="0" w:firstRowLastColumn="0" w:lastRowFirstColumn="0" w:lastRowLastColumn="0"/>
              <w:rPr>
                <w:rFonts w:ascii="Times New Roman" w:eastAsia="MS PGothic" w:hAnsi="Times New Roman" w:cs="Times New Roman"/>
                <w:color w:val="000000"/>
              </w:rPr>
            </w:pPr>
            <w:r w:rsidRPr="000266F5">
              <w:rPr>
                <w:rFonts w:ascii="Times New Roman" w:eastAsia="MS PGothic" w:hAnsi="Times New Roman" w:cs="Times New Roman"/>
                <w:color w:val="000000"/>
              </w:rPr>
              <w:t>Costs and Limitations</w:t>
            </w:r>
          </w:p>
        </w:tc>
      </w:tr>
      <w:tr w:rsidR="00993F09" w:rsidRPr="000266F5" w14:paraId="6EF44349" w14:textId="77777777" w:rsidTr="00602DDE">
        <w:trPr>
          <w:cnfStyle w:val="000000100000" w:firstRow="0" w:lastRow="0" w:firstColumn="0" w:lastColumn="0" w:oddVBand="0" w:evenVBand="0" w:oddHBand="1" w:evenHBand="0" w:firstRowFirstColumn="0" w:firstRowLastColumn="0" w:lastRowFirstColumn="0" w:lastRowLastColumn="0"/>
          <w:trHeight w:val="3902"/>
        </w:trPr>
        <w:tc>
          <w:tcPr>
            <w:cnfStyle w:val="001000000000" w:firstRow="0" w:lastRow="0" w:firstColumn="1" w:lastColumn="0" w:oddVBand="0" w:evenVBand="0" w:oddHBand="0" w:evenHBand="0" w:firstRowFirstColumn="0" w:firstRowLastColumn="0" w:lastRowFirstColumn="0" w:lastRowLastColumn="0"/>
            <w:tcW w:w="4508" w:type="dxa"/>
          </w:tcPr>
          <w:p w14:paraId="4DDD3228" w14:textId="77777777" w:rsidR="00993F09" w:rsidRPr="000266F5" w:rsidRDefault="00993F09" w:rsidP="00602DDE">
            <w:pPr>
              <w:numPr>
                <w:ilvl w:val="0"/>
                <w:numId w:val="3"/>
              </w:numPr>
              <w:tabs>
                <w:tab w:val="left" w:pos="426"/>
              </w:tabs>
              <w:rPr>
                <w:rFonts w:ascii="Times New Roman" w:eastAsia="MS PGothic" w:hAnsi="Times New Roman" w:cs="Times New Roman"/>
                <w:b w:val="0"/>
                <w:color w:val="000000"/>
              </w:rPr>
            </w:pPr>
            <w:r w:rsidRPr="000266F5">
              <w:rPr>
                <w:rFonts w:ascii="Times New Roman" w:eastAsia="MS PGothic" w:hAnsi="Times New Roman" w:cs="Times New Roman"/>
                <w:b w:val="0"/>
                <w:color w:val="000000"/>
              </w:rPr>
              <w:t>Affords owners and operators greater flexibility to address risks to critical infrastructure</w:t>
            </w:r>
          </w:p>
          <w:p w14:paraId="39DA0538" w14:textId="77777777" w:rsidR="00993F09" w:rsidRPr="000266F5" w:rsidRDefault="00993F09" w:rsidP="00602DDE">
            <w:pPr>
              <w:numPr>
                <w:ilvl w:val="0"/>
                <w:numId w:val="3"/>
              </w:numPr>
              <w:tabs>
                <w:tab w:val="left" w:pos="426"/>
              </w:tabs>
              <w:rPr>
                <w:rFonts w:ascii="Times New Roman" w:eastAsia="MS PGothic" w:hAnsi="Times New Roman" w:cs="Times New Roman"/>
                <w:color w:val="000000"/>
              </w:rPr>
            </w:pPr>
            <w:r w:rsidRPr="000266F5">
              <w:rPr>
                <w:rFonts w:ascii="Times New Roman" w:eastAsia="MS PGothic" w:hAnsi="Times New Roman" w:cs="Times New Roman"/>
                <w:b w:val="0"/>
                <w:color w:val="000000"/>
              </w:rPr>
              <w:t>No upfront or ongoing compliance costs to industry to uplift resilience</w:t>
            </w:r>
          </w:p>
        </w:tc>
        <w:tc>
          <w:tcPr>
            <w:tcW w:w="4508" w:type="dxa"/>
          </w:tcPr>
          <w:p w14:paraId="7C070344" w14:textId="60C4DE53" w:rsidR="00993F09" w:rsidRPr="000266F5" w:rsidRDefault="00993F09" w:rsidP="00602DDE">
            <w:pPr>
              <w:numPr>
                <w:ilvl w:val="0"/>
                <w:numId w:val="3"/>
              </w:numPr>
              <w:tabs>
                <w:tab w:val="left" w:pos="426"/>
              </w:tabs>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cs="Times New Roman"/>
                <w:color w:val="000000"/>
              </w:rPr>
            </w:pPr>
            <w:r>
              <w:rPr>
                <w:rFonts w:ascii="Times New Roman" w:eastAsia="MS PGothic" w:hAnsi="Times New Roman" w:cs="Times New Roman"/>
                <w:color w:val="000000"/>
              </w:rPr>
              <w:t xml:space="preserve">Could have significant flow on effects to the broader Australian economy if a significant hazard were to occur in a critical infrastructure sector. </w:t>
            </w:r>
          </w:p>
          <w:p w14:paraId="3415444F" w14:textId="77777777" w:rsidR="00993F09" w:rsidRPr="000266F5" w:rsidRDefault="00993F09" w:rsidP="00602DDE">
            <w:pPr>
              <w:numPr>
                <w:ilvl w:val="0"/>
                <w:numId w:val="3"/>
              </w:numPr>
              <w:tabs>
                <w:tab w:val="left" w:pos="426"/>
              </w:tabs>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cs="Times New Roman"/>
                <w:color w:val="000000"/>
              </w:rPr>
            </w:pPr>
            <w:r w:rsidRPr="000266F5">
              <w:rPr>
                <w:rFonts w:ascii="Times New Roman" w:eastAsia="MS PGothic" w:hAnsi="Times New Roman" w:cs="Times New Roman"/>
                <w:color w:val="000000"/>
              </w:rPr>
              <w:t>Does not provide direction and support for owners and operators and leaves industry exposed to a greater risk of all hazard threats</w:t>
            </w:r>
          </w:p>
          <w:p w14:paraId="2EEA673D" w14:textId="77777777" w:rsidR="00993F09" w:rsidRPr="000266F5" w:rsidRDefault="00993F09" w:rsidP="00602DDE">
            <w:pPr>
              <w:numPr>
                <w:ilvl w:val="0"/>
                <w:numId w:val="3"/>
              </w:numPr>
              <w:tabs>
                <w:tab w:val="left" w:pos="426"/>
              </w:tabs>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cs="Times New Roman"/>
                <w:color w:val="000000"/>
              </w:rPr>
            </w:pPr>
            <w:r w:rsidRPr="000266F5">
              <w:rPr>
                <w:rFonts w:ascii="Times New Roman" w:eastAsia="MS PGothic" w:hAnsi="Times New Roman" w:cs="Times New Roman"/>
                <w:color w:val="000000"/>
              </w:rPr>
              <w:t>Does not address concerns raised by industry requesting guidance from Government</w:t>
            </w:r>
          </w:p>
          <w:p w14:paraId="71874F25" w14:textId="77777777" w:rsidR="00993F09" w:rsidRPr="000266F5" w:rsidRDefault="00993F09" w:rsidP="00602DDE">
            <w:pPr>
              <w:numPr>
                <w:ilvl w:val="0"/>
                <w:numId w:val="3"/>
              </w:numPr>
              <w:tabs>
                <w:tab w:val="left" w:pos="426"/>
              </w:tabs>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cs="Times New Roman"/>
                <w:color w:val="000000"/>
              </w:rPr>
            </w:pPr>
            <w:r w:rsidRPr="000266F5">
              <w:rPr>
                <w:rFonts w:ascii="Times New Roman" w:eastAsia="MS PGothic" w:hAnsi="Times New Roman" w:cs="Times New Roman"/>
                <w:color w:val="000000"/>
              </w:rPr>
              <w:t>Unlikely to result in widespread changes in business behaviour or increased security of critical infrastructure and subsequently will not provide the Government greater assurance that risks are being appropriately managed</w:t>
            </w:r>
          </w:p>
        </w:tc>
      </w:tr>
    </w:tbl>
    <w:p w14:paraId="2BC649AC" w14:textId="77777777" w:rsidR="00993F09" w:rsidRPr="000266F5" w:rsidRDefault="00993F09" w:rsidP="00EE0D81">
      <w:pPr>
        <w:spacing w:after="0" w:line="240" w:lineRule="auto"/>
        <w:rPr>
          <w:rFonts w:ascii="Times New Roman" w:eastAsia="Arial" w:hAnsi="Times New Roman" w:cs="Times New Roman"/>
          <w:b/>
          <w:bCs/>
        </w:rPr>
      </w:pPr>
    </w:p>
    <w:p w14:paraId="71051297" w14:textId="77777777" w:rsidR="00993F09" w:rsidRPr="000266F5" w:rsidRDefault="00993F09" w:rsidP="00B369B5">
      <w:pPr>
        <w:pStyle w:val="ListParagraph"/>
        <w:numPr>
          <w:ilvl w:val="1"/>
          <w:numId w:val="12"/>
        </w:numPr>
        <w:spacing w:after="200" w:line="240" w:lineRule="auto"/>
        <w:rPr>
          <w:rFonts w:ascii="Times New Roman" w:eastAsia="Arial" w:hAnsi="Times New Roman" w:cs="Times New Roman"/>
          <w:b/>
          <w:bCs/>
        </w:rPr>
      </w:pPr>
      <w:r w:rsidRPr="000266F5">
        <w:rPr>
          <w:rFonts w:ascii="Times New Roman" w:eastAsia="Arial" w:hAnsi="Times New Roman" w:cs="Times New Roman"/>
          <w:b/>
          <w:bCs/>
        </w:rPr>
        <w:t xml:space="preserve">Option Two – Legislative change, a compliance and assurance capability </w:t>
      </w:r>
    </w:p>
    <w:p w14:paraId="12E3844A" w14:textId="053B0F6F" w:rsidR="00753450" w:rsidRPr="00753450" w:rsidRDefault="00753450" w:rsidP="00753450">
      <w:pPr>
        <w:tabs>
          <w:tab w:val="left" w:pos="426"/>
        </w:tabs>
        <w:spacing w:after="0" w:line="240" w:lineRule="auto"/>
        <w:rPr>
          <w:rFonts w:ascii="Times New Roman" w:eastAsia="Arial" w:hAnsi="Times New Roman" w:cs="Times New Roman"/>
        </w:rPr>
      </w:pPr>
      <w:r w:rsidRPr="00753450">
        <w:rPr>
          <w:rFonts w:ascii="Times New Roman" w:eastAsia="Arial" w:hAnsi="Times New Roman" w:cs="Times New Roman"/>
        </w:rPr>
        <w:t xml:space="preserve">This section provides the costs and benefits of each element of the reforms as described in Question 3. These costs have not been consulted with industry to date. Instead, they have been developed </w:t>
      </w:r>
      <w:r w:rsidRPr="00753450">
        <w:rPr>
          <w:rFonts w:ascii="Times New Roman" w:eastAsia="Arial" w:hAnsi="Times New Roman" w:cs="Times New Roman"/>
        </w:rPr>
        <w:lastRenderedPageBreak/>
        <w:t>internally with the assistance of both consultants with subject matter expertise and the Australian Cyber Security Centre for the cyber related elements of the reforms</w:t>
      </w:r>
      <w:r w:rsidR="002D0188">
        <w:rPr>
          <w:rFonts w:ascii="Times New Roman" w:eastAsia="Arial" w:hAnsi="Times New Roman" w:cs="Times New Roman"/>
        </w:rPr>
        <w:t>, and build on costings developed prior the SOCI being enacted in 2018</w:t>
      </w:r>
      <w:r w:rsidRPr="00753450">
        <w:rPr>
          <w:rFonts w:ascii="Times New Roman" w:eastAsia="Arial" w:hAnsi="Times New Roman" w:cs="Times New Roman"/>
        </w:rPr>
        <w:t xml:space="preserve">. </w:t>
      </w:r>
    </w:p>
    <w:p w14:paraId="3D56B990" w14:textId="77777777" w:rsidR="00753450" w:rsidRPr="00753450" w:rsidRDefault="00753450" w:rsidP="00753450">
      <w:pPr>
        <w:tabs>
          <w:tab w:val="left" w:pos="426"/>
        </w:tabs>
        <w:spacing w:after="0" w:line="240" w:lineRule="auto"/>
        <w:rPr>
          <w:rFonts w:ascii="Times New Roman" w:eastAsia="Arial" w:hAnsi="Times New Roman" w:cs="Times New Roman"/>
        </w:rPr>
      </w:pPr>
    </w:p>
    <w:p w14:paraId="7A00EC10" w14:textId="7B9210F5" w:rsidR="004A7840" w:rsidRPr="00753450" w:rsidRDefault="00753450" w:rsidP="00753450">
      <w:pPr>
        <w:tabs>
          <w:tab w:val="left" w:pos="426"/>
        </w:tabs>
        <w:spacing w:after="0" w:line="240" w:lineRule="auto"/>
        <w:rPr>
          <w:rFonts w:ascii="Times New Roman" w:eastAsia="Arial" w:hAnsi="Times New Roman" w:cs="Times New Roman"/>
        </w:rPr>
      </w:pPr>
      <w:r w:rsidRPr="00753450">
        <w:rPr>
          <w:rFonts w:ascii="Times New Roman" w:eastAsia="Arial" w:hAnsi="Times New Roman" w:cs="Times New Roman"/>
        </w:rPr>
        <w:t xml:space="preserve">The maximum aggregated, annual costs to industry as a result of the Register of Critical Infrastructure Assets and the mandatory cyber reporting are below if all critical infrastructure assets were required to comply with these obligations. </w:t>
      </w:r>
    </w:p>
    <w:p w14:paraId="4A83761B" w14:textId="77777777" w:rsidR="00753450" w:rsidRPr="00753450" w:rsidRDefault="00753450" w:rsidP="00753450">
      <w:pPr>
        <w:tabs>
          <w:tab w:val="left" w:pos="426"/>
        </w:tabs>
        <w:spacing w:after="0" w:line="240" w:lineRule="auto"/>
        <w:rPr>
          <w:rFonts w:ascii="Times New Roman" w:eastAsia="Arial" w:hAnsi="Times New Roman" w:cs="Times New Roman"/>
        </w:rPr>
      </w:pPr>
    </w:p>
    <w:tbl>
      <w:tblPr>
        <w:tblStyle w:val="List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626"/>
        <w:gridCol w:w="1803"/>
        <w:gridCol w:w="1803"/>
        <w:gridCol w:w="1804"/>
      </w:tblGrid>
      <w:tr w:rsidR="00753450" w:rsidRPr="00753450" w14:paraId="0C06E432" w14:textId="77777777" w:rsidTr="00602DDE">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9016" w:type="dxa"/>
            <w:gridSpan w:val="5"/>
            <w:tcBorders>
              <w:top w:val="none" w:sz="0" w:space="0" w:color="auto"/>
              <w:left w:val="none" w:sz="0" w:space="0" w:color="auto"/>
              <w:bottom w:val="none" w:sz="0" w:space="0" w:color="auto"/>
              <w:right w:val="none" w:sz="0" w:space="0" w:color="auto"/>
            </w:tcBorders>
            <w:shd w:val="clear" w:color="auto" w:fill="auto"/>
          </w:tcPr>
          <w:p w14:paraId="3056C66C" w14:textId="77777777" w:rsidR="00753450" w:rsidRPr="00753450" w:rsidRDefault="00753450" w:rsidP="00602DDE">
            <w:pPr>
              <w:tabs>
                <w:tab w:val="num" w:pos="340"/>
                <w:tab w:val="left" w:pos="426"/>
              </w:tabs>
              <w:rPr>
                <w:rFonts w:ascii="Times New Roman" w:eastAsia="Arial" w:hAnsi="Times New Roman" w:cs="Times New Roman"/>
                <w:color w:val="auto"/>
              </w:rPr>
            </w:pPr>
            <w:r w:rsidRPr="00753450">
              <w:rPr>
                <w:rFonts w:ascii="Times New Roman" w:eastAsia="Arial" w:hAnsi="Times New Roman" w:cs="Times New Roman"/>
                <w:color w:val="000000" w:themeColor="text1"/>
              </w:rPr>
              <w:t xml:space="preserve">Average annual </w:t>
            </w:r>
            <w:r w:rsidRPr="00753450">
              <w:rPr>
                <w:rFonts w:ascii="Times New Roman" w:eastAsia="Arial" w:hAnsi="Times New Roman" w:cs="Times New Roman"/>
                <w:color w:val="auto"/>
              </w:rPr>
              <w:t>regulatory costs ($ million)</w:t>
            </w:r>
          </w:p>
        </w:tc>
      </w:tr>
      <w:tr w:rsidR="00753450" w:rsidRPr="00753450" w14:paraId="5CFEC274" w14:textId="77777777" w:rsidTr="00EE0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7F6D0629" w14:textId="77777777" w:rsidR="00753450" w:rsidRPr="00753450" w:rsidRDefault="00753450" w:rsidP="00EE0D81">
            <w:pPr>
              <w:tabs>
                <w:tab w:val="num" w:pos="340"/>
                <w:tab w:val="left" w:pos="426"/>
              </w:tabs>
              <w:rPr>
                <w:rFonts w:ascii="Times New Roman" w:eastAsia="Arial" w:hAnsi="Times New Roman" w:cs="Times New Roman"/>
              </w:rPr>
            </w:pPr>
          </w:p>
        </w:tc>
        <w:tc>
          <w:tcPr>
            <w:tcW w:w="1626" w:type="dxa"/>
            <w:shd w:val="clear" w:color="auto" w:fill="auto"/>
          </w:tcPr>
          <w:p w14:paraId="14925559" w14:textId="77777777" w:rsidR="00753450" w:rsidRPr="00753450" w:rsidRDefault="00753450" w:rsidP="00EE0D81">
            <w:pPr>
              <w:tabs>
                <w:tab w:val="num" w:pos="340"/>
                <w:tab w:val="left" w:pos="426"/>
              </w:tabs>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753450">
              <w:rPr>
                <w:rFonts w:ascii="Times New Roman" w:eastAsia="Arial" w:hAnsi="Times New Roman" w:cs="Times New Roman"/>
              </w:rPr>
              <w:t>Industry</w:t>
            </w:r>
          </w:p>
        </w:tc>
        <w:tc>
          <w:tcPr>
            <w:tcW w:w="1803" w:type="dxa"/>
            <w:shd w:val="clear" w:color="auto" w:fill="auto"/>
          </w:tcPr>
          <w:p w14:paraId="4CE0F3F3" w14:textId="77777777" w:rsidR="00753450" w:rsidRPr="00753450" w:rsidRDefault="00753450" w:rsidP="00EE0D81">
            <w:pPr>
              <w:tabs>
                <w:tab w:val="num" w:pos="340"/>
                <w:tab w:val="left" w:pos="426"/>
              </w:tabs>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753450">
              <w:rPr>
                <w:rFonts w:ascii="Times New Roman" w:eastAsia="Arial" w:hAnsi="Times New Roman" w:cs="Times New Roman"/>
              </w:rPr>
              <w:t>Community</w:t>
            </w:r>
          </w:p>
        </w:tc>
        <w:tc>
          <w:tcPr>
            <w:tcW w:w="1803" w:type="dxa"/>
            <w:shd w:val="clear" w:color="auto" w:fill="auto"/>
          </w:tcPr>
          <w:p w14:paraId="6CFB8917" w14:textId="77777777" w:rsidR="00753450" w:rsidRPr="00753450" w:rsidRDefault="00753450" w:rsidP="00EE0D81">
            <w:pPr>
              <w:tabs>
                <w:tab w:val="num" w:pos="340"/>
                <w:tab w:val="left" w:pos="426"/>
              </w:tabs>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753450">
              <w:rPr>
                <w:rFonts w:ascii="Times New Roman" w:eastAsia="Arial" w:hAnsi="Times New Roman" w:cs="Times New Roman"/>
              </w:rPr>
              <w:t>Individuals</w:t>
            </w:r>
          </w:p>
        </w:tc>
        <w:tc>
          <w:tcPr>
            <w:tcW w:w="1804" w:type="dxa"/>
            <w:shd w:val="clear" w:color="auto" w:fill="auto"/>
          </w:tcPr>
          <w:p w14:paraId="08C73311" w14:textId="77777777" w:rsidR="00753450" w:rsidRPr="00753450" w:rsidRDefault="00753450" w:rsidP="00EE0D81">
            <w:pPr>
              <w:tabs>
                <w:tab w:val="num" w:pos="340"/>
                <w:tab w:val="left" w:pos="426"/>
              </w:tabs>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753450">
              <w:rPr>
                <w:rFonts w:ascii="Times New Roman" w:eastAsia="Arial" w:hAnsi="Times New Roman" w:cs="Times New Roman"/>
              </w:rPr>
              <w:t>Total</w:t>
            </w:r>
          </w:p>
        </w:tc>
      </w:tr>
      <w:tr w:rsidR="00753450" w:rsidRPr="00753450" w14:paraId="1E55160F" w14:textId="77777777" w:rsidTr="00602DDE">
        <w:tc>
          <w:tcPr>
            <w:cnfStyle w:val="001000000000" w:firstRow="0" w:lastRow="0" w:firstColumn="1" w:lastColumn="0" w:oddVBand="0" w:evenVBand="0" w:oddHBand="0" w:evenHBand="0" w:firstRowFirstColumn="0" w:firstRowLastColumn="0" w:lastRowFirstColumn="0" w:lastRowLastColumn="0"/>
            <w:tcW w:w="1980" w:type="dxa"/>
          </w:tcPr>
          <w:p w14:paraId="3476CD95" w14:textId="77777777" w:rsidR="00753450" w:rsidRPr="00753450" w:rsidRDefault="00753450" w:rsidP="00602DDE">
            <w:pPr>
              <w:tabs>
                <w:tab w:val="num" w:pos="340"/>
                <w:tab w:val="left" w:pos="426"/>
              </w:tabs>
              <w:rPr>
                <w:rFonts w:ascii="Times New Roman" w:eastAsia="Arial" w:hAnsi="Times New Roman" w:cs="Times New Roman"/>
              </w:rPr>
            </w:pPr>
            <w:r w:rsidRPr="00753450">
              <w:rPr>
                <w:rFonts w:ascii="Times New Roman" w:eastAsia="Arial" w:hAnsi="Times New Roman" w:cs="Times New Roman"/>
              </w:rPr>
              <w:t>Cost</w:t>
            </w:r>
          </w:p>
        </w:tc>
        <w:tc>
          <w:tcPr>
            <w:tcW w:w="1626" w:type="dxa"/>
          </w:tcPr>
          <w:p w14:paraId="4CB9A71E" w14:textId="40F89367" w:rsidR="00753450" w:rsidRPr="00753450" w:rsidRDefault="00753450">
            <w:pPr>
              <w:tabs>
                <w:tab w:val="num" w:pos="340"/>
                <w:tab w:val="left" w:pos="426"/>
              </w:tabs>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753450">
              <w:rPr>
                <w:rFonts w:ascii="Times New Roman" w:eastAsia="Arial" w:hAnsi="Times New Roman" w:cs="Times New Roman"/>
              </w:rPr>
              <w:t>$</w:t>
            </w:r>
            <w:r w:rsidR="00AD0079">
              <w:rPr>
                <w:rFonts w:ascii="Times New Roman" w:eastAsia="Arial" w:hAnsi="Times New Roman" w:cs="Times New Roman"/>
              </w:rPr>
              <w:t>2.19</w:t>
            </w:r>
            <w:r w:rsidRPr="00753450">
              <w:rPr>
                <w:rFonts w:ascii="Times New Roman" w:eastAsia="Arial" w:hAnsi="Times New Roman" w:cs="Times New Roman"/>
              </w:rPr>
              <w:t xml:space="preserve"> </w:t>
            </w:r>
          </w:p>
        </w:tc>
        <w:tc>
          <w:tcPr>
            <w:tcW w:w="1803" w:type="dxa"/>
          </w:tcPr>
          <w:p w14:paraId="094D0983" w14:textId="77777777" w:rsidR="00753450" w:rsidRPr="00753450" w:rsidRDefault="00753450" w:rsidP="00602DDE">
            <w:pPr>
              <w:tabs>
                <w:tab w:val="num" w:pos="340"/>
                <w:tab w:val="left" w:pos="426"/>
              </w:tabs>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753450">
              <w:rPr>
                <w:rFonts w:ascii="Times New Roman" w:eastAsia="Arial" w:hAnsi="Times New Roman" w:cs="Times New Roman"/>
              </w:rPr>
              <w:t>-</w:t>
            </w:r>
          </w:p>
        </w:tc>
        <w:tc>
          <w:tcPr>
            <w:tcW w:w="1803" w:type="dxa"/>
          </w:tcPr>
          <w:p w14:paraId="6B72915F" w14:textId="77777777" w:rsidR="00753450" w:rsidRPr="00753450" w:rsidRDefault="00753450" w:rsidP="00602DDE">
            <w:pPr>
              <w:tabs>
                <w:tab w:val="num" w:pos="340"/>
                <w:tab w:val="left" w:pos="426"/>
              </w:tabs>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753450">
              <w:rPr>
                <w:rFonts w:ascii="Times New Roman" w:eastAsia="Arial" w:hAnsi="Times New Roman" w:cs="Times New Roman"/>
              </w:rPr>
              <w:t>-</w:t>
            </w:r>
          </w:p>
        </w:tc>
        <w:tc>
          <w:tcPr>
            <w:tcW w:w="1804" w:type="dxa"/>
          </w:tcPr>
          <w:p w14:paraId="253FDEDA" w14:textId="2F931477" w:rsidR="00753450" w:rsidRPr="00753450" w:rsidRDefault="00753450">
            <w:pPr>
              <w:tabs>
                <w:tab w:val="num" w:pos="340"/>
                <w:tab w:val="left" w:pos="426"/>
              </w:tabs>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753450">
              <w:rPr>
                <w:rFonts w:ascii="Times New Roman" w:eastAsia="Arial" w:hAnsi="Times New Roman" w:cs="Times New Roman"/>
              </w:rPr>
              <w:t>$</w:t>
            </w:r>
            <w:r w:rsidR="00AD0079">
              <w:rPr>
                <w:rFonts w:ascii="Times New Roman" w:eastAsia="Arial" w:hAnsi="Times New Roman" w:cs="Times New Roman"/>
              </w:rPr>
              <w:t>2.19</w:t>
            </w:r>
          </w:p>
        </w:tc>
      </w:tr>
    </w:tbl>
    <w:p w14:paraId="413BEE27" w14:textId="77777777" w:rsidR="00753450" w:rsidRPr="00753450" w:rsidRDefault="00753450" w:rsidP="00753450">
      <w:pPr>
        <w:tabs>
          <w:tab w:val="left" w:pos="426"/>
        </w:tabs>
        <w:spacing w:after="0" w:line="240" w:lineRule="auto"/>
        <w:rPr>
          <w:rFonts w:ascii="Times New Roman" w:eastAsia="Arial" w:hAnsi="Times New Roman" w:cs="Times New Roman"/>
        </w:rPr>
      </w:pPr>
    </w:p>
    <w:p w14:paraId="332C2A8E" w14:textId="7B4B86D5" w:rsidR="00753450" w:rsidRDefault="00753450" w:rsidP="00753450">
      <w:pPr>
        <w:tabs>
          <w:tab w:val="left" w:pos="426"/>
        </w:tabs>
        <w:spacing w:after="0" w:line="240" w:lineRule="auto"/>
        <w:rPr>
          <w:rFonts w:ascii="Times New Roman" w:eastAsia="Arial" w:hAnsi="Times New Roman" w:cs="Times New Roman"/>
        </w:rPr>
      </w:pPr>
      <w:r w:rsidRPr="00753450">
        <w:rPr>
          <w:rFonts w:ascii="Times New Roman" w:eastAsia="Arial" w:hAnsi="Times New Roman" w:cs="Times New Roman"/>
        </w:rPr>
        <w:t>Note: the aggregated table does not include the Enhanced Cyber Security Obligations or the Ministerial Directions power. These elements of the reforms do not require ongoing industry obligations and are upon request. Providing aggregate, average annual costs of these elements would likely mislead stakeholders. Instead, the below numbers represent i</w:t>
      </w:r>
      <w:r>
        <w:rPr>
          <w:rFonts w:ascii="Times New Roman" w:eastAsia="Arial" w:hAnsi="Times New Roman" w:cs="Times New Roman"/>
        </w:rPr>
        <w:t>ndividual costs to entities if directed</w:t>
      </w:r>
      <w:r w:rsidRPr="00753450">
        <w:rPr>
          <w:rFonts w:ascii="Times New Roman" w:eastAsia="Arial" w:hAnsi="Times New Roman" w:cs="Times New Roman"/>
        </w:rPr>
        <w:t xml:space="preserve"> by Government:</w:t>
      </w:r>
    </w:p>
    <w:p w14:paraId="1B809490" w14:textId="77777777" w:rsidR="004A7840" w:rsidRPr="00753450" w:rsidRDefault="004A7840" w:rsidP="00753450">
      <w:pPr>
        <w:tabs>
          <w:tab w:val="left" w:pos="426"/>
        </w:tabs>
        <w:spacing w:after="0" w:line="240" w:lineRule="auto"/>
        <w:rPr>
          <w:rFonts w:ascii="Times New Roman" w:eastAsia="Arial" w:hAnsi="Times New Roman" w:cs="Times New Roman"/>
        </w:rPr>
      </w:pPr>
    </w:p>
    <w:p w14:paraId="40696200" w14:textId="77777777" w:rsidR="00753450" w:rsidRPr="00753450" w:rsidRDefault="00753450" w:rsidP="00B369B5">
      <w:pPr>
        <w:pStyle w:val="ListParagraph"/>
        <w:numPr>
          <w:ilvl w:val="0"/>
          <w:numId w:val="67"/>
        </w:numPr>
        <w:tabs>
          <w:tab w:val="left" w:pos="426"/>
        </w:tabs>
        <w:rPr>
          <w:rFonts w:ascii="Times New Roman" w:eastAsia="Arial" w:hAnsi="Times New Roman" w:cs="Times New Roman"/>
          <w:b/>
          <w:bCs/>
        </w:rPr>
      </w:pPr>
      <w:r w:rsidRPr="00753450">
        <w:rPr>
          <w:rFonts w:ascii="Times New Roman" w:eastAsia="Arial" w:hAnsi="Times New Roman" w:cs="Times New Roman"/>
          <w:b/>
          <w:bCs/>
        </w:rPr>
        <w:t xml:space="preserve">ECSO </w:t>
      </w:r>
      <w:r w:rsidRPr="00753450">
        <w:rPr>
          <w:rFonts w:ascii="Times New Roman" w:eastAsia="Arial" w:hAnsi="Times New Roman" w:cs="Times New Roman"/>
          <w:bCs/>
        </w:rPr>
        <w:t>(applicable only to SoNS):</w:t>
      </w:r>
      <w:r w:rsidRPr="00753450">
        <w:rPr>
          <w:rFonts w:ascii="Times New Roman" w:eastAsia="Arial" w:hAnsi="Times New Roman" w:cs="Times New Roman"/>
          <w:b/>
          <w:bCs/>
        </w:rPr>
        <w:t xml:space="preserve"> </w:t>
      </w:r>
    </w:p>
    <w:p w14:paraId="25E180BB" w14:textId="77777777" w:rsidR="00753450" w:rsidRPr="00753450" w:rsidRDefault="00753450" w:rsidP="00753450">
      <w:pPr>
        <w:pStyle w:val="ListParagraph"/>
        <w:ind w:left="360"/>
        <w:rPr>
          <w:rFonts w:ascii="Times New Roman" w:eastAsia="Arial" w:hAnsi="Times New Roman" w:cs="Times New Roman"/>
          <w:b/>
          <w:bCs/>
        </w:rPr>
      </w:pPr>
      <w:r w:rsidRPr="00753450">
        <w:rPr>
          <w:rFonts w:ascii="Times New Roman" w:eastAsia="Arial" w:hAnsi="Times New Roman" w:cs="Times New Roman"/>
          <w:bCs/>
          <w:u w:val="single"/>
        </w:rPr>
        <w:t>Incident response plans</w:t>
      </w:r>
      <w:r w:rsidRPr="00753450">
        <w:rPr>
          <w:rFonts w:ascii="Times New Roman" w:eastAsia="Arial" w:hAnsi="Times New Roman" w:cs="Times New Roman"/>
          <w:b/>
          <w:bCs/>
        </w:rPr>
        <w:t xml:space="preserve"> – </w:t>
      </w:r>
      <w:r w:rsidRPr="00753450">
        <w:rPr>
          <w:rFonts w:ascii="Times New Roman" w:eastAsia="Arial" w:hAnsi="Times New Roman" w:cs="Times New Roman"/>
          <w:bCs/>
        </w:rPr>
        <w:t>maximum</w:t>
      </w:r>
      <w:r w:rsidRPr="00753450">
        <w:rPr>
          <w:rFonts w:ascii="Times New Roman" w:eastAsia="Arial" w:hAnsi="Times New Roman" w:cs="Times New Roman"/>
          <w:b/>
          <w:bCs/>
        </w:rPr>
        <w:t xml:space="preserve"> </w:t>
      </w:r>
      <w:r w:rsidRPr="00753450">
        <w:rPr>
          <w:rFonts w:ascii="Times New Roman" w:eastAsia="Arial" w:hAnsi="Times New Roman" w:cs="Times New Roman"/>
          <w:bCs/>
        </w:rPr>
        <w:t>annual compliance burden</w:t>
      </w:r>
      <w:r w:rsidRPr="00753450">
        <w:rPr>
          <w:rFonts w:ascii="Times New Roman" w:eastAsia="Arial" w:hAnsi="Times New Roman" w:cs="Times New Roman"/>
          <w:b/>
          <w:bCs/>
        </w:rPr>
        <w:t xml:space="preserve"> </w:t>
      </w:r>
      <w:r w:rsidRPr="00753450">
        <w:rPr>
          <w:rFonts w:ascii="Times New Roman" w:eastAsia="Arial" w:hAnsi="Times New Roman" w:cs="Times New Roman"/>
          <w:bCs/>
        </w:rPr>
        <w:t xml:space="preserve">$28,091.30 for a single SoNS assuming annual requirements. </w:t>
      </w:r>
    </w:p>
    <w:p w14:paraId="57143A88" w14:textId="77777777" w:rsidR="00753450" w:rsidRPr="00753450" w:rsidRDefault="00753450" w:rsidP="00753450">
      <w:pPr>
        <w:pStyle w:val="ListParagraph"/>
        <w:ind w:left="360"/>
        <w:rPr>
          <w:rFonts w:ascii="Times New Roman" w:eastAsia="Arial" w:hAnsi="Times New Roman" w:cs="Times New Roman"/>
          <w:b/>
          <w:bCs/>
        </w:rPr>
      </w:pPr>
      <w:r w:rsidRPr="00753450">
        <w:rPr>
          <w:rFonts w:ascii="Times New Roman" w:eastAsia="Arial" w:hAnsi="Times New Roman" w:cs="Times New Roman"/>
          <w:bCs/>
          <w:u w:val="single"/>
        </w:rPr>
        <w:t xml:space="preserve">Telemetry </w:t>
      </w:r>
      <w:r w:rsidRPr="00753450">
        <w:rPr>
          <w:rFonts w:ascii="Times New Roman" w:eastAsia="Arial" w:hAnsi="Times New Roman" w:cs="Times New Roman"/>
          <w:b/>
          <w:bCs/>
        </w:rPr>
        <w:t xml:space="preserve">- </w:t>
      </w:r>
      <w:r w:rsidRPr="00753450">
        <w:rPr>
          <w:rFonts w:ascii="Times New Roman" w:eastAsia="Arial" w:hAnsi="Times New Roman" w:cs="Times New Roman"/>
          <w:bCs/>
        </w:rPr>
        <w:t>maximum annual compliance burden $81,250 for a single medium SoNS and $361,250 for a single large SoNS assuming annual requirements.</w:t>
      </w:r>
    </w:p>
    <w:p w14:paraId="3E1660E0" w14:textId="77777777" w:rsidR="00753450" w:rsidRPr="00753450" w:rsidRDefault="00753450" w:rsidP="00753450">
      <w:pPr>
        <w:pStyle w:val="ListParagraph"/>
        <w:ind w:left="360"/>
        <w:rPr>
          <w:rFonts w:ascii="Times New Roman" w:eastAsia="Arial" w:hAnsi="Times New Roman" w:cs="Times New Roman"/>
          <w:b/>
          <w:bCs/>
        </w:rPr>
      </w:pPr>
      <w:r w:rsidRPr="00753450">
        <w:rPr>
          <w:rFonts w:ascii="Times New Roman" w:eastAsia="Arial" w:hAnsi="Times New Roman" w:cs="Times New Roman"/>
          <w:bCs/>
          <w:u w:val="single"/>
        </w:rPr>
        <w:t>Vulnerability assessments</w:t>
      </w:r>
      <w:r w:rsidRPr="00753450">
        <w:rPr>
          <w:rFonts w:ascii="Times New Roman" w:eastAsia="Arial" w:hAnsi="Times New Roman" w:cs="Times New Roman"/>
          <w:b/>
          <w:bCs/>
        </w:rPr>
        <w:t xml:space="preserve"> - </w:t>
      </w:r>
      <w:r w:rsidRPr="00753450">
        <w:rPr>
          <w:rFonts w:ascii="Times New Roman" w:eastAsia="Arial" w:hAnsi="Times New Roman" w:cs="Times New Roman"/>
          <w:bCs/>
        </w:rPr>
        <w:t>maximum annual compliance burden $46,875 for a single medium SoNS and $117,375 for a large SoNS assuming annual requirements.</w:t>
      </w:r>
    </w:p>
    <w:p w14:paraId="7B8F59AC" w14:textId="655BF945" w:rsidR="00753450" w:rsidRDefault="00753450" w:rsidP="00753450">
      <w:pPr>
        <w:pStyle w:val="ListParagraph"/>
        <w:ind w:left="360"/>
        <w:rPr>
          <w:rFonts w:ascii="Times New Roman" w:eastAsia="Arial" w:hAnsi="Times New Roman" w:cs="Times New Roman"/>
          <w:bCs/>
        </w:rPr>
      </w:pPr>
      <w:r w:rsidRPr="00753450">
        <w:rPr>
          <w:rFonts w:ascii="Times New Roman" w:eastAsia="Arial" w:hAnsi="Times New Roman" w:cs="Times New Roman"/>
          <w:bCs/>
          <w:u w:val="single"/>
        </w:rPr>
        <w:t>Cyber Security exercises</w:t>
      </w:r>
      <w:r w:rsidRPr="00753450">
        <w:rPr>
          <w:rFonts w:ascii="Times New Roman" w:eastAsia="Arial" w:hAnsi="Times New Roman" w:cs="Times New Roman"/>
          <w:b/>
          <w:bCs/>
        </w:rPr>
        <w:t xml:space="preserve"> - </w:t>
      </w:r>
      <w:r w:rsidRPr="00753450">
        <w:rPr>
          <w:rFonts w:ascii="Times New Roman" w:eastAsia="Arial" w:hAnsi="Times New Roman" w:cs="Times New Roman"/>
          <w:bCs/>
        </w:rPr>
        <w:t>maximum annual compliance burden $</w:t>
      </w:r>
      <w:r w:rsidRPr="00753450">
        <w:rPr>
          <w:rFonts w:ascii="Times New Roman" w:eastAsia="MS PGothic" w:hAnsi="Times New Roman" w:cs="Times New Roman"/>
          <w:iCs/>
          <w:color w:val="000000"/>
        </w:rPr>
        <w:t xml:space="preserve">61,425 </w:t>
      </w:r>
      <w:r w:rsidRPr="00753450">
        <w:rPr>
          <w:rFonts w:ascii="Times New Roman" w:eastAsia="Arial" w:hAnsi="Times New Roman" w:cs="Times New Roman"/>
          <w:bCs/>
        </w:rPr>
        <w:t>for a single SoNS assuming annual requirements.</w:t>
      </w:r>
    </w:p>
    <w:p w14:paraId="1476AE00" w14:textId="77777777" w:rsidR="004A7840" w:rsidRPr="00753450" w:rsidRDefault="004A7840" w:rsidP="00753450">
      <w:pPr>
        <w:pStyle w:val="ListParagraph"/>
        <w:ind w:left="360"/>
        <w:rPr>
          <w:rFonts w:ascii="Times New Roman" w:eastAsia="Arial" w:hAnsi="Times New Roman" w:cs="Times New Roman"/>
          <w:b/>
          <w:bCs/>
        </w:rPr>
      </w:pPr>
    </w:p>
    <w:p w14:paraId="457015B1" w14:textId="77777777" w:rsidR="00753450" w:rsidRPr="00753450" w:rsidRDefault="00753450" w:rsidP="00B369B5">
      <w:pPr>
        <w:pStyle w:val="ListParagraph"/>
        <w:numPr>
          <w:ilvl w:val="0"/>
          <w:numId w:val="67"/>
        </w:numPr>
        <w:tabs>
          <w:tab w:val="left" w:pos="426"/>
        </w:tabs>
        <w:rPr>
          <w:rFonts w:ascii="Times New Roman" w:eastAsia="Arial" w:hAnsi="Times New Roman" w:cs="Times New Roman"/>
          <w:b/>
          <w:bCs/>
        </w:rPr>
      </w:pPr>
      <w:r w:rsidRPr="00753450">
        <w:rPr>
          <w:rFonts w:ascii="Times New Roman" w:eastAsia="Arial" w:hAnsi="Times New Roman" w:cs="Times New Roman"/>
          <w:b/>
          <w:bCs/>
        </w:rPr>
        <w:t xml:space="preserve">Ministerial Directions </w:t>
      </w:r>
      <w:r w:rsidRPr="00753450">
        <w:rPr>
          <w:rFonts w:ascii="Times New Roman" w:eastAsia="Arial" w:hAnsi="Times New Roman" w:cs="Times New Roman"/>
          <w:bCs/>
        </w:rPr>
        <w:t xml:space="preserve">(applicable to all </w:t>
      </w:r>
      <w:r w:rsidRPr="00753450">
        <w:rPr>
          <w:rFonts w:ascii="Times New Roman" w:eastAsia="Arial" w:hAnsi="Times New Roman" w:cs="Times New Roman"/>
          <w:bCs/>
          <w:i/>
        </w:rPr>
        <w:t>critical infrastructure sector</w:t>
      </w:r>
      <w:r w:rsidRPr="00753450">
        <w:rPr>
          <w:rFonts w:ascii="Times New Roman" w:eastAsia="Arial" w:hAnsi="Times New Roman" w:cs="Times New Roman"/>
          <w:bCs/>
        </w:rPr>
        <w:t xml:space="preserve"> assets):</w:t>
      </w:r>
    </w:p>
    <w:p w14:paraId="77FD0B07" w14:textId="61D9A798" w:rsidR="00753450" w:rsidRPr="00753450" w:rsidRDefault="00753450" w:rsidP="00753450">
      <w:pPr>
        <w:pStyle w:val="ListParagraph"/>
        <w:ind w:left="360"/>
        <w:rPr>
          <w:rFonts w:ascii="Times New Roman" w:eastAsia="Arial" w:hAnsi="Times New Roman" w:cs="Times New Roman"/>
          <w:b/>
          <w:bCs/>
        </w:rPr>
      </w:pPr>
      <w:r w:rsidRPr="00753450">
        <w:rPr>
          <w:rFonts w:ascii="Times New Roman" w:eastAsia="Arial" w:hAnsi="Times New Roman" w:cs="Times New Roman"/>
          <w:bCs/>
          <w:u w:val="single"/>
        </w:rPr>
        <w:t>Scenario 1</w:t>
      </w:r>
      <w:r w:rsidRPr="00753450">
        <w:rPr>
          <w:rFonts w:ascii="Times New Roman" w:eastAsia="Arial" w:hAnsi="Times New Roman" w:cs="Times New Roman"/>
          <w:b/>
          <w:bCs/>
        </w:rPr>
        <w:t xml:space="preserve"> – </w:t>
      </w:r>
      <w:r w:rsidRPr="00753450">
        <w:rPr>
          <w:rFonts w:ascii="Times New Roman" w:eastAsia="Arial" w:hAnsi="Times New Roman" w:cs="Times New Roman"/>
          <w:bCs/>
        </w:rPr>
        <w:t>annual compliance burden for this scenario is estimated at $4,999 on average per entity</w:t>
      </w:r>
      <w:r>
        <w:rPr>
          <w:rFonts w:ascii="Times New Roman" w:eastAsia="Arial" w:hAnsi="Times New Roman" w:cs="Times New Roman"/>
          <w:bCs/>
        </w:rPr>
        <w:t xml:space="preserve"> assuming the direction power will be used once every three years. </w:t>
      </w:r>
    </w:p>
    <w:p w14:paraId="419D02AE" w14:textId="095B7563" w:rsidR="00753450" w:rsidRPr="00753450" w:rsidRDefault="00753450" w:rsidP="00753450">
      <w:pPr>
        <w:pStyle w:val="ListParagraph"/>
        <w:ind w:left="360"/>
        <w:rPr>
          <w:rFonts w:ascii="Times New Roman" w:eastAsia="Arial" w:hAnsi="Times New Roman" w:cs="Times New Roman"/>
          <w:b/>
          <w:bCs/>
        </w:rPr>
      </w:pPr>
      <w:r w:rsidRPr="00753450">
        <w:rPr>
          <w:rFonts w:ascii="Times New Roman" w:eastAsia="Arial" w:hAnsi="Times New Roman" w:cs="Times New Roman"/>
          <w:bCs/>
          <w:u w:val="single"/>
        </w:rPr>
        <w:t>Scenario 2</w:t>
      </w:r>
      <w:r w:rsidRPr="00753450">
        <w:rPr>
          <w:rFonts w:ascii="Times New Roman" w:eastAsia="Arial" w:hAnsi="Times New Roman" w:cs="Times New Roman"/>
          <w:b/>
          <w:bCs/>
        </w:rPr>
        <w:t xml:space="preserve"> - </w:t>
      </w:r>
      <w:r w:rsidRPr="00753450">
        <w:rPr>
          <w:rFonts w:ascii="Times New Roman" w:eastAsia="Arial" w:hAnsi="Times New Roman" w:cs="Times New Roman"/>
          <w:bCs/>
        </w:rPr>
        <w:t>annual compliance burden for this scenario is estimated at $280,741 on average per entity</w:t>
      </w:r>
      <w:r>
        <w:rPr>
          <w:rFonts w:ascii="Times New Roman" w:eastAsia="Arial" w:hAnsi="Times New Roman" w:cs="Times New Roman"/>
          <w:bCs/>
        </w:rPr>
        <w:t xml:space="preserve"> assuming the direction power will be used once every three years.</w:t>
      </w:r>
    </w:p>
    <w:p w14:paraId="3F7C9FDB" w14:textId="2C65C8D2" w:rsidR="00753450" w:rsidRPr="0004061B" w:rsidRDefault="00753450" w:rsidP="00753450">
      <w:pPr>
        <w:pStyle w:val="ListParagraph"/>
        <w:ind w:left="360"/>
        <w:rPr>
          <w:rFonts w:ascii="Times New Roman" w:eastAsia="Arial" w:hAnsi="Times New Roman" w:cs="Times New Roman"/>
          <w:bCs/>
        </w:rPr>
      </w:pPr>
      <w:r w:rsidRPr="00753450">
        <w:rPr>
          <w:rFonts w:ascii="Times New Roman" w:eastAsia="Arial" w:hAnsi="Times New Roman" w:cs="Times New Roman"/>
          <w:bCs/>
          <w:u w:val="single"/>
        </w:rPr>
        <w:t>Scenario 3</w:t>
      </w:r>
      <w:r w:rsidRPr="00753450">
        <w:rPr>
          <w:rFonts w:ascii="Times New Roman" w:eastAsia="Arial" w:hAnsi="Times New Roman" w:cs="Times New Roman"/>
          <w:bCs/>
        </w:rPr>
        <w:t xml:space="preserve"> - annual compliance burden for this scenario is estimated at $279,541 on average per entity</w:t>
      </w:r>
      <w:r>
        <w:rPr>
          <w:rFonts w:ascii="Times New Roman" w:eastAsia="Arial" w:hAnsi="Times New Roman" w:cs="Times New Roman"/>
          <w:bCs/>
        </w:rPr>
        <w:t xml:space="preserve"> assuming the direction power will be used once every three years.</w:t>
      </w:r>
    </w:p>
    <w:p w14:paraId="6C96F947" w14:textId="77777777" w:rsidR="00993F09"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Option Two of the Regulation Impact Statement is likely to </w:t>
      </w:r>
      <w:r w:rsidRPr="004466AF">
        <w:rPr>
          <w:rFonts w:ascii="Times New Roman" w:eastAsia="MS PGothic" w:hAnsi="Times New Roman" w:cs="Times New Roman"/>
          <w:color w:val="000000"/>
        </w:rPr>
        <w:t xml:space="preserve">have the </w:t>
      </w:r>
      <w:r w:rsidRPr="00EE0D81">
        <w:rPr>
          <w:rFonts w:ascii="Times New Roman" w:hAnsi="Times New Roman"/>
          <w:color w:val="000000"/>
        </w:rPr>
        <w:t>highest overall net benefit</w:t>
      </w:r>
      <w:r w:rsidRPr="004466AF">
        <w:rPr>
          <w:rFonts w:ascii="Times New Roman" w:eastAsia="MS PGothic" w:hAnsi="Times New Roman" w:cs="Times New Roman"/>
          <w:color w:val="000000"/>
        </w:rPr>
        <w:t>. Recalibrating industry’s risk posture to safeguard against all hazard threats will make strong and effective security practices part of doing business in Australia. It will improve industry</w:t>
      </w:r>
      <w:r w:rsidRPr="000266F5">
        <w:rPr>
          <w:rFonts w:ascii="Times New Roman" w:eastAsia="MS PGothic" w:hAnsi="Times New Roman" w:cs="Times New Roman"/>
          <w:color w:val="000000"/>
        </w:rPr>
        <w:t xml:space="preserve"> resilience, creating a more secure and reliable market for both regulated and non-regulated sectors, ultimately decreasing the impacts of potential disruptions to critical infrastructure. </w:t>
      </w:r>
    </w:p>
    <w:p w14:paraId="76E5FA1F" w14:textId="77777777" w:rsidR="00993F09" w:rsidRDefault="00993F09" w:rsidP="00993F09">
      <w:pPr>
        <w:tabs>
          <w:tab w:val="left" w:pos="426"/>
        </w:tabs>
        <w:spacing w:after="0" w:line="240" w:lineRule="auto"/>
        <w:rPr>
          <w:rFonts w:ascii="Times New Roman" w:eastAsia="MS PGothic" w:hAnsi="Times New Roman" w:cs="Times New Roman"/>
          <w:color w:val="000000"/>
        </w:rPr>
      </w:pPr>
    </w:p>
    <w:p w14:paraId="6FB975AA" w14:textId="77777777" w:rsidR="00993F09"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This </w:t>
      </w:r>
      <w:r>
        <w:rPr>
          <w:rFonts w:ascii="Times New Roman" w:eastAsia="MS PGothic" w:hAnsi="Times New Roman" w:cs="Times New Roman"/>
          <w:color w:val="000000"/>
        </w:rPr>
        <w:t xml:space="preserve">option </w:t>
      </w:r>
      <w:r w:rsidRPr="000266F5">
        <w:rPr>
          <w:rFonts w:ascii="Times New Roman" w:eastAsia="MS PGothic" w:hAnsi="Times New Roman" w:cs="Times New Roman"/>
          <w:color w:val="000000"/>
        </w:rPr>
        <w:t xml:space="preserve">aligns with industry and community expectations for the Government to protect Australia’s critical infrastructure, as well as safeguard Australia’s social and economic stability, defence and national security more broadly. Furthermore, clear uplift in all hazard mitigation standards across critical infrastructure will provide the Government, industry and consumers with greater confidence in the resilience of Australia’s critical infrastructure providers and the essential services they rely on. </w:t>
      </w:r>
    </w:p>
    <w:p w14:paraId="38E3E515" w14:textId="77777777" w:rsidR="00993F09" w:rsidRPr="00EE0D81" w:rsidRDefault="00993F09" w:rsidP="00993F09">
      <w:pPr>
        <w:tabs>
          <w:tab w:val="left" w:pos="426"/>
        </w:tabs>
        <w:spacing w:before="240" w:after="0" w:line="240" w:lineRule="auto"/>
        <w:rPr>
          <w:rFonts w:ascii="Times New Roman" w:hAnsi="Times New Roman"/>
          <w:b/>
          <w:u w:val="single"/>
        </w:rPr>
      </w:pPr>
      <w:r w:rsidRPr="00EE0D81">
        <w:rPr>
          <w:rFonts w:ascii="Times New Roman" w:hAnsi="Times New Roman"/>
          <w:b/>
          <w:u w:val="single"/>
        </w:rPr>
        <w:t>4.2.1 Positive Security Obligations</w:t>
      </w:r>
    </w:p>
    <w:p w14:paraId="19D826E1" w14:textId="1DB0DD19" w:rsidR="00993F09" w:rsidRDefault="00993F09" w:rsidP="00993F09">
      <w:pPr>
        <w:tabs>
          <w:tab w:val="left" w:pos="426"/>
        </w:tabs>
        <w:spacing w:after="0" w:line="240" w:lineRule="auto"/>
        <w:rPr>
          <w:rFonts w:ascii="Times New Roman" w:eastAsia="Arial" w:hAnsi="Times New Roman" w:cs="Times New Roman"/>
        </w:rPr>
      </w:pPr>
    </w:p>
    <w:p w14:paraId="14584DD3" w14:textId="77777777" w:rsidR="00993F09" w:rsidRPr="000266F5" w:rsidRDefault="00993F09" w:rsidP="00993F09">
      <w:pPr>
        <w:tabs>
          <w:tab w:val="left" w:pos="426"/>
        </w:tabs>
        <w:spacing w:after="0" w:line="240" w:lineRule="auto"/>
        <w:rPr>
          <w:rFonts w:ascii="Times New Roman" w:eastAsia="Arial" w:hAnsi="Times New Roman" w:cs="Times New Roman"/>
        </w:rPr>
      </w:pPr>
      <w:r>
        <w:rPr>
          <w:rFonts w:ascii="Times New Roman" w:eastAsia="Arial" w:hAnsi="Times New Roman" w:cs="Times New Roman"/>
        </w:rPr>
        <w:t>T</w:t>
      </w:r>
      <w:r w:rsidRPr="000266F5">
        <w:rPr>
          <w:rFonts w:ascii="Times New Roman" w:eastAsia="Arial" w:hAnsi="Times New Roman" w:cs="Times New Roman"/>
        </w:rPr>
        <w:t>he Positive Security Obligation</w:t>
      </w:r>
      <w:r>
        <w:rPr>
          <w:rFonts w:ascii="Times New Roman" w:eastAsia="Arial" w:hAnsi="Times New Roman" w:cs="Times New Roman"/>
        </w:rPr>
        <w:t xml:space="preserve">s (PSO) </w:t>
      </w:r>
      <w:r w:rsidRPr="000266F5">
        <w:rPr>
          <w:rFonts w:ascii="Times New Roman" w:eastAsia="Arial" w:hAnsi="Times New Roman" w:cs="Times New Roman"/>
        </w:rPr>
        <w:t>will contain three elements:</w:t>
      </w:r>
    </w:p>
    <w:p w14:paraId="1AAE4117" w14:textId="251ED6C2" w:rsidR="00993F09" w:rsidRPr="00252BE0" w:rsidRDefault="00993F09" w:rsidP="00993F09">
      <w:pPr>
        <w:pStyle w:val="ListParagraph"/>
        <w:numPr>
          <w:ilvl w:val="0"/>
          <w:numId w:val="8"/>
        </w:numPr>
        <w:tabs>
          <w:tab w:val="num" w:pos="340"/>
          <w:tab w:val="left" w:pos="426"/>
        </w:tabs>
        <w:spacing w:after="240" w:line="240" w:lineRule="auto"/>
        <w:rPr>
          <w:rFonts w:ascii="Times New Roman" w:eastAsia="Arial" w:hAnsi="Times New Roman" w:cs="Times New Roman"/>
        </w:rPr>
      </w:pPr>
      <w:r w:rsidRPr="00F22350">
        <w:rPr>
          <w:rFonts w:ascii="Times New Roman" w:eastAsia="Arial" w:hAnsi="Times New Roman" w:cs="Times New Roman"/>
        </w:rPr>
        <w:lastRenderedPageBreak/>
        <w:t>The Critical Infrastructure Risk Management Program;</w:t>
      </w:r>
    </w:p>
    <w:p w14:paraId="2A03D3FE" w14:textId="2B219FAD" w:rsidR="00993F09" w:rsidRPr="00252BE0" w:rsidRDefault="00993F09" w:rsidP="00993F09">
      <w:pPr>
        <w:pStyle w:val="ListParagraph"/>
        <w:numPr>
          <w:ilvl w:val="0"/>
          <w:numId w:val="8"/>
        </w:numPr>
        <w:tabs>
          <w:tab w:val="num" w:pos="340"/>
          <w:tab w:val="left" w:pos="426"/>
        </w:tabs>
        <w:spacing w:before="240" w:after="240" w:line="240" w:lineRule="auto"/>
        <w:rPr>
          <w:rFonts w:ascii="Times New Roman" w:eastAsia="Arial" w:hAnsi="Times New Roman" w:cs="Times New Roman"/>
        </w:rPr>
      </w:pPr>
      <w:r w:rsidRPr="00252BE0">
        <w:rPr>
          <w:rFonts w:ascii="Times New Roman" w:eastAsia="Arial" w:hAnsi="Times New Roman" w:cs="Times New Roman"/>
        </w:rPr>
        <w:t xml:space="preserve">Register of </w:t>
      </w:r>
      <w:r w:rsidRPr="001A7788">
        <w:rPr>
          <w:rFonts w:ascii="Times New Roman" w:eastAsia="Arial" w:hAnsi="Times New Roman" w:cs="Times New Roman"/>
        </w:rPr>
        <w:t>Critical infrastructure asset</w:t>
      </w:r>
      <w:r w:rsidRPr="00F22350">
        <w:rPr>
          <w:rFonts w:ascii="Times New Roman" w:eastAsia="Arial" w:hAnsi="Times New Roman" w:cs="Times New Roman"/>
        </w:rPr>
        <w:t>s; and</w:t>
      </w:r>
    </w:p>
    <w:p w14:paraId="6FE8796F" w14:textId="77777777" w:rsidR="00993F09" w:rsidRPr="00EE0D81" w:rsidRDefault="00993F09" w:rsidP="00993F09">
      <w:pPr>
        <w:pStyle w:val="ListParagraph"/>
        <w:numPr>
          <w:ilvl w:val="0"/>
          <w:numId w:val="8"/>
        </w:numPr>
        <w:tabs>
          <w:tab w:val="num" w:pos="340"/>
          <w:tab w:val="left" w:pos="426"/>
        </w:tabs>
        <w:spacing w:before="240" w:after="0" w:line="240" w:lineRule="auto"/>
        <w:rPr>
          <w:rFonts w:ascii="Times New Roman" w:hAnsi="Times New Roman"/>
          <w:i/>
        </w:rPr>
      </w:pPr>
      <w:r w:rsidRPr="00252BE0">
        <w:rPr>
          <w:rFonts w:ascii="Times New Roman" w:eastAsia="Arial" w:hAnsi="Times New Roman" w:cs="Times New Roman"/>
        </w:rPr>
        <w:t>Notification of cyber security incidents</w:t>
      </w:r>
      <w:r w:rsidRPr="001A7788">
        <w:rPr>
          <w:rFonts w:ascii="Times New Roman" w:eastAsia="Arial" w:hAnsi="Times New Roman" w:cs="Times New Roman"/>
          <w:i/>
        </w:rPr>
        <w:t xml:space="preserve">. </w:t>
      </w:r>
    </w:p>
    <w:p w14:paraId="44878013" w14:textId="77777777" w:rsidR="00993F09" w:rsidRDefault="00993F09" w:rsidP="00EE0D81">
      <w:pPr>
        <w:tabs>
          <w:tab w:val="left" w:pos="426"/>
        </w:tabs>
        <w:spacing w:after="0" w:line="240" w:lineRule="auto"/>
        <w:rPr>
          <w:rFonts w:ascii="Times New Roman" w:eastAsia="Arial" w:hAnsi="Times New Roman" w:cs="Times New Roman"/>
        </w:rPr>
      </w:pPr>
    </w:p>
    <w:p w14:paraId="1D493059" w14:textId="778CC239" w:rsidR="00993F09" w:rsidRDefault="00993F09" w:rsidP="00993F09">
      <w:pPr>
        <w:tabs>
          <w:tab w:val="left" w:pos="426"/>
        </w:tabs>
        <w:spacing w:after="0" w:line="240" w:lineRule="auto"/>
        <w:rPr>
          <w:rFonts w:ascii="Times New Roman" w:eastAsia="Arial" w:hAnsi="Times New Roman" w:cs="Times New Roman"/>
        </w:rPr>
      </w:pPr>
      <w:r>
        <w:rPr>
          <w:rFonts w:ascii="Times New Roman" w:eastAsia="Arial" w:hAnsi="Times New Roman" w:cs="Times New Roman"/>
        </w:rPr>
        <w:t xml:space="preserve">Government acknowledges there will be </w:t>
      </w:r>
      <w:r w:rsidRPr="000266F5">
        <w:rPr>
          <w:rFonts w:ascii="Times New Roman" w:eastAsia="Arial" w:hAnsi="Times New Roman" w:cs="Times New Roman"/>
        </w:rPr>
        <w:t>cost</w:t>
      </w:r>
      <w:r>
        <w:rPr>
          <w:rFonts w:ascii="Times New Roman" w:eastAsia="Arial" w:hAnsi="Times New Roman" w:cs="Times New Roman"/>
        </w:rPr>
        <w:t>s</w:t>
      </w:r>
      <w:r w:rsidRPr="000266F5">
        <w:rPr>
          <w:rFonts w:ascii="Times New Roman" w:eastAsia="Arial" w:hAnsi="Times New Roman" w:cs="Times New Roman"/>
        </w:rPr>
        <w:t xml:space="preserve"> and benefits to </w:t>
      </w:r>
      <w:r w:rsidR="006C532A" w:rsidRPr="00EE0D81">
        <w:rPr>
          <w:rFonts w:ascii="Times New Roman" w:eastAsia="Arial" w:hAnsi="Times New Roman" w:cs="Times New Roman"/>
          <w:i/>
        </w:rPr>
        <w:t>critical infrastructure assets</w:t>
      </w:r>
      <w:r w:rsidRPr="000266F5">
        <w:rPr>
          <w:rFonts w:ascii="Times New Roman" w:eastAsia="Arial" w:hAnsi="Times New Roman" w:cs="Times New Roman"/>
        </w:rPr>
        <w:t xml:space="preserve"> through the introduction of </w:t>
      </w:r>
      <w:r>
        <w:rPr>
          <w:rFonts w:ascii="Times New Roman" w:eastAsia="Arial" w:hAnsi="Times New Roman" w:cs="Times New Roman"/>
        </w:rPr>
        <w:t>the PSO</w:t>
      </w:r>
      <w:r w:rsidRPr="000266F5">
        <w:rPr>
          <w:rFonts w:ascii="Times New Roman" w:eastAsia="Arial" w:hAnsi="Times New Roman" w:cs="Times New Roman"/>
        </w:rPr>
        <w:t xml:space="preserve">. </w:t>
      </w:r>
      <w:r>
        <w:rPr>
          <w:rFonts w:ascii="Times New Roman" w:eastAsia="Arial" w:hAnsi="Times New Roman" w:cs="Times New Roman"/>
        </w:rPr>
        <w:t xml:space="preserve">This RIS includes the qualitative impact of the (1) risk management programs, and the qualitative and quantitative impact of the (2) register of </w:t>
      </w:r>
      <w:r w:rsidRPr="00B1725B">
        <w:rPr>
          <w:rFonts w:ascii="Times New Roman" w:eastAsia="Arial" w:hAnsi="Times New Roman" w:cs="Times New Roman"/>
          <w:i/>
        </w:rPr>
        <w:t>critical infrastructure asset</w:t>
      </w:r>
      <w:r>
        <w:rPr>
          <w:rFonts w:ascii="Times New Roman" w:eastAsia="Arial" w:hAnsi="Times New Roman" w:cs="Times New Roman"/>
        </w:rPr>
        <w:t xml:space="preserve">s and (3) notification of cyber incidents. The quantitative impact of the (1) risk management program will be developed in a future RIS(s) when the sector specific obligations are </w:t>
      </w:r>
      <w:r w:rsidR="002D0188">
        <w:rPr>
          <w:rFonts w:ascii="Times New Roman" w:eastAsia="Arial" w:hAnsi="Times New Roman" w:cs="Times New Roman"/>
        </w:rPr>
        <w:t>further developed</w:t>
      </w:r>
      <w:r>
        <w:rPr>
          <w:rFonts w:ascii="Times New Roman" w:eastAsia="Arial" w:hAnsi="Times New Roman" w:cs="Times New Roman"/>
        </w:rPr>
        <w:t xml:space="preserve"> and costs and benefits can be more accurately identified with industry. </w:t>
      </w:r>
    </w:p>
    <w:p w14:paraId="1BD078D6"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27B86D8E" w14:textId="77777777" w:rsidR="00993F09" w:rsidRPr="00EE0D81" w:rsidRDefault="00993F09" w:rsidP="00EE0D81">
      <w:pPr>
        <w:pStyle w:val="ListParagraph"/>
        <w:numPr>
          <w:ilvl w:val="0"/>
          <w:numId w:val="14"/>
        </w:numPr>
        <w:tabs>
          <w:tab w:val="left" w:pos="426"/>
        </w:tabs>
        <w:spacing w:after="0" w:line="240" w:lineRule="auto"/>
        <w:rPr>
          <w:rFonts w:ascii="Times New Roman" w:hAnsi="Times New Roman"/>
          <w:b/>
          <w:i/>
        </w:rPr>
      </w:pPr>
      <w:r w:rsidRPr="00EE0D81">
        <w:rPr>
          <w:rFonts w:ascii="Times New Roman" w:hAnsi="Times New Roman"/>
          <w:b/>
          <w:i/>
        </w:rPr>
        <w:t>The Critical Infrastructure Risk Management Programs</w:t>
      </w:r>
    </w:p>
    <w:p w14:paraId="694FA2D2" w14:textId="77777777" w:rsidR="00993F09" w:rsidRPr="00EE0D81" w:rsidRDefault="00993F09" w:rsidP="00EE0D81">
      <w:pPr>
        <w:tabs>
          <w:tab w:val="num" w:pos="340"/>
          <w:tab w:val="left" w:pos="426"/>
        </w:tabs>
        <w:spacing w:before="120" w:after="120" w:line="240" w:lineRule="auto"/>
        <w:rPr>
          <w:rFonts w:ascii="Times New Roman" w:hAnsi="Times New Roman"/>
          <w:b/>
        </w:rPr>
      </w:pPr>
      <w:r w:rsidRPr="00EE0D81">
        <w:rPr>
          <w:rFonts w:ascii="Times New Roman" w:hAnsi="Times New Roman"/>
          <w:b/>
        </w:rPr>
        <w:t>Costs</w:t>
      </w:r>
    </w:p>
    <w:p w14:paraId="2F264202" w14:textId="213ACCE2" w:rsidR="00993F09" w:rsidRPr="000266F5" w:rsidRDefault="00993F09" w:rsidP="00993F09">
      <w:pPr>
        <w:tabs>
          <w:tab w:val="left" w:pos="426"/>
        </w:tabs>
        <w:spacing w:after="0" w:line="240" w:lineRule="auto"/>
        <w:rPr>
          <w:rFonts w:ascii="Times New Roman" w:eastAsia="MS PGothic" w:hAnsi="Times New Roman" w:cs="Times New Roman"/>
          <w:color w:val="000000"/>
        </w:rPr>
      </w:pPr>
      <w:r>
        <w:rPr>
          <w:rFonts w:ascii="Times New Roman" w:eastAsia="MS PGothic" w:hAnsi="Times New Roman" w:cs="Times New Roman"/>
          <w:color w:val="000000"/>
        </w:rPr>
        <w:t xml:space="preserve">There is a risk of duplicating existing regulations across states and territories. </w:t>
      </w:r>
      <w:r w:rsidRPr="000266F5">
        <w:rPr>
          <w:rFonts w:ascii="Times New Roman" w:eastAsia="MS PGothic" w:hAnsi="Times New Roman" w:cs="Times New Roman"/>
          <w:color w:val="000000"/>
        </w:rPr>
        <w:t xml:space="preserve">The Government will minimise </w:t>
      </w:r>
      <w:r>
        <w:rPr>
          <w:rFonts w:ascii="Times New Roman" w:eastAsia="MS PGothic" w:hAnsi="Times New Roman" w:cs="Times New Roman"/>
          <w:color w:val="000000"/>
        </w:rPr>
        <w:t xml:space="preserve">the risk of regulatory duplication and the subsequent regulatory impact on business </w:t>
      </w:r>
      <w:r w:rsidRPr="000266F5">
        <w:rPr>
          <w:rFonts w:ascii="Times New Roman" w:eastAsia="MS PGothic" w:hAnsi="Times New Roman" w:cs="Times New Roman"/>
          <w:color w:val="000000"/>
        </w:rPr>
        <w:t>by engaging with industry</w:t>
      </w:r>
      <w:r>
        <w:rPr>
          <w:rFonts w:ascii="Times New Roman" w:eastAsia="MS PGothic" w:hAnsi="Times New Roman" w:cs="Times New Roman"/>
          <w:color w:val="000000"/>
        </w:rPr>
        <w:t xml:space="preserve"> </w:t>
      </w:r>
      <w:r w:rsidRPr="000266F5">
        <w:rPr>
          <w:rFonts w:ascii="Times New Roman" w:eastAsia="MS PGothic" w:hAnsi="Times New Roman" w:cs="Times New Roman"/>
          <w:color w:val="000000"/>
        </w:rPr>
        <w:t xml:space="preserve">to co-design the sector specific rules </w:t>
      </w:r>
      <w:r w:rsidR="002D0188">
        <w:rPr>
          <w:rFonts w:ascii="Times New Roman" w:eastAsia="MS PGothic" w:hAnsi="Times New Roman" w:cs="Times New Roman"/>
          <w:color w:val="000000"/>
        </w:rPr>
        <w:t>for</w:t>
      </w:r>
      <w:r w:rsidR="002D0188" w:rsidRPr="000266F5">
        <w:rPr>
          <w:rFonts w:ascii="Times New Roman" w:eastAsia="MS PGothic" w:hAnsi="Times New Roman" w:cs="Times New Roman"/>
          <w:color w:val="000000"/>
        </w:rPr>
        <w:t xml:space="preserve"> </w:t>
      </w:r>
      <w:r w:rsidRPr="000266F5">
        <w:rPr>
          <w:rFonts w:ascii="Times New Roman" w:eastAsia="MS PGothic" w:hAnsi="Times New Roman" w:cs="Times New Roman"/>
          <w:color w:val="000000"/>
        </w:rPr>
        <w:t xml:space="preserve">the </w:t>
      </w:r>
      <w:r>
        <w:rPr>
          <w:rFonts w:ascii="Times New Roman" w:eastAsia="MS PGothic" w:hAnsi="Times New Roman" w:cs="Times New Roman"/>
          <w:color w:val="000000"/>
        </w:rPr>
        <w:t>Risk Management Program</w:t>
      </w:r>
      <w:r w:rsidRPr="000266F5">
        <w:rPr>
          <w:rFonts w:ascii="Times New Roman" w:eastAsia="MS PGothic" w:hAnsi="Times New Roman" w:cs="Times New Roman"/>
          <w:color w:val="000000"/>
        </w:rPr>
        <w:t xml:space="preserve">. This will help to ensure: </w:t>
      </w:r>
    </w:p>
    <w:p w14:paraId="69BF19E5" w14:textId="67D2AE53" w:rsidR="00993F09" w:rsidRDefault="00993F09" w:rsidP="00993F09">
      <w:pPr>
        <w:pStyle w:val="ListParagraph"/>
        <w:numPr>
          <w:ilvl w:val="0"/>
          <w:numId w:val="11"/>
        </w:numPr>
        <w:tabs>
          <w:tab w:val="left" w:pos="426"/>
        </w:tabs>
        <w:spacing w:after="240" w:line="240" w:lineRule="auto"/>
        <w:rPr>
          <w:rFonts w:ascii="Times New Roman" w:eastAsia="MS PGothic" w:hAnsi="Times New Roman" w:cs="Times New Roman"/>
          <w:color w:val="000000"/>
        </w:rPr>
      </w:pPr>
      <w:r>
        <w:rPr>
          <w:rFonts w:ascii="Times New Roman" w:eastAsia="MS PGothic" w:hAnsi="Times New Roman" w:cs="Times New Roman"/>
          <w:color w:val="000000"/>
        </w:rPr>
        <w:t xml:space="preserve">Government </w:t>
      </w:r>
      <w:r w:rsidR="002D0188">
        <w:rPr>
          <w:rFonts w:ascii="Times New Roman" w:eastAsia="MS PGothic" w:hAnsi="Times New Roman" w:cs="Times New Roman"/>
          <w:color w:val="000000"/>
        </w:rPr>
        <w:t>actively</w:t>
      </w:r>
      <w:r>
        <w:rPr>
          <w:rFonts w:ascii="Times New Roman" w:eastAsia="MS PGothic" w:hAnsi="Times New Roman" w:cs="Times New Roman"/>
          <w:color w:val="000000"/>
        </w:rPr>
        <w:t xml:space="preserve"> considers </w:t>
      </w:r>
      <w:r w:rsidRPr="00A557DE">
        <w:rPr>
          <w:rFonts w:ascii="Times New Roman" w:eastAsia="MS PGothic" w:hAnsi="Times New Roman" w:cs="Times New Roman"/>
          <w:color w:val="000000"/>
        </w:rPr>
        <w:t>offset</w:t>
      </w:r>
      <w:r>
        <w:rPr>
          <w:rFonts w:ascii="Times New Roman" w:eastAsia="MS PGothic" w:hAnsi="Times New Roman" w:cs="Times New Roman"/>
          <w:color w:val="000000"/>
        </w:rPr>
        <w:t>ting</w:t>
      </w:r>
      <w:r w:rsidRPr="00A557DE">
        <w:rPr>
          <w:rFonts w:ascii="Times New Roman" w:eastAsia="MS PGothic" w:hAnsi="Times New Roman" w:cs="Times New Roman"/>
          <w:color w:val="000000"/>
        </w:rPr>
        <w:t xml:space="preserve"> the potential regulatory burden experienced by industry</w:t>
      </w:r>
    </w:p>
    <w:p w14:paraId="635157DB" w14:textId="77777777" w:rsidR="00993F09" w:rsidRPr="000266F5" w:rsidRDefault="00993F09" w:rsidP="00993F09">
      <w:pPr>
        <w:pStyle w:val="ListParagraph"/>
        <w:numPr>
          <w:ilvl w:val="0"/>
          <w:numId w:val="11"/>
        </w:numPr>
        <w:tabs>
          <w:tab w:val="num" w:pos="340"/>
          <w:tab w:val="left" w:pos="426"/>
        </w:tabs>
        <w:spacing w:after="24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Industry has greater certainty about how the reforms impact them, focusing specifically on the risks to their business, and how they can best comply with the proposed regulations, avoiding unnecessary costs as a result of misinterpretation. </w:t>
      </w:r>
    </w:p>
    <w:p w14:paraId="42A45B74" w14:textId="77777777" w:rsidR="00993F09" w:rsidRPr="000266F5" w:rsidRDefault="00993F09" w:rsidP="00993F09">
      <w:pPr>
        <w:pStyle w:val="ListParagraph"/>
        <w:numPr>
          <w:ilvl w:val="0"/>
          <w:numId w:val="11"/>
        </w:numPr>
        <w:tabs>
          <w:tab w:val="num" w:pos="340"/>
          <w:tab w:val="left" w:pos="426"/>
        </w:tabs>
        <w:spacing w:before="240" w:after="24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The Government better understands the potential regulatory overlap as a result of the reforms, ensuring that duplication is minimised as much as possible. </w:t>
      </w:r>
    </w:p>
    <w:p w14:paraId="36554463" w14:textId="77777777" w:rsidR="00993F09" w:rsidRPr="000266F5" w:rsidRDefault="00993F09" w:rsidP="00993F09">
      <w:pPr>
        <w:pStyle w:val="ListParagraph"/>
        <w:numPr>
          <w:ilvl w:val="0"/>
          <w:numId w:val="11"/>
        </w:numPr>
        <w:tabs>
          <w:tab w:val="num" w:pos="340"/>
          <w:tab w:val="left" w:pos="426"/>
        </w:tabs>
        <w:spacing w:before="240" w:after="24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That existing regulations, frameworks and guidelines are leveraged to minimise regulatory cost wherever possible. </w:t>
      </w:r>
    </w:p>
    <w:p w14:paraId="002D5C3E" w14:textId="18769726" w:rsidR="00993F09" w:rsidRPr="000266F5" w:rsidRDefault="00993F09" w:rsidP="00993F09">
      <w:pPr>
        <w:pStyle w:val="ListParagraph"/>
        <w:numPr>
          <w:ilvl w:val="0"/>
          <w:numId w:val="11"/>
        </w:numPr>
        <w:tabs>
          <w:tab w:val="num" w:pos="340"/>
          <w:tab w:val="left" w:pos="426"/>
        </w:tabs>
        <w:spacing w:before="240" w:after="240" w:line="240" w:lineRule="auto"/>
        <w:rPr>
          <w:rFonts w:ascii="Times New Roman" w:eastAsia="MS PGothic" w:hAnsi="Times New Roman" w:cs="Times New Roman"/>
          <w:color w:val="000000" w:themeColor="text1"/>
        </w:rPr>
      </w:pPr>
      <w:r w:rsidRPr="000266F5">
        <w:rPr>
          <w:rFonts w:ascii="Times New Roman" w:eastAsia="MS PGothic" w:hAnsi="Times New Roman" w:cs="Times New Roman"/>
          <w:color w:val="000000" w:themeColor="text1"/>
        </w:rPr>
        <w:t xml:space="preserve">There will be greater continuity for foreign investors regarding their security obligations and understanding that the </w:t>
      </w:r>
      <w:r>
        <w:rPr>
          <w:rFonts w:ascii="Times New Roman" w:eastAsia="MS PGothic" w:hAnsi="Times New Roman" w:cs="Times New Roman"/>
          <w:color w:val="000000" w:themeColor="text1"/>
        </w:rPr>
        <w:t>Positive Security Obligations</w:t>
      </w:r>
      <w:r w:rsidRPr="000266F5">
        <w:rPr>
          <w:rFonts w:ascii="Times New Roman" w:eastAsia="MS PGothic" w:hAnsi="Times New Roman" w:cs="Times New Roman"/>
          <w:color w:val="000000" w:themeColor="text1"/>
        </w:rPr>
        <w:t xml:space="preserve"> provide a level playing field for all </w:t>
      </w:r>
      <w:r w:rsidRPr="00EE0D81">
        <w:rPr>
          <w:rFonts w:ascii="Times New Roman" w:hAnsi="Times New Roman"/>
          <w:i/>
          <w:color w:val="000000" w:themeColor="text1"/>
        </w:rPr>
        <w:t>critical infrastructure asset</w:t>
      </w:r>
      <w:r w:rsidRPr="000266F5">
        <w:rPr>
          <w:rFonts w:ascii="Times New Roman" w:eastAsia="MS PGothic" w:hAnsi="Times New Roman" w:cs="Times New Roman"/>
          <w:color w:val="000000" w:themeColor="text1"/>
        </w:rPr>
        <w:t xml:space="preserve">s regardless of ownership. </w:t>
      </w:r>
    </w:p>
    <w:p w14:paraId="67385491" w14:textId="77777777" w:rsidR="00993F09" w:rsidRPr="000266F5" w:rsidRDefault="00993F09" w:rsidP="00993F09">
      <w:pPr>
        <w:pStyle w:val="ListParagraph"/>
        <w:numPr>
          <w:ilvl w:val="0"/>
          <w:numId w:val="11"/>
        </w:numPr>
        <w:tabs>
          <w:tab w:val="num" w:pos="340"/>
          <w:tab w:val="left" w:pos="426"/>
        </w:tabs>
        <w:spacing w:before="240" w:after="240" w:line="240" w:lineRule="auto"/>
        <w:rPr>
          <w:rFonts w:ascii="Times New Roman" w:eastAsia="MS PGothic" w:hAnsi="Times New Roman" w:cs="Times New Roman"/>
          <w:color w:val="000000" w:themeColor="text1"/>
        </w:rPr>
      </w:pPr>
      <w:r w:rsidRPr="000266F5">
        <w:rPr>
          <w:rFonts w:ascii="Times New Roman" w:eastAsia="MS PGothic" w:hAnsi="Times New Roman" w:cs="Times New Roman"/>
          <w:color w:val="000000" w:themeColor="text1"/>
        </w:rPr>
        <w:t xml:space="preserve">That Government leverages existing regulations to avoid supressing innovation. </w:t>
      </w:r>
    </w:p>
    <w:p w14:paraId="771138A8" w14:textId="4E65D7C7"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It is expected that some sectors</w:t>
      </w:r>
      <w:r>
        <w:rPr>
          <w:rFonts w:ascii="Times New Roman" w:eastAsia="MS PGothic" w:hAnsi="Times New Roman" w:cs="Times New Roman"/>
          <w:color w:val="000000"/>
        </w:rPr>
        <w:t xml:space="preserve"> will already have existing measures in place to manage all hazards and as a result there will only be a small regulatory impost. </w:t>
      </w:r>
      <w:r w:rsidRPr="000266F5">
        <w:rPr>
          <w:rFonts w:ascii="Times New Roman" w:eastAsia="MS PGothic" w:hAnsi="Times New Roman" w:cs="Times New Roman"/>
          <w:color w:val="000000"/>
        </w:rPr>
        <w:t>The costs associated with additional regulation will be further explored in future RIS(s), where detailed economic modelling will be undertaken</w:t>
      </w:r>
      <w:r>
        <w:rPr>
          <w:rFonts w:ascii="Times New Roman" w:eastAsia="MS PGothic" w:hAnsi="Times New Roman" w:cs="Times New Roman"/>
          <w:color w:val="000000"/>
        </w:rPr>
        <w:t xml:space="preserve"> alongside industry and state and territory governments. </w:t>
      </w:r>
    </w:p>
    <w:p w14:paraId="6AB78887" w14:textId="77777777" w:rsidR="00993F09" w:rsidRPr="00EE0D81" w:rsidRDefault="00993F09" w:rsidP="00EE0D81">
      <w:pPr>
        <w:tabs>
          <w:tab w:val="num" w:pos="340"/>
          <w:tab w:val="left" w:pos="426"/>
        </w:tabs>
        <w:spacing w:before="120" w:after="120" w:line="240" w:lineRule="auto"/>
        <w:rPr>
          <w:rFonts w:ascii="Times New Roman" w:hAnsi="Times New Roman"/>
          <w:b/>
        </w:rPr>
      </w:pPr>
      <w:r w:rsidRPr="00EE0D81">
        <w:rPr>
          <w:rFonts w:ascii="Times New Roman" w:hAnsi="Times New Roman"/>
          <w:b/>
        </w:rPr>
        <w:t>Benefits</w:t>
      </w:r>
    </w:p>
    <w:p w14:paraId="1DFD9ADB" w14:textId="362A93F8"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Introducing </w:t>
      </w:r>
      <w:r w:rsidR="007D7B48">
        <w:rPr>
          <w:rFonts w:ascii="Times New Roman" w:eastAsia="MS PGothic" w:hAnsi="Times New Roman" w:cs="Times New Roman"/>
          <w:color w:val="000000"/>
        </w:rPr>
        <w:t xml:space="preserve">the risk management program </w:t>
      </w:r>
      <w:r w:rsidRPr="000266F5">
        <w:rPr>
          <w:rFonts w:ascii="Times New Roman" w:eastAsia="MS PGothic" w:hAnsi="Times New Roman" w:cs="Times New Roman"/>
          <w:color w:val="000000"/>
        </w:rPr>
        <w:t xml:space="preserve">will ensure that industry has the necessary direction and guidance to address all hazard risks to </w:t>
      </w:r>
      <w:r w:rsidRPr="00EE0D81">
        <w:rPr>
          <w:rFonts w:ascii="Times New Roman" w:hAnsi="Times New Roman"/>
          <w:i/>
          <w:color w:val="000000"/>
        </w:rPr>
        <w:t>critical infrastructure asset</w:t>
      </w:r>
      <w:r w:rsidRPr="000266F5">
        <w:rPr>
          <w:rFonts w:ascii="Times New Roman" w:eastAsia="MS PGothic" w:hAnsi="Times New Roman" w:cs="Times New Roman"/>
          <w:color w:val="000000"/>
        </w:rPr>
        <w:t xml:space="preserve">s where those risks are not currently managed, or are not addressed consistently across </w:t>
      </w:r>
      <w:r w:rsidRPr="00EE0D81">
        <w:rPr>
          <w:rFonts w:ascii="Times New Roman" w:hAnsi="Times New Roman"/>
          <w:i/>
          <w:color w:val="000000"/>
        </w:rPr>
        <w:t>critical infrastructure sector</w:t>
      </w:r>
      <w:r w:rsidRPr="000266F5">
        <w:rPr>
          <w:rFonts w:ascii="Times New Roman" w:eastAsia="MS PGothic" w:hAnsi="Times New Roman" w:cs="Times New Roman"/>
          <w:color w:val="000000"/>
        </w:rPr>
        <w:t>s.</w:t>
      </w:r>
    </w:p>
    <w:p w14:paraId="252A880C"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p>
    <w:p w14:paraId="6BB1E895" w14:textId="0ABE012F"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A positive externality of the reforms is that the uplift of one entity’s security against all hazards risks will increase the </w:t>
      </w:r>
      <w:r>
        <w:rPr>
          <w:rFonts w:ascii="Times New Roman" w:eastAsia="MS PGothic" w:hAnsi="Times New Roman" w:cs="Times New Roman"/>
          <w:color w:val="000000"/>
        </w:rPr>
        <w:t>resilience</w:t>
      </w:r>
      <w:r w:rsidRPr="000266F5">
        <w:rPr>
          <w:rFonts w:ascii="Times New Roman" w:eastAsia="MS PGothic" w:hAnsi="Times New Roman" w:cs="Times New Roman"/>
          <w:color w:val="000000"/>
        </w:rPr>
        <w:t xml:space="preserve"> of downstream entities. For example: </w:t>
      </w:r>
    </w:p>
    <w:p w14:paraId="23348D1F"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The sensitive data created and held within the health sector needs to be protected by both the sector and the data centres that may store such information. If not properly protected and stored, the content of the data could have significant security ramifications including additional burden of customer reporting as a result of a data breach, reputational damage and legal penalties.</w:t>
      </w:r>
    </w:p>
    <w:p w14:paraId="3216B4CE" w14:textId="63411EC6"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Lax personnel security within a telecommunications company can result in weaknesses being exploited within a network and can impact a range of </w:t>
      </w:r>
      <w:r w:rsidRPr="00EE0D81">
        <w:rPr>
          <w:rFonts w:ascii="Times New Roman" w:hAnsi="Times New Roman"/>
          <w:i/>
          <w:color w:val="000000"/>
        </w:rPr>
        <w:t>critical infrastructure asset</w:t>
      </w:r>
      <w:r w:rsidRPr="000266F5">
        <w:rPr>
          <w:rFonts w:ascii="Times New Roman" w:eastAsia="MS PGothic" w:hAnsi="Times New Roman" w:cs="Times New Roman"/>
          <w:color w:val="000000"/>
        </w:rPr>
        <w:t>s that rely on telecommunication services to function. This could include, freight and passenger rail and electricity transmission networks, having flow on affects to all areas of Australia</w:t>
      </w:r>
      <w:r>
        <w:rPr>
          <w:rFonts w:ascii="Times New Roman" w:eastAsia="MS PGothic" w:hAnsi="Times New Roman" w:cs="Times New Roman"/>
          <w:color w:val="000000"/>
        </w:rPr>
        <w:t>.</w:t>
      </w:r>
    </w:p>
    <w:p w14:paraId="2C2314CF" w14:textId="77777777" w:rsidR="00993F09" w:rsidRPr="000266F5" w:rsidRDefault="00993F09" w:rsidP="00993F09">
      <w:pPr>
        <w:tabs>
          <w:tab w:val="left" w:pos="426"/>
        </w:tabs>
        <w:spacing w:after="0" w:line="240" w:lineRule="auto"/>
        <w:ind w:left="720"/>
        <w:rPr>
          <w:rFonts w:ascii="Times New Roman" w:eastAsia="MS PGothic" w:hAnsi="Times New Roman" w:cs="Times New Roman"/>
          <w:color w:val="000000"/>
        </w:rPr>
      </w:pPr>
    </w:p>
    <w:p w14:paraId="58E21819" w14:textId="2C92D6E3"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These externalities can be small in size, but more often than not the depth of interconnectivity between </w:t>
      </w:r>
      <w:r w:rsidRPr="00EE0D81">
        <w:rPr>
          <w:rFonts w:ascii="Times New Roman" w:hAnsi="Times New Roman"/>
          <w:i/>
          <w:color w:val="000000"/>
        </w:rPr>
        <w:t>critical infrastructure asset</w:t>
      </w:r>
      <w:r w:rsidRPr="000266F5">
        <w:rPr>
          <w:rFonts w:ascii="Times New Roman" w:eastAsia="MS PGothic" w:hAnsi="Times New Roman" w:cs="Times New Roman"/>
          <w:color w:val="000000"/>
        </w:rPr>
        <w:t xml:space="preserve">s mean that consequences of failings within </w:t>
      </w:r>
      <w:r w:rsidRPr="00EE0D81">
        <w:rPr>
          <w:rFonts w:ascii="Times New Roman" w:hAnsi="Times New Roman"/>
          <w:i/>
          <w:color w:val="000000"/>
        </w:rPr>
        <w:t>critical infrastructure sector</w:t>
      </w:r>
      <w:r w:rsidRPr="000266F5">
        <w:rPr>
          <w:rFonts w:ascii="Times New Roman" w:eastAsia="MS PGothic" w:hAnsi="Times New Roman" w:cs="Times New Roman"/>
          <w:color w:val="000000"/>
        </w:rPr>
        <w:t xml:space="preserve">s can be </w:t>
      </w:r>
      <w:r>
        <w:rPr>
          <w:rFonts w:ascii="Times New Roman" w:eastAsia="MS PGothic" w:hAnsi="Times New Roman" w:cs="Times New Roman"/>
          <w:color w:val="000000"/>
        </w:rPr>
        <w:t>severe</w:t>
      </w:r>
      <w:r w:rsidRPr="000266F5">
        <w:rPr>
          <w:rFonts w:ascii="Times New Roman" w:eastAsia="MS PGothic" w:hAnsi="Times New Roman" w:cs="Times New Roman"/>
          <w:color w:val="000000"/>
        </w:rPr>
        <w:t xml:space="preserve">. </w:t>
      </w:r>
    </w:p>
    <w:p w14:paraId="74C35B2F" w14:textId="77777777" w:rsidR="00993F09" w:rsidRPr="000266F5" w:rsidRDefault="00993F09" w:rsidP="00993F09">
      <w:pPr>
        <w:pStyle w:val="ListParagraph"/>
        <w:tabs>
          <w:tab w:val="left" w:pos="426"/>
        </w:tabs>
        <w:spacing w:after="0" w:line="240" w:lineRule="auto"/>
        <w:ind w:left="227"/>
        <w:rPr>
          <w:rFonts w:ascii="Times New Roman" w:eastAsia="MS PGothic" w:hAnsi="Times New Roman" w:cs="Times New Roman"/>
          <w:color w:val="000000"/>
        </w:rPr>
      </w:pPr>
    </w:p>
    <w:p w14:paraId="058E0DB1" w14:textId="7EA0AD6E"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Another externality is created through an increase in job opportunities, and long term employment for households. In implementing the proposed regulation, opportunities exist for the Australian industries that specialise in products and services that can assist </w:t>
      </w:r>
      <w:r w:rsidRPr="00EE0D81">
        <w:rPr>
          <w:rFonts w:ascii="Times New Roman" w:hAnsi="Times New Roman"/>
          <w:i/>
          <w:color w:val="000000"/>
        </w:rPr>
        <w:t xml:space="preserve">critical infrastructure </w:t>
      </w:r>
      <w:r w:rsidRPr="00B1725B">
        <w:rPr>
          <w:rFonts w:ascii="Times New Roman" w:eastAsia="MS PGothic" w:hAnsi="Times New Roman" w:cs="Times New Roman"/>
          <w:i/>
          <w:color w:val="000000"/>
        </w:rPr>
        <w:t>asset</w:t>
      </w:r>
      <w:r>
        <w:rPr>
          <w:rFonts w:ascii="Times New Roman" w:eastAsia="MS PGothic" w:hAnsi="Times New Roman" w:cs="Times New Roman"/>
          <w:color w:val="000000"/>
        </w:rPr>
        <w:t xml:space="preserve">s in </w:t>
      </w:r>
      <w:r w:rsidRPr="000266F5">
        <w:rPr>
          <w:rFonts w:ascii="Times New Roman" w:eastAsia="MS PGothic" w:hAnsi="Times New Roman" w:cs="Times New Roman"/>
          <w:color w:val="000000"/>
        </w:rPr>
        <w:t>meet</w:t>
      </w:r>
      <w:r>
        <w:rPr>
          <w:rFonts w:ascii="Times New Roman" w:eastAsia="MS PGothic" w:hAnsi="Times New Roman" w:cs="Times New Roman"/>
          <w:color w:val="000000"/>
        </w:rPr>
        <w:t>ing</w:t>
      </w:r>
      <w:r w:rsidRPr="000266F5">
        <w:rPr>
          <w:rFonts w:ascii="Times New Roman" w:eastAsia="MS PGothic" w:hAnsi="Times New Roman" w:cs="Times New Roman"/>
          <w:color w:val="000000"/>
        </w:rPr>
        <w:t xml:space="preserve"> the objectives of the proposed reforms</w:t>
      </w:r>
      <w:r>
        <w:rPr>
          <w:rFonts w:ascii="Times New Roman" w:eastAsia="MS PGothic" w:hAnsi="Times New Roman" w:cs="Times New Roman"/>
          <w:color w:val="000000"/>
        </w:rPr>
        <w:t xml:space="preserve">. For example, </w:t>
      </w:r>
      <w:r w:rsidRPr="000266F5">
        <w:rPr>
          <w:rFonts w:ascii="Times New Roman" w:eastAsia="MS PGothic" w:hAnsi="Times New Roman" w:cs="Times New Roman"/>
          <w:color w:val="000000"/>
        </w:rPr>
        <w:t xml:space="preserve">business process improvements, risk mitigation and support, </w:t>
      </w:r>
      <w:r>
        <w:rPr>
          <w:rFonts w:ascii="Times New Roman" w:eastAsia="MS PGothic" w:hAnsi="Times New Roman" w:cs="Times New Roman"/>
          <w:color w:val="000000"/>
        </w:rPr>
        <w:t xml:space="preserve">and </w:t>
      </w:r>
      <w:r w:rsidRPr="000266F5">
        <w:rPr>
          <w:rFonts w:ascii="Times New Roman" w:eastAsia="MS PGothic" w:hAnsi="Times New Roman" w:cs="Times New Roman"/>
          <w:color w:val="000000"/>
        </w:rPr>
        <w:t xml:space="preserve">operational resilience. </w:t>
      </w:r>
    </w:p>
    <w:p w14:paraId="35AFFD44"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p>
    <w:p w14:paraId="3B93FBDC" w14:textId="752A58AF"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The industries most likely to benefit from the new regime are the public administration and safety sector, cyber security sector, and professional, scientific and technical services. For example, an uplift in Australia’s cyber security will build Australia’s cyber security industry and bolster the technical skills required to support the nation’s growing digital economy. The quantitative benefits of such externalities and the possible costs of resulting externalities, such as shortages of staff will be further explored in future RIS(s). </w:t>
      </w:r>
    </w:p>
    <w:p w14:paraId="3731FED0"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p>
    <w:p w14:paraId="14094DE1" w14:textId="303A9D87"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Households will also benefit through an increase in the resilience of Australia’s critical infrastructure which reduces the likelihood of significant disruptions to essential services. Increased resilience creates stability in household income due to industrial production resilience, security, and stability which in turn promotes job growth and job security. Further benefits would also be derived from employment opportunities in the provision of goods and services to ensure </w:t>
      </w:r>
      <w:r w:rsidRPr="00EE0D81">
        <w:rPr>
          <w:rFonts w:ascii="Times New Roman" w:hAnsi="Times New Roman"/>
          <w:i/>
          <w:color w:val="000000"/>
        </w:rPr>
        <w:t>critical infrastructure sector</w:t>
      </w:r>
      <w:r w:rsidRPr="000266F5">
        <w:rPr>
          <w:rFonts w:ascii="Times New Roman" w:eastAsia="MS PGothic" w:hAnsi="Times New Roman" w:cs="Times New Roman"/>
          <w:color w:val="000000"/>
        </w:rPr>
        <w:t>s achieve regulatory compliance</w:t>
      </w:r>
      <w:r>
        <w:rPr>
          <w:rFonts w:ascii="Times New Roman" w:eastAsia="MS PGothic" w:hAnsi="Times New Roman" w:cs="Times New Roman"/>
          <w:color w:val="000000"/>
        </w:rPr>
        <w:t>.</w:t>
      </w:r>
    </w:p>
    <w:p w14:paraId="43FD5BD2"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p>
    <w:p w14:paraId="69B87222" w14:textId="7C9F03E9" w:rsidR="00993F09"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This option will support the Government to shape a market that considers all</w:t>
      </w:r>
      <w:r w:rsidR="002D0188">
        <w:rPr>
          <w:rFonts w:ascii="Times New Roman" w:eastAsia="MS PGothic" w:hAnsi="Times New Roman" w:cs="Times New Roman"/>
          <w:color w:val="000000"/>
        </w:rPr>
        <w:t>-</w:t>
      </w:r>
      <w:r w:rsidRPr="000266F5">
        <w:rPr>
          <w:rFonts w:ascii="Times New Roman" w:eastAsia="MS PGothic" w:hAnsi="Times New Roman" w:cs="Times New Roman"/>
          <w:color w:val="000000"/>
        </w:rPr>
        <w:t xml:space="preserve">hazards risks. The </w:t>
      </w:r>
      <w:r w:rsidR="002B0BEA">
        <w:rPr>
          <w:rFonts w:ascii="Times New Roman" w:eastAsia="MS PGothic" w:hAnsi="Times New Roman" w:cs="Times New Roman"/>
          <w:color w:val="000000"/>
        </w:rPr>
        <w:t>risk management program</w:t>
      </w:r>
      <w:r w:rsidRPr="000266F5">
        <w:rPr>
          <w:rFonts w:ascii="Times New Roman" w:eastAsia="MS PGothic" w:hAnsi="Times New Roman" w:cs="Times New Roman"/>
          <w:color w:val="000000"/>
        </w:rPr>
        <w:t xml:space="preserve"> will ensure that the Government can drive industry-wide management of risks in the absence of market drivers, avoiding any market imbalances that currently result from the case-by-case application of security controls through the </w:t>
      </w:r>
      <w:r>
        <w:rPr>
          <w:rFonts w:ascii="Times New Roman" w:eastAsia="MS PGothic" w:hAnsi="Times New Roman" w:cs="Times New Roman"/>
          <w:iCs/>
          <w:color w:val="000000"/>
        </w:rPr>
        <w:t>FATA.</w:t>
      </w:r>
      <w:r w:rsidRPr="000266F5">
        <w:rPr>
          <w:rFonts w:ascii="Times New Roman" w:eastAsia="MS PGothic" w:hAnsi="Times New Roman" w:cs="Times New Roman"/>
          <w:color w:val="000000"/>
        </w:rPr>
        <w:t xml:space="preserve"> </w:t>
      </w:r>
      <w:r w:rsidRPr="002869BA">
        <w:rPr>
          <w:rFonts w:ascii="Times New Roman" w:eastAsia="MS PGothic" w:hAnsi="Times New Roman" w:cs="Times New Roman"/>
          <w:color w:val="000000"/>
        </w:rPr>
        <w:t xml:space="preserve">This option also provides certainty and consistency for the critical infrastructure owners and operators by creating a level playing field for both domestic and foreign investors. </w:t>
      </w:r>
    </w:p>
    <w:p w14:paraId="63FF834D" w14:textId="77777777" w:rsidR="00993F09" w:rsidRDefault="00993F09" w:rsidP="00993F09">
      <w:pPr>
        <w:tabs>
          <w:tab w:val="left" w:pos="426"/>
        </w:tabs>
        <w:spacing w:after="0" w:line="240" w:lineRule="auto"/>
        <w:rPr>
          <w:rFonts w:ascii="Times New Roman" w:eastAsia="MS PGothic" w:hAnsi="Times New Roman" w:cs="Times New Roman"/>
          <w:color w:val="000000"/>
        </w:rPr>
      </w:pPr>
    </w:p>
    <w:p w14:paraId="5C5D11F7" w14:textId="7FB6C330" w:rsidR="00993F09" w:rsidRPr="001A7788"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While there will continue to be a need for case-by-case assessments of investment applications, the PSO will reduce the existing burden on the foreign investment review framework to manage risks.</w:t>
      </w:r>
      <w:r>
        <w:rPr>
          <w:rFonts w:ascii="Times New Roman" w:eastAsia="MS PGothic" w:hAnsi="Times New Roman" w:cs="Times New Roman"/>
          <w:color w:val="000000"/>
        </w:rPr>
        <w:t xml:space="preserve"> </w:t>
      </w:r>
      <w:r w:rsidRPr="001A7788">
        <w:rPr>
          <w:rFonts w:ascii="Times New Roman" w:eastAsia="MS PGothic" w:hAnsi="Times New Roman" w:cs="Times New Roman"/>
          <w:color w:val="000000"/>
        </w:rPr>
        <w:t xml:space="preserve">Currently, the Department advises the Department of Treasury on conditions that it considers should be imposed on critical infrastructure foreign investment. Through the proposed SoCI reforms there is the ability to have conditions already in place for </w:t>
      </w:r>
      <w:r w:rsidRPr="001A7788">
        <w:rPr>
          <w:rFonts w:ascii="Times New Roman" w:eastAsia="MS PGothic" w:hAnsi="Times New Roman" w:cs="Times New Roman"/>
          <w:i/>
          <w:color w:val="000000"/>
        </w:rPr>
        <w:t>critical infrastructure assets</w:t>
      </w:r>
      <w:r w:rsidRPr="001A7788">
        <w:rPr>
          <w:rFonts w:ascii="Times New Roman" w:eastAsia="MS PGothic" w:hAnsi="Times New Roman" w:cs="Times New Roman"/>
          <w:color w:val="000000"/>
        </w:rPr>
        <w:t xml:space="preserve"> to manage risk. </w:t>
      </w:r>
      <w:r>
        <w:rPr>
          <w:rFonts w:ascii="Times New Roman" w:eastAsia="MS PGothic" w:hAnsi="Times New Roman" w:cs="Times New Roman"/>
          <w:color w:val="000000"/>
        </w:rPr>
        <w:t xml:space="preserve">Previously, </w:t>
      </w:r>
      <w:r w:rsidRPr="001A7788">
        <w:rPr>
          <w:rFonts w:ascii="Times New Roman" w:eastAsia="MS PGothic" w:hAnsi="Times New Roman" w:cs="Times New Roman"/>
          <w:color w:val="000000"/>
        </w:rPr>
        <w:t xml:space="preserve">the CIC has made recommendations to the Department of Treasury that certain foreign businesses acquiring critical infrastructure in Australia </w:t>
      </w:r>
      <w:r>
        <w:rPr>
          <w:rFonts w:ascii="Times New Roman" w:eastAsia="MS PGothic" w:hAnsi="Times New Roman" w:cs="Times New Roman"/>
          <w:color w:val="000000"/>
        </w:rPr>
        <w:t xml:space="preserve">under the FATA </w:t>
      </w:r>
      <w:r w:rsidR="002D0188">
        <w:rPr>
          <w:rFonts w:ascii="Times New Roman" w:eastAsia="MS PGothic" w:hAnsi="Times New Roman" w:cs="Times New Roman"/>
          <w:color w:val="000000"/>
        </w:rPr>
        <w:t xml:space="preserve">take certain steps to manage the security of </w:t>
      </w:r>
      <w:r w:rsidRPr="001A7788">
        <w:rPr>
          <w:rFonts w:ascii="Times New Roman" w:eastAsia="MS PGothic" w:hAnsi="Times New Roman" w:cs="Times New Roman"/>
          <w:color w:val="000000"/>
        </w:rPr>
        <w:t xml:space="preserve">data. Through the proposed SoCI reforms, this type of recommendation may no longer be necessary as the Act will provide the opportunity to address this risk through ongoing obligations </w:t>
      </w:r>
      <w:r>
        <w:rPr>
          <w:rFonts w:ascii="Times New Roman" w:eastAsia="MS PGothic" w:hAnsi="Times New Roman" w:cs="Times New Roman"/>
          <w:color w:val="000000"/>
        </w:rPr>
        <w:t>within</w:t>
      </w:r>
      <w:r w:rsidRPr="001A7788">
        <w:rPr>
          <w:rFonts w:ascii="Times New Roman" w:eastAsia="MS PGothic" w:hAnsi="Times New Roman" w:cs="Times New Roman"/>
          <w:color w:val="000000"/>
        </w:rPr>
        <w:t xml:space="preserve"> the risk management program. It is expected that this will streamline consideration of lower risk acquisitions (under current and future foreign investment settings)</w:t>
      </w:r>
      <w:r w:rsidR="008E6A18">
        <w:rPr>
          <w:rFonts w:ascii="Times New Roman" w:eastAsia="MS PGothic" w:hAnsi="Times New Roman" w:cs="Times New Roman"/>
          <w:color w:val="000000"/>
        </w:rPr>
        <w:t xml:space="preserve"> providing benefits for foreign investors,</w:t>
      </w:r>
      <w:r w:rsidRPr="001A7788">
        <w:rPr>
          <w:rFonts w:ascii="Times New Roman" w:eastAsia="MS PGothic" w:hAnsi="Times New Roman" w:cs="Times New Roman"/>
          <w:color w:val="000000"/>
        </w:rPr>
        <w:t xml:space="preserve"> and enable </w:t>
      </w:r>
      <w:r w:rsidR="008E6A18">
        <w:rPr>
          <w:rFonts w:ascii="Times New Roman" w:eastAsia="MS PGothic" w:hAnsi="Times New Roman" w:cs="Times New Roman"/>
          <w:color w:val="000000"/>
        </w:rPr>
        <w:t xml:space="preserve">Government </w:t>
      </w:r>
      <w:r w:rsidRPr="001A7788">
        <w:rPr>
          <w:rFonts w:ascii="Times New Roman" w:eastAsia="MS PGothic" w:hAnsi="Times New Roman" w:cs="Times New Roman"/>
          <w:color w:val="000000"/>
        </w:rPr>
        <w:t xml:space="preserve">resources to be </w:t>
      </w:r>
      <w:r w:rsidR="008E6A18">
        <w:rPr>
          <w:rFonts w:ascii="Times New Roman" w:eastAsia="MS PGothic" w:hAnsi="Times New Roman" w:cs="Times New Roman"/>
          <w:color w:val="000000"/>
        </w:rPr>
        <w:t xml:space="preserve">focused on </w:t>
      </w:r>
      <w:r w:rsidRPr="001A7788">
        <w:rPr>
          <w:rFonts w:ascii="Times New Roman" w:eastAsia="MS PGothic" w:hAnsi="Times New Roman" w:cs="Times New Roman"/>
          <w:color w:val="000000"/>
        </w:rPr>
        <w:t xml:space="preserve">managing higher risk investments. </w:t>
      </w:r>
    </w:p>
    <w:p w14:paraId="79870745"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p>
    <w:p w14:paraId="4C2EDA67" w14:textId="1E0CF446" w:rsidR="00993F09"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The co-design of sector specific rules in early 2021 with industry will </w:t>
      </w:r>
      <w:r>
        <w:rPr>
          <w:rFonts w:ascii="Times New Roman" w:eastAsia="MS PGothic" w:hAnsi="Times New Roman" w:cs="Times New Roman"/>
          <w:color w:val="000000"/>
        </w:rPr>
        <w:t xml:space="preserve">help minimise </w:t>
      </w:r>
      <w:r w:rsidRPr="000266F5">
        <w:rPr>
          <w:rFonts w:ascii="Times New Roman" w:eastAsia="MS PGothic" w:hAnsi="Times New Roman" w:cs="Times New Roman"/>
          <w:color w:val="000000"/>
        </w:rPr>
        <w:t xml:space="preserve">innovation from being stifled as a result of increased regulations. By co-designing the specific rules for the </w:t>
      </w:r>
      <w:r>
        <w:rPr>
          <w:rFonts w:ascii="Times New Roman" w:eastAsia="MS PGothic" w:hAnsi="Times New Roman" w:cs="Times New Roman"/>
          <w:color w:val="000000"/>
        </w:rPr>
        <w:t>Risk Management Program</w:t>
      </w:r>
      <w:r w:rsidRPr="000266F5">
        <w:rPr>
          <w:rFonts w:ascii="Times New Roman" w:eastAsia="MS PGothic" w:hAnsi="Times New Roman" w:cs="Times New Roman"/>
          <w:i/>
          <w:iCs/>
          <w:color w:val="000000"/>
        </w:rPr>
        <w:t>,</w:t>
      </w:r>
      <w:r w:rsidRPr="000266F5">
        <w:rPr>
          <w:rFonts w:ascii="Times New Roman" w:eastAsia="MS PGothic" w:hAnsi="Times New Roman" w:cs="Times New Roman"/>
          <w:color w:val="000000"/>
        </w:rPr>
        <w:t xml:space="preserve"> industry will be able to guide the development and design of the rules, presenting opportunities for industry to source innovative solutions to uplifting the security of critical infrastructure. </w:t>
      </w:r>
    </w:p>
    <w:p w14:paraId="3C7D7078" w14:textId="6B22CEFE" w:rsidR="00993F09" w:rsidRDefault="00993F09" w:rsidP="00993F09">
      <w:pPr>
        <w:tabs>
          <w:tab w:val="left" w:pos="426"/>
        </w:tabs>
        <w:spacing w:after="0" w:line="240" w:lineRule="auto"/>
        <w:rPr>
          <w:rFonts w:ascii="Times New Roman" w:eastAsia="MS PGothic" w:hAnsi="Times New Roman" w:cs="Times New Roman"/>
          <w:color w:val="000000"/>
        </w:rPr>
      </w:pPr>
    </w:p>
    <w:p w14:paraId="316BD2FF" w14:textId="463E6E6D" w:rsidR="00CC4BC9" w:rsidRDefault="00CC4BC9" w:rsidP="00993F09">
      <w:pPr>
        <w:tabs>
          <w:tab w:val="left" w:pos="426"/>
        </w:tabs>
        <w:spacing w:after="0" w:line="240" w:lineRule="auto"/>
        <w:rPr>
          <w:rFonts w:ascii="Times New Roman" w:eastAsia="MS PGothic" w:hAnsi="Times New Roman" w:cs="Times New Roman"/>
          <w:color w:val="000000"/>
        </w:rPr>
      </w:pPr>
    </w:p>
    <w:p w14:paraId="641F15DA" w14:textId="77777777" w:rsidR="00CC4BC9" w:rsidRPr="000266F5" w:rsidRDefault="00CC4BC9" w:rsidP="00993F09">
      <w:pPr>
        <w:tabs>
          <w:tab w:val="left" w:pos="426"/>
        </w:tabs>
        <w:spacing w:after="0" w:line="240" w:lineRule="auto"/>
        <w:rPr>
          <w:rFonts w:ascii="Times New Roman" w:eastAsia="MS PGothic" w:hAnsi="Times New Roman" w:cs="Times New Roman"/>
          <w:color w:val="000000"/>
        </w:rPr>
      </w:pPr>
    </w:p>
    <w:p w14:paraId="33507746" w14:textId="7203DCEC" w:rsidR="00993F09" w:rsidRPr="00EE0D81" w:rsidRDefault="00993F09" w:rsidP="00EE0D81">
      <w:pPr>
        <w:pStyle w:val="ListParagraph"/>
        <w:numPr>
          <w:ilvl w:val="0"/>
          <w:numId w:val="14"/>
        </w:numPr>
        <w:tabs>
          <w:tab w:val="left" w:pos="426"/>
        </w:tabs>
        <w:spacing w:after="0" w:line="240" w:lineRule="auto"/>
        <w:rPr>
          <w:rFonts w:ascii="Times New Roman" w:hAnsi="Times New Roman"/>
          <w:b/>
          <w:i/>
        </w:rPr>
      </w:pPr>
      <w:r w:rsidRPr="00EE0D81">
        <w:rPr>
          <w:rFonts w:ascii="Times New Roman" w:hAnsi="Times New Roman"/>
          <w:b/>
          <w:i/>
        </w:rPr>
        <w:lastRenderedPageBreak/>
        <w:t xml:space="preserve">Register of Critical </w:t>
      </w:r>
      <w:r w:rsidRPr="00B1725B">
        <w:rPr>
          <w:rFonts w:ascii="Times New Roman" w:eastAsia="Arial" w:hAnsi="Times New Roman" w:cs="Times New Roman"/>
          <w:b/>
          <w:i/>
        </w:rPr>
        <w:t>infrastructure asset</w:t>
      </w:r>
      <w:r w:rsidRPr="001A7788">
        <w:rPr>
          <w:rFonts w:ascii="Times New Roman" w:eastAsia="Arial" w:hAnsi="Times New Roman" w:cs="Times New Roman"/>
          <w:b/>
          <w:i/>
        </w:rPr>
        <w:t>s</w:t>
      </w:r>
    </w:p>
    <w:p w14:paraId="30FC7D71" w14:textId="77777777" w:rsidR="00993F09" w:rsidRPr="00EE0D81" w:rsidRDefault="00993F09" w:rsidP="00EE0D81">
      <w:pPr>
        <w:tabs>
          <w:tab w:val="num" w:pos="340"/>
          <w:tab w:val="left" w:pos="426"/>
        </w:tabs>
        <w:spacing w:before="120" w:after="120" w:line="240" w:lineRule="auto"/>
        <w:rPr>
          <w:rFonts w:ascii="Times New Roman" w:hAnsi="Times New Roman"/>
          <w:b/>
        </w:rPr>
      </w:pPr>
      <w:r w:rsidRPr="00EE0D81">
        <w:rPr>
          <w:rFonts w:ascii="Times New Roman" w:hAnsi="Times New Roman"/>
          <w:b/>
        </w:rPr>
        <w:t>Costs</w:t>
      </w:r>
    </w:p>
    <w:p w14:paraId="616516B0" w14:textId="392406E9" w:rsidR="00993F09" w:rsidRPr="000266F5" w:rsidRDefault="00993F09" w:rsidP="00993F09">
      <w:pPr>
        <w:tabs>
          <w:tab w:val="left" w:pos="426"/>
        </w:tabs>
        <w:spacing w:after="0" w:line="240" w:lineRule="auto"/>
        <w:rPr>
          <w:rFonts w:ascii="Times New Roman" w:eastAsia="MS PGothic" w:hAnsi="Times New Roman" w:cs="Times New Roman"/>
          <w:iCs/>
          <w:color w:val="000000"/>
        </w:rPr>
      </w:pPr>
      <w:r w:rsidRPr="000266F5">
        <w:rPr>
          <w:rFonts w:ascii="Times New Roman" w:eastAsia="MS PGothic" w:hAnsi="Times New Roman" w:cs="Times New Roman"/>
          <w:iCs/>
          <w:color w:val="000000"/>
        </w:rPr>
        <w:t xml:space="preserve">In total, it is expected that </w:t>
      </w:r>
      <w:r w:rsidR="008E6A18">
        <w:rPr>
          <w:rFonts w:ascii="Times New Roman" w:eastAsia="MS PGothic" w:hAnsi="Times New Roman" w:cs="Times New Roman"/>
          <w:iCs/>
          <w:color w:val="000000"/>
        </w:rPr>
        <w:t>no more than</w:t>
      </w:r>
      <w:r w:rsidR="008E6A18" w:rsidRPr="000266F5">
        <w:rPr>
          <w:rFonts w:ascii="Times New Roman" w:eastAsia="MS PGothic" w:hAnsi="Times New Roman" w:cs="Times New Roman"/>
          <w:iCs/>
          <w:color w:val="000000"/>
        </w:rPr>
        <w:t xml:space="preserve"> </w:t>
      </w:r>
      <w:r w:rsidRPr="000266F5">
        <w:rPr>
          <w:rFonts w:ascii="Times New Roman" w:eastAsia="MS PGothic" w:hAnsi="Times New Roman" w:cs="Times New Roman"/>
          <w:iCs/>
          <w:color w:val="000000"/>
        </w:rPr>
        <w:t xml:space="preserve">1,700 entities will fall within the definition of </w:t>
      </w:r>
      <w:r w:rsidRPr="00EE0D81">
        <w:rPr>
          <w:rFonts w:ascii="Times New Roman" w:hAnsi="Times New Roman"/>
          <w:i/>
          <w:color w:val="000000"/>
        </w:rPr>
        <w:t>critical infrastructure asset</w:t>
      </w:r>
      <w:r w:rsidRPr="000266F5">
        <w:rPr>
          <w:rFonts w:ascii="Times New Roman" w:eastAsia="MS PGothic" w:hAnsi="Times New Roman" w:cs="Times New Roman"/>
          <w:iCs/>
          <w:color w:val="000000"/>
        </w:rPr>
        <w:t>s</w:t>
      </w:r>
      <w:r>
        <w:rPr>
          <w:rFonts w:ascii="Times New Roman" w:eastAsia="MS PGothic" w:hAnsi="Times New Roman" w:cs="Times New Roman"/>
          <w:iCs/>
          <w:color w:val="000000"/>
        </w:rPr>
        <w:t xml:space="preserve"> across the 11 sectors</w:t>
      </w:r>
      <w:r w:rsidRPr="000266F5">
        <w:rPr>
          <w:rFonts w:ascii="Times New Roman" w:eastAsia="MS PGothic" w:hAnsi="Times New Roman" w:cs="Times New Roman"/>
          <w:iCs/>
          <w:color w:val="000000"/>
        </w:rPr>
        <w:t xml:space="preserve">. Currently, 167 entities already report to the Register of </w:t>
      </w:r>
      <w:r w:rsidRPr="00EE0D81">
        <w:rPr>
          <w:rFonts w:ascii="Times New Roman" w:hAnsi="Times New Roman"/>
          <w:i/>
          <w:color w:val="000000"/>
        </w:rPr>
        <w:t xml:space="preserve">Critical </w:t>
      </w:r>
      <w:r w:rsidRPr="00B1725B">
        <w:rPr>
          <w:rFonts w:ascii="Times New Roman" w:eastAsia="MS PGothic" w:hAnsi="Times New Roman" w:cs="Times New Roman"/>
          <w:i/>
          <w:iCs/>
          <w:color w:val="000000"/>
        </w:rPr>
        <w:t>infrastructure asset</w:t>
      </w:r>
      <w:r w:rsidRPr="000266F5">
        <w:rPr>
          <w:rFonts w:ascii="Times New Roman" w:eastAsia="MS PGothic" w:hAnsi="Times New Roman" w:cs="Times New Roman"/>
          <w:iCs/>
          <w:color w:val="000000"/>
        </w:rPr>
        <w:t>s</w:t>
      </w:r>
      <w:r>
        <w:rPr>
          <w:rFonts w:ascii="Times New Roman" w:eastAsia="MS PGothic" w:hAnsi="Times New Roman" w:cs="Times New Roman"/>
          <w:iCs/>
          <w:color w:val="000000"/>
        </w:rPr>
        <w:t xml:space="preserve"> </w:t>
      </w:r>
      <w:r w:rsidRPr="000266F5">
        <w:rPr>
          <w:rFonts w:ascii="Times New Roman" w:eastAsia="MS PGothic" w:hAnsi="Times New Roman" w:cs="Times New Roman"/>
          <w:iCs/>
          <w:color w:val="000000"/>
        </w:rPr>
        <w:t xml:space="preserve">and their regulatory burden for this obligation will not change as a result of the introduction of the proposed reforms. The remaining 1,500 or so entities </w:t>
      </w:r>
      <w:r>
        <w:rPr>
          <w:rFonts w:ascii="Times New Roman" w:eastAsia="MS PGothic" w:hAnsi="Times New Roman" w:cs="Times New Roman"/>
          <w:iCs/>
          <w:color w:val="000000"/>
        </w:rPr>
        <w:t xml:space="preserve">that </w:t>
      </w:r>
      <w:r w:rsidRPr="000266F5">
        <w:rPr>
          <w:rFonts w:ascii="Times New Roman" w:eastAsia="MS PGothic" w:hAnsi="Times New Roman" w:cs="Times New Roman"/>
          <w:iCs/>
          <w:color w:val="000000"/>
        </w:rPr>
        <w:t xml:space="preserve">do not currently report to the Register of </w:t>
      </w:r>
      <w:r w:rsidRPr="00EE0D81">
        <w:rPr>
          <w:rFonts w:ascii="Times New Roman" w:hAnsi="Times New Roman"/>
          <w:i/>
          <w:color w:val="000000"/>
        </w:rPr>
        <w:t xml:space="preserve">Critical </w:t>
      </w:r>
      <w:r w:rsidRPr="00B1725B">
        <w:rPr>
          <w:rFonts w:ascii="Times New Roman" w:eastAsia="MS PGothic" w:hAnsi="Times New Roman" w:cs="Times New Roman"/>
          <w:i/>
          <w:iCs/>
          <w:color w:val="000000"/>
        </w:rPr>
        <w:t>infrastructure asset</w:t>
      </w:r>
      <w:r w:rsidRPr="000266F5">
        <w:rPr>
          <w:rFonts w:ascii="Times New Roman" w:eastAsia="MS PGothic" w:hAnsi="Times New Roman" w:cs="Times New Roman"/>
          <w:iCs/>
          <w:color w:val="000000"/>
        </w:rPr>
        <w:t xml:space="preserve">s, will experience an increase in regulatory burden if that obligation is </w:t>
      </w:r>
      <w:r w:rsidR="00D93411">
        <w:rPr>
          <w:rFonts w:ascii="Times New Roman" w:eastAsia="MS PGothic" w:hAnsi="Times New Roman" w:cs="Times New Roman"/>
          <w:iCs/>
          <w:color w:val="000000"/>
        </w:rPr>
        <w:t>switched on</w:t>
      </w:r>
      <w:r>
        <w:rPr>
          <w:rFonts w:ascii="Times New Roman" w:eastAsia="MS PGothic" w:hAnsi="Times New Roman" w:cs="Times New Roman"/>
          <w:iCs/>
          <w:color w:val="000000"/>
        </w:rPr>
        <w:t>.</w:t>
      </w:r>
      <w:r w:rsidR="006C532A">
        <w:rPr>
          <w:rFonts w:ascii="Times New Roman" w:eastAsia="MS PGothic" w:hAnsi="Times New Roman" w:cs="Times New Roman"/>
          <w:iCs/>
          <w:color w:val="000000"/>
        </w:rPr>
        <w:t xml:space="preserve"> This will </w:t>
      </w:r>
      <w:r w:rsidR="004C6F2B">
        <w:rPr>
          <w:rFonts w:ascii="Times New Roman" w:eastAsia="MS PGothic" w:hAnsi="Times New Roman" w:cs="Times New Roman"/>
          <w:iCs/>
          <w:color w:val="000000"/>
        </w:rPr>
        <w:t>be done through</w:t>
      </w:r>
      <w:r w:rsidR="006C532A">
        <w:rPr>
          <w:rFonts w:ascii="Times New Roman" w:eastAsia="MS PGothic" w:hAnsi="Times New Roman" w:cs="Times New Roman"/>
          <w:iCs/>
          <w:color w:val="000000"/>
        </w:rPr>
        <w:t xml:space="preserve"> the Minister </w:t>
      </w:r>
      <w:r w:rsidR="0032042D">
        <w:rPr>
          <w:rFonts w:ascii="Times New Roman" w:eastAsia="MS PGothic" w:hAnsi="Times New Roman" w:cs="Times New Roman"/>
          <w:iCs/>
          <w:color w:val="000000"/>
        </w:rPr>
        <w:t>declaring</w:t>
      </w:r>
      <w:r w:rsidR="004C6F2B">
        <w:rPr>
          <w:rFonts w:ascii="Times New Roman" w:eastAsia="MS PGothic" w:hAnsi="Times New Roman" w:cs="Times New Roman"/>
          <w:iCs/>
          <w:color w:val="000000"/>
        </w:rPr>
        <w:t xml:space="preserve"> within the sector specific rules which critical infrastructure assets will be subject to the reporting requirements.</w:t>
      </w:r>
    </w:p>
    <w:p w14:paraId="7E245871"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5361E694" w14:textId="09DB6F16"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The largest regulatory cost burden for entities lies in obtaining and inputting information about legal and beneficial ownership, given that most entities are likely to have multiple legal and beneficial owners.</w:t>
      </w:r>
      <w:r>
        <w:rPr>
          <w:rFonts w:ascii="Times New Roman" w:eastAsia="Arial" w:hAnsi="Times New Roman" w:cs="Times New Roman"/>
        </w:rPr>
        <w:t xml:space="preserve"> Many of the costing assumptions have been informed by those that were provided in the SoCI 2018 Explanatory memorandum when the register was first introduced. </w:t>
      </w:r>
    </w:p>
    <w:p w14:paraId="6DD79B99"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037922A3" w14:textId="77777777" w:rsidR="00993F09" w:rsidRPr="000266F5" w:rsidRDefault="00993F09" w:rsidP="00993F09">
      <w:pPr>
        <w:pStyle w:val="Default"/>
        <w:rPr>
          <w:sz w:val="22"/>
          <w:szCs w:val="22"/>
        </w:rPr>
      </w:pPr>
      <w:r w:rsidRPr="000266F5">
        <w:rPr>
          <w:rFonts w:eastAsia="Arial"/>
          <w:sz w:val="22"/>
          <w:szCs w:val="22"/>
        </w:rPr>
        <w:t xml:space="preserve">The following method was used to calculate the annual cost of complying with the register for an average entity. This method is in line with </w:t>
      </w:r>
      <w:r w:rsidRPr="000266F5">
        <w:rPr>
          <w:sz w:val="22"/>
          <w:szCs w:val="22"/>
        </w:rPr>
        <w:t xml:space="preserve">Office of Best Practice Regulation guidance. </w:t>
      </w:r>
    </w:p>
    <w:p w14:paraId="593289FA" w14:textId="77777777" w:rsidR="00993F09" w:rsidRPr="000266F5" w:rsidRDefault="00993F09" w:rsidP="00993F09">
      <w:pPr>
        <w:pStyle w:val="Default"/>
        <w:rPr>
          <w:sz w:val="22"/>
          <w:szCs w:val="22"/>
        </w:rPr>
      </w:pPr>
    </w:p>
    <w:p w14:paraId="02E40F98" w14:textId="14F6E3B8" w:rsidR="00993F09" w:rsidRDefault="00993F09" w:rsidP="00993F09">
      <w:pPr>
        <w:pStyle w:val="Default"/>
        <w:rPr>
          <w:b/>
          <w:sz w:val="22"/>
          <w:szCs w:val="22"/>
        </w:rPr>
      </w:pPr>
      <w:r w:rsidRPr="000266F5">
        <w:rPr>
          <w:b/>
          <w:sz w:val="22"/>
          <w:szCs w:val="22"/>
        </w:rPr>
        <w:t xml:space="preserve">Annual cost for entity = </w:t>
      </w:r>
      <w:r>
        <w:rPr>
          <w:b/>
          <w:sz w:val="22"/>
          <w:szCs w:val="22"/>
        </w:rPr>
        <w:t>(</w:t>
      </w:r>
      <w:r w:rsidRPr="000266F5">
        <w:rPr>
          <w:b/>
          <w:sz w:val="22"/>
          <w:szCs w:val="22"/>
        </w:rPr>
        <w:t xml:space="preserve">time required </w:t>
      </w:r>
      <w:r>
        <w:rPr>
          <w:b/>
          <w:sz w:val="22"/>
          <w:szCs w:val="22"/>
        </w:rPr>
        <w:t xml:space="preserve">to report </w:t>
      </w:r>
      <w:r w:rsidRPr="000266F5">
        <w:rPr>
          <w:b/>
          <w:sz w:val="22"/>
          <w:szCs w:val="22"/>
        </w:rPr>
        <w:t>* hourly cost ($41.74)* wage multiplier (1.75)</w:t>
      </w:r>
      <w:r>
        <w:rPr>
          <w:b/>
          <w:sz w:val="22"/>
          <w:szCs w:val="22"/>
        </w:rPr>
        <w:t xml:space="preserve">) </w:t>
      </w:r>
      <w:r w:rsidRPr="000266F5">
        <w:rPr>
          <w:b/>
          <w:sz w:val="22"/>
          <w:szCs w:val="22"/>
        </w:rPr>
        <w:t xml:space="preserve">* </w:t>
      </w:r>
      <w:r>
        <w:rPr>
          <w:b/>
          <w:sz w:val="22"/>
          <w:szCs w:val="22"/>
        </w:rPr>
        <w:t>(</w:t>
      </w:r>
      <w:r w:rsidRPr="000266F5">
        <w:rPr>
          <w:b/>
          <w:sz w:val="22"/>
          <w:szCs w:val="22"/>
        </w:rPr>
        <w:t>times performed</w:t>
      </w:r>
      <w:r>
        <w:rPr>
          <w:b/>
          <w:sz w:val="22"/>
          <w:szCs w:val="22"/>
        </w:rPr>
        <w:t xml:space="preserve"> annually</w:t>
      </w:r>
      <w:r w:rsidRPr="000266F5">
        <w:rPr>
          <w:b/>
          <w:sz w:val="22"/>
          <w:szCs w:val="22"/>
        </w:rPr>
        <w:t xml:space="preserve"> * number of staff</w:t>
      </w:r>
      <w:r>
        <w:rPr>
          <w:b/>
          <w:sz w:val="22"/>
          <w:szCs w:val="22"/>
        </w:rPr>
        <w:t>)</w:t>
      </w:r>
    </w:p>
    <w:p w14:paraId="5E8ACABB" w14:textId="5B39FC52" w:rsidR="00C17BD4" w:rsidRDefault="00C17BD4" w:rsidP="00993F09">
      <w:pPr>
        <w:pStyle w:val="Default"/>
        <w:rPr>
          <w:b/>
          <w:sz w:val="22"/>
          <w:szCs w:val="22"/>
        </w:rPr>
      </w:pPr>
    </w:p>
    <w:tbl>
      <w:tblPr>
        <w:tblStyle w:val="TableGrid"/>
        <w:tblW w:w="0" w:type="auto"/>
        <w:tblLook w:val="04A0" w:firstRow="1" w:lastRow="0" w:firstColumn="1" w:lastColumn="0" w:noHBand="0" w:noVBand="1"/>
      </w:tblPr>
      <w:tblGrid>
        <w:gridCol w:w="6232"/>
        <w:gridCol w:w="2784"/>
      </w:tblGrid>
      <w:tr w:rsidR="00993F09" w14:paraId="0D6F2218" w14:textId="77777777" w:rsidTr="00602DDE">
        <w:tc>
          <w:tcPr>
            <w:tcW w:w="6232" w:type="dxa"/>
          </w:tcPr>
          <w:p w14:paraId="10B6D26D" w14:textId="77777777" w:rsidR="00993F09" w:rsidRPr="001A7788" w:rsidRDefault="00993F09" w:rsidP="00602DDE">
            <w:pPr>
              <w:tabs>
                <w:tab w:val="left" w:pos="426"/>
              </w:tabs>
              <w:rPr>
                <w:rFonts w:ascii="Times New Roman" w:eastAsia="MS PGothic" w:hAnsi="Times New Roman" w:cs="Times New Roman"/>
                <w:b/>
                <w:iCs/>
                <w:color w:val="000000"/>
              </w:rPr>
            </w:pPr>
            <w:r w:rsidRPr="001A7788">
              <w:rPr>
                <w:rFonts w:ascii="Times New Roman" w:eastAsia="MS PGothic" w:hAnsi="Times New Roman" w:cs="Times New Roman"/>
                <w:b/>
                <w:iCs/>
                <w:color w:val="000000"/>
              </w:rPr>
              <w:t>Cost description</w:t>
            </w:r>
          </w:p>
        </w:tc>
        <w:tc>
          <w:tcPr>
            <w:tcW w:w="2784" w:type="dxa"/>
          </w:tcPr>
          <w:p w14:paraId="50B36679" w14:textId="77777777" w:rsidR="00993F09" w:rsidRPr="001A7788" w:rsidRDefault="00993F09" w:rsidP="00602DDE">
            <w:pPr>
              <w:tabs>
                <w:tab w:val="left" w:pos="426"/>
              </w:tabs>
              <w:rPr>
                <w:rFonts w:ascii="Times New Roman" w:eastAsia="MS PGothic" w:hAnsi="Times New Roman" w:cs="Times New Roman"/>
                <w:b/>
                <w:iCs/>
                <w:color w:val="000000"/>
              </w:rPr>
            </w:pPr>
            <w:r w:rsidRPr="001A7788">
              <w:rPr>
                <w:rFonts w:ascii="Times New Roman" w:eastAsia="MS PGothic" w:hAnsi="Times New Roman" w:cs="Times New Roman"/>
                <w:b/>
                <w:iCs/>
                <w:color w:val="000000"/>
              </w:rPr>
              <w:t>Cost</w:t>
            </w:r>
          </w:p>
        </w:tc>
      </w:tr>
      <w:tr w:rsidR="00993F09" w14:paraId="2DFAC7DC" w14:textId="77777777" w:rsidTr="00602DDE">
        <w:tc>
          <w:tcPr>
            <w:tcW w:w="6232" w:type="dxa"/>
          </w:tcPr>
          <w:p w14:paraId="7B7BB6D3" w14:textId="77777777" w:rsidR="00993F09" w:rsidRPr="007F5686" w:rsidRDefault="00993F09" w:rsidP="00602DDE">
            <w:pPr>
              <w:tabs>
                <w:tab w:val="left" w:pos="426"/>
              </w:tabs>
              <w:rPr>
                <w:rFonts w:ascii="Times New Roman" w:eastAsia="MS PGothic" w:hAnsi="Times New Roman" w:cs="Times New Roman"/>
                <w:iCs/>
                <w:color w:val="000000"/>
              </w:rPr>
            </w:pPr>
            <w:r w:rsidRPr="007F5686">
              <w:rPr>
                <w:rFonts w:ascii="Times New Roman" w:eastAsia="MS PGothic" w:hAnsi="Times New Roman" w:cs="Times New Roman"/>
                <w:iCs/>
                <w:color w:val="000000"/>
              </w:rPr>
              <w:t>Upfront cost for a single entity (Year 1)</w:t>
            </w:r>
          </w:p>
        </w:tc>
        <w:tc>
          <w:tcPr>
            <w:tcW w:w="2784" w:type="dxa"/>
          </w:tcPr>
          <w:p w14:paraId="5421C120" w14:textId="4D685957" w:rsidR="00993F09" w:rsidRPr="007F5686" w:rsidRDefault="00993F09">
            <w:pPr>
              <w:tabs>
                <w:tab w:val="left" w:pos="426"/>
              </w:tabs>
              <w:rPr>
                <w:rFonts w:ascii="Times New Roman" w:eastAsia="MS PGothic" w:hAnsi="Times New Roman" w:cs="Times New Roman"/>
                <w:iCs/>
                <w:color w:val="000000"/>
              </w:rPr>
            </w:pPr>
            <w:r w:rsidRPr="007F5686">
              <w:rPr>
                <w:rFonts w:ascii="Times New Roman" w:eastAsia="MS PGothic" w:hAnsi="Times New Roman" w:cs="Times New Roman"/>
                <w:iCs/>
                <w:color w:val="000000"/>
              </w:rPr>
              <w:t>$</w:t>
            </w:r>
            <w:r w:rsidR="001F6849" w:rsidRPr="00EE0D81">
              <w:rPr>
                <w:rFonts w:ascii="Times New Roman" w:eastAsia="MS PGothic" w:hAnsi="Times New Roman" w:cs="Times New Roman"/>
                <w:iCs/>
                <w:color w:val="000000"/>
              </w:rPr>
              <w:t>4,041.80</w:t>
            </w:r>
          </w:p>
        </w:tc>
      </w:tr>
      <w:tr w:rsidR="00993F09" w14:paraId="6D8B8E85" w14:textId="77777777" w:rsidTr="00602DDE">
        <w:tc>
          <w:tcPr>
            <w:tcW w:w="6232" w:type="dxa"/>
          </w:tcPr>
          <w:p w14:paraId="08D21798" w14:textId="77777777" w:rsidR="00993F09" w:rsidRPr="007F5686" w:rsidRDefault="00993F09" w:rsidP="00602DDE">
            <w:pPr>
              <w:tabs>
                <w:tab w:val="left" w:pos="426"/>
              </w:tabs>
              <w:rPr>
                <w:rFonts w:ascii="Times New Roman" w:eastAsia="MS PGothic" w:hAnsi="Times New Roman" w:cs="Times New Roman"/>
                <w:iCs/>
                <w:color w:val="000000"/>
              </w:rPr>
            </w:pPr>
            <w:r w:rsidRPr="007F5686">
              <w:rPr>
                <w:rFonts w:ascii="Times New Roman" w:eastAsia="MS PGothic" w:hAnsi="Times New Roman" w:cs="Times New Roman"/>
                <w:iCs/>
                <w:color w:val="000000"/>
              </w:rPr>
              <w:t>Annual administrative cost for a single entity</w:t>
            </w:r>
          </w:p>
        </w:tc>
        <w:tc>
          <w:tcPr>
            <w:tcW w:w="2784" w:type="dxa"/>
          </w:tcPr>
          <w:p w14:paraId="7EDFDF6F" w14:textId="77777777" w:rsidR="00993F09" w:rsidRPr="007F5686" w:rsidRDefault="00993F09" w:rsidP="00602DDE">
            <w:pPr>
              <w:tabs>
                <w:tab w:val="left" w:pos="426"/>
              </w:tabs>
              <w:rPr>
                <w:rFonts w:ascii="Times New Roman" w:eastAsia="MS PGothic" w:hAnsi="Times New Roman" w:cs="Times New Roman"/>
                <w:iCs/>
                <w:color w:val="000000"/>
              </w:rPr>
            </w:pPr>
            <w:r w:rsidRPr="007F5686">
              <w:rPr>
                <w:rFonts w:ascii="Times New Roman" w:eastAsia="MS PGothic" w:hAnsi="Times New Roman" w:cs="Times New Roman"/>
                <w:iCs/>
                <w:color w:val="000000"/>
              </w:rPr>
              <w:t>$259.59</w:t>
            </w:r>
          </w:p>
        </w:tc>
      </w:tr>
      <w:tr w:rsidR="00993F09" w14:paraId="60FCA0DB" w14:textId="77777777" w:rsidTr="00602DDE">
        <w:tc>
          <w:tcPr>
            <w:tcW w:w="6232" w:type="dxa"/>
          </w:tcPr>
          <w:p w14:paraId="1DE7856C" w14:textId="77777777" w:rsidR="00993F09" w:rsidRPr="007F5686" w:rsidRDefault="00993F09" w:rsidP="00602DDE">
            <w:pPr>
              <w:tabs>
                <w:tab w:val="left" w:pos="426"/>
              </w:tabs>
              <w:rPr>
                <w:rFonts w:ascii="Times New Roman" w:eastAsia="MS PGothic" w:hAnsi="Times New Roman" w:cs="Times New Roman"/>
                <w:iCs/>
                <w:color w:val="000000"/>
              </w:rPr>
            </w:pPr>
            <w:r w:rsidRPr="007F5686">
              <w:rPr>
                <w:rFonts w:ascii="Times New Roman" w:eastAsia="MS PGothic" w:hAnsi="Times New Roman" w:cs="Times New Roman"/>
                <w:iCs/>
                <w:color w:val="000000"/>
              </w:rPr>
              <w:t>10 year cost for a single entity</w:t>
            </w:r>
          </w:p>
        </w:tc>
        <w:tc>
          <w:tcPr>
            <w:tcW w:w="2784" w:type="dxa"/>
          </w:tcPr>
          <w:p w14:paraId="55F63283" w14:textId="394CBEA5" w:rsidR="00993F09" w:rsidRPr="007F5686" w:rsidRDefault="00993F09">
            <w:pPr>
              <w:tabs>
                <w:tab w:val="left" w:pos="426"/>
              </w:tabs>
              <w:rPr>
                <w:rFonts w:ascii="Times New Roman" w:eastAsia="MS PGothic" w:hAnsi="Times New Roman" w:cs="Times New Roman"/>
                <w:iCs/>
                <w:color w:val="000000"/>
              </w:rPr>
            </w:pPr>
            <w:r w:rsidRPr="007F5686">
              <w:rPr>
                <w:rFonts w:ascii="Times New Roman" w:eastAsia="MS PGothic" w:hAnsi="Times New Roman" w:cs="Times New Roman"/>
                <w:iCs/>
                <w:color w:val="000000"/>
              </w:rPr>
              <w:t>$</w:t>
            </w:r>
            <w:r w:rsidR="001F6849" w:rsidRPr="00EE0D81">
              <w:rPr>
                <w:rFonts w:ascii="Times New Roman" w:eastAsia="MS PGothic" w:hAnsi="Times New Roman" w:cs="Times New Roman"/>
                <w:iCs/>
                <w:color w:val="000000"/>
              </w:rPr>
              <w:t>6,378.10</w:t>
            </w:r>
          </w:p>
        </w:tc>
      </w:tr>
      <w:tr w:rsidR="00993F09" w14:paraId="54D54A61" w14:textId="77777777" w:rsidTr="00602DDE">
        <w:tc>
          <w:tcPr>
            <w:tcW w:w="6232" w:type="dxa"/>
          </w:tcPr>
          <w:p w14:paraId="56B3E685" w14:textId="77777777" w:rsidR="00993F09" w:rsidRPr="007F5686" w:rsidRDefault="00993F09" w:rsidP="00602DDE">
            <w:pPr>
              <w:tabs>
                <w:tab w:val="left" w:pos="426"/>
              </w:tabs>
              <w:rPr>
                <w:rFonts w:ascii="Times New Roman" w:eastAsia="MS PGothic" w:hAnsi="Times New Roman" w:cs="Times New Roman"/>
                <w:iCs/>
                <w:color w:val="000000"/>
              </w:rPr>
            </w:pPr>
            <w:r w:rsidRPr="007F5686">
              <w:rPr>
                <w:rFonts w:ascii="Times New Roman" w:eastAsia="MS PGothic" w:hAnsi="Times New Roman" w:cs="Times New Roman"/>
                <w:iCs/>
                <w:color w:val="000000"/>
              </w:rPr>
              <w:t>Aggregated cost for all Critical Infrastructure assets (over 10 years)</w:t>
            </w:r>
          </w:p>
        </w:tc>
        <w:tc>
          <w:tcPr>
            <w:tcW w:w="2784" w:type="dxa"/>
          </w:tcPr>
          <w:p w14:paraId="4E9F6AE9" w14:textId="735E0829" w:rsidR="00993F09" w:rsidRPr="007F5686" w:rsidRDefault="00993F09">
            <w:pPr>
              <w:tabs>
                <w:tab w:val="left" w:pos="426"/>
              </w:tabs>
              <w:rPr>
                <w:rFonts w:ascii="Times New Roman" w:eastAsia="MS PGothic" w:hAnsi="Times New Roman" w:cs="Times New Roman"/>
                <w:iCs/>
                <w:color w:val="000000"/>
              </w:rPr>
            </w:pPr>
            <w:r w:rsidRPr="007F5686">
              <w:rPr>
                <w:rFonts w:ascii="Times New Roman" w:eastAsia="MS PGothic" w:hAnsi="Times New Roman" w:cs="Times New Roman"/>
                <w:iCs/>
                <w:color w:val="000000"/>
              </w:rPr>
              <w:t>$</w:t>
            </w:r>
            <w:r w:rsidR="001F6849" w:rsidRPr="00EE0D81">
              <w:rPr>
                <w:rFonts w:ascii="Times New Roman" w:eastAsia="MS PGothic" w:hAnsi="Times New Roman" w:cs="Times New Roman"/>
                <w:iCs/>
                <w:color w:val="000000"/>
              </w:rPr>
              <w:t>9,567,135.97</w:t>
            </w:r>
          </w:p>
        </w:tc>
      </w:tr>
    </w:tbl>
    <w:p w14:paraId="510B123F" w14:textId="77777777" w:rsidR="002B0BEA" w:rsidRDefault="002B0BEA" w:rsidP="002B0BEA">
      <w:pPr>
        <w:tabs>
          <w:tab w:val="left" w:pos="426"/>
        </w:tabs>
        <w:spacing w:after="0" w:line="240" w:lineRule="auto"/>
        <w:rPr>
          <w:rFonts w:ascii="Times New Roman" w:eastAsia="MS PGothic" w:hAnsi="Times New Roman" w:cs="Times New Roman"/>
          <w:iCs/>
          <w:color w:val="000000"/>
          <w:sz w:val="18"/>
        </w:rPr>
      </w:pPr>
      <w:r w:rsidRPr="00731F71">
        <w:rPr>
          <w:rFonts w:ascii="Times New Roman" w:eastAsia="MS PGothic" w:hAnsi="Times New Roman" w:cs="Times New Roman"/>
          <w:iCs/>
          <w:color w:val="000000"/>
          <w:sz w:val="18"/>
        </w:rPr>
        <w:t>*Maximum cost assuming the obligation is applied to all assets</w:t>
      </w:r>
    </w:p>
    <w:p w14:paraId="18645741" w14:textId="77777777" w:rsidR="002B0BEA" w:rsidRDefault="002B0BEA" w:rsidP="00993F09">
      <w:pPr>
        <w:tabs>
          <w:tab w:val="left" w:pos="426"/>
        </w:tabs>
        <w:spacing w:after="0" w:line="240" w:lineRule="auto"/>
        <w:rPr>
          <w:rFonts w:ascii="Times New Roman" w:eastAsia="MS PGothic" w:hAnsi="Times New Roman" w:cs="Times New Roman"/>
          <w:iCs/>
          <w:color w:val="000000"/>
        </w:rPr>
      </w:pPr>
    </w:p>
    <w:p w14:paraId="4F23F28C" w14:textId="77777777" w:rsidR="00993F09" w:rsidRDefault="00993F09" w:rsidP="00993F09">
      <w:pPr>
        <w:tabs>
          <w:tab w:val="left" w:pos="426"/>
        </w:tabs>
        <w:spacing w:after="0" w:line="240" w:lineRule="auto"/>
        <w:rPr>
          <w:rFonts w:ascii="Times New Roman" w:eastAsia="MS PGothic" w:hAnsi="Times New Roman" w:cs="Times New Roman"/>
          <w:i/>
          <w:iCs/>
          <w:color w:val="000000"/>
        </w:rPr>
      </w:pPr>
      <w:r w:rsidRPr="000266F5">
        <w:rPr>
          <w:rFonts w:ascii="Times New Roman" w:eastAsia="MS PGothic" w:hAnsi="Times New Roman" w:cs="Times New Roman"/>
          <w:i/>
          <w:iCs/>
          <w:color w:val="000000"/>
        </w:rPr>
        <w:t>Costing assumptions</w:t>
      </w:r>
    </w:p>
    <w:p w14:paraId="311CC691" w14:textId="6EB67798" w:rsidR="00993F09" w:rsidRDefault="00993F09" w:rsidP="00B369B5">
      <w:pPr>
        <w:pStyle w:val="ListParagraph"/>
        <w:numPr>
          <w:ilvl w:val="0"/>
          <w:numId w:val="13"/>
        </w:numPr>
        <w:tabs>
          <w:tab w:val="left" w:pos="426"/>
        </w:tabs>
        <w:spacing w:after="0" w:line="240" w:lineRule="auto"/>
        <w:rPr>
          <w:rFonts w:ascii="Times New Roman" w:eastAsia="MS PGothic" w:hAnsi="Times New Roman" w:cs="Times New Roman"/>
          <w:iCs/>
          <w:color w:val="000000"/>
        </w:rPr>
      </w:pPr>
      <w:r>
        <w:rPr>
          <w:rFonts w:ascii="Times New Roman" w:eastAsia="MS PGothic" w:hAnsi="Times New Roman" w:cs="Times New Roman"/>
          <w:iCs/>
          <w:color w:val="000000"/>
        </w:rPr>
        <w:t xml:space="preserve">Each </w:t>
      </w:r>
      <w:r w:rsidRPr="00B1725B">
        <w:rPr>
          <w:rFonts w:ascii="Times New Roman" w:eastAsia="MS PGothic" w:hAnsi="Times New Roman" w:cs="Times New Roman"/>
          <w:i/>
          <w:iCs/>
          <w:color w:val="000000"/>
        </w:rPr>
        <w:t>critical infrastructure asset</w:t>
      </w:r>
      <w:r>
        <w:rPr>
          <w:rFonts w:ascii="Times New Roman" w:eastAsia="MS PGothic" w:hAnsi="Times New Roman" w:cs="Times New Roman"/>
          <w:iCs/>
          <w:color w:val="000000"/>
        </w:rPr>
        <w:t xml:space="preserve"> spends </w:t>
      </w:r>
      <w:r w:rsidR="006002EC">
        <w:rPr>
          <w:rFonts w:ascii="Times New Roman" w:eastAsia="MS PGothic" w:hAnsi="Times New Roman" w:cs="Times New Roman"/>
          <w:iCs/>
          <w:color w:val="000000"/>
        </w:rPr>
        <w:t>55</w:t>
      </w:r>
      <w:r>
        <w:rPr>
          <w:rFonts w:ascii="Times New Roman" w:eastAsia="MS PGothic" w:hAnsi="Times New Roman" w:cs="Times New Roman"/>
          <w:iCs/>
          <w:color w:val="000000"/>
        </w:rPr>
        <w:t xml:space="preserve"> hours providing the</w:t>
      </w:r>
      <w:r w:rsidR="006002EC">
        <w:rPr>
          <w:rFonts w:ascii="Times New Roman" w:eastAsia="MS PGothic" w:hAnsi="Times New Roman" w:cs="Times New Roman"/>
          <w:iCs/>
          <w:color w:val="000000"/>
        </w:rPr>
        <w:t xml:space="preserve"> operational,</w:t>
      </w:r>
      <w:r>
        <w:rPr>
          <w:rFonts w:ascii="Times New Roman" w:eastAsia="MS PGothic" w:hAnsi="Times New Roman" w:cs="Times New Roman"/>
          <w:iCs/>
          <w:color w:val="000000"/>
        </w:rPr>
        <w:t xml:space="preserve"> initial interest and control information </w:t>
      </w:r>
      <w:r w:rsidRPr="00C16093">
        <w:rPr>
          <w:rFonts w:ascii="Times New Roman" w:eastAsia="MS PGothic" w:hAnsi="Times New Roman" w:cs="Times New Roman"/>
          <w:iCs/>
          <w:color w:val="000000"/>
        </w:rPr>
        <w:t xml:space="preserve">and then </w:t>
      </w:r>
      <w:r>
        <w:rPr>
          <w:rFonts w:ascii="Times New Roman" w:eastAsia="MS PGothic" w:hAnsi="Times New Roman" w:cs="Times New Roman"/>
          <w:iCs/>
          <w:color w:val="000000"/>
        </w:rPr>
        <w:t>3.6</w:t>
      </w:r>
      <w:r w:rsidRPr="00C16093">
        <w:rPr>
          <w:rFonts w:ascii="Times New Roman" w:eastAsia="MS PGothic" w:hAnsi="Times New Roman" w:cs="Times New Roman"/>
          <w:iCs/>
          <w:color w:val="000000"/>
        </w:rPr>
        <w:t xml:space="preserve"> hours on average</w:t>
      </w:r>
      <w:r>
        <w:rPr>
          <w:rFonts w:ascii="Times New Roman" w:eastAsia="MS PGothic" w:hAnsi="Times New Roman" w:cs="Times New Roman"/>
          <w:iCs/>
          <w:color w:val="000000"/>
        </w:rPr>
        <w:t xml:space="preserve"> updating interest and control information annually. </w:t>
      </w:r>
    </w:p>
    <w:p w14:paraId="37FA7D1F" w14:textId="77777777" w:rsidR="00993F09" w:rsidRPr="00355D34" w:rsidRDefault="00993F09" w:rsidP="00B369B5">
      <w:pPr>
        <w:pStyle w:val="ListParagraph"/>
        <w:numPr>
          <w:ilvl w:val="0"/>
          <w:numId w:val="13"/>
        </w:numPr>
        <w:tabs>
          <w:tab w:val="left" w:pos="426"/>
        </w:tabs>
        <w:spacing w:after="0" w:line="240" w:lineRule="auto"/>
        <w:rPr>
          <w:rFonts w:ascii="Times New Roman" w:eastAsia="MS PGothic" w:hAnsi="Times New Roman" w:cs="Times New Roman"/>
          <w:iCs/>
          <w:color w:val="000000"/>
        </w:rPr>
      </w:pPr>
      <w:r w:rsidRPr="00355D34">
        <w:rPr>
          <w:rFonts w:ascii="Times New Roman" w:eastAsia="MS PGothic" w:hAnsi="Times New Roman" w:cs="Times New Roman"/>
          <w:iCs/>
          <w:color w:val="000000"/>
        </w:rPr>
        <w:t>The average period that a direct interest holder holds its interest in an asset is 4.3 years</w:t>
      </w:r>
      <w:r>
        <w:rPr>
          <w:rFonts w:ascii="Times New Roman" w:eastAsia="MS PGothic" w:hAnsi="Times New Roman" w:cs="Times New Roman"/>
          <w:iCs/>
          <w:color w:val="000000"/>
        </w:rPr>
        <w:t>.</w:t>
      </w:r>
      <w:r>
        <w:rPr>
          <w:rStyle w:val="FootnoteReference"/>
          <w:rFonts w:ascii="Times New Roman" w:eastAsia="MS PGothic" w:hAnsi="Times New Roman" w:cs="Times New Roman"/>
          <w:iCs/>
          <w:color w:val="000000"/>
        </w:rPr>
        <w:footnoteReference w:id="15"/>
      </w:r>
      <w:r w:rsidRPr="00355D34">
        <w:rPr>
          <w:rFonts w:ascii="Times New Roman" w:eastAsia="MS PGothic" w:hAnsi="Times New Roman" w:cs="Times New Roman"/>
          <w:iCs/>
          <w:color w:val="000000"/>
        </w:rPr>
        <w:t xml:space="preserve"> Therefore, in the ten-year costing timeframe, reporting a change in a</w:t>
      </w:r>
      <w:r>
        <w:rPr>
          <w:rFonts w:ascii="Times New Roman" w:eastAsia="MS PGothic" w:hAnsi="Times New Roman" w:cs="Times New Roman"/>
          <w:iCs/>
          <w:color w:val="000000"/>
        </w:rPr>
        <w:t xml:space="preserve"> </w:t>
      </w:r>
      <w:r w:rsidRPr="00355D34">
        <w:rPr>
          <w:rFonts w:ascii="Times New Roman" w:eastAsia="MS PGothic" w:hAnsi="Times New Roman" w:cs="Times New Roman"/>
          <w:iCs/>
          <w:color w:val="000000"/>
        </w:rPr>
        <w:t>direct interest holder is assumed to happen 2.3 times.</w:t>
      </w:r>
    </w:p>
    <w:p w14:paraId="1F9EDCF0" w14:textId="77777777" w:rsidR="00993F09" w:rsidRDefault="00993F09" w:rsidP="00B369B5">
      <w:pPr>
        <w:pStyle w:val="ListParagraph"/>
        <w:numPr>
          <w:ilvl w:val="0"/>
          <w:numId w:val="13"/>
        </w:numPr>
        <w:tabs>
          <w:tab w:val="left" w:pos="426"/>
        </w:tabs>
        <w:spacing w:after="0" w:line="240" w:lineRule="auto"/>
        <w:rPr>
          <w:rFonts w:ascii="Times New Roman" w:eastAsia="MS PGothic" w:hAnsi="Times New Roman" w:cs="Times New Roman"/>
          <w:iCs/>
          <w:color w:val="000000"/>
        </w:rPr>
      </w:pPr>
      <w:r w:rsidRPr="00355D34">
        <w:rPr>
          <w:rFonts w:ascii="Times New Roman" w:eastAsia="MS PGothic" w:hAnsi="Times New Roman" w:cs="Times New Roman"/>
          <w:iCs/>
          <w:color w:val="000000"/>
        </w:rPr>
        <w:t>The average period in which an ‘other entity’ holds an interest in a direct interest holder is 2.5 years.</w:t>
      </w:r>
      <w:r>
        <w:rPr>
          <w:rStyle w:val="FootnoteReference"/>
          <w:rFonts w:ascii="Times New Roman" w:eastAsia="MS PGothic" w:hAnsi="Times New Roman" w:cs="Times New Roman"/>
          <w:iCs/>
          <w:color w:val="000000"/>
        </w:rPr>
        <w:footnoteReference w:id="16"/>
      </w:r>
      <w:r w:rsidRPr="00355D34">
        <w:rPr>
          <w:rFonts w:ascii="Times New Roman" w:eastAsia="MS PGothic" w:hAnsi="Times New Roman" w:cs="Times New Roman"/>
          <w:iCs/>
          <w:color w:val="000000"/>
        </w:rPr>
        <w:t xml:space="preserve"> Therefore, in the 10 year costing timeframe, reporting a change in details of an ‘other entity’ is assumed to happen four</w:t>
      </w:r>
      <w:r>
        <w:rPr>
          <w:rFonts w:ascii="Times New Roman" w:eastAsia="MS PGothic" w:hAnsi="Times New Roman" w:cs="Times New Roman"/>
          <w:iCs/>
          <w:color w:val="000000"/>
        </w:rPr>
        <w:t xml:space="preserve"> </w:t>
      </w:r>
      <w:r w:rsidRPr="00355D34">
        <w:rPr>
          <w:rFonts w:ascii="Times New Roman" w:eastAsia="MS PGothic" w:hAnsi="Times New Roman" w:cs="Times New Roman"/>
          <w:iCs/>
          <w:color w:val="000000"/>
        </w:rPr>
        <w:t>times.</w:t>
      </w:r>
    </w:p>
    <w:p w14:paraId="2C8EB263" w14:textId="77777777" w:rsidR="00993F09" w:rsidRDefault="00993F09" w:rsidP="00B369B5">
      <w:pPr>
        <w:pStyle w:val="ListParagraph"/>
        <w:numPr>
          <w:ilvl w:val="0"/>
          <w:numId w:val="13"/>
        </w:numPr>
        <w:tabs>
          <w:tab w:val="left" w:pos="426"/>
        </w:tabs>
        <w:spacing w:after="0" w:line="240" w:lineRule="auto"/>
        <w:rPr>
          <w:rFonts w:ascii="Times New Roman" w:eastAsia="MS PGothic" w:hAnsi="Times New Roman" w:cs="Times New Roman"/>
          <w:iCs/>
          <w:color w:val="000000"/>
        </w:rPr>
      </w:pPr>
      <w:r>
        <w:rPr>
          <w:rFonts w:ascii="Times New Roman" w:eastAsia="MS PGothic" w:hAnsi="Times New Roman" w:cs="Times New Roman"/>
          <w:iCs/>
          <w:color w:val="000000"/>
        </w:rPr>
        <w:t xml:space="preserve">Hourly rate is $73.05 as per OBPR guidance. It is assumed that there will be no legal expertise required to complete the register on the online portal and guidance provided by the CIC will assist entities in understanding their obligations. </w:t>
      </w:r>
    </w:p>
    <w:p w14:paraId="795E5993" w14:textId="77777777" w:rsidR="00993F09" w:rsidRPr="001A7788" w:rsidRDefault="00993F09" w:rsidP="00B369B5">
      <w:pPr>
        <w:pStyle w:val="ListParagraph"/>
        <w:numPr>
          <w:ilvl w:val="0"/>
          <w:numId w:val="13"/>
        </w:numPr>
        <w:tabs>
          <w:tab w:val="left" w:pos="426"/>
        </w:tabs>
        <w:spacing w:after="0" w:line="240" w:lineRule="auto"/>
        <w:rPr>
          <w:rFonts w:ascii="Times New Roman" w:eastAsia="MS PGothic" w:hAnsi="Times New Roman" w:cs="Times New Roman"/>
          <w:iCs/>
          <w:color w:val="000000"/>
        </w:rPr>
      </w:pPr>
      <w:r w:rsidRPr="00355D34">
        <w:rPr>
          <w:rFonts w:ascii="Times New Roman" w:eastAsia="MS PGothic" w:hAnsi="Times New Roman" w:cs="Times New Roman"/>
          <w:iCs/>
          <w:color w:val="000000"/>
        </w:rPr>
        <w:t>Interest and control information includes direct interest holders’ details, name and citizenship details of board members, ownership thresholds and voting rights for board members, and access rights and privileges to operational</w:t>
      </w:r>
      <w:r>
        <w:rPr>
          <w:rFonts w:ascii="Times New Roman" w:eastAsia="MS PGothic" w:hAnsi="Times New Roman" w:cs="Times New Roman"/>
          <w:iCs/>
          <w:color w:val="000000"/>
        </w:rPr>
        <w:t xml:space="preserve"> </w:t>
      </w:r>
      <w:r w:rsidRPr="00355D34">
        <w:rPr>
          <w:rFonts w:ascii="Times New Roman" w:eastAsia="MS PGothic" w:hAnsi="Times New Roman" w:cs="Times New Roman"/>
          <w:iCs/>
          <w:color w:val="000000"/>
        </w:rPr>
        <w:t>systems and corporate network for board members</w:t>
      </w:r>
      <w:r>
        <w:rPr>
          <w:rFonts w:ascii="Times New Roman" w:eastAsia="MS PGothic" w:hAnsi="Times New Roman" w:cs="Times New Roman"/>
          <w:iCs/>
          <w:color w:val="000000"/>
        </w:rPr>
        <w:t>.</w:t>
      </w:r>
    </w:p>
    <w:p w14:paraId="339F65E6" w14:textId="77777777" w:rsidR="00993F09" w:rsidRPr="00EE0D81" w:rsidRDefault="00993F09" w:rsidP="00993F09">
      <w:pPr>
        <w:tabs>
          <w:tab w:val="left" w:pos="426"/>
        </w:tabs>
        <w:spacing w:after="0" w:line="240" w:lineRule="auto"/>
        <w:rPr>
          <w:rFonts w:ascii="Times New Roman" w:hAnsi="Times New Roman"/>
          <w:i/>
          <w:color w:val="000000"/>
        </w:rPr>
      </w:pPr>
    </w:p>
    <w:p w14:paraId="0514E806" w14:textId="1864B42A" w:rsidR="00993F09" w:rsidRPr="000266F5" w:rsidRDefault="00993F09" w:rsidP="00993F09">
      <w:pPr>
        <w:tabs>
          <w:tab w:val="left" w:pos="426"/>
        </w:tabs>
        <w:spacing w:after="0" w:line="240" w:lineRule="auto"/>
        <w:rPr>
          <w:rFonts w:ascii="Times New Roman" w:eastAsia="MS PGothic" w:hAnsi="Times New Roman" w:cs="Times New Roman"/>
          <w:iCs/>
          <w:color w:val="000000"/>
        </w:rPr>
      </w:pPr>
      <w:r w:rsidRPr="000266F5">
        <w:rPr>
          <w:rFonts w:ascii="Times New Roman" w:eastAsia="MS PGothic" w:hAnsi="Times New Roman" w:cs="Times New Roman"/>
          <w:iCs/>
          <w:color w:val="000000"/>
        </w:rPr>
        <w:t xml:space="preserve">The </w:t>
      </w:r>
      <w:r>
        <w:rPr>
          <w:rFonts w:ascii="Times New Roman" w:eastAsia="MS PGothic" w:hAnsi="Times New Roman" w:cs="Times New Roman"/>
          <w:iCs/>
          <w:color w:val="000000"/>
        </w:rPr>
        <w:t>CIC</w:t>
      </w:r>
      <w:r w:rsidRPr="004C35CB">
        <w:rPr>
          <w:rFonts w:ascii="Times New Roman" w:eastAsia="MS PGothic" w:hAnsi="Times New Roman" w:cs="Times New Roman"/>
          <w:iCs/>
          <w:color w:val="000000"/>
        </w:rPr>
        <w:t xml:space="preserve"> </w:t>
      </w:r>
      <w:r w:rsidR="008E6A18">
        <w:rPr>
          <w:rFonts w:ascii="Times New Roman" w:eastAsia="MS PGothic" w:hAnsi="Times New Roman" w:cs="Times New Roman"/>
          <w:iCs/>
          <w:color w:val="000000"/>
        </w:rPr>
        <w:t xml:space="preserve">has existing guidance that it will update to assist new critical infrastructure assets to understand </w:t>
      </w:r>
      <w:r w:rsidRPr="000266F5">
        <w:rPr>
          <w:rFonts w:ascii="Times New Roman" w:eastAsia="MS PGothic" w:hAnsi="Times New Roman" w:cs="Times New Roman"/>
          <w:iCs/>
          <w:color w:val="000000"/>
        </w:rPr>
        <w:t>their obligation</w:t>
      </w:r>
      <w:r>
        <w:rPr>
          <w:rFonts w:ascii="Times New Roman" w:eastAsia="MS PGothic" w:hAnsi="Times New Roman" w:cs="Times New Roman"/>
          <w:iCs/>
          <w:color w:val="000000"/>
        </w:rPr>
        <w:t>s.</w:t>
      </w:r>
      <w:r w:rsidRPr="000266F5">
        <w:rPr>
          <w:rFonts w:ascii="Times New Roman" w:eastAsia="MS PGothic" w:hAnsi="Times New Roman" w:cs="Times New Roman"/>
          <w:iCs/>
          <w:color w:val="000000"/>
        </w:rPr>
        <w:t xml:space="preserve"> This guidance is expected to be provided to all impacted entities through the TISN and will be published on the </w:t>
      </w:r>
      <w:r>
        <w:rPr>
          <w:rFonts w:ascii="Times New Roman" w:eastAsia="MS PGothic" w:hAnsi="Times New Roman" w:cs="Times New Roman"/>
          <w:iCs/>
          <w:color w:val="000000"/>
        </w:rPr>
        <w:t>CIC</w:t>
      </w:r>
      <w:r w:rsidRPr="000266F5">
        <w:rPr>
          <w:rFonts w:ascii="Times New Roman" w:eastAsia="MS PGothic" w:hAnsi="Times New Roman" w:cs="Times New Roman"/>
          <w:iCs/>
          <w:color w:val="000000"/>
        </w:rPr>
        <w:t xml:space="preserve">’s website. The upfront labour cost is unlikely to vary across different sized organisation as understanding the obligation and reporting will be the same for </w:t>
      </w:r>
      <w:r w:rsidRPr="000266F5">
        <w:rPr>
          <w:rFonts w:ascii="Times New Roman" w:eastAsia="MS PGothic" w:hAnsi="Times New Roman" w:cs="Times New Roman"/>
          <w:iCs/>
          <w:color w:val="000000"/>
        </w:rPr>
        <w:lastRenderedPageBreak/>
        <w:t xml:space="preserve">all business regardless of their size. Furthermore, the size of the entity does not necessarily determine the complexity of the organisational or ownership structure, therefore costings have not been differentiated based on size. </w:t>
      </w:r>
      <w:r w:rsidRPr="000266F5">
        <w:rPr>
          <w:rFonts w:ascii="Times New Roman" w:eastAsia="Arial" w:hAnsi="Times New Roman" w:cs="Times New Roman"/>
        </w:rPr>
        <w:t xml:space="preserve">The costs will decrease if it is found that there are existing adequate reporting obligations that sectors are already subject too. </w:t>
      </w:r>
    </w:p>
    <w:p w14:paraId="0E15DBE4" w14:textId="77777777" w:rsidR="00993F09" w:rsidRPr="000266F5" w:rsidRDefault="00993F09" w:rsidP="00993F09">
      <w:pPr>
        <w:tabs>
          <w:tab w:val="left" w:pos="426"/>
        </w:tabs>
        <w:spacing w:after="0" w:line="240" w:lineRule="auto"/>
        <w:rPr>
          <w:rFonts w:ascii="Times New Roman" w:eastAsia="MS PGothic" w:hAnsi="Times New Roman" w:cs="Times New Roman"/>
          <w:iCs/>
          <w:color w:val="000000"/>
        </w:rPr>
      </w:pPr>
    </w:p>
    <w:p w14:paraId="77A165A8" w14:textId="77777777" w:rsidR="00993F09" w:rsidRPr="000266F5" w:rsidRDefault="00993F09" w:rsidP="00993F09">
      <w:pPr>
        <w:tabs>
          <w:tab w:val="left" w:pos="426"/>
        </w:tabs>
        <w:spacing w:after="0" w:line="240" w:lineRule="auto"/>
        <w:rPr>
          <w:rFonts w:ascii="Times New Roman" w:eastAsia="MS PGothic" w:hAnsi="Times New Roman" w:cs="Times New Roman"/>
          <w:iCs/>
          <w:color w:val="000000"/>
        </w:rPr>
      </w:pPr>
      <w:r w:rsidRPr="000266F5">
        <w:rPr>
          <w:rFonts w:ascii="Times New Roman" w:eastAsia="Arial" w:hAnsi="Times New Roman" w:cs="Times New Roman"/>
        </w:rPr>
        <w:t xml:space="preserve">The Government IT solution for the Register already exists and as such, minimal costs to Government are expected to </w:t>
      </w:r>
      <w:r w:rsidRPr="000266F5">
        <w:rPr>
          <w:rFonts w:ascii="Times New Roman" w:eastAsia="MS PGothic" w:hAnsi="Times New Roman" w:cs="Times New Roman"/>
          <w:iCs/>
          <w:color w:val="000000"/>
        </w:rPr>
        <w:t>result</w:t>
      </w:r>
      <w:r w:rsidRPr="000266F5">
        <w:rPr>
          <w:rFonts w:ascii="Times New Roman" w:eastAsia="Arial" w:hAnsi="Times New Roman" w:cs="Times New Roman"/>
        </w:rPr>
        <w:t xml:space="preserve"> </w:t>
      </w:r>
      <w:r w:rsidRPr="000266F5">
        <w:rPr>
          <w:rFonts w:ascii="Times New Roman" w:eastAsia="MS PGothic" w:hAnsi="Times New Roman" w:cs="Times New Roman"/>
          <w:iCs/>
          <w:color w:val="000000"/>
        </w:rPr>
        <w:t>from</w:t>
      </w:r>
      <w:r w:rsidRPr="000266F5">
        <w:rPr>
          <w:rFonts w:ascii="Times New Roman" w:eastAsia="Arial" w:hAnsi="Times New Roman" w:cs="Times New Roman"/>
        </w:rPr>
        <w:t xml:space="preserve"> the expansion of the register to capture all newly defined </w:t>
      </w:r>
      <w:r w:rsidRPr="00EE0D81">
        <w:rPr>
          <w:rFonts w:ascii="Times New Roman" w:hAnsi="Times New Roman"/>
          <w:i/>
        </w:rPr>
        <w:t>critical infrastructure asset</w:t>
      </w:r>
      <w:r w:rsidRPr="000266F5">
        <w:rPr>
          <w:rFonts w:ascii="Times New Roman" w:eastAsia="Arial" w:hAnsi="Times New Roman" w:cs="Times New Roman"/>
        </w:rPr>
        <w:t xml:space="preserve">s. </w:t>
      </w:r>
    </w:p>
    <w:p w14:paraId="05C5E834" w14:textId="77777777" w:rsidR="00993F09" w:rsidRPr="00EE0D81" w:rsidRDefault="00993F09" w:rsidP="00EE0D81">
      <w:pPr>
        <w:tabs>
          <w:tab w:val="num" w:pos="340"/>
          <w:tab w:val="left" w:pos="426"/>
        </w:tabs>
        <w:spacing w:before="120" w:after="120" w:line="240" w:lineRule="auto"/>
        <w:rPr>
          <w:rFonts w:ascii="Times New Roman" w:hAnsi="Times New Roman"/>
          <w:b/>
        </w:rPr>
      </w:pPr>
      <w:r w:rsidRPr="00EE0D81">
        <w:rPr>
          <w:rFonts w:ascii="Times New Roman" w:hAnsi="Times New Roman"/>
          <w:b/>
        </w:rPr>
        <w:t>Benefits</w:t>
      </w:r>
    </w:p>
    <w:p w14:paraId="1469C445" w14:textId="7777777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The benefit of the Register is that it provides a single comprehensive resource of information on legal and beneficial ownership and control of </w:t>
      </w:r>
      <w:r w:rsidRPr="00EE0D81">
        <w:rPr>
          <w:rFonts w:ascii="Times New Roman" w:hAnsi="Times New Roman"/>
          <w:i/>
        </w:rPr>
        <w:t>critical infrastructure asset</w:t>
      </w:r>
      <w:r w:rsidRPr="000266F5">
        <w:rPr>
          <w:rFonts w:ascii="Times New Roman" w:eastAsia="Arial" w:hAnsi="Times New Roman" w:cs="Times New Roman"/>
        </w:rPr>
        <w:t xml:space="preserve">s. Information from the Register would also be able to be shared with states and territories in prescribed circumstances to assist in their understanding of </w:t>
      </w:r>
      <w:r w:rsidRPr="00EE0D81">
        <w:rPr>
          <w:rFonts w:ascii="Times New Roman" w:hAnsi="Times New Roman"/>
          <w:i/>
        </w:rPr>
        <w:t>critical infrastructure asset</w:t>
      </w:r>
      <w:r w:rsidRPr="000266F5">
        <w:rPr>
          <w:rFonts w:ascii="Times New Roman" w:eastAsia="Arial" w:hAnsi="Times New Roman" w:cs="Times New Roman"/>
        </w:rPr>
        <w:t>s in their jurisdiction.</w:t>
      </w:r>
    </w:p>
    <w:p w14:paraId="389B5971"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3AC31DBE" w14:textId="77777777" w:rsidR="00993F09" w:rsidRPr="000266F5" w:rsidRDefault="00993F09" w:rsidP="00993F09">
      <w:pPr>
        <w:tabs>
          <w:tab w:val="left" w:pos="426"/>
        </w:tabs>
        <w:spacing w:after="0" w:line="240" w:lineRule="auto"/>
        <w:rPr>
          <w:rFonts w:ascii="Times New Roman" w:hAnsi="Times New Roman"/>
        </w:rPr>
      </w:pPr>
      <w:r w:rsidRPr="000266F5">
        <w:rPr>
          <w:rFonts w:ascii="Times New Roman" w:hAnsi="Times New Roman"/>
        </w:rPr>
        <w:t xml:space="preserve">The </w:t>
      </w:r>
      <w:r w:rsidRPr="000266F5">
        <w:rPr>
          <w:rFonts w:ascii="Times New Roman" w:eastAsia="Arial" w:hAnsi="Times New Roman" w:cs="Times New Roman"/>
        </w:rPr>
        <w:t>increased</w:t>
      </w:r>
      <w:r w:rsidRPr="000266F5">
        <w:rPr>
          <w:rFonts w:ascii="Times New Roman" w:hAnsi="Times New Roman"/>
        </w:rPr>
        <w:t xml:space="preserve"> scope of </w:t>
      </w:r>
      <w:r w:rsidRPr="00E311CF">
        <w:rPr>
          <w:rFonts w:ascii="Times New Roman" w:hAnsi="Times New Roman"/>
        </w:rPr>
        <w:t xml:space="preserve">the </w:t>
      </w:r>
      <w:r w:rsidRPr="00EE0D81">
        <w:rPr>
          <w:rFonts w:ascii="Times New Roman" w:hAnsi="Times New Roman"/>
        </w:rPr>
        <w:t>Register</w:t>
      </w:r>
      <w:r w:rsidRPr="00E311CF">
        <w:rPr>
          <w:rFonts w:ascii="Times New Roman" w:hAnsi="Times New Roman"/>
        </w:rPr>
        <w:t xml:space="preserve"> enables the</w:t>
      </w:r>
      <w:r w:rsidRPr="000266F5">
        <w:rPr>
          <w:rFonts w:ascii="Times New Roman" w:hAnsi="Times New Roman"/>
        </w:rPr>
        <w:t xml:space="preserve"> Government to develop and maintain a comprehensive picture of national security</w:t>
      </w:r>
      <w:r w:rsidRPr="000266F5">
        <w:rPr>
          <w:rFonts w:ascii="Times New Roman" w:hAnsi="Times New Roman"/>
          <w:b/>
          <w:i/>
        </w:rPr>
        <w:t xml:space="preserve"> </w:t>
      </w:r>
      <w:r w:rsidRPr="000266F5">
        <w:rPr>
          <w:rFonts w:ascii="Times New Roman" w:hAnsi="Times New Roman"/>
        </w:rPr>
        <w:t>risks, and apply mitigations where necessary. Analysis of the information in the Register will enable the CIC to:</w:t>
      </w:r>
    </w:p>
    <w:p w14:paraId="6A58C5C2" w14:textId="77777777" w:rsidR="00993F09" w:rsidRPr="000266F5" w:rsidRDefault="00993F09" w:rsidP="00993F09">
      <w:pPr>
        <w:pStyle w:val="ListParagraph"/>
        <w:numPr>
          <w:ilvl w:val="0"/>
          <w:numId w:val="9"/>
        </w:numPr>
        <w:spacing w:after="0" w:line="240" w:lineRule="auto"/>
        <w:ind w:left="1335"/>
        <w:rPr>
          <w:rFonts w:ascii="Times New Roman" w:hAnsi="Times New Roman"/>
        </w:rPr>
      </w:pPr>
      <w:r w:rsidRPr="000266F5">
        <w:rPr>
          <w:rFonts w:ascii="Times New Roman" w:hAnsi="Times New Roman"/>
        </w:rPr>
        <w:t xml:space="preserve">assess ultimate ownership of assets and influences by particular individuals or companies,  </w:t>
      </w:r>
    </w:p>
    <w:p w14:paraId="6AA7851B" w14:textId="77777777" w:rsidR="00993F09" w:rsidRPr="000266F5" w:rsidRDefault="00993F09" w:rsidP="00993F09">
      <w:pPr>
        <w:pStyle w:val="ListParagraph"/>
        <w:numPr>
          <w:ilvl w:val="0"/>
          <w:numId w:val="9"/>
        </w:numPr>
        <w:spacing w:before="240" w:after="0" w:line="240" w:lineRule="auto"/>
        <w:ind w:left="1335"/>
        <w:rPr>
          <w:rFonts w:ascii="Times New Roman" w:hAnsi="Times New Roman"/>
        </w:rPr>
      </w:pPr>
      <w:r w:rsidRPr="000266F5">
        <w:rPr>
          <w:rFonts w:ascii="Times New Roman" w:hAnsi="Times New Roman"/>
        </w:rPr>
        <w:t xml:space="preserve">analyse interdependencies among </w:t>
      </w:r>
      <w:r w:rsidRPr="00EE0D81">
        <w:rPr>
          <w:rFonts w:ascii="Times New Roman" w:hAnsi="Times New Roman"/>
          <w:i/>
        </w:rPr>
        <w:t>critical infrastructure asset</w:t>
      </w:r>
      <w:r w:rsidRPr="000266F5">
        <w:rPr>
          <w:rFonts w:ascii="Times New Roman" w:hAnsi="Times New Roman"/>
        </w:rPr>
        <w:t xml:space="preserve">s and sectors, and </w:t>
      </w:r>
    </w:p>
    <w:p w14:paraId="37AA50A6" w14:textId="77777777" w:rsidR="00993F09" w:rsidRDefault="00993F09" w:rsidP="00993F09">
      <w:pPr>
        <w:pStyle w:val="ListParagraph"/>
        <w:numPr>
          <w:ilvl w:val="0"/>
          <w:numId w:val="9"/>
        </w:numPr>
        <w:spacing w:before="240" w:after="0" w:line="240" w:lineRule="auto"/>
        <w:ind w:left="1335"/>
        <w:rPr>
          <w:rFonts w:ascii="Times New Roman" w:hAnsi="Times New Roman"/>
        </w:rPr>
      </w:pPr>
      <w:r w:rsidRPr="000266F5">
        <w:rPr>
          <w:rFonts w:ascii="Times New Roman" w:hAnsi="Times New Roman"/>
        </w:rPr>
        <w:t xml:space="preserve">identify commonalities in services being used by </w:t>
      </w:r>
      <w:r w:rsidRPr="00EE0D81">
        <w:rPr>
          <w:rFonts w:ascii="Times New Roman" w:hAnsi="Times New Roman"/>
          <w:i/>
        </w:rPr>
        <w:t>critical infrastructure asset</w:t>
      </w:r>
      <w:r w:rsidRPr="000266F5">
        <w:rPr>
          <w:rFonts w:ascii="Times New Roman" w:hAnsi="Times New Roman"/>
        </w:rPr>
        <w:t>s, such as shared IT service providers or shared control systems.</w:t>
      </w:r>
    </w:p>
    <w:p w14:paraId="1BE4C31A" w14:textId="77777777" w:rsidR="00993F09" w:rsidRPr="000266F5" w:rsidRDefault="00993F09" w:rsidP="00993F09">
      <w:pPr>
        <w:pStyle w:val="ListParagraph"/>
        <w:spacing w:before="240" w:after="0" w:line="240" w:lineRule="auto"/>
        <w:ind w:left="1335"/>
        <w:rPr>
          <w:rFonts w:ascii="Times New Roman" w:hAnsi="Times New Roman"/>
        </w:rPr>
      </w:pPr>
    </w:p>
    <w:p w14:paraId="321D8B45" w14:textId="77777777" w:rsidR="00993F09" w:rsidRPr="00EE0D81" w:rsidRDefault="00993F09" w:rsidP="00EE0D81">
      <w:pPr>
        <w:pStyle w:val="ListParagraph"/>
        <w:numPr>
          <w:ilvl w:val="0"/>
          <w:numId w:val="14"/>
        </w:numPr>
        <w:tabs>
          <w:tab w:val="left" w:pos="426"/>
        </w:tabs>
        <w:spacing w:after="0" w:line="240" w:lineRule="auto"/>
        <w:rPr>
          <w:rFonts w:ascii="Times New Roman" w:hAnsi="Times New Roman"/>
          <w:i/>
        </w:rPr>
      </w:pPr>
      <w:r w:rsidRPr="00EE0D81">
        <w:rPr>
          <w:rFonts w:ascii="Times New Roman" w:hAnsi="Times New Roman"/>
          <w:b/>
          <w:i/>
        </w:rPr>
        <w:t>Notification of cyber security incidents</w:t>
      </w:r>
    </w:p>
    <w:p w14:paraId="3274B334" w14:textId="77777777" w:rsidR="00993F09" w:rsidRPr="00EE0D81" w:rsidRDefault="00993F09" w:rsidP="00EE0D81">
      <w:pPr>
        <w:tabs>
          <w:tab w:val="num" w:pos="340"/>
          <w:tab w:val="left" w:pos="426"/>
        </w:tabs>
        <w:spacing w:before="120" w:after="120" w:line="240" w:lineRule="auto"/>
        <w:rPr>
          <w:rFonts w:ascii="Times New Roman" w:hAnsi="Times New Roman"/>
          <w:b/>
        </w:rPr>
      </w:pPr>
      <w:r w:rsidRPr="00EE0D81">
        <w:rPr>
          <w:rFonts w:ascii="Times New Roman" w:hAnsi="Times New Roman"/>
          <w:b/>
        </w:rPr>
        <w:t>Costs</w:t>
      </w:r>
    </w:p>
    <w:tbl>
      <w:tblPr>
        <w:tblStyle w:val="TableGrid"/>
        <w:tblW w:w="0" w:type="auto"/>
        <w:tblLook w:val="04A0" w:firstRow="1" w:lastRow="0" w:firstColumn="1" w:lastColumn="0" w:noHBand="0" w:noVBand="1"/>
      </w:tblPr>
      <w:tblGrid>
        <w:gridCol w:w="6799"/>
        <w:gridCol w:w="2217"/>
      </w:tblGrid>
      <w:tr w:rsidR="00993F09" w14:paraId="6937B40D" w14:textId="77777777" w:rsidTr="00602DDE">
        <w:tc>
          <w:tcPr>
            <w:tcW w:w="6799" w:type="dxa"/>
          </w:tcPr>
          <w:p w14:paraId="420BA343" w14:textId="59803FA9" w:rsidR="00993F09" w:rsidRPr="00FD2590" w:rsidRDefault="00993F09" w:rsidP="00602DDE">
            <w:pPr>
              <w:tabs>
                <w:tab w:val="left" w:pos="426"/>
              </w:tabs>
              <w:rPr>
                <w:rFonts w:ascii="Times New Roman" w:eastAsia="MS PGothic" w:hAnsi="Times New Roman" w:cs="Times New Roman"/>
                <w:b/>
                <w:iCs/>
                <w:color w:val="000000"/>
              </w:rPr>
            </w:pPr>
            <w:r w:rsidRPr="00FD2590">
              <w:rPr>
                <w:rFonts w:ascii="Times New Roman" w:eastAsia="MS PGothic" w:hAnsi="Times New Roman" w:cs="Times New Roman"/>
                <w:b/>
                <w:iCs/>
                <w:color w:val="000000"/>
              </w:rPr>
              <w:t>Cost description</w:t>
            </w:r>
          </w:p>
        </w:tc>
        <w:tc>
          <w:tcPr>
            <w:tcW w:w="2217" w:type="dxa"/>
          </w:tcPr>
          <w:p w14:paraId="53832538" w14:textId="77777777" w:rsidR="00993F09" w:rsidRPr="00FD2590" w:rsidRDefault="00993F09" w:rsidP="00602DDE">
            <w:pPr>
              <w:tabs>
                <w:tab w:val="left" w:pos="426"/>
              </w:tabs>
              <w:rPr>
                <w:rFonts w:ascii="Times New Roman" w:eastAsia="MS PGothic" w:hAnsi="Times New Roman" w:cs="Times New Roman"/>
                <w:b/>
                <w:iCs/>
                <w:color w:val="000000"/>
              </w:rPr>
            </w:pPr>
            <w:r w:rsidRPr="00FD2590">
              <w:rPr>
                <w:rFonts w:ascii="Times New Roman" w:eastAsia="MS PGothic" w:hAnsi="Times New Roman" w:cs="Times New Roman"/>
                <w:b/>
                <w:iCs/>
                <w:color w:val="000000"/>
              </w:rPr>
              <w:t>Cost</w:t>
            </w:r>
          </w:p>
        </w:tc>
      </w:tr>
      <w:tr w:rsidR="00993F09" w14:paraId="533DBCB2" w14:textId="77777777" w:rsidTr="00602DDE">
        <w:tc>
          <w:tcPr>
            <w:tcW w:w="6799" w:type="dxa"/>
          </w:tcPr>
          <w:p w14:paraId="19034758" w14:textId="77777777" w:rsidR="00993F09" w:rsidRDefault="00993F09" w:rsidP="00602DDE">
            <w:pPr>
              <w:tabs>
                <w:tab w:val="left" w:pos="426"/>
              </w:tabs>
              <w:rPr>
                <w:rFonts w:ascii="Times New Roman" w:eastAsia="MS PGothic" w:hAnsi="Times New Roman" w:cs="Times New Roman"/>
                <w:iCs/>
                <w:color w:val="000000"/>
              </w:rPr>
            </w:pPr>
            <w:r>
              <w:rPr>
                <w:rFonts w:ascii="Times New Roman" w:eastAsia="MS PGothic" w:hAnsi="Times New Roman" w:cs="Times New Roman"/>
                <w:iCs/>
                <w:color w:val="000000"/>
              </w:rPr>
              <w:t>Upfront cost for a single entity (Year 1)</w:t>
            </w:r>
          </w:p>
        </w:tc>
        <w:tc>
          <w:tcPr>
            <w:tcW w:w="2217" w:type="dxa"/>
          </w:tcPr>
          <w:p w14:paraId="2DD4AEAC" w14:textId="77777777" w:rsidR="00993F09" w:rsidRPr="001A7788" w:rsidRDefault="00993F09" w:rsidP="00602DDE">
            <w:pPr>
              <w:tabs>
                <w:tab w:val="left" w:pos="426"/>
              </w:tabs>
              <w:rPr>
                <w:rFonts w:ascii="Times New Roman" w:eastAsia="MS PGothic" w:hAnsi="Times New Roman" w:cs="Times New Roman"/>
                <w:iCs/>
              </w:rPr>
            </w:pPr>
            <w:r w:rsidRPr="001A7788">
              <w:rPr>
                <w:rFonts w:ascii="Times New Roman" w:eastAsia="MS PGothic" w:hAnsi="Times New Roman" w:cs="Times New Roman"/>
                <w:iCs/>
              </w:rPr>
              <w:t>$237.41</w:t>
            </w:r>
          </w:p>
        </w:tc>
      </w:tr>
      <w:tr w:rsidR="00993F09" w14:paraId="68491DE0" w14:textId="77777777" w:rsidTr="00602DDE">
        <w:tc>
          <w:tcPr>
            <w:tcW w:w="6799" w:type="dxa"/>
          </w:tcPr>
          <w:p w14:paraId="027CEC0F" w14:textId="77777777" w:rsidR="00993F09" w:rsidRDefault="00993F09" w:rsidP="00602DDE">
            <w:pPr>
              <w:tabs>
                <w:tab w:val="left" w:pos="426"/>
              </w:tabs>
              <w:rPr>
                <w:rFonts w:ascii="Times New Roman" w:eastAsia="MS PGothic" w:hAnsi="Times New Roman" w:cs="Times New Roman"/>
                <w:iCs/>
                <w:color w:val="000000"/>
              </w:rPr>
            </w:pPr>
            <w:r>
              <w:rPr>
                <w:rFonts w:ascii="Times New Roman" w:eastAsia="MS PGothic" w:hAnsi="Times New Roman" w:cs="Times New Roman"/>
                <w:iCs/>
                <w:color w:val="000000"/>
              </w:rPr>
              <w:t>Annual administrative cost for a single entity (small)</w:t>
            </w:r>
          </w:p>
        </w:tc>
        <w:tc>
          <w:tcPr>
            <w:tcW w:w="2217" w:type="dxa"/>
          </w:tcPr>
          <w:p w14:paraId="0D78A470" w14:textId="77777777" w:rsidR="00993F09" w:rsidRPr="001A7788" w:rsidRDefault="00993F09" w:rsidP="00602DDE">
            <w:pPr>
              <w:tabs>
                <w:tab w:val="left" w:pos="426"/>
              </w:tabs>
              <w:rPr>
                <w:rFonts w:ascii="Times New Roman" w:eastAsia="MS PGothic" w:hAnsi="Times New Roman" w:cs="Times New Roman"/>
                <w:iCs/>
              </w:rPr>
            </w:pPr>
            <w:r w:rsidRPr="001A7788">
              <w:rPr>
                <w:rFonts w:ascii="Times New Roman" w:eastAsia="MS PGothic" w:hAnsi="Times New Roman" w:cs="Times New Roman"/>
                <w:iCs/>
              </w:rPr>
              <w:t>$219.15</w:t>
            </w:r>
          </w:p>
        </w:tc>
      </w:tr>
      <w:tr w:rsidR="00993F09" w14:paraId="58D7ADF6" w14:textId="77777777" w:rsidTr="00602DDE">
        <w:tc>
          <w:tcPr>
            <w:tcW w:w="6799" w:type="dxa"/>
          </w:tcPr>
          <w:p w14:paraId="580C0C44" w14:textId="77777777" w:rsidR="00993F09" w:rsidRDefault="00993F09" w:rsidP="00602DDE">
            <w:pPr>
              <w:tabs>
                <w:tab w:val="left" w:pos="426"/>
              </w:tabs>
              <w:rPr>
                <w:rFonts w:ascii="Times New Roman" w:eastAsia="MS PGothic" w:hAnsi="Times New Roman" w:cs="Times New Roman"/>
                <w:iCs/>
                <w:color w:val="000000"/>
              </w:rPr>
            </w:pPr>
            <w:r>
              <w:rPr>
                <w:rFonts w:ascii="Times New Roman" w:eastAsia="MS PGothic" w:hAnsi="Times New Roman" w:cs="Times New Roman"/>
                <w:iCs/>
                <w:color w:val="000000"/>
              </w:rPr>
              <w:t>Annual administrative cost for a single entity (medium)</w:t>
            </w:r>
          </w:p>
        </w:tc>
        <w:tc>
          <w:tcPr>
            <w:tcW w:w="2217" w:type="dxa"/>
          </w:tcPr>
          <w:p w14:paraId="613F6A23" w14:textId="77777777" w:rsidR="00993F09" w:rsidRPr="001A7788" w:rsidRDefault="00993F09" w:rsidP="00602DDE">
            <w:pPr>
              <w:tabs>
                <w:tab w:val="left" w:pos="426"/>
              </w:tabs>
              <w:rPr>
                <w:rFonts w:ascii="Times New Roman" w:eastAsia="MS PGothic" w:hAnsi="Times New Roman" w:cs="Times New Roman"/>
                <w:iCs/>
              </w:rPr>
            </w:pPr>
            <w:r>
              <w:rPr>
                <w:rFonts w:ascii="Times New Roman" w:eastAsia="MS PGothic" w:hAnsi="Times New Roman" w:cs="Times New Roman"/>
                <w:iCs/>
              </w:rPr>
              <w:t>$657.45</w:t>
            </w:r>
            <w:r w:rsidRPr="00A265CB">
              <w:rPr>
                <w:rFonts w:ascii="Times New Roman" w:eastAsia="MS PGothic" w:hAnsi="Times New Roman" w:cs="Times New Roman"/>
                <w:iCs/>
              </w:rPr>
              <w:t xml:space="preserve"> </w:t>
            </w:r>
          </w:p>
        </w:tc>
      </w:tr>
      <w:tr w:rsidR="00993F09" w14:paraId="646154E3" w14:textId="77777777" w:rsidTr="00602DDE">
        <w:tc>
          <w:tcPr>
            <w:tcW w:w="6799" w:type="dxa"/>
          </w:tcPr>
          <w:p w14:paraId="653989C3" w14:textId="77777777" w:rsidR="00993F09" w:rsidRDefault="00993F09" w:rsidP="00602DDE">
            <w:pPr>
              <w:tabs>
                <w:tab w:val="left" w:pos="426"/>
              </w:tabs>
              <w:rPr>
                <w:rFonts w:ascii="Times New Roman" w:eastAsia="MS PGothic" w:hAnsi="Times New Roman" w:cs="Times New Roman"/>
                <w:iCs/>
                <w:color w:val="000000"/>
              </w:rPr>
            </w:pPr>
            <w:r>
              <w:rPr>
                <w:rFonts w:ascii="Times New Roman" w:eastAsia="MS PGothic" w:hAnsi="Times New Roman" w:cs="Times New Roman"/>
                <w:iCs/>
                <w:color w:val="000000"/>
              </w:rPr>
              <w:t>Annual administrative cost for a single entity (large)</w:t>
            </w:r>
          </w:p>
        </w:tc>
        <w:tc>
          <w:tcPr>
            <w:tcW w:w="2217" w:type="dxa"/>
          </w:tcPr>
          <w:p w14:paraId="6B66DE0C" w14:textId="77777777" w:rsidR="00993F09" w:rsidRPr="001A7788" w:rsidRDefault="00993F09" w:rsidP="00602DDE">
            <w:pPr>
              <w:tabs>
                <w:tab w:val="left" w:pos="426"/>
              </w:tabs>
              <w:rPr>
                <w:rFonts w:ascii="Times New Roman" w:eastAsia="MS PGothic" w:hAnsi="Times New Roman" w:cs="Times New Roman"/>
                <w:iCs/>
              </w:rPr>
            </w:pPr>
            <w:r w:rsidRPr="00A265CB">
              <w:rPr>
                <w:rFonts w:ascii="Times New Roman" w:eastAsia="MS PGothic" w:hAnsi="Times New Roman" w:cs="Times New Roman"/>
                <w:iCs/>
              </w:rPr>
              <w:t xml:space="preserve">$1,095.75 </w:t>
            </w:r>
          </w:p>
        </w:tc>
      </w:tr>
      <w:tr w:rsidR="00993F09" w14:paraId="6E7F5201" w14:textId="77777777" w:rsidTr="00602DDE">
        <w:tc>
          <w:tcPr>
            <w:tcW w:w="6799" w:type="dxa"/>
          </w:tcPr>
          <w:p w14:paraId="05028347" w14:textId="77777777" w:rsidR="00993F09" w:rsidRDefault="00993F09" w:rsidP="00602DDE">
            <w:pPr>
              <w:tabs>
                <w:tab w:val="left" w:pos="426"/>
              </w:tabs>
              <w:rPr>
                <w:rFonts w:ascii="Times New Roman" w:eastAsia="MS PGothic" w:hAnsi="Times New Roman" w:cs="Times New Roman"/>
                <w:iCs/>
                <w:color w:val="000000"/>
              </w:rPr>
            </w:pPr>
            <w:r>
              <w:rPr>
                <w:rFonts w:ascii="Times New Roman" w:eastAsia="MS PGothic" w:hAnsi="Times New Roman" w:cs="Times New Roman"/>
                <w:iCs/>
                <w:color w:val="000000"/>
              </w:rPr>
              <w:t>10 year cost for a single entity (small)</w:t>
            </w:r>
          </w:p>
        </w:tc>
        <w:tc>
          <w:tcPr>
            <w:tcW w:w="2217" w:type="dxa"/>
            <w:vAlign w:val="bottom"/>
          </w:tcPr>
          <w:p w14:paraId="4C72E31B" w14:textId="77777777" w:rsidR="00993F09" w:rsidRPr="001A7788" w:rsidRDefault="00993F09" w:rsidP="00602DDE">
            <w:pPr>
              <w:tabs>
                <w:tab w:val="left" w:pos="426"/>
              </w:tabs>
              <w:rPr>
                <w:rFonts w:ascii="Times New Roman" w:eastAsia="MS PGothic" w:hAnsi="Times New Roman" w:cs="Times New Roman"/>
                <w:iCs/>
              </w:rPr>
            </w:pPr>
            <w:r w:rsidRPr="00A265CB">
              <w:rPr>
                <w:rFonts w:ascii="Times New Roman" w:eastAsia="MS PGothic" w:hAnsi="Times New Roman" w:cs="Times New Roman"/>
                <w:iCs/>
              </w:rPr>
              <w:t xml:space="preserve">$2,428.91 </w:t>
            </w:r>
          </w:p>
        </w:tc>
      </w:tr>
      <w:tr w:rsidR="00993F09" w14:paraId="4F893E0D" w14:textId="77777777" w:rsidTr="00602DDE">
        <w:tc>
          <w:tcPr>
            <w:tcW w:w="6799" w:type="dxa"/>
          </w:tcPr>
          <w:p w14:paraId="2579F058" w14:textId="77777777" w:rsidR="00993F09" w:rsidRDefault="00993F09" w:rsidP="00602DDE">
            <w:pPr>
              <w:tabs>
                <w:tab w:val="left" w:pos="426"/>
              </w:tabs>
              <w:rPr>
                <w:rFonts w:ascii="Times New Roman" w:eastAsia="MS PGothic" w:hAnsi="Times New Roman" w:cs="Times New Roman"/>
                <w:iCs/>
                <w:color w:val="000000"/>
              </w:rPr>
            </w:pPr>
            <w:r w:rsidRPr="001B7E6A">
              <w:rPr>
                <w:rFonts w:ascii="Times New Roman" w:eastAsia="MS PGothic" w:hAnsi="Times New Roman" w:cs="Times New Roman"/>
                <w:iCs/>
                <w:color w:val="000000"/>
              </w:rPr>
              <w:t>10 year cost for a single entity</w:t>
            </w:r>
            <w:r>
              <w:rPr>
                <w:rFonts w:ascii="Times New Roman" w:eastAsia="MS PGothic" w:hAnsi="Times New Roman" w:cs="Times New Roman"/>
                <w:iCs/>
                <w:color w:val="000000"/>
              </w:rPr>
              <w:t xml:space="preserve"> (medium</w:t>
            </w:r>
            <w:r w:rsidRPr="001B7E6A">
              <w:rPr>
                <w:rFonts w:ascii="Times New Roman" w:eastAsia="MS PGothic" w:hAnsi="Times New Roman" w:cs="Times New Roman"/>
                <w:iCs/>
                <w:color w:val="000000"/>
              </w:rPr>
              <w:t>)</w:t>
            </w:r>
          </w:p>
        </w:tc>
        <w:tc>
          <w:tcPr>
            <w:tcW w:w="2217" w:type="dxa"/>
            <w:vAlign w:val="bottom"/>
          </w:tcPr>
          <w:p w14:paraId="52061CBC" w14:textId="77777777" w:rsidR="00993F09" w:rsidRPr="001A7788" w:rsidRDefault="00993F09" w:rsidP="00602DDE">
            <w:pPr>
              <w:tabs>
                <w:tab w:val="left" w:pos="426"/>
              </w:tabs>
              <w:rPr>
                <w:rFonts w:ascii="Times New Roman" w:eastAsia="MS PGothic" w:hAnsi="Times New Roman" w:cs="Times New Roman"/>
                <w:iCs/>
              </w:rPr>
            </w:pPr>
            <w:r w:rsidRPr="00A265CB">
              <w:rPr>
                <w:rFonts w:ascii="Times New Roman" w:eastAsia="MS PGothic" w:hAnsi="Times New Roman" w:cs="Times New Roman"/>
                <w:iCs/>
              </w:rPr>
              <w:t>$</w:t>
            </w:r>
            <w:r>
              <w:rPr>
                <w:rFonts w:ascii="Times New Roman" w:eastAsia="MS PGothic" w:hAnsi="Times New Roman" w:cs="Times New Roman"/>
                <w:iCs/>
              </w:rPr>
              <w:t>6,811.91</w:t>
            </w:r>
            <w:r w:rsidRPr="00A265CB">
              <w:rPr>
                <w:rFonts w:ascii="Times New Roman" w:eastAsia="MS PGothic" w:hAnsi="Times New Roman" w:cs="Times New Roman"/>
                <w:iCs/>
              </w:rPr>
              <w:t xml:space="preserve"> </w:t>
            </w:r>
          </w:p>
        </w:tc>
      </w:tr>
      <w:tr w:rsidR="00993F09" w14:paraId="16455E87" w14:textId="77777777" w:rsidTr="00602DDE">
        <w:tc>
          <w:tcPr>
            <w:tcW w:w="6799" w:type="dxa"/>
          </w:tcPr>
          <w:p w14:paraId="5F1E45D3" w14:textId="77777777" w:rsidR="00993F09" w:rsidRDefault="00993F09" w:rsidP="00602DDE">
            <w:pPr>
              <w:tabs>
                <w:tab w:val="left" w:pos="426"/>
              </w:tabs>
              <w:rPr>
                <w:rFonts w:ascii="Times New Roman" w:eastAsia="MS PGothic" w:hAnsi="Times New Roman" w:cs="Times New Roman"/>
                <w:iCs/>
                <w:color w:val="000000"/>
              </w:rPr>
            </w:pPr>
            <w:r w:rsidRPr="001B7E6A">
              <w:rPr>
                <w:rFonts w:ascii="Times New Roman" w:eastAsia="MS PGothic" w:hAnsi="Times New Roman" w:cs="Times New Roman"/>
                <w:iCs/>
                <w:color w:val="000000"/>
              </w:rPr>
              <w:t>10 year cost for a single entity</w:t>
            </w:r>
            <w:r>
              <w:rPr>
                <w:rFonts w:ascii="Times New Roman" w:eastAsia="MS PGothic" w:hAnsi="Times New Roman" w:cs="Times New Roman"/>
                <w:iCs/>
                <w:color w:val="000000"/>
              </w:rPr>
              <w:t xml:space="preserve"> (large</w:t>
            </w:r>
            <w:r w:rsidRPr="001B7E6A">
              <w:rPr>
                <w:rFonts w:ascii="Times New Roman" w:eastAsia="MS PGothic" w:hAnsi="Times New Roman" w:cs="Times New Roman"/>
                <w:iCs/>
                <w:color w:val="000000"/>
              </w:rPr>
              <w:t>)</w:t>
            </w:r>
          </w:p>
        </w:tc>
        <w:tc>
          <w:tcPr>
            <w:tcW w:w="2217" w:type="dxa"/>
            <w:vAlign w:val="bottom"/>
          </w:tcPr>
          <w:p w14:paraId="276985F9" w14:textId="77777777" w:rsidR="00993F09" w:rsidRPr="001A7788" w:rsidRDefault="00993F09" w:rsidP="00602DDE">
            <w:pPr>
              <w:tabs>
                <w:tab w:val="left" w:pos="426"/>
              </w:tabs>
              <w:rPr>
                <w:rFonts w:ascii="Times New Roman" w:eastAsia="MS PGothic" w:hAnsi="Times New Roman" w:cs="Times New Roman"/>
                <w:iCs/>
              </w:rPr>
            </w:pPr>
            <w:r w:rsidRPr="00A265CB">
              <w:rPr>
                <w:rFonts w:ascii="Times New Roman" w:eastAsia="MS PGothic" w:hAnsi="Times New Roman" w:cs="Times New Roman"/>
                <w:iCs/>
              </w:rPr>
              <w:t xml:space="preserve">$11,194.91 </w:t>
            </w:r>
          </w:p>
        </w:tc>
      </w:tr>
      <w:tr w:rsidR="00993F09" w14:paraId="4B07B64C" w14:textId="77777777" w:rsidTr="00602DDE">
        <w:tc>
          <w:tcPr>
            <w:tcW w:w="6799" w:type="dxa"/>
          </w:tcPr>
          <w:p w14:paraId="7E4815F0" w14:textId="77777777" w:rsidR="00993F09" w:rsidRDefault="00993F09" w:rsidP="00602DDE">
            <w:pPr>
              <w:tabs>
                <w:tab w:val="left" w:pos="426"/>
              </w:tabs>
              <w:rPr>
                <w:rFonts w:ascii="Times New Roman" w:eastAsia="MS PGothic" w:hAnsi="Times New Roman" w:cs="Times New Roman"/>
                <w:iCs/>
                <w:color w:val="000000"/>
              </w:rPr>
            </w:pPr>
            <w:r>
              <w:rPr>
                <w:rFonts w:ascii="Times New Roman" w:eastAsia="MS PGothic" w:hAnsi="Times New Roman" w:cs="Times New Roman"/>
                <w:iCs/>
                <w:color w:val="000000"/>
              </w:rPr>
              <w:t xml:space="preserve">Aggregated cost for all 1,700 </w:t>
            </w:r>
            <w:r w:rsidRPr="001A7788">
              <w:rPr>
                <w:rFonts w:ascii="Times New Roman" w:eastAsia="MS PGothic" w:hAnsi="Times New Roman" w:cs="Times New Roman"/>
                <w:i/>
                <w:iCs/>
                <w:color w:val="000000"/>
              </w:rPr>
              <w:t>critical infrastructure assets</w:t>
            </w:r>
            <w:r>
              <w:rPr>
                <w:rFonts w:ascii="Times New Roman" w:eastAsia="MS PGothic" w:hAnsi="Times New Roman" w:cs="Times New Roman"/>
                <w:iCs/>
                <w:color w:val="000000"/>
              </w:rPr>
              <w:t xml:space="preserve"> (over 10 years)</w:t>
            </w:r>
          </w:p>
        </w:tc>
        <w:tc>
          <w:tcPr>
            <w:tcW w:w="2217" w:type="dxa"/>
          </w:tcPr>
          <w:p w14:paraId="2E7EA188" w14:textId="77777777" w:rsidR="00993F09" w:rsidRPr="001A7788" w:rsidRDefault="00993F09" w:rsidP="00602DDE">
            <w:pPr>
              <w:tabs>
                <w:tab w:val="left" w:pos="426"/>
              </w:tabs>
              <w:rPr>
                <w:rFonts w:ascii="Times New Roman" w:eastAsia="MS PGothic" w:hAnsi="Times New Roman" w:cs="Times New Roman"/>
                <w:iCs/>
                <w:color w:val="FF0000"/>
              </w:rPr>
            </w:pPr>
            <w:r w:rsidRPr="00A265CB">
              <w:rPr>
                <w:rFonts w:ascii="Times New Roman" w:eastAsia="MS PGothic" w:hAnsi="Times New Roman" w:cs="Times New Roman"/>
                <w:iCs/>
              </w:rPr>
              <w:t>$1</w:t>
            </w:r>
            <w:r>
              <w:rPr>
                <w:rFonts w:ascii="Times New Roman" w:eastAsia="MS PGothic" w:hAnsi="Times New Roman" w:cs="Times New Roman"/>
                <w:iCs/>
              </w:rPr>
              <w:t>2,325,361.25</w:t>
            </w:r>
          </w:p>
        </w:tc>
      </w:tr>
    </w:tbl>
    <w:p w14:paraId="01E95DED" w14:textId="77777777" w:rsidR="00993F09" w:rsidRDefault="00993F09" w:rsidP="00993F09">
      <w:pPr>
        <w:tabs>
          <w:tab w:val="left" w:pos="426"/>
        </w:tabs>
        <w:spacing w:after="0" w:line="240" w:lineRule="auto"/>
        <w:rPr>
          <w:rFonts w:ascii="Times New Roman" w:eastAsia="MS PGothic" w:hAnsi="Times New Roman" w:cs="Times New Roman"/>
          <w:iCs/>
          <w:color w:val="000000"/>
        </w:rPr>
      </w:pPr>
    </w:p>
    <w:p w14:paraId="70C4F82E" w14:textId="57E577CD" w:rsidR="00993F09" w:rsidRPr="00955343" w:rsidRDefault="00993F09" w:rsidP="00993F09">
      <w:pPr>
        <w:tabs>
          <w:tab w:val="left" w:pos="426"/>
        </w:tabs>
        <w:spacing w:after="0" w:line="240" w:lineRule="auto"/>
        <w:rPr>
          <w:rFonts w:ascii="Times New Roman" w:eastAsia="MS PGothic" w:hAnsi="Times New Roman" w:cs="Times New Roman"/>
          <w:iCs/>
          <w:color w:val="000000"/>
        </w:rPr>
      </w:pPr>
      <w:r w:rsidRPr="00955343">
        <w:rPr>
          <w:rFonts w:ascii="Times New Roman" w:eastAsia="MS PGothic" w:hAnsi="Times New Roman" w:cs="Times New Roman"/>
          <w:iCs/>
          <w:color w:val="000000"/>
        </w:rPr>
        <w:t>It is unlikely that the quantitative regulatory burden experience by organisations will vary between the two tiers</w:t>
      </w:r>
      <w:r w:rsidR="00AA49A3">
        <w:rPr>
          <w:rFonts w:ascii="Times New Roman" w:eastAsia="MS PGothic" w:hAnsi="Times New Roman" w:cs="Times New Roman"/>
          <w:iCs/>
          <w:color w:val="000000"/>
        </w:rPr>
        <w:t xml:space="preserve"> of cyber reporting defined in s</w:t>
      </w:r>
      <w:r>
        <w:rPr>
          <w:rFonts w:ascii="Times New Roman" w:eastAsia="MS PGothic" w:hAnsi="Times New Roman" w:cs="Times New Roman"/>
          <w:iCs/>
          <w:color w:val="000000"/>
        </w:rPr>
        <w:t>ection 3</w:t>
      </w:r>
      <w:r w:rsidRPr="00955343">
        <w:rPr>
          <w:rFonts w:ascii="Times New Roman" w:eastAsia="MS PGothic" w:hAnsi="Times New Roman" w:cs="Times New Roman"/>
          <w:iCs/>
          <w:color w:val="000000"/>
        </w:rPr>
        <w:t xml:space="preserve">, as the same response is required from the affected entity just within different time frames. </w:t>
      </w:r>
      <w:r>
        <w:rPr>
          <w:rFonts w:ascii="Times New Roman" w:eastAsia="MS PGothic" w:hAnsi="Times New Roman" w:cs="Times New Roman"/>
          <w:iCs/>
          <w:color w:val="000000"/>
        </w:rPr>
        <w:t xml:space="preserve">It is recognised however that </w:t>
      </w:r>
      <w:r w:rsidRPr="00955343">
        <w:rPr>
          <w:rFonts w:ascii="Times New Roman" w:eastAsia="MS PGothic" w:hAnsi="Times New Roman" w:cs="Times New Roman"/>
          <w:iCs/>
          <w:color w:val="000000"/>
        </w:rPr>
        <w:t>entities may have to reprioritise work to meet the differing deadlines and this may have flow on costs to their organisation, such as the postponement of other work or a delay in the provision of services. These costs are difficult to quantify but should be acknowledged when considering costs of the obligation.</w:t>
      </w:r>
      <w:r>
        <w:rPr>
          <w:rFonts w:ascii="Times New Roman" w:eastAsia="MS PGothic" w:hAnsi="Times New Roman" w:cs="Times New Roman"/>
          <w:iCs/>
          <w:color w:val="000000"/>
        </w:rPr>
        <w:t xml:space="preserve"> These costs have been reviewed by the Australian Cyber Security Centre. </w:t>
      </w:r>
    </w:p>
    <w:p w14:paraId="4F71E78F" w14:textId="77777777" w:rsidR="00993F09" w:rsidRPr="00955343" w:rsidRDefault="00993F09" w:rsidP="00993F09">
      <w:pPr>
        <w:tabs>
          <w:tab w:val="left" w:pos="426"/>
        </w:tabs>
        <w:spacing w:after="0" w:line="240" w:lineRule="auto"/>
        <w:rPr>
          <w:rFonts w:ascii="Times New Roman" w:eastAsia="MS PGothic" w:hAnsi="Times New Roman" w:cs="Times New Roman"/>
          <w:iCs/>
          <w:color w:val="000000"/>
        </w:rPr>
      </w:pPr>
    </w:p>
    <w:p w14:paraId="5FCD4A9D" w14:textId="77777777" w:rsidR="00993F09" w:rsidRDefault="00993F09" w:rsidP="00993F09">
      <w:pPr>
        <w:tabs>
          <w:tab w:val="left" w:pos="426"/>
        </w:tabs>
        <w:spacing w:after="0" w:line="240" w:lineRule="auto"/>
        <w:rPr>
          <w:rFonts w:ascii="Times New Roman" w:eastAsia="MS PGothic" w:hAnsi="Times New Roman" w:cs="Times New Roman"/>
          <w:iCs/>
          <w:color w:val="000000"/>
        </w:rPr>
      </w:pPr>
      <w:r w:rsidRPr="00955343">
        <w:rPr>
          <w:rFonts w:ascii="Times New Roman" w:eastAsia="MS PGothic" w:hAnsi="Times New Roman" w:cs="Times New Roman"/>
          <w:iCs/>
          <w:color w:val="000000"/>
        </w:rPr>
        <w:t xml:space="preserve">Cost Assumptions: </w:t>
      </w:r>
    </w:p>
    <w:p w14:paraId="61B457ED" w14:textId="55AF7093" w:rsidR="00993F09" w:rsidRPr="00D556C1" w:rsidRDefault="00993F09" w:rsidP="00993F09">
      <w:pPr>
        <w:pStyle w:val="ListParagraph"/>
        <w:numPr>
          <w:ilvl w:val="0"/>
          <w:numId w:val="10"/>
        </w:numPr>
        <w:tabs>
          <w:tab w:val="left" w:pos="426"/>
        </w:tabs>
        <w:spacing w:after="0" w:line="240" w:lineRule="auto"/>
        <w:rPr>
          <w:rFonts w:ascii="Times New Roman" w:eastAsia="MS PGothic" w:hAnsi="Times New Roman" w:cs="Times New Roman"/>
          <w:iCs/>
          <w:color w:val="000000"/>
        </w:rPr>
      </w:pPr>
      <w:r w:rsidRPr="00D556C1">
        <w:rPr>
          <w:rFonts w:ascii="Times New Roman" w:eastAsia="MS PGothic" w:hAnsi="Times New Roman" w:cs="Times New Roman"/>
          <w:iCs/>
          <w:color w:val="000000"/>
        </w:rPr>
        <w:t xml:space="preserve">The scaled up rate of $73.05 per hour has been used to reflect </w:t>
      </w:r>
      <w:r>
        <w:rPr>
          <w:rFonts w:ascii="Times New Roman" w:eastAsia="MS PGothic" w:hAnsi="Times New Roman" w:cs="Times New Roman"/>
          <w:iCs/>
          <w:color w:val="000000"/>
        </w:rPr>
        <w:t xml:space="preserve">OBPR guidance. </w:t>
      </w:r>
    </w:p>
    <w:p w14:paraId="5E9E18B4" w14:textId="02A1F1A9" w:rsidR="00993F09"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FC3102">
        <w:rPr>
          <w:rFonts w:ascii="Times New Roman" w:eastAsia="MS PGothic" w:hAnsi="Times New Roman" w:cs="Times New Roman"/>
          <w:iCs/>
          <w:color w:val="000000"/>
        </w:rPr>
        <w:t>Approximately 1</w:t>
      </w:r>
      <w:r>
        <w:rPr>
          <w:rFonts w:ascii="Times New Roman" w:eastAsia="MS PGothic" w:hAnsi="Times New Roman" w:cs="Times New Roman"/>
          <w:iCs/>
          <w:color w:val="000000"/>
        </w:rPr>
        <w:t>,7</w:t>
      </w:r>
      <w:r w:rsidRPr="00FC3102">
        <w:rPr>
          <w:rFonts w:ascii="Times New Roman" w:eastAsia="MS PGothic" w:hAnsi="Times New Roman" w:cs="Times New Roman"/>
          <w:iCs/>
          <w:color w:val="000000"/>
        </w:rPr>
        <w:t xml:space="preserve">00 businesses </w:t>
      </w:r>
      <w:r w:rsidR="00D93411">
        <w:rPr>
          <w:rFonts w:ascii="Times New Roman" w:eastAsia="MS PGothic" w:hAnsi="Times New Roman" w:cs="Times New Roman"/>
          <w:iCs/>
          <w:color w:val="000000"/>
        </w:rPr>
        <w:t>may</w:t>
      </w:r>
      <w:r w:rsidR="00D93411" w:rsidRPr="00FC3102">
        <w:rPr>
          <w:rFonts w:ascii="Times New Roman" w:eastAsia="MS PGothic" w:hAnsi="Times New Roman" w:cs="Times New Roman"/>
          <w:iCs/>
          <w:color w:val="000000"/>
        </w:rPr>
        <w:t xml:space="preserve"> </w:t>
      </w:r>
      <w:r w:rsidRPr="00FC3102">
        <w:rPr>
          <w:rFonts w:ascii="Times New Roman" w:eastAsia="MS PGothic" w:hAnsi="Times New Roman" w:cs="Times New Roman"/>
          <w:iCs/>
          <w:color w:val="000000"/>
        </w:rPr>
        <w:t>be subject to the obligation.</w:t>
      </w:r>
      <w:r>
        <w:rPr>
          <w:rFonts w:ascii="Times New Roman" w:eastAsia="MS PGothic" w:hAnsi="Times New Roman" w:cs="Times New Roman"/>
          <w:iCs/>
          <w:color w:val="000000"/>
        </w:rPr>
        <w:t xml:space="preserve"> </w:t>
      </w:r>
      <w:r w:rsidRPr="00FC3102">
        <w:rPr>
          <w:rFonts w:ascii="Times New Roman" w:eastAsia="MS PGothic" w:hAnsi="Times New Roman" w:cs="Times New Roman"/>
          <w:iCs/>
          <w:color w:val="000000"/>
        </w:rPr>
        <w:t xml:space="preserve">Approximately 340 small businesses, 850 medium business, and 510 large businesses. </w:t>
      </w:r>
    </w:p>
    <w:p w14:paraId="7226AA06" w14:textId="77777777" w:rsidR="00993F09"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1A7788">
        <w:rPr>
          <w:rFonts w:ascii="Times New Roman" w:eastAsia="MS PGothic" w:hAnsi="Times New Roman" w:cs="Times New Roman"/>
          <w:iCs/>
          <w:color w:val="000000"/>
        </w:rPr>
        <w:lastRenderedPageBreak/>
        <w:t>The ACSC currently sees 1</w:t>
      </w:r>
      <w:r>
        <w:rPr>
          <w:rFonts w:ascii="Times New Roman" w:eastAsia="MS PGothic" w:hAnsi="Times New Roman" w:cs="Times New Roman"/>
          <w:iCs/>
          <w:color w:val="000000"/>
        </w:rPr>
        <w:t>,</w:t>
      </w:r>
      <w:r w:rsidRPr="001A7788">
        <w:rPr>
          <w:rFonts w:ascii="Times New Roman" w:eastAsia="MS PGothic" w:hAnsi="Times New Roman" w:cs="Times New Roman"/>
          <w:iCs/>
          <w:color w:val="000000"/>
        </w:rPr>
        <w:t xml:space="preserve">268 cyber reports a year (from 2019/2020) under their voluntary reporting scheme or approximately 2.5 reports </w:t>
      </w:r>
      <w:r>
        <w:rPr>
          <w:rFonts w:ascii="Times New Roman" w:eastAsia="MS PGothic" w:hAnsi="Times New Roman" w:cs="Times New Roman"/>
          <w:iCs/>
          <w:color w:val="000000"/>
        </w:rPr>
        <w:t>a year from large businesses.</w:t>
      </w:r>
      <w:r>
        <w:rPr>
          <w:rStyle w:val="FootnoteReference"/>
          <w:rFonts w:ascii="Times New Roman" w:eastAsia="MS PGothic" w:hAnsi="Times New Roman" w:cs="Times New Roman"/>
          <w:iCs/>
          <w:color w:val="000000"/>
        </w:rPr>
        <w:footnoteReference w:id="17"/>
      </w:r>
      <w:r w:rsidRPr="001A7788">
        <w:rPr>
          <w:rFonts w:ascii="Times New Roman" w:eastAsia="MS PGothic" w:hAnsi="Times New Roman" w:cs="Times New Roman"/>
          <w:iCs/>
          <w:color w:val="000000"/>
        </w:rPr>
        <w:t> This number is expected to increase if these reforms are implemented and reporting requirements are mandated for all critical infrastructure assets.</w:t>
      </w:r>
    </w:p>
    <w:p w14:paraId="505592F4" w14:textId="55CA03CF" w:rsidR="00993F09"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Pr>
          <w:rFonts w:ascii="Times New Roman" w:eastAsia="MS PGothic" w:hAnsi="Times New Roman" w:cs="Times New Roman"/>
          <w:iCs/>
          <w:color w:val="000000"/>
        </w:rPr>
        <w:t xml:space="preserve">No legal expertise are expected to be required to understand the obligations to report or to report if there is a cyber incident. </w:t>
      </w:r>
    </w:p>
    <w:p w14:paraId="42010FBD" w14:textId="77777777" w:rsidR="004A7840" w:rsidRPr="001A7788" w:rsidRDefault="004A7840" w:rsidP="00EE0D81">
      <w:pPr>
        <w:pStyle w:val="ListParagraph"/>
        <w:tabs>
          <w:tab w:val="left" w:pos="426"/>
        </w:tabs>
        <w:spacing w:before="240" w:after="240" w:line="240" w:lineRule="auto"/>
        <w:rPr>
          <w:rFonts w:ascii="Times New Roman" w:eastAsia="MS PGothic" w:hAnsi="Times New Roman" w:cs="Times New Roman"/>
          <w:iCs/>
          <w:color w:val="000000"/>
        </w:rPr>
      </w:pPr>
    </w:p>
    <w:p w14:paraId="7DF36E55" w14:textId="77777777" w:rsidR="00993F09" w:rsidRPr="00EE0D81" w:rsidRDefault="00993F09" w:rsidP="00EE0D81">
      <w:pPr>
        <w:tabs>
          <w:tab w:val="left" w:pos="426"/>
        </w:tabs>
        <w:spacing w:before="120" w:after="120" w:line="240" w:lineRule="auto"/>
        <w:ind w:left="357"/>
        <w:rPr>
          <w:rFonts w:ascii="Times New Roman" w:hAnsi="Times New Roman"/>
          <w:color w:val="000000"/>
          <w:u w:val="single"/>
        </w:rPr>
      </w:pPr>
      <w:r w:rsidRPr="00EE0D81">
        <w:rPr>
          <w:rFonts w:ascii="Times New Roman" w:hAnsi="Times New Roman"/>
          <w:color w:val="000000"/>
          <w:u w:val="single"/>
        </w:rPr>
        <w:t>Upfront</w:t>
      </w:r>
    </w:p>
    <w:p w14:paraId="7EDCAEF5" w14:textId="19C0A4A8" w:rsidR="00993F09"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Pr>
          <w:rFonts w:ascii="Times New Roman" w:eastAsia="MS PGothic" w:hAnsi="Times New Roman" w:cs="Times New Roman"/>
          <w:iCs/>
          <w:color w:val="000000"/>
        </w:rPr>
        <w:t>O</w:t>
      </w:r>
      <w:r w:rsidRPr="00955343">
        <w:rPr>
          <w:rFonts w:ascii="Times New Roman" w:eastAsia="MS PGothic" w:hAnsi="Times New Roman" w:cs="Times New Roman"/>
          <w:iCs/>
          <w:color w:val="000000"/>
        </w:rPr>
        <w:t xml:space="preserve">ne member per business would dedicate approximately 3 hours of their time to become aware of their obligations to report a cyber security incident to the Australian Cyber Security Centre. This would include one hour for an individual to read guidance documents that will be provided by CIC on an entity’s obligations, an estimated two hours dedicated to creating standard operating procedure documentation for the organisation to adhere to their obligations, and a final 15 minutes for an individual to disseminate the information throughout their organisation (likely a business wide email informing employees of their obligations). </w:t>
      </w:r>
    </w:p>
    <w:p w14:paraId="7330E569" w14:textId="77777777" w:rsidR="00993F09"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955343">
        <w:rPr>
          <w:rFonts w:ascii="Times New Roman" w:eastAsia="MS PGothic" w:hAnsi="Times New Roman" w:cs="Times New Roman"/>
          <w:iCs/>
          <w:color w:val="000000"/>
        </w:rPr>
        <w:t>The upfront labour cost is unlikely to vary across different sized organisation as understanding the obligation will be the same for all business regardless of their size.</w:t>
      </w:r>
    </w:p>
    <w:p w14:paraId="35DDE974" w14:textId="77777777" w:rsidR="00993F09" w:rsidRPr="00EE0D81" w:rsidRDefault="00993F09" w:rsidP="00EE0D81">
      <w:pPr>
        <w:tabs>
          <w:tab w:val="left" w:pos="426"/>
        </w:tabs>
        <w:spacing w:before="120" w:after="120" w:line="240" w:lineRule="auto"/>
        <w:ind w:left="357"/>
        <w:rPr>
          <w:rFonts w:ascii="Times New Roman" w:hAnsi="Times New Roman"/>
          <w:color w:val="000000"/>
          <w:u w:val="single"/>
        </w:rPr>
      </w:pPr>
      <w:r w:rsidRPr="00EE0D81">
        <w:rPr>
          <w:rFonts w:ascii="Times New Roman" w:hAnsi="Times New Roman"/>
          <w:color w:val="000000"/>
          <w:u w:val="single"/>
        </w:rPr>
        <w:t>Ongoing</w:t>
      </w:r>
    </w:p>
    <w:p w14:paraId="1D51C7CE" w14:textId="77777777" w:rsidR="00993F09" w:rsidRPr="001A7788"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Pr>
          <w:rFonts w:ascii="Times New Roman" w:eastAsia="MS PGothic" w:hAnsi="Times New Roman" w:cs="Times New Roman"/>
          <w:iCs/>
          <w:color w:val="000000"/>
        </w:rPr>
        <w:t>O</w:t>
      </w:r>
      <w:r w:rsidRPr="00955343">
        <w:rPr>
          <w:rFonts w:ascii="Times New Roman" w:eastAsia="MS PGothic" w:hAnsi="Times New Roman" w:cs="Times New Roman"/>
          <w:iCs/>
          <w:color w:val="000000"/>
        </w:rPr>
        <w:t xml:space="preserve">ne member per business would dedicate approximately 3 hours of their time once a year to report a cyber security incident to the Australian Cyber Security Centre. This would involve a member of an organisation becoming aware of a cyber security incident, identifying the key components of the incident, such as what type of incident it was and how it occurred (i.e. through a phishing email) and then summarising the incident in an email or through a phone call to the Australian Cyber Security Centre. </w:t>
      </w:r>
    </w:p>
    <w:p w14:paraId="656AFA4F" w14:textId="77777777" w:rsidR="00993F09" w:rsidRPr="00955343"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Pr>
          <w:rFonts w:ascii="Times New Roman" w:eastAsia="MS PGothic" w:hAnsi="Times New Roman" w:cs="Times New Roman"/>
          <w:iCs/>
          <w:color w:val="000000"/>
        </w:rPr>
        <w:t>S</w:t>
      </w:r>
      <w:r w:rsidRPr="00955343">
        <w:rPr>
          <w:rFonts w:ascii="Times New Roman" w:eastAsia="MS PGothic" w:hAnsi="Times New Roman" w:cs="Times New Roman"/>
          <w:iCs/>
          <w:color w:val="000000"/>
        </w:rPr>
        <w:t xml:space="preserve">mall businesses will experience approximately one cyber incident annually significant enough to require being reported to the Australian Cyber Security Centre. </w:t>
      </w:r>
    </w:p>
    <w:p w14:paraId="541185AF" w14:textId="0E7986B8" w:rsidR="00993F09" w:rsidRPr="00955343"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Pr>
          <w:rFonts w:ascii="Times New Roman" w:eastAsia="MS PGothic" w:hAnsi="Times New Roman" w:cs="Times New Roman"/>
          <w:iCs/>
          <w:color w:val="000000"/>
        </w:rPr>
        <w:t>M</w:t>
      </w:r>
      <w:r w:rsidRPr="00955343">
        <w:rPr>
          <w:rFonts w:ascii="Times New Roman" w:eastAsia="MS PGothic" w:hAnsi="Times New Roman" w:cs="Times New Roman"/>
          <w:iCs/>
          <w:color w:val="000000"/>
        </w:rPr>
        <w:t xml:space="preserve">edium businesses will experience approximately </w:t>
      </w:r>
      <w:r>
        <w:rPr>
          <w:rFonts w:ascii="Times New Roman" w:eastAsia="MS PGothic" w:hAnsi="Times New Roman" w:cs="Times New Roman"/>
          <w:iCs/>
          <w:color w:val="000000"/>
        </w:rPr>
        <w:t>three</w:t>
      </w:r>
      <w:r w:rsidRPr="00955343">
        <w:rPr>
          <w:rFonts w:ascii="Times New Roman" w:eastAsia="MS PGothic" w:hAnsi="Times New Roman" w:cs="Times New Roman"/>
          <w:iCs/>
          <w:color w:val="000000"/>
        </w:rPr>
        <w:t xml:space="preserve"> cyber incident annually significant enough to require being reported to the Australian Cyber Security Centre. </w:t>
      </w:r>
    </w:p>
    <w:p w14:paraId="3F427460" w14:textId="77777777" w:rsidR="00993F09" w:rsidRDefault="00993F09" w:rsidP="00993F09">
      <w:pPr>
        <w:pStyle w:val="ListParagraph"/>
        <w:numPr>
          <w:ilvl w:val="0"/>
          <w:numId w:val="10"/>
        </w:numPr>
        <w:tabs>
          <w:tab w:val="left" w:pos="426"/>
        </w:tabs>
        <w:spacing w:before="240" w:after="0" w:line="240" w:lineRule="auto"/>
        <w:rPr>
          <w:rFonts w:ascii="Times New Roman" w:eastAsia="MS PGothic" w:hAnsi="Times New Roman" w:cs="Times New Roman"/>
          <w:iCs/>
          <w:color w:val="000000"/>
        </w:rPr>
      </w:pPr>
      <w:r>
        <w:rPr>
          <w:rFonts w:ascii="Times New Roman" w:eastAsia="MS PGothic" w:hAnsi="Times New Roman" w:cs="Times New Roman"/>
          <w:iCs/>
          <w:color w:val="000000"/>
        </w:rPr>
        <w:t>L</w:t>
      </w:r>
      <w:r w:rsidRPr="00955343">
        <w:rPr>
          <w:rFonts w:ascii="Times New Roman" w:eastAsia="MS PGothic" w:hAnsi="Times New Roman" w:cs="Times New Roman"/>
          <w:iCs/>
          <w:color w:val="000000"/>
        </w:rPr>
        <w:t>arge businesses will experience approximately five cyber incident annually significant enough to require being reported to the Australian Cyber Security Centre.</w:t>
      </w:r>
      <w:r>
        <w:rPr>
          <w:rFonts w:ascii="Times New Roman" w:eastAsia="MS PGothic" w:hAnsi="Times New Roman" w:cs="Times New Roman"/>
          <w:iCs/>
          <w:color w:val="000000"/>
        </w:rPr>
        <w:t xml:space="preserve"> </w:t>
      </w:r>
    </w:p>
    <w:p w14:paraId="73774CA1" w14:textId="6123745C" w:rsidR="00993F09" w:rsidRPr="001A7788" w:rsidRDefault="00993F09" w:rsidP="00993F09">
      <w:pPr>
        <w:pStyle w:val="ListParagraph"/>
        <w:numPr>
          <w:ilvl w:val="0"/>
          <w:numId w:val="10"/>
        </w:numPr>
        <w:rPr>
          <w:rFonts w:ascii="Times New Roman" w:eastAsia="MS PGothic" w:hAnsi="Times New Roman" w:cs="Times New Roman"/>
          <w:iCs/>
          <w:color w:val="000000"/>
        </w:rPr>
      </w:pPr>
      <w:r w:rsidRPr="00840593">
        <w:rPr>
          <w:rFonts w:ascii="Times New Roman" w:eastAsia="MS PGothic" w:hAnsi="Times New Roman" w:cs="Times New Roman"/>
          <w:iCs/>
          <w:color w:val="000000"/>
        </w:rPr>
        <w:t xml:space="preserve">This assumes an annual total of 340 cyber reports annually across all small organisations, </w:t>
      </w:r>
      <w:r>
        <w:rPr>
          <w:rFonts w:ascii="Times New Roman" w:eastAsia="MS PGothic" w:hAnsi="Times New Roman" w:cs="Times New Roman"/>
          <w:iCs/>
          <w:color w:val="000000"/>
        </w:rPr>
        <w:t>2,550</w:t>
      </w:r>
      <w:r w:rsidRPr="00840593">
        <w:rPr>
          <w:rFonts w:ascii="Times New Roman" w:eastAsia="MS PGothic" w:hAnsi="Times New Roman" w:cs="Times New Roman"/>
          <w:iCs/>
          <w:color w:val="000000"/>
        </w:rPr>
        <w:t xml:space="preserve"> across all medium organisations and </w:t>
      </w:r>
      <w:r>
        <w:rPr>
          <w:rFonts w:ascii="Times New Roman" w:eastAsia="MS PGothic" w:hAnsi="Times New Roman" w:cs="Times New Roman"/>
          <w:iCs/>
          <w:color w:val="000000"/>
        </w:rPr>
        <w:t>2,550</w:t>
      </w:r>
      <w:r w:rsidRPr="00840593">
        <w:rPr>
          <w:rFonts w:ascii="Times New Roman" w:eastAsia="MS PGothic" w:hAnsi="Times New Roman" w:cs="Times New Roman"/>
          <w:iCs/>
          <w:color w:val="000000"/>
        </w:rPr>
        <w:t xml:space="preserve"> across all large organisations – or a total of </w:t>
      </w:r>
      <w:r>
        <w:rPr>
          <w:rFonts w:ascii="Times New Roman" w:eastAsia="MS PGothic" w:hAnsi="Times New Roman" w:cs="Times New Roman"/>
          <w:iCs/>
          <w:color w:val="000000"/>
        </w:rPr>
        <w:t>5,440</w:t>
      </w:r>
      <w:r w:rsidRPr="00840593">
        <w:rPr>
          <w:rFonts w:ascii="Times New Roman" w:eastAsia="MS PGothic" w:hAnsi="Times New Roman" w:cs="Times New Roman"/>
          <w:iCs/>
          <w:color w:val="000000"/>
        </w:rPr>
        <w:t xml:space="preserve"> reports annually across all critical infrastructure assets. </w:t>
      </w:r>
      <w:r w:rsidR="00D93411">
        <w:rPr>
          <w:rFonts w:ascii="Times New Roman" w:eastAsia="MS PGothic" w:hAnsi="Times New Roman" w:cs="Times New Roman"/>
          <w:iCs/>
          <w:color w:val="000000"/>
        </w:rPr>
        <w:t>Given the ACSC experienced 1,268 cyber reports in 2018/19, 5,440 reports assumes that once the reforms are implemented there will be a marked increase.</w:t>
      </w:r>
    </w:p>
    <w:p w14:paraId="42C3C0D0" w14:textId="77777777" w:rsidR="00993F09" w:rsidRPr="00955343" w:rsidRDefault="00993F09" w:rsidP="00993F09">
      <w:pPr>
        <w:pStyle w:val="ListParagraph"/>
        <w:tabs>
          <w:tab w:val="left" w:pos="426"/>
        </w:tabs>
        <w:spacing w:before="240" w:after="0" w:line="240" w:lineRule="auto"/>
        <w:rPr>
          <w:rFonts w:ascii="Times New Roman" w:eastAsia="MS PGothic" w:hAnsi="Times New Roman" w:cs="Times New Roman"/>
          <w:iCs/>
          <w:color w:val="000000"/>
        </w:rPr>
      </w:pPr>
    </w:p>
    <w:p w14:paraId="6AC8BD02" w14:textId="77777777" w:rsidR="00993F09" w:rsidRPr="00EE0D81" w:rsidRDefault="00993F09" w:rsidP="00EE0D81">
      <w:pPr>
        <w:tabs>
          <w:tab w:val="num" w:pos="340"/>
          <w:tab w:val="left" w:pos="426"/>
        </w:tabs>
        <w:spacing w:before="120" w:after="120" w:line="240" w:lineRule="auto"/>
        <w:rPr>
          <w:rFonts w:ascii="Times New Roman" w:hAnsi="Times New Roman"/>
          <w:b/>
        </w:rPr>
      </w:pPr>
      <w:r w:rsidRPr="00EE0D81">
        <w:rPr>
          <w:rFonts w:ascii="Times New Roman" w:hAnsi="Times New Roman"/>
          <w:b/>
        </w:rPr>
        <w:t>Benefits</w:t>
      </w:r>
    </w:p>
    <w:p w14:paraId="3207E093" w14:textId="0FCD57C0" w:rsidR="00993F09" w:rsidRPr="00955343" w:rsidRDefault="00993F09" w:rsidP="00993F09">
      <w:pPr>
        <w:tabs>
          <w:tab w:val="left" w:pos="426"/>
        </w:tabs>
        <w:spacing w:after="0" w:line="240" w:lineRule="auto"/>
        <w:rPr>
          <w:rFonts w:ascii="Times New Roman" w:eastAsia="MS PGothic" w:hAnsi="Times New Roman" w:cs="Times New Roman"/>
          <w:iCs/>
          <w:color w:val="000000"/>
        </w:rPr>
      </w:pPr>
      <w:r w:rsidRPr="00955343">
        <w:rPr>
          <w:rFonts w:ascii="Times New Roman" w:eastAsia="MS PGothic" w:hAnsi="Times New Roman" w:cs="Times New Roman"/>
          <w:iCs/>
          <w:color w:val="000000"/>
        </w:rPr>
        <w:t xml:space="preserve">The objective of this part of the reforms is to facilitate the development of an aggregated threat picture and comprehensive understanding of cyber security risks to </w:t>
      </w:r>
      <w:r w:rsidRPr="00EE0D81">
        <w:rPr>
          <w:rFonts w:ascii="Times New Roman" w:hAnsi="Times New Roman"/>
          <w:i/>
          <w:color w:val="000000"/>
        </w:rPr>
        <w:t xml:space="preserve">critical infrastructure </w:t>
      </w:r>
      <w:r w:rsidRPr="00B1725B">
        <w:rPr>
          <w:rFonts w:ascii="Times New Roman" w:eastAsia="MS PGothic" w:hAnsi="Times New Roman" w:cs="Times New Roman"/>
          <w:i/>
          <w:iCs/>
          <w:color w:val="000000"/>
        </w:rPr>
        <w:t>asset</w:t>
      </w:r>
      <w:r>
        <w:rPr>
          <w:rFonts w:ascii="Times New Roman" w:eastAsia="MS PGothic" w:hAnsi="Times New Roman" w:cs="Times New Roman"/>
          <w:iCs/>
          <w:color w:val="000000"/>
        </w:rPr>
        <w:t>s</w:t>
      </w:r>
      <w:r w:rsidRPr="00955343">
        <w:rPr>
          <w:rFonts w:ascii="Times New Roman" w:eastAsia="MS PGothic" w:hAnsi="Times New Roman" w:cs="Times New Roman"/>
          <w:iCs/>
          <w:color w:val="000000"/>
        </w:rPr>
        <w:t xml:space="preserve"> in a way that is mutually beneficial to Government and industry. Through greater awareness, the Government can better see malicious trends and campaigns which would not be apparent to an individual victim of an attack. This will support the Australian Government’s investment in a national situational awareness capability and enhanced threat-sharing platform under the Cyber Enhanced Situational Awareness and Response package</w:t>
      </w:r>
      <w:r>
        <w:rPr>
          <w:rFonts w:ascii="Times New Roman" w:eastAsia="MS PGothic" w:hAnsi="Times New Roman" w:cs="Times New Roman"/>
          <w:iCs/>
          <w:color w:val="000000"/>
        </w:rPr>
        <w:t xml:space="preserve"> (CESAR)</w:t>
      </w:r>
      <w:r w:rsidRPr="00955343">
        <w:rPr>
          <w:rFonts w:ascii="Times New Roman" w:eastAsia="MS PGothic" w:hAnsi="Times New Roman" w:cs="Times New Roman"/>
          <w:iCs/>
          <w:color w:val="000000"/>
        </w:rPr>
        <w:t>.</w:t>
      </w:r>
      <w:r>
        <w:rPr>
          <w:rFonts w:ascii="Times New Roman" w:eastAsia="MS PGothic" w:hAnsi="Times New Roman" w:cs="Times New Roman"/>
          <w:iCs/>
          <w:color w:val="000000"/>
        </w:rPr>
        <w:t xml:space="preserve"> </w:t>
      </w:r>
    </w:p>
    <w:p w14:paraId="733F4223" w14:textId="77777777" w:rsidR="00993F09" w:rsidRPr="00955343" w:rsidRDefault="00993F09" w:rsidP="00993F09">
      <w:pPr>
        <w:tabs>
          <w:tab w:val="left" w:pos="426"/>
        </w:tabs>
        <w:spacing w:after="0" w:line="240" w:lineRule="auto"/>
        <w:rPr>
          <w:rFonts w:ascii="Times New Roman" w:eastAsia="MS PGothic" w:hAnsi="Times New Roman" w:cs="Times New Roman"/>
          <w:iCs/>
          <w:color w:val="000000"/>
        </w:rPr>
      </w:pPr>
    </w:p>
    <w:p w14:paraId="5CD937A4" w14:textId="0B37B642" w:rsidR="00993F09" w:rsidRPr="00955343" w:rsidRDefault="00993F09" w:rsidP="00993F09">
      <w:pPr>
        <w:tabs>
          <w:tab w:val="left" w:pos="426"/>
        </w:tabs>
        <w:spacing w:after="0" w:line="240" w:lineRule="auto"/>
        <w:rPr>
          <w:rFonts w:ascii="Times New Roman" w:eastAsia="MS PGothic" w:hAnsi="Times New Roman" w:cs="Times New Roman"/>
          <w:iCs/>
          <w:color w:val="000000"/>
        </w:rPr>
      </w:pPr>
      <w:r w:rsidRPr="00955343">
        <w:rPr>
          <w:rFonts w:ascii="Times New Roman" w:eastAsia="MS PGothic" w:hAnsi="Times New Roman" w:cs="Times New Roman"/>
          <w:iCs/>
          <w:color w:val="000000"/>
        </w:rPr>
        <w:t>This will better inform both proactive and reactive cyber response options – ranging from the Government issuing targeted guidance on preventing particular cyber attack methodologies, working with industry to uplift broader security standards and providing immediate assistance to industry in response to an incident.</w:t>
      </w:r>
      <w:r w:rsidR="00310E64">
        <w:rPr>
          <w:rFonts w:ascii="Times New Roman" w:eastAsia="MS PGothic" w:hAnsi="Times New Roman" w:cs="Times New Roman"/>
          <w:iCs/>
          <w:color w:val="000000"/>
        </w:rPr>
        <w:t xml:space="preserve"> </w:t>
      </w:r>
      <w:r w:rsidR="008E6A18">
        <w:rPr>
          <w:rFonts w:ascii="Times New Roman" w:eastAsia="MS PGothic" w:hAnsi="Times New Roman" w:cs="Times New Roman"/>
          <w:iCs/>
          <w:color w:val="000000"/>
        </w:rPr>
        <w:t xml:space="preserve">This will ultimately reduce </w:t>
      </w:r>
      <w:r w:rsidR="00310E64">
        <w:rPr>
          <w:rFonts w:ascii="Times New Roman" w:eastAsia="MS PGothic" w:hAnsi="Times New Roman" w:cs="Times New Roman"/>
          <w:iCs/>
          <w:color w:val="000000"/>
        </w:rPr>
        <w:t>the risks of security incidents by ensuring industry and Government have the most up to date visibility of threats within the cyber domain. It will address the lack of Government visibility addressed within section 1.</w:t>
      </w:r>
    </w:p>
    <w:p w14:paraId="14388365" w14:textId="7357A9FC" w:rsidR="00993F09" w:rsidRPr="00EE0D81" w:rsidRDefault="00993F09" w:rsidP="00EE0D81">
      <w:pPr>
        <w:tabs>
          <w:tab w:val="left" w:pos="426"/>
        </w:tabs>
        <w:spacing w:after="0" w:line="240" w:lineRule="auto"/>
        <w:rPr>
          <w:rFonts w:ascii="Times New Roman" w:hAnsi="Times New Roman"/>
          <w:color w:val="000000"/>
        </w:rPr>
      </w:pPr>
    </w:p>
    <w:p w14:paraId="571573FC" w14:textId="77777777" w:rsidR="00993F09" w:rsidRPr="000266F5" w:rsidRDefault="00993F09" w:rsidP="00993F09">
      <w:pPr>
        <w:tabs>
          <w:tab w:val="left" w:pos="426"/>
        </w:tabs>
        <w:spacing w:after="0" w:line="240" w:lineRule="auto"/>
        <w:rPr>
          <w:rFonts w:ascii="Times New Roman" w:eastAsia="Arial" w:hAnsi="Times New Roman" w:cs="Times New Roman"/>
          <w:b/>
        </w:rPr>
      </w:pPr>
      <w:r w:rsidRPr="000266F5">
        <w:rPr>
          <w:rFonts w:ascii="Times New Roman" w:eastAsia="Arial" w:hAnsi="Times New Roman" w:cs="Times New Roman"/>
          <w:b/>
        </w:rPr>
        <w:t>4.2.2. Enhanced Cyber Security Obligations</w:t>
      </w:r>
    </w:p>
    <w:p w14:paraId="6D0F7086" w14:textId="77777777" w:rsidR="00993F09" w:rsidRDefault="00993F09" w:rsidP="00993F09">
      <w:pPr>
        <w:tabs>
          <w:tab w:val="num" w:pos="340"/>
          <w:tab w:val="left" w:pos="426"/>
        </w:tabs>
        <w:spacing w:after="0" w:line="240" w:lineRule="auto"/>
        <w:rPr>
          <w:rFonts w:ascii="Times New Roman" w:eastAsia="Arial" w:hAnsi="Times New Roman" w:cs="Times New Roman"/>
          <w:i/>
        </w:rPr>
      </w:pPr>
    </w:p>
    <w:p w14:paraId="045CA6B1" w14:textId="0521289A" w:rsidR="00993F09" w:rsidRDefault="00993F09" w:rsidP="00993F09">
      <w:pPr>
        <w:tabs>
          <w:tab w:val="num" w:pos="340"/>
          <w:tab w:val="left" w:pos="426"/>
        </w:tabs>
        <w:spacing w:after="0" w:line="240" w:lineRule="auto"/>
        <w:rPr>
          <w:rFonts w:ascii="Times New Roman" w:eastAsia="Arial" w:hAnsi="Times New Roman" w:cs="Times New Roman"/>
        </w:rPr>
      </w:pPr>
      <w:r>
        <w:rPr>
          <w:rFonts w:ascii="Times New Roman" w:eastAsia="Arial" w:hAnsi="Times New Roman" w:cs="Times New Roman"/>
        </w:rPr>
        <w:t xml:space="preserve">In identifying the costs and benefits of the Enhanced Cyber Security Obligations, PricewaterhouseCoopers Consulting (PwC) were engaged. PwC have significant cyber security experience which informed the underlying costing assumptions </w:t>
      </w:r>
      <w:r w:rsidR="008E6A18">
        <w:rPr>
          <w:rFonts w:ascii="Times New Roman" w:eastAsia="Arial" w:hAnsi="Times New Roman" w:cs="Times New Roman"/>
        </w:rPr>
        <w:t>including</w:t>
      </w:r>
      <w:r>
        <w:rPr>
          <w:rFonts w:ascii="Times New Roman" w:eastAsia="Arial" w:hAnsi="Times New Roman" w:cs="Times New Roman"/>
        </w:rPr>
        <w:t xml:space="preserve"> the skills required and the industry rates. The Australian Cyber Security Centre and the Office of the Chief Economist from the Department, also undertook a high level review of the approach taken by PwC. </w:t>
      </w:r>
    </w:p>
    <w:p w14:paraId="717377E4" w14:textId="77777777" w:rsidR="00993F09" w:rsidRPr="00EE0D81" w:rsidRDefault="00993F09" w:rsidP="00EE0D81">
      <w:pPr>
        <w:tabs>
          <w:tab w:val="num" w:pos="340"/>
          <w:tab w:val="left" w:pos="426"/>
        </w:tabs>
        <w:spacing w:before="120" w:after="120" w:line="240" w:lineRule="auto"/>
        <w:rPr>
          <w:rFonts w:ascii="Times New Roman" w:hAnsi="Times New Roman"/>
          <w:b/>
        </w:rPr>
      </w:pPr>
      <w:r w:rsidRPr="00EE0D81">
        <w:rPr>
          <w:rFonts w:ascii="Times New Roman" w:hAnsi="Times New Roman"/>
          <w:b/>
        </w:rPr>
        <w:t>Costs</w:t>
      </w:r>
    </w:p>
    <w:p w14:paraId="75CB4A61" w14:textId="5596D0D6" w:rsidR="00993F09" w:rsidRPr="00C07566"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The regulatory costs of imposing Enhanced Cyber Security Obligations would vary widely depending on the </w:t>
      </w:r>
      <w:r w:rsidRPr="000266F5">
        <w:rPr>
          <w:rFonts w:ascii="Times New Roman" w:eastAsia="MS PGothic" w:hAnsi="Times New Roman" w:cs="Times New Roman"/>
          <w:iCs/>
          <w:color w:val="000000"/>
        </w:rPr>
        <w:t>scope</w:t>
      </w:r>
      <w:r w:rsidRPr="000266F5">
        <w:rPr>
          <w:rFonts w:ascii="Times New Roman" w:eastAsia="Arial" w:hAnsi="Times New Roman" w:cs="Times New Roman"/>
        </w:rPr>
        <w:t xml:space="preserve"> of the obligations and the individual circumstances of the entity subject to the </w:t>
      </w:r>
      <w:r w:rsidRPr="000266F5">
        <w:rPr>
          <w:rFonts w:ascii="Times New Roman" w:eastAsia="MS PGothic" w:hAnsi="Times New Roman" w:cs="Times New Roman"/>
          <w:iCs/>
          <w:color w:val="000000"/>
        </w:rPr>
        <w:t>obligations</w:t>
      </w:r>
      <w:r w:rsidRPr="000266F5">
        <w:rPr>
          <w:rFonts w:ascii="Times New Roman" w:eastAsia="Arial" w:hAnsi="Times New Roman" w:cs="Times New Roman"/>
        </w:rPr>
        <w:t>.</w:t>
      </w:r>
      <w:r>
        <w:rPr>
          <w:rFonts w:ascii="Times New Roman" w:eastAsia="Arial" w:hAnsi="Times New Roman" w:cs="Times New Roman"/>
        </w:rPr>
        <w:t xml:space="preserve"> The obligations will </w:t>
      </w:r>
      <w:r w:rsidR="008E6A18">
        <w:rPr>
          <w:rFonts w:ascii="Times New Roman" w:eastAsia="Arial" w:hAnsi="Times New Roman" w:cs="Times New Roman"/>
        </w:rPr>
        <w:t xml:space="preserve">only be enlivened on </w:t>
      </w:r>
      <w:r>
        <w:rPr>
          <w:rFonts w:ascii="Times New Roman" w:eastAsia="Arial" w:hAnsi="Times New Roman" w:cs="Times New Roman"/>
        </w:rPr>
        <w:t>request.</w:t>
      </w:r>
      <w:r w:rsidRPr="00C07566">
        <w:t xml:space="preserve"> </w:t>
      </w:r>
      <w:r w:rsidRPr="00C07566">
        <w:rPr>
          <w:rFonts w:ascii="Times New Roman" w:eastAsia="Arial" w:hAnsi="Times New Roman" w:cs="Times New Roman"/>
        </w:rPr>
        <w:t>The Australian Government will continue to build on the strong voluntary engagement and cooperation with critical infrastructure entities that has underpinned the success of the relationship to date. This includes providing voluntary support and guidance</w:t>
      </w:r>
      <w:r>
        <w:rPr>
          <w:rFonts w:ascii="Times New Roman" w:eastAsia="Arial" w:hAnsi="Times New Roman" w:cs="Times New Roman"/>
        </w:rPr>
        <w:t xml:space="preserve"> in an effort to reduce regulatory burden and offset potential costs</w:t>
      </w:r>
      <w:r w:rsidRPr="00C07566">
        <w:rPr>
          <w:rFonts w:ascii="Times New Roman" w:eastAsia="Arial" w:hAnsi="Times New Roman" w:cs="Times New Roman"/>
        </w:rPr>
        <w:t>. However, there may be instances where entities are unwilling or unable to voluntarily cooperate and the Enhanced Cyber Security Obligations are necessary.</w:t>
      </w:r>
      <w:r>
        <w:rPr>
          <w:rFonts w:ascii="Times New Roman" w:eastAsia="Arial" w:hAnsi="Times New Roman" w:cs="Times New Roman"/>
        </w:rPr>
        <w:t xml:space="preserve"> Government will </w:t>
      </w:r>
      <w:r w:rsidR="00D5184B">
        <w:rPr>
          <w:rFonts w:ascii="Times New Roman" w:eastAsia="Arial" w:hAnsi="Times New Roman" w:cs="Times New Roman"/>
        </w:rPr>
        <w:t>seek to provide assistance wher</w:t>
      </w:r>
      <w:r>
        <w:rPr>
          <w:rFonts w:ascii="Times New Roman" w:eastAsia="Arial" w:hAnsi="Times New Roman" w:cs="Times New Roman"/>
        </w:rPr>
        <w:t xml:space="preserve">ever possible in </w:t>
      </w:r>
      <w:r>
        <w:rPr>
          <w:rFonts w:ascii="Times New Roman" w:eastAsia="Arial" w:hAnsi="Times New Roman" w:cs="Times New Roman"/>
          <w:i/>
        </w:rPr>
        <w:t>systems of national significance</w:t>
      </w:r>
      <w:r>
        <w:rPr>
          <w:rFonts w:ascii="Times New Roman" w:eastAsia="Arial" w:hAnsi="Times New Roman" w:cs="Times New Roman"/>
        </w:rPr>
        <w:t xml:space="preserve"> complying with these obligations.</w:t>
      </w:r>
    </w:p>
    <w:p w14:paraId="12F16274" w14:textId="77777777" w:rsidR="00993F09" w:rsidRDefault="00993F09" w:rsidP="00993F09">
      <w:pPr>
        <w:tabs>
          <w:tab w:val="left" w:pos="426"/>
        </w:tabs>
        <w:spacing w:after="0" w:line="240" w:lineRule="auto"/>
        <w:rPr>
          <w:rFonts w:ascii="Times New Roman" w:eastAsia="Arial" w:hAnsi="Times New Roman" w:cs="Times New Roman"/>
        </w:rPr>
      </w:pPr>
    </w:p>
    <w:p w14:paraId="515AAF51" w14:textId="77777777" w:rsidR="00993F09" w:rsidRPr="000266F5" w:rsidRDefault="00993F09" w:rsidP="00993F09">
      <w:pPr>
        <w:tabs>
          <w:tab w:val="left" w:pos="426"/>
        </w:tabs>
        <w:spacing w:after="0" w:line="240" w:lineRule="auto"/>
        <w:rPr>
          <w:rFonts w:ascii="Times New Roman" w:eastAsia="Arial" w:hAnsi="Times New Roman" w:cs="Times New Roman"/>
        </w:rPr>
      </w:pPr>
      <w:r w:rsidRPr="00B07965">
        <w:rPr>
          <w:rFonts w:ascii="Times New Roman" w:eastAsia="Arial" w:hAnsi="Times New Roman" w:cs="Times New Roman"/>
        </w:rPr>
        <w:t>It is expected that there would be approximately 40 SoNS declared by the Minister.</w:t>
      </w:r>
      <w:r>
        <w:rPr>
          <w:rFonts w:ascii="Times New Roman" w:eastAsia="Arial" w:hAnsi="Times New Roman" w:cs="Times New Roman"/>
        </w:rPr>
        <w:t xml:space="preserve"> </w:t>
      </w:r>
    </w:p>
    <w:p w14:paraId="1F049297" w14:textId="77777777" w:rsidR="00993F09" w:rsidRDefault="00993F09" w:rsidP="00993F09">
      <w:pPr>
        <w:tabs>
          <w:tab w:val="left" w:pos="426"/>
        </w:tabs>
        <w:spacing w:after="0" w:line="240" w:lineRule="auto"/>
        <w:rPr>
          <w:rFonts w:ascii="Times New Roman" w:eastAsia="Arial" w:hAnsi="Times New Roman" w:cs="Times New Roman"/>
        </w:rPr>
      </w:pPr>
    </w:p>
    <w:p w14:paraId="0D786E5F" w14:textId="77777777" w:rsidR="00993F09" w:rsidRDefault="00993F09" w:rsidP="00B369B5">
      <w:pPr>
        <w:pStyle w:val="ListParagraph"/>
        <w:numPr>
          <w:ilvl w:val="0"/>
          <w:numId w:val="17"/>
        </w:numPr>
        <w:tabs>
          <w:tab w:val="left" w:pos="426"/>
        </w:tabs>
        <w:spacing w:after="0" w:line="240" w:lineRule="auto"/>
        <w:rPr>
          <w:rFonts w:ascii="Times New Roman" w:eastAsia="Arial" w:hAnsi="Times New Roman" w:cs="Times New Roman"/>
          <w:b/>
          <w:i/>
        </w:rPr>
      </w:pPr>
      <w:r w:rsidRPr="001A7788">
        <w:rPr>
          <w:rFonts w:ascii="Times New Roman" w:eastAsia="Arial" w:hAnsi="Times New Roman" w:cs="Times New Roman"/>
          <w:b/>
          <w:i/>
        </w:rPr>
        <w:t>Incident response plan</w:t>
      </w:r>
    </w:p>
    <w:p w14:paraId="602ED8E0" w14:textId="77777777" w:rsidR="00993F09" w:rsidRDefault="00993F09" w:rsidP="00993F09">
      <w:pPr>
        <w:tabs>
          <w:tab w:val="left" w:pos="426"/>
        </w:tabs>
        <w:spacing w:after="0" w:line="240" w:lineRule="auto"/>
        <w:rPr>
          <w:rFonts w:ascii="Times New Roman" w:eastAsia="Arial" w:hAnsi="Times New Roman" w:cs="Times New Roman"/>
          <w:b/>
          <w:i/>
        </w:rPr>
      </w:pPr>
    </w:p>
    <w:p w14:paraId="55561E01" w14:textId="05006E06" w:rsidR="00993F09" w:rsidRPr="000266F5" w:rsidRDefault="00993F09" w:rsidP="00993F09">
      <w:pPr>
        <w:tabs>
          <w:tab w:val="left" w:pos="426"/>
        </w:tabs>
        <w:spacing w:after="0" w:line="240" w:lineRule="auto"/>
        <w:rPr>
          <w:rFonts w:ascii="Times New Roman" w:eastAsia="Arial" w:hAnsi="Times New Roman" w:cs="Times New Roman"/>
        </w:rPr>
      </w:pPr>
      <w:r w:rsidRPr="001A7788">
        <w:rPr>
          <w:rFonts w:ascii="Times New Roman" w:eastAsia="Arial" w:hAnsi="Times New Roman" w:cs="Times New Roman"/>
        </w:rPr>
        <w:t xml:space="preserve">Incident response plans are designed to strengthen a business' preparedness for a cyber security breach. </w:t>
      </w:r>
    </w:p>
    <w:tbl>
      <w:tblPr>
        <w:tblStyle w:val="TableGrid"/>
        <w:tblW w:w="0" w:type="auto"/>
        <w:tblLook w:val="04A0" w:firstRow="1" w:lastRow="0" w:firstColumn="1" w:lastColumn="0" w:noHBand="0" w:noVBand="1"/>
      </w:tblPr>
      <w:tblGrid>
        <w:gridCol w:w="5807"/>
        <w:gridCol w:w="3209"/>
      </w:tblGrid>
      <w:tr w:rsidR="00993F09" w14:paraId="6D35FA24" w14:textId="77777777" w:rsidTr="00602DDE">
        <w:tc>
          <w:tcPr>
            <w:tcW w:w="5807" w:type="dxa"/>
          </w:tcPr>
          <w:p w14:paraId="63C9EF7E" w14:textId="77777777" w:rsidR="00993F09" w:rsidRPr="00FD2590" w:rsidRDefault="00993F09" w:rsidP="00602DDE">
            <w:pPr>
              <w:tabs>
                <w:tab w:val="left" w:pos="426"/>
              </w:tabs>
              <w:rPr>
                <w:rFonts w:ascii="Times New Roman" w:eastAsia="MS PGothic" w:hAnsi="Times New Roman" w:cs="Times New Roman"/>
                <w:b/>
                <w:iCs/>
                <w:color w:val="000000"/>
              </w:rPr>
            </w:pPr>
            <w:r w:rsidRPr="00FD2590">
              <w:rPr>
                <w:rFonts w:ascii="Times New Roman" w:eastAsia="MS PGothic" w:hAnsi="Times New Roman" w:cs="Times New Roman"/>
                <w:b/>
                <w:iCs/>
                <w:color w:val="000000"/>
              </w:rPr>
              <w:t>Cost description</w:t>
            </w:r>
          </w:p>
        </w:tc>
        <w:tc>
          <w:tcPr>
            <w:tcW w:w="3209" w:type="dxa"/>
          </w:tcPr>
          <w:p w14:paraId="54F59A86" w14:textId="77777777" w:rsidR="00993F09" w:rsidRPr="00FD2590" w:rsidRDefault="00993F09" w:rsidP="00602DDE">
            <w:pPr>
              <w:tabs>
                <w:tab w:val="left" w:pos="426"/>
              </w:tabs>
              <w:rPr>
                <w:rFonts w:ascii="Times New Roman" w:eastAsia="MS PGothic" w:hAnsi="Times New Roman" w:cs="Times New Roman"/>
                <w:b/>
                <w:iCs/>
                <w:color w:val="000000"/>
              </w:rPr>
            </w:pPr>
            <w:r w:rsidRPr="00FD2590">
              <w:rPr>
                <w:rFonts w:ascii="Times New Roman" w:eastAsia="MS PGothic" w:hAnsi="Times New Roman" w:cs="Times New Roman"/>
                <w:b/>
                <w:iCs/>
                <w:color w:val="000000"/>
              </w:rPr>
              <w:t>Cost</w:t>
            </w:r>
          </w:p>
        </w:tc>
      </w:tr>
      <w:tr w:rsidR="00993F09" w14:paraId="4134AB8B" w14:textId="77777777" w:rsidTr="00602DDE">
        <w:tc>
          <w:tcPr>
            <w:tcW w:w="5807" w:type="dxa"/>
          </w:tcPr>
          <w:p w14:paraId="4ACA33C2" w14:textId="77777777" w:rsidR="00993F09" w:rsidRDefault="00993F09" w:rsidP="00602DDE">
            <w:pPr>
              <w:tabs>
                <w:tab w:val="left" w:pos="426"/>
              </w:tabs>
              <w:rPr>
                <w:rFonts w:ascii="Times New Roman" w:eastAsia="MS PGothic" w:hAnsi="Times New Roman" w:cs="Times New Roman"/>
                <w:iCs/>
                <w:color w:val="000000"/>
              </w:rPr>
            </w:pPr>
            <w:r>
              <w:rPr>
                <w:rFonts w:ascii="Times New Roman" w:eastAsia="MS PGothic" w:hAnsi="Times New Roman" w:cs="Times New Roman"/>
                <w:iCs/>
                <w:color w:val="000000"/>
              </w:rPr>
              <w:t>Upfront cost for a single entity (Year 1)</w:t>
            </w:r>
          </w:p>
        </w:tc>
        <w:tc>
          <w:tcPr>
            <w:tcW w:w="3209" w:type="dxa"/>
          </w:tcPr>
          <w:p w14:paraId="4A307CE8" w14:textId="77777777" w:rsidR="00993F09" w:rsidRDefault="00993F09" w:rsidP="00602DDE">
            <w:pPr>
              <w:tabs>
                <w:tab w:val="left" w:pos="426"/>
              </w:tabs>
              <w:rPr>
                <w:rFonts w:ascii="Times New Roman" w:eastAsia="MS PGothic" w:hAnsi="Times New Roman" w:cs="Times New Roman"/>
                <w:iCs/>
                <w:color w:val="000000"/>
              </w:rPr>
            </w:pPr>
            <w:r>
              <w:rPr>
                <w:rFonts w:ascii="Times New Roman" w:eastAsia="MS PGothic" w:hAnsi="Times New Roman" w:cs="Times New Roman"/>
                <w:iCs/>
                <w:color w:val="000000"/>
              </w:rPr>
              <w:t>$25,538 - $76,613</w:t>
            </w:r>
          </w:p>
        </w:tc>
      </w:tr>
      <w:tr w:rsidR="00993F09" w14:paraId="2B53BA0F" w14:textId="77777777" w:rsidTr="00602DDE">
        <w:tc>
          <w:tcPr>
            <w:tcW w:w="5807" w:type="dxa"/>
          </w:tcPr>
          <w:p w14:paraId="1CA5D67B" w14:textId="77777777" w:rsidR="00993F09" w:rsidRDefault="00993F09" w:rsidP="00602DDE">
            <w:pPr>
              <w:tabs>
                <w:tab w:val="left" w:pos="426"/>
              </w:tabs>
              <w:rPr>
                <w:rFonts w:ascii="Times New Roman" w:eastAsia="MS PGothic" w:hAnsi="Times New Roman" w:cs="Times New Roman"/>
                <w:iCs/>
                <w:color w:val="000000"/>
              </w:rPr>
            </w:pPr>
            <w:r>
              <w:rPr>
                <w:rFonts w:ascii="Times New Roman" w:eastAsia="MS PGothic" w:hAnsi="Times New Roman" w:cs="Times New Roman"/>
                <w:iCs/>
                <w:color w:val="000000"/>
              </w:rPr>
              <w:t>Annual administrative cost for a single entity</w:t>
            </w:r>
          </w:p>
        </w:tc>
        <w:tc>
          <w:tcPr>
            <w:tcW w:w="3209" w:type="dxa"/>
          </w:tcPr>
          <w:p w14:paraId="2121DE23" w14:textId="77777777" w:rsidR="00993F09" w:rsidRDefault="00993F09" w:rsidP="00602DDE">
            <w:pPr>
              <w:tabs>
                <w:tab w:val="left" w:pos="426"/>
              </w:tabs>
              <w:rPr>
                <w:rFonts w:ascii="Times New Roman" w:eastAsia="MS PGothic" w:hAnsi="Times New Roman" w:cs="Times New Roman"/>
                <w:iCs/>
                <w:color w:val="000000"/>
              </w:rPr>
            </w:pPr>
            <w:r>
              <w:rPr>
                <w:rFonts w:ascii="Times New Roman" w:eastAsia="MS PGothic" w:hAnsi="Times New Roman" w:cs="Times New Roman"/>
                <w:iCs/>
                <w:color w:val="000000"/>
              </w:rPr>
              <w:t>$10,215 - $20,430</w:t>
            </w:r>
          </w:p>
        </w:tc>
      </w:tr>
    </w:tbl>
    <w:p w14:paraId="4615A704"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47B52EED" w14:textId="77777777" w:rsidR="00993F09" w:rsidRDefault="00993F09" w:rsidP="00993F09">
      <w:pPr>
        <w:tabs>
          <w:tab w:val="left" w:pos="426"/>
        </w:tabs>
        <w:spacing w:after="0" w:line="240" w:lineRule="auto"/>
        <w:rPr>
          <w:rFonts w:ascii="Times New Roman" w:eastAsia="MS PGothic" w:hAnsi="Times New Roman" w:cs="Times New Roman"/>
          <w:iCs/>
          <w:color w:val="000000"/>
        </w:rPr>
      </w:pPr>
      <w:r w:rsidRPr="001A7788">
        <w:rPr>
          <w:rFonts w:ascii="Times New Roman" w:eastAsia="Arial" w:hAnsi="Times New Roman" w:cs="Times New Roman"/>
        </w:rPr>
        <w:t>Cost assumptions</w:t>
      </w:r>
      <w:r>
        <w:rPr>
          <w:rFonts w:ascii="Times New Roman" w:eastAsia="Arial" w:hAnsi="Times New Roman" w:cs="Times New Roman"/>
        </w:rPr>
        <w:t>:</w:t>
      </w:r>
    </w:p>
    <w:p w14:paraId="0CD61836" w14:textId="77777777" w:rsidR="00993F09" w:rsidRPr="00F401A5"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F401A5">
        <w:rPr>
          <w:rFonts w:ascii="Times New Roman" w:eastAsia="MS PGothic" w:hAnsi="Times New Roman" w:cs="Times New Roman"/>
          <w:iCs/>
          <w:color w:val="000000"/>
        </w:rPr>
        <w:t xml:space="preserve">Although many </w:t>
      </w:r>
      <w:r>
        <w:rPr>
          <w:rFonts w:ascii="Times New Roman" w:eastAsia="MS PGothic" w:hAnsi="Times New Roman" w:cs="Times New Roman"/>
          <w:iCs/>
          <w:color w:val="000000"/>
        </w:rPr>
        <w:t>SoNS</w:t>
      </w:r>
      <w:r w:rsidRPr="00F401A5">
        <w:rPr>
          <w:rFonts w:ascii="Times New Roman" w:eastAsia="MS PGothic" w:hAnsi="Times New Roman" w:cs="Times New Roman"/>
          <w:iCs/>
          <w:color w:val="000000"/>
        </w:rPr>
        <w:t xml:space="preserve"> are likely to already have an existing incident response plan that can be provided to the </w:t>
      </w:r>
      <w:r>
        <w:rPr>
          <w:rFonts w:ascii="Times New Roman" w:eastAsia="MS PGothic" w:hAnsi="Times New Roman" w:cs="Times New Roman"/>
          <w:iCs/>
          <w:color w:val="000000"/>
        </w:rPr>
        <w:t>CIC</w:t>
      </w:r>
      <w:r w:rsidRPr="00F401A5">
        <w:rPr>
          <w:rFonts w:ascii="Times New Roman" w:eastAsia="MS PGothic" w:hAnsi="Times New Roman" w:cs="Times New Roman"/>
          <w:iCs/>
          <w:color w:val="000000"/>
        </w:rPr>
        <w:t>, this analysis assumes each SoNS will need to</w:t>
      </w:r>
      <w:r>
        <w:rPr>
          <w:rFonts w:ascii="Times New Roman" w:eastAsia="MS PGothic" w:hAnsi="Times New Roman" w:cs="Times New Roman"/>
          <w:iCs/>
          <w:color w:val="000000"/>
        </w:rPr>
        <w:t xml:space="preserve"> </w:t>
      </w:r>
      <w:r w:rsidRPr="00F401A5">
        <w:rPr>
          <w:rFonts w:ascii="Times New Roman" w:eastAsia="MS PGothic" w:hAnsi="Times New Roman" w:cs="Times New Roman"/>
          <w:iCs/>
          <w:color w:val="000000"/>
        </w:rPr>
        <w:t>at least update their incident respon</w:t>
      </w:r>
      <w:r>
        <w:rPr>
          <w:rFonts w:ascii="Times New Roman" w:eastAsia="MS PGothic" w:hAnsi="Times New Roman" w:cs="Times New Roman"/>
          <w:iCs/>
          <w:color w:val="000000"/>
        </w:rPr>
        <w:t xml:space="preserve">se plan to comply with the obligation. </w:t>
      </w:r>
    </w:p>
    <w:p w14:paraId="504B6534" w14:textId="2B887868" w:rsidR="00AD4375" w:rsidRPr="00AD4375" w:rsidRDefault="00AD4375" w:rsidP="00AD4375">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AD4375">
        <w:rPr>
          <w:rFonts w:ascii="Times New Roman" w:eastAsia="MS PGothic" w:hAnsi="Times New Roman" w:cs="Times New Roman"/>
          <w:iCs/>
          <w:color w:val="000000"/>
        </w:rPr>
        <w:t>Three people within an organisation would be required to develop an incident response plan (a security operations lead at $250 an hour, a security operations analyst at $188 an hour and a head of security at $486 an hour).</w:t>
      </w:r>
    </w:p>
    <w:p w14:paraId="145FF815" w14:textId="77777777" w:rsidR="00993F09" w:rsidRPr="001A7788"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A265CB">
        <w:rPr>
          <w:rFonts w:ascii="Times New Roman" w:eastAsia="MS PGothic" w:hAnsi="Times New Roman" w:cs="Times New Roman"/>
          <w:iCs/>
          <w:color w:val="000000"/>
        </w:rPr>
        <w:t>All entities will have the same upfront costs to either develop an incident response plan or update an existing p</w:t>
      </w:r>
      <w:r>
        <w:rPr>
          <w:rFonts w:ascii="Times New Roman" w:eastAsia="MS PGothic" w:hAnsi="Times New Roman" w:cs="Times New Roman"/>
          <w:iCs/>
          <w:color w:val="000000"/>
        </w:rPr>
        <w:t>lan.</w:t>
      </w:r>
    </w:p>
    <w:p w14:paraId="40BCFAD8" w14:textId="11967774" w:rsidR="00993F09" w:rsidRPr="000266F5"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0266F5">
        <w:rPr>
          <w:rFonts w:ascii="Times New Roman" w:eastAsia="MS PGothic" w:hAnsi="Times New Roman" w:cs="Times New Roman"/>
          <w:iCs/>
          <w:color w:val="000000"/>
        </w:rPr>
        <w:t xml:space="preserve">It is expected that it will take between 1-3 weeks to develop an incident response plan with </w:t>
      </w:r>
      <w:r w:rsidR="008E6A18">
        <w:rPr>
          <w:rFonts w:ascii="Times New Roman" w:eastAsia="MS PGothic" w:hAnsi="Times New Roman" w:cs="Times New Roman"/>
          <w:iCs/>
          <w:color w:val="000000"/>
        </w:rPr>
        <w:t>one</w:t>
      </w:r>
      <w:r w:rsidRPr="000266F5">
        <w:rPr>
          <w:rFonts w:ascii="Times New Roman" w:eastAsia="MS PGothic" w:hAnsi="Times New Roman" w:cs="Times New Roman"/>
          <w:iCs/>
          <w:color w:val="000000"/>
        </w:rPr>
        <w:t xml:space="preserve"> week being the low scenario and </w:t>
      </w:r>
      <w:r w:rsidR="008E6A18">
        <w:rPr>
          <w:rFonts w:ascii="Times New Roman" w:eastAsia="MS PGothic" w:hAnsi="Times New Roman" w:cs="Times New Roman"/>
          <w:iCs/>
          <w:color w:val="000000"/>
        </w:rPr>
        <w:t>three</w:t>
      </w:r>
      <w:r w:rsidRPr="000266F5">
        <w:rPr>
          <w:rFonts w:ascii="Times New Roman" w:eastAsia="MS PGothic" w:hAnsi="Times New Roman" w:cs="Times New Roman"/>
          <w:iCs/>
          <w:color w:val="000000"/>
        </w:rPr>
        <w:t xml:space="preserve"> weeks being the high scenario.</w:t>
      </w:r>
      <w:r>
        <w:rPr>
          <w:rFonts w:ascii="Times New Roman" w:eastAsia="MS PGothic" w:hAnsi="Times New Roman" w:cs="Times New Roman"/>
          <w:iCs/>
          <w:color w:val="000000"/>
        </w:rPr>
        <w:t xml:space="preserve"> The low and high scenario will depend on the level of an entit</w:t>
      </w:r>
      <w:r w:rsidR="008E6A18">
        <w:rPr>
          <w:rFonts w:ascii="Times New Roman" w:eastAsia="MS PGothic" w:hAnsi="Times New Roman" w:cs="Times New Roman"/>
          <w:iCs/>
          <w:color w:val="000000"/>
        </w:rPr>
        <w:t>y’s</w:t>
      </w:r>
      <w:r>
        <w:rPr>
          <w:rFonts w:ascii="Times New Roman" w:eastAsia="MS PGothic" w:hAnsi="Times New Roman" w:cs="Times New Roman"/>
          <w:iCs/>
          <w:color w:val="000000"/>
        </w:rPr>
        <w:t xml:space="preserve"> existing maturity.  </w:t>
      </w:r>
    </w:p>
    <w:p w14:paraId="2CF019AB" w14:textId="77777777" w:rsidR="00993F09" w:rsidRPr="000266F5"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0266F5">
        <w:rPr>
          <w:rFonts w:ascii="Times New Roman" w:eastAsia="MS PGothic" w:hAnsi="Times New Roman" w:cs="Times New Roman"/>
          <w:iCs/>
          <w:color w:val="000000"/>
        </w:rPr>
        <w:t xml:space="preserve">To maintain and update an incident response plan annually, it would require the same three individuals from the organisation. </w:t>
      </w:r>
    </w:p>
    <w:p w14:paraId="12158FDD" w14:textId="77777777" w:rsidR="00993F09" w:rsidRPr="000266F5"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0266F5">
        <w:rPr>
          <w:rFonts w:ascii="Times New Roman" w:eastAsia="MS PGothic" w:hAnsi="Times New Roman" w:cs="Times New Roman"/>
          <w:iCs/>
          <w:color w:val="000000"/>
        </w:rPr>
        <w:lastRenderedPageBreak/>
        <w:t xml:space="preserve">It would take between 2 and 4 days for an entity to update their response plan with 2 days being the low scenario and 4 days being the high scenario. </w:t>
      </w:r>
    </w:p>
    <w:p w14:paraId="603CC37C" w14:textId="18FAFCE9" w:rsidR="00993F09"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0266F5">
        <w:rPr>
          <w:rFonts w:ascii="Times New Roman" w:eastAsia="MS PGothic" w:hAnsi="Times New Roman" w:cs="Times New Roman"/>
          <w:iCs/>
          <w:color w:val="000000"/>
        </w:rPr>
        <w:t xml:space="preserve">Due to the nature of a </w:t>
      </w:r>
      <w:r>
        <w:rPr>
          <w:rFonts w:ascii="Times New Roman" w:eastAsia="MS PGothic" w:hAnsi="Times New Roman" w:cs="Times New Roman"/>
          <w:iCs/>
          <w:color w:val="000000"/>
        </w:rPr>
        <w:t xml:space="preserve">SoNS </w:t>
      </w:r>
      <w:r w:rsidRPr="000266F5">
        <w:rPr>
          <w:rFonts w:ascii="Times New Roman" w:eastAsia="MS PGothic" w:hAnsi="Times New Roman" w:cs="Times New Roman"/>
          <w:iCs/>
          <w:color w:val="000000"/>
        </w:rPr>
        <w:t xml:space="preserve">it is not expected that a small organisation would be declared a </w:t>
      </w:r>
      <w:r>
        <w:rPr>
          <w:rFonts w:ascii="Times New Roman" w:eastAsia="MS PGothic" w:hAnsi="Times New Roman" w:cs="Times New Roman"/>
          <w:iCs/>
          <w:color w:val="000000"/>
        </w:rPr>
        <w:t>SoNS</w:t>
      </w:r>
      <w:r w:rsidRPr="000266F5">
        <w:rPr>
          <w:rFonts w:ascii="Times New Roman" w:eastAsia="MS PGothic" w:hAnsi="Times New Roman" w:cs="Times New Roman"/>
          <w:iCs/>
          <w:color w:val="000000"/>
        </w:rPr>
        <w:t>.</w:t>
      </w:r>
    </w:p>
    <w:p w14:paraId="162460B7" w14:textId="77777777" w:rsidR="00993F09" w:rsidRDefault="00993F09" w:rsidP="00993F09">
      <w:pPr>
        <w:pStyle w:val="ListParagraph"/>
        <w:tabs>
          <w:tab w:val="left" w:pos="426"/>
        </w:tabs>
        <w:spacing w:before="240" w:after="240" w:line="240" w:lineRule="auto"/>
        <w:rPr>
          <w:rFonts w:ascii="Times New Roman" w:eastAsia="MS PGothic" w:hAnsi="Times New Roman" w:cs="Times New Roman"/>
          <w:iCs/>
          <w:color w:val="000000"/>
        </w:rPr>
      </w:pPr>
    </w:p>
    <w:p w14:paraId="0C9EF8D7" w14:textId="6FC53CA0" w:rsidR="00993F09" w:rsidRPr="00EE0D81" w:rsidRDefault="00993F09" w:rsidP="00EE0D81">
      <w:pPr>
        <w:pStyle w:val="ListParagraph"/>
        <w:numPr>
          <w:ilvl w:val="0"/>
          <w:numId w:val="17"/>
        </w:numPr>
        <w:tabs>
          <w:tab w:val="left" w:pos="426"/>
        </w:tabs>
        <w:spacing w:after="0" w:line="240" w:lineRule="auto"/>
        <w:rPr>
          <w:rFonts w:ascii="Times New Roman" w:hAnsi="Times New Roman"/>
          <w:b/>
          <w:i/>
        </w:rPr>
      </w:pPr>
      <w:r w:rsidRPr="001A7788">
        <w:rPr>
          <w:rFonts w:ascii="Times New Roman" w:eastAsia="Arial" w:hAnsi="Times New Roman" w:cs="Times New Roman"/>
          <w:b/>
          <w:i/>
        </w:rPr>
        <w:t>Provision</w:t>
      </w:r>
      <w:r w:rsidRPr="00EE0D81">
        <w:rPr>
          <w:rFonts w:ascii="Times New Roman" w:hAnsi="Times New Roman"/>
          <w:b/>
          <w:i/>
        </w:rPr>
        <w:t xml:space="preserve"> of telemetry</w:t>
      </w:r>
    </w:p>
    <w:p w14:paraId="49BD17F6" w14:textId="77777777" w:rsidR="00993F09" w:rsidRPr="00EE0D81" w:rsidRDefault="00993F09" w:rsidP="00993F09">
      <w:pPr>
        <w:tabs>
          <w:tab w:val="left" w:pos="426"/>
        </w:tabs>
        <w:spacing w:after="0" w:line="240" w:lineRule="auto"/>
        <w:rPr>
          <w:rFonts w:ascii="Times New Roman" w:hAnsi="Times New Roman"/>
          <w:b/>
          <w:i/>
        </w:rPr>
      </w:pPr>
    </w:p>
    <w:p w14:paraId="1ECF0531" w14:textId="3F7DE4C9" w:rsidR="005B020F" w:rsidRPr="000266F5" w:rsidRDefault="00993F09" w:rsidP="005B020F">
      <w:pPr>
        <w:tabs>
          <w:tab w:val="left" w:pos="426"/>
        </w:tabs>
        <w:spacing w:after="0" w:line="240" w:lineRule="auto"/>
        <w:rPr>
          <w:rFonts w:ascii="Times New Roman" w:eastAsia="Arial" w:hAnsi="Times New Roman" w:cs="Times New Roman"/>
        </w:rPr>
      </w:pPr>
      <w:r w:rsidRPr="00D90FA5">
        <w:rPr>
          <w:rFonts w:ascii="Times New Roman" w:eastAsia="Arial" w:hAnsi="Times New Roman" w:cs="Times New Roman"/>
        </w:rPr>
        <w:t>An organisation's ability to detect and respond to a cyber incident depends</w:t>
      </w:r>
      <w:r>
        <w:rPr>
          <w:rFonts w:ascii="Times New Roman" w:eastAsia="Arial" w:hAnsi="Times New Roman" w:cs="Times New Roman"/>
        </w:rPr>
        <w:t xml:space="preserve"> </w:t>
      </w:r>
      <w:r w:rsidRPr="00D90FA5">
        <w:rPr>
          <w:rFonts w:ascii="Times New Roman" w:eastAsia="Arial" w:hAnsi="Times New Roman" w:cs="Times New Roman"/>
        </w:rPr>
        <w:t>on having visibility across their technology environment. This visibility is</w:t>
      </w:r>
      <w:r>
        <w:rPr>
          <w:rFonts w:ascii="Times New Roman" w:eastAsia="Arial" w:hAnsi="Times New Roman" w:cs="Times New Roman"/>
        </w:rPr>
        <w:t xml:space="preserve"> </w:t>
      </w:r>
      <w:r w:rsidRPr="00D90FA5">
        <w:rPr>
          <w:rFonts w:ascii="Times New Roman" w:eastAsia="Arial" w:hAnsi="Times New Roman" w:cs="Times New Roman"/>
        </w:rPr>
        <w:t>provided in the form of telemetry (often referred to as system logs) that</w:t>
      </w:r>
      <w:r>
        <w:rPr>
          <w:rFonts w:ascii="Times New Roman" w:eastAsia="Arial" w:hAnsi="Times New Roman" w:cs="Times New Roman"/>
        </w:rPr>
        <w:t xml:space="preserve"> </w:t>
      </w:r>
      <w:r w:rsidRPr="00D90FA5">
        <w:rPr>
          <w:rFonts w:ascii="Times New Roman" w:eastAsia="Arial" w:hAnsi="Times New Roman" w:cs="Times New Roman"/>
        </w:rPr>
        <w:t>are usually aggregated into a centralised security operations capability.</w:t>
      </w:r>
      <w:r w:rsidR="005B020F" w:rsidRPr="005B020F">
        <w:rPr>
          <w:rFonts w:ascii="Times New Roman" w:eastAsia="Arial" w:hAnsi="Times New Roman" w:cs="Times New Roman"/>
        </w:rPr>
        <w:t xml:space="preserve"> </w:t>
      </w:r>
      <w:r w:rsidR="005B020F" w:rsidRPr="000266F5">
        <w:rPr>
          <w:rFonts w:ascii="Times New Roman" w:eastAsia="Arial" w:hAnsi="Times New Roman" w:cs="Times New Roman"/>
        </w:rPr>
        <w:t>Where an organisation does not have the capability to provide telemetry, these services will be provided by the Government.</w:t>
      </w:r>
    </w:p>
    <w:p w14:paraId="06DCE020" w14:textId="77777777" w:rsidR="00993F09" w:rsidRDefault="00993F09" w:rsidP="00993F09">
      <w:pPr>
        <w:tabs>
          <w:tab w:val="left" w:pos="426"/>
        </w:tabs>
        <w:spacing w:after="0" w:line="240" w:lineRule="auto"/>
        <w:rPr>
          <w:rFonts w:ascii="Times New Roman" w:eastAsia="Arial" w:hAnsi="Times New Roman" w:cs="Times New Roman"/>
        </w:rPr>
      </w:pPr>
    </w:p>
    <w:tbl>
      <w:tblPr>
        <w:tblStyle w:val="TableGrid"/>
        <w:tblW w:w="0" w:type="auto"/>
        <w:tblLook w:val="04A0" w:firstRow="1" w:lastRow="0" w:firstColumn="1" w:lastColumn="0" w:noHBand="0" w:noVBand="1"/>
      </w:tblPr>
      <w:tblGrid>
        <w:gridCol w:w="5807"/>
        <w:gridCol w:w="3209"/>
      </w:tblGrid>
      <w:tr w:rsidR="00993F09" w14:paraId="2ACB8C28" w14:textId="77777777" w:rsidTr="00602DDE">
        <w:tc>
          <w:tcPr>
            <w:tcW w:w="5807" w:type="dxa"/>
          </w:tcPr>
          <w:p w14:paraId="543A29E6" w14:textId="77777777" w:rsidR="00993F09" w:rsidRPr="00FD2590" w:rsidRDefault="00993F09" w:rsidP="00602DDE">
            <w:pPr>
              <w:tabs>
                <w:tab w:val="left" w:pos="426"/>
              </w:tabs>
              <w:rPr>
                <w:rFonts w:ascii="Times New Roman" w:eastAsia="MS PGothic" w:hAnsi="Times New Roman" w:cs="Times New Roman"/>
                <w:b/>
                <w:iCs/>
                <w:color w:val="000000"/>
              </w:rPr>
            </w:pPr>
            <w:r w:rsidRPr="00FD2590">
              <w:rPr>
                <w:rFonts w:ascii="Times New Roman" w:eastAsia="MS PGothic" w:hAnsi="Times New Roman" w:cs="Times New Roman"/>
                <w:b/>
                <w:iCs/>
                <w:color w:val="000000"/>
              </w:rPr>
              <w:t>Cost description</w:t>
            </w:r>
          </w:p>
        </w:tc>
        <w:tc>
          <w:tcPr>
            <w:tcW w:w="3209" w:type="dxa"/>
          </w:tcPr>
          <w:p w14:paraId="566639FD" w14:textId="77777777" w:rsidR="00993F09" w:rsidRPr="00FD2590" w:rsidRDefault="00993F09" w:rsidP="00602DDE">
            <w:pPr>
              <w:tabs>
                <w:tab w:val="left" w:pos="426"/>
              </w:tabs>
              <w:rPr>
                <w:rFonts w:ascii="Times New Roman" w:eastAsia="MS PGothic" w:hAnsi="Times New Roman" w:cs="Times New Roman"/>
                <w:b/>
                <w:iCs/>
                <w:color w:val="000000"/>
              </w:rPr>
            </w:pPr>
            <w:r w:rsidRPr="00FD2590">
              <w:rPr>
                <w:rFonts w:ascii="Times New Roman" w:eastAsia="MS PGothic" w:hAnsi="Times New Roman" w:cs="Times New Roman"/>
                <w:b/>
                <w:iCs/>
                <w:color w:val="000000"/>
              </w:rPr>
              <w:t>Cost</w:t>
            </w:r>
          </w:p>
        </w:tc>
      </w:tr>
      <w:tr w:rsidR="00993F09" w14:paraId="7EF1BBDD" w14:textId="77777777" w:rsidTr="00602DDE">
        <w:tc>
          <w:tcPr>
            <w:tcW w:w="5807" w:type="dxa"/>
          </w:tcPr>
          <w:p w14:paraId="5DCCADED" w14:textId="77777777" w:rsidR="00993F09" w:rsidRDefault="00993F09" w:rsidP="00602DDE">
            <w:pPr>
              <w:tabs>
                <w:tab w:val="left" w:pos="426"/>
              </w:tabs>
              <w:rPr>
                <w:rFonts w:ascii="Times New Roman" w:eastAsia="MS PGothic" w:hAnsi="Times New Roman" w:cs="Times New Roman"/>
                <w:iCs/>
                <w:color w:val="000000"/>
              </w:rPr>
            </w:pPr>
            <w:r>
              <w:rPr>
                <w:rFonts w:ascii="Times New Roman" w:eastAsia="MS PGothic" w:hAnsi="Times New Roman" w:cs="Times New Roman"/>
                <w:iCs/>
                <w:color w:val="000000"/>
              </w:rPr>
              <w:t>Upfront cost for a single medium entity (Year 1)</w:t>
            </w:r>
          </w:p>
        </w:tc>
        <w:tc>
          <w:tcPr>
            <w:tcW w:w="3209" w:type="dxa"/>
          </w:tcPr>
          <w:p w14:paraId="10393D4F" w14:textId="77777777" w:rsidR="00993F09" w:rsidRPr="00111DC0" w:rsidRDefault="00993F09" w:rsidP="00602DDE">
            <w:pPr>
              <w:tabs>
                <w:tab w:val="left" w:pos="426"/>
              </w:tabs>
              <w:rPr>
                <w:rFonts w:ascii="Times New Roman" w:eastAsia="MS PGothic" w:hAnsi="Times New Roman" w:cs="Times New Roman"/>
                <w:iCs/>
                <w:color w:val="000000"/>
              </w:rPr>
            </w:pPr>
            <w:r w:rsidRPr="001A7788">
              <w:rPr>
                <w:rFonts w:ascii="Times New Roman" w:eastAsia="MS PGothic" w:hAnsi="Times New Roman" w:cs="Times New Roman"/>
                <w:iCs/>
                <w:color w:val="000000"/>
              </w:rPr>
              <w:t>$18,750</w:t>
            </w:r>
          </w:p>
        </w:tc>
      </w:tr>
      <w:tr w:rsidR="00993F09" w14:paraId="6D91FABD" w14:textId="77777777" w:rsidTr="00602DDE">
        <w:tc>
          <w:tcPr>
            <w:tcW w:w="5807" w:type="dxa"/>
          </w:tcPr>
          <w:p w14:paraId="1AC10805" w14:textId="77777777" w:rsidR="00993F09" w:rsidRDefault="00993F09" w:rsidP="00602DDE">
            <w:pPr>
              <w:tabs>
                <w:tab w:val="left" w:pos="426"/>
              </w:tabs>
              <w:rPr>
                <w:rFonts w:ascii="Times New Roman" w:eastAsia="MS PGothic" w:hAnsi="Times New Roman" w:cs="Times New Roman"/>
                <w:iCs/>
                <w:color w:val="000000"/>
              </w:rPr>
            </w:pPr>
            <w:r>
              <w:rPr>
                <w:rFonts w:ascii="Times New Roman" w:eastAsia="MS PGothic" w:hAnsi="Times New Roman" w:cs="Times New Roman"/>
                <w:iCs/>
                <w:color w:val="000000"/>
              </w:rPr>
              <w:t>Upfront cost for a single large entity (Year 1)</w:t>
            </w:r>
          </w:p>
        </w:tc>
        <w:tc>
          <w:tcPr>
            <w:tcW w:w="3209" w:type="dxa"/>
          </w:tcPr>
          <w:p w14:paraId="7A5D6FAB" w14:textId="77777777" w:rsidR="00993F09" w:rsidRDefault="00993F09" w:rsidP="00602DDE">
            <w:pPr>
              <w:tabs>
                <w:tab w:val="left" w:pos="426"/>
              </w:tabs>
              <w:rPr>
                <w:rFonts w:ascii="Times New Roman" w:eastAsia="MS PGothic" w:hAnsi="Times New Roman" w:cs="Times New Roman"/>
                <w:iCs/>
                <w:color w:val="000000"/>
              </w:rPr>
            </w:pPr>
            <w:r w:rsidRPr="001A7788">
              <w:rPr>
                <w:rFonts w:ascii="Times New Roman" w:eastAsia="MS PGothic" w:hAnsi="Times New Roman" w:cs="Times New Roman"/>
                <w:iCs/>
                <w:color w:val="000000"/>
              </w:rPr>
              <w:t>$18,750</w:t>
            </w:r>
          </w:p>
        </w:tc>
      </w:tr>
      <w:tr w:rsidR="00993F09" w14:paraId="149B8BF3" w14:textId="77777777" w:rsidTr="00602DDE">
        <w:tc>
          <w:tcPr>
            <w:tcW w:w="5807" w:type="dxa"/>
          </w:tcPr>
          <w:p w14:paraId="144D1C2C" w14:textId="77777777" w:rsidR="00993F09" w:rsidRDefault="00993F09" w:rsidP="00602DDE">
            <w:pPr>
              <w:tabs>
                <w:tab w:val="left" w:pos="426"/>
              </w:tabs>
              <w:rPr>
                <w:rFonts w:ascii="Times New Roman" w:eastAsia="MS PGothic" w:hAnsi="Times New Roman" w:cs="Times New Roman"/>
                <w:iCs/>
                <w:color w:val="000000"/>
              </w:rPr>
            </w:pPr>
            <w:r>
              <w:rPr>
                <w:rFonts w:ascii="Times New Roman" w:eastAsia="MS PGothic" w:hAnsi="Times New Roman" w:cs="Times New Roman"/>
                <w:iCs/>
                <w:color w:val="000000"/>
              </w:rPr>
              <w:t>Annual administrative cost for a single medium entity</w:t>
            </w:r>
          </w:p>
        </w:tc>
        <w:tc>
          <w:tcPr>
            <w:tcW w:w="3209" w:type="dxa"/>
          </w:tcPr>
          <w:p w14:paraId="6D3E9308" w14:textId="77777777" w:rsidR="00993F09" w:rsidRPr="00111DC0" w:rsidRDefault="00993F09" w:rsidP="00602DDE">
            <w:pPr>
              <w:tabs>
                <w:tab w:val="left" w:pos="426"/>
              </w:tabs>
              <w:rPr>
                <w:rFonts w:ascii="Times New Roman" w:eastAsia="MS PGothic" w:hAnsi="Times New Roman" w:cs="Times New Roman"/>
                <w:iCs/>
                <w:color w:val="000000"/>
              </w:rPr>
            </w:pPr>
            <w:r w:rsidRPr="001A7788">
              <w:rPr>
                <w:rFonts w:ascii="Times New Roman" w:eastAsia="MS PGothic" w:hAnsi="Times New Roman" w:cs="Times New Roman"/>
                <w:iCs/>
                <w:color w:val="000000"/>
              </w:rPr>
              <w:t>$49,375 - $79,375</w:t>
            </w:r>
          </w:p>
        </w:tc>
      </w:tr>
      <w:tr w:rsidR="00993F09" w14:paraId="0FE6BB9C" w14:textId="77777777" w:rsidTr="00602DDE">
        <w:tc>
          <w:tcPr>
            <w:tcW w:w="5807" w:type="dxa"/>
          </w:tcPr>
          <w:p w14:paraId="2E54AE70" w14:textId="77777777" w:rsidR="00993F09" w:rsidRPr="001A7788" w:rsidRDefault="00993F09" w:rsidP="00602DDE">
            <w:pPr>
              <w:tabs>
                <w:tab w:val="left" w:pos="426"/>
              </w:tabs>
              <w:rPr>
                <w:rFonts w:ascii="Calibri" w:hAnsi="Calibri"/>
                <w:color w:val="000000"/>
              </w:rPr>
            </w:pPr>
            <w:r w:rsidRPr="00111DC0">
              <w:rPr>
                <w:rFonts w:ascii="Times New Roman" w:eastAsia="MS PGothic" w:hAnsi="Times New Roman" w:cs="Times New Roman"/>
                <w:iCs/>
                <w:color w:val="000000"/>
              </w:rPr>
              <w:t xml:space="preserve">Annual </w:t>
            </w:r>
            <w:r>
              <w:rPr>
                <w:rFonts w:ascii="Times New Roman" w:eastAsia="MS PGothic" w:hAnsi="Times New Roman" w:cs="Times New Roman"/>
                <w:iCs/>
                <w:color w:val="000000"/>
              </w:rPr>
              <w:t xml:space="preserve">administrative </w:t>
            </w:r>
            <w:r w:rsidRPr="00111DC0">
              <w:rPr>
                <w:rFonts w:ascii="Times New Roman" w:eastAsia="MS PGothic" w:hAnsi="Times New Roman" w:cs="Times New Roman"/>
                <w:iCs/>
                <w:color w:val="000000"/>
              </w:rPr>
              <w:t xml:space="preserve">cost for a single </w:t>
            </w:r>
            <w:r w:rsidRPr="00644F50">
              <w:rPr>
                <w:rFonts w:ascii="Times New Roman" w:eastAsia="MS PGothic" w:hAnsi="Times New Roman" w:cs="Times New Roman"/>
                <w:iCs/>
                <w:color w:val="000000"/>
              </w:rPr>
              <w:t>large entity</w:t>
            </w:r>
          </w:p>
        </w:tc>
        <w:tc>
          <w:tcPr>
            <w:tcW w:w="3209" w:type="dxa"/>
          </w:tcPr>
          <w:p w14:paraId="01B4CB45" w14:textId="77777777" w:rsidR="00993F09" w:rsidRPr="00111DC0" w:rsidRDefault="00993F09" w:rsidP="00602DDE">
            <w:pPr>
              <w:tabs>
                <w:tab w:val="left" w:pos="426"/>
              </w:tabs>
              <w:rPr>
                <w:rFonts w:ascii="Times New Roman" w:eastAsia="MS PGothic" w:hAnsi="Times New Roman" w:cs="Times New Roman"/>
                <w:iCs/>
                <w:color w:val="000000"/>
              </w:rPr>
            </w:pPr>
            <w:r w:rsidRPr="00111DC0">
              <w:rPr>
                <w:rFonts w:ascii="Times New Roman" w:eastAsia="MS PGothic" w:hAnsi="Times New Roman" w:cs="Times New Roman"/>
                <w:iCs/>
                <w:color w:val="000000"/>
              </w:rPr>
              <w:t xml:space="preserve">$209,375 - </w:t>
            </w:r>
            <w:r w:rsidRPr="001A7788">
              <w:rPr>
                <w:rFonts w:ascii="Times New Roman" w:eastAsia="MS PGothic" w:hAnsi="Times New Roman" w:cs="Times New Roman"/>
                <w:iCs/>
                <w:color w:val="000000"/>
              </w:rPr>
              <w:t>$359,375</w:t>
            </w:r>
          </w:p>
        </w:tc>
      </w:tr>
    </w:tbl>
    <w:p w14:paraId="21B8033A" w14:textId="77777777" w:rsidR="00993F09" w:rsidRDefault="00993F09" w:rsidP="00993F09">
      <w:pPr>
        <w:tabs>
          <w:tab w:val="left" w:pos="426"/>
        </w:tabs>
        <w:spacing w:after="0" w:line="240" w:lineRule="auto"/>
        <w:rPr>
          <w:rFonts w:ascii="Times New Roman" w:eastAsia="Arial" w:hAnsi="Times New Roman" w:cs="Times New Roman"/>
        </w:rPr>
      </w:pPr>
    </w:p>
    <w:p w14:paraId="634A47FA" w14:textId="7777777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i/>
        </w:rPr>
        <w:t>Cost assumptions</w:t>
      </w:r>
    </w:p>
    <w:p w14:paraId="4E511AD2" w14:textId="5BBED819" w:rsidR="00AD4375" w:rsidRPr="00AD4375" w:rsidRDefault="00AD4375" w:rsidP="00AD4375">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AD4375">
        <w:rPr>
          <w:rFonts w:ascii="Times New Roman" w:eastAsia="MS PGothic" w:hAnsi="Times New Roman" w:cs="Times New Roman"/>
          <w:iCs/>
          <w:color w:val="000000"/>
        </w:rPr>
        <w:t>Upfront costs include a security operations lead at $250 an hour for two weeks being required to set up the capability to transmit telemetry.</w:t>
      </w:r>
    </w:p>
    <w:p w14:paraId="187EC4A8" w14:textId="7D47DD34" w:rsidR="00AD4375" w:rsidRPr="00AD4375" w:rsidRDefault="00AD4375" w:rsidP="00AD4375">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AD4375">
        <w:rPr>
          <w:rFonts w:ascii="Times New Roman" w:eastAsia="MS PGothic" w:hAnsi="Times New Roman" w:cs="Times New Roman"/>
          <w:iCs/>
          <w:color w:val="000000"/>
        </w:rPr>
        <w:t xml:space="preserve">Ongoing costs include the cost of a security operations lead at $250 an hour for one week being required for the ongoing reporting and an annual cost for </w:t>
      </w:r>
      <w:r w:rsidR="000859C2">
        <w:rPr>
          <w:rFonts w:ascii="Times New Roman" w:eastAsia="MS PGothic" w:hAnsi="Times New Roman" w:cs="Times New Roman"/>
          <w:iCs/>
          <w:color w:val="000000"/>
        </w:rPr>
        <w:t>technology</w:t>
      </w:r>
      <w:r w:rsidRPr="00AD4375">
        <w:rPr>
          <w:rFonts w:ascii="Times New Roman" w:eastAsia="MS PGothic" w:hAnsi="Times New Roman" w:cs="Times New Roman"/>
          <w:iCs/>
          <w:color w:val="000000"/>
        </w:rPr>
        <w:t xml:space="preserve"> deployment. </w:t>
      </w:r>
    </w:p>
    <w:p w14:paraId="31CF3364" w14:textId="4E3CFE16" w:rsidR="00993F09"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15230E">
        <w:rPr>
          <w:rFonts w:ascii="Times New Roman" w:eastAsia="MS PGothic" w:hAnsi="Times New Roman" w:cs="Times New Roman"/>
          <w:iCs/>
          <w:color w:val="000000"/>
        </w:rPr>
        <w:t xml:space="preserve">Upfront costs of </w:t>
      </w:r>
      <w:r w:rsidR="000859C2">
        <w:rPr>
          <w:rFonts w:ascii="Times New Roman" w:eastAsia="MS PGothic" w:hAnsi="Times New Roman" w:cs="Times New Roman"/>
          <w:iCs/>
          <w:color w:val="000000"/>
        </w:rPr>
        <w:t>technology</w:t>
      </w:r>
      <w:r w:rsidRPr="0015230E">
        <w:rPr>
          <w:rFonts w:ascii="Times New Roman" w:eastAsia="MS PGothic" w:hAnsi="Times New Roman" w:cs="Times New Roman"/>
          <w:iCs/>
          <w:color w:val="000000"/>
        </w:rPr>
        <w:t xml:space="preserve"> deployment: an entity may opt to choose their own </w:t>
      </w:r>
      <w:r w:rsidR="000859C2">
        <w:rPr>
          <w:rFonts w:ascii="Times New Roman" w:eastAsia="MS PGothic" w:hAnsi="Times New Roman" w:cs="Times New Roman"/>
          <w:iCs/>
          <w:color w:val="000000"/>
        </w:rPr>
        <w:t>technology</w:t>
      </w:r>
      <w:r w:rsidRPr="0015230E">
        <w:rPr>
          <w:rFonts w:ascii="Times New Roman" w:eastAsia="MS PGothic" w:hAnsi="Times New Roman" w:cs="Times New Roman"/>
          <w:iCs/>
          <w:color w:val="000000"/>
        </w:rPr>
        <w:t xml:space="preserve"> to provide access. Sensors can cost anywhere </w:t>
      </w:r>
      <w:r>
        <w:rPr>
          <w:rFonts w:ascii="Times New Roman" w:eastAsia="MS PGothic" w:hAnsi="Times New Roman" w:cs="Times New Roman"/>
          <w:iCs/>
          <w:color w:val="000000"/>
        </w:rPr>
        <w:t>between $20-</w:t>
      </w:r>
      <w:r w:rsidRPr="0015230E">
        <w:rPr>
          <w:rFonts w:ascii="Times New Roman" w:eastAsia="MS PGothic" w:hAnsi="Times New Roman" w:cs="Times New Roman"/>
          <w:iCs/>
          <w:color w:val="000000"/>
        </w:rPr>
        <w:t>35 per/host/year for both the technology and</w:t>
      </w:r>
      <w:r>
        <w:rPr>
          <w:rFonts w:ascii="Times New Roman" w:eastAsia="MS PGothic" w:hAnsi="Times New Roman" w:cs="Times New Roman"/>
          <w:iCs/>
          <w:color w:val="000000"/>
        </w:rPr>
        <w:t xml:space="preserve"> analysis. </w:t>
      </w:r>
      <w:r w:rsidRPr="0015230E">
        <w:rPr>
          <w:rFonts w:ascii="Times New Roman" w:eastAsia="MS PGothic" w:hAnsi="Times New Roman" w:cs="Times New Roman"/>
          <w:iCs/>
          <w:color w:val="000000"/>
        </w:rPr>
        <w:t xml:space="preserve">The size of the organisation will drive cost in this regard as well as the degree of coverage. For a medium size organisation (less than 2,000 hosts) </w:t>
      </w:r>
      <w:r>
        <w:rPr>
          <w:rFonts w:ascii="Times New Roman" w:eastAsia="MS PGothic" w:hAnsi="Times New Roman" w:cs="Times New Roman"/>
          <w:iCs/>
          <w:color w:val="000000"/>
        </w:rPr>
        <w:t>it would cost $40,500-</w:t>
      </w:r>
      <w:r w:rsidRPr="0015230E">
        <w:rPr>
          <w:rFonts w:ascii="Times New Roman" w:eastAsia="MS PGothic" w:hAnsi="Times New Roman" w:cs="Times New Roman"/>
          <w:iCs/>
          <w:color w:val="000000"/>
        </w:rPr>
        <w:t>$70,000 per annum and for a large organisation (over 10,000 hosts) $200,000</w:t>
      </w:r>
      <w:r>
        <w:rPr>
          <w:rFonts w:ascii="Times New Roman" w:eastAsia="MS PGothic" w:hAnsi="Times New Roman" w:cs="Times New Roman"/>
          <w:iCs/>
          <w:color w:val="000000"/>
        </w:rPr>
        <w:t>-</w:t>
      </w:r>
      <w:r w:rsidRPr="0015230E">
        <w:rPr>
          <w:rFonts w:ascii="Times New Roman" w:eastAsia="MS PGothic" w:hAnsi="Times New Roman" w:cs="Times New Roman"/>
          <w:iCs/>
          <w:color w:val="000000"/>
        </w:rPr>
        <w:t xml:space="preserve">$350,000 per annum. </w:t>
      </w:r>
      <w:r>
        <w:rPr>
          <w:rFonts w:ascii="Times New Roman" w:eastAsia="MS PGothic" w:hAnsi="Times New Roman" w:cs="Times New Roman"/>
          <w:iCs/>
          <w:color w:val="000000"/>
        </w:rPr>
        <w:t xml:space="preserve">The low range assumes $40,500 and $200,000 and the high range assumes $70,000 and $350,000. </w:t>
      </w:r>
      <w:r w:rsidRPr="0015230E">
        <w:rPr>
          <w:rFonts w:ascii="Times New Roman" w:eastAsia="MS PGothic" w:hAnsi="Times New Roman" w:cs="Times New Roman"/>
          <w:iCs/>
          <w:color w:val="000000"/>
        </w:rPr>
        <w:t>We assume 50 per cent of all organisations would uptake this cost.</w:t>
      </w:r>
      <w:r>
        <w:rPr>
          <w:rFonts w:ascii="Times New Roman" w:eastAsia="MS PGothic" w:hAnsi="Times New Roman" w:cs="Times New Roman"/>
          <w:iCs/>
          <w:color w:val="000000"/>
        </w:rPr>
        <w:t xml:space="preserve"> </w:t>
      </w:r>
    </w:p>
    <w:p w14:paraId="74F345DD" w14:textId="77777777" w:rsidR="00993F09"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15230E">
        <w:rPr>
          <w:rFonts w:ascii="Times New Roman" w:eastAsia="MS PGothic" w:hAnsi="Times New Roman" w:cs="Times New Roman"/>
          <w:iCs/>
          <w:color w:val="000000"/>
        </w:rPr>
        <w:t>Reporting costs for the compilation and transmission of telemetry to be shared with Government: this consists of an upfront cost to set up the reporting procedures in place in the first year and ongoing reporting costs on annual basis. It is estimated that the initial upfront process would take two weeks with the annual reporting to be one week of full time work for a security operations lead.</w:t>
      </w:r>
    </w:p>
    <w:p w14:paraId="33CC1484" w14:textId="77777777" w:rsidR="00993F09" w:rsidRPr="0015230E"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Pr>
          <w:rFonts w:ascii="Times New Roman" w:eastAsia="MS PGothic" w:hAnsi="Times New Roman" w:cs="Times New Roman"/>
          <w:iCs/>
          <w:color w:val="000000"/>
        </w:rPr>
        <w:t xml:space="preserve">PwC has made these assumptions based on their own experiences and desktop research. </w:t>
      </w:r>
    </w:p>
    <w:p w14:paraId="373BCEB7" w14:textId="77777777" w:rsidR="00993F09" w:rsidRPr="000266F5"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0266F5">
        <w:rPr>
          <w:rFonts w:ascii="Times New Roman" w:eastAsia="MS PGothic" w:hAnsi="Times New Roman" w:cs="Times New Roman"/>
          <w:iCs/>
          <w:color w:val="000000"/>
        </w:rPr>
        <w:t xml:space="preserve">Due to the nature of a </w:t>
      </w:r>
      <w:r w:rsidRPr="00EE0D81">
        <w:rPr>
          <w:rFonts w:ascii="Times New Roman" w:hAnsi="Times New Roman"/>
          <w:i/>
          <w:color w:val="000000"/>
        </w:rPr>
        <w:t>systems of national significance</w:t>
      </w:r>
      <w:r w:rsidRPr="000266F5">
        <w:rPr>
          <w:rFonts w:ascii="Times New Roman" w:eastAsia="MS PGothic" w:hAnsi="Times New Roman" w:cs="Times New Roman"/>
          <w:iCs/>
          <w:color w:val="000000"/>
        </w:rPr>
        <w:t xml:space="preserve"> it is not expected that a small organisation would be declared a </w:t>
      </w:r>
      <w:r w:rsidRPr="00EE0D81">
        <w:rPr>
          <w:rFonts w:ascii="Times New Roman" w:hAnsi="Times New Roman"/>
          <w:i/>
          <w:color w:val="000000"/>
        </w:rPr>
        <w:t>system of national significance</w:t>
      </w:r>
      <w:r w:rsidRPr="000266F5">
        <w:rPr>
          <w:rFonts w:ascii="Times New Roman" w:eastAsia="MS PGothic" w:hAnsi="Times New Roman" w:cs="Times New Roman"/>
          <w:iCs/>
          <w:color w:val="000000"/>
        </w:rPr>
        <w:t>.</w:t>
      </w:r>
    </w:p>
    <w:p w14:paraId="0C761641" w14:textId="77777777" w:rsidR="00993F09" w:rsidRPr="000266F5" w:rsidRDefault="00993F09" w:rsidP="00993F09">
      <w:pPr>
        <w:pStyle w:val="ListParagraph"/>
        <w:tabs>
          <w:tab w:val="left" w:pos="426"/>
        </w:tabs>
        <w:spacing w:before="240" w:after="240" w:line="240" w:lineRule="auto"/>
        <w:rPr>
          <w:rFonts w:ascii="Times New Roman" w:eastAsia="MS PGothic" w:hAnsi="Times New Roman" w:cs="Times New Roman"/>
          <w:iCs/>
          <w:color w:val="000000"/>
        </w:rPr>
      </w:pPr>
    </w:p>
    <w:p w14:paraId="294071F0" w14:textId="70EA2062" w:rsidR="00993F09" w:rsidRPr="00EE0D81" w:rsidRDefault="00993F09" w:rsidP="00EE0D81">
      <w:pPr>
        <w:pStyle w:val="ListParagraph"/>
        <w:numPr>
          <w:ilvl w:val="0"/>
          <w:numId w:val="17"/>
        </w:numPr>
        <w:tabs>
          <w:tab w:val="left" w:pos="426"/>
        </w:tabs>
        <w:spacing w:after="0" w:line="240" w:lineRule="auto"/>
        <w:rPr>
          <w:rFonts w:ascii="Times New Roman" w:hAnsi="Times New Roman"/>
          <w:b/>
          <w:i/>
        </w:rPr>
      </w:pPr>
      <w:r w:rsidRPr="001A7788">
        <w:rPr>
          <w:rFonts w:ascii="Times New Roman" w:eastAsia="Arial" w:hAnsi="Times New Roman" w:cs="Times New Roman"/>
          <w:b/>
          <w:i/>
        </w:rPr>
        <w:t>Vulnerability</w:t>
      </w:r>
      <w:r w:rsidRPr="00EE0D81">
        <w:rPr>
          <w:rFonts w:ascii="Times New Roman" w:hAnsi="Times New Roman"/>
          <w:b/>
          <w:i/>
        </w:rPr>
        <w:t xml:space="preserve"> assessment</w:t>
      </w:r>
    </w:p>
    <w:p w14:paraId="285FD21D" w14:textId="77777777" w:rsidR="00993F09" w:rsidRPr="00EE0D81" w:rsidRDefault="00993F09" w:rsidP="00993F09">
      <w:pPr>
        <w:tabs>
          <w:tab w:val="left" w:pos="426"/>
        </w:tabs>
        <w:spacing w:after="0" w:line="240" w:lineRule="auto"/>
        <w:rPr>
          <w:rFonts w:ascii="Times New Roman" w:hAnsi="Times New Roman"/>
          <w:b/>
          <w:i/>
        </w:rPr>
      </w:pPr>
    </w:p>
    <w:p w14:paraId="4CE139A5" w14:textId="734657F2" w:rsidR="00993F09" w:rsidRDefault="00993F09" w:rsidP="00993F09">
      <w:pPr>
        <w:tabs>
          <w:tab w:val="left" w:pos="426"/>
        </w:tabs>
        <w:spacing w:after="0" w:line="240" w:lineRule="auto"/>
        <w:rPr>
          <w:rFonts w:ascii="Times New Roman" w:eastAsia="Arial" w:hAnsi="Times New Roman" w:cs="Times New Roman"/>
        </w:rPr>
      </w:pPr>
      <w:r w:rsidRPr="00EC46E1">
        <w:rPr>
          <w:rFonts w:ascii="Times New Roman" w:eastAsia="Arial" w:hAnsi="Times New Roman" w:cs="Times New Roman"/>
        </w:rPr>
        <w:t>Conducting a vulnerability assessment in relation to a specific computer</w:t>
      </w:r>
      <w:r>
        <w:rPr>
          <w:rFonts w:ascii="Times New Roman" w:eastAsia="Arial" w:hAnsi="Times New Roman" w:cs="Times New Roman"/>
        </w:rPr>
        <w:t xml:space="preserve"> </w:t>
      </w:r>
      <w:r w:rsidRPr="00EC46E1">
        <w:rPr>
          <w:rFonts w:ascii="Times New Roman" w:eastAsia="Arial" w:hAnsi="Times New Roman" w:cs="Times New Roman"/>
        </w:rPr>
        <w:t>system or network can inform the effectiveness of the cyber security</w:t>
      </w:r>
      <w:r>
        <w:rPr>
          <w:rFonts w:ascii="Times New Roman" w:eastAsia="Arial" w:hAnsi="Times New Roman" w:cs="Times New Roman"/>
        </w:rPr>
        <w:t xml:space="preserve"> </w:t>
      </w:r>
      <w:r w:rsidRPr="00EC46E1">
        <w:rPr>
          <w:rFonts w:ascii="Times New Roman" w:eastAsia="Arial" w:hAnsi="Times New Roman" w:cs="Times New Roman"/>
        </w:rPr>
        <w:t xml:space="preserve">arrangements in place. </w:t>
      </w:r>
      <w:r w:rsidR="005B020F">
        <w:rPr>
          <w:rFonts w:ascii="Times New Roman" w:eastAsia="Arial" w:hAnsi="Times New Roman" w:cs="Times New Roman"/>
        </w:rPr>
        <w:t>T</w:t>
      </w:r>
      <w:r w:rsidR="005B020F" w:rsidRPr="00EC46E1">
        <w:rPr>
          <w:rFonts w:ascii="Times New Roman" w:eastAsia="Arial" w:hAnsi="Times New Roman" w:cs="Times New Roman"/>
        </w:rPr>
        <w:t>he goal is to</w:t>
      </w:r>
      <w:r w:rsidR="005B020F">
        <w:rPr>
          <w:rFonts w:ascii="Times New Roman" w:eastAsia="Arial" w:hAnsi="Times New Roman" w:cs="Times New Roman"/>
        </w:rPr>
        <w:t xml:space="preserve"> </w:t>
      </w:r>
      <w:r w:rsidR="005B020F" w:rsidRPr="00EC46E1">
        <w:rPr>
          <w:rFonts w:ascii="Times New Roman" w:eastAsia="Arial" w:hAnsi="Times New Roman" w:cs="Times New Roman"/>
        </w:rPr>
        <w:t>identify as many security vulnerabilities as possible.</w:t>
      </w:r>
    </w:p>
    <w:p w14:paraId="776D5F7B" w14:textId="77777777" w:rsidR="00993F09" w:rsidRDefault="00993F09" w:rsidP="00993F09">
      <w:pPr>
        <w:tabs>
          <w:tab w:val="left" w:pos="426"/>
        </w:tabs>
        <w:spacing w:after="0" w:line="240" w:lineRule="auto"/>
        <w:rPr>
          <w:rFonts w:ascii="Times New Roman" w:eastAsia="Arial" w:hAnsi="Times New Roman" w:cs="Times New Roman"/>
        </w:rPr>
      </w:pPr>
    </w:p>
    <w:p w14:paraId="39F4EB25" w14:textId="11E216F9" w:rsidR="00993F09" w:rsidRDefault="00993F09" w:rsidP="00993F09">
      <w:pPr>
        <w:tabs>
          <w:tab w:val="left" w:pos="426"/>
        </w:tabs>
        <w:spacing w:after="0" w:line="240" w:lineRule="auto"/>
        <w:rPr>
          <w:rFonts w:ascii="Times New Roman" w:eastAsia="Arial" w:hAnsi="Times New Roman" w:cs="Times New Roman"/>
        </w:rPr>
      </w:pPr>
      <w:r>
        <w:rPr>
          <w:rFonts w:ascii="Times New Roman" w:eastAsia="Arial" w:hAnsi="Times New Roman" w:cs="Times New Roman"/>
        </w:rPr>
        <w:t>If a vulnerability assessment is required to be undertaken by an organisation there will be consultation between Government and the entity to determine whether they have the capability to undertake this.</w:t>
      </w:r>
      <w:r w:rsidRPr="00447847">
        <w:rPr>
          <w:rFonts w:ascii="Times New Roman" w:eastAsia="Arial" w:hAnsi="Times New Roman" w:cs="Times New Roman"/>
        </w:rPr>
        <w:t xml:space="preserve"> </w:t>
      </w:r>
      <w:r>
        <w:rPr>
          <w:rFonts w:ascii="Times New Roman" w:eastAsia="Arial" w:hAnsi="Times New Roman" w:cs="Times New Roman"/>
        </w:rPr>
        <w:t xml:space="preserve">If </w:t>
      </w:r>
      <w:r w:rsidRPr="00DA1CF9">
        <w:rPr>
          <w:rFonts w:ascii="Times New Roman" w:eastAsia="Arial" w:hAnsi="Times New Roman" w:cs="Times New Roman"/>
        </w:rPr>
        <w:t xml:space="preserve">the Secretary has reasonable grounds to believe that </w:t>
      </w:r>
      <w:r>
        <w:rPr>
          <w:rFonts w:ascii="Times New Roman" w:eastAsia="Arial" w:hAnsi="Times New Roman" w:cs="Times New Roman"/>
        </w:rPr>
        <w:t>an</w:t>
      </w:r>
      <w:r w:rsidRPr="00DA1CF9">
        <w:rPr>
          <w:rFonts w:ascii="Times New Roman" w:eastAsia="Arial" w:hAnsi="Times New Roman" w:cs="Times New Roman"/>
        </w:rPr>
        <w:t xml:space="preserve"> entity would not be capable of complying with </w:t>
      </w:r>
      <w:r>
        <w:rPr>
          <w:rFonts w:ascii="Times New Roman" w:eastAsia="Arial" w:hAnsi="Times New Roman" w:cs="Times New Roman"/>
        </w:rPr>
        <w:t xml:space="preserve">a request or has not complied with request in the past than the Government may offer assistance to provide the service on behalf of the directed entity. </w:t>
      </w:r>
    </w:p>
    <w:p w14:paraId="03EDAEDB" w14:textId="77777777" w:rsidR="00993F09" w:rsidRDefault="00993F09" w:rsidP="00993F09">
      <w:pPr>
        <w:tabs>
          <w:tab w:val="left" w:pos="426"/>
        </w:tabs>
        <w:spacing w:after="0" w:line="240" w:lineRule="auto"/>
        <w:rPr>
          <w:rFonts w:ascii="Times New Roman" w:eastAsia="Arial" w:hAnsi="Times New Roman" w:cs="Times New Roman"/>
        </w:rPr>
      </w:pPr>
    </w:p>
    <w:p w14:paraId="5059B4D1" w14:textId="3F7275C2" w:rsidR="00993F09" w:rsidRPr="00EC46E1" w:rsidRDefault="00993F09" w:rsidP="00993F09">
      <w:pPr>
        <w:tabs>
          <w:tab w:val="left" w:pos="426"/>
        </w:tabs>
        <w:spacing w:after="0" w:line="240" w:lineRule="auto"/>
        <w:rPr>
          <w:rFonts w:ascii="Times New Roman" w:eastAsia="Arial" w:hAnsi="Times New Roman" w:cs="Times New Roman"/>
        </w:rPr>
      </w:pPr>
      <w:r w:rsidRPr="00447847">
        <w:rPr>
          <w:rFonts w:ascii="Times New Roman" w:eastAsia="Arial" w:hAnsi="Times New Roman" w:cs="Times New Roman"/>
        </w:rPr>
        <w:t>If an</w:t>
      </w:r>
      <w:r>
        <w:rPr>
          <w:rFonts w:ascii="Times New Roman" w:eastAsia="Arial" w:hAnsi="Times New Roman" w:cs="Times New Roman"/>
        </w:rPr>
        <w:t xml:space="preserve"> </w:t>
      </w:r>
      <w:r w:rsidRPr="00447847">
        <w:rPr>
          <w:rFonts w:ascii="Times New Roman" w:eastAsia="Arial" w:hAnsi="Times New Roman" w:cs="Times New Roman"/>
        </w:rPr>
        <w:t>entity did not already undertake vulnerability assessments as a matter of</w:t>
      </w:r>
      <w:r>
        <w:rPr>
          <w:rFonts w:ascii="Times New Roman" w:eastAsia="Arial" w:hAnsi="Times New Roman" w:cs="Times New Roman"/>
        </w:rPr>
        <w:t xml:space="preserve"> </w:t>
      </w:r>
      <w:r w:rsidRPr="00447847">
        <w:rPr>
          <w:rFonts w:ascii="Times New Roman" w:eastAsia="Arial" w:hAnsi="Times New Roman" w:cs="Times New Roman"/>
        </w:rPr>
        <w:t>course, the entity could procure software or engage third party</w:t>
      </w:r>
      <w:r>
        <w:rPr>
          <w:rFonts w:ascii="Times New Roman" w:eastAsia="Arial" w:hAnsi="Times New Roman" w:cs="Times New Roman"/>
        </w:rPr>
        <w:t xml:space="preserve"> </w:t>
      </w:r>
      <w:r w:rsidRPr="00447847">
        <w:rPr>
          <w:rFonts w:ascii="Times New Roman" w:eastAsia="Arial" w:hAnsi="Times New Roman" w:cs="Times New Roman"/>
        </w:rPr>
        <w:t>contractors to undertake vulnerability assessments. The cost of a</w:t>
      </w:r>
      <w:r>
        <w:rPr>
          <w:rFonts w:ascii="Times New Roman" w:eastAsia="Arial" w:hAnsi="Times New Roman" w:cs="Times New Roman"/>
        </w:rPr>
        <w:t xml:space="preserve"> </w:t>
      </w:r>
      <w:r w:rsidRPr="00447847">
        <w:rPr>
          <w:rFonts w:ascii="Times New Roman" w:eastAsia="Arial" w:hAnsi="Times New Roman" w:cs="Times New Roman"/>
        </w:rPr>
        <w:t>vulnerability assessment will vary depending on the size of the network,</w:t>
      </w:r>
      <w:r>
        <w:rPr>
          <w:rFonts w:ascii="Times New Roman" w:eastAsia="Arial" w:hAnsi="Times New Roman" w:cs="Times New Roman"/>
        </w:rPr>
        <w:t xml:space="preserve"> </w:t>
      </w:r>
      <w:r w:rsidRPr="00447847">
        <w:rPr>
          <w:rFonts w:ascii="Times New Roman" w:eastAsia="Arial" w:hAnsi="Times New Roman" w:cs="Times New Roman"/>
        </w:rPr>
        <w:t xml:space="preserve">speed, frequency and experience of the </w:t>
      </w:r>
      <w:r w:rsidRPr="004A7840">
        <w:rPr>
          <w:rFonts w:ascii="Times New Roman" w:eastAsia="Arial" w:hAnsi="Times New Roman" w:cs="Times New Roman"/>
        </w:rPr>
        <w:t>tester. Costs to outsource this work if the skills are not held internally are accounted for in these costings.</w:t>
      </w:r>
      <w:r>
        <w:rPr>
          <w:rFonts w:ascii="Times New Roman" w:eastAsia="Arial" w:hAnsi="Times New Roman" w:cs="Times New Roman"/>
        </w:rPr>
        <w:t xml:space="preserve"> </w:t>
      </w:r>
    </w:p>
    <w:p w14:paraId="1C7A84AE" w14:textId="77777777" w:rsidR="00993F09" w:rsidRPr="000266F5" w:rsidRDefault="00993F09" w:rsidP="00993F09">
      <w:pPr>
        <w:tabs>
          <w:tab w:val="left" w:pos="426"/>
        </w:tabs>
        <w:spacing w:after="0" w:line="240" w:lineRule="auto"/>
        <w:rPr>
          <w:rFonts w:ascii="Times New Roman" w:eastAsia="Arial" w:hAnsi="Times New Roman" w:cs="Times New Roman"/>
        </w:rPr>
      </w:pPr>
    </w:p>
    <w:tbl>
      <w:tblPr>
        <w:tblStyle w:val="TableGrid"/>
        <w:tblW w:w="0" w:type="auto"/>
        <w:tblLook w:val="04A0" w:firstRow="1" w:lastRow="0" w:firstColumn="1" w:lastColumn="0" w:noHBand="0" w:noVBand="1"/>
      </w:tblPr>
      <w:tblGrid>
        <w:gridCol w:w="5807"/>
        <w:gridCol w:w="3209"/>
      </w:tblGrid>
      <w:tr w:rsidR="00993F09" w14:paraId="6B50CC6B" w14:textId="77777777" w:rsidTr="00602DDE">
        <w:tc>
          <w:tcPr>
            <w:tcW w:w="5807" w:type="dxa"/>
          </w:tcPr>
          <w:p w14:paraId="2340B704" w14:textId="77777777" w:rsidR="00993F09" w:rsidRPr="00FD2590" w:rsidRDefault="00993F09" w:rsidP="00602DDE">
            <w:pPr>
              <w:tabs>
                <w:tab w:val="left" w:pos="426"/>
              </w:tabs>
              <w:rPr>
                <w:rFonts w:ascii="Times New Roman" w:eastAsia="MS PGothic" w:hAnsi="Times New Roman" w:cs="Times New Roman"/>
                <w:b/>
                <w:iCs/>
                <w:color w:val="000000"/>
              </w:rPr>
            </w:pPr>
            <w:r w:rsidRPr="00FD2590">
              <w:rPr>
                <w:rFonts w:ascii="Times New Roman" w:eastAsia="MS PGothic" w:hAnsi="Times New Roman" w:cs="Times New Roman"/>
                <w:b/>
                <w:iCs/>
                <w:color w:val="000000"/>
              </w:rPr>
              <w:t>Cost description</w:t>
            </w:r>
          </w:p>
        </w:tc>
        <w:tc>
          <w:tcPr>
            <w:tcW w:w="3209" w:type="dxa"/>
          </w:tcPr>
          <w:p w14:paraId="04B9E9F3" w14:textId="77777777" w:rsidR="00993F09" w:rsidRPr="00FD2590" w:rsidRDefault="00993F09" w:rsidP="00602DDE">
            <w:pPr>
              <w:tabs>
                <w:tab w:val="left" w:pos="426"/>
              </w:tabs>
              <w:rPr>
                <w:rFonts w:ascii="Times New Roman" w:eastAsia="MS PGothic" w:hAnsi="Times New Roman" w:cs="Times New Roman"/>
                <w:b/>
                <w:iCs/>
                <w:color w:val="000000"/>
              </w:rPr>
            </w:pPr>
            <w:r w:rsidRPr="00FD2590">
              <w:rPr>
                <w:rFonts w:ascii="Times New Roman" w:eastAsia="MS PGothic" w:hAnsi="Times New Roman" w:cs="Times New Roman"/>
                <w:b/>
                <w:iCs/>
                <w:color w:val="000000"/>
              </w:rPr>
              <w:t>Cost</w:t>
            </w:r>
          </w:p>
        </w:tc>
      </w:tr>
      <w:tr w:rsidR="00993F09" w14:paraId="41721B66" w14:textId="77777777" w:rsidTr="00602DDE">
        <w:tc>
          <w:tcPr>
            <w:tcW w:w="5807" w:type="dxa"/>
          </w:tcPr>
          <w:p w14:paraId="15BF071B" w14:textId="77777777" w:rsidR="00993F09" w:rsidRDefault="00993F09" w:rsidP="00602DDE">
            <w:pPr>
              <w:tabs>
                <w:tab w:val="left" w:pos="426"/>
              </w:tabs>
              <w:rPr>
                <w:rFonts w:ascii="Times New Roman" w:eastAsia="MS PGothic" w:hAnsi="Times New Roman" w:cs="Times New Roman"/>
                <w:iCs/>
                <w:color w:val="000000"/>
              </w:rPr>
            </w:pPr>
            <w:r>
              <w:rPr>
                <w:rFonts w:ascii="Times New Roman" w:eastAsia="MS PGothic" w:hAnsi="Times New Roman" w:cs="Times New Roman"/>
                <w:iCs/>
                <w:color w:val="000000"/>
              </w:rPr>
              <w:t>Annual cost for a single medium entity</w:t>
            </w:r>
          </w:p>
        </w:tc>
        <w:tc>
          <w:tcPr>
            <w:tcW w:w="3209" w:type="dxa"/>
          </w:tcPr>
          <w:p w14:paraId="5C804F61" w14:textId="77777777" w:rsidR="00993F09" w:rsidRPr="00FD2590" w:rsidRDefault="00993F09" w:rsidP="00602DDE">
            <w:pPr>
              <w:tabs>
                <w:tab w:val="left" w:pos="426"/>
              </w:tabs>
              <w:rPr>
                <w:rFonts w:ascii="Times New Roman" w:eastAsia="MS PGothic" w:hAnsi="Times New Roman" w:cs="Times New Roman"/>
                <w:iCs/>
                <w:color w:val="000000"/>
              </w:rPr>
            </w:pPr>
            <w:r w:rsidRPr="00FD2590">
              <w:rPr>
                <w:rFonts w:ascii="Times New Roman" w:eastAsia="MS PGothic" w:hAnsi="Times New Roman" w:cs="Times New Roman"/>
                <w:iCs/>
                <w:color w:val="000000"/>
              </w:rPr>
              <w:t>$4</w:t>
            </w:r>
            <w:r>
              <w:rPr>
                <w:rFonts w:ascii="Times New Roman" w:eastAsia="MS PGothic" w:hAnsi="Times New Roman" w:cs="Times New Roman"/>
                <w:iCs/>
                <w:color w:val="000000"/>
              </w:rPr>
              <w:t>6,875</w:t>
            </w:r>
            <w:r w:rsidRPr="00FD2590">
              <w:rPr>
                <w:rFonts w:ascii="Times New Roman" w:eastAsia="MS PGothic" w:hAnsi="Times New Roman" w:cs="Times New Roman"/>
                <w:iCs/>
                <w:color w:val="000000"/>
              </w:rPr>
              <w:t xml:space="preserve"> </w:t>
            </w:r>
          </w:p>
        </w:tc>
      </w:tr>
      <w:tr w:rsidR="00993F09" w14:paraId="4B4D8863" w14:textId="77777777" w:rsidTr="00602DDE">
        <w:tc>
          <w:tcPr>
            <w:tcW w:w="5807" w:type="dxa"/>
          </w:tcPr>
          <w:p w14:paraId="5191E5C1" w14:textId="77777777" w:rsidR="00993F09" w:rsidRPr="00FD2590" w:rsidRDefault="00993F09" w:rsidP="00602DDE">
            <w:pPr>
              <w:tabs>
                <w:tab w:val="left" w:pos="426"/>
              </w:tabs>
              <w:rPr>
                <w:rFonts w:ascii="Calibri" w:hAnsi="Calibri"/>
                <w:color w:val="000000"/>
              </w:rPr>
            </w:pPr>
            <w:r w:rsidRPr="00FD2590">
              <w:rPr>
                <w:rFonts w:ascii="Times New Roman" w:eastAsia="MS PGothic" w:hAnsi="Times New Roman" w:cs="Times New Roman"/>
                <w:iCs/>
                <w:color w:val="000000"/>
              </w:rPr>
              <w:t>Annual cost for a single large entity</w:t>
            </w:r>
          </w:p>
        </w:tc>
        <w:tc>
          <w:tcPr>
            <w:tcW w:w="3209" w:type="dxa"/>
          </w:tcPr>
          <w:p w14:paraId="652804D0" w14:textId="77777777" w:rsidR="00993F09" w:rsidRPr="00FD2590" w:rsidRDefault="00993F09" w:rsidP="00602DDE">
            <w:pPr>
              <w:tabs>
                <w:tab w:val="left" w:pos="426"/>
              </w:tabs>
              <w:rPr>
                <w:rFonts w:ascii="Times New Roman" w:eastAsia="MS PGothic" w:hAnsi="Times New Roman" w:cs="Times New Roman"/>
                <w:iCs/>
                <w:color w:val="000000"/>
              </w:rPr>
            </w:pPr>
            <w:r>
              <w:rPr>
                <w:rFonts w:ascii="Times New Roman" w:eastAsia="MS PGothic" w:hAnsi="Times New Roman" w:cs="Times New Roman"/>
                <w:iCs/>
                <w:color w:val="000000"/>
              </w:rPr>
              <w:t>$117,375</w:t>
            </w:r>
          </w:p>
        </w:tc>
      </w:tr>
    </w:tbl>
    <w:p w14:paraId="78761C39" w14:textId="77777777" w:rsidR="00993F09" w:rsidRDefault="00993F09" w:rsidP="00993F09">
      <w:pPr>
        <w:tabs>
          <w:tab w:val="left" w:pos="426"/>
        </w:tabs>
        <w:spacing w:after="0" w:line="240" w:lineRule="auto"/>
        <w:rPr>
          <w:rFonts w:ascii="Times New Roman" w:eastAsia="Arial" w:hAnsi="Times New Roman" w:cs="Times New Roman"/>
        </w:rPr>
      </w:pPr>
    </w:p>
    <w:p w14:paraId="6625A3E0" w14:textId="7777777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i/>
        </w:rPr>
        <w:t>Cost assumptions</w:t>
      </w:r>
    </w:p>
    <w:p w14:paraId="4D0CBB3D" w14:textId="77777777" w:rsidR="00993F09" w:rsidRPr="000266F5"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0266F5">
        <w:rPr>
          <w:rFonts w:ascii="Times New Roman" w:eastAsia="MS PGothic" w:hAnsi="Times New Roman" w:cs="Times New Roman"/>
          <w:iCs/>
          <w:color w:val="000000"/>
        </w:rPr>
        <w:t>There are no upfront costs associated with conducting a vulnerability assessment.</w:t>
      </w:r>
    </w:p>
    <w:p w14:paraId="7C77FE74" w14:textId="77777777" w:rsidR="00993F09" w:rsidRPr="001A7788"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751ACD">
        <w:rPr>
          <w:rFonts w:ascii="Times New Roman" w:eastAsia="MS PGothic" w:hAnsi="Times New Roman" w:cs="Times New Roman"/>
          <w:iCs/>
          <w:color w:val="000000"/>
        </w:rPr>
        <w:t>The costs of conducting a v</w:t>
      </w:r>
      <w:r>
        <w:rPr>
          <w:rFonts w:ascii="Times New Roman" w:eastAsia="MS PGothic" w:hAnsi="Times New Roman" w:cs="Times New Roman"/>
          <w:iCs/>
          <w:color w:val="000000"/>
        </w:rPr>
        <w:t>ulnerability</w:t>
      </w:r>
      <w:r w:rsidRPr="00751ACD">
        <w:rPr>
          <w:rFonts w:ascii="Times New Roman" w:eastAsia="MS PGothic" w:hAnsi="Times New Roman" w:cs="Times New Roman"/>
          <w:iCs/>
          <w:color w:val="000000"/>
        </w:rPr>
        <w:t xml:space="preserve"> assessment differs based on the </w:t>
      </w:r>
      <w:r>
        <w:rPr>
          <w:rFonts w:ascii="Times New Roman" w:eastAsia="MS PGothic" w:hAnsi="Times New Roman" w:cs="Times New Roman"/>
          <w:iCs/>
          <w:color w:val="000000"/>
        </w:rPr>
        <w:t xml:space="preserve">size of an </w:t>
      </w:r>
      <w:r w:rsidRPr="00751ACD">
        <w:rPr>
          <w:rFonts w:ascii="Times New Roman" w:eastAsia="MS PGothic" w:hAnsi="Times New Roman" w:cs="Times New Roman"/>
          <w:iCs/>
          <w:color w:val="000000"/>
        </w:rPr>
        <w:t>organisation’s network as well as their technology environment. This has significant implications on duration and resourcing required. For the purpose of this analysis, two main components</w:t>
      </w:r>
      <w:r>
        <w:rPr>
          <w:rFonts w:ascii="Times New Roman" w:eastAsia="MS PGothic" w:hAnsi="Times New Roman" w:cs="Times New Roman"/>
          <w:iCs/>
          <w:color w:val="000000"/>
        </w:rPr>
        <w:t xml:space="preserve"> have been factored</w:t>
      </w:r>
      <w:r w:rsidRPr="00751ACD">
        <w:rPr>
          <w:rFonts w:ascii="Times New Roman" w:eastAsia="MS PGothic" w:hAnsi="Times New Roman" w:cs="Times New Roman"/>
          <w:iCs/>
          <w:color w:val="000000"/>
        </w:rPr>
        <w:t>:</w:t>
      </w:r>
    </w:p>
    <w:p w14:paraId="2269AC8B" w14:textId="77777777" w:rsidR="00993F09" w:rsidRPr="001A7788" w:rsidRDefault="00993F09" w:rsidP="00993F09">
      <w:pPr>
        <w:pStyle w:val="ListParagraph"/>
        <w:numPr>
          <w:ilvl w:val="1"/>
          <w:numId w:val="10"/>
        </w:numPr>
        <w:tabs>
          <w:tab w:val="left" w:pos="426"/>
        </w:tabs>
        <w:spacing w:before="240" w:after="240" w:line="240" w:lineRule="auto"/>
        <w:rPr>
          <w:rFonts w:ascii="Times New Roman" w:eastAsia="MS PGothic" w:hAnsi="Times New Roman" w:cs="Times New Roman"/>
          <w:iCs/>
          <w:color w:val="000000"/>
        </w:rPr>
      </w:pPr>
      <w:r w:rsidRPr="00751ACD">
        <w:rPr>
          <w:rFonts w:ascii="Times New Roman" w:eastAsia="MS PGothic" w:hAnsi="Times New Roman" w:cs="Times New Roman"/>
          <w:iCs/>
          <w:color w:val="000000"/>
        </w:rPr>
        <w:t>Size of organisation: This refers to the number of systems on a network. We assume a vulnerability assessment for an organisation with a medium network would require one security operations lead,</w:t>
      </w:r>
      <w:r>
        <w:rPr>
          <w:rFonts w:ascii="Times New Roman" w:eastAsia="MS PGothic" w:hAnsi="Times New Roman" w:cs="Times New Roman"/>
          <w:iCs/>
          <w:color w:val="000000"/>
        </w:rPr>
        <w:t xml:space="preserve"> </w:t>
      </w:r>
      <w:r w:rsidRPr="00751ACD">
        <w:rPr>
          <w:rFonts w:ascii="Times New Roman" w:eastAsia="MS PGothic" w:hAnsi="Times New Roman" w:cs="Times New Roman"/>
          <w:iCs/>
          <w:color w:val="000000"/>
        </w:rPr>
        <w:t>where a large network would require two additional security</w:t>
      </w:r>
      <w:r>
        <w:rPr>
          <w:rFonts w:ascii="Times New Roman" w:eastAsia="MS PGothic" w:hAnsi="Times New Roman" w:cs="Times New Roman"/>
          <w:iCs/>
          <w:color w:val="000000"/>
        </w:rPr>
        <w:t xml:space="preserve"> </w:t>
      </w:r>
      <w:r w:rsidRPr="00751ACD">
        <w:rPr>
          <w:rFonts w:ascii="Times New Roman" w:eastAsia="MS PGothic" w:hAnsi="Times New Roman" w:cs="Times New Roman"/>
          <w:iCs/>
          <w:color w:val="000000"/>
        </w:rPr>
        <w:t>operations analyst for support. This is due to the additional time it takes for vulnerability scans to run, and for the results to be manually interpreted. We assume the assessment would be done for subset of systems/networks that are the highest risk/criticality for the organisation, rather than every system on the network.</w:t>
      </w:r>
    </w:p>
    <w:p w14:paraId="4B0D0279" w14:textId="262E87F3" w:rsidR="00993F09" w:rsidRDefault="00993F09" w:rsidP="00993F09">
      <w:pPr>
        <w:pStyle w:val="ListParagraph"/>
        <w:numPr>
          <w:ilvl w:val="1"/>
          <w:numId w:val="10"/>
        </w:numPr>
        <w:tabs>
          <w:tab w:val="left" w:pos="426"/>
        </w:tabs>
        <w:spacing w:before="240" w:after="240" w:line="240" w:lineRule="auto"/>
        <w:rPr>
          <w:rFonts w:ascii="Times New Roman" w:eastAsia="MS PGothic" w:hAnsi="Times New Roman" w:cs="Times New Roman"/>
          <w:iCs/>
          <w:color w:val="000000"/>
        </w:rPr>
      </w:pPr>
      <w:r w:rsidRPr="00751ACD">
        <w:rPr>
          <w:rFonts w:ascii="Times New Roman" w:eastAsia="MS PGothic" w:hAnsi="Times New Roman" w:cs="Times New Roman"/>
          <w:iCs/>
          <w:color w:val="000000"/>
        </w:rPr>
        <w:t xml:space="preserve">Technology environment: There are significant differences in how vulnerabilities can be assessed in IT versus OT networks. OT systems necessitate a more manual approach due to the risks of running automated scans, and this is more time consuming and complex. OT systems can often be in remote locations which also increases the time for an assessment. We have assumed two thirds of SoNS have </w:t>
      </w:r>
      <w:r w:rsidR="008E6A18">
        <w:rPr>
          <w:rFonts w:ascii="Times New Roman" w:eastAsia="MS PGothic" w:hAnsi="Times New Roman" w:cs="Times New Roman"/>
          <w:iCs/>
          <w:color w:val="000000"/>
        </w:rPr>
        <w:t xml:space="preserve">a </w:t>
      </w:r>
      <w:r w:rsidRPr="00751ACD">
        <w:rPr>
          <w:rFonts w:ascii="Times New Roman" w:eastAsia="MS PGothic" w:hAnsi="Times New Roman" w:cs="Times New Roman"/>
          <w:iCs/>
          <w:color w:val="000000"/>
        </w:rPr>
        <w:t xml:space="preserve">notable amount of OT in their environment (e.g. multiple critical OT based systems), based on our experience working across critical infrastructure sectors. </w:t>
      </w:r>
    </w:p>
    <w:p w14:paraId="4D24BBB7" w14:textId="77777777" w:rsidR="00993F09" w:rsidRPr="00751ACD"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751ACD">
        <w:rPr>
          <w:rFonts w:ascii="Times New Roman" w:eastAsia="MS PGothic" w:hAnsi="Times New Roman" w:cs="Times New Roman"/>
          <w:iCs/>
          <w:color w:val="000000"/>
        </w:rPr>
        <w:t xml:space="preserve">We assume that each organisation only conducts one vulnerability assessment per annum. </w:t>
      </w:r>
    </w:p>
    <w:p w14:paraId="11B72142" w14:textId="251C5770" w:rsidR="003F2E49" w:rsidRPr="00751ACD" w:rsidRDefault="003F2E49" w:rsidP="003F2E4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751ACD">
        <w:rPr>
          <w:rFonts w:ascii="Times New Roman" w:eastAsia="MS PGothic" w:hAnsi="Times New Roman" w:cs="Times New Roman"/>
          <w:iCs/>
          <w:color w:val="000000"/>
        </w:rPr>
        <w:t>The annual administrative costs for a medium organisation are calculated assuming that a single security operations lead at $</w:t>
      </w:r>
      <w:r>
        <w:rPr>
          <w:rFonts w:ascii="Times New Roman" w:eastAsia="MS PGothic" w:hAnsi="Times New Roman" w:cs="Times New Roman"/>
          <w:iCs/>
          <w:color w:val="000000"/>
        </w:rPr>
        <w:t>250</w:t>
      </w:r>
      <w:r w:rsidRPr="00751ACD">
        <w:rPr>
          <w:rFonts w:ascii="Times New Roman" w:eastAsia="MS PGothic" w:hAnsi="Times New Roman" w:cs="Times New Roman"/>
          <w:iCs/>
          <w:color w:val="000000"/>
        </w:rPr>
        <w:t xml:space="preserve"> per hour would require one week to conduct a vulnerability assessment on their IT system, and 4 weeks on their IT/OT systems.</w:t>
      </w:r>
    </w:p>
    <w:p w14:paraId="39838E62" w14:textId="51F96666" w:rsidR="003F2E49" w:rsidRPr="000266F5" w:rsidRDefault="003F2E49" w:rsidP="003F2E4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0266F5">
        <w:rPr>
          <w:rFonts w:ascii="Times New Roman" w:eastAsia="MS PGothic" w:hAnsi="Times New Roman" w:cs="Times New Roman"/>
          <w:iCs/>
          <w:color w:val="000000"/>
        </w:rPr>
        <w:t>The annual administrative costs for a large organisation are calculated assuming that one security operations lead at $</w:t>
      </w:r>
      <w:r>
        <w:rPr>
          <w:rFonts w:ascii="Times New Roman" w:eastAsia="MS PGothic" w:hAnsi="Times New Roman" w:cs="Times New Roman"/>
          <w:iCs/>
          <w:color w:val="000000"/>
        </w:rPr>
        <w:t>250</w:t>
      </w:r>
      <w:r w:rsidRPr="000266F5">
        <w:rPr>
          <w:rFonts w:ascii="Times New Roman" w:eastAsia="MS PGothic" w:hAnsi="Times New Roman" w:cs="Times New Roman"/>
          <w:iCs/>
          <w:color w:val="000000"/>
        </w:rPr>
        <w:t xml:space="preserve"> per hour and two security operations analysts at $</w:t>
      </w:r>
      <w:r>
        <w:rPr>
          <w:rFonts w:ascii="Times New Roman" w:eastAsia="MS PGothic" w:hAnsi="Times New Roman" w:cs="Times New Roman"/>
          <w:iCs/>
          <w:color w:val="000000"/>
        </w:rPr>
        <w:t>188</w:t>
      </w:r>
      <w:r w:rsidRPr="000266F5">
        <w:rPr>
          <w:rFonts w:ascii="Times New Roman" w:eastAsia="MS PGothic" w:hAnsi="Times New Roman" w:cs="Times New Roman"/>
          <w:iCs/>
          <w:color w:val="000000"/>
        </w:rPr>
        <w:t xml:space="preserve"> per hour would require one week to conduct a vulnerability assessment on their IT system, and 4 weeks on their IT/OT systems.</w:t>
      </w:r>
    </w:p>
    <w:p w14:paraId="719CE89A" w14:textId="77777777" w:rsidR="00993F09" w:rsidRPr="000266F5" w:rsidRDefault="00993F09" w:rsidP="00993F09">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0266F5">
        <w:rPr>
          <w:rFonts w:ascii="Times New Roman" w:eastAsia="MS PGothic" w:hAnsi="Times New Roman" w:cs="Times New Roman"/>
          <w:iCs/>
          <w:color w:val="000000"/>
        </w:rPr>
        <w:t xml:space="preserve">Due to the nature of a </w:t>
      </w:r>
      <w:r w:rsidRPr="00EE0D81">
        <w:rPr>
          <w:rFonts w:ascii="Times New Roman" w:hAnsi="Times New Roman"/>
          <w:i/>
          <w:color w:val="000000"/>
        </w:rPr>
        <w:t>systems of national significance</w:t>
      </w:r>
      <w:r w:rsidRPr="000266F5">
        <w:rPr>
          <w:rFonts w:ascii="Times New Roman" w:eastAsia="MS PGothic" w:hAnsi="Times New Roman" w:cs="Times New Roman"/>
          <w:iCs/>
          <w:color w:val="000000"/>
        </w:rPr>
        <w:t xml:space="preserve"> it is not expected that a small organisation would be declared a </w:t>
      </w:r>
      <w:r w:rsidRPr="00EE0D81">
        <w:rPr>
          <w:rFonts w:ascii="Times New Roman" w:hAnsi="Times New Roman"/>
          <w:i/>
          <w:color w:val="000000"/>
        </w:rPr>
        <w:t>system of national significance</w:t>
      </w:r>
      <w:r w:rsidRPr="000266F5">
        <w:rPr>
          <w:rFonts w:ascii="Times New Roman" w:eastAsia="MS PGothic" w:hAnsi="Times New Roman" w:cs="Times New Roman"/>
          <w:iCs/>
          <w:color w:val="000000"/>
        </w:rPr>
        <w:t>.</w:t>
      </w:r>
    </w:p>
    <w:p w14:paraId="2B944466" w14:textId="77777777" w:rsidR="00993F09" w:rsidRPr="000266F5" w:rsidRDefault="00993F09" w:rsidP="00993F09">
      <w:pPr>
        <w:pStyle w:val="ListParagraph"/>
        <w:tabs>
          <w:tab w:val="left" w:pos="426"/>
        </w:tabs>
        <w:spacing w:before="240" w:after="240" w:line="240" w:lineRule="auto"/>
        <w:rPr>
          <w:rFonts w:ascii="Times New Roman" w:eastAsia="MS PGothic" w:hAnsi="Times New Roman" w:cs="Times New Roman"/>
          <w:iCs/>
          <w:color w:val="000000"/>
        </w:rPr>
      </w:pPr>
    </w:p>
    <w:p w14:paraId="7210B89F" w14:textId="67DA2AF9" w:rsidR="00993F09" w:rsidRPr="00EE0D81" w:rsidRDefault="00993F09" w:rsidP="00EE0D81">
      <w:pPr>
        <w:pStyle w:val="ListParagraph"/>
        <w:numPr>
          <w:ilvl w:val="0"/>
          <w:numId w:val="17"/>
        </w:numPr>
        <w:tabs>
          <w:tab w:val="left" w:pos="426"/>
        </w:tabs>
        <w:spacing w:after="0" w:line="240" w:lineRule="auto"/>
        <w:rPr>
          <w:rFonts w:ascii="Times New Roman" w:hAnsi="Times New Roman"/>
          <w:b/>
          <w:i/>
        </w:rPr>
      </w:pPr>
      <w:r w:rsidRPr="001A7788">
        <w:rPr>
          <w:rFonts w:ascii="Times New Roman" w:eastAsia="Arial" w:hAnsi="Times New Roman" w:cs="Times New Roman"/>
          <w:b/>
          <w:i/>
        </w:rPr>
        <w:t>Cyber</w:t>
      </w:r>
      <w:r w:rsidRPr="00EE0D81">
        <w:rPr>
          <w:rFonts w:ascii="Times New Roman" w:hAnsi="Times New Roman"/>
          <w:b/>
          <w:i/>
        </w:rPr>
        <w:t xml:space="preserve"> security exercise</w:t>
      </w:r>
    </w:p>
    <w:p w14:paraId="0687951D" w14:textId="77777777" w:rsidR="00993F09" w:rsidRPr="00EE0D81" w:rsidRDefault="00993F09" w:rsidP="00993F09">
      <w:pPr>
        <w:tabs>
          <w:tab w:val="left" w:pos="426"/>
        </w:tabs>
        <w:spacing w:after="0" w:line="240" w:lineRule="auto"/>
        <w:rPr>
          <w:rFonts w:ascii="Times New Roman" w:hAnsi="Times New Roman"/>
          <w:b/>
          <w:i/>
        </w:rPr>
      </w:pPr>
    </w:p>
    <w:p w14:paraId="72014864" w14:textId="2E9FE681" w:rsidR="00AD4375" w:rsidRPr="003F2E49" w:rsidRDefault="005B020F" w:rsidP="005B020F">
      <w:pPr>
        <w:tabs>
          <w:tab w:val="left" w:pos="426"/>
        </w:tabs>
        <w:spacing w:after="0" w:line="240" w:lineRule="auto"/>
        <w:rPr>
          <w:rFonts w:ascii="Times New Roman" w:eastAsia="Arial" w:hAnsi="Times New Roman" w:cs="Times New Roman"/>
        </w:rPr>
      </w:pPr>
      <w:r w:rsidRPr="005B020F">
        <w:rPr>
          <w:rFonts w:ascii="Times New Roman" w:eastAsia="Arial" w:hAnsi="Times New Roman" w:cs="Times New Roman"/>
        </w:rPr>
        <w:t>Conducting a cyber security exercise is an important activity for an</w:t>
      </w:r>
      <w:r>
        <w:rPr>
          <w:rFonts w:ascii="Times New Roman" w:eastAsia="Arial" w:hAnsi="Times New Roman" w:cs="Times New Roman"/>
        </w:rPr>
        <w:t xml:space="preserve"> </w:t>
      </w:r>
      <w:r w:rsidRPr="005B020F">
        <w:rPr>
          <w:rFonts w:ascii="Times New Roman" w:eastAsia="Arial" w:hAnsi="Times New Roman" w:cs="Times New Roman"/>
        </w:rPr>
        <w:t>organisation to test and improve their cyber resilience.</w:t>
      </w:r>
      <w:r>
        <w:rPr>
          <w:rFonts w:ascii="Times New Roman" w:eastAsia="Arial" w:hAnsi="Times New Roman" w:cs="Times New Roman"/>
        </w:rPr>
        <w:t xml:space="preserve"> </w:t>
      </w:r>
      <w:r w:rsidR="00AD4375" w:rsidRPr="003F2E49">
        <w:rPr>
          <w:rFonts w:ascii="Times New Roman" w:eastAsia="Arial" w:hAnsi="Times New Roman" w:cs="Times New Roman"/>
        </w:rPr>
        <w:t xml:space="preserve">A tabletop exercise (paper based walkthrough) and a functional exercise (end-to-end simulation) has been costed. The functional exercise is significantly more detailed and resource intensive. </w:t>
      </w:r>
    </w:p>
    <w:p w14:paraId="5EBA83E5" w14:textId="77777777" w:rsidR="00993F09" w:rsidRPr="003F2E49" w:rsidRDefault="00993F09" w:rsidP="00993F09">
      <w:pPr>
        <w:tabs>
          <w:tab w:val="left" w:pos="426"/>
        </w:tabs>
        <w:spacing w:after="0" w:line="240" w:lineRule="auto"/>
        <w:rPr>
          <w:rFonts w:ascii="Times New Roman" w:eastAsia="Arial" w:hAnsi="Times New Roman" w:cs="Times New Roman"/>
        </w:rPr>
      </w:pPr>
    </w:p>
    <w:tbl>
      <w:tblPr>
        <w:tblStyle w:val="TableGrid"/>
        <w:tblW w:w="0" w:type="auto"/>
        <w:tblLook w:val="04A0" w:firstRow="1" w:lastRow="0" w:firstColumn="1" w:lastColumn="0" w:noHBand="0" w:noVBand="1"/>
      </w:tblPr>
      <w:tblGrid>
        <w:gridCol w:w="5807"/>
        <w:gridCol w:w="3209"/>
      </w:tblGrid>
      <w:tr w:rsidR="00AD4375" w:rsidRPr="003F2E49" w14:paraId="6F8D84F2" w14:textId="77777777" w:rsidTr="00602DDE">
        <w:tc>
          <w:tcPr>
            <w:tcW w:w="5807" w:type="dxa"/>
          </w:tcPr>
          <w:p w14:paraId="3462D55D" w14:textId="5157D7FE" w:rsidR="00AD4375" w:rsidRPr="003F2E49" w:rsidRDefault="00AD4375" w:rsidP="00AD4375">
            <w:pPr>
              <w:tabs>
                <w:tab w:val="left" w:pos="426"/>
              </w:tabs>
              <w:rPr>
                <w:rFonts w:ascii="Times New Roman" w:eastAsia="MS PGothic" w:hAnsi="Times New Roman" w:cs="Times New Roman"/>
                <w:b/>
                <w:iCs/>
                <w:color w:val="000000"/>
              </w:rPr>
            </w:pPr>
            <w:r w:rsidRPr="003F2E49">
              <w:rPr>
                <w:rFonts w:ascii="Times New Roman" w:eastAsia="MS PGothic" w:hAnsi="Times New Roman" w:cs="Times New Roman"/>
                <w:b/>
                <w:iCs/>
                <w:color w:val="000000"/>
              </w:rPr>
              <w:t>Cost description</w:t>
            </w:r>
          </w:p>
        </w:tc>
        <w:tc>
          <w:tcPr>
            <w:tcW w:w="3209" w:type="dxa"/>
          </w:tcPr>
          <w:p w14:paraId="4EA01D36" w14:textId="2AC8892D" w:rsidR="00AD4375" w:rsidRPr="003F2E49" w:rsidRDefault="00AD4375" w:rsidP="00AD4375">
            <w:pPr>
              <w:tabs>
                <w:tab w:val="left" w:pos="426"/>
              </w:tabs>
              <w:rPr>
                <w:rFonts w:ascii="Times New Roman" w:eastAsia="MS PGothic" w:hAnsi="Times New Roman" w:cs="Times New Roman"/>
                <w:b/>
                <w:iCs/>
                <w:color w:val="000000"/>
              </w:rPr>
            </w:pPr>
            <w:r w:rsidRPr="003F2E49">
              <w:rPr>
                <w:rFonts w:ascii="Times New Roman" w:eastAsia="MS PGothic" w:hAnsi="Times New Roman" w:cs="Times New Roman"/>
                <w:b/>
                <w:iCs/>
                <w:color w:val="000000"/>
              </w:rPr>
              <w:t>Cost</w:t>
            </w:r>
          </w:p>
        </w:tc>
      </w:tr>
      <w:tr w:rsidR="00AD4375" w:rsidRPr="003F2E49" w14:paraId="43CCA404" w14:textId="77777777" w:rsidTr="00602DDE">
        <w:tc>
          <w:tcPr>
            <w:tcW w:w="5807" w:type="dxa"/>
          </w:tcPr>
          <w:p w14:paraId="23321A12" w14:textId="32FF2745" w:rsidR="00AD4375" w:rsidRPr="003F2E49" w:rsidRDefault="00AD4375" w:rsidP="00AD4375">
            <w:pPr>
              <w:tabs>
                <w:tab w:val="left" w:pos="426"/>
              </w:tabs>
              <w:rPr>
                <w:rFonts w:ascii="Times New Roman" w:eastAsia="MS PGothic" w:hAnsi="Times New Roman" w:cs="Times New Roman"/>
                <w:iCs/>
                <w:color w:val="000000"/>
              </w:rPr>
            </w:pPr>
            <w:r w:rsidRPr="003F2E49">
              <w:rPr>
                <w:rFonts w:ascii="Times New Roman" w:eastAsia="MS PGothic" w:hAnsi="Times New Roman" w:cs="Times New Roman"/>
                <w:iCs/>
                <w:color w:val="000000"/>
              </w:rPr>
              <w:t>Annual cost for a single entity</w:t>
            </w:r>
          </w:p>
        </w:tc>
        <w:tc>
          <w:tcPr>
            <w:tcW w:w="3209" w:type="dxa"/>
          </w:tcPr>
          <w:p w14:paraId="541EFC94" w14:textId="6441C2F4" w:rsidR="00AD4375" w:rsidRPr="003F2E49" w:rsidRDefault="00AD4375" w:rsidP="00AD4375">
            <w:pPr>
              <w:tabs>
                <w:tab w:val="left" w:pos="426"/>
              </w:tabs>
              <w:rPr>
                <w:rFonts w:ascii="Times New Roman" w:eastAsia="MS PGothic" w:hAnsi="Times New Roman" w:cs="Times New Roman"/>
                <w:iCs/>
                <w:color w:val="000000"/>
              </w:rPr>
            </w:pPr>
            <w:r w:rsidRPr="003F2E49">
              <w:rPr>
                <w:rFonts w:ascii="Times New Roman" w:eastAsia="MS PGothic" w:hAnsi="Times New Roman" w:cs="Times New Roman"/>
                <w:iCs/>
                <w:color w:val="000000"/>
              </w:rPr>
              <w:t>$30,488 - $61,425</w:t>
            </w:r>
          </w:p>
        </w:tc>
      </w:tr>
    </w:tbl>
    <w:p w14:paraId="1CBCF6A9" w14:textId="77777777" w:rsidR="00993F09" w:rsidRPr="003F2E49" w:rsidRDefault="00993F09" w:rsidP="00993F09">
      <w:pPr>
        <w:tabs>
          <w:tab w:val="left" w:pos="426"/>
        </w:tabs>
        <w:spacing w:after="0" w:line="240" w:lineRule="auto"/>
        <w:rPr>
          <w:rFonts w:ascii="Times New Roman" w:eastAsia="Arial" w:hAnsi="Times New Roman" w:cs="Times New Roman"/>
        </w:rPr>
      </w:pPr>
    </w:p>
    <w:p w14:paraId="184F76A2" w14:textId="77777777" w:rsidR="00993F09" w:rsidRPr="003F2E49" w:rsidRDefault="00993F09" w:rsidP="00993F09">
      <w:pPr>
        <w:tabs>
          <w:tab w:val="left" w:pos="426"/>
        </w:tabs>
        <w:spacing w:after="0" w:line="240" w:lineRule="auto"/>
        <w:rPr>
          <w:rFonts w:ascii="Times New Roman" w:eastAsia="Arial" w:hAnsi="Times New Roman" w:cs="Times New Roman"/>
        </w:rPr>
      </w:pPr>
      <w:r w:rsidRPr="003F2E49">
        <w:rPr>
          <w:rFonts w:ascii="Times New Roman" w:eastAsia="Arial" w:hAnsi="Times New Roman" w:cs="Times New Roman"/>
          <w:i/>
        </w:rPr>
        <w:lastRenderedPageBreak/>
        <w:t>Cost assumptions</w:t>
      </w:r>
    </w:p>
    <w:p w14:paraId="07CDEE3B" w14:textId="77777777" w:rsidR="00AD4375" w:rsidRPr="003F2E49" w:rsidRDefault="00AD4375" w:rsidP="00AD4375">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3F2E49">
        <w:rPr>
          <w:rFonts w:ascii="Times New Roman" w:eastAsia="MS PGothic" w:hAnsi="Times New Roman" w:cs="Times New Roman"/>
          <w:iCs/>
          <w:color w:val="000000"/>
        </w:rPr>
        <w:t xml:space="preserve">It is not expected that the cost of conducting a cyber security exercise would differ between a medium and a large organisation. </w:t>
      </w:r>
    </w:p>
    <w:p w14:paraId="0238FD9E" w14:textId="77777777" w:rsidR="00AD4375" w:rsidRPr="003F2E49" w:rsidRDefault="00AD4375" w:rsidP="00AD4375">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3F2E49">
        <w:rPr>
          <w:rFonts w:ascii="Times New Roman" w:eastAsia="MS PGothic" w:hAnsi="Times New Roman" w:cs="Times New Roman"/>
          <w:iCs/>
          <w:color w:val="000000"/>
        </w:rPr>
        <w:t>There are no upfront costs associated with conducting a cyber security exercise.</w:t>
      </w:r>
    </w:p>
    <w:p w14:paraId="5F664201" w14:textId="7F6D9267" w:rsidR="00AD4375" w:rsidRPr="003F2E49" w:rsidRDefault="00AD4375" w:rsidP="00AD4375">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3F2E49">
        <w:rPr>
          <w:rFonts w:ascii="Times New Roman" w:eastAsia="MS PGothic" w:hAnsi="Times New Roman" w:cs="Times New Roman"/>
          <w:iCs/>
          <w:color w:val="000000"/>
        </w:rPr>
        <w:t xml:space="preserve">Preparing a tabletop cyber security exercise will require one week of work from a security operation lead at $250 per hour and a security operations analyst at $188 per hour.  </w:t>
      </w:r>
    </w:p>
    <w:p w14:paraId="70FF15A0" w14:textId="77777777" w:rsidR="00AD4375" w:rsidRPr="003F2E49" w:rsidRDefault="00AD4375" w:rsidP="00AD4375">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3F2E49">
        <w:rPr>
          <w:rFonts w:ascii="Times New Roman" w:eastAsia="MS PGothic" w:hAnsi="Times New Roman" w:cs="Times New Roman"/>
          <w:iCs/>
          <w:color w:val="000000"/>
        </w:rPr>
        <w:t xml:space="preserve">One cyber security exercise is undertaken annually. </w:t>
      </w:r>
    </w:p>
    <w:p w14:paraId="04ED963C" w14:textId="0D76D27E" w:rsidR="00AD4375" w:rsidRPr="003F2E49" w:rsidRDefault="00AD4375" w:rsidP="00AD4375">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3F2E49">
        <w:rPr>
          <w:rFonts w:ascii="Times New Roman" w:eastAsia="MS PGothic" w:hAnsi="Times New Roman" w:cs="Times New Roman"/>
          <w:iCs/>
          <w:color w:val="000000"/>
        </w:rPr>
        <w:t xml:space="preserve">Undertaking a tabletop cyber security exercise will require five individuals from across an organisation (security, legal, operations, HR and public affairs) to partake in an exercise expected to take 1.5 days’ worth of work. This includes a half day for the event and another day to write-up the lessons learnt. </w:t>
      </w:r>
    </w:p>
    <w:p w14:paraId="29A9400F" w14:textId="4721BDE2" w:rsidR="00AD4375" w:rsidRPr="003F2E49" w:rsidRDefault="00AD4375" w:rsidP="00AD4375">
      <w:pPr>
        <w:pStyle w:val="ListParagraph"/>
        <w:numPr>
          <w:ilvl w:val="0"/>
          <w:numId w:val="10"/>
        </w:numPr>
        <w:tabs>
          <w:tab w:val="left" w:pos="426"/>
        </w:tabs>
        <w:spacing w:before="240" w:after="240" w:line="240" w:lineRule="auto"/>
        <w:rPr>
          <w:rFonts w:ascii="Times New Roman" w:eastAsia="MS PGothic" w:hAnsi="Times New Roman" w:cs="Times New Roman"/>
          <w:iCs/>
          <w:color w:val="000000"/>
        </w:rPr>
      </w:pPr>
      <w:r w:rsidRPr="003F2E49">
        <w:rPr>
          <w:rFonts w:ascii="Times New Roman" w:eastAsia="MS PGothic" w:hAnsi="Times New Roman" w:cs="Times New Roman"/>
          <w:iCs/>
          <w:color w:val="000000"/>
        </w:rPr>
        <w:t xml:space="preserve">Undertaking a functional cyber security exercise will require six individuals from across an organisation (security, legal, operations, HR and public affairs) to partake in an exercise expected to take 4 days’ worth of work, this includes 1 day for reporting on lessons learned. The functional exercise is more resource intensive and provides organisations to realistically test their cyber resilience and response processes. </w:t>
      </w:r>
    </w:p>
    <w:p w14:paraId="7270C77B" w14:textId="77777777" w:rsidR="00C17BD4" w:rsidRDefault="00C17BD4" w:rsidP="00EE0D81">
      <w:pPr>
        <w:tabs>
          <w:tab w:val="num" w:pos="340"/>
          <w:tab w:val="left" w:pos="426"/>
        </w:tabs>
        <w:spacing w:before="120" w:after="120" w:line="240" w:lineRule="auto"/>
        <w:rPr>
          <w:rFonts w:ascii="Times New Roman" w:hAnsi="Times New Roman"/>
          <w:b/>
        </w:rPr>
      </w:pPr>
    </w:p>
    <w:p w14:paraId="7088926F" w14:textId="77777777" w:rsidR="00C17BD4" w:rsidRDefault="00C17BD4" w:rsidP="00EE0D81">
      <w:pPr>
        <w:tabs>
          <w:tab w:val="num" w:pos="340"/>
          <w:tab w:val="left" w:pos="426"/>
        </w:tabs>
        <w:spacing w:before="120" w:after="120" w:line="240" w:lineRule="auto"/>
        <w:rPr>
          <w:rFonts w:ascii="Times New Roman" w:hAnsi="Times New Roman"/>
          <w:b/>
        </w:rPr>
      </w:pPr>
    </w:p>
    <w:p w14:paraId="1B99F6A2" w14:textId="06E09389" w:rsidR="00993F09" w:rsidRPr="00EE0D81" w:rsidRDefault="00993F09" w:rsidP="00EE0D81">
      <w:pPr>
        <w:tabs>
          <w:tab w:val="num" w:pos="340"/>
          <w:tab w:val="left" w:pos="426"/>
        </w:tabs>
        <w:spacing w:before="120" w:after="120" w:line="240" w:lineRule="auto"/>
        <w:rPr>
          <w:rFonts w:ascii="Times New Roman" w:hAnsi="Times New Roman"/>
          <w:b/>
        </w:rPr>
      </w:pPr>
      <w:r w:rsidRPr="00EE0D81">
        <w:rPr>
          <w:rFonts w:ascii="Times New Roman" w:hAnsi="Times New Roman"/>
          <w:b/>
        </w:rPr>
        <w:t>Benefits</w:t>
      </w:r>
    </w:p>
    <w:p w14:paraId="7C9766EF" w14:textId="747E6A74" w:rsidR="00993F09"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The benefits of the Enhanced Cyber Security Obligation</w:t>
      </w:r>
      <w:r>
        <w:rPr>
          <w:rFonts w:ascii="Times New Roman" w:eastAsia="Arial" w:hAnsi="Times New Roman" w:cs="Times New Roman"/>
        </w:rPr>
        <w:t>s</w:t>
      </w:r>
      <w:r w:rsidRPr="000266F5">
        <w:rPr>
          <w:rFonts w:ascii="Times New Roman" w:eastAsia="Arial" w:hAnsi="Times New Roman" w:cs="Times New Roman"/>
        </w:rPr>
        <w:t xml:space="preserve"> align with those that will be experienced through the Positive Security Obligations (positive industry and household externalities; aligning industry and community expectations of the Government; and lifting the resilience of Australia’s critical infrastructure businesses).</w:t>
      </w:r>
    </w:p>
    <w:p w14:paraId="5754E6F8" w14:textId="77777777" w:rsidR="00993F09" w:rsidRDefault="00993F09" w:rsidP="00EE0D81">
      <w:pPr>
        <w:tabs>
          <w:tab w:val="left" w:pos="426"/>
        </w:tabs>
        <w:spacing w:after="0" w:line="240" w:lineRule="auto"/>
        <w:rPr>
          <w:rFonts w:ascii="Times New Roman" w:eastAsia="Arial" w:hAnsi="Times New Roman" w:cs="Times New Roman"/>
        </w:rPr>
      </w:pPr>
    </w:p>
    <w:p w14:paraId="3E5E860A" w14:textId="2DE311EE" w:rsidR="00AD4375" w:rsidRPr="003F2E49" w:rsidRDefault="00AD4375" w:rsidP="00AD4375">
      <w:pPr>
        <w:tabs>
          <w:tab w:val="left" w:pos="426"/>
        </w:tabs>
        <w:spacing w:after="0" w:line="240" w:lineRule="auto"/>
        <w:rPr>
          <w:rFonts w:ascii="Times New Roman" w:eastAsia="Arial" w:hAnsi="Times New Roman" w:cs="Times New Roman"/>
        </w:rPr>
      </w:pPr>
      <w:r w:rsidRPr="003F2E49">
        <w:rPr>
          <w:rFonts w:ascii="Times New Roman" w:eastAsia="Arial" w:hAnsi="Times New Roman" w:cs="Times New Roman"/>
        </w:rPr>
        <w:t xml:space="preserve">The Enhanced Cyber Security Obligations will also ensure that the Government has the necessary powers to increase cyber security preparedness for Australia’s most critical infrastructure, actively protecting their cyber networks and having plans in place to prevent, react to and mitigate cyber-attacks which are posing increasing threats. Specifically: </w:t>
      </w:r>
    </w:p>
    <w:p w14:paraId="4B48F424" w14:textId="77777777" w:rsidR="00AD4375" w:rsidRPr="003F2E49" w:rsidRDefault="00AD4375" w:rsidP="00B369B5">
      <w:pPr>
        <w:pStyle w:val="ListParagraph"/>
        <w:numPr>
          <w:ilvl w:val="0"/>
          <w:numId w:val="66"/>
        </w:numPr>
        <w:rPr>
          <w:rFonts w:ascii="Times New Roman" w:eastAsia="Arial" w:hAnsi="Times New Roman" w:cs="Times New Roman"/>
        </w:rPr>
      </w:pPr>
      <w:r w:rsidRPr="003F2E49">
        <w:rPr>
          <w:rFonts w:ascii="Times New Roman" w:eastAsia="Arial" w:hAnsi="Times New Roman" w:cs="Times New Roman"/>
        </w:rPr>
        <w:t>Incident response plans will strengthen a business' preparedness for a cyber security breach, driving an uplift in security and resilience.</w:t>
      </w:r>
    </w:p>
    <w:p w14:paraId="48CADFFF" w14:textId="77777777" w:rsidR="00AD4375" w:rsidRPr="003F2E49" w:rsidRDefault="00AD4375" w:rsidP="00B369B5">
      <w:pPr>
        <w:pStyle w:val="ListParagraph"/>
        <w:numPr>
          <w:ilvl w:val="0"/>
          <w:numId w:val="66"/>
        </w:numPr>
        <w:rPr>
          <w:rFonts w:ascii="Times New Roman" w:eastAsia="Arial" w:hAnsi="Times New Roman" w:cs="Times New Roman"/>
        </w:rPr>
      </w:pPr>
      <w:r w:rsidRPr="003F2E49">
        <w:rPr>
          <w:rFonts w:ascii="Times New Roman" w:eastAsia="Arial" w:hAnsi="Times New Roman" w:cs="Times New Roman"/>
        </w:rPr>
        <w:t xml:space="preserve">Telemetry will improve an organisation's ability to detect and respond to a cyber incident by providing visibility across their technology environment. This measure will improve situational awareness across Government which can in-turn be used to inform industry on possible threats to improve preparedness, reducing the likelihood of a cyber incident. </w:t>
      </w:r>
    </w:p>
    <w:p w14:paraId="2A000817" w14:textId="77777777" w:rsidR="00AD4375" w:rsidRPr="003F2E49" w:rsidRDefault="00AD4375" w:rsidP="00B369B5">
      <w:pPr>
        <w:pStyle w:val="ListParagraph"/>
        <w:numPr>
          <w:ilvl w:val="0"/>
          <w:numId w:val="66"/>
        </w:numPr>
        <w:rPr>
          <w:rFonts w:ascii="Times New Roman" w:eastAsia="Arial" w:hAnsi="Times New Roman" w:cs="Times New Roman"/>
        </w:rPr>
      </w:pPr>
      <w:r w:rsidRPr="003F2E49">
        <w:rPr>
          <w:rFonts w:ascii="Times New Roman" w:eastAsia="Arial" w:hAnsi="Times New Roman" w:cs="Times New Roman"/>
        </w:rPr>
        <w:t xml:space="preserve">Conducting a vulnerability assessment in relation to a specific computer system or network will seek to inform the effectiveness of the cyber security arrangements in place for an entity. </w:t>
      </w:r>
    </w:p>
    <w:p w14:paraId="5E4314A6" w14:textId="77777777" w:rsidR="00AD4375" w:rsidRPr="003F2E49" w:rsidRDefault="00AD4375" w:rsidP="00B369B5">
      <w:pPr>
        <w:pStyle w:val="ListParagraph"/>
        <w:numPr>
          <w:ilvl w:val="0"/>
          <w:numId w:val="66"/>
        </w:numPr>
        <w:tabs>
          <w:tab w:val="left" w:pos="426"/>
        </w:tabs>
        <w:spacing w:after="0" w:line="240" w:lineRule="auto"/>
        <w:rPr>
          <w:rFonts w:ascii="Times New Roman" w:eastAsia="Arial" w:hAnsi="Times New Roman" w:cs="Times New Roman"/>
        </w:rPr>
      </w:pPr>
      <w:r w:rsidRPr="003F2E49">
        <w:rPr>
          <w:rFonts w:ascii="Times New Roman" w:eastAsia="Arial" w:hAnsi="Times New Roman" w:cs="Times New Roman"/>
        </w:rPr>
        <w:t xml:space="preserve">Conducting cyber security exercises will form an important activity for an organisation to test and improve their cyber resilience. </w:t>
      </w:r>
    </w:p>
    <w:p w14:paraId="4E7C0A48" w14:textId="77777777" w:rsidR="00AD4375" w:rsidRPr="003F2E49" w:rsidRDefault="00AD4375" w:rsidP="00AD4375">
      <w:pPr>
        <w:tabs>
          <w:tab w:val="left" w:pos="426"/>
        </w:tabs>
        <w:spacing w:after="0" w:line="240" w:lineRule="auto"/>
        <w:rPr>
          <w:rFonts w:ascii="Times New Roman" w:eastAsia="Arial" w:hAnsi="Times New Roman" w:cs="Times New Roman"/>
        </w:rPr>
      </w:pPr>
    </w:p>
    <w:p w14:paraId="07A34E2B" w14:textId="08623171" w:rsidR="00AD4375" w:rsidRDefault="00AD4375" w:rsidP="00AD4375">
      <w:pPr>
        <w:tabs>
          <w:tab w:val="left" w:pos="426"/>
        </w:tabs>
        <w:spacing w:after="0" w:line="240" w:lineRule="auto"/>
        <w:rPr>
          <w:rFonts w:ascii="Times New Roman" w:eastAsia="Arial" w:hAnsi="Times New Roman" w:cs="Times New Roman"/>
        </w:rPr>
      </w:pPr>
      <w:r w:rsidRPr="003F2E49">
        <w:rPr>
          <w:rFonts w:ascii="Times New Roman" w:eastAsia="Arial" w:hAnsi="Times New Roman" w:cs="Times New Roman"/>
        </w:rPr>
        <w:t>Without this power, the Government would only be able to request that critical infrastructure owners mitigate their own cyber risks, and rely on mutual interest to ensure cyber risks are addressed. The four components of the Enhanced Cyber Security Obligations each look to reduce the risks of cyber security incidents occurring.</w:t>
      </w:r>
      <w:r>
        <w:rPr>
          <w:rFonts w:ascii="Times New Roman" w:eastAsia="Arial" w:hAnsi="Times New Roman" w:cs="Times New Roman"/>
        </w:rPr>
        <w:t xml:space="preserve"> </w:t>
      </w:r>
    </w:p>
    <w:p w14:paraId="42838CA7"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4BB7AE1F" w14:textId="77777777" w:rsidR="00993F09" w:rsidRPr="000266F5" w:rsidRDefault="00993F09" w:rsidP="00993F09">
      <w:pPr>
        <w:tabs>
          <w:tab w:val="left" w:pos="426"/>
        </w:tabs>
        <w:spacing w:after="0" w:line="240" w:lineRule="auto"/>
        <w:rPr>
          <w:rFonts w:ascii="Times New Roman" w:eastAsia="Arial" w:hAnsi="Times New Roman" w:cs="Times New Roman"/>
          <w:color w:val="000000"/>
        </w:rPr>
      </w:pPr>
      <w:r w:rsidRPr="000266F5">
        <w:rPr>
          <w:rFonts w:ascii="Times New Roman" w:eastAsia="MS PGothic" w:hAnsi="Times New Roman" w:cs="Times New Roman"/>
          <w:color w:val="000000"/>
        </w:rPr>
        <w:t xml:space="preserve">These reforms align with business and community expectations for Government action to safeguard the continued supply of essential services all Australians rely upon. Through consultation it was highlighted that </w:t>
      </w:r>
      <w:r w:rsidRPr="000266F5">
        <w:rPr>
          <w:rFonts w:ascii="Times New Roman" w:eastAsia="Arial" w:hAnsi="Times New Roman" w:cs="Times New Roman"/>
          <w:color w:val="000000"/>
        </w:rPr>
        <w:t xml:space="preserve">the Australian public looks to both the Government and critical infrastructure </w:t>
      </w:r>
      <w:r w:rsidRPr="000266F5">
        <w:rPr>
          <w:rFonts w:ascii="Times New Roman" w:eastAsia="Arial" w:hAnsi="Times New Roman" w:cs="Times New Roman"/>
        </w:rPr>
        <w:t>providers</w:t>
      </w:r>
      <w:r w:rsidRPr="000266F5">
        <w:rPr>
          <w:rFonts w:ascii="Times New Roman" w:eastAsia="Arial" w:hAnsi="Times New Roman" w:cs="Times New Roman"/>
          <w:color w:val="000000"/>
        </w:rPr>
        <w:t xml:space="preserve"> to secure the delivery of essential services. These reforms ensure that the Government is </w:t>
      </w:r>
      <w:r w:rsidRPr="000266F5">
        <w:rPr>
          <w:rFonts w:ascii="Times New Roman" w:eastAsia="Arial" w:hAnsi="Times New Roman" w:cs="Times New Roman"/>
          <w:color w:val="000000"/>
        </w:rPr>
        <w:lastRenderedPageBreak/>
        <w:t>able to work alongside industry to provide assistance in emergencies and is able to proactively secure Australia’s critical infrastructure.</w:t>
      </w:r>
    </w:p>
    <w:p w14:paraId="609FB1BA" w14:textId="77777777" w:rsidR="00993F09" w:rsidRPr="00EE0D81" w:rsidRDefault="00993F09" w:rsidP="00993F09">
      <w:pPr>
        <w:tabs>
          <w:tab w:val="left" w:pos="426"/>
        </w:tabs>
        <w:spacing w:after="0" w:line="240" w:lineRule="auto"/>
        <w:rPr>
          <w:rFonts w:ascii="Times New Roman" w:hAnsi="Times New Roman"/>
          <w:color w:val="000000"/>
          <w:u w:val="single"/>
        </w:rPr>
      </w:pPr>
    </w:p>
    <w:p w14:paraId="69721DEF" w14:textId="3A0F7AEB" w:rsidR="00993F09" w:rsidRPr="001A7788" w:rsidRDefault="00993F09" w:rsidP="00EE0D81">
      <w:pPr>
        <w:pStyle w:val="ListParagraph"/>
        <w:numPr>
          <w:ilvl w:val="2"/>
          <w:numId w:val="17"/>
        </w:numPr>
        <w:tabs>
          <w:tab w:val="left" w:pos="426"/>
        </w:tabs>
        <w:spacing w:after="0" w:line="240" w:lineRule="auto"/>
        <w:rPr>
          <w:rFonts w:ascii="Times New Roman" w:eastAsia="Arial" w:hAnsi="Times New Roman" w:cs="Times New Roman"/>
          <w:b/>
        </w:rPr>
      </w:pPr>
      <w:r w:rsidRPr="001A7788">
        <w:rPr>
          <w:rFonts w:ascii="Times New Roman" w:eastAsia="Arial" w:hAnsi="Times New Roman" w:cs="Times New Roman"/>
          <w:b/>
        </w:rPr>
        <w:t>Government Assistance</w:t>
      </w:r>
    </w:p>
    <w:p w14:paraId="59F35335" w14:textId="23D1A841" w:rsidR="00993F09" w:rsidRPr="001A7788" w:rsidRDefault="00993F09" w:rsidP="00993F09">
      <w:pPr>
        <w:pStyle w:val="ListParagraph"/>
        <w:tabs>
          <w:tab w:val="left" w:pos="426"/>
        </w:tabs>
        <w:spacing w:after="0" w:line="240" w:lineRule="auto"/>
        <w:rPr>
          <w:rFonts w:ascii="Times New Roman" w:eastAsia="Arial" w:hAnsi="Times New Roman" w:cs="Times New Roman"/>
          <w:b/>
        </w:rPr>
      </w:pPr>
    </w:p>
    <w:p w14:paraId="66CBFBFB" w14:textId="08B06CE0"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The Government Assistance </w:t>
      </w:r>
      <w:r w:rsidRPr="000266F5">
        <w:rPr>
          <w:rFonts w:ascii="Times New Roman" w:eastAsia="MS PGothic" w:hAnsi="Times New Roman" w:cs="Times New Roman"/>
          <w:color w:val="000000"/>
        </w:rPr>
        <w:t>measure</w:t>
      </w:r>
      <w:r w:rsidRPr="000266F5">
        <w:rPr>
          <w:rFonts w:ascii="Times New Roman" w:eastAsia="Arial" w:hAnsi="Times New Roman" w:cs="Times New Roman"/>
        </w:rPr>
        <w:t xml:space="preserve"> would only occur in the event of a cyber-crime being committed and as such </w:t>
      </w:r>
      <w:r>
        <w:rPr>
          <w:rFonts w:ascii="Times New Roman" w:eastAsia="Arial" w:hAnsi="Times New Roman" w:cs="Times New Roman"/>
        </w:rPr>
        <w:t>quantification of regulation costs</w:t>
      </w:r>
      <w:r w:rsidRPr="000266F5">
        <w:rPr>
          <w:rFonts w:ascii="Times New Roman" w:eastAsia="Arial" w:hAnsi="Times New Roman" w:cs="Times New Roman"/>
        </w:rPr>
        <w:t xml:space="preserve"> ha</w:t>
      </w:r>
      <w:r>
        <w:rPr>
          <w:rFonts w:ascii="Times New Roman" w:eastAsia="Arial" w:hAnsi="Times New Roman" w:cs="Times New Roman"/>
        </w:rPr>
        <w:t xml:space="preserve">ve </w:t>
      </w:r>
      <w:r w:rsidRPr="000266F5">
        <w:rPr>
          <w:rFonts w:ascii="Times New Roman" w:eastAsia="Arial" w:hAnsi="Times New Roman" w:cs="Times New Roman"/>
        </w:rPr>
        <w:t>not be conducted. This is because those costs arising from non-compliance, or a suspicion of non-compliance, are excluded from the Government’s Regulatory Burden Measurement framework.</w:t>
      </w:r>
    </w:p>
    <w:p w14:paraId="3A8EC352" w14:textId="77777777" w:rsidR="00993F09" w:rsidRPr="00EE0D81" w:rsidRDefault="00993F09" w:rsidP="00EE0D81">
      <w:pPr>
        <w:tabs>
          <w:tab w:val="num" w:pos="340"/>
          <w:tab w:val="left" w:pos="426"/>
        </w:tabs>
        <w:spacing w:before="120" w:after="120" w:line="240" w:lineRule="auto"/>
        <w:rPr>
          <w:rFonts w:ascii="Times New Roman" w:hAnsi="Times New Roman"/>
          <w:b/>
        </w:rPr>
      </w:pPr>
      <w:r w:rsidRPr="00EE0D81">
        <w:rPr>
          <w:rFonts w:ascii="Times New Roman" w:hAnsi="Times New Roman"/>
          <w:b/>
        </w:rPr>
        <w:t>Costs</w:t>
      </w:r>
    </w:p>
    <w:p w14:paraId="11E7F34A" w14:textId="5312CDA9"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The regulatory costs of imposing Government Assistance would vary widely depending on the scope of the </w:t>
      </w:r>
      <w:r>
        <w:rPr>
          <w:rFonts w:ascii="Times New Roman" w:eastAsia="Arial" w:hAnsi="Times New Roman" w:cs="Times New Roman"/>
        </w:rPr>
        <w:t>request (whether it be an information gathering request, an action direction or an intervention direction)</w:t>
      </w:r>
      <w:r w:rsidRPr="000266F5">
        <w:rPr>
          <w:rFonts w:ascii="Times New Roman" w:eastAsia="Arial" w:hAnsi="Times New Roman" w:cs="Times New Roman"/>
        </w:rPr>
        <w:t xml:space="preserve"> and the individual circumstances of the entity subject to the assistance. </w:t>
      </w:r>
    </w:p>
    <w:p w14:paraId="0A6D10D6" w14:textId="77777777" w:rsidR="00993F09" w:rsidRPr="000266F5" w:rsidRDefault="00993F09" w:rsidP="00993F09">
      <w:pPr>
        <w:pStyle w:val="ListParagraph"/>
        <w:tabs>
          <w:tab w:val="left" w:pos="426"/>
        </w:tabs>
        <w:spacing w:after="0" w:line="240" w:lineRule="auto"/>
        <w:ind w:left="227"/>
        <w:rPr>
          <w:rFonts w:ascii="Times New Roman" w:eastAsia="Arial" w:hAnsi="Times New Roman" w:cs="Times New Roman"/>
        </w:rPr>
      </w:pPr>
    </w:p>
    <w:p w14:paraId="152BA900" w14:textId="1368BE5D" w:rsidR="00993F09"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There is a minor risk Government intervention leads to adverse, unintended consequences which may occur as a result of Government not understanding a </w:t>
      </w:r>
      <w:r w:rsidRPr="005051A8">
        <w:rPr>
          <w:rFonts w:ascii="Times New Roman" w:eastAsia="Arial" w:hAnsi="Times New Roman" w:cs="Times New Roman"/>
        </w:rPr>
        <w:t>critical infrastructure assets</w:t>
      </w:r>
      <w:r w:rsidRPr="000266F5">
        <w:rPr>
          <w:rFonts w:ascii="Times New Roman" w:eastAsia="Arial" w:hAnsi="Times New Roman" w:cs="Times New Roman"/>
        </w:rPr>
        <w:t xml:space="preserve"> control systems. To mitigate this risk, only suitably qualified cyber specialists will be engaged and ongoing consultation will be maintained between Government and the critical infrastructure entity to ensure that any actions are informed by specialist advice from the entity. </w:t>
      </w:r>
      <w:r>
        <w:rPr>
          <w:rFonts w:ascii="Times New Roman" w:eastAsia="Arial" w:hAnsi="Times New Roman" w:cs="Times New Roman"/>
        </w:rPr>
        <w:t>Furthermore, extensive consultation will be conducted with the affected entity prior to any Government action providing further safeguards against damage occur to an asset as a result of Government Assistance measures.</w:t>
      </w:r>
    </w:p>
    <w:p w14:paraId="4B9B2E9A" w14:textId="77777777" w:rsidR="00131B33" w:rsidRDefault="00131B33" w:rsidP="00131B33">
      <w:pPr>
        <w:tabs>
          <w:tab w:val="left" w:pos="426"/>
        </w:tabs>
        <w:spacing w:after="0" w:line="240" w:lineRule="auto"/>
        <w:rPr>
          <w:rFonts w:ascii="Times New Roman" w:eastAsia="Arial" w:hAnsi="Times New Roman" w:cs="Times New Roman"/>
        </w:rPr>
      </w:pPr>
    </w:p>
    <w:p w14:paraId="309A2573" w14:textId="39FD75C1" w:rsidR="00131B33" w:rsidRPr="004C7AE0" w:rsidRDefault="00131B33" w:rsidP="00131B33">
      <w:pPr>
        <w:tabs>
          <w:tab w:val="left" w:pos="426"/>
        </w:tabs>
        <w:spacing w:after="0" w:line="240" w:lineRule="auto"/>
        <w:rPr>
          <w:rFonts w:ascii="Times New Roman" w:eastAsia="Arial" w:hAnsi="Times New Roman" w:cs="Times New Roman"/>
        </w:rPr>
      </w:pPr>
      <w:r>
        <w:rPr>
          <w:rFonts w:ascii="Times New Roman" w:eastAsia="Arial" w:hAnsi="Times New Roman" w:cs="Times New Roman"/>
        </w:rPr>
        <w:t>There are also potential moral hazards that may arise from the use of the Government Assistance measures where Government steps in to provide assistance during a cyber-security incident. For example, entities</w:t>
      </w:r>
      <w:r w:rsidRPr="008B25D1">
        <w:rPr>
          <w:rFonts w:ascii="Times New Roman" w:eastAsia="Arial" w:hAnsi="Times New Roman" w:cs="Times New Roman"/>
        </w:rPr>
        <w:t xml:space="preserve"> may engage in riskier behaviour </w:t>
      </w:r>
      <w:r>
        <w:rPr>
          <w:rFonts w:ascii="Times New Roman" w:eastAsia="Arial" w:hAnsi="Times New Roman" w:cs="Times New Roman"/>
        </w:rPr>
        <w:t xml:space="preserve">and may not address cyber security vulnerabilities or implement response plans to cyber security incidents if they believe that the Government may step in and assistance, thereby removing the burden and responsibility from industry and placing the onus on Government. The risk of moral hazards can be reduced through extensive industry-Government engagement where Government reiterates that these powers are intended purely as a last resort method only for use in extreme circumstance. The mandatory requirement for </w:t>
      </w:r>
      <w:r>
        <w:rPr>
          <w:rFonts w:ascii="Times New Roman" w:eastAsia="Arial" w:hAnsi="Times New Roman" w:cs="Times New Roman"/>
          <w:i/>
        </w:rPr>
        <w:t>critical infrastructure assets</w:t>
      </w:r>
      <w:r>
        <w:rPr>
          <w:rFonts w:ascii="Times New Roman" w:eastAsia="Arial" w:hAnsi="Times New Roman" w:cs="Times New Roman"/>
        </w:rPr>
        <w:t xml:space="preserve"> to also implement risk management programs, and the associated penalties for non-compliance, will also ensure that </w:t>
      </w:r>
      <w:r w:rsidRPr="002B1D2E">
        <w:rPr>
          <w:rFonts w:ascii="Times New Roman" w:eastAsia="Arial" w:hAnsi="Times New Roman" w:cs="Times New Roman"/>
          <w:i/>
        </w:rPr>
        <w:t>critical infrastructure assets</w:t>
      </w:r>
      <w:r>
        <w:rPr>
          <w:rFonts w:ascii="Times New Roman" w:eastAsia="Arial" w:hAnsi="Times New Roman" w:cs="Times New Roman"/>
        </w:rPr>
        <w:t xml:space="preserve"> are proactively protecting themselves against potential significant cyber incidents.</w:t>
      </w:r>
    </w:p>
    <w:p w14:paraId="4DED9DE9" w14:textId="77777777" w:rsidR="00131B33" w:rsidRPr="00EE0D81" w:rsidRDefault="00131B33" w:rsidP="00EE0D81">
      <w:pPr>
        <w:tabs>
          <w:tab w:val="left" w:pos="426"/>
        </w:tabs>
        <w:spacing w:after="0" w:line="240" w:lineRule="auto"/>
        <w:rPr>
          <w:rFonts w:ascii="Times New Roman" w:hAnsi="Times New Roman"/>
        </w:rPr>
      </w:pPr>
    </w:p>
    <w:p w14:paraId="46FF34E0" w14:textId="77777777" w:rsidR="00993F09" w:rsidRPr="00EE0D81" w:rsidRDefault="00993F09" w:rsidP="00EE0D81">
      <w:pPr>
        <w:tabs>
          <w:tab w:val="num" w:pos="340"/>
          <w:tab w:val="left" w:pos="426"/>
        </w:tabs>
        <w:spacing w:before="120" w:after="120" w:line="240" w:lineRule="auto"/>
        <w:rPr>
          <w:rFonts w:ascii="Times New Roman" w:hAnsi="Times New Roman"/>
          <w:b/>
        </w:rPr>
      </w:pPr>
      <w:r w:rsidRPr="00EE0D81">
        <w:rPr>
          <w:rFonts w:ascii="Times New Roman" w:hAnsi="Times New Roman"/>
          <w:b/>
        </w:rPr>
        <w:t>Benefits</w:t>
      </w:r>
    </w:p>
    <w:p w14:paraId="479C40FA" w14:textId="7777777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The Government remains committed, first and foremost, to working in partnership with states, territories and industry, who own, operate and regulate our critical infrastructure to collaboratively resolve incidents when they do occur and mitigate their impacts. However, noting the importance of the services being provided by these assets and the Government’s ultimate responsibility for protecting Australia’s national interests, circumstances may arise which require Government intervention. In such circumstances, it is crucial that the Government has last resort powers to resolve the incident or mitigate the risk.</w:t>
      </w:r>
    </w:p>
    <w:p w14:paraId="50759B39" w14:textId="77777777" w:rsidR="00993F09" w:rsidRPr="000266F5" w:rsidRDefault="00993F09" w:rsidP="00993F09">
      <w:pPr>
        <w:pStyle w:val="ListParagraph"/>
        <w:tabs>
          <w:tab w:val="left" w:pos="426"/>
        </w:tabs>
        <w:spacing w:after="0" w:line="240" w:lineRule="auto"/>
        <w:ind w:left="227"/>
        <w:rPr>
          <w:rFonts w:ascii="Times New Roman" w:eastAsia="Arial" w:hAnsi="Times New Roman" w:cs="Times New Roman"/>
        </w:rPr>
      </w:pPr>
    </w:p>
    <w:p w14:paraId="4AD0C2D5" w14:textId="3D0E8EC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Introducing the Government Assistance measure will ensure the Government has the necessary powers to address cyber risks to critical infrastructure where these cannot, or will not, be managed by the entity affected. Without this power, the Government would only be able to request assistance from critical infrastructure owners to mitigate cyber risks, and rely on mutual interest to ensure the cyber risk is addressed. </w:t>
      </w:r>
    </w:p>
    <w:p w14:paraId="45CF3926"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39D0437E" w14:textId="7777777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This measure will also provide </w:t>
      </w:r>
      <w:r w:rsidRPr="00EE0D81">
        <w:rPr>
          <w:rFonts w:ascii="Times New Roman" w:hAnsi="Times New Roman"/>
          <w:i/>
        </w:rPr>
        <w:t>critical infrastructure asset</w:t>
      </w:r>
      <w:r w:rsidRPr="000266F5">
        <w:rPr>
          <w:rFonts w:ascii="Times New Roman" w:eastAsia="Arial" w:hAnsi="Times New Roman" w:cs="Times New Roman"/>
        </w:rPr>
        <w:t xml:space="preserve">s with timely support from Government where needed. Without this measure, entities may be hesitant to accept voluntary assistance from </w:t>
      </w:r>
      <w:r w:rsidRPr="000266F5">
        <w:rPr>
          <w:rFonts w:ascii="Times New Roman" w:eastAsia="Arial" w:hAnsi="Times New Roman" w:cs="Times New Roman"/>
        </w:rPr>
        <w:lastRenderedPageBreak/>
        <w:t>Government without a clear directive to do so. Where an entity is subject to a cyber-attack there is often a need to respond in a timely manner as any delay can increase consequences exponentially.</w:t>
      </w:r>
    </w:p>
    <w:p w14:paraId="05BA06B4" w14:textId="62B8EBA7" w:rsidR="00993F09" w:rsidRPr="00EE0D81" w:rsidRDefault="00993F09" w:rsidP="00993F09">
      <w:pPr>
        <w:tabs>
          <w:tab w:val="left" w:pos="426"/>
        </w:tabs>
        <w:spacing w:after="0" w:line="240" w:lineRule="auto"/>
        <w:rPr>
          <w:rFonts w:ascii="Times New Roman" w:hAnsi="Times New Roman"/>
          <w:color w:val="000000"/>
          <w:u w:val="single"/>
        </w:rPr>
      </w:pPr>
    </w:p>
    <w:p w14:paraId="4C9FD745" w14:textId="6F750E7F" w:rsidR="00993F09" w:rsidRPr="003A4D14" w:rsidRDefault="00993F09" w:rsidP="00EE0D81">
      <w:pPr>
        <w:pStyle w:val="ListParagraph"/>
        <w:numPr>
          <w:ilvl w:val="2"/>
          <w:numId w:val="17"/>
        </w:numPr>
        <w:tabs>
          <w:tab w:val="left" w:pos="426"/>
        </w:tabs>
        <w:spacing w:after="0" w:line="240" w:lineRule="auto"/>
        <w:rPr>
          <w:rFonts w:ascii="Times New Roman" w:eastAsia="Arial" w:hAnsi="Times New Roman" w:cs="Times New Roman"/>
          <w:b/>
        </w:rPr>
      </w:pPr>
      <w:r w:rsidRPr="003A4D14">
        <w:rPr>
          <w:rFonts w:ascii="Times New Roman" w:eastAsia="Arial" w:hAnsi="Times New Roman" w:cs="Times New Roman"/>
          <w:b/>
        </w:rPr>
        <w:t>Expansion of Ministerial Direction</w:t>
      </w:r>
    </w:p>
    <w:p w14:paraId="2B124E88" w14:textId="77777777" w:rsidR="00993F09" w:rsidRPr="00EE0D81" w:rsidRDefault="00993F09" w:rsidP="00993F09">
      <w:pPr>
        <w:tabs>
          <w:tab w:val="left" w:pos="426"/>
        </w:tabs>
        <w:spacing w:after="0" w:line="240" w:lineRule="auto"/>
        <w:rPr>
          <w:rFonts w:ascii="Times New Roman" w:hAnsi="Times New Roman"/>
          <w:i/>
          <w:color w:val="000000"/>
        </w:rPr>
      </w:pPr>
    </w:p>
    <w:p w14:paraId="785B706C" w14:textId="156495CA" w:rsidR="00993F09" w:rsidRPr="000266F5" w:rsidRDefault="00993F09" w:rsidP="00993F09">
      <w:pPr>
        <w:tabs>
          <w:tab w:val="left" w:pos="426"/>
        </w:tabs>
        <w:spacing w:after="0" w:line="240" w:lineRule="auto"/>
        <w:rPr>
          <w:rFonts w:ascii="Times New Roman" w:eastAsia="MS PGothic" w:hAnsi="Times New Roman" w:cs="Times New Roman"/>
          <w:iCs/>
          <w:color w:val="000000"/>
        </w:rPr>
      </w:pPr>
      <w:r w:rsidRPr="000266F5">
        <w:rPr>
          <w:rFonts w:ascii="Times New Roman" w:eastAsia="MS PGothic" w:hAnsi="Times New Roman" w:cs="Times New Roman"/>
          <w:iCs/>
          <w:color w:val="000000"/>
        </w:rPr>
        <w:t xml:space="preserve">The regulatory costs of imposing a Ministerial direction would vary widely depending on the scope of the direction and the individual circumstances of the entity subject to the direction. In assessing the expected </w:t>
      </w:r>
      <w:r w:rsidRPr="000266F5">
        <w:rPr>
          <w:rFonts w:ascii="Times New Roman" w:eastAsia="MS PGothic" w:hAnsi="Times New Roman" w:cs="Times New Roman"/>
          <w:color w:val="000000"/>
        </w:rPr>
        <w:t>costs</w:t>
      </w:r>
      <w:r w:rsidRPr="000266F5">
        <w:rPr>
          <w:rFonts w:ascii="Times New Roman" w:eastAsia="MS PGothic" w:hAnsi="Times New Roman" w:cs="Times New Roman"/>
          <w:iCs/>
          <w:color w:val="000000"/>
        </w:rPr>
        <w:t xml:space="preserve"> to industry as a result of the expansion of the Ministerial Directions powers, </w:t>
      </w:r>
      <w:r>
        <w:rPr>
          <w:rFonts w:ascii="Times New Roman" w:eastAsia="MS PGothic" w:hAnsi="Times New Roman" w:cs="Times New Roman"/>
          <w:iCs/>
          <w:color w:val="000000"/>
        </w:rPr>
        <w:t>we have</w:t>
      </w:r>
      <w:r w:rsidRPr="000266F5">
        <w:rPr>
          <w:rFonts w:ascii="Times New Roman" w:eastAsia="MS PGothic" w:hAnsi="Times New Roman" w:cs="Times New Roman"/>
          <w:iCs/>
          <w:color w:val="000000"/>
        </w:rPr>
        <w:t xml:space="preserve"> applied the same methodology to that which was used in the SoCI 2018 Regulation Impact Statement. While the Ministerial Directions powers will be expanded to all new </w:t>
      </w:r>
      <w:r w:rsidRPr="00B1725B">
        <w:rPr>
          <w:rFonts w:ascii="Times New Roman" w:eastAsia="MS PGothic" w:hAnsi="Times New Roman" w:cs="Times New Roman"/>
          <w:i/>
          <w:iCs/>
          <w:color w:val="000000"/>
        </w:rPr>
        <w:t>critical infrastructure sector</w:t>
      </w:r>
      <w:r w:rsidRPr="000266F5">
        <w:rPr>
          <w:rFonts w:ascii="Times New Roman" w:eastAsia="MS PGothic" w:hAnsi="Times New Roman" w:cs="Times New Roman"/>
          <w:iCs/>
          <w:color w:val="000000"/>
        </w:rPr>
        <w:t xml:space="preserve">s, it is not expected that </w:t>
      </w:r>
      <w:r>
        <w:rPr>
          <w:rFonts w:ascii="Times New Roman" w:eastAsia="MS PGothic" w:hAnsi="Times New Roman" w:cs="Times New Roman"/>
          <w:iCs/>
          <w:color w:val="000000"/>
        </w:rPr>
        <w:t xml:space="preserve">the </w:t>
      </w:r>
      <w:r w:rsidRPr="000266F5">
        <w:rPr>
          <w:rFonts w:ascii="Times New Roman" w:eastAsia="MS PGothic" w:hAnsi="Times New Roman" w:cs="Times New Roman"/>
          <w:iCs/>
          <w:color w:val="000000"/>
        </w:rPr>
        <w:t>cost</w:t>
      </w:r>
      <w:r>
        <w:rPr>
          <w:rFonts w:ascii="Times New Roman" w:eastAsia="MS PGothic" w:hAnsi="Times New Roman" w:cs="Times New Roman"/>
          <w:iCs/>
          <w:color w:val="000000"/>
        </w:rPr>
        <w:t>s</w:t>
      </w:r>
      <w:r w:rsidRPr="000266F5">
        <w:rPr>
          <w:rFonts w:ascii="Times New Roman" w:eastAsia="MS PGothic" w:hAnsi="Times New Roman" w:cs="Times New Roman"/>
          <w:iCs/>
          <w:color w:val="000000"/>
        </w:rPr>
        <w:t xml:space="preserve"> would deviate significantly from the original sector cost estimates provided in the SoCI 2018 </w:t>
      </w:r>
      <w:r>
        <w:rPr>
          <w:rFonts w:ascii="Times New Roman" w:eastAsia="MS PGothic" w:hAnsi="Times New Roman" w:cs="Times New Roman"/>
          <w:iCs/>
          <w:color w:val="000000"/>
        </w:rPr>
        <w:t>Regulatory Impact Statement</w:t>
      </w:r>
      <w:r w:rsidRPr="001C7F88">
        <w:rPr>
          <w:rFonts w:ascii="Times New Roman" w:eastAsia="MS PGothic" w:hAnsi="Times New Roman" w:cs="Times New Roman"/>
          <w:iCs/>
          <w:color w:val="000000"/>
        </w:rPr>
        <w:t xml:space="preserve">. </w:t>
      </w:r>
    </w:p>
    <w:p w14:paraId="66F4E834" w14:textId="77777777" w:rsidR="00993F09" w:rsidRDefault="00993F09" w:rsidP="00993F09">
      <w:pPr>
        <w:tabs>
          <w:tab w:val="left" w:pos="426"/>
        </w:tabs>
        <w:spacing w:after="0" w:line="240" w:lineRule="auto"/>
        <w:rPr>
          <w:rFonts w:ascii="Times New Roman" w:eastAsia="MS PGothic" w:hAnsi="Times New Roman" w:cs="Times New Roman"/>
          <w:iCs/>
          <w:color w:val="000000"/>
        </w:rPr>
      </w:pPr>
    </w:p>
    <w:p w14:paraId="5C7CEE3A" w14:textId="3ADFCCC1" w:rsidR="00993F09" w:rsidRDefault="00993F09" w:rsidP="00993F09">
      <w:pPr>
        <w:tabs>
          <w:tab w:val="left" w:pos="426"/>
        </w:tabs>
        <w:spacing w:after="0" w:line="240" w:lineRule="auto"/>
        <w:rPr>
          <w:rFonts w:ascii="Times New Roman" w:eastAsia="MS PGothic" w:hAnsi="Times New Roman" w:cs="Times New Roman"/>
          <w:iCs/>
          <w:color w:val="000000"/>
        </w:rPr>
      </w:pPr>
      <w:r>
        <w:rPr>
          <w:rFonts w:ascii="Times New Roman" w:eastAsia="MS PGothic" w:hAnsi="Times New Roman" w:cs="Times New Roman"/>
          <w:iCs/>
          <w:color w:val="000000"/>
        </w:rPr>
        <w:t>I</w:t>
      </w:r>
      <w:r w:rsidRPr="000266F5">
        <w:rPr>
          <w:rFonts w:ascii="Times New Roman" w:eastAsia="MS PGothic" w:hAnsi="Times New Roman" w:cs="Times New Roman"/>
          <w:iCs/>
          <w:color w:val="000000"/>
        </w:rPr>
        <w:t xml:space="preserve">n the SoCI 2018 </w:t>
      </w:r>
      <w:r>
        <w:rPr>
          <w:rFonts w:ascii="Times New Roman" w:eastAsia="MS PGothic" w:hAnsi="Times New Roman" w:cs="Times New Roman"/>
          <w:iCs/>
          <w:color w:val="000000"/>
        </w:rPr>
        <w:t>Regulatory Impact Statement</w:t>
      </w:r>
      <w:r w:rsidRPr="000266F5">
        <w:rPr>
          <w:rFonts w:ascii="Times New Roman" w:eastAsia="MS PGothic" w:hAnsi="Times New Roman" w:cs="Times New Roman"/>
          <w:iCs/>
          <w:color w:val="000000"/>
        </w:rPr>
        <w:t>,</w:t>
      </w:r>
      <w:r w:rsidR="00E14C6D">
        <w:rPr>
          <w:rFonts w:ascii="Times New Roman" w:eastAsia="MS PGothic" w:hAnsi="Times New Roman" w:cs="Times New Roman"/>
          <w:iCs/>
          <w:color w:val="000000"/>
        </w:rPr>
        <w:t xml:space="preserve"> four </w:t>
      </w:r>
      <w:r w:rsidRPr="000266F5">
        <w:rPr>
          <w:rFonts w:ascii="Times New Roman" w:eastAsia="MS PGothic" w:hAnsi="Times New Roman" w:cs="Times New Roman"/>
          <w:iCs/>
          <w:color w:val="000000"/>
        </w:rPr>
        <w:t xml:space="preserve">scenarios were modelled for the original sectors captured under </w:t>
      </w:r>
      <w:r>
        <w:rPr>
          <w:rFonts w:ascii="Times New Roman" w:eastAsia="MS PGothic" w:hAnsi="Times New Roman" w:cs="Times New Roman"/>
          <w:iCs/>
          <w:color w:val="000000"/>
        </w:rPr>
        <w:t>SoCI (</w:t>
      </w:r>
      <w:r w:rsidRPr="000266F5">
        <w:rPr>
          <w:rFonts w:ascii="Times New Roman" w:eastAsia="MS PGothic" w:hAnsi="Times New Roman" w:cs="Times New Roman"/>
          <w:iCs/>
          <w:color w:val="000000"/>
        </w:rPr>
        <w:t xml:space="preserve">electricity generation, electricity transmission/ distribution, gas processing/storage, gas transmission/ distribution, ports and water) with breakdowns provided across small, medium and large organisation. </w:t>
      </w:r>
      <w:r>
        <w:rPr>
          <w:rFonts w:ascii="Times New Roman" w:eastAsia="MS PGothic" w:hAnsi="Times New Roman" w:cs="Times New Roman"/>
          <w:iCs/>
          <w:color w:val="000000"/>
        </w:rPr>
        <w:t xml:space="preserve">Note: </w:t>
      </w:r>
      <w:r w:rsidR="00E14C6D">
        <w:rPr>
          <w:rFonts w:ascii="Times New Roman" w:eastAsia="MS PGothic" w:hAnsi="Times New Roman" w:cs="Times New Roman"/>
          <w:iCs/>
          <w:color w:val="000000"/>
        </w:rPr>
        <w:t>this Regulation Impact Assessment costs three of these scenarios given one of the scenarios previously costed is no longer relevant.</w:t>
      </w:r>
    </w:p>
    <w:p w14:paraId="3EBE7416" w14:textId="77777777" w:rsidR="00C17BD4" w:rsidRDefault="00C17BD4" w:rsidP="00EE0D81">
      <w:pPr>
        <w:tabs>
          <w:tab w:val="num" w:pos="340"/>
          <w:tab w:val="left" w:pos="426"/>
        </w:tabs>
        <w:spacing w:before="120" w:after="120" w:line="240" w:lineRule="auto"/>
        <w:rPr>
          <w:rFonts w:ascii="Times New Roman" w:hAnsi="Times New Roman"/>
          <w:b/>
        </w:rPr>
      </w:pPr>
    </w:p>
    <w:p w14:paraId="3FCC1105" w14:textId="7C074A68" w:rsidR="00993F09" w:rsidRPr="00EE0D81" w:rsidRDefault="00993F09" w:rsidP="00EE0D81">
      <w:pPr>
        <w:tabs>
          <w:tab w:val="num" w:pos="340"/>
          <w:tab w:val="left" w:pos="426"/>
        </w:tabs>
        <w:spacing w:before="120" w:after="120" w:line="240" w:lineRule="auto"/>
        <w:rPr>
          <w:rFonts w:ascii="Times New Roman" w:hAnsi="Times New Roman"/>
          <w:b/>
        </w:rPr>
      </w:pPr>
      <w:r w:rsidRPr="00EE0D81">
        <w:rPr>
          <w:rFonts w:ascii="Times New Roman" w:hAnsi="Times New Roman"/>
          <w:b/>
        </w:rPr>
        <w:t>Costs</w:t>
      </w:r>
    </w:p>
    <w:p w14:paraId="12B5C084" w14:textId="4EF4C26B" w:rsidR="00993F09" w:rsidRPr="00EE0D81" w:rsidRDefault="00993F09" w:rsidP="00EE0D81">
      <w:pPr>
        <w:tabs>
          <w:tab w:val="left" w:pos="426"/>
        </w:tabs>
        <w:spacing w:after="0" w:line="240" w:lineRule="auto"/>
        <w:rPr>
          <w:rFonts w:ascii="Times New Roman" w:hAnsi="Times New Roman"/>
          <w:b/>
          <w:color w:val="000000"/>
        </w:rPr>
      </w:pPr>
      <w:r w:rsidRPr="001A7788">
        <w:rPr>
          <w:rFonts w:ascii="Times New Roman" w:eastAsia="MS PGothic" w:hAnsi="Times New Roman" w:cs="Times New Roman"/>
          <w:b/>
          <w:iCs/>
          <w:color w:val="000000"/>
        </w:rPr>
        <w:t>Scenario 1 – Direction</w:t>
      </w:r>
      <w:r w:rsidRPr="00EE0D81">
        <w:rPr>
          <w:rFonts w:ascii="Times New Roman" w:hAnsi="Times New Roman"/>
          <w:b/>
          <w:color w:val="000000"/>
        </w:rPr>
        <w:t xml:space="preserve"> requiring a business to limit any offshore access to its industrial control systems unless where approved by Government. </w:t>
      </w:r>
    </w:p>
    <w:p w14:paraId="61A7374E" w14:textId="77777777" w:rsidR="00993F09" w:rsidRPr="001A7788" w:rsidRDefault="00993F09" w:rsidP="00993F09">
      <w:pPr>
        <w:pStyle w:val="ListParagraph"/>
        <w:numPr>
          <w:ilvl w:val="1"/>
          <w:numId w:val="5"/>
        </w:numPr>
        <w:tabs>
          <w:tab w:val="left" w:pos="426"/>
        </w:tabs>
        <w:spacing w:after="240" w:line="240" w:lineRule="auto"/>
        <w:rPr>
          <w:rFonts w:ascii="Times New Roman" w:eastAsia="MS PGothic" w:hAnsi="Times New Roman" w:cs="Times New Roman"/>
          <w:iCs/>
          <w:color w:val="000000"/>
        </w:rPr>
      </w:pPr>
      <w:r w:rsidRPr="001A7788">
        <w:rPr>
          <w:rFonts w:ascii="Times New Roman" w:eastAsia="MS PGothic" w:hAnsi="Times New Roman" w:cs="Times New Roman"/>
          <w:iCs/>
          <w:color w:val="000000"/>
        </w:rPr>
        <w:t>Assuming the Direction power will be used once every three years (frequency of 3.33 across the 10 year costing timeframe) the an</w:t>
      </w:r>
      <w:r w:rsidRPr="007726EF">
        <w:rPr>
          <w:rFonts w:ascii="Times New Roman" w:eastAsia="MS PGothic" w:hAnsi="Times New Roman" w:cs="Times New Roman"/>
          <w:iCs/>
          <w:color w:val="000000"/>
        </w:rPr>
        <w:t>nual compliance burden</w:t>
      </w:r>
      <w:r w:rsidRPr="001A7788">
        <w:rPr>
          <w:rFonts w:ascii="Times New Roman" w:eastAsia="MS PGothic" w:hAnsi="Times New Roman" w:cs="Times New Roman"/>
          <w:iCs/>
          <w:color w:val="000000"/>
        </w:rPr>
        <w:t xml:space="preserve"> for this scenario is estimated at $4,999 on average per sector.  </w:t>
      </w:r>
    </w:p>
    <w:p w14:paraId="6701A3BE" w14:textId="77777777" w:rsidR="00993F09" w:rsidRPr="001A7788" w:rsidRDefault="00993F09" w:rsidP="00993F09">
      <w:pPr>
        <w:pStyle w:val="ListParagraph"/>
        <w:numPr>
          <w:ilvl w:val="1"/>
          <w:numId w:val="5"/>
        </w:numPr>
        <w:tabs>
          <w:tab w:val="left" w:pos="426"/>
        </w:tabs>
        <w:spacing w:after="240" w:line="240" w:lineRule="auto"/>
        <w:rPr>
          <w:rFonts w:ascii="Times New Roman" w:eastAsia="MS PGothic" w:hAnsi="Times New Roman" w:cs="Times New Roman"/>
          <w:iCs/>
          <w:color w:val="000000"/>
        </w:rPr>
      </w:pPr>
      <w:r w:rsidRPr="00D215B4">
        <w:rPr>
          <w:rFonts w:ascii="Times New Roman" w:eastAsia="MS PGothic" w:hAnsi="Times New Roman" w:cs="Times New Roman"/>
          <w:iCs/>
          <w:color w:val="000000"/>
        </w:rPr>
        <w:t>The annual cost of a single occurrence</w:t>
      </w:r>
      <w:r w:rsidRPr="001A7788">
        <w:rPr>
          <w:rFonts w:ascii="Times New Roman" w:eastAsia="MS PGothic" w:hAnsi="Times New Roman" w:cs="Times New Roman"/>
          <w:iCs/>
          <w:color w:val="000000"/>
        </w:rPr>
        <w:t xml:space="preserve"> of the ministerial direction power over a ten year period</w:t>
      </w:r>
      <w:r>
        <w:rPr>
          <w:rFonts w:ascii="Times New Roman" w:eastAsia="MS PGothic" w:hAnsi="Times New Roman" w:cs="Times New Roman"/>
          <w:iCs/>
          <w:color w:val="000000"/>
        </w:rPr>
        <w:t>, averaged</w:t>
      </w:r>
      <w:r w:rsidRPr="001A7788">
        <w:rPr>
          <w:rFonts w:ascii="Times New Roman" w:eastAsia="MS PGothic" w:hAnsi="Times New Roman" w:cs="Times New Roman"/>
          <w:iCs/>
          <w:color w:val="000000"/>
        </w:rPr>
        <w:t xml:space="preserve"> for each sector </w:t>
      </w:r>
      <w:r>
        <w:rPr>
          <w:rFonts w:ascii="Times New Roman" w:eastAsia="MS PGothic" w:hAnsi="Times New Roman" w:cs="Times New Roman"/>
          <w:iCs/>
          <w:color w:val="000000"/>
        </w:rPr>
        <w:t>is</w:t>
      </w:r>
      <w:r w:rsidRPr="00D215B4">
        <w:rPr>
          <w:rFonts w:ascii="Times New Roman" w:eastAsia="MS PGothic" w:hAnsi="Times New Roman" w:cs="Times New Roman"/>
          <w:iCs/>
          <w:color w:val="000000"/>
        </w:rPr>
        <w:t xml:space="preserve"> </w:t>
      </w:r>
      <w:r w:rsidRPr="001A7788">
        <w:rPr>
          <w:rFonts w:ascii="Times New Roman" w:eastAsia="MS PGothic" w:hAnsi="Times New Roman" w:cs="Times New Roman"/>
          <w:iCs/>
          <w:color w:val="000000"/>
        </w:rPr>
        <w:t>estimated at $8</w:t>
      </w:r>
      <w:r w:rsidRPr="00D215B4">
        <w:rPr>
          <w:rFonts w:ascii="Times New Roman" w:eastAsia="MS PGothic" w:hAnsi="Times New Roman" w:cs="Times New Roman"/>
          <w:iCs/>
          <w:color w:val="000000"/>
        </w:rPr>
        <w:t>6,875</w:t>
      </w:r>
      <w:r w:rsidRPr="001A7788">
        <w:rPr>
          <w:rFonts w:ascii="Times New Roman" w:eastAsia="MS PGothic" w:hAnsi="Times New Roman" w:cs="Times New Roman"/>
          <w:iCs/>
          <w:color w:val="000000"/>
        </w:rPr>
        <w:t xml:space="preserve"> for </w:t>
      </w:r>
      <w:r>
        <w:rPr>
          <w:rFonts w:ascii="Times New Roman" w:eastAsia="MS PGothic" w:hAnsi="Times New Roman" w:cs="Times New Roman"/>
          <w:iCs/>
          <w:color w:val="000000"/>
        </w:rPr>
        <w:t>a small business</w:t>
      </w:r>
      <w:r w:rsidRPr="001A7788">
        <w:rPr>
          <w:rFonts w:ascii="Times New Roman" w:eastAsia="MS PGothic" w:hAnsi="Times New Roman" w:cs="Times New Roman"/>
          <w:iCs/>
          <w:color w:val="000000"/>
        </w:rPr>
        <w:t>, $8</w:t>
      </w:r>
      <w:r w:rsidRPr="00D215B4">
        <w:rPr>
          <w:rFonts w:ascii="Times New Roman" w:eastAsia="MS PGothic" w:hAnsi="Times New Roman" w:cs="Times New Roman"/>
          <w:iCs/>
          <w:color w:val="000000"/>
        </w:rPr>
        <w:t xml:space="preserve">1,353 </w:t>
      </w:r>
      <w:r w:rsidRPr="001A7788">
        <w:rPr>
          <w:rFonts w:ascii="Times New Roman" w:eastAsia="MS PGothic" w:hAnsi="Times New Roman" w:cs="Times New Roman"/>
          <w:iCs/>
          <w:color w:val="000000"/>
        </w:rPr>
        <w:t xml:space="preserve">for </w:t>
      </w:r>
      <w:r>
        <w:rPr>
          <w:rFonts w:ascii="Times New Roman" w:eastAsia="MS PGothic" w:hAnsi="Times New Roman" w:cs="Times New Roman"/>
          <w:iCs/>
          <w:color w:val="000000"/>
        </w:rPr>
        <w:t>a medium business</w:t>
      </w:r>
      <w:r w:rsidRPr="001A7788">
        <w:rPr>
          <w:rFonts w:ascii="Times New Roman" w:eastAsia="MS PGothic" w:hAnsi="Times New Roman" w:cs="Times New Roman"/>
          <w:iCs/>
          <w:color w:val="000000"/>
        </w:rPr>
        <w:t xml:space="preserve"> and $</w:t>
      </w:r>
      <w:r w:rsidRPr="00D215B4">
        <w:rPr>
          <w:rFonts w:ascii="Times New Roman" w:eastAsia="MS PGothic" w:hAnsi="Times New Roman" w:cs="Times New Roman"/>
          <w:iCs/>
          <w:color w:val="000000"/>
        </w:rPr>
        <w:t>77,672</w:t>
      </w:r>
      <w:r w:rsidRPr="001A7788">
        <w:rPr>
          <w:rFonts w:ascii="Times New Roman" w:eastAsia="MS PGothic" w:hAnsi="Times New Roman" w:cs="Times New Roman"/>
          <w:iCs/>
          <w:color w:val="000000"/>
        </w:rPr>
        <w:t xml:space="preserve"> for</w:t>
      </w:r>
      <w:r>
        <w:rPr>
          <w:rFonts w:ascii="Times New Roman" w:eastAsia="MS PGothic" w:hAnsi="Times New Roman" w:cs="Times New Roman"/>
          <w:iCs/>
          <w:color w:val="000000"/>
        </w:rPr>
        <w:t xml:space="preserve"> a large business</w:t>
      </w:r>
      <w:r w:rsidRPr="001A7788">
        <w:rPr>
          <w:rFonts w:ascii="Times New Roman" w:eastAsia="MS PGothic" w:hAnsi="Times New Roman" w:cs="Times New Roman"/>
          <w:iCs/>
          <w:color w:val="000000"/>
        </w:rPr>
        <w:t>.</w:t>
      </w:r>
    </w:p>
    <w:p w14:paraId="44F3AC41" w14:textId="1ED363E8" w:rsidR="00993F09" w:rsidRPr="00EE0D81" w:rsidRDefault="00993F09" w:rsidP="00EE0D81">
      <w:pPr>
        <w:tabs>
          <w:tab w:val="left" w:pos="426"/>
        </w:tabs>
        <w:spacing w:before="240" w:after="240" w:line="240" w:lineRule="auto"/>
        <w:rPr>
          <w:rFonts w:ascii="Times New Roman" w:hAnsi="Times New Roman"/>
          <w:b/>
          <w:color w:val="000000"/>
        </w:rPr>
      </w:pPr>
      <w:r w:rsidRPr="001A7788">
        <w:rPr>
          <w:rFonts w:ascii="Times New Roman" w:eastAsia="MS PGothic" w:hAnsi="Times New Roman" w:cs="Times New Roman"/>
          <w:b/>
          <w:iCs/>
          <w:color w:val="000000"/>
        </w:rPr>
        <w:t xml:space="preserve">Scenario 2 – </w:t>
      </w:r>
      <w:r w:rsidRPr="00EE0D81">
        <w:rPr>
          <w:rFonts w:ascii="Times New Roman" w:hAnsi="Times New Roman"/>
          <w:b/>
          <w:color w:val="000000"/>
        </w:rPr>
        <w:t>A direction preventing a business from outsourcing the operations of its core network to certain low-cost, low-quality providers.</w:t>
      </w:r>
    </w:p>
    <w:p w14:paraId="53241998" w14:textId="77777777" w:rsidR="00993F09" w:rsidRPr="000A0679" w:rsidRDefault="00993F09" w:rsidP="00B369B5">
      <w:pPr>
        <w:pStyle w:val="ListParagraph"/>
        <w:numPr>
          <w:ilvl w:val="0"/>
          <w:numId w:val="18"/>
        </w:numPr>
        <w:rPr>
          <w:rFonts w:ascii="Times New Roman" w:eastAsia="MS PGothic" w:hAnsi="Times New Roman" w:cs="Times New Roman"/>
          <w:iCs/>
          <w:color w:val="000000"/>
        </w:rPr>
      </w:pPr>
      <w:r w:rsidRPr="000A0679">
        <w:rPr>
          <w:rFonts w:ascii="Times New Roman" w:eastAsia="MS PGothic" w:hAnsi="Times New Roman" w:cs="Times New Roman"/>
          <w:iCs/>
          <w:color w:val="000000"/>
        </w:rPr>
        <w:t>Assuming the Direction power will be used once every three years (frequency of 3.33 across the 10 year costing timeframe) the annual compliance burden for this scenario is estimated at $</w:t>
      </w:r>
      <w:r>
        <w:rPr>
          <w:rFonts w:ascii="Times New Roman" w:eastAsia="MS PGothic" w:hAnsi="Times New Roman" w:cs="Times New Roman"/>
          <w:iCs/>
          <w:color w:val="000000"/>
        </w:rPr>
        <w:t>280,741</w:t>
      </w:r>
      <w:r w:rsidRPr="000A0679">
        <w:rPr>
          <w:rFonts w:ascii="Times New Roman" w:eastAsia="MS PGothic" w:hAnsi="Times New Roman" w:cs="Times New Roman"/>
          <w:iCs/>
          <w:color w:val="000000"/>
        </w:rPr>
        <w:t xml:space="preserve"> on average per sector.  </w:t>
      </w:r>
    </w:p>
    <w:p w14:paraId="2AF6D036" w14:textId="77777777" w:rsidR="00993F09" w:rsidRPr="001A7788" w:rsidRDefault="00993F09" w:rsidP="00B369B5">
      <w:pPr>
        <w:pStyle w:val="ListParagraph"/>
        <w:numPr>
          <w:ilvl w:val="0"/>
          <w:numId w:val="18"/>
        </w:numPr>
        <w:tabs>
          <w:tab w:val="left" w:pos="426"/>
        </w:tabs>
        <w:spacing w:before="240" w:after="240" w:line="240" w:lineRule="auto"/>
        <w:rPr>
          <w:rFonts w:ascii="Times New Roman" w:eastAsia="MS PGothic" w:hAnsi="Times New Roman" w:cs="Times New Roman"/>
          <w:iCs/>
          <w:color w:val="000000"/>
        </w:rPr>
      </w:pPr>
      <w:r w:rsidRPr="00D215B4">
        <w:rPr>
          <w:rFonts w:ascii="Times New Roman" w:eastAsia="MS PGothic" w:hAnsi="Times New Roman" w:cs="Times New Roman"/>
          <w:iCs/>
          <w:color w:val="000000"/>
        </w:rPr>
        <w:t>The annual cost of a single occurrence</w:t>
      </w:r>
      <w:r w:rsidRPr="00934FE4">
        <w:rPr>
          <w:rFonts w:ascii="Times New Roman" w:eastAsia="MS PGothic" w:hAnsi="Times New Roman" w:cs="Times New Roman"/>
          <w:iCs/>
          <w:color w:val="000000"/>
        </w:rPr>
        <w:t xml:space="preserve"> of the ministerial direction power over a ten year period</w:t>
      </w:r>
      <w:r>
        <w:rPr>
          <w:rFonts w:ascii="Times New Roman" w:eastAsia="MS PGothic" w:hAnsi="Times New Roman" w:cs="Times New Roman"/>
          <w:iCs/>
          <w:color w:val="000000"/>
        </w:rPr>
        <w:t>, averaged</w:t>
      </w:r>
      <w:r w:rsidRPr="00934FE4">
        <w:rPr>
          <w:rFonts w:ascii="Times New Roman" w:eastAsia="MS PGothic" w:hAnsi="Times New Roman" w:cs="Times New Roman"/>
          <w:iCs/>
          <w:color w:val="000000"/>
        </w:rPr>
        <w:t xml:space="preserve"> for each sector </w:t>
      </w:r>
      <w:r>
        <w:rPr>
          <w:rFonts w:ascii="Times New Roman" w:eastAsia="MS PGothic" w:hAnsi="Times New Roman" w:cs="Times New Roman"/>
          <w:iCs/>
          <w:color w:val="000000"/>
        </w:rPr>
        <w:t>is</w:t>
      </w:r>
      <w:r w:rsidRPr="00D215B4">
        <w:rPr>
          <w:rFonts w:ascii="Times New Roman" w:eastAsia="MS PGothic" w:hAnsi="Times New Roman" w:cs="Times New Roman"/>
          <w:iCs/>
          <w:color w:val="000000"/>
        </w:rPr>
        <w:t xml:space="preserve"> </w:t>
      </w:r>
      <w:r w:rsidRPr="00934FE4">
        <w:rPr>
          <w:rFonts w:ascii="Times New Roman" w:eastAsia="MS PGothic" w:hAnsi="Times New Roman" w:cs="Times New Roman"/>
          <w:iCs/>
          <w:color w:val="000000"/>
        </w:rPr>
        <w:t xml:space="preserve">estimated at </w:t>
      </w:r>
      <w:r>
        <w:rPr>
          <w:rFonts w:ascii="Times New Roman" w:eastAsia="MS PGothic" w:hAnsi="Times New Roman" w:cs="Times New Roman"/>
          <w:iCs/>
          <w:color w:val="000000"/>
        </w:rPr>
        <w:t>$1,385,499 for a small business</w:t>
      </w:r>
      <w:r w:rsidRPr="001A7788">
        <w:rPr>
          <w:rFonts w:ascii="Times New Roman" w:eastAsia="MS PGothic" w:hAnsi="Times New Roman" w:cs="Times New Roman"/>
          <w:iCs/>
          <w:color w:val="000000"/>
        </w:rPr>
        <w:t xml:space="preserve">, </w:t>
      </w:r>
      <w:r>
        <w:rPr>
          <w:rFonts w:ascii="Times New Roman" w:eastAsia="MS PGothic" w:hAnsi="Times New Roman" w:cs="Times New Roman"/>
          <w:iCs/>
          <w:color w:val="000000"/>
        </w:rPr>
        <w:t>$4,020,916 for medium a business</w:t>
      </w:r>
      <w:r w:rsidRPr="001A7788">
        <w:rPr>
          <w:rFonts w:ascii="Times New Roman" w:eastAsia="MS PGothic" w:hAnsi="Times New Roman" w:cs="Times New Roman"/>
          <w:iCs/>
          <w:color w:val="000000"/>
        </w:rPr>
        <w:t xml:space="preserve"> and $6,656,332 for </w:t>
      </w:r>
      <w:r>
        <w:rPr>
          <w:rFonts w:ascii="Times New Roman" w:eastAsia="MS PGothic" w:hAnsi="Times New Roman" w:cs="Times New Roman"/>
          <w:iCs/>
          <w:color w:val="000000"/>
        </w:rPr>
        <w:t>a large business</w:t>
      </w:r>
      <w:r w:rsidRPr="001A7788">
        <w:rPr>
          <w:rFonts w:ascii="Times New Roman" w:eastAsia="MS PGothic" w:hAnsi="Times New Roman" w:cs="Times New Roman"/>
          <w:iCs/>
          <w:color w:val="000000"/>
        </w:rPr>
        <w:t>.</w:t>
      </w:r>
    </w:p>
    <w:p w14:paraId="599E61FC" w14:textId="2EAC7760" w:rsidR="00993F09" w:rsidRPr="00EE0D81" w:rsidRDefault="00993F09" w:rsidP="00EE0D81">
      <w:pPr>
        <w:tabs>
          <w:tab w:val="left" w:pos="426"/>
        </w:tabs>
        <w:spacing w:before="240" w:after="240" w:line="240" w:lineRule="auto"/>
        <w:rPr>
          <w:rFonts w:ascii="Times New Roman" w:hAnsi="Times New Roman"/>
          <w:b/>
          <w:color w:val="000000"/>
        </w:rPr>
      </w:pPr>
      <w:r w:rsidRPr="001A7788">
        <w:rPr>
          <w:rFonts w:ascii="Times New Roman" w:eastAsia="MS PGothic" w:hAnsi="Times New Roman" w:cs="Times New Roman"/>
          <w:b/>
          <w:iCs/>
          <w:color w:val="000000"/>
        </w:rPr>
        <w:t xml:space="preserve">Scenario 3 – </w:t>
      </w:r>
      <w:r w:rsidRPr="00EE0D81">
        <w:rPr>
          <w:rFonts w:ascii="Times New Roman" w:hAnsi="Times New Roman"/>
          <w:b/>
          <w:color w:val="000000"/>
        </w:rPr>
        <w:t xml:space="preserve">A direction preventing a business from sourcing core operational systems technology from certain low-cost, low-quality providers. </w:t>
      </w:r>
    </w:p>
    <w:p w14:paraId="2C21ED7F" w14:textId="77777777" w:rsidR="00993F09" w:rsidRPr="000A0679" w:rsidRDefault="00993F09" w:rsidP="00B369B5">
      <w:pPr>
        <w:pStyle w:val="ListParagraph"/>
        <w:numPr>
          <w:ilvl w:val="0"/>
          <w:numId w:val="19"/>
        </w:numPr>
        <w:rPr>
          <w:rFonts w:ascii="Times New Roman" w:eastAsia="MS PGothic" w:hAnsi="Times New Roman" w:cs="Times New Roman"/>
          <w:iCs/>
          <w:color w:val="000000"/>
        </w:rPr>
      </w:pPr>
      <w:r w:rsidRPr="000A0679">
        <w:rPr>
          <w:rFonts w:ascii="Times New Roman" w:eastAsia="MS PGothic" w:hAnsi="Times New Roman" w:cs="Times New Roman"/>
          <w:iCs/>
          <w:color w:val="000000"/>
        </w:rPr>
        <w:t>Assuming the Direction power will be used once every three years (frequency of 3.33 across the 10 year costing timeframe) the annual compliance burden for this scenario is estimated at $</w:t>
      </w:r>
      <w:r>
        <w:rPr>
          <w:rFonts w:ascii="Times New Roman" w:eastAsia="MS PGothic" w:hAnsi="Times New Roman" w:cs="Times New Roman"/>
          <w:iCs/>
          <w:color w:val="000000"/>
        </w:rPr>
        <w:t>279,541</w:t>
      </w:r>
      <w:r w:rsidRPr="000A0679">
        <w:rPr>
          <w:rFonts w:ascii="Times New Roman" w:eastAsia="MS PGothic" w:hAnsi="Times New Roman" w:cs="Times New Roman"/>
          <w:iCs/>
          <w:color w:val="000000"/>
        </w:rPr>
        <w:t xml:space="preserve"> on average per sector.  </w:t>
      </w:r>
    </w:p>
    <w:p w14:paraId="2CA0D8A9" w14:textId="77777777" w:rsidR="00993F09" w:rsidRPr="001A7788" w:rsidRDefault="00993F09" w:rsidP="00B369B5">
      <w:pPr>
        <w:pStyle w:val="ListParagraph"/>
        <w:numPr>
          <w:ilvl w:val="0"/>
          <w:numId w:val="19"/>
        </w:numPr>
        <w:tabs>
          <w:tab w:val="left" w:pos="426"/>
        </w:tabs>
        <w:spacing w:before="240" w:after="240" w:line="240" w:lineRule="auto"/>
        <w:rPr>
          <w:rFonts w:ascii="Times New Roman" w:eastAsia="MS PGothic" w:hAnsi="Times New Roman" w:cs="Times New Roman"/>
          <w:iCs/>
          <w:color w:val="000000"/>
        </w:rPr>
      </w:pPr>
      <w:r w:rsidRPr="00D215B4">
        <w:rPr>
          <w:rFonts w:ascii="Times New Roman" w:eastAsia="MS PGothic" w:hAnsi="Times New Roman" w:cs="Times New Roman"/>
          <w:iCs/>
          <w:color w:val="000000"/>
        </w:rPr>
        <w:t>The annual cost of a single occurrence</w:t>
      </w:r>
      <w:r w:rsidRPr="00934FE4">
        <w:rPr>
          <w:rFonts w:ascii="Times New Roman" w:eastAsia="MS PGothic" w:hAnsi="Times New Roman" w:cs="Times New Roman"/>
          <w:iCs/>
          <w:color w:val="000000"/>
        </w:rPr>
        <w:t xml:space="preserve"> of the ministerial direction power over a ten year period</w:t>
      </w:r>
      <w:r>
        <w:rPr>
          <w:rFonts w:ascii="Times New Roman" w:eastAsia="MS PGothic" w:hAnsi="Times New Roman" w:cs="Times New Roman"/>
          <w:iCs/>
          <w:color w:val="000000"/>
        </w:rPr>
        <w:t>, averaged</w:t>
      </w:r>
      <w:r w:rsidRPr="00934FE4">
        <w:rPr>
          <w:rFonts w:ascii="Times New Roman" w:eastAsia="MS PGothic" w:hAnsi="Times New Roman" w:cs="Times New Roman"/>
          <w:iCs/>
          <w:color w:val="000000"/>
        </w:rPr>
        <w:t xml:space="preserve"> for each sector </w:t>
      </w:r>
      <w:r>
        <w:rPr>
          <w:rFonts w:ascii="Times New Roman" w:eastAsia="MS PGothic" w:hAnsi="Times New Roman" w:cs="Times New Roman"/>
          <w:iCs/>
          <w:color w:val="000000"/>
        </w:rPr>
        <w:t>is</w:t>
      </w:r>
      <w:r w:rsidRPr="00D215B4">
        <w:rPr>
          <w:rFonts w:ascii="Times New Roman" w:eastAsia="MS PGothic" w:hAnsi="Times New Roman" w:cs="Times New Roman"/>
          <w:iCs/>
          <w:color w:val="000000"/>
        </w:rPr>
        <w:t xml:space="preserve"> </w:t>
      </w:r>
      <w:r w:rsidRPr="00934FE4">
        <w:rPr>
          <w:rFonts w:ascii="Times New Roman" w:eastAsia="MS PGothic" w:hAnsi="Times New Roman" w:cs="Times New Roman"/>
          <w:iCs/>
          <w:color w:val="000000"/>
        </w:rPr>
        <w:t xml:space="preserve">estimated at </w:t>
      </w:r>
      <w:r w:rsidRPr="00D215B4">
        <w:rPr>
          <w:rFonts w:ascii="Times New Roman" w:eastAsia="MS PGothic" w:hAnsi="Times New Roman" w:cs="Times New Roman"/>
          <w:iCs/>
          <w:color w:val="000000"/>
        </w:rPr>
        <w:t>$1,419,972</w:t>
      </w:r>
      <w:r w:rsidRPr="001A7788">
        <w:rPr>
          <w:rFonts w:ascii="Times New Roman" w:eastAsia="MS PGothic" w:hAnsi="Times New Roman" w:cs="Times New Roman"/>
          <w:iCs/>
          <w:color w:val="000000"/>
        </w:rPr>
        <w:t xml:space="preserve"> </w:t>
      </w:r>
      <w:r w:rsidRPr="00D215B4">
        <w:rPr>
          <w:rFonts w:ascii="Times New Roman" w:eastAsia="MS PGothic" w:hAnsi="Times New Roman" w:cs="Times New Roman"/>
          <w:iCs/>
          <w:color w:val="000000"/>
        </w:rPr>
        <w:t xml:space="preserve">for </w:t>
      </w:r>
      <w:r>
        <w:rPr>
          <w:rFonts w:ascii="Times New Roman" w:eastAsia="MS PGothic" w:hAnsi="Times New Roman" w:cs="Times New Roman"/>
          <w:iCs/>
          <w:color w:val="000000"/>
        </w:rPr>
        <w:t xml:space="preserve">a </w:t>
      </w:r>
      <w:r w:rsidRPr="00D215B4">
        <w:rPr>
          <w:rFonts w:ascii="Times New Roman" w:eastAsia="MS PGothic" w:hAnsi="Times New Roman" w:cs="Times New Roman"/>
          <w:iCs/>
          <w:color w:val="000000"/>
        </w:rPr>
        <w:t>small busi</w:t>
      </w:r>
      <w:r>
        <w:rPr>
          <w:rFonts w:ascii="Times New Roman" w:eastAsia="MS PGothic" w:hAnsi="Times New Roman" w:cs="Times New Roman"/>
          <w:iCs/>
          <w:color w:val="000000"/>
        </w:rPr>
        <w:t>ness</w:t>
      </w:r>
      <w:r w:rsidRPr="00D215B4">
        <w:rPr>
          <w:rFonts w:ascii="Times New Roman" w:eastAsia="MS PGothic" w:hAnsi="Times New Roman" w:cs="Times New Roman"/>
          <w:iCs/>
          <w:color w:val="000000"/>
        </w:rPr>
        <w:t>, $3,514,742</w:t>
      </w:r>
      <w:r w:rsidRPr="001A7788">
        <w:rPr>
          <w:rFonts w:ascii="Times New Roman" w:eastAsia="MS PGothic" w:hAnsi="Times New Roman" w:cs="Times New Roman"/>
          <w:iCs/>
          <w:color w:val="000000"/>
        </w:rPr>
        <w:t xml:space="preserve"> for </w:t>
      </w:r>
      <w:r>
        <w:rPr>
          <w:rFonts w:ascii="Times New Roman" w:eastAsia="MS PGothic" w:hAnsi="Times New Roman" w:cs="Times New Roman"/>
          <w:iCs/>
          <w:color w:val="000000"/>
        </w:rPr>
        <w:t>a medium business</w:t>
      </w:r>
      <w:r w:rsidRPr="00D215B4">
        <w:rPr>
          <w:rFonts w:ascii="Times New Roman" w:eastAsia="MS PGothic" w:hAnsi="Times New Roman" w:cs="Times New Roman"/>
          <w:iCs/>
          <w:color w:val="000000"/>
        </w:rPr>
        <w:t xml:space="preserve"> and $7,096,694</w:t>
      </w:r>
      <w:r w:rsidRPr="001A7788">
        <w:rPr>
          <w:rFonts w:ascii="Times New Roman" w:eastAsia="MS PGothic" w:hAnsi="Times New Roman" w:cs="Times New Roman"/>
          <w:iCs/>
          <w:color w:val="000000"/>
        </w:rPr>
        <w:t xml:space="preserve"> for </w:t>
      </w:r>
      <w:r>
        <w:rPr>
          <w:rFonts w:ascii="Times New Roman" w:eastAsia="MS PGothic" w:hAnsi="Times New Roman" w:cs="Times New Roman"/>
          <w:iCs/>
          <w:color w:val="000000"/>
        </w:rPr>
        <w:t>a large business</w:t>
      </w:r>
      <w:r w:rsidRPr="001A7788">
        <w:rPr>
          <w:rFonts w:ascii="Times New Roman" w:eastAsia="MS PGothic" w:hAnsi="Times New Roman" w:cs="Times New Roman"/>
          <w:iCs/>
          <w:color w:val="000000"/>
        </w:rPr>
        <w:t xml:space="preserve">. </w:t>
      </w:r>
    </w:p>
    <w:p w14:paraId="31A495B9" w14:textId="77777777" w:rsidR="00993F09" w:rsidRPr="000266F5" w:rsidRDefault="00993F09" w:rsidP="00993F09">
      <w:pPr>
        <w:tabs>
          <w:tab w:val="left" w:pos="426"/>
        </w:tabs>
        <w:spacing w:before="240" w:after="240" w:line="240" w:lineRule="auto"/>
        <w:rPr>
          <w:rFonts w:ascii="Times New Roman" w:eastAsia="MS PGothic" w:hAnsi="Times New Roman" w:cs="Times New Roman"/>
          <w:iCs/>
          <w:color w:val="000000"/>
        </w:rPr>
      </w:pPr>
      <w:r>
        <w:rPr>
          <w:rFonts w:ascii="Times New Roman" w:eastAsia="MS PGothic" w:hAnsi="Times New Roman" w:cs="Times New Roman"/>
          <w:iCs/>
          <w:color w:val="000000"/>
        </w:rPr>
        <w:t xml:space="preserve">Note: the ministerial directions power has not been used since introduction in 2018. As such, (b) </w:t>
      </w:r>
      <w:r w:rsidRPr="003F4ECB">
        <w:rPr>
          <w:rFonts w:ascii="Times New Roman" w:eastAsia="MS PGothic" w:hAnsi="Times New Roman" w:cs="Times New Roman"/>
          <w:iCs/>
          <w:color w:val="000000"/>
        </w:rPr>
        <w:t>the annual cost</w:t>
      </w:r>
      <w:r>
        <w:rPr>
          <w:rFonts w:ascii="Times New Roman" w:eastAsia="MS PGothic" w:hAnsi="Times New Roman" w:cs="Times New Roman"/>
          <w:iCs/>
          <w:color w:val="000000"/>
        </w:rPr>
        <w:t xml:space="preserve"> </w:t>
      </w:r>
      <w:r w:rsidRPr="003F4ECB">
        <w:rPr>
          <w:rFonts w:ascii="Times New Roman" w:eastAsia="MS PGothic" w:hAnsi="Times New Roman" w:cs="Times New Roman"/>
          <w:iCs/>
          <w:color w:val="000000"/>
        </w:rPr>
        <w:t>of a single occurrence of the ministerial direction power over a ten year period for each sector</w:t>
      </w:r>
      <w:r w:rsidRPr="001A7788">
        <w:rPr>
          <w:rFonts w:ascii="Times New Roman" w:eastAsia="MS PGothic" w:hAnsi="Times New Roman" w:cs="Times New Roman"/>
          <w:iCs/>
          <w:color w:val="000000"/>
        </w:rPr>
        <w:t xml:space="preserve"> and business size category</w:t>
      </w:r>
      <w:r w:rsidRPr="003F4ECB">
        <w:rPr>
          <w:rFonts w:ascii="Times New Roman" w:eastAsia="MS PGothic" w:hAnsi="Times New Roman" w:cs="Times New Roman"/>
          <w:iCs/>
          <w:color w:val="000000"/>
        </w:rPr>
        <w:t xml:space="preserve"> </w:t>
      </w:r>
      <w:r>
        <w:rPr>
          <w:rFonts w:ascii="Times New Roman" w:eastAsia="MS PGothic" w:hAnsi="Times New Roman" w:cs="Times New Roman"/>
          <w:iCs/>
          <w:color w:val="000000"/>
        </w:rPr>
        <w:t xml:space="preserve">is illustrative only. Assuming a ministerial direction is used (a) once </w:t>
      </w:r>
      <w:r>
        <w:rPr>
          <w:rFonts w:ascii="Times New Roman" w:eastAsia="MS PGothic" w:hAnsi="Times New Roman" w:cs="Times New Roman"/>
          <w:iCs/>
          <w:color w:val="000000"/>
        </w:rPr>
        <w:lastRenderedPageBreak/>
        <w:t xml:space="preserve">every 3 years is considered more realistic and subsequently more representative of the likely costs to industry. </w:t>
      </w:r>
    </w:p>
    <w:p w14:paraId="1210BB3E" w14:textId="77777777" w:rsidR="00993F09" w:rsidRDefault="00993F09" w:rsidP="00993F09">
      <w:pPr>
        <w:tabs>
          <w:tab w:val="left" w:pos="426"/>
        </w:tabs>
        <w:spacing w:after="0" w:line="240" w:lineRule="auto"/>
        <w:rPr>
          <w:rFonts w:ascii="Times New Roman" w:eastAsia="Arial" w:hAnsi="Times New Roman" w:cs="Times New Roman"/>
          <w:i/>
        </w:rPr>
      </w:pPr>
      <w:r w:rsidRPr="001A7788">
        <w:rPr>
          <w:rFonts w:ascii="Times New Roman" w:eastAsia="Arial" w:hAnsi="Times New Roman" w:cs="Times New Roman"/>
          <w:i/>
        </w:rPr>
        <w:t>Cost assumptions:</w:t>
      </w:r>
    </w:p>
    <w:p w14:paraId="26EBF59E" w14:textId="77777777" w:rsidR="00993F09" w:rsidRPr="000266F5" w:rsidRDefault="00993F09" w:rsidP="00993F09">
      <w:pPr>
        <w:pStyle w:val="Default"/>
        <w:numPr>
          <w:ilvl w:val="0"/>
          <w:numId w:val="10"/>
        </w:numPr>
        <w:rPr>
          <w:sz w:val="22"/>
          <w:szCs w:val="22"/>
        </w:rPr>
      </w:pPr>
      <w:r w:rsidRPr="000266F5">
        <w:rPr>
          <w:rFonts w:eastAsia="Arial"/>
          <w:sz w:val="22"/>
          <w:szCs w:val="22"/>
        </w:rPr>
        <w:t xml:space="preserve">The following method was used to calculate the annual cost of complying with the register for an average entity. This method is in line with </w:t>
      </w:r>
      <w:r w:rsidRPr="000266F5">
        <w:rPr>
          <w:sz w:val="22"/>
          <w:szCs w:val="22"/>
        </w:rPr>
        <w:t xml:space="preserve">Office of Best Practice Regulation guidance. </w:t>
      </w:r>
    </w:p>
    <w:p w14:paraId="453A7BCD" w14:textId="77777777" w:rsidR="00993F09" w:rsidRPr="000A2CD6" w:rsidRDefault="00993F09" w:rsidP="00993F09">
      <w:pPr>
        <w:pStyle w:val="Default"/>
        <w:numPr>
          <w:ilvl w:val="1"/>
          <w:numId w:val="10"/>
        </w:numPr>
        <w:rPr>
          <w:b/>
          <w:sz w:val="22"/>
          <w:szCs w:val="22"/>
        </w:rPr>
      </w:pPr>
      <w:r>
        <w:rPr>
          <w:b/>
          <w:sz w:val="22"/>
          <w:szCs w:val="22"/>
        </w:rPr>
        <w:t>Regulatory burden</w:t>
      </w:r>
      <w:r w:rsidRPr="000266F5">
        <w:rPr>
          <w:b/>
          <w:sz w:val="22"/>
          <w:szCs w:val="22"/>
        </w:rPr>
        <w:t xml:space="preserve"> = </w:t>
      </w:r>
      <w:r>
        <w:rPr>
          <w:b/>
          <w:sz w:val="22"/>
          <w:szCs w:val="22"/>
        </w:rPr>
        <w:t>(</w:t>
      </w:r>
      <w:r w:rsidRPr="000266F5">
        <w:rPr>
          <w:b/>
          <w:sz w:val="22"/>
          <w:szCs w:val="22"/>
        </w:rPr>
        <w:t xml:space="preserve">time required </w:t>
      </w:r>
      <w:r>
        <w:rPr>
          <w:b/>
          <w:sz w:val="22"/>
          <w:szCs w:val="22"/>
        </w:rPr>
        <w:t xml:space="preserve">to report </w:t>
      </w:r>
      <w:r w:rsidRPr="000266F5">
        <w:rPr>
          <w:b/>
          <w:sz w:val="22"/>
          <w:szCs w:val="22"/>
        </w:rPr>
        <w:t>* hourly cost ($41.74)* wage multiplier (1.75)</w:t>
      </w:r>
      <w:r>
        <w:rPr>
          <w:b/>
          <w:sz w:val="22"/>
          <w:szCs w:val="22"/>
        </w:rPr>
        <w:t xml:space="preserve">) </w:t>
      </w:r>
      <w:r w:rsidRPr="000266F5">
        <w:rPr>
          <w:b/>
          <w:sz w:val="22"/>
          <w:szCs w:val="22"/>
        </w:rPr>
        <w:t xml:space="preserve">* </w:t>
      </w:r>
      <w:r>
        <w:rPr>
          <w:b/>
          <w:sz w:val="22"/>
          <w:szCs w:val="22"/>
        </w:rPr>
        <w:t>(</w:t>
      </w:r>
      <w:r w:rsidRPr="000266F5">
        <w:rPr>
          <w:b/>
          <w:sz w:val="22"/>
          <w:szCs w:val="22"/>
        </w:rPr>
        <w:t>times performed</w:t>
      </w:r>
      <w:r>
        <w:rPr>
          <w:b/>
          <w:sz w:val="22"/>
          <w:szCs w:val="22"/>
        </w:rPr>
        <w:t xml:space="preserve"> annually</w:t>
      </w:r>
      <w:r w:rsidRPr="000266F5">
        <w:rPr>
          <w:b/>
          <w:sz w:val="22"/>
          <w:szCs w:val="22"/>
        </w:rPr>
        <w:t xml:space="preserve"> * number of staff</w:t>
      </w:r>
      <w:r>
        <w:rPr>
          <w:b/>
          <w:sz w:val="22"/>
          <w:szCs w:val="22"/>
        </w:rPr>
        <w:t>)</w:t>
      </w:r>
    </w:p>
    <w:p w14:paraId="6FAC334C" w14:textId="39BF9340" w:rsidR="00993F09" w:rsidRPr="001A7788" w:rsidRDefault="00993F09" w:rsidP="00993F09">
      <w:pPr>
        <w:pStyle w:val="ListParagraph"/>
        <w:numPr>
          <w:ilvl w:val="1"/>
          <w:numId w:val="10"/>
        </w:numPr>
        <w:tabs>
          <w:tab w:val="left" w:pos="426"/>
        </w:tabs>
        <w:autoSpaceDE w:val="0"/>
        <w:autoSpaceDN w:val="0"/>
        <w:adjustRightInd w:val="0"/>
        <w:spacing w:after="0" w:line="240" w:lineRule="auto"/>
        <w:rPr>
          <w:rFonts w:ascii="Times New Roman" w:eastAsia="MS PGothic" w:hAnsi="Times New Roman" w:cs="Times New Roman"/>
          <w:iCs/>
          <w:color w:val="000000"/>
        </w:rPr>
      </w:pPr>
      <w:r>
        <w:rPr>
          <w:rFonts w:ascii="Times New Roman" w:eastAsia="MS PGothic" w:hAnsi="Times New Roman" w:cs="Times New Roman"/>
          <w:iCs/>
          <w:color w:val="000000"/>
        </w:rPr>
        <w:t>Where relevant, the time required to report has been informed by a complexity multiplier, and/or a SCADA expertise multiplier and/or an industry multiplier to account for different leve</w:t>
      </w:r>
      <w:r w:rsidR="00233CC6">
        <w:rPr>
          <w:rFonts w:ascii="Times New Roman" w:eastAsia="MS PGothic" w:hAnsi="Times New Roman" w:cs="Times New Roman"/>
          <w:iCs/>
          <w:color w:val="000000"/>
        </w:rPr>
        <w:t xml:space="preserve">ls of complexity across sectors. </w:t>
      </w:r>
      <w:r>
        <w:rPr>
          <w:rFonts w:ascii="Times New Roman" w:eastAsia="MS PGothic" w:hAnsi="Times New Roman" w:cs="Times New Roman"/>
          <w:iCs/>
          <w:color w:val="000000"/>
        </w:rPr>
        <w:t>The averages have been used to inform costs.</w:t>
      </w:r>
    </w:p>
    <w:p w14:paraId="3C38E3EB" w14:textId="77C208C0" w:rsidR="00993F09" w:rsidRDefault="00993F09" w:rsidP="00993F09">
      <w:pPr>
        <w:pStyle w:val="ListParagraph"/>
        <w:numPr>
          <w:ilvl w:val="0"/>
          <w:numId w:val="10"/>
        </w:numPr>
        <w:tabs>
          <w:tab w:val="left" w:pos="426"/>
        </w:tabs>
        <w:autoSpaceDE w:val="0"/>
        <w:autoSpaceDN w:val="0"/>
        <w:adjustRightInd w:val="0"/>
        <w:spacing w:before="240" w:after="0" w:line="240" w:lineRule="auto"/>
        <w:rPr>
          <w:rFonts w:ascii="Times New Roman" w:eastAsia="MS PGothic" w:hAnsi="Times New Roman" w:cs="Times New Roman"/>
          <w:iCs/>
          <w:color w:val="000000"/>
        </w:rPr>
      </w:pPr>
      <w:r>
        <w:rPr>
          <w:rFonts w:ascii="Times New Roman" w:eastAsia="MS PGothic" w:hAnsi="Times New Roman" w:cs="Times New Roman"/>
          <w:iCs/>
          <w:color w:val="000000"/>
        </w:rPr>
        <w:t xml:space="preserve">The </w:t>
      </w:r>
      <w:r w:rsidRPr="00206846">
        <w:rPr>
          <w:rFonts w:ascii="Times New Roman" w:eastAsia="MS PGothic" w:hAnsi="Times New Roman" w:cs="Times New Roman"/>
          <w:iCs/>
          <w:color w:val="000000"/>
        </w:rPr>
        <w:t xml:space="preserve">sectors </w:t>
      </w:r>
      <w:r>
        <w:rPr>
          <w:rFonts w:ascii="Times New Roman" w:eastAsia="MS PGothic" w:hAnsi="Times New Roman" w:cs="Times New Roman"/>
          <w:iCs/>
          <w:color w:val="000000"/>
        </w:rPr>
        <w:t>(</w:t>
      </w:r>
      <w:r w:rsidRPr="000266F5">
        <w:rPr>
          <w:rFonts w:ascii="Times New Roman" w:eastAsia="MS PGothic" w:hAnsi="Times New Roman" w:cs="Times New Roman"/>
          <w:iCs/>
          <w:color w:val="000000"/>
        </w:rPr>
        <w:t>electricity generation, electricity transmission/ distribution, gas processing/storage, gas transmission/ distribution, ports and water</w:t>
      </w:r>
      <w:r>
        <w:rPr>
          <w:rFonts w:ascii="Times New Roman" w:eastAsia="MS PGothic" w:hAnsi="Times New Roman" w:cs="Times New Roman"/>
          <w:iCs/>
          <w:color w:val="000000"/>
        </w:rPr>
        <w:t xml:space="preserve">) </w:t>
      </w:r>
      <w:r w:rsidRPr="00206846">
        <w:rPr>
          <w:rFonts w:ascii="Times New Roman" w:eastAsia="MS PGothic" w:hAnsi="Times New Roman" w:cs="Times New Roman"/>
          <w:iCs/>
          <w:color w:val="000000"/>
        </w:rPr>
        <w:t xml:space="preserve">that were costed in the SoCI 2018 Explanatory Memorandum provide a suitable </w:t>
      </w:r>
      <w:r>
        <w:rPr>
          <w:rFonts w:ascii="Times New Roman" w:eastAsia="MS PGothic" w:hAnsi="Times New Roman" w:cs="Times New Roman"/>
          <w:iCs/>
          <w:color w:val="000000"/>
        </w:rPr>
        <w:t>analogue</w:t>
      </w:r>
      <w:r w:rsidRPr="00206846">
        <w:rPr>
          <w:rFonts w:ascii="Times New Roman" w:eastAsia="MS PGothic" w:hAnsi="Times New Roman" w:cs="Times New Roman"/>
          <w:iCs/>
          <w:color w:val="000000"/>
        </w:rPr>
        <w:t xml:space="preserve"> for all </w:t>
      </w:r>
      <w:r w:rsidRPr="00B1725B">
        <w:rPr>
          <w:rFonts w:ascii="Times New Roman" w:eastAsia="MS PGothic" w:hAnsi="Times New Roman" w:cs="Times New Roman"/>
          <w:i/>
          <w:iCs/>
          <w:color w:val="000000"/>
        </w:rPr>
        <w:t>critical infrastructure sector</w:t>
      </w:r>
      <w:r w:rsidRPr="00206846">
        <w:rPr>
          <w:rFonts w:ascii="Times New Roman" w:eastAsia="MS PGothic" w:hAnsi="Times New Roman" w:cs="Times New Roman"/>
          <w:iCs/>
          <w:color w:val="000000"/>
        </w:rPr>
        <w:t xml:space="preserve">s. </w:t>
      </w:r>
    </w:p>
    <w:p w14:paraId="6D8C8B34" w14:textId="77777777" w:rsidR="00993F09" w:rsidRDefault="00993F09" w:rsidP="00993F09">
      <w:pPr>
        <w:pStyle w:val="ListParagraph"/>
        <w:numPr>
          <w:ilvl w:val="0"/>
          <w:numId w:val="10"/>
        </w:numPr>
        <w:tabs>
          <w:tab w:val="left" w:pos="426"/>
        </w:tabs>
        <w:autoSpaceDE w:val="0"/>
        <w:autoSpaceDN w:val="0"/>
        <w:adjustRightInd w:val="0"/>
        <w:spacing w:before="240" w:after="0" w:line="240" w:lineRule="auto"/>
        <w:rPr>
          <w:rFonts w:ascii="Times New Roman" w:eastAsia="MS PGothic" w:hAnsi="Times New Roman" w:cs="Times New Roman"/>
          <w:iCs/>
          <w:color w:val="000000"/>
        </w:rPr>
      </w:pPr>
      <w:r w:rsidRPr="00BE5BFE">
        <w:rPr>
          <w:rFonts w:ascii="Times New Roman" w:eastAsia="MS PGothic" w:hAnsi="Times New Roman" w:cs="Times New Roman"/>
          <w:iCs/>
          <w:color w:val="000000"/>
        </w:rPr>
        <w:t>Independent compliance audits, staff</w:t>
      </w:r>
      <w:r>
        <w:rPr>
          <w:rFonts w:ascii="Times New Roman" w:eastAsia="MS PGothic" w:hAnsi="Times New Roman" w:cs="Times New Roman"/>
          <w:iCs/>
          <w:color w:val="000000"/>
        </w:rPr>
        <w:t xml:space="preserve"> training, procurement related to SCADA systems or new communications infrastructure providers, costs of breaking existing contracts and software updates and maintenance have been considered in costings. </w:t>
      </w:r>
    </w:p>
    <w:p w14:paraId="43C54C1E" w14:textId="77777777" w:rsidR="00993F09" w:rsidRPr="001A7788" w:rsidRDefault="00993F09" w:rsidP="00993F09">
      <w:pPr>
        <w:tabs>
          <w:tab w:val="left" w:pos="426"/>
        </w:tabs>
        <w:spacing w:before="120" w:after="0" w:line="240" w:lineRule="auto"/>
        <w:rPr>
          <w:rFonts w:ascii="Times New Roman" w:eastAsia="MS PGothic" w:hAnsi="Times New Roman" w:cs="Times New Roman"/>
          <w:iCs/>
          <w:color w:val="000000"/>
          <w:u w:val="single"/>
        </w:rPr>
      </w:pPr>
      <w:r w:rsidRPr="001A7788">
        <w:rPr>
          <w:rFonts w:ascii="Times New Roman" w:eastAsia="MS PGothic" w:hAnsi="Times New Roman" w:cs="Times New Roman"/>
          <w:iCs/>
          <w:color w:val="000000"/>
          <w:u w:val="single"/>
        </w:rPr>
        <w:t>a. Ministerial direction is used every 3 years</w:t>
      </w:r>
    </w:p>
    <w:p w14:paraId="0305E90D" w14:textId="77777777" w:rsidR="00993F09" w:rsidRPr="001A7788" w:rsidRDefault="00993F09" w:rsidP="00993F09">
      <w:pPr>
        <w:pStyle w:val="ListParagraph"/>
        <w:numPr>
          <w:ilvl w:val="0"/>
          <w:numId w:val="10"/>
        </w:numPr>
        <w:tabs>
          <w:tab w:val="left" w:pos="426"/>
        </w:tabs>
        <w:spacing w:after="240" w:line="240" w:lineRule="auto"/>
        <w:ind w:left="714" w:hanging="357"/>
        <w:rPr>
          <w:rFonts w:ascii="Times New Roman" w:eastAsia="MS PGothic" w:hAnsi="Times New Roman" w:cs="Times New Roman"/>
          <w:iCs/>
          <w:color w:val="000000"/>
        </w:rPr>
      </w:pPr>
      <w:r>
        <w:rPr>
          <w:rFonts w:ascii="Times New Roman" w:eastAsia="MS PGothic" w:hAnsi="Times New Roman" w:cs="Times New Roman"/>
          <w:iCs/>
          <w:color w:val="000000"/>
        </w:rPr>
        <w:t xml:space="preserve">The ministerial directions power </w:t>
      </w:r>
      <w:r w:rsidRPr="009E4EA5">
        <w:rPr>
          <w:rFonts w:ascii="Times New Roman" w:eastAsia="MS PGothic" w:hAnsi="Times New Roman" w:cs="Times New Roman"/>
          <w:iCs/>
          <w:color w:val="000000"/>
        </w:rPr>
        <w:t>will be used once every three years (resulting in a frequency of 3.33 across the 10 year costing timeframe)</w:t>
      </w:r>
      <w:r>
        <w:rPr>
          <w:rFonts w:ascii="Times New Roman" w:eastAsia="MS PGothic" w:hAnsi="Times New Roman" w:cs="Times New Roman"/>
          <w:iCs/>
          <w:color w:val="000000"/>
        </w:rPr>
        <w:t xml:space="preserve">. </w:t>
      </w:r>
    </w:p>
    <w:p w14:paraId="14CA5C83" w14:textId="77777777" w:rsidR="00993F09" w:rsidRPr="001A7788" w:rsidRDefault="00993F09" w:rsidP="00993F09">
      <w:pPr>
        <w:pStyle w:val="ListParagraph"/>
        <w:numPr>
          <w:ilvl w:val="0"/>
          <w:numId w:val="10"/>
        </w:numPr>
        <w:tabs>
          <w:tab w:val="left" w:pos="426"/>
        </w:tabs>
        <w:spacing w:after="240" w:line="240" w:lineRule="auto"/>
        <w:ind w:left="714" w:hanging="357"/>
        <w:rPr>
          <w:rFonts w:ascii="Times New Roman" w:eastAsia="MS PGothic" w:hAnsi="Times New Roman" w:cs="Times New Roman"/>
          <w:iCs/>
          <w:color w:val="000000"/>
        </w:rPr>
      </w:pPr>
      <w:r w:rsidRPr="00DD4949">
        <w:rPr>
          <w:rFonts w:ascii="Times New Roman" w:eastAsia="MS PGothic" w:hAnsi="Times New Roman" w:cs="Times New Roman"/>
          <w:iCs/>
          <w:color w:val="000000"/>
        </w:rPr>
        <w:t>Each of the</w:t>
      </w:r>
      <w:r>
        <w:rPr>
          <w:rFonts w:ascii="Times New Roman" w:eastAsia="MS PGothic" w:hAnsi="Times New Roman" w:cs="Times New Roman"/>
          <w:iCs/>
          <w:color w:val="000000"/>
        </w:rPr>
        <w:t xml:space="preserve"> three</w:t>
      </w:r>
      <w:r w:rsidRPr="00DD4949">
        <w:rPr>
          <w:rFonts w:ascii="Times New Roman" w:eastAsia="MS PGothic" w:hAnsi="Times New Roman" w:cs="Times New Roman"/>
          <w:iCs/>
          <w:color w:val="000000"/>
        </w:rPr>
        <w:t xml:space="preserve"> </w:t>
      </w:r>
      <w:r w:rsidRPr="001A7788">
        <w:rPr>
          <w:rFonts w:ascii="Times New Roman" w:eastAsia="MS PGothic" w:hAnsi="Times New Roman" w:cs="Times New Roman"/>
          <w:iCs/>
          <w:color w:val="000000"/>
        </w:rPr>
        <w:t>scenarios is assigned an eq</w:t>
      </w:r>
      <w:r>
        <w:rPr>
          <w:rFonts w:ascii="Times New Roman" w:eastAsia="MS PGothic" w:hAnsi="Times New Roman" w:cs="Times New Roman"/>
          <w:iCs/>
          <w:color w:val="000000"/>
        </w:rPr>
        <w:t>ual probability of occurring (33</w:t>
      </w:r>
      <w:r w:rsidRPr="001A7788">
        <w:rPr>
          <w:rFonts w:ascii="Times New Roman" w:eastAsia="MS PGothic" w:hAnsi="Times New Roman" w:cs="Times New Roman"/>
          <w:iCs/>
          <w:color w:val="000000"/>
        </w:rPr>
        <w:t>% each)</w:t>
      </w:r>
      <w:r>
        <w:rPr>
          <w:rFonts w:ascii="Times New Roman" w:eastAsia="MS PGothic" w:hAnsi="Times New Roman" w:cs="Times New Roman"/>
          <w:iCs/>
          <w:color w:val="000000"/>
        </w:rPr>
        <w:t>.</w:t>
      </w:r>
    </w:p>
    <w:p w14:paraId="324BB754" w14:textId="77777777" w:rsidR="00993F09" w:rsidRPr="001A7788" w:rsidRDefault="00993F09" w:rsidP="00993F09">
      <w:pPr>
        <w:pStyle w:val="ListParagraph"/>
        <w:numPr>
          <w:ilvl w:val="0"/>
          <w:numId w:val="10"/>
        </w:numPr>
        <w:tabs>
          <w:tab w:val="left" w:pos="426"/>
        </w:tabs>
        <w:spacing w:after="240" w:line="240" w:lineRule="auto"/>
        <w:ind w:left="714" w:hanging="357"/>
        <w:rPr>
          <w:rFonts w:ascii="Times New Roman" w:eastAsia="MS PGothic" w:hAnsi="Times New Roman" w:cs="Times New Roman"/>
          <w:iCs/>
          <w:color w:val="000000"/>
        </w:rPr>
      </w:pPr>
      <w:r w:rsidRPr="00DD4949">
        <w:rPr>
          <w:rFonts w:ascii="Times New Roman" w:eastAsia="MS PGothic" w:hAnsi="Times New Roman" w:cs="Times New Roman"/>
          <w:iCs/>
          <w:color w:val="000000"/>
        </w:rPr>
        <w:t>Within each of the</w:t>
      </w:r>
      <w:r>
        <w:rPr>
          <w:rFonts w:ascii="Times New Roman" w:eastAsia="MS PGothic" w:hAnsi="Times New Roman" w:cs="Times New Roman"/>
          <w:iCs/>
          <w:color w:val="000000"/>
        </w:rPr>
        <w:t xml:space="preserve"> three scenarios, the 33</w:t>
      </w:r>
      <w:r w:rsidRPr="001A7788">
        <w:rPr>
          <w:rFonts w:ascii="Times New Roman" w:eastAsia="MS PGothic" w:hAnsi="Times New Roman" w:cs="Times New Roman"/>
          <w:iCs/>
          <w:color w:val="000000"/>
        </w:rPr>
        <w:t xml:space="preserve">% probability is split between small, medium, large </w:t>
      </w:r>
      <w:r>
        <w:rPr>
          <w:rFonts w:ascii="Times New Roman" w:eastAsia="MS PGothic" w:hAnsi="Times New Roman" w:cs="Times New Roman"/>
          <w:iCs/>
          <w:color w:val="000000"/>
        </w:rPr>
        <w:t>entities types.</w:t>
      </w:r>
    </w:p>
    <w:p w14:paraId="1DC4E2AA" w14:textId="027ABFF3" w:rsidR="00993F09" w:rsidRPr="004A7840" w:rsidRDefault="00993F09" w:rsidP="00993F09">
      <w:pPr>
        <w:pStyle w:val="ListParagraph"/>
        <w:numPr>
          <w:ilvl w:val="0"/>
          <w:numId w:val="10"/>
        </w:numPr>
        <w:tabs>
          <w:tab w:val="left" w:pos="426"/>
        </w:tabs>
        <w:autoSpaceDE w:val="0"/>
        <w:autoSpaceDN w:val="0"/>
        <w:adjustRightInd w:val="0"/>
        <w:spacing w:after="0" w:line="240" w:lineRule="auto"/>
        <w:ind w:left="714" w:hanging="357"/>
        <w:rPr>
          <w:rFonts w:ascii="Segoe UI" w:hAnsi="Segoe UI" w:cs="Segoe UI"/>
          <w:color w:val="000000"/>
          <w:sz w:val="20"/>
          <w:szCs w:val="20"/>
        </w:rPr>
      </w:pPr>
      <w:r w:rsidRPr="001A7788">
        <w:rPr>
          <w:rFonts w:ascii="Times New Roman" w:eastAsia="MS PGothic" w:hAnsi="Times New Roman" w:cs="Times New Roman"/>
          <w:iCs/>
          <w:color w:val="000000"/>
        </w:rPr>
        <w:t>A medium and large sized entity is twice as likely to be affected by a</w:t>
      </w:r>
      <w:r w:rsidRPr="00DD4949">
        <w:rPr>
          <w:rFonts w:ascii="Times New Roman" w:eastAsia="MS PGothic" w:hAnsi="Times New Roman" w:cs="Times New Roman"/>
          <w:iCs/>
          <w:color w:val="000000"/>
        </w:rPr>
        <w:t xml:space="preserve"> Ministerial Direction power</w:t>
      </w:r>
      <w:r w:rsidRPr="001A7788">
        <w:rPr>
          <w:rFonts w:ascii="Times New Roman" w:eastAsia="MS PGothic" w:hAnsi="Times New Roman" w:cs="Times New Roman"/>
          <w:iCs/>
          <w:color w:val="000000"/>
        </w:rPr>
        <w:t xml:space="preserve"> direction compared to a small sized entity</w:t>
      </w:r>
      <w:r>
        <w:rPr>
          <w:rFonts w:ascii="Times New Roman" w:eastAsia="MS PGothic" w:hAnsi="Times New Roman" w:cs="Times New Roman"/>
          <w:iCs/>
          <w:color w:val="000000"/>
        </w:rPr>
        <w:t>.</w:t>
      </w:r>
    </w:p>
    <w:p w14:paraId="3A227571" w14:textId="77777777" w:rsidR="004A7840" w:rsidRPr="001A7788" w:rsidRDefault="004A7840" w:rsidP="004A7840">
      <w:pPr>
        <w:pStyle w:val="ListParagraph"/>
        <w:tabs>
          <w:tab w:val="left" w:pos="426"/>
        </w:tabs>
        <w:autoSpaceDE w:val="0"/>
        <w:autoSpaceDN w:val="0"/>
        <w:adjustRightInd w:val="0"/>
        <w:spacing w:after="0" w:line="240" w:lineRule="auto"/>
        <w:ind w:left="714"/>
        <w:rPr>
          <w:rFonts w:ascii="Segoe UI" w:hAnsi="Segoe UI" w:cs="Segoe UI"/>
          <w:color w:val="000000"/>
          <w:sz w:val="20"/>
          <w:szCs w:val="20"/>
        </w:rPr>
      </w:pPr>
    </w:p>
    <w:p w14:paraId="253862BC" w14:textId="08989A71" w:rsidR="00993F09" w:rsidRPr="001A7788" w:rsidRDefault="00993F09" w:rsidP="00EE0D81">
      <w:pPr>
        <w:tabs>
          <w:tab w:val="left" w:pos="426"/>
          <w:tab w:val="left" w:pos="7230"/>
        </w:tabs>
        <w:spacing w:before="120" w:after="0" w:line="240" w:lineRule="auto"/>
        <w:rPr>
          <w:rFonts w:ascii="Times New Roman" w:eastAsia="MS PGothic" w:hAnsi="Times New Roman" w:cs="Times New Roman"/>
          <w:iCs/>
          <w:color w:val="000000"/>
          <w:u w:val="single"/>
        </w:rPr>
      </w:pPr>
      <w:r w:rsidRPr="001A7788">
        <w:rPr>
          <w:rFonts w:ascii="Times New Roman" w:eastAsia="MS PGothic" w:hAnsi="Times New Roman" w:cs="Times New Roman"/>
          <w:iCs/>
          <w:color w:val="000000"/>
          <w:u w:val="single"/>
        </w:rPr>
        <w:t>b. Ministerial direction for each sector and business size once every 10 years</w:t>
      </w:r>
    </w:p>
    <w:p w14:paraId="7F308B01" w14:textId="4F39CF25" w:rsidR="00993F09" w:rsidRPr="00E91CA8" w:rsidRDefault="00993F09" w:rsidP="00993F09">
      <w:pPr>
        <w:pStyle w:val="ListParagraph"/>
        <w:numPr>
          <w:ilvl w:val="0"/>
          <w:numId w:val="10"/>
        </w:numPr>
        <w:tabs>
          <w:tab w:val="left" w:pos="426"/>
        </w:tabs>
        <w:spacing w:after="240" w:line="240" w:lineRule="auto"/>
        <w:ind w:left="714" w:hanging="357"/>
        <w:rPr>
          <w:rFonts w:ascii="Times New Roman" w:eastAsia="MS PGothic" w:hAnsi="Times New Roman" w:cs="Times New Roman"/>
          <w:iCs/>
          <w:color w:val="000000"/>
        </w:rPr>
      </w:pPr>
      <w:r>
        <w:rPr>
          <w:rFonts w:ascii="Times New Roman" w:eastAsia="MS PGothic" w:hAnsi="Times New Roman" w:cs="Times New Roman"/>
          <w:iCs/>
          <w:color w:val="000000"/>
        </w:rPr>
        <w:t>The costs for small, medium and large businesses have been determined using the modelling work undertaken in the 2018 SoCI Regulation Impact Statement and averaging the costs of all sectors for a small, medium or large business.</w:t>
      </w:r>
    </w:p>
    <w:p w14:paraId="045194DC" w14:textId="77777777" w:rsidR="00993F09" w:rsidRPr="001A7788" w:rsidRDefault="00993F09" w:rsidP="00EE0D81">
      <w:pPr>
        <w:tabs>
          <w:tab w:val="left" w:pos="426"/>
        </w:tabs>
        <w:spacing w:before="240" w:after="0" w:line="240" w:lineRule="auto"/>
        <w:rPr>
          <w:rFonts w:ascii="Times New Roman" w:eastAsia="MS PGothic" w:hAnsi="Times New Roman" w:cs="Times New Roman"/>
          <w:iCs/>
          <w:color w:val="000000"/>
        </w:rPr>
      </w:pPr>
      <w:r w:rsidRPr="001A7788">
        <w:rPr>
          <w:rFonts w:ascii="Times New Roman" w:eastAsia="MS PGothic" w:hAnsi="Times New Roman" w:cs="Times New Roman"/>
          <w:iCs/>
          <w:color w:val="000000"/>
        </w:rPr>
        <w:t xml:space="preserve">The Minister’s use of the directions power may change foreign investors’ perceptions of sovereign risk in Australia if it is considered that the directions power is being abused. This would have a significant impact on the Australian economy which is highly dependent on foreign capital which is needed to grow the economy, increase productivity and living standards, and to create jobs. However, the fact that the Ministerial direction power has been in force for the last two years and has not yet been used should alleviate these concerns. </w:t>
      </w:r>
    </w:p>
    <w:p w14:paraId="48C87A30" w14:textId="77777777" w:rsidR="00993F09" w:rsidRPr="00EE0D81" w:rsidRDefault="00993F09" w:rsidP="00EE0D81">
      <w:pPr>
        <w:tabs>
          <w:tab w:val="num" w:pos="340"/>
          <w:tab w:val="left" w:pos="426"/>
        </w:tabs>
        <w:spacing w:before="120" w:after="120" w:line="240" w:lineRule="auto"/>
        <w:rPr>
          <w:rFonts w:ascii="Times New Roman" w:hAnsi="Times New Roman"/>
          <w:b/>
        </w:rPr>
      </w:pPr>
      <w:r w:rsidRPr="00EE0D81">
        <w:rPr>
          <w:rFonts w:ascii="Times New Roman" w:hAnsi="Times New Roman"/>
          <w:b/>
        </w:rPr>
        <w:t>Benefits</w:t>
      </w:r>
    </w:p>
    <w:p w14:paraId="4E045B1A" w14:textId="2563C113" w:rsidR="00993F09" w:rsidRPr="000266F5" w:rsidRDefault="00993F09" w:rsidP="00993F09">
      <w:pPr>
        <w:tabs>
          <w:tab w:val="left" w:pos="426"/>
        </w:tabs>
        <w:spacing w:after="0" w:line="240" w:lineRule="auto"/>
        <w:rPr>
          <w:rFonts w:ascii="Times New Roman" w:eastAsia="MS PGothic" w:hAnsi="Times New Roman" w:cs="Times New Roman"/>
          <w:iCs/>
          <w:color w:val="000000"/>
        </w:rPr>
      </w:pPr>
      <w:r w:rsidRPr="000266F5">
        <w:rPr>
          <w:rFonts w:ascii="Times New Roman" w:eastAsia="MS PGothic" w:hAnsi="Times New Roman" w:cs="Times New Roman"/>
          <w:iCs/>
          <w:color w:val="000000"/>
        </w:rPr>
        <w:t xml:space="preserve">The Ministerial directions power was introduced into current </w:t>
      </w:r>
      <w:r w:rsidRPr="001A7788">
        <w:rPr>
          <w:rFonts w:ascii="Times New Roman" w:eastAsia="MS PGothic" w:hAnsi="Times New Roman" w:cs="Times New Roman"/>
          <w:iCs/>
          <w:color w:val="000000"/>
        </w:rPr>
        <w:t>SoCI</w:t>
      </w:r>
      <w:r w:rsidRPr="000266F5">
        <w:rPr>
          <w:rFonts w:ascii="Times New Roman" w:eastAsia="MS PGothic" w:hAnsi="Times New Roman" w:cs="Times New Roman"/>
          <w:i/>
          <w:iCs/>
          <w:color w:val="000000"/>
        </w:rPr>
        <w:t xml:space="preserve"> </w:t>
      </w:r>
      <w:r w:rsidRPr="000266F5">
        <w:rPr>
          <w:rFonts w:ascii="Times New Roman" w:eastAsia="MS PGothic" w:hAnsi="Times New Roman" w:cs="Times New Roman"/>
          <w:iCs/>
          <w:color w:val="000000"/>
        </w:rPr>
        <w:t xml:space="preserve">to ensure that the Government had the necessary powers to address national security risks to critical infrastructure where they could not be managed through other mechanisms. Since its introduction, there have been no incidents where the Ministerial directions power has been required. </w:t>
      </w:r>
    </w:p>
    <w:p w14:paraId="1827E238" w14:textId="77777777" w:rsidR="00993F09" w:rsidRPr="000266F5" w:rsidRDefault="00993F09" w:rsidP="00993F09">
      <w:pPr>
        <w:pStyle w:val="ListParagraph"/>
        <w:tabs>
          <w:tab w:val="left" w:pos="426"/>
        </w:tabs>
        <w:spacing w:after="0" w:line="240" w:lineRule="auto"/>
        <w:ind w:left="227"/>
        <w:rPr>
          <w:rFonts w:ascii="Times New Roman" w:eastAsia="MS PGothic" w:hAnsi="Times New Roman" w:cs="Times New Roman"/>
          <w:iCs/>
          <w:color w:val="000000"/>
        </w:rPr>
      </w:pPr>
    </w:p>
    <w:p w14:paraId="4D1E35CA" w14:textId="4260B17B" w:rsidR="00993F09" w:rsidRPr="000266F5" w:rsidRDefault="00993F09" w:rsidP="00993F09">
      <w:pPr>
        <w:tabs>
          <w:tab w:val="left" w:pos="426"/>
        </w:tabs>
        <w:spacing w:after="0" w:line="240" w:lineRule="auto"/>
        <w:rPr>
          <w:rFonts w:ascii="Times New Roman" w:eastAsia="MS PGothic" w:hAnsi="Times New Roman" w:cs="Times New Roman"/>
          <w:iCs/>
          <w:color w:val="000000"/>
        </w:rPr>
      </w:pPr>
      <w:r w:rsidRPr="000266F5">
        <w:rPr>
          <w:rFonts w:ascii="Times New Roman" w:eastAsia="MS PGothic" w:hAnsi="Times New Roman" w:cs="Times New Roman"/>
          <w:iCs/>
          <w:color w:val="000000"/>
        </w:rPr>
        <w:t>Without this power, the Government would only be able to request assistance from critical infrastructure owners to mitigate risks, and rely on mutual interest to ensure the risk is addressed. The benefit of the directions power is in instances where assistance is not provided and risks are not mitigated. Subject to the safeguards in issuing a direction, this power allow</w:t>
      </w:r>
      <w:r>
        <w:rPr>
          <w:rFonts w:ascii="Times New Roman" w:eastAsia="MS PGothic" w:hAnsi="Times New Roman" w:cs="Times New Roman"/>
          <w:iCs/>
          <w:color w:val="000000"/>
        </w:rPr>
        <w:t>s</w:t>
      </w:r>
      <w:r w:rsidRPr="000266F5">
        <w:rPr>
          <w:rFonts w:ascii="Times New Roman" w:eastAsia="MS PGothic" w:hAnsi="Times New Roman" w:cs="Times New Roman"/>
          <w:iCs/>
          <w:color w:val="000000"/>
        </w:rPr>
        <w:t xml:space="preserve"> the Government to ensure </w:t>
      </w:r>
      <w:r>
        <w:rPr>
          <w:rFonts w:ascii="Times New Roman" w:eastAsia="MS PGothic" w:hAnsi="Times New Roman" w:cs="Times New Roman"/>
          <w:iCs/>
          <w:color w:val="000000"/>
        </w:rPr>
        <w:t xml:space="preserve">that the underlying </w:t>
      </w:r>
      <w:r w:rsidRPr="000266F5">
        <w:rPr>
          <w:rFonts w:ascii="Times New Roman" w:eastAsia="MS PGothic" w:hAnsi="Times New Roman" w:cs="Times New Roman"/>
          <w:iCs/>
          <w:color w:val="000000"/>
        </w:rPr>
        <w:t xml:space="preserve">national security risks are addressed. </w:t>
      </w:r>
    </w:p>
    <w:p w14:paraId="1B02701C" w14:textId="77777777" w:rsidR="00993F09" w:rsidRPr="000266F5" w:rsidRDefault="00993F09" w:rsidP="00993F09">
      <w:pPr>
        <w:tabs>
          <w:tab w:val="left" w:pos="426"/>
        </w:tabs>
        <w:spacing w:after="0" w:line="240" w:lineRule="auto"/>
        <w:rPr>
          <w:rFonts w:ascii="Times New Roman" w:eastAsia="MS PGothic" w:hAnsi="Times New Roman" w:cs="Times New Roman"/>
          <w:iCs/>
          <w:color w:val="000000"/>
        </w:rPr>
      </w:pPr>
    </w:p>
    <w:p w14:paraId="4793A0F6" w14:textId="150B0D41" w:rsidR="00993F09" w:rsidRPr="000266F5" w:rsidRDefault="00993F09" w:rsidP="00993F09">
      <w:pPr>
        <w:tabs>
          <w:tab w:val="left" w:pos="426"/>
        </w:tabs>
        <w:spacing w:after="0" w:line="240" w:lineRule="auto"/>
        <w:rPr>
          <w:rFonts w:ascii="Times New Roman" w:eastAsia="MS PGothic" w:hAnsi="Times New Roman" w:cs="Times New Roman"/>
          <w:iCs/>
          <w:color w:val="000000"/>
        </w:rPr>
      </w:pPr>
      <w:r w:rsidRPr="000266F5">
        <w:rPr>
          <w:rFonts w:ascii="Times New Roman" w:eastAsia="MS PGothic" w:hAnsi="Times New Roman" w:cs="Times New Roman"/>
          <w:iCs/>
          <w:color w:val="000000"/>
        </w:rPr>
        <w:lastRenderedPageBreak/>
        <w:t xml:space="preserve">As critical infrastructure has become increasingly interconnected over recent years it is important that the Ministerial Direction powers are expanded to include all newly defined </w:t>
      </w:r>
      <w:r w:rsidRPr="00EE0D81">
        <w:rPr>
          <w:rFonts w:ascii="Times New Roman" w:hAnsi="Times New Roman"/>
          <w:i/>
          <w:color w:val="000000"/>
        </w:rPr>
        <w:t>critical infrastructure asset</w:t>
      </w:r>
      <w:r w:rsidRPr="000266F5">
        <w:rPr>
          <w:rFonts w:ascii="Times New Roman" w:eastAsia="MS PGothic" w:hAnsi="Times New Roman" w:cs="Times New Roman"/>
          <w:iCs/>
          <w:color w:val="000000"/>
        </w:rPr>
        <w:t xml:space="preserve">s. </w:t>
      </w:r>
    </w:p>
    <w:p w14:paraId="0592DF74" w14:textId="77777777" w:rsidR="00993F09" w:rsidRPr="000266F5" w:rsidRDefault="00993F09" w:rsidP="00993F09">
      <w:pPr>
        <w:tabs>
          <w:tab w:val="left" w:pos="426"/>
        </w:tabs>
        <w:spacing w:after="0" w:line="240" w:lineRule="auto"/>
        <w:rPr>
          <w:rFonts w:ascii="Times New Roman" w:eastAsia="Arial" w:hAnsi="Times New Roman" w:cs="Times New Roman"/>
          <w:b/>
        </w:rPr>
      </w:pPr>
    </w:p>
    <w:p w14:paraId="6E930FB3" w14:textId="77777777" w:rsidR="00993F09" w:rsidRPr="000266F5" w:rsidRDefault="00993F09" w:rsidP="00EE0D81">
      <w:pPr>
        <w:pStyle w:val="ListParagraph"/>
        <w:numPr>
          <w:ilvl w:val="2"/>
          <w:numId w:val="17"/>
        </w:numPr>
        <w:tabs>
          <w:tab w:val="left" w:pos="426"/>
        </w:tabs>
        <w:spacing w:after="0" w:line="240" w:lineRule="auto"/>
        <w:rPr>
          <w:rFonts w:ascii="Times New Roman" w:eastAsia="Arial" w:hAnsi="Times New Roman" w:cs="Times New Roman"/>
          <w:b/>
        </w:rPr>
      </w:pPr>
      <w:r w:rsidRPr="00111DC0">
        <w:rPr>
          <w:rFonts w:ascii="Times New Roman" w:eastAsia="Arial" w:hAnsi="Times New Roman" w:cs="Times New Roman"/>
          <w:b/>
        </w:rPr>
        <w:t>Voluntary engagement through the Trusted Information Sharing Network (TISN)</w:t>
      </w:r>
    </w:p>
    <w:p w14:paraId="1ACE2676" w14:textId="77777777" w:rsidR="00993F09" w:rsidRPr="00EE0D81" w:rsidRDefault="00993F09" w:rsidP="00EE0D81">
      <w:pPr>
        <w:tabs>
          <w:tab w:val="num" w:pos="340"/>
          <w:tab w:val="left" w:pos="426"/>
        </w:tabs>
        <w:spacing w:before="120" w:after="120" w:line="240" w:lineRule="auto"/>
        <w:rPr>
          <w:rFonts w:ascii="Times New Roman" w:hAnsi="Times New Roman"/>
          <w:b/>
        </w:rPr>
      </w:pPr>
      <w:r w:rsidRPr="00EE0D81">
        <w:rPr>
          <w:rFonts w:ascii="Times New Roman" w:hAnsi="Times New Roman"/>
          <w:b/>
        </w:rPr>
        <w:t>Costs</w:t>
      </w:r>
    </w:p>
    <w:p w14:paraId="71A64E03" w14:textId="2743B18A" w:rsidR="00993F09" w:rsidRPr="000266F5" w:rsidRDefault="00993F09" w:rsidP="00993F09">
      <w:pPr>
        <w:tabs>
          <w:tab w:val="left" w:pos="426"/>
        </w:tabs>
        <w:spacing w:after="0" w:line="240" w:lineRule="auto"/>
        <w:rPr>
          <w:rFonts w:ascii="Times New Roman" w:eastAsia="MS PGothic" w:hAnsi="Times New Roman" w:cs="Times New Roman"/>
          <w:iCs/>
          <w:color w:val="000000"/>
        </w:rPr>
      </w:pPr>
      <w:r w:rsidRPr="000266F5">
        <w:rPr>
          <w:rFonts w:ascii="Times New Roman" w:eastAsia="MS PGothic" w:hAnsi="Times New Roman" w:cs="Times New Roman"/>
          <w:iCs/>
          <w:color w:val="000000"/>
        </w:rPr>
        <w:t xml:space="preserve">Participation within the TISN will be on a voluntary basis and therefore will not result in a regulatory burden to industry. For those that voluntarily participant, there will likely be a number of </w:t>
      </w:r>
      <w:r w:rsidR="008876EF">
        <w:rPr>
          <w:rFonts w:ascii="Times New Roman" w:eastAsia="MS PGothic" w:hAnsi="Times New Roman" w:cs="Times New Roman"/>
          <w:iCs/>
          <w:color w:val="000000"/>
        </w:rPr>
        <w:t>events</w:t>
      </w:r>
      <w:r w:rsidRPr="000266F5">
        <w:rPr>
          <w:rFonts w:ascii="Times New Roman" w:eastAsia="MS PGothic" w:hAnsi="Times New Roman" w:cs="Times New Roman"/>
          <w:iCs/>
          <w:color w:val="000000"/>
        </w:rPr>
        <w:t xml:space="preserve"> that participants will be invited to join as well as a number of guidance documents and briefing materials provided to industry</w:t>
      </w:r>
    </w:p>
    <w:p w14:paraId="140BBE6E" w14:textId="77777777" w:rsidR="00993F09" w:rsidRPr="00EE0D81" w:rsidRDefault="00993F09" w:rsidP="00EE0D81">
      <w:pPr>
        <w:tabs>
          <w:tab w:val="num" w:pos="340"/>
          <w:tab w:val="left" w:pos="426"/>
        </w:tabs>
        <w:spacing w:before="120" w:after="120" w:line="240" w:lineRule="auto"/>
        <w:rPr>
          <w:rFonts w:ascii="Times New Roman" w:hAnsi="Times New Roman"/>
          <w:b/>
        </w:rPr>
      </w:pPr>
      <w:r w:rsidRPr="00EE0D81">
        <w:rPr>
          <w:rFonts w:ascii="Times New Roman" w:hAnsi="Times New Roman"/>
          <w:b/>
        </w:rPr>
        <w:t>Benefits</w:t>
      </w:r>
    </w:p>
    <w:p w14:paraId="219546D2" w14:textId="77777777" w:rsidR="00993F09" w:rsidRPr="000266F5" w:rsidRDefault="00993F09" w:rsidP="00993F09">
      <w:pPr>
        <w:tabs>
          <w:tab w:val="left" w:pos="426"/>
        </w:tabs>
        <w:spacing w:before="240"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By complimenting legislative change with revitalising the TISN and the </w:t>
      </w:r>
      <w:r w:rsidRPr="000266F5">
        <w:rPr>
          <w:rFonts w:ascii="Times New Roman" w:eastAsia="MS PGothic" w:hAnsi="Times New Roman" w:cs="Times New Roman"/>
          <w:i/>
          <w:iCs/>
          <w:color w:val="000000"/>
        </w:rPr>
        <w:t>Critical Infrastructure Resilience Strategy</w:t>
      </w:r>
      <w:r w:rsidRPr="000266F5">
        <w:rPr>
          <w:rFonts w:ascii="Times New Roman" w:eastAsia="MS PGothic" w:hAnsi="Times New Roman" w:cs="Times New Roman"/>
          <w:color w:val="000000"/>
        </w:rPr>
        <w:t xml:space="preserve"> further cost benefits for industry will be realised. Revitalising the TISN and the </w:t>
      </w:r>
      <w:r w:rsidRPr="000266F5">
        <w:rPr>
          <w:rFonts w:ascii="Times New Roman" w:eastAsia="MS PGothic" w:hAnsi="Times New Roman" w:cs="Times New Roman"/>
          <w:i/>
          <w:iCs/>
          <w:color w:val="000000"/>
        </w:rPr>
        <w:t>Critical Infrastructure Resilience Strategy</w:t>
      </w:r>
      <w:r w:rsidRPr="000266F5">
        <w:rPr>
          <w:rFonts w:ascii="Times New Roman" w:eastAsia="MS PGothic" w:hAnsi="Times New Roman" w:cs="Times New Roman"/>
          <w:color w:val="000000"/>
        </w:rPr>
        <w:t xml:space="preserve"> will help to encourage the successful development and implementation of standards, uplifting the overall security of critical infrastructure. However, as engagement with the network and the strategy will be voluntary only those businesses that choose to participate will incur costs. </w:t>
      </w:r>
      <w:r w:rsidRPr="000266F5">
        <w:rPr>
          <w:rFonts w:ascii="Times New Roman" w:eastAsia="MS PGothic" w:hAnsi="Times New Roman" w:cs="Times New Roman"/>
          <w:iCs/>
          <w:color w:val="000000"/>
        </w:rPr>
        <w:t>Further</w:t>
      </w:r>
      <w:r w:rsidRPr="000266F5">
        <w:rPr>
          <w:rFonts w:ascii="Times New Roman" w:eastAsia="MS PGothic" w:hAnsi="Times New Roman" w:cs="Times New Roman"/>
          <w:color w:val="000000"/>
        </w:rPr>
        <w:t xml:space="preserve">, businesses are able to choose to participate in some components of the program and not others as best suits them, only incurring costs associated with their chosen components. </w:t>
      </w:r>
    </w:p>
    <w:p w14:paraId="76CABD5A"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p>
    <w:p w14:paraId="5ACF2872"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Participants engaging with the revitalisation of the TISN and the </w:t>
      </w:r>
      <w:r w:rsidRPr="000266F5">
        <w:rPr>
          <w:rFonts w:ascii="Times New Roman" w:eastAsia="MS PGothic" w:hAnsi="Times New Roman" w:cs="Times New Roman"/>
          <w:i/>
          <w:iCs/>
          <w:color w:val="000000"/>
        </w:rPr>
        <w:t>Critical Infrastructure Resilience Strategy</w:t>
      </w:r>
      <w:r w:rsidRPr="000266F5">
        <w:rPr>
          <w:rFonts w:ascii="Times New Roman" w:eastAsia="MS PGothic" w:hAnsi="Times New Roman" w:cs="Times New Roman"/>
          <w:color w:val="000000"/>
        </w:rPr>
        <w:t xml:space="preserve"> will receive a number of benefits. Through the various components of the program, participants will have access to Government risk information, expertise and advice on the threat environment and </w:t>
      </w:r>
      <w:r w:rsidRPr="000266F5">
        <w:rPr>
          <w:rFonts w:ascii="Times New Roman" w:eastAsia="MS PGothic" w:hAnsi="Times New Roman" w:cs="Times New Roman"/>
          <w:iCs/>
          <w:color w:val="000000"/>
        </w:rPr>
        <w:t>managing</w:t>
      </w:r>
      <w:r w:rsidRPr="000266F5">
        <w:rPr>
          <w:rFonts w:ascii="Times New Roman" w:eastAsia="MS PGothic" w:hAnsi="Times New Roman" w:cs="Times New Roman"/>
          <w:color w:val="000000"/>
        </w:rPr>
        <w:t xml:space="preserve"> security risks to their business, targeted threat information and briefings from security agencies, guidance from the Government and fellow industry participants on security practices, and the opportunity to shape the development of industry codes of conduct and standards. Engagement will assist participating owners and operators to make more informed and effective security investment decisions, and assist those operators already subject to existing regulation meet their obligations. Additionally, active engagement in the TISN will be taken into consideration if and when compliance action is required. All of these will benefit participants by supporting improved security outcomes and more efficient practices and standards.</w:t>
      </w:r>
    </w:p>
    <w:p w14:paraId="584F75E7" w14:textId="77777777" w:rsidR="00993F09" w:rsidRPr="00EE0D81" w:rsidRDefault="00993F09" w:rsidP="00993F09">
      <w:pPr>
        <w:tabs>
          <w:tab w:val="left" w:pos="426"/>
        </w:tabs>
        <w:spacing w:after="0" w:line="240" w:lineRule="auto"/>
        <w:rPr>
          <w:rFonts w:ascii="Times New Roman" w:hAnsi="Times New Roman"/>
          <w:b/>
        </w:rPr>
      </w:pPr>
    </w:p>
    <w:p w14:paraId="7B6B0C9C" w14:textId="6AFEC3A9" w:rsidR="00993F09" w:rsidRPr="000266F5" w:rsidRDefault="00993F09" w:rsidP="00993F09">
      <w:pPr>
        <w:tabs>
          <w:tab w:val="left" w:pos="426"/>
        </w:tabs>
        <w:spacing w:after="0" w:line="240" w:lineRule="auto"/>
        <w:rPr>
          <w:rFonts w:ascii="Times New Roman" w:eastAsia="Arial" w:hAnsi="Times New Roman" w:cs="Times New Roman"/>
          <w:b/>
        </w:rPr>
      </w:pPr>
      <w:r w:rsidRPr="000266F5">
        <w:rPr>
          <w:rFonts w:ascii="Times New Roman" w:eastAsia="Arial" w:hAnsi="Times New Roman" w:cs="Times New Roman"/>
          <w:b/>
        </w:rPr>
        <w:t>Financial Support</w:t>
      </w:r>
    </w:p>
    <w:p w14:paraId="54CFB9E0" w14:textId="77777777" w:rsidR="00993F09" w:rsidRPr="000266F5" w:rsidRDefault="00993F09" w:rsidP="00993F09">
      <w:pPr>
        <w:tabs>
          <w:tab w:val="num" w:pos="340"/>
          <w:tab w:val="left" w:pos="426"/>
        </w:tabs>
        <w:spacing w:after="0" w:line="240" w:lineRule="auto"/>
        <w:rPr>
          <w:rFonts w:ascii="Times New Roman" w:eastAsia="MS PGothic" w:hAnsi="Times New Roman" w:cs="Times New Roman"/>
          <w:b/>
          <w:iCs/>
          <w:color w:val="000000"/>
        </w:rPr>
      </w:pPr>
    </w:p>
    <w:p w14:paraId="401AB44C"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The Government does not intend to offer financial support to critical infrastructure owners and employees in meeting the proposed reforms. However, the Government will use the refreshed TISN engagement mechanism to provide assistance in the way of education and training for critical infrastructure owners and operators to meet the new standards and reporting requirements. The Government also </w:t>
      </w:r>
      <w:r w:rsidRPr="000266F5">
        <w:rPr>
          <w:rFonts w:ascii="Times New Roman" w:eastAsia="MS PGothic" w:hAnsi="Times New Roman" w:cs="Times New Roman"/>
          <w:iCs/>
          <w:color w:val="000000"/>
        </w:rPr>
        <w:t>believes</w:t>
      </w:r>
      <w:r w:rsidRPr="000266F5">
        <w:rPr>
          <w:rFonts w:ascii="Times New Roman" w:eastAsia="MS PGothic" w:hAnsi="Times New Roman" w:cs="Times New Roman"/>
          <w:color w:val="000000"/>
        </w:rPr>
        <w:t xml:space="preserve"> that a wide reaching uplift in security across </w:t>
      </w:r>
      <w:r w:rsidRPr="00EE0D81">
        <w:rPr>
          <w:rFonts w:ascii="Times New Roman" w:hAnsi="Times New Roman"/>
          <w:i/>
          <w:color w:val="000000"/>
        </w:rPr>
        <w:t>critical infrastructure sector</w:t>
      </w:r>
      <w:r w:rsidRPr="000266F5">
        <w:rPr>
          <w:rFonts w:ascii="Times New Roman" w:eastAsia="MS PGothic" w:hAnsi="Times New Roman" w:cs="Times New Roman"/>
          <w:color w:val="000000"/>
        </w:rPr>
        <w:t xml:space="preserve">s (regardless of regulatory coverage) will provide long term benefits to industry through greater security across their supply chains and greater assurance and clarity around real threats to their assets and appropriate measures to safeguard themselves. </w:t>
      </w:r>
    </w:p>
    <w:p w14:paraId="5B838CFE" w14:textId="4AA52401" w:rsidR="00993F09" w:rsidRPr="000266F5" w:rsidRDefault="00993F09" w:rsidP="00993F09">
      <w:pPr>
        <w:tabs>
          <w:tab w:val="num" w:pos="340"/>
          <w:tab w:val="left" w:pos="426"/>
        </w:tabs>
        <w:spacing w:before="240" w:after="0" w:line="240" w:lineRule="auto"/>
        <w:rPr>
          <w:rFonts w:ascii="Times New Roman" w:eastAsia="MS PGothic" w:hAnsi="Times New Roman" w:cs="Times New Roman"/>
          <w:b/>
          <w:color w:val="000000"/>
        </w:rPr>
      </w:pPr>
      <w:r w:rsidRPr="000266F5">
        <w:rPr>
          <w:rFonts w:ascii="Times New Roman" w:eastAsia="MS PGothic" w:hAnsi="Times New Roman" w:cs="Times New Roman"/>
          <w:b/>
          <w:color w:val="000000"/>
        </w:rPr>
        <w:t>Flow on costs to individuals</w:t>
      </w:r>
    </w:p>
    <w:p w14:paraId="60C4CDC1" w14:textId="77777777" w:rsidR="00993F09" w:rsidRPr="000266F5" w:rsidRDefault="00993F09" w:rsidP="00993F09">
      <w:pPr>
        <w:tabs>
          <w:tab w:val="num" w:pos="340"/>
          <w:tab w:val="left" w:pos="426"/>
        </w:tabs>
        <w:spacing w:after="0" w:line="240" w:lineRule="auto"/>
        <w:rPr>
          <w:rFonts w:ascii="Times New Roman" w:eastAsia="MS PGothic" w:hAnsi="Times New Roman" w:cs="Times New Roman"/>
          <w:b/>
          <w:color w:val="000000"/>
        </w:rPr>
      </w:pPr>
    </w:p>
    <w:p w14:paraId="79164B03"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Some of the costs experienced by industry through an uplift in all hazard risk management will be passed onto </w:t>
      </w:r>
      <w:r w:rsidRPr="000266F5">
        <w:rPr>
          <w:rFonts w:ascii="Times New Roman" w:eastAsia="MS PGothic" w:hAnsi="Times New Roman" w:cs="Times New Roman"/>
          <w:iCs/>
          <w:color w:val="000000"/>
        </w:rPr>
        <w:t>households</w:t>
      </w:r>
      <w:r w:rsidRPr="000266F5">
        <w:rPr>
          <w:rFonts w:ascii="Times New Roman" w:eastAsia="MS PGothic" w:hAnsi="Times New Roman" w:cs="Times New Roman"/>
          <w:color w:val="000000"/>
        </w:rPr>
        <w:t xml:space="preserve"> that consume the critical infrastructure outputs; for example electricity and water. This cost pass-through must be balanced against the resilience benefits for households and businesses, as less significant disruptions will result in greater continuity and resilience of services. </w:t>
      </w:r>
    </w:p>
    <w:p w14:paraId="0BCE482D" w14:textId="77777777" w:rsidR="00CC4BC9" w:rsidRDefault="00CC4BC9" w:rsidP="00993F09">
      <w:pPr>
        <w:tabs>
          <w:tab w:val="num" w:pos="340"/>
          <w:tab w:val="left" w:pos="426"/>
        </w:tabs>
        <w:spacing w:before="240" w:after="0" w:line="240" w:lineRule="auto"/>
        <w:rPr>
          <w:rFonts w:ascii="Times New Roman" w:eastAsia="MS PGothic" w:hAnsi="Times New Roman" w:cs="Times New Roman"/>
          <w:b/>
          <w:iCs/>
          <w:color w:val="000000"/>
        </w:rPr>
      </w:pPr>
    </w:p>
    <w:p w14:paraId="6748B37D" w14:textId="3BE64412" w:rsidR="00993F09" w:rsidRPr="000266F5" w:rsidRDefault="00993F09" w:rsidP="00993F09">
      <w:pPr>
        <w:tabs>
          <w:tab w:val="num" w:pos="340"/>
          <w:tab w:val="left" w:pos="426"/>
        </w:tabs>
        <w:spacing w:before="240" w:after="0" w:line="240" w:lineRule="auto"/>
        <w:rPr>
          <w:rFonts w:ascii="Times New Roman" w:eastAsia="MS PGothic" w:hAnsi="Times New Roman" w:cs="Times New Roman"/>
          <w:b/>
          <w:iCs/>
          <w:color w:val="000000"/>
        </w:rPr>
      </w:pPr>
      <w:r w:rsidRPr="000266F5">
        <w:rPr>
          <w:rFonts w:ascii="Times New Roman" w:eastAsia="MS PGothic" w:hAnsi="Times New Roman" w:cs="Times New Roman"/>
          <w:b/>
          <w:iCs/>
          <w:color w:val="000000"/>
        </w:rPr>
        <w:lastRenderedPageBreak/>
        <w:t>Variability of costs</w:t>
      </w:r>
    </w:p>
    <w:p w14:paraId="6B1AB6EC" w14:textId="77777777" w:rsidR="00993F09" w:rsidRPr="000266F5" w:rsidRDefault="00993F09" w:rsidP="00993F09">
      <w:pPr>
        <w:tabs>
          <w:tab w:val="num" w:pos="340"/>
          <w:tab w:val="left" w:pos="426"/>
        </w:tabs>
        <w:spacing w:after="0" w:line="240" w:lineRule="auto"/>
        <w:rPr>
          <w:rFonts w:ascii="Times New Roman" w:eastAsia="MS PGothic" w:hAnsi="Times New Roman" w:cs="Times New Roman"/>
          <w:b/>
          <w:iCs/>
          <w:color w:val="000000"/>
        </w:rPr>
      </w:pPr>
    </w:p>
    <w:p w14:paraId="7AE866E1" w14:textId="34049841" w:rsidR="00993F09" w:rsidRPr="000266F5" w:rsidRDefault="00993F09" w:rsidP="00993F09">
      <w:pPr>
        <w:tabs>
          <w:tab w:val="left" w:pos="426"/>
        </w:tabs>
        <w:spacing w:after="0" w:line="240" w:lineRule="auto"/>
        <w:rPr>
          <w:rFonts w:ascii="Times New Roman" w:eastAsia="MS PGothic" w:hAnsi="Times New Roman" w:cs="Times New Roman"/>
          <w:color w:val="000000"/>
        </w:rPr>
      </w:pPr>
      <w:r>
        <w:rPr>
          <w:rFonts w:ascii="Times New Roman" w:eastAsia="MS PGothic" w:hAnsi="Times New Roman" w:cs="Times New Roman"/>
          <w:color w:val="000000"/>
        </w:rPr>
        <w:t>The costs provided in the Regulation Impact Statement</w:t>
      </w:r>
      <w:r w:rsidRPr="000266F5">
        <w:rPr>
          <w:rFonts w:ascii="Times New Roman" w:eastAsia="MS PGothic" w:hAnsi="Times New Roman" w:cs="Times New Roman"/>
          <w:color w:val="000000"/>
        </w:rPr>
        <w:t xml:space="preserve"> </w:t>
      </w:r>
      <w:r>
        <w:rPr>
          <w:rFonts w:ascii="Times New Roman" w:eastAsia="MS PGothic" w:hAnsi="Times New Roman" w:cs="Times New Roman"/>
          <w:color w:val="000000"/>
        </w:rPr>
        <w:t>are</w:t>
      </w:r>
      <w:r w:rsidRPr="000266F5">
        <w:rPr>
          <w:rFonts w:ascii="Times New Roman" w:eastAsia="MS PGothic" w:hAnsi="Times New Roman" w:cs="Times New Roman"/>
          <w:color w:val="000000"/>
        </w:rPr>
        <w:t xml:space="preserve"> contingent on a range of variables. These variables include: size and complexity of the entity’s operations; which sector/s the entity exists within; entity type; investor and consumer pressure; reputational risk; financial resources; perceived costs and benefits of compliance;  understanding of the regulations and level of engagement with the regulations; and the current maturity of an entity and whether they already comply with similar regulations. </w:t>
      </w:r>
    </w:p>
    <w:p w14:paraId="40BFBC5A" w14:textId="2F51B681" w:rsidR="00993F09" w:rsidRPr="000266F5" w:rsidRDefault="00993F09" w:rsidP="00993F09">
      <w:pPr>
        <w:tabs>
          <w:tab w:val="num" w:pos="340"/>
          <w:tab w:val="left" w:pos="426"/>
        </w:tabs>
        <w:spacing w:before="240" w:after="0" w:line="240" w:lineRule="auto"/>
        <w:rPr>
          <w:rFonts w:ascii="Times New Roman" w:eastAsia="MS PGothic" w:hAnsi="Times New Roman" w:cs="Times New Roman"/>
          <w:b/>
          <w:iCs/>
          <w:color w:val="000000"/>
        </w:rPr>
      </w:pPr>
      <w:r w:rsidRPr="000266F5">
        <w:rPr>
          <w:rFonts w:ascii="Times New Roman" w:eastAsia="MS PGothic" w:hAnsi="Times New Roman" w:cs="Times New Roman"/>
          <w:b/>
          <w:iCs/>
          <w:color w:val="000000"/>
        </w:rPr>
        <w:t>Costs to the Government</w:t>
      </w:r>
    </w:p>
    <w:p w14:paraId="16A990DB" w14:textId="77777777" w:rsidR="00993F09" w:rsidRPr="000266F5" w:rsidRDefault="00993F09" w:rsidP="00993F09">
      <w:pPr>
        <w:tabs>
          <w:tab w:val="num" w:pos="340"/>
          <w:tab w:val="left" w:pos="426"/>
        </w:tabs>
        <w:spacing w:after="0" w:line="240" w:lineRule="auto"/>
        <w:rPr>
          <w:rFonts w:ascii="Times New Roman" w:eastAsia="MS PGothic" w:hAnsi="Times New Roman" w:cs="Times New Roman"/>
          <w:b/>
          <w:iCs/>
          <w:color w:val="000000"/>
        </w:rPr>
      </w:pPr>
    </w:p>
    <w:p w14:paraId="48D834E0" w14:textId="413DD164" w:rsidR="009D7A1E" w:rsidRPr="009D7A1E" w:rsidRDefault="009D7A1E" w:rsidP="009D7A1E">
      <w:pPr>
        <w:tabs>
          <w:tab w:val="left" w:pos="426"/>
        </w:tabs>
        <w:spacing w:after="0" w:line="240" w:lineRule="auto"/>
        <w:rPr>
          <w:rFonts w:ascii="Times New Roman" w:eastAsia="MS PGothic" w:hAnsi="Times New Roman" w:cs="Times New Roman"/>
          <w:color w:val="000000"/>
        </w:rPr>
      </w:pPr>
      <w:r w:rsidRPr="009D7A1E">
        <w:rPr>
          <w:rFonts w:ascii="Times New Roman" w:eastAsia="MS PGothic" w:hAnsi="Times New Roman" w:cs="Times New Roman"/>
          <w:color w:val="000000"/>
        </w:rPr>
        <w:t>An engagement focussed, risk based approach to compliance will be taken by Home Affairs which is anticipated to be the primary regulator for most, if not all sectors. Co-design of sector specific rules will occur throughout 2021 with the rules being ‘switched on’ following a designated grace period. Once the Department has gained greater clarity on the number of entities that will have obligations and the type of specific obligations under the PSO after co-design with industry then the Department will be able to provide quantified costs to Government</w:t>
      </w:r>
      <w:r w:rsidR="008876EF">
        <w:rPr>
          <w:rFonts w:ascii="Times New Roman" w:eastAsia="MS PGothic" w:hAnsi="Times New Roman" w:cs="Times New Roman"/>
          <w:color w:val="000000"/>
        </w:rPr>
        <w:t>. T</w:t>
      </w:r>
      <w:r w:rsidRPr="009D7A1E">
        <w:rPr>
          <w:rFonts w:ascii="Times New Roman" w:eastAsia="MS PGothic" w:hAnsi="Times New Roman" w:cs="Times New Roman"/>
          <w:color w:val="000000"/>
        </w:rPr>
        <w:t>hese will be provided within future RIS(s)</w:t>
      </w:r>
      <w:r w:rsidR="008876EF">
        <w:rPr>
          <w:rFonts w:ascii="Times New Roman" w:eastAsia="MS PGothic" w:hAnsi="Times New Roman" w:cs="Times New Roman"/>
          <w:color w:val="000000"/>
        </w:rPr>
        <w:t xml:space="preserve"> and publicly available through future Budget papers</w:t>
      </w:r>
      <w:r w:rsidRPr="009D7A1E">
        <w:rPr>
          <w:rFonts w:ascii="Times New Roman" w:eastAsia="MS PGothic" w:hAnsi="Times New Roman" w:cs="Times New Roman"/>
          <w:color w:val="000000"/>
        </w:rPr>
        <w:t xml:space="preserve">. </w:t>
      </w:r>
    </w:p>
    <w:p w14:paraId="29715211" w14:textId="77777777" w:rsidR="009D7A1E" w:rsidRPr="009D7A1E" w:rsidRDefault="009D7A1E" w:rsidP="009D7A1E">
      <w:pPr>
        <w:tabs>
          <w:tab w:val="left" w:pos="426"/>
        </w:tabs>
        <w:spacing w:after="0" w:line="240" w:lineRule="auto"/>
        <w:rPr>
          <w:rFonts w:ascii="Times New Roman" w:eastAsia="MS PGothic" w:hAnsi="Times New Roman" w:cs="Times New Roman"/>
          <w:color w:val="000000"/>
        </w:rPr>
      </w:pPr>
    </w:p>
    <w:p w14:paraId="7B660C1F" w14:textId="77777777" w:rsidR="009D7A1E" w:rsidRPr="009D7A1E" w:rsidRDefault="009D7A1E" w:rsidP="009D7A1E">
      <w:pPr>
        <w:tabs>
          <w:tab w:val="left" w:pos="426"/>
        </w:tabs>
        <w:spacing w:after="0" w:line="240" w:lineRule="auto"/>
        <w:rPr>
          <w:rFonts w:ascii="Times New Roman" w:eastAsia="MS PGothic" w:hAnsi="Times New Roman" w:cs="Times New Roman"/>
          <w:color w:val="000000"/>
        </w:rPr>
      </w:pPr>
      <w:r w:rsidRPr="009D7A1E">
        <w:rPr>
          <w:rFonts w:ascii="Times New Roman" w:eastAsia="MS PGothic" w:hAnsi="Times New Roman" w:cs="Times New Roman"/>
          <w:color w:val="000000"/>
        </w:rPr>
        <w:t xml:space="preserve">The CIC will focus on education and assistance wherever possible with enforcement of compliance only being used where absolutely necessary to mitigate risks. To deliver industry engagement, guidance and compliance there will need to be an investment in specialist knowledge and skills to ensure effective consultation across industry and states and territories. </w:t>
      </w:r>
    </w:p>
    <w:p w14:paraId="14EBF913" w14:textId="77777777" w:rsidR="009D7A1E" w:rsidRPr="009D7A1E" w:rsidRDefault="009D7A1E" w:rsidP="009D7A1E">
      <w:pPr>
        <w:tabs>
          <w:tab w:val="left" w:pos="426"/>
        </w:tabs>
        <w:spacing w:after="0" w:line="240" w:lineRule="auto"/>
        <w:rPr>
          <w:rFonts w:ascii="Times New Roman" w:eastAsia="MS PGothic" w:hAnsi="Times New Roman" w:cs="Times New Roman"/>
          <w:color w:val="000000"/>
        </w:rPr>
      </w:pPr>
    </w:p>
    <w:p w14:paraId="3BBF1276" w14:textId="77777777" w:rsidR="009D7A1E" w:rsidRPr="009D7A1E" w:rsidRDefault="009D7A1E" w:rsidP="009D7A1E">
      <w:pPr>
        <w:tabs>
          <w:tab w:val="left" w:pos="426"/>
        </w:tabs>
        <w:spacing w:after="0" w:line="240" w:lineRule="auto"/>
        <w:rPr>
          <w:rFonts w:ascii="Times New Roman" w:eastAsia="MS PGothic" w:hAnsi="Times New Roman" w:cs="Times New Roman"/>
          <w:color w:val="000000"/>
        </w:rPr>
      </w:pPr>
      <w:r w:rsidRPr="009D7A1E">
        <w:rPr>
          <w:rFonts w:ascii="Times New Roman" w:eastAsia="MS PGothic" w:hAnsi="Times New Roman" w:cs="Times New Roman"/>
          <w:color w:val="000000"/>
        </w:rPr>
        <w:t>In the development of the costs to Government, the Department will work closely with central agencies to ensure there is broad agreement to the approach being taken.</w:t>
      </w:r>
    </w:p>
    <w:p w14:paraId="06938E0B"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p>
    <w:tbl>
      <w:tblPr>
        <w:tblStyle w:val="GridTable4-Accent21"/>
        <w:tblW w:w="9889" w:type="dxa"/>
        <w:tblInd w:w="-113" w:type="dxa"/>
        <w:tblLook w:val="04A0" w:firstRow="1" w:lastRow="0" w:firstColumn="1" w:lastColumn="0" w:noHBand="0" w:noVBand="1"/>
      </w:tblPr>
      <w:tblGrid>
        <w:gridCol w:w="4503"/>
        <w:gridCol w:w="5386"/>
      </w:tblGrid>
      <w:tr w:rsidR="00993F09" w:rsidRPr="000266F5" w14:paraId="14636200" w14:textId="77777777" w:rsidTr="00EE0D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65BD0294" w14:textId="77777777" w:rsidR="00993F09" w:rsidRPr="000266F5" w:rsidRDefault="00993F09" w:rsidP="00602DDE">
            <w:pPr>
              <w:tabs>
                <w:tab w:val="left" w:pos="426"/>
              </w:tabs>
              <w:spacing w:before="240" w:after="240"/>
              <w:jc w:val="center"/>
              <w:rPr>
                <w:rFonts w:ascii="Times New Roman" w:eastAsia="MS PGothic" w:hAnsi="Times New Roman" w:cs="Times New Roman"/>
                <w:color w:val="000000"/>
              </w:rPr>
            </w:pPr>
            <w:r w:rsidRPr="000266F5">
              <w:rPr>
                <w:rFonts w:ascii="Times New Roman" w:eastAsia="MS PGothic" w:hAnsi="Times New Roman" w:cs="Times New Roman"/>
                <w:color w:val="000000"/>
              </w:rPr>
              <w:t>Benefits</w:t>
            </w:r>
          </w:p>
        </w:tc>
        <w:tc>
          <w:tcPr>
            <w:tcW w:w="5386" w:type="dxa"/>
          </w:tcPr>
          <w:p w14:paraId="1F18C5A7" w14:textId="77777777" w:rsidR="00993F09" w:rsidRPr="000266F5" w:rsidRDefault="00993F09" w:rsidP="00602DDE">
            <w:pPr>
              <w:tabs>
                <w:tab w:val="left" w:pos="426"/>
              </w:tabs>
              <w:spacing w:before="240" w:after="240"/>
              <w:jc w:val="center"/>
              <w:cnfStyle w:val="100000000000" w:firstRow="1" w:lastRow="0" w:firstColumn="0" w:lastColumn="0" w:oddVBand="0" w:evenVBand="0" w:oddHBand="0" w:evenHBand="0" w:firstRowFirstColumn="0" w:firstRowLastColumn="0" w:lastRowFirstColumn="0" w:lastRowLastColumn="0"/>
              <w:rPr>
                <w:rFonts w:ascii="Times New Roman" w:eastAsia="MS PGothic" w:hAnsi="Times New Roman" w:cs="Times New Roman"/>
                <w:color w:val="000000"/>
              </w:rPr>
            </w:pPr>
            <w:r w:rsidRPr="000266F5">
              <w:rPr>
                <w:rFonts w:ascii="Times New Roman" w:eastAsia="MS PGothic" w:hAnsi="Times New Roman" w:cs="Times New Roman"/>
                <w:color w:val="000000"/>
              </w:rPr>
              <w:t>Costs and Limitations</w:t>
            </w:r>
          </w:p>
        </w:tc>
      </w:tr>
      <w:tr w:rsidR="00993F09" w:rsidRPr="000266F5" w14:paraId="54D22C78" w14:textId="77777777" w:rsidTr="00EE0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3B354AB" w14:textId="77777777" w:rsidR="00993F09" w:rsidRPr="000266F5" w:rsidRDefault="00993F09" w:rsidP="00602DDE">
            <w:pPr>
              <w:numPr>
                <w:ilvl w:val="0"/>
                <w:numId w:val="3"/>
              </w:numPr>
              <w:tabs>
                <w:tab w:val="left" w:pos="426"/>
              </w:tabs>
              <w:rPr>
                <w:rFonts w:ascii="Times New Roman" w:eastAsia="MS PGothic" w:hAnsi="Times New Roman" w:cs="Times New Roman"/>
                <w:b w:val="0"/>
                <w:color w:val="000000"/>
              </w:rPr>
            </w:pPr>
            <w:r w:rsidRPr="000266F5">
              <w:rPr>
                <w:rFonts w:ascii="Times New Roman" w:eastAsia="MS PGothic" w:hAnsi="Times New Roman" w:cs="Times New Roman"/>
                <w:b w:val="0"/>
                <w:color w:val="000000"/>
              </w:rPr>
              <w:t>Safeguards Australia’s social and economic stability, defence and national security by increasing critical infrastructure resilience.</w:t>
            </w:r>
          </w:p>
          <w:p w14:paraId="51C40693" w14:textId="77777777" w:rsidR="00993F09" w:rsidRPr="000266F5" w:rsidRDefault="00993F09" w:rsidP="00602DDE">
            <w:pPr>
              <w:numPr>
                <w:ilvl w:val="0"/>
                <w:numId w:val="3"/>
              </w:numPr>
              <w:tabs>
                <w:tab w:val="left" w:pos="426"/>
              </w:tabs>
              <w:rPr>
                <w:rFonts w:ascii="Times New Roman" w:eastAsia="MS PGothic" w:hAnsi="Times New Roman" w:cs="Times New Roman"/>
                <w:b w:val="0"/>
                <w:color w:val="000000"/>
              </w:rPr>
            </w:pPr>
            <w:r w:rsidRPr="000266F5">
              <w:rPr>
                <w:rFonts w:ascii="Times New Roman" w:eastAsia="MS PGothic" w:hAnsi="Times New Roman" w:cs="Times New Roman"/>
                <w:b w:val="0"/>
                <w:color w:val="000000"/>
              </w:rPr>
              <w:t>Provides certainty for businesses by setting clear standards for action and creating a level playing field in the Australian market for businesses considered critical infrastructure.</w:t>
            </w:r>
          </w:p>
          <w:p w14:paraId="683D292A" w14:textId="77777777" w:rsidR="00993F09" w:rsidRPr="000266F5" w:rsidRDefault="00993F09" w:rsidP="00602DDE">
            <w:pPr>
              <w:numPr>
                <w:ilvl w:val="0"/>
                <w:numId w:val="3"/>
              </w:numPr>
              <w:tabs>
                <w:tab w:val="left" w:pos="426"/>
              </w:tabs>
              <w:rPr>
                <w:rFonts w:ascii="Times New Roman" w:eastAsia="MS PGothic" w:hAnsi="Times New Roman" w:cs="Times New Roman"/>
                <w:b w:val="0"/>
                <w:color w:val="000000"/>
              </w:rPr>
            </w:pPr>
            <w:r w:rsidRPr="000266F5">
              <w:rPr>
                <w:rFonts w:ascii="Times New Roman" w:eastAsia="MS PGothic" w:hAnsi="Times New Roman" w:cs="Times New Roman"/>
                <w:b w:val="0"/>
                <w:color w:val="000000"/>
              </w:rPr>
              <w:t>Aligns with business and community expectations for Government action.</w:t>
            </w:r>
          </w:p>
          <w:p w14:paraId="0D612274" w14:textId="7B96B395" w:rsidR="00993F09" w:rsidRPr="000266F5" w:rsidRDefault="00993F09" w:rsidP="00602DDE">
            <w:pPr>
              <w:numPr>
                <w:ilvl w:val="0"/>
                <w:numId w:val="3"/>
              </w:numPr>
              <w:tabs>
                <w:tab w:val="left" w:pos="426"/>
              </w:tabs>
              <w:rPr>
                <w:rFonts w:ascii="Times New Roman" w:eastAsia="MS PGothic" w:hAnsi="Times New Roman" w:cs="Times New Roman"/>
                <w:b w:val="0"/>
                <w:color w:val="000000"/>
              </w:rPr>
            </w:pPr>
            <w:r w:rsidRPr="000266F5">
              <w:rPr>
                <w:rFonts w:ascii="Times New Roman" w:eastAsia="MS PGothic" w:hAnsi="Times New Roman" w:cs="Times New Roman"/>
                <w:b w:val="0"/>
                <w:color w:val="000000"/>
              </w:rPr>
              <w:t>Drives improved all hazards supply chain management.</w:t>
            </w:r>
          </w:p>
          <w:p w14:paraId="627368B9" w14:textId="77777777" w:rsidR="00993F09" w:rsidRPr="000266F5" w:rsidRDefault="00993F09" w:rsidP="00602DDE">
            <w:pPr>
              <w:numPr>
                <w:ilvl w:val="0"/>
                <w:numId w:val="3"/>
              </w:numPr>
              <w:tabs>
                <w:tab w:val="left" w:pos="426"/>
              </w:tabs>
              <w:rPr>
                <w:rFonts w:ascii="Times New Roman" w:eastAsia="MS PGothic" w:hAnsi="Times New Roman" w:cs="Times New Roman"/>
                <w:b w:val="0"/>
                <w:color w:val="000000"/>
              </w:rPr>
            </w:pPr>
            <w:r w:rsidRPr="000266F5">
              <w:rPr>
                <w:rFonts w:ascii="Times New Roman" w:eastAsia="MS PGothic" w:hAnsi="Times New Roman" w:cs="Times New Roman"/>
                <w:b w:val="0"/>
                <w:color w:val="000000"/>
              </w:rPr>
              <w:t>Enables the Government to develop real-time situational awareness from high criticality entities allowing the Government to respond effectively and efficiently to emergencies.</w:t>
            </w:r>
          </w:p>
          <w:p w14:paraId="00855DF9" w14:textId="77777777" w:rsidR="00993F09" w:rsidRPr="000266F5" w:rsidRDefault="00993F09" w:rsidP="00602DDE">
            <w:pPr>
              <w:numPr>
                <w:ilvl w:val="0"/>
                <w:numId w:val="3"/>
              </w:numPr>
              <w:tabs>
                <w:tab w:val="left" w:pos="426"/>
              </w:tabs>
              <w:rPr>
                <w:rFonts w:ascii="Times New Roman" w:eastAsia="MS PGothic" w:hAnsi="Times New Roman" w:cs="Times New Roman"/>
                <w:b w:val="0"/>
                <w:color w:val="000000"/>
              </w:rPr>
            </w:pPr>
            <w:r w:rsidRPr="000266F5">
              <w:rPr>
                <w:rFonts w:ascii="Times New Roman" w:eastAsia="MS PGothic" w:hAnsi="Times New Roman" w:cs="Times New Roman"/>
                <w:b w:val="0"/>
                <w:color w:val="000000"/>
              </w:rPr>
              <w:t>Provides business with access to Government risk information, expertise and advice on the threat environment and managing security risks to their business.</w:t>
            </w:r>
          </w:p>
          <w:p w14:paraId="1772C7FE" w14:textId="77777777" w:rsidR="00993F09" w:rsidRPr="000266F5" w:rsidRDefault="00993F09" w:rsidP="00602DDE">
            <w:pPr>
              <w:numPr>
                <w:ilvl w:val="0"/>
                <w:numId w:val="3"/>
              </w:numPr>
              <w:tabs>
                <w:tab w:val="left" w:pos="426"/>
              </w:tabs>
              <w:rPr>
                <w:rFonts w:ascii="Times New Roman" w:eastAsia="MS PGothic" w:hAnsi="Times New Roman" w:cs="Times New Roman"/>
                <w:color w:val="000000"/>
              </w:rPr>
            </w:pPr>
            <w:r w:rsidRPr="000266F5">
              <w:rPr>
                <w:rFonts w:ascii="Times New Roman" w:eastAsia="MS PGothic" w:hAnsi="Times New Roman" w:cs="Times New Roman"/>
                <w:b w:val="0"/>
                <w:color w:val="000000"/>
              </w:rPr>
              <w:lastRenderedPageBreak/>
              <w:t>Provides business with guidance from Government and fellow industry participants on security practices.</w:t>
            </w:r>
          </w:p>
        </w:tc>
        <w:tc>
          <w:tcPr>
            <w:tcW w:w="5386" w:type="dxa"/>
          </w:tcPr>
          <w:p w14:paraId="296F0709" w14:textId="5F744C32" w:rsidR="00993F09" w:rsidRPr="003B1C98" w:rsidRDefault="00993F09" w:rsidP="00602DDE">
            <w:pPr>
              <w:numPr>
                <w:ilvl w:val="0"/>
                <w:numId w:val="3"/>
              </w:numPr>
              <w:tabs>
                <w:tab w:val="left" w:pos="426"/>
              </w:tabs>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cs="Times New Roman"/>
                <w:color w:val="000000"/>
              </w:rPr>
            </w:pPr>
            <w:r w:rsidRPr="003B1C98">
              <w:rPr>
                <w:rFonts w:ascii="Times New Roman" w:eastAsia="MS PGothic" w:hAnsi="Times New Roman" w:cs="Times New Roman"/>
                <w:color w:val="000000"/>
              </w:rPr>
              <w:lastRenderedPageBreak/>
              <w:t xml:space="preserve">The regulatory option may impose significant upfront cost on </w:t>
            </w:r>
            <w:r w:rsidRPr="001A7788">
              <w:rPr>
                <w:rFonts w:ascii="Times New Roman" w:eastAsia="MS PGothic" w:hAnsi="Times New Roman" w:cs="Times New Roman"/>
                <w:i/>
                <w:color w:val="000000"/>
              </w:rPr>
              <w:t>critical infrastructure assets</w:t>
            </w:r>
            <w:r w:rsidRPr="003B1C98">
              <w:rPr>
                <w:rFonts w:ascii="Times New Roman" w:eastAsia="MS PGothic" w:hAnsi="Times New Roman" w:cs="Times New Roman"/>
                <w:color w:val="000000"/>
              </w:rPr>
              <w:t xml:space="preserve"> and </w:t>
            </w:r>
            <w:r w:rsidRPr="001A7788">
              <w:rPr>
                <w:rFonts w:ascii="Times New Roman" w:eastAsia="MS PGothic" w:hAnsi="Times New Roman" w:cs="Times New Roman"/>
                <w:i/>
                <w:color w:val="000000"/>
              </w:rPr>
              <w:t xml:space="preserve">Systems of National Significance </w:t>
            </w:r>
            <w:r w:rsidRPr="003B1C98">
              <w:rPr>
                <w:rFonts w:ascii="Times New Roman" w:eastAsia="MS PGothic" w:hAnsi="Times New Roman" w:cs="Times New Roman"/>
                <w:color w:val="000000"/>
              </w:rPr>
              <w:t xml:space="preserve">to comply. This may impact their viability and ability to innovate. </w:t>
            </w:r>
          </w:p>
          <w:p w14:paraId="236DA63F" w14:textId="77777777" w:rsidR="00993F09" w:rsidRPr="003B1C98" w:rsidRDefault="00993F09" w:rsidP="00602DDE">
            <w:pPr>
              <w:numPr>
                <w:ilvl w:val="0"/>
                <w:numId w:val="3"/>
              </w:numPr>
              <w:tabs>
                <w:tab w:val="left" w:pos="426"/>
              </w:tabs>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cs="Times New Roman"/>
                <w:color w:val="000000"/>
              </w:rPr>
            </w:pPr>
            <w:r w:rsidRPr="003B1C98">
              <w:rPr>
                <w:rFonts w:ascii="Times New Roman" w:eastAsia="MS PGothic" w:hAnsi="Times New Roman" w:cs="Times New Roman"/>
                <w:color w:val="000000"/>
              </w:rPr>
              <w:t xml:space="preserve">As a result of increased regulation costs to industry, it is expected that some of the costs will be passed onto consumers through increased bills (e.g. electricity, food costs). </w:t>
            </w:r>
          </w:p>
          <w:p w14:paraId="408F8309" w14:textId="0B9BF7C1" w:rsidR="00993F09" w:rsidRPr="003B1C98" w:rsidRDefault="00993F09" w:rsidP="00602DDE">
            <w:pPr>
              <w:numPr>
                <w:ilvl w:val="0"/>
                <w:numId w:val="3"/>
              </w:numPr>
              <w:tabs>
                <w:tab w:val="left" w:pos="426"/>
              </w:tabs>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cs="Times New Roman"/>
                <w:color w:val="000000"/>
              </w:rPr>
            </w:pPr>
            <w:r w:rsidRPr="003B1C98">
              <w:rPr>
                <w:rFonts w:ascii="Times New Roman" w:eastAsia="MS PGothic" w:hAnsi="Times New Roman" w:cs="Times New Roman"/>
                <w:color w:val="000000"/>
              </w:rPr>
              <w:t xml:space="preserve">This option is expected to have the highest cost to Government as a result of engagement, guidance and compliance measures required as a result of a regulatory approach. </w:t>
            </w:r>
          </w:p>
          <w:p w14:paraId="5CA2BEAE" w14:textId="77777777" w:rsidR="00993F09" w:rsidRPr="003B1C98" w:rsidRDefault="00993F09" w:rsidP="00602DDE">
            <w:pPr>
              <w:numPr>
                <w:ilvl w:val="0"/>
                <w:numId w:val="3"/>
              </w:numPr>
              <w:tabs>
                <w:tab w:val="left" w:pos="426"/>
              </w:tabs>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cs="Times New Roman"/>
                <w:color w:val="000000"/>
              </w:rPr>
            </w:pPr>
            <w:r w:rsidRPr="003B1C98">
              <w:rPr>
                <w:rFonts w:ascii="Times New Roman" w:eastAsia="MS PGothic" w:hAnsi="Times New Roman" w:cs="Times New Roman"/>
                <w:color w:val="000000"/>
              </w:rPr>
              <w:t xml:space="preserve">There is a risk that the regulatory obligations imposed on </w:t>
            </w:r>
            <w:r w:rsidRPr="001A7788">
              <w:rPr>
                <w:rFonts w:ascii="Times New Roman" w:eastAsia="MS PGothic" w:hAnsi="Times New Roman" w:cs="Times New Roman"/>
                <w:i/>
                <w:color w:val="000000"/>
              </w:rPr>
              <w:t>critical infrastructure assets</w:t>
            </w:r>
            <w:r w:rsidRPr="003B1C98">
              <w:rPr>
                <w:rFonts w:ascii="Times New Roman" w:eastAsia="MS PGothic" w:hAnsi="Times New Roman" w:cs="Times New Roman"/>
                <w:color w:val="000000"/>
              </w:rPr>
              <w:t xml:space="preserve"> and </w:t>
            </w:r>
            <w:r w:rsidRPr="003B1C98">
              <w:rPr>
                <w:rFonts w:ascii="Times New Roman" w:eastAsia="MS PGothic" w:hAnsi="Times New Roman" w:cs="Times New Roman"/>
                <w:i/>
                <w:color w:val="000000"/>
              </w:rPr>
              <w:t>Systems of National Significance</w:t>
            </w:r>
            <w:r w:rsidRPr="003B1C98">
              <w:rPr>
                <w:rFonts w:ascii="Times New Roman" w:eastAsia="MS PGothic" w:hAnsi="Times New Roman" w:cs="Times New Roman"/>
                <w:color w:val="000000"/>
              </w:rPr>
              <w:t xml:space="preserve"> create unnecessary administrative burden that is not commensurate with the risk. </w:t>
            </w:r>
          </w:p>
          <w:p w14:paraId="6A7A099A" w14:textId="77777777" w:rsidR="00993F09" w:rsidRPr="001A7788" w:rsidRDefault="00993F09" w:rsidP="00602DDE">
            <w:pPr>
              <w:numPr>
                <w:ilvl w:val="0"/>
                <w:numId w:val="3"/>
              </w:numPr>
              <w:tabs>
                <w:tab w:val="left" w:pos="426"/>
              </w:tabs>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bCs/>
              </w:rPr>
            </w:pPr>
            <w:r w:rsidRPr="001A7788">
              <w:rPr>
                <w:rFonts w:ascii="Times New Roman" w:eastAsia="Arial" w:hAnsi="Times New Roman" w:cs="Times New Roman"/>
                <w:b/>
                <w:bCs/>
              </w:rPr>
              <w:t>PSO</w:t>
            </w:r>
            <w:r>
              <w:rPr>
                <w:rFonts w:ascii="Times New Roman" w:eastAsia="Arial" w:hAnsi="Times New Roman" w:cs="Times New Roman"/>
                <w:b/>
                <w:bCs/>
              </w:rPr>
              <w:t>:</w:t>
            </w:r>
          </w:p>
          <w:p w14:paraId="66CF4477" w14:textId="1E47DA79" w:rsidR="00993F09" w:rsidRPr="001A7788" w:rsidRDefault="00993F09" w:rsidP="00602DDE">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bCs/>
              </w:rPr>
            </w:pPr>
            <w:r w:rsidRPr="001A7788">
              <w:rPr>
                <w:rFonts w:ascii="Times New Roman" w:eastAsia="Arial" w:hAnsi="Times New Roman" w:cs="Times New Roman"/>
                <w:bCs/>
                <w:u w:val="single"/>
              </w:rPr>
              <w:t>Mandatory Cyber Reporting</w:t>
            </w:r>
            <w:r w:rsidRPr="001A7788">
              <w:rPr>
                <w:rFonts w:ascii="Times New Roman" w:eastAsia="Arial" w:hAnsi="Times New Roman" w:cs="Times New Roman"/>
                <w:b/>
                <w:bCs/>
              </w:rPr>
              <w:t xml:space="preserve"> </w:t>
            </w:r>
            <w:r>
              <w:rPr>
                <w:rFonts w:ascii="Times New Roman" w:eastAsia="Arial" w:hAnsi="Times New Roman" w:cs="Times New Roman"/>
                <w:b/>
                <w:bCs/>
              </w:rPr>
              <w:t>–</w:t>
            </w:r>
            <w:r w:rsidRPr="001A7788">
              <w:rPr>
                <w:rFonts w:ascii="Times New Roman" w:eastAsia="Arial" w:hAnsi="Times New Roman" w:cs="Times New Roman"/>
                <w:b/>
                <w:bCs/>
              </w:rPr>
              <w:t xml:space="preserve"> </w:t>
            </w:r>
            <w:r w:rsidR="007A6003" w:rsidRPr="00EE0D81">
              <w:rPr>
                <w:rFonts w:ascii="Times New Roman" w:eastAsia="Arial" w:hAnsi="Times New Roman" w:cs="Times New Roman"/>
                <w:bCs/>
              </w:rPr>
              <w:t xml:space="preserve">average </w:t>
            </w:r>
            <w:r>
              <w:rPr>
                <w:rFonts w:ascii="Times New Roman" w:eastAsia="Arial" w:hAnsi="Times New Roman" w:cs="Times New Roman"/>
                <w:bCs/>
              </w:rPr>
              <w:t xml:space="preserve">annual compliance burden of </w:t>
            </w:r>
            <w:r w:rsidRPr="001A7788">
              <w:rPr>
                <w:rFonts w:ascii="Times New Roman" w:eastAsia="Arial" w:hAnsi="Times New Roman" w:cs="Times New Roman"/>
                <w:bCs/>
              </w:rPr>
              <w:t>$</w:t>
            </w:r>
            <w:r>
              <w:rPr>
                <w:rFonts w:ascii="Times New Roman" w:eastAsia="Arial" w:hAnsi="Times New Roman" w:cs="Times New Roman"/>
                <w:bCs/>
              </w:rPr>
              <w:t>242.89 per small entity, $681.19 per medium entity, and $1,119.49 per large entity</w:t>
            </w:r>
            <w:r w:rsidRPr="001A7788">
              <w:rPr>
                <w:rFonts w:ascii="Times New Roman" w:eastAsia="Arial" w:hAnsi="Times New Roman" w:cs="Times New Roman"/>
                <w:bCs/>
              </w:rPr>
              <w:t>.</w:t>
            </w:r>
          </w:p>
          <w:p w14:paraId="38827C2C" w14:textId="1EE01221" w:rsidR="00993F09" w:rsidRPr="001A7788" w:rsidRDefault="00993F09" w:rsidP="00602DDE">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bCs/>
              </w:rPr>
            </w:pPr>
            <w:r w:rsidRPr="001A7788">
              <w:rPr>
                <w:rFonts w:ascii="Times New Roman" w:eastAsia="Arial" w:hAnsi="Times New Roman" w:cs="Times New Roman"/>
                <w:bCs/>
                <w:u w:val="single"/>
              </w:rPr>
              <w:lastRenderedPageBreak/>
              <w:t>Register of Critical Infrastructure Assets</w:t>
            </w:r>
            <w:r w:rsidRPr="001A7788">
              <w:rPr>
                <w:rFonts w:ascii="Times New Roman" w:eastAsia="Arial" w:hAnsi="Times New Roman" w:cs="Times New Roman"/>
                <w:b/>
                <w:bCs/>
              </w:rPr>
              <w:t xml:space="preserve"> </w:t>
            </w:r>
            <w:r w:rsidR="007A6003">
              <w:rPr>
                <w:rFonts w:ascii="Times New Roman" w:eastAsia="Arial" w:hAnsi="Times New Roman" w:cs="Times New Roman"/>
                <w:bCs/>
              </w:rPr>
              <w:t>–</w:t>
            </w:r>
            <w:r w:rsidRPr="001A7788">
              <w:rPr>
                <w:rFonts w:ascii="Times New Roman" w:eastAsia="Arial" w:hAnsi="Times New Roman" w:cs="Times New Roman"/>
                <w:bCs/>
              </w:rPr>
              <w:t xml:space="preserve"> </w:t>
            </w:r>
            <w:r w:rsidR="007A6003">
              <w:rPr>
                <w:rFonts w:ascii="Times New Roman" w:eastAsia="Arial" w:hAnsi="Times New Roman" w:cs="Times New Roman"/>
                <w:bCs/>
              </w:rPr>
              <w:t xml:space="preserve">average </w:t>
            </w:r>
            <w:r w:rsidRPr="00111137">
              <w:rPr>
                <w:rFonts w:ascii="Times New Roman" w:eastAsia="Arial" w:hAnsi="Times New Roman" w:cs="Times New Roman"/>
                <w:bCs/>
              </w:rPr>
              <w:t>annual compliance burden of $</w:t>
            </w:r>
            <w:r w:rsidR="007A6003">
              <w:rPr>
                <w:rFonts w:ascii="Times New Roman" w:eastAsia="Arial" w:hAnsi="Times New Roman" w:cs="Times New Roman"/>
                <w:bCs/>
              </w:rPr>
              <w:t>637.81</w:t>
            </w:r>
            <w:r w:rsidRPr="00111137">
              <w:rPr>
                <w:rFonts w:ascii="Times New Roman" w:eastAsia="Arial" w:hAnsi="Times New Roman" w:cs="Times New Roman"/>
                <w:bCs/>
              </w:rPr>
              <w:t xml:space="preserve"> per entity.</w:t>
            </w:r>
            <w:r w:rsidRPr="001A7788">
              <w:rPr>
                <w:rFonts w:ascii="Times New Roman" w:eastAsia="Arial" w:hAnsi="Times New Roman" w:cs="Times New Roman"/>
                <w:bCs/>
              </w:rPr>
              <w:t xml:space="preserve"> </w:t>
            </w:r>
          </w:p>
          <w:p w14:paraId="00E26FE4" w14:textId="77777777" w:rsidR="00993F09" w:rsidRPr="001A7788" w:rsidRDefault="00993F09" w:rsidP="00602DDE">
            <w:pPr>
              <w:numPr>
                <w:ilvl w:val="0"/>
                <w:numId w:val="3"/>
              </w:numPr>
              <w:tabs>
                <w:tab w:val="left" w:pos="426"/>
              </w:tabs>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bCs/>
              </w:rPr>
            </w:pPr>
            <w:r w:rsidRPr="001A7788">
              <w:rPr>
                <w:rFonts w:ascii="Times New Roman" w:eastAsia="Arial" w:hAnsi="Times New Roman" w:cs="Times New Roman"/>
                <w:b/>
                <w:bCs/>
              </w:rPr>
              <w:t>ECSO</w:t>
            </w:r>
            <w:r>
              <w:rPr>
                <w:rFonts w:ascii="Times New Roman" w:eastAsia="Arial" w:hAnsi="Times New Roman" w:cs="Times New Roman"/>
                <w:b/>
                <w:bCs/>
              </w:rPr>
              <w:t>:</w:t>
            </w:r>
            <w:r w:rsidRPr="001A7788">
              <w:rPr>
                <w:rFonts w:ascii="Times New Roman" w:eastAsia="Arial" w:hAnsi="Times New Roman" w:cs="Times New Roman"/>
                <w:b/>
                <w:bCs/>
              </w:rPr>
              <w:t xml:space="preserve"> </w:t>
            </w:r>
          </w:p>
          <w:p w14:paraId="09EB3162" w14:textId="77777777" w:rsidR="00993F09" w:rsidRPr="001A7788" w:rsidRDefault="00993F09" w:rsidP="00602DDE">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bCs/>
              </w:rPr>
            </w:pPr>
            <w:r w:rsidRPr="001A7788">
              <w:rPr>
                <w:rFonts w:ascii="Times New Roman" w:eastAsia="Arial" w:hAnsi="Times New Roman" w:cs="Times New Roman"/>
                <w:bCs/>
                <w:u w:val="single"/>
              </w:rPr>
              <w:t>Incident response plans</w:t>
            </w:r>
            <w:r w:rsidRPr="001A7788">
              <w:rPr>
                <w:rFonts w:ascii="Times New Roman" w:eastAsia="Arial" w:hAnsi="Times New Roman" w:cs="Times New Roman"/>
                <w:b/>
                <w:bCs/>
              </w:rPr>
              <w:t xml:space="preserve"> –</w:t>
            </w:r>
            <w:r>
              <w:rPr>
                <w:rFonts w:ascii="Times New Roman" w:eastAsia="Arial" w:hAnsi="Times New Roman" w:cs="Times New Roman"/>
                <w:b/>
                <w:bCs/>
              </w:rPr>
              <w:t xml:space="preserve"> </w:t>
            </w:r>
            <w:r w:rsidRPr="001A7788">
              <w:rPr>
                <w:rFonts w:ascii="Times New Roman" w:eastAsia="Arial" w:hAnsi="Times New Roman" w:cs="Times New Roman"/>
                <w:bCs/>
              </w:rPr>
              <w:t>maximum</w:t>
            </w:r>
            <w:r>
              <w:rPr>
                <w:rFonts w:ascii="Times New Roman" w:eastAsia="Arial" w:hAnsi="Times New Roman" w:cs="Times New Roman"/>
                <w:b/>
                <w:bCs/>
              </w:rPr>
              <w:t xml:space="preserve"> </w:t>
            </w:r>
            <w:r w:rsidRPr="001A7788">
              <w:rPr>
                <w:rFonts w:ascii="Times New Roman" w:eastAsia="Arial" w:hAnsi="Times New Roman" w:cs="Times New Roman"/>
                <w:bCs/>
              </w:rPr>
              <w:t>annual compliance burden</w:t>
            </w:r>
            <w:r w:rsidRPr="001A7788">
              <w:rPr>
                <w:rFonts w:ascii="Times New Roman" w:eastAsia="Arial" w:hAnsi="Times New Roman" w:cs="Times New Roman"/>
                <w:b/>
                <w:bCs/>
              </w:rPr>
              <w:t xml:space="preserve"> </w:t>
            </w:r>
            <w:r>
              <w:rPr>
                <w:rFonts w:ascii="Times New Roman" w:eastAsia="Arial" w:hAnsi="Times New Roman" w:cs="Times New Roman"/>
                <w:bCs/>
              </w:rPr>
              <w:t>$</w:t>
            </w:r>
            <w:r w:rsidRPr="00111137">
              <w:rPr>
                <w:rFonts w:ascii="Times New Roman" w:eastAsia="Arial" w:hAnsi="Times New Roman" w:cs="Times New Roman"/>
                <w:bCs/>
              </w:rPr>
              <w:t xml:space="preserve">28,091.30 </w:t>
            </w:r>
            <w:r w:rsidRPr="001A7788">
              <w:rPr>
                <w:rFonts w:ascii="Times New Roman" w:eastAsia="Arial" w:hAnsi="Times New Roman" w:cs="Times New Roman"/>
                <w:bCs/>
              </w:rPr>
              <w:t xml:space="preserve">for a single SoNS assuming annual requirements. </w:t>
            </w:r>
          </w:p>
          <w:p w14:paraId="1ED22EE2" w14:textId="77777777" w:rsidR="00993F09" w:rsidRPr="001A7788" w:rsidRDefault="00993F09" w:rsidP="00602DDE">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bCs/>
              </w:rPr>
            </w:pPr>
            <w:r w:rsidRPr="001A7788">
              <w:rPr>
                <w:rFonts w:ascii="Times New Roman" w:eastAsia="Arial" w:hAnsi="Times New Roman" w:cs="Times New Roman"/>
                <w:bCs/>
                <w:u w:val="single"/>
              </w:rPr>
              <w:t xml:space="preserve">Telemetry </w:t>
            </w:r>
            <w:r w:rsidRPr="001A7788">
              <w:rPr>
                <w:rFonts w:ascii="Times New Roman" w:eastAsia="Arial" w:hAnsi="Times New Roman" w:cs="Times New Roman"/>
                <w:b/>
                <w:bCs/>
              </w:rPr>
              <w:t xml:space="preserve">- </w:t>
            </w:r>
            <w:r w:rsidRPr="00111137">
              <w:rPr>
                <w:rFonts w:ascii="Times New Roman" w:eastAsia="Arial" w:hAnsi="Times New Roman" w:cs="Times New Roman"/>
                <w:bCs/>
              </w:rPr>
              <w:t>maximum annual compliance burden $81,250</w:t>
            </w:r>
            <w:r>
              <w:rPr>
                <w:rFonts w:ascii="Times New Roman" w:eastAsia="Arial" w:hAnsi="Times New Roman" w:cs="Times New Roman"/>
                <w:bCs/>
              </w:rPr>
              <w:t xml:space="preserve"> </w:t>
            </w:r>
            <w:r w:rsidRPr="00111137">
              <w:rPr>
                <w:rFonts w:ascii="Times New Roman" w:eastAsia="Arial" w:hAnsi="Times New Roman" w:cs="Times New Roman"/>
                <w:bCs/>
              </w:rPr>
              <w:t xml:space="preserve">for a single </w:t>
            </w:r>
            <w:r>
              <w:rPr>
                <w:rFonts w:ascii="Times New Roman" w:eastAsia="Arial" w:hAnsi="Times New Roman" w:cs="Times New Roman"/>
                <w:bCs/>
              </w:rPr>
              <w:t xml:space="preserve">medium </w:t>
            </w:r>
            <w:r w:rsidRPr="00111137">
              <w:rPr>
                <w:rFonts w:ascii="Times New Roman" w:eastAsia="Arial" w:hAnsi="Times New Roman" w:cs="Times New Roman"/>
                <w:bCs/>
              </w:rPr>
              <w:t xml:space="preserve">SoNS </w:t>
            </w:r>
            <w:r>
              <w:rPr>
                <w:rFonts w:ascii="Times New Roman" w:eastAsia="Arial" w:hAnsi="Times New Roman" w:cs="Times New Roman"/>
                <w:bCs/>
              </w:rPr>
              <w:t xml:space="preserve">and </w:t>
            </w:r>
            <w:r w:rsidRPr="00111137">
              <w:rPr>
                <w:rFonts w:ascii="Times New Roman" w:eastAsia="Arial" w:hAnsi="Times New Roman" w:cs="Times New Roman"/>
                <w:bCs/>
              </w:rPr>
              <w:t>$361</w:t>
            </w:r>
            <w:r>
              <w:rPr>
                <w:rFonts w:ascii="Times New Roman" w:eastAsia="Arial" w:hAnsi="Times New Roman" w:cs="Times New Roman"/>
                <w:bCs/>
              </w:rPr>
              <w:t>,</w:t>
            </w:r>
            <w:r w:rsidRPr="00111137">
              <w:rPr>
                <w:rFonts w:ascii="Times New Roman" w:eastAsia="Arial" w:hAnsi="Times New Roman" w:cs="Times New Roman"/>
                <w:bCs/>
              </w:rPr>
              <w:t>250</w:t>
            </w:r>
            <w:r>
              <w:rPr>
                <w:rFonts w:ascii="Times New Roman" w:eastAsia="Arial" w:hAnsi="Times New Roman" w:cs="Times New Roman"/>
                <w:bCs/>
              </w:rPr>
              <w:t xml:space="preserve"> for a single large SoNS </w:t>
            </w:r>
            <w:r w:rsidRPr="00111137">
              <w:rPr>
                <w:rFonts w:ascii="Times New Roman" w:eastAsia="Arial" w:hAnsi="Times New Roman" w:cs="Times New Roman"/>
                <w:bCs/>
              </w:rPr>
              <w:t>assuming annual requirements.</w:t>
            </w:r>
          </w:p>
          <w:p w14:paraId="005D4E83" w14:textId="77777777" w:rsidR="00993F09" w:rsidRPr="001A7788" w:rsidRDefault="00993F09" w:rsidP="00602DDE">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bCs/>
              </w:rPr>
            </w:pPr>
            <w:r w:rsidRPr="001A7788">
              <w:rPr>
                <w:rFonts w:ascii="Times New Roman" w:eastAsia="Arial" w:hAnsi="Times New Roman" w:cs="Times New Roman"/>
                <w:bCs/>
                <w:u w:val="single"/>
              </w:rPr>
              <w:t>Vulnerability assessments</w:t>
            </w:r>
            <w:r w:rsidRPr="001A7788">
              <w:rPr>
                <w:rFonts w:ascii="Times New Roman" w:eastAsia="Arial" w:hAnsi="Times New Roman" w:cs="Times New Roman"/>
                <w:b/>
                <w:bCs/>
              </w:rPr>
              <w:t xml:space="preserve"> - </w:t>
            </w:r>
            <w:r w:rsidRPr="00111137">
              <w:rPr>
                <w:rFonts w:ascii="Times New Roman" w:eastAsia="Arial" w:hAnsi="Times New Roman" w:cs="Times New Roman"/>
                <w:bCs/>
              </w:rPr>
              <w:t>maximum annual compliance burden $</w:t>
            </w:r>
            <w:r w:rsidRPr="001C7006">
              <w:rPr>
                <w:rFonts w:ascii="Times New Roman" w:eastAsia="Arial" w:hAnsi="Times New Roman" w:cs="Times New Roman"/>
                <w:bCs/>
              </w:rPr>
              <w:t>46,875</w:t>
            </w:r>
            <w:r>
              <w:rPr>
                <w:rFonts w:ascii="Times New Roman" w:eastAsia="Arial" w:hAnsi="Times New Roman" w:cs="Times New Roman"/>
                <w:bCs/>
              </w:rPr>
              <w:t xml:space="preserve"> </w:t>
            </w:r>
            <w:r w:rsidRPr="00111137">
              <w:rPr>
                <w:rFonts w:ascii="Times New Roman" w:eastAsia="Arial" w:hAnsi="Times New Roman" w:cs="Times New Roman"/>
                <w:bCs/>
              </w:rPr>
              <w:t xml:space="preserve">for a single </w:t>
            </w:r>
            <w:r>
              <w:rPr>
                <w:rFonts w:ascii="Times New Roman" w:eastAsia="Arial" w:hAnsi="Times New Roman" w:cs="Times New Roman"/>
                <w:bCs/>
              </w:rPr>
              <w:t>medium SoNS and $</w:t>
            </w:r>
            <w:r w:rsidRPr="001C7006">
              <w:rPr>
                <w:rFonts w:ascii="Times New Roman" w:eastAsia="Arial" w:hAnsi="Times New Roman" w:cs="Times New Roman"/>
                <w:bCs/>
              </w:rPr>
              <w:t>117,375</w:t>
            </w:r>
            <w:r>
              <w:rPr>
                <w:rFonts w:ascii="Times New Roman" w:eastAsia="Arial" w:hAnsi="Times New Roman" w:cs="Times New Roman"/>
                <w:bCs/>
              </w:rPr>
              <w:t xml:space="preserve"> for a large </w:t>
            </w:r>
            <w:r w:rsidRPr="00111137">
              <w:rPr>
                <w:rFonts w:ascii="Times New Roman" w:eastAsia="Arial" w:hAnsi="Times New Roman" w:cs="Times New Roman"/>
                <w:bCs/>
              </w:rPr>
              <w:t>SoNS assuming annual requirements.</w:t>
            </w:r>
          </w:p>
          <w:p w14:paraId="1699AE7A" w14:textId="77777777" w:rsidR="00993F09" w:rsidRPr="001A7788" w:rsidRDefault="00993F09" w:rsidP="00602DDE">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bCs/>
              </w:rPr>
            </w:pPr>
            <w:r w:rsidRPr="001A7788">
              <w:rPr>
                <w:rFonts w:ascii="Times New Roman" w:eastAsia="Arial" w:hAnsi="Times New Roman" w:cs="Times New Roman"/>
                <w:bCs/>
                <w:u w:val="single"/>
              </w:rPr>
              <w:t>Cyber Security exercises</w:t>
            </w:r>
            <w:r w:rsidRPr="001A7788">
              <w:rPr>
                <w:rFonts w:ascii="Times New Roman" w:eastAsia="Arial" w:hAnsi="Times New Roman" w:cs="Times New Roman"/>
                <w:b/>
                <w:bCs/>
              </w:rPr>
              <w:t xml:space="preserve"> - </w:t>
            </w:r>
            <w:r w:rsidRPr="00111137">
              <w:rPr>
                <w:rFonts w:ascii="Times New Roman" w:eastAsia="Arial" w:hAnsi="Times New Roman" w:cs="Times New Roman"/>
                <w:bCs/>
              </w:rPr>
              <w:t>maximum annual compliance burden $</w:t>
            </w:r>
            <w:r>
              <w:rPr>
                <w:rFonts w:ascii="Times New Roman" w:eastAsia="Arial" w:hAnsi="Times New Roman" w:cs="Times New Roman"/>
                <w:bCs/>
              </w:rPr>
              <w:t>3</w:t>
            </w:r>
            <w:r w:rsidRPr="001C7006">
              <w:rPr>
                <w:rFonts w:ascii="Times New Roman" w:eastAsia="Arial" w:hAnsi="Times New Roman" w:cs="Times New Roman"/>
                <w:bCs/>
              </w:rPr>
              <w:t>0,488</w:t>
            </w:r>
            <w:r>
              <w:rPr>
                <w:rFonts w:ascii="Times New Roman" w:eastAsia="Arial" w:hAnsi="Times New Roman" w:cs="Times New Roman"/>
                <w:bCs/>
              </w:rPr>
              <w:t xml:space="preserve"> </w:t>
            </w:r>
            <w:r w:rsidRPr="00111137">
              <w:rPr>
                <w:rFonts w:ascii="Times New Roman" w:eastAsia="Arial" w:hAnsi="Times New Roman" w:cs="Times New Roman"/>
                <w:bCs/>
              </w:rPr>
              <w:t>for a single SoNS assuming annual requirements.</w:t>
            </w:r>
          </w:p>
          <w:p w14:paraId="20C746F8" w14:textId="77777777" w:rsidR="00993F09" w:rsidRPr="001A7788" w:rsidRDefault="00993F09" w:rsidP="00602DDE">
            <w:pPr>
              <w:numPr>
                <w:ilvl w:val="0"/>
                <w:numId w:val="3"/>
              </w:numPr>
              <w:tabs>
                <w:tab w:val="left" w:pos="426"/>
              </w:tabs>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bCs/>
              </w:rPr>
            </w:pPr>
            <w:r w:rsidRPr="001A7788">
              <w:rPr>
                <w:rFonts w:ascii="Times New Roman" w:eastAsia="Arial" w:hAnsi="Times New Roman" w:cs="Times New Roman"/>
                <w:b/>
                <w:bCs/>
              </w:rPr>
              <w:t>Ministerial Directions</w:t>
            </w:r>
            <w:r>
              <w:rPr>
                <w:rFonts w:ascii="Times New Roman" w:eastAsia="Arial" w:hAnsi="Times New Roman" w:cs="Times New Roman"/>
                <w:b/>
                <w:bCs/>
              </w:rPr>
              <w:t>:</w:t>
            </w:r>
          </w:p>
          <w:p w14:paraId="17FA4A9E" w14:textId="3CC1E98D" w:rsidR="00993F09" w:rsidRPr="001A7788" w:rsidRDefault="00993F09" w:rsidP="00602DDE">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bCs/>
              </w:rPr>
            </w:pPr>
            <w:r w:rsidRPr="001A7788">
              <w:rPr>
                <w:rFonts w:ascii="Times New Roman" w:eastAsia="Arial" w:hAnsi="Times New Roman" w:cs="Times New Roman"/>
                <w:bCs/>
                <w:u w:val="single"/>
              </w:rPr>
              <w:t>Scenario 1</w:t>
            </w:r>
            <w:r w:rsidRPr="001A7788">
              <w:rPr>
                <w:rFonts w:ascii="Times New Roman" w:eastAsia="Arial" w:hAnsi="Times New Roman" w:cs="Times New Roman"/>
                <w:b/>
                <w:bCs/>
              </w:rPr>
              <w:t xml:space="preserve"> – </w:t>
            </w:r>
            <w:r w:rsidR="007A6003" w:rsidRPr="00EE0D81">
              <w:rPr>
                <w:rFonts w:ascii="Times New Roman" w:eastAsia="Arial" w:hAnsi="Times New Roman" w:cs="Times New Roman"/>
                <w:bCs/>
              </w:rPr>
              <w:t xml:space="preserve">average </w:t>
            </w:r>
            <w:r w:rsidRPr="007A6003">
              <w:rPr>
                <w:rFonts w:ascii="Times New Roman" w:eastAsia="Arial" w:hAnsi="Times New Roman" w:cs="Times New Roman"/>
                <w:bCs/>
              </w:rPr>
              <w:t>annual</w:t>
            </w:r>
            <w:r w:rsidRPr="003B1C98">
              <w:rPr>
                <w:rFonts w:ascii="Times New Roman" w:eastAsia="Arial" w:hAnsi="Times New Roman" w:cs="Times New Roman"/>
                <w:bCs/>
              </w:rPr>
              <w:t xml:space="preserve"> compliance burden for this scenario is estimated at $4,999 per </w:t>
            </w:r>
            <w:r w:rsidR="00553E6A">
              <w:rPr>
                <w:rFonts w:ascii="Times New Roman" w:eastAsia="Arial" w:hAnsi="Times New Roman" w:cs="Times New Roman"/>
                <w:bCs/>
              </w:rPr>
              <w:t>entity</w:t>
            </w:r>
            <w:r>
              <w:rPr>
                <w:rFonts w:ascii="Times New Roman" w:eastAsia="Arial" w:hAnsi="Times New Roman" w:cs="Times New Roman"/>
                <w:bCs/>
              </w:rPr>
              <w:t>.</w:t>
            </w:r>
          </w:p>
          <w:p w14:paraId="780D4B57" w14:textId="61DFDA63" w:rsidR="00993F09" w:rsidRPr="001A7788" w:rsidRDefault="00993F09" w:rsidP="00602DDE">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bCs/>
              </w:rPr>
            </w:pPr>
            <w:r w:rsidRPr="001A7788">
              <w:rPr>
                <w:rFonts w:ascii="Times New Roman" w:eastAsia="Arial" w:hAnsi="Times New Roman" w:cs="Times New Roman"/>
                <w:bCs/>
                <w:u w:val="single"/>
              </w:rPr>
              <w:t>Scenario 2</w:t>
            </w:r>
            <w:r w:rsidRPr="001A7788">
              <w:rPr>
                <w:rFonts w:ascii="Times New Roman" w:eastAsia="Arial" w:hAnsi="Times New Roman" w:cs="Times New Roman"/>
                <w:b/>
                <w:bCs/>
              </w:rPr>
              <w:t xml:space="preserve"> </w:t>
            </w:r>
            <w:r w:rsidR="007A6003">
              <w:rPr>
                <w:rFonts w:ascii="Times New Roman" w:eastAsia="Arial" w:hAnsi="Times New Roman" w:cs="Times New Roman"/>
                <w:b/>
                <w:bCs/>
              </w:rPr>
              <w:t>–</w:t>
            </w:r>
            <w:r w:rsidRPr="001A7788">
              <w:rPr>
                <w:rFonts w:ascii="Times New Roman" w:eastAsia="Arial" w:hAnsi="Times New Roman" w:cs="Times New Roman"/>
                <w:b/>
                <w:bCs/>
              </w:rPr>
              <w:t xml:space="preserve"> </w:t>
            </w:r>
            <w:r w:rsidR="007A6003" w:rsidRPr="00EE0D81">
              <w:rPr>
                <w:rFonts w:ascii="Times New Roman" w:eastAsia="Arial" w:hAnsi="Times New Roman" w:cs="Times New Roman"/>
                <w:bCs/>
              </w:rPr>
              <w:t>average</w:t>
            </w:r>
            <w:r w:rsidR="007A6003">
              <w:rPr>
                <w:rFonts w:ascii="Times New Roman" w:eastAsia="Arial" w:hAnsi="Times New Roman" w:cs="Times New Roman"/>
                <w:b/>
                <w:bCs/>
              </w:rPr>
              <w:t xml:space="preserve"> </w:t>
            </w:r>
            <w:r w:rsidRPr="003B1C98">
              <w:rPr>
                <w:rFonts w:ascii="Times New Roman" w:eastAsia="Arial" w:hAnsi="Times New Roman" w:cs="Times New Roman"/>
                <w:bCs/>
              </w:rPr>
              <w:t xml:space="preserve">annual compliance burden for this scenario is estimated at $280,741 per </w:t>
            </w:r>
            <w:r w:rsidR="00553E6A">
              <w:rPr>
                <w:rFonts w:ascii="Times New Roman" w:eastAsia="Arial" w:hAnsi="Times New Roman" w:cs="Times New Roman"/>
                <w:bCs/>
              </w:rPr>
              <w:t>entity</w:t>
            </w:r>
            <w:r w:rsidRPr="003B1C98">
              <w:rPr>
                <w:rFonts w:ascii="Times New Roman" w:eastAsia="Arial" w:hAnsi="Times New Roman" w:cs="Times New Roman"/>
                <w:bCs/>
              </w:rPr>
              <w:t xml:space="preserve">.  </w:t>
            </w:r>
          </w:p>
          <w:p w14:paraId="31102E6F" w14:textId="16AA15E1" w:rsidR="00993F09" w:rsidRPr="00EE0D81" w:rsidRDefault="00993F09" w:rsidP="00EE0D81">
            <w:pPr>
              <w:pStyle w:val="ListParagraph"/>
              <w:ind w:left="3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highlight w:val="yellow"/>
              </w:rPr>
            </w:pPr>
            <w:r w:rsidRPr="001A7788">
              <w:rPr>
                <w:rFonts w:ascii="Times New Roman" w:eastAsia="Arial" w:hAnsi="Times New Roman" w:cs="Times New Roman"/>
                <w:bCs/>
                <w:u w:val="single"/>
              </w:rPr>
              <w:t>Scenario 3</w:t>
            </w:r>
            <w:r w:rsidRPr="001A7788">
              <w:rPr>
                <w:rFonts w:ascii="Times New Roman" w:eastAsia="Arial" w:hAnsi="Times New Roman" w:cs="Times New Roman"/>
                <w:b/>
                <w:bCs/>
              </w:rPr>
              <w:t xml:space="preserve"> - </w:t>
            </w:r>
            <w:r w:rsidRPr="003B1C98">
              <w:rPr>
                <w:rFonts w:ascii="Times New Roman" w:eastAsia="Arial" w:hAnsi="Times New Roman" w:cs="Times New Roman"/>
                <w:bCs/>
              </w:rPr>
              <w:t xml:space="preserve">annual compliance burden for this scenario is estimated at $279,541 on average per </w:t>
            </w:r>
            <w:r w:rsidR="00553E6A">
              <w:rPr>
                <w:rFonts w:ascii="Times New Roman" w:eastAsia="Arial" w:hAnsi="Times New Roman" w:cs="Times New Roman"/>
                <w:bCs/>
              </w:rPr>
              <w:t>entity</w:t>
            </w:r>
            <w:r>
              <w:rPr>
                <w:rFonts w:ascii="Times New Roman" w:eastAsia="Arial" w:hAnsi="Times New Roman" w:cs="Times New Roman"/>
                <w:bCs/>
              </w:rPr>
              <w:t>.</w:t>
            </w:r>
            <w:r w:rsidRPr="003B1C98" w:rsidDel="003B1C98">
              <w:rPr>
                <w:rFonts w:ascii="Times New Roman" w:eastAsia="Arial" w:hAnsi="Times New Roman" w:cs="Times New Roman"/>
                <w:bCs/>
              </w:rPr>
              <w:t xml:space="preserve"> </w:t>
            </w:r>
          </w:p>
        </w:tc>
      </w:tr>
    </w:tbl>
    <w:p w14:paraId="1E00D0C3" w14:textId="77777777" w:rsidR="00993F09" w:rsidRPr="000266F5" w:rsidRDefault="00993F09" w:rsidP="00EE0D81">
      <w:pPr>
        <w:rPr>
          <w:rFonts w:ascii="Times New Roman" w:eastAsia="Arial" w:hAnsi="Times New Roman" w:cs="Times New Roman"/>
          <w:b/>
          <w:bCs/>
        </w:rPr>
      </w:pPr>
    </w:p>
    <w:p w14:paraId="2055822A" w14:textId="77777777" w:rsidR="00993F09" w:rsidRPr="000266F5" w:rsidRDefault="00993F09" w:rsidP="00B369B5">
      <w:pPr>
        <w:pStyle w:val="ListParagraph"/>
        <w:numPr>
          <w:ilvl w:val="1"/>
          <w:numId w:val="12"/>
        </w:numPr>
        <w:spacing w:after="200" w:line="240" w:lineRule="auto"/>
        <w:rPr>
          <w:rFonts w:ascii="Times New Roman" w:eastAsia="Arial" w:hAnsi="Times New Roman" w:cs="Times New Roman"/>
          <w:b/>
          <w:bCs/>
        </w:rPr>
      </w:pPr>
      <w:r w:rsidRPr="000266F5">
        <w:rPr>
          <w:rFonts w:ascii="Times New Roman" w:eastAsia="Arial" w:hAnsi="Times New Roman" w:cs="Times New Roman"/>
          <w:b/>
          <w:bCs/>
        </w:rPr>
        <w:t>Option Three – No legislative change, revitalising the Trusted Information Sharing Network and the Critical Infrastructure Resilience Strategy</w:t>
      </w:r>
    </w:p>
    <w:p w14:paraId="0B6F3704"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Revitalising the TISN alone could have a number of benefits and may assist critical infrastructure owners and operators in responding more effectively to national security risks without imposing additional compliance costs through new regulation. Promoting voluntary action would allow owners and operators to work collaboratively to design and implement industry-led responses, reducing the need for Government intervention.</w:t>
      </w:r>
    </w:p>
    <w:p w14:paraId="449E38F1" w14:textId="77777777" w:rsidR="00993F09" w:rsidRPr="000266F5" w:rsidRDefault="00993F09" w:rsidP="00993F09">
      <w:pPr>
        <w:pStyle w:val="ListParagraph"/>
        <w:tabs>
          <w:tab w:val="left" w:pos="426"/>
        </w:tabs>
        <w:spacing w:after="0" w:line="240" w:lineRule="auto"/>
        <w:ind w:left="227"/>
        <w:rPr>
          <w:rFonts w:ascii="Times New Roman" w:eastAsia="MS PGothic" w:hAnsi="Times New Roman" w:cs="Times New Roman"/>
          <w:color w:val="000000"/>
        </w:rPr>
      </w:pPr>
    </w:p>
    <w:p w14:paraId="04FB6100" w14:textId="349471D5"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However, the success of voluntary, non-regulatory measures is contingent on business engagement. While industry engagement is expected to be positive, it will continue to be piecemeal. The lack of legislative reform diminishes the effectiveness of this program </w:t>
      </w:r>
      <w:r w:rsidR="002B0BEA">
        <w:rPr>
          <w:rFonts w:ascii="Times New Roman" w:eastAsia="MS PGothic" w:hAnsi="Times New Roman" w:cs="Times New Roman"/>
          <w:color w:val="000000"/>
        </w:rPr>
        <w:t>due to</w:t>
      </w:r>
      <w:r w:rsidRPr="000266F5">
        <w:rPr>
          <w:rFonts w:ascii="Times New Roman" w:eastAsia="MS PGothic" w:hAnsi="Times New Roman" w:cs="Times New Roman"/>
          <w:color w:val="000000"/>
        </w:rPr>
        <w:t xml:space="preserve"> the lack of enforcement capabilities. The most likely owners and operators to adopt voluntary principles or utilise guidance material are those already acting to mitigate national security risks. Those deterred by the commercial disincentives are less likely to voluntarily take action.</w:t>
      </w:r>
    </w:p>
    <w:p w14:paraId="3AC5029C"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p>
    <w:p w14:paraId="3301EAB2" w14:textId="0F5E14B2"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For the TISN to succeed positive industry engagement is vital. This will result in the successful development and implementation of standards and uplifting the overall security posture of critical infrastructure. However, without the support of greater enforcement mechanisms and the proposed legislative security regulatory regime, the </w:t>
      </w:r>
      <w:r>
        <w:rPr>
          <w:rFonts w:ascii="Times New Roman" w:eastAsia="MS PGothic" w:hAnsi="Times New Roman" w:cs="Times New Roman"/>
          <w:color w:val="000000"/>
        </w:rPr>
        <w:t>Government</w:t>
      </w:r>
      <w:r w:rsidRPr="000266F5">
        <w:rPr>
          <w:rFonts w:ascii="Times New Roman" w:eastAsia="MS PGothic" w:hAnsi="Times New Roman" w:cs="Times New Roman"/>
          <w:color w:val="000000"/>
        </w:rPr>
        <w:t xml:space="preserve"> is not confident that real and sustained security outcomes can be achieved. </w:t>
      </w:r>
      <w:r>
        <w:rPr>
          <w:rFonts w:ascii="Times New Roman" w:eastAsia="MS PGothic" w:hAnsi="Times New Roman" w:cs="Times New Roman"/>
          <w:color w:val="000000"/>
        </w:rPr>
        <w:t>W</w:t>
      </w:r>
      <w:r w:rsidRPr="000266F5">
        <w:rPr>
          <w:rFonts w:ascii="Times New Roman" w:eastAsia="MS PGothic" w:hAnsi="Times New Roman" w:cs="Times New Roman"/>
          <w:color w:val="000000"/>
        </w:rPr>
        <w:t xml:space="preserve">ithout legislative reform, the Government will </w:t>
      </w:r>
      <w:r>
        <w:rPr>
          <w:rFonts w:ascii="Times New Roman" w:eastAsia="MS PGothic" w:hAnsi="Times New Roman" w:cs="Times New Roman"/>
          <w:color w:val="000000"/>
        </w:rPr>
        <w:t xml:space="preserve">continue </w:t>
      </w:r>
      <w:r w:rsidRPr="000266F5">
        <w:rPr>
          <w:rFonts w:ascii="Times New Roman" w:eastAsia="MS PGothic" w:hAnsi="Times New Roman" w:cs="Times New Roman"/>
          <w:color w:val="000000"/>
        </w:rPr>
        <w:t>to manage national security risks through the</w:t>
      </w:r>
      <w:r>
        <w:rPr>
          <w:rFonts w:ascii="Times New Roman" w:eastAsia="MS PGothic" w:hAnsi="Times New Roman" w:cs="Times New Roman"/>
          <w:color w:val="000000"/>
        </w:rPr>
        <w:t xml:space="preserve"> FATA</w:t>
      </w:r>
      <w:r w:rsidRPr="00EE0D81">
        <w:rPr>
          <w:rFonts w:ascii="Times New Roman" w:hAnsi="Times New Roman"/>
          <w:color w:val="000000"/>
        </w:rPr>
        <w:t xml:space="preserve"> and </w:t>
      </w:r>
      <w:r>
        <w:rPr>
          <w:rFonts w:ascii="Times New Roman" w:eastAsia="MS PGothic" w:hAnsi="Times New Roman" w:cs="Times New Roman"/>
          <w:color w:val="000000"/>
        </w:rPr>
        <w:t>subsequently not deliver a security uplift for critical infrastructure that is domestically owned</w:t>
      </w:r>
      <w:r w:rsidRPr="00EE0D81">
        <w:rPr>
          <w:rFonts w:ascii="Times New Roman" w:hAnsi="Times New Roman"/>
          <w:color w:val="000000"/>
        </w:rPr>
        <w:t xml:space="preserve"> and </w:t>
      </w:r>
      <w:r>
        <w:rPr>
          <w:rFonts w:ascii="Times New Roman" w:eastAsia="MS PGothic" w:hAnsi="Times New Roman" w:cs="Times New Roman"/>
          <w:color w:val="000000"/>
        </w:rPr>
        <w:t xml:space="preserve">operated. </w:t>
      </w:r>
    </w:p>
    <w:p w14:paraId="6B958833"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p>
    <w:p w14:paraId="62970F0D"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The cost to industry would be dependent on who within industry voluntarily engages with the TISN and voluntarily uplifts their security through non-regulatory versions of the </w:t>
      </w:r>
      <w:r>
        <w:rPr>
          <w:rFonts w:ascii="Times New Roman" w:eastAsia="MS PGothic" w:hAnsi="Times New Roman" w:cs="Times New Roman"/>
          <w:color w:val="000000"/>
        </w:rPr>
        <w:t>Positive Security Obligations</w:t>
      </w:r>
      <w:r w:rsidRPr="000266F5">
        <w:rPr>
          <w:rFonts w:ascii="Times New Roman" w:eastAsia="MS PGothic" w:hAnsi="Times New Roman" w:cs="Times New Roman"/>
          <w:color w:val="000000"/>
        </w:rPr>
        <w:t xml:space="preserve">, Enhanced Cyber Security Obligation, and Government Assistance. It is likely that not all </w:t>
      </w:r>
      <w:r w:rsidRPr="000266F5">
        <w:rPr>
          <w:rFonts w:ascii="Times New Roman" w:eastAsia="MS PGothic" w:hAnsi="Times New Roman" w:cs="Times New Roman"/>
          <w:color w:val="000000"/>
        </w:rPr>
        <w:lastRenderedPageBreak/>
        <w:t xml:space="preserve">entities deemed critical infrastructure would participate and therefore the costs to industry in reality would be significantly lower than the cost of making the obligations regulatory. Similarly, the corresponding benefits would also be significantly lower than Option Two. </w:t>
      </w:r>
    </w:p>
    <w:p w14:paraId="58294FBF"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p>
    <w:p w14:paraId="43E52D0D"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An increase in resilience in some </w:t>
      </w:r>
      <w:r w:rsidRPr="00EE0D81">
        <w:rPr>
          <w:rFonts w:ascii="Times New Roman" w:hAnsi="Times New Roman"/>
          <w:i/>
          <w:color w:val="000000"/>
        </w:rPr>
        <w:t>critical infrastructure asset</w:t>
      </w:r>
      <w:r w:rsidRPr="000266F5">
        <w:rPr>
          <w:rFonts w:ascii="Times New Roman" w:eastAsia="MS PGothic" w:hAnsi="Times New Roman" w:cs="Times New Roman"/>
          <w:color w:val="000000"/>
        </w:rPr>
        <w:t>s would provide greater benefits to the security and resilience of Australia’s social and economic stability, defence and national security. However, due to the interconnected nature of critical infrastructure a broad uplift across sectors is required to substantially improve the resilience of critical infrastructure, and this is unlikely to occur without regulatory obligations.</w:t>
      </w:r>
    </w:p>
    <w:p w14:paraId="49FE1D52"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p>
    <w:tbl>
      <w:tblPr>
        <w:tblStyle w:val="GridTable4-Accent21"/>
        <w:tblW w:w="9351" w:type="dxa"/>
        <w:tblLook w:val="04A0" w:firstRow="1" w:lastRow="0" w:firstColumn="1" w:lastColumn="0" w:noHBand="0" w:noVBand="1"/>
      </w:tblPr>
      <w:tblGrid>
        <w:gridCol w:w="4106"/>
        <w:gridCol w:w="5245"/>
      </w:tblGrid>
      <w:tr w:rsidR="00993F09" w:rsidRPr="000266F5" w14:paraId="2062011C" w14:textId="77777777" w:rsidTr="00602D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4B7A536" w14:textId="77777777" w:rsidR="00993F09" w:rsidRPr="000266F5" w:rsidRDefault="00993F09" w:rsidP="00602DDE">
            <w:pPr>
              <w:tabs>
                <w:tab w:val="left" w:pos="426"/>
              </w:tabs>
              <w:spacing w:before="240" w:after="240"/>
              <w:jc w:val="center"/>
              <w:rPr>
                <w:rFonts w:ascii="Times New Roman" w:eastAsia="MS PGothic" w:hAnsi="Times New Roman" w:cs="Times New Roman"/>
                <w:color w:val="000000"/>
              </w:rPr>
            </w:pPr>
            <w:r w:rsidRPr="000266F5">
              <w:rPr>
                <w:rFonts w:ascii="Times New Roman" w:eastAsia="MS PGothic" w:hAnsi="Times New Roman" w:cs="Times New Roman"/>
                <w:color w:val="000000"/>
              </w:rPr>
              <w:t>Benefits</w:t>
            </w:r>
          </w:p>
        </w:tc>
        <w:tc>
          <w:tcPr>
            <w:tcW w:w="5245" w:type="dxa"/>
          </w:tcPr>
          <w:p w14:paraId="0449DAF8" w14:textId="77777777" w:rsidR="00993F09" w:rsidRPr="000266F5" w:rsidRDefault="00993F09" w:rsidP="00602DDE">
            <w:pPr>
              <w:tabs>
                <w:tab w:val="left" w:pos="426"/>
              </w:tabs>
              <w:spacing w:before="240" w:after="240"/>
              <w:jc w:val="center"/>
              <w:cnfStyle w:val="100000000000" w:firstRow="1" w:lastRow="0" w:firstColumn="0" w:lastColumn="0" w:oddVBand="0" w:evenVBand="0" w:oddHBand="0" w:evenHBand="0" w:firstRowFirstColumn="0" w:firstRowLastColumn="0" w:lastRowFirstColumn="0" w:lastRowLastColumn="0"/>
              <w:rPr>
                <w:rFonts w:ascii="Times New Roman" w:eastAsia="MS PGothic" w:hAnsi="Times New Roman" w:cs="Times New Roman"/>
                <w:color w:val="000000"/>
              </w:rPr>
            </w:pPr>
            <w:r w:rsidRPr="000266F5">
              <w:rPr>
                <w:rFonts w:ascii="Times New Roman" w:eastAsia="MS PGothic" w:hAnsi="Times New Roman" w:cs="Times New Roman"/>
                <w:color w:val="000000"/>
              </w:rPr>
              <w:t>Costs and Limitations</w:t>
            </w:r>
          </w:p>
        </w:tc>
      </w:tr>
      <w:tr w:rsidR="00993F09" w:rsidRPr="000266F5" w14:paraId="618C5D03" w14:textId="77777777" w:rsidTr="0060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AD15EAB" w14:textId="77777777" w:rsidR="00993F09" w:rsidRPr="000266F5" w:rsidRDefault="00993F09" w:rsidP="00602DDE">
            <w:pPr>
              <w:numPr>
                <w:ilvl w:val="0"/>
                <w:numId w:val="3"/>
              </w:numPr>
              <w:tabs>
                <w:tab w:val="left" w:pos="426"/>
              </w:tabs>
              <w:rPr>
                <w:rFonts w:ascii="Times New Roman" w:eastAsia="MS PGothic" w:hAnsi="Times New Roman" w:cs="Times New Roman"/>
                <w:b w:val="0"/>
                <w:color w:val="000000"/>
              </w:rPr>
            </w:pPr>
            <w:r w:rsidRPr="000266F5">
              <w:rPr>
                <w:rFonts w:ascii="Times New Roman" w:eastAsia="MS PGothic" w:hAnsi="Times New Roman" w:cs="Times New Roman"/>
                <w:b w:val="0"/>
                <w:color w:val="000000"/>
              </w:rPr>
              <w:t>Owners and operators have the flexibility to address risks to critical infrastructure</w:t>
            </w:r>
          </w:p>
          <w:p w14:paraId="7D29BB9B" w14:textId="77777777" w:rsidR="00993F09" w:rsidRPr="000266F5" w:rsidRDefault="00993F09" w:rsidP="00602DDE">
            <w:pPr>
              <w:numPr>
                <w:ilvl w:val="0"/>
                <w:numId w:val="3"/>
              </w:numPr>
              <w:tabs>
                <w:tab w:val="left" w:pos="426"/>
              </w:tabs>
              <w:rPr>
                <w:rFonts w:ascii="Times New Roman" w:eastAsia="MS PGothic" w:hAnsi="Times New Roman" w:cs="Times New Roman"/>
                <w:b w:val="0"/>
                <w:color w:val="000000"/>
              </w:rPr>
            </w:pPr>
            <w:r w:rsidRPr="000266F5">
              <w:rPr>
                <w:rFonts w:ascii="Times New Roman" w:eastAsia="MS PGothic" w:hAnsi="Times New Roman" w:cs="Times New Roman"/>
                <w:b w:val="0"/>
                <w:color w:val="000000"/>
              </w:rPr>
              <w:t>Addresses concerns raised by industry requesting guidance from Government</w:t>
            </w:r>
          </w:p>
          <w:p w14:paraId="450F2251" w14:textId="77777777" w:rsidR="00993F09" w:rsidRPr="000266F5" w:rsidRDefault="00993F09" w:rsidP="00602DDE">
            <w:pPr>
              <w:numPr>
                <w:ilvl w:val="0"/>
                <w:numId w:val="3"/>
              </w:numPr>
              <w:tabs>
                <w:tab w:val="left" w:pos="426"/>
              </w:tabs>
              <w:rPr>
                <w:rFonts w:ascii="Times New Roman" w:eastAsia="MS PGothic" w:hAnsi="Times New Roman" w:cs="Times New Roman"/>
                <w:b w:val="0"/>
                <w:color w:val="000000"/>
              </w:rPr>
            </w:pPr>
            <w:r w:rsidRPr="000266F5">
              <w:rPr>
                <w:rFonts w:ascii="Times New Roman" w:eastAsia="MS PGothic" w:hAnsi="Times New Roman" w:cs="Times New Roman"/>
                <w:b w:val="0"/>
                <w:color w:val="000000"/>
              </w:rPr>
              <w:t>Reduced need for the Government to intervene</w:t>
            </w:r>
          </w:p>
          <w:p w14:paraId="70A464C0" w14:textId="77777777" w:rsidR="00993F09" w:rsidRPr="000266F5" w:rsidRDefault="00993F09" w:rsidP="00602DDE">
            <w:pPr>
              <w:numPr>
                <w:ilvl w:val="0"/>
                <w:numId w:val="3"/>
              </w:numPr>
              <w:tabs>
                <w:tab w:val="left" w:pos="426"/>
              </w:tabs>
              <w:rPr>
                <w:rFonts w:ascii="Times New Roman" w:eastAsia="MS PGothic" w:hAnsi="Times New Roman" w:cs="Times New Roman"/>
                <w:b w:val="0"/>
                <w:color w:val="000000"/>
              </w:rPr>
            </w:pPr>
            <w:r w:rsidRPr="000266F5">
              <w:rPr>
                <w:rFonts w:ascii="Times New Roman" w:eastAsia="MS PGothic" w:hAnsi="Times New Roman" w:cs="Times New Roman"/>
                <w:b w:val="0"/>
                <w:color w:val="000000"/>
              </w:rPr>
              <w:t>No new regulatory compliance costs for business and the Government</w:t>
            </w:r>
          </w:p>
        </w:tc>
        <w:tc>
          <w:tcPr>
            <w:tcW w:w="5245" w:type="dxa"/>
          </w:tcPr>
          <w:p w14:paraId="6DBA0618" w14:textId="77777777" w:rsidR="00993F09" w:rsidRPr="000266F5" w:rsidRDefault="00993F09" w:rsidP="00602DDE">
            <w:pPr>
              <w:numPr>
                <w:ilvl w:val="0"/>
                <w:numId w:val="3"/>
              </w:numPr>
              <w:tabs>
                <w:tab w:val="left" w:pos="426"/>
              </w:tabs>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cs="Times New Roman"/>
                <w:color w:val="000000"/>
              </w:rPr>
            </w:pPr>
            <w:r w:rsidRPr="000266F5">
              <w:rPr>
                <w:rFonts w:ascii="Times New Roman" w:eastAsia="MS PGothic" w:hAnsi="Times New Roman" w:cs="Times New Roman"/>
                <w:color w:val="000000"/>
              </w:rPr>
              <w:t>Costs to industry dependent on level of industry engagement.</w:t>
            </w:r>
          </w:p>
          <w:p w14:paraId="1488B9BD" w14:textId="77777777" w:rsidR="00993F09" w:rsidRPr="000266F5" w:rsidRDefault="00993F09" w:rsidP="00602DDE">
            <w:pPr>
              <w:numPr>
                <w:ilvl w:val="0"/>
                <w:numId w:val="3"/>
              </w:numPr>
              <w:tabs>
                <w:tab w:val="left" w:pos="426"/>
              </w:tabs>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cs="Times New Roman"/>
                <w:color w:val="000000"/>
              </w:rPr>
            </w:pPr>
            <w:r w:rsidRPr="000266F5">
              <w:rPr>
                <w:rFonts w:ascii="Times New Roman" w:eastAsia="MS PGothic" w:hAnsi="Times New Roman" w:cs="Times New Roman"/>
                <w:color w:val="000000"/>
              </w:rPr>
              <w:t>Success in meeting the Government objectives of the reform is contingent on industry engagement</w:t>
            </w:r>
          </w:p>
          <w:p w14:paraId="5C4A343E" w14:textId="77777777" w:rsidR="00993F09" w:rsidRPr="000266F5" w:rsidRDefault="00993F09" w:rsidP="00602DDE">
            <w:pPr>
              <w:numPr>
                <w:ilvl w:val="0"/>
                <w:numId w:val="3"/>
              </w:numPr>
              <w:tabs>
                <w:tab w:val="left" w:pos="426"/>
              </w:tabs>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cs="Times New Roman"/>
                <w:color w:val="000000"/>
              </w:rPr>
            </w:pPr>
            <w:r w:rsidRPr="000266F5">
              <w:rPr>
                <w:rFonts w:ascii="Times New Roman" w:eastAsia="MS PGothic" w:hAnsi="Times New Roman" w:cs="Times New Roman"/>
                <w:color w:val="000000"/>
              </w:rPr>
              <w:t>Lack of legislative drivers diminishes effectiveness due to lack of enforcement capabilities</w:t>
            </w:r>
          </w:p>
          <w:p w14:paraId="25C30B49" w14:textId="77777777" w:rsidR="00993F09" w:rsidRPr="000266F5" w:rsidRDefault="00993F09" w:rsidP="00602DDE">
            <w:pPr>
              <w:numPr>
                <w:ilvl w:val="0"/>
                <w:numId w:val="3"/>
              </w:numPr>
              <w:tabs>
                <w:tab w:val="left" w:pos="426"/>
              </w:tabs>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Without regulatory obligations providing clear direction, many businesses will lack a clear mandate to uplift all hazards risk management </w:t>
            </w:r>
          </w:p>
          <w:p w14:paraId="4694C46A" w14:textId="77777777" w:rsidR="00993F09" w:rsidRPr="000266F5" w:rsidRDefault="00993F09" w:rsidP="00602DDE">
            <w:pPr>
              <w:numPr>
                <w:ilvl w:val="0"/>
                <w:numId w:val="3"/>
              </w:numPr>
              <w:tabs>
                <w:tab w:val="left" w:pos="426"/>
              </w:tabs>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cs="Times New Roman"/>
                <w:color w:val="000000"/>
              </w:rPr>
            </w:pPr>
            <w:r w:rsidRPr="000266F5">
              <w:rPr>
                <w:rFonts w:ascii="Times New Roman" w:eastAsia="MS PGothic" w:hAnsi="Times New Roman" w:cs="Times New Roman"/>
                <w:color w:val="000000"/>
              </w:rPr>
              <w:t>Those not already utilising guidance material are unlikely to voluntary engage in mitigating identified risks</w:t>
            </w:r>
          </w:p>
          <w:p w14:paraId="543FE8A1" w14:textId="5593CD70" w:rsidR="00993F09" w:rsidRPr="000266F5" w:rsidRDefault="00993F09" w:rsidP="00602DDE">
            <w:pPr>
              <w:numPr>
                <w:ilvl w:val="0"/>
                <w:numId w:val="3"/>
              </w:numPr>
              <w:tabs>
                <w:tab w:val="left" w:pos="426"/>
              </w:tabs>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Continued overreliance on </w:t>
            </w:r>
            <w:r>
              <w:rPr>
                <w:rFonts w:ascii="Times New Roman" w:eastAsia="MS PGothic" w:hAnsi="Times New Roman" w:cs="Times New Roman"/>
                <w:iCs/>
              </w:rPr>
              <w:t>FATA</w:t>
            </w:r>
            <w:r w:rsidRPr="000266F5">
              <w:rPr>
                <w:rFonts w:ascii="Times New Roman" w:eastAsia="MS PGothic" w:hAnsi="Times New Roman" w:cs="Times New Roman"/>
              </w:rPr>
              <w:t>, impacting Australia’s investment reputation</w:t>
            </w:r>
          </w:p>
          <w:p w14:paraId="32CC4553" w14:textId="77777777" w:rsidR="00993F09" w:rsidRPr="000266F5" w:rsidRDefault="00993F09" w:rsidP="00602DDE">
            <w:pPr>
              <w:numPr>
                <w:ilvl w:val="0"/>
                <w:numId w:val="3"/>
              </w:numPr>
              <w:tabs>
                <w:tab w:val="left" w:pos="426"/>
              </w:tabs>
              <w:cnfStyle w:val="000000100000" w:firstRow="0" w:lastRow="0" w:firstColumn="0" w:lastColumn="0" w:oddVBand="0" w:evenVBand="0" w:oddHBand="1" w:evenHBand="0" w:firstRowFirstColumn="0" w:firstRowLastColumn="0" w:lastRowFirstColumn="0" w:lastRowLastColumn="0"/>
              <w:rPr>
                <w:rFonts w:ascii="Times New Roman" w:eastAsia="MS PGothic" w:hAnsi="Times New Roman" w:cs="Times New Roman"/>
                <w:color w:val="000000"/>
              </w:rPr>
            </w:pPr>
            <w:r w:rsidRPr="000266F5">
              <w:rPr>
                <w:rFonts w:ascii="Times New Roman" w:eastAsia="MS PGothic" w:hAnsi="Times New Roman" w:cs="Times New Roman"/>
              </w:rPr>
              <w:t>The gaps between organisations with high security and resilience maturity and those with low maturity will continue to widen</w:t>
            </w:r>
          </w:p>
        </w:tc>
      </w:tr>
    </w:tbl>
    <w:p w14:paraId="60D93074" w14:textId="77777777" w:rsidR="00993F09" w:rsidRPr="000266F5" w:rsidRDefault="00993F09" w:rsidP="00993F09">
      <w:pPr>
        <w:spacing w:after="0" w:line="240" w:lineRule="auto"/>
        <w:rPr>
          <w:rFonts w:ascii="Times New Roman" w:eastAsia="Arial" w:hAnsi="Times New Roman" w:cs="Times New Roman"/>
        </w:rPr>
      </w:pPr>
    </w:p>
    <w:p w14:paraId="0724AF5B" w14:textId="77777777" w:rsidR="00993F09" w:rsidRPr="000266F5" w:rsidRDefault="00993F09" w:rsidP="00993F09">
      <w:pPr>
        <w:keepNext/>
        <w:keepLines/>
        <w:numPr>
          <w:ilvl w:val="0"/>
          <w:numId w:val="5"/>
        </w:numPr>
        <w:tabs>
          <w:tab w:val="left" w:pos="567"/>
        </w:tabs>
        <w:spacing w:before="240" w:after="200" w:line="240" w:lineRule="auto"/>
        <w:contextualSpacing/>
        <w:outlineLvl w:val="0"/>
        <w:rPr>
          <w:rFonts w:ascii="Times New Roman" w:eastAsia="MS PGothic" w:hAnsi="Times New Roman" w:cs="Times New Roman"/>
          <w:b/>
          <w:bCs/>
          <w:color w:val="003865"/>
          <w:sz w:val="28"/>
          <w:szCs w:val="28"/>
        </w:rPr>
      </w:pPr>
      <w:r w:rsidRPr="000266F5">
        <w:rPr>
          <w:rFonts w:ascii="Times New Roman" w:eastAsia="MS PGothic" w:hAnsi="Times New Roman" w:cs="Times New Roman"/>
          <w:b/>
          <w:bCs/>
          <w:color w:val="003865"/>
          <w:sz w:val="28"/>
          <w:szCs w:val="28"/>
        </w:rPr>
        <w:t>FEEDBACK</w:t>
      </w:r>
    </w:p>
    <w:p w14:paraId="2567E80A"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1E3D8108" w14:textId="7777777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This section provides an overview of the Government’s public consultation process. This section explains the purpose and objective of the consultation process and provides detail about the Government’s consultation strategy. This section also provides a summary of key feedback from </w:t>
      </w:r>
      <w:r w:rsidRPr="000266F5">
        <w:rPr>
          <w:rFonts w:ascii="Times New Roman" w:eastAsia="MS PGothic" w:hAnsi="Times New Roman" w:cs="Times New Roman"/>
          <w:color w:val="000000"/>
        </w:rPr>
        <w:t>consultations</w:t>
      </w:r>
      <w:r w:rsidRPr="000266F5">
        <w:rPr>
          <w:rFonts w:ascii="Times New Roman" w:eastAsia="Arial" w:hAnsi="Times New Roman" w:cs="Times New Roman"/>
        </w:rPr>
        <w:t>, including written submissions.</w:t>
      </w:r>
    </w:p>
    <w:p w14:paraId="388BC8A1"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659C8F38" w14:textId="77777777" w:rsidR="00993F09" w:rsidRPr="000266F5" w:rsidRDefault="00993F09" w:rsidP="00B369B5">
      <w:pPr>
        <w:pStyle w:val="ListParagraph"/>
        <w:numPr>
          <w:ilvl w:val="0"/>
          <w:numId w:val="12"/>
        </w:numPr>
        <w:spacing w:after="200" w:line="240" w:lineRule="auto"/>
        <w:rPr>
          <w:rFonts w:ascii="Times New Roman" w:eastAsia="Arial" w:hAnsi="Times New Roman" w:cs="Times New Roman"/>
          <w:b/>
          <w:bCs/>
          <w:vanish/>
        </w:rPr>
      </w:pPr>
    </w:p>
    <w:p w14:paraId="422F432A" w14:textId="77777777" w:rsidR="00993F09" w:rsidRPr="000266F5" w:rsidRDefault="00993F09" w:rsidP="00B369B5">
      <w:pPr>
        <w:pStyle w:val="ListParagraph"/>
        <w:numPr>
          <w:ilvl w:val="1"/>
          <w:numId w:val="12"/>
        </w:numPr>
        <w:spacing w:after="200" w:line="240" w:lineRule="auto"/>
        <w:rPr>
          <w:rFonts w:ascii="Times New Roman" w:eastAsia="Arial" w:hAnsi="Times New Roman" w:cs="Times New Roman"/>
          <w:b/>
          <w:bCs/>
        </w:rPr>
      </w:pPr>
      <w:r w:rsidRPr="000266F5">
        <w:rPr>
          <w:rFonts w:ascii="Times New Roman" w:eastAsia="Arial" w:hAnsi="Times New Roman" w:cs="Times New Roman"/>
          <w:b/>
          <w:bCs/>
        </w:rPr>
        <w:t xml:space="preserve">Consultation Process – overview </w:t>
      </w:r>
    </w:p>
    <w:p w14:paraId="5D7FBA56" w14:textId="05CA020F" w:rsidR="00A3151D" w:rsidRPr="002F4CC3" w:rsidRDefault="00A3151D" w:rsidP="002F4CC3">
      <w:pPr>
        <w:tabs>
          <w:tab w:val="left" w:pos="426"/>
        </w:tabs>
        <w:spacing w:after="120" w:line="240" w:lineRule="auto"/>
        <w:rPr>
          <w:rFonts w:ascii="Times New Roman" w:eastAsia="MS PGothic" w:hAnsi="Times New Roman" w:cs="Times New Roman"/>
          <w:i/>
          <w:color w:val="000000"/>
        </w:rPr>
      </w:pPr>
      <w:r w:rsidRPr="002F4CC3">
        <w:rPr>
          <w:rFonts w:ascii="Times New Roman" w:eastAsia="MS PGothic" w:hAnsi="Times New Roman" w:cs="Times New Roman"/>
          <w:i/>
          <w:color w:val="000000"/>
        </w:rPr>
        <w:t xml:space="preserve">Consultation paper engagement </w:t>
      </w:r>
    </w:p>
    <w:p w14:paraId="2A308AB6" w14:textId="6950D81D"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On 6 August 2020, the Minister for Home Affairs announced a proposal to introduce regulatory reforms to protect critical </w:t>
      </w:r>
      <w:r w:rsidRPr="000266F5">
        <w:rPr>
          <w:rFonts w:ascii="Times New Roman" w:eastAsia="Arial" w:hAnsi="Times New Roman" w:cs="Times New Roman"/>
        </w:rPr>
        <w:t>infrastructure</w:t>
      </w:r>
      <w:r w:rsidRPr="000266F5">
        <w:rPr>
          <w:rFonts w:ascii="Times New Roman" w:eastAsia="MS PGothic" w:hAnsi="Times New Roman" w:cs="Times New Roman"/>
          <w:color w:val="000000"/>
        </w:rPr>
        <w:t xml:space="preserve"> and </w:t>
      </w:r>
      <w:r w:rsidRPr="00EE0D81">
        <w:rPr>
          <w:rFonts w:ascii="Times New Roman" w:hAnsi="Times New Roman"/>
          <w:i/>
          <w:color w:val="000000"/>
        </w:rPr>
        <w:t>systems of national significance</w:t>
      </w:r>
      <w:r w:rsidRPr="000266F5">
        <w:rPr>
          <w:rFonts w:ascii="Times New Roman" w:eastAsia="MS PGothic" w:hAnsi="Times New Roman" w:cs="Times New Roman"/>
          <w:color w:val="000000"/>
        </w:rPr>
        <w:t xml:space="preserve"> as a key measure of the Cyber </w:t>
      </w:r>
      <w:r w:rsidRPr="000266F5">
        <w:rPr>
          <w:rFonts w:ascii="Times New Roman" w:eastAsia="Arial" w:hAnsi="Times New Roman" w:cs="Times New Roman"/>
        </w:rPr>
        <w:t>Security</w:t>
      </w:r>
      <w:r w:rsidRPr="000266F5">
        <w:rPr>
          <w:rFonts w:ascii="Times New Roman" w:eastAsia="MS PGothic" w:hAnsi="Times New Roman" w:cs="Times New Roman"/>
          <w:color w:val="000000"/>
        </w:rPr>
        <w:t xml:space="preserve"> Strategy 2020. On 12 August 2020, the Minister for Home Affairs published the Protecting Critical Infrastructure and </w:t>
      </w:r>
      <w:r w:rsidRPr="00EE0D81">
        <w:rPr>
          <w:rFonts w:ascii="Times New Roman" w:hAnsi="Times New Roman"/>
          <w:i/>
          <w:color w:val="000000"/>
        </w:rPr>
        <w:t xml:space="preserve">Systems of </w:t>
      </w:r>
      <w:r w:rsidRPr="00B1725B">
        <w:rPr>
          <w:rFonts w:ascii="Times New Roman" w:eastAsia="MS PGothic" w:hAnsi="Times New Roman" w:cs="Times New Roman"/>
          <w:i/>
          <w:color w:val="000000"/>
        </w:rPr>
        <w:t>national significance</w:t>
      </w:r>
      <w:r w:rsidRPr="000266F5">
        <w:rPr>
          <w:rFonts w:ascii="Times New Roman" w:eastAsia="MS PGothic" w:hAnsi="Times New Roman" w:cs="Times New Roman"/>
          <w:color w:val="000000"/>
        </w:rPr>
        <w:t xml:space="preserve"> Consultation Paper. </w:t>
      </w:r>
    </w:p>
    <w:p w14:paraId="2346238A" w14:textId="77777777" w:rsidR="00993F09" w:rsidRPr="000266F5" w:rsidRDefault="00993F09" w:rsidP="00993F09">
      <w:pPr>
        <w:pStyle w:val="ListParagraph"/>
        <w:tabs>
          <w:tab w:val="left" w:pos="426"/>
        </w:tabs>
        <w:spacing w:after="0" w:line="240" w:lineRule="auto"/>
        <w:ind w:left="227"/>
        <w:rPr>
          <w:rFonts w:ascii="Times New Roman" w:eastAsia="MS PGothic" w:hAnsi="Times New Roman" w:cs="Times New Roman"/>
          <w:color w:val="000000"/>
        </w:rPr>
      </w:pPr>
    </w:p>
    <w:p w14:paraId="54CE1A2E"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The Consultation Paper outlined a framework of regulatory (</w:t>
      </w:r>
      <w:r>
        <w:rPr>
          <w:rFonts w:ascii="Times New Roman" w:eastAsia="MS PGothic" w:hAnsi="Times New Roman" w:cs="Times New Roman"/>
          <w:color w:val="000000"/>
        </w:rPr>
        <w:t>Positive Security Obligations</w:t>
      </w:r>
      <w:r w:rsidRPr="000266F5">
        <w:rPr>
          <w:rFonts w:ascii="Times New Roman" w:eastAsia="MS PGothic" w:hAnsi="Times New Roman" w:cs="Times New Roman"/>
          <w:color w:val="000000"/>
        </w:rPr>
        <w:t xml:space="preserve">, Enhanced Cyber Security Obligations and Government Assistance) and non-regulatory (Enhanced Government-Industry Partnership) proposals to protect Australia’s critical infrastructure from all hazards, including dynamic </w:t>
      </w:r>
      <w:r w:rsidRPr="000266F5">
        <w:rPr>
          <w:rFonts w:ascii="Times New Roman" w:eastAsia="Arial" w:hAnsi="Times New Roman" w:cs="Times New Roman"/>
        </w:rPr>
        <w:t>cascading</w:t>
      </w:r>
      <w:r w:rsidRPr="000266F5">
        <w:rPr>
          <w:rFonts w:ascii="Times New Roman" w:eastAsia="MS PGothic" w:hAnsi="Times New Roman" w:cs="Times New Roman"/>
          <w:color w:val="000000"/>
        </w:rPr>
        <w:t xml:space="preserve"> threats enabled by cyber attacks. It sought the views of governments, industry and </w:t>
      </w:r>
      <w:r w:rsidRPr="000266F5">
        <w:rPr>
          <w:rFonts w:ascii="Times New Roman" w:eastAsia="MS PGothic" w:hAnsi="Times New Roman" w:cs="Times New Roman"/>
          <w:color w:val="000000"/>
        </w:rPr>
        <w:lastRenderedPageBreak/>
        <w:t xml:space="preserve">the community to shape the detail of the legislative reforms and Government’s approach to implementing them on a sectoral basis. </w:t>
      </w:r>
    </w:p>
    <w:p w14:paraId="01CF47A2"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p>
    <w:p w14:paraId="07FBBB11" w14:textId="4E18822D"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The Department received 194 public and confidential (not released on the Department</w:t>
      </w:r>
      <w:r>
        <w:rPr>
          <w:rFonts w:ascii="Times New Roman" w:eastAsia="MS PGothic" w:hAnsi="Times New Roman" w:cs="Times New Roman"/>
          <w:color w:val="000000"/>
        </w:rPr>
        <w:t>’s</w:t>
      </w:r>
      <w:r w:rsidRPr="000266F5">
        <w:rPr>
          <w:rFonts w:ascii="Times New Roman" w:eastAsia="MS PGothic" w:hAnsi="Times New Roman" w:cs="Times New Roman"/>
          <w:color w:val="000000"/>
        </w:rPr>
        <w:t xml:space="preserve"> website) submissions in response to the Consultation Paper, including submissions from all states and territories, as at the close of the submission period on 16 September 2020.</w:t>
      </w:r>
    </w:p>
    <w:p w14:paraId="5F442AE8"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p>
    <w:p w14:paraId="118DAFE7" w14:textId="66BF930A" w:rsidR="00A3151D" w:rsidRDefault="00A3151D" w:rsidP="002F4CC3">
      <w:pPr>
        <w:tabs>
          <w:tab w:val="left" w:pos="426"/>
        </w:tabs>
        <w:spacing w:after="120" w:line="240" w:lineRule="auto"/>
        <w:rPr>
          <w:rFonts w:ascii="Times New Roman" w:eastAsia="MS PGothic" w:hAnsi="Times New Roman" w:cs="Times New Roman"/>
          <w:i/>
          <w:color w:val="000000"/>
        </w:rPr>
      </w:pPr>
      <w:r w:rsidRPr="00A3151D">
        <w:rPr>
          <w:rFonts w:ascii="Times New Roman" w:eastAsia="MS PGothic" w:hAnsi="Times New Roman" w:cs="Times New Roman"/>
          <w:i/>
          <w:color w:val="000000"/>
        </w:rPr>
        <w:t>Exposure Draft of the Security Legislation Amendment (Critical Infrastructure) Bill 2020</w:t>
      </w:r>
    </w:p>
    <w:p w14:paraId="544E5A89" w14:textId="7E9BB926" w:rsidR="00230A55" w:rsidRDefault="00993F09" w:rsidP="00230A55">
      <w:pPr>
        <w:tabs>
          <w:tab w:val="left" w:pos="426"/>
        </w:tabs>
        <w:spacing w:after="0" w:line="240" w:lineRule="auto"/>
        <w:rPr>
          <w:rFonts w:ascii="Times New Roman" w:eastAsia="MS PGothic" w:hAnsi="Times New Roman" w:cs="Times New Roman"/>
          <w:color w:val="000000"/>
        </w:rPr>
      </w:pPr>
      <w:r w:rsidRPr="00EE0D81">
        <w:rPr>
          <w:rFonts w:ascii="Times New Roman" w:eastAsia="MS PGothic" w:hAnsi="Times New Roman" w:cs="Times New Roman"/>
          <w:color w:val="000000"/>
        </w:rPr>
        <w:t>On 9 November 2020, the Department released the Exposure Draft of the Security Legislation Amendment (Critical Infrastructure) Bill 2020, accompanied by an Explanatory Document for public consultation.</w:t>
      </w:r>
      <w:r w:rsidRPr="000266F5">
        <w:rPr>
          <w:rFonts w:ascii="Times New Roman" w:eastAsia="MS PGothic" w:hAnsi="Times New Roman" w:cs="Times New Roman"/>
          <w:color w:val="000000"/>
        </w:rPr>
        <w:t xml:space="preserve"> </w:t>
      </w:r>
      <w:r w:rsidR="00FC1358">
        <w:rPr>
          <w:rFonts w:ascii="Times New Roman" w:eastAsia="MS PGothic" w:hAnsi="Times New Roman" w:cs="Times New Roman"/>
          <w:color w:val="000000"/>
        </w:rPr>
        <w:t xml:space="preserve">Consultation closed on </w:t>
      </w:r>
      <w:r w:rsidR="00FC1358" w:rsidRPr="00230A55">
        <w:rPr>
          <w:rFonts w:ascii="Times New Roman" w:eastAsia="MS PGothic" w:hAnsi="Times New Roman" w:cs="Times New Roman"/>
          <w:color w:val="000000"/>
        </w:rPr>
        <w:t>27 November 2020</w:t>
      </w:r>
      <w:r w:rsidR="00FC1358">
        <w:rPr>
          <w:rFonts w:ascii="Times New Roman" w:eastAsia="MS PGothic" w:hAnsi="Times New Roman" w:cs="Times New Roman"/>
          <w:color w:val="000000"/>
        </w:rPr>
        <w:t xml:space="preserve"> with Home Affairs speaking</w:t>
      </w:r>
      <w:r w:rsidR="00230A55" w:rsidRPr="00230A55">
        <w:rPr>
          <w:rFonts w:ascii="Times New Roman" w:eastAsia="MS PGothic" w:hAnsi="Times New Roman" w:cs="Times New Roman"/>
          <w:color w:val="000000"/>
        </w:rPr>
        <w:t xml:space="preserve"> to over 1</w:t>
      </w:r>
      <w:r w:rsidR="00FC1358">
        <w:rPr>
          <w:rFonts w:ascii="Times New Roman" w:eastAsia="MS PGothic" w:hAnsi="Times New Roman" w:cs="Times New Roman"/>
          <w:color w:val="000000"/>
        </w:rPr>
        <w:t>,</w:t>
      </w:r>
      <w:r w:rsidR="00230A55" w:rsidRPr="00230A55">
        <w:rPr>
          <w:rFonts w:ascii="Times New Roman" w:eastAsia="MS PGothic" w:hAnsi="Times New Roman" w:cs="Times New Roman"/>
          <w:color w:val="000000"/>
        </w:rPr>
        <w:t>000 individuals on the Exposure Draft Bill,</w:t>
      </w:r>
      <w:r w:rsidR="00336ED3">
        <w:rPr>
          <w:rFonts w:ascii="Times New Roman" w:eastAsia="MS PGothic" w:hAnsi="Times New Roman" w:cs="Times New Roman"/>
          <w:color w:val="000000"/>
        </w:rPr>
        <w:t xml:space="preserve"> with 117</w:t>
      </w:r>
      <w:r w:rsidR="00FC1358">
        <w:rPr>
          <w:rFonts w:ascii="Times New Roman" w:eastAsia="MS PGothic" w:hAnsi="Times New Roman" w:cs="Times New Roman"/>
          <w:color w:val="000000"/>
        </w:rPr>
        <w:t xml:space="preserve"> formal submissions being made. </w:t>
      </w:r>
      <w:r w:rsidR="00230A55" w:rsidRPr="00230A55">
        <w:rPr>
          <w:rFonts w:ascii="Times New Roman" w:eastAsia="MS PGothic" w:hAnsi="Times New Roman" w:cs="Times New Roman"/>
          <w:color w:val="000000"/>
        </w:rPr>
        <w:t xml:space="preserve"> </w:t>
      </w:r>
    </w:p>
    <w:p w14:paraId="59115135" w14:textId="79A4B37A" w:rsidR="00450E4F" w:rsidRDefault="00450E4F" w:rsidP="00230A55">
      <w:pPr>
        <w:tabs>
          <w:tab w:val="left" w:pos="426"/>
        </w:tabs>
        <w:spacing w:after="0" w:line="240" w:lineRule="auto"/>
        <w:rPr>
          <w:rFonts w:ascii="Times New Roman" w:eastAsia="MS PGothic" w:hAnsi="Times New Roman" w:cs="Times New Roman"/>
          <w:color w:val="000000"/>
        </w:rPr>
      </w:pPr>
    </w:p>
    <w:p w14:paraId="4AFBA281" w14:textId="0DA7B075" w:rsidR="00A3151D" w:rsidRDefault="00A3151D" w:rsidP="00A3151D">
      <w:pPr>
        <w:tabs>
          <w:tab w:val="left" w:pos="426"/>
        </w:tabs>
        <w:spacing w:after="0" w:line="240" w:lineRule="auto"/>
        <w:rPr>
          <w:rFonts w:ascii="Times New Roman" w:eastAsia="MS PGothic" w:hAnsi="Times New Roman" w:cs="Times New Roman"/>
          <w:color w:val="000000"/>
        </w:rPr>
      </w:pPr>
      <w:r w:rsidRPr="00230A55">
        <w:rPr>
          <w:rFonts w:ascii="Times New Roman" w:eastAsia="MS PGothic" w:hAnsi="Times New Roman" w:cs="Times New Roman"/>
          <w:color w:val="000000"/>
        </w:rPr>
        <w:t xml:space="preserve">Home Affairs undertook an accessible and transparent consultation process, structured to target key stakeholders for bilateral meetings, including businesses, peak bodies and state and territory governments that could be impacted by the proposed regulations. </w:t>
      </w:r>
    </w:p>
    <w:p w14:paraId="752939D7" w14:textId="77777777" w:rsidR="00A3151D" w:rsidRDefault="00A3151D" w:rsidP="00A3151D">
      <w:pPr>
        <w:tabs>
          <w:tab w:val="left" w:pos="426"/>
        </w:tabs>
        <w:spacing w:after="0" w:line="240" w:lineRule="auto"/>
        <w:rPr>
          <w:rFonts w:ascii="Times New Roman" w:eastAsia="MS PGothic" w:hAnsi="Times New Roman" w:cs="Times New Roman"/>
          <w:color w:val="000000"/>
        </w:rPr>
      </w:pPr>
    </w:p>
    <w:p w14:paraId="610DC318" w14:textId="60D047E4" w:rsidR="00A3151D" w:rsidRDefault="00A3151D" w:rsidP="00336ED3">
      <w:pPr>
        <w:tabs>
          <w:tab w:val="left" w:pos="426"/>
        </w:tabs>
        <w:spacing w:after="0" w:line="240" w:lineRule="auto"/>
        <w:rPr>
          <w:rFonts w:ascii="Times New Roman" w:eastAsia="MS PGothic" w:hAnsi="Times New Roman" w:cs="Times New Roman"/>
          <w:color w:val="000000"/>
        </w:rPr>
      </w:pPr>
      <w:r w:rsidRPr="00230A55">
        <w:rPr>
          <w:rFonts w:ascii="Times New Roman" w:eastAsia="MS PGothic" w:hAnsi="Times New Roman" w:cs="Times New Roman"/>
          <w:color w:val="000000"/>
        </w:rPr>
        <w:t xml:space="preserve">This approach was informed by the first round of public consultation on the Protecting Critical infrastructure and Systems of National </w:t>
      </w:r>
      <w:r>
        <w:rPr>
          <w:rFonts w:ascii="Times New Roman" w:eastAsia="MS PGothic" w:hAnsi="Times New Roman" w:cs="Times New Roman"/>
          <w:color w:val="000000"/>
        </w:rPr>
        <w:t>Significance Consultation Paper</w:t>
      </w:r>
      <w:r w:rsidRPr="00230A55">
        <w:rPr>
          <w:rFonts w:ascii="Times New Roman" w:eastAsia="MS PGothic" w:hAnsi="Times New Roman" w:cs="Times New Roman"/>
          <w:color w:val="000000"/>
        </w:rPr>
        <w:t xml:space="preserve"> and through extensive consultation with counterparts across the Australian Government, state and territory governments and industry.</w:t>
      </w:r>
    </w:p>
    <w:p w14:paraId="3D34BB69" w14:textId="5F55449D" w:rsidR="00450E4F" w:rsidRDefault="00450E4F" w:rsidP="00230A55">
      <w:pPr>
        <w:tabs>
          <w:tab w:val="left" w:pos="426"/>
        </w:tabs>
        <w:spacing w:after="0" w:line="240" w:lineRule="auto"/>
        <w:rPr>
          <w:rFonts w:ascii="Times New Roman" w:eastAsia="MS PGothic" w:hAnsi="Times New Roman" w:cs="Times New Roman"/>
          <w:color w:val="000000"/>
        </w:rPr>
      </w:pPr>
    </w:p>
    <w:p w14:paraId="09833DCB" w14:textId="13AFC0C1" w:rsidR="00FC1358" w:rsidRPr="00FC1358" w:rsidRDefault="00FC1358" w:rsidP="00FC1358">
      <w:pPr>
        <w:tabs>
          <w:tab w:val="left" w:pos="426"/>
        </w:tabs>
        <w:spacing w:after="0" w:line="240" w:lineRule="auto"/>
        <w:rPr>
          <w:rFonts w:ascii="Times New Roman" w:eastAsia="MS PGothic" w:hAnsi="Times New Roman" w:cs="Times New Roman"/>
          <w:color w:val="000000"/>
        </w:rPr>
      </w:pPr>
      <w:r w:rsidRPr="00FC1358">
        <w:rPr>
          <w:rFonts w:ascii="Times New Roman" w:eastAsia="MS PGothic" w:hAnsi="Times New Roman" w:cs="Times New Roman"/>
          <w:color w:val="000000"/>
        </w:rPr>
        <w:t>Feedback received on</w:t>
      </w:r>
      <w:r>
        <w:rPr>
          <w:rFonts w:ascii="Times New Roman" w:eastAsia="MS PGothic" w:hAnsi="Times New Roman" w:cs="Times New Roman"/>
          <w:color w:val="000000"/>
        </w:rPr>
        <w:t xml:space="preserve"> the Exposure Draft Bill remained</w:t>
      </w:r>
      <w:r w:rsidRPr="00FC1358">
        <w:rPr>
          <w:rFonts w:ascii="Times New Roman" w:eastAsia="MS PGothic" w:hAnsi="Times New Roman" w:cs="Times New Roman"/>
          <w:color w:val="000000"/>
        </w:rPr>
        <w:t xml:space="preserve"> consistent with that received on the Consultation Paper. Consultation continued to reveal broad in-principle support for the uplift to the security and resilience of critical infrastructure and need to enhance Government’s security-focused relationship with industry. Industry remains concerned about the Bill’s regulatory impost, its possible duplication with existing frameworks, timeframes for implementation, and extent of the Government’s intervention powers. Stakeholders have expressed gratitude for Home Affairs’ genuine willingness to engage with entities on the Consultation Paper and Exposure Draft Bill.</w:t>
      </w:r>
    </w:p>
    <w:p w14:paraId="0418E6C0" w14:textId="73882EEF" w:rsidR="00993F09" w:rsidRPr="000266F5" w:rsidRDefault="00993F09" w:rsidP="00993F09">
      <w:pPr>
        <w:tabs>
          <w:tab w:val="num" w:pos="340"/>
          <w:tab w:val="left" w:pos="426"/>
        </w:tabs>
        <w:spacing w:before="240" w:after="0" w:line="240" w:lineRule="auto"/>
        <w:rPr>
          <w:rFonts w:ascii="Times New Roman" w:eastAsia="MS PGothic" w:hAnsi="Times New Roman" w:cs="Times New Roman"/>
          <w:i/>
          <w:iCs/>
          <w:color w:val="000000"/>
        </w:rPr>
      </w:pPr>
      <w:r w:rsidRPr="000266F5">
        <w:rPr>
          <w:rFonts w:ascii="Times New Roman" w:eastAsia="MS PGothic" w:hAnsi="Times New Roman" w:cs="Times New Roman"/>
          <w:i/>
          <w:iCs/>
          <w:color w:val="000000"/>
        </w:rPr>
        <w:t>Sector-specific surveys</w:t>
      </w:r>
    </w:p>
    <w:p w14:paraId="4A590DF8" w14:textId="77777777" w:rsidR="00993F09" w:rsidRPr="000266F5" w:rsidRDefault="00993F09" w:rsidP="00993F09">
      <w:pPr>
        <w:tabs>
          <w:tab w:val="num" w:pos="340"/>
          <w:tab w:val="left" w:pos="426"/>
        </w:tabs>
        <w:spacing w:after="0" w:line="240" w:lineRule="auto"/>
        <w:rPr>
          <w:rFonts w:ascii="Times New Roman" w:eastAsia="Arial" w:hAnsi="Times New Roman" w:cs="Times New Roman"/>
        </w:rPr>
      </w:pPr>
    </w:p>
    <w:p w14:paraId="5579C21A"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Sector-specific surveys were provided to entities operating within the 11 </w:t>
      </w:r>
      <w:r w:rsidRPr="00EE0D81">
        <w:rPr>
          <w:rFonts w:ascii="Times New Roman" w:hAnsi="Times New Roman"/>
          <w:i/>
          <w:color w:val="000000"/>
        </w:rPr>
        <w:t>critical infrastructure sector</w:t>
      </w:r>
      <w:r w:rsidRPr="000266F5">
        <w:rPr>
          <w:rFonts w:ascii="Times New Roman" w:eastAsia="MS PGothic" w:hAnsi="Times New Roman" w:cs="Times New Roman"/>
          <w:color w:val="000000"/>
        </w:rPr>
        <w:t xml:space="preserve">s specified in the Consultation Paper. Survey questions were designed to better understand industry views of the proposed reforms, as well as develop a clear understanding of each sector and its key cross-sector interdependencies. </w:t>
      </w:r>
    </w:p>
    <w:p w14:paraId="3B184593" w14:textId="77777777" w:rsidR="00993F09" w:rsidRPr="000266F5" w:rsidRDefault="00993F09" w:rsidP="00993F09">
      <w:pPr>
        <w:pStyle w:val="ListParagraph"/>
        <w:tabs>
          <w:tab w:val="left" w:pos="426"/>
        </w:tabs>
        <w:spacing w:after="0" w:line="240" w:lineRule="auto"/>
        <w:ind w:left="227"/>
        <w:rPr>
          <w:rFonts w:ascii="Times New Roman" w:eastAsia="MS PGothic" w:hAnsi="Times New Roman" w:cs="Times New Roman"/>
          <w:color w:val="000000"/>
        </w:rPr>
      </w:pPr>
    </w:p>
    <w:p w14:paraId="2D31E1FC"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The survey focused primarily on defining:</w:t>
      </w:r>
    </w:p>
    <w:p w14:paraId="6DB74242"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b/>
          <w:color w:val="000000"/>
        </w:rPr>
        <w:t>Relevant industry sectors</w:t>
      </w:r>
      <w:r w:rsidRPr="000266F5">
        <w:rPr>
          <w:rFonts w:ascii="Times New Roman" w:eastAsia="MS PGothic" w:hAnsi="Times New Roman" w:cs="Times New Roman"/>
          <w:color w:val="000000"/>
        </w:rPr>
        <w:t xml:space="preserve">: Banking and Finance; Communications; Data and the Cloud; Defence Industry; Education and Research; Energy; Food and Grocery; Health; Space; Transport; and Water; </w:t>
      </w:r>
    </w:p>
    <w:p w14:paraId="2A75C348"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b/>
          <w:color w:val="000000"/>
        </w:rPr>
        <w:t>Critical functions</w:t>
      </w:r>
      <w:r w:rsidRPr="000266F5">
        <w:rPr>
          <w:rFonts w:ascii="Times New Roman" w:eastAsia="MS PGothic" w:hAnsi="Times New Roman" w:cs="Times New Roman"/>
          <w:color w:val="000000"/>
        </w:rPr>
        <w:t xml:space="preserve">: relevant industry sector outputs that directly contribute to Australia’s social and economic stability, defence and national security; </w:t>
      </w:r>
    </w:p>
    <w:p w14:paraId="02D16AD1"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b/>
          <w:color w:val="000000"/>
        </w:rPr>
        <w:t>Components</w:t>
      </w:r>
      <w:r w:rsidRPr="000266F5">
        <w:rPr>
          <w:rFonts w:ascii="Times New Roman" w:eastAsia="MS PGothic" w:hAnsi="Times New Roman" w:cs="Times New Roman"/>
          <w:color w:val="000000"/>
        </w:rPr>
        <w:t xml:space="preserve">: physical facilities, supply chains, information technologies or communications networks required to deliver a critical function; and </w:t>
      </w:r>
    </w:p>
    <w:p w14:paraId="36FB763E"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b/>
          <w:color w:val="000000"/>
        </w:rPr>
        <w:t>Operational requirements</w:t>
      </w:r>
      <w:r w:rsidRPr="000266F5">
        <w:rPr>
          <w:rFonts w:ascii="Times New Roman" w:eastAsia="MS PGothic" w:hAnsi="Times New Roman" w:cs="Times New Roman"/>
          <w:color w:val="000000"/>
        </w:rPr>
        <w:t>: the systems and/or services an organisation relies upon to ensure its capabilities, technologies, and performance measures effectively deliver Components or Critical Functions (e.g. fuel supply, SCADA software updates).</w:t>
      </w:r>
    </w:p>
    <w:p w14:paraId="67F409B5" w14:textId="77777777" w:rsidR="00993F09" w:rsidRPr="000266F5" w:rsidRDefault="00993F09" w:rsidP="00993F09">
      <w:pPr>
        <w:tabs>
          <w:tab w:val="left" w:pos="426"/>
        </w:tabs>
        <w:spacing w:after="0" w:line="240" w:lineRule="auto"/>
        <w:ind w:left="720"/>
        <w:rPr>
          <w:rFonts w:ascii="Times New Roman" w:eastAsia="MS PGothic" w:hAnsi="Times New Roman" w:cs="Times New Roman"/>
          <w:color w:val="000000"/>
        </w:rPr>
      </w:pPr>
    </w:p>
    <w:p w14:paraId="182545CA" w14:textId="652261E0"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Survey results have supported the Department in identifying areas of potential duplication and overlap, to avoid unnecessary or disproportionate regulatory burden within </w:t>
      </w:r>
      <w:r w:rsidRPr="00EE0D81">
        <w:rPr>
          <w:rFonts w:ascii="Times New Roman" w:hAnsi="Times New Roman"/>
          <w:i/>
          <w:color w:val="000000"/>
        </w:rPr>
        <w:t>critical infrastructure sector</w:t>
      </w:r>
      <w:r w:rsidRPr="000266F5">
        <w:rPr>
          <w:rFonts w:ascii="Times New Roman" w:eastAsia="MS PGothic" w:hAnsi="Times New Roman" w:cs="Times New Roman"/>
          <w:color w:val="000000"/>
        </w:rPr>
        <w:t>s</w:t>
      </w:r>
      <w:r>
        <w:rPr>
          <w:rFonts w:ascii="Times New Roman" w:eastAsia="MS PGothic" w:hAnsi="Times New Roman" w:cs="Times New Roman"/>
          <w:color w:val="000000"/>
        </w:rPr>
        <w:t xml:space="preserve"> offsetting potential regulatory costs that may be incurred by industry</w:t>
      </w:r>
      <w:r w:rsidRPr="000266F5">
        <w:rPr>
          <w:rFonts w:ascii="Times New Roman" w:eastAsia="MS PGothic" w:hAnsi="Times New Roman" w:cs="Times New Roman"/>
          <w:color w:val="000000"/>
        </w:rPr>
        <w:t xml:space="preserve">. Information received </w:t>
      </w:r>
      <w:r w:rsidRPr="000266F5">
        <w:rPr>
          <w:rFonts w:ascii="Times New Roman" w:eastAsia="MS PGothic" w:hAnsi="Times New Roman" w:cs="Times New Roman"/>
          <w:color w:val="000000"/>
        </w:rPr>
        <w:lastRenderedPageBreak/>
        <w:t>will continue to be used to feed into the Department</w:t>
      </w:r>
      <w:r>
        <w:rPr>
          <w:rFonts w:ascii="Times New Roman" w:eastAsia="MS PGothic" w:hAnsi="Times New Roman" w:cs="Times New Roman"/>
          <w:color w:val="000000"/>
        </w:rPr>
        <w:t>’s</w:t>
      </w:r>
      <w:r w:rsidRPr="000266F5">
        <w:rPr>
          <w:rFonts w:ascii="Times New Roman" w:eastAsia="MS PGothic" w:hAnsi="Times New Roman" w:cs="Times New Roman"/>
          <w:color w:val="000000"/>
        </w:rPr>
        <w:t xml:space="preserve"> mapping and identification of Australia’s </w:t>
      </w:r>
      <w:r w:rsidRPr="00EE0D81">
        <w:rPr>
          <w:rFonts w:ascii="Times New Roman" w:hAnsi="Times New Roman"/>
          <w:i/>
          <w:color w:val="000000"/>
        </w:rPr>
        <w:t>systems of national significance</w:t>
      </w:r>
      <w:r w:rsidRPr="000266F5">
        <w:rPr>
          <w:rFonts w:ascii="Times New Roman" w:eastAsia="MS PGothic" w:hAnsi="Times New Roman" w:cs="Times New Roman"/>
          <w:color w:val="000000"/>
        </w:rPr>
        <w:t xml:space="preserve">. </w:t>
      </w:r>
    </w:p>
    <w:p w14:paraId="68F31279" w14:textId="77777777" w:rsidR="00993F09" w:rsidRPr="000266F5" w:rsidRDefault="00993F09" w:rsidP="00993F09">
      <w:pPr>
        <w:spacing w:before="240" w:after="0" w:line="240" w:lineRule="auto"/>
        <w:rPr>
          <w:rFonts w:ascii="Times New Roman" w:eastAsia="Arial" w:hAnsi="Times New Roman" w:cs="Times New Roman"/>
          <w:b/>
          <w:bCs/>
        </w:rPr>
      </w:pPr>
      <w:r w:rsidRPr="000266F5">
        <w:rPr>
          <w:rFonts w:ascii="Times New Roman" w:eastAsia="Arial" w:hAnsi="Times New Roman" w:cs="Times New Roman"/>
          <w:b/>
          <w:bCs/>
        </w:rPr>
        <w:t>Virtual Consultation</w:t>
      </w:r>
    </w:p>
    <w:p w14:paraId="50189FB8" w14:textId="77777777" w:rsidR="00993F09" w:rsidRPr="000266F5" w:rsidRDefault="00993F09" w:rsidP="00993F09">
      <w:pPr>
        <w:tabs>
          <w:tab w:val="left" w:pos="426"/>
        </w:tabs>
        <w:spacing w:after="240" w:line="240" w:lineRule="auto"/>
        <w:rPr>
          <w:rFonts w:ascii="Times New Roman" w:eastAsia="MS PGothic" w:hAnsi="Times New Roman" w:cs="Times New Roman"/>
          <w:i/>
          <w:iCs/>
          <w:color w:val="000000"/>
        </w:rPr>
      </w:pPr>
      <w:r w:rsidRPr="000266F5">
        <w:rPr>
          <w:rFonts w:ascii="Times New Roman" w:eastAsia="MS PGothic" w:hAnsi="Times New Roman" w:cs="Times New Roman"/>
          <w:i/>
          <w:iCs/>
          <w:color w:val="000000"/>
        </w:rPr>
        <w:t>Town Halls</w:t>
      </w:r>
    </w:p>
    <w:p w14:paraId="5BB44808" w14:textId="5E4CA8D7" w:rsidR="00993F09" w:rsidRPr="000266F5" w:rsidRDefault="00993F09" w:rsidP="00993F09">
      <w:pPr>
        <w:tabs>
          <w:tab w:val="left" w:pos="426"/>
        </w:tabs>
        <w:spacing w:after="0" w:line="240" w:lineRule="auto"/>
        <w:rPr>
          <w:rFonts w:ascii="Times New Roman" w:eastAsia="MS PGothic" w:hAnsi="Times New Roman" w:cs="Times New Roman"/>
          <w:i/>
          <w:color w:val="000000"/>
        </w:rPr>
      </w:pPr>
      <w:r w:rsidRPr="000266F5">
        <w:rPr>
          <w:rFonts w:ascii="Times New Roman" w:eastAsia="MS PGothic" w:hAnsi="Times New Roman" w:cs="Times New Roman"/>
          <w:color w:val="000000"/>
        </w:rPr>
        <w:t>The second element of consultation</w:t>
      </w:r>
      <w:r w:rsidR="00336ED3">
        <w:rPr>
          <w:rFonts w:ascii="Times New Roman" w:eastAsia="MS PGothic" w:hAnsi="Times New Roman" w:cs="Times New Roman"/>
          <w:color w:val="000000"/>
        </w:rPr>
        <w:t xml:space="preserve"> in August</w:t>
      </w:r>
      <w:r w:rsidRPr="000266F5">
        <w:rPr>
          <w:rFonts w:ascii="Times New Roman" w:eastAsia="MS PGothic" w:hAnsi="Times New Roman" w:cs="Times New Roman"/>
          <w:color w:val="000000"/>
        </w:rPr>
        <w:t xml:space="preserve"> involved six virtual town halls that were open to all members of the public to comment on the Consultation Paper. Additional town halls were held with the Business Council of Australia and the Australian Banking Association and their members. More than 620 representatives from business, civil society and state and territory governments attended these town halls, as well as 5 attendees from overseas.</w:t>
      </w:r>
    </w:p>
    <w:p w14:paraId="2E3C5437" w14:textId="77777777" w:rsidR="00993F09" w:rsidRPr="000266F5" w:rsidRDefault="00993F09" w:rsidP="00993F09">
      <w:pPr>
        <w:tabs>
          <w:tab w:val="left" w:pos="426"/>
        </w:tabs>
        <w:spacing w:after="0" w:line="240" w:lineRule="auto"/>
        <w:rPr>
          <w:rFonts w:ascii="Times New Roman" w:eastAsia="MS PGothic" w:hAnsi="Times New Roman" w:cs="Times New Roman"/>
          <w:i/>
          <w:color w:val="000000"/>
        </w:rPr>
      </w:pPr>
    </w:p>
    <w:p w14:paraId="5B779EBE" w14:textId="176731DF"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Another </w:t>
      </w:r>
      <w:r w:rsidR="00336ED3">
        <w:rPr>
          <w:rFonts w:ascii="Times New Roman" w:eastAsia="MS PGothic" w:hAnsi="Times New Roman" w:cs="Times New Roman"/>
          <w:color w:val="000000"/>
        </w:rPr>
        <w:t>four</w:t>
      </w:r>
      <w:r w:rsidR="00336ED3" w:rsidRPr="000266F5">
        <w:rPr>
          <w:rFonts w:ascii="Times New Roman" w:eastAsia="MS PGothic" w:hAnsi="Times New Roman" w:cs="Times New Roman"/>
          <w:color w:val="000000"/>
        </w:rPr>
        <w:t xml:space="preserve"> </w:t>
      </w:r>
      <w:r w:rsidRPr="000266F5">
        <w:rPr>
          <w:rFonts w:ascii="Times New Roman" w:eastAsia="MS PGothic" w:hAnsi="Times New Roman" w:cs="Times New Roman"/>
          <w:color w:val="000000"/>
        </w:rPr>
        <w:t xml:space="preserve">town halls </w:t>
      </w:r>
      <w:r w:rsidR="00B858A3">
        <w:rPr>
          <w:rFonts w:ascii="Times New Roman" w:eastAsia="MS PGothic" w:hAnsi="Times New Roman" w:cs="Times New Roman"/>
          <w:color w:val="000000"/>
        </w:rPr>
        <w:t xml:space="preserve">for the Exposure Draft Bill </w:t>
      </w:r>
      <w:r w:rsidRPr="000266F5">
        <w:rPr>
          <w:rFonts w:ascii="Times New Roman" w:eastAsia="MS PGothic" w:hAnsi="Times New Roman" w:cs="Times New Roman"/>
          <w:color w:val="000000"/>
        </w:rPr>
        <w:t xml:space="preserve">were held in November 2020 and were open to all member of the public to comment on the Exposure Document and draft Legislation. Approximately 500 people registered for the town halls. </w:t>
      </w:r>
      <w:r w:rsidR="00336ED3" w:rsidRPr="00336ED3">
        <w:rPr>
          <w:rFonts w:ascii="Times New Roman" w:eastAsia="MS PGothic" w:hAnsi="Times New Roman" w:cs="Times New Roman"/>
          <w:color w:val="000000"/>
        </w:rPr>
        <w:t>An additional town hall was held with members of BSA (The Software Alliance)</w:t>
      </w:r>
      <w:r w:rsidR="00336ED3">
        <w:rPr>
          <w:rFonts w:ascii="Times New Roman" w:eastAsia="MS PGothic" w:hAnsi="Times New Roman" w:cs="Times New Roman"/>
          <w:color w:val="000000"/>
        </w:rPr>
        <w:t xml:space="preserve"> with over 100 attendees. </w:t>
      </w:r>
    </w:p>
    <w:p w14:paraId="1711B3EC" w14:textId="77777777" w:rsidR="00993F09" w:rsidRPr="000266F5" w:rsidRDefault="00993F09" w:rsidP="00993F09">
      <w:pPr>
        <w:tabs>
          <w:tab w:val="left" w:pos="426"/>
        </w:tabs>
        <w:spacing w:after="0" w:line="240" w:lineRule="auto"/>
        <w:rPr>
          <w:rFonts w:ascii="Times New Roman" w:eastAsia="MS PGothic" w:hAnsi="Times New Roman" w:cs="Times New Roman"/>
          <w:i/>
          <w:color w:val="000000"/>
        </w:rPr>
      </w:pPr>
    </w:p>
    <w:p w14:paraId="1D30107F" w14:textId="77777777" w:rsidR="00993F09" w:rsidRPr="00EE0D81" w:rsidRDefault="00993F09" w:rsidP="00993F09">
      <w:pPr>
        <w:tabs>
          <w:tab w:val="left" w:pos="426"/>
        </w:tabs>
        <w:spacing w:after="0" w:line="240" w:lineRule="auto"/>
        <w:rPr>
          <w:rFonts w:ascii="Times New Roman" w:hAnsi="Times New Roman"/>
          <w:i/>
          <w:color w:val="000000"/>
        </w:rPr>
      </w:pPr>
      <w:r w:rsidRPr="000266F5">
        <w:rPr>
          <w:rFonts w:ascii="Times New Roman" w:eastAsia="MS PGothic" w:hAnsi="Times New Roman" w:cs="Times New Roman"/>
          <w:i/>
          <w:iCs/>
          <w:color w:val="000000"/>
        </w:rPr>
        <w:t>Sector-specific workshops</w:t>
      </w:r>
    </w:p>
    <w:p w14:paraId="57F58E9C"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p>
    <w:p w14:paraId="026CD28A" w14:textId="6CF1021D" w:rsidR="00993F09" w:rsidRPr="000266F5" w:rsidRDefault="00336ED3" w:rsidP="00993F09">
      <w:pPr>
        <w:tabs>
          <w:tab w:val="left" w:pos="426"/>
        </w:tabs>
        <w:spacing w:after="0" w:line="240" w:lineRule="auto"/>
        <w:rPr>
          <w:rFonts w:ascii="Times New Roman" w:eastAsia="MS PGothic" w:hAnsi="Times New Roman" w:cs="Times New Roman"/>
          <w:color w:val="000000"/>
        </w:rPr>
      </w:pPr>
      <w:r>
        <w:rPr>
          <w:rFonts w:ascii="Times New Roman" w:eastAsia="Arial" w:hAnsi="Times New Roman" w:cs="Times New Roman"/>
        </w:rPr>
        <w:t>Engagement on the Consultation Paper</w:t>
      </w:r>
      <w:r w:rsidR="00993F09" w:rsidRPr="000266F5">
        <w:rPr>
          <w:rFonts w:ascii="Times New Roman" w:eastAsia="Arial" w:hAnsi="Times New Roman" w:cs="Times New Roman"/>
        </w:rPr>
        <w:t xml:space="preserve"> involved 990 participants in 22 sector-specific workshops across 11 sectors (two </w:t>
      </w:r>
      <w:r w:rsidR="00993F09" w:rsidRPr="000266F5">
        <w:rPr>
          <w:rFonts w:ascii="Times New Roman" w:eastAsia="MS PGothic" w:hAnsi="Times New Roman" w:cs="Times New Roman"/>
          <w:color w:val="000000"/>
        </w:rPr>
        <w:t>workshops</w:t>
      </w:r>
      <w:r w:rsidR="00993F09" w:rsidRPr="000266F5">
        <w:rPr>
          <w:rFonts w:ascii="Times New Roman" w:eastAsia="Arial" w:hAnsi="Times New Roman" w:cs="Times New Roman"/>
        </w:rPr>
        <w:t xml:space="preserve"> per sector). During these two-hour (on average) workshops, participants were encouraged to offer opinions and advice relating to the proposed reforms, and its application to their </w:t>
      </w:r>
      <w:r w:rsidR="00993F09" w:rsidRPr="000266F5">
        <w:rPr>
          <w:rFonts w:ascii="Times New Roman" w:eastAsia="MS PGothic" w:hAnsi="Times New Roman" w:cs="Times New Roman"/>
          <w:color w:val="000000"/>
        </w:rPr>
        <w:t>sector</w:t>
      </w:r>
      <w:r w:rsidR="00993F09" w:rsidRPr="000266F5">
        <w:rPr>
          <w:rFonts w:ascii="Times New Roman" w:eastAsia="Arial" w:hAnsi="Times New Roman" w:cs="Times New Roman"/>
        </w:rPr>
        <w:t xml:space="preserve">. </w:t>
      </w:r>
    </w:p>
    <w:p w14:paraId="23D59FC6" w14:textId="77777777" w:rsidR="00993F09" w:rsidRPr="000266F5" w:rsidRDefault="00993F09" w:rsidP="00993F09">
      <w:pPr>
        <w:pStyle w:val="ListParagraph"/>
        <w:tabs>
          <w:tab w:val="left" w:pos="426"/>
        </w:tabs>
        <w:spacing w:after="0" w:line="240" w:lineRule="auto"/>
        <w:ind w:left="227"/>
        <w:rPr>
          <w:rFonts w:ascii="Times New Roman" w:eastAsia="MS PGothic" w:hAnsi="Times New Roman" w:cs="Times New Roman"/>
          <w:color w:val="000000"/>
        </w:rPr>
      </w:pPr>
    </w:p>
    <w:p w14:paraId="555F25C7" w14:textId="0AF5AF0C"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Arial" w:hAnsi="Times New Roman" w:cs="Times New Roman"/>
        </w:rPr>
        <w:t xml:space="preserve">During the workshops, the Department worked through each sector to determine which assets </w:t>
      </w:r>
      <w:r w:rsidRPr="000266F5">
        <w:rPr>
          <w:rFonts w:ascii="Times New Roman" w:eastAsia="MS PGothic" w:hAnsi="Times New Roman" w:cs="Times New Roman"/>
          <w:color w:val="000000"/>
        </w:rPr>
        <w:t>should</w:t>
      </w:r>
      <w:r w:rsidRPr="000266F5">
        <w:rPr>
          <w:rFonts w:ascii="Times New Roman" w:eastAsia="Arial" w:hAnsi="Times New Roman" w:cs="Times New Roman"/>
        </w:rPr>
        <w:t xml:space="preserve"> fall within the purview of the legislative reforms. </w:t>
      </w:r>
      <w:r w:rsidRPr="000266F5">
        <w:rPr>
          <w:rFonts w:ascii="Times New Roman" w:eastAsia="MS PGothic" w:hAnsi="Times New Roman" w:cs="Times New Roman"/>
          <w:color w:val="000000"/>
        </w:rPr>
        <w:t xml:space="preserve">The Department </w:t>
      </w:r>
      <w:r w:rsidRPr="000266F5">
        <w:rPr>
          <w:rFonts w:ascii="Times New Roman" w:eastAsia="Arial" w:hAnsi="Times New Roman" w:cs="Times New Roman"/>
        </w:rPr>
        <w:t xml:space="preserve">also sought industry’s views during the workshops on existing regulatory frameworks and the costs associated with compliance. </w:t>
      </w:r>
    </w:p>
    <w:p w14:paraId="3E3932A3" w14:textId="77777777" w:rsidR="00993F09" w:rsidRPr="000266F5" w:rsidRDefault="00993F09" w:rsidP="00993F09">
      <w:pPr>
        <w:tabs>
          <w:tab w:val="num" w:pos="340"/>
          <w:tab w:val="left" w:pos="426"/>
        </w:tabs>
        <w:spacing w:before="240" w:after="240" w:line="240" w:lineRule="auto"/>
        <w:rPr>
          <w:rFonts w:ascii="Times New Roman" w:eastAsia="MS PGothic" w:hAnsi="Times New Roman" w:cs="Times New Roman"/>
          <w:color w:val="000000"/>
        </w:rPr>
      </w:pPr>
      <w:r w:rsidRPr="000266F5">
        <w:rPr>
          <w:rFonts w:ascii="Times New Roman" w:eastAsia="MS PGothic" w:hAnsi="Times New Roman" w:cs="Times New Roman"/>
          <w:i/>
          <w:iCs/>
          <w:color w:val="000000"/>
        </w:rPr>
        <w:t>Other engagements</w:t>
      </w:r>
    </w:p>
    <w:p w14:paraId="33586DE8" w14:textId="74EB0506" w:rsidR="00993F09" w:rsidRDefault="00336ED3" w:rsidP="00993F09">
      <w:pPr>
        <w:tabs>
          <w:tab w:val="left" w:pos="426"/>
        </w:tabs>
        <w:spacing w:after="0" w:line="240" w:lineRule="auto"/>
        <w:rPr>
          <w:rFonts w:ascii="Times New Roman" w:eastAsia="Arial" w:hAnsi="Times New Roman" w:cs="Times New Roman"/>
        </w:rPr>
      </w:pPr>
      <w:r>
        <w:rPr>
          <w:rFonts w:ascii="Times New Roman" w:eastAsia="Arial" w:hAnsi="Times New Roman" w:cs="Times New Roman"/>
        </w:rPr>
        <w:t>For the Consultation Paper engagement, t</w:t>
      </w:r>
      <w:r w:rsidR="00993F09" w:rsidRPr="000266F5">
        <w:rPr>
          <w:rFonts w:ascii="Times New Roman" w:eastAsia="Arial" w:hAnsi="Times New Roman" w:cs="Times New Roman"/>
        </w:rPr>
        <w:t>he workshops were complemented by over 30 bilateral discussions (over 400 individuals) with industry (including peak bodies) and state and territory governments to consider specific issues impacting entities and provide further input on the design of the framework.</w:t>
      </w:r>
    </w:p>
    <w:p w14:paraId="56C81FE0" w14:textId="76D5520F" w:rsidR="00336ED3" w:rsidRDefault="00336ED3" w:rsidP="00993F09">
      <w:pPr>
        <w:tabs>
          <w:tab w:val="left" w:pos="426"/>
        </w:tabs>
        <w:spacing w:after="0" w:line="240" w:lineRule="auto"/>
        <w:rPr>
          <w:rFonts w:ascii="Times New Roman" w:eastAsia="Arial" w:hAnsi="Times New Roman" w:cs="Times New Roman"/>
        </w:rPr>
      </w:pPr>
    </w:p>
    <w:p w14:paraId="20973BBE" w14:textId="16B9ACF4" w:rsidR="00336ED3" w:rsidRPr="00336ED3" w:rsidRDefault="00336ED3" w:rsidP="00336ED3">
      <w:pPr>
        <w:tabs>
          <w:tab w:val="left" w:pos="426"/>
        </w:tabs>
        <w:spacing w:after="0" w:line="240" w:lineRule="auto"/>
        <w:rPr>
          <w:rFonts w:ascii="Times New Roman" w:eastAsia="MS PGothic" w:hAnsi="Times New Roman" w:cs="Times New Roman"/>
          <w:color w:val="000000"/>
        </w:rPr>
      </w:pPr>
      <w:r>
        <w:rPr>
          <w:rFonts w:ascii="Times New Roman" w:eastAsia="MS PGothic" w:hAnsi="Times New Roman" w:cs="Times New Roman"/>
          <w:color w:val="000000"/>
        </w:rPr>
        <w:t>For consultation on the Exposure Draft Bill, v</w:t>
      </w:r>
      <w:r w:rsidRPr="00336ED3">
        <w:rPr>
          <w:rFonts w:ascii="Times New Roman" w:eastAsia="MS PGothic" w:hAnsi="Times New Roman" w:cs="Times New Roman"/>
          <w:color w:val="000000"/>
        </w:rPr>
        <w:t xml:space="preserve">irtual town halls were complemented by bilateral discussions </w:t>
      </w:r>
      <w:r w:rsidRPr="000266F5">
        <w:rPr>
          <w:rFonts w:ascii="Times New Roman" w:eastAsia="Arial" w:hAnsi="Times New Roman" w:cs="Times New Roman"/>
        </w:rPr>
        <w:t xml:space="preserve">(over 400 individuals) </w:t>
      </w:r>
      <w:r w:rsidRPr="00336ED3">
        <w:rPr>
          <w:rFonts w:ascii="Times New Roman" w:eastAsia="MS PGothic" w:hAnsi="Times New Roman" w:cs="Times New Roman"/>
          <w:color w:val="000000"/>
        </w:rPr>
        <w:t>with industry (including peak bodies) and state and territory governments to consider sector-specific issues and seek further input on the design of the framework.</w:t>
      </w:r>
    </w:p>
    <w:p w14:paraId="64DBADEE" w14:textId="77777777" w:rsidR="00336ED3" w:rsidRPr="00336ED3" w:rsidRDefault="00336ED3" w:rsidP="00336ED3">
      <w:pPr>
        <w:tabs>
          <w:tab w:val="left" w:pos="426"/>
        </w:tabs>
        <w:spacing w:after="0" w:line="240" w:lineRule="auto"/>
        <w:rPr>
          <w:rFonts w:ascii="Times New Roman" w:eastAsia="MS PGothic" w:hAnsi="Times New Roman" w:cs="Times New Roman"/>
          <w:color w:val="000000"/>
        </w:rPr>
      </w:pPr>
    </w:p>
    <w:p w14:paraId="70B9F69E" w14:textId="5AAC6F5B" w:rsidR="00336ED3" w:rsidRPr="000266F5" w:rsidRDefault="00336ED3" w:rsidP="00336ED3">
      <w:pPr>
        <w:tabs>
          <w:tab w:val="left" w:pos="426"/>
        </w:tabs>
        <w:spacing w:after="0" w:line="240" w:lineRule="auto"/>
        <w:rPr>
          <w:rFonts w:ascii="Times New Roman" w:eastAsia="MS PGothic" w:hAnsi="Times New Roman" w:cs="Times New Roman"/>
          <w:color w:val="000000"/>
        </w:rPr>
      </w:pPr>
      <w:r w:rsidRPr="00336ED3">
        <w:rPr>
          <w:rFonts w:ascii="Times New Roman" w:eastAsia="MS PGothic" w:hAnsi="Times New Roman" w:cs="Times New Roman"/>
          <w:color w:val="000000"/>
        </w:rPr>
        <w:t>These included meetings with, among others, the Business Council of Australia, Council of Financial Regulations, Australian Banking Association, Critical Infrastructure Advisory Committee, Amazon Web Services and Council of Financial Regulators Cyber Working Group.</w:t>
      </w:r>
    </w:p>
    <w:p w14:paraId="627D3D30" w14:textId="77777777" w:rsidR="00993F09" w:rsidRPr="000266F5" w:rsidRDefault="00993F09" w:rsidP="00993F09">
      <w:pPr>
        <w:tabs>
          <w:tab w:val="num" w:pos="340"/>
          <w:tab w:val="left" w:pos="426"/>
        </w:tabs>
        <w:spacing w:before="240" w:after="240" w:line="240" w:lineRule="auto"/>
        <w:rPr>
          <w:rFonts w:ascii="Times New Roman" w:eastAsia="MS PGothic" w:hAnsi="Times New Roman" w:cs="Times New Roman"/>
          <w:color w:val="000000"/>
        </w:rPr>
      </w:pPr>
      <w:r w:rsidRPr="000266F5">
        <w:rPr>
          <w:rFonts w:ascii="Times New Roman" w:eastAsia="MS PGothic" w:hAnsi="Times New Roman" w:cs="Times New Roman"/>
          <w:i/>
          <w:iCs/>
          <w:color w:val="000000"/>
        </w:rPr>
        <w:t>Cyber Security Strategy 2020 engagements</w:t>
      </w:r>
    </w:p>
    <w:p w14:paraId="79A14774" w14:textId="1814EE78"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Times New Roman" w:hAnsi="Times New Roman" w:cs="Times New Roman"/>
          <w:lang w:eastAsia="en-AU"/>
        </w:rPr>
        <w:t xml:space="preserve">Over 1,200 individuals have been engaged through </w:t>
      </w:r>
      <w:r w:rsidRPr="000266F5">
        <w:rPr>
          <w:rFonts w:ascii="Times New Roman" w:eastAsia="MS PGothic" w:hAnsi="Times New Roman" w:cs="Times New Roman"/>
          <w:color w:val="000000"/>
        </w:rPr>
        <w:t>the Department</w:t>
      </w:r>
      <w:r w:rsidRPr="000266F5">
        <w:rPr>
          <w:rFonts w:ascii="Times New Roman" w:eastAsia="Times New Roman" w:hAnsi="Times New Roman" w:cs="Times New Roman"/>
          <w:lang w:eastAsia="en-AU"/>
        </w:rPr>
        <w:t>’</w:t>
      </w:r>
      <w:r>
        <w:rPr>
          <w:rFonts w:ascii="Times New Roman" w:eastAsia="Times New Roman" w:hAnsi="Times New Roman" w:cs="Times New Roman"/>
          <w:lang w:eastAsia="en-AU"/>
        </w:rPr>
        <w:t>s</w:t>
      </w:r>
      <w:r w:rsidRPr="000266F5">
        <w:rPr>
          <w:rFonts w:ascii="Times New Roman" w:eastAsia="Times New Roman" w:hAnsi="Times New Roman" w:cs="Times New Roman"/>
          <w:lang w:eastAsia="en-AU"/>
        </w:rPr>
        <w:t xml:space="preserve"> public </w:t>
      </w:r>
      <w:r w:rsidRPr="000266F5">
        <w:rPr>
          <w:rFonts w:ascii="Times New Roman" w:eastAsia="MS PGothic" w:hAnsi="Times New Roman" w:cs="Times New Roman"/>
          <w:color w:val="000000"/>
        </w:rPr>
        <w:t>engagement</w:t>
      </w:r>
      <w:r w:rsidRPr="000266F5">
        <w:rPr>
          <w:rFonts w:ascii="Times New Roman" w:eastAsia="Times New Roman" w:hAnsi="Times New Roman" w:cs="Times New Roman"/>
          <w:lang w:eastAsia="en-AU"/>
        </w:rPr>
        <w:t xml:space="preserve"> efforts to message key elements of the Cyber Security Strategy 2020. This has prominently featured the Protecting </w:t>
      </w:r>
      <w:r w:rsidRPr="000266F5">
        <w:rPr>
          <w:rFonts w:ascii="Times New Roman" w:eastAsia="Arial" w:hAnsi="Times New Roman" w:cs="Times New Roman"/>
        </w:rPr>
        <w:t>Critical</w:t>
      </w:r>
      <w:r w:rsidRPr="000266F5">
        <w:rPr>
          <w:rFonts w:ascii="Times New Roman" w:eastAsia="Times New Roman" w:hAnsi="Times New Roman" w:cs="Times New Roman"/>
          <w:lang w:eastAsia="en-AU"/>
        </w:rPr>
        <w:t xml:space="preserve"> Infrastructure and </w:t>
      </w:r>
      <w:r w:rsidRPr="00EE0D81">
        <w:rPr>
          <w:rFonts w:ascii="Times New Roman" w:hAnsi="Times New Roman"/>
          <w:i/>
        </w:rPr>
        <w:t xml:space="preserve">Systems of </w:t>
      </w:r>
      <w:r w:rsidRPr="00B1725B">
        <w:rPr>
          <w:rFonts w:ascii="Times New Roman" w:eastAsia="Times New Roman" w:hAnsi="Times New Roman" w:cs="Times New Roman"/>
          <w:i/>
          <w:lang w:eastAsia="en-AU"/>
        </w:rPr>
        <w:t>national significance</w:t>
      </w:r>
      <w:r w:rsidRPr="000266F5">
        <w:rPr>
          <w:rFonts w:ascii="Times New Roman" w:eastAsia="Times New Roman" w:hAnsi="Times New Roman" w:cs="Times New Roman"/>
          <w:lang w:eastAsia="en-AU"/>
        </w:rPr>
        <w:t xml:space="preserve"> package.</w:t>
      </w:r>
    </w:p>
    <w:p w14:paraId="3B3F385C" w14:textId="77777777" w:rsidR="00993F09" w:rsidRPr="000266F5" w:rsidRDefault="00993F09" w:rsidP="00993F09">
      <w:pPr>
        <w:tabs>
          <w:tab w:val="num" w:pos="340"/>
          <w:tab w:val="left" w:pos="426"/>
        </w:tabs>
        <w:spacing w:before="240" w:after="240" w:line="240" w:lineRule="auto"/>
        <w:rPr>
          <w:rFonts w:ascii="Times New Roman" w:eastAsia="MS PGothic" w:hAnsi="Times New Roman" w:cs="Times New Roman"/>
          <w:color w:val="000000"/>
        </w:rPr>
      </w:pPr>
      <w:r w:rsidRPr="000266F5">
        <w:rPr>
          <w:rFonts w:ascii="Times New Roman" w:eastAsia="MS PGothic" w:hAnsi="Times New Roman" w:cs="Times New Roman"/>
          <w:i/>
          <w:iCs/>
          <w:color w:val="000000"/>
        </w:rPr>
        <w:t>Direct engagement with states and territories</w:t>
      </w:r>
    </w:p>
    <w:p w14:paraId="0361E7C9" w14:textId="713FD61D"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The Department </w:t>
      </w:r>
      <w:r w:rsidRPr="000266F5">
        <w:rPr>
          <w:rFonts w:ascii="Times New Roman" w:eastAsia="Arial" w:hAnsi="Times New Roman" w:cs="Times New Roman"/>
        </w:rPr>
        <w:t xml:space="preserve">has taken an active approach to engaging with state and territory governments on these reforms. Prior to the 12 August launch, </w:t>
      </w:r>
      <w:r w:rsidRPr="000266F5">
        <w:rPr>
          <w:rFonts w:ascii="Times New Roman" w:eastAsia="MS PGothic" w:hAnsi="Times New Roman" w:cs="Times New Roman"/>
          <w:color w:val="000000"/>
        </w:rPr>
        <w:t xml:space="preserve">the Department </w:t>
      </w:r>
      <w:r w:rsidRPr="000266F5">
        <w:rPr>
          <w:rFonts w:ascii="Times New Roman" w:eastAsia="Arial" w:hAnsi="Times New Roman" w:cs="Times New Roman"/>
        </w:rPr>
        <w:t xml:space="preserve">arranged a round table with senior level officers from all state and territory First Ministers Offices through the National Coordination </w:t>
      </w:r>
      <w:r w:rsidRPr="000266F5">
        <w:rPr>
          <w:rFonts w:ascii="Times New Roman" w:eastAsia="Arial" w:hAnsi="Times New Roman" w:cs="Times New Roman"/>
        </w:rPr>
        <w:lastRenderedPageBreak/>
        <w:t xml:space="preserve">Mechanism, outlining the objectives of the proposed reforms and intention to not duplicate or replace existing arrangements in those jurisdictions. States and territories expressed in-principle support for the reforms during this meeting. </w:t>
      </w:r>
    </w:p>
    <w:p w14:paraId="5E05ACA3" w14:textId="77777777" w:rsidR="00993F09" w:rsidRPr="000266F5" w:rsidRDefault="00993F09" w:rsidP="00993F09">
      <w:pPr>
        <w:pStyle w:val="ListParagraph"/>
        <w:tabs>
          <w:tab w:val="left" w:pos="426"/>
        </w:tabs>
        <w:spacing w:after="0" w:line="240" w:lineRule="auto"/>
        <w:ind w:left="227"/>
        <w:rPr>
          <w:rFonts w:ascii="Times New Roman" w:eastAsia="MS PGothic" w:hAnsi="Times New Roman" w:cs="Times New Roman"/>
          <w:color w:val="000000"/>
        </w:rPr>
      </w:pPr>
    </w:p>
    <w:p w14:paraId="1ABCBFE9"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Arial" w:hAnsi="Times New Roman" w:cs="Times New Roman"/>
        </w:rPr>
        <w:t xml:space="preserve">These points were reiterated in a letter sent by the Minister for Home Affairs to all First Ministers immediately prior to the launch, which emphasised the need for officials to work in partnership to identify Australia’s most critical entities and design the detail that sits underneath the features of the new framework, to ensure, wherever possible, that the reforms complement and leverage existing security regulations and initiatives within jurisdictions. </w:t>
      </w:r>
    </w:p>
    <w:p w14:paraId="561B0730"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p>
    <w:p w14:paraId="65EFA975" w14:textId="31D512DB" w:rsidR="00993F09"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Following the launch of the reforms, the Department convened a further meeting with state and territory First Ministers’ departments and relevant state and territory agencies. This meeting provided further opportunity for state and territory governments to learn more about the reforms and discuss opportunities to align and integrate with existing regulatory arrangements. These round table discussions have been complemented by a number of bilateral discussions with state and territory agencies on specific aspects of the reforms and the active involvement of states and territories in the sector specific workshops and town halls.</w:t>
      </w:r>
    </w:p>
    <w:p w14:paraId="56412583" w14:textId="1576D51D" w:rsidR="00336ED3" w:rsidRPr="000266F5" w:rsidRDefault="00336ED3" w:rsidP="00993F09">
      <w:pPr>
        <w:tabs>
          <w:tab w:val="left" w:pos="426"/>
        </w:tabs>
        <w:spacing w:after="0" w:line="240" w:lineRule="auto"/>
        <w:rPr>
          <w:rFonts w:ascii="Times New Roman" w:eastAsia="Arial" w:hAnsi="Times New Roman" w:cs="Times New Roman"/>
        </w:rPr>
      </w:pPr>
      <w:r>
        <w:rPr>
          <w:rFonts w:ascii="Times New Roman" w:eastAsia="Arial" w:hAnsi="Times New Roman" w:cs="Times New Roman"/>
        </w:rPr>
        <w:t xml:space="preserve">During consultation on the Draft Bill, </w:t>
      </w:r>
      <w:r w:rsidRPr="00336ED3">
        <w:rPr>
          <w:rFonts w:ascii="Times New Roman" w:eastAsia="Arial" w:hAnsi="Times New Roman" w:cs="Times New Roman"/>
        </w:rPr>
        <w:t>Home Affairs met regularly with state and territory First Ministers’ departments, briefed the National Cyber Security Committee and engaged on a bilateral basis with interested state and territory agencies. Home Affairs will continue to engage with states and territories, to ensure the views of jurisdictions are considered throughout the reforms’ sectoral co-design and implementation phases.</w:t>
      </w:r>
    </w:p>
    <w:p w14:paraId="3644D25C"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p>
    <w:p w14:paraId="0946D9A2" w14:textId="661D3692" w:rsidR="00993F09" w:rsidRPr="000266F5" w:rsidRDefault="00993F09" w:rsidP="00B369B5">
      <w:pPr>
        <w:pStyle w:val="ListParagraph"/>
        <w:numPr>
          <w:ilvl w:val="1"/>
          <w:numId w:val="12"/>
        </w:numPr>
        <w:spacing w:after="200" w:line="240" w:lineRule="auto"/>
        <w:rPr>
          <w:rFonts w:ascii="Times New Roman" w:eastAsia="Arial" w:hAnsi="Times New Roman" w:cs="Times New Roman"/>
          <w:b/>
          <w:bCs/>
        </w:rPr>
      </w:pPr>
      <w:r w:rsidRPr="000266F5">
        <w:rPr>
          <w:rFonts w:ascii="Times New Roman" w:eastAsia="Arial" w:hAnsi="Times New Roman" w:cs="Times New Roman"/>
          <w:b/>
          <w:bCs/>
        </w:rPr>
        <w:t>What the Department heard and how has Government responded?</w:t>
      </w:r>
    </w:p>
    <w:p w14:paraId="7E17D6E4" w14:textId="77777777" w:rsidR="00993F09" w:rsidRPr="000266F5" w:rsidRDefault="00993F09" w:rsidP="00993F09">
      <w:pPr>
        <w:tabs>
          <w:tab w:val="left" w:pos="426"/>
        </w:tabs>
        <w:spacing w:before="240" w:after="240" w:line="240" w:lineRule="auto"/>
        <w:rPr>
          <w:rFonts w:ascii="Times New Roman" w:eastAsia="MS PGothic" w:hAnsi="Times New Roman" w:cs="Times New Roman"/>
          <w:i/>
          <w:iCs/>
          <w:color w:val="000000"/>
        </w:rPr>
      </w:pPr>
      <w:r w:rsidRPr="000266F5">
        <w:rPr>
          <w:rFonts w:ascii="Times New Roman" w:eastAsia="MS PGothic" w:hAnsi="Times New Roman" w:cs="Times New Roman"/>
          <w:i/>
          <w:iCs/>
          <w:color w:val="000000"/>
        </w:rPr>
        <w:t>Key findings</w:t>
      </w:r>
    </w:p>
    <w:p w14:paraId="739BEE1F" w14:textId="48C26F2C" w:rsidR="00993F09" w:rsidRPr="000266F5" w:rsidRDefault="00993F09" w:rsidP="00993F09">
      <w:pPr>
        <w:tabs>
          <w:tab w:val="left" w:pos="426"/>
        </w:tabs>
        <w:spacing w:after="0" w:line="240" w:lineRule="auto"/>
        <w:rPr>
          <w:rFonts w:ascii="Times New Roman" w:eastAsia="MS PGothic" w:hAnsi="Times New Roman" w:cs="Times New Roman"/>
          <w:i/>
          <w:iCs/>
          <w:color w:val="000000"/>
        </w:rPr>
      </w:pPr>
      <w:r w:rsidRPr="000266F5">
        <w:rPr>
          <w:rFonts w:ascii="Times New Roman" w:eastAsia="Arial" w:hAnsi="Times New Roman" w:cs="Times New Roman"/>
        </w:rPr>
        <w:t>Virtual consultations and submissions in response to the Consultation Paper</w:t>
      </w:r>
      <w:r w:rsidR="00336ED3">
        <w:rPr>
          <w:rFonts w:ascii="Times New Roman" w:eastAsia="Arial" w:hAnsi="Times New Roman" w:cs="Times New Roman"/>
        </w:rPr>
        <w:t xml:space="preserve"> and the Exposure Draft of the Bill</w:t>
      </w:r>
      <w:r w:rsidRPr="000266F5">
        <w:rPr>
          <w:rFonts w:ascii="Times New Roman" w:eastAsia="Arial" w:hAnsi="Times New Roman" w:cs="Times New Roman"/>
        </w:rPr>
        <w:t xml:space="preserve"> revealed broad in-principle support for the introduction of the reforms, with certain sectors strongly supporting their inclusion within the proposed coverage of the framework, given their level of criticality and currently limited regulatory environment.</w:t>
      </w:r>
    </w:p>
    <w:p w14:paraId="400B20DC" w14:textId="77777777" w:rsidR="00993F09" w:rsidRPr="000266F5" w:rsidRDefault="00993F09" w:rsidP="00993F09">
      <w:pPr>
        <w:pStyle w:val="ListParagraph"/>
        <w:tabs>
          <w:tab w:val="left" w:pos="426"/>
        </w:tabs>
        <w:spacing w:after="0" w:line="240" w:lineRule="auto"/>
        <w:ind w:left="227"/>
        <w:rPr>
          <w:rFonts w:ascii="Times New Roman" w:eastAsia="MS PGothic" w:hAnsi="Times New Roman" w:cs="Times New Roman"/>
          <w:i/>
          <w:iCs/>
          <w:color w:val="000000"/>
        </w:rPr>
      </w:pPr>
    </w:p>
    <w:p w14:paraId="05F86CAB" w14:textId="77777777" w:rsidR="00993F09" w:rsidRPr="000266F5" w:rsidRDefault="00993F09" w:rsidP="00993F09">
      <w:pPr>
        <w:tabs>
          <w:tab w:val="left" w:pos="426"/>
        </w:tabs>
        <w:spacing w:after="0" w:line="240" w:lineRule="auto"/>
        <w:rPr>
          <w:rFonts w:ascii="Times New Roman" w:eastAsia="MS PGothic" w:hAnsi="Times New Roman" w:cs="Times New Roman"/>
          <w:i/>
          <w:iCs/>
          <w:color w:val="000000"/>
        </w:rPr>
      </w:pPr>
      <w:r w:rsidRPr="000266F5">
        <w:rPr>
          <w:rFonts w:ascii="Times New Roman" w:eastAsia="Arial" w:hAnsi="Times New Roman" w:cs="Times New Roman"/>
        </w:rPr>
        <w:t>Industry concerns primarily centred on the sectoral implementation of the reforms. These included:</w:t>
      </w:r>
    </w:p>
    <w:p w14:paraId="266DA04F" w14:textId="697AB37D" w:rsidR="00993F09"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The need for true co-design of sector-specific requirements and recognition that voluntary partnerships remain the first preference for resolving incidents. </w:t>
      </w:r>
    </w:p>
    <w:p w14:paraId="2344A877" w14:textId="6F3674F6" w:rsidR="00336ED3" w:rsidRPr="000266F5" w:rsidRDefault="00336ED3" w:rsidP="00993F09">
      <w:pPr>
        <w:numPr>
          <w:ilvl w:val="0"/>
          <w:numId w:val="4"/>
        </w:numPr>
        <w:tabs>
          <w:tab w:val="left" w:pos="426"/>
        </w:tabs>
        <w:spacing w:after="0" w:line="240" w:lineRule="auto"/>
        <w:rPr>
          <w:rFonts w:ascii="Times New Roman" w:eastAsia="MS PGothic" w:hAnsi="Times New Roman" w:cs="Times New Roman"/>
          <w:color w:val="000000"/>
        </w:rPr>
      </w:pPr>
      <w:r>
        <w:rPr>
          <w:rFonts w:ascii="Times New Roman" w:eastAsia="MS PGothic" w:hAnsi="Times New Roman" w:cs="Times New Roman"/>
          <w:color w:val="000000"/>
        </w:rPr>
        <w:t xml:space="preserve">Reduce regulatory duplication by using existing frameworks where appropriate. </w:t>
      </w:r>
    </w:p>
    <w:p w14:paraId="56ABB56A" w14:textId="7325DDCD"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Lack of clarity around the definition of critical infrastructure </w:t>
      </w:r>
      <w:r w:rsidR="00542DF2">
        <w:rPr>
          <w:rFonts w:ascii="Times New Roman" w:eastAsia="MS PGothic" w:hAnsi="Times New Roman" w:cs="Times New Roman"/>
          <w:color w:val="000000"/>
        </w:rPr>
        <w:t xml:space="preserve">sectors and assets </w:t>
      </w:r>
      <w:r w:rsidRPr="000266F5">
        <w:rPr>
          <w:rFonts w:ascii="Times New Roman" w:eastAsia="MS PGothic" w:hAnsi="Times New Roman" w:cs="Times New Roman"/>
          <w:color w:val="000000"/>
        </w:rPr>
        <w:t xml:space="preserve">and </w:t>
      </w:r>
      <w:r w:rsidRPr="00EE0D81">
        <w:rPr>
          <w:rFonts w:ascii="Times New Roman" w:hAnsi="Times New Roman"/>
          <w:i/>
          <w:color w:val="000000"/>
        </w:rPr>
        <w:t>systems of national significance</w:t>
      </w:r>
      <w:r w:rsidRPr="000266F5">
        <w:rPr>
          <w:rFonts w:ascii="Times New Roman" w:eastAsia="MS PGothic" w:hAnsi="Times New Roman" w:cs="Times New Roman"/>
          <w:color w:val="000000"/>
        </w:rPr>
        <w:t>.</w:t>
      </w:r>
    </w:p>
    <w:p w14:paraId="145B7EA0"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Unclear and possibly high regulatory impost, as well as possible duplication with existing regulatory frameworks (particularly in sectors with existing, mature security frameworks).</w:t>
      </w:r>
    </w:p>
    <w:p w14:paraId="15156ECF"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Timeframes for implementing these reforms. </w:t>
      </w:r>
    </w:p>
    <w:p w14:paraId="7248B4E4" w14:textId="09C3646C"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Lack of consultation on an exposure draft of proposed legislative amendments to </w:t>
      </w:r>
      <w:r>
        <w:rPr>
          <w:rFonts w:ascii="Times New Roman" w:eastAsia="MS PGothic" w:hAnsi="Times New Roman" w:cs="Times New Roman"/>
          <w:color w:val="000000"/>
        </w:rPr>
        <w:t>SoCI</w:t>
      </w:r>
      <w:r w:rsidRPr="000266F5">
        <w:rPr>
          <w:rFonts w:ascii="Times New Roman" w:eastAsia="MS PGothic" w:hAnsi="Times New Roman" w:cs="Times New Roman"/>
          <w:color w:val="000000"/>
        </w:rPr>
        <w:t>.</w:t>
      </w:r>
    </w:p>
    <w:p w14:paraId="6A5089C8"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Extent of the proposed Government Assistance powers.</w:t>
      </w:r>
    </w:p>
    <w:p w14:paraId="2EC2C0B5" w14:textId="77777777" w:rsidR="00993F09" w:rsidRPr="000266F5" w:rsidRDefault="00993F09" w:rsidP="00993F09">
      <w:pPr>
        <w:numPr>
          <w:ilvl w:val="0"/>
          <w:numId w:val="4"/>
        </w:numPr>
        <w:tabs>
          <w:tab w:val="left" w:pos="426"/>
        </w:tabs>
        <w:spacing w:after="24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Costs associated with the reforms.</w:t>
      </w:r>
    </w:p>
    <w:p w14:paraId="0067ADAF" w14:textId="27F02D7F" w:rsidR="00993F09" w:rsidRPr="000266F5" w:rsidRDefault="00993F09" w:rsidP="00993F09">
      <w:pPr>
        <w:tabs>
          <w:tab w:val="left" w:pos="426"/>
        </w:tabs>
        <w:spacing w:after="0" w:line="240" w:lineRule="auto"/>
        <w:rPr>
          <w:rFonts w:ascii="Times New Roman" w:eastAsia="MS PGothic" w:hAnsi="Times New Roman" w:cs="Times New Roman"/>
          <w:i/>
          <w:iCs/>
          <w:color w:val="000000"/>
        </w:rPr>
      </w:pPr>
      <w:r w:rsidRPr="000266F5">
        <w:rPr>
          <w:rFonts w:ascii="Times New Roman" w:eastAsia="Calibri" w:hAnsi="Times New Roman" w:cs="Times New Roman"/>
          <w:color w:val="000000"/>
          <w:kern w:val="24"/>
          <w:lang w:eastAsia="en-AU"/>
        </w:rPr>
        <w:t xml:space="preserve">At the core of these reforms will be an enhanced Government-industry relationship, focused on partnerships with industry and outcomes-based compliance mechanisms. In response to industry concerns, the reforms will </w:t>
      </w:r>
      <w:r w:rsidRPr="000266F5">
        <w:rPr>
          <w:rFonts w:ascii="Times New Roman" w:eastAsia="Arial" w:hAnsi="Times New Roman" w:cs="Times New Roman"/>
        </w:rPr>
        <w:t>feature</w:t>
      </w:r>
      <w:r w:rsidRPr="000266F5">
        <w:rPr>
          <w:rFonts w:ascii="Times New Roman" w:eastAsia="Calibri" w:hAnsi="Times New Roman" w:cs="Times New Roman"/>
          <w:color w:val="000000"/>
          <w:kern w:val="24"/>
          <w:lang w:eastAsia="en-AU"/>
        </w:rPr>
        <w:t xml:space="preserve"> clear coverage, as outlined in primary legislation, with appropriate implementation and co-design timeframes that leverage existing regulations to balance regulatory impost with security </w:t>
      </w:r>
      <w:r w:rsidRPr="000266F5">
        <w:rPr>
          <w:rFonts w:ascii="Times New Roman" w:eastAsia="Arial" w:hAnsi="Times New Roman" w:cs="Times New Roman"/>
        </w:rPr>
        <w:t>outcomes</w:t>
      </w:r>
      <w:r w:rsidRPr="000266F5">
        <w:rPr>
          <w:rFonts w:ascii="Times New Roman" w:eastAsia="Calibri" w:hAnsi="Times New Roman" w:cs="Times New Roman"/>
          <w:color w:val="000000"/>
          <w:kern w:val="24"/>
          <w:lang w:eastAsia="en-AU"/>
        </w:rPr>
        <w:t xml:space="preserve">. Government Assistance measures will also be limited by robust oversight mechanisms and in order to provide further opportunity to </w:t>
      </w:r>
      <w:r w:rsidRPr="000266F5">
        <w:rPr>
          <w:rFonts w:ascii="Times New Roman" w:eastAsia="MS PGothic" w:hAnsi="Times New Roman" w:cs="Times New Roman"/>
          <w:iCs/>
          <w:color w:val="000000"/>
        </w:rPr>
        <w:t xml:space="preserve">key stakeholders to refine the legislative reforms, the Department </w:t>
      </w:r>
      <w:r>
        <w:rPr>
          <w:rFonts w:ascii="Times New Roman" w:eastAsia="MS PGothic" w:hAnsi="Times New Roman" w:cs="Times New Roman"/>
          <w:iCs/>
          <w:color w:val="000000"/>
        </w:rPr>
        <w:t xml:space="preserve">also </w:t>
      </w:r>
      <w:r w:rsidRPr="000266F5">
        <w:rPr>
          <w:rFonts w:ascii="Times New Roman" w:eastAsia="MS PGothic" w:hAnsi="Times New Roman" w:cs="Times New Roman"/>
          <w:iCs/>
          <w:color w:val="000000"/>
        </w:rPr>
        <w:t>release</w:t>
      </w:r>
      <w:r>
        <w:rPr>
          <w:rFonts w:ascii="Times New Roman" w:eastAsia="MS PGothic" w:hAnsi="Times New Roman" w:cs="Times New Roman"/>
          <w:iCs/>
          <w:color w:val="000000"/>
        </w:rPr>
        <w:t>d</w:t>
      </w:r>
      <w:r w:rsidRPr="000266F5">
        <w:rPr>
          <w:rFonts w:ascii="Times New Roman" w:eastAsia="MS PGothic" w:hAnsi="Times New Roman" w:cs="Times New Roman"/>
          <w:iCs/>
          <w:color w:val="000000"/>
        </w:rPr>
        <w:t xml:space="preserve"> and consult on an exposure draft of the Bill</w:t>
      </w:r>
      <w:r>
        <w:rPr>
          <w:rFonts w:ascii="Times New Roman" w:eastAsia="MS PGothic" w:hAnsi="Times New Roman" w:cs="Times New Roman"/>
          <w:iCs/>
          <w:color w:val="000000"/>
        </w:rPr>
        <w:t xml:space="preserve"> with an accompanied explanatory document</w:t>
      </w:r>
      <w:r w:rsidRPr="000266F5">
        <w:rPr>
          <w:rFonts w:ascii="Times New Roman" w:eastAsia="MS PGothic" w:hAnsi="Times New Roman" w:cs="Times New Roman"/>
          <w:iCs/>
          <w:color w:val="000000"/>
        </w:rPr>
        <w:t>.</w:t>
      </w:r>
      <w:r w:rsidRPr="000266F5">
        <w:rPr>
          <w:rFonts w:ascii="Times New Roman" w:eastAsia="MS PGothic" w:hAnsi="Times New Roman" w:cs="Times New Roman"/>
          <w:i/>
          <w:iCs/>
          <w:color w:val="000000"/>
        </w:rPr>
        <w:t xml:space="preserve"> </w:t>
      </w:r>
    </w:p>
    <w:p w14:paraId="247EC275" w14:textId="77777777" w:rsidR="00993F09" w:rsidRPr="000266F5" w:rsidRDefault="00993F09" w:rsidP="00993F09">
      <w:pPr>
        <w:tabs>
          <w:tab w:val="left" w:pos="426"/>
        </w:tabs>
        <w:spacing w:before="240" w:after="240" w:line="240" w:lineRule="auto"/>
        <w:rPr>
          <w:rFonts w:ascii="Times New Roman" w:eastAsia="MS PGothic" w:hAnsi="Times New Roman" w:cs="Times New Roman"/>
          <w:i/>
          <w:iCs/>
          <w:color w:val="000000"/>
        </w:rPr>
      </w:pPr>
      <w:r w:rsidRPr="000266F5">
        <w:rPr>
          <w:rFonts w:ascii="Times New Roman" w:eastAsia="MS PGothic" w:hAnsi="Times New Roman" w:cs="Times New Roman"/>
          <w:i/>
          <w:iCs/>
          <w:color w:val="000000"/>
        </w:rPr>
        <w:lastRenderedPageBreak/>
        <w:t>Supporting the need for reform</w:t>
      </w:r>
    </w:p>
    <w:p w14:paraId="2DF6B89B" w14:textId="440E25B2" w:rsidR="00993F09" w:rsidRPr="000266F5" w:rsidRDefault="00993F09" w:rsidP="00993F09">
      <w:pPr>
        <w:tabs>
          <w:tab w:val="left" w:pos="426"/>
        </w:tabs>
        <w:spacing w:after="0" w:line="240" w:lineRule="auto"/>
        <w:rPr>
          <w:rFonts w:ascii="Times New Roman" w:eastAsia="MS PGothic" w:hAnsi="Times New Roman" w:cs="Times New Roman"/>
          <w:i/>
          <w:iCs/>
          <w:color w:val="000000"/>
        </w:rPr>
      </w:pPr>
      <w:r w:rsidRPr="000266F5">
        <w:rPr>
          <w:rFonts w:ascii="Times New Roman" w:eastAsia="Times New Roman" w:hAnsi="Times New Roman" w:cs="Times New Roman"/>
          <w:lang w:eastAsia="en-AU"/>
        </w:rPr>
        <w:t xml:space="preserve">Industry, states and territories have expressed broad support for, and understanding of, Governments decision to introduce an enhanced </w:t>
      </w:r>
      <w:r w:rsidRPr="000266F5">
        <w:rPr>
          <w:rFonts w:ascii="Times New Roman" w:eastAsia="Arial" w:hAnsi="Times New Roman" w:cs="Times New Roman"/>
        </w:rPr>
        <w:t>critical</w:t>
      </w:r>
      <w:r w:rsidRPr="000266F5">
        <w:rPr>
          <w:rFonts w:ascii="Times New Roman" w:eastAsia="Times New Roman" w:hAnsi="Times New Roman" w:cs="Times New Roman"/>
          <w:lang w:eastAsia="en-AU"/>
        </w:rPr>
        <w:t xml:space="preserve"> infrastructure security regulatory regime. </w:t>
      </w:r>
      <w:r w:rsidRPr="000266F5">
        <w:rPr>
          <w:rFonts w:ascii="Times New Roman" w:eastAsia="MS PGothic" w:hAnsi="Times New Roman" w:cs="Times New Roman"/>
          <w:color w:val="000000"/>
        </w:rPr>
        <w:t xml:space="preserve">The Department </w:t>
      </w:r>
      <w:r w:rsidRPr="000266F5">
        <w:rPr>
          <w:rFonts w:ascii="Times New Roman" w:eastAsia="Times New Roman" w:hAnsi="Times New Roman" w:cs="Times New Roman"/>
          <w:lang w:eastAsia="en-AU"/>
        </w:rPr>
        <w:t xml:space="preserve">heard that </w:t>
      </w:r>
      <w:r w:rsidRPr="000266F5">
        <w:rPr>
          <w:rFonts w:ascii="Times New Roman" w:eastAsia="Arial" w:hAnsi="Times New Roman" w:cs="Times New Roman"/>
        </w:rPr>
        <w:t>Australia’s</w:t>
      </w:r>
      <w:r w:rsidRPr="000266F5">
        <w:rPr>
          <w:rFonts w:ascii="Times New Roman" w:eastAsia="Times New Roman" w:hAnsi="Times New Roman" w:cs="Times New Roman"/>
          <w:lang w:eastAsia="en-AU"/>
        </w:rPr>
        <w:t xml:space="preserve"> current critical infrastructure regulatory arrangements need strengthening to build the nation’s security posture.</w:t>
      </w:r>
    </w:p>
    <w:p w14:paraId="6D14D9B6" w14:textId="77777777" w:rsidR="00993F09" w:rsidRPr="000266F5" w:rsidRDefault="00993F09" w:rsidP="00993F09">
      <w:pPr>
        <w:pStyle w:val="ListParagraph"/>
        <w:tabs>
          <w:tab w:val="left" w:pos="426"/>
        </w:tabs>
        <w:spacing w:after="0" w:line="240" w:lineRule="auto"/>
        <w:ind w:left="227"/>
        <w:rPr>
          <w:rFonts w:ascii="Times New Roman" w:eastAsia="MS PGothic" w:hAnsi="Times New Roman" w:cs="Times New Roman"/>
          <w:i/>
          <w:iCs/>
          <w:color w:val="000000"/>
        </w:rPr>
      </w:pPr>
    </w:p>
    <w:p w14:paraId="53F11F4A" w14:textId="52F3F437" w:rsidR="00993F09" w:rsidRPr="000266F5" w:rsidRDefault="00993F09" w:rsidP="00993F09">
      <w:pPr>
        <w:tabs>
          <w:tab w:val="left" w:pos="426"/>
        </w:tabs>
        <w:spacing w:after="0" w:line="240" w:lineRule="auto"/>
        <w:rPr>
          <w:rFonts w:ascii="Times New Roman" w:eastAsia="MS PGothic" w:hAnsi="Times New Roman" w:cs="Times New Roman"/>
          <w:i/>
          <w:iCs/>
          <w:color w:val="000000"/>
        </w:rPr>
      </w:pPr>
      <w:r w:rsidRPr="000266F5">
        <w:rPr>
          <w:rFonts w:ascii="Times New Roman" w:eastAsia="MS PGothic" w:hAnsi="Times New Roman" w:cs="Times New Roman"/>
          <w:color w:val="000000"/>
        </w:rPr>
        <w:t xml:space="preserve">The Department </w:t>
      </w:r>
      <w:r w:rsidRPr="000266F5">
        <w:rPr>
          <w:rFonts w:ascii="Times New Roman" w:eastAsia="Times New Roman" w:hAnsi="Times New Roman" w:cs="Times New Roman"/>
          <w:lang w:eastAsia="en-AU"/>
        </w:rPr>
        <w:t xml:space="preserve">worked closely with stakeholders across sectors to determine appropriate thresholds for the reforms’ obligations. Submissions showed support for the 11 sectors identified by the </w:t>
      </w:r>
      <w:r w:rsidRPr="000266F5">
        <w:rPr>
          <w:rFonts w:ascii="Times New Roman" w:eastAsia="Arial" w:hAnsi="Times New Roman" w:cs="Times New Roman"/>
        </w:rPr>
        <w:t>Government</w:t>
      </w:r>
      <w:r w:rsidRPr="000266F5">
        <w:rPr>
          <w:rFonts w:ascii="Times New Roman" w:eastAsia="Times New Roman" w:hAnsi="Times New Roman" w:cs="Times New Roman"/>
          <w:lang w:eastAsia="en-AU"/>
        </w:rPr>
        <w:t xml:space="preserve">. A number of organisations self-identified as </w:t>
      </w:r>
      <w:r w:rsidRPr="00EE0D81">
        <w:rPr>
          <w:rFonts w:ascii="Times New Roman" w:hAnsi="Times New Roman"/>
          <w:i/>
        </w:rPr>
        <w:t xml:space="preserve">critical infrastructure </w:t>
      </w:r>
      <w:r w:rsidRPr="001A7788">
        <w:rPr>
          <w:rFonts w:ascii="Times New Roman" w:eastAsia="Times New Roman" w:hAnsi="Times New Roman" w:cs="Times New Roman"/>
          <w:i/>
          <w:lang w:eastAsia="en-AU"/>
        </w:rPr>
        <w:t>assets</w:t>
      </w:r>
      <w:r w:rsidRPr="000266F5">
        <w:rPr>
          <w:rFonts w:ascii="Times New Roman" w:eastAsia="Times New Roman" w:hAnsi="Times New Roman" w:cs="Times New Roman"/>
          <w:lang w:eastAsia="en-AU"/>
        </w:rPr>
        <w:t xml:space="preserve"> to be covered by the reforms. </w:t>
      </w:r>
    </w:p>
    <w:p w14:paraId="644A439B" w14:textId="77777777" w:rsidR="00993F09" w:rsidRPr="000266F5" w:rsidRDefault="00993F09" w:rsidP="00993F09">
      <w:pPr>
        <w:tabs>
          <w:tab w:val="left" w:pos="426"/>
        </w:tabs>
        <w:spacing w:after="0" w:line="240" w:lineRule="auto"/>
        <w:rPr>
          <w:rFonts w:ascii="Times New Roman" w:eastAsia="MS PGothic" w:hAnsi="Times New Roman" w:cs="Times New Roman"/>
          <w:i/>
          <w:iCs/>
          <w:color w:val="000000"/>
        </w:rPr>
      </w:pPr>
    </w:p>
    <w:p w14:paraId="10107677" w14:textId="77777777" w:rsidR="00993F09" w:rsidRPr="000266F5" w:rsidRDefault="00993F09" w:rsidP="00993F09">
      <w:pPr>
        <w:tabs>
          <w:tab w:val="left" w:pos="426"/>
        </w:tabs>
        <w:spacing w:after="0" w:line="240" w:lineRule="auto"/>
        <w:rPr>
          <w:rFonts w:ascii="Times New Roman" w:eastAsia="MS PGothic" w:hAnsi="Times New Roman" w:cs="Times New Roman"/>
          <w:i/>
          <w:iCs/>
          <w:color w:val="000000"/>
        </w:rPr>
      </w:pPr>
      <w:r w:rsidRPr="000266F5">
        <w:rPr>
          <w:rFonts w:ascii="Times New Roman" w:eastAsia="Times New Roman" w:hAnsi="Times New Roman" w:cs="Times New Roman"/>
          <w:lang w:eastAsia="en-AU"/>
        </w:rPr>
        <w:t xml:space="preserve">Some stakeholders proposed alternative approaches to building critical infrastructure security and resilience. </w:t>
      </w:r>
      <w:r w:rsidRPr="000266F5">
        <w:rPr>
          <w:rFonts w:ascii="Times New Roman" w:eastAsia="Arial" w:hAnsi="Times New Roman" w:cs="Times New Roman"/>
        </w:rPr>
        <w:t>These</w:t>
      </w:r>
      <w:r w:rsidRPr="000266F5">
        <w:rPr>
          <w:rFonts w:ascii="Times New Roman" w:eastAsia="Times New Roman" w:hAnsi="Times New Roman" w:cs="Times New Roman"/>
          <w:lang w:eastAsia="en-AU"/>
        </w:rPr>
        <w:t xml:space="preserve"> included, for example, a vulnerability disclosure scheme; national critical services overlay network; use of </w:t>
      </w:r>
      <w:r w:rsidRPr="000266F5">
        <w:rPr>
          <w:rFonts w:ascii="Times New Roman" w:eastAsia="Arial" w:hAnsi="Times New Roman" w:cs="Times New Roman"/>
        </w:rPr>
        <w:t>environmental</w:t>
      </w:r>
      <w:r w:rsidRPr="000266F5">
        <w:rPr>
          <w:rFonts w:ascii="Times New Roman" w:eastAsia="Times New Roman" w:hAnsi="Times New Roman" w:cs="Times New Roman"/>
          <w:lang w:eastAsia="en-AU"/>
        </w:rPr>
        <w:t xml:space="preserve"> surveillance network instrumentation to show changes to risk leading indicators in near real time. However, these suggestions were piecemeal and ultimately aligned with Government’s security objectives.  </w:t>
      </w:r>
    </w:p>
    <w:p w14:paraId="12A1DFAD" w14:textId="198D2FE4" w:rsidR="00336ED3" w:rsidRPr="00336ED3" w:rsidRDefault="00336ED3" w:rsidP="00336ED3">
      <w:pPr>
        <w:tabs>
          <w:tab w:val="left" w:pos="426"/>
        </w:tabs>
        <w:spacing w:before="240" w:after="240" w:line="240" w:lineRule="auto"/>
        <w:rPr>
          <w:rFonts w:ascii="Times New Roman" w:eastAsia="MS PGothic" w:hAnsi="Times New Roman" w:cs="Times New Roman"/>
          <w:i/>
          <w:iCs/>
          <w:color w:val="000000"/>
        </w:rPr>
      </w:pPr>
      <w:r w:rsidRPr="00336ED3">
        <w:rPr>
          <w:rFonts w:ascii="Times New Roman" w:eastAsia="MS PGothic" w:hAnsi="Times New Roman" w:cs="Times New Roman"/>
          <w:i/>
          <w:iCs/>
          <w:color w:val="000000"/>
        </w:rPr>
        <w:t xml:space="preserve">Reduce regulatory duplication with </w:t>
      </w:r>
      <w:r>
        <w:rPr>
          <w:rFonts w:ascii="Times New Roman" w:eastAsia="MS PGothic" w:hAnsi="Times New Roman" w:cs="Times New Roman"/>
          <w:i/>
          <w:iCs/>
          <w:color w:val="000000"/>
        </w:rPr>
        <w:t>existing regulatory frameworks</w:t>
      </w:r>
    </w:p>
    <w:p w14:paraId="2F1F195E" w14:textId="08D41965" w:rsidR="00336ED3" w:rsidRPr="002F4CC3" w:rsidRDefault="00336ED3" w:rsidP="00336ED3">
      <w:pPr>
        <w:tabs>
          <w:tab w:val="left" w:pos="426"/>
        </w:tabs>
        <w:spacing w:before="240" w:after="240" w:line="240" w:lineRule="auto"/>
        <w:rPr>
          <w:rFonts w:ascii="Times New Roman" w:eastAsia="MS PGothic" w:hAnsi="Times New Roman" w:cs="Times New Roman"/>
          <w:iCs/>
          <w:color w:val="000000"/>
        </w:rPr>
      </w:pPr>
      <w:r w:rsidRPr="002F4CC3">
        <w:rPr>
          <w:rFonts w:ascii="Times New Roman" w:eastAsia="MS PGothic" w:hAnsi="Times New Roman" w:cs="Times New Roman"/>
          <w:iCs/>
          <w:color w:val="000000"/>
        </w:rPr>
        <w:t>Industry</w:t>
      </w:r>
      <w:r>
        <w:rPr>
          <w:rFonts w:ascii="Times New Roman" w:eastAsia="MS PGothic" w:hAnsi="Times New Roman" w:cs="Times New Roman"/>
          <w:iCs/>
          <w:color w:val="000000"/>
        </w:rPr>
        <w:t xml:space="preserve"> and governments</w:t>
      </w:r>
      <w:r w:rsidRPr="00336ED3">
        <w:rPr>
          <w:rFonts w:ascii="Times New Roman" w:eastAsia="MS PGothic" w:hAnsi="Times New Roman" w:cs="Times New Roman"/>
          <w:iCs/>
          <w:color w:val="000000"/>
        </w:rPr>
        <w:t xml:space="preserve"> remain</w:t>
      </w:r>
      <w:r w:rsidRPr="002F4CC3">
        <w:rPr>
          <w:rFonts w:ascii="Times New Roman" w:eastAsia="MS PGothic" w:hAnsi="Times New Roman" w:cs="Times New Roman"/>
          <w:iCs/>
          <w:color w:val="000000"/>
        </w:rPr>
        <w:t xml:space="preserve"> concerned with the Bill’s r</w:t>
      </w:r>
      <w:r w:rsidRPr="00336ED3">
        <w:rPr>
          <w:rFonts w:ascii="Times New Roman" w:eastAsia="MS PGothic" w:hAnsi="Times New Roman" w:cs="Times New Roman"/>
          <w:iCs/>
          <w:color w:val="000000"/>
        </w:rPr>
        <w:t xml:space="preserve">egulatory burden, </w:t>
      </w:r>
      <w:r w:rsidRPr="002F4CC3">
        <w:rPr>
          <w:rFonts w:ascii="Times New Roman" w:eastAsia="MS PGothic" w:hAnsi="Times New Roman" w:cs="Times New Roman"/>
          <w:iCs/>
          <w:color w:val="000000"/>
        </w:rPr>
        <w:t>and interactions between the measures proposed and existing regulatory frameworks. Some stakeholders have called for obligations across sectors to be harmonised or Government leverage</w:t>
      </w:r>
      <w:r w:rsidR="00E4446B">
        <w:rPr>
          <w:rFonts w:ascii="Times New Roman" w:eastAsia="MS PGothic" w:hAnsi="Times New Roman" w:cs="Times New Roman"/>
          <w:iCs/>
          <w:color w:val="000000"/>
        </w:rPr>
        <w:t xml:space="preserve"> domestic or</w:t>
      </w:r>
      <w:r w:rsidRPr="002F4CC3">
        <w:rPr>
          <w:rFonts w:ascii="Times New Roman" w:eastAsia="MS PGothic" w:hAnsi="Times New Roman" w:cs="Times New Roman"/>
          <w:iCs/>
          <w:color w:val="000000"/>
        </w:rPr>
        <w:t xml:space="preserve"> international standards, to achieve a consistent security uplift. </w:t>
      </w:r>
    </w:p>
    <w:p w14:paraId="7B751D6C" w14:textId="33D7F147" w:rsidR="00336ED3" w:rsidRPr="002F4CC3" w:rsidRDefault="00336ED3" w:rsidP="00336ED3">
      <w:pPr>
        <w:tabs>
          <w:tab w:val="left" w:pos="426"/>
        </w:tabs>
        <w:spacing w:before="240" w:after="240" w:line="240" w:lineRule="auto"/>
        <w:rPr>
          <w:rFonts w:ascii="Times New Roman" w:eastAsia="MS PGothic" w:hAnsi="Times New Roman" w:cs="Times New Roman"/>
          <w:iCs/>
          <w:color w:val="000000"/>
        </w:rPr>
      </w:pPr>
      <w:r w:rsidRPr="002F4CC3">
        <w:rPr>
          <w:rFonts w:ascii="Times New Roman" w:eastAsia="MS PGothic" w:hAnsi="Times New Roman" w:cs="Times New Roman"/>
          <w:iCs/>
          <w:color w:val="000000"/>
        </w:rPr>
        <w:t xml:space="preserve">Home Affairs notes that the Bill embeds the need to reduce regulatory duplication throughout the regime by, for example, requiring the Minister to consult with industry on the introduction of Rules </w:t>
      </w:r>
      <w:r w:rsidR="00B858A3">
        <w:rPr>
          <w:rFonts w:ascii="Times New Roman" w:eastAsia="MS PGothic" w:hAnsi="Times New Roman" w:cs="Times New Roman"/>
          <w:iCs/>
          <w:color w:val="000000"/>
        </w:rPr>
        <w:t xml:space="preserve">  </w:t>
      </w:r>
      <w:r w:rsidRPr="002F4CC3">
        <w:rPr>
          <w:rFonts w:ascii="Times New Roman" w:eastAsia="MS PGothic" w:hAnsi="Times New Roman" w:cs="Times New Roman"/>
          <w:iCs/>
          <w:color w:val="000000"/>
        </w:rPr>
        <w:t>(s 30AL), implement the Positive Security Obligation on a sectoral-basis b</w:t>
      </w:r>
      <w:r w:rsidR="00B858A3" w:rsidRPr="00B858A3">
        <w:rPr>
          <w:rFonts w:ascii="Times New Roman" w:eastAsia="MS PGothic" w:hAnsi="Times New Roman" w:cs="Times New Roman"/>
          <w:iCs/>
          <w:color w:val="000000"/>
        </w:rPr>
        <w:t>y ‘switching on’ obligations (ss</w:t>
      </w:r>
      <w:r w:rsidRPr="002F4CC3">
        <w:rPr>
          <w:rFonts w:ascii="Times New Roman" w:eastAsia="MS PGothic" w:hAnsi="Times New Roman" w:cs="Times New Roman"/>
          <w:iCs/>
          <w:color w:val="000000"/>
        </w:rPr>
        <w:t xml:space="preserve"> 30AB, 30BB, 18A), and exercise Government Assistance measures only where other regulatory measures cannot be used (s 35AB). Home Affairs shares industry’s view that the reforms should reduce regulatory duplication and will continue to engage with entities to identify and mitigate areas of duplication.</w:t>
      </w:r>
    </w:p>
    <w:p w14:paraId="629D6EF2" w14:textId="211586F0" w:rsidR="00993F09" w:rsidRPr="000266F5" w:rsidRDefault="00993F09" w:rsidP="00993F09">
      <w:pPr>
        <w:tabs>
          <w:tab w:val="left" w:pos="426"/>
        </w:tabs>
        <w:spacing w:before="240" w:after="240" w:line="240" w:lineRule="auto"/>
        <w:rPr>
          <w:rFonts w:ascii="Times New Roman" w:eastAsia="MS PGothic" w:hAnsi="Times New Roman" w:cs="Times New Roman"/>
          <w:i/>
          <w:iCs/>
          <w:color w:val="000000"/>
        </w:rPr>
      </w:pPr>
      <w:r w:rsidRPr="000266F5">
        <w:rPr>
          <w:rFonts w:ascii="Times New Roman" w:eastAsia="MS PGothic" w:hAnsi="Times New Roman" w:cs="Times New Roman"/>
          <w:i/>
          <w:iCs/>
          <w:color w:val="000000"/>
        </w:rPr>
        <w:t xml:space="preserve">On Coverage </w:t>
      </w:r>
    </w:p>
    <w:p w14:paraId="4CB63133" w14:textId="73ECB8F8" w:rsidR="00993F09" w:rsidRDefault="00993F09" w:rsidP="00993F09">
      <w:pPr>
        <w:tabs>
          <w:tab w:val="left" w:pos="426"/>
        </w:tabs>
        <w:spacing w:after="0" w:line="240" w:lineRule="auto"/>
        <w:rPr>
          <w:rFonts w:ascii="Times New Roman" w:eastAsia="Times New Roman" w:hAnsi="Times New Roman" w:cs="Times New Roman"/>
          <w:lang w:eastAsia="en-AU"/>
        </w:rPr>
      </w:pPr>
      <w:r w:rsidRPr="000266F5">
        <w:rPr>
          <w:rFonts w:ascii="Times New Roman" w:eastAsia="Times New Roman" w:hAnsi="Times New Roman" w:cs="Times New Roman"/>
          <w:lang w:eastAsia="en-AU"/>
        </w:rPr>
        <w:t xml:space="preserve">Some stakeholders </w:t>
      </w:r>
      <w:r w:rsidRPr="000266F5">
        <w:rPr>
          <w:rFonts w:ascii="Times New Roman" w:eastAsia="Arial" w:hAnsi="Times New Roman" w:cs="Times New Roman"/>
        </w:rPr>
        <w:t>called</w:t>
      </w:r>
      <w:r w:rsidRPr="000266F5">
        <w:rPr>
          <w:rFonts w:ascii="Times New Roman" w:eastAsia="Times New Roman" w:hAnsi="Times New Roman" w:cs="Times New Roman"/>
          <w:lang w:eastAsia="en-AU"/>
        </w:rPr>
        <w:t xml:space="preserve"> for clarity over the coverage of the reforms. Others stated a preference for greater flexibility, by setting thresholds in delegated legislation. </w:t>
      </w:r>
      <w:r w:rsidRPr="000266F5">
        <w:rPr>
          <w:rFonts w:ascii="Times New Roman" w:eastAsia="MS PGothic" w:hAnsi="Times New Roman" w:cs="Times New Roman"/>
          <w:color w:val="000000"/>
        </w:rPr>
        <w:t xml:space="preserve">The Department </w:t>
      </w:r>
      <w:r w:rsidRPr="000266F5">
        <w:rPr>
          <w:rFonts w:ascii="Times New Roman" w:eastAsia="Times New Roman" w:hAnsi="Times New Roman" w:cs="Times New Roman"/>
          <w:lang w:eastAsia="en-AU"/>
        </w:rPr>
        <w:t xml:space="preserve">has engaged with participants from each sector to help workshop and design the coverage of each of the reforms’ measures. </w:t>
      </w:r>
      <w:r>
        <w:rPr>
          <w:rFonts w:ascii="Times New Roman" w:eastAsia="Times New Roman" w:hAnsi="Times New Roman" w:cs="Times New Roman"/>
          <w:lang w:eastAsia="en-AU"/>
        </w:rPr>
        <w:t xml:space="preserve">This also included workshopping the definition of </w:t>
      </w:r>
      <w:r>
        <w:rPr>
          <w:rFonts w:ascii="Times New Roman" w:eastAsia="Times New Roman" w:hAnsi="Times New Roman" w:cs="Times New Roman"/>
          <w:i/>
          <w:lang w:eastAsia="en-AU"/>
        </w:rPr>
        <w:t xml:space="preserve">critical infrastructure sector </w:t>
      </w:r>
      <w:r>
        <w:rPr>
          <w:rFonts w:ascii="Times New Roman" w:eastAsia="Times New Roman" w:hAnsi="Times New Roman" w:cs="Times New Roman"/>
          <w:lang w:eastAsia="en-AU"/>
        </w:rPr>
        <w:t xml:space="preserve">and </w:t>
      </w:r>
      <w:r>
        <w:rPr>
          <w:rFonts w:ascii="Times New Roman" w:eastAsia="Times New Roman" w:hAnsi="Times New Roman" w:cs="Times New Roman"/>
          <w:i/>
          <w:lang w:eastAsia="en-AU"/>
        </w:rPr>
        <w:t xml:space="preserve">critical infrastructure assets </w:t>
      </w:r>
      <w:r>
        <w:rPr>
          <w:rFonts w:ascii="Times New Roman" w:eastAsia="Times New Roman" w:hAnsi="Times New Roman" w:cs="Times New Roman"/>
          <w:lang w:eastAsia="en-AU"/>
        </w:rPr>
        <w:t>with Commonwealth counterparts, industry and peak bodies to ensure that only those assets that should be captured by the reforms are captured. For example:</w:t>
      </w:r>
    </w:p>
    <w:p w14:paraId="048A51F7" w14:textId="77777777" w:rsidR="00993F09" w:rsidRDefault="00993F09" w:rsidP="00993F09">
      <w:pPr>
        <w:tabs>
          <w:tab w:val="left" w:pos="426"/>
        </w:tabs>
        <w:spacing w:after="0" w:line="240" w:lineRule="auto"/>
        <w:rPr>
          <w:rFonts w:ascii="Times New Roman" w:eastAsia="Times New Roman" w:hAnsi="Times New Roman" w:cs="Times New Roman"/>
          <w:lang w:eastAsia="en-AU"/>
        </w:rPr>
      </w:pPr>
    </w:p>
    <w:p w14:paraId="7964860E" w14:textId="4507DFB7" w:rsidR="00993F09" w:rsidRPr="00EE0D81" w:rsidRDefault="00993F09">
      <w:pPr>
        <w:pStyle w:val="ListParagraph"/>
        <w:numPr>
          <w:ilvl w:val="0"/>
          <w:numId w:val="65"/>
        </w:numPr>
        <w:tabs>
          <w:tab w:val="left" w:pos="426"/>
        </w:tabs>
        <w:spacing w:after="0" w:line="240" w:lineRule="auto"/>
        <w:rPr>
          <w:rFonts w:ascii="Times New Roman" w:eastAsia="Times New Roman" w:hAnsi="Times New Roman" w:cs="Times New Roman"/>
          <w:lang w:eastAsia="en-AU"/>
        </w:rPr>
      </w:pPr>
      <w:r w:rsidRPr="001A7788">
        <w:rPr>
          <w:rFonts w:ascii="Times New Roman" w:eastAsia="Times New Roman" w:hAnsi="Times New Roman" w:cs="Times New Roman"/>
          <w:lang w:eastAsia="en-AU"/>
        </w:rPr>
        <w:t xml:space="preserve">The Department has worked with industry and Commonwealth counterparts to refine the ‘critical broadcasting asset’ </w:t>
      </w:r>
      <w:r w:rsidRPr="00EE0D81">
        <w:rPr>
          <w:rFonts w:ascii="Times New Roman" w:eastAsia="Times New Roman" w:hAnsi="Times New Roman" w:cs="Times New Roman"/>
          <w:lang w:eastAsia="en-AU"/>
        </w:rPr>
        <w:t>definition. Notably, amendments were made to exclude retransmission assets unless they are prescribed by the rules. This change takes into account concerns that the inclusion of all retransmission assets did</w:t>
      </w:r>
      <w:r w:rsidRPr="001A7788">
        <w:rPr>
          <w:rFonts w:ascii="Times New Roman" w:eastAsia="Times New Roman" w:hAnsi="Times New Roman" w:cs="Times New Roman"/>
          <w:lang w:eastAsia="en-AU"/>
        </w:rPr>
        <w:t xml:space="preserve"> not serve the policy intent and would place an unreasonable regulatory burden on their owners and operators.</w:t>
      </w:r>
    </w:p>
    <w:p w14:paraId="2077B648" w14:textId="77777777" w:rsidR="00993F09" w:rsidRDefault="00993F09" w:rsidP="00B369B5">
      <w:pPr>
        <w:pStyle w:val="ListParagraph"/>
        <w:numPr>
          <w:ilvl w:val="0"/>
          <w:numId w:val="65"/>
        </w:numPr>
        <w:tabs>
          <w:tab w:val="left" w:pos="426"/>
        </w:tabs>
        <w:spacing w:after="0" w:line="240" w:lineRule="auto"/>
        <w:rPr>
          <w:rFonts w:ascii="Times New Roman" w:eastAsia="Times New Roman" w:hAnsi="Times New Roman" w:cs="Times New Roman"/>
          <w:lang w:eastAsia="en-AU"/>
        </w:rPr>
      </w:pPr>
      <w:r w:rsidRPr="00EE10AD">
        <w:rPr>
          <w:rFonts w:ascii="Times New Roman" w:eastAsia="Times New Roman" w:hAnsi="Times New Roman" w:cs="Times New Roman"/>
          <w:lang w:eastAsia="en-AU"/>
        </w:rPr>
        <w:t xml:space="preserve">The financial service and markets sector sectoral definition, and the sector’s critical infrastructure asset definitions, were shaped by input from Commonwealth partners and existing financial regulators. For example, the Department incorporated input on what should be included in the financial services and markets sector definition, and which assets within the sector should be captured as critical infrastructure assets. </w:t>
      </w:r>
      <w:r>
        <w:rPr>
          <w:rFonts w:ascii="Times New Roman" w:eastAsia="Times New Roman" w:hAnsi="Times New Roman" w:cs="Times New Roman"/>
          <w:lang w:eastAsia="en-AU"/>
        </w:rPr>
        <w:t>This a</w:t>
      </w:r>
      <w:r w:rsidRPr="00EE10AD">
        <w:rPr>
          <w:rFonts w:ascii="Times New Roman" w:eastAsia="Times New Roman" w:hAnsi="Times New Roman" w:cs="Times New Roman"/>
          <w:lang w:eastAsia="en-AU"/>
        </w:rPr>
        <w:t>lso</w:t>
      </w:r>
      <w:r>
        <w:rPr>
          <w:rFonts w:ascii="Times New Roman" w:eastAsia="Times New Roman" w:hAnsi="Times New Roman" w:cs="Times New Roman"/>
          <w:lang w:eastAsia="en-AU"/>
        </w:rPr>
        <w:t xml:space="preserve"> included</w:t>
      </w:r>
      <w:r w:rsidRPr="00EE10AD">
        <w:rPr>
          <w:rFonts w:ascii="Times New Roman" w:eastAsia="Times New Roman" w:hAnsi="Times New Roman" w:cs="Times New Roman"/>
          <w:lang w:eastAsia="en-AU"/>
        </w:rPr>
        <w:t xml:space="preserve"> a shift in terms of </w:t>
      </w:r>
      <w:r w:rsidRPr="00EE10AD">
        <w:rPr>
          <w:rFonts w:ascii="Times New Roman" w:eastAsia="Times New Roman" w:hAnsi="Times New Roman" w:cs="Times New Roman"/>
          <w:lang w:eastAsia="en-AU"/>
        </w:rPr>
        <w:lastRenderedPageBreak/>
        <w:t>the criticality for financial services and markets sector critical infrastructure assets to be focused on entities rather than their assets.</w:t>
      </w:r>
    </w:p>
    <w:p w14:paraId="2B98B0EA" w14:textId="5A1E4DAA" w:rsidR="00993F09" w:rsidRDefault="00993F09" w:rsidP="00B369B5">
      <w:pPr>
        <w:pStyle w:val="ListParagraph"/>
        <w:numPr>
          <w:ilvl w:val="0"/>
          <w:numId w:val="65"/>
        </w:numPr>
        <w:tabs>
          <w:tab w:val="left" w:pos="426"/>
        </w:tabs>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Department worked with industry and Commonwealth counterparts to refine the definition of “critical liquid fuels assets”. Originally the definition proposed a legislated volume threshold to capture liquid fuel storage takes, however consultation with industry indicated that such a threshold may be difficult to enforce and may cause confusion over who is and </w:t>
      </w:r>
      <w:r w:rsidR="00542DF2">
        <w:rPr>
          <w:rFonts w:ascii="Times New Roman" w:eastAsia="Times New Roman" w:hAnsi="Times New Roman" w:cs="Times New Roman"/>
          <w:lang w:eastAsia="en-AU"/>
        </w:rPr>
        <w:t>is not</w:t>
      </w:r>
      <w:r>
        <w:rPr>
          <w:rFonts w:ascii="Times New Roman" w:eastAsia="Times New Roman" w:hAnsi="Times New Roman" w:cs="Times New Roman"/>
          <w:lang w:eastAsia="en-AU"/>
        </w:rPr>
        <w:t xml:space="preserve"> regulated. Instead, it has been proposed that a broad definition of a liquid fuel storage terminal be included in the legislation with the Rules to be developed with industry to ensure that the appropriate assets are covered, also allowing flexibility as the industry changes.</w:t>
      </w:r>
    </w:p>
    <w:p w14:paraId="1BC7C2CC" w14:textId="77777777" w:rsidR="00993F09" w:rsidRPr="001A7788" w:rsidRDefault="00993F09" w:rsidP="00B369B5">
      <w:pPr>
        <w:pStyle w:val="ListParagraph"/>
        <w:numPr>
          <w:ilvl w:val="0"/>
          <w:numId w:val="65"/>
        </w:numPr>
        <w:tabs>
          <w:tab w:val="left" w:pos="426"/>
        </w:tabs>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The threshold for a “critical water asset” has not been altered from the original definition currently with SoCI. The idea of using a principles based test for what is or is not a critical water asset was suggested by industry, however further discussion with industry and the Commonwealth determined that such a method would not provide industry with enough certainty in the legislation around who is and who isn’t covered. It was ultimately agreed with industry that retaining the current thresholds was the best course of action.</w:t>
      </w:r>
    </w:p>
    <w:p w14:paraId="5988D204" w14:textId="77777777" w:rsidR="00993F09" w:rsidRPr="000266F5" w:rsidRDefault="00993F09" w:rsidP="00993F09">
      <w:pPr>
        <w:tabs>
          <w:tab w:val="left" w:pos="426"/>
        </w:tabs>
        <w:spacing w:before="240" w:after="240" w:line="240" w:lineRule="auto"/>
        <w:rPr>
          <w:rFonts w:ascii="Times New Roman" w:eastAsia="MS PGothic" w:hAnsi="Times New Roman" w:cs="Times New Roman"/>
          <w:i/>
          <w:iCs/>
          <w:color w:val="000000"/>
        </w:rPr>
      </w:pPr>
      <w:r w:rsidRPr="000266F5">
        <w:rPr>
          <w:rFonts w:ascii="Times New Roman" w:eastAsia="MS PGothic" w:hAnsi="Times New Roman" w:cs="Times New Roman"/>
          <w:i/>
          <w:iCs/>
          <w:color w:val="000000"/>
        </w:rPr>
        <w:t>Leveraging existing regimes and reducing regulatory impost</w:t>
      </w:r>
    </w:p>
    <w:p w14:paraId="70EDCF59"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Stakeholders expressed concern over the regulatory impost of the reforms. Stakeholders emphasised the need to reduce this burden by co-designing the </w:t>
      </w:r>
      <w:r>
        <w:rPr>
          <w:rFonts w:ascii="Times New Roman" w:eastAsia="MS PGothic" w:hAnsi="Times New Roman" w:cs="Times New Roman"/>
          <w:color w:val="000000"/>
        </w:rPr>
        <w:t>Positive Security Obligations</w:t>
      </w:r>
      <w:r w:rsidRPr="000266F5">
        <w:rPr>
          <w:rFonts w:ascii="Times New Roman" w:eastAsia="MS PGothic" w:hAnsi="Times New Roman" w:cs="Times New Roman"/>
          <w:color w:val="000000"/>
        </w:rPr>
        <w:t xml:space="preserve"> with industry and </w:t>
      </w:r>
      <w:r w:rsidRPr="000266F5">
        <w:rPr>
          <w:rFonts w:ascii="Times New Roman" w:eastAsia="Arial" w:hAnsi="Times New Roman" w:cs="Times New Roman"/>
        </w:rPr>
        <w:t>leveraging</w:t>
      </w:r>
      <w:r w:rsidRPr="000266F5">
        <w:rPr>
          <w:rFonts w:ascii="Times New Roman" w:eastAsia="MS PGothic" w:hAnsi="Times New Roman" w:cs="Times New Roman"/>
          <w:color w:val="000000"/>
        </w:rPr>
        <w:t xml:space="preserve"> existing frameworks. It was noted that smaller critical infrastructure providers would be required to do comparably more to build security and resilience. Some members of industry suggested the </w:t>
      </w:r>
      <w:r>
        <w:rPr>
          <w:rFonts w:ascii="Times New Roman" w:eastAsia="MS PGothic" w:hAnsi="Times New Roman" w:cs="Times New Roman"/>
          <w:color w:val="000000"/>
        </w:rPr>
        <w:t>Positive Security Obligations</w:t>
      </w:r>
      <w:r w:rsidRPr="000266F5">
        <w:rPr>
          <w:rFonts w:ascii="Times New Roman" w:eastAsia="MS PGothic" w:hAnsi="Times New Roman" w:cs="Times New Roman"/>
          <w:color w:val="000000"/>
        </w:rPr>
        <w:t xml:space="preserve"> remain principles-based to avoid over-regulation. Other stakeholders advocated for a clear set of </w:t>
      </w:r>
      <w:r w:rsidRPr="000266F5">
        <w:rPr>
          <w:rFonts w:ascii="Times New Roman" w:eastAsia="Times New Roman" w:hAnsi="Times New Roman" w:cs="Times New Roman"/>
          <w:lang w:eastAsia="en-AU"/>
        </w:rPr>
        <w:t>obligations</w:t>
      </w:r>
      <w:r w:rsidRPr="000266F5">
        <w:rPr>
          <w:rFonts w:ascii="Times New Roman" w:eastAsia="MS PGothic" w:hAnsi="Times New Roman" w:cs="Times New Roman"/>
          <w:color w:val="000000"/>
        </w:rPr>
        <w:t xml:space="preserve"> for industry operators to provide regulatory clarity for operators.</w:t>
      </w:r>
    </w:p>
    <w:p w14:paraId="6E3878BF" w14:textId="77777777" w:rsidR="00993F09" w:rsidRPr="000266F5" w:rsidRDefault="00993F09" w:rsidP="00993F09">
      <w:pPr>
        <w:pStyle w:val="ListParagraph"/>
        <w:tabs>
          <w:tab w:val="left" w:pos="426"/>
        </w:tabs>
        <w:spacing w:after="0" w:line="240" w:lineRule="auto"/>
        <w:ind w:left="227"/>
        <w:rPr>
          <w:rFonts w:ascii="Times New Roman" w:eastAsia="MS PGothic" w:hAnsi="Times New Roman" w:cs="Times New Roman"/>
          <w:color w:val="000000"/>
        </w:rPr>
      </w:pPr>
    </w:p>
    <w:p w14:paraId="077D3B7D" w14:textId="579658F5"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Stakeholders across sectors clearly articulated the need to reduce duplication with existing frameworks. States and territories called for alignment with existing jurisdictional requirements. A number of stakeholders pointed to existing international standards and examples of best practice. Stakeholders agreed that Government will need to work with operators to develop and implement the </w:t>
      </w:r>
      <w:r>
        <w:rPr>
          <w:rFonts w:ascii="Times New Roman" w:eastAsia="MS PGothic" w:hAnsi="Times New Roman" w:cs="Times New Roman"/>
          <w:color w:val="000000"/>
        </w:rPr>
        <w:t>Positive Security Obligations</w:t>
      </w:r>
      <w:r w:rsidRPr="000266F5">
        <w:rPr>
          <w:rFonts w:ascii="Times New Roman" w:eastAsia="MS PGothic" w:hAnsi="Times New Roman" w:cs="Times New Roman"/>
          <w:color w:val="000000"/>
        </w:rPr>
        <w:t xml:space="preserve"> in way that reduces its impost. Industry recommended that Government and operators work together to better understand and reduce the economic impacts of the reforms, as critical infrastructure </w:t>
      </w:r>
      <w:r>
        <w:rPr>
          <w:rFonts w:ascii="Times New Roman" w:eastAsia="MS PGothic" w:hAnsi="Times New Roman" w:cs="Times New Roman"/>
          <w:color w:val="000000"/>
        </w:rPr>
        <w:t>assets</w:t>
      </w:r>
      <w:r w:rsidRPr="000266F5">
        <w:rPr>
          <w:rFonts w:ascii="Times New Roman" w:eastAsia="MS PGothic" w:hAnsi="Times New Roman" w:cs="Times New Roman"/>
          <w:color w:val="000000"/>
        </w:rPr>
        <w:t xml:space="preserve"> would not presently able to provide cost estimates.</w:t>
      </w:r>
    </w:p>
    <w:p w14:paraId="6A5FE6E0"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p>
    <w:p w14:paraId="7C290F9D" w14:textId="663EF40B"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The Department is committed to reducing duplication and unnecessary regulatory impost</w:t>
      </w:r>
      <w:r>
        <w:rPr>
          <w:rFonts w:ascii="Times New Roman" w:eastAsia="MS PGothic" w:hAnsi="Times New Roman" w:cs="Times New Roman"/>
          <w:color w:val="000000"/>
        </w:rPr>
        <w:t xml:space="preserve"> by identifying potential offsets through the co-design of the risk management program</w:t>
      </w:r>
      <w:r w:rsidRPr="000266F5">
        <w:rPr>
          <w:rFonts w:ascii="Times New Roman" w:eastAsia="MS PGothic" w:hAnsi="Times New Roman" w:cs="Times New Roman"/>
          <w:color w:val="000000"/>
        </w:rPr>
        <w:t xml:space="preserve">. The </w:t>
      </w:r>
      <w:r w:rsidRPr="000266F5">
        <w:rPr>
          <w:rFonts w:ascii="Times New Roman" w:eastAsia="Arial" w:hAnsi="Times New Roman" w:cs="Times New Roman"/>
        </w:rPr>
        <w:t>Department</w:t>
      </w:r>
      <w:r w:rsidRPr="000266F5">
        <w:rPr>
          <w:rFonts w:ascii="Times New Roman" w:eastAsia="MS PGothic" w:hAnsi="Times New Roman" w:cs="Times New Roman"/>
          <w:color w:val="000000"/>
        </w:rPr>
        <w:t xml:space="preserve"> will work in tandem with industry and existing regulators to develop and implement the </w:t>
      </w:r>
      <w:r>
        <w:rPr>
          <w:rFonts w:ascii="Times New Roman" w:eastAsia="MS PGothic" w:hAnsi="Times New Roman" w:cs="Times New Roman"/>
          <w:color w:val="000000"/>
        </w:rPr>
        <w:t>Positive Security Obligations</w:t>
      </w:r>
      <w:r w:rsidRPr="000266F5">
        <w:rPr>
          <w:rFonts w:ascii="Times New Roman" w:eastAsia="MS PGothic" w:hAnsi="Times New Roman" w:cs="Times New Roman"/>
          <w:color w:val="000000"/>
        </w:rPr>
        <w:t>. Key to this process will be the identification of sector regulators and existing regulatory standards, guidance or international exemplars that:</w:t>
      </w:r>
    </w:p>
    <w:p w14:paraId="4E48FDFC"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meet the </w:t>
      </w:r>
      <w:r>
        <w:rPr>
          <w:rFonts w:ascii="Times New Roman" w:eastAsia="MS PGothic" w:hAnsi="Times New Roman" w:cs="Times New Roman"/>
          <w:color w:val="000000"/>
        </w:rPr>
        <w:t>Positive Security Obligation’</w:t>
      </w:r>
      <w:r w:rsidRPr="000266F5">
        <w:rPr>
          <w:rFonts w:ascii="Times New Roman" w:eastAsia="MS PGothic" w:hAnsi="Times New Roman" w:cs="Times New Roman"/>
          <w:color w:val="000000"/>
        </w:rPr>
        <w:t xml:space="preserve">s high-level security outcomes; and </w:t>
      </w:r>
    </w:p>
    <w:p w14:paraId="61448170"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meet the needs of the sector’s operators and regulator.</w:t>
      </w:r>
    </w:p>
    <w:p w14:paraId="1C269E2D" w14:textId="77777777" w:rsidR="00993F09" w:rsidRPr="000266F5" w:rsidRDefault="00993F09" w:rsidP="00993F09">
      <w:pPr>
        <w:tabs>
          <w:tab w:val="left" w:pos="426"/>
        </w:tabs>
        <w:spacing w:after="0" w:line="240" w:lineRule="auto"/>
        <w:ind w:left="720"/>
        <w:rPr>
          <w:rFonts w:ascii="Times New Roman" w:eastAsia="MS PGothic" w:hAnsi="Times New Roman" w:cs="Times New Roman"/>
          <w:color w:val="000000"/>
        </w:rPr>
      </w:pPr>
    </w:p>
    <w:p w14:paraId="108EDAD3" w14:textId="1825367F" w:rsidR="00993F09"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During this process, the Department will work with entities to conduct economic modelling on a sectoral basis to draw out key risks and impacts, and build this information in to the Positive Security Obligation’s co-design.</w:t>
      </w:r>
    </w:p>
    <w:p w14:paraId="63D2E450" w14:textId="77777777" w:rsidR="00AC00E1" w:rsidRPr="000266F5" w:rsidRDefault="00AC00E1" w:rsidP="00993F09">
      <w:pPr>
        <w:tabs>
          <w:tab w:val="left" w:pos="426"/>
        </w:tabs>
        <w:spacing w:after="0" w:line="240" w:lineRule="auto"/>
        <w:rPr>
          <w:rFonts w:ascii="Times New Roman" w:eastAsia="MS PGothic" w:hAnsi="Times New Roman" w:cs="Times New Roman"/>
          <w:color w:val="000000"/>
        </w:rPr>
      </w:pPr>
    </w:p>
    <w:p w14:paraId="536D8626" w14:textId="11174588" w:rsidR="00993F09" w:rsidRDefault="00993F09" w:rsidP="00AC00E1">
      <w:pPr>
        <w:tabs>
          <w:tab w:val="left" w:pos="426"/>
        </w:tabs>
        <w:spacing w:after="0" w:line="240" w:lineRule="auto"/>
        <w:rPr>
          <w:rFonts w:ascii="Times New Roman" w:eastAsia="MS PGothic" w:hAnsi="Times New Roman" w:cs="Times New Roman"/>
          <w:i/>
          <w:iCs/>
          <w:color w:val="000000"/>
        </w:rPr>
      </w:pPr>
      <w:r w:rsidRPr="000266F5">
        <w:rPr>
          <w:rFonts w:ascii="Times New Roman" w:eastAsia="MS PGothic" w:hAnsi="Times New Roman" w:cs="Times New Roman"/>
          <w:i/>
          <w:iCs/>
          <w:color w:val="000000"/>
        </w:rPr>
        <w:t>Enhanced Cyber Security Obligations</w:t>
      </w:r>
    </w:p>
    <w:p w14:paraId="44D3262F" w14:textId="77777777" w:rsidR="00AC00E1" w:rsidRPr="000266F5" w:rsidRDefault="00AC00E1" w:rsidP="00EE0D81">
      <w:pPr>
        <w:tabs>
          <w:tab w:val="left" w:pos="426"/>
        </w:tabs>
        <w:spacing w:after="0" w:line="240" w:lineRule="auto"/>
        <w:rPr>
          <w:rFonts w:ascii="Times New Roman" w:eastAsia="MS PGothic" w:hAnsi="Times New Roman" w:cs="Times New Roman"/>
          <w:i/>
          <w:iCs/>
          <w:color w:val="000000"/>
        </w:rPr>
      </w:pPr>
    </w:p>
    <w:p w14:paraId="2BC0542B"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Through consultation, industry has also clearly articulated that the Enhanced Cyber Security Obligations must be proportionate to entities’ cyber risks and consequences. To meet this requirement, only a limited subset of entities are expected to be subject to these obligations. Coverage will be informed by work being undertaken by the CIC to map critical infrastructure </w:t>
      </w:r>
      <w:r w:rsidRPr="000266F5">
        <w:rPr>
          <w:rFonts w:ascii="Times New Roman" w:eastAsia="MS PGothic" w:hAnsi="Times New Roman" w:cs="Times New Roman"/>
          <w:color w:val="000000"/>
        </w:rPr>
        <w:lastRenderedPageBreak/>
        <w:t>interdependencies, identify the nation’s most critical entities, and support the Minister’s designation using a methodology tested with industry and government. The methodology considers sectors’ critical functions, the reliance of others on those functions, and their operational features of each sector. This enables the identification of entities that would represent a systemic threat if compromised, due to the significant number of critical functions across sectors directly or indirectly impacted.</w:t>
      </w:r>
    </w:p>
    <w:p w14:paraId="0C69D2D6" w14:textId="77777777" w:rsidR="00993F09" w:rsidRPr="000266F5" w:rsidRDefault="00993F09" w:rsidP="00993F09">
      <w:pPr>
        <w:tabs>
          <w:tab w:val="left" w:pos="426"/>
        </w:tabs>
        <w:spacing w:before="240" w:after="240" w:line="240" w:lineRule="auto"/>
        <w:rPr>
          <w:rFonts w:ascii="Times New Roman" w:eastAsia="MS PGothic" w:hAnsi="Times New Roman" w:cs="Times New Roman"/>
          <w:i/>
          <w:iCs/>
          <w:color w:val="000000"/>
        </w:rPr>
      </w:pPr>
      <w:r w:rsidRPr="000266F5">
        <w:rPr>
          <w:rFonts w:ascii="Times New Roman" w:eastAsia="MS PGothic" w:hAnsi="Times New Roman" w:cs="Times New Roman"/>
          <w:i/>
          <w:iCs/>
          <w:color w:val="000000"/>
        </w:rPr>
        <w:t>Government Assistance</w:t>
      </w:r>
    </w:p>
    <w:p w14:paraId="52CA0DB8"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Industry consultation on the Government Assistance measure has revealed cautious support. Industry reiterated the need for appropriate thresholds and oversight, and recognition that voluntary partnerships remain the Government’s first preference for resolving incidents. In response to this feedback, it is proposed that the Secretary of Home Affairs, on advice from relevant organisations, will have the power to seek an authorisation from the Minister for Home Affairs to take steps to prevent, mitigate or restore functionality of an asset following a nationally significant cyber incident, if an entity is unable or unwilling to do so. The proposed option will cover any asset within a </w:t>
      </w:r>
      <w:r w:rsidRPr="00EE0D81">
        <w:rPr>
          <w:rFonts w:ascii="Times New Roman" w:hAnsi="Times New Roman"/>
          <w:i/>
          <w:color w:val="000000"/>
        </w:rPr>
        <w:t>critical infrastructure sector</w:t>
      </w:r>
      <w:r w:rsidRPr="000266F5">
        <w:rPr>
          <w:rFonts w:ascii="Times New Roman" w:eastAsia="MS PGothic" w:hAnsi="Times New Roman" w:cs="Times New Roman"/>
          <w:color w:val="000000"/>
        </w:rPr>
        <w:t xml:space="preserve">, to ensure the Government can effectively intervene if there were a nationally significant cyber incident impacting critical infrastructure. This broader scope will ensure the Government can take necessary steps to manage significant risks at appropriate points in the supply chain of </w:t>
      </w:r>
      <w:r w:rsidRPr="00EE0D81">
        <w:rPr>
          <w:rFonts w:ascii="Times New Roman" w:hAnsi="Times New Roman"/>
          <w:i/>
          <w:color w:val="000000"/>
        </w:rPr>
        <w:t>critical infrastructure asset</w:t>
      </w:r>
      <w:r w:rsidRPr="000266F5">
        <w:rPr>
          <w:rFonts w:ascii="Times New Roman" w:eastAsia="MS PGothic" w:hAnsi="Times New Roman" w:cs="Times New Roman"/>
          <w:color w:val="000000"/>
        </w:rPr>
        <w:t>s.</w:t>
      </w:r>
    </w:p>
    <w:p w14:paraId="2C7D2B9B" w14:textId="77777777" w:rsidR="00993F09" w:rsidRPr="000266F5" w:rsidRDefault="00993F09" w:rsidP="00993F09">
      <w:pPr>
        <w:tabs>
          <w:tab w:val="left" w:pos="426"/>
        </w:tabs>
        <w:spacing w:before="240" w:after="240" w:line="240" w:lineRule="auto"/>
        <w:rPr>
          <w:rFonts w:ascii="Times New Roman" w:eastAsia="MS PGothic" w:hAnsi="Times New Roman" w:cs="Times New Roman"/>
          <w:i/>
          <w:iCs/>
          <w:color w:val="000000"/>
        </w:rPr>
      </w:pPr>
      <w:r w:rsidRPr="000266F5">
        <w:rPr>
          <w:rFonts w:ascii="Times New Roman" w:eastAsia="MS PGothic" w:hAnsi="Times New Roman" w:cs="Times New Roman"/>
          <w:i/>
          <w:iCs/>
          <w:color w:val="000000"/>
        </w:rPr>
        <w:t xml:space="preserve">Co-design and implementation are key </w:t>
      </w:r>
    </w:p>
    <w:p w14:paraId="58FE9207"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Industry, states and territories expressed strong concern over the short timeframe allocated for consultation on the enhanced legislative framework. Entities are keen to work closely once the co-design process is initiated. In light of the short consultation timeframes, a number of stakeholders across industry, states and territories additionally called for release of an Exposure Draft of the Bill. </w:t>
      </w:r>
    </w:p>
    <w:p w14:paraId="393503A4" w14:textId="77777777" w:rsidR="00993F09" w:rsidRPr="000266F5" w:rsidRDefault="00993F09" w:rsidP="00993F09">
      <w:pPr>
        <w:pStyle w:val="ListParagraph"/>
        <w:tabs>
          <w:tab w:val="left" w:pos="426"/>
        </w:tabs>
        <w:spacing w:after="0" w:line="240" w:lineRule="auto"/>
        <w:ind w:left="227"/>
        <w:rPr>
          <w:rFonts w:ascii="Times New Roman" w:eastAsia="MS PGothic" w:hAnsi="Times New Roman" w:cs="Times New Roman"/>
          <w:color w:val="000000"/>
        </w:rPr>
      </w:pPr>
    </w:p>
    <w:p w14:paraId="41D97009" w14:textId="3043254A" w:rsidR="00993F09"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The Department has engaged in targeted engagement with sectors to consider the details of the legislative framework, with sectoral co-design of requirements giving effect to the </w:t>
      </w:r>
      <w:r>
        <w:rPr>
          <w:rFonts w:ascii="Times New Roman" w:eastAsia="MS PGothic" w:hAnsi="Times New Roman" w:cs="Times New Roman"/>
          <w:color w:val="000000"/>
        </w:rPr>
        <w:t>Positive Security Obligations</w:t>
      </w:r>
      <w:r w:rsidRPr="000266F5">
        <w:rPr>
          <w:rFonts w:ascii="Times New Roman" w:eastAsia="MS PGothic" w:hAnsi="Times New Roman" w:cs="Times New Roman"/>
          <w:color w:val="000000"/>
        </w:rPr>
        <w:t xml:space="preserve"> to occur in late-2020 to mid-2021. Prior to introduction of the Bill to Parliament, the Department </w:t>
      </w:r>
      <w:r>
        <w:rPr>
          <w:rFonts w:ascii="Times New Roman" w:eastAsia="MS PGothic" w:hAnsi="Times New Roman" w:cs="Times New Roman"/>
          <w:color w:val="000000"/>
        </w:rPr>
        <w:t>released</w:t>
      </w:r>
      <w:r w:rsidRPr="000266F5">
        <w:rPr>
          <w:rFonts w:ascii="Times New Roman" w:eastAsia="MS PGothic" w:hAnsi="Times New Roman" w:cs="Times New Roman"/>
          <w:color w:val="000000"/>
        </w:rPr>
        <w:t xml:space="preserve"> an Exposure Draft of the legislative reforms to seek</w:t>
      </w:r>
      <w:r>
        <w:rPr>
          <w:rFonts w:ascii="Times New Roman" w:eastAsia="MS PGothic" w:hAnsi="Times New Roman" w:cs="Times New Roman"/>
          <w:color w:val="000000"/>
        </w:rPr>
        <w:t>ing</w:t>
      </w:r>
      <w:r w:rsidRPr="000266F5">
        <w:rPr>
          <w:rFonts w:ascii="Times New Roman" w:eastAsia="MS PGothic" w:hAnsi="Times New Roman" w:cs="Times New Roman"/>
          <w:color w:val="000000"/>
        </w:rPr>
        <w:t xml:space="preserve"> further feedback from operators on thresholds</w:t>
      </w:r>
      <w:r>
        <w:rPr>
          <w:rFonts w:ascii="Times New Roman" w:eastAsia="MS PGothic" w:hAnsi="Times New Roman" w:cs="Times New Roman"/>
          <w:color w:val="000000"/>
        </w:rPr>
        <w:t xml:space="preserve"> and obligations outlined in the draft Bill.</w:t>
      </w:r>
    </w:p>
    <w:p w14:paraId="0F588181" w14:textId="77777777" w:rsidR="00AC00E1" w:rsidRPr="000266F5" w:rsidRDefault="00AC00E1" w:rsidP="00993F09">
      <w:pPr>
        <w:tabs>
          <w:tab w:val="left" w:pos="426"/>
        </w:tabs>
        <w:spacing w:after="0" w:line="240" w:lineRule="auto"/>
        <w:rPr>
          <w:rFonts w:ascii="Times New Roman" w:eastAsia="MS PGothic" w:hAnsi="Times New Roman" w:cs="Times New Roman"/>
          <w:color w:val="000000"/>
        </w:rPr>
      </w:pPr>
    </w:p>
    <w:p w14:paraId="4DABF1B8" w14:textId="77777777" w:rsidR="00993F09" w:rsidRPr="000266F5" w:rsidRDefault="00993F09" w:rsidP="00EE0D81">
      <w:pPr>
        <w:tabs>
          <w:tab w:val="left" w:pos="426"/>
        </w:tabs>
        <w:spacing w:after="0" w:line="240" w:lineRule="auto"/>
        <w:rPr>
          <w:rFonts w:ascii="Times New Roman" w:eastAsia="MS PGothic" w:hAnsi="Times New Roman" w:cs="Times New Roman"/>
          <w:i/>
          <w:iCs/>
          <w:color w:val="000000"/>
        </w:rPr>
      </w:pPr>
      <w:r w:rsidRPr="000266F5">
        <w:rPr>
          <w:rFonts w:ascii="Times New Roman" w:eastAsia="MS PGothic" w:hAnsi="Times New Roman" w:cs="Times New Roman"/>
          <w:i/>
          <w:iCs/>
          <w:color w:val="000000"/>
        </w:rPr>
        <w:t xml:space="preserve">Building a </w:t>
      </w:r>
      <w:r w:rsidRPr="00AC00E1">
        <w:rPr>
          <w:rFonts w:ascii="Times New Roman" w:eastAsia="MS PGothic" w:hAnsi="Times New Roman" w:cs="Times New Roman"/>
          <w:i/>
          <w:color w:val="000000"/>
        </w:rPr>
        <w:t>Government</w:t>
      </w:r>
      <w:r w:rsidRPr="000266F5">
        <w:rPr>
          <w:rFonts w:ascii="Times New Roman" w:eastAsia="MS PGothic" w:hAnsi="Times New Roman" w:cs="Times New Roman"/>
          <w:i/>
          <w:iCs/>
          <w:color w:val="000000"/>
        </w:rPr>
        <w:t>-Industry partnership through ongoing engagement</w:t>
      </w:r>
    </w:p>
    <w:p w14:paraId="586501A0" w14:textId="77777777" w:rsidR="00993F09" w:rsidRPr="000266F5" w:rsidRDefault="00993F09" w:rsidP="00993F09">
      <w:pPr>
        <w:pStyle w:val="ListParagraph"/>
        <w:tabs>
          <w:tab w:val="left" w:pos="426"/>
        </w:tabs>
        <w:spacing w:after="0" w:line="240" w:lineRule="auto"/>
        <w:ind w:left="227"/>
        <w:rPr>
          <w:rFonts w:ascii="Times New Roman" w:eastAsia="MS PGothic" w:hAnsi="Times New Roman" w:cs="Times New Roman"/>
          <w:color w:val="000000"/>
        </w:rPr>
      </w:pPr>
    </w:p>
    <w:p w14:paraId="35FC328A" w14:textId="1AFA5DD4"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Stakeholders recognised that key to the required uplift of security and resilience in Australia’s critical infrastructure, is an enhanced relationship between operators and governments. The Department heard that the Government’s non-regulatory engagement with operators needs to be strengthened. Stakeholders advised that the value of the TISN has diminished and that its reinvigoration would require genuine and valuable information exchange, and guidance from Government. Industry noted that expansion of the TISN, in line with the reforms’ coverage, will bring additional insights and information sharing to the networks. </w:t>
      </w:r>
    </w:p>
    <w:p w14:paraId="272BA2B0" w14:textId="77777777" w:rsidR="00993F09" w:rsidRPr="000266F5" w:rsidRDefault="00993F09" w:rsidP="00993F09">
      <w:pPr>
        <w:pStyle w:val="ListParagraph"/>
        <w:tabs>
          <w:tab w:val="left" w:pos="426"/>
        </w:tabs>
        <w:spacing w:after="0" w:line="240" w:lineRule="auto"/>
        <w:ind w:left="227"/>
        <w:rPr>
          <w:rFonts w:ascii="Times New Roman" w:eastAsia="MS PGothic" w:hAnsi="Times New Roman" w:cs="Times New Roman"/>
          <w:color w:val="000000"/>
        </w:rPr>
      </w:pPr>
    </w:p>
    <w:p w14:paraId="500D0983"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A number of submissions called for monetary support from Government to assist them uplift their security and comply with legislative obligations. </w:t>
      </w:r>
    </w:p>
    <w:p w14:paraId="1F32BCAF"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p>
    <w:p w14:paraId="787D5419" w14:textId="056461AC"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The Department is committed to building its voluntary engagement mechanisms, including through the TISN. The Department is exploring a number of measures to improve Government’s operator engagement and build a collective understanding of risk within and across sectors, including by: co-designing best practice guidance; providing all hazard threat assessments; and, introducing a two-way industry-government secondment program. This support will assist entities meet their legislated obligations, as well as building the security and resilience of non-regulated entities. Through the </w:t>
      </w:r>
      <w:r w:rsidRPr="000266F5">
        <w:rPr>
          <w:rFonts w:ascii="Times New Roman" w:eastAsia="MS PGothic" w:hAnsi="Times New Roman" w:cs="Times New Roman"/>
          <w:color w:val="000000"/>
        </w:rPr>
        <w:lastRenderedPageBreak/>
        <w:t xml:space="preserve">Cyber Security Strategy 2020, the Department is also building its cyber security industry outreach capability by establishing a permanent presence within the Joint Cyber Security Centres. </w:t>
      </w:r>
    </w:p>
    <w:p w14:paraId="7B102AB4" w14:textId="77777777" w:rsidR="00993F09" w:rsidRPr="000266F5" w:rsidRDefault="00993F09" w:rsidP="00993F09">
      <w:pPr>
        <w:tabs>
          <w:tab w:val="left" w:pos="426"/>
        </w:tabs>
        <w:spacing w:after="0" w:line="240" w:lineRule="auto"/>
        <w:rPr>
          <w:rFonts w:ascii="Times New Roman" w:eastAsia="MS PGothic" w:hAnsi="Times New Roman" w:cs="Times New Roman"/>
          <w:color w:val="000000"/>
        </w:rPr>
      </w:pPr>
    </w:p>
    <w:p w14:paraId="364343B0" w14:textId="66E4B223" w:rsidR="00993F09" w:rsidRPr="000266F5" w:rsidRDefault="00993F09" w:rsidP="00993F09">
      <w:p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Importantly, engagement with industry does not end here. Co-design of the sector-specific approaches is expected to continue into early 2021 to both meet the needs and appropriately lift the capabilities of regulated entities. This includes working closely with entities and regulators to prepare sector-specific guidance and provide clear understanding of the requirements of the </w:t>
      </w:r>
      <w:r>
        <w:rPr>
          <w:rFonts w:ascii="Times New Roman" w:eastAsia="MS PGothic" w:hAnsi="Times New Roman" w:cs="Times New Roman"/>
          <w:color w:val="000000"/>
        </w:rPr>
        <w:t>Risk Management Program under the Positive Security Obligations, and who will be required to report to the Register of Critical Infrastructure and engage in Mandatory Cyber Reporting</w:t>
      </w:r>
      <w:r w:rsidRPr="000266F5">
        <w:rPr>
          <w:rFonts w:ascii="Times New Roman" w:eastAsia="MS PGothic" w:hAnsi="Times New Roman" w:cs="Times New Roman"/>
          <w:color w:val="000000"/>
        </w:rPr>
        <w:t>.</w:t>
      </w:r>
      <w:r>
        <w:rPr>
          <w:rFonts w:ascii="Times New Roman" w:eastAsia="MS PGothic" w:hAnsi="Times New Roman" w:cs="Times New Roman"/>
          <w:color w:val="000000"/>
        </w:rPr>
        <w:t xml:space="preserve"> This will be influenced heavily by existing regulations experienced currently by each sector.</w:t>
      </w:r>
      <w:r w:rsidRPr="000266F5">
        <w:rPr>
          <w:rFonts w:ascii="Times New Roman" w:eastAsia="MS PGothic" w:hAnsi="Times New Roman" w:cs="Times New Roman"/>
          <w:color w:val="000000"/>
        </w:rPr>
        <w:t xml:space="preserve"> This will also enable the Government to build on its current partnership with industry to develop a stronger and more collaborative approach to engagement, communication and information sharing.</w:t>
      </w:r>
    </w:p>
    <w:p w14:paraId="4D8879FF" w14:textId="77777777" w:rsidR="00993F09" w:rsidRPr="000266F5" w:rsidRDefault="00993F09" w:rsidP="00993F09">
      <w:pPr>
        <w:tabs>
          <w:tab w:val="left" w:pos="426"/>
        </w:tabs>
        <w:spacing w:before="240" w:after="240" w:line="240" w:lineRule="auto"/>
        <w:rPr>
          <w:rFonts w:ascii="Times New Roman" w:eastAsia="MS PGothic" w:hAnsi="Times New Roman" w:cs="Times New Roman"/>
          <w:i/>
          <w:iCs/>
          <w:color w:val="000000"/>
        </w:rPr>
      </w:pPr>
      <w:r w:rsidRPr="000266F5">
        <w:rPr>
          <w:rFonts w:ascii="Times New Roman" w:eastAsia="MS PGothic" w:hAnsi="Times New Roman" w:cs="Times New Roman"/>
          <w:i/>
          <w:iCs/>
          <w:color w:val="000000"/>
        </w:rPr>
        <w:t>The role of states and territories</w:t>
      </w:r>
    </w:p>
    <w:p w14:paraId="07BD1B49" w14:textId="71F57837" w:rsidR="00993F09" w:rsidRPr="000266F5" w:rsidRDefault="00993F09" w:rsidP="00993F09">
      <w:pPr>
        <w:tabs>
          <w:tab w:val="left" w:pos="426"/>
        </w:tabs>
        <w:spacing w:after="0" w:line="240" w:lineRule="auto"/>
        <w:rPr>
          <w:rFonts w:ascii="Times New Roman" w:eastAsia="Times New Roman" w:hAnsi="Times New Roman" w:cs="Times New Roman"/>
          <w:lang w:eastAsia="en-AU"/>
        </w:rPr>
      </w:pPr>
      <w:r w:rsidRPr="000266F5">
        <w:rPr>
          <w:rFonts w:ascii="Times New Roman" w:eastAsia="Times New Roman" w:hAnsi="Times New Roman" w:cs="Times New Roman"/>
          <w:lang w:eastAsia="en-AU"/>
        </w:rPr>
        <w:t xml:space="preserve">In round tables and in bilateral meetings, state and territory agencies have highlighted the importance of aligning these reforms with existing arrangements in their jurisdictions and working in partnership with the Commonwealth to design and implement these reforms. States and territories have the opportunity to be involved in the co-design of the sector specific standards, information sharing arrangements and the Government Assistance measures. The Tasmanian </w:t>
      </w:r>
      <w:r w:rsidRPr="000266F5">
        <w:rPr>
          <w:rFonts w:ascii="Times New Roman" w:eastAsia="MS PGothic" w:hAnsi="Times New Roman" w:cs="Times New Roman"/>
          <w:color w:val="000000"/>
        </w:rPr>
        <w:t>Government</w:t>
      </w:r>
      <w:r w:rsidRPr="000266F5">
        <w:rPr>
          <w:rFonts w:ascii="Times New Roman" w:eastAsia="Times New Roman" w:hAnsi="Times New Roman" w:cs="Times New Roman"/>
          <w:lang w:eastAsia="en-AU"/>
        </w:rPr>
        <w:t xml:space="preserve"> told the Department, “any powers developed that give the Australian Government the ability to declare a sector specific emergency should only be done in consultation with jurisdictions, and then only by the relevant portfolio/sector minister”. Industry stakeholders also identified that collaboration with states and territories could assist in building security outcomes. Industry advised that, for example, state and local government agreement could be sought to enhance physical security by security perimeters around critical assets.</w:t>
      </w:r>
    </w:p>
    <w:p w14:paraId="7CCC655B" w14:textId="77777777" w:rsidR="00993F09" w:rsidRPr="000266F5" w:rsidRDefault="00993F09" w:rsidP="00993F09">
      <w:pPr>
        <w:pStyle w:val="ListParagraph"/>
        <w:tabs>
          <w:tab w:val="left" w:pos="426"/>
        </w:tabs>
        <w:spacing w:after="0" w:line="240" w:lineRule="auto"/>
        <w:ind w:left="227"/>
        <w:rPr>
          <w:rFonts w:ascii="Times New Roman" w:eastAsia="Times New Roman" w:hAnsi="Times New Roman" w:cs="Times New Roman"/>
          <w:lang w:eastAsia="en-AU"/>
        </w:rPr>
      </w:pPr>
    </w:p>
    <w:p w14:paraId="485949D8" w14:textId="50506911" w:rsidR="00993F09" w:rsidRDefault="00993F09" w:rsidP="00993F09">
      <w:pPr>
        <w:tabs>
          <w:tab w:val="left" w:pos="426"/>
        </w:tabs>
        <w:spacing w:after="0" w:line="240" w:lineRule="auto"/>
        <w:rPr>
          <w:rFonts w:ascii="Times New Roman" w:eastAsia="Times New Roman" w:hAnsi="Times New Roman" w:cs="Times New Roman"/>
          <w:lang w:eastAsia="en-AU"/>
        </w:rPr>
      </w:pPr>
      <w:r w:rsidRPr="000266F5">
        <w:rPr>
          <w:rFonts w:ascii="Times New Roman" w:eastAsia="Times New Roman" w:hAnsi="Times New Roman" w:cs="Times New Roman"/>
          <w:lang w:eastAsia="en-AU"/>
        </w:rPr>
        <w:t xml:space="preserve">The Department will continue to work with states and territories throughout the implementation </w:t>
      </w:r>
      <w:r w:rsidRPr="000266F5">
        <w:rPr>
          <w:rFonts w:ascii="Times New Roman" w:eastAsia="MS PGothic" w:hAnsi="Times New Roman" w:cs="Times New Roman"/>
          <w:color w:val="000000"/>
        </w:rPr>
        <w:t>of</w:t>
      </w:r>
      <w:r w:rsidRPr="000266F5">
        <w:rPr>
          <w:rFonts w:ascii="Times New Roman" w:eastAsia="Times New Roman" w:hAnsi="Times New Roman" w:cs="Times New Roman"/>
          <w:lang w:eastAsia="en-AU"/>
        </w:rPr>
        <w:t xml:space="preserve"> these reforms to build information sharing capability across jurisdictions and leverage existing security relationships. The Department will continue to work with Commonwealth agencies and states and territories to uplift the security and resilience of Australia’s Government and Democracy.</w:t>
      </w:r>
    </w:p>
    <w:p w14:paraId="2472D1FD" w14:textId="77777777" w:rsidR="00993F09" w:rsidRDefault="00993F09" w:rsidP="00993F09">
      <w:pPr>
        <w:tabs>
          <w:tab w:val="left" w:pos="426"/>
        </w:tabs>
        <w:spacing w:after="0" w:line="240" w:lineRule="auto"/>
        <w:rPr>
          <w:rFonts w:ascii="Times New Roman" w:eastAsia="Times New Roman" w:hAnsi="Times New Roman" w:cs="Times New Roman"/>
          <w:lang w:eastAsia="en-AU"/>
        </w:rPr>
      </w:pPr>
    </w:p>
    <w:p w14:paraId="63EEADAD" w14:textId="77777777" w:rsidR="00993F09" w:rsidRDefault="00993F09" w:rsidP="00B369B5">
      <w:pPr>
        <w:pStyle w:val="ListParagraph"/>
        <w:numPr>
          <w:ilvl w:val="1"/>
          <w:numId w:val="12"/>
        </w:numPr>
        <w:spacing w:after="200" w:line="240" w:lineRule="auto"/>
        <w:rPr>
          <w:rFonts w:ascii="Times New Roman" w:eastAsia="Arial" w:hAnsi="Times New Roman" w:cs="Times New Roman"/>
          <w:b/>
          <w:bCs/>
        </w:rPr>
      </w:pPr>
      <w:r>
        <w:rPr>
          <w:rFonts w:ascii="Times New Roman" w:eastAsia="Arial" w:hAnsi="Times New Roman" w:cs="Times New Roman"/>
          <w:b/>
          <w:bCs/>
        </w:rPr>
        <w:t>Risk management program – co-design process to address stakeholder concerns</w:t>
      </w:r>
    </w:p>
    <w:p w14:paraId="5689ACB9" w14:textId="77777777" w:rsidR="00993F09" w:rsidRPr="001A7788" w:rsidRDefault="00993F09" w:rsidP="00993F09">
      <w:pPr>
        <w:rPr>
          <w:rFonts w:ascii="Times New Roman" w:hAnsi="Times New Roman" w:cs="Times New Roman"/>
        </w:rPr>
      </w:pPr>
      <w:r w:rsidRPr="001A7788">
        <w:rPr>
          <w:rFonts w:ascii="Times New Roman" w:hAnsi="Times New Roman" w:cs="Times New Roman"/>
        </w:rPr>
        <w:t>Partnerships with industry sit at the foundation of these reforms.</w:t>
      </w:r>
      <w:r w:rsidRPr="00EE0D81">
        <w:rPr>
          <w:rFonts w:ascii="Times New Roman" w:hAnsi="Times New Roman"/>
        </w:rPr>
        <w:t xml:space="preserve"> </w:t>
      </w:r>
      <w:r w:rsidRPr="001A7788">
        <w:rPr>
          <w:rFonts w:ascii="Times New Roman" w:hAnsi="Times New Roman" w:cs="Times New Roman"/>
        </w:rPr>
        <w:t>As such, consultation will not end with the introduction of the enhanced legislative framework. The Government will continue to work with industry and state and territory governments to make sure that existing regulations, frameworks and guidelines are leveraged, and to minimise any duplication, ensuring costs are offset to minimise regulatory burden. Close co-design will be integral to understanding the most effective way to implement the proposed reforms, and ensure the impost to industry is well understood and addresses any concerns they may have, balanced against Government’s policy objectives to uplift critical infrastructure resilience and security against all hazards.</w:t>
      </w:r>
    </w:p>
    <w:p w14:paraId="7AB41E1A" w14:textId="0E44774E" w:rsidR="00993F09" w:rsidRPr="001A7788" w:rsidRDefault="00993F09" w:rsidP="00993F09">
      <w:pPr>
        <w:rPr>
          <w:rFonts w:ascii="Times New Roman" w:hAnsi="Times New Roman" w:cs="Times New Roman"/>
        </w:rPr>
      </w:pPr>
      <w:r>
        <w:rPr>
          <w:rFonts w:ascii="Times New Roman" w:hAnsi="Times New Roman" w:cs="Times New Roman"/>
        </w:rPr>
        <w:t>The c</w:t>
      </w:r>
      <w:r w:rsidRPr="001A7788">
        <w:rPr>
          <w:rFonts w:ascii="Times New Roman" w:hAnsi="Times New Roman" w:cs="Times New Roman"/>
        </w:rPr>
        <w:t xml:space="preserve">o-design period will commence in </w:t>
      </w:r>
      <w:r w:rsidR="00542DF2">
        <w:rPr>
          <w:rFonts w:ascii="Times New Roman" w:hAnsi="Times New Roman" w:cs="Times New Roman"/>
        </w:rPr>
        <w:t>early</w:t>
      </w:r>
      <w:r w:rsidRPr="001A7788">
        <w:rPr>
          <w:rFonts w:ascii="Times New Roman" w:hAnsi="Times New Roman" w:cs="Times New Roman"/>
        </w:rPr>
        <w:t xml:space="preserve"> 2021 and will be phased on a sector by sector basis over a period of 18 months. During co-design the Department, Commonwealth and state and territory agencies, sector regulators, and key industry stakeholders will work closely together to develop the sector-specific requirements that underpin the </w:t>
      </w:r>
      <w:r w:rsidRPr="00E4093B">
        <w:rPr>
          <w:rFonts w:ascii="Times New Roman" w:hAnsi="Times New Roman" w:cs="Times New Roman"/>
        </w:rPr>
        <w:t>risk management program</w:t>
      </w:r>
      <w:r w:rsidRPr="001A7788">
        <w:rPr>
          <w:rFonts w:ascii="Times New Roman" w:hAnsi="Times New Roman" w:cs="Times New Roman"/>
        </w:rPr>
        <w:t>. It will be important to take this time to ensure these requirements clearly outline expectations, and what would be considered a reasonable and proportionate response to meeting this e</w:t>
      </w:r>
      <w:r>
        <w:rPr>
          <w:rFonts w:ascii="Times New Roman" w:hAnsi="Times New Roman" w:cs="Times New Roman"/>
        </w:rPr>
        <w:t>lement of the Positive Security Obligation.</w:t>
      </w:r>
    </w:p>
    <w:p w14:paraId="6AF3D709" w14:textId="77777777" w:rsidR="00993F09" w:rsidRPr="001A7788" w:rsidRDefault="00993F09" w:rsidP="00993F09">
      <w:pPr>
        <w:spacing w:after="0"/>
        <w:rPr>
          <w:rFonts w:ascii="Times New Roman" w:hAnsi="Times New Roman" w:cs="Times New Roman"/>
        </w:rPr>
      </w:pPr>
      <w:r w:rsidRPr="001A7788">
        <w:rPr>
          <w:rFonts w:ascii="Times New Roman" w:hAnsi="Times New Roman" w:cs="Times New Roman"/>
        </w:rPr>
        <w:t>Undertaking a co-design process will ensure the specific requirements:</w:t>
      </w:r>
    </w:p>
    <w:p w14:paraId="278D5D65" w14:textId="77777777" w:rsidR="00993F09" w:rsidRPr="004A7840" w:rsidRDefault="00993F09" w:rsidP="004A7840">
      <w:pPr>
        <w:numPr>
          <w:ilvl w:val="0"/>
          <w:numId w:val="4"/>
        </w:numPr>
        <w:tabs>
          <w:tab w:val="left" w:pos="426"/>
        </w:tabs>
        <w:spacing w:after="0" w:line="240" w:lineRule="auto"/>
        <w:rPr>
          <w:rFonts w:ascii="Times New Roman" w:eastAsia="MS PGothic" w:hAnsi="Times New Roman" w:cs="Times New Roman"/>
          <w:color w:val="000000"/>
        </w:rPr>
      </w:pPr>
      <w:r w:rsidRPr="004A7840">
        <w:rPr>
          <w:rFonts w:ascii="Times New Roman" w:eastAsia="MS PGothic" w:hAnsi="Times New Roman" w:cs="Times New Roman"/>
          <w:color w:val="000000"/>
        </w:rPr>
        <w:t xml:space="preserve">recognise and do not duplicate existing regulatory or non-regulatory approaches across sectors </w:t>
      </w:r>
    </w:p>
    <w:p w14:paraId="7544BF89" w14:textId="77777777" w:rsidR="00993F09" w:rsidRPr="004A7840" w:rsidRDefault="00993F09" w:rsidP="004A7840">
      <w:pPr>
        <w:numPr>
          <w:ilvl w:val="0"/>
          <w:numId w:val="4"/>
        </w:numPr>
        <w:tabs>
          <w:tab w:val="left" w:pos="426"/>
        </w:tabs>
        <w:spacing w:after="0" w:line="240" w:lineRule="auto"/>
        <w:rPr>
          <w:rFonts w:ascii="Times New Roman" w:eastAsia="MS PGothic" w:hAnsi="Times New Roman" w:cs="Times New Roman"/>
          <w:color w:val="000000"/>
        </w:rPr>
      </w:pPr>
      <w:r w:rsidRPr="004A7840">
        <w:rPr>
          <w:rFonts w:ascii="Times New Roman" w:eastAsia="MS PGothic" w:hAnsi="Times New Roman" w:cs="Times New Roman"/>
          <w:color w:val="000000"/>
        </w:rPr>
        <w:lastRenderedPageBreak/>
        <w:t>are principles-based and proportionate to the risk profile of the particular sector, and</w:t>
      </w:r>
    </w:p>
    <w:p w14:paraId="6974CE6C" w14:textId="77777777" w:rsidR="00993F09" w:rsidRPr="004A7840" w:rsidRDefault="00993F09" w:rsidP="004A7840">
      <w:pPr>
        <w:numPr>
          <w:ilvl w:val="0"/>
          <w:numId w:val="4"/>
        </w:numPr>
        <w:tabs>
          <w:tab w:val="left" w:pos="426"/>
        </w:tabs>
        <w:spacing w:after="0" w:line="240" w:lineRule="auto"/>
        <w:rPr>
          <w:rFonts w:ascii="Times New Roman" w:eastAsia="MS PGothic" w:hAnsi="Times New Roman" w:cs="Times New Roman"/>
          <w:color w:val="000000"/>
        </w:rPr>
      </w:pPr>
      <w:r w:rsidRPr="004A7840">
        <w:rPr>
          <w:rFonts w:ascii="Times New Roman" w:eastAsia="MS PGothic" w:hAnsi="Times New Roman" w:cs="Times New Roman"/>
          <w:color w:val="000000"/>
        </w:rPr>
        <w:t xml:space="preserve">impose the least regulatory burden necessary to achieve the security outcomes.  </w:t>
      </w:r>
    </w:p>
    <w:p w14:paraId="411FF58D" w14:textId="73A1A3E7" w:rsidR="00993F09" w:rsidRPr="001A7788" w:rsidRDefault="00993F09" w:rsidP="00993F09">
      <w:pPr>
        <w:spacing w:before="200" w:after="200"/>
        <w:contextualSpacing/>
        <w:rPr>
          <w:rFonts w:ascii="Times New Roman" w:hAnsi="Times New Roman" w:cs="Times New Roman"/>
        </w:rPr>
      </w:pPr>
      <w:r w:rsidRPr="001A7788">
        <w:rPr>
          <w:rFonts w:ascii="Times New Roman" w:hAnsi="Times New Roman" w:cs="Times New Roman"/>
        </w:rPr>
        <w:t xml:space="preserve">To offset costs to industry, wherever possible, the Positive Security Obligation provides an on-switch mechanism to activate the elements of the obligations including the </w:t>
      </w:r>
      <w:r w:rsidRPr="00E4093B">
        <w:rPr>
          <w:rFonts w:ascii="Times New Roman" w:hAnsi="Times New Roman" w:cs="Times New Roman"/>
        </w:rPr>
        <w:t>risk management program</w:t>
      </w:r>
      <w:r w:rsidRPr="001A7788">
        <w:rPr>
          <w:rFonts w:ascii="Times New Roman" w:hAnsi="Times New Roman" w:cs="Times New Roman"/>
        </w:rPr>
        <w:t xml:space="preserve">. This on-switch is intended to prevent duplication where arrangements in sectors already exist which impose equivalent obligations to the risk management program. In these circumstances, the </w:t>
      </w:r>
      <w:r w:rsidR="00542DF2">
        <w:rPr>
          <w:rFonts w:ascii="Times New Roman" w:hAnsi="Times New Roman" w:cs="Times New Roman"/>
        </w:rPr>
        <w:t xml:space="preserve">SoCI </w:t>
      </w:r>
      <w:r w:rsidRPr="001A7788">
        <w:rPr>
          <w:rFonts w:ascii="Times New Roman" w:hAnsi="Times New Roman" w:cs="Times New Roman"/>
        </w:rPr>
        <w:t>obligations will remain dormant, with those existing obligations continuing to apply without duplication.</w:t>
      </w:r>
    </w:p>
    <w:p w14:paraId="021C06C8" w14:textId="5C7446E8" w:rsidR="00993F09" w:rsidRDefault="00993F09" w:rsidP="004A7840">
      <w:pPr>
        <w:numPr>
          <w:ilvl w:val="0"/>
          <w:numId w:val="4"/>
        </w:numPr>
        <w:tabs>
          <w:tab w:val="left" w:pos="426"/>
        </w:tabs>
        <w:spacing w:after="0" w:line="240" w:lineRule="auto"/>
        <w:rPr>
          <w:rFonts w:ascii="Times New Roman" w:eastAsia="MS PGothic" w:hAnsi="Times New Roman" w:cs="Times New Roman"/>
          <w:color w:val="000000"/>
        </w:rPr>
      </w:pPr>
      <w:r w:rsidRPr="004A7840">
        <w:rPr>
          <w:rFonts w:ascii="Times New Roman" w:eastAsia="MS PGothic" w:hAnsi="Times New Roman" w:cs="Times New Roman"/>
          <w:color w:val="000000"/>
        </w:rPr>
        <w:t>For example, the security and resilience of critical defence industry assets is currently managed through existing frameworks and obligations under the Defence Industry Security Program (DISP). The DISP is a non-regulatory risk management program run by the Department of Defence (Defence) that strengthens security practices in partnership with industry. Existing defence security mechanisms under the DISP are considered sufficient and as such the risk management program is unlikely to be turned on for this class of assets, absent a significant change in the threat environment or in industry practices – ensuring no duplication of regulatory burden for Australia’s defence industry.</w:t>
      </w:r>
    </w:p>
    <w:p w14:paraId="73D11F26" w14:textId="77777777" w:rsidR="004A7840" w:rsidRPr="004A7840" w:rsidRDefault="004A7840" w:rsidP="004A7840">
      <w:pPr>
        <w:tabs>
          <w:tab w:val="left" w:pos="426"/>
        </w:tabs>
        <w:spacing w:after="0" w:line="240" w:lineRule="auto"/>
        <w:ind w:left="720"/>
        <w:rPr>
          <w:rFonts w:ascii="Times New Roman" w:eastAsia="MS PGothic" w:hAnsi="Times New Roman" w:cs="Times New Roman"/>
          <w:color w:val="000000"/>
        </w:rPr>
      </w:pPr>
    </w:p>
    <w:p w14:paraId="083CD0FF" w14:textId="77777777" w:rsidR="00993F09" w:rsidRPr="001A7788" w:rsidRDefault="00993F09" w:rsidP="004A7840">
      <w:pPr>
        <w:pStyle w:val="CABNumberedParagraph"/>
        <w:spacing w:after="0" w:line="240" w:lineRule="auto"/>
        <w:ind w:left="0"/>
        <w:jc w:val="both"/>
        <w:rPr>
          <w:rFonts w:ascii="Times New Roman" w:hAnsi="Times New Roman" w:cs="Times New Roman"/>
        </w:rPr>
      </w:pPr>
      <w:r>
        <w:rPr>
          <w:rFonts w:ascii="Times New Roman" w:hAnsi="Times New Roman" w:cs="Times New Roman"/>
        </w:rPr>
        <w:t xml:space="preserve">It is clear the </w:t>
      </w:r>
      <w:r w:rsidRPr="00E4093B">
        <w:rPr>
          <w:rFonts w:ascii="Times New Roman" w:hAnsi="Times New Roman" w:cs="Times New Roman"/>
        </w:rPr>
        <w:t xml:space="preserve">risk management program will </w:t>
      </w:r>
      <w:r w:rsidRPr="001A7788">
        <w:rPr>
          <w:rFonts w:ascii="Times New Roman" w:hAnsi="Times New Roman" w:cs="Times New Roman"/>
        </w:rPr>
        <w:t>have a regulatory impact on industry, while recognising the concurrent benefits to the economy, national security and sovereignty of Australia. The depth and breadth of this economic impact will vary based on the existing maturity within sectors and the scope of the sector</w:t>
      </w:r>
      <w:r w:rsidRPr="001A7788">
        <w:rPr>
          <w:rFonts w:ascii="Times New Roman" w:hAnsi="Times New Roman" w:cs="Times New Roman"/>
        </w:rPr>
        <w:noBreakHyphen/>
        <w:t>specific rules. To ensure there is a collective understanding across Government and industry of the impact of these reforms and addresses any concerns, Home Affairs will procure economic modelling experts to assess the anticipated regulatory impact of uplifting the security and resilience of Australia’s critical infrastructure. This will allow robust economic modelling across the critical infrastructure sectors as part of the development of the sector specific rules and guidelines to assist in the interpretation of the rules. The economic modelling will form a key aspect of engagement with industry and government during the co-design process and will focus on a number of key elements:</w:t>
      </w:r>
    </w:p>
    <w:p w14:paraId="202A6BCE" w14:textId="77777777" w:rsidR="00993F09" w:rsidRPr="004A7840" w:rsidRDefault="00993F09" w:rsidP="004A7840">
      <w:pPr>
        <w:numPr>
          <w:ilvl w:val="0"/>
          <w:numId w:val="4"/>
        </w:numPr>
        <w:tabs>
          <w:tab w:val="left" w:pos="426"/>
        </w:tabs>
        <w:spacing w:after="0" w:line="240" w:lineRule="auto"/>
        <w:rPr>
          <w:rFonts w:ascii="Times New Roman" w:eastAsia="MS PGothic" w:hAnsi="Times New Roman" w:cs="Times New Roman"/>
          <w:color w:val="000000"/>
        </w:rPr>
      </w:pPr>
      <w:r w:rsidRPr="004A7840">
        <w:rPr>
          <w:rFonts w:ascii="Times New Roman" w:eastAsia="MS PGothic" w:hAnsi="Times New Roman" w:cs="Times New Roman"/>
          <w:color w:val="000000"/>
        </w:rPr>
        <w:t>Provide a breakdown of the administrative compliance costs to industry in meeting the risk management program.</w:t>
      </w:r>
    </w:p>
    <w:p w14:paraId="16768BE8" w14:textId="77777777" w:rsidR="00993F09" w:rsidRPr="004A7840" w:rsidRDefault="00993F09" w:rsidP="004A7840">
      <w:pPr>
        <w:numPr>
          <w:ilvl w:val="0"/>
          <w:numId w:val="4"/>
        </w:numPr>
        <w:tabs>
          <w:tab w:val="left" w:pos="426"/>
        </w:tabs>
        <w:spacing w:after="0" w:line="240" w:lineRule="auto"/>
        <w:rPr>
          <w:rFonts w:ascii="Times New Roman" w:eastAsia="MS PGothic" w:hAnsi="Times New Roman" w:cs="Times New Roman"/>
          <w:color w:val="000000"/>
        </w:rPr>
      </w:pPr>
      <w:r w:rsidRPr="004A7840">
        <w:rPr>
          <w:rFonts w:ascii="Times New Roman" w:eastAsia="MS PGothic" w:hAnsi="Times New Roman" w:cs="Times New Roman"/>
          <w:color w:val="000000"/>
        </w:rPr>
        <w:t xml:space="preserve">Provide a breakdown of other substantive costs to industry as a result of the risk management program. </w:t>
      </w:r>
    </w:p>
    <w:p w14:paraId="5CE1F1D9" w14:textId="77777777" w:rsidR="00993F09" w:rsidRPr="004A7840" w:rsidRDefault="00993F09" w:rsidP="004A7840">
      <w:pPr>
        <w:numPr>
          <w:ilvl w:val="0"/>
          <w:numId w:val="4"/>
        </w:numPr>
        <w:tabs>
          <w:tab w:val="left" w:pos="426"/>
        </w:tabs>
        <w:spacing w:after="0" w:line="240" w:lineRule="auto"/>
        <w:rPr>
          <w:rFonts w:ascii="Times New Roman" w:eastAsia="MS PGothic" w:hAnsi="Times New Roman" w:cs="Times New Roman"/>
          <w:color w:val="000000"/>
        </w:rPr>
      </w:pPr>
      <w:r w:rsidRPr="004A7840">
        <w:rPr>
          <w:rFonts w:ascii="Times New Roman" w:eastAsia="MS PGothic" w:hAnsi="Times New Roman" w:cs="Times New Roman"/>
          <w:color w:val="000000"/>
        </w:rPr>
        <w:t>Develop scenarios to assess the administrative and substantive compliance costs. These scenarios would consider the directions and actions likely to be issued in different situations and the impact of these on owners and operators.</w:t>
      </w:r>
    </w:p>
    <w:p w14:paraId="6307FA9E" w14:textId="77777777" w:rsidR="00993F09" w:rsidRPr="004A7840" w:rsidRDefault="00993F09" w:rsidP="004A7840">
      <w:pPr>
        <w:numPr>
          <w:ilvl w:val="0"/>
          <w:numId w:val="4"/>
        </w:numPr>
        <w:tabs>
          <w:tab w:val="left" w:pos="426"/>
        </w:tabs>
        <w:spacing w:after="0" w:line="240" w:lineRule="auto"/>
        <w:rPr>
          <w:rFonts w:ascii="Times New Roman" w:eastAsia="MS PGothic" w:hAnsi="Times New Roman" w:cs="Times New Roman"/>
          <w:color w:val="000000"/>
        </w:rPr>
      </w:pPr>
      <w:r w:rsidRPr="004A7840">
        <w:rPr>
          <w:rFonts w:ascii="Times New Roman" w:eastAsia="MS PGothic" w:hAnsi="Times New Roman" w:cs="Times New Roman"/>
          <w:color w:val="000000"/>
        </w:rPr>
        <w:t xml:space="preserve">Outline costs to industry in terms of staffing, skill requirements and time commitments. </w:t>
      </w:r>
    </w:p>
    <w:p w14:paraId="44266D65" w14:textId="77777777" w:rsidR="00993F09" w:rsidRPr="004A7840" w:rsidRDefault="00993F09" w:rsidP="004A7840">
      <w:pPr>
        <w:numPr>
          <w:ilvl w:val="0"/>
          <w:numId w:val="4"/>
        </w:numPr>
        <w:tabs>
          <w:tab w:val="left" w:pos="426"/>
        </w:tabs>
        <w:spacing w:after="0" w:line="240" w:lineRule="auto"/>
        <w:rPr>
          <w:rFonts w:ascii="Times New Roman" w:eastAsia="MS PGothic" w:hAnsi="Times New Roman" w:cs="Times New Roman"/>
          <w:color w:val="000000"/>
        </w:rPr>
      </w:pPr>
      <w:r w:rsidRPr="004A7840">
        <w:rPr>
          <w:rFonts w:ascii="Times New Roman" w:eastAsia="MS PGothic" w:hAnsi="Times New Roman" w:cs="Times New Roman"/>
          <w:color w:val="000000"/>
        </w:rPr>
        <w:t xml:space="preserve">The potential returns on additional investment required to meet the risk management program. </w:t>
      </w:r>
    </w:p>
    <w:p w14:paraId="113F880C" w14:textId="3C9BD471" w:rsidR="00993F09" w:rsidRDefault="00993F09" w:rsidP="004A7840">
      <w:pPr>
        <w:numPr>
          <w:ilvl w:val="0"/>
          <w:numId w:val="4"/>
        </w:numPr>
        <w:tabs>
          <w:tab w:val="left" w:pos="426"/>
        </w:tabs>
        <w:spacing w:after="0" w:line="240" w:lineRule="auto"/>
        <w:rPr>
          <w:rFonts w:ascii="Times New Roman" w:eastAsia="MS PGothic" w:hAnsi="Times New Roman" w:cs="Times New Roman"/>
          <w:color w:val="000000"/>
        </w:rPr>
      </w:pPr>
      <w:r w:rsidRPr="004A7840">
        <w:rPr>
          <w:rFonts w:ascii="Times New Roman" w:eastAsia="MS PGothic" w:hAnsi="Times New Roman" w:cs="Times New Roman"/>
          <w:color w:val="000000"/>
        </w:rPr>
        <w:t>The savings from a reduced frequency of security incidents, and the costs to owners and operators should no action be taken.</w:t>
      </w:r>
    </w:p>
    <w:p w14:paraId="4131DA27" w14:textId="77777777" w:rsidR="004A7840" w:rsidRPr="00EE0D81" w:rsidRDefault="004A7840" w:rsidP="00EE0D81">
      <w:pPr>
        <w:tabs>
          <w:tab w:val="left" w:pos="426"/>
        </w:tabs>
        <w:spacing w:after="0" w:line="240" w:lineRule="auto"/>
        <w:ind w:left="720"/>
        <w:rPr>
          <w:rFonts w:ascii="Times New Roman" w:hAnsi="Times New Roman"/>
          <w:color w:val="000000"/>
        </w:rPr>
      </w:pPr>
    </w:p>
    <w:p w14:paraId="4D52EB5B" w14:textId="77777777" w:rsidR="00993F09" w:rsidRPr="000266F5" w:rsidRDefault="00993F09" w:rsidP="00993F09">
      <w:pPr>
        <w:keepNext/>
        <w:keepLines/>
        <w:numPr>
          <w:ilvl w:val="0"/>
          <w:numId w:val="5"/>
        </w:numPr>
        <w:tabs>
          <w:tab w:val="left" w:pos="567"/>
        </w:tabs>
        <w:spacing w:before="240" w:after="200" w:line="240" w:lineRule="auto"/>
        <w:contextualSpacing/>
        <w:outlineLvl w:val="0"/>
        <w:rPr>
          <w:rFonts w:ascii="Times New Roman" w:eastAsia="MS PGothic" w:hAnsi="Times New Roman" w:cs="Times New Roman"/>
          <w:b/>
          <w:bCs/>
          <w:color w:val="003865"/>
          <w:sz w:val="28"/>
          <w:szCs w:val="28"/>
        </w:rPr>
      </w:pPr>
      <w:r w:rsidRPr="000266F5">
        <w:rPr>
          <w:rFonts w:ascii="Times New Roman" w:eastAsia="MS PGothic" w:hAnsi="Times New Roman" w:cs="Times New Roman"/>
          <w:b/>
          <w:bCs/>
          <w:color w:val="003865"/>
          <w:sz w:val="28"/>
          <w:szCs w:val="28"/>
        </w:rPr>
        <w:t>WHAT IS THE BEST OPTION FROM THOSE YOU HAVE CONSIDERED?</w:t>
      </w:r>
    </w:p>
    <w:p w14:paraId="011BE857" w14:textId="77777777" w:rsidR="00993F09" w:rsidRPr="000266F5" w:rsidRDefault="00993F09" w:rsidP="00993F09">
      <w:pPr>
        <w:spacing w:after="0" w:line="240" w:lineRule="auto"/>
        <w:rPr>
          <w:rFonts w:ascii="Times New Roman" w:eastAsia="Arial" w:hAnsi="Times New Roman" w:cs="Times New Roman"/>
          <w:b/>
          <w:bCs/>
          <w:color w:val="000000"/>
        </w:rPr>
      </w:pPr>
    </w:p>
    <w:p w14:paraId="0D714003" w14:textId="45845D5F" w:rsidR="004B3117" w:rsidRPr="004B3117" w:rsidRDefault="004B3117" w:rsidP="00EE0D81">
      <w:pPr>
        <w:spacing w:after="200" w:line="240" w:lineRule="auto"/>
        <w:rPr>
          <w:rFonts w:ascii="Times New Roman" w:eastAsia="Arial" w:hAnsi="Times New Roman" w:cs="Times New Roman"/>
          <w:color w:val="000000"/>
        </w:rPr>
      </w:pPr>
      <w:r w:rsidRPr="004B3117">
        <w:rPr>
          <w:rFonts w:ascii="Times New Roman" w:eastAsia="Arial" w:hAnsi="Times New Roman" w:cs="Times New Roman"/>
          <w:color w:val="000000"/>
        </w:rPr>
        <w:t xml:space="preserve">This Regulation Impact Statement recommends that the Government pursue </w:t>
      </w:r>
      <w:r w:rsidRPr="004B3117">
        <w:rPr>
          <w:rFonts w:ascii="Times New Roman" w:eastAsia="MS PGothic" w:hAnsi="Times New Roman" w:cs="Times New Roman"/>
          <w:color w:val="000000"/>
        </w:rPr>
        <w:t>Option</w:t>
      </w:r>
      <w:r w:rsidRPr="004B3117">
        <w:rPr>
          <w:rFonts w:ascii="Times New Roman" w:eastAsia="Arial" w:hAnsi="Times New Roman" w:cs="Times New Roman"/>
          <w:color w:val="000000"/>
        </w:rPr>
        <w:t xml:space="preserve"> Two through targeted regulatory action involving a Positive Security Obligations, an Enhanced Cyber Security Obligation</w:t>
      </w:r>
      <w:r w:rsidR="00D843CE">
        <w:rPr>
          <w:rFonts w:ascii="Times New Roman" w:eastAsia="Arial" w:hAnsi="Times New Roman" w:cs="Times New Roman"/>
          <w:color w:val="000000"/>
        </w:rPr>
        <w:t>,</w:t>
      </w:r>
      <w:r w:rsidRPr="004B3117">
        <w:rPr>
          <w:rFonts w:ascii="Times New Roman" w:eastAsia="Arial" w:hAnsi="Times New Roman" w:cs="Times New Roman"/>
          <w:color w:val="000000"/>
        </w:rPr>
        <w:t xml:space="preserve"> Government Assistance </w:t>
      </w:r>
      <w:r w:rsidR="00D843CE">
        <w:rPr>
          <w:rFonts w:ascii="Times New Roman" w:eastAsia="Arial" w:hAnsi="Times New Roman" w:cs="Times New Roman"/>
          <w:color w:val="000000"/>
        </w:rPr>
        <w:t xml:space="preserve">and an expanded Ministerial Direction power </w:t>
      </w:r>
      <w:r w:rsidRPr="004B3117">
        <w:rPr>
          <w:rFonts w:ascii="Times New Roman" w:eastAsia="Arial" w:hAnsi="Times New Roman" w:cs="Times New Roman"/>
          <w:color w:val="000000"/>
        </w:rPr>
        <w:t xml:space="preserve">which will all be underpinned by an enhanced Government-industry partnership through the TISN. </w:t>
      </w:r>
    </w:p>
    <w:p w14:paraId="4CB1721B" w14:textId="742F9469" w:rsidR="004B3117" w:rsidRPr="004B3117" w:rsidRDefault="004B3117" w:rsidP="004B3117">
      <w:pPr>
        <w:tabs>
          <w:tab w:val="left" w:pos="426"/>
        </w:tabs>
        <w:spacing w:after="0" w:line="240" w:lineRule="auto"/>
        <w:rPr>
          <w:rFonts w:ascii="Times New Roman" w:eastAsia="Arial" w:hAnsi="Times New Roman" w:cs="Times New Roman"/>
          <w:color w:val="000000"/>
        </w:rPr>
      </w:pPr>
      <w:r w:rsidRPr="004B3117">
        <w:rPr>
          <w:rFonts w:ascii="Times New Roman" w:eastAsia="Arial" w:hAnsi="Times New Roman" w:cs="Times New Roman"/>
          <w:color w:val="000000"/>
        </w:rPr>
        <w:t xml:space="preserve">As outlined below Option Two most effectively responds to the policy problem outlined in </w:t>
      </w:r>
      <w:r w:rsidR="00D843CE">
        <w:rPr>
          <w:rFonts w:ascii="Times New Roman" w:eastAsia="Arial" w:hAnsi="Times New Roman" w:cs="Times New Roman"/>
          <w:color w:val="000000"/>
        </w:rPr>
        <w:t>section</w:t>
      </w:r>
      <w:r w:rsidRPr="004B3117">
        <w:rPr>
          <w:rFonts w:ascii="Times New Roman" w:eastAsia="Arial" w:hAnsi="Times New Roman" w:cs="Times New Roman"/>
          <w:color w:val="000000"/>
        </w:rPr>
        <w:t xml:space="preserve"> 1. Critical infrastructure is increasingly interconnected and interdependent and this interconnectivity has created an evolving and increasing set of threats. Without enforceable safeguards, vulnerabilities can deliberately or inadvertently cause </w:t>
      </w:r>
      <w:r w:rsidRPr="004B3117">
        <w:rPr>
          <w:rFonts w:ascii="Times New Roman" w:eastAsia="MS PGothic" w:hAnsi="Times New Roman" w:cs="Times New Roman"/>
          <w:color w:val="000000"/>
        </w:rPr>
        <w:t>disruption</w:t>
      </w:r>
      <w:r w:rsidRPr="004B3117">
        <w:rPr>
          <w:rFonts w:ascii="Times New Roman" w:eastAsia="Arial" w:hAnsi="Times New Roman" w:cs="Times New Roman"/>
          <w:color w:val="000000"/>
        </w:rPr>
        <w:t xml:space="preserve"> that could result in catastrophic and cascading consequences across Australia’s social and economic stability, defence and national security. It is </w:t>
      </w:r>
      <w:r w:rsidRPr="004B3117">
        <w:rPr>
          <w:rFonts w:ascii="Times New Roman" w:eastAsia="Arial" w:hAnsi="Times New Roman" w:cs="Times New Roman"/>
          <w:color w:val="000000"/>
        </w:rPr>
        <w:lastRenderedPageBreak/>
        <w:t xml:space="preserve">appropriate that the Government takes regulatory action to support the business community to combat this issue. </w:t>
      </w:r>
    </w:p>
    <w:p w14:paraId="3AD44D2E" w14:textId="77777777" w:rsidR="004B3117" w:rsidRPr="004B3117" w:rsidRDefault="004B3117" w:rsidP="004B3117">
      <w:pPr>
        <w:tabs>
          <w:tab w:val="left" w:pos="426"/>
        </w:tabs>
        <w:spacing w:after="0" w:line="240" w:lineRule="auto"/>
        <w:rPr>
          <w:rFonts w:ascii="Times New Roman" w:eastAsia="Arial" w:hAnsi="Times New Roman" w:cs="Times New Roman"/>
          <w:color w:val="000000"/>
        </w:rPr>
      </w:pPr>
    </w:p>
    <w:p w14:paraId="7DA1C017" w14:textId="12D29975" w:rsidR="004B3117" w:rsidRPr="00EE0D81" w:rsidRDefault="00A0269A" w:rsidP="004B3117">
      <w:pPr>
        <w:spacing w:after="200" w:line="240" w:lineRule="auto"/>
        <w:rPr>
          <w:rFonts w:ascii="Times New Roman" w:hAnsi="Times New Roman"/>
          <w:b/>
          <w:color w:val="000000"/>
        </w:rPr>
      </w:pPr>
      <w:r w:rsidRPr="00A0269A">
        <w:rPr>
          <w:rFonts w:ascii="Times New Roman" w:eastAsia="Arial" w:hAnsi="Times New Roman" w:cs="Times New Roman"/>
          <w:b/>
          <w:i/>
          <w:iCs/>
          <w:color w:val="000000"/>
        </w:rPr>
        <w:t xml:space="preserve">6.1. </w:t>
      </w:r>
      <w:r w:rsidR="004B3117" w:rsidRPr="00EE0D81">
        <w:rPr>
          <w:rFonts w:ascii="Times New Roman" w:hAnsi="Times New Roman"/>
          <w:b/>
          <w:i/>
          <w:color w:val="000000"/>
        </w:rPr>
        <w:t xml:space="preserve">Option Two – Legislative change, a compliance and assurance capability </w:t>
      </w:r>
    </w:p>
    <w:p w14:paraId="41531F27" w14:textId="3D2F69C7" w:rsidR="004B3117" w:rsidRPr="004B3117" w:rsidRDefault="004B3117" w:rsidP="004B3117">
      <w:pPr>
        <w:tabs>
          <w:tab w:val="left" w:pos="426"/>
        </w:tabs>
        <w:spacing w:after="0" w:line="240" w:lineRule="auto"/>
        <w:rPr>
          <w:rFonts w:ascii="Times New Roman" w:eastAsia="Arial" w:hAnsi="Times New Roman" w:cs="Times New Roman"/>
          <w:color w:val="000000"/>
        </w:rPr>
      </w:pPr>
      <w:r w:rsidRPr="004B3117">
        <w:rPr>
          <w:rFonts w:ascii="Times New Roman" w:eastAsia="Arial" w:hAnsi="Times New Roman" w:cs="Times New Roman"/>
          <w:color w:val="000000"/>
        </w:rPr>
        <w:t xml:space="preserve">This Regulation Impact Statement assesses that Option Two is likely to deliver the greatest benefit in terms of providing industry with consistent direction, assistance and guidance that will provide an uplift in security across all critical </w:t>
      </w:r>
      <w:r w:rsidRPr="004B3117">
        <w:rPr>
          <w:rFonts w:ascii="Times New Roman" w:eastAsia="MS PGothic" w:hAnsi="Times New Roman" w:cs="Times New Roman"/>
          <w:color w:val="000000"/>
        </w:rPr>
        <w:t>infrastructure</w:t>
      </w:r>
      <w:r w:rsidR="0031656C">
        <w:rPr>
          <w:rFonts w:ascii="Times New Roman" w:eastAsia="MS PGothic" w:hAnsi="Times New Roman" w:cs="Times New Roman"/>
          <w:color w:val="000000"/>
        </w:rPr>
        <w:t>,</w:t>
      </w:r>
      <w:r w:rsidRPr="004B3117">
        <w:rPr>
          <w:rFonts w:ascii="Times New Roman" w:eastAsia="Arial" w:hAnsi="Times New Roman" w:cs="Times New Roman"/>
          <w:color w:val="000000"/>
        </w:rPr>
        <w:t xml:space="preserve"> safeguarding Australia’s social and economic stability, defence and national security. </w:t>
      </w:r>
    </w:p>
    <w:p w14:paraId="2CDEEB1E" w14:textId="77777777" w:rsidR="004B3117" w:rsidRPr="004B3117" w:rsidRDefault="004B3117" w:rsidP="004B3117">
      <w:pPr>
        <w:tabs>
          <w:tab w:val="left" w:pos="426"/>
        </w:tabs>
        <w:spacing w:after="0" w:line="240" w:lineRule="auto"/>
        <w:rPr>
          <w:rFonts w:ascii="Times New Roman" w:eastAsia="Arial" w:hAnsi="Times New Roman" w:cs="Times New Roman"/>
          <w:color w:val="000000"/>
        </w:rPr>
      </w:pPr>
    </w:p>
    <w:p w14:paraId="3B3E39F3" w14:textId="7EDBD548" w:rsidR="004B3117" w:rsidRDefault="004B3117" w:rsidP="004B3117">
      <w:pPr>
        <w:tabs>
          <w:tab w:val="left" w:pos="426"/>
        </w:tabs>
        <w:spacing w:after="0" w:line="240" w:lineRule="auto"/>
        <w:rPr>
          <w:rFonts w:ascii="Times New Roman" w:eastAsia="Arial" w:hAnsi="Times New Roman" w:cs="Times New Roman"/>
          <w:color w:val="000000"/>
        </w:rPr>
      </w:pPr>
      <w:r w:rsidRPr="004B3117">
        <w:rPr>
          <w:rFonts w:ascii="Times New Roman" w:eastAsia="Arial" w:hAnsi="Times New Roman" w:cs="Times New Roman"/>
          <w:color w:val="000000"/>
        </w:rPr>
        <w:t xml:space="preserve">This will support business to better address the risks to critical infrastructure and assist investors and consumers with their investing decisions and long term business plans through greater clarification and consolidation of security requirements. The benefits arising from these cost are commensurate with: the Government’s objectives for reform; the nature and extent of risks to critical infrastructure; the benefits of the regulation and the creation of a level playing field for industry. </w:t>
      </w:r>
    </w:p>
    <w:p w14:paraId="5793EE3F" w14:textId="34648887" w:rsidR="00E950A8" w:rsidRDefault="00E950A8" w:rsidP="004B3117">
      <w:pPr>
        <w:tabs>
          <w:tab w:val="left" w:pos="426"/>
        </w:tabs>
        <w:spacing w:after="0" w:line="240" w:lineRule="auto"/>
        <w:rPr>
          <w:rFonts w:ascii="Times New Roman" w:eastAsia="Arial" w:hAnsi="Times New Roman" w:cs="Times New Roman"/>
          <w:color w:val="000000"/>
        </w:rPr>
      </w:pPr>
    </w:p>
    <w:p w14:paraId="06BCE280" w14:textId="7A0E5012" w:rsidR="00E950A8" w:rsidRDefault="00E950A8" w:rsidP="00E950A8">
      <w:pPr>
        <w:tabs>
          <w:tab w:val="left" w:pos="426"/>
        </w:tabs>
        <w:spacing w:after="0" w:line="240" w:lineRule="auto"/>
        <w:rPr>
          <w:rFonts w:ascii="Times New Roman" w:eastAsia="Arial" w:hAnsi="Times New Roman" w:cs="Times New Roman"/>
        </w:rPr>
      </w:pPr>
      <w:r w:rsidRPr="00753450">
        <w:rPr>
          <w:rFonts w:ascii="Times New Roman" w:eastAsia="Arial" w:hAnsi="Times New Roman" w:cs="Times New Roman"/>
        </w:rPr>
        <w:t xml:space="preserve">The maximum aggregated, annual costs to industry as a result of the Register of Critical Infrastructure Assets and the mandatory cyber reporting are </w:t>
      </w:r>
      <w:r>
        <w:rPr>
          <w:rFonts w:ascii="Times New Roman" w:eastAsia="Arial" w:hAnsi="Times New Roman" w:cs="Times New Roman"/>
        </w:rPr>
        <w:t>estimated at $2.19 million annually. This cost</w:t>
      </w:r>
      <w:r w:rsidRPr="00753450">
        <w:rPr>
          <w:rFonts w:ascii="Times New Roman" w:eastAsia="Arial" w:hAnsi="Times New Roman" w:cs="Times New Roman"/>
        </w:rPr>
        <w:t xml:space="preserve"> does not include the Enhanced Cyber Security Obligations or the Ministerial Directions power</w:t>
      </w:r>
      <w:r>
        <w:rPr>
          <w:rFonts w:ascii="Times New Roman" w:eastAsia="Arial" w:hAnsi="Times New Roman" w:cs="Times New Roman"/>
        </w:rPr>
        <w:t xml:space="preserve"> as t</w:t>
      </w:r>
      <w:r w:rsidRPr="00753450">
        <w:rPr>
          <w:rFonts w:ascii="Times New Roman" w:eastAsia="Arial" w:hAnsi="Times New Roman" w:cs="Times New Roman"/>
        </w:rPr>
        <w:t xml:space="preserve">hese elements of the reforms do not require ongoing industry obligations </w:t>
      </w:r>
      <w:r>
        <w:rPr>
          <w:rFonts w:ascii="Times New Roman" w:eastAsia="Arial" w:hAnsi="Times New Roman" w:cs="Times New Roman"/>
        </w:rPr>
        <w:t xml:space="preserve">but rather are </w:t>
      </w:r>
      <w:r w:rsidRPr="00753450">
        <w:rPr>
          <w:rFonts w:ascii="Times New Roman" w:eastAsia="Arial" w:hAnsi="Times New Roman" w:cs="Times New Roman"/>
        </w:rPr>
        <w:t xml:space="preserve">upon request. </w:t>
      </w:r>
      <w:r>
        <w:rPr>
          <w:rFonts w:ascii="Times New Roman" w:eastAsia="Arial" w:hAnsi="Times New Roman" w:cs="Times New Roman"/>
        </w:rPr>
        <w:t>Consequently, where a request is made the ESCO and Ministerial Directions are expected to cost</w:t>
      </w:r>
      <w:r w:rsidR="00436851">
        <w:rPr>
          <w:rFonts w:ascii="Times New Roman" w:eastAsia="Arial" w:hAnsi="Times New Roman" w:cs="Times New Roman"/>
        </w:rPr>
        <w:t xml:space="preserve"> industry the following</w:t>
      </w:r>
      <w:r>
        <w:rPr>
          <w:rFonts w:ascii="Times New Roman" w:eastAsia="Arial" w:hAnsi="Times New Roman" w:cs="Times New Roman"/>
        </w:rPr>
        <w:t>:</w:t>
      </w:r>
    </w:p>
    <w:p w14:paraId="1749F982" w14:textId="77777777" w:rsidR="00E950A8" w:rsidRPr="00753450" w:rsidRDefault="00E950A8" w:rsidP="00E950A8">
      <w:pPr>
        <w:tabs>
          <w:tab w:val="left" w:pos="426"/>
        </w:tabs>
        <w:spacing w:after="0" w:line="240" w:lineRule="auto"/>
        <w:rPr>
          <w:rFonts w:ascii="Times New Roman" w:eastAsia="Arial" w:hAnsi="Times New Roman" w:cs="Times New Roman"/>
        </w:rPr>
      </w:pPr>
    </w:p>
    <w:p w14:paraId="0BF59BC3" w14:textId="77777777" w:rsidR="00E950A8" w:rsidRPr="00753450" w:rsidRDefault="00E950A8" w:rsidP="00E950A8">
      <w:pPr>
        <w:pStyle w:val="ListParagraph"/>
        <w:numPr>
          <w:ilvl w:val="0"/>
          <w:numId w:val="67"/>
        </w:numPr>
        <w:tabs>
          <w:tab w:val="left" w:pos="426"/>
        </w:tabs>
        <w:rPr>
          <w:rFonts w:ascii="Times New Roman" w:eastAsia="Arial" w:hAnsi="Times New Roman" w:cs="Times New Roman"/>
          <w:b/>
          <w:bCs/>
        </w:rPr>
      </w:pPr>
      <w:r w:rsidRPr="00753450">
        <w:rPr>
          <w:rFonts w:ascii="Times New Roman" w:eastAsia="Arial" w:hAnsi="Times New Roman" w:cs="Times New Roman"/>
          <w:b/>
          <w:bCs/>
        </w:rPr>
        <w:t xml:space="preserve">ECSO </w:t>
      </w:r>
      <w:r w:rsidRPr="00753450">
        <w:rPr>
          <w:rFonts w:ascii="Times New Roman" w:eastAsia="Arial" w:hAnsi="Times New Roman" w:cs="Times New Roman"/>
          <w:bCs/>
        </w:rPr>
        <w:t>(applicable only to SoNS):</w:t>
      </w:r>
      <w:r w:rsidRPr="00753450">
        <w:rPr>
          <w:rFonts w:ascii="Times New Roman" w:eastAsia="Arial" w:hAnsi="Times New Roman" w:cs="Times New Roman"/>
          <w:b/>
          <w:bCs/>
        </w:rPr>
        <w:t xml:space="preserve"> </w:t>
      </w:r>
    </w:p>
    <w:p w14:paraId="68654FC5" w14:textId="77777777" w:rsidR="00E950A8" w:rsidRPr="00753450" w:rsidRDefault="00E950A8" w:rsidP="00E950A8">
      <w:pPr>
        <w:pStyle w:val="ListParagraph"/>
        <w:ind w:left="360"/>
        <w:rPr>
          <w:rFonts w:ascii="Times New Roman" w:eastAsia="Arial" w:hAnsi="Times New Roman" w:cs="Times New Roman"/>
          <w:b/>
          <w:bCs/>
        </w:rPr>
      </w:pPr>
      <w:r w:rsidRPr="00753450">
        <w:rPr>
          <w:rFonts w:ascii="Times New Roman" w:eastAsia="Arial" w:hAnsi="Times New Roman" w:cs="Times New Roman"/>
          <w:bCs/>
          <w:u w:val="single"/>
        </w:rPr>
        <w:t>Incident response plans</w:t>
      </w:r>
      <w:r w:rsidRPr="00753450">
        <w:rPr>
          <w:rFonts w:ascii="Times New Roman" w:eastAsia="Arial" w:hAnsi="Times New Roman" w:cs="Times New Roman"/>
          <w:b/>
          <w:bCs/>
        </w:rPr>
        <w:t xml:space="preserve"> – </w:t>
      </w:r>
      <w:r w:rsidRPr="00753450">
        <w:rPr>
          <w:rFonts w:ascii="Times New Roman" w:eastAsia="Arial" w:hAnsi="Times New Roman" w:cs="Times New Roman"/>
          <w:bCs/>
        </w:rPr>
        <w:t>maximum</w:t>
      </w:r>
      <w:r w:rsidRPr="00753450">
        <w:rPr>
          <w:rFonts w:ascii="Times New Roman" w:eastAsia="Arial" w:hAnsi="Times New Roman" w:cs="Times New Roman"/>
          <w:b/>
          <w:bCs/>
        </w:rPr>
        <w:t xml:space="preserve"> </w:t>
      </w:r>
      <w:r w:rsidRPr="00753450">
        <w:rPr>
          <w:rFonts w:ascii="Times New Roman" w:eastAsia="Arial" w:hAnsi="Times New Roman" w:cs="Times New Roman"/>
          <w:bCs/>
        </w:rPr>
        <w:t>annual compliance burden</w:t>
      </w:r>
      <w:r w:rsidRPr="00753450">
        <w:rPr>
          <w:rFonts w:ascii="Times New Roman" w:eastAsia="Arial" w:hAnsi="Times New Roman" w:cs="Times New Roman"/>
          <w:b/>
          <w:bCs/>
        </w:rPr>
        <w:t xml:space="preserve"> </w:t>
      </w:r>
      <w:r w:rsidRPr="00753450">
        <w:rPr>
          <w:rFonts w:ascii="Times New Roman" w:eastAsia="Arial" w:hAnsi="Times New Roman" w:cs="Times New Roman"/>
          <w:bCs/>
        </w:rPr>
        <w:t xml:space="preserve">$28,091.30 for a single SoNS assuming annual requirements. </w:t>
      </w:r>
    </w:p>
    <w:p w14:paraId="11B220CB" w14:textId="77777777" w:rsidR="00E950A8" w:rsidRPr="00753450" w:rsidRDefault="00E950A8" w:rsidP="00E950A8">
      <w:pPr>
        <w:pStyle w:val="ListParagraph"/>
        <w:ind w:left="360"/>
        <w:rPr>
          <w:rFonts w:ascii="Times New Roman" w:eastAsia="Arial" w:hAnsi="Times New Roman" w:cs="Times New Roman"/>
          <w:b/>
          <w:bCs/>
        </w:rPr>
      </w:pPr>
      <w:r w:rsidRPr="00753450">
        <w:rPr>
          <w:rFonts w:ascii="Times New Roman" w:eastAsia="Arial" w:hAnsi="Times New Roman" w:cs="Times New Roman"/>
          <w:bCs/>
          <w:u w:val="single"/>
        </w:rPr>
        <w:t xml:space="preserve">Telemetry </w:t>
      </w:r>
      <w:r w:rsidRPr="00753450">
        <w:rPr>
          <w:rFonts w:ascii="Times New Roman" w:eastAsia="Arial" w:hAnsi="Times New Roman" w:cs="Times New Roman"/>
          <w:b/>
          <w:bCs/>
        </w:rPr>
        <w:t xml:space="preserve">- </w:t>
      </w:r>
      <w:r w:rsidRPr="00753450">
        <w:rPr>
          <w:rFonts w:ascii="Times New Roman" w:eastAsia="Arial" w:hAnsi="Times New Roman" w:cs="Times New Roman"/>
          <w:bCs/>
        </w:rPr>
        <w:t>maximum annual compliance burden $81,250 for a single medium SoNS and $361,250 for a single large SoNS assuming annual requirements.</w:t>
      </w:r>
    </w:p>
    <w:p w14:paraId="79A0D89F" w14:textId="77777777" w:rsidR="00E950A8" w:rsidRPr="00753450" w:rsidRDefault="00E950A8" w:rsidP="00E950A8">
      <w:pPr>
        <w:pStyle w:val="ListParagraph"/>
        <w:ind w:left="360"/>
        <w:rPr>
          <w:rFonts w:ascii="Times New Roman" w:eastAsia="Arial" w:hAnsi="Times New Roman" w:cs="Times New Roman"/>
          <w:b/>
          <w:bCs/>
        </w:rPr>
      </w:pPr>
      <w:r w:rsidRPr="00753450">
        <w:rPr>
          <w:rFonts w:ascii="Times New Roman" w:eastAsia="Arial" w:hAnsi="Times New Roman" w:cs="Times New Roman"/>
          <w:bCs/>
          <w:u w:val="single"/>
        </w:rPr>
        <w:t>Vulnerability assessments</w:t>
      </w:r>
      <w:r w:rsidRPr="00753450">
        <w:rPr>
          <w:rFonts w:ascii="Times New Roman" w:eastAsia="Arial" w:hAnsi="Times New Roman" w:cs="Times New Roman"/>
          <w:b/>
          <w:bCs/>
        </w:rPr>
        <w:t xml:space="preserve"> - </w:t>
      </w:r>
      <w:r w:rsidRPr="00753450">
        <w:rPr>
          <w:rFonts w:ascii="Times New Roman" w:eastAsia="Arial" w:hAnsi="Times New Roman" w:cs="Times New Roman"/>
          <w:bCs/>
        </w:rPr>
        <w:t>maximum annual compliance burden $46,875 for a single medium SoNS and $117,375 for a large SoNS assuming annual requirements.</w:t>
      </w:r>
    </w:p>
    <w:p w14:paraId="2AA3338A" w14:textId="77777777" w:rsidR="00E950A8" w:rsidRDefault="00E950A8" w:rsidP="00E950A8">
      <w:pPr>
        <w:pStyle w:val="ListParagraph"/>
        <w:ind w:left="360"/>
        <w:rPr>
          <w:rFonts w:ascii="Times New Roman" w:eastAsia="Arial" w:hAnsi="Times New Roman" w:cs="Times New Roman"/>
          <w:bCs/>
        </w:rPr>
      </w:pPr>
      <w:r w:rsidRPr="00753450">
        <w:rPr>
          <w:rFonts w:ascii="Times New Roman" w:eastAsia="Arial" w:hAnsi="Times New Roman" w:cs="Times New Roman"/>
          <w:bCs/>
          <w:u w:val="single"/>
        </w:rPr>
        <w:t>Cyber Security exercises</w:t>
      </w:r>
      <w:r w:rsidRPr="00753450">
        <w:rPr>
          <w:rFonts w:ascii="Times New Roman" w:eastAsia="Arial" w:hAnsi="Times New Roman" w:cs="Times New Roman"/>
          <w:b/>
          <w:bCs/>
        </w:rPr>
        <w:t xml:space="preserve"> - </w:t>
      </w:r>
      <w:r w:rsidRPr="00753450">
        <w:rPr>
          <w:rFonts w:ascii="Times New Roman" w:eastAsia="Arial" w:hAnsi="Times New Roman" w:cs="Times New Roman"/>
          <w:bCs/>
        </w:rPr>
        <w:t>maximum annual compliance burden $</w:t>
      </w:r>
      <w:r w:rsidRPr="00753450">
        <w:rPr>
          <w:rFonts w:ascii="Times New Roman" w:eastAsia="MS PGothic" w:hAnsi="Times New Roman" w:cs="Times New Roman"/>
          <w:iCs/>
          <w:color w:val="000000"/>
        </w:rPr>
        <w:t xml:space="preserve">61,425 </w:t>
      </w:r>
      <w:r w:rsidRPr="00753450">
        <w:rPr>
          <w:rFonts w:ascii="Times New Roman" w:eastAsia="Arial" w:hAnsi="Times New Roman" w:cs="Times New Roman"/>
          <w:bCs/>
        </w:rPr>
        <w:t>for a single SoNS assuming annual requirements.</w:t>
      </w:r>
    </w:p>
    <w:p w14:paraId="51FCFEA3" w14:textId="77777777" w:rsidR="00E950A8" w:rsidRPr="00753450" w:rsidRDefault="00E950A8" w:rsidP="00E950A8">
      <w:pPr>
        <w:pStyle w:val="ListParagraph"/>
        <w:ind w:left="360"/>
        <w:rPr>
          <w:rFonts w:ascii="Times New Roman" w:eastAsia="Arial" w:hAnsi="Times New Roman" w:cs="Times New Roman"/>
          <w:b/>
          <w:bCs/>
        </w:rPr>
      </w:pPr>
    </w:p>
    <w:p w14:paraId="71C19452" w14:textId="77777777" w:rsidR="00E950A8" w:rsidRPr="00753450" w:rsidRDefault="00E950A8" w:rsidP="00E950A8">
      <w:pPr>
        <w:pStyle w:val="ListParagraph"/>
        <w:numPr>
          <w:ilvl w:val="0"/>
          <w:numId w:val="67"/>
        </w:numPr>
        <w:tabs>
          <w:tab w:val="left" w:pos="426"/>
        </w:tabs>
        <w:rPr>
          <w:rFonts w:ascii="Times New Roman" w:eastAsia="Arial" w:hAnsi="Times New Roman" w:cs="Times New Roman"/>
          <w:b/>
          <w:bCs/>
        </w:rPr>
      </w:pPr>
      <w:r w:rsidRPr="00753450">
        <w:rPr>
          <w:rFonts w:ascii="Times New Roman" w:eastAsia="Arial" w:hAnsi="Times New Roman" w:cs="Times New Roman"/>
          <w:b/>
          <w:bCs/>
        </w:rPr>
        <w:t xml:space="preserve">Ministerial Directions </w:t>
      </w:r>
      <w:r w:rsidRPr="00753450">
        <w:rPr>
          <w:rFonts w:ascii="Times New Roman" w:eastAsia="Arial" w:hAnsi="Times New Roman" w:cs="Times New Roman"/>
          <w:bCs/>
        </w:rPr>
        <w:t xml:space="preserve">(applicable to all </w:t>
      </w:r>
      <w:r w:rsidRPr="00753450">
        <w:rPr>
          <w:rFonts w:ascii="Times New Roman" w:eastAsia="Arial" w:hAnsi="Times New Roman" w:cs="Times New Roman"/>
          <w:bCs/>
          <w:i/>
        </w:rPr>
        <w:t>critical infrastructure sector</w:t>
      </w:r>
      <w:r w:rsidRPr="00753450">
        <w:rPr>
          <w:rFonts w:ascii="Times New Roman" w:eastAsia="Arial" w:hAnsi="Times New Roman" w:cs="Times New Roman"/>
          <w:bCs/>
        </w:rPr>
        <w:t xml:space="preserve"> assets):</w:t>
      </w:r>
    </w:p>
    <w:p w14:paraId="2A63F737" w14:textId="77777777" w:rsidR="00E950A8" w:rsidRPr="00753450" w:rsidRDefault="00E950A8" w:rsidP="00E950A8">
      <w:pPr>
        <w:pStyle w:val="ListParagraph"/>
        <w:ind w:left="360"/>
        <w:rPr>
          <w:rFonts w:ascii="Times New Roman" w:eastAsia="Arial" w:hAnsi="Times New Roman" w:cs="Times New Roman"/>
          <w:b/>
          <w:bCs/>
        </w:rPr>
      </w:pPr>
      <w:r w:rsidRPr="00753450">
        <w:rPr>
          <w:rFonts w:ascii="Times New Roman" w:eastAsia="Arial" w:hAnsi="Times New Roman" w:cs="Times New Roman"/>
          <w:bCs/>
          <w:u w:val="single"/>
        </w:rPr>
        <w:t>Scenario 1</w:t>
      </w:r>
      <w:r w:rsidRPr="00753450">
        <w:rPr>
          <w:rFonts w:ascii="Times New Roman" w:eastAsia="Arial" w:hAnsi="Times New Roman" w:cs="Times New Roman"/>
          <w:b/>
          <w:bCs/>
        </w:rPr>
        <w:t xml:space="preserve"> – </w:t>
      </w:r>
      <w:r w:rsidRPr="00753450">
        <w:rPr>
          <w:rFonts w:ascii="Times New Roman" w:eastAsia="Arial" w:hAnsi="Times New Roman" w:cs="Times New Roman"/>
          <w:bCs/>
        </w:rPr>
        <w:t>annual compliance burden for this scenario is estimated at $4,999 on average per entity</w:t>
      </w:r>
      <w:r>
        <w:rPr>
          <w:rFonts w:ascii="Times New Roman" w:eastAsia="Arial" w:hAnsi="Times New Roman" w:cs="Times New Roman"/>
          <w:bCs/>
        </w:rPr>
        <w:t xml:space="preserve"> assuming the direction power will be used once every three years. </w:t>
      </w:r>
    </w:p>
    <w:p w14:paraId="580FC256" w14:textId="77777777" w:rsidR="00E950A8" w:rsidRPr="00753450" w:rsidRDefault="00E950A8" w:rsidP="00E950A8">
      <w:pPr>
        <w:pStyle w:val="ListParagraph"/>
        <w:ind w:left="360"/>
        <w:rPr>
          <w:rFonts w:ascii="Times New Roman" w:eastAsia="Arial" w:hAnsi="Times New Roman" w:cs="Times New Roman"/>
          <w:b/>
          <w:bCs/>
        </w:rPr>
      </w:pPr>
      <w:r w:rsidRPr="00753450">
        <w:rPr>
          <w:rFonts w:ascii="Times New Roman" w:eastAsia="Arial" w:hAnsi="Times New Roman" w:cs="Times New Roman"/>
          <w:bCs/>
          <w:u w:val="single"/>
        </w:rPr>
        <w:t>Scenario 2</w:t>
      </w:r>
      <w:r w:rsidRPr="00753450">
        <w:rPr>
          <w:rFonts w:ascii="Times New Roman" w:eastAsia="Arial" w:hAnsi="Times New Roman" w:cs="Times New Roman"/>
          <w:b/>
          <w:bCs/>
        </w:rPr>
        <w:t xml:space="preserve"> - </w:t>
      </w:r>
      <w:r w:rsidRPr="00753450">
        <w:rPr>
          <w:rFonts w:ascii="Times New Roman" w:eastAsia="Arial" w:hAnsi="Times New Roman" w:cs="Times New Roman"/>
          <w:bCs/>
        </w:rPr>
        <w:t>annual compliance burden for this scenario is estimated at $280,741 on average per entity</w:t>
      </w:r>
      <w:r>
        <w:rPr>
          <w:rFonts w:ascii="Times New Roman" w:eastAsia="Arial" w:hAnsi="Times New Roman" w:cs="Times New Roman"/>
          <w:bCs/>
        </w:rPr>
        <w:t xml:space="preserve"> assuming the direction power will be used once every three years.</w:t>
      </w:r>
    </w:p>
    <w:p w14:paraId="6F9F3069" w14:textId="77777777" w:rsidR="00E950A8" w:rsidRPr="0004061B" w:rsidRDefault="00E950A8" w:rsidP="00E950A8">
      <w:pPr>
        <w:pStyle w:val="ListParagraph"/>
        <w:ind w:left="360"/>
        <w:rPr>
          <w:rFonts w:ascii="Times New Roman" w:eastAsia="Arial" w:hAnsi="Times New Roman" w:cs="Times New Roman"/>
          <w:bCs/>
        </w:rPr>
      </w:pPr>
      <w:r w:rsidRPr="00753450">
        <w:rPr>
          <w:rFonts w:ascii="Times New Roman" w:eastAsia="Arial" w:hAnsi="Times New Roman" w:cs="Times New Roman"/>
          <w:bCs/>
          <w:u w:val="single"/>
        </w:rPr>
        <w:t>Scenario 3</w:t>
      </w:r>
      <w:r w:rsidRPr="00753450">
        <w:rPr>
          <w:rFonts w:ascii="Times New Roman" w:eastAsia="Arial" w:hAnsi="Times New Roman" w:cs="Times New Roman"/>
          <w:bCs/>
        </w:rPr>
        <w:t xml:space="preserve"> - annual compliance burden for this scenario is estimated at $279,541 on average per entity</w:t>
      </w:r>
      <w:r>
        <w:rPr>
          <w:rFonts w:ascii="Times New Roman" w:eastAsia="Arial" w:hAnsi="Times New Roman" w:cs="Times New Roman"/>
          <w:bCs/>
        </w:rPr>
        <w:t xml:space="preserve"> assuming the direction power will be used once every three years.</w:t>
      </w:r>
    </w:p>
    <w:p w14:paraId="469A2A19" w14:textId="15361DD8" w:rsidR="004B3117" w:rsidRPr="004B3117" w:rsidRDefault="00E950A8" w:rsidP="004B3117">
      <w:pPr>
        <w:tabs>
          <w:tab w:val="left" w:pos="426"/>
        </w:tabs>
        <w:spacing w:after="0" w:line="240" w:lineRule="auto"/>
        <w:rPr>
          <w:rFonts w:ascii="Times New Roman" w:eastAsia="Arial" w:hAnsi="Times New Roman" w:cs="Times New Roman"/>
          <w:color w:val="000000"/>
        </w:rPr>
      </w:pPr>
      <w:r>
        <w:rPr>
          <w:rFonts w:ascii="Times New Roman" w:eastAsia="Arial" w:hAnsi="Times New Roman" w:cs="Times New Roman"/>
          <w:color w:val="000000"/>
        </w:rPr>
        <w:t>However, it is considered that these costs</w:t>
      </w:r>
      <w:r w:rsidR="00A555B1">
        <w:rPr>
          <w:rFonts w:ascii="Times New Roman" w:eastAsia="Arial" w:hAnsi="Times New Roman" w:cs="Times New Roman"/>
          <w:color w:val="000000"/>
        </w:rPr>
        <w:t xml:space="preserve"> are</w:t>
      </w:r>
      <w:r>
        <w:rPr>
          <w:rFonts w:ascii="Times New Roman" w:eastAsia="Arial" w:hAnsi="Times New Roman" w:cs="Times New Roman"/>
          <w:color w:val="000000"/>
        </w:rPr>
        <w:t xml:space="preserve"> outweighed by the benefits provided by these reforms through addressing th</w:t>
      </w:r>
      <w:r w:rsidR="004B3117" w:rsidRPr="004B3117">
        <w:rPr>
          <w:rFonts w:ascii="Times New Roman" w:eastAsia="Arial" w:hAnsi="Times New Roman" w:cs="Times New Roman"/>
          <w:color w:val="000000"/>
        </w:rPr>
        <w:t xml:space="preserve">e key aspects of the policy challenge outlined within </w:t>
      </w:r>
      <w:r w:rsidR="00AA49A3">
        <w:rPr>
          <w:rFonts w:ascii="Times New Roman" w:eastAsia="Arial" w:hAnsi="Times New Roman" w:cs="Times New Roman"/>
          <w:color w:val="000000"/>
        </w:rPr>
        <w:t>s</w:t>
      </w:r>
      <w:r w:rsidR="004B3117" w:rsidRPr="004B3117">
        <w:rPr>
          <w:rFonts w:ascii="Times New Roman" w:eastAsia="Arial" w:hAnsi="Times New Roman" w:cs="Times New Roman"/>
          <w:color w:val="000000"/>
        </w:rPr>
        <w:t xml:space="preserve">ection </w:t>
      </w:r>
      <w:r w:rsidR="009F17F8">
        <w:rPr>
          <w:rFonts w:ascii="Times New Roman" w:eastAsia="Arial" w:hAnsi="Times New Roman" w:cs="Times New Roman"/>
          <w:color w:val="000000"/>
        </w:rPr>
        <w:t>1</w:t>
      </w:r>
      <w:r w:rsidR="00A555B1">
        <w:rPr>
          <w:rFonts w:ascii="Times New Roman" w:eastAsia="Arial" w:hAnsi="Times New Roman" w:cs="Times New Roman"/>
          <w:color w:val="000000"/>
        </w:rPr>
        <w:t xml:space="preserve">. </w:t>
      </w:r>
    </w:p>
    <w:p w14:paraId="234DD142" w14:textId="77777777" w:rsidR="004B3117" w:rsidRDefault="004B3117" w:rsidP="004B3117">
      <w:pPr>
        <w:tabs>
          <w:tab w:val="left" w:pos="426"/>
        </w:tabs>
        <w:spacing w:after="0" w:line="240" w:lineRule="auto"/>
        <w:rPr>
          <w:rFonts w:ascii="Times New Roman" w:eastAsia="Arial" w:hAnsi="Times New Roman" w:cs="Times New Roman"/>
          <w:color w:val="000000"/>
          <w:highlight w:val="yellow"/>
          <w:u w:val="single"/>
        </w:rPr>
      </w:pPr>
    </w:p>
    <w:p w14:paraId="7B619216" w14:textId="5C70A415" w:rsidR="004B3117" w:rsidRPr="00A81B5F" w:rsidRDefault="004B3117" w:rsidP="00B369B5">
      <w:pPr>
        <w:pStyle w:val="ListParagraph"/>
        <w:numPr>
          <w:ilvl w:val="2"/>
          <w:numId w:val="72"/>
        </w:numPr>
        <w:spacing w:after="0" w:line="240" w:lineRule="auto"/>
        <w:rPr>
          <w:rFonts w:ascii="Times New Roman" w:eastAsia="Arial" w:hAnsi="Times New Roman" w:cs="Times New Roman"/>
          <w:color w:val="000000"/>
          <w:u w:val="single"/>
        </w:rPr>
      </w:pPr>
      <w:r w:rsidRPr="00A81B5F">
        <w:rPr>
          <w:rFonts w:ascii="Times New Roman" w:eastAsia="Arial" w:hAnsi="Times New Roman" w:cs="Times New Roman"/>
          <w:color w:val="000000"/>
          <w:u w:val="single"/>
        </w:rPr>
        <w:t>Increase the resilience of Australia’s critical infrastructure from all hazards</w:t>
      </w:r>
    </w:p>
    <w:p w14:paraId="692E5046" w14:textId="77777777" w:rsidR="004B3117" w:rsidRPr="004B3117" w:rsidRDefault="004B3117" w:rsidP="004B3117">
      <w:pPr>
        <w:tabs>
          <w:tab w:val="left" w:pos="426"/>
        </w:tabs>
        <w:spacing w:after="0" w:line="240" w:lineRule="auto"/>
        <w:rPr>
          <w:rFonts w:ascii="Times New Roman" w:eastAsia="Arial" w:hAnsi="Times New Roman" w:cs="Times New Roman"/>
          <w:color w:val="000000"/>
        </w:rPr>
      </w:pPr>
    </w:p>
    <w:p w14:paraId="30CA780E" w14:textId="4068DB80" w:rsidR="004B3117" w:rsidRDefault="004B3117" w:rsidP="004B3117">
      <w:pPr>
        <w:tabs>
          <w:tab w:val="left" w:pos="426"/>
        </w:tabs>
        <w:spacing w:after="0" w:line="240" w:lineRule="auto"/>
        <w:rPr>
          <w:rFonts w:ascii="Times New Roman" w:eastAsia="Arial" w:hAnsi="Times New Roman" w:cs="Times New Roman"/>
          <w:color w:val="000000"/>
        </w:rPr>
      </w:pPr>
      <w:r w:rsidRPr="004B3117">
        <w:rPr>
          <w:rFonts w:ascii="Times New Roman" w:eastAsia="Arial" w:hAnsi="Times New Roman" w:cs="Times New Roman"/>
          <w:color w:val="000000"/>
        </w:rPr>
        <w:t xml:space="preserve">The </w:t>
      </w:r>
      <w:r w:rsidR="00A555B1">
        <w:rPr>
          <w:rFonts w:ascii="Times New Roman" w:eastAsia="Arial" w:hAnsi="Times New Roman" w:cs="Times New Roman"/>
          <w:color w:val="000000"/>
        </w:rPr>
        <w:t xml:space="preserve">reforms will </w:t>
      </w:r>
      <w:r w:rsidR="0000238B">
        <w:rPr>
          <w:rFonts w:ascii="Times New Roman" w:eastAsia="Arial" w:hAnsi="Times New Roman" w:cs="Times New Roman"/>
          <w:color w:val="000000"/>
        </w:rPr>
        <w:t>ensure e</w:t>
      </w:r>
      <w:r w:rsidRPr="004B3117">
        <w:rPr>
          <w:rFonts w:ascii="Times New Roman" w:eastAsia="Arial" w:hAnsi="Times New Roman" w:cs="Times New Roman"/>
          <w:color w:val="000000"/>
        </w:rPr>
        <w:t>ntities</w:t>
      </w:r>
      <w:r w:rsidR="0000238B">
        <w:rPr>
          <w:rFonts w:ascii="Times New Roman" w:eastAsia="Arial" w:hAnsi="Times New Roman" w:cs="Times New Roman"/>
          <w:color w:val="000000"/>
        </w:rPr>
        <w:t xml:space="preserve"> </w:t>
      </w:r>
      <w:r w:rsidRPr="004B3117">
        <w:rPr>
          <w:rFonts w:ascii="Times New Roman" w:eastAsia="Arial" w:hAnsi="Times New Roman" w:cs="Times New Roman"/>
          <w:color w:val="000000"/>
        </w:rPr>
        <w:t xml:space="preserve">take an all-hazards </w:t>
      </w:r>
      <w:r w:rsidR="0000238B">
        <w:rPr>
          <w:rFonts w:ascii="Times New Roman" w:eastAsia="Arial" w:hAnsi="Times New Roman" w:cs="Times New Roman"/>
          <w:color w:val="000000"/>
        </w:rPr>
        <w:t xml:space="preserve">approach </w:t>
      </w:r>
      <w:r w:rsidRPr="004B3117">
        <w:rPr>
          <w:rFonts w:ascii="Times New Roman" w:eastAsia="Arial" w:hAnsi="Times New Roman" w:cs="Times New Roman"/>
          <w:color w:val="000000"/>
        </w:rPr>
        <w:t>when identifying risks that may affect the availability, integrity, reliability and confidentiality of their asset</w:t>
      </w:r>
      <w:r w:rsidR="0000238B">
        <w:rPr>
          <w:rFonts w:ascii="Times New Roman" w:eastAsia="Arial" w:hAnsi="Times New Roman" w:cs="Times New Roman"/>
          <w:color w:val="000000"/>
        </w:rPr>
        <w:t>s</w:t>
      </w:r>
      <w:r w:rsidRPr="004B3117">
        <w:rPr>
          <w:rFonts w:ascii="Times New Roman" w:eastAsia="Arial" w:hAnsi="Times New Roman" w:cs="Times New Roman"/>
          <w:color w:val="000000"/>
        </w:rPr>
        <w:t>. This will require consideration of both natural and human induced hazards which pose a material risk</w:t>
      </w:r>
      <w:r w:rsidR="0000238B">
        <w:rPr>
          <w:rFonts w:ascii="Times New Roman" w:eastAsia="Arial" w:hAnsi="Times New Roman" w:cs="Times New Roman"/>
          <w:color w:val="000000"/>
        </w:rPr>
        <w:t>.</w:t>
      </w:r>
      <w:r w:rsidRPr="004B3117">
        <w:rPr>
          <w:rFonts w:ascii="Times New Roman" w:eastAsia="Arial" w:hAnsi="Times New Roman" w:cs="Times New Roman"/>
          <w:color w:val="000000"/>
        </w:rPr>
        <w:t xml:space="preserve"> This may include understanding how these risks might accumulate throughout the supply chain, understanding the way systems are interacting, and outlining which of these risks may have a significant consequence to core service provision.</w:t>
      </w:r>
    </w:p>
    <w:p w14:paraId="35BFCCF7" w14:textId="6E7F30B9" w:rsidR="0000238B" w:rsidRDefault="0000238B" w:rsidP="004B3117">
      <w:pPr>
        <w:tabs>
          <w:tab w:val="left" w:pos="426"/>
        </w:tabs>
        <w:spacing w:after="0" w:line="240" w:lineRule="auto"/>
        <w:rPr>
          <w:rFonts w:ascii="Times New Roman" w:eastAsia="Arial" w:hAnsi="Times New Roman" w:cs="Times New Roman"/>
          <w:color w:val="000000"/>
        </w:rPr>
      </w:pPr>
    </w:p>
    <w:p w14:paraId="3BC159A1" w14:textId="11B99312" w:rsidR="0000238B" w:rsidRPr="00A81B5F" w:rsidRDefault="0000238B" w:rsidP="0000238B">
      <w:pPr>
        <w:autoSpaceDE w:val="0"/>
        <w:autoSpaceDN w:val="0"/>
        <w:spacing w:before="40" w:after="40" w:line="240" w:lineRule="auto"/>
        <w:rPr>
          <w:rFonts w:ascii="Times New Roman" w:hAnsi="Times New Roman" w:cs="Times New Roman"/>
          <w:szCs w:val="24"/>
        </w:rPr>
      </w:pPr>
      <w:r w:rsidRPr="00A81B5F">
        <w:rPr>
          <w:rFonts w:ascii="Times New Roman" w:hAnsi="Times New Roman" w:cs="Times New Roman"/>
          <w:szCs w:val="24"/>
        </w:rPr>
        <w:t xml:space="preserve">Whilst Option Two will have the highest regulatory impost, these costs must be considered within the broader context of the savings that can be created by increasing critical infrastructure resilience and reducing the likelihood and severity of incidents. </w:t>
      </w:r>
      <w:r w:rsidR="0034773B">
        <w:rPr>
          <w:rFonts w:ascii="Times New Roman" w:hAnsi="Times New Roman" w:cs="Times New Roman"/>
        </w:rPr>
        <w:t>I</w:t>
      </w:r>
      <w:r w:rsidR="0034773B" w:rsidRPr="00A81B5F">
        <w:rPr>
          <w:rFonts w:ascii="Times New Roman" w:hAnsi="Times New Roman" w:cs="Times New Roman"/>
        </w:rPr>
        <w:t>t is estimated that cyber security breaches cost the Australian economy app</w:t>
      </w:r>
      <w:r w:rsidR="0034773B">
        <w:rPr>
          <w:rFonts w:ascii="Times New Roman" w:hAnsi="Times New Roman" w:cs="Times New Roman"/>
        </w:rPr>
        <w:t>roximately $29 billion per year</w:t>
      </w:r>
      <w:r w:rsidR="0034773B">
        <w:rPr>
          <w:rStyle w:val="FootnoteReference"/>
          <w:rFonts w:ascii="Times New Roman" w:hAnsi="Times New Roman" w:cs="Times New Roman"/>
        </w:rPr>
        <w:footnoteReference w:id="18"/>
      </w:r>
      <w:r w:rsidR="0034773B">
        <w:rPr>
          <w:rFonts w:ascii="Times New Roman" w:hAnsi="Times New Roman" w:cs="Times New Roman"/>
        </w:rPr>
        <w:t xml:space="preserve"> with natural disasters costing more than $13 billion per year and expected to rise to $39 billion per year by 2050.</w:t>
      </w:r>
      <w:r w:rsidR="0034773B">
        <w:rPr>
          <w:rStyle w:val="FootnoteReference"/>
          <w:rFonts w:ascii="Times New Roman" w:hAnsi="Times New Roman" w:cs="Times New Roman"/>
        </w:rPr>
        <w:footnoteReference w:id="19"/>
      </w:r>
      <w:r w:rsidR="0034773B">
        <w:rPr>
          <w:rFonts w:ascii="Times New Roman" w:hAnsi="Times New Roman" w:cs="Times New Roman"/>
        </w:rPr>
        <w:t xml:space="preserve"> </w:t>
      </w:r>
      <w:r w:rsidRPr="00A81B5F">
        <w:rPr>
          <w:rFonts w:ascii="Times New Roman" w:hAnsi="Times New Roman" w:cs="Times New Roman"/>
          <w:szCs w:val="24"/>
        </w:rPr>
        <w:t xml:space="preserve">Even a modest saving as a result of Government </w:t>
      </w:r>
      <w:r>
        <w:rPr>
          <w:rFonts w:ascii="Times New Roman" w:hAnsi="Times New Roman" w:cs="Times New Roman"/>
          <w:szCs w:val="24"/>
        </w:rPr>
        <w:t xml:space="preserve">and industry </w:t>
      </w:r>
      <w:r w:rsidRPr="00A81B5F">
        <w:rPr>
          <w:rFonts w:ascii="Times New Roman" w:hAnsi="Times New Roman" w:cs="Times New Roman"/>
          <w:szCs w:val="24"/>
        </w:rPr>
        <w:t>investment in these reforms will represent a significant cost saving to indu</w:t>
      </w:r>
      <w:r w:rsidR="0034773B">
        <w:rPr>
          <w:rFonts w:ascii="Times New Roman" w:hAnsi="Times New Roman" w:cs="Times New Roman"/>
          <w:szCs w:val="24"/>
        </w:rPr>
        <w:t xml:space="preserve">stry and Australian consumers. </w:t>
      </w:r>
    </w:p>
    <w:p w14:paraId="626C76C4" w14:textId="77777777" w:rsidR="004B3117" w:rsidRDefault="004B3117" w:rsidP="004B3117">
      <w:pPr>
        <w:tabs>
          <w:tab w:val="left" w:pos="426"/>
        </w:tabs>
        <w:spacing w:after="0" w:line="240" w:lineRule="auto"/>
        <w:rPr>
          <w:rFonts w:ascii="Times New Roman" w:eastAsia="Arial" w:hAnsi="Times New Roman" w:cs="Times New Roman"/>
          <w:color w:val="000000"/>
          <w:highlight w:val="yellow"/>
        </w:rPr>
      </w:pPr>
    </w:p>
    <w:p w14:paraId="76153A8E" w14:textId="77777777" w:rsidR="004B3117" w:rsidRPr="004B3117" w:rsidRDefault="004B3117" w:rsidP="00B369B5">
      <w:pPr>
        <w:pStyle w:val="ListParagraph"/>
        <w:numPr>
          <w:ilvl w:val="2"/>
          <w:numId w:val="72"/>
        </w:numPr>
        <w:spacing w:after="0" w:line="240" w:lineRule="auto"/>
        <w:rPr>
          <w:rFonts w:ascii="Times New Roman" w:eastAsia="Arial" w:hAnsi="Times New Roman" w:cs="Times New Roman"/>
          <w:color w:val="000000"/>
          <w:u w:val="single"/>
        </w:rPr>
      </w:pPr>
      <w:r w:rsidRPr="004B3117">
        <w:rPr>
          <w:rFonts w:ascii="Times New Roman" w:eastAsia="Arial" w:hAnsi="Times New Roman" w:cs="Times New Roman"/>
          <w:color w:val="000000"/>
          <w:u w:val="single"/>
        </w:rPr>
        <w:t>Protection against physical, cyber, supply chain and personnel domains</w:t>
      </w:r>
    </w:p>
    <w:p w14:paraId="2774555F" w14:textId="77777777" w:rsidR="004B3117" w:rsidRDefault="004B3117" w:rsidP="004B3117">
      <w:pPr>
        <w:tabs>
          <w:tab w:val="left" w:pos="426"/>
        </w:tabs>
        <w:spacing w:after="0" w:line="240" w:lineRule="auto"/>
        <w:rPr>
          <w:rFonts w:ascii="Times New Roman" w:eastAsia="Arial" w:hAnsi="Times New Roman" w:cs="Times New Roman"/>
          <w:color w:val="000000"/>
          <w:highlight w:val="yellow"/>
        </w:rPr>
      </w:pPr>
    </w:p>
    <w:p w14:paraId="34FBD3B0" w14:textId="77777777" w:rsidR="004B3117" w:rsidRPr="00A81B5F" w:rsidRDefault="004B3117" w:rsidP="004B3117">
      <w:pPr>
        <w:rPr>
          <w:rFonts w:ascii="Times New Roman" w:eastAsia="Arial" w:hAnsi="Times New Roman" w:cs="Times New Roman"/>
          <w:color w:val="000000"/>
        </w:rPr>
      </w:pPr>
      <w:r w:rsidRPr="00A81B5F">
        <w:rPr>
          <w:rFonts w:ascii="Times New Roman" w:eastAsia="Arial" w:hAnsi="Times New Roman" w:cs="Times New Roman"/>
          <w:color w:val="000000"/>
        </w:rPr>
        <w:t>It is intended that the risk management programs under the PSO will require entities to take into account material risks, whether natural or human induced hazards, encouraging a holistic risk management approach in the safeguarding of critical infrastructure. At a minimum, it is proposed that sector-specific rules, to be developed with industry, will require responsible entities to consider and address risks within these four domains. This will enable entities to better prepare for and respond to significant security incidents regardless of source or vector.</w:t>
      </w:r>
    </w:p>
    <w:p w14:paraId="3BF4C6ED" w14:textId="77777777" w:rsidR="004B3117" w:rsidRPr="00A81B5F" w:rsidRDefault="004B3117" w:rsidP="00B369B5">
      <w:pPr>
        <w:pStyle w:val="ListParagraph"/>
        <w:numPr>
          <w:ilvl w:val="2"/>
          <w:numId w:val="72"/>
        </w:numPr>
        <w:spacing w:after="0" w:line="240" w:lineRule="auto"/>
        <w:rPr>
          <w:rFonts w:ascii="Times New Roman" w:eastAsia="Arial" w:hAnsi="Times New Roman" w:cs="Times New Roman"/>
          <w:color w:val="000000"/>
          <w:u w:val="single"/>
        </w:rPr>
      </w:pPr>
      <w:r w:rsidRPr="00A81B5F">
        <w:rPr>
          <w:rFonts w:ascii="Times New Roman" w:eastAsia="Arial" w:hAnsi="Times New Roman" w:cs="Times New Roman"/>
          <w:color w:val="000000"/>
          <w:u w:val="single"/>
        </w:rPr>
        <w:t>Increasing threats, connectivity and complexity of critical infrastructure</w:t>
      </w:r>
    </w:p>
    <w:p w14:paraId="38805095" w14:textId="77777777" w:rsidR="004B3117" w:rsidRPr="00A81B5F" w:rsidRDefault="004B3117" w:rsidP="004B3117">
      <w:pPr>
        <w:pStyle w:val="ListParagraph"/>
        <w:tabs>
          <w:tab w:val="left" w:pos="426"/>
        </w:tabs>
        <w:spacing w:after="0" w:line="240" w:lineRule="auto"/>
        <w:rPr>
          <w:rFonts w:ascii="Times New Roman" w:eastAsia="Arial" w:hAnsi="Times New Roman" w:cs="Times New Roman"/>
          <w:color w:val="000000"/>
        </w:rPr>
      </w:pPr>
    </w:p>
    <w:p w14:paraId="2DA03FD8" w14:textId="174BDDA7" w:rsidR="004B3117" w:rsidRPr="00A81B5F" w:rsidRDefault="004B3117" w:rsidP="004B3117">
      <w:pPr>
        <w:rPr>
          <w:rFonts w:ascii="Times New Roman" w:eastAsia="Arial" w:hAnsi="Times New Roman" w:cs="Times New Roman"/>
          <w:color w:val="000000"/>
        </w:rPr>
      </w:pPr>
      <w:r w:rsidRPr="00A81B5F">
        <w:rPr>
          <w:rFonts w:ascii="Times New Roman" w:eastAsia="Arial" w:hAnsi="Times New Roman" w:cs="Times New Roman"/>
          <w:color w:val="000000"/>
        </w:rPr>
        <w:t>The reforms respond to clear concerns raised during public consultations for the Australian Cyber Security Strategy, and consultation held in response to the proposed reforms, around the risks posed by the connectivity and complexity of critical infrastructure</w:t>
      </w:r>
      <w:r w:rsidR="0032042D">
        <w:rPr>
          <w:rFonts w:ascii="Times New Roman" w:eastAsia="Arial" w:hAnsi="Times New Roman" w:cs="Times New Roman"/>
          <w:color w:val="000000"/>
        </w:rPr>
        <w:t>. Specifically, stakeholders noted the importance of the Government uplifting security and resilience in critical infrastructure especially in the face of increasing interconnectivity.</w:t>
      </w:r>
      <w:r w:rsidRPr="00A81B5F">
        <w:rPr>
          <w:rFonts w:ascii="Times New Roman" w:eastAsia="Arial" w:hAnsi="Times New Roman" w:cs="Times New Roman"/>
          <w:color w:val="000000"/>
        </w:rPr>
        <w:t xml:space="preserve"> </w:t>
      </w:r>
    </w:p>
    <w:p w14:paraId="4F4DA3DC" w14:textId="4FC930C5" w:rsidR="004B3117" w:rsidRPr="00A81B5F" w:rsidRDefault="004B3117" w:rsidP="004B3117">
      <w:pPr>
        <w:rPr>
          <w:rFonts w:ascii="Times New Roman" w:eastAsia="Arial" w:hAnsi="Times New Roman" w:cs="Times New Roman"/>
          <w:color w:val="000000"/>
        </w:rPr>
      </w:pPr>
      <w:r w:rsidRPr="00A81B5F">
        <w:rPr>
          <w:rFonts w:ascii="Times New Roman" w:eastAsia="Times New Roman" w:hAnsi="Times New Roman" w:cs="Times New Roman"/>
          <w:bCs/>
          <w:lang w:eastAsia="en-AU"/>
        </w:rPr>
        <w:t xml:space="preserve">In particular, concentrating critical infrastructure resilience within the Department of Home Affairs through the proposed reforms enables a </w:t>
      </w:r>
      <w:r w:rsidRPr="00A81B5F">
        <w:rPr>
          <w:rFonts w:ascii="Times New Roman" w:eastAsia="Arial" w:hAnsi="Times New Roman" w:cs="Times New Roman"/>
          <w:color w:val="000000"/>
        </w:rPr>
        <w:t>coordinated</w:t>
      </w:r>
      <w:r w:rsidRPr="00A81B5F">
        <w:rPr>
          <w:rFonts w:ascii="Times New Roman" w:eastAsia="Times New Roman" w:hAnsi="Times New Roman" w:cs="Times New Roman"/>
          <w:bCs/>
          <w:lang w:eastAsia="en-AU"/>
        </w:rPr>
        <w:t xml:space="preserve">, national approach toward the management of critical infrastructure. Currently, the management of critical infrastructure sectors and assets are categorised by sector, or according to </w:t>
      </w:r>
      <w:r w:rsidR="00436851">
        <w:rPr>
          <w:rFonts w:ascii="Times New Roman" w:eastAsia="Times New Roman" w:hAnsi="Times New Roman" w:cs="Times New Roman"/>
          <w:bCs/>
          <w:lang w:eastAsia="en-AU"/>
        </w:rPr>
        <w:t>s</w:t>
      </w:r>
      <w:r w:rsidRPr="00A81B5F">
        <w:rPr>
          <w:rFonts w:ascii="Times New Roman" w:eastAsia="Times New Roman" w:hAnsi="Times New Roman" w:cs="Times New Roman"/>
          <w:bCs/>
          <w:lang w:eastAsia="en-AU"/>
        </w:rPr>
        <w:t xml:space="preserve">tate and </w:t>
      </w:r>
      <w:r w:rsidR="00436851">
        <w:rPr>
          <w:rFonts w:ascii="Times New Roman" w:eastAsia="Times New Roman" w:hAnsi="Times New Roman" w:cs="Times New Roman"/>
          <w:bCs/>
          <w:lang w:eastAsia="en-AU"/>
        </w:rPr>
        <w:t>t</w:t>
      </w:r>
      <w:r w:rsidRPr="00A81B5F">
        <w:rPr>
          <w:rFonts w:ascii="Times New Roman" w:eastAsia="Times New Roman" w:hAnsi="Times New Roman" w:cs="Times New Roman"/>
          <w:bCs/>
          <w:lang w:eastAsia="en-AU"/>
        </w:rPr>
        <w:t xml:space="preserve">erritory jurisdictions. The envisioned reforms enable the Department of Home Affairs to build awareness and management of issues that cut across critical infrastructure sectors, while recognising relevant regulations that exist in particular sectors or </w:t>
      </w:r>
      <w:r w:rsidR="00436851">
        <w:rPr>
          <w:rFonts w:ascii="Times New Roman" w:eastAsia="Times New Roman" w:hAnsi="Times New Roman" w:cs="Times New Roman"/>
          <w:bCs/>
          <w:lang w:eastAsia="en-AU"/>
        </w:rPr>
        <w:t>s</w:t>
      </w:r>
      <w:r w:rsidRPr="00A81B5F">
        <w:rPr>
          <w:rFonts w:ascii="Times New Roman" w:eastAsia="Times New Roman" w:hAnsi="Times New Roman" w:cs="Times New Roman"/>
          <w:bCs/>
          <w:lang w:eastAsia="en-AU"/>
        </w:rPr>
        <w:t xml:space="preserve">tate and </w:t>
      </w:r>
      <w:r w:rsidR="00436851">
        <w:rPr>
          <w:rFonts w:ascii="Times New Roman" w:eastAsia="Times New Roman" w:hAnsi="Times New Roman" w:cs="Times New Roman"/>
          <w:bCs/>
          <w:lang w:eastAsia="en-AU"/>
        </w:rPr>
        <w:t>t</w:t>
      </w:r>
      <w:r w:rsidRPr="00A81B5F">
        <w:rPr>
          <w:rFonts w:ascii="Times New Roman" w:eastAsia="Times New Roman" w:hAnsi="Times New Roman" w:cs="Times New Roman"/>
          <w:bCs/>
          <w:lang w:eastAsia="en-AU"/>
        </w:rPr>
        <w:t xml:space="preserve">erritory jurisdictions. </w:t>
      </w:r>
    </w:p>
    <w:p w14:paraId="709406A9" w14:textId="77777777" w:rsidR="004B3117" w:rsidRPr="00A81B5F" w:rsidRDefault="004B3117" w:rsidP="00B369B5">
      <w:pPr>
        <w:pStyle w:val="ListParagraph"/>
        <w:numPr>
          <w:ilvl w:val="2"/>
          <w:numId w:val="72"/>
        </w:numPr>
        <w:spacing w:after="0" w:line="240" w:lineRule="auto"/>
        <w:rPr>
          <w:rFonts w:ascii="Times New Roman" w:eastAsia="Arial" w:hAnsi="Times New Roman" w:cs="Times New Roman"/>
          <w:color w:val="000000"/>
          <w:u w:val="single"/>
        </w:rPr>
      </w:pPr>
      <w:r w:rsidRPr="00A81B5F">
        <w:rPr>
          <w:rFonts w:ascii="Times New Roman" w:eastAsia="Arial" w:hAnsi="Times New Roman" w:cs="Times New Roman"/>
          <w:color w:val="000000"/>
          <w:u w:val="single"/>
        </w:rPr>
        <w:t>Existing legislative arrangements are insufficient for the current threat environment</w:t>
      </w:r>
    </w:p>
    <w:p w14:paraId="79D07621" w14:textId="77777777" w:rsidR="004B3117" w:rsidRPr="00A81B5F" w:rsidRDefault="004B3117" w:rsidP="004B3117">
      <w:pPr>
        <w:tabs>
          <w:tab w:val="left" w:pos="426"/>
        </w:tabs>
        <w:spacing w:after="0" w:line="240" w:lineRule="auto"/>
        <w:rPr>
          <w:rFonts w:ascii="Times New Roman" w:eastAsia="Arial" w:hAnsi="Times New Roman" w:cs="Times New Roman"/>
          <w:color w:val="000000"/>
        </w:rPr>
      </w:pPr>
    </w:p>
    <w:p w14:paraId="4D50D031" w14:textId="08B3335B" w:rsidR="004B3117" w:rsidRPr="00A81B5F" w:rsidRDefault="004B3117" w:rsidP="004B3117">
      <w:r w:rsidRPr="00A81B5F">
        <w:rPr>
          <w:rFonts w:ascii="Times New Roman" w:eastAsia="Arial" w:hAnsi="Times New Roman" w:cs="Times New Roman"/>
          <w:color w:val="000000"/>
        </w:rPr>
        <w:t>If a significant cyber incident on critical infrastructure hap</w:t>
      </w:r>
      <w:r w:rsidR="00327E85">
        <w:rPr>
          <w:rFonts w:ascii="Times New Roman" w:eastAsia="Arial" w:hAnsi="Times New Roman" w:cs="Times New Roman"/>
          <w:color w:val="000000"/>
        </w:rPr>
        <w:t xml:space="preserve">pened today, there is a risk </w:t>
      </w:r>
      <w:r w:rsidRPr="00A81B5F">
        <w:rPr>
          <w:rFonts w:ascii="Times New Roman" w:eastAsia="Arial" w:hAnsi="Times New Roman" w:cs="Times New Roman"/>
          <w:color w:val="000000"/>
        </w:rPr>
        <w:t xml:space="preserve">that the Government may not have the mechanisms to act decisively to support an entity to stop or prevent an attack, nor does industry have obligations to report significant cyber incidents or apply minimum cyber security standards. Key gaps in current legislative arrangements relate to Government lacking the ability to assist assets during exceptional </w:t>
      </w:r>
      <w:r w:rsidR="0032042D">
        <w:rPr>
          <w:rFonts w:ascii="Times New Roman" w:eastAsia="Arial" w:hAnsi="Times New Roman" w:cs="Times New Roman"/>
          <w:color w:val="000000"/>
        </w:rPr>
        <w:t>cyber security incidents</w:t>
      </w:r>
      <w:r w:rsidRPr="00A81B5F">
        <w:rPr>
          <w:rFonts w:ascii="Times New Roman" w:eastAsia="Arial" w:hAnsi="Times New Roman" w:cs="Times New Roman"/>
          <w:color w:val="000000"/>
        </w:rPr>
        <w:t xml:space="preserve">. </w:t>
      </w:r>
      <w:r w:rsidRPr="00A81B5F">
        <w:t xml:space="preserve"> </w:t>
      </w:r>
    </w:p>
    <w:p w14:paraId="304FB98D" w14:textId="77777777" w:rsidR="004B3117" w:rsidRPr="00A81B5F" w:rsidRDefault="004B3117" w:rsidP="004B3117">
      <w:pPr>
        <w:rPr>
          <w:rFonts w:ascii="Times New Roman" w:eastAsia="Arial" w:hAnsi="Times New Roman" w:cs="Times New Roman"/>
          <w:color w:val="000000"/>
        </w:rPr>
      </w:pPr>
      <w:r w:rsidRPr="00A81B5F">
        <w:rPr>
          <w:rFonts w:ascii="Times New Roman" w:eastAsia="Arial" w:hAnsi="Times New Roman" w:cs="Times New Roman"/>
          <w:color w:val="000000"/>
        </w:rPr>
        <w:t>The proposed reforms address these issues:</w:t>
      </w:r>
    </w:p>
    <w:p w14:paraId="7D8E1037" w14:textId="77777777" w:rsidR="004B3117" w:rsidRPr="00A81B5F" w:rsidRDefault="004B3117" w:rsidP="00EE0D81">
      <w:pPr>
        <w:pStyle w:val="ListParagraph"/>
        <w:numPr>
          <w:ilvl w:val="0"/>
          <w:numId w:val="68"/>
        </w:numPr>
        <w:spacing w:line="256" w:lineRule="auto"/>
        <w:rPr>
          <w:rFonts w:ascii="Times New Roman" w:eastAsia="Arial" w:hAnsi="Times New Roman" w:cs="Times New Roman"/>
          <w:color w:val="000000"/>
        </w:rPr>
      </w:pPr>
      <w:r w:rsidRPr="00A81B5F">
        <w:rPr>
          <w:rFonts w:ascii="Times New Roman" w:eastAsia="Arial" w:hAnsi="Times New Roman" w:cs="Times New Roman"/>
          <w:color w:val="000000"/>
        </w:rPr>
        <w:t>the Positive Security Obligations which will set and enforce baseline protections for critical infrastructure assets, implement sector specific standards and strengthen sectoral regulatory oversight;</w:t>
      </w:r>
    </w:p>
    <w:p w14:paraId="4E10FE73" w14:textId="77777777" w:rsidR="004B3117" w:rsidRPr="00A81B5F" w:rsidRDefault="004B3117" w:rsidP="00EE0D81">
      <w:pPr>
        <w:pStyle w:val="ListParagraph"/>
        <w:numPr>
          <w:ilvl w:val="0"/>
          <w:numId w:val="68"/>
        </w:numPr>
        <w:spacing w:line="256" w:lineRule="auto"/>
        <w:rPr>
          <w:rFonts w:ascii="Times New Roman" w:eastAsia="Arial" w:hAnsi="Times New Roman" w:cs="Times New Roman"/>
          <w:color w:val="000000"/>
        </w:rPr>
      </w:pPr>
      <w:r w:rsidRPr="00A81B5F">
        <w:rPr>
          <w:rFonts w:ascii="Times New Roman" w:eastAsia="Arial" w:hAnsi="Times New Roman" w:cs="Times New Roman"/>
          <w:color w:val="000000"/>
        </w:rPr>
        <w:lastRenderedPageBreak/>
        <w:t xml:space="preserve">the Enhanced Cyber Security Obligation which will provide a framework for ‘incident response plans’ setting out response arrangements, build a near real-time threat picture and further strengthen  the cyber resilience of </w:t>
      </w:r>
      <w:r w:rsidRPr="00EE0D81">
        <w:rPr>
          <w:rFonts w:ascii="Times New Roman" w:eastAsia="Arial" w:hAnsi="Times New Roman" w:cs="Times New Roman"/>
          <w:i/>
          <w:color w:val="000000"/>
        </w:rPr>
        <w:t>systems of national significance</w:t>
      </w:r>
      <w:r w:rsidRPr="00A81B5F">
        <w:rPr>
          <w:rFonts w:ascii="Times New Roman" w:eastAsia="Arial" w:hAnsi="Times New Roman" w:cs="Times New Roman"/>
          <w:color w:val="000000"/>
        </w:rPr>
        <w:t>; and</w:t>
      </w:r>
    </w:p>
    <w:p w14:paraId="7CFE4DFA" w14:textId="4F6B331E" w:rsidR="004B3117" w:rsidRDefault="004B3117" w:rsidP="00EE0D81">
      <w:pPr>
        <w:pStyle w:val="ListParagraph"/>
        <w:numPr>
          <w:ilvl w:val="0"/>
          <w:numId w:val="68"/>
        </w:numPr>
        <w:spacing w:line="256" w:lineRule="auto"/>
        <w:rPr>
          <w:rFonts w:ascii="Times New Roman" w:eastAsia="Arial" w:hAnsi="Times New Roman" w:cs="Times New Roman"/>
          <w:color w:val="000000"/>
        </w:rPr>
      </w:pPr>
      <w:r w:rsidRPr="00A81B5F">
        <w:rPr>
          <w:rFonts w:ascii="Times New Roman" w:eastAsia="Arial" w:hAnsi="Times New Roman" w:cs="Times New Roman"/>
          <w:color w:val="000000"/>
        </w:rPr>
        <w:t xml:space="preserve">the Government Assistance will ensure the Government has the ability to respond in an effective and timely manner to nationally significant cyber security attacks in exceptional circumstances. </w:t>
      </w:r>
    </w:p>
    <w:p w14:paraId="4302659C" w14:textId="77777777" w:rsidR="004B3117" w:rsidRPr="00A81B5F" w:rsidRDefault="004B3117" w:rsidP="004B3117">
      <w:pPr>
        <w:pStyle w:val="ListParagraph"/>
        <w:tabs>
          <w:tab w:val="left" w:pos="426"/>
        </w:tabs>
        <w:spacing w:after="0" w:line="240" w:lineRule="auto"/>
        <w:rPr>
          <w:rFonts w:ascii="Times New Roman" w:eastAsia="Arial" w:hAnsi="Times New Roman" w:cs="Times New Roman"/>
          <w:color w:val="000000"/>
        </w:rPr>
      </w:pPr>
    </w:p>
    <w:p w14:paraId="4E00D9D4" w14:textId="77777777" w:rsidR="004B3117" w:rsidRPr="00A81B5F" w:rsidRDefault="004B3117" w:rsidP="00B369B5">
      <w:pPr>
        <w:pStyle w:val="ListParagraph"/>
        <w:numPr>
          <w:ilvl w:val="2"/>
          <w:numId w:val="72"/>
        </w:numPr>
        <w:spacing w:after="0" w:line="240" w:lineRule="auto"/>
        <w:rPr>
          <w:rFonts w:ascii="Times New Roman" w:eastAsia="Arial" w:hAnsi="Times New Roman" w:cs="Times New Roman"/>
          <w:color w:val="000000"/>
          <w:u w:val="single"/>
        </w:rPr>
      </w:pPr>
      <w:r w:rsidRPr="00A81B5F">
        <w:rPr>
          <w:rFonts w:ascii="Times New Roman" w:eastAsia="Arial" w:hAnsi="Times New Roman" w:cs="Times New Roman"/>
          <w:color w:val="000000"/>
          <w:u w:val="single"/>
        </w:rPr>
        <w:t>The Government currently has limited visibility and power to act</w:t>
      </w:r>
    </w:p>
    <w:p w14:paraId="11B170C9" w14:textId="77777777" w:rsidR="004B3117" w:rsidRPr="00A81B5F" w:rsidRDefault="004B3117" w:rsidP="004B3117">
      <w:pPr>
        <w:tabs>
          <w:tab w:val="left" w:pos="426"/>
        </w:tabs>
        <w:spacing w:after="0" w:line="240" w:lineRule="auto"/>
        <w:rPr>
          <w:rFonts w:ascii="Times New Roman" w:eastAsia="Arial" w:hAnsi="Times New Roman" w:cs="Times New Roman"/>
          <w:color w:val="000000"/>
        </w:rPr>
      </w:pPr>
    </w:p>
    <w:p w14:paraId="5F408F88" w14:textId="0F368359" w:rsidR="004B3117" w:rsidRPr="00A81B5F" w:rsidRDefault="004B3117" w:rsidP="004B3117">
      <w:pPr>
        <w:tabs>
          <w:tab w:val="left" w:pos="426"/>
        </w:tabs>
        <w:spacing w:after="0" w:line="240" w:lineRule="auto"/>
        <w:rPr>
          <w:rFonts w:ascii="Times New Roman" w:eastAsia="Arial" w:hAnsi="Times New Roman" w:cs="Times New Roman"/>
          <w:color w:val="000000"/>
        </w:rPr>
      </w:pPr>
      <w:r w:rsidRPr="00A81B5F">
        <w:rPr>
          <w:rFonts w:ascii="Times New Roman" w:eastAsia="Arial" w:hAnsi="Times New Roman" w:cs="Times New Roman"/>
          <w:color w:val="000000"/>
        </w:rPr>
        <w:t xml:space="preserve">Without compulsory requirements around the management of critical infrastructure, the Government will have limited abilities to: </w:t>
      </w:r>
    </w:p>
    <w:p w14:paraId="4ACF3D4E" w14:textId="3F808B1A" w:rsidR="004B3117" w:rsidRPr="00A81B5F" w:rsidRDefault="004B3117" w:rsidP="00EE0D81">
      <w:pPr>
        <w:pStyle w:val="ListParagraph"/>
        <w:numPr>
          <w:ilvl w:val="0"/>
          <w:numId w:val="68"/>
        </w:numPr>
        <w:spacing w:line="256" w:lineRule="auto"/>
        <w:rPr>
          <w:rFonts w:ascii="Times New Roman" w:eastAsia="Arial" w:hAnsi="Times New Roman" w:cs="Times New Roman"/>
          <w:color w:val="000000"/>
        </w:rPr>
      </w:pPr>
      <w:r w:rsidRPr="00A81B5F">
        <w:rPr>
          <w:rFonts w:ascii="Times New Roman" w:eastAsia="Arial" w:hAnsi="Times New Roman" w:cs="Times New Roman"/>
          <w:color w:val="000000"/>
        </w:rPr>
        <w:t xml:space="preserve">Create an accurate picture of emerging threats (whether cyber or otherwise), and address potential inconsistencies across sectoral approaches to critical infrastructure </w:t>
      </w:r>
    </w:p>
    <w:p w14:paraId="0B6FBE91" w14:textId="15CEF830" w:rsidR="004B3117" w:rsidRPr="00A81B5F" w:rsidRDefault="004B3117" w:rsidP="00EE0D81">
      <w:pPr>
        <w:pStyle w:val="ListParagraph"/>
        <w:numPr>
          <w:ilvl w:val="0"/>
          <w:numId w:val="68"/>
        </w:numPr>
        <w:spacing w:line="256" w:lineRule="auto"/>
        <w:rPr>
          <w:rFonts w:ascii="Times New Roman" w:eastAsia="Arial" w:hAnsi="Times New Roman" w:cs="Times New Roman"/>
          <w:color w:val="000000"/>
        </w:rPr>
      </w:pPr>
      <w:r w:rsidRPr="00A81B5F">
        <w:rPr>
          <w:rFonts w:ascii="Times New Roman" w:eastAsia="Arial" w:hAnsi="Times New Roman" w:cs="Times New Roman"/>
          <w:color w:val="000000"/>
        </w:rPr>
        <w:t xml:space="preserve">Monitor and enforce compliance around the management of </w:t>
      </w:r>
      <w:r w:rsidR="00542DF2">
        <w:rPr>
          <w:rFonts w:ascii="Times New Roman" w:eastAsia="Arial" w:hAnsi="Times New Roman" w:cs="Times New Roman"/>
          <w:color w:val="000000"/>
        </w:rPr>
        <w:t xml:space="preserve">security for </w:t>
      </w:r>
      <w:r w:rsidRPr="00A81B5F">
        <w:rPr>
          <w:rFonts w:ascii="Times New Roman" w:eastAsia="Arial" w:hAnsi="Times New Roman" w:cs="Times New Roman"/>
          <w:color w:val="000000"/>
        </w:rPr>
        <w:t xml:space="preserve">critical infrastructure, and </w:t>
      </w:r>
    </w:p>
    <w:p w14:paraId="58EE835C" w14:textId="77777777" w:rsidR="004B3117" w:rsidRPr="00A81B5F" w:rsidRDefault="004B3117" w:rsidP="00EE0D81">
      <w:pPr>
        <w:pStyle w:val="ListParagraph"/>
        <w:numPr>
          <w:ilvl w:val="0"/>
          <w:numId w:val="68"/>
        </w:numPr>
        <w:spacing w:line="256" w:lineRule="auto"/>
        <w:rPr>
          <w:rFonts w:ascii="Times New Roman" w:eastAsia="Arial" w:hAnsi="Times New Roman" w:cs="Times New Roman"/>
          <w:color w:val="000000"/>
        </w:rPr>
      </w:pPr>
      <w:r w:rsidRPr="00A81B5F">
        <w:rPr>
          <w:rFonts w:ascii="Times New Roman" w:eastAsia="Arial" w:hAnsi="Times New Roman" w:cs="Times New Roman"/>
          <w:color w:val="000000"/>
        </w:rPr>
        <w:t>Provide assistance to support a responsible entity to stop or prevent a cyber-attack.</w:t>
      </w:r>
    </w:p>
    <w:p w14:paraId="12BD824D" w14:textId="5F79A120" w:rsidR="004B3117" w:rsidRPr="00A81B5F" w:rsidRDefault="004B3117" w:rsidP="00EE0D81">
      <w:pPr>
        <w:tabs>
          <w:tab w:val="left" w:pos="426"/>
        </w:tabs>
        <w:spacing w:after="0" w:line="240" w:lineRule="auto"/>
        <w:rPr>
          <w:rFonts w:ascii="Times New Roman" w:eastAsia="Arial" w:hAnsi="Times New Roman" w:cs="Times New Roman"/>
          <w:color w:val="000000"/>
        </w:rPr>
      </w:pPr>
      <w:r w:rsidRPr="00A81B5F">
        <w:rPr>
          <w:rFonts w:ascii="Times New Roman" w:eastAsia="Arial" w:hAnsi="Times New Roman" w:cs="Times New Roman"/>
          <w:color w:val="000000"/>
        </w:rPr>
        <w:t>This gap is addressed through the introduction of the Positive Security Obligation, Enhanced Cyber Security Obligations and Government Assistance measures collectively. These measures will provide both Government and Industry with the necessary tools to identify, deter and mitigate potential security incidents as well as appropriately respond to security incidents that do occur.</w:t>
      </w:r>
    </w:p>
    <w:p w14:paraId="0B3C9187" w14:textId="35D2B5B3" w:rsidR="004B3117" w:rsidRPr="00A81B5F" w:rsidRDefault="004B3117" w:rsidP="004B3117">
      <w:pPr>
        <w:pStyle w:val="ListParagraph"/>
        <w:tabs>
          <w:tab w:val="left" w:pos="426"/>
        </w:tabs>
        <w:spacing w:after="0" w:line="240" w:lineRule="auto"/>
        <w:ind w:left="1080"/>
        <w:rPr>
          <w:rFonts w:ascii="Times New Roman" w:eastAsia="Arial" w:hAnsi="Times New Roman" w:cs="Times New Roman"/>
          <w:color w:val="000000"/>
        </w:rPr>
      </w:pPr>
    </w:p>
    <w:p w14:paraId="2DA79B72" w14:textId="77777777" w:rsidR="004B3117" w:rsidRPr="00A81B5F" w:rsidRDefault="004B3117" w:rsidP="00B369B5">
      <w:pPr>
        <w:pStyle w:val="ListParagraph"/>
        <w:numPr>
          <w:ilvl w:val="2"/>
          <w:numId w:val="72"/>
        </w:numPr>
        <w:spacing w:after="0" w:line="240" w:lineRule="auto"/>
        <w:rPr>
          <w:rFonts w:ascii="Times New Roman" w:eastAsia="Arial" w:hAnsi="Times New Roman" w:cs="Times New Roman"/>
          <w:color w:val="000000"/>
          <w:u w:val="single"/>
        </w:rPr>
      </w:pPr>
      <w:r w:rsidRPr="00A81B5F">
        <w:rPr>
          <w:rFonts w:ascii="Times New Roman" w:eastAsia="Arial" w:hAnsi="Times New Roman" w:cs="Times New Roman"/>
          <w:color w:val="000000"/>
          <w:u w:val="single"/>
        </w:rPr>
        <w:t>Regulation is wanted and needed to drive a wholesale uplift in security and resilience</w:t>
      </w:r>
    </w:p>
    <w:p w14:paraId="12032F1F" w14:textId="77777777" w:rsidR="004B3117" w:rsidRPr="00A81B5F" w:rsidRDefault="004B3117" w:rsidP="004B3117">
      <w:pPr>
        <w:tabs>
          <w:tab w:val="left" w:pos="426"/>
        </w:tabs>
        <w:spacing w:after="0" w:line="240" w:lineRule="auto"/>
        <w:rPr>
          <w:rFonts w:ascii="Times New Roman" w:eastAsia="Arial" w:hAnsi="Times New Roman" w:cs="Times New Roman"/>
          <w:color w:val="000000"/>
        </w:rPr>
      </w:pPr>
    </w:p>
    <w:p w14:paraId="1F336F69" w14:textId="35D535FD" w:rsidR="004B3117" w:rsidRPr="00A81B5F" w:rsidRDefault="004B3117" w:rsidP="004B3117">
      <w:pPr>
        <w:tabs>
          <w:tab w:val="left" w:pos="426"/>
        </w:tabs>
        <w:spacing w:after="0" w:line="240" w:lineRule="auto"/>
        <w:rPr>
          <w:rFonts w:ascii="Times New Roman" w:eastAsia="Arial" w:hAnsi="Times New Roman" w:cs="Times New Roman"/>
          <w:color w:val="000000"/>
        </w:rPr>
      </w:pPr>
      <w:r w:rsidRPr="00A81B5F">
        <w:rPr>
          <w:rFonts w:ascii="Times New Roman" w:eastAsia="Arial" w:hAnsi="Times New Roman" w:cs="Times New Roman"/>
          <w:color w:val="000000"/>
        </w:rPr>
        <w:t xml:space="preserve">Multiple phases of consultation have shown broad industry support for the Government to proceed with the development and implementation of the regulations and an enhanced collaboration between the Government and industry. </w:t>
      </w:r>
    </w:p>
    <w:p w14:paraId="1345DD00" w14:textId="77777777" w:rsidR="004B3117" w:rsidRPr="00A81B5F" w:rsidRDefault="004B3117" w:rsidP="004B3117">
      <w:pPr>
        <w:tabs>
          <w:tab w:val="left" w:pos="426"/>
        </w:tabs>
        <w:spacing w:after="0" w:line="240" w:lineRule="auto"/>
        <w:rPr>
          <w:rFonts w:ascii="Times New Roman" w:eastAsia="Times New Roman" w:hAnsi="Times New Roman" w:cs="Times New Roman"/>
          <w:bCs/>
          <w:i/>
          <w:lang w:eastAsia="en-AU"/>
        </w:rPr>
      </w:pPr>
    </w:p>
    <w:p w14:paraId="7A3BF1E8" w14:textId="77777777" w:rsidR="004B3117" w:rsidRPr="00A81B5F" w:rsidRDefault="004B3117" w:rsidP="004B3117">
      <w:pPr>
        <w:tabs>
          <w:tab w:val="left" w:pos="426"/>
        </w:tabs>
        <w:spacing w:after="0" w:line="240" w:lineRule="auto"/>
        <w:ind w:left="426"/>
        <w:rPr>
          <w:rFonts w:ascii="Times New Roman" w:eastAsia="Times New Roman" w:hAnsi="Times New Roman" w:cs="Times New Roman"/>
          <w:bCs/>
          <w:lang w:eastAsia="en-AU"/>
        </w:rPr>
      </w:pPr>
      <w:r w:rsidRPr="00A81B5F">
        <w:rPr>
          <w:rFonts w:ascii="Times New Roman" w:eastAsia="Times New Roman" w:hAnsi="Times New Roman" w:cs="Times New Roman"/>
          <w:bCs/>
          <w:i/>
          <w:lang w:eastAsia="en-AU"/>
        </w:rPr>
        <w:t xml:space="preserve">“Although industry should lead, in the sense that it accepts principal responsibility for its own security, the essential role of Government is to create the environment and the opportunities for consultation, coordination and collaboration in and between all critical infrastructure sectors and </w:t>
      </w:r>
      <w:r w:rsidRPr="00A81B5F">
        <w:rPr>
          <w:rFonts w:ascii="Times New Roman" w:eastAsia="Arial" w:hAnsi="Times New Roman" w:cs="Times New Roman"/>
          <w:color w:val="000000"/>
        </w:rPr>
        <w:t>beyond</w:t>
      </w:r>
      <w:r w:rsidRPr="00A81B5F">
        <w:rPr>
          <w:rFonts w:ascii="Times New Roman" w:eastAsia="Times New Roman" w:hAnsi="Times New Roman" w:cs="Times New Roman"/>
          <w:bCs/>
          <w:i/>
          <w:lang w:eastAsia="en-AU"/>
        </w:rPr>
        <w:t>, leading to cultural change and to wide acceptance that security, in all its forms, is a plus for business and not a cost to be endured.” –</w:t>
      </w:r>
      <w:r w:rsidRPr="00A81B5F">
        <w:rPr>
          <w:rFonts w:ascii="Times New Roman" w:eastAsia="Times New Roman" w:hAnsi="Times New Roman" w:cs="Times New Roman"/>
          <w:bCs/>
          <w:lang w:eastAsia="en-AU"/>
        </w:rPr>
        <w:t xml:space="preserve"> CyberOps.</w:t>
      </w:r>
      <w:r w:rsidRPr="00A81B5F">
        <w:rPr>
          <w:rFonts w:ascii="Times New Roman" w:hAnsi="Times New Roman" w:cs="Times New Roman"/>
          <w:vertAlign w:val="superscript"/>
          <w:lang w:eastAsia="en-AU"/>
        </w:rPr>
        <w:footnoteReference w:id="20"/>
      </w:r>
    </w:p>
    <w:p w14:paraId="68BC583A" w14:textId="77777777" w:rsidR="004B3117" w:rsidRPr="00A81B5F" w:rsidRDefault="004B3117" w:rsidP="004B3117">
      <w:pPr>
        <w:tabs>
          <w:tab w:val="left" w:pos="426"/>
        </w:tabs>
        <w:spacing w:after="0" w:line="240" w:lineRule="auto"/>
        <w:rPr>
          <w:rFonts w:ascii="Times New Roman" w:eastAsia="Times New Roman" w:hAnsi="Times New Roman" w:cs="Times New Roman"/>
          <w:bCs/>
          <w:i/>
          <w:lang w:eastAsia="en-AU"/>
        </w:rPr>
      </w:pPr>
    </w:p>
    <w:p w14:paraId="1C918828" w14:textId="4F8508F2" w:rsidR="004B3117" w:rsidRPr="00A81B5F" w:rsidRDefault="004B3117" w:rsidP="004B3117">
      <w:pPr>
        <w:tabs>
          <w:tab w:val="left" w:pos="426"/>
        </w:tabs>
        <w:spacing w:after="0" w:line="240" w:lineRule="auto"/>
        <w:rPr>
          <w:rFonts w:ascii="Times New Roman" w:eastAsia="Arial" w:hAnsi="Times New Roman" w:cs="Times New Roman"/>
          <w:color w:val="000000"/>
        </w:rPr>
      </w:pPr>
      <w:r w:rsidRPr="00A81B5F">
        <w:rPr>
          <w:rFonts w:ascii="Times New Roman" w:eastAsia="Arial" w:hAnsi="Times New Roman" w:cs="Times New Roman"/>
          <w:color w:val="000000"/>
        </w:rPr>
        <w:t>Without a clear and consistent approach established in regulation it can also be difficult for businesses to justify expenditure on uplifting all hazards security practices, or even to confidently identify which material risks should be prioritised. This will be addressed by the reforms, which establish over-arching standards</w:t>
      </w:r>
      <w:r w:rsidR="0031656C">
        <w:rPr>
          <w:rFonts w:ascii="Times New Roman" w:eastAsia="Arial" w:hAnsi="Times New Roman" w:cs="Times New Roman"/>
          <w:color w:val="000000"/>
        </w:rPr>
        <w:t>.</w:t>
      </w:r>
    </w:p>
    <w:p w14:paraId="4C33C058" w14:textId="77777777" w:rsidR="004B3117" w:rsidRPr="00A81B5F" w:rsidRDefault="004B3117" w:rsidP="004B3117">
      <w:pPr>
        <w:autoSpaceDE w:val="0"/>
        <w:autoSpaceDN w:val="0"/>
        <w:spacing w:before="40" w:after="40" w:line="240" w:lineRule="auto"/>
        <w:rPr>
          <w:rFonts w:ascii="Times New Roman" w:hAnsi="Times New Roman" w:cs="Times New Roman"/>
          <w:szCs w:val="24"/>
        </w:rPr>
      </w:pPr>
    </w:p>
    <w:p w14:paraId="04C281BA" w14:textId="37AB9AA0" w:rsidR="004B3117" w:rsidRPr="00A0269A" w:rsidRDefault="00A0269A" w:rsidP="00A0269A">
      <w:pPr>
        <w:spacing w:after="200" w:line="240" w:lineRule="auto"/>
        <w:rPr>
          <w:rFonts w:ascii="Times New Roman" w:eastAsia="Arial" w:hAnsi="Times New Roman" w:cs="Times New Roman"/>
          <w:b/>
          <w:i/>
          <w:iCs/>
          <w:color w:val="000000"/>
        </w:rPr>
      </w:pPr>
      <w:r>
        <w:rPr>
          <w:rFonts w:ascii="Times New Roman" w:eastAsia="Arial" w:hAnsi="Times New Roman" w:cs="Times New Roman"/>
          <w:b/>
          <w:i/>
          <w:iCs/>
          <w:color w:val="000000"/>
        </w:rPr>
        <w:t xml:space="preserve">6.3 </w:t>
      </w:r>
      <w:r w:rsidR="004B3117" w:rsidRPr="00A0269A">
        <w:rPr>
          <w:rFonts w:ascii="Times New Roman" w:eastAsia="Arial" w:hAnsi="Times New Roman" w:cs="Times New Roman"/>
          <w:b/>
          <w:i/>
          <w:iCs/>
          <w:color w:val="000000"/>
        </w:rPr>
        <w:t xml:space="preserve">Alternate options </w:t>
      </w:r>
    </w:p>
    <w:p w14:paraId="15A3363D" w14:textId="77777777" w:rsidR="004B3117" w:rsidRPr="00A81B5F" w:rsidRDefault="004B3117" w:rsidP="004B3117">
      <w:pPr>
        <w:tabs>
          <w:tab w:val="left" w:pos="426"/>
        </w:tabs>
        <w:spacing w:after="0" w:line="240" w:lineRule="auto"/>
        <w:rPr>
          <w:rFonts w:ascii="Times New Roman" w:eastAsia="Arial" w:hAnsi="Times New Roman" w:cs="Times New Roman"/>
          <w:i/>
          <w:color w:val="000000"/>
          <w:u w:val="single"/>
        </w:rPr>
      </w:pPr>
      <w:r w:rsidRPr="00A81B5F">
        <w:rPr>
          <w:rFonts w:ascii="Times New Roman" w:eastAsia="Arial" w:hAnsi="Times New Roman" w:cs="Times New Roman"/>
          <w:i/>
          <w:color w:val="000000"/>
          <w:u w:val="single"/>
        </w:rPr>
        <w:t xml:space="preserve">Option 3: Maintain the status quo </w:t>
      </w:r>
    </w:p>
    <w:p w14:paraId="31647E2E" w14:textId="7BDCFD96" w:rsidR="004B3117" w:rsidRPr="00A81B5F" w:rsidRDefault="004B3117" w:rsidP="004B3117">
      <w:pPr>
        <w:tabs>
          <w:tab w:val="left" w:pos="426"/>
        </w:tabs>
        <w:spacing w:after="0" w:line="240" w:lineRule="auto"/>
        <w:rPr>
          <w:rFonts w:ascii="Times New Roman" w:eastAsia="Arial" w:hAnsi="Times New Roman" w:cs="Times New Roman"/>
          <w:color w:val="000000"/>
        </w:rPr>
      </w:pPr>
      <w:r w:rsidRPr="00A81B5F">
        <w:rPr>
          <w:rFonts w:ascii="Times New Roman" w:eastAsia="Arial" w:hAnsi="Times New Roman" w:cs="Times New Roman"/>
          <w:color w:val="000000"/>
        </w:rPr>
        <w:t>This RIS canvasses the impact of maintaining the status quo (</w:t>
      </w:r>
      <w:r w:rsidR="00AA49A3">
        <w:rPr>
          <w:rFonts w:ascii="Times New Roman" w:eastAsia="Arial" w:hAnsi="Times New Roman" w:cs="Times New Roman"/>
          <w:color w:val="000000"/>
        </w:rPr>
        <w:t>s</w:t>
      </w:r>
      <w:r w:rsidR="00436851">
        <w:rPr>
          <w:rFonts w:ascii="Times New Roman" w:eastAsia="Arial" w:hAnsi="Times New Roman" w:cs="Times New Roman"/>
          <w:color w:val="000000"/>
        </w:rPr>
        <w:t>ection</w:t>
      </w:r>
      <w:r w:rsidRPr="00A81B5F">
        <w:rPr>
          <w:rFonts w:ascii="Times New Roman" w:eastAsia="Arial" w:hAnsi="Times New Roman" w:cs="Times New Roman"/>
          <w:color w:val="000000"/>
        </w:rPr>
        <w:t xml:space="preserve"> 4). Failing to actively encourage a sustained uplift in critical infrastructure resilience will mean the threats to critical infrastructure will continue</w:t>
      </w:r>
      <w:r w:rsidR="00436851">
        <w:rPr>
          <w:rFonts w:ascii="Times New Roman" w:eastAsia="Arial" w:hAnsi="Times New Roman" w:cs="Times New Roman"/>
          <w:color w:val="000000"/>
        </w:rPr>
        <w:t>,</w:t>
      </w:r>
      <w:r w:rsidRPr="00A81B5F">
        <w:rPr>
          <w:rFonts w:ascii="Times New Roman" w:eastAsia="Arial" w:hAnsi="Times New Roman" w:cs="Times New Roman"/>
          <w:color w:val="000000"/>
        </w:rPr>
        <w:t xml:space="preserve"> if not intensify. The interconnected nature of our critical infrastructure means that compromise in one essential function can have a domino effect that degrades or disrupts others. </w:t>
      </w:r>
    </w:p>
    <w:p w14:paraId="77497124" w14:textId="77777777" w:rsidR="004B3117" w:rsidRPr="00A81B5F" w:rsidRDefault="004B3117" w:rsidP="004B3117">
      <w:pPr>
        <w:tabs>
          <w:tab w:val="left" w:pos="426"/>
        </w:tabs>
        <w:spacing w:after="0" w:line="240" w:lineRule="auto"/>
        <w:rPr>
          <w:rFonts w:ascii="Times New Roman" w:eastAsia="Arial" w:hAnsi="Times New Roman" w:cs="Times New Roman"/>
          <w:color w:val="000000"/>
        </w:rPr>
      </w:pPr>
    </w:p>
    <w:p w14:paraId="57866864" w14:textId="77777777" w:rsidR="004B3117" w:rsidRPr="00A81B5F" w:rsidRDefault="004B3117" w:rsidP="004B3117">
      <w:pPr>
        <w:tabs>
          <w:tab w:val="left" w:pos="426"/>
        </w:tabs>
        <w:spacing w:after="0" w:line="240" w:lineRule="auto"/>
        <w:rPr>
          <w:rFonts w:ascii="Times New Roman" w:eastAsia="Arial" w:hAnsi="Times New Roman" w:cs="Times New Roman"/>
          <w:color w:val="000000"/>
        </w:rPr>
      </w:pPr>
      <w:r w:rsidRPr="00A81B5F">
        <w:rPr>
          <w:rFonts w:ascii="Times New Roman" w:eastAsia="Arial" w:hAnsi="Times New Roman" w:cs="Times New Roman"/>
          <w:color w:val="000000"/>
        </w:rPr>
        <w:t>Recent events, particularly COVID-19, have demonstrated how threats can have flow on effects across multiple sectors:</w:t>
      </w:r>
    </w:p>
    <w:p w14:paraId="5A5F96F9" w14:textId="67F96797" w:rsidR="004B3117" w:rsidRPr="00A81B5F" w:rsidRDefault="004B3117" w:rsidP="00EE0D81">
      <w:pPr>
        <w:pStyle w:val="ListParagraph"/>
        <w:numPr>
          <w:ilvl w:val="0"/>
          <w:numId w:val="68"/>
        </w:numPr>
        <w:spacing w:line="256" w:lineRule="auto"/>
        <w:rPr>
          <w:rFonts w:ascii="Times New Roman" w:eastAsia="Arial" w:hAnsi="Times New Roman" w:cs="Times New Roman"/>
          <w:color w:val="000000"/>
        </w:rPr>
      </w:pPr>
      <w:r w:rsidRPr="00A81B5F">
        <w:rPr>
          <w:rFonts w:ascii="Times New Roman" w:eastAsia="Arial" w:hAnsi="Times New Roman" w:cs="Times New Roman"/>
          <w:color w:val="000000"/>
        </w:rPr>
        <w:lastRenderedPageBreak/>
        <w:t xml:space="preserve">Over the last two years, we have seen several cyber-attacks in Australia that have targeted the Federal Parliamentary Network, airports and universities. </w:t>
      </w:r>
    </w:p>
    <w:p w14:paraId="202FB5B6" w14:textId="6607EEAF" w:rsidR="004B3117" w:rsidRPr="00A81B5F" w:rsidRDefault="004B3117" w:rsidP="00EE0D81">
      <w:pPr>
        <w:pStyle w:val="ListParagraph"/>
        <w:numPr>
          <w:ilvl w:val="0"/>
          <w:numId w:val="68"/>
        </w:numPr>
        <w:spacing w:line="256" w:lineRule="auto"/>
        <w:rPr>
          <w:rFonts w:ascii="Times New Roman" w:eastAsia="Arial" w:hAnsi="Times New Roman" w:cs="Times New Roman"/>
          <w:color w:val="000000"/>
        </w:rPr>
      </w:pPr>
      <w:r w:rsidRPr="00A81B5F">
        <w:rPr>
          <w:rFonts w:ascii="Times New Roman" w:eastAsia="Arial" w:hAnsi="Times New Roman" w:cs="Times New Roman"/>
          <w:color w:val="000000"/>
        </w:rPr>
        <w:t xml:space="preserve">Malicious actors have taken advantage of the pressures COVID-19 has put on the health sector by launching cyber-attacks on health organisations and medical research facilities. </w:t>
      </w:r>
    </w:p>
    <w:p w14:paraId="615AC621" w14:textId="595C9FD1" w:rsidR="004B3117" w:rsidRDefault="004B3117" w:rsidP="00EE0D81">
      <w:pPr>
        <w:pStyle w:val="ListParagraph"/>
        <w:numPr>
          <w:ilvl w:val="0"/>
          <w:numId w:val="68"/>
        </w:numPr>
        <w:spacing w:line="256" w:lineRule="auto"/>
        <w:rPr>
          <w:rFonts w:ascii="Times New Roman" w:eastAsia="Arial" w:hAnsi="Times New Roman" w:cs="Times New Roman"/>
          <w:color w:val="000000"/>
        </w:rPr>
      </w:pPr>
      <w:r w:rsidRPr="00A81B5F">
        <w:rPr>
          <w:rFonts w:ascii="Times New Roman" w:eastAsia="Arial" w:hAnsi="Times New Roman" w:cs="Times New Roman"/>
          <w:color w:val="000000"/>
        </w:rPr>
        <w:t>Key supply chain businesses transporting groceries and medical supplies have also been targeted.</w:t>
      </w:r>
    </w:p>
    <w:p w14:paraId="236C5088" w14:textId="06827D48" w:rsidR="00592D06" w:rsidRPr="007370B2" w:rsidRDefault="004B3117" w:rsidP="00592D06">
      <w:pPr>
        <w:spacing w:line="256" w:lineRule="auto"/>
        <w:rPr>
          <w:rFonts w:ascii="Times New Roman" w:eastAsia="Arial" w:hAnsi="Times New Roman" w:cs="Times New Roman"/>
          <w:color w:val="000000"/>
        </w:rPr>
      </w:pPr>
      <w:r w:rsidRPr="00A81B5F">
        <w:rPr>
          <w:rFonts w:ascii="Times New Roman" w:eastAsia="Arial" w:hAnsi="Times New Roman" w:cs="Times New Roman"/>
          <w:color w:val="000000"/>
        </w:rPr>
        <w:t>As discussed w</w:t>
      </w:r>
      <w:r w:rsidR="00AA49A3">
        <w:rPr>
          <w:rFonts w:ascii="Times New Roman" w:eastAsia="Arial" w:hAnsi="Times New Roman" w:cs="Times New Roman"/>
          <w:color w:val="000000"/>
        </w:rPr>
        <w:t>ithin s</w:t>
      </w:r>
      <w:r w:rsidRPr="00A81B5F">
        <w:rPr>
          <w:rFonts w:ascii="Times New Roman" w:eastAsia="Arial" w:hAnsi="Times New Roman" w:cs="Times New Roman"/>
          <w:color w:val="000000"/>
        </w:rPr>
        <w:t xml:space="preserve">ection 3, </w:t>
      </w:r>
      <w:r w:rsidR="00592D06" w:rsidRPr="001A7788">
        <w:rPr>
          <w:rFonts w:ascii="Times New Roman" w:eastAsia="Arial" w:hAnsi="Times New Roman" w:cs="Times New Roman"/>
        </w:rPr>
        <w:t>an operability disruption has been modelled for each critical infrastructure sector</w:t>
      </w:r>
      <w:r w:rsidR="00592D06">
        <w:rPr>
          <w:rFonts w:ascii="Times New Roman" w:eastAsia="Arial" w:hAnsi="Times New Roman" w:cs="Times New Roman"/>
        </w:rPr>
        <w:t xml:space="preserve"> to provide an estimate of the cost to the Australian economy. While uncertainty </w:t>
      </w:r>
      <w:r w:rsidR="00592D06" w:rsidRPr="001A7788">
        <w:rPr>
          <w:rFonts w:ascii="Times New Roman" w:eastAsia="Arial" w:hAnsi="Times New Roman" w:cs="Times New Roman"/>
        </w:rPr>
        <w:t xml:space="preserve">around the likelihood and severity of all hazards makes it almost impossible to know </w:t>
      </w:r>
      <w:r w:rsidR="00592D06">
        <w:rPr>
          <w:rFonts w:ascii="Times New Roman" w:eastAsia="Arial" w:hAnsi="Times New Roman" w:cs="Times New Roman"/>
        </w:rPr>
        <w:t xml:space="preserve">the exact costs of an operability disruption, it is estimated that a </w:t>
      </w:r>
      <w:r w:rsidR="00592D06" w:rsidRPr="001A7788">
        <w:rPr>
          <w:rFonts w:ascii="Times New Roman" w:eastAsia="Arial" w:hAnsi="Times New Roman" w:cs="Times New Roman"/>
        </w:rPr>
        <w:t>10 per cent</w:t>
      </w:r>
      <w:r w:rsidR="00592D06">
        <w:rPr>
          <w:rFonts w:ascii="Times New Roman" w:eastAsia="Arial" w:hAnsi="Times New Roman" w:cs="Times New Roman"/>
        </w:rPr>
        <w:t xml:space="preserve"> operability disruption</w:t>
      </w:r>
      <w:r w:rsidR="008B5436">
        <w:rPr>
          <w:rFonts w:ascii="Times New Roman" w:eastAsia="Arial" w:hAnsi="Times New Roman" w:cs="Times New Roman"/>
        </w:rPr>
        <w:t xml:space="preserve"> over one week </w:t>
      </w:r>
      <w:r w:rsidR="00592D06">
        <w:rPr>
          <w:rFonts w:ascii="Times New Roman" w:eastAsia="Arial" w:hAnsi="Times New Roman" w:cs="Times New Roman"/>
        </w:rPr>
        <w:t xml:space="preserve">will cost between </w:t>
      </w:r>
      <w:r w:rsidR="00592D06" w:rsidRPr="00A81B5F">
        <w:rPr>
          <w:rFonts w:ascii="Times New Roman" w:eastAsia="Arial" w:hAnsi="Times New Roman" w:cs="Times New Roman"/>
        </w:rPr>
        <w:t>$0.06 billion to $3.0 billion</w:t>
      </w:r>
      <w:r w:rsidR="00592D06">
        <w:rPr>
          <w:rFonts w:ascii="Times New Roman" w:eastAsia="Arial" w:hAnsi="Times New Roman" w:cs="Times New Roman"/>
        </w:rPr>
        <w:t xml:space="preserve"> depending on the critical infrastructure sector. </w:t>
      </w:r>
    </w:p>
    <w:p w14:paraId="040AA928" w14:textId="32D6C186" w:rsidR="004B3117" w:rsidRPr="00A81B5F" w:rsidRDefault="004B3117" w:rsidP="004B3117">
      <w:pPr>
        <w:tabs>
          <w:tab w:val="left" w:pos="426"/>
        </w:tabs>
        <w:spacing w:after="0" w:line="240" w:lineRule="auto"/>
        <w:rPr>
          <w:rFonts w:ascii="Times New Roman" w:eastAsia="Times New Roman" w:hAnsi="Times New Roman" w:cs="Times New Roman"/>
          <w:bCs/>
          <w:lang w:eastAsia="en-AU"/>
        </w:rPr>
      </w:pPr>
      <w:r w:rsidRPr="00A81B5F">
        <w:rPr>
          <w:rFonts w:ascii="Times New Roman" w:eastAsia="Arial" w:hAnsi="Times New Roman" w:cs="Times New Roman"/>
        </w:rPr>
        <w:t>Further, extensive consultations with Commonwealth, State and Territory counterparts and industry has highlighted support for reforms. Specifically, industry has recognised the increasing vulnerability of critical infrastructure and the need to implement meaningful safeguards</w:t>
      </w:r>
      <w:r w:rsidR="00436851">
        <w:rPr>
          <w:rFonts w:ascii="Times New Roman" w:eastAsia="Arial" w:hAnsi="Times New Roman" w:cs="Times New Roman"/>
        </w:rPr>
        <w:t>.</w:t>
      </w:r>
      <w:r w:rsidR="00436851">
        <w:rPr>
          <w:rFonts w:ascii="Times New Roman" w:eastAsia="Times New Roman" w:hAnsi="Times New Roman" w:cs="Times New Roman"/>
          <w:bCs/>
          <w:lang w:eastAsia="en-AU"/>
        </w:rPr>
        <w:t xml:space="preserve"> During consultation </w:t>
      </w:r>
      <w:r w:rsidRPr="00A81B5F">
        <w:rPr>
          <w:rFonts w:ascii="Times New Roman" w:eastAsia="Times New Roman" w:hAnsi="Times New Roman" w:cs="Times New Roman"/>
          <w:bCs/>
          <w:lang w:eastAsia="en-AU"/>
        </w:rPr>
        <w:t xml:space="preserve">UniSys </w:t>
      </w:r>
      <w:r w:rsidR="00436851">
        <w:rPr>
          <w:rFonts w:ascii="Times New Roman" w:eastAsia="Times New Roman" w:hAnsi="Times New Roman" w:cs="Times New Roman"/>
          <w:bCs/>
          <w:lang w:eastAsia="en-AU"/>
        </w:rPr>
        <w:t>noted that</w:t>
      </w:r>
      <w:r w:rsidRPr="00A81B5F">
        <w:rPr>
          <w:rFonts w:ascii="Times New Roman" w:eastAsia="Times New Roman" w:hAnsi="Times New Roman" w:cs="Times New Roman"/>
          <w:bCs/>
          <w:lang w:eastAsia="en-AU"/>
        </w:rPr>
        <w:t xml:space="preserve"> </w:t>
      </w:r>
      <w:r w:rsidRPr="00327E85">
        <w:rPr>
          <w:rFonts w:ascii="Times New Roman" w:eastAsia="Times New Roman" w:hAnsi="Times New Roman" w:cs="Times New Roman"/>
          <w:bCs/>
          <w:lang w:eastAsia="en-AU"/>
        </w:rPr>
        <w:t>“</w:t>
      </w:r>
      <w:r w:rsidR="00436851" w:rsidRPr="00327E85">
        <w:rPr>
          <w:rFonts w:ascii="Times New Roman" w:eastAsia="Times New Roman" w:hAnsi="Times New Roman" w:cs="Times New Roman"/>
          <w:bCs/>
          <w:i/>
          <w:lang w:eastAsia="en-AU"/>
        </w:rPr>
        <w:t>[t]</w:t>
      </w:r>
      <w:r w:rsidRPr="00327E85">
        <w:rPr>
          <w:rFonts w:ascii="Times New Roman" w:eastAsia="Times New Roman" w:hAnsi="Times New Roman" w:cs="Times New Roman"/>
          <w:bCs/>
          <w:i/>
          <w:lang w:eastAsia="en-AU"/>
        </w:rPr>
        <w:t xml:space="preserve">he opportunity cost of </w:t>
      </w:r>
      <w:r w:rsidRPr="00327E85">
        <w:rPr>
          <w:rFonts w:ascii="Times New Roman" w:eastAsia="Times New Roman" w:hAnsi="Times New Roman" w:cs="Times New Roman"/>
          <w:bCs/>
          <w:i/>
          <w:u w:val="single"/>
          <w:lang w:eastAsia="en-AU"/>
        </w:rPr>
        <w:t>not</w:t>
      </w:r>
      <w:r w:rsidRPr="00327E85">
        <w:rPr>
          <w:rFonts w:ascii="Times New Roman" w:eastAsia="Times New Roman" w:hAnsi="Times New Roman" w:cs="Times New Roman"/>
          <w:bCs/>
          <w:i/>
          <w:lang w:eastAsia="en-AU"/>
        </w:rPr>
        <w:t xml:space="preserve"> being cyber resilient must also be considered. For example, in the area of cyber risk management it is important that organisations are able to communicate cyber risk to Boards and Executives. This is one of the key reasons why businesses underinvest in cyber security and addressing this will ultimately lead to better cyber resilience for businesses</w:t>
      </w:r>
      <w:r w:rsidR="00A555B1" w:rsidRPr="00327E85">
        <w:rPr>
          <w:rFonts w:ascii="Times New Roman" w:eastAsia="Times New Roman" w:hAnsi="Times New Roman" w:cs="Times New Roman"/>
          <w:bCs/>
          <w:i/>
          <w:lang w:eastAsia="en-AU"/>
        </w:rPr>
        <w:t>.</w:t>
      </w:r>
      <w:r w:rsidRPr="00327E85">
        <w:rPr>
          <w:rFonts w:ascii="Times New Roman" w:eastAsia="Times New Roman" w:hAnsi="Times New Roman" w:cs="Times New Roman"/>
          <w:bCs/>
          <w:i/>
          <w:lang w:eastAsia="en-AU"/>
        </w:rPr>
        <w:t>”</w:t>
      </w:r>
      <w:r w:rsidR="006A1613" w:rsidRPr="00EE0D81">
        <w:rPr>
          <w:rStyle w:val="FootnoteReference"/>
          <w:rFonts w:ascii="Times New Roman" w:eastAsia="Times New Roman" w:hAnsi="Times New Roman" w:cs="Times New Roman"/>
          <w:bCs/>
          <w:i/>
          <w:lang w:eastAsia="en-AU"/>
        </w:rPr>
        <w:footnoteReference w:id="21"/>
      </w:r>
      <w:r w:rsidRPr="00A81B5F">
        <w:rPr>
          <w:rFonts w:ascii="Times New Roman" w:eastAsia="Times New Roman" w:hAnsi="Times New Roman" w:cs="Times New Roman"/>
          <w:bCs/>
          <w:i/>
          <w:lang w:eastAsia="en-AU"/>
        </w:rPr>
        <w:t xml:space="preserve"> </w:t>
      </w:r>
    </w:p>
    <w:p w14:paraId="28082146" w14:textId="77777777" w:rsidR="004B3117" w:rsidRPr="00A81B5F" w:rsidRDefault="004B3117" w:rsidP="004B3117">
      <w:pPr>
        <w:tabs>
          <w:tab w:val="left" w:pos="426"/>
        </w:tabs>
        <w:spacing w:after="0" w:line="240" w:lineRule="auto"/>
        <w:rPr>
          <w:rFonts w:ascii="Times New Roman" w:eastAsia="Arial" w:hAnsi="Times New Roman" w:cs="Times New Roman"/>
        </w:rPr>
      </w:pPr>
    </w:p>
    <w:p w14:paraId="5AF147AE" w14:textId="77777777" w:rsidR="004B3117" w:rsidRPr="00A81B5F" w:rsidRDefault="004B3117" w:rsidP="004B3117">
      <w:pPr>
        <w:tabs>
          <w:tab w:val="left" w:pos="426"/>
        </w:tabs>
        <w:spacing w:after="0" w:line="240" w:lineRule="auto"/>
        <w:rPr>
          <w:rFonts w:ascii="Times New Roman" w:eastAsia="Arial" w:hAnsi="Times New Roman" w:cs="Times New Roman"/>
          <w:u w:val="single"/>
        </w:rPr>
      </w:pPr>
      <w:r w:rsidRPr="00A81B5F">
        <w:rPr>
          <w:rFonts w:ascii="Times New Roman" w:eastAsia="Arial" w:hAnsi="Times New Roman" w:cs="Times New Roman"/>
          <w:u w:val="single"/>
        </w:rPr>
        <w:t>Option 3: Voluntary obligations</w:t>
      </w:r>
    </w:p>
    <w:p w14:paraId="7557C276" w14:textId="77777777" w:rsidR="004B3117" w:rsidRPr="00A81B5F" w:rsidRDefault="004B3117" w:rsidP="004B3117">
      <w:pPr>
        <w:tabs>
          <w:tab w:val="left" w:pos="426"/>
        </w:tabs>
        <w:spacing w:after="0" w:line="240" w:lineRule="auto"/>
        <w:rPr>
          <w:rFonts w:ascii="Times New Roman" w:eastAsia="Arial" w:hAnsi="Times New Roman" w:cs="Times New Roman"/>
          <w:i/>
        </w:rPr>
      </w:pPr>
    </w:p>
    <w:p w14:paraId="42CC2A6B" w14:textId="77777777" w:rsidR="004B3117" w:rsidRPr="00A81B5F" w:rsidRDefault="004B3117" w:rsidP="004B3117">
      <w:pPr>
        <w:tabs>
          <w:tab w:val="left" w:pos="426"/>
        </w:tabs>
        <w:spacing w:after="0" w:line="240" w:lineRule="auto"/>
        <w:rPr>
          <w:rFonts w:ascii="Times New Roman" w:eastAsia="Arial" w:hAnsi="Times New Roman" w:cs="Times New Roman"/>
          <w:color w:val="000000"/>
        </w:rPr>
      </w:pPr>
      <w:r w:rsidRPr="00A81B5F">
        <w:rPr>
          <w:rFonts w:ascii="Times New Roman" w:eastAsia="Arial" w:hAnsi="Times New Roman" w:cs="Times New Roman"/>
        </w:rPr>
        <w:t xml:space="preserve">Option three contemplates no legislative change, encouraging critical infrastructure resilience through voluntary engagement through the Trusted Information Sharing Network and publishing additional guidance alongside the updated Critical Infrastructure Resilience Strategy. </w:t>
      </w:r>
    </w:p>
    <w:p w14:paraId="2D8426F6" w14:textId="77777777" w:rsidR="004B3117" w:rsidRPr="00A81B5F" w:rsidRDefault="004B3117" w:rsidP="004B3117">
      <w:pPr>
        <w:tabs>
          <w:tab w:val="left" w:pos="426"/>
        </w:tabs>
        <w:spacing w:after="0" w:line="240" w:lineRule="auto"/>
        <w:rPr>
          <w:rFonts w:ascii="Times New Roman" w:eastAsia="Arial" w:hAnsi="Times New Roman" w:cs="Times New Roman"/>
          <w:color w:val="000000"/>
        </w:rPr>
      </w:pPr>
    </w:p>
    <w:p w14:paraId="2363893D" w14:textId="77777777" w:rsidR="004B3117" w:rsidRPr="00A81B5F" w:rsidRDefault="004B3117" w:rsidP="004B3117">
      <w:pPr>
        <w:tabs>
          <w:tab w:val="left" w:pos="426"/>
        </w:tabs>
        <w:spacing w:after="0" w:line="240" w:lineRule="auto"/>
        <w:rPr>
          <w:rFonts w:ascii="Times New Roman" w:eastAsia="Arial" w:hAnsi="Times New Roman" w:cs="Times New Roman"/>
          <w:color w:val="000000"/>
        </w:rPr>
      </w:pPr>
      <w:r w:rsidRPr="00A81B5F">
        <w:rPr>
          <w:rFonts w:ascii="Times New Roman" w:eastAsia="Arial" w:hAnsi="Times New Roman" w:cs="Times New Roman"/>
          <w:color w:val="000000"/>
        </w:rPr>
        <w:t xml:space="preserve">Industry consultations has highlighted the value of creating uniform, consistent, mandatory standards around the management of critical infrastructure assets. Risk professionals have argued that without clear mandatory standards, it has been difficult to drive organisational changes that uplift security practices. Without clear risk management standards and the ability to monitor and enforce compliance, Government cannot be adequately assured that appropriate risk mitigation of critical infrastructure is in place. </w:t>
      </w:r>
    </w:p>
    <w:p w14:paraId="3C94BE81" w14:textId="77777777" w:rsidR="004B3117" w:rsidRPr="00A81B5F" w:rsidRDefault="004B3117" w:rsidP="004B3117">
      <w:pPr>
        <w:tabs>
          <w:tab w:val="left" w:pos="426"/>
        </w:tabs>
        <w:spacing w:after="0" w:line="240" w:lineRule="auto"/>
        <w:rPr>
          <w:rFonts w:ascii="Times New Roman" w:eastAsia="Arial" w:hAnsi="Times New Roman" w:cs="Times New Roman"/>
          <w:color w:val="000000"/>
        </w:rPr>
      </w:pPr>
    </w:p>
    <w:p w14:paraId="315D306F" w14:textId="77777777" w:rsidR="004B3117" w:rsidRDefault="004B3117" w:rsidP="004B3117">
      <w:pPr>
        <w:tabs>
          <w:tab w:val="left" w:pos="426"/>
        </w:tabs>
        <w:spacing w:after="0" w:line="240" w:lineRule="auto"/>
        <w:rPr>
          <w:rFonts w:ascii="Times New Roman" w:eastAsia="Arial" w:hAnsi="Times New Roman" w:cs="Times New Roman"/>
          <w:color w:val="000000"/>
        </w:rPr>
      </w:pPr>
      <w:r w:rsidRPr="00A81B5F">
        <w:rPr>
          <w:rFonts w:ascii="Times New Roman" w:eastAsia="Arial" w:hAnsi="Times New Roman" w:cs="Times New Roman"/>
          <w:color w:val="000000"/>
        </w:rPr>
        <w:t>While voluntary obligations will go some way toward addressing the policy problem – for instance encouraging a holistic consideration of material risks that may affect critical infrastructure – implementing the mandatory requirements in Option Two while enlivening mechanisms to enhance partnerships with private industry will provide a greater degree of certainty for industry and assurance to the Government that national security risks to critical infrastructure are being managed.</w:t>
      </w:r>
    </w:p>
    <w:p w14:paraId="5F17D66F" w14:textId="77777777" w:rsidR="004B3117" w:rsidRDefault="004B3117" w:rsidP="004B3117">
      <w:pPr>
        <w:tabs>
          <w:tab w:val="left" w:pos="426"/>
        </w:tabs>
        <w:spacing w:after="0" w:line="240" w:lineRule="auto"/>
        <w:rPr>
          <w:rFonts w:ascii="Times New Roman" w:eastAsia="Arial" w:hAnsi="Times New Roman" w:cs="Times New Roman"/>
          <w:color w:val="000000"/>
        </w:rPr>
      </w:pPr>
    </w:p>
    <w:p w14:paraId="2277EC5C" w14:textId="77777777" w:rsidR="00993F09" w:rsidRPr="000266F5" w:rsidRDefault="00993F09" w:rsidP="00993F09">
      <w:pPr>
        <w:keepNext/>
        <w:keepLines/>
        <w:numPr>
          <w:ilvl w:val="0"/>
          <w:numId w:val="5"/>
        </w:numPr>
        <w:tabs>
          <w:tab w:val="left" w:pos="567"/>
        </w:tabs>
        <w:spacing w:before="240" w:after="200" w:line="240" w:lineRule="auto"/>
        <w:contextualSpacing/>
        <w:outlineLvl w:val="0"/>
        <w:rPr>
          <w:rFonts w:ascii="Times New Roman" w:eastAsia="MS PGothic" w:hAnsi="Times New Roman" w:cs="Times New Roman"/>
          <w:b/>
          <w:bCs/>
          <w:color w:val="003865"/>
          <w:sz w:val="28"/>
          <w:szCs w:val="28"/>
        </w:rPr>
      </w:pPr>
      <w:r w:rsidRPr="000266F5">
        <w:rPr>
          <w:rFonts w:ascii="Times New Roman" w:eastAsia="MS PGothic" w:hAnsi="Times New Roman" w:cs="Times New Roman"/>
          <w:b/>
          <w:bCs/>
          <w:color w:val="003865"/>
          <w:sz w:val="28"/>
          <w:szCs w:val="28"/>
        </w:rPr>
        <w:t>HOW WILL YOU IMPLEMENT AND EVALUATE YOUR CHOSEN OPTION?</w:t>
      </w:r>
    </w:p>
    <w:p w14:paraId="6DB35B10"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14B96642" w14:textId="7777777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This section sets </w:t>
      </w:r>
      <w:r w:rsidRPr="000266F5">
        <w:rPr>
          <w:rFonts w:ascii="Times New Roman" w:eastAsia="Arial" w:hAnsi="Times New Roman" w:cs="Times New Roman"/>
          <w:color w:val="000000"/>
        </w:rPr>
        <w:t>out</w:t>
      </w:r>
      <w:r w:rsidRPr="000266F5">
        <w:rPr>
          <w:rFonts w:ascii="Times New Roman" w:eastAsia="Arial" w:hAnsi="Times New Roman" w:cs="Times New Roman"/>
        </w:rPr>
        <w:t xml:space="preserve"> how the Government proposes to implement and evaluate the proposed regulatory </w:t>
      </w:r>
      <w:r w:rsidRPr="000266F5">
        <w:rPr>
          <w:rFonts w:ascii="Times New Roman" w:eastAsia="Arial" w:hAnsi="Times New Roman" w:cs="Times New Roman"/>
          <w:color w:val="000000"/>
        </w:rPr>
        <w:t>changes</w:t>
      </w:r>
      <w:r w:rsidRPr="000266F5">
        <w:rPr>
          <w:rFonts w:ascii="Times New Roman" w:eastAsia="Arial" w:hAnsi="Times New Roman" w:cs="Times New Roman"/>
        </w:rPr>
        <w:t xml:space="preserve">. </w:t>
      </w:r>
    </w:p>
    <w:p w14:paraId="2794A5C1" w14:textId="77777777" w:rsidR="00993F09" w:rsidRPr="000266F5" w:rsidRDefault="00993F09" w:rsidP="00993F09">
      <w:pPr>
        <w:pStyle w:val="ListParagraph"/>
        <w:tabs>
          <w:tab w:val="left" w:pos="426"/>
        </w:tabs>
        <w:spacing w:after="0" w:line="240" w:lineRule="auto"/>
        <w:ind w:left="227"/>
        <w:rPr>
          <w:rFonts w:ascii="Times New Roman" w:eastAsia="Arial" w:hAnsi="Times New Roman" w:cs="Times New Roman"/>
        </w:rPr>
      </w:pPr>
    </w:p>
    <w:p w14:paraId="0CA7A44C" w14:textId="77777777" w:rsidR="00993F09" w:rsidRPr="000266F5" w:rsidRDefault="00993F09" w:rsidP="00EE0D81">
      <w:pPr>
        <w:pStyle w:val="ListParagraph"/>
        <w:numPr>
          <w:ilvl w:val="0"/>
          <w:numId w:val="70"/>
        </w:numPr>
        <w:spacing w:after="200" w:line="240" w:lineRule="auto"/>
        <w:rPr>
          <w:rFonts w:ascii="Times New Roman" w:eastAsia="Arial" w:hAnsi="Times New Roman" w:cs="Times New Roman"/>
          <w:b/>
          <w:bCs/>
          <w:vanish/>
        </w:rPr>
      </w:pPr>
    </w:p>
    <w:p w14:paraId="1656C084" w14:textId="77777777" w:rsidR="00993F09" w:rsidRPr="000266F5" w:rsidRDefault="00993F09" w:rsidP="00EE0D81">
      <w:pPr>
        <w:pStyle w:val="ListParagraph"/>
        <w:numPr>
          <w:ilvl w:val="0"/>
          <w:numId w:val="70"/>
        </w:numPr>
        <w:spacing w:after="200" w:line="240" w:lineRule="auto"/>
        <w:rPr>
          <w:rFonts w:ascii="Times New Roman" w:eastAsia="Arial" w:hAnsi="Times New Roman" w:cs="Times New Roman"/>
          <w:b/>
          <w:bCs/>
          <w:vanish/>
        </w:rPr>
      </w:pPr>
    </w:p>
    <w:p w14:paraId="192457AE" w14:textId="74202996" w:rsidR="00993F09" w:rsidRPr="000266F5" w:rsidRDefault="00993F09" w:rsidP="00EE0D81">
      <w:pPr>
        <w:pStyle w:val="ListParagraph"/>
        <w:numPr>
          <w:ilvl w:val="1"/>
          <w:numId w:val="70"/>
        </w:numPr>
        <w:spacing w:after="200" w:line="240" w:lineRule="auto"/>
        <w:rPr>
          <w:rFonts w:ascii="Times New Roman" w:eastAsia="Arial" w:hAnsi="Times New Roman" w:cs="Times New Roman"/>
          <w:b/>
          <w:bCs/>
        </w:rPr>
      </w:pPr>
      <w:r w:rsidRPr="000266F5">
        <w:rPr>
          <w:rFonts w:ascii="Times New Roman" w:eastAsia="Arial" w:hAnsi="Times New Roman" w:cs="Times New Roman"/>
          <w:b/>
          <w:bCs/>
        </w:rPr>
        <w:t>Implementation Plan</w:t>
      </w:r>
      <w:r w:rsidR="006A1613">
        <w:rPr>
          <w:rFonts w:ascii="Times New Roman" w:eastAsia="Arial" w:hAnsi="Times New Roman" w:cs="Times New Roman"/>
          <w:b/>
          <w:bCs/>
        </w:rPr>
        <w:t xml:space="preserve"> </w:t>
      </w:r>
    </w:p>
    <w:p w14:paraId="22446BE1" w14:textId="7777777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The </w:t>
      </w:r>
      <w:r w:rsidRPr="000266F5">
        <w:rPr>
          <w:rFonts w:ascii="Times New Roman" w:eastAsia="Arial" w:hAnsi="Times New Roman" w:cs="Times New Roman"/>
          <w:color w:val="000000"/>
        </w:rPr>
        <w:t>Government</w:t>
      </w:r>
      <w:r w:rsidRPr="000266F5">
        <w:rPr>
          <w:rFonts w:ascii="Times New Roman" w:eastAsia="Arial" w:hAnsi="Times New Roman" w:cs="Times New Roman"/>
        </w:rPr>
        <w:t xml:space="preserve"> aims to </w:t>
      </w:r>
      <w:r w:rsidRPr="000266F5">
        <w:rPr>
          <w:rFonts w:ascii="Times New Roman" w:eastAsia="Arial" w:hAnsi="Times New Roman" w:cs="Times New Roman"/>
          <w:color w:val="000000"/>
        </w:rPr>
        <w:t>implement</w:t>
      </w:r>
      <w:r w:rsidRPr="000266F5">
        <w:rPr>
          <w:rFonts w:ascii="Times New Roman" w:eastAsia="Arial" w:hAnsi="Times New Roman" w:cs="Times New Roman"/>
        </w:rPr>
        <w:t xml:space="preserve"> the proposed measures in a way that ensures: </w:t>
      </w:r>
    </w:p>
    <w:p w14:paraId="35EB5D06"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lastRenderedPageBreak/>
        <w:t>Relevant entities understand and comply with their obligations,</w:t>
      </w:r>
    </w:p>
    <w:p w14:paraId="215C7132"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Relevant entities, critical infrastructure owners and operators engage with the Government to understand risks and collaborate to drive effective baseline security standards,</w:t>
      </w:r>
    </w:p>
    <w:p w14:paraId="726F3F9C"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Robust economic modelling is undertaken ahead of sector specific rules being made,</w:t>
      </w:r>
    </w:p>
    <w:p w14:paraId="30E84992"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Appropriate powers to respond in the event of cyber security incident,</w:t>
      </w:r>
    </w:p>
    <w:p w14:paraId="5A5B304B"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Relevant entities receive appropriate and consistent direction, assistance and guidance from the Government to comply with the obligations and support an uplift in security posture, and</w:t>
      </w:r>
    </w:p>
    <w:p w14:paraId="7758874F"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National security risks in entities’ operations and supply chains are identified, assessed and mitigated. </w:t>
      </w:r>
    </w:p>
    <w:p w14:paraId="1A4BC847" w14:textId="77777777" w:rsidR="00993F09" w:rsidRPr="000266F5" w:rsidRDefault="00993F09" w:rsidP="00993F09">
      <w:pPr>
        <w:tabs>
          <w:tab w:val="left" w:pos="426"/>
        </w:tabs>
        <w:spacing w:after="0" w:line="240" w:lineRule="auto"/>
        <w:ind w:left="720"/>
        <w:rPr>
          <w:rFonts w:ascii="Times New Roman" w:eastAsia="MS PGothic" w:hAnsi="Times New Roman" w:cs="Times New Roman"/>
          <w:color w:val="000000"/>
        </w:rPr>
      </w:pPr>
    </w:p>
    <w:p w14:paraId="684F18E4" w14:textId="7777777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A timetable for </w:t>
      </w:r>
      <w:r w:rsidRPr="000266F5">
        <w:rPr>
          <w:rFonts w:ascii="Times New Roman" w:eastAsia="Arial" w:hAnsi="Times New Roman" w:cs="Times New Roman"/>
          <w:color w:val="000000"/>
        </w:rPr>
        <w:t>implementation</w:t>
      </w:r>
      <w:r w:rsidRPr="000266F5">
        <w:rPr>
          <w:rFonts w:ascii="Times New Roman" w:eastAsia="Arial" w:hAnsi="Times New Roman" w:cs="Times New Roman"/>
        </w:rPr>
        <w:t xml:space="preserve"> and key tasks is set out below.</w:t>
      </w:r>
    </w:p>
    <w:tbl>
      <w:tblPr>
        <w:tblStyle w:val="TableGrid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835"/>
      </w:tblGrid>
      <w:tr w:rsidR="00993F09" w:rsidRPr="000266F5" w14:paraId="20F8454C" w14:textId="77777777" w:rsidTr="00602DDE">
        <w:trPr>
          <w:cnfStyle w:val="100000000000" w:firstRow="1" w:lastRow="0" w:firstColumn="0" w:lastColumn="0" w:oddVBand="0" w:evenVBand="0" w:oddHBand="0" w:evenHBand="0" w:firstRowFirstColumn="0" w:firstRowLastColumn="0" w:lastRowFirstColumn="0" w:lastRowLastColumn="0"/>
        </w:trPr>
        <w:tc>
          <w:tcPr>
            <w:tcW w:w="6516" w:type="dxa"/>
            <w:tcBorders>
              <w:top w:val="single" w:sz="4" w:space="0" w:color="auto"/>
              <w:left w:val="single" w:sz="4" w:space="0" w:color="auto"/>
              <w:bottom w:val="single" w:sz="4" w:space="0" w:color="auto"/>
              <w:right w:val="single" w:sz="4" w:space="0" w:color="auto"/>
            </w:tcBorders>
          </w:tcPr>
          <w:p w14:paraId="3D7ADF82" w14:textId="77777777" w:rsidR="00993F09" w:rsidRPr="000266F5" w:rsidRDefault="00993F09" w:rsidP="00602DDE">
            <w:pPr>
              <w:spacing w:before="240" w:after="200"/>
              <w:rPr>
                <w:rFonts w:ascii="Times New Roman" w:eastAsia="Arial" w:hAnsi="Times New Roman" w:cs="Times New Roman"/>
                <w:b/>
                <w:bCs/>
              </w:rPr>
            </w:pPr>
            <w:r w:rsidRPr="000266F5">
              <w:rPr>
                <w:rFonts w:ascii="Times New Roman" w:eastAsia="Arial" w:hAnsi="Times New Roman" w:cs="Times New Roman"/>
                <w:b/>
                <w:bCs/>
              </w:rPr>
              <w:t>Activity</w:t>
            </w:r>
          </w:p>
        </w:tc>
        <w:tc>
          <w:tcPr>
            <w:tcW w:w="2835" w:type="dxa"/>
            <w:tcBorders>
              <w:top w:val="single" w:sz="4" w:space="0" w:color="auto"/>
              <w:left w:val="single" w:sz="4" w:space="0" w:color="auto"/>
              <w:bottom w:val="single" w:sz="4" w:space="0" w:color="auto"/>
              <w:right w:val="single" w:sz="4" w:space="0" w:color="auto"/>
            </w:tcBorders>
          </w:tcPr>
          <w:p w14:paraId="2DDD61A8" w14:textId="77777777" w:rsidR="00993F09" w:rsidRPr="000266F5" w:rsidRDefault="00993F09" w:rsidP="00602DDE">
            <w:pPr>
              <w:spacing w:before="240" w:after="200"/>
              <w:rPr>
                <w:rFonts w:ascii="Times New Roman" w:eastAsia="Arial" w:hAnsi="Times New Roman" w:cs="Times New Roman"/>
                <w:b/>
                <w:bCs/>
              </w:rPr>
            </w:pPr>
            <w:r w:rsidRPr="000266F5">
              <w:rPr>
                <w:rFonts w:ascii="Times New Roman" w:eastAsia="Arial" w:hAnsi="Times New Roman" w:cs="Times New Roman"/>
                <w:b/>
                <w:bCs/>
              </w:rPr>
              <w:t>Estimated date</w:t>
            </w:r>
          </w:p>
        </w:tc>
      </w:tr>
      <w:tr w:rsidR="00993F09" w:rsidRPr="000266F5" w14:paraId="1383BAD0" w14:textId="77777777" w:rsidTr="00602DDE">
        <w:tc>
          <w:tcPr>
            <w:tcW w:w="6516" w:type="dxa"/>
          </w:tcPr>
          <w:p w14:paraId="6F873139" w14:textId="77777777" w:rsidR="00993F09" w:rsidRPr="000266F5" w:rsidRDefault="00993F09" w:rsidP="00602DDE">
            <w:pPr>
              <w:spacing w:before="240" w:after="200"/>
              <w:rPr>
                <w:rFonts w:ascii="Times New Roman" w:eastAsia="Arial" w:hAnsi="Times New Roman" w:cs="Times New Roman"/>
              </w:rPr>
            </w:pPr>
            <w:r w:rsidRPr="000266F5">
              <w:rPr>
                <w:rFonts w:ascii="Times New Roman" w:eastAsia="Arial" w:hAnsi="Times New Roman" w:cs="Times New Roman"/>
              </w:rPr>
              <w:t xml:space="preserve">Mapping of </w:t>
            </w:r>
            <w:r w:rsidRPr="00EE0D81">
              <w:rPr>
                <w:rFonts w:ascii="Times New Roman" w:hAnsi="Times New Roman"/>
                <w:i/>
              </w:rPr>
              <w:t>critical infrastructure sector</w:t>
            </w:r>
            <w:r w:rsidRPr="000266F5">
              <w:rPr>
                <w:rFonts w:ascii="Times New Roman" w:eastAsia="Arial" w:hAnsi="Times New Roman" w:cs="Times New Roman"/>
              </w:rPr>
              <w:t xml:space="preserve">s, identification of </w:t>
            </w:r>
            <w:r w:rsidRPr="00EE0D81">
              <w:rPr>
                <w:rFonts w:ascii="Times New Roman" w:hAnsi="Times New Roman"/>
                <w:i/>
              </w:rPr>
              <w:t>systems of national significance</w:t>
            </w:r>
            <w:r w:rsidRPr="000266F5">
              <w:rPr>
                <w:rFonts w:ascii="Times New Roman" w:eastAsia="Arial" w:hAnsi="Times New Roman" w:cs="Times New Roman"/>
              </w:rPr>
              <w:t>.</w:t>
            </w:r>
          </w:p>
        </w:tc>
        <w:tc>
          <w:tcPr>
            <w:tcW w:w="2835" w:type="dxa"/>
          </w:tcPr>
          <w:p w14:paraId="307855E3" w14:textId="77777777" w:rsidR="00993F09" w:rsidRPr="000266F5" w:rsidRDefault="00993F09" w:rsidP="00602DDE">
            <w:pPr>
              <w:spacing w:before="240" w:after="200"/>
              <w:rPr>
                <w:rFonts w:ascii="Times New Roman" w:eastAsia="Arial" w:hAnsi="Times New Roman" w:cs="Times New Roman"/>
              </w:rPr>
            </w:pPr>
            <w:r w:rsidRPr="000266F5">
              <w:rPr>
                <w:rFonts w:ascii="Times New Roman" w:eastAsia="Arial" w:hAnsi="Times New Roman" w:cs="Times New Roman"/>
              </w:rPr>
              <w:t>May 2020 – ongoing</w:t>
            </w:r>
          </w:p>
        </w:tc>
      </w:tr>
      <w:tr w:rsidR="00993F09" w:rsidRPr="000266F5" w14:paraId="349C1BF5" w14:textId="77777777" w:rsidTr="00602DDE">
        <w:tc>
          <w:tcPr>
            <w:tcW w:w="6516" w:type="dxa"/>
          </w:tcPr>
          <w:p w14:paraId="3FA26CC5" w14:textId="77777777" w:rsidR="00993F09" w:rsidRPr="000266F5" w:rsidRDefault="00993F09" w:rsidP="00602DDE">
            <w:pPr>
              <w:spacing w:before="240" w:after="200"/>
              <w:rPr>
                <w:rFonts w:ascii="Times New Roman" w:eastAsia="Arial" w:hAnsi="Times New Roman" w:cs="Times New Roman"/>
              </w:rPr>
            </w:pPr>
            <w:r w:rsidRPr="000266F5">
              <w:rPr>
                <w:rFonts w:ascii="Times New Roman" w:eastAsia="Arial" w:hAnsi="Times New Roman" w:cs="Times New Roman"/>
              </w:rPr>
              <w:t>Identification of regulators, regulator uplift.</w:t>
            </w:r>
          </w:p>
        </w:tc>
        <w:tc>
          <w:tcPr>
            <w:tcW w:w="2835" w:type="dxa"/>
          </w:tcPr>
          <w:p w14:paraId="553385AD" w14:textId="77777777" w:rsidR="00993F09" w:rsidRPr="000266F5" w:rsidRDefault="00993F09" w:rsidP="00602DDE">
            <w:pPr>
              <w:spacing w:before="240" w:after="200"/>
              <w:rPr>
                <w:rFonts w:ascii="Times New Roman" w:eastAsia="Arial" w:hAnsi="Times New Roman" w:cs="Times New Roman"/>
              </w:rPr>
            </w:pPr>
            <w:r w:rsidRPr="000266F5">
              <w:rPr>
                <w:rFonts w:ascii="Times New Roman" w:eastAsia="Arial" w:hAnsi="Times New Roman" w:cs="Times New Roman"/>
              </w:rPr>
              <w:t>May 2020 – February 2021</w:t>
            </w:r>
          </w:p>
        </w:tc>
      </w:tr>
      <w:tr w:rsidR="00993F09" w:rsidRPr="000266F5" w14:paraId="51C90D98" w14:textId="77777777" w:rsidTr="00602DDE">
        <w:tc>
          <w:tcPr>
            <w:tcW w:w="6516" w:type="dxa"/>
          </w:tcPr>
          <w:p w14:paraId="63E9653C" w14:textId="77777777" w:rsidR="00993F09" w:rsidRPr="000266F5" w:rsidRDefault="00993F09" w:rsidP="00602DDE">
            <w:pPr>
              <w:spacing w:before="240" w:after="200"/>
              <w:rPr>
                <w:rFonts w:ascii="Times New Roman" w:eastAsia="Arial" w:hAnsi="Times New Roman" w:cs="Times New Roman"/>
              </w:rPr>
            </w:pPr>
            <w:r w:rsidRPr="000266F5">
              <w:rPr>
                <w:rFonts w:ascii="Times New Roman" w:eastAsia="Arial" w:hAnsi="Times New Roman" w:cs="Times New Roman"/>
              </w:rPr>
              <w:t>Cost benefit analysis</w:t>
            </w:r>
          </w:p>
        </w:tc>
        <w:tc>
          <w:tcPr>
            <w:tcW w:w="2835" w:type="dxa"/>
          </w:tcPr>
          <w:p w14:paraId="0BDDA9D5" w14:textId="73CAF50A" w:rsidR="00993F09" w:rsidRPr="000266F5" w:rsidRDefault="00993F09" w:rsidP="00602DDE">
            <w:pPr>
              <w:spacing w:before="240" w:after="200"/>
              <w:rPr>
                <w:rFonts w:ascii="Times New Roman" w:eastAsia="Arial" w:hAnsi="Times New Roman" w:cs="Times New Roman"/>
              </w:rPr>
            </w:pPr>
            <w:r w:rsidRPr="000266F5">
              <w:rPr>
                <w:rFonts w:ascii="Times New Roman" w:eastAsia="Arial" w:hAnsi="Times New Roman" w:cs="Times New Roman"/>
              </w:rPr>
              <w:t xml:space="preserve">July 2020 – </w:t>
            </w:r>
            <w:r>
              <w:rPr>
                <w:rFonts w:ascii="Times New Roman" w:eastAsia="Arial" w:hAnsi="Times New Roman" w:cs="Times New Roman"/>
              </w:rPr>
              <w:t>ongoing</w:t>
            </w:r>
          </w:p>
        </w:tc>
      </w:tr>
      <w:tr w:rsidR="00993F09" w:rsidRPr="000266F5" w14:paraId="185F213D" w14:textId="77777777" w:rsidTr="00602DDE">
        <w:tc>
          <w:tcPr>
            <w:tcW w:w="6516" w:type="dxa"/>
          </w:tcPr>
          <w:p w14:paraId="291B696B" w14:textId="4C2765C9" w:rsidR="00993F09" w:rsidRPr="000266F5" w:rsidRDefault="00993F09" w:rsidP="00602DDE">
            <w:pPr>
              <w:spacing w:before="240" w:after="200"/>
              <w:rPr>
                <w:rFonts w:ascii="Times New Roman" w:eastAsia="Arial" w:hAnsi="Times New Roman" w:cs="Times New Roman"/>
              </w:rPr>
            </w:pPr>
            <w:r w:rsidRPr="000266F5">
              <w:rPr>
                <w:rFonts w:ascii="Times New Roman" w:eastAsia="Arial" w:hAnsi="Times New Roman" w:cs="Times New Roman"/>
              </w:rPr>
              <w:t>Drafting of legislation</w:t>
            </w:r>
          </w:p>
        </w:tc>
        <w:tc>
          <w:tcPr>
            <w:tcW w:w="2835" w:type="dxa"/>
          </w:tcPr>
          <w:p w14:paraId="1BA8089D" w14:textId="77777777" w:rsidR="00993F09" w:rsidRPr="000266F5" w:rsidRDefault="00993F09" w:rsidP="00602DDE">
            <w:pPr>
              <w:spacing w:before="240" w:after="200"/>
              <w:rPr>
                <w:rFonts w:ascii="Times New Roman" w:eastAsia="Arial" w:hAnsi="Times New Roman" w:cs="Times New Roman"/>
              </w:rPr>
            </w:pPr>
            <w:r w:rsidRPr="000266F5">
              <w:rPr>
                <w:rFonts w:ascii="Times New Roman" w:eastAsia="Arial" w:hAnsi="Times New Roman" w:cs="Times New Roman"/>
              </w:rPr>
              <w:t>August 2020 – November 2020</w:t>
            </w:r>
          </w:p>
        </w:tc>
      </w:tr>
      <w:tr w:rsidR="00993F09" w:rsidRPr="000266F5" w14:paraId="00E6ECB7" w14:textId="77777777" w:rsidTr="00602DDE">
        <w:tc>
          <w:tcPr>
            <w:tcW w:w="6516" w:type="dxa"/>
          </w:tcPr>
          <w:p w14:paraId="148AEF77" w14:textId="77777777" w:rsidR="00993F09" w:rsidRPr="000266F5" w:rsidRDefault="00993F09" w:rsidP="00602DDE">
            <w:pPr>
              <w:spacing w:before="240" w:after="200"/>
              <w:rPr>
                <w:rFonts w:ascii="Times New Roman" w:eastAsia="Arial" w:hAnsi="Times New Roman" w:cs="Times New Roman"/>
              </w:rPr>
            </w:pPr>
            <w:r w:rsidRPr="000266F5">
              <w:rPr>
                <w:rFonts w:ascii="Times New Roman" w:eastAsia="Arial" w:hAnsi="Times New Roman" w:cs="Times New Roman"/>
              </w:rPr>
              <w:t>Introduction of legislation to Parliament, referral to Parliamentary Joint Committee for Intelligence and Security.</w:t>
            </w:r>
          </w:p>
        </w:tc>
        <w:tc>
          <w:tcPr>
            <w:tcW w:w="2835" w:type="dxa"/>
          </w:tcPr>
          <w:p w14:paraId="31115497" w14:textId="77777777" w:rsidR="00993F09" w:rsidRPr="000266F5" w:rsidRDefault="00993F09" w:rsidP="00602DDE">
            <w:pPr>
              <w:spacing w:before="240" w:after="200"/>
              <w:rPr>
                <w:rFonts w:ascii="Times New Roman" w:eastAsia="Arial" w:hAnsi="Times New Roman" w:cs="Times New Roman"/>
              </w:rPr>
            </w:pPr>
            <w:r w:rsidRPr="000266F5">
              <w:rPr>
                <w:rFonts w:ascii="Times New Roman" w:eastAsia="Arial" w:hAnsi="Times New Roman" w:cs="Times New Roman"/>
              </w:rPr>
              <w:t>December 2020</w:t>
            </w:r>
          </w:p>
        </w:tc>
      </w:tr>
      <w:tr w:rsidR="00993F09" w:rsidRPr="000266F5" w14:paraId="7ED61FE0" w14:textId="77777777" w:rsidTr="00602DDE">
        <w:tc>
          <w:tcPr>
            <w:tcW w:w="6516" w:type="dxa"/>
          </w:tcPr>
          <w:p w14:paraId="3613E360" w14:textId="175B201D" w:rsidR="00993F09" w:rsidRPr="000266F5" w:rsidRDefault="00993F09" w:rsidP="00F322F0">
            <w:pPr>
              <w:spacing w:before="240" w:after="200"/>
              <w:rPr>
                <w:rFonts w:ascii="Times New Roman" w:eastAsia="Arial" w:hAnsi="Times New Roman" w:cs="Times New Roman"/>
              </w:rPr>
            </w:pPr>
            <w:r w:rsidRPr="000266F5">
              <w:rPr>
                <w:rFonts w:ascii="Times New Roman" w:eastAsia="Arial" w:hAnsi="Times New Roman" w:cs="Times New Roman"/>
              </w:rPr>
              <w:t xml:space="preserve">Legislation </w:t>
            </w:r>
            <w:r w:rsidR="00542DF2">
              <w:rPr>
                <w:rFonts w:ascii="Times New Roman" w:eastAsia="Arial" w:hAnsi="Times New Roman" w:cs="Times New Roman"/>
              </w:rPr>
              <w:t>considered</w:t>
            </w:r>
            <w:r w:rsidRPr="000266F5">
              <w:rPr>
                <w:rFonts w:ascii="Times New Roman" w:eastAsia="Arial" w:hAnsi="Times New Roman" w:cs="Times New Roman"/>
              </w:rPr>
              <w:t xml:space="preserve">. </w:t>
            </w:r>
          </w:p>
        </w:tc>
        <w:tc>
          <w:tcPr>
            <w:tcW w:w="2835" w:type="dxa"/>
          </w:tcPr>
          <w:p w14:paraId="3406AAE0" w14:textId="77777777" w:rsidR="00993F09" w:rsidRPr="000266F5" w:rsidRDefault="00993F09" w:rsidP="00602DDE">
            <w:pPr>
              <w:spacing w:before="240" w:after="200"/>
              <w:rPr>
                <w:rFonts w:ascii="Times New Roman" w:eastAsia="Arial" w:hAnsi="Times New Roman" w:cs="Times New Roman"/>
              </w:rPr>
            </w:pPr>
            <w:r w:rsidRPr="000266F5">
              <w:rPr>
                <w:rFonts w:ascii="Times New Roman" w:eastAsia="Arial" w:hAnsi="Times New Roman" w:cs="Times New Roman"/>
              </w:rPr>
              <w:t>Autumn sitting period 2021</w:t>
            </w:r>
          </w:p>
        </w:tc>
      </w:tr>
      <w:tr w:rsidR="00993F09" w:rsidRPr="000266F5" w14:paraId="30F451A8" w14:textId="77777777" w:rsidTr="00602DDE">
        <w:tc>
          <w:tcPr>
            <w:tcW w:w="6516" w:type="dxa"/>
          </w:tcPr>
          <w:p w14:paraId="7791BFAB" w14:textId="74F3839B" w:rsidR="00993F09" w:rsidRPr="000266F5" w:rsidRDefault="00542DF2" w:rsidP="00542DF2">
            <w:pPr>
              <w:spacing w:before="240" w:after="200"/>
              <w:rPr>
                <w:rFonts w:ascii="Times New Roman" w:eastAsia="Arial" w:hAnsi="Times New Roman" w:cs="Times New Roman"/>
              </w:rPr>
            </w:pPr>
            <w:r>
              <w:rPr>
                <w:rFonts w:ascii="Times New Roman" w:eastAsia="Arial" w:hAnsi="Times New Roman" w:cs="Times New Roman"/>
              </w:rPr>
              <w:t>E</w:t>
            </w:r>
            <w:r w:rsidR="00993F09" w:rsidRPr="000266F5">
              <w:rPr>
                <w:rFonts w:ascii="Times New Roman" w:eastAsia="Arial" w:hAnsi="Times New Roman" w:cs="Times New Roman"/>
              </w:rPr>
              <w:t>ducation and engagement program.</w:t>
            </w:r>
          </w:p>
        </w:tc>
        <w:tc>
          <w:tcPr>
            <w:tcW w:w="2835" w:type="dxa"/>
          </w:tcPr>
          <w:p w14:paraId="2D730785" w14:textId="2C140B46" w:rsidR="00993F09" w:rsidRPr="000266F5" w:rsidRDefault="00993F09" w:rsidP="00542DF2">
            <w:pPr>
              <w:spacing w:before="240" w:after="200"/>
              <w:rPr>
                <w:rFonts w:ascii="Times New Roman" w:eastAsia="Arial" w:hAnsi="Times New Roman" w:cs="Times New Roman"/>
              </w:rPr>
            </w:pPr>
            <w:r w:rsidRPr="000266F5">
              <w:rPr>
                <w:rFonts w:ascii="Times New Roman" w:eastAsia="Arial" w:hAnsi="Times New Roman" w:cs="Times New Roman"/>
              </w:rPr>
              <w:t>January</w:t>
            </w:r>
            <w:r w:rsidR="00542DF2">
              <w:rPr>
                <w:rFonts w:ascii="Times New Roman" w:eastAsia="Arial" w:hAnsi="Times New Roman" w:cs="Times New Roman"/>
              </w:rPr>
              <w:t xml:space="preserve"> – July </w:t>
            </w:r>
            <w:r w:rsidRPr="000266F5">
              <w:rPr>
                <w:rFonts w:ascii="Times New Roman" w:eastAsia="Arial" w:hAnsi="Times New Roman" w:cs="Times New Roman"/>
              </w:rPr>
              <w:t>2021</w:t>
            </w:r>
          </w:p>
        </w:tc>
      </w:tr>
      <w:tr w:rsidR="00993F09" w:rsidRPr="000266F5" w14:paraId="53EBD753" w14:textId="77777777" w:rsidTr="00602DDE">
        <w:tc>
          <w:tcPr>
            <w:tcW w:w="6516" w:type="dxa"/>
          </w:tcPr>
          <w:p w14:paraId="27ED79CB" w14:textId="77777777" w:rsidR="00993F09" w:rsidRPr="000266F5" w:rsidRDefault="00993F09" w:rsidP="00602DDE">
            <w:pPr>
              <w:spacing w:before="240" w:after="200"/>
              <w:rPr>
                <w:rFonts w:ascii="Times New Roman" w:eastAsia="Arial" w:hAnsi="Times New Roman" w:cs="Times New Roman"/>
              </w:rPr>
            </w:pPr>
            <w:r w:rsidRPr="000266F5">
              <w:rPr>
                <w:rFonts w:ascii="Times New Roman" w:eastAsia="Arial" w:hAnsi="Times New Roman" w:cs="Times New Roman"/>
              </w:rPr>
              <w:t>Co-design of sector specific standards with industry.</w:t>
            </w:r>
          </w:p>
        </w:tc>
        <w:tc>
          <w:tcPr>
            <w:tcW w:w="2835" w:type="dxa"/>
          </w:tcPr>
          <w:p w14:paraId="5C661977" w14:textId="18014FE7" w:rsidR="00993F09" w:rsidRPr="000266F5" w:rsidRDefault="00993F09" w:rsidP="00602DDE">
            <w:pPr>
              <w:spacing w:before="240" w:after="200"/>
              <w:rPr>
                <w:rFonts w:ascii="Times New Roman" w:eastAsia="Arial" w:hAnsi="Times New Roman" w:cs="Times New Roman"/>
              </w:rPr>
            </w:pPr>
            <w:r>
              <w:rPr>
                <w:rFonts w:ascii="Times New Roman" w:eastAsia="Arial" w:hAnsi="Times New Roman" w:cs="Times New Roman"/>
              </w:rPr>
              <w:t>January 2021 - ongoing</w:t>
            </w:r>
            <w:r w:rsidRPr="000266F5">
              <w:rPr>
                <w:rFonts w:ascii="Times New Roman" w:eastAsia="Arial" w:hAnsi="Times New Roman" w:cs="Times New Roman"/>
              </w:rPr>
              <w:t xml:space="preserve"> </w:t>
            </w:r>
          </w:p>
        </w:tc>
      </w:tr>
      <w:tr w:rsidR="00993F09" w:rsidRPr="000266F5" w14:paraId="6D68A40F" w14:textId="77777777" w:rsidTr="00602DDE">
        <w:tc>
          <w:tcPr>
            <w:tcW w:w="6516" w:type="dxa"/>
          </w:tcPr>
          <w:p w14:paraId="19B076FA" w14:textId="77777777" w:rsidR="00993F09" w:rsidRPr="000266F5" w:rsidRDefault="00993F09" w:rsidP="00602DDE">
            <w:pPr>
              <w:spacing w:before="240" w:after="200"/>
              <w:rPr>
                <w:rFonts w:ascii="Times New Roman" w:eastAsia="Arial" w:hAnsi="Times New Roman" w:cs="Times New Roman"/>
              </w:rPr>
            </w:pPr>
            <w:r w:rsidRPr="000266F5">
              <w:rPr>
                <w:rFonts w:ascii="Times New Roman" w:eastAsia="Arial" w:hAnsi="Times New Roman" w:cs="Times New Roman"/>
              </w:rPr>
              <w:t xml:space="preserve">Economic modelling of sector specific obligations and subsequent RIS/s. </w:t>
            </w:r>
          </w:p>
        </w:tc>
        <w:tc>
          <w:tcPr>
            <w:tcW w:w="2835" w:type="dxa"/>
          </w:tcPr>
          <w:p w14:paraId="21D116E9" w14:textId="056311BC" w:rsidR="00993F09" w:rsidRPr="000266F5" w:rsidRDefault="00993F09" w:rsidP="00602DDE">
            <w:pPr>
              <w:spacing w:before="240" w:after="200"/>
              <w:rPr>
                <w:rFonts w:ascii="Times New Roman" w:eastAsia="Arial" w:hAnsi="Times New Roman" w:cs="Times New Roman"/>
              </w:rPr>
            </w:pPr>
            <w:r>
              <w:rPr>
                <w:rFonts w:ascii="Times New Roman" w:eastAsia="Arial" w:hAnsi="Times New Roman" w:cs="Times New Roman"/>
              </w:rPr>
              <w:t>January 2021 - ongoing</w:t>
            </w:r>
          </w:p>
        </w:tc>
      </w:tr>
      <w:tr w:rsidR="00993F09" w:rsidRPr="000266F5" w14:paraId="3256B5B3" w14:textId="77777777" w:rsidTr="00602DDE">
        <w:tc>
          <w:tcPr>
            <w:tcW w:w="6516" w:type="dxa"/>
          </w:tcPr>
          <w:p w14:paraId="626AD539" w14:textId="77777777" w:rsidR="00993F09" w:rsidRPr="000266F5" w:rsidRDefault="00993F09" w:rsidP="00602DDE">
            <w:pPr>
              <w:spacing w:before="240" w:after="200"/>
              <w:rPr>
                <w:rFonts w:ascii="Times New Roman" w:eastAsia="Arial" w:hAnsi="Times New Roman" w:cs="Times New Roman"/>
              </w:rPr>
            </w:pPr>
            <w:r w:rsidRPr="000266F5">
              <w:rPr>
                <w:rFonts w:ascii="Times New Roman" w:eastAsia="Arial" w:hAnsi="Times New Roman" w:cs="Times New Roman"/>
              </w:rPr>
              <w:t>Preparation of guidance for industry on compliance with new obligations.</w:t>
            </w:r>
          </w:p>
        </w:tc>
        <w:tc>
          <w:tcPr>
            <w:tcW w:w="2835" w:type="dxa"/>
          </w:tcPr>
          <w:p w14:paraId="3782DCA0" w14:textId="44AC1158" w:rsidR="00993F09" w:rsidRPr="000266F5" w:rsidRDefault="00993F09" w:rsidP="00602DDE">
            <w:pPr>
              <w:spacing w:before="240" w:after="200"/>
              <w:rPr>
                <w:rFonts w:ascii="Times New Roman" w:eastAsia="Arial" w:hAnsi="Times New Roman" w:cs="Times New Roman"/>
              </w:rPr>
            </w:pPr>
            <w:r>
              <w:rPr>
                <w:rFonts w:ascii="Times New Roman" w:eastAsia="Arial" w:hAnsi="Times New Roman" w:cs="Times New Roman"/>
              </w:rPr>
              <w:t>January 2021 - ongoing</w:t>
            </w:r>
          </w:p>
        </w:tc>
      </w:tr>
      <w:tr w:rsidR="00993F09" w:rsidRPr="000266F5" w14:paraId="209607A6" w14:textId="77777777" w:rsidTr="00602DDE">
        <w:trPr>
          <w:trHeight w:val="70"/>
        </w:trPr>
        <w:tc>
          <w:tcPr>
            <w:tcW w:w="6516" w:type="dxa"/>
          </w:tcPr>
          <w:p w14:paraId="43856A1F" w14:textId="77777777" w:rsidR="00993F09" w:rsidRPr="000266F5" w:rsidRDefault="00993F09" w:rsidP="00602DDE">
            <w:pPr>
              <w:spacing w:before="240" w:after="200"/>
              <w:rPr>
                <w:rFonts w:ascii="Times New Roman" w:eastAsia="Arial" w:hAnsi="Times New Roman" w:cs="Times New Roman"/>
              </w:rPr>
            </w:pPr>
            <w:r w:rsidRPr="000266F5">
              <w:rPr>
                <w:rFonts w:ascii="Times New Roman" w:eastAsia="Arial" w:hAnsi="Times New Roman" w:cs="Times New Roman"/>
              </w:rPr>
              <w:t>Preparation for enforcement of legislated obligations.</w:t>
            </w:r>
          </w:p>
        </w:tc>
        <w:tc>
          <w:tcPr>
            <w:tcW w:w="2835" w:type="dxa"/>
          </w:tcPr>
          <w:p w14:paraId="7044F5C9" w14:textId="182231B7" w:rsidR="00993F09" w:rsidRPr="000266F5" w:rsidRDefault="00993F09" w:rsidP="00602DDE">
            <w:pPr>
              <w:spacing w:before="240" w:after="200"/>
              <w:rPr>
                <w:rFonts w:ascii="Times New Roman" w:eastAsia="Arial" w:hAnsi="Times New Roman" w:cs="Times New Roman"/>
              </w:rPr>
            </w:pPr>
            <w:r>
              <w:rPr>
                <w:rFonts w:ascii="Times New Roman" w:eastAsia="Arial" w:hAnsi="Times New Roman" w:cs="Times New Roman"/>
              </w:rPr>
              <w:t>Ongoing as Rules are established</w:t>
            </w:r>
          </w:p>
        </w:tc>
      </w:tr>
      <w:tr w:rsidR="00993F09" w:rsidRPr="000266F5" w14:paraId="31C30C19" w14:textId="77777777" w:rsidTr="00602DDE">
        <w:tc>
          <w:tcPr>
            <w:tcW w:w="6516" w:type="dxa"/>
          </w:tcPr>
          <w:p w14:paraId="36B026E0" w14:textId="72D9FDAA" w:rsidR="00993F09" w:rsidRPr="000266F5" w:rsidRDefault="00F322F0" w:rsidP="00602DDE">
            <w:pPr>
              <w:spacing w:before="240" w:after="200"/>
              <w:rPr>
                <w:rFonts w:ascii="Times New Roman" w:eastAsia="Arial" w:hAnsi="Times New Roman" w:cs="Times New Roman"/>
              </w:rPr>
            </w:pPr>
            <w:r w:rsidRPr="000266F5">
              <w:rPr>
                <w:rFonts w:ascii="Times New Roman" w:eastAsia="Arial" w:hAnsi="Times New Roman" w:cs="Times New Roman"/>
              </w:rPr>
              <w:t>Government Assistance and Enhanced Cyber Security Obligations commence</w:t>
            </w:r>
            <w:r>
              <w:rPr>
                <w:rFonts w:ascii="Times New Roman" w:eastAsia="Arial" w:hAnsi="Times New Roman" w:cs="Times New Roman"/>
              </w:rPr>
              <w:t xml:space="preserve">. </w:t>
            </w:r>
            <w:r w:rsidR="00993F09">
              <w:rPr>
                <w:rFonts w:ascii="Times New Roman" w:eastAsia="Arial" w:hAnsi="Times New Roman" w:cs="Times New Roman"/>
              </w:rPr>
              <w:t>Positive Security Obligations</w:t>
            </w:r>
            <w:r w:rsidR="00993F09" w:rsidRPr="000266F5">
              <w:rPr>
                <w:rFonts w:ascii="Times New Roman" w:eastAsia="Arial" w:hAnsi="Times New Roman" w:cs="Times New Roman"/>
              </w:rPr>
              <w:t xml:space="preserve"> commences. Six month grace period before enforcement of obligations.</w:t>
            </w:r>
          </w:p>
        </w:tc>
        <w:tc>
          <w:tcPr>
            <w:tcW w:w="2835" w:type="dxa"/>
          </w:tcPr>
          <w:p w14:paraId="1ED0225D" w14:textId="77777777" w:rsidR="00993F09" w:rsidRPr="000266F5" w:rsidRDefault="00993F09" w:rsidP="00602DDE">
            <w:pPr>
              <w:spacing w:before="240" w:after="200"/>
              <w:rPr>
                <w:rFonts w:ascii="Times New Roman" w:eastAsia="Arial" w:hAnsi="Times New Roman" w:cs="Times New Roman"/>
              </w:rPr>
            </w:pPr>
            <w:r w:rsidRPr="000266F5">
              <w:rPr>
                <w:rFonts w:ascii="Times New Roman" w:eastAsia="Arial" w:hAnsi="Times New Roman" w:cs="Times New Roman"/>
              </w:rPr>
              <w:t>1 July 2021</w:t>
            </w:r>
          </w:p>
        </w:tc>
      </w:tr>
      <w:tr w:rsidR="00993F09" w:rsidRPr="000266F5" w14:paraId="14178E0F" w14:textId="77777777" w:rsidTr="00602DDE">
        <w:tc>
          <w:tcPr>
            <w:tcW w:w="6516" w:type="dxa"/>
          </w:tcPr>
          <w:p w14:paraId="22B3EB68" w14:textId="0A01B7EF" w:rsidR="00993F09" w:rsidRPr="000266F5" w:rsidRDefault="00993F09" w:rsidP="00F322F0">
            <w:pPr>
              <w:spacing w:before="240" w:after="200"/>
              <w:rPr>
                <w:rFonts w:ascii="Times New Roman" w:eastAsia="Arial" w:hAnsi="Times New Roman" w:cs="Times New Roman"/>
              </w:rPr>
            </w:pPr>
            <w:r w:rsidRPr="000266F5">
              <w:rPr>
                <w:rFonts w:ascii="Times New Roman" w:eastAsia="Arial" w:hAnsi="Times New Roman" w:cs="Times New Roman"/>
              </w:rPr>
              <w:t xml:space="preserve">Enforcement of </w:t>
            </w:r>
            <w:r w:rsidR="00F322F0">
              <w:rPr>
                <w:rFonts w:ascii="Times New Roman" w:eastAsia="Arial" w:hAnsi="Times New Roman" w:cs="Times New Roman"/>
              </w:rPr>
              <w:t xml:space="preserve">PSO </w:t>
            </w:r>
            <w:r w:rsidRPr="000266F5">
              <w:rPr>
                <w:rFonts w:ascii="Times New Roman" w:eastAsia="Arial" w:hAnsi="Times New Roman" w:cs="Times New Roman"/>
              </w:rPr>
              <w:t>commences</w:t>
            </w:r>
          </w:p>
        </w:tc>
        <w:tc>
          <w:tcPr>
            <w:tcW w:w="2835" w:type="dxa"/>
          </w:tcPr>
          <w:p w14:paraId="6B5AC3D4" w14:textId="77777777" w:rsidR="00993F09" w:rsidRPr="000266F5" w:rsidRDefault="00993F09" w:rsidP="00602DDE">
            <w:pPr>
              <w:spacing w:before="240" w:after="200"/>
              <w:rPr>
                <w:rFonts w:ascii="Times New Roman" w:eastAsia="Arial" w:hAnsi="Times New Roman" w:cs="Times New Roman"/>
              </w:rPr>
            </w:pPr>
            <w:r w:rsidRPr="000266F5">
              <w:rPr>
                <w:rFonts w:ascii="Times New Roman" w:eastAsia="Arial" w:hAnsi="Times New Roman" w:cs="Times New Roman"/>
              </w:rPr>
              <w:t>1 January 2022</w:t>
            </w:r>
          </w:p>
        </w:tc>
      </w:tr>
      <w:tr w:rsidR="00993F09" w:rsidRPr="000266F5" w14:paraId="7C0CA626" w14:textId="77777777" w:rsidTr="00602DDE">
        <w:tc>
          <w:tcPr>
            <w:tcW w:w="6516" w:type="dxa"/>
          </w:tcPr>
          <w:p w14:paraId="66B19A9B" w14:textId="77777777" w:rsidR="00993F09" w:rsidRPr="000266F5" w:rsidRDefault="00993F09" w:rsidP="00602DDE">
            <w:pPr>
              <w:spacing w:before="240" w:after="200"/>
              <w:rPr>
                <w:rFonts w:ascii="Times New Roman" w:eastAsia="Arial" w:hAnsi="Times New Roman" w:cs="Times New Roman"/>
              </w:rPr>
            </w:pPr>
            <w:r>
              <w:rPr>
                <w:rFonts w:ascii="Times New Roman" w:eastAsia="Arial" w:hAnsi="Times New Roman" w:cs="Times New Roman"/>
              </w:rPr>
              <w:lastRenderedPageBreak/>
              <w:t>Post-Implementation Review</w:t>
            </w:r>
          </w:p>
        </w:tc>
        <w:tc>
          <w:tcPr>
            <w:tcW w:w="2835" w:type="dxa"/>
          </w:tcPr>
          <w:p w14:paraId="46851F40" w14:textId="77777777" w:rsidR="00993F09" w:rsidRPr="000266F5" w:rsidRDefault="00993F09" w:rsidP="00602DDE">
            <w:pPr>
              <w:spacing w:before="240" w:after="200"/>
              <w:rPr>
                <w:rFonts w:ascii="Times New Roman" w:eastAsia="Arial" w:hAnsi="Times New Roman" w:cs="Times New Roman"/>
              </w:rPr>
            </w:pPr>
            <w:r>
              <w:rPr>
                <w:rFonts w:ascii="Times New Roman" w:eastAsia="Arial" w:hAnsi="Times New Roman" w:cs="Times New Roman"/>
              </w:rPr>
              <w:t>2026</w:t>
            </w:r>
          </w:p>
        </w:tc>
      </w:tr>
    </w:tbl>
    <w:p w14:paraId="0C4F0016" w14:textId="77777777" w:rsidR="00993F09" w:rsidRPr="000266F5" w:rsidRDefault="00993F09" w:rsidP="00993F09">
      <w:pPr>
        <w:pStyle w:val="ListParagraph"/>
        <w:spacing w:after="200" w:line="240" w:lineRule="auto"/>
        <w:ind w:left="360"/>
        <w:rPr>
          <w:rFonts w:ascii="Times New Roman" w:eastAsia="Arial" w:hAnsi="Times New Roman" w:cs="Times New Roman"/>
          <w:b/>
          <w:bCs/>
        </w:rPr>
      </w:pPr>
    </w:p>
    <w:p w14:paraId="4DC2FE45" w14:textId="77777777" w:rsidR="00993F09" w:rsidRPr="000266F5" w:rsidRDefault="00993F09" w:rsidP="00EE0D81">
      <w:pPr>
        <w:pStyle w:val="ListParagraph"/>
        <w:numPr>
          <w:ilvl w:val="1"/>
          <w:numId w:val="70"/>
        </w:numPr>
        <w:spacing w:after="200" w:line="240" w:lineRule="auto"/>
        <w:rPr>
          <w:rFonts w:ascii="Times New Roman" w:eastAsia="Arial" w:hAnsi="Times New Roman" w:cs="Times New Roman"/>
          <w:b/>
          <w:bCs/>
        </w:rPr>
      </w:pPr>
      <w:r w:rsidRPr="000266F5">
        <w:rPr>
          <w:rFonts w:ascii="Times New Roman" w:eastAsia="Arial" w:hAnsi="Times New Roman" w:cs="Times New Roman"/>
          <w:b/>
          <w:bCs/>
        </w:rPr>
        <w:t>Legislation</w:t>
      </w:r>
    </w:p>
    <w:p w14:paraId="4CA17256" w14:textId="1306D83D"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To meet the Government’s objectives, the Government will develop and introduce into Parliament amendments to </w:t>
      </w:r>
      <w:r>
        <w:rPr>
          <w:rFonts w:ascii="Times New Roman" w:eastAsia="Arial" w:hAnsi="Times New Roman" w:cs="Times New Roman"/>
        </w:rPr>
        <w:t>SoCI</w:t>
      </w:r>
      <w:r w:rsidRPr="000266F5">
        <w:rPr>
          <w:rFonts w:ascii="Times New Roman" w:eastAsia="Arial" w:hAnsi="Times New Roman" w:cs="Times New Roman"/>
        </w:rPr>
        <w:t xml:space="preserve">, and associated regimes where necessary, to </w:t>
      </w:r>
      <w:r w:rsidRPr="000266F5">
        <w:rPr>
          <w:rFonts w:ascii="Times New Roman" w:eastAsia="Arial" w:hAnsi="Times New Roman" w:cs="Times New Roman"/>
          <w:color w:val="000000"/>
        </w:rPr>
        <w:t>establish</w:t>
      </w:r>
      <w:r w:rsidRPr="000266F5">
        <w:rPr>
          <w:rFonts w:ascii="Times New Roman" w:eastAsia="Arial" w:hAnsi="Times New Roman" w:cs="Times New Roman"/>
        </w:rPr>
        <w:t xml:space="preserve"> the legal framework for the enhanced critical infrastructure security framework. To assist in the development of the legislative amendments, and support their implementation by industry, the Department will undertake a range of preparatory activities. </w:t>
      </w:r>
    </w:p>
    <w:p w14:paraId="68AC1BD7" w14:textId="77777777" w:rsidR="00993F09" w:rsidRPr="000266F5" w:rsidRDefault="00993F09" w:rsidP="00993F09">
      <w:pPr>
        <w:pStyle w:val="ListParagraph"/>
        <w:tabs>
          <w:tab w:val="left" w:pos="426"/>
        </w:tabs>
        <w:spacing w:after="0" w:line="240" w:lineRule="auto"/>
        <w:ind w:left="227"/>
        <w:rPr>
          <w:rFonts w:ascii="Times New Roman" w:eastAsia="Arial" w:hAnsi="Times New Roman" w:cs="Times New Roman"/>
        </w:rPr>
      </w:pPr>
    </w:p>
    <w:p w14:paraId="2DB4F5B3" w14:textId="28A7229D"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The Department has worked with key sectors to identify which entities should fall under the purview of </w:t>
      </w:r>
      <w:r w:rsidRPr="000266F5">
        <w:rPr>
          <w:rFonts w:ascii="Times New Roman" w:eastAsia="Arial" w:hAnsi="Times New Roman" w:cs="Times New Roman"/>
          <w:color w:val="000000"/>
        </w:rPr>
        <w:t>amended</w:t>
      </w:r>
      <w:r w:rsidRPr="000266F5">
        <w:rPr>
          <w:rFonts w:ascii="Times New Roman" w:eastAsia="Arial" w:hAnsi="Times New Roman" w:cs="Times New Roman"/>
        </w:rPr>
        <w:t xml:space="preserve"> </w:t>
      </w:r>
      <w:r>
        <w:rPr>
          <w:rFonts w:ascii="Times New Roman" w:eastAsia="Arial" w:hAnsi="Times New Roman" w:cs="Times New Roman"/>
        </w:rPr>
        <w:t>SoCI</w:t>
      </w:r>
      <w:r w:rsidRPr="000266F5">
        <w:rPr>
          <w:rFonts w:ascii="Times New Roman" w:eastAsia="Arial" w:hAnsi="Times New Roman" w:cs="Times New Roman"/>
        </w:rPr>
        <w:t xml:space="preserve"> and those that are to be declared as </w:t>
      </w:r>
      <w:r w:rsidRPr="00EE0D81">
        <w:rPr>
          <w:rFonts w:ascii="Times New Roman" w:hAnsi="Times New Roman"/>
          <w:i/>
        </w:rPr>
        <w:t>systems of national significance</w:t>
      </w:r>
      <w:r w:rsidRPr="000266F5">
        <w:rPr>
          <w:rFonts w:ascii="Times New Roman" w:eastAsia="Arial" w:hAnsi="Times New Roman" w:cs="Times New Roman"/>
        </w:rPr>
        <w:t xml:space="preserve">. </w:t>
      </w:r>
    </w:p>
    <w:p w14:paraId="1242B1C4"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23AA6899" w14:textId="0FCA8BFD"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The Government </w:t>
      </w:r>
      <w:r w:rsidRPr="000266F5">
        <w:rPr>
          <w:rFonts w:ascii="Times New Roman" w:eastAsia="Arial" w:hAnsi="Times New Roman" w:cs="Times New Roman"/>
          <w:color w:val="000000"/>
        </w:rPr>
        <w:t>aims</w:t>
      </w:r>
      <w:r w:rsidRPr="000266F5">
        <w:rPr>
          <w:rFonts w:ascii="Times New Roman" w:eastAsia="Arial" w:hAnsi="Times New Roman" w:cs="Times New Roman"/>
        </w:rPr>
        <w:t xml:space="preserve"> to have the amendments developed and introduced to Parliament by the end of 2020, The Government Assistance powers will commence upon Proclamation. The Enhanced Cyber Security Obligations will also commence upon Proclamation. However, these obligations would not be imposed on any entity until the Minister has designated an asset as a </w:t>
      </w:r>
      <w:r w:rsidRPr="00EE0D81">
        <w:rPr>
          <w:rFonts w:ascii="Times New Roman" w:hAnsi="Times New Roman"/>
          <w:i/>
        </w:rPr>
        <w:t>system of national significance</w:t>
      </w:r>
      <w:r w:rsidRPr="000266F5">
        <w:rPr>
          <w:rFonts w:ascii="Times New Roman" w:eastAsia="Arial" w:hAnsi="Times New Roman" w:cs="Times New Roman"/>
        </w:rPr>
        <w:t xml:space="preserve">. The </w:t>
      </w:r>
      <w:r>
        <w:rPr>
          <w:rFonts w:ascii="Times New Roman" w:eastAsia="Arial" w:hAnsi="Times New Roman" w:cs="Times New Roman"/>
        </w:rPr>
        <w:t>Positive Security Obligation</w:t>
      </w:r>
      <w:r w:rsidRPr="000266F5">
        <w:rPr>
          <w:rFonts w:ascii="Times New Roman" w:eastAsia="Arial" w:hAnsi="Times New Roman" w:cs="Times New Roman"/>
        </w:rPr>
        <w:t xml:space="preserve">s will </w:t>
      </w:r>
      <w:r>
        <w:rPr>
          <w:rFonts w:ascii="Times New Roman" w:eastAsia="Arial" w:hAnsi="Times New Roman" w:cs="Times New Roman"/>
        </w:rPr>
        <w:t>commence</w:t>
      </w:r>
      <w:r w:rsidRPr="000266F5">
        <w:rPr>
          <w:rFonts w:ascii="Times New Roman" w:eastAsia="Arial" w:hAnsi="Times New Roman" w:cs="Times New Roman"/>
        </w:rPr>
        <w:t xml:space="preserve"> upon Proclamation.  However, these obligations will not be applied to critical infrastructure </w:t>
      </w:r>
      <w:r>
        <w:rPr>
          <w:rFonts w:ascii="Times New Roman" w:eastAsia="Arial" w:hAnsi="Times New Roman" w:cs="Times New Roman"/>
        </w:rPr>
        <w:t>assets</w:t>
      </w:r>
      <w:r w:rsidRPr="000266F5">
        <w:rPr>
          <w:rFonts w:ascii="Times New Roman" w:eastAsia="Arial" w:hAnsi="Times New Roman" w:cs="Times New Roman"/>
        </w:rPr>
        <w:t xml:space="preserve"> until the sector-specific co-design has been completed and the sector-specific rules have been made. There will be a six month ‘grace period’ following the introduction of the sector specific rules.</w:t>
      </w:r>
    </w:p>
    <w:p w14:paraId="5B7B787E" w14:textId="77777777" w:rsidR="00993F09" w:rsidRPr="000266F5" w:rsidRDefault="00993F09" w:rsidP="00993F09">
      <w:pPr>
        <w:pStyle w:val="ListParagraph"/>
        <w:spacing w:after="0"/>
        <w:rPr>
          <w:rFonts w:ascii="Times New Roman" w:eastAsia="Arial" w:hAnsi="Times New Roman" w:cs="Times New Roman"/>
        </w:rPr>
      </w:pPr>
    </w:p>
    <w:p w14:paraId="2ACA5B7B" w14:textId="77777777" w:rsidR="00993F09" w:rsidRPr="000266F5" w:rsidRDefault="00993F09" w:rsidP="00EE0D81">
      <w:pPr>
        <w:pStyle w:val="ListParagraph"/>
        <w:numPr>
          <w:ilvl w:val="1"/>
          <w:numId w:val="70"/>
        </w:numPr>
        <w:spacing w:after="200" w:line="240" w:lineRule="auto"/>
        <w:rPr>
          <w:rFonts w:ascii="Times New Roman" w:eastAsia="Arial" w:hAnsi="Times New Roman" w:cs="Times New Roman"/>
          <w:b/>
          <w:bCs/>
        </w:rPr>
      </w:pPr>
      <w:r w:rsidRPr="000266F5">
        <w:rPr>
          <w:rFonts w:ascii="Times New Roman" w:eastAsia="Arial" w:hAnsi="Times New Roman" w:cs="Times New Roman"/>
          <w:b/>
          <w:bCs/>
        </w:rPr>
        <w:t>Establishing regulatory functions</w:t>
      </w:r>
    </w:p>
    <w:p w14:paraId="30245221" w14:textId="130B5C3F"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To implement the proposed divested model of security obligations and compliance, </w:t>
      </w:r>
      <w:r>
        <w:rPr>
          <w:rFonts w:ascii="Times New Roman" w:eastAsia="Arial" w:hAnsi="Times New Roman" w:cs="Times New Roman"/>
        </w:rPr>
        <w:t>the Department</w:t>
      </w:r>
      <w:r w:rsidRPr="000266F5">
        <w:rPr>
          <w:rFonts w:ascii="Times New Roman" w:eastAsia="Arial" w:hAnsi="Times New Roman" w:cs="Times New Roman"/>
        </w:rPr>
        <w:t xml:space="preserve"> will engage with appropriate regulators. Alongside the development, introduction and passage of legislation, </w:t>
      </w:r>
      <w:r w:rsidRPr="00064472">
        <w:rPr>
          <w:rFonts w:ascii="Times New Roman" w:eastAsia="Arial" w:hAnsi="Times New Roman" w:cs="Times New Roman"/>
        </w:rPr>
        <w:t>the Department</w:t>
      </w:r>
      <w:r w:rsidRPr="00064472" w:rsidDel="00064472">
        <w:rPr>
          <w:rFonts w:ascii="Times New Roman" w:eastAsia="Arial" w:hAnsi="Times New Roman" w:cs="Times New Roman"/>
        </w:rPr>
        <w:t xml:space="preserve"> </w:t>
      </w:r>
      <w:r w:rsidRPr="000266F5">
        <w:rPr>
          <w:rFonts w:ascii="Times New Roman" w:eastAsia="Arial" w:hAnsi="Times New Roman" w:cs="Times New Roman"/>
        </w:rPr>
        <w:t xml:space="preserve">has worked with Commonwealth agencies and state and territory governments to identify appropriate regulatory bodies to enforce the proposed security obligations. Where no regulatory body exists or is willing to undertake this role, </w:t>
      </w:r>
      <w:r w:rsidRPr="001C216E">
        <w:rPr>
          <w:rFonts w:ascii="Times New Roman" w:eastAsia="Arial" w:hAnsi="Times New Roman" w:cs="Times New Roman"/>
        </w:rPr>
        <w:t>the Department</w:t>
      </w:r>
      <w:r w:rsidRPr="001C216E" w:rsidDel="001C216E">
        <w:rPr>
          <w:rFonts w:ascii="Times New Roman" w:eastAsia="Arial" w:hAnsi="Times New Roman" w:cs="Times New Roman"/>
        </w:rPr>
        <w:t xml:space="preserve"> </w:t>
      </w:r>
      <w:r w:rsidRPr="000266F5">
        <w:rPr>
          <w:rFonts w:ascii="Times New Roman" w:eastAsia="Arial" w:hAnsi="Times New Roman" w:cs="Times New Roman"/>
        </w:rPr>
        <w:t xml:space="preserve">will be the regulator. </w:t>
      </w:r>
    </w:p>
    <w:p w14:paraId="7C6F8AA9" w14:textId="77777777" w:rsidR="00993F09" w:rsidRPr="000266F5" w:rsidRDefault="00993F09" w:rsidP="00993F09">
      <w:pPr>
        <w:pStyle w:val="ListParagraph"/>
        <w:tabs>
          <w:tab w:val="left" w:pos="426"/>
        </w:tabs>
        <w:spacing w:after="0" w:line="240" w:lineRule="auto"/>
        <w:ind w:left="227"/>
        <w:rPr>
          <w:rFonts w:ascii="Times New Roman" w:eastAsia="Arial" w:hAnsi="Times New Roman" w:cs="Times New Roman"/>
        </w:rPr>
      </w:pPr>
    </w:p>
    <w:p w14:paraId="5E276AF5" w14:textId="35DE93F6" w:rsidR="00993F09" w:rsidRPr="000266F5" w:rsidRDefault="00993F09" w:rsidP="00993F09">
      <w:pPr>
        <w:tabs>
          <w:tab w:val="left" w:pos="426"/>
        </w:tabs>
        <w:spacing w:after="0" w:line="240" w:lineRule="auto"/>
        <w:rPr>
          <w:rFonts w:ascii="Times New Roman" w:eastAsia="Arial" w:hAnsi="Times New Roman" w:cs="Times New Roman"/>
        </w:rPr>
      </w:pPr>
      <w:r>
        <w:rPr>
          <w:rFonts w:ascii="Times New Roman" w:eastAsia="Arial" w:hAnsi="Times New Roman" w:cs="Times New Roman"/>
        </w:rPr>
        <w:t>T</w:t>
      </w:r>
      <w:r w:rsidRPr="001C216E">
        <w:rPr>
          <w:rFonts w:ascii="Times New Roman" w:eastAsia="Arial" w:hAnsi="Times New Roman" w:cs="Times New Roman"/>
        </w:rPr>
        <w:t>he Department</w:t>
      </w:r>
      <w:r w:rsidRPr="001C216E" w:rsidDel="001C216E">
        <w:rPr>
          <w:rFonts w:ascii="Times New Roman" w:eastAsia="Arial" w:hAnsi="Times New Roman" w:cs="Times New Roman"/>
        </w:rPr>
        <w:t xml:space="preserve"> </w:t>
      </w:r>
      <w:r w:rsidRPr="000266F5">
        <w:rPr>
          <w:rFonts w:ascii="Times New Roman" w:eastAsia="Arial" w:hAnsi="Times New Roman" w:cs="Times New Roman"/>
        </w:rPr>
        <w:t xml:space="preserve">and identified regulators will collaborate on sector specific guidance for entities to assist them reach compliance with the new security obligations. Guidance may include case studies, clear definitions, frequently asked questions, threat information, risk advice, tips on best-practice and additional information about the Government’s expectations. The Government will draft this guidance in consultation with industry and sectors experts and bodies. This guidance will be made available as soon as practicable </w:t>
      </w:r>
      <w:r w:rsidRPr="000266F5">
        <w:rPr>
          <w:rFonts w:ascii="Times New Roman" w:eastAsia="Arial" w:hAnsi="Times New Roman" w:cs="Times New Roman"/>
          <w:color w:val="000000"/>
        </w:rPr>
        <w:t>after</w:t>
      </w:r>
      <w:r w:rsidRPr="000266F5">
        <w:rPr>
          <w:rFonts w:ascii="Times New Roman" w:eastAsia="Arial" w:hAnsi="Times New Roman" w:cs="Times New Roman"/>
        </w:rPr>
        <w:t xml:space="preserve"> legislation is passed.</w:t>
      </w:r>
    </w:p>
    <w:p w14:paraId="293F12B2"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73BCFA65" w14:textId="77777777" w:rsidR="00993F09" w:rsidRPr="000266F5" w:rsidRDefault="00993F09" w:rsidP="00993F09">
      <w:pPr>
        <w:spacing w:after="200" w:line="240" w:lineRule="auto"/>
        <w:rPr>
          <w:rFonts w:ascii="Times New Roman" w:eastAsia="Arial" w:hAnsi="Times New Roman" w:cs="Times New Roman"/>
          <w:i/>
          <w:iCs/>
        </w:rPr>
      </w:pPr>
      <w:r w:rsidRPr="000266F5">
        <w:rPr>
          <w:rFonts w:ascii="Times New Roman" w:eastAsia="Arial" w:hAnsi="Times New Roman" w:cs="Times New Roman"/>
          <w:i/>
          <w:iCs/>
        </w:rPr>
        <w:t>Critical Infrastructure Centre (CIC)</w:t>
      </w:r>
    </w:p>
    <w:p w14:paraId="33DEFCB0" w14:textId="3B44BF26"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To undertake the above activities, </w:t>
      </w:r>
      <w:r w:rsidRPr="001C216E">
        <w:rPr>
          <w:rFonts w:ascii="Times New Roman" w:eastAsia="Arial" w:hAnsi="Times New Roman" w:cs="Times New Roman"/>
        </w:rPr>
        <w:t>the Department</w:t>
      </w:r>
      <w:r w:rsidRPr="001C216E" w:rsidDel="001C216E">
        <w:rPr>
          <w:rFonts w:ascii="Times New Roman" w:eastAsia="Arial" w:hAnsi="Times New Roman" w:cs="Times New Roman"/>
        </w:rPr>
        <w:t xml:space="preserve"> </w:t>
      </w:r>
      <w:r w:rsidRPr="000266F5">
        <w:rPr>
          <w:rFonts w:ascii="Times New Roman" w:eastAsia="Arial" w:hAnsi="Times New Roman" w:cs="Times New Roman"/>
        </w:rPr>
        <w:t xml:space="preserve">will expand the CIC to engage a significant number of staff and contractors with key subject matter and technical expertise, as well as dedicated staff to undertake industry engagement. The Centre will also draw on the expertise of secondees from </w:t>
      </w:r>
      <w:r w:rsidRPr="000266F5">
        <w:rPr>
          <w:rFonts w:ascii="Times New Roman" w:eastAsia="Arial" w:hAnsi="Times New Roman" w:cs="Times New Roman"/>
          <w:color w:val="000000"/>
        </w:rPr>
        <w:t>other</w:t>
      </w:r>
      <w:r w:rsidRPr="000266F5">
        <w:rPr>
          <w:rFonts w:ascii="Times New Roman" w:eastAsia="Arial" w:hAnsi="Times New Roman" w:cs="Times New Roman"/>
        </w:rPr>
        <w:t xml:space="preserve"> Australian Government agencies to ensure that the proposed amendments are developed and implemented through collaboration across the Government.  The Australian Signals Directorate’s expertise will ensure alignment with the </w:t>
      </w:r>
      <w:r>
        <w:rPr>
          <w:rFonts w:ascii="Times New Roman" w:eastAsia="Arial" w:hAnsi="Times New Roman" w:cs="Times New Roman"/>
        </w:rPr>
        <w:t xml:space="preserve">CESAR </w:t>
      </w:r>
      <w:r w:rsidRPr="000266F5">
        <w:rPr>
          <w:rFonts w:ascii="Times New Roman" w:eastAsia="Arial" w:hAnsi="Times New Roman" w:cs="Times New Roman"/>
        </w:rPr>
        <w:t>capability and help entities to meet their Enhanced Cyber Security Obligations.</w:t>
      </w:r>
    </w:p>
    <w:p w14:paraId="0C90B97E" w14:textId="77777777" w:rsidR="00993F09" w:rsidRPr="000266F5" w:rsidRDefault="00993F09" w:rsidP="00993F09">
      <w:pPr>
        <w:pStyle w:val="ListParagraph"/>
        <w:tabs>
          <w:tab w:val="left" w:pos="426"/>
        </w:tabs>
        <w:spacing w:after="0" w:line="240" w:lineRule="auto"/>
        <w:ind w:left="227"/>
        <w:rPr>
          <w:rFonts w:ascii="Times New Roman" w:eastAsia="Arial" w:hAnsi="Times New Roman" w:cs="Times New Roman"/>
        </w:rPr>
      </w:pPr>
    </w:p>
    <w:p w14:paraId="2728CA2D" w14:textId="7777777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In meeting their Enhanced Cyber Security Obligations, entities will provide information to the Australian Cyber Security Centre. The Australian Cyber Security Centre will analyse information provided, determine the need for preparatory assessments and activities and report back to the entity. </w:t>
      </w:r>
      <w:r w:rsidRPr="000266F5">
        <w:rPr>
          <w:rFonts w:ascii="Times New Roman" w:eastAsia="Arial" w:hAnsi="Times New Roman" w:cs="Times New Roman"/>
        </w:rPr>
        <w:lastRenderedPageBreak/>
        <w:t xml:space="preserve">Where </w:t>
      </w:r>
      <w:r w:rsidRPr="000266F5">
        <w:rPr>
          <w:rFonts w:ascii="Times New Roman" w:eastAsia="Arial" w:hAnsi="Times New Roman" w:cs="Times New Roman"/>
          <w:color w:val="000000"/>
        </w:rPr>
        <w:t>appropriate</w:t>
      </w:r>
      <w:r w:rsidRPr="000266F5">
        <w:rPr>
          <w:rFonts w:ascii="Times New Roman" w:eastAsia="Arial" w:hAnsi="Times New Roman" w:cs="Times New Roman"/>
        </w:rPr>
        <w:t>, the Australian Cyber Security Centre will share near-real time threat information. Entities would be expected to take steps to minimise potential cyber threats as appropriate.</w:t>
      </w:r>
    </w:p>
    <w:p w14:paraId="62E0EB0D"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69A62F3B" w14:textId="1A2F246C" w:rsidR="00993F09" w:rsidRPr="000266F5" w:rsidRDefault="00993F09" w:rsidP="00993F09">
      <w:pPr>
        <w:tabs>
          <w:tab w:val="left" w:pos="426"/>
        </w:tabs>
        <w:spacing w:after="0" w:line="240" w:lineRule="auto"/>
        <w:rPr>
          <w:rFonts w:ascii="Times New Roman" w:eastAsia="Arial" w:hAnsi="Times New Roman" w:cs="Times New Roman"/>
          <w:color w:val="000000"/>
        </w:rPr>
      </w:pPr>
      <w:r w:rsidRPr="000266F5">
        <w:rPr>
          <w:rFonts w:ascii="Times New Roman" w:eastAsia="Arial" w:hAnsi="Times New Roman" w:cs="Times New Roman"/>
        </w:rPr>
        <w:t xml:space="preserve">The Australian Cyber Security Centre and CIC will work closely together to determine if Government Assistance is required to prevent, disrupt or respond to an incident identified by the Government or reported by an entity. </w:t>
      </w:r>
    </w:p>
    <w:p w14:paraId="276EDEA6" w14:textId="77777777" w:rsidR="00993F09" w:rsidRPr="000266F5" w:rsidRDefault="00993F09" w:rsidP="00993F09">
      <w:pPr>
        <w:tabs>
          <w:tab w:val="left" w:pos="426"/>
        </w:tabs>
        <w:spacing w:after="0" w:line="240" w:lineRule="auto"/>
        <w:rPr>
          <w:rFonts w:ascii="Times New Roman" w:eastAsia="Arial" w:hAnsi="Times New Roman" w:cs="Times New Roman"/>
          <w:color w:val="000000"/>
        </w:rPr>
      </w:pPr>
    </w:p>
    <w:p w14:paraId="63605594" w14:textId="46792EAB"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color w:val="000000"/>
        </w:rPr>
        <w:t xml:space="preserve">The Department will also regulate certain sector’s </w:t>
      </w:r>
      <w:r>
        <w:rPr>
          <w:rFonts w:ascii="Times New Roman" w:eastAsia="Arial" w:hAnsi="Times New Roman" w:cs="Times New Roman"/>
          <w:color w:val="000000"/>
        </w:rPr>
        <w:t>Positive Security Obligations</w:t>
      </w:r>
      <w:r w:rsidRPr="000266F5">
        <w:rPr>
          <w:rFonts w:ascii="Times New Roman" w:eastAsia="Arial" w:hAnsi="Times New Roman" w:cs="Times New Roman"/>
          <w:color w:val="000000"/>
        </w:rPr>
        <w:t xml:space="preserve"> where no </w:t>
      </w:r>
      <w:r w:rsidRPr="000266F5">
        <w:rPr>
          <w:rFonts w:ascii="Times New Roman" w:eastAsia="Arial" w:hAnsi="Times New Roman" w:cs="Times New Roman"/>
        </w:rPr>
        <w:t>alternative</w:t>
      </w:r>
      <w:r w:rsidRPr="000266F5">
        <w:rPr>
          <w:rFonts w:ascii="Times New Roman" w:eastAsia="Arial" w:hAnsi="Times New Roman" w:cs="Times New Roman"/>
          <w:color w:val="000000"/>
        </w:rPr>
        <w:t xml:space="preserve"> regulator has been identified.</w:t>
      </w:r>
      <w:r>
        <w:rPr>
          <w:rFonts w:ascii="Times New Roman" w:eastAsia="Arial" w:hAnsi="Times New Roman" w:cs="Times New Roman"/>
          <w:color w:val="000000"/>
        </w:rPr>
        <w:t xml:space="preserve"> The costs of this responsibility will be detailed in future RIS(s)</w:t>
      </w:r>
      <w:r w:rsidR="00F322F0">
        <w:rPr>
          <w:rFonts w:ascii="Times New Roman" w:eastAsia="Arial" w:hAnsi="Times New Roman" w:cs="Times New Roman"/>
          <w:color w:val="000000"/>
        </w:rPr>
        <w:t xml:space="preserve"> and be available in Budget papers</w:t>
      </w:r>
      <w:r>
        <w:rPr>
          <w:rFonts w:ascii="Times New Roman" w:eastAsia="Arial" w:hAnsi="Times New Roman" w:cs="Times New Roman"/>
          <w:color w:val="000000"/>
        </w:rPr>
        <w:t>.</w:t>
      </w:r>
    </w:p>
    <w:p w14:paraId="01BFEF5A"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3B4E0857" w14:textId="77777777" w:rsidR="00993F09" w:rsidRPr="000266F5" w:rsidRDefault="00993F09" w:rsidP="00993F09">
      <w:pPr>
        <w:spacing w:after="0" w:line="240" w:lineRule="auto"/>
        <w:rPr>
          <w:rFonts w:ascii="Times New Roman" w:eastAsia="Arial" w:hAnsi="Times New Roman" w:cs="Times New Roman"/>
          <w:i/>
          <w:iCs/>
        </w:rPr>
      </w:pPr>
      <w:r w:rsidRPr="000266F5">
        <w:rPr>
          <w:rFonts w:ascii="Times New Roman" w:eastAsia="Arial" w:hAnsi="Times New Roman" w:cs="Times New Roman"/>
          <w:i/>
          <w:iCs/>
        </w:rPr>
        <w:t>Reporting</w:t>
      </w:r>
    </w:p>
    <w:p w14:paraId="3BA2D7BC" w14:textId="77777777" w:rsidR="00993F09" w:rsidRPr="000266F5" w:rsidRDefault="00993F09" w:rsidP="00993F09">
      <w:pPr>
        <w:spacing w:after="0" w:line="240" w:lineRule="auto"/>
        <w:rPr>
          <w:rFonts w:ascii="Times New Roman" w:eastAsia="Arial" w:hAnsi="Times New Roman" w:cs="Times New Roman"/>
          <w:i/>
          <w:iCs/>
        </w:rPr>
      </w:pPr>
    </w:p>
    <w:p w14:paraId="713B27E0" w14:textId="4BC6E757" w:rsidR="00993F09" w:rsidRPr="000266F5" w:rsidRDefault="00993F09" w:rsidP="00993F09">
      <w:pPr>
        <w:tabs>
          <w:tab w:val="left" w:pos="426"/>
        </w:tabs>
        <w:spacing w:after="0" w:line="240" w:lineRule="auto"/>
        <w:rPr>
          <w:rFonts w:ascii="Times New Roman" w:eastAsia="Arial" w:hAnsi="Times New Roman" w:cs="Times New Roman"/>
          <w:b/>
          <w:bCs/>
        </w:rPr>
      </w:pPr>
      <w:r>
        <w:rPr>
          <w:rFonts w:ascii="Times New Roman" w:eastAsia="Arial" w:hAnsi="Times New Roman" w:cs="Times New Roman"/>
          <w:color w:val="000000"/>
        </w:rPr>
        <w:t>The Department</w:t>
      </w:r>
      <w:r w:rsidRPr="000266F5" w:rsidDel="001C216E">
        <w:rPr>
          <w:rFonts w:ascii="Times New Roman" w:eastAsia="Arial" w:hAnsi="Times New Roman" w:cs="Times New Roman"/>
        </w:rPr>
        <w:t xml:space="preserve"> </w:t>
      </w:r>
      <w:r w:rsidRPr="000266F5">
        <w:rPr>
          <w:rFonts w:ascii="Times New Roman" w:eastAsia="Arial" w:hAnsi="Times New Roman" w:cs="Times New Roman"/>
        </w:rPr>
        <w:t xml:space="preserve">will report on the implementation of the proposed measures in its annual report to Parliament under section 60 of the Act. </w:t>
      </w:r>
    </w:p>
    <w:p w14:paraId="0575C1C0" w14:textId="77777777" w:rsidR="00993F09" w:rsidRPr="000266F5" w:rsidRDefault="00993F09" w:rsidP="00993F09">
      <w:pPr>
        <w:pStyle w:val="ListParagraph"/>
        <w:tabs>
          <w:tab w:val="left" w:pos="426"/>
        </w:tabs>
        <w:spacing w:after="0" w:line="240" w:lineRule="auto"/>
        <w:ind w:left="227"/>
        <w:rPr>
          <w:rFonts w:ascii="Times New Roman" w:eastAsia="Arial" w:hAnsi="Times New Roman" w:cs="Times New Roman"/>
          <w:b/>
          <w:bCs/>
        </w:rPr>
      </w:pPr>
    </w:p>
    <w:p w14:paraId="1196A284" w14:textId="77777777" w:rsidR="00993F09" w:rsidRPr="000266F5" w:rsidRDefault="00993F09" w:rsidP="00EE0D81">
      <w:pPr>
        <w:pStyle w:val="ListParagraph"/>
        <w:numPr>
          <w:ilvl w:val="1"/>
          <w:numId w:val="70"/>
        </w:numPr>
        <w:spacing w:after="200" w:line="240" w:lineRule="auto"/>
        <w:rPr>
          <w:rFonts w:ascii="Times New Roman" w:eastAsia="Arial" w:hAnsi="Times New Roman" w:cs="Times New Roman"/>
          <w:b/>
          <w:bCs/>
        </w:rPr>
      </w:pPr>
      <w:r w:rsidRPr="000266F5">
        <w:rPr>
          <w:rFonts w:ascii="Times New Roman" w:eastAsia="Arial" w:hAnsi="Times New Roman" w:cs="Times New Roman"/>
          <w:b/>
          <w:bCs/>
        </w:rPr>
        <w:t>Challenges / risks to implementation</w:t>
      </w:r>
    </w:p>
    <w:p w14:paraId="5AE56B88" w14:textId="7777777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There are several key risks to the successful implementation of the proposed regulatory changes and enhanced Government-industry engagement: lack of awareness of the new obligations, lack of proper implementation and engagement with regulations by industry, and lack of government capability to enforce compliance. </w:t>
      </w:r>
    </w:p>
    <w:p w14:paraId="2E5B287C" w14:textId="77777777" w:rsidR="00993F09" w:rsidRPr="000266F5" w:rsidRDefault="00993F09" w:rsidP="00993F09">
      <w:pPr>
        <w:pStyle w:val="ListParagraph"/>
        <w:tabs>
          <w:tab w:val="left" w:pos="426"/>
        </w:tabs>
        <w:spacing w:after="0" w:line="240" w:lineRule="auto"/>
        <w:ind w:left="227"/>
        <w:rPr>
          <w:rFonts w:ascii="Times New Roman" w:eastAsia="Arial" w:hAnsi="Times New Roman" w:cs="Times New Roman"/>
        </w:rPr>
      </w:pPr>
    </w:p>
    <w:p w14:paraId="7A2CDBFC" w14:textId="77777777" w:rsidR="00993F09" w:rsidRPr="000266F5" w:rsidRDefault="00993F09" w:rsidP="00993F09">
      <w:pPr>
        <w:spacing w:after="200" w:line="240" w:lineRule="auto"/>
        <w:rPr>
          <w:rFonts w:ascii="Times New Roman" w:eastAsia="Arial" w:hAnsi="Times New Roman" w:cs="Times New Roman"/>
          <w:i/>
          <w:iCs/>
        </w:rPr>
      </w:pPr>
      <w:r w:rsidRPr="000266F5">
        <w:rPr>
          <w:rFonts w:ascii="Times New Roman" w:eastAsia="Arial" w:hAnsi="Times New Roman" w:cs="Times New Roman"/>
          <w:i/>
          <w:iCs/>
        </w:rPr>
        <w:t>Awareness</w:t>
      </w:r>
    </w:p>
    <w:p w14:paraId="26004291" w14:textId="28A5DD82"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As part of the development of the reforms and proposed legislative changes, </w:t>
      </w:r>
      <w:r w:rsidRPr="001C216E">
        <w:rPr>
          <w:rFonts w:ascii="Times New Roman" w:eastAsia="Arial" w:hAnsi="Times New Roman" w:cs="Times New Roman"/>
        </w:rPr>
        <w:t>the Department</w:t>
      </w:r>
      <w:r w:rsidRPr="001C216E" w:rsidDel="001C216E">
        <w:rPr>
          <w:rFonts w:ascii="Times New Roman" w:eastAsia="Arial" w:hAnsi="Times New Roman" w:cs="Times New Roman"/>
        </w:rPr>
        <w:t xml:space="preserve"> </w:t>
      </w:r>
      <w:r w:rsidRPr="000266F5">
        <w:rPr>
          <w:rFonts w:ascii="Times New Roman" w:eastAsia="Arial" w:hAnsi="Times New Roman" w:cs="Times New Roman"/>
        </w:rPr>
        <w:t>has and is continuing to lead detailed stakeholder consultation with critical infrastructure providers across Australia, state and territory governments, and other relevant entities on the proposed legislative reforms. This includes bilateral meetings, industry roundtables and open forums. As a result, it is unlikely any affected entities will be surprised by the proposed legislation or the extent of obligations.</w:t>
      </w:r>
    </w:p>
    <w:p w14:paraId="73067D6E" w14:textId="77777777" w:rsidR="00993F09" w:rsidRPr="000266F5" w:rsidRDefault="00993F09" w:rsidP="00993F09">
      <w:pPr>
        <w:pStyle w:val="ListParagraph"/>
        <w:tabs>
          <w:tab w:val="left" w:pos="426"/>
        </w:tabs>
        <w:spacing w:after="0" w:line="240" w:lineRule="auto"/>
        <w:ind w:left="227"/>
        <w:rPr>
          <w:rFonts w:ascii="Times New Roman" w:eastAsia="Arial" w:hAnsi="Times New Roman" w:cs="Times New Roman"/>
        </w:rPr>
      </w:pPr>
    </w:p>
    <w:p w14:paraId="5B06CD1C" w14:textId="77777777" w:rsidR="00993F09" w:rsidRPr="000266F5" w:rsidRDefault="00993F09" w:rsidP="00993F09">
      <w:pPr>
        <w:spacing w:after="200" w:line="240" w:lineRule="auto"/>
        <w:rPr>
          <w:rFonts w:ascii="Times New Roman" w:eastAsia="Arial" w:hAnsi="Times New Roman" w:cs="Times New Roman"/>
          <w:i/>
          <w:iCs/>
        </w:rPr>
      </w:pPr>
      <w:r w:rsidRPr="000266F5">
        <w:rPr>
          <w:rFonts w:ascii="Times New Roman" w:eastAsia="Arial" w:hAnsi="Times New Roman" w:cs="Times New Roman"/>
          <w:i/>
          <w:iCs/>
        </w:rPr>
        <w:t>Uptake</w:t>
      </w:r>
    </w:p>
    <w:p w14:paraId="2EF79798" w14:textId="7777777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For the proposed obligations to be successfully implemented, the Government must ensure that key stakeholders (including critical infrastructure owners and operators, states and territories and international investors) recognise the net benefit associated with this proposal. Strong stakeholder support and engagement is important to maximising implementation of the reforms by industry, and their success in producing real risk outcomes and security uplift. Industry cooperation with, and the effectiveness of, the Government’s emergency step-in powers will also rely on positive and constructive relationships between the Government and industry.  </w:t>
      </w:r>
    </w:p>
    <w:p w14:paraId="6B7F75B0" w14:textId="77777777" w:rsidR="00993F09" w:rsidRPr="000266F5" w:rsidRDefault="00993F09" w:rsidP="00993F09">
      <w:pPr>
        <w:pStyle w:val="ListParagraph"/>
        <w:tabs>
          <w:tab w:val="left" w:pos="426"/>
        </w:tabs>
        <w:spacing w:after="0" w:line="240" w:lineRule="auto"/>
        <w:ind w:left="227"/>
        <w:rPr>
          <w:rFonts w:ascii="Times New Roman" w:eastAsia="Arial" w:hAnsi="Times New Roman" w:cs="Times New Roman"/>
        </w:rPr>
      </w:pPr>
    </w:p>
    <w:p w14:paraId="13D2C81E" w14:textId="7E2F831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Consultations over the last few years have shown broad industry support for the Government to proceed with the development and implementation of the regulations and enhanced Government-industry engagement. This includes strong support from large businesses that would be covered by the proposed regulation. </w:t>
      </w:r>
      <w:r>
        <w:rPr>
          <w:rFonts w:ascii="Times New Roman" w:eastAsia="Arial" w:hAnsi="Times New Roman" w:cs="Times New Roman"/>
        </w:rPr>
        <w:t>T</w:t>
      </w:r>
      <w:r>
        <w:rPr>
          <w:rFonts w:ascii="Times New Roman" w:eastAsia="Arial" w:hAnsi="Times New Roman" w:cs="Times New Roman"/>
          <w:color w:val="000000"/>
        </w:rPr>
        <w:t>he Department</w:t>
      </w:r>
      <w:r w:rsidRPr="000266F5" w:rsidDel="001C216E">
        <w:rPr>
          <w:rFonts w:ascii="Times New Roman" w:eastAsia="Arial" w:hAnsi="Times New Roman" w:cs="Times New Roman"/>
        </w:rPr>
        <w:t xml:space="preserve"> </w:t>
      </w:r>
      <w:r w:rsidRPr="000266F5">
        <w:rPr>
          <w:rFonts w:ascii="Times New Roman" w:eastAsia="Arial" w:hAnsi="Times New Roman" w:cs="Times New Roman"/>
        </w:rPr>
        <w:t xml:space="preserve">has engaged widely to ensure industry support for the regulatory changes proposed, and will engage in extensive industry consultation and co-design of security standards, as well as a roadshow (physical or virtual) following passage of legislation to ensure industry buy-in and to provide guidance to assist entities to meet their new obligations. </w:t>
      </w:r>
    </w:p>
    <w:p w14:paraId="1853DF06" w14:textId="77777777" w:rsidR="00993F09" w:rsidRPr="000266F5" w:rsidRDefault="00993F09" w:rsidP="00993F09">
      <w:pPr>
        <w:spacing w:after="0"/>
        <w:rPr>
          <w:rFonts w:ascii="Times New Roman" w:eastAsia="Arial" w:hAnsi="Times New Roman" w:cs="Times New Roman"/>
        </w:rPr>
      </w:pPr>
    </w:p>
    <w:p w14:paraId="649F9E87" w14:textId="7FC4F26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The Department has, and will continue to, work closely across the Government and with industry stakeholders to ensure any new regulatory obligations are not duplicative or overly burdensome for stakeholders. </w:t>
      </w:r>
    </w:p>
    <w:p w14:paraId="5A918778"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1C06EC0D" w14:textId="77777777" w:rsidR="00993F09" w:rsidRPr="000266F5" w:rsidRDefault="00993F09" w:rsidP="00993F09">
      <w:pPr>
        <w:spacing w:after="0" w:line="240" w:lineRule="auto"/>
        <w:rPr>
          <w:rFonts w:ascii="Times New Roman" w:eastAsia="Arial" w:hAnsi="Times New Roman" w:cs="Times New Roman"/>
          <w:i/>
          <w:iCs/>
        </w:rPr>
      </w:pPr>
      <w:r w:rsidRPr="000266F5">
        <w:rPr>
          <w:rFonts w:ascii="Times New Roman" w:eastAsia="Arial" w:hAnsi="Times New Roman" w:cs="Times New Roman"/>
          <w:i/>
          <w:iCs/>
        </w:rPr>
        <w:t>Government capability</w:t>
      </w:r>
    </w:p>
    <w:p w14:paraId="509A5FF3" w14:textId="77777777" w:rsidR="00993F09" w:rsidRPr="000266F5" w:rsidRDefault="00993F09" w:rsidP="00993F09">
      <w:pPr>
        <w:spacing w:after="0" w:line="240" w:lineRule="auto"/>
        <w:rPr>
          <w:rFonts w:ascii="Times New Roman" w:eastAsia="Arial" w:hAnsi="Times New Roman" w:cs="Times New Roman"/>
          <w:i/>
          <w:iCs/>
        </w:rPr>
      </w:pPr>
    </w:p>
    <w:p w14:paraId="4D5FD414" w14:textId="41944CBC"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To address this risk, </w:t>
      </w:r>
      <w:r w:rsidRPr="001C216E">
        <w:rPr>
          <w:rFonts w:ascii="Times New Roman" w:eastAsia="Arial" w:hAnsi="Times New Roman" w:cs="Times New Roman"/>
        </w:rPr>
        <w:t>the Department</w:t>
      </w:r>
      <w:r w:rsidRPr="001C216E" w:rsidDel="001C216E">
        <w:rPr>
          <w:rFonts w:ascii="Times New Roman" w:eastAsia="Arial" w:hAnsi="Times New Roman" w:cs="Times New Roman"/>
        </w:rPr>
        <w:t xml:space="preserve"> </w:t>
      </w:r>
      <w:r w:rsidRPr="000266F5">
        <w:rPr>
          <w:rFonts w:ascii="Times New Roman" w:eastAsia="Arial" w:hAnsi="Times New Roman" w:cs="Times New Roman"/>
        </w:rPr>
        <w:t xml:space="preserve">will undertake a significant hiring and training program to ensure officials engaging with industry are knowledgeable security professionals, highly skilled at identifying vulnerabilities in specific assets and are able to recommend effective mitigations to manage those risks. Enhancing capability at the Government level will also be undertaken to understand and assess compliance with security obligations. The funding in this proposal will support the recruitment of staff with specific expertise including compliance, assurance and data analysis skills as well as contracting private sector technical and cyber security expertise. Staff will be trained to become security experts, highly skilled at identifying vulnerabilities in specific assets and recommending effective mitigations to manage those risks. </w:t>
      </w:r>
    </w:p>
    <w:p w14:paraId="7057E532"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77009883" w14:textId="7777777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 xml:space="preserve">The staffing levels needed to effectively implement the proposed changes will be provided to the Government for consideration as part of funding proposals for later years. </w:t>
      </w:r>
      <w:r>
        <w:rPr>
          <w:rFonts w:ascii="Times New Roman" w:eastAsia="Arial" w:hAnsi="Times New Roman" w:cs="Times New Roman"/>
        </w:rPr>
        <w:t>The level of staffing will depend heavily on the outcomes of the co-design with industry early next year.</w:t>
      </w:r>
    </w:p>
    <w:p w14:paraId="6CE7C26A" w14:textId="77777777" w:rsidR="00993F09" w:rsidRPr="000266F5" w:rsidRDefault="00993F09" w:rsidP="00993F09">
      <w:pPr>
        <w:tabs>
          <w:tab w:val="left" w:pos="426"/>
        </w:tabs>
        <w:spacing w:after="0" w:line="240" w:lineRule="auto"/>
        <w:rPr>
          <w:rFonts w:ascii="Times New Roman" w:eastAsia="Arial" w:hAnsi="Times New Roman" w:cs="Times New Roman"/>
        </w:rPr>
      </w:pPr>
    </w:p>
    <w:p w14:paraId="121A3AD8" w14:textId="77777777" w:rsidR="00993F09" w:rsidRPr="000266F5" w:rsidRDefault="00993F09" w:rsidP="00EE0D81">
      <w:pPr>
        <w:pStyle w:val="ListParagraph"/>
        <w:numPr>
          <w:ilvl w:val="1"/>
          <w:numId w:val="70"/>
        </w:numPr>
        <w:spacing w:after="200" w:line="240" w:lineRule="auto"/>
        <w:rPr>
          <w:rFonts w:ascii="Times New Roman" w:eastAsia="Arial" w:hAnsi="Times New Roman" w:cs="Times New Roman"/>
          <w:b/>
          <w:bCs/>
        </w:rPr>
      </w:pPr>
      <w:r w:rsidRPr="000266F5">
        <w:rPr>
          <w:rFonts w:ascii="Times New Roman" w:eastAsia="Arial" w:hAnsi="Times New Roman" w:cs="Times New Roman"/>
          <w:b/>
          <w:bCs/>
        </w:rPr>
        <w:t>Monitoring and evaluation</w:t>
      </w:r>
    </w:p>
    <w:p w14:paraId="13503E53" w14:textId="77777777" w:rsidR="00993F09" w:rsidRPr="000266F5"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The effectiveness of the reforms will be assessed on an ongoing basis, including the annual report to Parliament, Senate Estimates processes and feedback from stakeholders including, other Government regulators business and industry. Mechanisms for review include:</w:t>
      </w:r>
    </w:p>
    <w:p w14:paraId="08739F11" w14:textId="3ACE0864" w:rsidR="00993F09" w:rsidRPr="00FD64F6"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FD64F6">
        <w:rPr>
          <w:rFonts w:ascii="Times New Roman" w:eastAsia="MS PGothic" w:hAnsi="Times New Roman" w:cs="Times New Roman"/>
          <w:color w:val="000000"/>
        </w:rPr>
        <w:t xml:space="preserve">Reporting: Section 60 of </w:t>
      </w:r>
      <w:r w:rsidRPr="00FD781C">
        <w:rPr>
          <w:rFonts w:ascii="Times New Roman" w:eastAsia="MS PGothic" w:hAnsi="Times New Roman" w:cs="Times New Roman"/>
          <w:color w:val="000000"/>
        </w:rPr>
        <w:t>SoCI currently requires an annual report to Parliament on directions made, regulatory action undertaken, information sought and assets declared. These will be expanded to require reporting on the exercise of the proposed new powers</w:t>
      </w:r>
      <w:r w:rsidRPr="001A7788">
        <w:rPr>
          <w:rFonts w:ascii="Times New Roman" w:eastAsia="MS PGothic" w:hAnsi="Times New Roman" w:cs="Times New Roman"/>
          <w:color w:val="000000"/>
        </w:rPr>
        <w:t xml:space="preserve"> under option 2</w:t>
      </w:r>
      <w:r w:rsidRPr="00FD64F6">
        <w:rPr>
          <w:rFonts w:ascii="Times New Roman" w:eastAsia="MS PGothic" w:hAnsi="Times New Roman" w:cs="Times New Roman"/>
          <w:color w:val="000000"/>
        </w:rPr>
        <w:t>.</w:t>
      </w:r>
    </w:p>
    <w:p w14:paraId="56AA0965" w14:textId="5521CEFB"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Assurance: there will be a whole of government compliance and assurance capability designed to enhance compliance with existing legislation and to engage with industry on risk. Through this, </w:t>
      </w:r>
      <w:r w:rsidRPr="001C216E">
        <w:rPr>
          <w:rFonts w:ascii="Times New Roman" w:eastAsia="MS PGothic" w:hAnsi="Times New Roman" w:cs="Times New Roman"/>
          <w:color w:val="000000"/>
        </w:rPr>
        <w:t>the Department</w:t>
      </w:r>
      <w:r w:rsidRPr="001C216E" w:rsidDel="001C216E">
        <w:rPr>
          <w:rFonts w:ascii="Times New Roman" w:eastAsia="MS PGothic" w:hAnsi="Times New Roman" w:cs="Times New Roman"/>
          <w:color w:val="000000"/>
        </w:rPr>
        <w:t xml:space="preserve"> </w:t>
      </w:r>
      <w:r w:rsidRPr="000266F5">
        <w:rPr>
          <w:rFonts w:ascii="Times New Roman" w:eastAsia="MS PGothic" w:hAnsi="Times New Roman" w:cs="Times New Roman"/>
          <w:color w:val="000000"/>
        </w:rPr>
        <w:t xml:space="preserve">will routinely evaluate performance of the reforms during and after implementation. Evidence of adoption of standards and practices by industry will be available to </w:t>
      </w:r>
      <w:r w:rsidRPr="001C216E">
        <w:rPr>
          <w:rFonts w:ascii="Times New Roman" w:eastAsia="MS PGothic" w:hAnsi="Times New Roman" w:cs="Times New Roman"/>
          <w:color w:val="000000"/>
        </w:rPr>
        <w:t>the Department</w:t>
      </w:r>
      <w:r w:rsidRPr="001C216E" w:rsidDel="001C216E">
        <w:rPr>
          <w:rFonts w:ascii="Times New Roman" w:eastAsia="MS PGothic" w:hAnsi="Times New Roman" w:cs="Times New Roman"/>
          <w:color w:val="000000"/>
        </w:rPr>
        <w:t xml:space="preserve"> </w:t>
      </w:r>
      <w:r w:rsidRPr="000266F5">
        <w:rPr>
          <w:rFonts w:ascii="Times New Roman" w:eastAsia="MS PGothic" w:hAnsi="Times New Roman" w:cs="Times New Roman"/>
          <w:color w:val="000000"/>
        </w:rPr>
        <w:t xml:space="preserve">on an ongoing basis as it manages the reporting, information gathering and enforcement of the </w:t>
      </w:r>
      <w:r>
        <w:rPr>
          <w:rFonts w:ascii="Times New Roman" w:eastAsia="MS PGothic" w:hAnsi="Times New Roman" w:cs="Times New Roman"/>
          <w:color w:val="000000"/>
        </w:rPr>
        <w:t>Positive Security Obligations</w:t>
      </w:r>
      <w:r w:rsidRPr="000266F5">
        <w:rPr>
          <w:rFonts w:ascii="Times New Roman" w:eastAsia="MS PGothic" w:hAnsi="Times New Roman" w:cs="Times New Roman"/>
          <w:color w:val="000000"/>
        </w:rPr>
        <w:t xml:space="preserve"> component of the reforms. Regulators will be responsible for providing assurance to the Government that obligations are being met.</w:t>
      </w:r>
    </w:p>
    <w:p w14:paraId="543746B3" w14:textId="0D0E6873"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 xml:space="preserve">Engagement: Informal review of implementation and policy effectiveness will be an ongoing part of </w:t>
      </w:r>
      <w:r w:rsidRPr="001C216E">
        <w:rPr>
          <w:rFonts w:ascii="Times New Roman" w:eastAsia="MS PGothic" w:hAnsi="Times New Roman" w:cs="Times New Roman"/>
          <w:color w:val="000000"/>
        </w:rPr>
        <w:t>the Department</w:t>
      </w:r>
      <w:r>
        <w:rPr>
          <w:rFonts w:ascii="Times New Roman" w:eastAsia="MS PGothic" w:hAnsi="Times New Roman" w:cs="Times New Roman"/>
          <w:color w:val="000000"/>
        </w:rPr>
        <w:t>’s</w:t>
      </w:r>
      <w:r w:rsidRPr="001C216E" w:rsidDel="001C216E">
        <w:rPr>
          <w:rFonts w:ascii="Times New Roman" w:eastAsia="MS PGothic" w:hAnsi="Times New Roman" w:cs="Times New Roman"/>
          <w:color w:val="000000"/>
        </w:rPr>
        <w:t xml:space="preserve"> </w:t>
      </w:r>
      <w:r w:rsidRPr="000266F5">
        <w:rPr>
          <w:rFonts w:ascii="Times New Roman" w:eastAsia="MS PGothic" w:hAnsi="Times New Roman" w:cs="Times New Roman"/>
          <w:color w:val="000000"/>
        </w:rPr>
        <w:t xml:space="preserve">engagement with industry through the revitalised TISN program. Industry uptake and engagement with the voluntary assistance program will also provide a key source of data that will inform development of the reforms. </w:t>
      </w:r>
    </w:p>
    <w:p w14:paraId="67A02727" w14:textId="77777777" w:rsidR="00993F09" w:rsidRPr="000266F5" w:rsidRDefault="00993F09" w:rsidP="00993F09">
      <w:pPr>
        <w:numPr>
          <w:ilvl w:val="0"/>
          <w:numId w:val="4"/>
        </w:numPr>
        <w:tabs>
          <w:tab w:val="left" w:pos="426"/>
        </w:tabs>
        <w:spacing w:after="0" w:line="240" w:lineRule="auto"/>
        <w:rPr>
          <w:rFonts w:ascii="Times New Roman" w:eastAsia="MS PGothic" w:hAnsi="Times New Roman" w:cs="Times New Roman"/>
          <w:color w:val="000000"/>
        </w:rPr>
      </w:pPr>
      <w:r w:rsidRPr="000266F5">
        <w:rPr>
          <w:rFonts w:ascii="Times New Roman" w:eastAsia="MS PGothic" w:hAnsi="Times New Roman" w:cs="Times New Roman"/>
          <w:color w:val="000000"/>
        </w:rPr>
        <w:t>In the event of a significant cyber security incident involving government intervention, a post-action review will be undertaken to assess the effectiveness of arrangements and make recommendations for future preparedness.</w:t>
      </w:r>
    </w:p>
    <w:p w14:paraId="060AF31D" w14:textId="77777777" w:rsidR="00993F09" w:rsidRPr="000266F5" w:rsidRDefault="00993F09" w:rsidP="00993F09">
      <w:pPr>
        <w:tabs>
          <w:tab w:val="left" w:pos="426"/>
        </w:tabs>
        <w:spacing w:after="0" w:line="240" w:lineRule="auto"/>
        <w:ind w:left="720"/>
        <w:rPr>
          <w:rFonts w:ascii="Times New Roman" w:eastAsia="MS PGothic" w:hAnsi="Times New Roman" w:cs="Times New Roman"/>
          <w:color w:val="000000"/>
        </w:rPr>
      </w:pPr>
    </w:p>
    <w:p w14:paraId="6D1D613F" w14:textId="77777777" w:rsidR="00993F09" w:rsidRPr="000266F5" w:rsidRDefault="00993F09" w:rsidP="00EE0D81">
      <w:pPr>
        <w:pStyle w:val="ListParagraph"/>
        <w:numPr>
          <w:ilvl w:val="1"/>
          <w:numId w:val="70"/>
        </w:numPr>
        <w:spacing w:after="200" w:line="240" w:lineRule="auto"/>
        <w:rPr>
          <w:rFonts w:ascii="Times New Roman" w:eastAsia="Arial" w:hAnsi="Times New Roman" w:cs="Times New Roman"/>
          <w:b/>
          <w:bCs/>
        </w:rPr>
      </w:pPr>
      <w:r w:rsidRPr="000266F5">
        <w:rPr>
          <w:rFonts w:ascii="Times New Roman" w:eastAsia="Arial" w:hAnsi="Times New Roman" w:cs="Times New Roman"/>
          <w:b/>
          <w:bCs/>
        </w:rPr>
        <w:t xml:space="preserve">What will success look like? </w:t>
      </w:r>
    </w:p>
    <w:p w14:paraId="1B289331" w14:textId="77777777" w:rsidR="00993F09" w:rsidRPr="00824AF7" w:rsidRDefault="00993F09" w:rsidP="00993F09">
      <w:pPr>
        <w:tabs>
          <w:tab w:val="left" w:pos="426"/>
        </w:tabs>
        <w:spacing w:after="0" w:line="240" w:lineRule="auto"/>
        <w:rPr>
          <w:rFonts w:ascii="Times New Roman" w:eastAsia="Arial" w:hAnsi="Times New Roman" w:cs="Times New Roman"/>
        </w:rPr>
      </w:pPr>
      <w:r w:rsidRPr="000266F5">
        <w:rPr>
          <w:rFonts w:ascii="Times New Roman" w:eastAsia="Arial" w:hAnsi="Times New Roman" w:cs="Times New Roman"/>
        </w:rPr>
        <w:t>If the proposed reforms are successful, the Government, industry and the Australian public will have greater confidence in the resilience of our critical infrastructure providers through a clear uplift in all hazards risk management. The Government and industry will share near real-time threat information to mitigate risks, and have the authorities and capabilities to respond to a significant incident. Importantly for our bilateral relationships, Australia will rely less on foreign investment review frameworks to mitigate risks and support the rules-based order. Economic openness and investment attraction will be maintained and not impede improved risk management.</w:t>
      </w:r>
      <w:r w:rsidRPr="00824AF7">
        <w:rPr>
          <w:rFonts w:ascii="Times New Roman" w:eastAsia="Arial" w:hAnsi="Times New Roman" w:cs="Times New Roman"/>
        </w:rPr>
        <w:t xml:space="preserve"> </w:t>
      </w:r>
    </w:p>
    <w:p w14:paraId="7EA38874" w14:textId="77777777" w:rsidR="00993F09" w:rsidRDefault="00993F09" w:rsidP="00993F09">
      <w:pPr>
        <w:rPr>
          <w:rFonts w:ascii="Times New Roman" w:eastAsia="Arial" w:hAnsi="Times New Roman" w:cs="Times New Roman"/>
        </w:rPr>
      </w:pPr>
      <w:r>
        <w:rPr>
          <w:rFonts w:ascii="Times New Roman" w:eastAsia="Arial" w:hAnsi="Times New Roman" w:cs="Times New Roman"/>
        </w:rPr>
        <w:br w:type="page"/>
      </w:r>
    </w:p>
    <w:p w14:paraId="62B6B92F" w14:textId="77777777" w:rsidR="00993F09" w:rsidRPr="001A7788" w:rsidRDefault="00993F09" w:rsidP="00993F09">
      <w:pPr>
        <w:pStyle w:val="Heading1"/>
        <w:rPr>
          <w:rFonts w:ascii="Times New Roman" w:eastAsia="Arial" w:hAnsi="Times New Roman" w:cs="Times New Roman"/>
          <w:b/>
          <w:color w:val="000000" w:themeColor="text1"/>
        </w:rPr>
      </w:pPr>
      <w:r w:rsidRPr="00EE0D81">
        <w:rPr>
          <w:rFonts w:ascii="Times New Roman" w:eastAsia="Arial" w:hAnsi="Times New Roman" w:cs="Times New Roman"/>
          <w:b/>
          <w:color w:val="000000" w:themeColor="text1"/>
        </w:rPr>
        <w:lastRenderedPageBreak/>
        <w:t>Attachment A</w:t>
      </w:r>
    </w:p>
    <w:tbl>
      <w:tblPr>
        <w:tblStyle w:val="ListTable3-Accent5"/>
        <w:tblW w:w="589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363"/>
      </w:tblGrid>
      <w:tr w:rsidR="00993F09" w:rsidRPr="00924D81" w14:paraId="12B0E173" w14:textId="77777777" w:rsidTr="00602D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7" w:type="pct"/>
          </w:tcPr>
          <w:p w14:paraId="556D6ABF" w14:textId="77777777" w:rsidR="00993F09" w:rsidRPr="001A7788" w:rsidRDefault="00993F09" w:rsidP="00602DDE">
            <w:pPr>
              <w:rPr>
                <w:rFonts w:ascii="Times New Roman" w:hAnsi="Times New Roman" w:cs="Times New Roman"/>
                <w:i/>
              </w:rPr>
            </w:pPr>
            <w:bookmarkStart w:id="2" w:name="OLE_LINK1"/>
            <w:r w:rsidRPr="001A7788">
              <w:rPr>
                <w:rFonts w:ascii="Times New Roman" w:hAnsi="Times New Roman" w:cs="Times New Roman"/>
                <w:i/>
              </w:rPr>
              <w:t>Critical Infrastructure  Asset</w:t>
            </w:r>
          </w:p>
        </w:tc>
        <w:tc>
          <w:tcPr>
            <w:tcW w:w="3933" w:type="pct"/>
          </w:tcPr>
          <w:p w14:paraId="61A504AA" w14:textId="77777777" w:rsidR="00993F09" w:rsidRPr="001A7788" w:rsidRDefault="00993F09" w:rsidP="00602DD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Thresholds</w:t>
            </w:r>
          </w:p>
        </w:tc>
      </w:tr>
      <w:tr w:rsidR="00993F09" w:rsidRPr="00924D81" w14:paraId="2A594E13" w14:textId="77777777" w:rsidTr="0060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pct"/>
          </w:tcPr>
          <w:p w14:paraId="26C5BDA3" w14:textId="77777777" w:rsidR="00993F09" w:rsidRPr="001A7788" w:rsidRDefault="00993F09" w:rsidP="00602DDE">
            <w:pPr>
              <w:rPr>
                <w:rFonts w:ascii="Times New Roman" w:hAnsi="Times New Roman" w:cs="Times New Roman"/>
                <w:u w:val="single"/>
              </w:rPr>
            </w:pPr>
            <w:r w:rsidRPr="001A7788">
              <w:rPr>
                <w:rFonts w:ascii="Times New Roman" w:hAnsi="Times New Roman" w:cs="Times New Roman"/>
                <w:u w:val="single"/>
              </w:rPr>
              <w:t>Critical telecommunications asset</w:t>
            </w:r>
          </w:p>
          <w:p w14:paraId="0B08ED49" w14:textId="77777777" w:rsidR="00993F09" w:rsidRPr="001A7788" w:rsidRDefault="00993F09" w:rsidP="00602DDE">
            <w:pPr>
              <w:rPr>
                <w:rFonts w:ascii="Times New Roman" w:hAnsi="Times New Roman" w:cs="Times New Roman"/>
                <w:b w:val="0"/>
              </w:rPr>
            </w:pPr>
          </w:p>
          <w:p w14:paraId="7083BF8A" w14:textId="77777777" w:rsidR="00993F09" w:rsidRPr="001A7788" w:rsidRDefault="00993F09" w:rsidP="00602DDE">
            <w:pPr>
              <w:rPr>
                <w:rFonts w:ascii="Times New Roman" w:hAnsi="Times New Roman" w:cs="Times New Roman"/>
                <w:b w:val="0"/>
              </w:rPr>
            </w:pPr>
          </w:p>
        </w:tc>
        <w:tc>
          <w:tcPr>
            <w:tcW w:w="3933" w:type="pct"/>
          </w:tcPr>
          <w:p w14:paraId="09580FEA" w14:textId="77777777" w:rsidR="00993F09" w:rsidRPr="001A7788" w:rsidRDefault="00993F09" w:rsidP="00602D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(1) critical telecommunications asset means:</w:t>
            </w:r>
          </w:p>
          <w:p w14:paraId="12674460" w14:textId="77777777" w:rsidR="00993F09" w:rsidRPr="001A7788" w:rsidRDefault="00993F09" w:rsidP="00B369B5">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a telecommunications network that is:</w:t>
            </w:r>
          </w:p>
          <w:p w14:paraId="1EB6CB7A" w14:textId="77777777" w:rsidR="00993F09" w:rsidRPr="001A7788" w:rsidRDefault="00993F09" w:rsidP="00B369B5">
            <w:pPr>
              <w:pStyle w:val="ListParagraph"/>
              <w:numPr>
                <w:ilvl w:val="1"/>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owned or operated by a carrier; and</w:t>
            </w:r>
          </w:p>
          <w:p w14:paraId="65A8CE6D" w14:textId="77777777" w:rsidR="00993F09" w:rsidRPr="001A7788" w:rsidRDefault="00993F09" w:rsidP="00B369B5">
            <w:pPr>
              <w:pStyle w:val="ListParagraph"/>
              <w:numPr>
                <w:ilvl w:val="1"/>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used to supply a carriage service; or</w:t>
            </w:r>
          </w:p>
          <w:p w14:paraId="180413E7" w14:textId="77777777" w:rsidR="00993F09" w:rsidRPr="001A7788" w:rsidRDefault="00993F09" w:rsidP="00B369B5">
            <w:pPr>
              <w:pStyle w:val="ListParagraph"/>
              <w:numPr>
                <w:ilvl w:val="0"/>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a telecommunications network, or any other asset, that is:</w:t>
            </w:r>
          </w:p>
          <w:p w14:paraId="6F7C3266" w14:textId="77777777" w:rsidR="00993F09" w:rsidRPr="001A7788" w:rsidRDefault="00993F09" w:rsidP="00B369B5">
            <w:pPr>
              <w:pStyle w:val="ListParagraph"/>
              <w:numPr>
                <w:ilvl w:val="1"/>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owned or operated by a carriage service provider; and</w:t>
            </w:r>
          </w:p>
          <w:p w14:paraId="0AA656B7" w14:textId="77777777" w:rsidR="00993F09" w:rsidRPr="001A7788" w:rsidRDefault="00993F09" w:rsidP="00B369B5">
            <w:pPr>
              <w:pStyle w:val="ListParagraph"/>
              <w:numPr>
                <w:ilvl w:val="1"/>
                <w:numId w:val="2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used in connection with the supply of a carriage service.</w:t>
            </w:r>
          </w:p>
        </w:tc>
      </w:tr>
      <w:tr w:rsidR="00993F09" w:rsidRPr="00924D81" w14:paraId="35CC53B2" w14:textId="77777777" w:rsidTr="00602DDE">
        <w:tc>
          <w:tcPr>
            <w:cnfStyle w:val="001000000000" w:firstRow="0" w:lastRow="0" w:firstColumn="1" w:lastColumn="0" w:oddVBand="0" w:evenVBand="0" w:oddHBand="0" w:evenHBand="0" w:firstRowFirstColumn="0" w:firstRowLastColumn="0" w:lastRowFirstColumn="0" w:lastRowLastColumn="0"/>
            <w:tcW w:w="1067" w:type="pct"/>
          </w:tcPr>
          <w:p w14:paraId="3F14ED18" w14:textId="77777777" w:rsidR="00993F09" w:rsidRPr="004D27E4" w:rsidRDefault="00993F09" w:rsidP="00602DDE">
            <w:pPr>
              <w:rPr>
                <w:rFonts w:ascii="Times New Roman" w:hAnsi="Times New Roman" w:cs="Times New Roman"/>
                <w:u w:val="single"/>
              </w:rPr>
            </w:pPr>
            <w:r w:rsidRPr="004D27E4">
              <w:rPr>
                <w:rFonts w:ascii="Times New Roman" w:hAnsi="Times New Roman" w:cs="Times New Roman"/>
                <w:u w:val="single"/>
              </w:rPr>
              <w:t>Critical broadcasting transmission asset</w:t>
            </w:r>
          </w:p>
          <w:p w14:paraId="20D8826B" w14:textId="77777777" w:rsidR="00993F09" w:rsidRPr="004D27E4" w:rsidRDefault="00993F09" w:rsidP="00602DDE">
            <w:pPr>
              <w:rPr>
                <w:rFonts w:ascii="Times New Roman" w:hAnsi="Times New Roman" w:cs="Times New Roman"/>
                <w:u w:val="single"/>
              </w:rPr>
            </w:pPr>
          </w:p>
          <w:p w14:paraId="2D100E66" w14:textId="77777777" w:rsidR="00993F09" w:rsidRPr="004D27E4" w:rsidRDefault="00993F09" w:rsidP="00602DDE">
            <w:pPr>
              <w:rPr>
                <w:rFonts w:ascii="Times New Roman" w:hAnsi="Times New Roman" w:cs="Times New Roman"/>
                <w:b w:val="0"/>
                <w:i/>
              </w:rPr>
            </w:pPr>
          </w:p>
        </w:tc>
        <w:tc>
          <w:tcPr>
            <w:tcW w:w="3933" w:type="pct"/>
          </w:tcPr>
          <w:p w14:paraId="5C053C7D" w14:textId="77777777" w:rsidR="00993F09" w:rsidRPr="004D27E4" w:rsidRDefault="00993F09" w:rsidP="00602DDE">
            <w:pPr>
              <w:tabs>
                <w:tab w:val="left" w:pos="111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27E4">
              <w:rPr>
                <w:rFonts w:ascii="Times New Roman" w:hAnsi="Times New Roman" w:cs="Times New Roman"/>
              </w:rPr>
              <w:t>(1) One or more broadcasting transmission assets are a critical broadcasting asset if:</w:t>
            </w:r>
          </w:p>
          <w:p w14:paraId="4FEE74A8" w14:textId="77777777" w:rsidR="00993F09" w:rsidRPr="004D27E4" w:rsidRDefault="00993F09" w:rsidP="00B369B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27E4">
              <w:rPr>
                <w:rFonts w:ascii="Times New Roman" w:hAnsi="Times New Roman" w:cs="Times New Roman"/>
              </w:rPr>
              <w:t>the broadcasting transmission assets are:</w:t>
            </w:r>
          </w:p>
          <w:p w14:paraId="09FE246E" w14:textId="77777777" w:rsidR="00993F09" w:rsidRPr="004D27E4" w:rsidRDefault="00993F09" w:rsidP="00B369B5">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27E4">
              <w:rPr>
                <w:rFonts w:ascii="Times New Roman" w:hAnsi="Times New Roman" w:cs="Times New Roman"/>
              </w:rPr>
              <w:t>owned or operated by the same entity; and</w:t>
            </w:r>
          </w:p>
          <w:p w14:paraId="75C849CD" w14:textId="77777777" w:rsidR="00993F09" w:rsidRPr="004D27E4" w:rsidRDefault="00993F09" w:rsidP="00B369B5">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27E4">
              <w:rPr>
                <w:rFonts w:ascii="Times New Roman" w:hAnsi="Times New Roman" w:cs="Times New Roman"/>
              </w:rPr>
              <w:t>located on a site, that, in accordance with subsection (2), is a critical transmission site; or</w:t>
            </w:r>
          </w:p>
          <w:p w14:paraId="1FC4465E" w14:textId="77777777" w:rsidR="00993F09" w:rsidRPr="004D27E4" w:rsidRDefault="00993F09" w:rsidP="00B369B5">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27E4">
              <w:rPr>
                <w:rFonts w:ascii="Times New Roman" w:hAnsi="Times New Roman" w:cs="Times New Roman"/>
              </w:rPr>
              <w:t>the broadcasting transmission assets are:</w:t>
            </w:r>
          </w:p>
          <w:p w14:paraId="47CC5898" w14:textId="77777777" w:rsidR="00993F09" w:rsidRPr="004D27E4" w:rsidRDefault="00993F09" w:rsidP="00B369B5">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27E4">
              <w:rPr>
                <w:rFonts w:ascii="Times New Roman" w:hAnsi="Times New Roman" w:cs="Times New Roman"/>
              </w:rPr>
              <w:t>owned or operated by the same entity; and</w:t>
            </w:r>
          </w:p>
          <w:p w14:paraId="14E0DAE6" w14:textId="77777777" w:rsidR="004D27E4" w:rsidRPr="004D27E4" w:rsidRDefault="00993F09" w:rsidP="00B369B5">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27E4">
              <w:rPr>
                <w:rFonts w:ascii="Times New Roman" w:hAnsi="Times New Roman" w:cs="Times New Roman"/>
              </w:rPr>
              <w:t>located on at least 50 different sites</w:t>
            </w:r>
            <w:r w:rsidR="004D27E4" w:rsidRPr="004D27E4">
              <w:rPr>
                <w:rFonts w:ascii="Times New Roman" w:hAnsi="Times New Roman" w:cs="Times New Roman"/>
              </w:rPr>
              <w:t>;</w:t>
            </w:r>
          </w:p>
          <w:p w14:paraId="056F8DE6" w14:textId="7ACC3D34" w:rsidR="00993F09" w:rsidRPr="004D27E4" w:rsidRDefault="004D27E4" w:rsidP="004D27E4">
            <w:pPr>
              <w:pStyle w:val="ListParagraph"/>
              <w:numPr>
                <w:ilvl w:val="1"/>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27E4">
              <w:rPr>
                <w:rFonts w:ascii="Times New Roman" w:hAnsi="Times New Roman" w:cs="Times New Roman"/>
              </w:rPr>
              <w:t>not broadcasting re-transmission assets; or</w:t>
            </w:r>
            <w:r w:rsidR="00993F09" w:rsidRPr="004D27E4">
              <w:rPr>
                <w:rFonts w:ascii="Times New Roman" w:hAnsi="Times New Roman" w:cs="Times New Roman"/>
              </w:rPr>
              <w:tab/>
            </w:r>
          </w:p>
          <w:p w14:paraId="7A31F7B5" w14:textId="705B7712" w:rsidR="004D27E4" w:rsidRPr="004D27E4" w:rsidRDefault="004D27E4" w:rsidP="00E84518">
            <w:pPr>
              <w:pStyle w:val="paragraph"/>
              <w:numPr>
                <w:ilvl w:val="0"/>
                <w:numId w:val="26"/>
              </w:numPr>
              <w:cnfStyle w:val="000000000000" w:firstRow="0" w:lastRow="0" w:firstColumn="0" w:lastColumn="0" w:oddVBand="0" w:evenVBand="0" w:oddHBand="0" w:evenHBand="0" w:firstRowFirstColumn="0" w:firstRowLastColumn="0" w:lastRowFirstColumn="0" w:lastRowLastColumn="0"/>
            </w:pPr>
            <w:r w:rsidRPr="004D27E4">
              <w:t>the broadcasting transmission assets are owned or operated by an entity, that, in accordance with subsection (3), is critical to the transmission of a broadcasting service.</w:t>
            </w:r>
          </w:p>
          <w:p w14:paraId="0DC0BAD6" w14:textId="2CB4A59E" w:rsidR="00993F09" w:rsidRPr="004D27E4" w:rsidRDefault="004D27E4" w:rsidP="00602D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27E4" w:rsidDel="004D27E4">
              <w:rPr>
                <w:rFonts w:ascii="Times New Roman" w:hAnsi="Times New Roman" w:cs="Times New Roman"/>
              </w:rPr>
              <w:t xml:space="preserve"> </w:t>
            </w:r>
            <w:r w:rsidR="00993F09" w:rsidRPr="004D27E4">
              <w:rPr>
                <w:rFonts w:ascii="Times New Roman" w:hAnsi="Times New Roman" w:cs="Times New Roman"/>
              </w:rPr>
              <w:br/>
            </w:r>
          </w:p>
        </w:tc>
      </w:tr>
      <w:tr w:rsidR="00993F09" w:rsidRPr="00924D81" w14:paraId="088B6023" w14:textId="77777777" w:rsidTr="0060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pct"/>
          </w:tcPr>
          <w:p w14:paraId="7AB3B717" w14:textId="77777777" w:rsidR="00993F09" w:rsidRPr="00E84518" w:rsidRDefault="00993F09" w:rsidP="00602DDE">
            <w:pPr>
              <w:rPr>
                <w:rFonts w:ascii="Times New Roman" w:hAnsi="Times New Roman" w:cs="Times New Roman"/>
                <w:u w:val="single"/>
              </w:rPr>
            </w:pPr>
            <w:r w:rsidRPr="00E84518">
              <w:rPr>
                <w:rFonts w:ascii="Times New Roman" w:hAnsi="Times New Roman" w:cs="Times New Roman"/>
                <w:u w:val="single"/>
              </w:rPr>
              <w:t>Critical domain name system</w:t>
            </w:r>
          </w:p>
          <w:p w14:paraId="5B83EEFB" w14:textId="77777777" w:rsidR="00993F09" w:rsidRPr="00E84518" w:rsidRDefault="00993F09" w:rsidP="00602DDE">
            <w:pPr>
              <w:rPr>
                <w:rFonts w:ascii="Times New Roman" w:hAnsi="Times New Roman" w:cs="Times New Roman"/>
                <w:u w:val="single"/>
              </w:rPr>
            </w:pPr>
          </w:p>
          <w:p w14:paraId="6F73F650" w14:textId="77777777" w:rsidR="00993F09" w:rsidRPr="00E84518" w:rsidRDefault="00993F09" w:rsidP="00602DDE">
            <w:pPr>
              <w:rPr>
                <w:rFonts w:ascii="Times New Roman" w:hAnsi="Times New Roman" w:cs="Times New Roman"/>
                <w:b w:val="0"/>
                <w:i/>
              </w:rPr>
            </w:pPr>
          </w:p>
        </w:tc>
        <w:tc>
          <w:tcPr>
            <w:tcW w:w="3933" w:type="pct"/>
          </w:tcPr>
          <w:p w14:paraId="4EBD40D1" w14:textId="77777777" w:rsidR="00993F09" w:rsidRPr="00E84518" w:rsidRDefault="00993F09" w:rsidP="00602DDE">
            <w:pP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4518">
              <w:rPr>
                <w:rFonts w:ascii="Times New Roman" w:hAnsi="Times New Roman" w:cs="Times New Roman"/>
              </w:rPr>
              <w:t>An asset that:</w:t>
            </w:r>
          </w:p>
          <w:p w14:paraId="770C0518" w14:textId="32738C68" w:rsidR="004D27E4" w:rsidRPr="00E84518" w:rsidRDefault="004D27E4" w:rsidP="00E84518">
            <w:pPr>
              <w:pStyle w:val="paragraph"/>
              <w:numPr>
                <w:ilvl w:val="0"/>
                <w:numId w:val="92"/>
              </w:numPr>
              <w:cnfStyle w:val="000000100000" w:firstRow="0" w:lastRow="0" w:firstColumn="0" w:lastColumn="0" w:oddVBand="0" w:evenVBand="0" w:oddHBand="1" w:evenHBand="0" w:firstRowFirstColumn="0" w:firstRowLastColumn="0" w:lastRowFirstColumn="0" w:lastRowLastColumn="0"/>
            </w:pPr>
            <w:r w:rsidRPr="00E84518">
              <w:tab/>
              <w:t>is managed by entity, that, in accordance with subsection (2), is critical to the administration of an Australian domain name system; and</w:t>
            </w:r>
          </w:p>
          <w:p w14:paraId="232C5731" w14:textId="4477C0ED" w:rsidR="004D27E4" w:rsidRPr="00E84518" w:rsidRDefault="004D27E4" w:rsidP="00E84518">
            <w:pPr>
              <w:pStyle w:val="paragraph"/>
              <w:numPr>
                <w:ilvl w:val="0"/>
                <w:numId w:val="92"/>
              </w:numPr>
              <w:cnfStyle w:val="000000100000" w:firstRow="0" w:lastRow="0" w:firstColumn="0" w:lastColumn="0" w:oddVBand="0" w:evenVBand="0" w:oddHBand="1" w:evenHBand="0" w:firstRowFirstColumn="0" w:firstRowLastColumn="0" w:lastRowFirstColumn="0" w:lastRowLastColumn="0"/>
            </w:pPr>
            <w:r w:rsidRPr="00E84518">
              <w:t>is used in connection with the administration of an Australian domain name system.</w:t>
            </w:r>
          </w:p>
          <w:p w14:paraId="518C259A" w14:textId="0A1BE559" w:rsidR="00993F09" w:rsidRPr="00E84518" w:rsidRDefault="00993F09" w:rsidP="00E84518">
            <w:pPr>
              <w:spacing w:line="259" w:lineRule="auto"/>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93F09" w:rsidRPr="00924D81" w14:paraId="4BA68DD6" w14:textId="77777777" w:rsidTr="00602DDE">
        <w:tc>
          <w:tcPr>
            <w:cnfStyle w:val="001000000000" w:firstRow="0" w:lastRow="0" w:firstColumn="1" w:lastColumn="0" w:oddVBand="0" w:evenVBand="0" w:oddHBand="0" w:evenHBand="0" w:firstRowFirstColumn="0" w:firstRowLastColumn="0" w:lastRowFirstColumn="0" w:lastRowLastColumn="0"/>
            <w:tcW w:w="1067" w:type="pct"/>
          </w:tcPr>
          <w:p w14:paraId="65F3D45D" w14:textId="77777777" w:rsidR="00993F09" w:rsidRPr="001A7788" w:rsidRDefault="00993F09" w:rsidP="00602DDE">
            <w:pPr>
              <w:rPr>
                <w:rFonts w:ascii="Times New Roman" w:hAnsi="Times New Roman" w:cs="Times New Roman"/>
                <w:u w:val="single"/>
              </w:rPr>
            </w:pPr>
            <w:r w:rsidRPr="001A7788">
              <w:rPr>
                <w:rFonts w:ascii="Times New Roman" w:hAnsi="Times New Roman" w:cs="Times New Roman"/>
                <w:u w:val="single"/>
              </w:rPr>
              <w:t>Critical data storage or processing asset</w:t>
            </w:r>
          </w:p>
          <w:p w14:paraId="5626CFB9" w14:textId="77777777" w:rsidR="00993F09" w:rsidRPr="001A7788" w:rsidRDefault="00993F09" w:rsidP="00602DDE">
            <w:pPr>
              <w:rPr>
                <w:rFonts w:ascii="Times New Roman" w:hAnsi="Times New Roman" w:cs="Times New Roman"/>
                <w:u w:val="single"/>
              </w:rPr>
            </w:pPr>
          </w:p>
          <w:p w14:paraId="29FBC12D" w14:textId="77777777" w:rsidR="00993F09" w:rsidRPr="001A7788" w:rsidRDefault="00993F09" w:rsidP="00602DDE">
            <w:pPr>
              <w:rPr>
                <w:rFonts w:ascii="Times New Roman" w:hAnsi="Times New Roman" w:cs="Times New Roman"/>
                <w:b w:val="0"/>
                <w:i/>
              </w:rPr>
            </w:pPr>
          </w:p>
        </w:tc>
        <w:tc>
          <w:tcPr>
            <w:tcW w:w="3933" w:type="pct"/>
          </w:tcPr>
          <w:p w14:paraId="7927C37B" w14:textId="650CEC18" w:rsidR="00A0326A" w:rsidRDefault="00A0326A" w:rsidP="00A0326A">
            <w:pPr>
              <w:pStyle w:val="paragraph"/>
              <w:cnfStyle w:val="000000000000" w:firstRow="0" w:lastRow="0" w:firstColumn="0" w:lastColumn="0" w:oddVBand="0" w:evenVBand="0" w:oddHBand="0" w:evenHBand="0" w:firstRowFirstColumn="0" w:firstRowLastColumn="0" w:lastRowFirstColumn="0" w:lastRowLastColumn="0"/>
            </w:pPr>
            <w:r w:rsidRPr="005E02E3">
              <w:t xml:space="preserve">An asset is a </w:t>
            </w:r>
            <w:r w:rsidRPr="005E02E3">
              <w:rPr>
                <w:b/>
                <w:i/>
              </w:rPr>
              <w:t>critical data storage or processing asset</w:t>
            </w:r>
            <w:r w:rsidRPr="005E02E3">
              <w:t xml:space="preserve"> if:</w:t>
            </w:r>
          </w:p>
          <w:p w14:paraId="4D56DBD2" w14:textId="24A8C203" w:rsidR="00A0326A" w:rsidRPr="005E02E3" w:rsidRDefault="00A0326A" w:rsidP="00E84518">
            <w:pPr>
              <w:pStyle w:val="paragraph"/>
              <w:numPr>
                <w:ilvl w:val="0"/>
                <w:numId w:val="94"/>
              </w:numPr>
              <w:cnfStyle w:val="000000000000" w:firstRow="0" w:lastRow="0" w:firstColumn="0" w:lastColumn="0" w:oddVBand="0" w:evenVBand="0" w:oddHBand="0" w:evenHBand="0" w:firstRowFirstColumn="0" w:firstRowLastColumn="0" w:lastRowFirstColumn="0" w:lastRowLastColumn="0"/>
            </w:pPr>
            <w:r w:rsidRPr="005E02E3">
              <w:tab/>
              <w:t>it is owned or operated by an entity that is a data storage or processing provider; and</w:t>
            </w:r>
          </w:p>
          <w:p w14:paraId="183BF0F1" w14:textId="3E1BAAA0" w:rsidR="00A0326A" w:rsidRPr="005E02E3" w:rsidRDefault="00A0326A" w:rsidP="00E84518">
            <w:pPr>
              <w:pStyle w:val="paragraph"/>
              <w:numPr>
                <w:ilvl w:val="0"/>
                <w:numId w:val="94"/>
              </w:numPr>
              <w:cnfStyle w:val="000000000000" w:firstRow="0" w:lastRow="0" w:firstColumn="0" w:lastColumn="0" w:oddVBand="0" w:evenVBand="0" w:oddHBand="0" w:evenHBand="0" w:firstRowFirstColumn="0" w:firstRowLastColumn="0" w:lastRowFirstColumn="0" w:lastRowLastColumn="0"/>
            </w:pPr>
            <w:r w:rsidRPr="005E02E3">
              <w:tab/>
              <w:t>it is used wholly or primarily</w:t>
            </w:r>
            <w:r>
              <w:t xml:space="preserve"> to provide</w:t>
            </w:r>
            <w:r w:rsidRPr="005E02E3">
              <w:t xml:space="preserve"> a data storage or processing service that is provided by the entity on a commercial basis to an end</w:t>
            </w:r>
            <w:r>
              <w:noBreakHyphen/>
            </w:r>
            <w:r w:rsidRPr="005E02E3">
              <w:t>user that is:</w:t>
            </w:r>
          </w:p>
          <w:p w14:paraId="4E97055F" w14:textId="77777777" w:rsidR="00A0326A" w:rsidRPr="005E02E3" w:rsidRDefault="00A0326A" w:rsidP="00A0326A">
            <w:pPr>
              <w:pStyle w:val="paragraphsub"/>
              <w:cnfStyle w:val="000000000000" w:firstRow="0" w:lastRow="0" w:firstColumn="0" w:lastColumn="0" w:oddVBand="0" w:evenVBand="0" w:oddHBand="0" w:evenHBand="0" w:firstRowFirstColumn="0" w:firstRowLastColumn="0" w:lastRowFirstColumn="0" w:lastRowLastColumn="0"/>
            </w:pPr>
            <w:r w:rsidRPr="005E02E3">
              <w:tab/>
              <w:t>(i)</w:t>
            </w:r>
            <w:r w:rsidRPr="005E02E3">
              <w:tab/>
              <w:t>the Commonwealth; or</w:t>
            </w:r>
          </w:p>
          <w:p w14:paraId="12B5F3B8" w14:textId="77777777" w:rsidR="00A0326A" w:rsidRPr="005E02E3" w:rsidRDefault="00A0326A" w:rsidP="00A0326A">
            <w:pPr>
              <w:pStyle w:val="paragraphsub"/>
              <w:cnfStyle w:val="000000000000" w:firstRow="0" w:lastRow="0" w:firstColumn="0" w:lastColumn="0" w:oddVBand="0" w:evenVBand="0" w:oddHBand="0" w:evenHBand="0" w:firstRowFirstColumn="0" w:firstRowLastColumn="0" w:lastRowFirstColumn="0" w:lastRowLastColumn="0"/>
            </w:pPr>
            <w:r w:rsidRPr="005E02E3">
              <w:tab/>
              <w:t>(ii)</w:t>
            </w:r>
            <w:r w:rsidRPr="005E02E3">
              <w:tab/>
              <w:t>a body corporate established by a law of the Commonwealth; or</w:t>
            </w:r>
          </w:p>
          <w:p w14:paraId="69538407" w14:textId="77777777" w:rsidR="00A0326A" w:rsidRPr="005E02E3" w:rsidRDefault="00A0326A" w:rsidP="00A0326A">
            <w:pPr>
              <w:pStyle w:val="paragraphsub"/>
              <w:cnfStyle w:val="000000000000" w:firstRow="0" w:lastRow="0" w:firstColumn="0" w:lastColumn="0" w:oddVBand="0" w:evenVBand="0" w:oddHBand="0" w:evenHBand="0" w:firstRowFirstColumn="0" w:firstRowLastColumn="0" w:lastRowFirstColumn="0" w:lastRowLastColumn="0"/>
            </w:pPr>
            <w:r w:rsidRPr="005E02E3">
              <w:tab/>
              <w:t>(iii)</w:t>
            </w:r>
            <w:r w:rsidRPr="005E02E3">
              <w:tab/>
              <w:t>a State; or</w:t>
            </w:r>
          </w:p>
          <w:p w14:paraId="43FCE47F" w14:textId="77777777" w:rsidR="00A0326A" w:rsidRPr="005E02E3" w:rsidRDefault="00A0326A" w:rsidP="00A0326A">
            <w:pPr>
              <w:pStyle w:val="paragraphsub"/>
              <w:cnfStyle w:val="000000000000" w:firstRow="0" w:lastRow="0" w:firstColumn="0" w:lastColumn="0" w:oddVBand="0" w:evenVBand="0" w:oddHBand="0" w:evenHBand="0" w:firstRowFirstColumn="0" w:firstRowLastColumn="0" w:lastRowFirstColumn="0" w:lastRowLastColumn="0"/>
            </w:pPr>
            <w:r w:rsidRPr="005E02E3">
              <w:tab/>
              <w:t>(iv)</w:t>
            </w:r>
            <w:r w:rsidRPr="005E02E3">
              <w:tab/>
              <w:t>a body corporate established by a law of a State; or</w:t>
            </w:r>
          </w:p>
          <w:p w14:paraId="57D6C1D0" w14:textId="77777777" w:rsidR="00A0326A" w:rsidRPr="005E02E3" w:rsidRDefault="00A0326A" w:rsidP="00A0326A">
            <w:pPr>
              <w:pStyle w:val="paragraphsub"/>
              <w:cnfStyle w:val="000000000000" w:firstRow="0" w:lastRow="0" w:firstColumn="0" w:lastColumn="0" w:oddVBand="0" w:evenVBand="0" w:oddHBand="0" w:evenHBand="0" w:firstRowFirstColumn="0" w:firstRowLastColumn="0" w:lastRowFirstColumn="0" w:lastRowLastColumn="0"/>
            </w:pPr>
            <w:r w:rsidRPr="005E02E3">
              <w:tab/>
              <w:t>(v)</w:t>
            </w:r>
            <w:r w:rsidRPr="005E02E3">
              <w:tab/>
              <w:t>a Territory; or</w:t>
            </w:r>
          </w:p>
          <w:p w14:paraId="64D6350F" w14:textId="77777777" w:rsidR="00A0326A" w:rsidRPr="005E02E3" w:rsidRDefault="00A0326A" w:rsidP="00A0326A">
            <w:pPr>
              <w:pStyle w:val="paragraphsub"/>
              <w:cnfStyle w:val="000000000000" w:firstRow="0" w:lastRow="0" w:firstColumn="0" w:lastColumn="0" w:oddVBand="0" w:evenVBand="0" w:oddHBand="0" w:evenHBand="0" w:firstRowFirstColumn="0" w:firstRowLastColumn="0" w:lastRowFirstColumn="0" w:lastRowLastColumn="0"/>
            </w:pPr>
            <w:r w:rsidRPr="005E02E3">
              <w:tab/>
              <w:t>(vi)</w:t>
            </w:r>
            <w:r w:rsidRPr="005E02E3">
              <w:tab/>
              <w:t>a body corporate established by a law of a Territory; and</w:t>
            </w:r>
          </w:p>
          <w:p w14:paraId="08BE5AE4" w14:textId="41F49310" w:rsidR="00A0326A" w:rsidRPr="005E02E3" w:rsidRDefault="00A0326A" w:rsidP="00E84518">
            <w:pPr>
              <w:pStyle w:val="paragraph"/>
              <w:numPr>
                <w:ilvl w:val="0"/>
                <w:numId w:val="94"/>
              </w:numPr>
              <w:cnfStyle w:val="000000000000" w:firstRow="0" w:lastRow="0" w:firstColumn="0" w:lastColumn="0" w:oddVBand="0" w:evenVBand="0" w:oddHBand="0" w:evenHBand="0" w:firstRowFirstColumn="0" w:firstRowLastColumn="0" w:lastRowFirstColumn="0" w:lastRowLastColumn="0"/>
            </w:pPr>
            <w:r>
              <w:tab/>
            </w:r>
            <w:r w:rsidRPr="005E02E3">
              <w:t xml:space="preserve">the entity knows that the asset is used as described in </w:t>
            </w:r>
            <w:r>
              <w:t>paragraph (</w:t>
            </w:r>
            <w:r w:rsidRPr="005E02E3">
              <w:t>b).</w:t>
            </w:r>
          </w:p>
          <w:p w14:paraId="51588301" w14:textId="72463B24" w:rsidR="00993F09" w:rsidRPr="001A7788" w:rsidRDefault="00993F09" w:rsidP="00E845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93F09" w:rsidRPr="00924D81" w14:paraId="5D0974D7" w14:textId="77777777" w:rsidTr="0060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pct"/>
          </w:tcPr>
          <w:p w14:paraId="4F9C27BA" w14:textId="77777777" w:rsidR="00993F09" w:rsidRPr="001A7788" w:rsidRDefault="00993F09" w:rsidP="00602DDE">
            <w:pPr>
              <w:rPr>
                <w:rFonts w:ascii="Times New Roman" w:hAnsi="Times New Roman" w:cs="Times New Roman"/>
                <w:u w:val="single"/>
              </w:rPr>
            </w:pPr>
            <w:r w:rsidRPr="001A7788">
              <w:rPr>
                <w:rFonts w:ascii="Times New Roman" w:hAnsi="Times New Roman" w:cs="Times New Roman"/>
                <w:u w:val="single"/>
              </w:rPr>
              <w:t>Critical Defence industry asset</w:t>
            </w:r>
          </w:p>
        </w:tc>
        <w:tc>
          <w:tcPr>
            <w:tcW w:w="3933" w:type="pct"/>
          </w:tcPr>
          <w:p w14:paraId="34ACF45F" w14:textId="77777777" w:rsidR="00993F09" w:rsidRPr="001A7788" w:rsidRDefault="00993F09" w:rsidP="00602D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(1) critical defence industry asset means an asset that:</w:t>
            </w:r>
          </w:p>
          <w:p w14:paraId="6A27A645" w14:textId="77777777" w:rsidR="00993F09" w:rsidRPr="001A7788" w:rsidRDefault="00993F09" w:rsidP="00B369B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is being, or will be, supplied by an entity to the Defence Department, or the Australian Defence Force, under a contract; and</w:t>
            </w:r>
          </w:p>
          <w:p w14:paraId="0E228308" w14:textId="77777777" w:rsidR="00993F09" w:rsidRPr="001A7788" w:rsidRDefault="00993F09" w:rsidP="00B369B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consists of, or enables, a critical defence capability.</w:t>
            </w:r>
          </w:p>
        </w:tc>
      </w:tr>
      <w:tr w:rsidR="00993F09" w:rsidRPr="00924D81" w14:paraId="7B3AE95E" w14:textId="77777777" w:rsidTr="00602DDE">
        <w:tc>
          <w:tcPr>
            <w:cnfStyle w:val="001000000000" w:firstRow="0" w:lastRow="0" w:firstColumn="1" w:lastColumn="0" w:oddVBand="0" w:evenVBand="0" w:oddHBand="0" w:evenHBand="0" w:firstRowFirstColumn="0" w:firstRowLastColumn="0" w:lastRowFirstColumn="0" w:lastRowLastColumn="0"/>
            <w:tcW w:w="1067" w:type="pct"/>
          </w:tcPr>
          <w:p w14:paraId="4ED43904" w14:textId="77777777" w:rsidR="00993F09" w:rsidRPr="001A7788" w:rsidRDefault="00993F09" w:rsidP="00602DDE">
            <w:pPr>
              <w:rPr>
                <w:rFonts w:ascii="Times New Roman" w:hAnsi="Times New Roman" w:cs="Times New Roman"/>
                <w:u w:val="single"/>
              </w:rPr>
            </w:pPr>
            <w:r w:rsidRPr="001A7788">
              <w:rPr>
                <w:rFonts w:ascii="Times New Roman" w:hAnsi="Times New Roman" w:cs="Times New Roman"/>
                <w:u w:val="single"/>
              </w:rPr>
              <w:t>Critical banking asset</w:t>
            </w:r>
          </w:p>
          <w:p w14:paraId="3E9C3149" w14:textId="77777777" w:rsidR="00993F09" w:rsidRPr="001A7788" w:rsidRDefault="00993F09" w:rsidP="00602DDE">
            <w:pPr>
              <w:rPr>
                <w:rFonts w:ascii="Times New Roman" w:hAnsi="Times New Roman" w:cs="Times New Roman"/>
                <w:u w:val="single"/>
              </w:rPr>
            </w:pPr>
          </w:p>
          <w:p w14:paraId="091B8767" w14:textId="77777777" w:rsidR="00993F09" w:rsidRPr="001A7788" w:rsidRDefault="00993F09" w:rsidP="00602DDE">
            <w:pPr>
              <w:rPr>
                <w:rFonts w:ascii="Times New Roman" w:hAnsi="Times New Roman" w:cs="Times New Roman"/>
                <w:b w:val="0"/>
                <w:i/>
              </w:rPr>
            </w:pPr>
          </w:p>
        </w:tc>
        <w:tc>
          <w:tcPr>
            <w:tcW w:w="3933" w:type="pct"/>
          </w:tcPr>
          <w:p w14:paraId="18574719" w14:textId="6B60A645" w:rsidR="00A0326A" w:rsidRPr="005E02E3" w:rsidRDefault="00A0326A" w:rsidP="00A0326A">
            <w:pPr>
              <w:pStyle w:val="subsection"/>
              <w:cnfStyle w:val="000000000000" w:firstRow="0" w:lastRow="0" w:firstColumn="0" w:lastColumn="0" w:oddVBand="0" w:evenVBand="0" w:oddHBand="0" w:evenHBand="0" w:firstRowFirstColumn="0" w:firstRowLastColumn="0" w:lastRowFirstColumn="0" w:lastRowLastColumn="0"/>
            </w:pPr>
            <w:r w:rsidRPr="005E02E3">
              <w:rPr>
                <w:b/>
                <w:i/>
              </w:rPr>
              <w:tab/>
            </w:r>
            <w:r w:rsidRPr="00E84518">
              <w:t xml:space="preserve">(1) </w:t>
            </w:r>
            <w:r w:rsidRPr="00A0326A">
              <w:t>An</w:t>
            </w:r>
            <w:r w:rsidRPr="005E02E3">
              <w:t xml:space="preserve"> asset is a </w:t>
            </w:r>
            <w:r w:rsidRPr="005E02E3">
              <w:rPr>
                <w:b/>
                <w:i/>
              </w:rPr>
              <w:t>critical banking asset</w:t>
            </w:r>
            <w:r>
              <w:t xml:space="preserve"> if it is any of the following assets</w:t>
            </w:r>
            <w:r w:rsidRPr="005E02E3">
              <w:t>:</w:t>
            </w:r>
          </w:p>
          <w:p w14:paraId="674F48F2" w14:textId="2C7E8BF3" w:rsidR="00A0326A" w:rsidRDefault="00A0326A" w:rsidP="00E84518">
            <w:pPr>
              <w:pStyle w:val="ListParagraph"/>
              <w:numPr>
                <w:ilvl w:val="0"/>
                <w:numId w:val="95"/>
              </w:numPr>
              <w:cnfStyle w:val="000000000000" w:firstRow="0" w:lastRow="0" w:firstColumn="0" w:lastColumn="0" w:oddVBand="0" w:evenVBand="0" w:oddHBand="0" w:evenHBand="0" w:firstRowFirstColumn="0" w:firstRowLastColumn="0" w:lastRowFirstColumn="0" w:lastRowLastColumn="0"/>
            </w:pPr>
            <w:r w:rsidRPr="00E84518">
              <w:rPr>
                <w:rFonts w:ascii="Times New Roman" w:hAnsi="Times New Roman" w:cs="Times New Roman"/>
              </w:rPr>
              <w:t>an asset that:</w:t>
            </w:r>
          </w:p>
          <w:p w14:paraId="67AE54F6" w14:textId="77777777" w:rsidR="00A0326A" w:rsidRDefault="00A0326A" w:rsidP="00A0326A">
            <w:pPr>
              <w:pStyle w:val="paragraphsub"/>
              <w:cnfStyle w:val="000000000000" w:firstRow="0" w:lastRow="0" w:firstColumn="0" w:lastColumn="0" w:oddVBand="0" w:evenVBand="0" w:oddHBand="0" w:evenHBand="0" w:firstRowFirstColumn="0" w:firstRowLastColumn="0" w:lastRowFirstColumn="0" w:lastRowLastColumn="0"/>
            </w:pPr>
            <w:r>
              <w:lastRenderedPageBreak/>
              <w:tab/>
              <w:t>(i)</w:t>
            </w:r>
            <w:r>
              <w:tab/>
            </w:r>
            <w:r w:rsidRPr="005E02E3">
              <w:t xml:space="preserve">is </w:t>
            </w:r>
            <w:r>
              <w:t xml:space="preserve">owned or operated by </w:t>
            </w:r>
            <w:r w:rsidRPr="005E02E3">
              <w:t>an authorised deposit</w:t>
            </w:r>
            <w:r>
              <w:noBreakHyphen/>
              <w:t xml:space="preserve">taking institution, that, </w:t>
            </w:r>
            <w:r w:rsidRPr="005E02E3">
              <w:t xml:space="preserve">in accordance with </w:t>
            </w:r>
            <w:r>
              <w:t>subsection (</w:t>
            </w:r>
            <w:r w:rsidRPr="005E02E3">
              <w:t>2)</w:t>
            </w:r>
            <w:r>
              <w:t>, is critical to the security and reliability of the financial services and markets sector; and</w:t>
            </w:r>
          </w:p>
          <w:p w14:paraId="25FE5489" w14:textId="77777777" w:rsidR="00A0326A" w:rsidRDefault="00A0326A" w:rsidP="00A0326A">
            <w:pPr>
              <w:pStyle w:val="paragraphsub"/>
              <w:cnfStyle w:val="000000000000" w:firstRow="0" w:lastRow="0" w:firstColumn="0" w:lastColumn="0" w:oddVBand="0" w:evenVBand="0" w:oddHBand="0" w:evenHBand="0" w:firstRowFirstColumn="0" w:firstRowLastColumn="0" w:lastRowFirstColumn="0" w:lastRowLastColumn="0"/>
            </w:pPr>
            <w:r>
              <w:tab/>
              <w:t>(ii)</w:t>
            </w:r>
            <w:r>
              <w:tab/>
              <w:t>is used in connection with the carrying on of banking business;</w:t>
            </w:r>
          </w:p>
          <w:p w14:paraId="28FDC637" w14:textId="41847831" w:rsidR="00A0326A" w:rsidRDefault="00A0326A" w:rsidP="00E84518">
            <w:pPr>
              <w:pStyle w:val="ListParagraph"/>
              <w:numPr>
                <w:ilvl w:val="0"/>
                <w:numId w:val="95"/>
              </w:numPr>
              <w:cnfStyle w:val="000000000000" w:firstRow="0" w:lastRow="0" w:firstColumn="0" w:lastColumn="0" w:oddVBand="0" w:evenVBand="0" w:oddHBand="0" w:evenHBand="0" w:firstRowFirstColumn="0" w:firstRowLastColumn="0" w:lastRowFirstColumn="0" w:lastRowLastColumn="0"/>
            </w:pPr>
            <w:r w:rsidRPr="00E84518">
              <w:rPr>
                <w:rFonts w:ascii="Times New Roman" w:hAnsi="Times New Roman" w:cs="Times New Roman"/>
              </w:rPr>
              <w:t>an asset that:</w:t>
            </w:r>
          </w:p>
          <w:p w14:paraId="2AA9F988" w14:textId="77777777" w:rsidR="00A0326A" w:rsidRDefault="00A0326A" w:rsidP="00A0326A">
            <w:pPr>
              <w:pStyle w:val="paragraphsub"/>
              <w:cnfStyle w:val="000000000000" w:firstRow="0" w:lastRow="0" w:firstColumn="0" w:lastColumn="0" w:oddVBand="0" w:evenVBand="0" w:oddHBand="0" w:evenHBand="0" w:firstRowFirstColumn="0" w:firstRowLastColumn="0" w:lastRowFirstColumn="0" w:lastRowLastColumn="0"/>
            </w:pPr>
            <w:r>
              <w:tab/>
              <w:t>(i)</w:t>
            </w:r>
            <w:r>
              <w:tab/>
            </w:r>
            <w:r w:rsidRPr="005E02E3">
              <w:t xml:space="preserve">is </w:t>
            </w:r>
            <w:r>
              <w:t xml:space="preserve">owned or operated by a body corporate that is </w:t>
            </w:r>
            <w:r w:rsidRPr="005E02E3">
              <w:t>a related body corporate of an authorised deposit</w:t>
            </w:r>
            <w:r>
              <w:noBreakHyphen/>
            </w:r>
            <w:r w:rsidRPr="005E02E3">
              <w:t>taking institution</w:t>
            </w:r>
            <w:r>
              <w:t xml:space="preserve"> and that, in accordance with subsection (3), is critical to the security and reliability of the financial services and markets sector; and</w:t>
            </w:r>
          </w:p>
          <w:p w14:paraId="55D6B02B" w14:textId="77777777" w:rsidR="00A0326A" w:rsidRPr="005E02E3" w:rsidRDefault="00A0326A" w:rsidP="00A0326A">
            <w:pPr>
              <w:pStyle w:val="paragraphsub"/>
              <w:cnfStyle w:val="000000000000" w:firstRow="0" w:lastRow="0" w:firstColumn="0" w:lastColumn="0" w:oddVBand="0" w:evenVBand="0" w:oddHBand="0" w:evenHBand="0" w:firstRowFirstColumn="0" w:firstRowLastColumn="0" w:lastRowFirstColumn="0" w:lastRowLastColumn="0"/>
            </w:pPr>
            <w:r>
              <w:tab/>
              <w:t>(ii)</w:t>
            </w:r>
            <w:r>
              <w:tab/>
              <w:t>is used in connection with the carrying on of banking business.</w:t>
            </w:r>
          </w:p>
          <w:p w14:paraId="283152B1" w14:textId="77777777" w:rsidR="00A0326A" w:rsidRPr="005E02E3" w:rsidRDefault="00A0326A" w:rsidP="00A0326A">
            <w:pPr>
              <w:pStyle w:val="notetext"/>
              <w:cnfStyle w:val="000000000000" w:firstRow="0" w:lastRow="0" w:firstColumn="0" w:lastColumn="0" w:oddVBand="0" w:evenVBand="0" w:oddHBand="0" w:evenHBand="0" w:firstRowFirstColumn="0" w:firstRowLastColumn="0" w:lastRowFirstColumn="0" w:lastRowLastColumn="0"/>
            </w:pPr>
            <w:r w:rsidRPr="005E02E3">
              <w:t>Note:</w:t>
            </w:r>
            <w:r w:rsidRPr="005E02E3">
              <w:tab/>
              <w:t>The rules may prescribe that a specified critical banking asset is not a critical infrastructure asset (see section 9).</w:t>
            </w:r>
          </w:p>
          <w:p w14:paraId="073E0774" w14:textId="7455590D" w:rsidR="00A0326A" w:rsidRPr="005E02E3" w:rsidRDefault="00A0326A" w:rsidP="00A0326A">
            <w:pPr>
              <w:pStyle w:val="subsection"/>
              <w:cnfStyle w:val="000000000000" w:firstRow="0" w:lastRow="0" w:firstColumn="0" w:lastColumn="0" w:oddVBand="0" w:evenVBand="0" w:oddHBand="0" w:evenHBand="0" w:firstRowFirstColumn="0" w:firstRowLastColumn="0" w:lastRowFirstColumn="0" w:lastRowLastColumn="0"/>
            </w:pPr>
            <w:r w:rsidRPr="005E02E3">
              <w:t>(2)</w:t>
            </w:r>
            <w:r w:rsidRPr="005E02E3">
              <w:tab/>
              <w:t xml:space="preserve">For the purposes of </w:t>
            </w:r>
            <w:r>
              <w:t>subparagraph (</w:t>
            </w:r>
            <w:r w:rsidRPr="005E02E3">
              <w:t>1)</w:t>
            </w:r>
            <w:r>
              <w:t>(a)(i)</w:t>
            </w:r>
            <w:r w:rsidRPr="005E02E3">
              <w:t>, the rules may prescribe:</w:t>
            </w:r>
          </w:p>
          <w:p w14:paraId="71B094A0" w14:textId="32CB5949" w:rsidR="00A0326A" w:rsidRPr="00E84518" w:rsidRDefault="00A0326A" w:rsidP="00E84518">
            <w:pPr>
              <w:pStyle w:val="ListParagraph"/>
              <w:numPr>
                <w:ilvl w:val="0"/>
                <w:numId w:val="9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4518">
              <w:rPr>
                <w:rFonts w:ascii="Times New Roman" w:hAnsi="Times New Roman" w:cs="Times New Roman"/>
              </w:rPr>
              <w:t>specified authorised deposit</w:t>
            </w:r>
            <w:r w:rsidRPr="00E84518">
              <w:rPr>
                <w:rFonts w:ascii="Times New Roman" w:hAnsi="Times New Roman" w:cs="Times New Roman"/>
              </w:rPr>
              <w:noBreakHyphen/>
              <w:t>taking institutions that are critical to the security and reliability of the financial services and markets sector; or</w:t>
            </w:r>
          </w:p>
          <w:p w14:paraId="1E42B3C4" w14:textId="714DA603" w:rsidR="00A0326A" w:rsidRPr="00E84518" w:rsidRDefault="00A0326A" w:rsidP="00E84518">
            <w:pPr>
              <w:pStyle w:val="ListParagraph"/>
              <w:numPr>
                <w:ilvl w:val="0"/>
                <w:numId w:val="9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4518">
              <w:rPr>
                <w:rFonts w:ascii="Times New Roman" w:hAnsi="Times New Roman" w:cs="Times New Roman"/>
              </w:rPr>
              <w:t>requirements for an authorised deposit</w:t>
            </w:r>
            <w:r w:rsidRPr="00E84518">
              <w:rPr>
                <w:rFonts w:ascii="Times New Roman" w:hAnsi="Times New Roman" w:cs="Times New Roman"/>
              </w:rPr>
              <w:noBreakHyphen/>
              <w:t>taking institution to be critical to the security and reliability of the financial services and markets sector.</w:t>
            </w:r>
          </w:p>
          <w:p w14:paraId="7FF72092" w14:textId="373604C3" w:rsidR="00A0326A" w:rsidRPr="005E02E3" w:rsidRDefault="00A0326A" w:rsidP="00A0326A">
            <w:pPr>
              <w:pStyle w:val="subsection"/>
              <w:cnfStyle w:val="000000000000" w:firstRow="0" w:lastRow="0" w:firstColumn="0" w:lastColumn="0" w:oddVBand="0" w:evenVBand="0" w:oddHBand="0" w:evenHBand="0" w:firstRowFirstColumn="0" w:firstRowLastColumn="0" w:lastRowFirstColumn="0" w:lastRowLastColumn="0"/>
            </w:pPr>
            <w:r w:rsidRPr="005E02E3">
              <w:t>(</w:t>
            </w:r>
            <w:r>
              <w:t>3</w:t>
            </w:r>
            <w:r w:rsidRPr="005E02E3">
              <w:t>)</w:t>
            </w:r>
            <w:r w:rsidRPr="005E02E3">
              <w:tab/>
              <w:t xml:space="preserve">For the purposes of </w:t>
            </w:r>
            <w:r>
              <w:t>subparagraph (</w:t>
            </w:r>
            <w:r w:rsidRPr="005E02E3">
              <w:t>1)</w:t>
            </w:r>
            <w:r>
              <w:t>(b)(i)</w:t>
            </w:r>
            <w:r w:rsidRPr="005E02E3">
              <w:t>, the rules may prescribe:</w:t>
            </w:r>
          </w:p>
          <w:p w14:paraId="46A96DFC" w14:textId="3C8BB53B" w:rsidR="00A0326A" w:rsidRPr="00E84518" w:rsidRDefault="00A0326A" w:rsidP="00E84518">
            <w:pPr>
              <w:pStyle w:val="ListParagraph"/>
              <w:numPr>
                <w:ilvl w:val="0"/>
                <w:numId w:val="9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4518">
              <w:rPr>
                <w:rFonts w:ascii="Times New Roman" w:hAnsi="Times New Roman" w:cs="Times New Roman"/>
              </w:rPr>
              <w:t>specified bodies corporate that are critical to the security and reliability of the financial services and markets sector; or</w:t>
            </w:r>
          </w:p>
          <w:p w14:paraId="6CED3A94" w14:textId="767A3D64" w:rsidR="00A0326A" w:rsidRPr="00E84518" w:rsidRDefault="00A0326A" w:rsidP="00E84518">
            <w:pPr>
              <w:pStyle w:val="ListParagraph"/>
              <w:numPr>
                <w:ilvl w:val="0"/>
                <w:numId w:val="9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84518">
              <w:rPr>
                <w:rFonts w:ascii="Times New Roman" w:hAnsi="Times New Roman" w:cs="Times New Roman"/>
              </w:rPr>
              <w:t>requirements for a body corporate to be critical to the security and reliability of the financial services and markets sector.</w:t>
            </w:r>
          </w:p>
          <w:p w14:paraId="666CE931" w14:textId="00A67744" w:rsidR="00993F09" w:rsidRPr="001A7788" w:rsidRDefault="00993F09" w:rsidP="00E84518">
            <w:pPr>
              <w:cnfStyle w:val="000000000000" w:firstRow="0" w:lastRow="0" w:firstColumn="0" w:lastColumn="0" w:oddVBand="0" w:evenVBand="0" w:oddHBand="0" w:evenHBand="0" w:firstRowFirstColumn="0" w:firstRowLastColumn="0" w:lastRowFirstColumn="0" w:lastRowLastColumn="0"/>
            </w:pPr>
          </w:p>
        </w:tc>
      </w:tr>
      <w:tr w:rsidR="00993F09" w:rsidRPr="00924D81" w14:paraId="58E28B05" w14:textId="77777777" w:rsidTr="0060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pct"/>
          </w:tcPr>
          <w:p w14:paraId="1E17C2EC" w14:textId="77777777" w:rsidR="00993F09" w:rsidRPr="001A7788" w:rsidRDefault="00993F09" w:rsidP="00602DDE">
            <w:pPr>
              <w:rPr>
                <w:rFonts w:ascii="Times New Roman" w:hAnsi="Times New Roman" w:cs="Times New Roman"/>
                <w:u w:val="single"/>
              </w:rPr>
            </w:pPr>
            <w:r w:rsidRPr="001A7788">
              <w:rPr>
                <w:rFonts w:ascii="Times New Roman" w:hAnsi="Times New Roman" w:cs="Times New Roman"/>
                <w:u w:val="single"/>
              </w:rPr>
              <w:lastRenderedPageBreak/>
              <w:t>Critical superannuation asset</w:t>
            </w:r>
          </w:p>
          <w:p w14:paraId="109D904F" w14:textId="77777777" w:rsidR="00993F09" w:rsidRPr="001A7788" w:rsidRDefault="00993F09" w:rsidP="00602DDE">
            <w:pPr>
              <w:rPr>
                <w:rFonts w:ascii="Times New Roman" w:hAnsi="Times New Roman" w:cs="Times New Roman"/>
                <w:u w:val="single"/>
              </w:rPr>
            </w:pPr>
          </w:p>
          <w:p w14:paraId="07B5DF80" w14:textId="77777777" w:rsidR="00993F09" w:rsidRPr="001A7788" w:rsidRDefault="00993F09" w:rsidP="00602DDE">
            <w:pPr>
              <w:rPr>
                <w:rFonts w:ascii="Times New Roman" w:hAnsi="Times New Roman" w:cs="Times New Roman"/>
                <w:b w:val="0"/>
                <w:i/>
              </w:rPr>
            </w:pPr>
          </w:p>
        </w:tc>
        <w:tc>
          <w:tcPr>
            <w:tcW w:w="3933" w:type="pct"/>
          </w:tcPr>
          <w:p w14:paraId="4A92AEC0" w14:textId="493F803B" w:rsidR="00903DB2" w:rsidRDefault="00903DB2" w:rsidP="00903DB2">
            <w:pPr>
              <w:pStyle w:val="subsection"/>
              <w:cnfStyle w:val="000000100000" w:firstRow="0" w:lastRow="0" w:firstColumn="0" w:lastColumn="0" w:oddVBand="0" w:evenVBand="0" w:oddHBand="1" w:evenHBand="0" w:firstRowFirstColumn="0" w:firstRowLastColumn="0" w:lastRowFirstColumn="0" w:lastRowLastColumn="0"/>
            </w:pPr>
            <w:r w:rsidRPr="005E02E3">
              <w:t>(1)</w:t>
            </w:r>
            <w:r w:rsidRPr="005E02E3">
              <w:tab/>
              <w:t xml:space="preserve">An asset is a </w:t>
            </w:r>
            <w:r w:rsidRPr="005E02E3">
              <w:rPr>
                <w:b/>
                <w:i/>
              </w:rPr>
              <w:t>critical superannuation asset</w:t>
            </w:r>
            <w:r w:rsidRPr="005E02E3">
              <w:t xml:space="preserve"> if</w:t>
            </w:r>
            <w:r>
              <w:t>:</w:t>
            </w:r>
          </w:p>
          <w:p w14:paraId="7846D3F0" w14:textId="2BB67D1C" w:rsidR="00903DB2" w:rsidRPr="00E84518" w:rsidRDefault="00903DB2" w:rsidP="00E84518">
            <w:pPr>
              <w:pStyle w:val="ListParagraph"/>
              <w:numPr>
                <w:ilvl w:val="0"/>
                <w:numId w:val="9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4518">
              <w:rPr>
                <w:rFonts w:ascii="Times New Roman" w:hAnsi="Times New Roman" w:cs="Times New Roman"/>
              </w:rPr>
              <w:t>it is owned or operated by a registrable superannuation entity, that, in accordance with subsection (2), is critical to the security and reliability of the financial services and markets sector; and</w:t>
            </w:r>
          </w:p>
          <w:p w14:paraId="503D965F" w14:textId="0FD807BC" w:rsidR="00903DB2" w:rsidRPr="00E84518" w:rsidRDefault="00903DB2" w:rsidP="00E84518">
            <w:pPr>
              <w:pStyle w:val="ListParagraph"/>
              <w:numPr>
                <w:ilvl w:val="0"/>
                <w:numId w:val="9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4518">
              <w:rPr>
                <w:rFonts w:ascii="Times New Roman" w:hAnsi="Times New Roman" w:cs="Times New Roman"/>
              </w:rPr>
              <w:t>it is used in connection with the operation of a superannuation fund.</w:t>
            </w:r>
          </w:p>
          <w:p w14:paraId="65BEA1D6" w14:textId="77777777" w:rsidR="00903DB2" w:rsidRPr="005E02E3" w:rsidRDefault="00903DB2" w:rsidP="00903DB2">
            <w:pPr>
              <w:pStyle w:val="notetext"/>
              <w:cnfStyle w:val="000000100000" w:firstRow="0" w:lastRow="0" w:firstColumn="0" w:lastColumn="0" w:oddVBand="0" w:evenVBand="0" w:oddHBand="1" w:evenHBand="0" w:firstRowFirstColumn="0" w:firstRowLastColumn="0" w:lastRowFirstColumn="0" w:lastRowLastColumn="0"/>
            </w:pPr>
            <w:r w:rsidRPr="005E02E3">
              <w:t>Note:</w:t>
            </w:r>
            <w:r w:rsidRPr="005E02E3">
              <w:tab/>
              <w:t>The rules may prescribe that a specified critical superannuation asset is not a critical infrastructure asset (see section 9).</w:t>
            </w:r>
          </w:p>
          <w:p w14:paraId="5D537B16" w14:textId="6DDB0A05" w:rsidR="00903DB2" w:rsidRDefault="00903DB2" w:rsidP="00903DB2">
            <w:pPr>
              <w:pStyle w:val="subsection"/>
              <w:cnfStyle w:val="000000100000" w:firstRow="0" w:lastRow="0" w:firstColumn="0" w:lastColumn="0" w:oddVBand="0" w:evenVBand="0" w:oddHBand="1" w:evenHBand="0" w:firstRowFirstColumn="0" w:firstRowLastColumn="0" w:lastRowFirstColumn="0" w:lastRowLastColumn="0"/>
            </w:pPr>
            <w:r w:rsidRPr="005E02E3">
              <w:t>(2)</w:t>
            </w:r>
            <w:r w:rsidRPr="005E02E3">
              <w:tab/>
              <w:t xml:space="preserve">For the purposes of </w:t>
            </w:r>
            <w:r>
              <w:t>paragraph (</w:t>
            </w:r>
            <w:r w:rsidRPr="005E02E3">
              <w:t>1)</w:t>
            </w:r>
            <w:r>
              <w:t>(a)</w:t>
            </w:r>
            <w:r w:rsidRPr="005E02E3">
              <w:t>, the rules may prescribe:</w:t>
            </w:r>
          </w:p>
          <w:p w14:paraId="66A5EDDB" w14:textId="4C572BF6" w:rsidR="00903DB2" w:rsidRPr="00E84518" w:rsidRDefault="00903DB2" w:rsidP="00E84518">
            <w:pPr>
              <w:pStyle w:val="ListParagraph"/>
              <w:numPr>
                <w:ilvl w:val="0"/>
                <w:numId w:val="9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4518">
              <w:rPr>
                <w:rFonts w:ascii="Times New Roman" w:hAnsi="Times New Roman" w:cs="Times New Roman"/>
              </w:rPr>
              <w:t>specified registrable superannuation entities that are critical to the security and reliability of the financial services and markets sector; or</w:t>
            </w:r>
          </w:p>
          <w:p w14:paraId="06A2D5DC" w14:textId="5A3A890E" w:rsidR="00903DB2" w:rsidRPr="00E84518" w:rsidRDefault="00903DB2" w:rsidP="00E84518">
            <w:pPr>
              <w:pStyle w:val="ListParagraph"/>
              <w:numPr>
                <w:ilvl w:val="0"/>
                <w:numId w:val="9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84518">
              <w:rPr>
                <w:rFonts w:ascii="Times New Roman" w:hAnsi="Times New Roman" w:cs="Times New Roman"/>
              </w:rPr>
              <w:t>requirements for a registrable superannuation entity to be critical to the security and reliability of the financial services and markets sector.</w:t>
            </w:r>
          </w:p>
          <w:p w14:paraId="014F43A4" w14:textId="42B604CF" w:rsidR="00993F09" w:rsidRPr="001A7788" w:rsidRDefault="00993F09" w:rsidP="00E84518">
            <w:pPr>
              <w:pStyle w:val="ListParagraph"/>
              <w:ind w:left="14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93F09" w:rsidRPr="00924D81" w14:paraId="0B2DF052" w14:textId="77777777" w:rsidTr="00602DDE">
        <w:tc>
          <w:tcPr>
            <w:cnfStyle w:val="001000000000" w:firstRow="0" w:lastRow="0" w:firstColumn="1" w:lastColumn="0" w:oddVBand="0" w:evenVBand="0" w:oddHBand="0" w:evenHBand="0" w:firstRowFirstColumn="0" w:firstRowLastColumn="0" w:lastRowFirstColumn="0" w:lastRowLastColumn="0"/>
            <w:tcW w:w="1067" w:type="pct"/>
          </w:tcPr>
          <w:p w14:paraId="05FC319D" w14:textId="77777777" w:rsidR="00993F09" w:rsidRPr="001A7788" w:rsidRDefault="00993F09" w:rsidP="00602DDE">
            <w:pPr>
              <w:rPr>
                <w:rFonts w:ascii="Times New Roman" w:hAnsi="Times New Roman" w:cs="Times New Roman"/>
                <w:u w:val="single"/>
              </w:rPr>
            </w:pPr>
            <w:r w:rsidRPr="001A7788">
              <w:rPr>
                <w:rFonts w:ascii="Times New Roman" w:hAnsi="Times New Roman" w:cs="Times New Roman"/>
                <w:u w:val="single"/>
              </w:rPr>
              <w:t>Critical insurance asset</w:t>
            </w:r>
          </w:p>
          <w:p w14:paraId="3707F71A" w14:textId="77777777" w:rsidR="00993F09" w:rsidRPr="001A7788" w:rsidRDefault="00993F09" w:rsidP="00602DDE">
            <w:pPr>
              <w:rPr>
                <w:rFonts w:ascii="Times New Roman" w:hAnsi="Times New Roman" w:cs="Times New Roman"/>
                <w:u w:val="single"/>
              </w:rPr>
            </w:pPr>
          </w:p>
          <w:p w14:paraId="479F7A95" w14:textId="77777777" w:rsidR="00993F09" w:rsidRPr="001A7788" w:rsidRDefault="00993F09" w:rsidP="00602DDE">
            <w:pPr>
              <w:rPr>
                <w:rFonts w:ascii="Times New Roman" w:hAnsi="Times New Roman" w:cs="Times New Roman"/>
                <w:b w:val="0"/>
                <w:i/>
              </w:rPr>
            </w:pPr>
          </w:p>
        </w:tc>
        <w:tc>
          <w:tcPr>
            <w:tcW w:w="3933" w:type="pct"/>
          </w:tcPr>
          <w:p w14:paraId="17142E5D" w14:textId="77777777"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(1)</w:t>
            </w:r>
            <w:r w:rsidRPr="00903DB2">
              <w:rPr>
                <w:rFonts w:ascii="Times New Roman" w:hAnsi="Times New Roman" w:cs="Times New Roman"/>
              </w:rPr>
              <w:tab/>
              <w:t>An asset is a critical insurance asset if it is any of the following assets:</w:t>
            </w:r>
          </w:p>
          <w:p w14:paraId="7C436E76" w14:textId="77777777"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(a)</w:t>
            </w:r>
            <w:r w:rsidRPr="00903DB2">
              <w:rPr>
                <w:rFonts w:ascii="Times New Roman" w:hAnsi="Times New Roman" w:cs="Times New Roman"/>
              </w:rPr>
              <w:tab/>
              <w:t>an asset that:</w:t>
            </w:r>
          </w:p>
          <w:p w14:paraId="41F1AC6A" w14:textId="77777777" w:rsidR="00903DB2" w:rsidRPr="00903DB2" w:rsidRDefault="00903DB2" w:rsidP="00903DB2">
            <w:pPr>
              <w:ind w:left="1447" w:hanging="144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(i)</w:t>
            </w:r>
            <w:r w:rsidRPr="00903DB2">
              <w:rPr>
                <w:rFonts w:ascii="Times New Roman" w:hAnsi="Times New Roman" w:cs="Times New Roman"/>
              </w:rPr>
              <w:tab/>
              <w:t>is owned or operated by an entity that carries on insurance business and that, in accordance with subsection (2), is critical to the security and reliability of the financial services and markets sector; and</w:t>
            </w:r>
          </w:p>
          <w:p w14:paraId="6F70289C" w14:textId="77777777" w:rsidR="00903DB2" w:rsidRPr="00903DB2" w:rsidRDefault="00903DB2" w:rsidP="00E84518">
            <w:pPr>
              <w:ind w:left="1447" w:hanging="144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(ii)</w:t>
            </w:r>
            <w:r w:rsidRPr="00903DB2">
              <w:rPr>
                <w:rFonts w:ascii="Times New Roman" w:hAnsi="Times New Roman" w:cs="Times New Roman"/>
              </w:rPr>
              <w:tab/>
              <w:t>is used in connection with the carrying on of insurance business;</w:t>
            </w:r>
          </w:p>
          <w:p w14:paraId="3CD2DB2A" w14:textId="77777777"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(b)</w:t>
            </w:r>
            <w:r w:rsidRPr="00903DB2">
              <w:rPr>
                <w:rFonts w:ascii="Times New Roman" w:hAnsi="Times New Roman" w:cs="Times New Roman"/>
              </w:rPr>
              <w:tab/>
              <w:t>an asset that:</w:t>
            </w:r>
          </w:p>
          <w:p w14:paraId="002EA2B8" w14:textId="77777777" w:rsidR="00903DB2" w:rsidRPr="00903DB2" w:rsidRDefault="00903DB2" w:rsidP="00E84518">
            <w:pPr>
              <w:ind w:left="1447" w:hanging="144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(i)</w:t>
            </w:r>
            <w:r w:rsidRPr="00903DB2">
              <w:rPr>
                <w:rFonts w:ascii="Times New Roman" w:hAnsi="Times New Roman" w:cs="Times New Roman"/>
              </w:rPr>
              <w:tab/>
              <w:t>is owned or operated by a body corporate that is a related body corporate of an entity that carries on insurance business and that, in accordance with subsection (3), is critical to the security and reliability of the financial services and markets sector; and</w:t>
            </w:r>
          </w:p>
          <w:p w14:paraId="182512C3" w14:textId="77777777" w:rsidR="00903DB2" w:rsidRPr="00903DB2" w:rsidRDefault="00903DB2" w:rsidP="00E84518">
            <w:pPr>
              <w:ind w:left="1447" w:hanging="144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(ii)</w:t>
            </w:r>
            <w:r w:rsidRPr="00903DB2">
              <w:rPr>
                <w:rFonts w:ascii="Times New Roman" w:hAnsi="Times New Roman" w:cs="Times New Roman"/>
              </w:rPr>
              <w:tab/>
              <w:t>is used in connection with the carrying on of insurance business;</w:t>
            </w:r>
          </w:p>
          <w:p w14:paraId="614D72DE" w14:textId="77777777"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(c)</w:t>
            </w:r>
            <w:r w:rsidRPr="00903DB2">
              <w:rPr>
                <w:rFonts w:ascii="Times New Roman" w:hAnsi="Times New Roman" w:cs="Times New Roman"/>
              </w:rPr>
              <w:tab/>
              <w:t>an asset that:</w:t>
            </w:r>
          </w:p>
          <w:p w14:paraId="733CA769" w14:textId="77777777" w:rsidR="00903DB2" w:rsidRPr="00903DB2" w:rsidRDefault="00903DB2" w:rsidP="00E84518">
            <w:pPr>
              <w:ind w:left="1447" w:hanging="144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lastRenderedPageBreak/>
              <w:tab/>
              <w:t>(i)</w:t>
            </w:r>
            <w:r w:rsidRPr="00903DB2">
              <w:rPr>
                <w:rFonts w:ascii="Times New Roman" w:hAnsi="Times New Roman" w:cs="Times New Roman"/>
              </w:rPr>
              <w:tab/>
              <w:t>is owned or operated by an entity that carries on life insurance business and that, in accordance with subsection (4), is critical to the security and reliability of the financial services and markets sector; and</w:t>
            </w:r>
          </w:p>
          <w:p w14:paraId="78EF67B8" w14:textId="77777777" w:rsidR="00903DB2" w:rsidRPr="00903DB2" w:rsidRDefault="00903DB2" w:rsidP="00E84518">
            <w:pPr>
              <w:ind w:left="1447" w:hanging="144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(ii)</w:t>
            </w:r>
            <w:r w:rsidRPr="00903DB2">
              <w:rPr>
                <w:rFonts w:ascii="Times New Roman" w:hAnsi="Times New Roman" w:cs="Times New Roman"/>
              </w:rPr>
              <w:tab/>
              <w:t>is used in connection with the carrying on of life insurance business;</w:t>
            </w:r>
          </w:p>
          <w:p w14:paraId="136AF25C" w14:textId="77777777"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(d)</w:t>
            </w:r>
            <w:r w:rsidRPr="00903DB2">
              <w:rPr>
                <w:rFonts w:ascii="Times New Roman" w:hAnsi="Times New Roman" w:cs="Times New Roman"/>
              </w:rPr>
              <w:tab/>
              <w:t>an asset that:</w:t>
            </w:r>
          </w:p>
          <w:p w14:paraId="08E07849" w14:textId="77777777" w:rsidR="00903DB2" w:rsidRPr="00903DB2" w:rsidRDefault="00903DB2" w:rsidP="00E84518">
            <w:pPr>
              <w:ind w:left="1447" w:hanging="144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(i)</w:t>
            </w:r>
            <w:r w:rsidRPr="00903DB2">
              <w:rPr>
                <w:rFonts w:ascii="Times New Roman" w:hAnsi="Times New Roman" w:cs="Times New Roman"/>
              </w:rPr>
              <w:tab/>
              <w:t>is owned or operated by a body corporate that is a related body corporate of an entity that carries on life insurance business and that, in accordance with subsection (5), is critical to the security and reliability of the financial services and markets sector; and</w:t>
            </w:r>
          </w:p>
          <w:p w14:paraId="2673393A" w14:textId="77777777" w:rsidR="00903DB2" w:rsidRPr="00903DB2" w:rsidRDefault="00903DB2" w:rsidP="00E84518">
            <w:pPr>
              <w:ind w:left="1447" w:hanging="144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(ii)</w:t>
            </w:r>
            <w:r w:rsidRPr="00903DB2">
              <w:rPr>
                <w:rFonts w:ascii="Times New Roman" w:hAnsi="Times New Roman" w:cs="Times New Roman"/>
              </w:rPr>
              <w:tab/>
              <w:t>is used in connection with the carrying on of life insurance business;</w:t>
            </w:r>
          </w:p>
          <w:p w14:paraId="2D671C18" w14:textId="77777777"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(e)</w:t>
            </w:r>
            <w:r w:rsidRPr="00903DB2">
              <w:rPr>
                <w:rFonts w:ascii="Times New Roman" w:hAnsi="Times New Roman" w:cs="Times New Roman"/>
              </w:rPr>
              <w:tab/>
              <w:t>an asset that:</w:t>
            </w:r>
          </w:p>
          <w:p w14:paraId="67AD9D22" w14:textId="77777777" w:rsidR="00903DB2" w:rsidRPr="00903DB2" w:rsidRDefault="00903DB2" w:rsidP="00E84518">
            <w:pPr>
              <w:ind w:left="1447" w:hanging="144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(i)</w:t>
            </w:r>
            <w:r w:rsidRPr="00903DB2">
              <w:rPr>
                <w:rFonts w:ascii="Times New Roman" w:hAnsi="Times New Roman" w:cs="Times New Roman"/>
              </w:rPr>
              <w:tab/>
              <w:t>is owned or operated by an entity that carries on health insurance business and that, in accordance with subsection (6), is critical to the security and reliability of the financial services and markets sector; and</w:t>
            </w:r>
          </w:p>
          <w:p w14:paraId="0A720815" w14:textId="77777777" w:rsidR="00903DB2" w:rsidRPr="00903DB2" w:rsidRDefault="00903DB2" w:rsidP="00E84518">
            <w:pPr>
              <w:ind w:left="1447" w:hanging="144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(ii)</w:t>
            </w:r>
            <w:r w:rsidRPr="00903DB2">
              <w:rPr>
                <w:rFonts w:ascii="Times New Roman" w:hAnsi="Times New Roman" w:cs="Times New Roman"/>
              </w:rPr>
              <w:tab/>
              <w:t>is used in connection with the carrying on of health insurance business;</w:t>
            </w:r>
          </w:p>
          <w:p w14:paraId="53ACC23A" w14:textId="77777777"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(f)</w:t>
            </w:r>
            <w:r w:rsidRPr="00903DB2">
              <w:rPr>
                <w:rFonts w:ascii="Times New Roman" w:hAnsi="Times New Roman" w:cs="Times New Roman"/>
              </w:rPr>
              <w:tab/>
              <w:t>an asset that:</w:t>
            </w:r>
          </w:p>
          <w:p w14:paraId="25A4188B" w14:textId="77777777" w:rsidR="00903DB2" w:rsidRPr="00903DB2" w:rsidRDefault="00903DB2" w:rsidP="00E84518">
            <w:pPr>
              <w:ind w:left="1447" w:hanging="144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(i)</w:t>
            </w:r>
            <w:r w:rsidRPr="00903DB2">
              <w:rPr>
                <w:rFonts w:ascii="Times New Roman" w:hAnsi="Times New Roman" w:cs="Times New Roman"/>
              </w:rPr>
              <w:tab/>
              <w:t>is owned or operated by a body corporate that is a related body corporate of an entity that carries on health insurance business and that, in accordance with subsection (7), is critical to the security and reliability of the financial services and markets sector; and</w:t>
            </w:r>
          </w:p>
          <w:p w14:paraId="234E4E6F" w14:textId="77777777" w:rsidR="00903DB2" w:rsidRPr="00903DB2" w:rsidRDefault="00903DB2" w:rsidP="00E84518">
            <w:pPr>
              <w:ind w:left="1447" w:hanging="144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(ii)</w:t>
            </w:r>
            <w:r w:rsidRPr="00903DB2">
              <w:rPr>
                <w:rFonts w:ascii="Times New Roman" w:hAnsi="Times New Roman" w:cs="Times New Roman"/>
              </w:rPr>
              <w:tab/>
              <w:t>is used in connection with the carrying on of health insurance business.</w:t>
            </w:r>
          </w:p>
          <w:p w14:paraId="0E23CC2C" w14:textId="77777777" w:rsidR="00903DB2" w:rsidRPr="00903DB2" w:rsidRDefault="00903DB2" w:rsidP="00E84518">
            <w:pPr>
              <w:ind w:left="1447" w:hanging="144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Note:</w:t>
            </w:r>
            <w:r w:rsidRPr="00903DB2">
              <w:rPr>
                <w:rFonts w:ascii="Times New Roman" w:hAnsi="Times New Roman" w:cs="Times New Roman"/>
              </w:rPr>
              <w:tab/>
              <w:t>The rules may prescribe that a specified critical insurance asset is not a critical infrastructure asset (see section 9).</w:t>
            </w:r>
          </w:p>
          <w:p w14:paraId="0E5C7147" w14:textId="73C34256"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(2)</w:t>
            </w:r>
            <w:r w:rsidRPr="00903DB2">
              <w:rPr>
                <w:rFonts w:ascii="Times New Roman" w:hAnsi="Times New Roman" w:cs="Times New Roman"/>
              </w:rPr>
              <w:tab/>
              <w:t>For the purposes of subparagraph (1)(a)(i), the rules may prescribe:</w:t>
            </w:r>
          </w:p>
          <w:p w14:paraId="0B727A9A" w14:textId="77777777"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(a)</w:t>
            </w:r>
            <w:r w:rsidRPr="00903DB2">
              <w:rPr>
                <w:rFonts w:ascii="Times New Roman" w:hAnsi="Times New Roman" w:cs="Times New Roman"/>
              </w:rPr>
              <w:tab/>
              <w:t>specified entities that are critical to the security and reliability of the financial services and markets sector; or</w:t>
            </w:r>
          </w:p>
          <w:p w14:paraId="41D61633" w14:textId="77777777"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(b)</w:t>
            </w:r>
            <w:r w:rsidRPr="00903DB2">
              <w:rPr>
                <w:rFonts w:ascii="Times New Roman" w:hAnsi="Times New Roman" w:cs="Times New Roman"/>
              </w:rPr>
              <w:tab/>
              <w:t>requirements for an entity to be critical to the security and reliability of the financial services and markets sector.</w:t>
            </w:r>
          </w:p>
          <w:p w14:paraId="4D1E7B77" w14:textId="5E01BB03"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(3)</w:t>
            </w:r>
            <w:r w:rsidRPr="00903DB2">
              <w:rPr>
                <w:rFonts w:ascii="Times New Roman" w:hAnsi="Times New Roman" w:cs="Times New Roman"/>
              </w:rPr>
              <w:tab/>
              <w:t>For the purposes of subparagraph (1)(b)(i), the rules may prescribe:</w:t>
            </w:r>
          </w:p>
          <w:p w14:paraId="25737560" w14:textId="77777777"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(a)</w:t>
            </w:r>
            <w:r w:rsidRPr="00903DB2">
              <w:rPr>
                <w:rFonts w:ascii="Times New Roman" w:hAnsi="Times New Roman" w:cs="Times New Roman"/>
              </w:rPr>
              <w:tab/>
              <w:t>specified bodies corporate that are critical to the security and reliability of the financial services and markets sector; or</w:t>
            </w:r>
          </w:p>
          <w:p w14:paraId="596AA1FD" w14:textId="77777777"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(b)</w:t>
            </w:r>
            <w:r w:rsidRPr="00903DB2">
              <w:rPr>
                <w:rFonts w:ascii="Times New Roman" w:hAnsi="Times New Roman" w:cs="Times New Roman"/>
              </w:rPr>
              <w:tab/>
              <w:t>requirements for a body corporate to be critical to the security and reliability of the financial services and markets sector.</w:t>
            </w:r>
          </w:p>
          <w:p w14:paraId="6AD55700" w14:textId="16FD8A34"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(4)</w:t>
            </w:r>
            <w:r w:rsidRPr="00903DB2">
              <w:rPr>
                <w:rFonts w:ascii="Times New Roman" w:hAnsi="Times New Roman" w:cs="Times New Roman"/>
              </w:rPr>
              <w:tab/>
              <w:t>For the purposes of subparagraph (1)(c)(i), the rules may prescribe:</w:t>
            </w:r>
          </w:p>
          <w:p w14:paraId="15779104" w14:textId="77777777"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(a)</w:t>
            </w:r>
            <w:r w:rsidRPr="00903DB2">
              <w:rPr>
                <w:rFonts w:ascii="Times New Roman" w:hAnsi="Times New Roman" w:cs="Times New Roman"/>
              </w:rPr>
              <w:tab/>
              <w:t>specified entities that are critical to the security and reliability of the financial services and markets sector; or</w:t>
            </w:r>
          </w:p>
          <w:p w14:paraId="2702FD3A" w14:textId="77777777"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(b)</w:t>
            </w:r>
            <w:r w:rsidRPr="00903DB2">
              <w:rPr>
                <w:rFonts w:ascii="Times New Roman" w:hAnsi="Times New Roman" w:cs="Times New Roman"/>
              </w:rPr>
              <w:tab/>
              <w:t>requirements for an entity to be critical to the security and reliability of the financial services and markets sector.</w:t>
            </w:r>
          </w:p>
          <w:p w14:paraId="38B96B71" w14:textId="13998905"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(5)</w:t>
            </w:r>
            <w:r w:rsidRPr="00903DB2">
              <w:rPr>
                <w:rFonts w:ascii="Times New Roman" w:hAnsi="Times New Roman" w:cs="Times New Roman"/>
              </w:rPr>
              <w:tab/>
              <w:t>For the purposes of subparagraph (1)(d)(i), the rules may prescribe:</w:t>
            </w:r>
          </w:p>
          <w:p w14:paraId="3C5BB1EE" w14:textId="77777777"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(a)</w:t>
            </w:r>
            <w:r w:rsidRPr="00903DB2">
              <w:rPr>
                <w:rFonts w:ascii="Times New Roman" w:hAnsi="Times New Roman" w:cs="Times New Roman"/>
              </w:rPr>
              <w:tab/>
              <w:t>specified bodies corporate that are critical to the security and reliability of the financial services and markets sector; or</w:t>
            </w:r>
          </w:p>
          <w:p w14:paraId="24C5D62C" w14:textId="77777777"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(b)</w:t>
            </w:r>
            <w:r w:rsidRPr="00903DB2">
              <w:rPr>
                <w:rFonts w:ascii="Times New Roman" w:hAnsi="Times New Roman" w:cs="Times New Roman"/>
              </w:rPr>
              <w:tab/>
              <w:t>requirements for a body corporate to be critical to the security and reliability of the financial services and markets sector.</w:t>
            </w:r>
          </w:p>
          <w:p w14:paraId="54B6203D" w14:textId="2F1A1908"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(6)</w:t>
            </w:r>
            <w:r w:rsidRPr="00903DB2">
              <w:rPr>
                <w:rFonts w:ascii="Times New Roman" w:hAnsi="Times New Roman" w:cs="Times New Roman"/>
              </w:rPr>
              <w:tab/>
              <w:t>For the purposes of subparagraph (1)(e)(i), the rules may prescribe:</w:t>
            </w:r>
          </w:p>
          <w:p w14:paraId="69FF9E39" w14:textId="77777777"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(a)</w:t>
            </w:r>
            <w:r w:rsidRPr="00903DB2">
              <w:rPr>
                <w:rFonts w:ascii="Times New Roman" w:hAnsi="Times New Roman" w:cs="Times New Roman"/>
              </w:rPr>
              <w:tab/>
              <w:t>specified entities that are critical to the security and reliability of the financial services and markets sector; or</w:t>
            </w:r>
          </w:p>
          <w:p w14:paraId="0E65D74A" w14:textId="77777777"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ab/>
              <w:t>(b)</w:t>
            </w:r>
            <w:r w:rsidRPr="00903DB2">
              <w:rPr>
                <w:rFonts w:ascii="Times New Roman" w:hAnsi="Times New Roman" w:cs="Times New Roman"/>
              </w:rPr>
              <w:tab/>
              <w:t>requirements for an entity to be critical to the security and reliability of the financial services and markets sector.</w:t>
            </w:r>
          </w:p>
          <w:p w14:paraId="7400D88B" w14:textId="2E4DBE41"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t>(7)</w:t>
            </w:r>
            <w:r w:rsidRPr="00903DB2">
              <w:rPr>
                <w:rFonts w:ascii="Times New Roman" w:hAnsi="Times New Roman" w:cs="Times New Roman"/>
              </w:rPr>
              <w:tab/>
              <w:t>For the purposes of subparagraph (1)(f)(i), the rules may prescribe:</w:t>
            </w:r>
          </w:p>
          <w:p w14:paraId="5F804235" w14:textId="77777777" w:rsidR="00903DB2" w:rsidRPr="00903DB2" w:rsidRDefault="00903DB2" w:rsidP="00903D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3DB2">
              <w:rPr>
                <w:rFonts w:ascii="Times New Roman" w:hAnsi="Times New Roman" w:cs="Times New Roman"/>
              </w:rPr>
              <w:lastRenderedPageBreak/>
              <w:tab/>
              <w:t>(a)</w:t>
            </w:r>
            <w:r w:rsidRPr="00903DB2">
              <w:rPr>
                <w:rFonts w:ascii="Times New Roman" w:hAnsi="Times New Roman" w:cs="Times New Roman"/>
              </w:rPr>
              <w:tab/>
              <w:t>specified bodies corporate that are critical to the security and reliability of the financial services and markets sector; or</w:t>
            </w:r>
          </w:p>
          <w:p w14:paraId="1E4D010C" w14:textId="758DD03C" w:rsidR="00993F09" w:rsidRPr="001A7788" w:rsidRDefault="00903DB2" w:rsidP="00E84518">
            <w:pPr>
              <w:cnfStyle w:val="000000000000" w:firstRow="0" w:lastRow="0" w:firstColumn="0" w:lastColumn="0" w:oddVBand="0" w:evenVBand="0" w:oddHBand="0" w:evenHBand="0" w:firstRowFirstColumn="0" w:firstRowLastColumn="0" w:lastRowFirstColumn="0" w:lastRowLastColumn="0"/>
            </w:pPr>
            <w:r w:rsidRPr="00903DB2">
              <w:rPr>
                <w:rFonts w:ascii="Times New Roman" w:hAnsi="Times New Roman" w:cs="Times New Roman"/>
              </w:rPr>
              <w:tab/>
              <w:t>(b)</w:t>
            </w:r>
            <w:r w:rsidRPr="00903DB2">
              <w:rPr>
                <w:rFonts w:ascii="Times New Roman" w:hAnsi="Times New Roman" w:cs="Times New Roman"/>
              </w:rPr>
              <w:tab/>
              <w:t>requirements for a body corporate to be critical to the security and reliability of the financial services and markets sector.</w:t>
            </w:r>
            <w:r w:rsidRPr="00903DB2" w:rsidDel="00903DB2">
              <w:rPr>
                <w:rFonts w:ascii="Times New Roman" w:hAnsi="Times New Roman" w:cs="Times New Roman"/>
              </w:rPr>
              <w:t xml:space="preserve"> </w:t>
            </w:r>
          </w:p>
        </w:tc>
      </w:tr>
      <w:tr w:rsidR="00993F09" w:rsidRPr="00924D81" w14:paraId="5ED3A0DE" w14:textId="77777777" w:rsidTr="0060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pct"/>
          </w:tcPr>
          <w:p w14:paraId="7C692DC9" w14:textId="77777777" w:rsidR="00993F09" w:rsidRPr="001A7788" w:rsidRDefault="00993F09" w:rsidP="00602DDE">
            <w:pPr>
              <w:rPr>
                <w:rFonts w:ascii="Times New Roman" w:hAnsi="Times New Roman" w:cs="Times New Roman"/>
                <w:u w:val="single"/>
              </w:rPr>
            </w:pPr>
            <w:r w:rsidRPr="001A7788">
              <w:rPr>
                <w:rFonts w:ascii="Times New Roman" w:hAnsi="Times New Roman" w:cs="Times New Roman"/>
                <w:u w:val="single"/>
              </w:rPr>
              <w:lastRenderedPageBreak/>
              <w:t>Critical financial market infrastructure asset</w:t>
            </w:r>
          </w:p>
          <w:p w14:paraId="6A0E7A78" w14:textId="77777777" w:rsidR="00993F09" w:rsidRPr="001A7788" w:rsidRDefault="00993F09" w:rsidP="00602DDE">
            <w:pPr>
              <w:rPr>
                <w:rFonts w:ascii="Times New Roman" w:hAnsi="Times New Roman" w:cs="Times New Roman"/>
                <w:u w:val="single"/>
              </w:rPr>
            </w:pPr>
          </w:p>
          <w:p w14:paraId="487D3093" w14:textId="77777777" w:rsidR="00993F09" w:rsidRPr="001A7788" w:rsidRDefault="00993F09" w:rsidP="00602DDE">
            <w:pPr>
              <w:rPr>
                <w:rFonts w:ascii="Times New Roman" w:hAnsi="Times New Roman" w:cs="Times New Roman"/>
                <w:b w:val="0"/>
                <w:i/>
              </w:rPr>
            </w:pPr>
          </w:p>
        </w:tc>
        <w:tc>
          <w:tcPr>
            <w:tcW w:w="3933" w:type="pct"/>
          </w:tcPr>
          <w:p w14:paraId="09463D37" w14:textId="660A70FB" w:rsidR="00903DB2" w:rsidRPr="005E02E3" w:rsidRDefault="00903DB2" w:rsidP="00903DB2">
            <w:pPr>
              <w:pStyle w:val="subsection"/>
              <w:cnfStyle w:val="000000100000" w:firstRow="0" w:lastRow="0" w:firstColumn="0" w:lastColumn="0" w:oddVBand="0" w:evenVBand="0" w:oddHBand="1" w:evenHBand="0" w:firstRowFirstColumn="0" w:firstRowLastColumn="0" w:lastRowFirstColumn="0" w:lastRowLastColumn="0"/>
            </w:pPr>
            <w:r w:rsidRPr="001A7788" w:rsidDel="00903DB2">
              <w:t xml:space="preserve"> </w:t>
            </w:r>
            <w:r w:rsidRPr="005E02E3">
              <w:t>(1)</w:t>
            </w:r>
            <w:r w:rsidRPr="005E02E3">
              <w:tab/>
              <w:t xml:space="preserve">An asset is a </w:t>
            </w:r>
            <w:r w:rsidRPr="005E02E3">
              <w:rPr>
                <w:b/>
                <w:i/>
              </w:rPr>
              <w:t>critical financial market infrastructure asset</w:t>
            </w:r>
            <w:r w:rsidRPr="005E02E3">
              <w:t xml:space="preserve"> if it is any of the following assets:</w:t>
            </w:r>
          </w:p>
          <w:p w14:paraId="66A71ECD" w14:textId="77777777" w:rsidR="00903DB2" w:rsidRPr="005E02E3" w:rsidRDefault="00903DB2" w:rsidP="00903DB2">
            <w:pPr>
              <w:pStyle w:val="paragraph"/>
              <w:cnfStyle w:val="000000100000" w:firstRow="0" w:lastRow="0" w:firstColumn="0" w:lastColumn="0" w:oddVBand="0" w:evenVBand="0" w:oddHBand="1" w:evenHBand="0" w:firstRowFirstColumn="0" w:firstRowLastColumn="0" w:lastRowFirstColumn="0" w:lastRowLastColumn="0"/>
            </w:pPr>
            <w:r w:rsidRPr="005E02E3">
              <w:tab/>
              <w:t>(a)</w:t>
            </w:r>
            <w:r w:rsidRPr="005E02E3">
              <w:tab/>
              <w:t>an asset that:</w:t>
            </w:r>
          </w:p>
          <w:p w14:paraId="345584AD" w14:textId="77777777" w:rsidR="00903DB2" w:rsidRPr="005E02E3" w:rsidRDefault="00903DB2" w:rsidP="00903DB2">
            <w:pPr>
              <w:pStyle w:val="paragraphsub"/>
              <w:cnfStyle w:val="000000100000" w:firstRow="0" w:lastRow="0" w:firstColumn="0" w:lastColumn="0" w:oddVBand="0" w:evenVBand="0" w:oddHBand="1" w:evenHBand="0" w:firstRowFirstColumn="0" w:firstRowLastColumn="0" w:lastRowFirstColumn="0" w:lastRowLastColumn="0"/>
            </w:pPr>
            <w:r w:rsidRPr="005E02E3">
              <w:tab/>
              <w:t>(i)</w:t>
            </w:r>
            <w:r w:rsidRPr="005E02E3">
              <w:tab/>
              <w:t>is owned or operated by an Australian body corporate that holds an Australian market licence; and</w:t>
            </w:r>
          </w:p>
          <w:p w14:paraId="4FCFB165" w14:textId="77777777" w:rsidR="00903DB2" w:rsidRPr="005E02E3" w:rsidRDefault="00903DB2" w:rsidP="00903DB2">
            <w:pPr>
              <w:pStyle w:val="paragraphsub"/>
              <w:cnfStyle w:val="000000100000" w:firstRow="0" w:lastRow="0" w:firstColumn="0" w:lastColumn="0" w:oddVBand="0" w:evenVBand="0" w:oddHBand="1" w:evenHBand="0" w:firstRowFirstColumn="0" w:firstRowLastColumn="0" w:lastRowFirstColumn="0" w:lastRowLastColumn="0"/>
            </w:pPr>
            <w:r w:rsidRPr="005E02E3">
              <w:tab/>
              <w:t>(ii)</w:t>
            </w:r>
            <w:r w:rsidRPr="005E02E3">
              <w:tab/>
              <w:t xml:space="preserve">is </w:t>
            </w:r>
            <w:r>
              <w:t xml:space="preserve">used in connection with the </w:t>
            </w:r>
            <w:r w:rsidRPr="005E02E3">
              <w:t>operation of a financial market</w:t>
            </w:r>
            <w:r>
              <w:t>, that</w:t>
            </w:r>
            <w:r w:rsidRPr="005E02E3">
              <w:t xml:space="preserve">, in accordance with </w:t>
            </w:r>
            <w:r>
              <w:t>subsection (</w:t>
            </w:r>
            <w:r w:rsidRPr="005E02E3">
              <w:t>2)</w:t>
            </w:r>
            <w:r>
              <w:t>, is critical to the security and reliability of the financial services and markets sector;</w:t>
            </w:r>
          </w:p>
          <w:p w14:paraId="6DD553A5" w14:textId="77777777" w:rsidR="00903DB2" w:rsidRPr="005E02E3" w:rsidRDefault="00903DB2" w:rsidP="00903DB2">
            <w:pPr>
              <w:pStyle w:val="paragraph"/>
              <w:cnfStyle w:val="000000100000" w:firstRow="0" w:lastRow="0" w:firstColumn="0" w:lastColumn="0" w:oddVBand="0" w:evenVBand="0" w:oddHBand="1" w:evenHBand="0" w:firstRowFirstColumn="0" w:firstRowLastColumn="0" w:lastRowFirstColumn="0" w:lastRowLastColumn="0"/>
            </w:pPr>
            <w:r w:rsidRPr="005E02E3">
              <w:tab/>
              <w:t>(b)</w:t>
            </w:r>
            <w:r w:rsidRPr="005E02E3">
              <w:tab/>
              <w:t>an asset that:</w:t>
            </w:r>
          </w:p>
          <w:p w14:paraId="2BF6C69F" w14:textId="77777777" w:rsidR="00903DB2" w:rsidRPr="005E02E3" w:rsidRDefault="00903DB2" w:rsidP="00903DB2">
            <w:pPr>
              <w:pStyle w:val="paragraphsub"/>
              <w:cnfStyle w:val="000000100000" w:firstRow="0" w:lastRow="0" w:firstColumn="0" w:lastColumn="0" w:oddVBand="0" w:evenVBand="0" w:oddHBand="1" w:evenHBand="0" w:firstRowFirstColumn="0" w:firstRowLastColumn="0" w:lastRowFirstColumn="0" w:lastRowLastColumn="0"/>
            </w:pPr>
            <w:r w:rsidRPr="005E02E3">
              <w:tab/>
              <w:t>(i)</w:t>
            </w:r>
            <w:r w:rsidRPr="005E02E3">
              <w:tab/>
              <w:t>is owned or operated by a</w:t>
            </w:r>
            <w:r>
              <w:t>n associated entity</w:t>
            </w:r>
            <w:r w:rsidRPr="005E02E3">
              <w:t xml:space="preserve"> of an Australian body corporate that holds an Australian market licence; and</w:t>
            </w:r>
          </w:p>
          <w:p w14:paraId="352E87F8" w14:textId="77777777" w:rsidR="00903DB2" w:rsidRPr="005E02E3" w:rsidRDefault="00903DB2" w:rsidP="00903DB2">
            <w:pPr>
              <w:pStyle w:val="paragraphsub"/>
              <w:cnfStyle w:val="000000100000" w:firstRow="0" w:lastRow="0" w:firstColumn="0" w:lastColumn="0" w:oddVBand="0" w:evenVBand="0" w:oddHBand="1" w:evenHBand="0" w:firstRowFirstColumn="0" w:firstRowLastColumn="0" w:lastRowFirstColumn="0" w:lastRowLastColumn="0"/>
            </w:pPr>
            <w:r w:rsidRPr="005E02E3">
              <w:tab/>
              <w:t>(ii)</w:t>
            </w:r>
            <w:r w:rsidRPr="005E02E3">
              <w:tab/>
              <w:t xml:space="preserve">is </w:t>
            </w:r>
            <w:r>
              <w:t xml:space="preserve">used in connection with the </w:t>
            </w:r>
            <w:r w:rsidRPr="005E02E3">
              <w:t>operation of a financial market</w:t>
            </w:r>
            <w:r>
              <w:t>, that</w:t>
            </w:r>
            <w:r w:rsidRPr="005E02E3">
              <w:t xml:space="preserve">, in accordance with </w:t>
            </w:r>
            <w:r>
              <w:t>subsection (</w:t>
            </w:r>
            <w:r w:rsidRPr="005E02E3">
              <w:t>2)</w:t>
            </w:r>
            <w:r>
              <w:t>, is critical to the security and reliability of the financial services and markets sector;</w:t>
            </w:r>
          </w:p>
          <w:p w14:paraId="55231680" w14:textId="77777777" w:rsidR="00903DB2" w:rsidRPr="005E02E3" w:rsidRDefault="00903DB2" w:rsidP="00903DB2">
            <w:pPr>
              <w:pStyle w:val="paragraph"/>
              <w:cnfStyle w:val="000000100000" w:firstRow="0" w:lastRow="0" w:firstColumn="0" w:lastColumn="0" w:oddVBand="0" w:evenVBand="0" w:oddHBand="1" w:evenHBand="0" w:firstRowFirstColumn="0" w:firstRowLastColumn="0" w:lastRowFirstColumn="0" w:lastRowLastColumn="0"/>
            </w:pPr>
            <w:r w:rsidRPr="005E02E3">
              <w:tab/>
              <w:t>(c)</w:t>
            </w:r>
            <w:r w:rsidRPr="005E02E3">
              <w:tab/>
              <w:t>an asset that:</w:t>
            </w:r>
          </w:p>
          <w:p w14:paraId="3E230B6F" w14:textId="77777777" w:rsidR="00903DB2" w:rsidRPr="005E02E3" w:rsidRDefault="00903DB2" w:rsidP="00903DB2">
            <w:pPr>
              <w:pStyle w:val="paragraphsub"/>
              <w:cnfStyle w:val="000000100000" w:firstRow="0" w:lastRow="0" w:firstColumn="0" w:lastColumn="0" w:oddVBand="0" w:evenVBand="0" w:oddHBand="1" w:evenHBand="0" w:firstRowFirstColumn="0" w:firstRowLastColumn="0" w:lastRowFirstColumn="0" w:lastRowLastColumn="0"/>
            </w:pPr>
            <w:r w:rsidRPr="005E02E3">
              <w:tab/>
              <w:t>(i)</w:t>
            </w:r>
            <w:r w:rsidRPr="005E02E3">
              <w:tab/>
              <w:t>is owned or operated by an Australian body corporate that holds an Australian CS facility licence; and</w:t>
            </w:r>
          </w:p>
          <w:p w14:paraId="617A807B" w14:textId="77777777" w:rsidR="00903DB2" w:rsidRPr="005E02E3" w:rsidRDefault="00903DB2" w:rsidP="00903DB2">
            <w:pPr>
              <w:pStyle w:val="paragraphsub"/>
              <w:cnfStyle w:val="000000100000" w:firstRow="0" w:lastRow="0" w:firstColumn="0" w:lastColumn="0" w:oddVBand="0" w:evenVBand="0" w:oddHBand="1" w:evenHBand="0" w:firstRowFirstColumn="0" w:firstRowLastColumn="0" w:lastRowFirstColumn="0" w:lastRowLastColumn="0"/>
            </w:pPr>
            <w:r w:rsidRPr="005E02E3">
              <w:tab/>
              <w:t>(ii)</w:t>
            </w:r>
            <w:r w:rsidRPr="005E02E3">
              <w:tab/>
              <w:t xml:space="preserve">is </w:t>
            </w:r>
            <w:r>
              <w:t xml:space="preserve">used in connection with the </w:t>
            </w:r>
            <w:r w:rsidRPr="005E02E3">
              <w:t xml:space="preserve">operation of a </w:t>
            </w:r>
            <w:r>
              <w:t>clearing and settlement facility, that</w:t>
            </w:r>
            <w:r w:rsidRPr="005E02E3">
              <w:t xml:space="preserve">, in accordance with </w:t>
            </w:r>
            <w:r>
              <w:t>subsection (3</w:t>
            </w:r>
            <w:r w:rsidRPr="005E02E3">
              <w:t>)</w:t>
            </w:r>
            <w:r>
              <w:t>, is critical to the security and reliability of the financial services and markets sector;</w:t>
            </w:r>
          </w:p>
          <w:p w14:paraId="339FE2C0" w14:textId="77777777" w:rsidR="00903DB2" w:rsidRPr="005E02E3" w:rsidRDefault="00903DB2" w:rsidP="00903DB2">
            <w:pPr>
              <w:pStyle w:val="paragraph"/>
              <w:cnfStyle w:val="000000100000" w:firstRow="0" w:lastRow="0" w:firstColumn="0" w:lastColumn="0" w:oddVBand="0" w:evenVBand="0" w:oddHBand="1" w:evenHBand="0" w:firstRowFirstColumn="0" w:firstRowLastColumn="0" w:lastRowFirstColumn="0" w:lastRowLastColumn="0"/>
            </w:pPr>
            <w:r w:rsidRPr="005E02E3">
              <w:tab/>
              <w:t>(d)</w:t>
            </w:r>
            <w:r w:rsidRPr="005E02E3">
              <w:tab/>
              <w:t>an asset that:</w:t>
            </w:r>
          </w:p>
          <w:p w14:paraId="17CAA117" w14:textId="77777777" w:rsidR="00903DB2" w:rsidRPr="005E02E3" w:rsidRDefault="00903DB2" w:rsidP="00903DB2">
            <w:pPr>
              <w:pStyle w:val="paragraphsub"/>
              <w:cnfStyle w:val="000000100000" w:firstRow="0" w:lastRow="0" w:firstColumn="0" w:lastColumn="0" w:oddVBand="0" w:evenVBand="0" w:oddHBand="1" w:evenHBand="0" w:firstRowFirstColumn="0" w:firstRowLastColumn="0" w:lastRowFirstColumn="0" w:lastRowLastColumn="0"/>
            </w:pPr>
            <w:r w:rsidRPr="005E02E3">
              <w:tab/>
              <w:t>(i)</w:t>
            </w:r>
            <w:r w:rsidRPr="005E02E3">
              <w:tab/>
              <w:t>is owned or operated by a</w:t>
            </w:r>
            <w:r>
              <w:t>n associated entity</w:t>
            </w:r>
            <w:r w:rsidRPr="005E02E3">
              <w:t xml:space="preserve"> of an Australian body corporate that holds an Australian CS facility licence; and</w:t>
            </w:r>
          </w:p>
          <w:p w14:paraId="5392B1D1" w14:textId="77777777" w:rsidR="00903DB2" w:rsidRPr="005E02E3" w:rsidRDefault="00903DB2" w:rsidP="00903DB2">
            <w:pPr>
              <w:pStyle w:val="paragraphsub"/>
              <w:cnfStyle w:val="000000100000" w:firstRow="0" w:lastRow="0" w:firstColumn="0" w:lastColumn="0" w:oddVBand="0" w:evenVBand="0" w:oddHBand="1" w:evenHBand="0" w:firstRowFirstColumn="0" w:firstRowLastColumn="0" w:lastRowFirstColumn="0" w:lastRowLastColumn="0"/>
            </w:pPr>
            <w:r w:rsidRPr="005E02E3">
              <w:tab/>
              <w:t>(ii)</w:t>
            </w:r>
            <w:r w:rsidRPr="005E02E3">
              <w:tab/>
              <w:t xml:space="preserve">is </w:t>
            </w:r>
            <w:r>
              <w:t xml:space="preserve">used in connection with the </w:t>
            </w:r>
            <w:r w:rsidRPr="005E02E3">
              <w:t xml:space="preserve">operation of a </w:t>
            </w:r>
            <w:r>
              <w:t>clearing and settlement facility, that</w:t>
            </w:r>
            <w:r w:rsidRPr="005E02E3">
              <w:t xml:space="preserve">, in accordance with </w:t>
            </w:r>
            <w:r>
              <w:t>subsection (3</w:t>
            </w:r>
            <w:r w:rsidRPr="005E02E3">
              <w:t>)</w:t>
            </w:r>
            <w:r>
              <w:t>, is critical to the security and reliability of the financial services and markets sector;</w:t>
            </w:r>
          </w:p>
          <w:p w14:paraId="3DBC7D30" w14:textId="77777777" w:rsidR="00903DB2" w:rsidRPr="005E02E3" w:rsidRDefault="00903DB2" w:rsidP="00903DB2">
            <w:pPr>
              <w:pStyle w:val="paragraph"/>
              <w:cnfStyle w:val="000000100000" w:firstRow="0" w:lastRow="0" w:firstColumn="0" w:lastColumn="0" w:oddVBand="0" w:evenVBand="0" w:oddHBand="1" w:evenHBand="0" w:firstRowFirstColumn="0" w:firstRowLastColumn="0" w:lastRowFirstColumn="0" w:lastRowLastColumn="0"/>
            </w:pPr>
            <w:r w:rsidRPr="005E02E3">
              <w:tab/>
              <w:t>(e)</w:t>
            </w:r>
            <w:r w:rsidRPr="005E02E3">
              <w:tab/>
              <w:t>an asset that:</w:t>
            </w:r>
          </w:p>
          <w:p w14:paraId="031B6140" w14:textId="77777777" w:rsidR="00903DB2" w:rsidRPr="005E02E3" w:rsidRDefault="00903DB2" w:rsidP="00903DB2">
            <w:pPr>
              <w:pStyle w:val="paragraphsub"/>
              <w:cnfStyle w:val="000000100000" w:firstRow="0" w:lastRow="0" w:firstColumn="0" w:lastColumn="0" w:oddVBand="0" w:evenVBand="0" w:oddHBand="1" w:evenHBand="0" w:firstRowFirstColumn="0" w:firstRowLastColumn="0" w:lastRowFirstColumn="0" w:lastRowLastColumn="0"/>
            </w:pPr>
            <w:r w:rsidRPr="005E02E3">
              <w:tab/>
              <w:t>(i)</w:t>
            </w:r>
            <w:r w:rsidRPr="005E02E3">
              <w:tab/>
              <w:t>is owned or operated by an Australian body corporate that holds a benchmark administrator licence; and</w:t>
            </w:r>
          </w:p>
          <w:p w14:paraId="4C6E7A50" w14:textId="77777777" w:rsidR="00903DB2" w:rsidRPr="005E02E3" w:rsidRDefault="00903DB2" w:rsidP="00903DB2">
            <w:pPr>
              <w:pStyle w:val="paragraphsub"/>
              <w:cnfStyle w:val="000000100000" w:firstRow="0" w:lastRow="0" w:firstColumn="0" w:lastColumn="0" w:oddVBand="0" w:evenVBand="0" w:oddHBand="1" w:evenHBand="0" w:firstRowFirstColumn="0" w:firstRowLastColumn="0" w:lastRowFirstColumn="0" w:lastRowLastColumn="0"/>
            </w:pPr>
            <w:r w:rsidRPr="005E02E3">
              <w:tab/>
              <w:t>(ii)</w:t>
            </w:r>
            <w:r w:rsidRPr="005E02E3">
              <w:tab/>
              <w:t xml:space="preserve">is </w:t>
            </w:r>
            <w:r>
              <w:t xml:space="preserve">used in connection with the </w:t>
            </w:r>
            <w:r w:rsidRPr="005E02E3">
              <w:t>administration of a significant financial benchmark</w:t>
            </w:r>
            <w:r>
              <w:t>, that</w:t>
            </w:r>
            <w:r w:rsidRPr="005E02E3">
              <w:t xml:space="preserve">, in accordance with </w:t>
            </w:r>
            <w:r>
              <w:t>subsection (4</w:t>
            </w:r>
            <w:r w:rsidRPr="005E02E3">
              <w:t>)</w:t>
            </w:r>
            <w:r>
              <w:t>, is critical to the security and reliability of the financial services and markets sector;</w:t>
            </w:r>
          </w:p>
          <w:p w14:paraId="45573365" w14:textId="77777777" w:rsidR="00903DB2" w:rsidRPr="005E02E3" w:rsidRDefault="00903DB2" w:rsidP="00903DB2">
            <w:pPr>
              <w:pStyle w:val="paragraph"/>
              <w:cnfStyle w:val="000000100000" w:firstRow="0" w:lastRow="0" w:firstColumn="0" w:lastColumn="0" w:oddVBand="0" w:evenVBand="0" w:oddHBand="1" w:evenHBand="0" w:firstRowFirstColumn="0" w:firstRowLastColumn="0" w:lastRowFirstColumn="0" w:lastRowLastColumn="0"/>
            </w:pPr>
            <w:r w:rsidRPr="005E02E3">
              <w:tab/>
              <w:t>(f)</w:t>
            </w:r>
            <w:r w:rsidRPr="005E02E3">
              <w:tab/>
              <w:t>an asset that:</w:t>
            </w:r>
          </w:p>
          <w:p w14:paraId="3D5B7C7D" w14:textId="77777777" w:rsidR="00903DB2" w:rsidRPr="005E02E3" w:rsidRDefault="00903DB2" w:rsidP="00903DB2">
            <w:pPr>
              <w:pStyle w:val="paragraphsub"/>
              <w:cnfStyle w:val="000000100000" w:firstRow="0" w:lastRow="0" w:firstColumn="0" w:lastColumn="0" w:oddVBand="0" w:evenVBand="0" w:oddHBand="1" w:evenHBand="0" w:firstRowFirstColumn="0" w:firstRowLastColumn="0" w:lastRowFirstColumn="0" w:lastRowLastColumn="0"/>
            </w:pPr>
            <w:r w:rsidRPr="005E02E3">
              <w:tab/>
            </w:r>
            <w:r w:rsidRPr="005E02E3">
              <w:rPr>
                <w:lang w:eastAsia="en-US"/>
              </w:rPr>
              <w:t>(</w:t>
            </w:r>
            <w:r w:rsidRPr="005E02E3">
              <w:t>i)</w:t>
            </w:r>
            <w:r w:rsidRPr="005E02E3">
              <w:tab/>
              <w:t>is owned or operated by a</w:t>
            </w:r>
            <w:r>
              <w:t>n associated entity</w:t>
            </w:r>
            <w:r w:rsidRPr="005E02E3">
              <w:t xml:space="preserve"> of an Australian body corporate that holds a benchmark administrator licence; and</w:t>
            </w:r>
          </w:p>
          <w:p w14:paraId="79C3963B" w14:textId="77777777" w:rsidR="00903DB2" w:rsidRPr="005E02E3" w:rsidRDefault="00903DB2" w:rsidP="00903DB2">
            <w:pPr>
              <w:pStyle w:val="paragraphsub"/>
              <w:cnfStyle w:val="000000100000" w:firstRow="0" w:lastRow="0" w:firstColumn="0" w:lastColumn="0" w:oddVBand="0" w:evenVBand="0" w:oddHBand="1" w:evenHBand="0" w:firstRowFirstColumn="0" w:firstRowLastColumn="0" w:lastRowFirstColumn="0" w:lastRowLastColumn="0"/>
            </w:pPr>
            <w:r w:rsidRPr="005E02E3">
              <w:tab/>
              <w:t>(ii)</w:t>
            </w:r>
            <w:r w:rsidRPr="005E02E3">
              <w:tab/>
              <w:t xml:space="preserve">is </w:t>
            </w:r>
            <w:r>
              <w:t xml:space="preserve">used in connection with the </w:t>
            </w:r>
            <w:r w:rsidRPr="005E02E3">
              <w:t>administration of a significant financial benchmark</w:t>
            </w:r>
            <w:r>
              <w:t>, that</w:t>
            </w:r>
            <w:r w:rsidRPr="005E02E3">
              <w:t xml:space="preserve">, in accordance with </w:t>
            </w:r>
            <w:r>
              <w:t>subsection (4</w:t>
            </w:r>
            <w:r w:rsidRPr="005E02E3">
              <w:t>)</w:t>
            </w:r>
            <w:r>
              <w:t>, is critical to the security and reliability of the financial services and markets sector;</w:t>
            </w:r>
          </w:p>
          <w:p w14:paraId="5F6758EE" w14:textId="77777777" w:rsidR="00903DB2" w:rsidRPr="005E02E3" w:rsidRDefault="00903DB2" w:rsidP="00903DB2">
            <w:pPr>
              <w:pStyle w:val="paragraph"/>
              <w:cnfStyle w:val="000000100000" w:firstRow="0" w:lastRow="0" w:firstColumn="0" w:lastColumn="0" w:oddVBand="0" w:evenVBand="0" w:oddHBand="1" w:evenHBand="0" w:firstRowFirstColumn="0" w:firstRowLastColumn="0" w:lastRowFirstColumn="0" w:lastRowLastColumn="0"/>
            </w:pPr>
            <w:r w:rsidRPr="005E02E3">
              <w:tab/>
              <w:t>(g)</w:t>
            </w:r>
            <w:r w:rsidRPr="005E02E3">
              <w:tab/>
              <w:t>an asset that:</w:t>
            </w:r>
          </w:p>
          <w:p w14:paraId="1ACB9A46" w14:textId="77777777" w:rsidR="00903DB2" w:rsidRPr="005E02E3" w:rsidRDefault="00903DB2" w:rsidP="00903DB2">
            <w:pPr>
              <w:pStyle w:val="paragraphsub"/>
              <w:cnfStyle w:val="000000100000" w:firstRow="0" w:lastRow="0" w:firstColumn="0" w:lastColumn="0" w:oddVBand="0" w:evenVBand="0" w:oddHBand="1" w:evenHBand="0" w:firstRowFirstColumn="0" w:firstRowLastColumn="0" w:lastRowFirstColumn="0" w:lastRowLastColumn="0"/>
            </w:pPr>
            <w:r w:rsidRPr="005E02E3">
              <w:tab/>
              <w:t>(i)</w:t>
            </w:r>
            <w:r w:rsidRPr="005E02E3">
              <w:tab/>
              <w:t>is owned or operated by an Australian body corporate that holds an Australian derivative trade repository licence; and</w:t>
            </w:r>
          </w:p>
          <w:p w14:paraId="0FEA33EB" w14:textId="77777777" w:rsidR="00903DB2" w:rsidRPr="005E02E3" w:rsidRDefault="00903DB2" w:rsidP="00903DB2">
            <w:pPr>
              <w:pStyle w:val="paragraphsub"/>
              <w:cnfStyle w:val="000000100000" w:firstRow="0" w:lastRow="0" w:firstColumn="0" w:lastColumn="0" w:oddVBand="0" w:evenVBand="0" w:oddHBand="1" w:evenHBand="0" w:firstRowFirstColumn="0" w:firstRowLastColumn="0" w:lastRowFirstColumn="0" w:lastRowLastColumn="0"/>
            </w:pPr>
            <w:r w:rsidRPr="005E02E3">
              <w:lastRenderedPageBreak/>
              <w:tab/>
              <w:t>(ii)</w:t>
            </w:r>
            <w:r w:rsidRPr="005E02E3">
              <w:tab/>
              <w:t xml:space="preserve">is </w:t>
            </w:r>
            <w:r>
              <w:t xml:space="preserve">used in connection with the </w:t>
            </w:r>
            <w:r w:rsidRPr="005E02E3">
              <w:t>operation of a derivative trade repository</w:t>
            </w:r>
            <w:r>
              <w:t>, that</w:t>
            </w:r>
            <w:r w:rsidRPr="005E02E3">
              <w:t xml:space="preserve">, in accordance with </w:t>
            </w:r>
            <w:r>
              <w:t>subsection (5</w:t>
            </w:r>
            <w:r w:rsidRPr="005E02E3">
              <w:t>)</w:t>
            </w:r>
            <w:r>
              <w:t>, is critical to the security and reliability of the financial services and markets sector;</w:t>
            </w:r>
          </w:p>
          <w:p w14:paraId="26D67299" w14:textId="77777777" w:rsidR="00903DB2" w:rsidRPr="005E02E3" w:rsidRDefault="00903DB2" w:rsidP="00903DB2">
            <w:pPr>
              <w:pStyle w:val="paragraph"/>
              <w:cnfStyle w:val="000000100000" w:firstRow="0" w:lastRow="0" w:firstColumn="0" w:lastColumn="0" w:oddVBand="0" w:evenVBand="0" w:oddHBand="1" w:evenHBand="0" w:firstRowFirstColumn="0" w:firstRowLastColumn="0" w:lastRowFirstColumn="0" w:lastRowLastColumn="0"/>
            </w:pPr>
            <w:r w:rsidRPr="005E02E3">
              <w:tab/>
              <w:t>(h)</w:t>
            </w:r>
            <w:r w:rsidRPr="005E02E3">
              <w:tab/>
              <w:t>an asset that:</w:t>
            </w:r>
          </w:p>
          <w:p w14:paraId="0BF72237" w14:textId="77777777" w:rsidR="00903DB2" w:rsidRPr="005E02E3" w:rsidRDefault="00903DB2" w:rsidP="00903DB2">
            <w:pPr>
              <w:pStyle w:val="paragraphsub"/>
              <w:cnfStyle w:val="000000100000" w:firstRow="0" w:lastRow="0" w:firstColumn="0" w:lastColumn="0" w:oddVBand="0" w:evenVBand="0" w:oddHBand="1" w:evenHBand="0" w:firstRowFirstColumn="0" w:firstRowLastColumn="0" w:lastRowFirstColumn="0" w:lastRowLastColumn="0"/>
            </w:pPr>
            <w:r w:rsidRPr="005E02E3">
              <w:tab/>
            </w:r>
            <w:r w:rsidRPr="005E02E3">
              <w:rPr>
                <w:lang w:eastAsia="en-US"/>
              </w:rPr>
              <w:t>(</w:t>
            </w:r>
            <w:r w:rsidRPr="005E02E3">
              <w:t>i)</w:t>
            </w:r>
            <w:r w:rsidRPr="005E02E3">
              <w:tab/>
              <w:t>is owned or operated by a</w:t>
            </w:r>
            <w:r>
              <w:t>n associated entity</w:t>
            </w:r>
            <w:r w:rsidRPr="005E02E3">
              <w:t xml:space="preserve"> of an Australian body corporate that holds an Australian derivative trade repository licence; and</w:t>
            </w:r>
          </w:p>
          <w:p w14:paraId="22E84829" w14:textId="77777777" w:rsidR="00903DB2" w:rsidRPr="005E02E3" w:rsidRDefault="00903DB2" w:rsidP="00903DB2">
            <w:pPr>
              <w:pStyle w:val="paragraphsub"/>
              <w:cnfStyle w:val="000000100000" w:firstRow="0" w:lastRow="0" w:firstColumn="0" w:lastColumn="0" w:oddVBand="0" w:evenVBand="0" w:oddHBand="1" w:evenHBand="0" w:firstRowFirstColumn="0" w:firstRowLastColumn="0" w:lastRowFirstColumn="0" w:lastRowLastColumn="0"/>
            </w:pPr>
            <w:r w:rsidRPr="005E02E3">
              <w:tab/>
              <w:t>(ii)</w:t>
            </w:r>
            <w:r w:rsidRPr="005E02E3">
              <w:tab/>
              <w:t xml:space="preserve">is </w:t>
            </w:r>
            <w:r>
              <w:t xml:space="preserve">used in connection with the </w:t>
            </w:r>
            <w:r w:rsidRPr="005E02E3">
              <w:t>operation of a derivative trade repository</w:t>
            </w:r>
            <w:r>
              <w:t>, that</w:t>
            </w:r>
            <w:r w:rsidRPr="005E02E3">
              <w:t xml:space="preserve">, in accordance with </w:t>
            </w:r>
            <w:r>
              <w:t>subsection (5</w:t>
            </w:r>
            <w:r w:rsidRPr="005E02E3">
              <w:t>)</w:t>
            </w:r>
            <w:r>
              <w:t>, is critical to the security and reliability of the financial services and markets sector;</w:t>
            </w:r>
          </w:p>
          <w:p w14:paraId="44251EDE" w14:textId="77777777" w:rsidR="00903DB2" w:rsidRPr="005E02E3" w:rsidRDefault="00903DB2" w:rsidP="00903DB2">
            <w:pPr>
              <w:pStyle w:val="paragraph"/>
              <w:cnfStyle w:val="000000100000" w:firstRow="0" w:lastRow="0" w:firstColumn="0" w:lastColumn="0" w:oddVBand="0" w:evenVBand="0" w:oddHBand="1" w:evenHBand="0" w:firstRowFirstColumn="0" w:firstRowLastColumn="0" w:lastRowFirstColumn="0" w:lastRowLastColumn="0"/>
            </w:pPr>
            <w:r w:rsidRPr="005E02E3">
              <w:tab/>
              <w:t>(i)</w:t>
            </w:r>
            <w:r w:rsidRPr="005E02E3">
              <w:tab/>
              <w:t xml:space="preserve">an asset that is </w:t>
            </w:r>
            <w:r>
              <w:t xml:space="preserve">used in connection with the operation of </w:t>
            </w:r>
            <w:r w:rsidRPr="005E02E3">
              <w:t>a payment system</w:t>
            </w:r>
            <w:r>
              <w:t>,</w:t>
            </w:r>
            <w:r w:rsidRPr="005E02E3">
              <w:t xml:space="preserve"> </w:t>
            </w:r>
            <w:r>
              <w:t>that</w:t>
            </w:r>
            <w:r w:rsidRPr="005E02E3">
              <w:t xml:space="preserve">, in accordance with </w:t>
            </w:r>
            <w:r>
              <w:t>subsection (6</w:t>
            </w:r>
            <w:r w:rsidRPr="005E02E3">
              <w:t>)</w:t>
            </w:r>
            <w:r>
              <w:t>, is critical to the security and reliability of the financial services and markets sector</w:t>
            </w:r>
            <w:r w:rsidRPr="005E02E3">
              <w:t>.</w:t>
            </w:r>
          </w:p>
          <w:p w14:paraId="5F1DF98C" w14:textId="77777777" w:rsidR="00903DB2" w:rsidRPr="005E02E3" w:rsidRDefault="00903DB2" w:rsidP="00903DB2">
            <w:pPr>
              <w:pStyle w:val="notetext"/>
              <w:cnfStyle w:val="000000100000" w:firstRow="0" w:lastRow="0" w:firstColumn="0" w:lastColumn="0" w:oddVBand="0" w:evenVBand="0" w:oddHBand="1" w:evenHBand="0" w:firstRowFirstColumn="0" w:firstRowLastColumn="0" w:lastRowFirstColumn="0" w:lastRowLastColumn="0"/>
            </w:pPr>
            <w:r w:rsidRPr="005E02E3">
              <w:t>Note:</w:t>
            </w:r>
            <w:r w:rsidRPr="005E02E3">
              <w:tab/>
              <w:t>The rules may prescribe that a specified critical financial market infrastructure asset is not a critical infrastructure asset (see section 9).</w:t>
            </w:r>
          </w:p>
          <w:p w14:paraId="1BFB53F7" w14:textId="057614CC" w:rsidR="00903DB2" w:rsidRPr="005E02E3" w:rsidRDefault="00903DB2" w:rsidP="00903DB2">
            <w:pPr>
              <w:pStyle w:val="subsection"/>
              <w:cnfStyle w:val="000000100000" w:firstRow="0" w:lastRow="0" w:firstColumn="0" w:lastColumn="0" w:oddVBand="0" w:evenVBand="0" w:oddHBand="1" w:evenHBand="0" w:firstRowFirstColumn="0" w:firstRowLastColumn="0" w:lastRowFirstColumn="0" w:lastRowLastColumn="0"/>
            </w:pPr>
            <w:r w:rsidRPr="005E02E3">
              <w:t>(2)</w:t>
            </w:r>
            <w:r w:rsidRPr="005E02E3">
              <w:tab/>
              <w:t>For the purposes of paragraphs (1)(a) and (b), the rules may prescribe:</w:t>
            </w:r>
          </w:p>
          <w:p w14:paraId="13D0F7FC" w14:textId="77777777" w:rsidR="00903DB2" w:rsidRPr="005E02E3" w:rsidRDefault="00903DB2" w:rsidP="00903DB2">
            <w:pPr>
              <w:pStyle w:val="paragraph"/>
              <w:cnfStyle w:val="000000100000" w:firstRow="0" w:lastRow="0" w:firstColumn="0" w:lastColumn="0" w:oddVBand="0" w:evenVBand="0" w:oddHBand="1" w:evenHBand="0" w:firstRowFirstColumn="0" w:firstRowLastColumn="0" w:lastRowFirstColumn="0" w:lastRowLastColumn="0"/>
            </w:pPr>
            <w:r w:rsidRPr="005E02E3">
              <w:tab/>
              <w:t>(a)</w:t>
            </w:r>
            <w:r w:rsidRPr="005E02E3">
              <w:tab/>
              <w:t xml:space="preserve">specified </w:t>
            </w:r>
            <w:r>
              <w:t>financial markets that are critical to the security and reliability of the financial services and markets sector; or</w:t>
            </w:r>
          </w:p>
          <w:p w14:paraId="52C63C70" w14:textId="77777777" w:rsidR="00903DB2" w:rsidRPr="005E02E3" w:rsidRDefault="00903DB2" w:rsidP="00903DB2">
            <w:pPr>
              <w:pStyle w:val="paragraph"/>
              <w:cnfStyle w:val="000000100000" w:firstRow="0" w:lastRow="0" w:firstColumn="0" w:lastColumn="0" w:oddVBand="0" w:evenVBand="0" w:oddHBand="1" w:evenHBand="0" w:firstRowFirstColumn="0" w:firstRowLastColumn="0" w:lastRowFirstColumn="0" w:lastRowLastColumn="0"/>
            </w:pPr>
            <w:r w:rsidRPr="005E02E3">
              <w:tab/>
              <w:t>(b)</w:t>
            </w:r>
            <w:r w:rsidRPr="005E02E3">
              <w:tab/>
              <w:t>requirements for a</w:t>
            </w:r>
            <w:r>
              <w:t xml:space="preserve"> financial market to be critical to the security and reliability of the financial services and markets sector</w:t>
            </w:r>
            <w:r w:rsidRPr="005E02E3">
              <w:t>.</w:t>
            </w:r>
          </w:p>
          <w:p w14:paraId="1A096FE1" w14:textId="62F40C7C" w:rsidR="00903DB2" w:rsidRPr="005E02E3" w:rsidRDefault="00903DB2" w:rsidP="00903DB2">
            <w:pPr>
              <w:pStyle w:val="subsection"/>
              <w:cnfStyle w:val="000000100000" w:firstRow="0" w:lastRow="0" w:firstColumn="0" w:lastColumn="0" w:oddVBand="0" w:evenVBand="0" w:oddHBand="1" w:evenHBand="0" w:firstRowFirstColumn="0" w:firstRowLastColumn="0" w:lastRowFirstColumn="0" w:lastRowLastColumn="0"/>
            </w:pPr>
            <w:r w:rsidRPr="005E02E3">
              <w:t>(3)</w:t>
            </w:r>
            <w:r w:rsidRPr="005E02E3">
              <w:tab/>
              <w:t>For the purposes of paragraphs (1)(c) and (d), the rules may prescribe:</w:t>
            </w:r>
          </w:p>
          <w:p w14:paraId="7715C062" w14:textId="77777777" w:rsidR="00903DB2" w:rsidRPr="005E02E3" w:rsidRDefault="00903DB2" w:rsidP="00903DB2">
            <w:pPr>
              <w:pStyle w:val="paragraph"/>
              <w:cnfStyle w:val="000000100000" w:firstRow="0" w:lastRow="0" w:firstColumn="0" w:lastColumn="0" w:oddVBand="0" w:evenVBand="0" w:oddHBand="1" w:evenHBand="0" w:firstRowFirstColumn="0" w:firstRowLastColumn="0" w:lastRowFirstColumn="0" w:lastRowLastColumn="0"/>
            </w:pPr>
            <w:r w:rsidRPr="005E02E3">
              <w:tab/>
            </w:r>
            <w:r>
              <w:t>(a)</w:t>
            </w:r>
            <w:r>
              <w:tab/>
            </w:r>
            <w:r w:rsidRPr="005E02E3">
              <w:t xml:space="preserve">specified </w:t>
            </w:r>
            <w:r>
              <w:t>clearing and settlement facilities that are critical to the security and reliability of the financial services and markets sector; or</w:t>
            </w:r>
          </w:p>
          <w:p w14:paraId="188271E8" w14:textId="77777777" w:rsidR="00903DB2" w:rsidRPr="005E02E3" w:rsidRDefault="00903DB2" w:rsidP="00903DB2">
            <w:pPr>
              <w:pStyle w:val="paragraph"/>
              <w:cnfStyle w:val="000000100000" w:firstRow="0" w:lastRow="0" w:firstColumn="0" w:lastColumn="0" w:oddVBand="0" w:evenVBand="0" w:oddHBand="1" w:evenHBand="0" w:firstRowFirstColumn="0" w:firstRowLastColumn="0" w:lastRowFirstColumn="0" w:lastRowLastColumn="0"/>
            </w:pPr>
            <w:r w:rsidRPr="005E02E3">
              <w:tab/>
              <w:t>(b)</w:t>
            </w:r>
            <w:r w:rsidRPr="005E02E3">
              <w:tab/>
              <w:t>requirements for a</w:t>
            </w:r>
            <w:r>
              <w:t xml:space="preserve"> clearing and settlement facility to be critical to the security and reliability of the financial services and markets sector</w:t>
            </w:r>
            <w:r w:rsidRPr="005E02E3">
              <w:t>.</w:t>
            </w:r>
          </w:p>
          <w:p w14:paraId="5F587FF6" w14:textId="23CE78ED" w:rsidR="00903DB2" w:rsidRPr="005E02E3" w:rsidRDefault="00903DB2" w:rsidP="00903DB2">
            <w:pPr>
              <w:pStyle w:val="subsection"/>
              <w:cnfStyle w:val="000000100000" w:firstRow="0" w:lastRow="0" w:firstColumn="0" w:lastColumn="0" w:oddVBand="0" w:evenVBand="0" w:oddHBand="1" w:evenHBand="0" w:firstRowFirstColumn="0" w:firstRowLastColumn="0" w:lastRowFirstColumn="0" w:lastRowLastColumn="0"/>
            </w:pPr>
            <w:r w:rsidRPr="005E02E3">
              <w:t>(4)</w:t>
            </w:r>
            <w:r w:rsidRPr="005E02E3">
              <w:tab/>
              <w:t>For the purposes of paragraphs (1)(e) and (f), the rules may prescribe:</w:t>
            </w:r>
          </w:p>
          <w:p w14:paraId="6131E06C" w14:textId="77777777" w:rsidR="00903DB2" w:rsidRPr="005E02E3" w:rsidRDefault="00903DB2" w:rsidP="00903DB2">
            <w:pPr>
              <w:pStyle w:val="paragraph"/>
              <w:cnfStyle w:val="000000100000" w:firstRow="0" w:lastRow="0" w:firstColumn="0" w:lastColumn="0" w:oddVBand="0" w:evenVBand="0" w:oddHBand="1" w:evenHBand="0" w:firstRowFirstColumn="0" w:firstRowLastColumn="0" w:lastRowFirstColumn="0" w:lastRowLastColumn="0"/>
            </w:pPr>
            <w:r w:rsidRPr="005E02E3">
              <w:tab/>
            </w:r>
            <w:r>
              <w:t>(a)</w:t>
            </w:r>
            <w:r>
              <w:tab/>
            </w:r>
            <w:r w:rsidRPr="005E02E3">
              <w:t>specified significant financial benchmark</w:t>
            </w:r>
            <w:r>
              <w:t>s that are critical to the security and reliability of the financial services and markets sector; or</w:t>
            </w:r>
          </w:p>
          <w:p w14:paraId="517B8A31" w14:textId="77777777" w:rsidR="00903DB2" w:rsidRPr="005E02E3" w:rsidRDefault="00903DB2" w:rsidP="00903DB2">
            <w:pPr>
              <w:pStyle w:val="paragraph"/>
              <w:cnfStyle w:val="000000100000" w:firstRow="0" w:lastRow="0" w:firstColumn="0" w:lastColumn="0" w:oddVBand="0" w:evenVBand="0" w:oddHBand="1" w:evenHBand="0" w:firstRowFirstColumn="0" w:firstRowLastColumn="0" w:lastRowFirstColumn="0" w:lastRowLastColumn="0"/>
            </w:pPr>
            <w:r w:rsidRPr="005E02E3">
              <w:tab/>
              <w:t>(b)</w:t>
            </w:r>
            <w:r w:rsidRPr="005E02E3">
              <w:tab/>
              <w:t>requirements for a</w:t>
            </w:r>
            <w:r>
              <w:t xml:space="preserve"> </w:t>
            </w:r>
            <w:r w:rsidRPr="005E02E3">
              <w:t>significant financial benchmark</w:t>
            </w:r>
            <w:r>
              <w:t xml:space="preserve"> to be critical to the security and reliability of the financial services and markets sector</w:t>
            </w:r>
            <w:r w:rsidRPr="005E02E3">
              <w:t>.</w:t>
            </w:r>
          </w:p>
          <w:p w14:paraId="0B71566A" w14:textId="64F4B348" w:rsidR="00903DB2" w:rsidRPr="005E02E3" w:rsidRDefault="00903DB2" w:rsidP="00903DB2">
            <w:pPr>
              <w:pStyle w:val="subsection"/>
              <w:cnfStyle w:val="000000100000" w:firstRow="0" w:lastRow="0" w:firstColumn="0" w:lastColumn="0" w:oddVBand="0" w:evenVBand="0" w:oddHBand="1" w:evenHBand="0" w:firstRowFirstColumn="0" w:firstRowLastColumn="0" w:lastRowFirstColumn="0" w:lastRowLastColumn="0"/>
            </w:pPr>
            <w:r w:rsidRPr="005E02E3">
              <w:t>(5)</w:t>
            </w:r>
            <w:r w:rsidRPr="005E02E3">
              <w:tab/>
              <w:t>For the purposes of paragraphs (1)(g) and (h), the rules may prescribe:</w:t>
            </w:r>
          </w:p>
          <w:p w14:paraId="160CE778" w14:textId="77777777" w:rsidR="00903DB2" w:rsidRPr="005E02E3" w:rsidRDefault="00903DB2" w:rsidP="00903DB2">
            <w:pPr>
              <w:pStyle w:val="paragraph"/>
              <w:cnfStyle w:val="000000100000" w:firstRow="0" w:lastRow="0" w:firstColumn="0" w:lastColumn="0" w:oddVBand="0" w:evenVBand="0" w:oddHBand="1" w:evenHBand="0" w:firstRowFirstColumn="0" w:firstRowLastColumn="0" w:lastRowFirstColumn="0" w:lastRowLastColumn="0"/>
            </w:pPr>
            <w:r w:rsidRPr="005E02E3">
              <w:tab/>
            </w:r>
            <w:r>
              <w:t>(a)</w:t>
            </w:r>
            <w:r>
              <w:tab/>
            </w:r>
            <w:r w:rsidRPr="005E02E3">
              <w:t xml:space="preserve">specified </w:t>
            </w:r>
            <w:r>
              <w:t>derivative trade repositories that are critical to the security and reliability of the financial services and markets sector; or</w:t>
            </w:r>
          </w:p>
          <w:p w14:paraId="08189A99" w14:textId="77777777" w:rsidR="00903DB2" w:rsidRPr="005E02E3" w:rsidRDefault="00903DB2" w:rsidP="00903DB2">
            <w:pPr>
              <w:pStyle w:val="paragraph"/>
              <w:cnfStyle w:val="000000100000" w:firstRow="0" w:lastRow="0" w:firstColumn="0" w:lastColumn="0" w:oddVBand="0" w:evenVBand="0" w:oddHBand="1" w:evenHBand="0" w:firstRowFirstColumn="0" w:firstRowLastColumn="0" w:lastRowFirstColumn="0" w:lastRowLastColumn="0"/>
            </w:pPr>
            <w:r w:rsidRPr="005E02E3">
              <w:tab/>
              <w:t>(b)</w:t>
            </w:r>
            <w:r w:rsidRPr="005E02E3">
              <w:tab/>
              <w:t>requirements for a</w:t>
            </w:r>
            <w:r>
              <w:t xml:space="preserve"> </w:t>
            </w:r>
            <w:r w:rsidRPr="005E02E3">
              <w:t>derivative trade repository</w:t>
            </w:r>
            <w:r>
              <w:t xml:space="preserve"> to be critical to the security and reliability of the financial services and markets sector</w:t>
            </w:r>
            <w:r w:rsidRPr="005E02E3">
              <w:t>.</w:t>
            </w:r>
          </w:p>
          <w:p w14:paraId="32EF954F" w14:textId="6649570E" w:rsidR="00903DB2" w:rsidRPr="005E02E3" w:rsidRDefault="00903DB2" w:rsidP="00903DB2">
            <w:pPr>
              <w:pStyle w:val="subsection"/>
              <w:cnfStyle w:val="000000100000" w:firstRow="0" w:lastRow="0" w:firstColumn="0" w:lastColumn="0" w:oddVBand="0" w:evenVBand="0" w:oddHBand="1" w:evenHBand="0" w:firstRowFirstColumn="0" w:firstRowLastColumn="0" w:lastRowFirstColumn="0" w:lastRowLastColumn="0"/>
            </w:pPr>
            <w:r w:rsidRPr="005E02E3">
              <w:t>(6)</w:t>
            </w:r>
            <w:r w:rsidRPr="005E02E3">
              <w:tab/>
              <w:t xml:space="preserve">For the purposes of </w:t>
            </w:r>
            <w:r>
              <w:t>paragraph (</w:t>
            </w:r>
            <w:r w:rsidRPr="005E02E3">
              <w:t>1)(i), the rules may prescribe:</w:t>
            </w:r>
          </w:p>
          <w:p w14:paraId="2C3FB43E" w14:textId="77777777" w:rsidR="00903DB2" w:rsidRPr="005E02E3" w:rsidRDefault="00903DB2" w:rsidP="00903DB2">
            <w:pPr>
              <w:pStyle w:val="paragraph"/>
              <w:cnfStyle w:val="000000100000" w:firstRow="0" w:lastRow="0" w:firstColumn="0" w:lastColumn="0" w:oddVBand="0" w:evenVBand="0" w:oddHBand="1" w:evenHBand="0" w:firstRowFirstColumn="0" w:firstRowLastColumn="0" w:lastRowFirstColumn="0" w:lastRowLastColumn="0"/>
            </w:pPr>
            <w:r w:rsidRPr="005E02E3">
              <w:tab/>
            </w:r>
            <w:r>
              <w:t>(a)</w:t>
            </w:r>
            <w:r>
              <w:tab/>
            </w:r>
            <w:r w:rsidRPr="005E02E3">
              <w:t xml:space="preserve">specified </w:t>
            </w:r>
            <w:r>
              <w:t>payment systems that are critical to the security and reliability of the financial services and markets sector; or</w:t>
            </w:r>
          </w:p>
          <w:p w14:paraId="22F27F60" w14:textId="77777777" w:rsidR="00903DB2" w:rsidRPr="005E02E3" w:rsidRDefault="00903DB2" w:rsidP="00903DB2">
            <w:pPr>
              <w:pStyle w:val="paragraph"/>
              <w:cnfStyle w:val="000000100000" w:firstRow="0" w:lastRow="0" w:firstColumn="0" w:lastColumn="0" w:oddVBand="0" w:evenVBand="0" w:oddHBand="1" w:evenHBand="0" w:firstRowFirstColumn="0" w:firstRowLastColumn="0" w:lastRowFirstColumn="0" w:lastRowLastColumn="0"/>
            </w:pPr>
            <w:r w:rsidRPr="005E02E3">
              <w:tab/>
              <w:t>(b)</w:t>
            </w:r>
            <w:r w:rsidRPr="005E02E3">
              <w:tab/>
              <w:t>requirements for a</w:t>
            </w:r>
            <w:r>
              <w:t xml:space="preserve"> payment system to be critical to the security and reliability of the financial services and markets sector</w:t>
            </w:r>
            <w:r w:rsidRPr="005E02E3">
              <w:t>.</w:t>
            </w:r>
          </w:p>
          <w:p w14:paraId="4C0D38FA" w14:textId="1CB34DC4" w:rsidR="00903DB2" w:rsidRPr="005E02E3" w:rsidRDefault="00903DB2" w:rsidP="00903DB2">
            <w:pPr>
              <w:pStyle w:val="subsection"/>
              <w:cnfStyle w:val="000000100000" w:firstRow="0" w:lastRow="0" w:firstColumn="0" w:lastColumn="0" w:oddVBand="0" w:evenVBand="0" w:oddHBand="1" w:evenHBand="0" w:firstRowFirstColumn="0" w:firstRowLastColumn="0" w:lastRowFirstColumn="0" w:lastRowLastColumn="0"/>
            </w:pPr>
            <w:r w:rsidRPr="005E02E3">
              <w:t>(7)</w:t>
            </w:r>
            <w:r w:rsidRPr="005E02E3">
              <w:tab/>
              <w:t xml:space="preserve">For the purposes of this section, </w:t>
            </w:r>
            <w:r w:rsidRPr="005E02E3">
              <w:rPr>
                <w:b/>
                <w:i/>
              </w:rPr>
              <w:t>Australian body corporate</w:t>
            </w:r>
            <w:r w:rsidRPr="005E02E3">
              <w:t xml:space="preserve"> means a body corporate that is incorporated in Australia.</w:t>
            </w:r>
          </w:p>
          <w:p w14:paraId="0CBA36C3" w14:textId="56831BF2" w:rsidR="00993F09" w:rsidRPr="001A7788" w:rsidRDefault="00993F09" w:rsidP="00E845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93F09" w:rsidRPr="00924D81" w14:paraId="7C742B9B" w14:textId="77777777" w:rsidTr="00602DDE">
        <w:tc>
          <w:tcPr>
            <w:cnfStyle w:val="001000000000" w:firstRow="0" w:lastRow="0" w:firstColumn="1" w:lastColumn="0" w:oddVBand="0" w:evenVBand="0" w:oddHBand="0" w:evenHBand="0" w:firstRowFirstColumn="0" w:firstRowLastColumn="0" w:lastRowFirstColumn="0" w:lastRowLastColumn="0"/>
            <w:tcW w:w="1067" w:type="pct"/>
          </w:tcPr>
          <w:p w14:paraId="77CF502B" w14:textId="77777777" w:rsidR="00993F09" w:rsidRPr="001A7788" w:rsidRDefault="00993F09" w:rsidP="00602DDE">
            <w:pPr>
              <w:rPr>
                <w:rFonts w:ascii="Times New Roman" w:hAnsi="Times New Roman" w:cs="Times New Roman"/>
                <w:u w:val="single"/>
              </w:rPr>
            </w:pPr>
            <w:r w:rsidRPr="001A7788">
              <w:rPr>
                <w:rFonts w:ascii="Times New Roman" w:hAnsi="Times New Roman" w:cs="Times New Roman"/>
                <w:u w:val="single"/>
              </w:rPr>
              <w:lastRenderedPageBreak/>
              <w:t>Critical food and grocery asset</w:t>
            </w:r>
          </w:p>
          <w:p w14:paraId="6743748F" w14:textId="77777777" w:rsidR="00993F09" w:rsidRPr="001A7788" w:rsidRDefault="00993F09" w:rsidP="00602DDE">
            <w:pPr>
              <w:rPr>
                <w:rFonts w:ascii="Times New Roman" w:hAnsi="Times New Roman" w:cs="Times New Roman"/>
                <w:u w:val="single"/>
              </w:rPr>
            </w:pPr>
          </w:p>
          <w:p w14:paraId="21DB845E" w14:textId="77777777" w:rsidR="00993F09" w:rsidRPr="001A7788" w:rsidRDefault="00993F09" w:rsidP="00602DDE">
            <w:pPr>
              <w:rPr>
                <w:rFonts w:ascii="Times New Roman" w:hAnsi="Times New Roman" w:cs="Times New Roman"/>
                <w:b w:val="0"/>
                <w:i/>
              </w:rPr>
            </w:pPr>
          </w:p>
        </w:tc>
        <w:tc>
          <w:tcPr>
            <w:tcW w:w="3933" w:type="pct"/>
          </w:tcPr>
          <w:p w14:paraId="0AA359DE" w14:textId="77777777" w:rsidR="00903DB2" w:rsidRPr="005E02E3" w:rsidRDefault="00903DB2" w:rsidP="00903DB2">
            <w:pPr>
              <w:pStyle w:val="subsection"/>
              <w:cnfStyle w:val="000000000000" w:firstRow="0" w:lastRow="0" w:firstColumn="0" w:lastColumn="0" w:oddVBand="0" w:evenVBand="0" w:oddHBand="0" w:evenHBand="0" w:firstRowFirstColumn="0" w:firstRowLastColumn="0" w:lastRowFirstColumn="0" w:lastRowLastColumn="0"/>
            </w:pPr>
            <w:r w:rsidRPr="005E02E3">
              <w:lastRenderedPageBreak/>
              <w:t>(1)</w:t>
            </w:r>
            <w:r w:rsidRPr="005E02E3">
              <w:tab/>
              <w:t xml:space="preserve">An asset is a </w:t>
            </w:r>
            <w:r w:rsidRPr="005E02E3">
              <w:rPr>
                <w:b/>
                <w:i/>
              </w:rPr>
              <w:t>critical food and grocery asset</w:t>
            </w:r>
            <w:r w:rsidRPr="005E02E3">
              <w:t xml:space="preserve"> if it is a network that:</w:t>
            </w:r>
          </w:p>
          <w:p w14:paraId="37BB55AB" w14:textId="77777777" w:rsidR="00903DB2" w:rsidRPr="005E02E3" w:rsidRDefault="00903DB2" w:rsidP="00903DB2">
            <w:pPr>
              <w:pStyle w:val="paragraph"/>
              <w:cnfStyle w:val="000000000000" w:firstRow="0" w:lastRow="0" w:firstColumn="0" w:lastColumn="0" w:oddVBand="0" w:evenVBand="0" w:oddHBand="0" w:evenHBand="0" w:firstRowFirstColumn="0" w:firstRowLastColumn="0" w:lastRowFirstColumn="0" w:lastRowLastColumn="0"/>
            </w:pPr>
            <w:r w:rsidRPr="005E02E3">
              <w:tab/>
              <w:t>(a)</w:t>
            </w:r>
            <w:r w:rsidRPr="005E02E3">
              <w:tab/>
              <w:t>is used for the distribution or supply of:</w:t>
            </w:r>
          </w:p>
          <w:p w14:paraId="28D2478E" w14:textId="77777777" w:rsidR="00903DB2" w:rsidRPr="005E02E3" w:rsidRDefault="00903DB2" w:rsidP="00903DB2">
            <w:pPr>
              <w:pStyle w:val="paragraphsub"/>
              <w:cnfStyle w:val="000000000000" w:firstRow="0" w:lastRow="0" w:firstColumn="0" w:lastColumn="0" w:oddVBand="0" w:evenVBand="0" w:oddHBand="0" w:evenHBand="0" w:firstRowFirstColumn="0" w:firstRowLastColumn="0" w:lastRowFirstColumn="0" w:lastRowLastColumn="0"/>
            </w:pPr>
            <w:r w:rsidRPr="005E02E3">
              <w:lastRenderedPageBreak/>
              <w:tab/>
              <w:t>(i)</w:t>
            </w:r>
            <w:r w:rsidRPr="005E02E3">
              <w:tab/>
              <w:t>food; or</w:t>
            </w:r>
          </w:p>
          <w:p w14:paraId="260FE289" w14:textId="77777777" w:rsidR="00903DB2" w:rsidRPr="005E02E3" w:rsidRDefault="00903DB2" w:rsidP="00903DB2">
            <w:pPr>
              <w:pStyle w:val="paragraphsub"/>
              <w:cnfStyle w:val="000000000000" w:firstRow="0" w:lastRow="0" w:firstColumn="0" w:lastColumn="0" w:oddVBand="0" w:evenVBand="0" w:oddHBand="0" w:evenHBand="0" w:firstRowFirstColumn="0" w:firstRowLastColumn="0" w:lastRowFirstColumn="0" w:lastRowLastColumn="0"/>
            </w:pPr>
            <w:r w:rsidRPr="005E02E3">
              <w:tab/>
              <w:t>(ii)</w:t>
            </w:r>
            <w:r w:rsidRPr="005E02E3">
              <w:tab/>
              <w:t>groceries; and</w:t>
            </w:r>
          </w:p>
          <w:p w14:paraId="4A727457" w14:textId="77777777" w:rsidR="00903DB2" w:rsidRPr="005E02E3" w:rsidRDefault="00903DB2" w:rsidP="00903DB2">
            <w:pPr>
              <w:pStyle w:val="paragraph"/>
              <w:cnfStyle w:val="000000000000" w:firstRow="0" w:lastRow="0" w:firstColumn="0" w:lastColumn="0" w:oddVBand="0" w:evenVBand="0" w:oddHBand="0" w:evenHBand="0" w:firstRowFirstColumn="0" w:firstRowLastColumn="0" w:lastRowFirstColumn="0" w:lastRowLastColumn="0"/>
            </w:pPr>
            <w:r w:rsidRPr="005E02E3">
              <w:tab/>
              <w:t>(b)</w:t>
            </w:r>
            <w:r w:rsidRPr="005E02E3">
              <w:tab/>
              <w:t>is owned or operated by an entity that is:</w:t>
            </w:r>
          </w:p>
          <w:p w14:paraId="23E60DE4" w14:textId="77777777" w:rsidR="00903DB2" w:rsidRPr="005E02E3" w:rsidRDefault="00903DB2" w:rsidP="00903DB2">
            <w:pPr>
              <w:pStyle w:val="paragraphsub"/>
              <w:cnfStyle w:val="000000000000" w:firstRow="0" w:lastRow="0" w:firstColumn="0" w:lastColumn="0" w:oddVBand="0" w:evenVBand="0" w:oddHBand="0" w:evenHBand="0" w:firstRowFirstColumn="0" w:firstRowLastColumn="0" w:lastRowFirstColumn="0" w:lastRowLastColumn="0"/>
            </w:pPr>
            <w:r w:rsidRPr="005E02E3">
              <w:tab/>
              <w:t>(i)</w:t>
            </w:r>
            <w:r w:rsidRPr="005E02E3">
              <w:tab/>
              <w:t>a critical supermarket retailer</w:t>
            </w:r>
            <w:r>
              <w:t>, in accordance with subsection (2)</w:t>
            </w:r>
            <w:r w:rsidRPr="005E02E3">
              <w:t>; or</w:t>
            </w:r>
          </w:p>
          <w:p w14:paraId="4BAFA6F7" w14:textId="77777777" w:rsidR="00903DB2" w:rsidRPr="005E02E3" w:rsidRDefault="00903DB2" w:rsidP="00903DB2">
            <w:pPr>
              <w:pStyle w:val="paragraphsub"/>
              <w:cnfStyle w:val="000000000000" w:firstRow="0" w:lastRow="0" w:firstColumn="0" w:lastColumn="0" w:oddVBand="0" w:evenVBand="0" w:oddHBand="0" w:evenHBand="0" w:firstRowFirstColumn="0" w:firstRowLastColumn="0" w:lastRowFirstColumn="0" w:lastRowLastColumn="0"/>
            </w:pPr>
            <w:r w:rsidRPr="005E02E3">
              <w:tab/>
              <w:t>(ii)</w:t>
            </w:r>
            <w:r w:rsidRPr="005E02E3">
              <w:tab/>
              <w:t>a critical food wholesaler</w:t>
            </w:r>
            <w:r>
              <w:t>, in accordance with subsection (3)</w:t>
            </w:r>
            <w:r w:rsidRPr="005E02E3">
              <w:t>; or</w:t>
            </w:r>
          </w:p>
          <w:p w14:paraId="2CA521FB" w14:textId="77777777" w:rsidR="00903DB2" w:rsidRPr="005E02E3" w:rsidRDefault="00903DB2" w:rsidP="00903DB2">
            <w:pPr>
              <w:pStyle w:val="paragraphsub"/>
              <w:cnfStyle w:val="000000000000" w:firstRow="0" w:lastRow="0" w:firstColumn="0" w:lastColumn="0" w:oddVBand="0" w:evenVBand="0" w:oddHBand="0" w:evenHBand="0" w:firstRowFirstColumn="0" w:firstRowLastColumn="0" w:lastRowFirstColumn="0" w:lastRowLastColumn="0"/>
            </w:pPr>
            <w:r w:rsidRPr="005E02E3">
              <w:tab/>
              <w:t>(iii)</w:t>
            </w:r>
            <w:r w:rsidRPr="005E02E3">
              <w:tab/>
              <w:t>a critical grocery wholesaler</w:t>
            </w:r>
            <w:r>
              <w:t>, in accordance with subsection (4)</w:t>
            </w:r>
            <w:r w:rsidRPr="005E02E3">
              <w:t>.</w:t>
            </w:r>
          </w:p>
          <w:p w14:paraId="56156243" w14:textId="77777777" w:rsidR="00903DB2" w:rsidRPr="005E02E3" w:rsidRDefault="00903DB2" w:rsidP="00903DB2">
            <w:pPr>
              <w:pStyle w:val="notetext"/>
              <w:cnfStyle w:val="000000000000" w:firstRow="0" w:lastRow="0" w:firstColumn="0" w:lastColumn="0" w:oddVBand="0" w:evenVBand="0" w:oddHBand="0" w:evenHBand="0" w:firstRowFirstColumn="0" w:firstRowLastColumn="0" w:lastRowFirstColumn="0" w:lastRowLastColumn="0"/>
            </w:pPr>
            <w:r w:rsidRPr="005E02E3">
              <w:t>Note:</w:t>
            </w:r>
            <w:r w:rsidRPr="005E02E3">
              <w:tab/>
              <w:t>The rules may prescribe that a specified critical food and grocery asset is not a critical infrastructure asset (see section 9).</w:t>
            </w:r>
          </w:p>
          <w:p w14:paraId="0D679A81" w14:textId="08CA2EFB" w:rsidR="00903DB2" w:rsidRPr="005E02E3" w:rsidRDefault="00903DB2" w:rsidP="00903DB2">
            <w:pPr>
              <w:pStyle w:val="subsection"/>
              <w:cnfStyle w:val="000000000000" w:firstRow="0" w:lastRow="0" w:firstColumn="0" w:lastColumn="0" w:oddVBand="0" w:evenVBand="0" w:oddHBand="0" w:evenHBand="0" w:firstRowFirstColumn="0" w:firstRowLastColumn="0" w:lastRowFirstColumn="0" w:lastRowLastColumn="0"/>
            </w:pPr>
            <w:r>
              <w:t>(2</w:t>
            </w:r>
            <w:r w:rsidRPr="005E02E3">
              <w:t>)</w:t>
            </w:r>
            <w:r w:rsidRPr="005E02E3">
              <w:tab/>
              <w:t xml:space="preserve">For the purposes of </w:t>
            </w:r>
            <w:r>
              <w:t>subparagraph (1)(b)(i)</w:t>
            </w:r>
            <w:r w:rsidRPr="005E02E3">
              <w:t>, the rules may prescribe:</w:t>
            </w:r>
          </w:p>
          <w:p w14:paraId="5A9F0B7F" w14:textId="77777777" w:rsidR="00903DB2" w:rsidRPr="005E02E3" w:rsidRDefault="00903DB2" w:rsidP="00903DB2">
            <w:pPr>
              <w:pStyle w:val="paragraph"/>
              <w:cnfStyle w:val="000000000000" w:firstRow="0" w:lastRow="0" w:firstColumn="0" w:lastColumn="0" w:oddVBand="0" w:evenVBand="0" w:oddHBand="0" w:evenHBand="0" w:firstRowFirstColumn="0" w:firstRowLastColumn="0" w:lastRowFirstColumn="0" w:lastRowLastColumn="0"/>
            </w:pPr>
            <w:r w:rsidRPr="005E02E3">
              <w:tab/>
              <w:t>(a)</w:t>
            </w:r>
            <w:r w:rsidRPr="005E02E3">
              <w:tab/>
              <w:t xml:space="preserve">specified </w:t>
            </w:r>
            <w:r>
              <w:t>entities</w:t>
            </w:r>
            <w:r w:rsidRPr="005E02E3">
              <w:t xml:space="preserve"> that are critical supermarket retailer</w:t>
            </w:r>
            <w:r>
              <w:t>s</w:t>
            </w:r>
            <w:r w:rsidRPr="005E02E3">
              <w:t>; or</w:t>
            </w:r>
          </w:p>
          <w:p w14:paraId="2288EFAA" w14:textId="77777777" w:rsidR="00903DB2" w:rsidRPr="005E02E3" w:rsidRDefault="00903DB2" w:rsidP="00903DB2">
            <w:pPr>
              <w:pStyle w:val="paragraph"/>
              <w:cnfStyle w:val="000000000000" w:firstRow="0" w:lastRow="0" w:firstColumn="0" w:lastColumn="0" w:oddVBand="0" w:evenVBand="0" w:oddHBand="0" w:evenHBand="0" w:firstRowFirstColumn="0" w:firstRowLastColumn="0" w:lastRowFirstColumn="0" w:lastRowLastColumn="0"/>
            </w:pPr>
            <w:r w:rsidRPr="005E02E3">
              <w:tab/>
              <w:t>(b)</w:t>
            </w:r>
            <w:r w:rsidRPr="005E02E3">
              <w:tab/>
              <w:t xml:space="preserve">requirements for </w:t>
            </w:r>
            <w:r>
              <w:t xml:space="preserve">an entity </w:t>
            </w:r>
            <w:r w:rsidRPr="005E02E3">
              <w:t>to be</w:t>
            </w:r>
            <w:r>
              <w:t xml:space="preserve"> a</w:t>
            </w:r>
            <w:r w:rsidRPr="005E02E3">
              <w:t xml:space="preserve"> critical</w:t>
            </w:r>
            <w:r>
              <w:t xml:space="preserve"> supermarket retailer</w:t>
            </w:r>
            <w:r w:rsidRPr="005E02E3">
              <w:t>.</w:t>
            </w:r>
          </w:p>
          <w:p w14:paraId="7A5F0F24" w14:textId="1FFEE763" w:rsidR="00903DB2" w:rsidRPr="005E02E3" w:rsidRDefault="00903DB2" w:rsidP="00903DB2">
            <w:pPr>
              <w:pStyle w:val="subsection"/>
              <w:cnfStyle w:val="000000000000" w:firstRow="0" w:lastRow="0" w:firstColumn="0" w:lastColumn="0" w:oddVBand="0" w:evenVBand="0" w:oddHBand="0" w:evenHBand="0" w:firstRowFirstColumn="0" w:firstRowLastColumn="0" w:lastRowFirstColumn="0" w:lastRowLastColumn="0"/>
            </w:pPr>
            <w:r>
              <w:t>(3</w:t>
            </w:r>
            <w:r w:rsidRPr="005E02E3">
              <w:t>)</w:t>
            </w:r>
            <w:r w:rsidRPr="005E02E3">
              <w:tab/>
              <w:t xml:space="preserve">For the purposes of </w:t>
            </w:r>
            <w:r>
              <w:t>subparagraph (1)(b)(ii)</w:t>
            </w:r>
            <w:r w:rsidRPr="005E02E3">
              <w:t>, the rules may prescribe:</w:t>
            </w:r>
          </w:p>
          <w:p w14:paraId="2BD4D5BC" w14:textId="77777777" w:rsidR="00903DB2" w:rsidRPr="005E02E3" w:rsidRDefault="00903DB2" w:rsidP="00903DB2">
            <w:pPr>
              <w:pStyle w:val="paragraph"/>
              <w:cnfStyle w:val="000000000000" w:firstRow="0" w:lastRow="0" w:firstColumn="0" w:lastColumn="0" w:oddVBand="0" w:evenVBand="0" w:oddHBand="0" w:evenHBand="0" w:firstRowFirstColumn="0" w:firstRowLastColumn="0" w:lastRowFirstColumn="0" w:lastRowLastColumn="0"/>
            </w:pPr>
            <w:r w:rsidRPr="005E02E3">
              <w:tab/>
              <w:t>(a)</w:t>
            </w:r>
            <w:r w:rsidRPr="005E02E3">
              <w:tab/>
              <w:t xml:space="preserve">specified </w:t>
            </w:r>
            <w:r>
              <w:t>entities</w:t>
            </w:r>
            <w:r w:rsidRPr="005E02E3">
              <w:t xml:space="preserve"> that are critical food wholesaler</w:t>
            </w:r>
            <w:r>
              <w:t>s</w:t>
            </w:r>
            <w:r w:rsidRPr="005E02E3">
              <w:t>; or</w:t>
            </w:r>
          </w:p>
          <w:p w14:paraId="1F18584D" w14:textId="77777777" w:rsidR="00903DB2" w:rsidRPr="005E02E3" w:rsidRDefault="00903DB2" w:rsidP="00903DB2">
            <w:pPr>
              <w:pStyle w:val="paragraph"/>
              <w:cnfStyle w:val="000000000000" w:firstRow="0" w:lastRow="0" w:firstColumn="0" w:lastColumn="0" w:oddVBand="0" w:evenVBand="0" w:oddHBand="0" w:evenHBand="0" w:firstRowFirstColumn="0" w:firstRowLastColumn="0" w:lastRowFirstColumn="0" w:lastRowLastColumn="0"/>
            </w:pPr>
            <w:r w:rsidRPr="005E02E3">
              <w:tab/>
              <w:t>(b)</w:t>
            </w:r>
            <w:r w:rsidRPr="005E02E3">
              <w:tab/>
              <w:t xml:space="preserve">requirements for </w:t>
            </w:r>
            <w:r>
              <w:t xml:space="preserve">an entity </w:t>
            </w:r>
            <w:r w:rsidRPr="005E02E3">
              <w:t>to be</w:t>
            </w:r>
            <w:r>
              <w:t xml:space="preserve"> a</w:t>
            </w:r>
            <w:r w:rsidRPr="005E02E3">
              <w:t xml:space="preserve"> critical</w:t>
            </w:r>
            <w:r>
              <w:t xml:space="preserve"> </w:t>
            </w:r>
            <w:r w:rsidRPr="005E02E3">
              <w:t>food wholesaler.</w:t>
            </w:r>
          </w:p>
          <w:p w14:paraId="040054FF" w14:textId="1F2ACF81" w:rsidR="00903DB2" w:rsidRPr="005E02E3" w:rsidRDefault="00903DB2" w:rsidP="00903DB2">
            <w:pPr>
              <w:pStyle w:val="subsection"/>
              <w:cnfStyle w:val="000000000000" w:firstRow="0" w:lastRow="0" w:firstColumn="0" w:lastColumn="0" w:oddVBand="0" w:evenVBand="0" w:oddHBand="0" w:evenHBand="0" w:firstRowFirstColumn="0" w:firstRowLastColumn="0" w:lastRowFirstColumn="0" w:lastRowLastColumn="0"/>
            </w:pPr>
            <w:r>
              <w:t>(4</w:t>
            </w:r>
            <w:r w:rsidRPr="005E02E3">
              <w:t>)</w:t>
            </w:r>
            <w:r w:rsidRPr="005E02E3">
              <w:tab/>
              <w:t xml:space="preserve">For the purposes of </w:t>
            </w:r>
            <w:r>
              <w:t>subparagraph (1)(b)(iii)</w:t>
            </w:r>
            <w:r w:rsidRPr="005E02E3">
              <w:t>, the rules may prescribe:</w:t>
            </w:r>
          </w:p>
          <w:p w14:paraId="1BC97801" w14:textId="77777777" w:rsidR="00903DB2" w:rsidRPr="005E02E3" w:rsidRDefault="00903DB2" w:rsidP="00903DB2">
            <w:pPr>
              <w:pStyle w:val="paragraph"/>
              <w:cnfStyle w:val="000000000000" w:firstRow="0" w:lastRow="0" w:firstColumn="0" w:lastColumn="0" w:oddVBand="0" w:evenVBand="0" w:oddHBand="0" w:evenHBand="0" w:firstRowFirstColumn="0" w:firstRowLastColumn="0" w:lastRowFirstColumn="0" w:lastRowLastColumn="0"/>
            </w:pPr>
            <w:r w:rsidRPr="005E02E3">
              <w:tab/>
              <w:t>(a)</w:t>
            </w:r>
            <w:r w:rsidRPr="005E02E3">
              <w:tab/>
              <w:t xml:space="preserve">specified </w:t>
            </w:r>
            <w:r>
              <w:t>entities</w:t>
            </w:r>
            <w:r w:rsidRPr="005E02E3">
              <w:t xml:space="preserve"> that are critical grocery wholesaler</w:t>
            </w:r>
            <w:r>
              <w:t>s</w:t>
            </w:r>
            <w:r w:rsidRPr="005E02E3">
              <w:t>; or</w:t>
            </w:r>
          </w:p>
          <w:p w14:paraId="1B0D8F23" w14:textId="77777777" w:rsidR="00903DB2" w:rsidRDefault="00903DB2" w:rsidP="00903DB2">
            <w:pPr>
              <w:pStyle w:val="paragraph"/>
              <w:cnfStyle w:val="000000000000" w:firstRow="0" w:lastRow="0" w:firstColumn="0" w:lastColumn="0" w:oddVBand="0" w:evenVBand="0" w:oddHBand="0" w:evenHBand="0" w:firstRowFirstColumn="0" w:firstRowLastColumn="0" w:lastRowFirstColumn="0" w:lastRowLastColumn="0"/>
            </w:pPr>
            <w:r w:rsidRPr="005E02E3">
              <w:tab/>
              <w:t>(b)</w:t>
            </w:r>
            <w:r w:rsidRPr="005E02E3">
              <w:tab/>
              <w:t xml:space="preserve">requirements for </w:t>
            </w:r>
            <w:r>
              <w:t xml:space="preserve">an entity </w:t>
            </w:r>
            <w:r w:rsidRPr="005E02E3">
              <w:t>to be</w:t>
            </w:r>
            <w:r>
              <w:t xml:space="preserve"> a</w:t>
            </w:r>
            <w:r w:rsidRPr="005E02E3">
              <w:t xml:space="preserve"> critical</w:t>
            </w:r>
            <w:r>
              <w:t xml:space="preserve"> </w:t>
            </w:r>
            <w:r w:rsidRPr="005E02E3">
              <w:t>grocery wholesaler.</w:t>
            </w:r>
          </w:p>
          <w:p w14:paraId="60035F84" w14:textId="025C65D7" w:rsidR="00993F09" w:rsidRPr="001A7788" w:rsidRDefault="00993F09" w:rsidP="00602D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 </w:t>
            </w:r>
          </w:p>
        </w:tc>
      </w:tr>
      <w:tr w:rsidR="00993F09" w:rsidRPr="00924D81" w14:paraId="04A4EDE4" w14:textId="77777777" w:rsidTr="0060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pct"/>
          </w:tcPr>
          <w:p w14:paraId="0FB9E5A7" w14:textId="77777777" w:rsidR="00993F09" w:rsidRPr="001A7788" w:rsidRDefault="00993F09" w:rsidP="00602DDE">
            <w:pPr>
              <w:tabs>
                <w:tab w:val="left" w:pos="2041"/>
              </w:tabs>
              <w:rPr>
                <w:rFonts w:ascii="Times New Roman" w:hAnsi="Times New Roman" w:cs="Times New Roman"/>
                <w:u w:val="single"/>
              </w:rPr>
            </w:pPr>
            <w:r w:rsidRPr="00924D81">
              <w:rPr>
                <w:rFonts w:ascii="Times New Roman" w:hAnsi="Times New Roman" w:cs="Times New Roman"/>
                <w:u w:val="single"/>
              </w:rPr>
              <w:lastRenderedPageBreak/>
              <w:t>Critical hospital</w:t>
            </w:r>
            <w:r w:rsidRPr="001A7788">
              <w:rPr>
                <w:rFonts w:ascii="Times New Roman" w:hAnsi="Times New Roman" w:cs="Times New Roman"/>
              </w:rPr>
              <w:tab/>
            </w:r>
          </w:p>
        </w:tc>
        <w:tc>
          <w:tcPr>
            <w:tcW w:w="3933" w:type="pct"/>
          </w:tcPr>
          <w:p w14:paraId="69ABF362" w14:textId="77777777" w:rsidR="00993F09" w:rsidRPr="001A7788" w:rsidRDefault="00993F09" w:rsidP="00602D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Critical hospital means a hospital that has a general intensive care unit.</w:t>
            </w:r>
          </w:p>
        </w:tc>
      </w:tr>
      <w:tr w:rsidR="00993F09" w:rsidRPr="00924D81" w14:paraId="5987B57E" w14:textId="77777777" w:rsidTr="00602DDE">
        <w:tc>
          <w:tcPr>
            <w:cnfStyle w:val="001000000000" w:firstRow="0" w:lastRow="0" w:firstColumn="1" w:lastColumn="0" w:oddVBand="0" w:evenVBand="0" w:oddHBand="0" w:evenHBand="0" w:firstRowFirstColumn="0" w:firstRowLastColumn="0" w:lastRowFirstColumn="0" w:lastRowLastColumn="0"/>
            <w:tcW w:w="1067" w:type="pct"/>
          </w:tcPr>
          <w:p w14:paraId="4646FDE6" w14:textId="77777777" w:rsidR="00993F09" w:rsidRPr="001A7788" w:rsidRDefault="00993F09" w:rsidP="00602DDE">
            <w:pPr>
              <w:rPr>
                <w:rFonts w:ascii="Times New Roman" w:hAnsi="Times New Roman" w:cs="Times New Roman"/>
                <w:u w:val="single"/>
              </w:rPr>
            </w:pPr>
            <w:r w:rsidRPr="001A7788">
              <w:rPr>
                <w:rFonts w:ascii="Times New Roman" w:hAnsi="Times New Roman" w:cs="Times New Roman"/>
                <w:u w:val="single"/>
              </w:rPr>
              <w:t>Critical education asset</w:t>
            </w:r>
          </w:p>
        </w:tc>
        <w:tc>
          <w:tcPr>
            <w:tcW w:w="3933" w:type="pct"/>
          </w:tcPr>
          <w:p w14:paraId="2C8731A1" w14:textId="77777777" w:rsidR="00993F09" w:rsidRPr="001A7788" w:rsidRDefault="00993F09" w:rsidP="00602D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Critical education asset means a university that is owned or operated by an entity that is registered in the Australian university category of the National Register of Higher Education Providers.</w:t>
            </w:r>
          </w:p>
        </w:tc>
      </w:tr>
      <w:tr w:rsidR="00993F09" w:rsidRPr="00924D81" w14:paraId="52D72FFB" w14:textId="77777777" w:rsidTr="0060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pct"/>
          </w:tcPr>
          <w:p w14:paraId="464A91F8" w14:textId="77777777" w:rsidR="00993F09" w:rsidRPr="001A7788" w:rsidRDefault="00993F09" w:rsidP="00602DDE">
            <w:pPr>
              <w:rPr>
                <w:rFonts w:ascii="Times New Roman" w:hAnsi="Times New Roman" w:cs="Times New Roman"/>
                <w:u w:val="single"/>
              </w:rPr>
            </w:pPr>
            <w:r w:rsidRPr="001A7788">
              <w:rPr>
                <w:rFonts w:ascii="Times New Roman" w:hAnsi="Times New Roman" w:cs="Times New Roman"/>
                <w:u w:val="single"/>
              </w:rPr>
              <w:t xml:space="preserve">Critical space technology asset </w:t>
            </w:r>
          </w:p>
        </w:tc>
        <w:tc>
          <w:tcPr>
            <w:tcW w:w="3933" w:type="pct"/>
          </w:tcPr>
          <w:p w14:paraId="35CE9FDA" w14:textId="77777777" w:rsidR="00993F09" w:rsidRPr="001A7788" w:rsidRDefault="00993F09" w:rsidP="00602D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Bill </w:t>
            </w:r>
            <w:r w:rsidRPr="001A7788">
              <w:rPr>
                <w:rFonts w:ascii="Times New Roman" w:hAnsi="Times New Roman" w:cs="Times New Roman"/>
                <w:b/>
              </w:rPr>
              <w:t>does not</w:t>
            </w:r>
            <w:r w:rsidRPr="001A7788">
              <w:rPr>
                <w:rFonts w:ascii="Times New Roman" w:hAnsi="Times New Roman" w:cs="Times New Roman"/>
              </w:rPr>
              <w:t xml:space="preserve"> insert a specific definition of a </w:t>
            </w:r>
            <w:r w:rsidRPr="001A7788">
              <w:rPr>
                <w:rFonts w:ascii="Times New Roman" w:hAnsi="Times New Roman" w:cs="Times New Roman"/>
                <w:i/>
              </w:rPr>
              <w:t>critical space technology asset</w:t>
            </w:r>
            <w:r w:rsidRPr="001A7788">
              <w:rPr>
                <w:rFonts w:ascii="Times New Roman" w:hAnsi="Times New Roman" w:cs="Times New Roman"/>
              </w:rPr>
              <w:t xml:space="preserve"> as entities would be captured as carriers and carriage service providers under the TSSR. </w:t>
            </w:r>
          </w:p>
        </w:tc>
      </w:tr>
      <w:tr w:rsidR="00993F09" w:rsidRPr="00924D81" w14:paraId="06969CB0" w14:textId="77777777" w:rsidTr="00602DDE">
        <w:tc>
          <w:tcPr>
            <w:cnfStyle w:val="001000000000" w:firstRow="0" w:lastRow="0" w:firstColumn="1" w:lastColumn="0" w:oddVBand="0" w:evenVBand="0" w:oddHBand="0" w:evenHBand="0" w:firstRowFirstColumn="0" w:firstRowLastColumn="0" w:lastRowFirstColumn="0" w:lastRowLastColumn="0"/>
            <w:tcW w:w="1067" w:type="pct"/>
          </w:tcPr>
          <w:p w14:paraId="24589C75" w14:textId="77777777" w:rsidR="00993F09" w:rsidRPr="001A7788" w:rsidRDefault="00993F09" w:rsidP="00602DDE">
            <w:pPr>
              <w:rPr>
                <w:rFonts w:ascii="Times New Roman" w:hAnsi="Times New Roman" w:cs="Times New Roman"/>
                <w:u w:val="single"/>
              </w:rPr>
            </w:pPr>
            <w:r w:rsidRPr="00E84518">
              <w:rPr>
                <w:rFonts w:ascii="Times New Roman" w:hAnsi="Times New Roman" w:cs="Times New Roman"/>
                <w:u w:val="single"/>
              </w:rPr>
              <w:t>Critical Port</w:t>
            </w:r>
            <w:r w:rsidRPr="001A7788">
              <w:rPr>
                <w:rFonts w:ascii="Times New Roman" w:hAnsi="Times New Roman" w:cs="Times New Roman"/>
                <w:u w:val="single"/>
              </w:rPr>
              <w:t xml:space="preserve"> </w:t>
            </w:r>
          </w:p>
          <w:p w14:paraId="7676FA09" w14:textId="77777777" w:rsidR="00993F09" w:rsidRPr="001A7788" w:rsidRDefault="00993F09" w:rsidP="00602DDE">
            <w:pPr>
              <w:rPr>
                <w:rFonts w:ascii="Times New Roman" w:hAnsi="Times New Roman" w:cs="Times New Roman"/>
                <w:u w:val="single"/>
              </w:rPr>
            </w:pPr>
          </w:p>
          <w:p w14:paraId="4D631AB0" w14:textId="77777777" w:rsidR="00993F09" w:rsidRPr="001A7788" w:rsidRDefault="00993F09" w:rsidP="00602DDE">
            <w:pPr>
              <w:rPr>
                <w:rFonts w:ascii="Times New Roman" w:hAnsi="Times New Roman" w:cs="Times New Roman"/>
                <w:b w:val="0"/>
                <w:i/>
              </w:rPr>
            </w:pPr>
          </w:p>
        </w:tc>
        <w:tc>
          <w:tcPr>
            <w:tcW w:w="3933" w:type="pct"/>
          </w:tcPr>
          <w:p w14:paraId="6E03AFAC" w14:textId="77777777" w:rsidR="00993F09" w:rsidRPr="001A7788" w:rsidRDefault="00993F09" w:rsidP="00602D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An asset is a critical port if it is land that forms part of any of the following security regulated ports: </w:t>
            </w:r>
          </w:p>
          <w:p w14:paraId="1E773C3E"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Broome Port; </w:t>
            </w:r>
          </w:p>
          <w:p w14:paraId="5F4ED995"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Port Adelaide; </w:t>
            </w:r>
          </w:p>
          <w:p w14:paraId="6EFE18C5"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Port of Brisbane; </w:t>
            </w:r>
          </w:p>
          <w:p w14:paraId="25093022"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Port of Cairns; </w:t>
            </w:r>
          </w:p>
          <w:p w14:paraId="6C8857D9"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Port of Christmas Island; </w:t>
            </w:r>
          </w:p>
          <w:p w14:paraId="459F1552"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Port of Dampier; </w:t>
            </w:r>
          </w:p>
          <w:p w14:paraId="0301BD70"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Port of Darwin; </w:t>
            </w:r>
          </w:p>
          <w:p w14:paraId="74CD3293"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Port of Eden; </w:t>
            </w:r>
          </w:p>
          <w:p w14:paraId="7F1A16C7"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Port of Fremantle; </w:t>
            </w:r>
          </w:p>
          <w:p w14:paraId="26E8DE49"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Port of Geelong; </w:t>
            </w:r>
          </w:p>
          <w:p w14:paraId="4EA45216"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Port of Gladstone; </w:t>
            </w:r>
          </w:p>
          <w:p w14:paraId="10EDFF58"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Port of Hay Point; </w:t>
            </w:r>
          </w:p>
          <w:p w14:paraId="15699549"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Port of Hobart; </w:t>
            </w:r>
          </w:p>
          <w:p w14:paraId="0E90BB7C"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Port of Melbourne; </w:t>
            </w:r>
          </w:p>
          <w:p w14:paraId="61752CBB"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Port of Newcastle; </w:t>
            </w:r>
          </w:p>
          <w:p w14:paraId="6741F3F9"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Port of Port Botany; </w:t>
            </w:r>
          </w:p>
          <w:p w14:paraId="683982D4"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Port of Port Hedland; </w:t>
            </w:r>
          </w:p>
          <w:p w14:paraId="015CE406"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Port of Rockhampton; </w:t>
            </w:r>
          </w:p>
          <w:p w14:paraId="63A467F6"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Port of Sydney Harbour; </w:t>
            </w:r>
          </w:p>
          <w:p w14:paraId="35352189"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Port of Townsville; </w:t>
            </w:r>
          </w:p>
          <w:p w14:paraId="5254498E" w14:textId="77777777" w:rsidR="00993F09" w:rsidRPr="001A7788" w:rsidRDefault="00993F09" w:rsidP="00B369B5">
            <w:pPr>
              <w:pStyle w:val="ListParagraph"/>
              <w:numPr>
                <w:ilvl w:val="0"/>
                <w:numId w:val="5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 xml:space="preserve">A security regulated port prescribed by the rules for the purposes of this paragraph. </w:t>
            </w:r>
          </w:p>
        </w:tc>
      </w:tr>
      <w:tr w:rsidR="00993F09" w:rsidRPr="00924D81" w14:paraId="640EB19D" w14:textId="77777777" w:rsidTr="0060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pct"/>
          </w:tcPr>
          <w:p w14:paraId="5B05C615" w14:textId="77777777" w:rsidR="00993F09" w:rsidRPr="001A7788" w:rsidRDefault="00993F09" w:rsidP="00602DDE">
            <w:pPr>
              <w:rPr>
                <w:rFonts w:ascii="Times New Roman" w:hAnsi="Times New Roman" w:cs="Times New Roman"/>
                <w:u w:val="single"/>
              </w:rPr>
            </w:pPr>
            <w:r w:rsidRPr="001A7788">
              <w:rPr>
                <w:rFonts w:ascii="Times New Roman" w:hAnsi="Times New Roman" w:cs="Times New Roman"/>
                <w:u w:val="single"/>
              </w:rPr>
              <w:lastRenderedPageBreak/>
              <w:t>Critical Aviation Asset</w:t>
            </w:r>
          </w:p>
          <w:p w14:paraId="078CEBAC" w14:textId="77777777" w:rsidR="00993F09" w:rsidRPr="001A7788" w:rsidRDefault="00993F09" w:rsidP="00602DDE">
            <w:pPr>
              <w:rPr>
                <w:rFonts w:ascii="Times New Roman" w:hAnsi="Times New Roman" w:cs="Times New Roman"/>
                <w:u w:val="single"/>
              </w:rPr>
            </w:pPr>
          </w:p>
        </w:tc>
        <w:tc>
          <w:tcPr>
            <w:tcW w:w="3933" w:type="pct"/>
          </w:tcPr>
          <w:p w14:paraId="37BE94D2" w14:textId="11A8C225" w:rsidR="0017534F" w:rsidRPr="005E02E3" w:rsidRDefault="0017534F" w:rsidP="0017534F">
            <w:pPr>
              <w:pStyle w:val="paragraph"/>
              <w:cnfStyle w:val="000000100000" w:firstRow="0" w:lastRow="0" w:firstColumn="0" w:lastColumn="0" w:oddVBand="0" w:evenVBand="0" w:oddHBand="1" w:evenHBand="0" w:firstRowFirstColumn="0" w:firstRowLastColumn="0" w:lastRowFirstColumn="0" w:lastRowLastColumn="0"/>
            </w:pPr>
            <w:r w:rsidRPr="005E02E3">
              <w:t>(a)</w:t>
            </w:r>
            <w:r w:rsidRPr="005E02E3">
              <w:tab/>
              <w:t>an asset that:</w:t>
            </w:r>
          </w:p>
          <w:p w14:paraId="25600426" w14:textId="70407A6B" w:rsidR="0017534F" w:rsidRPr="005E02E3" w:rsidRDefault="0017534F" w:rsidP="0017534F">
            <w:pPr>
              <w:pStyle w:val="paragraphsub"/>
              <w:ind w:left="2864"/>
              <w:cnfStyle w:val="000000100000" w:firstRow="0" w:lastRow="0" w:firstColumn="0" w:lastColumn="0" w:oddVBand="0" w:evenVBand="0" w:oddHBand="1" w:evenHBand="0" w:firstRowFirstColumn="0" w:firstRowLastColumn="0" w:lastRowFirstColumn="0" w:lastRowLastColumn="0"/>
            </w:pPr>
            <w:r w:rsidRPr="005E02E3">
              <w:t>(i)</w:t>
            </w:r>
            <w:r w:rsidRPr="005E02E3">
              <w:tab/>
              <w:t>is used in connection with the provision of an air service; and</w:t>
            </w:r>
          </w:p>
          <w:p w14:paraId="6F8BE0B2" w14:textId="6F0C6760" w:rsidR="0017534F" w:rsidRPr="005E02E3" w:rsidRDefault="0017534F" w:rsidP="0017534F">
            <w:pPr>
              <w:pStyle w:val="paragraphsub"/>
              <w:ind w:left="2864"/>
              <w:cnfStyle w:val="000000100000" w:firstRow="0" w:lastRow="0" w:firstColumn="0" w:lastColumn="0" w:oddVBand="0" w:evenVBand="0" w:oddHBand="1" w:evenHBand="0" w:firstRowFirstColumn="0" w:firstRowLastColumn="0" w:lastRowFirstColumn="0" w:lastRowLastColumn="0"/>
            </w:pPr>
            <w:r w:rsidRPr="005E02E3">
              <w:t>(ii)</w:t>
            </w:r>
            <w:r w:rsidRPr="005E02E3">
              <w:tab/>
              <w:t>is owned or operated by an aircraft operator; or</w:t>
            </w:r>
          </w:p>
          <w:p w14:paraId="64380406" w14:textId="509282F6" w:rsidR="0017534F" w:rsidRPr="005E02E3" w:rsidRDefault="0017534F" w:rsidP="0017534F">
            <w:pPr>
              <w:pStyle w:val="paragraph"/>
              <w:cnfStyle w:val="000000100000" w:firstRow="0" w:lastRow="0" w:firstColumn="0" w:lastColumn="0" w:oddVBand="0" w:evenVBand="0" w:oddHBand="1" w:evenHBand="0" w:firstRowFirstColumn="0" w:firstRowLastColumn="0" w:lastRowFirstColumn="0" w:lastRowLastColumn="0"/>
            </w:pPr>
            <w:r w:rsidRPr="005E02E3">
              <w:t>(b)</w:t>
            </w:r>
            <w:r w:rsidRPr="005E02E3">
              <w:tab/>
              <w:t>an asset that:</w:t>
            </w:r>
          </w:p>
          <w:p w14:paraId="53FF41A8" w14:textId="4C838D53" w:rsidR="0017534F" w:rsidRPr="005E02E3" w:rsidRDefault="0017534F" w:rsidP="00E84518">
            <w:pPr>
              <w:pStyle w:val="paragraphsub"/>
              <w:ind w:left="2864"/>
              <w:cnfStyle w:val="000000100000" w:firstRow="0" w:lastRow="0" w:firstColumn="0" w:lastColumn="0" w:oddVBand="0" w:evenVBand="0" w:oddHBand="1" w:evenHBand="0" w:firstRowFirstColumn="0" w:firstRowLastColumn="0" w:lastRowFirstColumn="0" w:lastRowLastColumn="0"/>
            </w:pPr>
            <w:r w:rsidRPr="005E02E3">
              <w:t>(i)</w:t>
            </w:r>
            <w:r w:rsidRPr="005E02E3">
              <w:tab/>
              <w:t>is used in connection with the provision of an air service; and</w:t>
            </w:r>
          </w:p>
          <w:p w14:paraId="02869DF4" w14:textId="6B994BCD" w:rsidR="0017534F" w:rsidRPr="005E02E3" w:rsidRDefault="0017534F" w:rsidP="00E84518">
            <w:pPr>
              <w:pStyle w:val="paragraphsub"/>
              <w:ind w:left="2864"/>
              <w:cnfStyle w:val="000000100000" w:firstRow="0" w:lastRow="0" w:firstColumn="0" w:lastColumn="0" w:oddVBand="0" w:evenVBand="0" w:oddHBand="1" w:evenHBand="0" w:firstRowFirstColumn="0" w:firstRowLastColumn="0" w:lastRowFirstColumn="0" w:lastRowLastColumn="0"/>
            </w:pPr>
            <w:r w:rsidRPr="005E02E3">
              <w:t>(ii)</w:t>
            </w:r>
            <w:r w:rsidRPr="005E02E3">
              <w:tab/>
              <w:t>is owned or operated by a regulated air cargo agent; or</w:t>
            </w:r>
          </w:p>
          <w:p w14:paraId="01665DE8" w14:textId="7D531424" w:rsidR="0017534F" w:rsidRPr="005E02E3" w:rsidRDefault="0017534F" w:rsidP="0017534F">
            <w:pPr>
              <w:pStyle w:val="paragraph"/>
              <w:cnfStyle w:val="000000100000" w:firstRow="0" w:lastRow="0" w:firstColumn="0" w:lastColumn="0" w:oddVBand="0" w:evenVBand="0" w:oddHBand="1" w:evenHBand="0" w:firstRowFirstColumn="0" w:firstRowLastColumn="0" w:lastRowFirstColumn="0" w:lastRowLastColumn="0"/>
            </w:pPr>
            <w:r w:rsidRPr="005E02E3">
              <w:t>(c)</w:t>
            </w:r>
            <w:r w:rsidRPr="005E02E3">
              <w:tab/>
              <w:t>an asset that is used by an airport operator in connection with the operation of an airport.</w:t>
            </w:r>
          </w:p>
          <w:p w14:paraId="604F7A2B" w14:textId="0967FF1E" w:rsidR="00993F09" w:rsidRPr="001A7788" w:rsidRDefault="00993F09" w:rsidP="00B369B5">
            <w:pPr>
              <w:pStyle w:val="ListParagraph"/>
              <w:numPr>
                <w:ilvl w:val="0"/>
                <w:numId w:val="6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93F09" w:rsidRPr="00924D81" w14:paraId="00912B60" w14:textId="77777777" w:rsidTr="00602DDE">
        <w:tc>
          <w:tcPr>
            <w:cnfStyle w:val="001000000000" w:firstRow="0" w:lastRow="0" w:firstColumn="1" w:lastColumn="0" w:oddVBand="0" w:evenVBand="0" w:oddHBand="0" w:evenHBand="0" w:firstRowFirstColumn="0" w:firstRowLastColumn="0" w:lastRowFirstColumn="0" w:lastRowLastColumn="0"/>
            <w:tcW w:w="1067" w:type="pct"/>
          </w:tcPr>
          <w:p w14:paraId="22C0C6C1" w14:textId="77777777" w:rsidR="00993F09" w:rsidRPr="001A7788" w:rsidRDefault="00993F09" w:rsidP="00602DDE">
            <w:pPr>
              <w:rPr>
                <w:rFonts w:ascii="Times New Roman" w:hAnsi="Times New Roman" w:cs="Times New Roman"/>
                <w:u w:val="single"/>
              </w:rPr>
            </w:pPr>
            <w:r w:rsidRPr="001A7788">
              <w:rPr>
                <w:rFonts w:ascii="Times New Roman" w:hAnsi="Times New Roman" w:cs="Times New Roman"/>
                <w:u w:val="single"/>
              </w:rPr>
              <w:t>Critical Freight Infrastructure Asset</w:t>
            </w:r>
          </w:p>
          <w:p w14:paraId="5895911C" w14:textId="77777777" w:rsidR="00993F09" w:rsidRPr="001A7788" w:rsidRDefault="00993F09" w:rsidP="00602DDE">
            <w:pPr>
              <w:rPr>
                <w:rFonts w:ascii="Times New Roman" w:hAnsi="Times New Roman" w:cs="Times New Roman"/>
                <w:b w:val="0"/>
                <w:i/>
              </w:rPr>
            </w:pPr>
            <w:r w:rsidRPr="001A7788">
              <w:rPr>
                <w:rFonts w:ascii="Times New Roman" w:hAnsi="Times New Roman" w:cs="Times New Roman"/>
                <w:i/>
              </w:rPr>
              <w:t xml:space="preserve"> </w:t>
            </w:r>
          </w:p>
        </w:tc>
        <w:tc>
          <w:tcPr>
            <w:tcW w:w="3933" w:type="pct"/>
          </w:tcPr>
          <w:p w14:paraId="3B2CFD81" w14:textId="77777777" w:rsidR="00453FC9" w:rsidRPr="005E02E3" w:rsidRDefault="00453FC9" w:rsidP="00453FC9">
            <w:pPr>
              <w:pStyle w:val="subsection"/>
              <w:cnfStyle w:val="000000000000" w:firstRow="0" w:lastRow="0" w:firstColumn="0" w:lastColumn="0" w:oddVBand="0" w:evenVBand="0" w:oddHBand="0" w:evenHBand="0" w:firstRowFirstColumn="0" w:firstRowLastColumn="0" w:lastRowFirstColumn="0" w:lastRowLastColumn="0"/>
            </w:pPr>
            <w:r w:rsidRPr="005E02E3">
              <w:t>(1)</w:t>
            </w:r>
            <w:r w:rsidRPr="005E02E3">
              <w:tab/>
              <w:t xml:space="preserve">An asset is a </w:t>
            </w:r>
            <w:r w:rsidRPr="005E02E3">
              <w:rPr>
                <w:b/>
                <w:i/>
              </w:rPr>
              <w:t>critical freight infrastructure asset</w:t>
            </w:r>
            <w:r w:rsidRPr="005E02E3">
              <w:t xml:space="preserve"> if it is any of the following:</w:t>
            </w:r>
          </w:p>
          <w:p w14:paraId="480600D9" w14:textId="77777777" w:rsidR="00453FC9" w:rsidRPr="005E02E3" w:rsidRDefault="00453FC9" w:rsidP="00453FC9">
            <w:pPr>
              <w:pStyle w:val="paragraph"/>
              <w:cnfStyle w:val="000000000000" w:firstRow="0" w:lastRow="0" w:firstColumn="0" w:lastColumn="0" w:oddVBand="0" w:evenVBand="0" w:oddHBand="0" w:evenHBand="0" w:firstRowFirstColumn="0" w:firstRowLastColumn="0" w:lastRowFirstColumn="0" w:lastRowLastColumn="0"/>
            </w:pPr>
            <w:r w:rsidRPr="005E02E3">
              <w:tab/>
              <w:t>(a)</w:t>
            </w:r>
            <w:r w:rsidRPr="005E02E3">
              <w:tab/>
              <w:t xml:space="preserve">a road network that, in accordance with </w:t>
            </w:r>
            <w:r>
              <w:t>subsection (</w:t>
            </w:r>
            <w:r w:rsidRPr="005E02E3">
              <w:t>2), functions as a critical corridor for the transportation of goods between:</w:t>
            </w:r>
          </w:p>
          <w:p w14:paraId="295B6D82"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w:t>
            </w:r>
            <w:r w:rsidRPr="005E02E3">
              <w:tab/>
              <w:t>2 States; or</w:t>
            </w:r>
          </w:p>
          <w:p w14:paraId="3384E48D"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(ii)</w:t>
            </w:r>
            <w:r w:rsidRPr="005E02E3">
              <w:tab/>
              <w:t>a State and a Territory; or</w:t>
            </w:r>
          </w:p>
          <w:p w14:paraId="0C40C447"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(iii)</w:t>
            </w:r>
            <w:r w:rsidRPr="005E02E3">
              <w:tab/>
              <w:t>2 Territories; or</w:t>
            </w:r>
          </w:p>
          <w:p w14:paraId="2BB67D1C"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(iv)</w:t>
            </w:r>
            <w:r w:rsidRPr="005E02E3">
              <w:tab/>
              <w:t>2 regional centres;</w:t>
            </w:r>
          </w:p>
          <w:p w14:paraId="12EA602F" w14:textId="77777777" w:rsidR="00453FC9" w:rsidRPr="005E02E3" w:rsidRDefault="00453FC9" w:rsidP="00453FC9">
            <w:pPr>
              <w:pStyle w:val="paragraph"/>
              <w:cnfStyle w:val="000000000000" w:firstRow="0" w:lastRow="0" w:firstColumn="0" w:lastColumn="0" w:oddVBand="0" w:evenVBand="0" w:oddHBand="0" w:evenHBand="0" w:firstRowFirstColumn="0" w:firstRowLastColumn="0" w:lastRowFirstColumn="0" w:lastRowLastColumn="0"/>
            </w:pPr>
            <w:r w:rsidRPr="005E02E3">
              <w:tab/>
              <w:t>(b)</w:t>
            </w:r>
            <w:r w:rsidRPr="005E02E3">
              <w:tab/>
              <w:t>a rail network</w:t>
            </w:r>
            <w:r>
              <w:t>,</w:t>
            </w:r>
            <w:r w:rsidRPr="005E02E3">
              <w:t xml:space="preserve"> that, in accordance with </w:t>
            </w:r>
            <w:r>
              <w:t>subsection (</w:t>
            </w:r>
            <w:r w:rsidRPr="005E02E3">
              <w:t>3), functions as a critical corridor for the transportation of goods between:</w:t>
            </w:r>
          </w:p>
          <w:p w14:paraId="4478A9B7"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w:t>
            </w:r>
            <w:r w:rsidRPr="005E02E3">
              <w:tab/>
              <w:t>2 States; or</w:t>
            </w:r>
          </w:p>
          <w:p w14:paraId="6413A5A0"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(ii)</w:t>
            </w:r>
            <w:r w:rsidRPr="005E02E3">
              <w:tab/>
              <w:t>a State and a Territory; or</w:t>
            </w:r>
          </w:p>
          <w:p w14:paraId="60C5C44A"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(iii)</w:t>
            </w:r>
            <w:r w:rsidRPr="005E02E3">
              <w:tab/>
              <w:t>2 Territories; or</w:t>
            </w:r>
          </w:p>
          <w:p w14:paraId="1E082A92"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(iv)</w:t>
            </w:r>
            <w:r w:rsidRPr="005E02E3">
              <w:tab/>
              <w:t>2 regional centres;</w:t>
            </w:r>
          </w:p>
          <w:p w14:paraId="3A55D4CB" w14:textId="77777777" w:rsidR="00453FC9" w:rsidRPr="005E02E3" w:rsidRDefault="00453FC9" w:rsidP="00453FC9">
            <w:pPr>
              <w:pStyle w:val="paragraph"/>
              <w:cnfStyle w:val="000000000000" w:firstRow="0" w:lastRow="0" w:firstColumn="0" w:lastColumn="0" w:oddVBand="0" w:evenVBand="0" w:oddHBand="0" w:evenHBand="0" w:firstRowFirstColumn="0" w:firstRowLastColumn="0" w:lastRowFirstColumn="0" w:lastRowLastColumn="0"/>
            </w:pPr>
            <w:r w:rsidRPr="005E02E3">
              <w:tab/>
              <w:t>(c)</w:t>
            </w:r>
            <w:r w:rsidRPr="005E02E3">
              <w:tab/>
              <w:t>an intermodal transfer facility</w:t>
            </w:r>
            <w:r>
              <w:t>,</w:t>
            </w:r>
            <w:r w:rsidRPr="005E02E3">
              <w:t xml:space="preserve"> that, in accordance with </w:t>
            </w:r>
            <w:r>
              <w:t>subsection (</w:t>
            </w:r>
            <w:r w:rsidRPr="005E02E3">
              <w:t>4), is critical to the transportation of goods between:</w:t>
            </w:r>
          </w:p>
          <w:p w14:paraId="09D13A9A"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w:t>
            </w:r>
            <w:r w:rsidRPr="005E02E3">
              <w:tab/>
              <w:t>2 States; or</w:t>
            </w:r>
          </w:p>
          <w:p w14:paraId="3AC1EB08"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(ii)</w:t>
            </w:r>
            <w:r w:rsidRPr="005E02E3">
              <w:tab/>
              <w:t>a State and a Territory; or</w:t>
            </w:r>
          </w:p>
          <w:p w14:paraId="3C625784"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(iii)</w:t>
            </w:r>
            <w:r w:rsidRPr="005E02E3">
              <w:tab/>
              <w:t>2 Territories; or</w:t>
            </w:r>
          </w:p>
          <w:p w14:paraId="23C432FB"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(iv)</w:t>
            </w:r>
            <w:r w:rsidRPr="005E02E3">
              <w:tab/>
              <w:t>2 regional centres.</w:t>
            </w:r>
          </w:p>
          <w:p w14:paraId="38E47A5C" w14:textId="77777777" w:rsidR="00453FC9" w:rsidRPr="005E02E3" w:rsidRDefault="00453FC9" w:rsidP="00453FC9">
            <w:pPr>
              <w:pStyle w:val="notetext"/>
              <w:cnfStyle w:val="000000000000" w:firstRow="0" w:lastRow="0" w:firstColumn="0" w:lastColumn="0" w:oddVBand="0" w:evenVBand="0" w:oddHBand="0" w:evenHBand="0" w:firstRowFirstColumn="0" w:firstRowLastColumn="0" w:lastRowFirstColumn="0" w:lastRowLastColumn="0"/>
            </w:pPr>
            <w:r w:rsidRPr="005E02E3">
              <w:t>Note:</w:t>
            </w:r>
            <w:r w:rsidRPr="005E02E3">
              <w:tab/>
              <w:t>The rules may prescribe that a specified critical freight infrastructure asset is not a critical infrastructure asset (see section 9).</w:t>
            </w:r>
          </w:p>
          <w:p w14:paraId="3036F796" w14:textId="51526D65" w:rsidR="00453FC9" w:rsidRPr="005E02E3" w:rsidRDefault="00453FC9" w:rsidP="00453FC9">
            <w:pPr>
              <w:pStyle w:val="subsection"/>
              <w:cnfStyle w:val="000000000000" w:firstRow="0" w:lastRow="0" w:firstColumn="0" w:lastColumn="0" w:oddVBand="0" w:evenVBand="0" w:oddHBand="0" w:evenHBand="0" w:firstRowFirstColumn="0" w:firstRowLastColumn="0" w:lastRowFirstColumn="0" w:lastRowLastColumn="0"/>
            </w:pPr>
            <w:r w:rsidRPr="005E02E3">
              <w:t>(2)</w:t>
            </w:r>
            <w:r w:rsidRPr="005E02E3">
              <w:tab/>
              <w:t xml:space="preserve">For the purposes of </w:t>
            </w:r>
            <w:r>
              <w:t>paragraph (</w:t>
            </w:r>
            <w:r w:rsidRPr="005E02E3">
              <w:t>1)(a), the rules may prescribe:</w:t>
            </w:r>
          </w:p>
          <w:p w14:paraId="47C4F901" w14:textId="77777777" w:rsidR="00453FC9" w:rsidRPr="005E02E3" w:rsidRDefault="00453FC9" w:rsidP="00453FC9">
            <w:pPr>
              <w:pStyle w:val="paragraph"/>
              <w:cnfStyle w:val="000000000000" w:firstRow="0" w:lastRow="0" w:firstColumn="0" w:lastColumn="0" w:oddVBand="0" w:evenVBand="0" w:oddHBand="0" w:evenHBand="0" w:firstRowFirstColumn="0" w:firstRowLastColumn="0" w:lastRowFirstColumn="0" w:lastRowLastColumn="0"/>
            </w:pPr>
            <w:r w:rsidRPr="005E02E3">
              <w:tab/>
              <w:t>(a)</w:t>
            </w:r>
            <w:r w:rsidRPr="005E02E3">
              <w:tab/>
              <w:t>specified road networks that function as a critical corridor for the transportation of goods between:</w:t>
            </w:r>
          </w:p>
          <w:p w14:paraId="6A916816"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w:t>
            </w:r>
            <w:r w:rsidRPr="005E02E3">
              <w:tab/>
              <w:t>2 States; or</w:t>
            </w:r>
          </w:p>
          <w:p w14:paraId="67531431"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(ii)</w:t>
            </w:r>
            <w:r w:rsidRPr="005E02E3">
              <w:tab/>
              <w:t>a State and a Territory; or</w:t>
            </w:r>
          </w:p>
          <w:p w14:paraId="793A93D5"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(iii)</w:t>
            </w:r>
            <w:r w:rsidRPr="005E02E3">
              <w:tab/>
              <w:t>2 Territories; or</w:t>
            </w:r>
          </w:p>
          <w:p w14:paraId="57465221"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(iv)</w:t>
            </w:r>
            <w:r w:rsidRPr="005E02E3">
              <w:tab/>
              <w:t>2 regional centres; or</w:t>
            </w:r>
          </w:p>
          <w:p w14:paraId="3FC9B0A7" w14:textId="77777777" w:rsidR="00453FC9" w:rsidRPr="005E02E3" w:rsidRDefault="00453FC9" w:rsidP="00453FC9">
            <w:pPr>
              <w:pStyle w:val="paragraph"/>
              <w:cnfStyle w:val="000000000000" w:firstRow="0" w:lastRow="0" w:firstColumn="0" w:lastColumn="0" w:oddVBand="0" w:evenVBand="0" w:oddHBand="0" w:evenHBand="0" w:firstRowFirstColumn="0" w:firstRowLastColumn="0" w:lastRowFirstColumn="0" w:lastRowLastColumn="0"/>
            </w:pPr>
            <w:r w:rsidRPr="005E02E3">
              <w:tab/>
              <w:t>(b)</w:t>
            </w:r>
            <w:r w:rsidRPr="005E02E3">
              <w:tab/>
              <w:t>requirements for a road network to function as a critical corridor for the transportation of goods between:</w:t>
            </w:r>
          </w:p>
          <w:p w14:paraId="378AC964"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w:t>
            </w:r>
            <w:r w:rsidRPr="005E02E3">
              <w:tab/>
              <w:t>2 States; or</w:t>
            </w:r>
          </w:p>
          <w:p w14:paraId="625CC92F"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(ii)</w:t>
            </w:r>
            <w:r w:rsidRPr="005E02E3">
              <w:tab/>
              <w:t>a State and a Territory; or</w:t>
            </w:r>
          </w:p>
          <w:p w14:paraId="1C9EF155"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(iii)</w:t>
            </w:r>
            <w:r w:rsidRPr="005E02E3">
              <w:tab/>
              <w:t>2 Territories; or</w:t>
            </w:r>
          </w:p>
          <w:p w14:paraId="189D1AE1"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(iv)</w:t>
            </w:r>
            <w:r w:rsidRPr="005E02E3">
              <w:tab/>
              <w:t>2 regional centres.</w:t>
            </w:r>
          </w:p>
          <w:p w14:paraId="5E1CEAC6" w14:textId="4E6F23FF" w:rsidR="00453FC9" w:rsidRPr="005E02E3" w:rsidRDefault="00453FC9" w:rsidP="00453FC9">
            <w:pPr>
              <w:pStyle w:val="subsection"/>
              <w:cnfStyle w:val="000000000000" w:firstRow="0" w:lastRow="0" w:firstColumn="0" w:lastColumn="0" w:oddVBand="0" w:evenVBand="0" w:oddHBand="0" w:evenHBand="0" w:firstRowFirstColumn="0" w:firstRowLastColumn="0" w:lastRowFirstColumn="0" w:lastRowLastColumn="0"/>
            </w:pPr>
            <w:r w:rsidRPr="005E02E3">
              <w:t>(3)</w:t>
            </w:r>
            <w:r w:rsidRPr="005E02E3">
              <w:tab/>
              <w:t xml:space="preserve">For the purposes of </w:t>
            </w:r>
            <w:r>
              <w:t>paragraph (</w:t>
            </w:r>
            <w:r w:rsidRPr="005E02E3">
              <w:t>1)(b), the rules may prescribe:</w:t>
            </w:r>
          </w:p>
          <w:p w14:paraId="1667A13F" w14:textId="77777777" w:rsidR="00453FC9" w:rsidRPr="005E02E3" w:rsidRDefault="00453FC9" w:rsidP="00453FC9">
            <w:pPr>
              <w:pStyle w:val="paragraph"/>
              <w:cnfStyle w:val="000000000000" w:firstRow="0" w:lastRow="0" w:firstColumn="0" w:lastColumn="0" w:oddVBand="0" w:evenVBand="0" w:oddHBand="0" w:evenHBand="0" w:firstRowFirstColumn="0" w:firstRowLastColumn="0" w:lastRowFirstColumn="0" w:lastRowLastColumn="0"/>
            </w:pPr>
            <w:r w:rsidRPr="005E02E3">
              <w:tab/>
              <w:t>(a)</w:t>
            </w:r>
            <w:r w:rsidRPr="005E02E3">
              <w:tab/>
              <w:t>specified rail networks that function as a critical corridor for the transportation of goods between:</w:t>
            </w:r>
          </w:p>
          <w:p w14:paraId="20A1B645"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lastRenderedPageBreak/>
              <w:tab/>
              <w:t>(i)</w:t>
            </w:r>
            <w:r w:rsidRPr="005E02E3">
              <w:tab/>
              <w:t>2 States; or</w:t>
            </w:r>
          </w:p>
          <w:p w14:paraId="76DA3A5F"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(ii)</w:t>
            </w:r>
            <w:r w:rsidRPr="005E02E3">
              <w:tab/>
              <w:t>a State and a Territory; or</w:t>
            </w:r>
          </w:p>
          <w:p w14:paraId="2CFE4F64"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(iii)</w:t>
            </w:r>
            <w:r w:rsidRPr="005E02E3">
              <w:tab/>
              <w:t>2 Territories; or</w:t>
            </w:r>
          </w:p>
          <w:p w14:paraId="333872FD"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(iv)</w:t>
            </w:r>
            <w:r w:rsidRPr="005E02E3">
              <w:tab/>
              <w:t>2 regional centres; or</w:t>
            </w:r>
          </w:p>
          <w:p w14:paraId="17A02E94" w14:textId="77777777" w:rsidR="00453FC9" w:rsidRPr="005E02E3" w:rsidRDefault="00453FC9" w:rsidP="00453FC9">
            <w:pPr>
              <w:pStyle w:val="paragraph"/>
              <w:cnfStyle w:val="000000000000" w:firstRow="0" w:lastRow="0" w:firstColumn="0" w:lastColumn="0" w:oddVBand="0" w:evenVBand="0" w:oddHBand="0" w:evenHBand="0" w:firstRowFirstColumn="0" w:firstRowLastColumn="0" w:lastRowFirstColumn="0" w:lastRowLastColumn="0"/>
            </w:pPr>
            <w:r w:rsidRPr="005E02E3">
              <w:tab/>
              <w:t>(b)</w:t>
            </w:r>
            <w:r w:rsidRPr="005E02E3">
              <w:tab/>
              <w:t>requirements for a rail network to function as a critical corridor for the transportation of goods between:</w:t>
            </w:r>
          </w:p>
          <w:p w14:paraId="77278EFF"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w:t>
            </w:r>
            <w:r w:rsidRPr="005E02E3">
              <w:tab/>
              <w:t>2 States; or</w:t>
            </w:r>
          </w:p>
          <w:p w14:paraId="43A5C56C"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(ii)</w:t>
            </w:r>
            <w:r w:rsidRPr="005E02E3">
              <w:tab/>
              <w:t>a State and a Territory; or</w:t>
            </w:r>
          </w:p>
          <w:p w14:paraId="49939295"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(iii)</w:t>
            </w:r>
            <w:r w:rsidRPr="005E02E3">
              <w:tab/>
              <w:t>2 Territories; or</w:t>
            </w:r>
          </w:p>
          <w:p w14:paraId="3D6B2982"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(iv)</w:t>
            </w:r>
            <w:r w:rsidRPr="005E02E3">
              <w:tab/>
              <w:t>2 regional centres.</w:t>
            </w:r>
          </w:p>
          <w:p w14:paraId="53242FBA" w14:textId="1514CB87" w:rsidR="00453FC9" w:rsidRPr="005E02E3" w:rsidRDefault="00453FC9" w:rsidP="00453FC9">
            <w:pPr>
              <w:pStyle w:val="subsection"/>
              <w:cnfStyle w:val="000000000000" w:firstRow="0" w:lastRow="0" w:firstColumn="0" w:lastColumn="0" w:oddVBand="0" w:evenVBand="0" w:oddHBand="0" w:evenHBand="0" w:firstRowFirstColumn="0" w:firstRowLastColumn="0" w:lastRowFirstColumn="0" w:lastRowLastColumn="0"/>
            </w:pPr>
            <w:r w:rsidRPr="005E02E3">
              <w:t>(4)</w:t>
            </w:r>
            <w:r w:rsidRPr="005E02E3">
              <w:tab/>
              <w:t xml:space="preserve">For the purposes of </w:t>
            </w:r>
            <w:r>
              <w:t>paragraph (</w:t>
            </w:r>
            <w:r w:rsidRPr="005E02E3">
              <w:t>1)(c), the rules may prescribe:</w:t>
            </w:r>
          </w:p>
          <w:p w14:paraId="2E47C1B2" w14:textId="77777777" w:rsidR="00453FC9" w:rsidRPr="005E02E3" w:rsidRDefault="00453FC9" w:rsidP="00453FC9">
            <w:pPr>
              <w:pStyle w:val="paragraph"/>
              <w:cnfStyle w:val="000000000000" w:firstRow="0" w:lastRow="0" w:firstColumn="0" w:lastColumn="0" w:oddVBand="0" w:evenVBand="0" w:oddHBand="0" w:evenHBand="0" w:firstRowFirstColumn="0" w:firstRowLastColumn="0" w:lastRowFirstColumn="0" w:lastRowLastColumn="0"/>
            </w:pPr>
            <w:r w:rsidRPr="005E02E3">
              <w:tab/>
              <w:t>(a)</w:t>
            </w:r>
            <w:r w:rsidRPr="005E02E3">
              <w:tab/>
              <w:t>specified intermodal transfer facilities that are critical to the transportation of goods between:</w:t>
            </w:r>
          </w:p>
          <w:p w14:paraId="11DE9C50"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w:t>
            </w:r>
            <w:r w:rsidRPr="005E02E3">
              <w:tab/>
              <w:t>2 States; or</w:t>
            </w:r>
          </w:p>
          <w:p w14:paraId="241F69F4"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(ii)</w:t>
            </w:r>
            <w:r w:rsidRPr="005E02E3">
              <w:tab/>
              <w:t>a State and a Territory; or</w:t>
            </w:r>
          </w:p>
          <w:p w14:paraId="643074A7"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(iii)</w:t>
            </w:r>
            <w:r w:rsidRPr="005E02E3">
              <w:tab/>
              <w:t>2 Territories; or</w:t>
            </w:r>
          </w:p>
          <w:p w14:paraId="31F821A8"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(iv)</w:t>
            </w:r>
            <w:r w:rsidRPr="005E02E3">
              <w:tab/>
              <w:t>2 regional centres; or</w:t>
            </w:r>
          </w:p>
          <w:p w14:paraId="172FEE98" w14:textId="77777777" w:rsidR="00453FC9" w:rsidRPr="005E02E3" w:rsidRDefault="00453FC9" w:rsidP="00453FC9">
            <w:pPr>
              <w:pStyle w:val="paragraph"/>
              <w:cnfStyle w:val="000000000000" w:firstRow="0" w:lastRow="0" w:firstColumn="0" w:lastColumn="0" w:oddVBand="0" w:evenVBand="0" w:oddHBand="0" w:evenHBand="0" w:firstRowFirstColumn="0" w:firstRowLastColumn="0" w:lastRowFirstColumn="0" w:lastRowLastColumn="0"/>
            </w:pPr>
            <w:r w:rsidRPr="005E02E3">
              <w:tab/>
              <w:t>(b)</w:t>
            </w:r>
            <w:r w:rsidRPr="005E02E3">
              <w:tab/>
              <w:t>requirements for an intermodal transfer facility to be critical to the transportation of goods between:</w:t>
            </w:r>
          </w:p>
          <w:p w14:paraId="24E0F86A"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w:t>
            </w:r>
            <w:r w:rsidRPr="005E02E3">
              <w:tab/>
              <w:t>2 States; or</w:t>
            </w:r>
          </w:p>
          <w:p w14:paraId="65A6C103"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(ii)</w:t>
            </w:r>
            <w:r w:rsidRPr="005E02E3">
              <w:tab/>
              <w:t>a State and a Territory; or</w:t>
            </w:r>
          </w:p>
          <w:p w14:paraId="49478D5F"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(iii)</w:t>
            </w:r>
            <w:r w:rsidRPr="005E02E3">
              <w:tab/>
              <w:t>2 Territories; or</w:t>
            </w:r>
          </w:p>
          <w:p w14:paraId="590743F6" w14:textId="77777777" w:rsidR="00453FC9" w:rsidRPr="005E02E3" w:rsidRDefault="00453FC9" w:rsidP="00453FC9">
            <w:pPr>
              <w:pStyle w:val="paragraphsub"/>
              <w:cnfStyle w:val="000000000000" w:firstRow="0" w:lastRow="0" w:firstColumn="0" w:lastColumn="0" w:oddVBand="0" w:evenVBand="0" w:oddHBand="0" w:evenHBand="0" w:firstRowFirstColumn="0" w:firstRowLastColumn="0" w:lastRowFirstColumn="0" w:lastRowLastColumn="0"/>
            </w:pPr>
            <w:r w:rsidRPr="005E02E3">
              <w:tab/>
              <w:t>(iv)</w:t>
            </w:r>
            <w:r w:rsidRPr="005E02E3">
              <w:tab/>
              <w:t>2 regional centres.</w:t>
            </w:r>
          </w:p>
          <w:p w14:paraId="06C71507" w14:textId="477266EB" w:rsidR="00453FC9" w:rsidRPr="005E02E3" w:rsidRDefault="00453FC9" w:rsidP="00453FC9">
            <w:pPr>
              <w:pStyle w:val="subsection"/>
              <w:cnfStyle w:val="000000000000" w:firstRow="0" w:lastRow="0" w:firstColumn="0" w:lastColumn="0" w:oddVBand="0" w:evenVBand="0" w:oddHBand="0" w:evenHBand="0" w:firstRowFirstColumn="0" w:firstRowLastColumn="0" w:lastRowFirstColumn="0" w:lastRowLastColumn="0"/>
            </w:pPr>
            <w:r w:rsidRPr="005E02E3">
              <w:t>(5)</w:t>
            </w:r>
            <w:r w:rsidRPr="005E02E3">
              <w:tab/>
              <w:t xml:space="preserve">For the purposes of this section, </w:t>
            </w:r>
            <w:r w:rsidRPr="005E02E3">
              <w:rPr>
                <w:b/>
                <w:i/>
              </w:rPr>
              <w:t>road network</w:t>
            </w:r>
            <w:r w:rsidRPr="005E02E3">
              <w:t xml:space="preserve"> includes a part of a road network.</w:t>
            </w:r>
          </w:p>
          <w:p w14:paraId="1E7E6D29" w14:textId="66882BCB" w:rsidR="00453FC9" w:rsidRPr="005E02E3" w:rsidRDefault="00453FC9" w:rsidP="00453FC9">
            <w:pPr>
              <w:pStyle w:val="subsection"/>
              <w:cnfStyle w:val="000000000000" w:firstRow="0" w:lastRow="0" w:firstColumn="0" w:lastColumn="0" w:oddVBand="0" w:evenVBand="0" w:oddHBand="0" w:evenHBand="0" w:firstRowFirstColumn="0" w:firstRowLastColumn="0" w:lastRowFirstColumn="0" w:lastRowLastColumn="0"/>
            </w:pPr>
            <w:r w:rsidRPr="005E02E3">
              <w:t>(6)</w:t>
            </w:r>
            <w:r w:rsidRPr="005E02E3">
              <w:tab/>
              <w:t xml:space="preserve">For the purposes of this section, </w:t>
            </w:r>
            <w:r w:rsidRPr="005E02E3">
              <w:rPr>
                <w:b/>
                <w:i/>
              </w:rPr>
              <w:t>rail network</w:t>
            </w:r>
            <w:r w:rsidRPr="005E02E3">
              <w:t xml:space="preserve"> includes a part of a rail network.</w:t>
            </w:r>
          </w:p>
          <w:p w14:paraId="36589D23" w14:textId="761A7D71" w:rsidR="00993F09" w:rsidRPr="001A7788" w:rsidRDefault="00453FC9" w:rsidP="00E8451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sidDel="00453FC9">
              <w:rPr>
                <w:rFonts w:ascii="Times New Roman" w:hAnsi="Times New Roman" w:cs="Times New Roman"/>
              </w:rPr>
              <w:t xml:space="preserve"> </w:t>
            </w:r>
          </w:p>
        </w:tc>
      </w:tr>
      <w:tr w:rsidR="00993F09" w:rsidRPr="00924D81" w14:paraId="1609B975" w14:textId="77777777" w:rsidTr="0060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pct"/>
          </w:tcPr>
          <w:p w14:paraId="5C39A551" w14:textId="77777777" w:rsidR="00993F09" w:rsidRPr="001A7788" w:rsidRDefault="00993F09" w:rsidP="00602DDE">
            <w:pPr>
              <w:rPr>
                <w:rFonts w:ascii="Times New Roman" w:hAnsi="Times New Roman" w:cs="Times New Roman"/>
                <w:u w:val="single"/>
              </w:rPr>
            </w:pPr>
            <w:r w:rsidRPr="001A7788">
              <w:rPr>
                <w:rFonts w:ascii="Times New Roman" w:hAnsi="Times New Roman" w:cs="Times New Roman"/>
                <w:u w:val="single"/>
              </w:rPr>
              <w:lastRenderedPageBreak/>
              <w:t>Critical Freight Services Asset</w:t>
            </w:r>
          </w:p>
          <w:p w14:paraId="2A87EB0C" w14:textId="77777777" w:rsidR="00993F09" w:rsidRPr="001A7788" w:rsidRDefault="00993F09" w:rsidP="00602DDE">
            <w:pPr>
              <w:rPr>
                <w:rFonts w:ascii="Times New Roman" w:hAnsi="Times New Roman" w:cs="Times New Roman"/>
                <w:u w:val="single"/>
              </w:rPr>
            </w:pPr>
          </w:p>
          <w:p w14:paraId="3B50E967" w14:textId="77777777" w:rsidR="00993F09" w:rsidRPr="001A7788" w:rsidRDefault="00993F09" w:rsidP="00602DDE">
            <w:pPr>
              <w:rPr>
                <w:rFonts w:ascii="Times New Roman" w:hAnsi="Times New Roman" w:cs="Times New Roman"/>
                <w:b w:val="0"/>
                <w:i/>
              </w:rPr>
            </w:pPr>
          </w:p>
        </w:tc>
        <w:tc>
          <w:tcPr>
            <w:tcW w:w="3933" w:type="pct"/>
          </w:tcPr>
          <w:p w14:paraId="08CC60DE" w14:textId="77777777" w:rsidR="0017534F" w:rsidRPr="005E02E3" w:rsidRDefault="0017534F" w:rsidP="0017534F">
            <w:pPr>
              <w:pStyle w:val="subsection"/>
              <w:cnfStyle w:val="000000100000" w:firstRow="0" w:lastRow="0" w:firstColumn="0" w:lastColumn="0" w:oddVBand="0" w:evenVBand="0" w:oddHBand="1" w:evenHBand="0" w:firstRowFirstColumn="0" w:firstRowLastColumn="0" w:lastRowFirstColumn="0" w:lastRowLastColumn="0"/>
            </w:pPr>
            <w:r w:rsidRPr="005E02E3">
              <w:t>(1)</w:t>
            </w:r>
            <w:r w:rsidRPr="005E02E3">
              <w:tab/>
              <w:t xml:space="preserve">An asset is a </w:t>
            </w:r>
            <w:r w:rsidRPr="005E02E3">
              <w:rPr>
                <w:b/>
                <w:i/>
              </w:rPr>
              <w:t>critical freight services asset</w:t>
            </w:r>
            <w:r w:rsidRPr="005E02E3">
              <w:rPr>
                <w:b/>
              </w:rPr>
              <w:t xml:space="preserve"> </w:t>
            </w:r>
            <w:r w:rsidRPr="005E02E3">
              <w:t>if it is a network that is used by an entity carrying on a business</w:t>
            </w:r>
            <w:r>
              <w:t>,</w:t>
            </w:r>
            <w:r w:rsidRPr="005E02E3">
              <w:t xml:space="preserve"> that, in accordance with </w:t>
            </w:r>
            <w:r>
              <w:t>subsection (</w:t>
            </w:r>
            <w:r w:rsidRPr="005E02E3">
              <w:t>2), is critical to the transportation of goods by any or all of the following:</w:t>
            </w:r>
          </w:p>
          <w:p w14:paraId="23ACE8E9" w14:textId="77777777" w:rsidR="0017534F" w:rsidRPr="005E02E3" w:rsidRDefault="0017534F" w:rsidP="0017534F">
            <w:pPr>
              <w:pStyle w:val="paragraph"/>
              <w:cnfStyle w:val="000000100000" w:firstRow="0" w:lastRow="0" w:firstColumn="0" w:lastColumn="0" w:oddVBand="0" w:evenVBand="0" w:oddHBand="1" w:evenHBand="0" w:firstRowFirstColumn="0" w:firstRowLastColumn="0" w:lastRowFirstColumn="0" w:lastRowLastColumn="0"/>
            </w:pPr>
            <w:r w:rsidRPr="005E02E3">
              <w:tab/>
              <w:t>(a)</w:t>
            </w:r>
            <w:r w:rsidRPr="005E02E3">
              <w:tab/>
              <w:t>road;</w:t>
            </w:r>
          </w:p>
          <w:p w14:paraId="3B6FF854" w14:textId="77777777" w:rsidR="0017534F" w:rsidRPr="005E02E3" w:rsidRDefault="0017534F" w:rsidP="0017534F">
            <w:pPr>
              <w:pStyle w:val="paragraph"/>
              <w:cnfStyle w:val="000000100000" w:firstRow="0" w:lastRow="0" w:firstColumn="0" w:lastColumn="0" w:oddVBand="0" w:evenVBand="0" w:oddHBand="1" w:evenHBand="0" w:firstRowFirstColumn="0" w:firstRowLastColumn="0" w:lastRowFirstColumn="0" w:lastRowLastColumn="0"/>
            </w:pPr>
            <w:r w:rsidRPr="005E02E3">
              <w:tab/>
              <w:t>(b)</w:t>
            </w:r>
            <w:r w:rsidRPr="005E02E3">
              <w:tab/>
              <w:t>rail;</w:t>
            </w:r>
          </w:p>
          <w:p w14:paraId="51968582" w14:textId="77777777" w:rsidR="0017534F" w:rsidRPr="005E02E3" w:rsidRDefault="0017534F" w:rsidP="0017534F">
            <w:pPr>
              <w:pStyle w:val="paragraph"/>
              <w:cnfStyle w:val="000000100000" w:firstRow="0" w:lastRow="0" w:firstColumn="0" w:lastColumn="0" w:oddVBand="0" w:evenVBand="0" w:oddHBand="1" w:evenHBand="0" w:firstRowFirstColumn="0" w:firstRowLastColumn="0" w:lastRowFirstColumn="0" w:lastRowLastColumn="0"/>
            </w:pPr>
            <w:r w:rsidRPr="005E02E3">
              <w:tab/>
              <w:t>(c)</w:t>
            </w:r>
            <w:r w:rsidRPr="005E02E3">
              <w:tab/>
              <w:t>inland waters;</w:t>
            </w:r>
          </w:p>
          <w:p w14:paraId="168CA1A6" w14:textId="77777777" w:rsidR="0017534F" w:rsidRPr="005E02E3" w:rsidRDefault="0017534F" w:rsidP="0017534F">
            <w:pPr>
              <w:pStyle w:val="paragraph"/>
              <w:cnfStyle w:val="000000100000" w:firstRow="0" w:lastRow="0" w:firstColumn="0" w:lastColumn="0" w:oddVBand="0" w:evenVBand="0" w:oddHBand="1" w:evenHBand="0" w:firstRowFirstColumn="0" w:firstRowLastColumn="0" w:lastRowFirstColumn="0" w:lastRowLastColumn="0"/>
            </w:pPr>
            <w:r w:rsidRPr="005E02E3">
              <w:tab/>
              <w:t>(d)</w:t>
            </w:r>
            <w:r w:rsidRPr="005E02E3">
              <w:tab/>
              <w:t>sea.</w:t>
            </w:r>
          </w:p>
          <w:p w14:paraId="2C22137B" w14:textId="77777777" w:rsidR="0017534F" w:rsidRPr="005E02E3" w:rsidRDefault="0017534F" w:rsidP="0017534F">
            <w:pPr>
              <w:pStyle w:val="notetext"/>
              <w:cnfStyle w:val="000000100000" w:firstRow="0" w:lastRow="0" w:firstColumn="0" w:lastColumn="0" w:oddVBand="0" w:evenVBand="0" w:oddHBand="1" w:evenHBand="0" w:firstRowFirstColumn="0" w:firstRowLastColumn="0" w:lastRowFirstColumn="0" w:lastRowLastColumn="0"/>
            </w:pPr>
            <w:r w:rsidRPr="005E02E3">
              <w:t>Note:</w:t>
            </w:r>
            <w:r w:rsidRPr="005E02E3">
              <w:tab/>
              <w:t>The rules may prescribe that a specified critical freight services asset is not a critical infrastructure asset (see section 9).</w:t>
            </w:r>
          </w:p>
          <w:p w14:paraId="325215AC" w14:textId="6BB122BD" w:rsidR="0017534F" w:rsidRPr="005E02E3" w:rsidRDefault="0017534F" w:rsidP="0017534F">
            <w:pPr>
              <w:pStyle w:val="subsection"/>
              <w:cnfStyle w:val="000000100000" w:firstRow="0" w:lastRow="0" w:firstColumn="0" w:lastColumn="0" w:oddVBand="0" w:evenVBand="0" w:oddHBand="1" w:evenHBand="0" w:firstRowFirstColumn="0" w:firstRowLastColumn="0" w:lastRowFirstColumn="0" w:lastRowLastColumn="0"/>
            </w:pPr>
            <w:r w:rsidRPr="005E02E3">
              <w:t>(2)</w:t>
            </w:r>
            <w:r w:rsidRPr="005E02E3">
              <w:tab/>
              <w:t xml:space="preserve">For the purposes of </w:t>
            </w:r>
            <w:r>
              <w:t>subsection (</w:t>
            </w:r>
            <w:r w:rsidRPr="005E02E3">
              <w:t>1), the rules may prescribe:</w:t>
            </w:r>
          </w:p>
          <w:p w14:paraId="121645F9" w14:textId="77777777" w:rsidR="0017534F" w:rsidRPr="005E02E3" w:rsidRDefault="0017534F" w:rsidP="0017534F">
            <w:pPr>
              <w:pStyle w:val="paragraph"/>
              <w:cnfStyle w:val="000000100000" w:firstRow="0" w:lastRow="0" w:firstColumn="0" w:lastColumn="0" w:oddVBand="0" w:evenVBand="0" w:oddHBand="1" w:evenHBand="0" w:firstRowFirstColumn="0" w:firstRowLastColumn="0" w:lastRowFirstColumn="0" w:lastRowLastColumn="0"/>
            </w:pPr>
            <w:r w:rsidRPr="005E02E3">
              <w:tab/>
              <w:t>(a)</w:t>
            </w:r>
            <w:r w:rsidRPr="005E02E3">
              <w:tab/>
              <w:t xml:space="preserve">specified businesses that are critical to the transportation of goods </w:t>
            </w:r>
            <w:r>
              <w:t xml:space="preserve">by </w:t>
            </w:r>
            <w:r w:rsidRPr="005E02E3">
              <w:t>any or all of the following:</w:t>
            </w:r>
          </w:p>
          <w:p w14:paraId="7B8716CD" w14:textId="77777777" w:rsidR="0017534F" w:rsidRPr="005E02E3" w:rsidRDefault="0017534F" w:rsidP="0017534F">
            <w:pPr>
              <w:pStyle w:val="paragraphsub"/>
              <w:cnfStyle w:val="000000100000" w:firstRow="0" w:lastRow="0" w:firstColumn="0" w:lastColumn="0" w:oddVBand="0" w:evenVBand="0" w:oddHBand="1" w:evenHBand="0" w:firstRowFirstColumn="0" w:firstRowLastColumn="0" w:lastRowFirstColumn="0" w:lastRowLastColumn="0"/>
            </w:pPr>
            <w:r w:rsidRPr="005E02E3">
              <w:tab/>
              <w:t>(i)</w:t>
            </w:r>
            <w:r w:rsidRPr="005E02E3">
              <w:tab/>
              <w:t>road;</w:t>
            </w:r>
          </w:p>
          <w:p w14:paraId="0882C344" w14:textId="77777777" w:rsidR="0017534F" w:rsidRPr="005E02E3" w:rsidRDefault="0017534F" w:rsidP="0017534F">
            <w:pPr>
              <w:pStyle w:val="paragraphsub"/>
              <w:cnfStyle w:val="000000100000" w:firstRow="0" w:lastRow="0" w:firstColumn="0" w:lastColumn="0" w:oddVBand="0" w:evenVBand="0" w:oddHBand="1" w:evenHBand="0" w:firstRowFirstColumn="0" w:firstRowLastColumn="0" w:lastRowFirstColumn="0" w:lastRowLastColumn="0"/>
            </w:pPr>
            <w:r w:rsidRPr="005E02E3">
              <w:tab/>
              <w:t>(ii)</w:t>
            </w:r>
            <w:r w:rsidRPr="005E02E3">
              <w:tab/>
              <w:t>rail;</w:t>
            </w:r>
          </w:p>
          <w:p w14:paraId="1B89C6DF" w14:textId="77777777" w:rsidR="0017534F" w:rsidRPr="005E02E3" w:rsidRDefault="0017534F" w:rsidP="0017534F">
            <w:pPr>
              <w:pStyle w:val="paragraphsub"/>
              <w:cnfStyle w:val="000000100000" w:firstRow="0" w:lastRow="0" w:firstColumn="0" w:lastColumn="0" w:oddVBand="0" w:evenVBand="0" w:oddHBand="1" w:evenHBand="0" w:firstRowFirstColumn="0" w:firstRowLastColumn="0" w:lastRowFirstColumn="0" w:lastRowLastColumn="0"/>
            </w:pPr>
            <w:r w:rsidRPr="005E02E3">
              <w:tab/>
              <w:t>(iii)</w:t>
            </w:r>
            <w:r w:rsidRPr="005E02E3">
              <w:tab/>
              <w:t>inland waters;</w:t>
            </w:r>
          </w:p>
          <w:p w14:paraId="0F9F1136" w14:textId="77777777" w:rsidR="0017534F" w:rsidRPr="005E02E3" w:rsidRDefault="0017534F" w:rsidP="0017534F">
            <w:pPr>
              <w:pStyle w:val="paragraphsub"/>
              <w:cnfStyle w:val="000000100000" w:firstRow="0" w:lastRow="0" w:firstColumn="0" w:lastColumn="0" w:oddVBand="0" w:evenVBand="0" w:oddHBand="1" w:evenHBand="0" w:firstRowFirstColumn="0" w:firstRowLastColumn="0" w:lastRowFirstColumn="0" w:lastRowLastColumn="0"/>
            </w:pPr>
            <w:r w:rsidRPr="005E02E3">
              <w:tab/>
              <w:t>(iv)</w:t>
            </w:r>
            <w:r w:rsidRPr="005E02E3">
              <w:tab/>
              <w:t>sea; or</w:t>
            </w:r>
          </w:p>
          <w:p w14:paraId="646400EF" w14:textId="77777777" w:rsidR="0017534F" w:rsidRPr="005E02E3" w:rsidRDefault="0017534F" w:rsidP="0017534F">
            <w:pPr>
              <w:pStyle w:val="paragraph"/>
              <w:cnfStyle w:val="000000100000" w:firstRow="0" w:lastRow="0" w:firstColumn="0" w:lastColumn="0" w:oddVBand="0" w:evenVBand="0" w:oddHBand="1" w:evenHBand="0" w:firstRowFirstColumn="0" w:firstRowLastColumn="0" w:lastRowFirstColumn="0" w:lastRowLastColumn="0"/>
            </w:pPr>
            <w:r w:rsidRPr="005E02E3">
              <w:tab/>
              <w:t>(b)</w:t>
            </w:r>
            <w:r w:rsidRPr="005E02E3">
              <w:tab/>
              <w:t>requirements for a business to be critical to the transportation of goods by any or all of the following:</w:t>
            </w:r>
          </w:p>
          <w:p w14:paraId="6B84B321" w14:textId="77777777" w:rsidR="0017534F" w:rsidRPr="005E02E3" w:rsidRDefault="0017534F" w:rsidP="0017534F">
            <w:pPr>
              <w:pStyle w:val="paragraphsub"/>
              <w:cnfStyle w:val="000000100000" w:firstRow="0" w:lastRow="0" w:firstColumn="0" w:lastColumn="0" w:oddVBand="0" w:evenVBand="0" w:oddHBand="1" w:evenHBand="0" w:firstRowFirstColumn="0" w:firstRowLastColumn="0" w:lastRowFirstColumn="0" w:lastRowLastColumn="0"/>
            </w:pPr>
            <w:r w:rsidRPr="005E02E3">
              <w:tab/>
              <w:t>(i)</w:t>
            </w:r>
            <w:r w:rsidRPr="005E02E3">
              <w:tab/>
              <w:t>road;</w:t>
            </w:r>
          </w:p>
          <w:p w14:paraId="5CD8DED0" w14:textId="77777777" w:rsidR="0017534F" w:rsidRPr="005E02E3" w:rsidRDefault="0017534F" w:rsidP="0017534F">
            <w:pPr>
              <w:pStyle w:val="paragraphsub"/>
              <w:cnfStyle w:val="000000100000" w:firstRow="0" w:lastRow="0" w:firstColumn="0" w:lastColumn="0" w:oddVBand="0" w:evenVBand="0" w:oddHBand="1" w:evenHBand="0" w:firstRowFirstColumn="0" w:firstRowLastColumn="0" w:lastRowFirstColumn="0" w:lastRowLastColumn="0"/>
            </w:pPr>
            <w:r w:rsidRPr="005E02E3">
              <w:lastRenderedPageBreak/>
              <w:tab/>
              <w:t>(ii)</w:t>
            </w:r>
            <w:r w:rsidRPr="005E02E3">
              <w:tab/>
              <w:t>rail;</w:t>
            </w:r>
          </w:p>
          <w:p w14:paraId="06E8CC13" w14:textId="77777777" w:rsidR="0017534F" w:rsidRPr="005E02E3" w:rsidRDefault="0017534F" w:rsidP="0017534F">
            <w:pPr>
              <w:pStyle w:val="paragraphsub"/>
              <w:cnfStyle w:val="000000100000" w:firstRow="0" w:lastRow="0" w:firstColumn="0" w:lastColumn="0" w:oddVBand="0" w:evenVBand="0" w:oddHBand="1" w:evenHBand="0" w:firstRowFirstColumn="0" w:firstRowLastColumn="0" w:lastRowFirstColumn="0" w:lastRowLastColumn="0"/>
            </w:pPr>
            <w:r w:rsidRPr="005E02E3">
              <w:tab/>
              <w:t>(iii)</w:t>
            </w:r>
            <w:r w:rsidRPr="005E02E3">
              <w:tab/>
              <w:t>inland waters;</w:t>
            </w:r>
          </w:p>
          <w:p w14:paraId="2BE9A7B5" w14:textId="77777777" w:rsidR="0017534F" w:rsidRPr="005E02E3" w:rsidRDefault="0017534F" w:rsidP="0017534F">
            <w:pPr>
              <w:pStyle w:val="paragraphsub"/>
              <w:cnfStyle w:val="000000100000" w:firstRow="0" w:lastRow="0" w:firstColumn="0" w:lastColumn="0" w:oddVBand="0" w:evenVBand="0" w:oddHBand="1" w:evenHBand="0" w:firstRowFirstColumn="0" w:firstRowLastColumn="0" w:lastRowFirstColumn="0" w:lastRowLastColumn="0"/>
            </w:pPr>
            <w:r w:rsidRPr="005E02E3">
              <w:tab/>
              <w:t>(iv)</w:t>
            </w:r>
            <w:r w:rsidRPr="005E02E3">
              <w:tab/>
              <w:t>sea.</w:t>
            </w:r>
          </w:p>
          <w:p w14:paraId="62A95AB5" w14:textId="45F08C16" w:rsidR="00993F09" w:rsidRPr="001A7788" w:rsidRDefault="0017534F" w:rsidP="00E8451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sidDel="0017534F">
              <w:rPr>
                <w:rFonts w:ascii="Times New Roman" w:hAnsi="Times New Roman" w:cs="Times New Roman"/>
              </w:rPr>
              <w:t xml:space="preserve"> </w:t>
            </w:r>
          </w:p>
        </w:tc>
      </w:tr>
      <w:tr w:rsidR="00993F09" w:rsidRPr="00924D81" w14:paraId="698CAA49" w14:textId="77777777" w:rsidTr="00602DDE">
        <w:tc>
          <w:tcPr>
            <w:cnfStyle w:val="001000000000" w:firstRow="0" w:lastRow="0" w:firstColumn="1" w:lastColumn="0" w:oddVBand="0" w:evenVBand="0" w:oddHBand="0" w:evenHBand="0" w:firstRowFirstColumn="0" w:firstRowLastColumn="0" w:lastRowFirstColumn="0" w:lastRowLastColumn="0"/>
            <w:tcW w:w="1067" w:type="pct"/>
          </w:tcPr>
          <w:p w14:paraId="0E1C7FF8" w14:textId="77777777" w:rsidR="00993F09" w:rsidRPr="001A7788" w:rsidRDefault="00993F09" w:rsidP="00602DDE">
            <w:pPr>
              <w:rPr>
                <w:rFonts w:ascii="Times New Roman" w:hAnsi="Times New Roman" w:cs="Times New Roman"/>
                <w:u w:val="single"/>
              </w:rPr>
            </w:pPr>
            <w:r w:rsidRPr="001A7788">
              <w:rPr>
                <w:rFonts w:ascii="Times New Roman" w:hAnsi="Times New Roman" w:cs="Times New Roman"/>
                <w:u w:val="single"/>
              </w:rPr>
              <w:lastRenderedPageBreak/>
              <w:t>Critical Public Transport Asset</w:t>
            </w:r>
          </w:p>
        </w:tc>
        <w:tc>
          <w:tcPr>
            <w:tcW w:w="3933" w:type="pct"/>
          </w:tcPr>
          <w:p w14:paraId="766604FD" w14:textId="77777777" w:rsidR="00993F09" w:rsidRPr="001A7788" w:rsidRDefault="00993F09" w:rsidP="00602D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Critical public transport asset means a public transport network or system that:</w:t>
            </w:r>
          </w:p>
          <w:p w14:paraId="42DA4B15" w14:textId="77777777" w:rsidR="00993F09" w:rsidRPr="001A7788" w:rsidRDefault="00993F09" w:rsidP="00B369B5">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is managed by a single entity; and</w:t>
            </w:r>
          </w:p>
          <w:p w14:paraId="4B7F3121" w14:textId="77777777" w:rsidR="00993F09" w:rsidRPr="001A7788" w:rsidRDefault="00993F09" w:rsidP="00B369B5">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is capable of handling at least 5 million passenger journeys per month.</w:t>
            </w:r>
          </w:p>
        </w:tc>
      </w:tr>
      <w:tr w:rsidR="00993F09" w:rsidRPr="00924D81" w14:paraId="14E68608" w14:textId="77777777" w:rsidTr="0060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pct"/>
          </w:tcPr>
          <w:p w14:paraId="546D908E" w14:textId="77777777" w:rsidR="00993F09" w:rsidRPr="001A7788" w:rsidRDefault="00993F09" w:rsidP="00602DDE">
            <w:pPr>
              <w:rPr>
                <w:rFonts w:ascii="Times New Roman" w:hAnsi="Times New Roman" w:cs="Times New Roman"/>
                <w:u w:val="single"/>
              </w:rPr>
            </w:pPr>
            <w:r w:rsidRPr="00E84518">
              <w:rPr>
                <w:rFonts w:ascii="Times New Roman" w:hAnsi="Times New Roman" w:cs="Times New Roman"/>
                <w:u w:val="single"/>
              </w:rPr>
              <w:t>Critical electricity asset</w:t>
            </w:r>
          </w:p>
        </w:tc>
        <w:tc>
          <w:tcPr>
            <w:tcW w:w="3933" w:type="pct"/>
          </w:tcPr>
          <w:p w14:paraId="0A4F6FDB" w14:textId="77777777" w:rsidR="00993F09" w:rsidRPr="001A7788" w:rsidRDefault="00993F09" w:rsidP="00602D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(1)  An asset is a critical electricity asset if it is:</w:t>
            </w:r>
          </w:p>
          <w:p w14:paraId="2482D6FD" w14:textId="77777777" w:rsidR="00993F09" w:rsidRPr="001A7788" w:rsidRDefault="00993F09" w:rsidP="00602D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A7E64C0" w14:textId="77777777" w:rsidR="00993F09" w:rsidRPr="001A7788" w:rsidRDefault="00993F09" w:rsidP="00B369B5">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a network, system, or interconnector, for the transmission or distribution of electricity to ultimately service at least 100,000 customers; or</w:t>
            </w:r>
          </w:p>
          <w:p w14:paraId="6DEC0678" w14:textId="77777777" w:rsidR="00993F09" w:rsidRPr="001A7788" w:rsidRDefault="00993F09" w:rsidP="00B369B5">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an electricity generation station that is critical to ensuring the security and reliability of electricity networks or electricity systems in a State or Territory, in accordance with subsection (2).</w:t>
            </w:r>
          </w:p>
          <w:p w14:paraId="12C118F1" w14:textId="77777777" w:rsidR="00993F09" w:rsidRPr="001A7788" w:rsidRDefault="00993F09" w:rsidP="00602D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(2) For the purposes of paragraph (1)(b), the rules may prescribe requirements for an electricity generation station to be critical to ensuring the security and reliability of electricity networks or electricity systems in a particular State or Territory.</w:t>
            </w:r>
          </w:p>
        </w:tc>
      </w:tr>
      <w:tr w:rsidR="00993F09" w:rsidRPr="00924D81" w14:paraId="00653B77" w14:textId="77777777" w:rsidTr="00602DDE">
        <w:tc>
          <w:tcPr>
            <w:cnfStyle w:val="001000000000" w:firstRow="0" w:lastRow="0" w:firstColumn="1" w:lastColumn="0" w:oddVBand="0" w:evenVBand="0" w:oddHBand="0" w:evenHBand="0" w:firstRowFirstColumn="0" w:firstRowLastColumn="0" w:lastRowFirstColumn="0" w:lastRowLastColumn="0"/>
            <w:tcW w:w="1067" w:type="pct"/>
          </w:tcPr>
          <w:p w14:paraId="6AB0A863" w14:textId="77777777" w:rsidR="00993F09" w:rsidRPr="001A7788" w:rsidRDefault="00993F09" w:rsidP="00602DDE">
            <w:pPr>
              <w:rPr>
                <w:rFonts w:ascii="Times New Roman" w:hAnsi="Times New Roman" w:cs="Times New Roman"/>
                <w:u w:val="single"/>
              </w:rPr>
            </w:pPr>
            <w:r w:rsidRPr="001A7788">
              <w:rPr>
                <w:rFonts w:ascii="Times New Roman" w:hAnsi="Times New Roman" w:cs="Times New Roman"/>
                <w:u w:val="single"/>
              </w:rPr>
              <w:t>Critical gas asset</w:t>
            </w:r>
          </w:p>
        </w:tc>
        <w:tc>
          <w:tcPr>
            <w:tcW w:w="3933" w:type="pct"/>
          </w:tcPr>
          <w:p w14:paraId="1638C2BF" w14:textId="77777777" w:rsidR="00993F09" w:rsidRPr="001A7788" w:rsidRDefault="00993F09" w:rsidP="00602D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(1)  An asset is a critical gas asset if it is any of the following:</w:t>
            </w:r>
          </w:p>
          <w:p w14:paraId="1A93D8A1" w14:textId="77777777" w:rsidR="00993F09" w:rsidRPr="001A7788" w:rsidRDefault="00993F09" w:rsidP="00B369B5">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a gas processing facility that has a capacity of at least 300 terajoules per day or any other capacity prescribed by the rules;</w:t>
            </w:r>
          </w:p>
          <w:p w14:paraId="34EA57A7" w14:textId="77777777" w:rsidR="00993F09" w:rsidRPr="001A7788" w:rsidRDefault="00993F09" w:rsidP="00B369B5">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a gas storage facility that has a maximum daily quantity of at least 75 terajoules per day or any other quantity prescribed by the rules;</w:t>
            </w:r>
          </w:p>
          <w:p w14:paraId="1D31803B" w14:textId="77777777" w:rsidR="00993F09" w:rsidRPr="001A7788" w:rsidRDefault="00993F09" w:rsidP="00B369B5">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a network or system for the distribution of gas to ultimately service at least 100,000 customers or any other number of customers prescribed by the rules;</w:t>
            </w:r>
          </w:p>
          <w:p w14:paraId="0F1113C1" w14:textId="77777777" w:rsidR="00993F09" w:rsidRPr="001A7788" w:rsidRDefault="00993F09" w:rsidP="00B369B5">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a gas transmission pipeline that is critical to ensuring the security and reliability of a gas market, in accordance with subsection (2).</w:t>
            </w:r>
          </w:p>
          <w:p w14:paraId="1D2F8F0F" w14:textId="77777777" w:rsidR="00993F09" w:rsidRPr="001A7788" w:rsidRDefault="00993F09" w:rsidP="00602D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(2)  For the purposes of paragraph (1)(d), the rules may prescribe:</w:t>
            </w:r>
          </w:p>
          <w:p w14:paraId="448FF1EA" w14:textId="77777777" w:rsidR="00993F09" w:rsidRPr="001A7788" w:rsidRDefault="00993F09" w:rsidP="00B369B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specified gas transmission pipelines that are critical to ensuring the security and reliability of a gas market; or</w:t>
            </w:r>
          </w:p>
          <w:p w14:paraId="61407213" w14:textId="77777777" w:rsidR="00993F09" w:rsidRPr="001A7788" w:rsidRDefault="00993F09" w:rsidP="00B369B5">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requirements for a gas transmission pipeline to be critical to ensuring the security and reliability of a gas market.</w:t>
            </w:r>
          </w:p>
        </w:tc>
      </w:tr>
      <w:tr w:rsidR="00993F09" w:rsidRPr="00924D81" w14:paraId="30993FD7" w14:textId="77777777" w:rsidTr="0060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pct"/>
          </w:tcPr>
          <w:p w14:paraId="46A701AC" w14:textId="77777777" w:rsidR="00993F09" w:rsidRPr="001A7788" w:rsidRDefault="00993F09" w:rsidP="00602DDE">
            <w:pPr>
              <w:rPr>
                <w:rFonts w:ascii="Times New Roman" w:hAnsi="Times New Roman" w:cs="Times New Roman"/>
                <w:u w:val="single"/>
              </w:rPr>
            </w:pPr>
            <w:r w:rsidRPr="001A7788">
              <w:rPr>
                <w:rFonts w:ascii="Times New Roman" w:hAnsi="Times New Roman" w:cs="Times New Roman"/>
                <w:u w:val="single"/>
              </w:rPr>
              <w:t>Critical liquid fuel asset</w:t>
            </w:r>
          </w:p>
          <w:p w14:paraId="0FF7FB3B" w14:textId="77777777" w:rsidR="00993F09" w:rsidRPr="001A7788" w:rsidRDefault="00993F09" w:rsidP="00602DDE">
            <w:pPr>
              <w:rPr>
                <w:rFonts w:ascii="Times New Roman" w:hAnsi="Times New Roman" w:cs="Times New Roman"/>
                <w:u w:val="single"/>
              </w:rPr>
            </w:pPr>
          </w:p>
          <w:p w14:paraId="376DBCD5" w14:textId="77777777" w:rsidR="00993F09" w:rsidRPr="001A7788" w:rsidRDefault="00993F09" w:rsidP="00602DDE">
            <w:pPr>
              <w:rPr>
                <w:rFonts w:ascii="Times New Roman" w:hAnsi="Times New Roman" w:cs="Times New Roman"/>
                <w:b w:val="0"/>
                <w:i/>
              </w:rPr>
            </w:pPr>
          </w:p>
        </w:tc>
        <w:tc>
          <w:tcPr>
            <w:tcW w:w="3933" w:type="pct"/>
          </w:tcPr>
          <w:p w14:paraId="0B03C0BD" w14:textId="399CA4CA" w:rsidR="002A77DC" w:rsidRPr="005E02E3" w:rsidRDefault="002A77DC" w:rsidP="002A77DC">
            <w:pPr>
              <w:pStyle w:val="subsection"/>
              <w:cnfStyle w:val="000000100000" w:firstRow="0" w:lastRow="0" w:firstColumn="0" w:lastColumn="0" w:oddVBand="0" w:evenVBand="0" w:oddHBand="1" w:evenHBand="0" w:firstRowFirstColumn="0" w:firstRowLastColumn="0" w:lastRowFirstColumn="0" w:lastRowLastColumn="0"/>
            </w:pPr>
            <w:r w:rsidRPr="005E02E3">
              <w:t>(1)</w:t>
            </w:r>
            <w:r w:rsidRPr="005E02E3">
              <w:tab/>
              <w:t xml:space="preserve">An asset is a </w:t>
            </w:r>
            <w:r w:rsidRPr="005E02E3">
              <w:rPr>
                <w:b/>
                <w:i/>
              </w:rPr>
              <w:t>critical liquid fuel asset</w:t>
            </w:r>
            <w:r w:rsidRPr="005E02E3">
              <w:t xml:space="preserve"> if it is any of the following:</w:t>
            </w:r>
          </w:p>
          <w:p w14:paraId="2A05C9A9" w14:textId="77777777" w:rsidR="002A77DC" w:rsidRPr="005E02E3" w:rsidRDefault="002A77DC" w:rsidP="002A77DC">
            <w:pPr>
              <w:pStyle w:val="paragraph"/>
              <w:cnfStyle w:val="000000100000" w:firstRow="0" w:lastRow="0" w:firstColumn="0" w:lastColumn="0" w:oddVBand="0" w:evenVBand="0" w:oddHBand="1" w:evenHBand="0" w:firstRowFirstColumn="0" w:firstRowLastColumn="0" w:lastRowFirstColumn="0" w:lastRowLastColumn="0"/>
            </w:pPr>
            <w:r w:rsidRPr="005E02E3">
              <w:tab/>
              <w:t>(a)</w:t>
            </w:r>
            <w:r w:rsidRPr="005E02E3">
              <w:tab/>
              <w:t xml:space="preserve">a liquid fuel refinery that is critical to ensuring the security and reliability of a liquid fuel market, in accordance with </w:t>
            </w:r>
            <w:r>
              <w:t>subsection (</w:t>
            </w:r>
            <w:r w:rsidRPr="005E02E3">
              <w:t>2);</w:t>
            </w:r>
          </w:p>
          <w:p w14:paraId="3B16184F" w14:textId="77777777" w:rsidR="002A77DC" w:rsidRPr="005E02E3" w:rsidRDefault="002A77DC" w:rsidP="002A77DC">
            <w:pPr>
              <w:pStyle w:val="paragraph"/>
              <w:cnfStyle w:val="000000100000" w:firstRow="0" w:lastRow="0" w:firstColumn="0" w:lastColumn="0" w:oddVBand="0" w:evenVBand="0" w:oddHBand="1" w:evenHBand="0" w:firstRowFirstColumn="0" w:firstRowLastColumn="0" w:lastRowFirstColumn="0" w:lastRowLastColumn="0"/>
            </w:pPr>
            <w:r w:rsidRPr="005E02E3">
              <w:tab/>
              <w:t>(b)</w:t>
            </w:r>
            <w:r w:rsidRPr="005E02E3">
              <w:tab/>
              <w:t xml:space="preserve">a liquid fuel pipeline that is critical to ensuring the security and reliability of a liquid fuel market, in accordance with </w:t>
            </w:r>
            <w:r>
              <w:t>subsection (</w:t>
            </w:r>
            <w:r w:rsidRPr="005E02E3">
              <w:t>3);</w:t>
            </w:r>
          </w:p>
          <w:p w14:paraId="59AF6637" w14:textId="77777777" w:rsidR="002A77DC" w:rsidRPr="005E02E3" w:rsidRDefault="002A77DC" w:rsidP="002A77DC">
            <w:pPr>
              <w:pStyle w:val="paragraph"/>
              <w:cnfStyle w:val="000000100000" w:firstRow="0" w:lastRow="0" w:firstColumn="0" w:lastColumn="0" w:oddVBand="0" w:evenVBand="0" w:oddHBand="1" w:evenHBand="0" w:firstRowFirstColumn="0" w:firstRowLastColumn="0" w:lastRowFirstColumn="0" w:lastRowLastColumn="0"/>
            </w:pPr>
            <w:r w:rsidRPr="005E02E3">
              <w:tab/>
              <w:t>(c)</w:t>
            </w:r>
            <w:r w:rsidRPr="005E02E3">
              <w:tab/>
              <w:t xml:space="preserve">a liquid fuel storage facility that is critical to ensuring the security and reliability of a liquid fuel market, in accordance with </w:t>
            </w:r>
            <w:r>
              <w:t>subsection (</w:t>
            </w:r>
            <w:r w:rsidRPr="005E02E3">
              <w:t>4).</w:t>
            </w:r>
          </w:p>
          <w:p w14:paraId="38F12BD1" w14:textId="77777777" w:rsidR="002A77DC" w:rsidRPr="005E02E3" w:rsidRDefault="002A77DC" w:rsidP="002A77DC">
            <w:pPr>
              <w:pStyle w:val="notetext"/>
              <w:cnfStyle w:val="000000100000" w:firstRow="0" w:lastRow="0" w:firstColumn="0" w:lastColumn="0" w:oddVBand="0" w:evenVBand="0" w:oddHBand="1" w:evenHBand="0" w:firstRowFirstColumn="0" w:firstRowLastColumn="0" w:lastRowFirstColumn="0" w:lastRowLastColumn="0"/>
            </w:pPr>
            <w:r w:rsidRPr="005E02E3">
              <w:t>Note:</w:t>
            </w:r>
            <w:r w:rsidRPr="005E02E3">
              <w:tab/>
              <w:t>The rules may prescribe that a specified critical liquid fuel asset is not a critical infrastructure asset (see section 9).</w:t>
            </w:r>
          </w:p>
          <w:p w14:paraId="172AB09E" w14:textId="2B4A2280" w:rsidR="002A77DC" w:rsidRPr="005E02E3" w:rsidRDefault="002A77DC" w:rsidP="002A77DC">
            <w:pPr>
              <w:pStyle w:val="subsection"/>
              <w:cnfStyle w:val="000000100000" w:firstRow="0" w:lastRow="0" w:firstColumn="0" w:lastColumn="0" w:oddVBand="0" w:evenVBand="0" w:oddHBand="1" w:evenHBand="0" w:firstRowFirstColumn="0" w:firstRowLastColumn="0" w:lastRowFirstColumn="0" w:lastRowLastColumn="0"/>
            </w:pPr>
            <w:r w:rsidRPr="005E02E3">
              <w:t>(2)</w:t>
            </w:r>
            <w:r w:rsidRPr="005E02E3">
              <w:tab/>
              <w:t xml:space="preserve">For the purposes of </w:t>
            </w:r>
            <w:r>
              <w:t>paragraph (</w:t>
            </w:r>
            <w:r w:rsidRPr="005E02E3">
              <w:t>1)(a), the rules may prescribe:</w:t>
            </w:r>
          </w:p>
          <w:p w14:paraId="5BC66002" w14:textId="77777777" w:rsidR="002A77DC" w:rsidRPr="005E02E3" w:rsidRDefault="002A77DC" w:rsidP="002A77DC">
            <w:pPr>
              <w:pStyle w:val="paragraph"/>
              <w:cnfStyle w:val="000000100000" w:firstRow="0" w:lastRow="0" w:firstColumn="0" w:lastColumn="0" w:oddVBand="0" w:evenVBand="0" w:oddHBand="1" w:evenHBand="0" w:firstRowFirstColumn="0" w:firstRowLastColumn="0" w:lastRowFirstColumn="0" w:lastRowLastColumn="0"/>
            </w:pPr>
            <w:r w:rsidRPr="005E02E3">
              <w:tab/>
              <w:t>(a)</w:t>
            </w:r>
            <w:r w:rsidRPr="005E02E3">
              <w:tab/>
              <w:t>specified liquid fuel refineries that are critical to ensuring the security and reliability of a liquid fuel market; or</w:t>
            </w:r>
          </w:p>
          <w:p w14:paraId="645E18EC" w14:textId="77777777" w:rsidR="002A77DC" w:rsidRPr="005E02E3" w:rsidRDefault="002A77DC" w:rsidP="002A77DC">
            <w:pPr>
              <w:pStyle w:val="paragraph"/>
              <w:cnfStyle w:val="000000100000" w:firstRow="0" w:lastRow="0" w:firstColumn="0" w:lastColumn="0" w:oddVBand="0" w:evenVBand="0" w:oddHBand="1" w:evenHBand="0" w:firstRowFirstColumn="0" w:firstRowLastColumn="0" w:lastRowFirstColumn="0" w:lastRowLastColumn="0"/>
            </w:pPr>
            <w:r w:rsidRPr="005E02E3">
              <w:tab/>
              <w:t>(b)</w:t>
            </w:r>
            <w:r w:rsidRPr="005E02E3">
              <w:tab/>
              <w:t>requirements for a liquid fuel refinery to be critical to ensuring the security and reliability of a liquid fuel market.</w:t>
            </w:r>
          </w:p>
          <w:p w14:paraId="08EEFAAB" w14:textId="4391C123" w:rsidR="002A77DC" w:rsidRPr="005E02E3" w:rsidRDefault="002A77DC" w:rsidP="002A77DC">
            <w:pPr>
              <w:pStyle w:val="subsection"/>
              <w:cnfStyle w:val="000000100000" w:firstRow="0" w:lastRow="0" w:firstColumn="0" w:lastColumn="0" w:oddVBand="0" w:evenVBand="0" w:oddHBand="1" w:evenHBand="0" w:firstRowFirstColumn="0" w:firstRowLastColumn="0" w:lastRowFirstColumn="0" w:lastRowLastColumn="0"/>
            </w:pPr>
            <w:r w:rsidRPr="005E02E3">
              <w:t>(3)</w:t>
            </w:r>
            <w:r w:rsidRPr="005E02E3">
              <w:tab/>
              <w:t xml:space="preserve">For the purposes of </w:t>
            </w:r>
            <w:r>
              <w:t>paragraph (</w:t>
            </w:r>
            <w:r w:rsidRPr="005E02E3">
              <w:t>1)(b), the rules may prescribe:</w:t>
            </w:r>
          </w:p>
          <w:p w14:paraId="531318EF" w14:textId="77777777" w:rsidR="002A77DC" w:rsidRPr="005E02E3" w:rsidRDefault="002A77DC" w:rsidP="002A77DC">
            <w:pPr>
              <w:pStyle w:val="paragraph"/>
              <w:cnfStyle w:val="000000100000" w:firstRow="0" w:lastRow="0" w:firstColumn="0" w:lastColumn="0" w:oddVBand="0" w:evenVBand="0" w:oddHBand="1" w:evenHBand="0" w:firstRowFirstColumn="0" w:firstRowLastColumn="0" w:lastRowFirstColumn="0" w:lastRowLastColumn="0"/>
            </w:pPr>
            <w:r w:rsidRPr="005E02E3">
              <w:tab/>
              <w:t>(a)</w:t>
            </w:r>
            <w:r w:rsidRPr="005E02E3">
              <w:tab/>
              <w:t>specified liquid fuel pipelines that are critical to ensuring the security and reliability of a liquid fuel market; or</w:t>
            </w:r>
          </w:p>
          <w:p w14:paraId="1EB0661D" w14:textId="77777777" w:rsidR="002A77DC" w:rsidRPr="005E02E3" w:rsidRDefault="002A77DC" w:rsidP="002A77DC">
            <w:pPr>
              <w:pStyle w:val="paragraph"/>
              <w:cnfStyle w:val="000000100000" w:firstRow="0" w:lastRow="0" w:firstColumn="0" w:lastColumn="0" w:oddVBand="0" w:evenVBand="0" w:oddHBand="1" w:evenHBand="0" w:firstRowFirstColumn="0" w:firstRowLastColumn="0" w:lastRowFirstColumn="0" w:lastRowLastColumn="0"/>
            </w:pPr>
            <w:r w:rsidRPr="005E02E3">
              <w:lastRenderedPageBreak/>
              <w:tab/>
              <w:t>(b)</w:t>
            </w:r>
            <w:r w:rsidRPr="005E02E3">
              <w:tab/>
              <w:t>requirements for a liquid fuel pipeline to be critical to ensuring the security and reliability of a liquid fuel market.</w:t>
            </w:r>
          </w:p>
          <w:p w14:paraId="704A1F7A" w14:textId="660A70FB" w:rsidR="002A77DC" w:rsidRPr="005E02E3" w:rsidRDefault="002A77DC" w:rsidP="002A77DC">
            <w:pPr>
              <w:pStyle w:val="subsection"/>
              <w:cnfStyle w:val="000000100000" w:firstRow="0" w:lastRow="0" w:firstColumn="0" w:lastColumn="0" w:oddVBand="0" w:evenVBand="0" w:oddHBand="1" w:evenHBand="0" w:firstRowFirstColumn="0" w:firstRowLastColumn="0" w:lastRowFirstColumn="0" w:lastRowLastColumn="0"/>
            </w:pPr>
            <w:r w:rsidRPr="005E02E3">
              <w:t>(4)</w:t>
            </w:r>
            <w:r w:rsidRPr="005E02E3">
              <w:tab/>
              <w:t xml:space="preserve">For the purposes of </w:t>
            </w:r>
            <w:r>
              <w:t>paragraph (</w:t>
            </w:r>
            <w:r w:rsidRPr="005E02E3">
              <w:t>1)(c), the rules may prescribe:</w:t>
            </w:r>
          </w:p>
          <w:p w14:paraId="66A68D52" w14:textId="77777777" w:rsidR="002A77DC" w:rsidRPr="005E02E3" w:rsidRDefault="002A77DC" w:rsidP="002A77DC">
            <w:pPr>
              <w:pStyle w:val="paragraph"/>
              <w:cnfStyle w:val="000000100000" w:firstRow="0" w:lastRow="0" w:firstColumn="0" w:lastColumn="0" w:oddVBand="0" w:evenVBand="0" w:oddHBand="1" w:evenHBand="0" w:firstRowFirstColumn="0" w:firstRowLastColumn="0" w:lastRowFirstColumn="0" w:lastRowLastColumn="0"/>
            </w:pPr>
            <w:r w:rsidRPr="005E02E3">
              <w:tab/>
              <w:t>(a)</w:t>
            </w:r>
            <w:r w:rsidRPr="005E02E3">
              <w:tab/>
              <w:t>specified liquid fuel storage facilities that are critical to ensuring the security and reliability of a liquid fuel market; or</w:t>
            </w:r>
          </w:p>
          <w:p w14:paraId="60337195" w14:textId="79A0B353" w:rsidR="00993F09" w:rsidRPr="001A7788" w:rsidRDefault="002A77DC" w:rsidP="00E84518">
            <w:pPr>
              <w:pStyle w:val="paragraph"/>
              <w:cnfStyle w:val="000000100000" w:firstRow="0" w:lastRow="0" w:firstColumn="0" w:lastColumn="0" w:oddVBand="0" w:evenVBand="0" w:oddHBand="1" w:evenHBand="0" w:firstRowFirstColumn="0" w:firstRowLastColumn="0" w:lastRowFirstColumn="0" w:lastRowLastColumn="0"/>
            </w:pPr>
            <w:r w:rsidRPr="005E02E3">
              <w:tab/>
              <w:t>(b)</w:t>
            </w:r>
            <w:r w:rsidRPr="005E02E3">
              <w:tab/>
              <w:t>requirements for a liquid fuel storage facility to be critical to ensuring the security and reliability of a liquid fuel market.</w:t>
            </w:r>
          </w:p>
        </w:tc>
      </w:tr>
      <w:tr w:rsidR="00993F09" w:rsidRPr="00924D81" w14:paraId="4C0C86F3" w14:textId="77777777" w:rsidTr="00602DDE">
        <w:tc>
          <w:tcPr>
            <w:cnfStyle w:val="001000000000" w:firstRow="0" w:lastRow="0" w:firstColumn="1" w:lastColumn="0" w:oddVBand="0" w:evenVBand="0" w:oddHBand="0" w:evenHBand="0" w:firstRowFirstColumn="0" w:firstRowLastColumn="0" w:lastRowFirstColumn="0" w:lastRowLastColumn="0"/>
            <w:tcW w:w="1067" w:type="pct"/>
          </w:tcPr>
          <w:p w14:paraId="0232E55D" w14:textId="77777777" w:rsidR="00993F09" w:rsidRPr="001A7788" w:rsidRDefault="00993F09" w:rsidP="00602DDE">
            <w:pPr>
              <w:rPr>
                <w:rFonts w:ascii="Times New Roman" w:hAnsi="Times New Roman" w:cs="Times New Roman"/>
                <w:u w:val="single"/>
              </w:rPr>
            </w:pPr>
            <w:r w:rsidRPr="001A7788">
              <w:rPr>
                <w:rFonts w:ascii="Times New Roman" w:hAnsi="Times New Roman" w:cs="Times New Roman"/>
                <w:u w:val="single"/>
              </w:rPr>
              <w:lastRenderedPageBreak/>
              <w:t>Critical energy market operator asset</w:t>
            </w:r>
          </w:p>
        </w:tc>
        <w:tc>
          <w:tcPr>
            <w:tcW w:w="3933" w:type="pct"/>
          </w:tcPr>
          <w:p w14:paraId="7595D47C" w14:textId="77777777" w:rsidR="00993F09" w:rsidRPr="001A7788" w:rsidRDefault="00993F09" w:rsidP="00602DD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Critical energy market operator asset means an asset that:</w:t>
            </w:r>
          </w:p>
          <w:p w14:paraId="52C63661" w14:textId="77777777" w:rsidR="00E84518" w:rsidRPr="005E02E3" w:rsidRDefault="00E84518" w:rsidP="00E84518">
            <w:pPr>
              <w:pStyle w:val="paragraph"/>
              <w:cnfStyle w:val="000000000000" w:firstRow="0" w:lastRow="0" w:firstColumn="0" w:lastColumn="0" w:oddVBand="0" w:evenVBand="0" w:oddHBand="0" w:evenHBand="0" w:firstRowFirstColumn="0" w:firstRowLastColumn="0" w:lastRowFirstColumn="0" w:lastRowLastColumn="0"/>
            </w:pPr>
            <w:r w:rsidRPr="005E02E3">
              <w:tab/>
              <w:t>(a)</w:t>
            </w:r>
            <w:r w:rsidRPr="005E02E3">
              <w:tab/>
              <w:t>is</w:t>
            </w:r>
            <w:r>
              <w:t xml:space="preserve"> owned or operated </w:t>
            </w:r>
            <w:r w:rsidRPr="005E02E3">
              <w:t>by:</w:t>
            </w:r>
          </w:p>
          <w:p w14:paraId="1920FBFC" w14:textId="77777777" w:rsidR="00E84518" w:rsidRPr="005E02E3" w:rsidRDefault="00E84518" w:rsidP="00E84518">
            <w:pPr>
              <w:pStyle w:val="paragraphsub"/>
              <w:cnfStyle w:val="000000000000" w:firstRow="0" w:lastRow="0" w:firstColumn="0" w:lastColumn="0" w:oddVBand="0" w:evenVBand="0" w:oddHBand="0" w:evenHBand="0" w:firstRowFirstColumn="0" w:firstRowLastColumn="0" w:lastRowFirstColumn="0" w:lastRowLastColumn="0"/>
            </w:pPr>
            <w:r w:rsidRPr="005E02E3">
              <w:tab/>
              <w:t>(i)</w:t>
            </w:r>
            <w:r w:rsidRPr="005E02E3">
              <w:tab/>
              <w:t>Australian Energy Market Operator Limited (ACN 072 010 327); or</w:t>
            </w:r>
          </w:p>
          <w:p w14:paraId="216FB6BC" w14:textId="77777777" w:rsidR="00E84518" w:rsidRPr="005E02E3" w:rsidRDefault="00E84518" w:rsidP="00E84518">
            <w:pPr>
              <w:pStyle w:val="paragraphsub"/>
              <w:cnfStyle w:val="000000000000" w:firstRow="0" w:lastRow="0" w:firstColumn="0" w:lastColumn="0" w:oddVBand="0" w:evenVBand="0" w:oddHBand="0" w:evenHBand="0" w:firstRowFirstColumn="0" w:firstRowLastColumn="0" w:lastRowFirstColumn="0" w:lastRowLastColumn="0"/>
            </w:pPr>
            <w:r w:rsidRPr="005E02E3">
              <w:tab/>
              <w:t>(ii)</w:t>
            </w:r>
            <w:r w:rsidRPr="005E02E3">
              <w:tab/>
              <w:t>Power and Water Corporation; or</w:t>
            </w:r>
          </w:p>
          <w:p w14:paraId="55C20903" w14:textId="77777777" w:rsidR="00E84518" w:rsidRPr="005E02E3" w:rsidRDefault="00E84518" w:rsidP="00E84518">
            <w:pPr>
              <w:pStyle w:val="paragraphsub"/>
              <w:cnfStyle w:val="000000000000" w:firstRow="0" w:lastRow="0" w:firstColumn="0" w:lastColumn="0" w:oddVBand="0" w:evenVBand="0" w:oddHBand="0" w:evenHBand="0" w:firstRowFirstColumn="0" w:firstRowLastColumn="0" w:lastRowFirstColumn="0" w:lastRowLastColumn="0"/>
            </w:pPr>
            <w:r w:rsidRPr="005E02E3">
              <w:tab/>
              <w:t>(iii)</w:t>
            </w:r>
            <w:r w:rsidRPr="005E02E3">
              <w:tab/>
              <w:t>Regional Power Corporation; or</w:t>
            </w:r>
          </w:p>
          <w:p w14:paraId="0FE09335" w14:textId="77777777" w:rsidR="00E84518" w:rsidRDefault="00E84518" w:rsidP="00E84518">
            <w:pPr>
              <w:pStyle w:val="paragraphsub"/>
              <w:cnfStyle w:val="000000000000" w:firstRow="0" w:lastRow="0" w:firstColumn="0" w:lastColumn="0" w:oddVBand="0" w:evenVBand="0" w:oddHBand="0" w:evenHBand="0" w:firstRowFirstColumn="0" w:firstRowLastColumn="0" w:lastRowFirstColumn="0" w:lastRowLastColumn="0"/>
            </w:pPr>
            <w:r w:rsidRPr="005E02E3">
              <w:tab/>
              <w:t>(iv)</w:t>
            </w:r>
            <w:r w:rsidRPr="005E02E3">
              <w:tab/>
              <w:t>Electricity Networks Corporation; and</w:t>
            </w:r>
          </w:p>
          <w:p w14:paraId="357C06EF" w14:textId="77777777" w:rsidR="00E84518" w:rsidRPr="005E02E3" w:rsidRDefault="00E84518" w:rsidP="00E84518">
            <w:pPr>
              <w:pStyle w:val="paragraph"/>
              <w:cnfStyle w:val="000000000000" w:firstRow="0" w:lastRow="0" w:firstColumn="0" w:lastColumn="0" w:oddVBand="0" w:evenVBand="0" w:oddHBand="0" w:evenHBand="0" w:firstRowFirstColumn="0" w:firstRowLastColumn="0" w:lastRowFirstColumn="0" w:lastRowLastColumn="0"/>
            </w:pPr>
            <w:r>
              <w:tab/>
              <w:t>(b)</w:t>
            </w:r>
            <w:r>
              <w:tab/>
              <w:t>is used in connection with the operation of an energy market or system; and</w:t>
            </w:r>
          </w:p>
          <w:p w14:paraId="7222DEE1" w14:textId="77777777" w:rsidR="00E84518" w:rsidRDefault="00E84518" w:rsidP="00E84518">
            <w:pPr>
              <w:pStyle w:val="paragraph"/>
              <w:cnfStyle w:val="000000000000" w:firstRow="0" w:lastRow="0" w:firstColumn="0" w:lastColumn="0" w:oddVBand="0" w:evenVBand="0" w:oddHBand="0" w:evenHBand="0" w:firstRowFirstColumn="0" w:firstRowLastColumn="0" w:lastRowFirstColumn="0" w:lastRowLastColumn="0"/>
            </w:pPr>
            <w:r w:rsidRPr="005E02E3">
              <w:tab/>
              <w:t>(</w:t>
            </w:r>
            <w:r>
              <w:t>c</w:t>
            </w:r>
            <w:r w:rsidRPr="005E02E3">
              <w:t>)</w:t>
            </w:r>
            <w:r w:rsidRPr="005E02E3">
              <w:tab/>
              <w:t>is critical to ensuring the security and reliability of an energy market</w:t>
            </w:r>
            <w:r>
              <w:t>;</w:t>
            </w:r>
          </w:p>
          <w:p w14:paraId="3ECD58B2" w14:textId="77777777" w:rsidR="00E84518" w:rsidRDefault="00E84518" w:rsidP="00E84518">
            <w:pPr>
              <w:pStyle w:val="subsection2"/>
              <w:cnfStyle w:val="000000000000" w:firstRow="0" w:lastRow="0" w:firstColumn="0" w:lastColumn="0" w:oddVBand="0" w:evenVBand="0" w:oddHBand="0" w:evenHBand="0" w:firstRowFirstColumn="0" w:firstRowLastColumn="0" w:lastRowFirstColumn="0" w:lastRowLastColumn="0"/>
            </w:pPr>
            <w:r>
              <w:t>but does not include:</w:t>
            </w:r>
          </w:p>
          <w:p w14:paraId="66D08159" w14:textId="77777777" w:rsidR="00E84518" w:rsidRDefault="00E84518" w:rsidP="00E84518">
            <w:pPr>
              <w:pStyle w:val="paragraph"/>
              <w:cnfStyle w:val="000000000000" w:firstRow="0" w:lastRow="0" w:firstColumn="0" w:lastColumn="0" w:oddVBand="0" w:evenVBand="0" w:oddHBand="0" w:evenHBand="0" w:firstRowFirstColumn="0" w:firstRowLastColumn="0" w:lastRowFirstColumn="0" w:lastRowLastColumn="0"/>
            </w:pPr>
            <w:r>
              <w:tab/>
              <w:t>(d)</w:t>
            </w:r>
            <w:r>
              <w:tab/>
              <w:t>a critical electricity asset; or</w:t>
            </w:r>
          </w:p>
          <w:p w14:paraId="67FF279E" w14:textId="77777777" w:rsidR="00E84518" w:rsidRDefault="00E84518" w:rsidP="00E84518">
            <w:pPr>
              <w:pStyle w:val="paragraph"/>
              <w:cnfStyle w:val="000000000000" w:firstRow="0" w:lastRow="0" w:firstColumn="0" w:lastColumn="0" w:oddVBand="0" w:evenVBand="0" w:oddHBand="0" w:evenHBand="0" w:firstRowFirstColumn="0" w:firstRowLastColumn="0" w:lastRowFirstColumn="0" w:lastRowLastColumn="0"/>
            </w:pPr>
            <w:r>
              <w:tab/>
              <w:t>(e)</w:t>
            </w:r>
            <w:r>
              <w:tab/>
              <w:t>a critical gas asset; or</w:t>
            </w:r>
          </w:p>
          <w:p w14:paraId="72DAB988" w14:textId="7AAD91A1" w:rsidR="00993F09" w:rsidRPr="001A7788" w:rsidRDefault="00E84518" w:rsidP="00E84518">
            <w:pPr>
              <w:pStyle w:val="paragraph"/>
              <w:cnfStyle w:val="000000000000" w:firstRow="0" w:lastRow="0" w:firstColumn="0" w:lastColumn="0" w:oddVBand="0" w:evenVBand="0" w:oddHBand="0" w:evenHBand="0" w:firstRowFirstColumn="0" w:firstRowLastColumn="0" w:lastRowFirstColumn="0" w:lastRowLastColumn="0"/>
            </w:pPr>
            <w:r>
              <w:tab/>
              <w:t>(f)</w:t>
            </w:r>
            <w:r>
              <w:tab/>
              <w:t>a critical liquid fuel asset.</w:t>
            </w:r>
          </w:p>
        </w:tc>
      </w:tr>
      <w:tr w:rsidR="00993F09" w:rsidRPr="00924D81" w14:paraId="6F6B02B7" w14:textId="77777777" w:rsidTr="0060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pct"/>
          </w:tcPr>
          <w:p w14:paraId="17A1EB87" w14:textId="77777777" w:rsidR="00993F09" w:rsidRPr="001A7788" w:rsidRDefault="00993F09" w:rsidP="00602DDE">
            <w:pPr>
              <w:rPr>
                <w:rFonts w:ascii="Times New Roman" w:hAnsi="Times New Roman" w:cs="Times New Roman"/>
                <w:u w:val="single"/>
              </w:rPr>
            </w:pPr>
            <w:r w:rsidRPr="001A7788">
              <w:rPr>
                <w:rFonts w:ascii="Times New Roman" w:hAnsi="Times New Roman" w:cs="Times New Roman"/>
                <w:u w:val="single"/>
              </w:rPr>
              <w:t>Critical water asset</w:t>
            </w:r>
          </w:p>
        </w:tc>
        <w:tc>
          <w:tcPr>
            <w:tcW w:w="3933" w:type="pct"/>
          </w:tcPr>
          <w:p w14:paraId="39D545F4" w14:textId="77777777" w:rsidR="00993F09" w:rsidRPr="001A7788" w:rsidRDefault="00993F09" w:rsidP="00602DD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critical water asset means one or more water or sewerage systems or networks that:</w:t>
            </w:r>
          </w:p>
          <w:p w14:paraId="45E9660D" w14:textId="77777777" w:rsidR="00993F09" w:rsidRPr="001A7788" w:rsidRDefault="00993F09" w:rsidP="00B369B5">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are managed by a single water utility; and</w:t>
            </w:r>
          </w:p>
          <w:p w14:paraId="25FCD458" w14:textId="77777777" w:rsidR="00993F09" w:rsidRPr="001A7788" w:rsidRDefault="00993F09" w:rsidP="00B369B5">
            <w:pPr>
              <w:pStyle w:val="ListParagraph"/>
              <w:numPr>
                <w:ilvl w:val="0"/>
                <w:numId w:val="5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1A7788">
              <w:rPr>
                <w:rFonts w:ascii="Times New Roman" w:hAnsi="Times New Roman" w:cs="Times New Roman"/>
              </w:rPr>
              <w:t>ultimately deliver services to at least 100,000 water connections or 100,000 sewerage connections.</w:t>
            </w:r>
          </w:p>
        </w:tc>
      </w:tr>
      <w:bookmarkEnd w:id="2"/>
    </w:tbl>
    <w:p w14:paraId="77542302" w14:textId="77777777" w:rsidR="00993F09" w:rsidRPr="00824AF7" w:rsidRDefault="00993F09" w:rsidP="00993F09">
      <w:pPr>
        <w:spacing w:line="240" w:lineRule="auto"/>
        <w:rPr>
          <w:rFonts w:ascii="Times New Roman" w:hAnsi="Times New Roman" w:cs="Times New Roman"/>
        </w:rPr>
      </w:pPr>
    </w:p>
    <w:p w14:paraId="71CFFFBB" w14:textId="77777777" w:rsidR="00993F09" w:rsidRPr="00EE0D81" w:rsidRDefault="00993F09" w:rsidP="00EE0D81"/>
    <w:p w14:paraId="53929A73" w14:textId="77777777" w:rsidR="00993F09" w:rsidRDefault="00993F09" w:rsidP="00993F09"/>
    <w:p w14:paraId="3A3C0ECF" w14:textId="77777777" w:rsidR="00602DDE" w:rsidRDefault="00602DDE"/>
    <w:sectPr w:rsidR="00602DDE" w:rsidSect="00602DDE">
      <w:headerReference w:type="default" r:id="rId8"/>
      <w:footerReference w:type="default" r:id="rId9"/>
      <w:headerReference w:type="first" r:id="rId10"/>
      <w:pgSz w:w="11906" w:h="16838"/>
      <w:pgMar w:top="1814" w:right="1440" w:bottom="1440" w:left="1440" w:header="360" w:footer="3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EA4D5" w14:textId="77777777" w:rsidR="00450E4F" w:rsidRDefault="00450E4F" w:rsidP="00993F09">
      <w:pPr>
        <w:spacing w:after="0" w:line="240" w:lineRule="auto"/>
      </w:pPr>
      <w:r>
        <w:separator/>
      </w:r>
    </w:p>
  </w:endnote>
  <w:endnote w:type="continuationSeparator" w:id="0">
    <w:p w14:paraId="70DC1403" w14:textId="77777777" w:rsidR="00450E4F" w:rsidRDefault="00450E4F" w:rsidP="00993F09">
      <w:pPr>
        <w:spacing w:after="0" w:line="240" w:lineRule="auto"/>
      </w:pPr>
      <w:r>
        <w:continuationSeparator/>
      </w:r>
    </w:p>
  </w:endnote>
  <w:endnote w:type="continuationNotice" w:id="1">
    <w:p w14:paraId="5538AE11" w14:textId="77777777" w:rsidR="00450E4F" w:rsidRDefault="00450E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ork Sans">
    <w:altName w:val="Work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38372" w14:textId="77777777" w:rsidR="00450E4F" w:rsidRDefault="00450E4F" w:rsidP="00602DDE">
    <w:pPr>
      <w:pStyle w:val="CABFooter"/>
      <w:ind w:left="-142"/>
      <w:rPr>
        <w:rFonts w:ascii="Arial" w:hAnsi="Arial" w:cs="Arial"/>
      </w:rPr>
    </w:pPr>
  </w:p>
  <w:p w14:paraId="5B3695B0" w14:textId="1CE39143" w:rsidR="00450E4F" w:rsidRDefault="00450E4F" w:rsidP="00602DDE">
    <w:pPr>
      <w:pStyle w:val="PageRefCab"/>
      <w:framePr w:wrap="around" w:y="1"/>
      <w:rPr>
        <w:rStyle w:val="PageNumber"/>
      </w:rPr>
    </w:pPr>
    <w:r>
      <w:t xml:space="preserve">Page </w:t>
    </w:r>
    <w:r>
      <w:fldChar w:fldCharType="begin"/>
    </w:r>
    <w:r>
      <w:instrText xml:space="preserve"> PAGE </w:instrText>
    </w:r>
    <w:r>
      <w:fldChar w:fldCharType="separate"/>
    </w:r>
    <w:r w:rsidR="00055646">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055646">
      <w:rPr>
        <w:noProof/>
      </w:rPr>
      <w:t>69</w:t>
    </w:r>
    <w:r>
      <w:rPr>
        <w:noProof/>
      </w:rPr>
      <w:fldChar w:fldCharType="end"/>
    </w:r>
  </w:p>
  <w:p w14:paraId="60EA2862" w14:textId="77777777" w:rsidR="00450E4F" w:rsidRDefault="00450E4F" w:rsidP="00602DDE">
    <w:pPr>
      <w:pStyle w:val="ProtectiveMarking"/>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7EBE2" w14:textId="77777777" w:rsidR="00450E4F" w:rsidRDefault="00450E4F" w:rsidP="00993F09">
      <w:pPr>
        <w:spacing w:after="0" w:line="240" w:lineRule="auto"/>
      </w:pPr>
      <w:r>
        <w:separator/>
      </w:r>
    </w:p>
  </w:footnote>
  <w:footnote w:type="continuationSeparator" w:id="0">
    <w:p w14:paraId="7DD5CE20" w14:textId="77777777" w:rsidR="00450E4F" w:rsidRDefault="00450E4F" w:rsidP="00993F09">
      <w:pPr>
        <w:spacing w:after="0" w:line="240" w:lineRule="auto"/>
      </w:pPr>
      <w:r>
        <w:continuationSeparator/>
      </w:r>
    </w:p>
  </w:footnote>
  <w:footnote w:type="continuationNotice" w:id="1">
    <w:p w14:paraId="6529B490" w14:textId="77777777" w:rsidR="00450E4F" w:rsidRDefault="00450E4F">
      <w:pPr>
        <w:spacing w:after="0" w:line="240" w:lineRule="auto"/>
      </w:pPr>
    </w:p>
  </w:footnote>
  <w:footnote w:id="2">
    <w:p w14:paraId="52A1A1F8" w14:textId="77777777" w:rsidR="00450E4F" w:rsidRDefault="00450E4F" w:rsidP="00993F09">
      <w:pPr>
        <w:pStyle w:val="FootnoteText1"/>
      </w:pPr>
      <w:r w:rsidRPr="00BE3479">
        <w:rPr>
          <w:rStyle w:val="FootnoteReference"/>
          <w:color w:val="auto"/>
        </w:rPr>
        <w:footnoteRef/>
      </w:r>
      <w:r w:rsidRPr="00BE3479">
        <w:rPr>
          <w:color w:val="auto"/>
        </w:rPr>
        <w:t xml:space="preserve"> Operability is defined as the ability of industry to keep its systems, networks, and infrastructure, functional to deliver goods and services at ordinary levels of productivity. An operability disruption is a </w:t>
      </w:r>
      <w:r>
        <w:rPr>
          <w:color w:val="auto"/>
        </w:rPr>
        <w:t>disruption</w:t>
      </w:r>
      <w:r w:rsidRPr="00BE3479">
        <w:rPr>
          <w:color w:val="auto"/>
        </w:rPr>
        <w:t xml:space="preserve"> to the sector which results in the sector producing goods and services at a level below the ordinary level of productivity.</w:t>
      </w:r>
    </w:p>
  </w:footnote>
  <w:footnote w:id="3">
    <w:p w14:paraId="1DCF87D4" w14:textId="77777777" w:rsidR="00450E4F" w:rsidRDefault="00450E4F" w:rsidP="00993F09">
      <w:pPr>
        <w:pStyle w:val="FootnoteText1"/>
      </w:pPr>
      <w:r w:rsidRPr="00BF494C">
        <w:rPr>
          <w:rStyle w:val="FootnoteReference"/>
          <w:color w:val="auto"/>
        </w:rPr>
        <w:footnoteRef/>
      </w:r>
      <w:r w:rsidRPr="00BF494C">
        <w:rPr>
          <w:color w:val="auto"/>
        </w:rPr>
        <w:t xml:space="preserve"> AAP (2016) “</w:t>
      </w:r>
      <w:r w:rsidRPr="00A055DD">
        <w:rPr>
          <w:color w:val="auto"/>
        </w:rPr>
        <w:t>SA blackout cost business $367 million</w:t>
      </w:r>
      <w:r>
        <w:rPr>
          <w:color w:val="auto"/>
        </w:rPr>
        <w:t xml:space="preserve">“, </w:t>
      </w:r>
      <w:r w:rsidRPr="1093D979">
        <w:rPr>
          <w:i/>
          <w:iCs/>
          <w:color w:val="auto"/>
        </w:rPr>
        <w:t>SBS News</w:t>
      </w:r>
      <w:r>
        <w:rPr>
          <w:color w:val="auto"/>
        </w:rPr>
        <w:t xml:space="preserve">, </w:t>
      </w:r>
      <w:hyperlink r:id="rId1" w:history="1">
        <w:r w:rsidRPr="00BF494C">
          <w:rPr>
            <w:rStyle w:val="HyperlinkCab1"/>
          </w:rPr>
          <w:t>https://www.sbs.com.au/news/sa-blackout-cost-business-367-million</w:t>
        </w:r>
      </w:hyperlink>
      <w:r>
        <w:rPr>
          <w:color w:val="auto"/>
        </w:rPr>
        <w:t>, viewed 24/08/2020</w:t>
      </w:r>
    </w:p>
  </w:footnote>
  <w:footnote w:id="4">
    <w:p w14:paraId="3D9A9699" w14:textId="77777777" w:rsidR="00450E4F" w:rsidRPr="00043A95" w:rsidRDefault="00450E4F" w:rsidP="00993F09">
      <w:pPr>
        <w:pStyle w:val="FootnoteText1"/>
        <w:rPr>
          <w:color w:val="000000"/>
        </w:rPr>
      </w:pPr>
      <w:r w:rsidRPr="00BE7AA0">
        <w:rPr>
          <w:rStyle w:val="FootnoteReference"/>
          <w:color w:val="000000"/>
        </w:rPr>
        <w:footnoteRef/>
      </w:r>
      <w:r w:rsidRPr="00BE7AA0">
        <w:rPr>
          <w:color w:val="000000"/>
        </w:rPr>
        <w:t xml:space="preserve"> Infrastructure Australia (2019) “Asset Management for Critical Infrastructure”, &lt;</w:t>
      </w:r>
      <w:hyperlink r:id="rId2" w:history="1">
        <w:r w:rsidRPr="00BE7AA0">
          <w:rPr>
            <w:rStyle w:val="HyperlinkCab1"/>
            <w:color w:val="000000"/>
          </w:rPr>
          <w:t>https://www.infrastructureaustralia.gov.au/listing/speech/asset-management-critical-infrastructure</w:t>
        </w:r>
      </w:hyperlink>
      <w:r w:rsidRPr="00BE7AA0">
        <w:rPr>
          <w:rStyle w:val="HyperlinkCab1"/>
          <w:color w:val="000000"/>
        </w:rPr>
        <w:t>&gt;, accessed 22/07/2020</w:t>
      </w:r>
    </w:p>
  </w:footnote>
  <w:footnote w:id="5">
    <w:p w14:paraId="6E904977" w14:textId="77777777" w:rsidR="00450E4F" w:rsidRPr="00043A95" w:rsidRDefault="00450E4F" w:rsidP="00993F09">
      <w:pPr>
        <w:pStyle w:val="FootnoteText1"/>
        <w:rPr>
          <w:color w:val="000000"/>
        </w:rPr>
      </w:pPr>
      <w:r w:rsidRPr="00BE7AA0">
        <w:rPr>
          <w:rStyle w:val="FootnoteReference"/>
          <w:color w:val="000000"/>
        </w:rPr>
        <w:footnoteRef/>
      </w:r>
      <w:r w:rsidRPr="00BE7AA0">
        <w:rPr>
          <w:color w:val="000000"/>
        </w:rPr>
        <w:t xml:space="preserve"> Wade, Matt &amp; Clun, Rachel (2018) “Traffic chaos from Sydney Harbour Bridge drama cost city up to $10 million” </w:t>
      </w:r>
      <w:r w:rsidRPr="1093D979">
        <w:rPr>
          <w:i/>
          <w:iCs/>
          <w:color w:val="000000"/>
        </w:rPr>
        <w:t>The Sydney Morning Herald</w:t>
      </w:r>
      <w:r w:rsidRPr="00BE7AA0">
        <w:rPr>
          <w:color w:val="000000"/>
        </w:rPr>
        <w:t>, &lt;</w:t>
      </w:r>
      <w:hyperlink r:id="rId3" w:history="1">
        <w:r w:rsidRPr="00BE7AA0">
          <w:rPr>
            <w:rStyle w:val="HyperlinkCab1"/>
            <w:color w:val="000000"/>
          </w:rPr>
          <w:t>https://www.smh.com.au/national/nsw/traffic-chaos-from-sydney-harbour-bridge-drama-cost-city-up-to-10-million-20180404-p4z7rb.html</w:t>
        </w:r>
      </w:hyperlink>
      <w:r w:rsidRPr="00BE7AA0">
        <w:rPr>
          <w:color w:val="000000"/>
        </w:rPr>
        <w:t>&gt;, accessed 22/07/2020</w:t>
      </w:r>
    </w:p>
  </w:footnote>
  <w:footnote w:id="6">
    <w:p w14:paraId="305F4AED" w14:textId="77777777" w:rsidR="00450E4F" w:rsidRDefault="00450E4F" w:rsidP="00993F09">
      <w:pPr>
        <w:pStyle w:val="FootnoteText1"/>
      </w:pPr>
      <w:r w:rsidRPr="005A3F1A">
        <w:rPr>
          <w:rStyle w:val="FootnoteReference"/>
          <w:color w:val="auto"/>
        </w:rPr>
        <w:footnoteRef/>
      </w:r>
      <w:r w:rsidRPr="005A3F1A">
        <w:rPr>
          <w:color w:val="auto"/>
        </w:rPr>
        <w:t xml:space="preserve"> Deloitte (2017) "Building resilience to natural disasters in our states and territories", &lt;https://www2.deloitte.com/au/en/pages/economics/articles/building-australias-natural-disaster-resilience.html &gt;, accessed 9/09/2020</w:t>
      </w:r>
    </w:p>
  </w:footnote>
  <w:footnote w:id="7">
    <w:p w14:paraId="52CA20C4" w14:textId="77777777" w:rsidR="00450E4F" w:rsidRDefault="00450E4F" w:rsidP="00993F09">
      <w:pPr>
        <w:pStyle w:val="FootnoteText1"/>
      </w:pPr>
      <w:r w:rsidRPr="00BE7AA0">
        <w:rPr>
          <w:rStyle w:val="FootnoteReference"/>
          <w:color w:val="000000"/>
        </w:rPr>
        <w:footnoteRef/>
      </w:r>
      <w:r w:rsidRPr="00BE7AA0">
        <w:rPr>
          <w:color w:val="000000"/>
        </w:rPr>
        <w:t xml:space="preserve"> Australian Government (2020), “Australia’s Cyber Security Strategy 2020”, p.13.</w:t>
      </w:r>
    </w:p>
  </w:footnote>
  <w:footnote w:id="8">
    <w:p w14:paraId="2F57E1A9" w14:textId="77777777" w:rsidR="00450E4F" w:rsidRDefault="00450E4F" w:rsidP="00993F09">
      <w:pPr>
        <w:pStyle w:val="FootnoteText1"/>
      </w:pPr>
      <w:r w:rsidRPr="0037650E">
        <w:rPr>
          <w:rStyle w:val="FootnoteReference"/>
          <w:color w:val="auto"/>
        </w:rPr>
        <w:footnoteRef/>
      </w:r>
      <w:r w:rsidRPr="0037650E">
        <w:rPr>
          <w:color w:val="auto"/>
        </w:rPr>
        <w:t xml:space="preserve"> AustCyber (2020), </w:t>
      </w:r>
      <w:r>
        <w:rPr>
          <w:color w:val="auto"/>
        </w:rPr>
        <w:t>“</w:t>
      </w:r>
      <w:r w:rsidRPr="0037650E">
        <w:rPr>
          <w:color w:val="auto"/>
        </w:rPr>
        <w:t>Australia’s Digital Trust Report</w:t>
      </w:r>
      <w:r>
        <w:rPr>
          <w:color w:val="auto"/>
        </w:rPr>
        <w:t xml:space="preserve"> 2020”,</w:t>
      </w:r>
      <w:r w:rsidRPr="0066086E">
        <w:t xml:space="preserve"> </w:t>
      </w:r>
      <w:hyperlink r:id="rId4" w:history="1">
        <w:r w:rsidRPr="00D86D16">
          <w:rPr>
            <w:rStyle w:val="HyperlinkCab1"/>
          </w:rPr>
          <w:t>https://www.austcyber.com/resource/digitaltrustreport2020</w:t>
        </w:r>
      </w:hyperlink>
      <w:r>
        <w:rPr>
          <w:color w:val="auto"/>
        </w:rPr>
        <w:t xml:space="preserve"> </w:t>
      </w:r>
    </w:p>
  </w:footnote>
  <w:footnote w:id="9">
    <w:p w14:paraId="5978DDCB" w14:textId="77777777" w:rsidR="00450E4F" w:rsidRDefault="00450E4F" w:rsidP="00993F09">
      <w:pPr>
        <w:pStyle w:val="FootnoteText1"/>
        <w:rPr>
          <w:rFonts w:ascii="Arial" w:hAnsi="Arial"/>
        </w:rPr>
      </w:pPr>
      <w:r w:rsidRPr="00BF494C">
        <w:rPr>
          <w:rStyle w:val="FootnoteReference"/>
          <w:color w:val="auto"/>
        </w:rPr>
        <w:footnoteRef/>
      </w:r>
      <w:r w:rsidRPr="00BF494C">
        <w:rPr>
          <w:color w:val="auto"/>
        </w:rPr>
        <w:t xml:space="preserve"> Examples of licence conditions: </w:t>
      </w:r>
      <w:hyperlink r:id="rId5" w:history="1">
        <w:r w:rsidRPr="00BF494C">
          <w:rPr>
            <w:rStyle w:val="HyperlinkCab1"/>
            <w:color w:val="auto"/>
          </w:rPr>
          <w:t>https://www.ipart.nsw.gov.au/Home/Industries/Energy/Energy-Networks-Safety-Reliability-eand-Compliance/Electricity-networks/Licence-conditions-and-regulatory-instruments</w:t>
        </w:r>
      </w:hyperlink>
      <w:r w:rsidRPr="00BF494C">
        <w:rPr>
          <w:color w:val="auto"/>
        </w:rPr>
        <w:t xml:space="preserve"> </w:t>
      </w:r>
    </w:p>
  </w:footnote>
  <w:footnote w:id="10">
    <w:p w14:paraId="0CE1A6F1" w14:textId="77777777" w:rsidR="00450E4F" w:rsidRDefault="00450E4F" w:rsidP="00993F09">
      <w:pPr>
        <w:pStyle w:val="Pa0"/>
      </w:pPr>
      <w:r w:rsidRPr="00B5622F">
        <w:rPr>
          <w:rStyle w:val="FootnoteReference"/>
          <w:rFonts w:ascii="Calibri" w:hAnsi="Calibri" w:cs="Calibri"/>
          <w:sz w:val="16"/>
          <w:szCs w:val="16"/>
        </w:rPr>
        <w:footnoteRef/>
      </w:r>
      <w:r w:rsidRPr="00B5622F">
        <w:rPr>
          <w:rFonts w:ascii="Calibri" w:hAnsi="Calibri" w:cs="Calibri"/>
          <w:sz w:val="16"/>
          <w:szCs w:val="16"/>
        </w:rPr>
        <w:t xml:space="preserve"> </w:t>
      </w:r>
      <w:r w:rsidRPr="00B5622F">
        <w:rPr>
          <w:rFonts w:ascii="Calibri" w:hAnsi="Calibri" w:cs="Calibri"/>
          <w:color w:val="000000"/>
          <w:sz w:val="16"/>
          <w:szCs w:val="16"/>
        </w:rPr>
        <w:t xml:space="preserve">For example, see the Australian Strategic Policy Institute’s report, </w:t>
      </w:r>
      <w:r w:rsidRPr="00B5622F">
        <w:rPr>
          <w:rFonts w:ascii="Calibri" w:hAnsi="Calibri" w:cs="Calibri"/>
          <w:i/>
          <w:iCs/>
          <w:color w:val="000000"/>
          <w:sz w:val="16"/>
          <w:szCs w:val="16"/>
        </w:rPr>
        <w:t xml:space="preserve">Protecting national critical infrastructure in an era of IT and OT convergence </w:t>
      </w:r>
      <w:r w:rsidRPr="00B5622F">
        <w:rPr>
          <w:rFonts w:ascii="Calibri" w:hAnsi="Calibri" w:cs="Calibri"/>
          <w:color w:val="000000"/>
          <w:sz w:val="16"/>
          <w:szCs w:val="16"/>
        </w:rPr>
        <w:t>(2019).</w:t>
      </w:r>
    </w:p>
  </w:footnote>
  <w:footnote w:id="11">
    <w:p w14:paraId="4E37A4E8" w14:textId="44079CC1" w:rsidR="00450E4F" w:rsidRDefault="00450E4F" w:rsidP="008F1A01">
      <w:pPr>
        <w:pStyle w:val="FootnoteText"/>
      </w:pPr>
      <w:r>
        <w:rPr>
          <w:rStyle w:val="FootnoteReference"/>
        </w:rPr>
        <w:footnoteRef/>
      </w:r>
      <w:r>
        <w:t xml:space="preserve"> </w:t>
      </w:r>
      <w:r w:rsidRPr="00373068">
        <w:rPr>
          <w:rFonts w:ascii="Calibri" w:hAnsi="Calibri" w:cs="Calibri"/>
          <w:color w:val="000000"/>
          <w:sz w:val="16"/>
          <w:szCs w:val="16"/>
        </w:rPr>
        <w:t>In order</w:t>
      </w:r>
      <w:r>
        <w:rPr>
          <w:rFonts w:ascii="Calibri" w:hAnsi="Calibri" w:cs="Calibri"/>
          <w:color w:val="000000"/>
          <w:sz w:val="16"/>
          <w:szCs w:val="16"/>
        </w:rPr>
        <w:t xml:space="preserve"> to cost the notification of cyber security incidents for industry a total maximum cost is calculated where all critical infrastructure entities required to report cyber breaches, acknowledging that this may not be the case where equivalent obligations already exist.</w:t>
      </w:r>
    </w:p>
  </w:footnote>
  <w:footnote w:id="12">
    <w:p w14:paraId="47CE1822" w14:textId="77777777" w:rsidR="00450E4F" w:rsidRDefault="00450E4F" w:rsidP="00993F09">
      <w:pPr>
        <w:pStyle w:val="FootnoteText"/>
      </w:pPr>
      <w:r>
        <w:rPr>
          <w:rStyle w:val="FootnoteReference"/>
        </w:rPr>
        <w:footnoteRef/>
      </w:r>
      <w:r>
        <w:t xml:space="preserve"> </w:t>
      </w:r>
      <w:r w:rsidRPr="00F24E51">
        <w:rPr>
          <w:rFonts w:ascii="Calibri" w:hAnsi="Calibri" w:cs="Calibri"/>
          <w:color w:val="000000"/>
          <w:sz w:val="16"/>
          <w:szCs w:val="16"/>
        </w:rPr>
        <w:t xml:space="preserve">What is </w:t>
      </w:r>
      <w:r>
        <w:rPr>
          <w:rFonts w:ascii="Calibri" w:hAnsi="Calibri" w:cs="Calibri"/>
          <w:color w:val="000000"/>
          <w:sz w:val="16"/>
          <w:szCs w:val="16"/>
        </w:rPr>
        <w:t>considered a ‘</w:t>
      </w:r>
      <w:r w:rsidRPr="00F24E51">
        <w:rPr>
          <w:rFonts w:ascii="Calibri" w:hAnsi="Calibri" w:cs="Calibri"/>
          <w:color w:val="000000"/>
          <w:sz w:val="16"/>
          <w:szCs w:val="16"/>
        </w:rPr>
        <w:t>significant</w:t>
      </w:r>
      <w:r>
        <w:rPr>
          <w:rFonts w:ascii="Calibri" w:hAnsi="Calibri" w:cs="Calibri"/>
          <w:color w:val="000000"/>
          <w:sz w:val="16"/>
          <w:szCs w:val="16"/>
        </w:rPr>
        <w:t xml:space="preserve"> impact’</w:t>
      </w:r>
      <w:r w:rsidRPr="00F24E51">
        <w:rPr>
          <w:rFonts w:ascii="Calibri" w:hAnsi="Calibri" w:cs="Calibri"/>
          <w:color w:val="000000"/>
          <w:sz w:val="16"/>
          <w:szCs w:val="16"/>
        </w:rPr>
        <w:t xml:space="preserve"> is likely to vary between assets and across sectors and it will be up to the entity to determine when a </w:t>
      </w:r>
      <w:r w:rsidRPr="00F24E51">
        <w:rPr>
          <w:rFonts w:ascii="Calibri" w:hAnsi="Calibri" w:cs="Calibri"/>
          <w:i/>
          <w:color w:val="000000"/>
          <w:sz w:val="16"/>
          <w:szCs w:val="16"/>
        </w:rPr>
        <w:t>relevant impact</w:t>
      </w:r>
      <w:r w:rsidRPr="00F24E51">
        <w:rPr>
          <w:rFonts w:ascii="Calibri" w:hAnsi="Calibri" w:cs="Calibri"/>
          <w:color w:val="000000"/>
          <w:sz w:val="16"/>
          <w:szCs w:val="16"/>
        </w:rPr>
        <w:t xml:space="preserve"> is significant for the purposes of this reporting obligation.</w:t>
      </w:r>
    </w:p>
  </w:footnote>
  <w:footnote w:id="13">
    <w:p w14:paraId="4880AD1D" w14:textId="77777777" w:rsidR="00450E4F" w:rsidRDefault="00450E4F" w:rsidP="00993F09">
      <w:pPr>
        <w:pStyle w:val="FootnoteText"/>
      </w:pPr>
      <w:r>
        <w:rPr>
          <w:rStyle w:val="FootnoteReference"/>
        </w:rPr>
        <w:footnoteRef/>
      </w:r>
      <w:r>
        <w:t xml:space="preserve"> </w:t>
      </w:r>
      <w:r w:rsidRPr="00F24E51">
        <w:rPr>
          <w:rFonts w:ascii="Calibri" w:hAnsi="Calibri" w:cs="Calibri"/>
          <w:color w:val="000000"/>
          <w:sz w:val="16"/>
          <w:szCs w:val="16"/>
        </w:rPr>
        <w:t>‘Relevant impact’ means a direct or indirect impact on the availability, integrity, reliability or confidentiality of a critical infrastructure asset, information about the asset, or data or information stored in the asset.</w:t>
      </w:r>
    </w:p>
  </w:footnote>
  <w:footnote w:id="14">
    <w:p w14:paraId="0B7E066F" w14:textId="4B4C940D" w:rsidR="00450E4F" w:rsidRDefault="00450E4F" w:rsidP="00993F09">
      <w:pPr>
        <w:pStyle w:val="FootnoteText"/>
      </w:pPr>
      <w:r>
        <w:rPr>
          <w:rStyle w:val="FootnoteReference"/>
        </w:rPr>
        <w:footnoteRef/>
      </w:r>
      <w:r>
        <w:t xml:space="preserve"> </w:t>
      </w:r>
      <w:r w:rsidRPr="001A7788">
        <w:rPr>
          <w:sz w:val="18"/>
        </w:rPr>
        <w:t xml:space="preserve">Increasing the number of entities subject to the power from </w:t>
      </w:r>
      <w:r>
        <w:rPr>
          <w:sz w:val="18"/>
        </w:rPr>
        <w:t xml:space="preserve">approximately </w:t>
      </w:r>
      <w:r w:rsidRPr="001A7788">
        <w:rPr>
          <w:sz w:val="18"/>
        </w:rPr>
        <w:t>167 critical infrastructure assets to 1,700 critical infrastructure assets.</w:t>
      </w:r>
    </w:p>
  </w:footnote>
  <w:footnote w:id="15">
    <w:p w14:paraId="7CC97C14" w14:textId="77777777" w:rsidR="00450E4F" w:rsidRPr="001A7788" w:rsidRDefault="00450E4F" w:rsidP="00993F09">
      <w:pPr>
        <w:pStyle w:val="FootnoteText"/>
        <w:rPr>
          <w:rFonts w:ascii="Times New Roman" w:eastAsia="MS PGothic" w:hAnsi="Times New Roman" w:cs="Times New Roman"/>
          <w:iCs/>
          <w:color w:val="000000"/>
        </w:rPr>
      </w:pPr>
      <w:r>
        <w:rPr>
          <w:rStyle w:val="FootnoteReference"/>
        </w:rPr>
        <w:footnoteRef/>
      </w:r>
      <w:r>
        <w:t xml:space="preserve"> </w:t>
      </w:r>
      <w:r>
        <w:rPr>
          <w:rFonts w:ascii="Times New Roman" w:eastAsia="MS PGothic" w:hAnsi="Times New Roman" w:cs="Times New Roman"/>
          <w:iCs/>
          <w:color w:val="000000"/>
        </w:rPr>
        <w:t>SoCI 2018 Explanatory Memorandum</w:t>
      </w:r>
    </w:p>
  </w:footnote>
  <w:footnote w:id="16">
    <w:p w14:paraId="58AA0E77" w14:textId="77777777" w:rsidR="00450E4F" w:rsidRDefault="00450E4F" w:rsidP="00993F09">
      <w:pPr>
        <w:pStyle w:val="FootnoteText"/>
      </w:pPr>
      <w:r>
        <w:rPr>
          <w:rStyle w:val="FootnoteReference"/>
        </w:rPr>
        <w:footnoteRef/>
      </w:r>
      <w:r>
        <w:t xml:space="preserve"> Ibid</w:t>
      </w:r>
    </w:p>
  </w:footnote>
  <w:footnote w:id="17">
    <w:p w14:paraId="0EF9C72C" w14:textId="77777777" w:rsidR="00450E4F" w:rsidRDefault="00450E4F" w:rsidP="00993F09">
      <w:pPr>
        <w:pStyle w:val="FootnoteText"/>
      </w:pPr>
      <w:r>
        <w:rPr>
          <w:rStyle w:val="FootnoteReference"/>
        </w:rPr>
        <w:footnoteRef/>
      </w:r>
      <w:r>
        <w:t xml:space="preserve"> </w:t>
      </w:r>
      <w:r w:rsidRPr="00E95617">
        <w:t>ACSC Annual Cyber Threat Report July 2019 to June 2020, &lt;https://www.cyber.gov.au/sites/default/files/2020-09/ACSC-Annual-Cyber-Threat-Report-2019-20.pdf&gt;</w:t>
      </w:r>
    </w:p>
  </w:footnote>
  <w:footnote w:id="18">
    <w:p w14:paraId="12AD1AA2" w14:textId="0656FCEC" w:rsidR="00450E4F" w:rsidRPr="00EE0D81" w:rsidRDefault="00450E4F" w:rsidP="0034773B">
      <w:pPr>
        <w:pStyle w:val="FootnoteText"/>
        <w:rPr>
          <w:sz w:val="18"/>
          <w:szCs w:val="18"/>
        </w:rPr>
      </w:pPr>
      <w:r w:rsidRPr="00EE0D81">
        <w:rPr>
          <w:rStyle w:val="FootnoteReference"/>
          <w:sz w:val="18"/>
          <w:szCs w:val="18"/>
        </w:rPr>
        <w:footnoteRef/>
      </w:r>
      <w:r w:rsidRPr="00EE0D81">
        <w:rPr>
          <w:sz w:val="18"/>
          <w:szCs w:val="18"/>
        </w:rPr>
        <w:t xml:space="preserve"> Microsoft and Frost and Sullivan, 2018, </w:t>
      </w:r>
      <w:r w:rsidRPr="0032042D">
        <w:rPr>
          <w:sz w:val="18"/>
          <w:szCs w:val="18"/>
        </w:rPr>
        <w:t>Understanding</w:t>
      </w:r>
      <w:r w:rsidRPr="00EE0D81">
        <w:rPr>
          <w:sz w:val="18"/>
          <w:szCs w:val="18"/>
        </w:rPr>
        <w:t xml:space="preserve"> the Cybersecurity Threat landscape in Asia Pacific: Securing the Modern Enterprise in a Digital World. </w:t>
      </w:r>
    </w:p>
  </w:footnote>
  <w:footnote w:id="19">
    <w:p w14:paraId="15E37E8A" w14:textId="77777777" w:rsidR="00450E4F" w:rsidRDefault="00450E4F" w:rsidP="0034773B">
      <w:pPr>
        <w:pStyle w:val="FootnoteText"/>
      </w:pPr>
      <w:r w:rsidRPr="00EE0D81">
        <w:rPr>
          <w:rStyle w:val="FootnoteReference"/>
          <w:sz w:val="18"/>
          <w:szCs w:val="18"/>
        </w:rPr>
        <w:footnoteRef/>
      </w:r>
      <w:r w:rsidRPr="00EE0D81">
        <w:rPr>
          <w:sz w:val="18"/>
          <w:szCs w:val="18"/>
        </w:rPr>
        <w:t xml:space="preserve"> Deloitte Access Economics, 2017, Building resilience to natural disasters in our states and territories, </w:t>
      </w:r>
      <w:hyperlink r:id="rId6" w:history="1">
        <w:r w:rsidRPr="00EE0D81">
          <w:rPr>
            <w:rStyle w:val="Hyperlink"/>
            <w:sz w:val="18"/>
            <w:szCs w:val="18"/>
          </w:rPr>
          <w:t>file://din.bcz.gov.au/users/CBR01/JT97ZF/home/Downloads/deloitte-au-economics-building-resilience-natural%20disasters-states-territories-161117.pdf</w:t>
        </w:r>
      </w:hyperlink>
      <w:r w:rsidRPr="00EE0D81">
        <w:rPr>
          <w:sz w:val="18"/>
          <w:szCs w:val="18"/>
        </w:rPr>
        <w:t>.</w:t>
      </w:r>
      <w:r>
        <w:t xml:space="preserve"> </w:t>
      </w:r>
    </w:p>
  </w:footnote>
  <w:footnote w:id="20">
    <w:p w14:paraId="50059F27" w14:textId="0561FED7" w:rsidR="00450E4F" w:rsidRDefault="00450E4F" w:rsidP="004B3117">
      <w:pPr>
        <w:pStyle w:val="FootnoteText1"/>
        <w:rPr>
          <w:rFonts w:ascii="Arial" w:hAnsi="Arial" w:cs="Arial"/>
          <w:color w:val="000000" w:themeColor="text1"/>
        </w:rPr>
      </w:pPr>
      <w:r w:rsidRPr="00B369B5">
        <w:rPr>
          <w:rStyle w:val="FootnoteReference"/>
          <w:rFonts w:cs="Arial"/>
          <w:color w:val="000000" w:themeColor="text1"/>
        </w:rPr>
        <w:footnoteRef/>
      </w:r>
      <w:r w:rsidRPr="00B369B5">
        <w:rPr>
          <w:rFonts w:ascii="Arial" w:hAnsi="Arial" w:cs="Arial"/>
          <w:color w:val="000000" w:themeColor="text1"/>
        </w:rPr>
        <w:t xml:space="preserve"> CyberOps, Submission provided 24 September 2020, page 12. </w:t>
      </w:r>
      <w:hyperlink r:id="rId7" w:history="1">
        <w:r w:rsidRPr="00B369B5">
          <w:rPr>
            <w:rStyle w:val="Hyperlink"/>
            <w:rFonts w:ascii="Arial" w:hAnsi="Arial" w:cs="Arial"/>
          </w:rPr>
          <w:t>https://www.homeaffairs.gov.au/reports-and-pubs/files/critical-infrastructure-consultation-submissions/Submission-009-CyberOps.PDF</w:t>
        </w:r>
      </w:hyperlink>
      <w:r w:rsidRPr="00B369B5">
        <w:rPr>
          <w:rFonts w:ascii="Arial" w:hAnsi="Arial" w:cs="Arial"/>
          <w:color w:val="000000" w:themeColor="text1"/>
        </w:rPr>
        <w:t>.</w:t>
      </w:r>
      <w:r>
        <w:rPr>
          <w:rFonts w:ascii="Arial" w:hAnsi="Arial" w:cs="Arial"/>
          <w:color w:val="000000" w:themeColor="text1"/>
        </w:rPr>
        <w:t xml:space="preserve"> </w:t>
      </w:r>
    </w:p>
  </w:footnote>
  <w:footnote w:id="21">
    <w:p w14:paraId="4EFE31C8" w14:textId="4D3F3CC6" w:rsidR="00450E4F" w:rsidRDefault="00450E4F">
      <w:pPr>
        <w:pStyle w:val="FootnoteText"/>
      </w:pPr>
      <w:r>
        <w:rPr>
          <w:rStyle w:val="FootnoteReference"/>
        </w:rPr>
        <w:footnoteRef/>
      </w:r>
      <w:r>
        <w:t xml:space="preserve"> Unisys, Submission </w:t>
      </w:r>
      <w:r w:rsidRPr="006A1613">
        <w:t>provided 24 September 2020,</w:t>
      </w:r>
      <w:r>
        <w:t xml:space="preserve"> page 4, </w:t>
      </w:r>
      <w:r w:rsidRPr="006A1613">
        <w:t>https://www.homeaffairs.gov.au/reports-and-pubs/files/critical-infrastructure-consultation-submissions/Submission-011-Unisys.PDF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DF48F" w14:textId="6E0E5FB9" w:rsidR="00450E4F" w:rsidRPr="00AD7221" w:rsidRDefault="00450E4F" w:rsidP="00602DDE">
    <w:pPr>
      <w:pStyle w:val="TOCLevel1"/>
      <w:spacing w:before="0"/>
      <w:jc w:val="center"/>
      <w:rPr>
        <w:color w:val="FF0000"/>
      </w:rPr>
    </w:pPr>
  </w:p>
  <w:p w14:paraId="689BDE73" w14:textId="77777777" w:rsidR="00450E4F" w:rsidRDefault="00450E4F" w:rsidP="00602DDE">
    <w:pPr>
      <w:pStyle w:val="TOCLevel1"/>
      <w:spacing w:before="0"/>
    </w:pPr>
  </w:p>
  <w:p w14:paraId="1A979EBE" w14:textId="77777777" w:rsidR="00450E4F" w:rsidRPr="00E47E3F" w:rsidRDefault="00450E4F" w:rsidP="00602DDE">
    <w:pPr>
      <w:pStyle w:val="ProtectiveMarking"/>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95EC7" w14:textId="27D2EDB9" w:rsidR="00450E4F" w:rsidRPr="00AD7221" w:rsidRDefault="00450E4F" w:rsidP="00602DDE">
    <w:pPr>
      <w:pStyle w:val="TOCLevel1"/>
      <w:spacing w:before="0"/>
      <w:jc w:val="center"/>
      <w:rPr>
        <w:color w:val="FF0000"/>
      </w:rPr>
    </w:pPr>
  </w:p>
  <w:p w14:paraId="520A4D40" w14:textId="77777777" w:rsidR="00450E4F" w:rsidRPr="00E47E3F" w:rsidRDefault="00450E4F" w:rsidP="00602DDE">
    <w:pPr>
      <w:pStyle w:val="ProtectiveMarking"/>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F34"/>
    <w:multiLevelType w:val="hybridMultilevel"/>
    <w:tmpl w:val="DD721318"/>
    <w:lvl w:ilvl="0" w:tplc="CD1666F0">
      <w:start w:val="1"/>
      <w:numFmt w:val="bullet"/>
      <w:lvlText w:val=""/>
      <w:lvlJc w:val="left"/>
      <w:pPr>
        <w:ind w:left="720" w:hanging="360"/>
      </w:pPr>
      <w:rPr>
        <w:rFonts w:ascii="Symbol" w:hAnsi="Symbol" w:hint="default"/>
      </w:rPr>
    </w:lvl>
    <w:lvl w:ilvl="1" w:tplc="6916C918" w:tentative="1">
      <w:start w:val="1"/>
      <w:numFmt w:val="bullet"/>
      <w:lvlText w:val="o"/>
      <w:lvlJc w:val="left"/>
      <w:pPr>
        <w:ind w:left="1440" w:hanging="360"/>
      </w:pPr>
      <w:rPr>
        <w:rFonts w:ascii="Courier New" w:hAnsi="Courier New" w:cs="Courier New" w:hint="default"/>
      </w:rPr>
    </w:lvl>
    <w:lvl w:ilvl="2" w:tplc="2EFE11E0" w:tentative="1">
      <w:start w:val="1"/>
      <w:numFmt w:val="bullet"/>
      <w:lvlText w:val=""/>
      <w:lvlJc w:val="left"/>
      <w:pPr>
        <w:ind w:left="2160" w:hanging="360"/>
      </w:pPr>
      <w:rPr>
        <w:rFonts w:ascii="Wingdings" w:hAnsi="Wingdings" w:hint="default"/>
      </w:rPr>
    </w:lvl>
    <w:lvl w:ilvl="3" w:tplc="257C67F8" w:tentative="1">
      <w:start w:val="1"/>
      <w:numFmt w:val="bullet"/>
      <w:lvlText w:val=""/>
      <w:lvlJc w:val="left"/>
      <w:pPr>
        <w:ind w:left="2880" w:hanging="360"/>
      </w:pPr>
      <w:rPr>
        <w:rFonts w:ascii="Symbol" w:hAnsi="Symbol" w:hint="default"/>
      </w:rPr>
    </w:lvl>
    <w:lvl w:ilvl="4" w:tplc="1E5036BA" w:tentative="1">
      <w:start w:val="1"/>
      <w:numFmt w:val="bullet"/>
      <w:lvlText w:val="o"/>
      <w:lvlJc w:val="left"/>
      <w:pPr>
        <w:ind w:left="3600" w:hanging="360"/>
      </w:pPr>
      <w:rPr>
        <w:rFonts w:ascii="Courier New" w:hAnsi="Courier New" w:cs="Courier New" w:hint="default"/>
      </w:rPr>
    </w:lvl>
    <w:lvl w:ilvl="5" w:tplc="D6DAF7E8" w:tentative="1">
      <w:start w:val="1"/>
      <w:numFmt w:val="bullet"/>
      <w:lvlText w:val=""/>
      <w:lvlJc w:val="left"/>
      <w:pPr>
        <w:ind w:left="4320" w:hanging="360"/>
      </w:pPr>
      <w:rPr>
        <w:rFonts w:ascii="Wingdings" w:hAnsi="Wingdings" w:hint="default"/>
      </w:rPr>
    </w:lvl>
    <w:lvl w:ilvl="6" w:tplc="2F2C24F2" w:tentative="1">
      <w:start w:val="1"/>
      <w:numFmt w:val="bullet"/>
      <w:lvlText w:val=""/>
      <w:lvlJc w:val="left"/>
      <w:pPr>
        <w:ind w:left="5040" w:hanging="360"/>
      </w:pPr>
      <w:rPr>
        <w:rFonts w:ascii="Symbol" w:hAnsi="Symbol" w:hint="default"/>
      </w:rPr>
    </w:lvl>
    <w:lvl w:ilvl="7" w:tplc="A4B0922C" w:tentative="1">
      <w:start w:val="1"/>
      <w:numFmt w:val="bullet"/>
      <w:lvlText w:val="o"/>
      <w:lvlJc w:val="left"/>
      <w:pPr>
        <w:ind w:left="5760" w:hanging="360"/>
      </w:pPr>
      <w:rPr>
        <w:rFonts w:ascii="Courier New" w:hAnsi="Courier New" w:cs="Courier New" w:hint="default"/>
      </w:rPr>
    </w:lvl>
    <w:lvl w:ilvl="8" w:tplc="3C585D7C" w:tentative="1">
      <w:start w:val="1"/>
      <w:numFmt w:val="bullet"/>
      <w:lvlText w:val=""/>
      <w:lvlJc w:val="left"/>
      <w:pPr>
        <w:ind w:left="6480" w:hanging="360"/>
      </w:pPr>
      <w:rPr>
        <w:rFonts w:ascii="Wingdings" w:hAnsi="Wingdings" w:hint="default"/>
      </w:rPr>
    </w:lvl>
  </w:abstractNum>
  <w:abstractNum w:abstractNumId="1" w15:restartNumberingAfterBreak="0">
    <w:nsid w:val="015D7152"/>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8319C8"/>
    <w:multiLevelType w:val="multilevel"/>
    <w:tmpl w:val="64B02A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A105A3"/>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C6E77F3"/>
    <w:multiLevelType w:val="hybridMultilevel"/>
    <w:tmpl w:val="D110D73C"/>
    <w:lvl w:ilvl="0" w:tplc="6D4683E6">
      <w:start w:val="1"/>
      <w:numFmt w:val="bullet"/>
      <w:lvlText w:val=""/>
      <w:lvlJc w:val="left"/>
      <w:pPr>
        <w:ind w:left="720" w:hanging="360"/>
      </w:pPr>
      <w:rPr>
        <w:rFonts w:ascii="Symbol" w:hAnsi="Symbol" w:hint="default"/>
      </w:rPr>
    </w:lvl>
    <w:lvl w:ilvl="1" w:tplc="84B8035C" w:tentative="1">
      <w:start w:val="1"/>
      <w:numFmt w:val="bullet"/>
      <w:lvlText w:val="o"/>
      <w:lvlJc w:val="left"/>
      <w:pPr>
        <w:ind w:left="1440" w:hanging="360"/>
      </w:pPr>
      <w:rPr>
        <w:rFonts w:ascii="Courier New" w:hAnsi="Courier New" w:cs="Courier New" w:hint="default"/>
      </w:rPr>
    </w:lvl>
    <w:lvl w:ilvl="2" w:tplc="590CBEAE" w:tentative="1">
      <w:start w:val="1"/>
      <w:numFmt w:val="bullet"/>
      <w:lvlText w:val=""/>
      <w:lvlJc w:val="left"/>
      <w:pPr>
        <w:ind w:left="2160" w:hanging="360"/>
      </w:pPr>
      <w:rPr>
        <w:rFonts w:ascii="Wingdings" w:hAnsi="Wingdings" w:hint="default"/>
      </w:rPr>
    </w:lvl>
    <w:lvl w:ilvl="3" w:tplc="AAA87F18" w:tentative="1">
      <w:start w:val="1"/>
      <w:numFmt w:val="bullet"/>
      <w:lvlText w:val=""/>
      <w:lvlJc w:val="left"/>
      <w:pPr>
        <w:ind w:left="2880" w:hanging="360"/>
      </w:pPr>
      <w:rPr>
        <w:rFonts w:ascii="Symbol" w:hAnsi="Symbol" w:hint="default"/>
      </w:rPr>
    </w:lvl>
    <w:lvl w:ilvl="4" w:tplc="5B728C6E" w:tentative="1">
      <w:start w:val="1"/>
      <w:numFmt w:val="bullet"/>
      <w:lvlText w:val="o"/>
      <w:lvlJc w:val="left"/>
      <w:pPr>
        <w:ind w:left="3600" w:hanging="360"/>
      </w:pPr>
      <w:rPr>
        <w:rFonts w:ascii="Courier New" w:hAnsi="Courier New" w:cs="Courier New" w:hint="default"/>
      </w:rPr>
    </w:lvl>
    <w:lvl w:ilvl="5" w:tplc="D3BC88DA" w:tentative="1">
      <w:start w:val="1"/>
      <w:numFmt w:val="bullet"/>
      <w:lvlText w:val=""/>
      <w:lvlJc w:val="left"/>
      <w:pPr>
        <w:ind w:left="4320" w:hanging="360"/>
      </w:pPr>
      <w:rPr>
        <w:rFonts w:ascii="Wingdings" w:hAnsi="Wingdings" w:hint="default"/>
      </w:rPr>
    </w:lvl>
    <w:lvl w:ilvl="6" w:tplc="91C0E9B2" w:tentative="1">
      <w:start w:val="1"/>
      <w:numFmt w:val="bullet"/>
      <w:lvlText w:val=""/>
      <w:lvlJc w:val="left"/>
      <w:pPr>
        <w:ind w:left="5040" w:hanging="360"/>
      </w:pPr>
      <w:rPr>
        <w:rFonts w:ascii="Symbol" w:hAnsi="Symbol" w:hint="default"/>
      </w:rPr>
    </w:lvl>
    <w:lvl w:ilvl="7" w:tplc="063C88C4" w:tentative="1">
      <w:start w:val="1"/>
      <w:numFmt w:val="bullet"/>
      <w:lvlText w:val="o"/>
      <w:lvlJc w:val="left"/>
      <w:pPr>
        <w:ind w:left="5760" w:hanging="360"/>
      </w:pPr>
      <w:rPr>
        <w:rFonts w:ascii="Courier New" w:hAnsi="Courier New" w:cs="Courier New" w:hint="default"/>
      </w:rPr>
    </w:lvl>
    <w:lvl w:ilvl="8" w:tplc="6CAEE78E" w:tentative="1">
      <w:start w:val="1"/>
      <w:numFmt w:val="bullet"/>
      <w:lvlText w:val=""/>
      <w:lvlJc w:val="left"/>
      <w:pPr>
        <w:ind w:left="6480" w:hanging="360"/>
      </w:pPr>
      <w:rPr>
        <w:rFonts w:ascii="Wingdings" w:hAnsi="Wingdings" w:hint="default"/>
      </w:rPr>
    </w:lvl>
  </w:abstractNum>
  <w:abstractNum w:abstractNumId="5" w15:restartNumberingAfterBreak="0">
    <w:nsid w:val="0D900DB4"/>
    <w:multiLevelType w:val="hybridMultilevel"/>
    <w:tmpl w:val="C2CCC2C2"/>
    <w:lvl w:ilvl="0" w:tplc="DF1CBFB4">
      <w:start w:val="1"/>
      <w:numFmt w:val="bullet"/>
      <w:lvlText w:val=""/>
      <w:lvlJc w:val="left"/>
      <w:pPr>
        <w:ind w:left="776" w:hanging="360"/>
      </w:pPr>
      <w:rPr>
        <w:rFonts w:ascii="Symbol" w:hAnsi="Symbol" w:hint="default"/>
      </w:rPr>
    </w:lvl>
    <w:lvl w:ilvl="1" w:tplc="0116E274" w:tentative="1">
      <w:start w:val="1"/>
      <w:numFmt w:val="bullet"/>
      <w:lvlText w:val="o"/>
      <w:lvlJc w:val="left"/>
      <w:pPr>
        <w:ind w:left="1496" w:hanging="360"/>
      </w:pPr>
      <w:rPr>
        <w:rFonts w:ascii="Courier New" w:hAnsi="Courier New" w:cs="Courier New" w:hint="default"/>
      </w:rPr>
    </w:lvl>
    <w:lvl w:ilvl="2" w:tplc="2CCCEEA0" w:tentative="1">
      <w:start w:val="1"/>
      <w:numFmt w:val="bullet"/>
      <w:lvlText w:val=""/>
      <w:lvlJc w:val="left"/>
      <w:pPr>
        <w:ind w:left="2216" w:hanging="360"/>
      </w:pPr>
      <w:rPr>
        <w:rFonts w:ascii="Wingdings" w:hAnsi="Wingdings" w:hint="default"/>
      </w:rPr>
    </w:lvl>
    <w:lvl w:ilvl="3" w:tplc="F42026C0" w:tentative="1">
      <w:start w:val="1"/>
      <w:numFmt w:val="bullet"/>
      <w:lvlText w:val=""/>
      <w:lvlJc w:val="left"/>
      <w:pPr>
        <w:ind w:left="2936" w:hanging="360"/>
      </w:pPr>
      <w:rPr>
        <w:rFonts w:ascii="Symbol" w:hAnsi="Symbol" w:hint="default"/>
      </w:rPr>
    </w:lvl>
    <w:lvl w:ilvl="4" w:tplc="FE7A4070" w:tentative="1">
      <w:start w:val="1"/>
      <w:numFmt w:val="bullet"/>
      <w:lvlText w:val="o"/>
      <w:lvlJc w:val="left"/>
      <w:pPr>
        <w:ind w:left="3656" w:hanging="360"/>
      </w:pPr>
      <w:rPr>
        <w:rFonts w:ascii="Courier New" w:hAnsi="Courier New" w:cs="Courier New" w:hint="default"/>
      </w:rPr>
    </w:lvl>
    <w:lvl w:ilvl="5" w:tplc="8CECE54A" w:tentative="1">
      <w:start w:val="1"/>
      <w:numFmt w:val="bullet"/>
      <w:lvlText w:val=""/>
      <w:lvlJc w:val="left"/>
      <w:pPr>
        <w:ind w:left="4376" w:hanging="360"/>
      </w:pPr>
      <w:rPr>
        <w:rFonts w:ascii="Wingdings" w:hAnsi="Wingdings" w:hint="default"/>
      </w:rPr>
    </w:lvl>
    <w:lvl w:ilvl="6" w:tplc="E10E7740" w:tentative="1">
      <w:start w:val="1"/>
      <w:numFmt w:val="bullet"/>
      <w:lvlText w:val=""/>
      <w:lvlJc w:val="left"/>
      <w:pPr>
        <w:ind w:left="5096" w:hanging="360"/>
      </w:pPr>
      <w:rPr>
        <w:rFonts w:ascii="Symbol" w:hAnsi="Symbol" w:hint="default"/>
      </w:rPr>
    </w:lvl>
    <w:lvl w:ilvl="7" w:tplc="37006C78" w:tentative="1">
      <w:start w:val="1"/>
      <w:numFmt w:val="bullet"/>
      <w:lvlText w:val="o"/>
      <w:lvlJc w:val="left"/>
      <w:pPr>
        <w:ind w:left="5816" w:hanging="360"/>
      </w:pPr>
      <w:rPr>
        <w:rFonts w:ascii="Courier New" w:hAnsi="Courier New" w:cs="Courier New" w:hint="default"/>
      </w:rPr>
    </w:lvl>
    <w:lvl w:ilvl="8" w:tplc="C2CA543E" w:tentative="1">
      <w:start w:val="1"/>
      <w:numFmt w:val="bullet"/>
      <w:lvlText w:val=""/>
      <w:lvlJc w:val="left"/>
      <w:pPr>
        <w:ind w:left="6536" w:hanging="360"/>
      </w:pPr>
      <w:rPr>
        <w:rFonts w:ascii="Wingdings" w:hAnsi="Wingdings" w:hint="default"/>
      </w:rPr>
    </w:lvl>
  </w:abstractNum>
  <w:abstractNum w:abstractNumId="6" w15:restartNumberingAfterBreak="0">
    <w:nsid w:val="0E4519C8"/>
    <w:multiLevelType w:val="hybridMultilevel"/>
    <w:tmpl w:val="E4065AA4"/>
    <w:lvl w:ilvl="0" w:tplc="0C09000F">
      <w:start w:val="1"/>
      <w:numFmt w:val="decimal"/>
      <w:lvlText w:val="%1."/>
      <w:lvlJc w:val="left"/>
      <w:pPr>
        <w:ind w:left="720" w:hanging="360"/>
      </w:pPr>
      <w:rPr>
        <w:rFonts w:hint="default"/>
      </w:rPr>
    </w:lvl>
    <w:lvl w:ilvl="1" w:tplc="C52CD502">
      <w:start w:val="1"/>
      <w:numFmt w:val="bullet"/>
      <w:lvlText w:val="o"/>
      <w:lvlJc w:val="left"/>
      <w:pPr>
        <w:ind w:left="1440" w:hanging="360"/>
      </w:pPr>
      <w:rPr>
        <w:rFonts w:ascii="Courier New" w:hAnsi="Courier New" w:cs="Courier New" w:hint="default"/>
      </w:rPr>
    </w:lvl>
    <w:lvl w:ilvl="2" w:tplc="DDF47594">
      <w:start w:val="1"/>
      <w:numFmt w:val="lowerLetter"/>
      <w:lvlText w:val="%3."/>
      <w:lvlJc w:val="left"/>
      <w:pPr>
        <w:ind w:left="2160" w:hanging="360"/>
      </w:pPr>
      <w:rPr>
        <w:rFonts w:hint="default"/>
      </w:rPr>
    </w:lvl>
    <w:lvl w:ilvl="3" w:tplc="48183A8E" w:tentative="1">
      <w:start w:val="1"/>
      <w:numFmt w:val="bullet"/>
      <w:lvlText w:val=""/>
      <w:lvlJc w:val="left"/>
      <w:pPr>
        <w:ind w:left="2880" w:hanging="360"/>
      </w:pPr>
      <w:rPr>
        <w:rFonts w:ascii="Symbol" w:hAnsi="Symbol" w:hint="default"/>
      </w:rPr>
    </w:lvl>
    <w:lvl w:ilvl="4" w:tplc="CEDE8F0E" w:tentative="1">
      <w:start w:val="1"/>
      <w:numFmt w:val="bullet"/>
      <w:lvlText w:val="o"/>
      <w:lvlJc w:val="left"/>
      <w:pPr>
        <w:ind w:left="3600" w:hanging="360"/>
      </w:pPr>
      <w:rPr>
        <w:rFonts w:ascii="Courier New" w:hAnsi="Courier New" w:cs="Courier New" w:hint="default"/>
      </w:rPr>
    </w:lvl>
    <w:lvl w:ilvl="5" w:tplc="78D05F08" w:tentative="1">
      <w:start w:val="1"/>
      <w:numFmt w:val="bullet"/>
      <w:lvlText w:val=""/>
      <w:lvlJc w:val="left"/>
      <w:pPr>
        <w:ind w:left="4320" w:hanging="360"/>
      </w:pPr>
      <w:rPr>
        <w:rFonts w:ascii="Wingdings" w:hAnsi="Wingdings" w:hint="default"/>
      </w:rPr>
    </w:lvl>
    <w:lvl w:ilvl="6" w:tplc="16120398" w:tentative="1">
      <w:start w:val="1"/>
      <w:numFmt w:val="bullet"/>
      <w:lvlText w:val=""/>
      <w:lvlJc w:val="left"/>
      <w:pPr>
        <w:ind w:left="5040" w:hanging="360"/>
      </w:pPr>
      <w:rPr>
        <w:rFonts w:ascii="Symbol" w:hAnsi="Symbol" w:hint="default"/>
      </w:rPr>
    </w:lvl>
    <w:lvl w:ilvl="7" w:tplc="2D76782A" w:tentative="1">
      <w:start w:val="1"/>
      <w:numFmt w:val="bullet"/>
      <w:lvlText w:val="o"/>
      <w:lvlJc w:val="left"/>
      <w:pPr>
        <w:ind w:left="5760" w:hanging="360"/>
      </w:pPr>
      <w:rPr>
        <w:rFonts w:ascii="Courier New" w:hAnsi="Courier New" w:cs="Courier New" w:hint="default"/>
      </w:rPr>
    </w:lvl>
    <w:lvl w:ilvl="8" w:tplc="6060D26C" w:tentative="1">
      <w:start w:val="1"/>
      <w:numFmt w:val="bullet"/>
      <w:lvlText w:val=""/>
      <w:lvlJc w:val="left"/>
      <w:pPr>
        <w:ind w:left="6480" w:hanging="360"/>
      </w:pPr>
      <w:rPr>
        <w:rFonts w:ascii="Wingdings" w:hAnsi="Wingdings" w:hint="default"/>
      </w:rPr>
    </w:lvl>
  </w:abstractNum>
  <w:abstractNum w:abstractNumId="7" w15:restartNumberingAfterBreak="0">
    <w:nsid w:val="0EC00B7F"/>
    <w:multiLevelType w:val="hybridMultilevel"/>
    <w:tmpl w:val="15FA8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25D6C"/>
    <w:multiLevelType w:val="hybridMultilevel"/>
    <w:tmpl w:val="A4BAE544"/>
    <w:lvl w:ilvl="0" w:tplc="52CE2C60">
      <w:start w:val="1"/>
      <w:numFmt w:val="bullet"/>
      <w:lvlText w:val=""/>
      <w:lvlJc w:val="left"/>
      <w:pPr>
        <w:ind w:left="720" w:hanging="360"/>
      </w:pPr>
      <w:rPr>
        <w:rFonts w:ascii="Symbol" w:hAnsi="Symbol" w:hint="default"/>
      </w:rPr>
    </w:lvl>
    <w:lvl w:ilvl="1" w:tplc="DAA6C386">
      <w:start w:val="1"/>
      <w:numFmt w:val="bullet"/>
      <w:lvlText w:val="o"/>
      <w:lvlJc w:val="left"/>
      <w:pPr>
        <w:ind w:left="1440" w:hanging="360"/>
      </w:pPr>
      <w:rPr>
        <w:rFonts w:ascii="Courier New" w:hAnsi="Courier New" w:cs="Courier New" w:hint="default"/>
      </w:rPr>
    </w:lvl>
    <w:lvl w:ilvl="2" w:tplc="7B4EE334">
      <w:start w:val="1"/>
      <w:numFmt w:val="bullet"/>
      <w:lvlText w:val=""/>
      <w:lvlJc w:val="left"/>
      <w:pPr>
        <w:ind w:left="2160" w:hanging="360"/>
      </w:pPr>
      <w:rPr>
        <w:rFonts w:ascii="Wingdings" w:hAnsi="Wingdings" w:hint="default"/>
      </w:rPr>
    </w:lvl>
    <w:lvl w:ilvl="3" w:tplc="D2C09D36">
      <w:start w:val="1"/>
      <w:numFmt w:val="bullet"/>
      <w:lvlText w:val=""/>
      <w:lvlJc w:val="left"/>
      <w:pPr>
        <w:ind w:left="2880" w:hanging="360"/>
      </w:pPr>
      <w:rPr>
        <w:rFonts w:ascii="Symbol" w:hAnsi="Symbol" w:hint="default"/>
      </w:rPr>
    </w:lvl>
    <w:lvl w:ilvl="4" w:tplc="A438A490">
      <w:start w:val="1"/>
      <w:numFmt w:val="bullet"/>
      <w:lvlText w:val="o"/>
      <w:lvlJc w:val="left"/>
      <w:pPr>
        <w:ind w:left="3600" w:hanging="360"/>
      </w:pPr>
      <w:rPr>
        <w:rFonts w:ascii="Courier New" w:hAnsi="Courier New" w:cs="Courier New" w:hint="default"/>
      </w:rPr>
    </w:lvl>
    <w:lvl w:ilvl="5" w:tplc="CE32EC14">
      <w:start w:val="1"/>
      <w:numFmt w:val="bullet"/>
      <w:lvlText w:val=""/>
      <w:lvlJc w:val="left"/>
      <w:pPr>
        <w:ind w:left="4320" w:hanging="360"/>
      </w:pPr>
      <w:rPr>
        <w:rFonts w:ascii="Wingdings" w:hAnsi="Wingdings" w:hint="default"/>
      </w:rPr>
    </w:lvl>
    <w:lvl w:ilvl="6" w:tplc="3DD0BEF6">
      <w:start w:val="1"/>
      <w:numFmt w:val="bullet"/>
      <w:lvlText w:val=""/>
      <w:lvlJc w:val="left"/>
      <w:pPr>
        <w:ind w:left="5040" w:hanging="360"/>
      </w:pPr>
      <w:rPr>
        <w:rFonts w:ascii="Symbol" w:hAnsi="Symbol" w:hint="default"/>
      </w:rPr>
    </w:lvl>
    <w:lvl w:ilvl="7" w:tplc="887C9718">
      <w:start w:val="1"/>
      <w:numFmt w:val="bullet"/>
      <w:lvlText w:val="o"/>
      <w:lvlJc w:val="left"/>
      <w:pPr>
        <w:ind w:left="5760" w:hanging="360"/>
      </w:pPr>
      <w:rPr>
        <w:rFonts w:ascii="Courier New" w:hAnsi="Courier New" w:cs="Courier New" w:hint="default"/>
      </w:rPr>
    </w:lvl>
    <w:lvl w:ilvl="8" w:tplc="D78A7FD4">
      <w:start w:val="1"/>
      <w:numFmt w:val="bullet"/>
      <w:lvlText w:val=""/>
      <w:lvlJc w:val="left"/>
      <w:pPr>
        <w:ind w:left="6480" w:hanging="360"/>
      </w:pPr>
      <w:rPr>
        <w:rFonts w:ascii="Wingdings" w:hAnsi="Wingdings" w:hint="default"/>
      </w:rPr>
    </w:lvl>
  </w:abstractNum>
  <w:abstractNum w:abstractNumId="9" w15:restartNumberingAfterBreak="0">
    <w:nsid w:val="128A6D3A"/>
    <w:multiLevelType w:val="hybridMultilevel"/>
    <w:tmpl w:val="1F2E98FA"/>
    <w:lvl w:ilvl="0" w:tplc="196C8F72">
      <w:start w:val="1"/>
      <w:numFmt w:val="bullet"/>
      <w:lvlText w:val=""/>
      <w:lvlJc w:val="left"/>
      <w:pPr>
        <w:ind w:left="720" w:hanging="360"/>
      </w:pPr>
      <w:rPr>
        <w:rFonts w:ascii="Symbol" w:hAnsi="Symbol" w:hint="default"/>
      </w:rPr>
    </w:lvl>
    <w:lvl w:ilvl="1" w:tplc="70201046">
      <w:start w:val="1"/>
      <w:numFmt w:val="bullet"/>
      <w:lvlText w:val="o"/>
      <w:lvlJc w:val="left"/>
      <w:pPr>
        <w:ind w:left="1440" w:hanging="360"/>
      </w:pPr>
      <w:rPr>
        <w:rFonts w:ascii="Courier New" w:hAnsi="Courier New" w:cs="Courier New" w:hint="default"/>
      </w:rPr>
    </w:lvl>
    <w:lvl w:ilvl="2" w:tplc="C9C64034" w:tentative="1">
      <w:start w:val="1"/>
      <w:numFmt w:val="bullet"/>
      <w:lvlText w:val=""/>
      <w:lvlJc w:val="left"/>
      <w:pPr>
        <w:ind w:left="2160" w:hanging="360"/>
      </w:pPr>
      <w:rPr>
        <w:rFonts w:ascii="Wingdings" w:hAnsi="Wingdings" w:hint="default"/>
      </w:rPr>
    </w:lvl>
    <w:lvl w:ilvl="3" w:tplc="6234F95C" w:tentative="1">
      <w:start w:val="1"/>
      <w:numFmt w:val="bullet"/>
      <w:lvlText w:val=""/>
      <w:lvlJc w:val="left"/>
      <w:pPr>
        <w:ind w:left="2880" w:hanging="360"/>
      </w:pPr>
      <w:rPr>
        <w:rFonts w:ascii="Symbol" w:hAnsi="Symbol" w:hint="default"/>
      </w:rPr>
    </w:lvl>
    <w:lvl w:ilvl="4" w:tplc="D7022228" w:tentative="1">
      <w:start w:val="1"/>
      <w:numFmt w:val="bullet"/>
      <w:lvlText w:val="o"/>
      <w:lvlJc w:val="left"/>
      <w:pPr>
        <w:ind w:left="3600" w:hanging="360"/>
      </w:pPr>
      <w:rPr>
        <w:rFonts w:ascii="Courier New" w:hAnsi="Courier New" w:cs="Courier New" w:hint="default"/>
      </w:rPr>
    </w:lvl>
    <w:lvl w:ilvl="5" w:tplc="B42C873C" w:tentative="1">
      <w:start w:val="1"/>
      <w:numFmt w:val="bullet"/>
      <w:lvlText w:val=""/>
      <w:lvlJc w:val="left"/>
      <w:pPr>
        <w:ind w:left="4320" w:hanging="360"/>
      </w:pPr>
      <w:rPr>
        <w:rFonts w:ascii="Wingdings" w:hAnsi="Wingdings" w:hint="default"/>
      </w:rPr>
    </w:lvl>
    <w:lvl w:ilvl="6" w:tplc="8EACBE56" w:tentative="1">
      <w:start w:val="1"/>
      <w:numFmt w:val="bullet"/>
      <w:lvlText w:val=""/>
      <w:lvlJc w:val="left"/>
      <w:pPr>
        <w:ind w:left="5040" w:hanging="360"/>
      </w:pPr>
      <w:rPr>
        <w:rFonts w:ascii="Symbol" w:hAnsi="Symbol" w:hint="default"/>
      </w:rPr>
    </w:lvl>
    <w:lvl w:ilvl="7" w:tplc="6B54CE80" w:tentative="1">
      <w:start w:val="1"/>
      <w:numFmt w:val="bullet"/>
      <w:lvlText w:val="o"/>
      <w:lvlJc w:val="left"/>
      <w:pPr>
        <w:ind w:left="5760" w:hanging="360"/>
      </w:pPr>
      <w:rPr>
        <w:rFonts w:ascii="Courier New" w:hAnsi="Courier New" w:cs="Courier New" w:hint="default"/>
      </w:rPr>
    </w:lvl>
    <w:lvl w:ilvl="8" w:tplc="8AF8D768" w:tentative="1">
      <w:start w:val="1"/>
      <w:numFmt w:val="bullet"/>
      <w:lvlText w:val=""/>
      <w:lvlJc w:val="left"/>
      <w:pPr>
        <w:ind w:left="6480" w:hanging="360"/>
      </w:pPr>
      <w:rPr>
        <w:rFonts w:ascii="Wingdings" w:hAnsi="Wingdings" w:hint="default"/>
      </w:rPr>
    </w:lvl>
  </w:abstractNum>
  <w:abstractNum w:abstractNumId="10" w15:restartNumberingAfterBreak="0">
    <w:nsid w:val="12E22173"/>
    <w:multiLevelType w:val="hybridMultilevel"/>
    <w:tmpl w:val="03CE3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1E78F2"/>
    <w:multiLevelType w:val="hybridMultilevel"/>
    <w:tmpl w:val="C16CBE4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D542E064">
      <w:start w:val="4"/>
      <w:numFmt w:val="bullet"/>
      <w:lvlText w:val=""/>
      <w:lvlJc w:val="left"/>
      <w:pPr>
        <w:ind w:left="2340" w:hanging="360"/>
      </w:pPr>
      <w:rPr>
        <w:rFonts w:ascii="Symbol" w:eastAsiaTheme="minorHAnsi" w:hAnsi="Symbol" w:cstheme="minorBidi" w:hint="default"/>
      </w:rPr>
    </w:lvl>
    <w:lvl w:ilvl="3" w:tplc="2FD0C15C">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225CEE"/>
    <w:multiLevelType w:val="hybridMultilevel"/>
    <w:tmpl w:val="9D28A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8000A8"/>
    <w:multiLevelType w:val="hybridMultilevel"/>
    <w:tmpl w:val="A01CBFA0"/>
    <w:lvl w:ilvl="0" w:tplc="40B844BE">
      <w:start w:val="1"/>
      <w:numFmt w:val="bullet"/>
      <w:lvlText w:val=""/>
      <w:lvlJc w:val="left"/>
      <w:pPr>
        <w:ind w:left="720" w:hanging="360"/>
      </w:pPr>
      <w:rPr>
        <w:rFonts w:ascii="Symbol" w:hAnsi="Symbol" w:hint="default"/>
      </w:rPr>
    </w:lvl>
    <w:lvl w:ilvl="1" w:tplc="9E3627FA" w:tentative="1">
      <w:start w:val="1"/>
      <w:numFmt w:val="bullet"/>
      <w:lvlText w:val="o"/>
      <w:lvlJc w:val="left"/>
      <w:pPr>
        <w:ind w:left="1440" w:hanging="360"/>
      </w:pPr>
      <w:rPr>
        <w:rFonts w:ascii="Courier New" w:hAnsi="Courier New" w:cs="Courier New" w:hint="default"/>
      </w:rPr>
    </w:lvl>
    <w:lvl w:ilvl="2" w:tplc="1E805CEC" w:tentative="1">
      <w:start w:val="1"/>
      <w:numFmt w:val="bullet"/>
      <w:lvlText w:val=""/>
      <w:lvlJc w:val="left"/>
      <w:pPr>
        <w:ind w:left="2160" w:hanging="360"/>
      </w:pPr>
      <w:rPr>
        <w:rFonts w:ascii="Wingdings" w:hAnsi="Wingdings" w:hint="default"/>
      </w:rPr>
    </w:lvl>
    <w:lvl w:ilvl="3" w:tplc="477CE614" w:tentative="1">
      <w:start w:val="1"/>
      <w:numFmt w:val="bullet"/>
      <w:lvlText w:val=""/>
      <w:lvlJc w:val="left"/>
      <w:pPr>
        <w:ind w:left="2880" w:hanging="360"/>
      </w:pPr>
      <w:rPr>
        <w:rFonts w:ascii="Symbol" w:hAnsi="Symbol" w:hint="default"/>
      </w:rPr>
    </w:lvl>
    <w:lvl w:ilvl="4" w:tplc="5044C636" w:tentative="1">
      <w:start w:val="1"/>
      <w:numFmt w:val="bullet"/>
      <w:lvlText w:val="o"/>
      <w:lvlJc w:val="left"/>
      <w:pPr>
        <w:ind w:left="3600" w:hanging="360"/>
      </w:pPr>
      <w:rPr>
        <w:rFonts w:ascii="Courier New" w:hAnsi="Courier New" w:cs="Courier New" w:hint="default"/>
      </w:rPr>
    </w:lvl>
    <w:lvl w:ilvl="5" w:tplc="A5460246" w:tentative="1">
      <w:start w:val="1"/>
      <w:numFmt w:val="bullet"/>
      <w:lvlText w:val=""/>
      <w:lvlJc w:val="left"/>
      <w:pPr>
        <w:ind w:left="4320" w:hanging="360"/>
      </w:pPr>
      <w:rPr>
        <w:rFonts w:ascii="Wingdings" w:hAnsi="Wingdings" w:hint="default"/>
      </w:rPr>
    </w:lvl>
    <w:lvl w:ilvl="6" w:tplc="7D5CA50C" w:tentative="1">
      <w:start w:val="1"/>
      <w:numFmt w:val="bullet"/>
      <w:lvlText w:val=""/>
      <w:lvlJc w:val="left"/>
      <w:pPr>
        <w:ind w:left="5040" w:hanging="360"/>
      </w:pPr>
      <w:rPr>
        <w:rFonts w:ascii="Symbol" w:hAnsi="Symbol" w:hint="default"/>
      </w:rPr>
    </w:lvl>
    <w:lvl w:ilvl="7" w:tplc="2DC07FDC" w:tentative="1">
      <w:start w:val="1"/>
      <w:numFmt w:val="bullet"/>
      <w:lvlText w:val="o"/>
      <w:lvlJc w:val="left"/>
      <w:pPr>
        <w:ind w:left="5760" w:hanging="360"/>
      </w:pPr>
      <w:rPr>
        <w:rFonts w:ascii="Courier New" w:hAnsi="Courier New" w:cs="Courier New" w:hint="default"/>
      </w:rPr>
    </w:lvl>
    <w:lvl w:ilvl="8" w:tplc="9D4CE91C" w:tentative="1">
      <w:start w:val="1"/>
      <w:numFmt w:val="bullet"/>
      <w:lvlText w:val=""/>
      <w:lvlJc w:val="left"/>
      <w:pPr>
        <w:ind w:left="6480" w:hanging="360"/>
      </w:pPr>
      <w:rPr>
        <w:rFonts w:ascii="Wingdings" w:hAnsi="Wingdings" w:hint="default"/>
      </w:rPr>
    </w:lvl>
  </w:abstractNum>
  <w:abstractNum w:abstractNumId="14" w15:restartNumberingAfterBreak="0">
    <w:nsid w:val="16723673"/>
    <w:multiLevelType w:val="hybridMultilevel"/>
    <w:tmpl w:val="E4D6A4EE"/>
    <w:lvl w:ilvl="0" w:tplc="0C09000F">
      <w:start w:val="1"/>
      <w:numFmt w:val="decimal"/>
      <w:lvlText w:val="%1."/>
      <w:lvlJc w:val="left"/>
      <w:pPr>
        <w:ind w:left="720" w:hanging="360"/>
      </w:pPr>
      <w:rPr>
        <w:rFonts w:hint="default"/>
      </w:rPr>
    </w:lvl>
    <w:lvl w:ilvl="1" w:tplc="C52CD502">
      <w:start w:val="1"/>
      <w:numFmt w:val="bullet"/>
      <w:lvlText w:val="o"/>
      <w:lvlJc w:val="left"/>
      <w:pPr>
        <w:ind w:left="1440" w:hanging="360"/>
      </w:pPr>
      <w:rPr>
        <w:rFonts w:ascii="Courier New" w:hAnsi="Courier New" w:cs="Courier New" w:hint="default"/>
      </w:rPr>
    </w:lvl>
    <w:lvl w:ilvl="2" w:tplc="6BD8B70E">
      <w:start w:val="1"/>
      <w:numFmt w:val="bullet"/>
      <w:lvlText w:val=""/>
      <w:lvlJc w:val="left"/>
      <w:pPr>
        <w:ind w:left="2160" w:hanging="360"/>
      </w:pPr>
      <w:rPr>
        <w:rFonts w:ascii="Wingdings" w:hAnsi="Wingdings" w:hint="default"/>
      </w:rPr>
    </w:lvl>
    <w:lvl w:ilvl="3" w:tplc="48183A8E" w:tentative="1">
      <w:start w:val="1"/>
      <w:numFmt w:val="bullet"/>
      <w:lvlText w:val=""/>
      <w:lvlJc w:val="left"/>
      <w:pPr>
        <w:ind w:left="2880" w:hanging="360"/>
      </w:pPr>
      <w:rPr>
        <w:rFonts w:ascii="Symbol" w:hAnsi="Symbol" w:hint="default"/>
      </w:rPr>
    </w:lvl>
    <w:lvl w:ilvl="4" w:tplc="CEDE8F0E" w:tentative="1">
      <w:start w:val="1"/>
      <w:numFmt w:val="bullet"/>
      <w:lvlText w:val="o"/>
      <w:lvlJc w:val="left"/>
      <w:pPr>
        <w:ind w:left="3600" w:hanging="360"/>
      </w:pPr>
      <w:rPr>
        <w:rFonts w:ascii="Courier New" w:hAnsi="Courier New" w:cs="Courier New" w:hint="default"/>
      </w:rPr>
    </w:lvl>
    <w:lvl w:ilvl="5" w:tplc="78D05F08" w:tentative="1">
      <w:start w:val="1"/>
      <w:numFmt w:val="bullet"/>
      <w:lvlText w:val=""/>
      <w:lvlJc w:val="left"/>
      <w:pPr>
        <w:ind w:left="4320" w:hanging="360"/>
      </w:pPr>
      <w:rPr>
        <w:rFonts w:ascii="Wingdings" w:hAnsi="Wingdings" w:hint="default"/>
      </w:rPr>
    </w:lvl>
    <w:lvl w:ilvl="6" w:tplc="16120398" w:tentative="1">
      <w:start w:val="1"/>
      <w:numFmt w:val="bullet"/>
      <w:lvlText w:val=""/>
      <w:lvlJc w:val="left"/>
      <w:pPr>
        <w:ind w:left="5040" w:hanging="360"/>
      </w:pPr>
      <w:rPr>
        <w:rFonts w:ascii="Symbol" w:hAnsi="Symbol" w:hint="default"/>
      </w:rPr>
    </w:lvl>
    <w:lvl w:ilvl="7" w:tplc="2D76782A" w:tentative="1">
      <w:start w:val="1"/>
      <w:numFmt w:val="bullet"/>
      <w:lvlText w:val="o"/>
      <w:lvlJc w:val="left"/>
      <w:pPr>
        <w:ind w:left="5760" w:hanging="360"/>
      </w:pPr>
      <w:rPr>
        <w:rFonts w:ascii="Courier New" w:hAnsi="Courier New" w:cs="Courier New" w:hint="default"/>
      </w:rPr>
    </w:lvl>
    <w:lvl w:ilvl="8" w:tplc="6060D26C" w:tentative="1">
      <w:start w:val="1"/>
      <w:numFmt w:val="bullet"/>
      <w:lvlText w:val=""/>
      <w:lvlJc w:val="left"/>
      <w:pPr>
        <w:ind w:left="6480" w:hanging="360"/>
      </w:pPr>
      <w:rPr>
        <w:rFonts w:ascii="Wingdings" w:hAnsi="Wingdings" w:hint="default"/>
      </w:rPr>
    </w:lvl>
  </w:abstractNum>
  <w:abstractNum w:abstractNumId="15" w15:restartNumberingAfterBreak="0">
    <w:nsid w:val="16894166"/>
    <w:multiLevelType w:val="hybridMultilevel"/>
    <w:tmpl w:val="AF1069B6"/>
    <w:lvl w:ilvl="0" w:tplc="09E05A9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6BE3827"/>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73D4555"/>
    <w:multiLevelType w:val="hybridMultilevel"/>
    <w:tmpl w:val="C56C545A"/>
    <w:lvl w:ilvl="0" w:tplc="959C0450">
      <w:start w:val="1"/>
      <w:numFmt w:val="bullet"/>
      <w:lvlText w:val=""/>
      <w:lvlJc w:val="left"/>
      <w:pPr>
        <w:ind w:left="1440" w:hanging="360"/>
      </w:pPr>
      <w:rPr>
        <w:rFonts w:ascii="Symbol" w:hAnsi="Symbol" w:hint="default"/>
      </w:rPr>
    </w:lvl>
    <w:lvl w:ilvl="1" w:tplc="ACD056D4">
      <w:start w:val="1"/>
      <w:numFmt w:val="bullet"/>
      <w:lvlText w:val="o"/>
      <w:lvlJc w:val="left"/>
      <w:pPr>
        <w:ind w:left="2160" w:hanging="360"/>
      </w:pPr>
      <w:rPr>
        <w:rFonts w:ascii="Courier New" w:hAnsi="Courier New" w:cs="Courier New" w:hint="default"/>
      </w:rPr>
    </w:lvl>
    <w:lvl w:ilvl="2" w:tplc="687E26E2" w:tentative="1">
      <w:start w:val="1"/>
      <w:numFmt w:val="bullet"/>
      <w:lvlText w:val=""/>
      <w:lvlJc w:val="left"/>
      <w:pPr>
        <w:ind w:left="2880" w:hanging="360"/>
      </w:pPr>
      <w:rPr>
        <w:rFonts w:ascii="Wingdings" w:hAnsi="Wingdings" w:hint="default"/>
      </w:rPr>
    </w:lvl>
    <w:lvl w:ilvl="3" w:tplc="0EB0DF1A" w:tentative="1">
      <w:start w:val="1"/>
      <w:numFmt w:val="bullet"/>
      <w:lvlText w:val=""/>
      <w:lvlJc w:val="left"/>
      <w:pPr>
        <w:ind w:left="3600" w:hanging="360"/>
      </w:pPr>
      <w:rPr>
        <w:rFonts w:ascii="Symbol" w:hAnsi="Symbol" w:hint="default"/>
      </w:rPr>
    </w:lvl>
    <w:lvl w:ilvl="4" w:tplc="89B218B2" w:tentative="1">
      <w:start w:val="1"/>
      <w:numFmt w:val="bullet"/>
      <w:lvlText w:val="o"/>
      <w:lvlJc w:val="left"/>
      <w:pPr>
        <w:ind w:left="4320" w:hanging="360"/>
      </w:pPr>
      <w:rPr>
        <w:rFonts w:ascii="Courier New" w:hAnsi="Courier New" w:cs="Courier New" w:hint="default"/>
      </w:rPr>
    </w:lvl>
    <w:lvl w:ilvl="5" w:tplc="C4B868DC" w:tentative="1">
      <w:start w:val="1"/>
      <w:numFmt w:val="bullet"/>
      <w:lvlText w:val=""/>
      <w:lvlJc w:val="left"/>
      <w:pPr>
        <w:ind w:left="5040" w:hanging="360"/>
      </w:pPr>
      <w:rPr>
        <w:rFonts w:ascii="Wingdings" w:hAnsi="Wingdings" w:hint="default"/>
      </w:rPr>
    </w:lvl>
    <w:lvl w:ilvl="6" w:tplc="534294DC" w:tentative="1">
      <w:start w:val="1"/>
      <w:numFmt w:val="bullet"/>
      <w:lvlText w:val=""/>
      <w:lvlJc w:val="left"/>
      <w:pPr>
        <w:ind w:left="5760" w:hanging="360"/>
      </w:pPr>
      <w:rPr>
        <w:rFonts w:ascii="Symbol" w:hAnsi="Symbol" w:hint="default"/>
      </w:rPr>
    </w:lvl>
    <w:lvl w:ilvl="7" w:tplc="447E0056" w:tentative="1">
      <w:start w:val="1"/>
      <w:numFmt w:val="bullet"/>
      <w:lvlText w:val="o"/>
      <w:lvlJc w:val="left"/>
      <w:pPr>
        <w:ind w:left="6480" w:hanging="360"/>
      </w:pPr>
      <w:rPr>
        <w:rFonts w:ascii="Courier New" w:hAnsi="Courier New" w:cs="Courier New" w:hint="default"/>
      </w:rPr>
    </w:lvl>
    <w:lvl w:ilvl="8" w:tplc="624ED9A6" w:tentative="1">
      <w:start w:val="1"/>
      <w:numFmt w:val="bullet"/>
      <w:lvlText w:val=""/>
      <w:lvlJc w:val="left"/>
      <w:pPr>
        <w:ind w:left="7200" w:hanging="360"/>
      </w:pPr>
      <w:rPr>
        <w:rFonts w:ascii="Wingdings" w:hAnsi="Wingdings" w:hint="default"/>
      </w:rPr>
    </w:lvl>
  </w:abstractNum>
  <w:abstractNum w:abstractNumId="18" w15:restartNumberingAfterBreak="0">
    <w:nsid w:val="180F3D52"/>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95F74C6"/>
    <w:multiLevelType w:val="hybridMultilevel"/>
    <w:tmpl w:val="1BBA36F8"/>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37F07928">
      <w:numFmt w:val="bullet"/>
      <w:lvlText w:val="-"/>
      <w:lvlJc w:val="left"/>
      <w:pPr>
        <w:ind w:left="2700" w:hanging="360"/>
      </w:pPr>
      <w:rPr>
        <w:rFonts w:ascii="Calibri" w:eastAsiaTheme="minorHAnsi" w:hAnsi="Calibri" w:cs="Calibri"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9660A9C"/>
    <w:multiLevelType w:val="hybridMultilevel"/>
    <w:tmpl w:val="961AF2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9C722E7"/>
    <w:multiLevelType w:val="hybridMultilevel"/>
    <w:tmpl w:val="83A034CE"/>
    <w:lvl w:ilvl="0" w:tplc="0C09000F">
      <w:start w:val="1"/>
      <w:numFmt w:val="decimal"/>
      <w:lvlText w:val="%1."/>
      <w:lvlJc w:val="left"/>
      <w:pPr>
        <w:ind w:left="720" w:hanging="360"/>
      </w:pPr>
      <w:rPr>
        <w:rFonts w:hint="default"/>
      </w:rPr>
    </w:lvl>
    <w:lvl w:ilvl="1" w:tplc="C52CD502">
      <w:start w:val="1"/>
      <w:numFmt w:val="bullet"/>
      <w:lvlText w:val="o"/>
      <w:lvlJc w:val="left"/>
      <w:pPr>
        <w:ind w:left="1440" w:hanging="360"/>
      </w:pPr>
      <w:rPr>
        <w:rFonts w:ascii="Courier New" w:hAnsi="Courier New" w:cs="Courier New" w:hint="default"/>
      </w:rPr>
    </w:lvl>
    <w:lvl w:ilvl="2" w:tplc="6BD8B70E" w:tentative="1">
      <w:start w:val="1"/>
      <w:numFmt w:val="bullet"/>
      <w:lvlText w:val=""/>
      <w:lvlJc w:val="left"/>
      <w:pPr>
        <w:ind w:left="2160" w:hanging="360"/>
      </w:pPr>
      <w:rPr>
        <w:rFonts w:ascii="Wingdings" w:hAnsi="Wingdings" w:hint="default"/>
      </w:rPr>
    </w:lvl>
    <w:lvl w:ilvl="3" w:tplc="48183A8E" w:tentative="1">
      <w:start w:val="1"/>
      <w:numFmt w:val="bullet"/>
      <w:lvlText w:val=""/>
      <w:lvlJc w:val="left"/>
      <w:pPr>
        <w:ind w:left="2880" w:hanging="360"/>
      </w:pPr>
      <w:rPr>
        <w:rFonts w:ascii="Symbol" w:hAnsi="Symbol" w:hint="default"/>
      </w:rPr>
    </w:lvl>
    <w:lvl w:ilvl="4" w:tplc="CEDE8F0E" w:tentative="1">
      <w:start w:val="1"/>
      <w:numFmt w:val="bullet"/>
      <w:lvlText w:val="o"/>
      <w:lvlJc w:val="left"/>
      <w:pPr>
        <w:ind w:left="3600" w:hanging="360"/>
      </w:pPr>
      <w:rPr>
        <w:rFonts w:ascii="Courier New" w:hAnsi="Courier New" w:cs="Courier New" w:hint="default"/>
      </w:rPr>
    </w:lvl>
    <w:lvl w:ilvl="5" w:tplc="78D05F08" w:tentative="1">
      <w:start w:val="1"/>
      <w:numFmt w:val="bullet"/>
      <w:lvlText w:val=""/>
      <w:lvlJc w:val="left"/>
      <w:pPr>
        <w:ind w:left="4320" w:hanging="360"/>
      </w:pPr>
      <w:rPr>
        <w:rFonts w:ascii="Wingdings" w:hAnsi="Wingdings" w:hint="default"/>
      </w:rPr>
    </w:lvl>
    <w:lvl w:ilvl="6" w:tplc="16120398" w:tentative="1">
      <w:start w:val="1"/>
      <w:numFmt w:val="bullet"/>
      <w:lvlText w:val=""/>
      <w:lvlJc w:val="left"/>
      <w:pPr>
        <w:ind w:left="5040" w:hanging="360"/>
      </w:pPr>
      <w:rPr>
        <w:rFonts w:ascii="Symbol" w:hAnsi="Symbol" w:hint="default"/>
      </w:rPr>
    </w:lvl>
    <w:lvl w:ilvl="7" w:tplc="2D76782A" w:tentative="1">
      <w:start w:val="1"/>
      <w:numFmt w:val="bullet"/>
      <w:lvlText w:val="o"/>
      <w:lvlJc w:val="left"/>
      <w:pPr>
        <w:ind w:left="5760" w:hanging="360"/>
      </w:pPr>
      <w:rPr>
        <w:rFonts w:ascii="Courier New" w:hAnsi="Courier New" w:cs="Courier New" w:hint="default"/>
      </w:rPr>
    </w:lvl>
    <w:lvl w:ilvl="8" w:tplc="6060D26C" w:tentative="1">
      <w:start w:val="1"/>
      <w:numFmt w:val="bullet"/>
      <w:lvlText w:val=""/>
      <w:lvlJc w:val="left"/>
      <w:pPr>
        <w:ind w:left="6480" w:hanging="360"/>
      </w:pPr>
      <w:rPr>
        <w:rFonts w:ascii="Wingdings" w:hAnsi="Wingdings" w:hint="default"/>
      </w:rPr>
    </w:lvl>
  </w:abstractNum>
  <w:abstractNum w:abstractNumId="22" w15:restartNumberingAfterBreak="0">
    <w:nsid w:val="19D06945"/>
    <w:multiLevelType w:val="hybridMultilevel"/>
    <w:tmpl w:val="68867962"/>
    <w:lvl w:ilvl="0" w:tplc="31A29E2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E7B13C6"/>
    <w:multiLevelType w:val="hybridMultilevel"/>
    <w:tmpl w:val="68867962"/>
    <w:lvl w:ilvl="0" w:tplc="31A29E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1F180322"/>
    <w:multiLevelType w:val="hybridMultilevel"/>
    <w:tmpl w:val="B714023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2072CD1"/>
    <w:multiLevelType w:val="hybridMultilevel"/>
    <w:tmpl w:val="29E82236"/>
    <w:lvl w:ilvl="0" w:tplc="B9DA769C">
      <w:start w:val="1"/>
      <w:numFmt w:val="bullet"/>
      <w:lvlText w:val=""/>
      <w:lvlJc w:val="left"/>
      <w:pPr>
        <w:ind w:left="776" w:hanging="360"/>
      </w:pPr>
      <w:rPr>
        <w:rFonts w:ascii="Symbol" w:hAnsi="Symbol" w:hint="default"/>
      </w:rPr>
    </w:lvl>
    <w:lvl w:ilvl="1" w:tplc="C42A0296" w:tentative="1">
      <w:start w:val="1"/>
      <w:numFmt w:val="bullet"/>
      <w:lvlText w:val="o"/>
      <w:lvlJc w:val="left"/>
      <w:pPr>
        <w:ind w:left="1496" w:hanging="360"/>
      </w:pPr>
      <w:rPr>
        <w:rFonts w:ascii="Courier New" w:hAnsi="Courier New" w:cs="Courier New" w:hint="default"/>
      </w:rPr>
    </w:lvl>
    <w:lvl w:ilvl="2" w:tplc="78E09EFC" w:tentative="1">
      <w:start w:val="1"/>
      <w:numFmt w:val="bullet"/>
      <w:lvlText w:val=""/>
      <w:lvlJc w:val="left"/>
      <w:pPr>
        <w:ind w:left="2216" w:hanging="360"/>
      </w:pPr>
      <w:rPr>
        <w:rFonts w:ascii="Wingdings" w:hAnsi="Wingdings" w:hint="default"/>
      </w:rPr>
    </w:lvl>
    <w:lvl w:ilvl="3" w:tplc="9490BC8A" w:tentative="1">
      <w:start w:val="1"/>
      <w:numFmt w:val="bullet"/>
      <w:lvlText w:val=""/>
      <w:lvlJc w:val="left"/>
      <w:pPr>
        <w:ind w:left="2936" w:hanging="360"/>
      </w:pPr>
      <w:rPr>
        <w:rFonts w:ascii="Symbol" w:hAnsi="Symbol" w:hint="default"/>
      </w:rPr>
    </w:lvl>
    <w:lvl w:ilvl="4" w:tplc="AF7E1258" w:tentative="1">
      <w:start w:val="1"/>
      <w:numFmt w:val="bullet"/>
      <w:lvlText w:val="o"/>
      <w:lvlJc w:val="left"/>
      <w:pPr>
        <w:ind w:left="3656" w:hanging="360"/>
      </w:pPr>
      <w:rPr>
        <w:rFonts w:ascii="Courier New" w:hAnsi="Courier New" w:cs="Courier New" w:hint="default"/>
      </w:rPr>
    </w:lvl>
    <w:lvl w:ilvl="5" w:tplc="1A14B78A" w:tentative="1">
      <w:start w:val="1"/>
      <w:numFmt w:val="bullet"/>
      <w:lvlText w:val=""/>
      <w:lvlJc w:val="left"/>
      <w:pPr>
        <w:ind w:left="4376" w:hanging="360"/>
      </w:pPr>
      <w:rPr>
        <w:rFonts w:ascii="Wingdings" w:hAnsi="Wingdings" w:hint="default"/>
      </w:rPr>
    </w:lvl>
    <w:lvl w:ilvl="6" w:tplc="C4AA2894" w:tentative="1">
      <w:start w:val="1"/>
      <w:numFmt w:val="bullet"/>
      <w:lvlText w:val=""/>
      <w:lvlJc w:val="left"/>
      <w:pPr>
        <w:ind w:left="5096" w:hanging="360"/>
      </w:pPr>
      <w:rPr>
        <w:rFonts w:ascii="Symbol" w:hAnsi="Symbol" w:hint="default"/>
      </w:rPr>
    </w:lvl>
    <w:lvl w:ilvl="7" w:tplc="364214DE" w:tentative="1">
      <w:start w:val="1"/>
      <w:numFmt w:val="bullet"/>
      <w:lvlText w:val="o"/>
      <w:lvlJc w:val="left"/>
      <w:pPr>
        <w:ind w:left="5816" w:hanging="360"/>
      </w:pPr>
      <w:rPr>
        <w:rFonts w:ascii="Courier New" w:hAnsi="Courier New" w:cs="Courier New" w:hint="default"/>
      </w:rPr>
    </w:lvl>
    <w:lvl w:ilvl="8" w:tplc="FFCE21A6" w:tentative="1">
      <w:start w:val="1"/>
      <w:numFmt w:val="bullet"/>
      <w:lvlText w:val=""/>
      <w:lvlJc w:val="left"/>
      <w:pPr>
        <w:ind w:left="6536" w:hanging="360"/>
      </w:pPr>
      <w:rPr>
        <w:rFonts w:ascii="Wingdings" w:hAnsi="Wingdings" w:hint="default"/>
      </w:rPr>
    </w:lvl>
  </w:abstractNum>
  <w:abstractNum w:abstractNumId="26" w15:restartNumberingAfterBreak="0">
    <w:nsid w:val="22182BCB"/>
    <w:multiLevelType w:val="hybridMultilevel"/>
    <w:tmpl w:val="8BB05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23D3C43"/>
    <w:multiLevelType w:val="hybridMultilevel"/>
    <w:tmpl w:val="24F6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28E473B"/>
    <w:multiLevelType w:val="multilevel"/>
    <w:tmpl w:val="4D14601C"/>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229036E2"/>
    <w:multiLevelType w:val="hybridMultilevel"/>
    <w:tmpl w:val="679432AC"/>
    <w:lvl w:ilvl="0" w:tplc="0A2230AA">
      <w:start w:val="1"/>
      <w:numFmt w:val="lowerLetter"/>
      <w:lvlText w:val="%1."/>
      <w:lvlJc w:val="left"/>
      <w:pPr>
        <w:ind w:left="108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6B52455"/>
    <w:multiLevelType w:val="hybridMultilevel"/>
    <w:tmpl w:val="2818638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6D56B50"/>
    <w:multiLevelType w:val="hybridMultilevel"/>
    <w:tmpl w:val="DF1CB8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7452D93"/>
    <w:multiLevelType w:val="hybridMultilevel"/>
    <w:tmpl w:val="AF1069B6"/>
    <w:lvl w:ilvl="0" w:tplc="09E05A9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29026B55"/>
    <w:multiLevelType w:val="hybridMultilevel"/>
    <w:tmpl w:val="AF1069B6"/>
    <w:lvl w:ilvl="0" w:tplc="09E05A9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29A145CA"/>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29AF479B"/>
    <w:multiLevelType w:val="hybridMultilevel"/>
    <w:tmpl w:val="AF1069B6"/>
    <w:lvl w:ilvl="0" w:tplc="09E05A9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2AD01B37"/>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2B2A27BB"/>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2B9E7B5F"/>
    <w:multiLevelType w:val="hybridMultilevel"/>
    <w:tmpl w:val="0C5EEC62"/>
    <w:lvl w:ilvl="0" w:tplc="F3C8FB44">
      <w:start w:val="1"/>
      <w:numFmt w:val="decimal"/>
      <w:lvlText w:val="%1."/>
      <w:lvlJc w:val="left"/>
      <w:pPr>
        <w:ind w:left="360" w:hanging="360"/>
      </w:pPr>
    </w:lvl>
    <w:lvl w:ilvl="1" w:tplc="0A2230AA">
      <w:start w:val="1"/>
      <w:numFmt w:val="lowerLetter"/>
      <w:lvlText w:val="%2."/>
      <w:lvlJc w:val="left"/>
      <w:pPr>
        <w:ind w:left="1080" w:hanging="360"/>
      </w:pPr>
    </w:lvl>
    <w:lvl w:ilvl="2" w:tplc="4DC4BE38" w:tentative="1">
      <w:start w:val="1"/>
      <w:numFmt w:val="lowerRoman"/>
      <w:lvlText w:val="%3."/>
      <w:lvlJc w:val="right"/>
      <w:pPr>
        <w:ind w:left="1800" w:hanging="180"/>
      </w:pPr>
    </w:lvl>
    <w:lvl w:ilvl="3" w:tplc="FD6007B2" w:tentative="1">
      <w:start w:val="1"/>
      <w:numFmt w:val="decimal"/>
      <w:lvlText w:val="%4."/>
      <w:lvlJc w:val="left"/>
      <w:pPr>
        <w:ind w:left="2520" w:hanging="360"/>
      </w:pPr>
    </w:lvl>
    <w:lvl w:ilvl="4" w:tplc="8222B046" w:tentative="1">
      <w:start w:val="1"/>
      <w:numFmt w:val="lowerLetter"/>
      <w:lvlText w:val="%5."/>
      <w:lvlJc w:val="left"/>
      <w:pPr>
        <w:ind w:left="3240" w:hanging="360"/>
      </w:pPr>
    </w:lvl>
    <w:lvl w:ilvl="5" w:tplc="F3DE10F6" w:tentative="1">
      <w:start w:val="1"/>
      <w:numFmt w:val="lowerRoman"/>
      <w:lvlText w:val="%6."/>
      <w:lvlJc w:val="right"/>
      <w:pPr>
        <w:ind w:left="3960" w:hanging="180"/>
      </w:pPr>
    </w:lvl>
    <w:lvl w:ilvl="6" w:tplc="F0966CB0" w:tentative="1">
      <w:start w:val="1"/>
      <w:numFmt w:val="decimal"/>
      <w:lvlText w:val="%7."/>
      <w:lvlJc w:val="left"/>
      <w:pPr>
        <w:ind w:left="4680" w:hanging="360"/>
      </w:pPr>
    </w:lvl>
    <w:lvl w:ilvl="7" w:tplc="1FECF876" w:tentative="1">
      <w:start w:val="1"/>
      <w:numFmt w:val="lowerLetter"/>
      <w:lvlText w:val="%8."/>
      <w:lvlJc w:val="left"/>
      <w:pPr>
        <w:ind w:left="5400" w:hanging="360"/>
      </w:pPr>
    </w:lvl>
    <w:lvl w:ilvl="8" w:tplc="69101704" w:tentative="1">
      <w:start w:val="1"/>
      <w:numFmt w:val="lowerRoman"/>
      <w:lvlText w:val="%9."/>
      <w:lvlJc w:val="right"/>
      <w:pPr>
        <w:ind w:left="6120" w:hanging="180"/>
      </w:pPr>
    </w:lvl>
  </w:abstractNum>
  <w:abstractNum w:abstractNumId="39" w15:restartNumberingAfterBreak="0">
    <w:nsid w:val="2E605D0D"/>
    <w:multiLevelType w:val="hybridMultilevel"/>
    <w:tmpl w:val="C16CBE4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D542E064">
      <w:start w:val="4"/>
      <w:numFmt w:val="bullet"/>
      <w:lvlText w:val=""/>
      <w:lvlJc w:val="left"/>
      <w:pPr>
        <w:ind w:left="2340" w:hanging="360"/>
      </w:pPr>
      <w:rPr>
        <w:rFonts w:ascii="Symbol" w:eastAsiaTheme="minorHAnsi" w:hAnsi="Symbol" w:cstheme="minorBidi" w:hint="default"/>
      </w:rPr>
    </w:lvl>
    <w:lvl w:ilvl="3" w:tplc="2FD0C15C">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FB73C85"/>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313158E6"/>
    <w:multiLevelType w:val="multilevel"/>
    <w:tmpl w:val="73701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44751B2"/>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35D97F43"/>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36174C72"/>
    <w:multiLevelType w:val="hybridMultilevel"/>
    <w:tmpl w:val="10F002A6"/>
    <w:lvl w:ilvl="0" w:tplc="569AD2C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36330323"/>
    <w:multiLevelType w:val="hybridMultilevel"/>
    <w:tmpl w:val="F7041560"/>
    <w:lvl w:ilvl="0" w:tplc="2E1A0246">
      <w:start w:val="1"/>
      <w:numFmt w:val="bullet"/>
      <w:lvlText w:val=""/>
      <w:lvlJc w:val="left"/>
      <w:pPr>
        <w:ind w:left="776" w:hanging="360"/>
      </w:pPr>
      <w:rPr>
        <w:rFonts w:ascii="Symbol" w:hAnsi="Symbol" w:hint="default"/>
      </w:rPr>
    </w:lvl>
    <w:lvl w:ilvl="1" w:tplc="939E9528" w:tentative="1">
      <w:start w:val="1"/>
      <w:numFmt w:val="bullet"/>
      <w:lvlText w:val="o"/>
      <w:lvlJc w:val="left"/>
      <w:pPr>
        <w:ind w:left="1496" w:hanging="360"/>
      </w:pPr>
      <w:rPr>
        <w:rFonts w:ascii="Courier New" w:hAnsi="Courier New" w:cs="Courier New" w:hint="default"/>
      </w:rPr>
    </w:lvl>
    <w:lvl w:ilvl="2" w:tplc="CEEE1BA6" w:tentative="1">
      <w:start w:val="1"/>
      <w:numFmt w:val="bullet"/>
      <w:lvlText w:val=""/>
      <w:lvlJc w:val="left"/>
      <w:pPr>
        <w:ind w:left="2216" w:hanging="360"/>
      </w:pPr>
      <w:rPr>
        <w:rFonts w:ascii="Wingdings" w:hAnsi="Wingdings" w:hint="default"/>
      </w:rPr>
    </w:lvl>
    <w:lvl w:ilvl="3" w:tplc="34DADC18" w:tentative="1">
      <w:start w:val="1"/>
      <w:numFmt w:val="bullet"/>
      <w:lvlText w:val=""/>
      <w:lvlJc w:val="left"/>
      <w:pPr>
        <w:ind w:left="2936" w:hanging="360"/>
      </w:pPr>
      <w:rPr>
        <w:rFonts w:ascii="Symbol" w:hAnsi="Symbol" w:hint="default"/>
      </w:rPr>
    </w:lvl>
    <w:lvl w:ilvl="4" w:tplc="3D822E3A" w:tentative="1">
      <w:start w:val="1"/>
      <w:numFmt w:val="bullet"/>
      <w:lvlText w:val="o"/>
      <w:lvlJc w:val="left"/>
      <w:pPr>
        <w:ind w:left="3656" w:hanging="360"/>
      </w:pPr>
      <w:rPr>
        <w:rFonts w:ascii="Courier New" w:hAnsi="Courier New" w:cs="Courier New" w:hint="default"/>
      </w:rPr>
    </w:lvl>
    <w:lvl w:ilvl="5" w:tplc="B25AB6C0" w:tentative="1">
      <w:start w:val="1"/>
      <w:numFmt w:val="bullet"/>
      <w:lvlText w:val=""/>
      <w:lvlJc w:val="left"/>
      <w:pPr>
        <w:ind w:left="4376" w:hanging="360"/>
      </w:pPr>
      <w:rPr>
        <w:rFonts w:ascii="Wingdings" w:hAnsi="Wingdings" w:hint="default"/>
      </w:rPr>
    </w:lvl>
    <w:lvl w:ilvl="6" w:tplc="90103FCE" w:tentative="1">
      <w:start w:val="1"/>
      <w:numFmt w:val="bullet"/>
      <w:lvlText w:val=""/>
      <w:lvlJc w:val="left"/>
      <w:pPr>
        <w:ind w:left="5096" w:hanging="360"/>
      </w:pPr>
      <w:rPr>
        <w:rFonts w:ascii="Symbol" w:hAnsi="Symbol" w:hint="default"/>
      </w:rPr>
    </w:lvl>
    <w:lvl w:ilvl="7" w:tplc="23527BDE" w:tentative="1">
      <w:start w:val="1"/>
      <w:numFmt w:val="bullet"/>
      <w:lvlText w:val="o"/>
      <w:lvlJc w:val="left"/>
      <w:pPr>
        <w:ind w:left="5816" w:hanging="360"/>
      </w:pPr>
      <w:rPr>
        <w:rFonts w:ascii="Courier New" w:hAnsi="Courier New" w:cs="Courier New" w:hint="default"/>
      </w:rPr>
    </w:lvl>
    <w:lvl w:ilvl="8" w:tplc="886C3A4E" w:tentative="1">
      <w:start w:val="1"/>
      <w:numFmt w:val="bullet"/>
      <w:lvlText w:val=""/>
      <w:lvlJc w:val="left"/>
      <w:pPr>
        <w:ind w:left="6536" w:hanging="360"/>
      </w:pPr>
      <w:rPr>
        <w:rFonts w:ascii="Wingdings" w:hAnsi="Wingdings" w:hint="default"/>
      </w:rPr>
    </w:lvl>
  </w:abstractNum>
  <w:abstractNum w:abstractNumId="46" w15:restartNumberingAfterBreak="0">
    <w:nsid w:val="378D650D"/>
    <w:multiLevelType w:val="hybridMultilevel"/>
    <w:tmpl w:val="AF1069B6"/>
    <w:lvl w:ilvl="0" w:tplc="09E05A9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3C716FE6"/>
    <w:multiLevelType w:val="hybridMultilevel"/>
    <w:tmpl w:val="D1789544"/>
    <w:lvl w:ilvl="0" w:tplc="C4B012A0">
      <w:start w:val="1"/>
      <w:numFmt w:val="decimal"/>
      <w:lvlText w:val="%1."/>
      <w:lvlJc w:val="left"/>
      <w:pPr>
        <w:ind w:left="720" w:hanging="360"/>
      </w:pPr>
      <w:rPr>
        <w:rFonts w:hint="default"/>
      </w:rPr>
    </w:lvl>
    <w:lvl w:ilvl="1" w:tplc="E572C2F2" w:tentative="1">
      <w:start w:val="1"/>
      <w:numFmt w:val="lowerLetter"/>
      <w:lvlText w:val="%2."/>
      <w:lvlJc w:val="left"/>
      <w:pPr>
        <w:ind w:left="1440" w:hanging="360"/>
      </w:pPr>
    </w:lvl>
    <w:lvl w:ilvl="2" w:tplc="3CB2CBF0" w:tentative="1">
      <w:start w:val="1"/>
      <w:numFmt w:val="lowerRoman"/>
      <w:lvlText w:val="%3."/>
      <w:lvlJc w:val="right"/>
      <w:pPr>
        <w:ind w:left="2160" w:hanging="180"/>
      </w:pPr>
    </w:lvl>
    <w:lvl w:ilvl="3" w:tplc="743CA974" w:tentative="1">
      <w:start w:val="1"/>
      <w:numFmt w:val="decimal"/>
      <w:lvlText w:val="%4."/>
      <w:lvlJc w:val="left"/>
      <w:pPr>
        <w:ind w:left="2880" w:hanging="360"/>
      </w:pPr>
    </w:lvl>
    <w:lvl w:ilvl="4" w:tplc="5BE26B9A" w:tentative="1">
      <w:start w:val="1"/>
      <w:numFmt w:val="lowerLetter"/>
      <w:lvlText w:val="%5."/>
      <w:lvlJc w:val="left"/>
      <w:pPr>
        <w:ind w:left="3600" w:hanging="360"/>
      </w:pPr>
    </w:lvl>
    <w:lvl w:ilvl="5" w:tplc="5178DA86" w:tentative="1">
      <w:start w:val="1"/>
      <w:numFmt w:val="lowerRoman"/>
      <w:lvlText w:val="%6."/>
      <w:lvlJc w:val="right"/>
      <w:pPr>
        <w:ind w:left="4320" w:hanging="180"/>
      </w:pPr>
    </w:lvl>
    <w:lvl w:ilvl="6" w:tplc="C6FADFB4" w:tentative="1">
      <w:start w:val="1"/>
      <w:numFmt w:val="decimal"/>
      <w:lvlText w:val="%7."/>
      <w:lvlJc w:val="left"/>
      <w:pPr>
        <w:ind w:left="5040" w:hanging="360"/>
      </w:pPr>
    </w:lvl>
    <w:lvl w:ilvl="7" w:tplc="82244138" w:tentative="1">
      <w:start w:val="1"/>
      <w:numFmt w:val="lowerLetter"/>
      <w:lvlText w:val="%8."/>
      <w:lvlJc w:val="left"/>
      <w:pPr>
        <w:ind w:left="5760" w:hanging="360"/>
      </w:pPr>
    </w:lvl>
    <w:lvl w:ilvl="8" w:tplc="608089A6" w:tentative="1">
      <w:start w:val="1"/>
      <w:numFmt w:val="lowerRoman"/>
      <w:lvlText w:val="%9."/>
      <w:lvlJc w:val="right"/>
      <w:pPr>
        <w:ind w:left="6480" w:hanging="180"/>
      </w:pPr>
    </w:lvl>
  </w:abstractNum>
  <w:abstractNum w:abstractNumId="48" w15:restartNumberingAfterBreak="0">
    <w:nsid w:val="3D4A0E6D"/>
    <w:multiLevelType w:val="hybridMultilevel"/>
    <w:tmpl w:val="382202D0"/>
    <w:lvl w:ilvl="0" w:tplc="AFB0AA2C">
      <w:start w:val="1"/>
      <w:numFmt w:val="bullet"/>
      <w:lvlText w:val=""/>
      <w:lvlJc w:val="left"/>
      <w:pPr>
        <w:ind w:left="720" w:hanging="360"/>
      </w:pPr>
      <w:rPr>
        <w:rFonts w:ascii="Symbol" w:hAnsi="Symbol" w:hint="default"/>
      </w:rPr>
    </w:lvl>
    <w:lvl w:ilvl="1" w:tplc="E424F512" w:tentative="1">
      <w:start w:val="1"/>
      <w:numFmt w:val="bullet"/>
      <w:lvlText w:val="o"/>
      <w:lvlJc w:val="left"/>
      <w:pPr>
        <w:ind w:left="1440" w:hanging="360"/>
      </w:pPr>
      <w:rPr>
        <w:rFonts w:ascii="Courier New" w:hAnsi="Courier New" w:cs="Courier New" w:hint="default"/>
      </w:rPr>
    </w:lvl>
    <w:lvl w:ilvl="2" w:tplc="48F0AA90" w:tentative="1">
      <w:start w:val="1"/>
      <w:numFmt w:val="bullet"/>
      <w:lvlText w:val=""/>
      <w:lvlJc w:val="left"/>
      <w:pPr>
        <w:ind w:left="2160" w:hanging="360"/>
      </w:pPr>
      <w:rPr>
        <w:rFonts w:ascii="Wingdings" w:hAnsi="Wingdings" w:hint="default"/>
      </w:rPr>
    </w:lvl>
    <w:lvl w:ilvl="3" w:tplc="EC9C9C6A" w:tentative="1">
      <w:start w:val="1"/>
      <w:numFmt w:val="bullet"/>
      <w:lvlText w:val=""/>
      <w:lvlJc w:val="left"/>
      <w:pPr>
        <w:ind w:left="2880" w:hanging="360"/>
      </w:pPr>
      <w:rPr>
        <w:rFonts w:ascii="Symbol" w:hAnsi="Symbol" w:hint="default"/>
      </w:rPr>
    </w:lvl>
    <w:lvl w:ilvl="4" w:tplc="1CE61E54" w:tentative="1">
      <w:start w:val="1"/>
      <w:numFmt w:val="bullet"/>
      <w:lvlText w:val="o"/>
      <w:lvlJc w:val="left"/>
      <w:pPr>
        <w:ind w:left="3600" w:hanging="360"/>
      </w:pPr>
      <w:rPr>
        <w:rFonts w:ascii="Courier New" w:hAnsi="Courier New" w:cs="Courier New" w:hint="default"/>
      </w:rPr>
    </w:lvl>
    <w:lvl w:ilvl="5" w:tplc="E040B0B8" w:tentative="1">
      <w:start w:val="1"/>
      <w:numFmt w:val="bullet"/>
      <w:lvlText w:val=""/>
      <w:lvlJc w:val="left"/>
      <w:pPr>
        <w:ind w:left="4320" w:hanging="360"/>
      </w:pPr>
      <w:rPr>
        <w:rFonts w:ascii="Wingdings" w:hAnsi="Wingdings" w:hint="default"/>
      </w:rPr>
    </w:lvl>
    <w:lvl w:ilvl="6" w:tplc="FB9A090C" w:tentative="1">
      <w:start w:val="1"/>
      <w:numFmt w:val="bullet"/>
      <w:lvlText w:val=""/>
      <w:lvlJc w:val="left"/>
      <w:pPr>
        <w:ind w:left="5040" w:hanging="360"/>
      </w:pPr>
      <w:rPr>
        <w:rFonts w:ascii="Symbol" w:hAnsi="Symbol" w:hint="default"/>
      </w:rPr>
    </w:lvl>
    <w:lvl w:ilvl="7" w:tplc="7BBC5F66" w:tentative="1">
      <w:start w:val="1"/>
      <w:numFmt w:val="bullet"/>
      <w:lvlText w:val="o"/>
      <w:lvlJc w:val="left"/>
      <w:pPr>
        <w:ind w:left="5760" w:hanging="360"/>
      </w:pPr>
      <w:rPr>
        <w:rFonts w:ascii="Courier New" w:hAnsi="Courier New" w:cs="Courier New" w:hint="default"/>
      </w:rPr>
    </w:lvl>
    <w:lvl w:ilvl="8" w:tplc="6004EC16" w:tentative="1">
      <w:start w:val="1"/>
      <w:numFmt w:val="bullet"/>
      <w:lvlText w:val=""/>
      <w:lvlJc w:val="left"/>
      <w:pPr>
        <w:ind w:left="6480" w:hanging="360"/>
      </w:pPr>
      <w:rPr>
        <w:rFonts w:ascii="Wingdings" w:hAnsi="Wingdings" w:hint="default"/>
      </w:rPr>
    </w:lvl>
  </w:abstractNum>
  <w:abstractNum w:abstractNumId="49" w15:restartNumberingAfterBreak="0">
    <w:nsid w:val="3DC73372"/>
    <w:multiLevelType w:val="multilevel"/>
    <w:tmpl w:val="A442043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3DF23EFE"/>
    <w:multiLevelType w:val="hybridMultilevel"/>
    <w:tmpl w:val="C16CBE4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D542E064">
      <w:start w:val="4"/>
      <w:numFmt w:val="bullet"/>
      <w:lvlText w:val=""/>
      <w:lvlJc w:val="left"/>
      <w:pPr>
        <w:ind w:left="2340" w:hanging="360"/>
      </w:pPr>
      <w:rPr>
        <w:rFonts w:ascii="Symbol" w:eastAsiaTheme="minorHAnsi" w:hAnsi="Symbol" w:cstheme="minorBidi" w:hint="default"/>
      </w:rPr>
    </w:lvl>
    <w:lvl w:ilvl="3" w:tplc="2FD0C15C">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F101B6A"/>
    <w:multiLevelType w:val="hybridMultilevel"/>
    <w:tmpl w:val="F1E8D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FF26DD1"/>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42B61086"/>
    <w:multiLevelType w:val="hybridMultilevel"/>
    <w:tmpl w:val="10ACE7DC"/>
    <w:lvl w:ilvl="0" w:tplc="3FFE7D24">
      <w:start w:val="1"/>
      <w:numFmt w:val="bullet"/>
      <w:lvlText w:val=""/>
      <w:lvlJc w:val="left"/>
      <w:pPr>
        <w:ind w:left="720" w:hanging="360"/>
      </w:pPr>
      <w:rPr>
        <w:rFonts w:ascii="Symbol" w:hAnsi="Symbol" w:hint="default"/>
      </w:rPr>
    </w:lvl>
    <w:lvl w:ilvl="1" w:tplc="2A14952A" w:tentative="1">
      <w:start w:val="1"/>
      <w:numFmt w:val="bullet"/>
      <w:lvlText w:val="o"/>
      <w:lvlJc w:val="left"/>
      <w:pPr>
        <w:ind w:left="1440" w:hanging="360"/>
      </w:pPr>
      <w:rPr>
        <w:rFonts w:ascii="Courier New" w:hAnsi="Courier New" w:cs="Courier New" w:hint="default"/>
      </w:rPr>
    </w:lvl>
    <w:lvl w:ilvl="2" w:tplc="1686733E" w:tentative="1">
      <w:start w:val="1"/>
      <w:numFmt w:val="bullet"/>
      <w:lvlText w:val=""/>
      <w:lvlJc w:val="left"/>
      <w:pPr>
        <w:ind w:left="2160" w:hanging="360"/>
      </w:pPr>
      <w:rPr>
        <w:rFonts w:ascii="Wingdings" w:hAnsi="Wingdings" w:hint="default"/>
      </w:rPr>
    </w:lvl>
    <w:lvl w:ilvl="3" w:tplc="912268BE" w:tentative="1">
      <w:start w:val="1"/>
      <w:numFmt w:val="bullet"/>
      <w:lvlText w:val=""/>
      <w:lvlJc w:val="left"/>
      <w:pPr>
        <w:ind w:left="2880" w:hanging="360"/>
      </w:pPr>
      <w:rPr>
        <w:rFonts w:ascii="Symbol" w:hAnsi="Symbol" w:hint="default"/>
      </w:rPr>
    </w:lvl>
    <w:lvl w:ilvl="4" w:tplc="CE86A30E" w:tentative="1">
      <w:start w:val="1"/>
      <w:numFmt w:val="bullet"/>
      <w:lvlText w:val="o"/>
      <w:lvlJc w:val="left"/>
      <w:pPr>
        <w:ind w:left="3600" w:hanging="360"/>
      </w:pPr>
      <w:rPr>
        <w:rFonts w:ascii="Courier New" w:hAnsi="Courier New" w:cs="Courier New" w:hint="default"/>
      </w:rPr>
    </w:lvl>
    <w:lvl w:ilvl="5" w:tplc="00C02C7A" w:tentative="1">
      <w:start w:val="1"/>
      <w:numFmt w:val="bullet"/>
      <w:lvlText w:val=""/>
      <w:lvlJc w:val="left"/>
      <w:pPr>
        <w:ind w:left="4320" w:hanging="360"/>
      </w:pPr>
      <w:rPr>
        <w:rFonts w:ascii="Wingdings" w:hAnsi="Wingdings" w:hint="default"/>
      </w:rPr>
    </w:lvl>
    <w:lvl w:ilvl="6" w:tplc="9F34F8F6" w:tentative="1">
      <w:start w:val="1"/>
      <w:numFmt w:val="bullet"/>
      <w:lvlText w:val=""/>
      <w:lvlJc w:val="left"/>
      <w:pPr>
        <w:ind w:left="5040" w:hanging="360"/>
      </w:pPr>
      <w:rPr>
        <w:rFonts w:ascii="Symbol" w:hAnsi="Symbol" w:hint="default"/>
      </w:rPr>
    </w:lvl>
    <w:lvl w:ilvl="7" w:tplc="A7783194" w:tentative="1">
      <w:start w:val="1"/>
      <w:numFmt w:val="bullet"/>
      <w:lvlText w:val="o"/>
      <w:lvlJc w:val="left"/>
      <w:pPr>
        <w:ind w:left="5760" w:hanging="360"/>
      </w:pPr>
      <w:rPr>
        <w:rFonts w:ascii="Courier New" w:hAnsi="Courier New" w:cs="Courier New" w:hint="default"/>
      </w:rPr>
    </w:lvl>
    <w:lvl w:ilvl="8" w:tplc="53D812CA" w:tentative="1">
      <w:start w:val="1"/>
      <w:numFmt w:val="bullet"/>
      <w:lvlText w:val=""/>
      <w:lvlJc w:val="left"/>
      <w:pPr>
        <w:ind w:left="6480" w:hanging="360"/>
      </w:pPr>
      <w:rPr>
        <w:rFonts w:ascii="Wingdings" w:hAnsi="Wingdings" w:hint="default"/>
      </w:rPr>
    </w:lvl>
  </w:abstractNum>
  <w:abstractNum w:abstractNumId="54" w15:restartNumberingAfterBreak="0">
    <w:nsid w:val="435B2B65"/>
    <w:multiLevelType w:val="hybridMultilevel"/>
    <w:tmpl w:val="AF1069B6"/>
    <w:lvl w:ilvl="0" w:tplc="09E05A9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45CC6618"/>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46E80872"/>
    <w:multiLevelType w:val="hybridMultilevel"/>
    <w:tmpl w:val="7DEC24A2"/>
    <w:lvl w:ilvl="0" w:tplc="0C090011">
      <w:start w:val="1"/>
      <w:numFmt w:val="decimal"/>
      <w:lvlText w:val="%1)"/>
      <w:lvlJc w:val="left"/>
      <w:pPr>
        <w:ind w:left="720" w:hanging="360"/>
      </w:pPr>
      <w:rPr>
        <w:rFonts w:hint="default"/>
      </w:rPr>
    </w:lvl>
    <w:lvl w:ilvl="1" w:tplc="B8EE0F88">
      <w:start w:val="1"/>
      <w:numFmt w:val="bullet"/>
      <w:lvlText w:val="o"/>
      <w:lvlJc w:val="left"/>
      <w:pPr>
        <w:ind w:left="1440" w:hanging="360"/>
      </w:pPr>
      <w:rPr>
        <w:rFonts w:ascii="Courier New" w:hAnsi="Courier New" w:cs="Courier New" w:hint="default"/>
      </w:rPr>
    </w:lvl>
    <w:lvl w:ilvl="2" w:tplc="410A9E02">
      <w:start w:val="1"/>
      <w:numFmt w:val="bullet"/>
      <w:lvlText w:val=""/>
      <w:lvlJc w:val="left"/>
      <w:pPr>
        <w:ind w:left="2160" w:hanging="360"/>
      </w:pPr>
      <w:rPr>
        <w:rFonts w:ascii="Wingdings" w:hAnsi="Wingdings" w:hint="default"/>
      </w:rPr>
    </w:lvl>
    <w:lvl w:ilvl="3" w:tplc="3368A6E6" w:tentative="1">
      <w:start w:val="1"/>
      <w:numFmt w:val="bullet"/>
      <w:lvlText w:val=""/>
      <w:lvlJc w:val="left"/>
      <w:pPr>
        <w:ind w:left="2880" w:hanging="360"/>
      </w:pPr>
      <w:rPr>
        <w:rFonts w:ascii="Symbol" w:hAnsi="Symbol" w:hint="default"/>
      </w:rPr>
    </w:lvl>
    <w:lvl w:ilvl="4" w:tplc="780C00F4" w:tentative="1">
      <w:start w:val="1"/>
      <w:numFmt w:val="bullet"/>
      <w:lvlText w:val="o"/>
      <w:lvlJc w:val="left"/>
      <w:pPr>
        <w:ind w:left="3600" w:hanging="360"/>
      </w:pPr>
      <w:rPr>
        <w:rFonts w:ascii="Courier New" w:hAnsi="Courier New" w:cs="Courier New" w:hint="default"/>
      </w:rPr>
    </w:lvl>
    <w:lvl w:ilvl="5" w:tplc="C77EA706" w:tentative="1">
      <w:start w:val="1"/>
      <w:numFmt w:val="bullet"/>
      <w:lvlText w:val=""/>
      <w:lvlJc w:val="left"/>
      <w:pPr>
        <w:ind w:left="4320" w:hanging="360"/>
      </w:pPr>
      <w:rPr>
        <w:rFonts w:ascii="Wingdings" w:hAnsi="Wingdings" w:hint="default"/>
      </w:rPr>
    </w:lvl>
    <w:lvl w:ilvl="6" w:tplc="1E4C906E" w:tentative="1">
      <w:start w:val="1"/>
      <w:numFmt w:val="bullet"/>
      <w:lvlText w:val=""/>
      <w:lvlJc w:val="left"/>
      <w:pPr>
        <w:ind w:left="5040" w:hanging="360"/>
      </w:pPr>
      <w:rPr>
        <w:rFonts w:ascii="Symbol" w:hAnsi="Symbol" w:hint="default"/>
      </w:rPr>
    </w:lvl>
    <w:lvl w:ilvl="7" w:tplc="73480F0E" w:tentative="1">
      <w:start w:val="1"/>
      <w:numFmt w:val="bullet"/>
      <w:lvlText w:val="o"/>
      <w:lvlJc w:val="left"/>
      <w:pPr>
        <w:ind w:left="5760" w:hanging="360"/>
      </w:pPr>
      <w:rPr>
        <w:rFonts w:ascii="Courier New" w:hAnsi="Courier New" w:cs="Courier New" w:hint="default"/>
      </w:rPr>
    </w:lvl>
    <w:lvl w:ilvl="8" w:tplc="0ECCF0D0" w:tentative="1">
      <w:start w:val="1"/>
      <w:numFmt w:val="bullet"/>
      <w:lvlText w:val=""/>
      <w:lvlJc w:val="left"/>
      <w:pPr>
        <w:ind w:left="6480" w:hanging="360"/>
      </w:pPr>
      <w:rPr>
        <w:rFonts w:ascii="Wingdings" w:hAnsi="Wingdings" w:hint="default"/>
      </w:rPr>
    </w:lvl>
  </w:abstractNum>
  <w:abstractNum w:abstractNumId="57" w15:restartNumberingAfterBreak="0">
    <w:nsid w:val="47D3271C"/>
    <w:multiLevelType w:val="hybridMultilevel"/>
    <w:tmpl w:val="339A207A"/>
    <w:lvl w:ilvl="0" w:tplc="569AD2CC">
      <w:start w:val="1"/>
      <w:numFmt w:val="bullet"/>
      <w:lvlText w:val=""/>
      <w:lvlJc w:val="left"/>
      <w:pPr>
        <w:ind w:left="720" w:hanging="360"/>
      </w:pPr>
      <w:rPr>
        <w:rFonts w:ascii="Symbol" w:hAnsi="Symbol" w:hint="default"/>
      </w:rPr>
    </w:lvl>
    <w:lvl w:ilvl="1" w:tplc="92A65BE4" w:tentative="1">
      <w:start w:val="1"/>
      <w:numFmt w:val="bullet"/>
      <w:lvlText w:val="o"/>
      <w:lvlJc w:val="left"/>
      <w:pPr>
        <w:ind w:left="1440" w:hanging="360"/>
      </w:pPr>
      <w:rPr>
        <w:rFonts w:ascii="Courier New" w:hAnsi="Courier New" w:cs="Courier New" w:hint="default"/>
      </w:rPr>
    </w:lvl>
    <w:lvl w:ilvl="2" w:tplc="8F8207FE" w:tentative="1">
      <w:start w:val="1"/>
      <w:numFmt w:val="bullet"/>
      <w:lvlText w:val=""/>
      <w:lvlJc w:val="left"/>
      <w:pPr>
        <w:ind w:left="2160" w:hanging="360"/>
      </w:pPr>
      <w:rPr>
        <w:rFonts w:ascii="Wingdings" w:hAnsi="Wingdings" w:hint="default"/>
      </w:rPr>
    </w:lvl>
    <w:lvl w:ilvl="3" w:tplc="DCB49EBA" w:tentative="1">
      <w:start w:val="1"/>
      <w:numFmt w:val="bullet"/>
      <w:lvlText w:val=""/>
      <w:lvlJc w:val="left"/>
      <w:pPr>
        <w:ind w:left="2880" w:hanging="360"/>
      </w:pPr>
      <w:rPr>
        <w:rFonts w:ascii="Symbol" w:hAnsi="Symbol" w:hint="default"/>
      </w:rPr>
    </w:lvl>
    <w:lvl w:ilvl="4" w:tplc="C5E208E8" w:tentative="1">
      <w:start w:val="1"/>
      <w:numFmt w:val="bullet"/>
      <w:lvlText w:val="o"/>
      <w:lvlJc w:val="left"/>
      <w:pPr>
        <w:ind w:left="3600" w:hanging="360"/>
      </w:pPr>
      <w:rPr>
        <w:rFonts w:ascii="Courier New" w:hAnsi="Courier New" w:cs="Courier New" w:hint="default"/>
      </w:rPr>
    </w:lvl>
    <w:lvl w:ilvl="5" w:tplc="138409E8" w:tentative="1">
      <w:start w:val="1"/>
      <w:numFmt w:val="bullet"/>
      <w:lvlText w:val=""/>
      <w:lvlJc w:val="left"/>
      <w:pPr>
        <w:ind w:left="4320" w:hanging="360"/>
      </w:pPr>
      <w:rPr>
        <w:rFonts w:ascii="Wingdings" w:hAnsi="Wingdings" w:hint="default"/>
      </w:rPr>
    </w:lvl>
    <w:lvl w:ilvl="6" w:tplc="5282A492" w:tentative="1">
      <w:start w:val="1"/>
      <w:numFmt w:val="bullet"/>
      <w:lvlText w:val=""/>
      <w:lvlJc w:val="left"/>
      <w:pPr>
        <w:ind w:left="5040" w:hanging="360"/>
      </w:pPr>
      <w:rPr>
        <w:rFonts w:ascii="Symbol" w:hAnsi="Symbol" w:hint="default"/>
      </w:rPr>
    </w:lvl>
    <w:lvl w:ilvl="7" w:tplc="1A44E8D0" w:tentative="1">
      <w:start w:val="1"/>
      <w:numFmt w:val="bullet"/>
      <w:lvlText w:val="o"/>
      <w:lvlJc w:val="left"/>
      <w:pPr>
        <w:ind w:left="5760" w:hanging="360"/>
      </w:pPr>
      <w:rPr>
        <w:rFonts w:ascii="Courier New" w:hAnsi="Courier New" w:cs="Courier New" w:hint="default"/>
      </w:rPr>
    </w:lvl>
    <w:lvl w:ilvl="8" w:tplc="188AE384" w:tentative="1">
      <w:start w:val="1"/>
      <w:numFmt w:val="bullet"/>
      <w:lvlText w:val=""/>
      <w:lvlJc w:val="left"/>
      <w:pPr>
        <w:ind w:left="6480" w:hanging="360"/>
      </w:pPr>
      <w:rPr>
        <w:rFonts w:ascii="Wingdings" w:hAnsi="Wingdings" w:hint="default"/>
      </w:rPr>
    </w:lvl>
  </w:abstractNum>
  <w:abstractNum w:abstractNumId="58" w15:restartNumberingAfterBreak="0">
    <w:nsid w:val="48D60CBA"/>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493B1962"/>
    <w:multiLevelType w:val="hybridMultilevel"/>
    <w:tmpl w:val="9E244FEE"/>
    <w:lvl w:ilvl="0" w:tplc="9B4064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9A1676E"/>
    <w:multiLevelType w:val="hybridMultilevel"/>
    <w:tmpl w:val="62048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BCD474D"/>
    <w:multiLevelType w:val="hybridMultilevel"/>
    <w:tmpl w:val="2246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DC66955"/>
    <w:multiLevelType w:val="hybridMultilevel"/>
    <w:tmpl w:val="B714023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FD448E7"/>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51253AF9"/>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51597B70"/>
    <w:multiLevelType w:val="hybridMultilevel"/>
    <w:tmpl w:val="98A21090"/>
    <w:lvl w:ilvl="0" w:tplc="3EC69DE8">
      <w:start w:val="1"/>
      <w:numFmt w:val="lowerLetter"/>
      <w:lvlText w:val="(%1)"/>
      <w:lvlJc w:val="left"/>
      <w:pPr>
        <w:ind w:left="1440" w:hanging="360"/>
      </w:pPr>
      <w:rPr>
        <w:rFonts w:hint="default"/>
      </w:rPr>
    </w:lvl>
    <w:lvl w:ilvl="1" w:tplc="48288AD0">
      <w:start w:val="1"/>
      <w:numFmt w:val="bullet"/>
      <w:lvlText w:val="o"/>
      <w:lvlJc w:val="left"/>
      <w:pPr>
        <w:ind w:left="2160" w:hanging="360"/>
      </w:pPr>
      <w:rPr>
        <w:rFonts w:ascii="Courier New" w:hAnsi="Courier New" w:cs="Courier New" w:hint="default"/>
      </w:rPr>
    </w:lvl>
    <w:lvl w:ilvl="2" w:tplc="E47C2B44" w:tentative="1">
      <w:start w:val="1"/>
      <w:numFmt w:val="bullet"/>
      <w:lvlText w:val=""/>
      <w:lvlJc w:val="left"/>
      <w:pPr>
        <w:ind w:left="2880" w:hanging="360"/>
      </w:pPr>
      <w:rPr>
        <w:rFonts w:ascii="Wingdings" w:hAnsi="Wingdings" w:hint="default"/>
      </w:rPr>
    </w:lvl>
    <w:lvl w:ilvl="3" w:tplc="31FCE4D0" w:tentative="1">
      <w:start w:val="1"/>
      <w:numFmt w:val="bullet"/>
      <w:lvlText w:val=""/>
      <w:lvlJc w:val="left"/>
      <w:pPr>
        <w:ind w:left="3600" w:hanging="360"/>
      </w:pPr>
      <w:rPr>
        <w:rFonts w:ascii="Symbol" w:hAnsi="Symbol" w:hint="default"/>
      </w:rPr>
    </w:lvl>
    <w:lvl w:ilvl="4" w:tplc="A36CD218" w:tentative="1">
      <w:start w:val="1"/>
      <w:numFmt w:val="bullet"/>
      <w:lvlText w:val="o"/>
      <w:lvlJc w:val="left"/>
      <w:pPr>
        <w:ind w:left="4320" w:hanging="360"/>
      </w:pPr>
      <w:rPr>
        <w:rFonts w:ascii="Courier New" w:hAnsi="Courier New" w:cs="Courier New" w:hint="default"/>
      </w:rPr>
    </w:lvl>
    <w:lvl w:ilvl="5" w:tplc="970E995E" w:tentative="1">
      <w:start w:val="1"/>
      <w:numFmt w:val="bullet"/>
      <w:lvlText w:val=""/>
      <w:lvlJc w:val="left"/>
      <w:pPr>
        <w:ind w:left="5040" w:hanging="360"/>
      </w:pPr>
      <w:rPr>
        <w:rFonts w:ascii="Wingdings" w:hAnsi="Wingdings" w:hint="default"/>
      </w:rPr>
    </w:lvl>
    <w:lvl w:ilvl="6" w:tplc="4928EA6C" w:tentative="1">
      <w:start w:val="1"/>
      <w:numFmt w:val="bullet"/>
      <w:lvlText w:val=""/>
      <w:lvlJc w:val="left"/>
      <w:pPr>
        <w:ind w:left="5760" w:hanging="360"/>
      </w:pPr>
      <w:rPr>
        <w:rFonts w:ascii="Symbol" w:hAnsi="Symbol" w:hint="default"/>
      </w:rPr>
    </w:lvl>
    <w:lvl w:ilvl="7" w:tplc="D2EE7F14" w:tentative="1">
      <w:start w:val="1"/>
      <w:numFmt w:val="bullet"/>
      <w:lvlText w:val="o"/>
      <w:lvlJc w:val="left"/>
      <w:pPr>
        <w:ind w:left="6480" w:hanging="360"/>
      </w:pPr>
      <w:rPr>
        <w:rFonts w:ascii="Courier New" w:hAnsi="Courier New" w:cs="Courier New" w:hint="default"/>
      </w:rPr>
    </w:lvl>
    <w:lvl w:ilvl="8" w:tplc="8C76172A" w:tentative="1">
      <w:start w:val="1"/>
      <w:numFmt w:val="bullet"/>
      <w:lvlText w:val=""/>
      <w:lvlJc w:val="left"/>
      <w:pPr>
        <w:ind w:left="7200" w:hanging="360"/>
      </w:pPr>
      <w:rPr>
        <w:rFonts w:ascii="Wingdings" w:hAnsi="Wingdings" w:hint="default"/>
      </w:rPr>
    </w:lvl>
  </w:abstractNum>
  <w:abstractNum w:abstractNumId="66" w15:restartNumberingAfterBreak="0">
    <w:nsid w:val="51660884"/>
    <w:multiLevelType w:val="hybridMultilevel"/>
    <w:tmpl w:val="10784A80"/>
    <w:lvl w:ilvl="0" w:tplc="545E2550">
      <w:numFmt w:val="bullet"/>
      <w:lvlText w:val="-"/>
      <w:lvlJc w:val="left"/>
      <w:pPr>
        <w:ind w:left="720" w:hanging="360"/>
      </w:pPr>
      <w:rPr>
        <w:rFonts w:ascii="Arial" w:eastAsiaTheme="minorHAnsi" w:hAnsi="Arial" w:cs="Arial" w:hint="default"/>
      </w:rPr>
    </w:lvl>
    <w:lvl w:ilvl="1" w:tplc="B8EE0F88">
      <w:start w:val="1"/>
      <w:numFmt w:val="bullet"/>
      <w:lvlText w:val="o"/>
      <w:lvlJc w:val="left"/>
      <w:pPr>
        <w:ind w:left="1440" w:hanging="360"/>
      </w:pPr>
      <w:rPr>
        <w:rFonts w:ascii="Courier New" w:hAnsi="Courier New" w:cs="Courier New" w:hint="default"/>
      </w:rPr>
    </w:lvl>
    <w:lvl w:ilvl="2" w:tplc="410A9E02">
      <w:start w:val="1"/>
      <w:numFmt w:val="bullet"/>
      <w:lvlText w:val=""/>
      <w:lvlJc w:val="left"/>
      <w:pPr>
        <w:ind w:left="2160" w:hanging="360"/>
      </w:pPr>
      <w:rPr>
        <w:rFonts w:ascii="Wingdings" w:hAnsi="Wingdings" w:hint="default"/>
      </w:rPr>
    </w:lvl>
    <w:lvl w:ilvl="3" w:tplc="3368A6E6" w:tentative="1">
      <w:start w:val="1"/>
      <w:numFmt w:val="bullet"/>
      <w:lvlText w:val=""/>
      <w:lvlJc w:val="left"/>
      <w:pPr>
        <w:ind w:left="2880" w:hanging="360"/>
      </w:pPr>
      <w:rPr>
        <w:rFonts w:ascii="Symbol" w:hAnsi="Symbol" w:hint="default"/>
      </w:rPr>
    </w:lvl>
    <w:lvl w:ilvl="4" w:tplc="780C00F4" w:tentative="1">
      <w:start w:val="1"/>
      <w:numFmt w:val="bullet"/>
      <w:lvlText w:val="o"/>
      <w:lvlJc w:val="left"/>
      <w:pPr>
        <w:ind w:left="3600" w:hanging="360"/>
      </w:pPr>
      <w:rPr>
        <w:rFonts w:ascii="Courier New" w:hAnsi="Courier New" w:cs="Courier New" w:hint="default"/>
      </w:rPr>
    </w:lvl>
    <w:lvl w:ilvl="5" w:tplc="C77EA706" w:tentative="1">
      <w:start w:val="1"/>
      <w:numFmt w:val="bullet"/>
      <w:lvlText w:val=""/>
      <w:lvlJc w:val="left"/>
      <w:pPr>
        <w:ind w:left="4320" w:hanging="360"/>
      </w:pPr>
      <w:rPr>
        <w:rFonts w:ascii="Wingdings" w:hAnsi="Wingdings" w:hint="default"/>
      </w:rPr>
    </w:lvl>
    <w:lvl w:ilvl="6" w:tplc="1E4C906E" w:tentative="1">
      <w:start w:val="1"/>
      <w:numFmt w:val="bullet"/>
      <w:lvlText w:val=""/>
      <w:lvlJc w:val="left"/>
      <w:pPr>
        <w:ind w:left="5040" w:hanging="360"/>
      </w:pPr>
      <w:rPr>
        <w:rFonts w:ascii="Symbol" w:hAnsi="Symbol" w:hint="default"/>
      </w:rPr>
    </w:lvl>
    <w:lvl w:ilvl="7" w:tplc="73480F0E" w:tentative="1">
      <w:start w:val="1"/>
      <w:numFmt w:val="bullet"/>
      <w:lvlText w:val="o"/>
      <w:lvlJc w:val="left"/>
      <w:pPr>
        <w:ind w:left="5760" w:hanging="360"/>
      </w:pPr>
      <w:rPr>
        <w:rFonts w:ascii="Courier New" w:hAnsi="Courier New" w:cs="Courier New" w:hint="default"/>
      </w:rPr>
    </w:lvl>
    <w:lvl w:ilvl="8" w:tplc="0ECCF0D0" w:tentative="1">
      <w:start w:val="1"/>
      <w:numFmt w:val="bullet"/>
      <w:lvlText w:val=""/>
      <w:lvlJc w:val="left"/>
      <w:pPr>
        <w:ind w:left="6480" w:hanging="360"/>
      </w:pPr>
      <w:rPr>
        <w:rFonts w:ascii="Wingdings" w:hAnsi="Wingdings" w:hint="default"/>
      </w:rPr>
    </w:lvl>
  </w:abstractNum>
  <w:abstractNum w:abstractNumId="67" w15:restartNumberingAfterBreak="0">
    <w:nsid w:val="51F749B4"/>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527646C9"/>
    <w:multiLevelType w:val="hybridMultilevel"/>
    <w:tmpl w:val="10CEFCE0"/>
    <w:lvl w:ilvl="0" w:tplc="80BE7DAC">
      <w:start w:val="1"/>
      <w:numFmt w:val="bullet"/>
      <w:lvlText w:val=""/>
      <w:lvlJc w:val="left"/>
      <w:pPr>
        <w:ind w:left="720" w:hanging="360"/>
      </w:pPr>
      <w:rPr>
        <w:rFonts w:ascii="Symbol" w:hAnsi="Symbol" w:hint="default"/>
      </w:rPr>
    </w:lvl>
    <w:lvl w:ilvl="1" w:tplc="A4524744" w:tentative="1">
      <w:start w:val="1"/>
      <w:numFmt w:val="bullet"/>
      <w:lvlText w:val="o"/>
      <w:lvlJc w:val="left"/>
      <w:pPr>
        <w:ind w:left="1440" w:hanging="360"/>
      </w:pPr>
      <w:rPr>
        <w:rFonts w:ascii="Courier New" w:hAnsi="Courier New" w:cs="Courier New" w:hint="default"/>
      </w:rPr>
    </w:lvl>
    <w:lvl w:ilvl="2" w:tplc="5574C912" w:tentative="1">
      <w:start w:val="1"/>
      <w:numFmt w:val="bullet"/>
      <w:lvlText w:val=""/>
      <w:lvlJc w:val="left"/>
      <w:pPr>
        <w:ind w:left="2160" w:hanging="360"/>
      </w:pPr>
      <w:rPr>
        <w:rFonts w:ascii="Wingdings" w:hAnsi="Wingdings" w:hint="default"/>
      </w:rPr>
    </w:lvl>
    <w:lvl w:ilvl="3" w:tplc="686A1A98" w:tentative="1">
      <w:start w:val="1"/>
      <w:numFmt w:val="bullet"/>
      <w:lvlText w:val=""/>
      <w:lvlJc w:val="left"/>
      <w:pPr>
        <w:ind w:left="2880" w:hanging="360"/>
      </w:pPr>
      <w:rPr>
        <w:rFonts w:ascii="Symbol" w:hAnsi="Symbol" w:hint="default"/>
      </w:rPr>
    </w:lvl>
    <w:lvl w:ilvl="4" w:tplc="98E642E2" w:tentative="1">
      <w:start w:val="1"/>
      <w:numFmt w:val="bullet"/>
      <w:lvlText w:val="o"/>
      <w:lvlJc w:val="left"/>
      <w:pPr>
        <w:ind w:left="3600" w:hanging="360"/>
      </w:pPr>
      <w:rPr>
        <w:rFonts w:ascii="Courier New" w:hAnsi="Courier New" w:cs="Courier New" w:hint="default"/>
      </w:rPr>
    </w:lvl>
    <w:lvl w:ilvl="5" w:tplc="492A351C" w:tentative="1">
      <w:start w:val="1"/>
      <w:numFmt w:val="bullet"/>
      <w:lvlText w:val=""/>
      <w:lvlJc w:val="left"/>
      <w:pPr>
        <w:ind w:left="4320" w:hanging="360"/>
      </w:pPr>
      <w:rPr>
        <w:rFonts w:ascii="Wingdings" w:hAnsi="Wingdings" w:hint="default"/>
      </w:rPr>
    </w:lvl>
    <w:lvl w:ilvl="6" w:tplc="BA7E0958" w:tentative="1">
      <w:start w:val="1"/>
      <w:numFmt w:val="bullet"/>
      <w:lvlText w:val=""/>
      <w:lvlJc w:val="left"/>
      <w:pPr>
        <w:ind w:left="5040" w:hanging="360"/>
      </w:pPr>
      <w:rPr>
        <w:rFonts w:ascii="Symbol" w:hAnsi="Symbol" w:hint="default"/>
      </w:rPr>
    </w:lvl>
    <w:lvl w:ilvl="7" w:tplc="EDEC255E" w:tentative="1">
      <w:start w:val="1"/>
      <w:numFmt w:val="bullet"/>
      <w:lvlText w:val="o"/>
      <w:lvlJc w:val="left"/>
      <w:pPr>
        <w:ind w:left="5760" w:hanging="360"/>
      </w:pPr>
      <w:rPr>
        <w:rFonts w:ascii="Courier New" w:hAnsi="Courier New" w:cs="Courier New" w:hint="default"/>
      </w:rPr>
    </w:lvl>
    <w:lvl w:ilvl="8" w:tplc="FB58032C" w:tentative="1">
      <w:start w:val="1"/>
      <w:numFmt w:val="bullet"/>
      <w:lvlText w:val=""/>
      <w:lvlJc w:val="left"/>
      <w:pPr>
        <w:ind w:left="6480" w:hanging="360"/>
      </w:pPr>
      <w:rPr>
        <w:rFonts w:ascii="Wingdings" w:hAnsi="Wingdings" w:hint="default"/>
      </w:rPr>
    </w:lvl>
  </w:abstractNum>
  <w:abstractNum w:abstractNumId="69" w15:restartNumberingAfterBreak="0">
    <w:nsid w:val="52AF4982"/>
    <w:multiLevelType w:val="hybridMultilevel"/>
    <w:tmpl w:val="63A4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3802642"/>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5421349D"/>
    <w:multiLevelType w:val="hybridMultilevel"/>
    <w:tmpl w:val="3356E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4853EDE"/>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55A8573E"/>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15:restartNumberingAfterBreak="0">
    <w:nsid w:val="567C0A9B"/>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5" w15:restartNumberingAfterBreak="0">
    <w:nsid w:val="57C15FE7"/>
    <w:multiLevelType w:val="hybridMultilevel"/>
    <w:tmpl w:val="EC760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8836258"/>
    <w:multiLevelType w:val="hybridMultilevel"/>
    <w:tmpl w:val="5132420A"/>
    <w:lvl w:ilvl="0" w:tplc="CC9E6372">
      <w:start w:val="1"/>
      <w:numFmt w:val="bullet"/>
      <w:lvlText w:val=""/>
      <w:lvlJc w:val="left"/>
      <w:pPr>
        <w:ind w:left="720" w:hanging="360"/>
      </w:pPr>
      <w:rPr>
        <w:rFonts w:ascii="Symbol" w:hAnsi="Symbol" w:hint="default"/>
      </w:rPr>
    </w:lvl>
    <w:lvl w:ilvl="1" w:tplc="8360692E">
      <w:start w:val="1"/>
      <w:numFmt w:val="bullet"/>
      <w:lvlText w:val="o"/>
      <w:lvlJc w:val="left"/>
      <w:pPr>
        <w:ind w:left="1440" w:hanging="360"/>
      </w:pPr>
      <w:rPr>
        <w:rFonts w:ascii="Courier New" w:hAnsi="Courier New" w:cs="Courier New" w:hint="default"/>
      </w:rPr>
    </w:lvl>
    <w:lvl w:ilvl="2" w:tplc="8B98D61A" w:tentative="1">
      <w:start w:val="1"/>
      <w:numFmt w:val="bullet"/>
      <w:lvlText w:val=""/>
      <w:lvlJc w:val="left"/>
      <w:pPr>
        <w:ind w:left="2160" w:hanging="360"/>
      </w:pPr>
      <w:rPr>
        <w:rFonts w:ascii="Wingdings" w:hAnsi="Wingdings" w:hint="default"/>
      </w:rPr>
    </w:lvl>
    <w:lvl w:ilvl="3" w:tplc="2B245808" w:tentative="1">
      <w:start w:val="1"/>
      <w:numFmt w:val="bullet"/>
      <w:lvlText w:val=""/>
      <w:lvlJc w:val="left"/>
      <w:pPr>
        <w:ind w:left="2880" w:hanging="360"/>
      </w:pPr>
      <w:rPr>
        <w:rFonts w:ascii="Symbol" w:hAnsi="Symbol" w:hint="default"/>
      </w:rPr>
    </w:lvl>
    <w:lvl w:ilvl="4" w:tplc="AF585E86" w:tentative="1">
      <w:start w:val="1"/>
      <w:numFmt w:val="bullet"/>
      <w:lvlText w:val="o"/>
      <w:lvlJc w:val="left"/>
      <w:pPr>
        <w:ind w:left="3600" w:hanging="360"/>
      </w:pPr>
      <w:rPr>
        <w:rFonts w:ascii="Courier New" w:hAnsi="Courier New" w:cs="Courier New" w:hint="default"/>
      </w:rPr>
    </w:lvl>
    <w:lvl w:ilvl="5" w:tplc="B5DC64AE" w:tentative="1">
      <w:start w:val="1"/>
      <w:numFmt w:val="bullet"/>
      <w:lvlText w:val=""/>
      <w:lvlJc w:val="left"/>
      <w:pPr>
        <w:ind w:left="4320" w:hanging="360"/>
      </w:pPr>
      <w:rPr>
        <w:rFonts w:ascii="Wingdings" w:hAnsi="Wingdings" w:hint="default"/>
      </w:rPr>
    </w:lvl>
    <w:lvl w:ilvl="6" w:tplc="CA9C4D7E" w:tentative="1">
      <w:start w:val="1"/>
      <w:numFmt w:val="bullet"/>
      <w:lvlText w:val=""/>
      <w:lvlJc w:val="left"/>
      <w:pPr>
        <w:ind w:left="5040" w:hanging="360"/>
      </w:pPr>
      <w:rPr>
        <w:rFonts w:ascii="Symbol" w:hAnsi="Symbol" w:hint="default"/>
      </w:rPr>
    </w:lvl>
    <w:lvl w:ilvl="7" w:tplc="5E72B872" w:tentative="1">
      <w:start w:val="1"/>
      <w:numFmt w:val="bullet"/>
      <w:lvlText w:val="o"/>
      <w:lvlJc w:val="left"/>
      <w:pPr>
        <w:ind w:left="5760" w:hanging="360"/>
      </w:pPr>
      <w:rPr>
        <w:rFonts w:ascii="Courier New" w:hAnsi="Courier New" w:cs="Courier New" w:hint="default"/>
      </w:rPr>
    </w:lvl>
    <w:lvl w:ilvl="8" w:tplc="6F0EF6BA" w:tentative="1">
      <w:start w:val="1"/>
      <w:numFmt w:val="bullet"/>
      <w:lvlText w:val=""/>
      <w:lvlJc w:val="left"/>
      <w:pPr>
        <w:ind w:left="6480" w:hanging="360"/>
      </w:pPr>
      <w:rPr>
        <w:rFonts w:ascii="Wingdings" w:hAnsi="Wingdings" w:hint="default"/>
      </w:rPr>
    </w:lvl>
  </w:abstractNum>
  <w:abstractNum w:abstractNumId="77" w15:restartNumberingAfterBreak="0">
    <w:nsid w:val="59CE0A01"/>
    <w:multiLevelType w:val="hybridMultilevel"/>
    <w:tmpl w:val="0EB6A7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5A234988"/>
    <w:multiLevelType w:val="hybridMultilevel"/>
    <w:tmpl w:val="4C7478F2"/>
    <w:lvl w:ilvl="0" w:tplc="0C090017">
      <w:start w:val="1"/>
      <w:numFmt w:val="lowerLetter"/>
      <w:lvlText w:val="%1)"/>
      <w:lvlJc w:val="left"/>
      <w:pPr>
        <w:ind w:left="2520" w:hanging="36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79" w15:restartNumberingAfterBreak="0">
    <w:nsid w:val="5C1E2AC4"/>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0" w15:restartNumberingAfterBreak="0">
    <w:nsid w:val="5CF147B0"/>
    <w:multiLevelType w:val="hybridMultilevel"/>
    <w:tmpl w:val="68867962"/>
    <w:lvl w:ilvl="0" w:tplc="31A29E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1" w15:restartNumberingAfterBreak="0">
    <w:nsid w:val="5DF140A9"/>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15:restartNumberingAfterBreak="0">
    <w:nsid w:val="604636FB"/>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3" w15:restartNumberingAfterBreak="0">
    <w:nsid w:val="68526C03"/>
    <w:multiLevelType w:val="multilevel"/>
    <w:tmpl w:val="20D4EA1E"/>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E685197"/>
    <w:multiLevelType w:val="hybridMultilevel"/>
    <w:tmpl w:val="2E34CF0A"/>
    <w:lvl w:ilvl="0" w:tplc="667C1790">
      <w:numFmt w:val="bullet"/>
      <w:lvlText w:val="-"/>
      <w:lvlJc w:val="left"/>
      <w:pPr>
        <w:ind w:left="1080" w:hanging="360"/>
      </w:pPr>
      <w:rPr>
        <w:rFonts w:ascii="Calibri" w:eastAsiaTheme="minorHAnsi" w:hAnsi="Calibri" w:cs="Calibri"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5" w15:restartNumberingAfterBreak="0">
    <w:nsid w:val="6F2B1233"/>
    <w:multiLevelType w:val="hybridMultilevel"/>
    <w:tmpl w:val="63BEE2F2"/>
    <w:lvl w:ilvl="0" w:tplc="309C5E1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F8A5052"/>
    <w:multiLevelType w:val="hybridMultilevel"/>
    <w:tmpl w:val="68867962"/>
    <w:lvl w:ilvl="0" w:tplc="31A29E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7" w15:restartNumberingAfterBreak="0">
    <w:nsid w:val="71F04DFC"/>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8" w15:restartNumberingAfterBreak="0">
    <w:nsid w:val="73972CA4"/>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9" w15:restartNumberingAfterBreak="0">
    <w:nsid w:val="75133330"/>
    <w:multiLevelType w:val="hybridMultilevel"/>
    <w:tmpl w:val="F3800CC0"/>
    <w:lvl w:ilvl="0" w:tplc="E9AC303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0" w15:restartNumberingAfterBreak="0">
    <w:nsid w:val="75D12390"/>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1" w15:restartNumberingAfterBreak="0">
    <w:nsid w:val="75D83679"/>
    <w:multiLevelType w:val="hybridMultilevel"/>
    <w:tmpl w:val="679432AC"/>
    <w:lvl w:ilvl="0" w:tplc="0A2230AA">
      <w:start w:val="1"/>
      <w:numFmt w:val="lowerLetter"/>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649167C"/>
    <w:multiLevelType w:val="hybridMultilevel"/>
    <w:tmpl w:val="68867962"/>
    <w:lvl w:ilvl="0" w:tplc="31A29E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3" w15:restartNumberingAfterBreak="0">
    <w:nsid w:val="76E803DC"/>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15:restartNumberingAfterBreak="0">
    <w:nsid w:val="78E4258F"/>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5" w15:restartNumberingAfterBreak="0">
    <w:nsid w:val="79ED3C9C"/>
    <w:multiLevelType w:val="hybridMultilevel"/>
    <w:tmpl w:val="E118F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CBC0C33"/>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7" w15:restartNumberingAfterBreak="0">
    <w:nsid w:val="7DD641ED"/>
    <w:multiLevelType w:val="hybridMultilevel"/>
    <w:tmpl w:val="AF1069B6"/>
    <w:lvl w:ilvl="0" w:tplc="09E05A96">
      <w:start w:val="1"/>
      <w:numFmt w:val="lowerLetter"/>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8" w15:restartNumberingAfterBreak="0">
    <w:nsid w:val="7F3608C7"/>
    <w:multiLevelType w:val="hybridMultilevel"/>
    <w:tmpl w:val="B7CA3B32"/>
    <w:lvl w:ilvl="0" w:tplc="AA8E9EBA">
      <w:start w:val="1"/>
      <w:numFmt w:val="bullet"/>
      <w:lvlText w:val=""/>
      <w:lvlJc w:val="left"/>
      <w:pPr>
        <w:ind w:left="720" w:hanging="360"/>
      </w:pPr>
      <w:rPr>
        <w:rFonts w:ascii="Symbol" w:hAnsi="Symbol" w:hint="default"/>
      </w:rPr>
    </w:lvl>
    <w:lvl w:ilvl="1" w:tplc="D4267344">
      <w:start w:val="1"/>
      <w:numFmt w:val="bullet"/>
      <w:lvlText w:val="o"/>
      <w:lvlJc w:val="left"/>
      <w:pPr>
        <w:ind w:left="1440" w:hanging="360"/>
      </w:pPr>
      <w:rPr>
        <w:rFonts w:ascii="Courier New" w:hAnsi="Courier New" w:cs="Courier New" w:hint="default"/>
      </w:rPr>
    </w:lvl>
    <w:lvl w:ilvl="2" w:tplc="614615C0" w:tentative="1">
      <w:start w:val="1"/>
      <w:numFmt w:val="bullet"/>
      <w:lvlText w:val=""/>
      <w:lvlJc w:val="left"/>
      <w:pPr>
        <w:ind w:left="2160" w:hanging="360"/>
      </w:pPr>
      <w:rPr>
        <w:rFonts w:ascii="Wingdings" w:hAnsi="Wingdings" w:hint="default"/>
      </w:rPr>
    </w:lvl>
    <w:lvl w:ilvl="3" w:tplc="D020ED38" w:tentative="1">
      <w:start w:val="1"/>
      <w:numFmt w:val="bullet"/>
      <w:lvlText w:val=""/>
      <w:lvlJc w:val="left"/>
      <w:pPr>
        <w:ind w:left="2880" w:hanging="360"/>
      </w:pPr>
      <w:rPr>
        <w:rFonts w:ascii="Symbol" w:hAnsi="Symbol" w:hint="default"/>
      </w:rPr>
    </w:lvl>
    <w:lvl w:ilvl="4" w:tplc="1AD0E93E" w:tentative="1">
      <w:start w:val="1"/>
      <w:numFmt w:val="bullet"/>
      <w:lvlText w:val="o"/>
      <w:lvlJc w:val="left"/>
      <w:pPr>
        <w:ind w:left="3600" w:hanging="360"/>
      </w:pPr>
      <w:rPr>
        <w:rFonts w:ascii="Courier New" w:hAnsi="Courier New" w:cs="Courier New" w:hint="default"/>
      </w:rPr>
    </w:lvl>
    <w:lvl w:ilvl="5" w:tplc="AA9EFF68" w:tentative="1">
      <w:start w:val="1"/>
      <w:numFmt w:val="bullet"/>
      <w:lvlText w:val=""/>
      <w:lvlJc w:val="left"/>
      <w:pPr>
        <w:ind w:left="4320" w:hanging="360"/>
      </w:pPr>
      <w:rPr>
        <w:rFonts w:ascii="Wingdings" w:hAnsi="Wingdings" w:hint="default"/>
      </w:rPr>
    </w:lvl>
    <w:lvl w:ilvl="6" w:tplc="D638A7C6" w:tentative="1">
      <w:start w:val="1"/>
      <w:numFmt w:val="bullet"/>
      <w:lvlText w:val=""/>
      <w:lvlJc w:val="left"/>
      <w:pPr>
        <w:ind w:left="5040" w:hanging="360"/>
      </w:pPr>
      <w:rPr>
        <w:rFonts w:ascii="Symbol" w:hAnsi="Symbol" w:hint="default"/>
      </w:rPr>
    </w:lvl>
    <w:lvl w:ilvl="7" w:tplc="EA24245C" w:tentative="1">
      <w:start w:val="1"/>
      <w:numFmt w:val="bullet"/>
      <w:lvlText w:val="o"/>
      <w:lvlJc w:val="left"/>
      <w:pPr>
        <w:ind w:left="5760" w:hanging="360"/>
      </w:pPr>
      <w:rPr>
        <w:rFonts w:ascii="Courier New" w:hAnsi="Courier New" w:cs="Courier New" w:hint="default"/>
      </w:rPr>
    </w:lvl>
    <w:lvl w:ilvl="8" w:tplc="4622F260" w:tentative="1">
      <w:start w:val="1"/>
      <w:numFmt w:val="bullet"/>
      <w:lvlText w:val=""/>
      <w:lvlJc w:val="left"/>
      <w:pPr>
        <w:ind w:left="6480" w:hanging="360"/>
      </w:pPr>
      <w:rPr>
        <w:rFonts w:ascii="Wingdings" w:hAnsi="Wingdings" w:hint="default"/>
      </w:rPr>
    </w:lvl>
  </w:abstractNum>
  <w:num w:numId="1">
    <w:abstractNumId w:val="6"/>
  </w:num>
  <w:num w:numId="2">
    <w:abstractNumId w:val="66"/>
  </w:num>
  <w:num w:numId="3">
    <w:abstractNumId w:val="13"/>
  </w:num>
  <w:num w:numId="4">
    <w:abstractNumId w:val="57"/>
  </w:num>
  <w:num w:numId="5">
    <w:abstractNumId w:val="38"/>
  </w:num>
  <w:num w:numId="6">
    <w:abstractNumId w:val="77"/>
  </w:num>
  <w:num w:numId="7">
    <w:abstractNumId w:val="7"/>
  </w:num>
  <w:num w:numId="8">
    <w:abstractNumId w:val="31"/>
  </w:num>
  <w:num w:numId="9">
    <w:abstractNumId w:val="60"/>
  </w:num>
  <w:num w:numId="10">
    <w:abstractNumId w:val="10"/>
  </w:num>
  <w:num w:numId="11">
    <w:abstractNumId w:val="71"/>
  </w:num>
  <w:num w:numId="12">
    <w:abstractNumId w:val="41"/>
  </w:num>
  <w:num w:numId="13">
    <w:abstractNumId w:val="26"/>
  </w:num>
  <w:num w:numId="14">
    <w:abstractNumId w:val="20"/>
  </w:num>
  <w:num w:numId="15">
    <w:abstractNumId w:val="14"/>
  </w:num>
  <w:num w:numId="16">
    <w:abstractNumId w:val="21"/>
  </w:num>
  <w:num w:numId="17">
    <w:abstractNumId w:val="28"/>
  </w:num>
  <w:num w:numId="18">
    <w:abstractNumId w:val="29"/>
  </w:num>
  <w:num w:numId="19">
    <w:abstractNumId w:val="91"/>
  </w:num>
  <w:num w:numId="20">
    <w:abstractNumId w:val="80"/>
  </w:num>
  <w:num w:numId="21">
    <w:abstractNumId w:val="23"/>
  </w:num>
  <w:num w:numId="22">
    <w:abstractNumId w:val="92"/>
  </w:num>
  <w:num w:numId="23">
    <w:abstractNumId w:val="86"/>
  </w:num>
  <w:num w:numId="24">
    <w:abstractNumId w:val="22"/>
  </w:num>
  <w:num w:numId="25">
    <w:abstractNumId w:val="24"/>
  </w:num>
  <w:num w:numId="26">
    <w:abstractNumId w:val="39"/>
  </w:num>
  <w:num w:numId="27">
    <w:abstractNumId w:val="62"/>
  </w:num>
  <w:num w:numId="28">
    <w:abstractNumId w:val="15"/>
  </w:num>
  <w:num w:numId="29">
    <w:abstractNumId w:val="79"/>
  </w:num>
  <w:num w:numId="30">
    <w:abstractNumId w:val="67"/>
  </w:num>
  <w:num w:numId="31">
    <w:abstractNumId w:val="37"/>
  </w:num>
  <w:num w:numId="32">
    <w:abstractNumId w:val="16"/>
  </w:num>
  <w:num w:numId="33">
    <w:abstractNumId w:val="36"/>
  </w:num>
  <w:num w:numId="34">
    <w:abstractNumId w:val="88"/>
  </w:num>
  <w:num w:numId="35">
    <w:abstractNumId w:val="87"/>
  </w:num>
  <w:num w:numId="36">
    <w:abstractNumId w:val="18"/>
  </w:num>
  <w:num w:numId="37">
    <w:abstractNumId w:val="82"/>
  </w:num>
  <w:num w:numId="38">
    <w:abstractNumId w:val="1"/>
  </w:num>
  <w:num w:numId="39">
    <w:abstractNumId w:val="19"/>
  </w:num>
  <w:num w:numId="40">
    <w:abstractNumId w:val="96"/>
  </w:num>
  <w:num w:numId="41">
    <w:abstractNumId w:val="64"/>
  </w:num>
  <w:num w:numId="42">
    <w:abstractNumId w:val="93"/>
  </w:num>
  <w:num w:numId="43">
    <w:abstractNumId w:val="97"/>
  </w:num>
  <w:num w:numId="44">
    <w:abstractNumId w:val="70"/>
  </w:num>
  <w:num w:numId="45">
    <w:abstractNumId w:val="52"/>
  </w:num>
  <w:num w:numId="46">
    <w:abstractNumId w:val="3"/>
  </w:num>
  <w:num w:numId="47">
    <w:abstractNumId w:val="90"/>
  </w:num>
  <w:num w:numId="48">
    <w:abstractNumId w:val="74"/>
  </w:num>
  <w:num w:numId="49">
    <w:abstractNumId w:val="34"/>
  </w:num>
  <w:num w:numId="50">
    <w:abstractNumId w:val="63"/>
  </w:num>
  <w:num w:numId="51">
    <w:abstractNumId w:val="30"/>
  </w:num>
  <w:num w:numId="52">
    <w:abstractNumId w:val="72"/>
  </w:num>
  <w:num w:numId="53">
    <w:abstractNumId w:val="58"/>
  </w:num>
  <w:num w:numId="5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42"/>
  </w:num>
  <w:num w:numId="57">
    <w:abstractNumId w:val="55"/>
  </w:num>
  <w:num w:numId="58">
    <w:abstractNumId w:val="94"/>
  </w:num>
  <w:num w:numId="59">
    <w:abstractNumId w:val="40"/>
  </w:num>
  <w:num w:numId="60">
    <w:abstractNumId w:val="85"/>
  </w:num>
  <w:num w:numId="61">
    <w:abstractNumId w:val="81"/>
  </w:num>
  <w:num w:numId="62">
    <w:abstractNumId w:val="73"/>
  </w:num>
  <w:num w:numId="63">
    <w:abstractNumId w:val="78"/>
  </w:num>
  <w:num w:numId="64">
    <w:abstractNumId w:val="44"/>
  </w:num>
  <w:num w:numId="65">
    <w:abstractNumId w:val="75"/>
  </w:num>
  <w:num w:numId="66">
    <w:abstractNumId w:val="95"/>
  </w:num>
  <w:num w:numId="67">
    <w:abstractNumId w:val="27"/>
  </w:num>
  <w:num w:numId="68">
    <w:abstractNumId w:val="69"/>
  </w:num>
  <w:num w:numId="69">
    <w:abstractNumId w:val="84"/>
  </w:num>
  <w:num w:numId="70">
    <w:abstractNumId w:val="2"/>
  </w:num>
  <w:num w:numId="71">
    <w:abstractNumId w:val="49"/>
  </w:num>
  <w:num w:numId="72">
    <w:abstractNumId w:val="83"/>
  </w:num>
  <w:num w:numId="73">
    <w:abstractNumId w:val="76"/>
  </w:num>
  <w:num w:numId="74">
    <w:abstractNumId w:val="9"/>
  </w:num>
  <w:num w:numId="75">
    <w:abstractNumId w:val="68"/>
  </w:num>
  <w:num w:numId="76">
    <w:abstractNumId w:val="0"/>
  </w:num>
  <w:num w:numId="77">
    <w:abstractNumId w:val="45"/>
  </w:num>
  <w:num w:numId="78">
    <w:abstractNumId w:val="5"/>
  </w:num>
  <w:num w:numId="79">
    <w:abstractNumId w:val="25"/>
  </w:num>
  <w:num w:numId="80">
    <w:abstractNumId w:val="4"/>
  </w:num>
  <w:num w:numId="81">
    <w:abstractNumId w:val="8"/>
  </w:num>
  <w:num w:numId="82">
    <w:abstractNumId w:val="98"/>
  </w:num>
  <w:num w:numId="83">
    <w:abstractNumId w:val="17"/>
  </w:num>
  <w:num w:numId="84">
    <w:abstractNumId w:val="65"/>
  </w:num>
  <w:num w:numId="85">
    <w:abstractNumId w:val="47"/>
  </w:num>
  <w:num w:numId="86">
    <w:abstractNumId w:val="48"/>
  </w:num>
  <w:num w:numId="87">
    <w:abstractNumId w:val="53"/>
  </w:num>
  <w:num w:numId="88">
    <w:abstractNumId w:val="12"/>
  </w:num>
  <w:num w:numId="89">
    <w:abstractNumId w:val="56"/>
  </w:num>
  <w:num w:numId="90">
    <w:abstractNumId w:val="61"/>
  </w:num>
  <w:num w:numId="91">
    <w:abstractNumId w:val="51"/>
  </w:num>
  <w:num w:numId="92">
    <w:abstractNumId w:val="11"/>
  </w:num>
  <w:num w:numId="93">
    <w:abstractNumId w:val="59"/>
  </w:num>
  <w:num w:numId="94">
    <w:abstractNumId w:val="50"/>
  </w:num>
  <w:num w:numId="95">
    <w:abstractNumId w:val="46"/>
  </w:num>
  <w:num w:numId="96">
    <w:abstractNumId w:val="35"/>
  </w:num>
  <w:num w:numId="97">
    <w:abstractNumId w:val="54"/>
  </w:num>
  <w:num w:numId="98">
    <w:abstractNumId w:val="32"/>
  </w:num>
  <w:num w:numId="99">
    <w:abstractNumId w:val="3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09"/>
    <w:rsid w:val="0000238B"/>
    <w:rsid w:val="00034D66"/>
    <w:rsid w:val="00055646"/>
    <w:rsid w:val="000824B3"/>
    <w:rsid w:val="000859C2"/>
    <w:rsid w:val="000E0480"/>
    <w:rsid w:val="00101E89"/>
    <w:rsid w:val="00102CF3"/>
    <w:rsid w:val="001037DB"/>
    <w:rsid w:val="00131B33"/>
    <w:rsid w:val="0014290C"/>
    <w:rsid w:val="001535E2"/>
    <w:rsid w:val="00153BBB"/>
    <w:rsid w:val="0017534F"/>
    <w:rsid w:val="001A749A"/>
    <w:rsid w:val="001B56ED"/>
    <w:rsid w:val="001D544D"/>
    <w:rsid w:val="001F675E"/>
    <w:rsid w:val="001F6849"/>
    <w:rsid w:val="00230A55"/>
    <w:rsid w:val="00233CC6"/>
    <w:rsid w:val="0025559E"/>
    <w:rsid w:val="00274C49"/>
    <w:rsid w:val="002869BA"/>
    <w:rsid w:val="002A77DC"/>
    <w:rsid w:val="002B0BEA"/>
    <w:rsid w:val="002B7580"/>
    <w:rsid w:val="002C480A"/>
    <w:rsid w:val="002D0188"/>
    <w:rsid w:val="002D5A4C"/>
    <w:rsid w:val="002F4CC3"/>
    <w:rsid w:val="002F5B07"/>
    <w:rsid w:val="00310E64"/>
    <w:rsid w:val="00316088"/>
    <w:rsid w:val="0031656C"/>
    <w:rsid w:val="0032042D"/>
    <w:rsid w:val="003276BE"/>
    <w:rsid w:val="00327E85"/>
    <w:rsid w:val="00336ED3"/>
    <w:rsid w:val="0034664C"/>
    <w:rsid w:val="0034773B"/>
    <w:rsid w:val="003F2E49"/>
    <w:rsid w:val="00407013"/>
    <w:rsid w:val="004136C3"/>
    <w:rsid w:val="004277FA"/>
    <w:rsid w:val="004300BD"/>
    <w:rsid w:val="00436851"/>
    <w:rsid w:val="00450E4F"/>
    <w:rsid w:val="00453FC9"/>
    <w:rsid w:val="004A7840"/>
    <w:rsid w:val="004B3117"/>
    <w:rsid w:val="004C6F2B"/>
    <w:rsid w:val="004D1EC1"/>
    <w:rsid w:val="004D27E4"/>
    <w:rsid w:val="004E7018"/>
    <w:rsid w:val="00542DF2"/>
    <w:rsid w:val="00553E6A"/>
    <w:rsid w:val="00561029"/>
    <w:rsid w:val="00566C84"/>
    <w:rsid w:val="00592D06"/>
    <w:rsid w:val="005B020F"/>
    <w:rsid w:val="005B433E"/>
    <w:rsid w:val="006002EC"/>
    <w:rsid w:val="00602DDE"/>
    <w:rsid w:val="00606A51"/>
    <w:rsid w:val="00613DB1"/>
    <w:rsid w:val="00625FAA"/>
    <w:rsid w:val="00643588"/>
    <w:rsid w:val="006516A9"/>
    <w:rsid w:val="0065206A"/>
    <w:rsid w:val="006A1613"/>
    <w:rsid w:val="006C532A"/>
    <w:rsid w:val="006E75AD"/>
    <w:rsid w:val="006F6385"/>
    <w:rsid w:val="00753450"/>
    <w:rsid w:val="00767EB6"/>
    <w:rsid w:val="007768AB"/>
    <w:rsid w:val="00780472"/>
    <w:rsid w:val="00785DC6"/>
    <w:rsid w:val="007909A3"/>
    <w:rsid w:val="007A6003"/>
    <w:rsid w:val="007B777B"/>
    <w:rsid w:val="007D7B48"/>
    <w:rsid w:val="007E189C"/>
    <w:rsid w:val="007F0B45"/>
    <w:rsid w:val="007F5686"/>
    <w:rsid w:val="00810911"/>
    <w:rsid w:val="0081425A"/>
    <w:rsid w:val="0085180A"/>
    <w:rsid w:val="00865F05"/>
    <w:rsid w:val="008876EF"/>
    <w:rsid w:val="008A539B"/>
    <w:rsid w:val="008B5436"/>
    <w:rsid w:val="008C69F2"/>
    <w:rsid w:val="008E6A18"/>
    <w:rsid w:val="008F1A01"/>
    <w:rsid w:val="00903DB2"/>
    <w:rsid w:val="00930BB7"/>
    <w:rsid w:val="00993F09"/>
    <w:rsid w:val="00994EEB"/>
    <w:rsid w:val="009D1BAB"/>
    <w:rsid w:val="009D7A1E"/>
    <w:rsid w:val="009F00EE"/>
    <w:rsid w:val="009F0D92"/>
    <w:rsid w:val="009F17F8"/>
    <w:rsid w:val="00A0269A"/>
    <w:rsid w:val="00A0326A"/>
    <w:rsid w:val="00A3151D"/>
    <w:rsid w:val="00A3542E"/>
    <w:rsid w:val="00A37961"/>
    <w:rsid w:val="00A45C71"/>
    <w:rsid w:val="00A555B1"/>
    <w:rsid w:val="00A63544"/>
    <w:rsid w:val="00A81B5F"/>
    <w:rsid w:val="00A84F12"/>
    <w:rsid w:val="00A853E9"/>
    <w:rsid w:val="00A85453"/>
    <w:rsid w:val="00A92213"/>
    <w:rsid w:val="00AA49A3"/>
    <w:rsid w:val="00AC00E1"/>
    <w:rsid w:val="00AD0079"/>
    <w:rsid w:val="00AD4375"/>
    <w:rsid w:val="00AD7221"/>
    <w:rsid w:val="00AE1A41"/>
    <w:rsid w:val="00AE3CFD"/>
    <w:rsid w:val="00AF57D9"/>
    <w:rsid w:val="00B07965"/>
    <w:rsid w:val="00B342F5"/>
    <w:rsid w:val="00B369B5"/>
    <w:rsid w:val="00B858A3"/>
    <w:rsid w:val="00B979EB"/>
    <w:rsid w:val="00C0261A"/>
    <w:rsid w:val="00C17BD4"/>
    <w:rsid w:val="00C4199A"/>
    <w:rsid w:val="00CC2DD4"/>
    <w:rsid w:val="00CC4BC9"/>
    <w:rsid w:val="00CC6659"/>
    <w:rsid w:val="00D21557"/>
    <w:rsid w:val="00D23F15"/>
    <w:rsid w:val="00D40BA4"/>
    <w:rsid w:val="00D40D8C"/>
    <w:rsid w:val="00D5184B"/>
    <w:rsid w:val="00D835A7"/>
    <w:rsid w:val="00D843CE"/>
    <w:rsid w:val="00D93411"/>
    <w:rsid w:val="00DA4307"/>
    <w:rsid w:val="00E14C6D"/>
    <w:rsid w:val="00E4446B"/>
    <w:rsid w:val="00E7236D"/>
    <w:rsid w:val="00E84054"/>
    <w:rsid w:val="00E84518"/>
    <w:rsid w:val="00E950A8"/>
    <w:rsid w:val="00EC780E"/>
    <w:rsid w:val="00EE0D81"/>
    <w:rsid w:val="00EE55CD"/>
    <w:rsid w:val="00F06177"/>
    <w:rsid w:val="00F322F0"/>
    <w:rsid w:val="00FB4153"/>
    <w:rsid w:val="00FC1358"/>
    <w:rsid w:val="00FE579D"/>
    <w:rsid w:val="00FF06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CF092"/>
  <w15:chartTrackingRefBased/>
  <w15:docId w15:val="{91951B2F-5B18-4E3D-8F86-75983C4C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F09"/>
  </w:style>
  <w:style w:type="paragraph" w:styleId="Heading1">
    <w:name w:val="heading 1"/>
    <w:basedOn w:val="Normal"/>
    <w:next w:val="Normal"/>
    <w:link w:val="Heading1Char"/>
    <w:uiPriority w:val="9"/>
    <w:qFormat/>
    <w:rsid w:val="00993F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3F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F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93F09"/>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993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F09"/>
  </w:style>
  <w:style w:type="paragraph" w:customStyle="1" w:styleId="ProtectiveMarking">
    <w:name w:val="Protective Marking"/>
    <w:link w:val="ProtectiveMarkingChar"/>
    <w:uiPriority w:val="15"/>
    <w:semiHidden/>
    <w:qFormat/>
    <w:rsid w:val="00993F09"/>
    <w:pPr>
      <w:spacing w:after="0" w:line="240" w:lineRule="auto"/>
      <w:jc w:val="center"/>
    </w:pPr>
    <w:rPr>
      <w:rFonts w:ascii="Arial" w:hAnsi="Arial"/>
      <w:b/>
      <w:color w:val="FF0000"/>
      <w:sz w:val="30"/>
    </w:rPr>
  </w:style>
  <w:style w:type="character" w:styleId="PageNumber">
    <w:name w:val="page number"/>
    <w:basedOn w:val="DefaultParagraphFont"/>
    <w:uiPriority w:val="99"/>
    <w:semiHidden/>
    <w:unhideWhenUsed/>
    <w:rsid w:val="00993F09"/>
  </w:style>
  <w:style w:type="paragraph" w:customStyle="1" w:styleId="PageRefCab">
    <w:name w:val="Page Ref Cab"/>
    <w:uiPriority w:val="98"/>
    <w:semiHidden/>
    <w:rsid w:val="00993F09"/>
    <w:pPr>
      <w:framePr w:wrap="around" w:vAnchor="text" w:hAnchor="page" w:x="9403" w:y="139"/>
      <w:spacing w:after="200" w:line="240" w:lineRule="auto"/>
    </w:pPr>
    <w:rPr>
      <w:rFonts w:ascii="Arial" w:hAnsi="Arial"/>
      <w:sz w:val="18"/>
      <w:szCs w:val="18"/>
    </w:rPr>
  </w:style>
  <w:style w:type="paragraph" w:customStyle="1" w:styleId="CABFooter">
    <w:name w:val="CAB Footer"/>
    <w:basedOn w:val="Normal"/>
    <w:rsid w:val="00993F09"/>
    <w:pPr>
      <w:tabs>
        <w:tab w:val="right" w:pos="7513"/>
      </w:tabs>
      <w:spacing w:after="0" w:line="276" w:lineRule="auto"/>
      <w:ind w:right="357"/>
      <w:jc w:val="center"/>
    </w:pPr>
    <w:rPr>
      <w:rFonts w:ascii="Times New Roman" w:hAnsi="Times New Roman"/>
      <w:sz w:val="18"/>
      <w:szCs w:val="18"/>
    </w:rPr>
  </w:style>
  <w:style w:type="character" w:customStyle="1" w:styleId="ProtectiveMarkingChar">
    <w:name w:val="Protective Marking Char"/>
    <w:basedOn w:val="DefaultParagraphFont"/>
    <w:link w:val="ProtectiveMarking"/>
    <w:uiPriority w:val="15"/>
    <w:semiHidden/>
    <w:rsid w:val="00993F09"/>
    <w:rPr>
      <w:rFonts w:ascii="Arial" w:hAnsi="Arial"/>
      <w:b/>
      <w:color w:val="FF0000"/>
      <w:sz w:val="30"/>
    </w:rPr>
  </w:style>
  <w:style w:type="paragraph" w:customStyle="1" w:styleId="TOCLevel1">
    <w:name w:val="TOCLevel1"/>
    <w:basedOn w:val="Normal"/>
    <w:link w:val="TOCLevel1Char"/>
    <w:uiPriority w:val="98"/>
    <w:qFormat/>
    <w:rsid w:val="00993F09"/>
    <w:pPr>
      <w:keepNext/>
      <w:keepLines/>
      <w:tabs>
        <w:tab w:val="left" w:pos="567"/>
      </w:tabs>
      <w:spacing w:before="240" w:after="200" w:line="240" w:lineRule="auto"/>
      <w:jc w:val="right"/>
      <w:outlineLvl w:val="0"/>
    </w:pPr>
    <w:rPr>
      <w:rFonts w:ascii="Arial" w:eastAsia="MS PGothic" w:hAnsi="Arial" w:cs="Times New Roman"/>
      <w:b/>
      <w:bCs/>
      <w:color w:val="003865"/>
      <w:sz w:val="24"/>
      <w:szCs w:val="28"/>
    </w:rPr>
  </w:style>
  <w:style w:type="character" w:customStyle="1" w:styleId="TOCLevel1Char">
    <w:name w:val="TOCLevel1 Char"/>
    <w:basedOn w:val="DefaultParagraphFont"/>
    <w:link w:val="TOCLevel1"/>
    <w:uiPriority w:val="98"/>
    <w:rsid w:val="00993F09"/>
    <w:rPr>
      <w:rFonts w:ascii="Arial" w:eastAsia="MS PGothic" w:hAnsi="Arial" w:cs="Times New Roman"/>
      <w:b/>
      <w:bCs/>
      <w:color w:val="003865"/>
      <w:sz w:val="24"/>
      <w:szCs w:val="28"/>
    </w:rPr>
  </w:style>
  <w:style w:type="table" w:customStyle="1" w:styleId="GridTable4-Accent21">
    <w:name w:val="Grid Table 4 - Accent 21"/>
    <w:basedOn w:val="TableNormal"/>
    <w:next w:val="GridTable4-Accent2"/>
    <w:uiPriority w:val="49"/>
    <w:rsid w:val="00993F09"/>
    <w:pPr>
      <w:spacing w:after="0" w:line="240" w:lineRule="auto"/>
    </w:pPr>
    <w:tblPr>
      <w:tblStyleRowBandSize w:val="1"/>
      <w:tblStyleColBandSize w:val="1"/>
      <w:tblBorders>
        <w:top w:val="single" w:sz="4" w:space="0" w:color="ACC1D6"/>
        <w:left w:val="single" w:sz="4" w:space="0" w:color="ACC1D6"/>
        <w:bottom w:val="single" w:sz="4" w:space="0" w:color="ACC1D6"/>
        <w:right w:val="single" w:sz="4" w:space="0" w:color="ACC1D6"/>
        <w:insideH w:val="single" w:sz="4" w:space="0" w:color="ACC1D6"/>
        <w:insideV w:val="single" w:sz="4" w:space="0" w:color="ACC1D6"/>
      </w:tblBorders>
    </w:tblPr>
    <w:tblStylePr w:type="firstRow">
      <w:rPr>
        <w:b/>
        <w:bCs/>
        <w:color w:val="FFFFFF"/>
      </w:rPr>
      <w:tblPr/>
      <w:tcPr>
        <w:tcBorders>
          <w:top w:val="single" w:sz="4" w:space="0" w:color="7599BB"/>
          <w:left w:val="single" w:sz="4" w:space="0" w:color="7599BB"/>
          <w:bottom w:val="single" w:sz="4" w:space="0" w:color="7599BB"/>
          <w:right w:val="single" w:sz="4" w:space="0" w:color="7599BB"/>
          <w:insideH w:val="nil"/>
          <w:insideV w:val="nil"/>
        </w:tcBorders>
        <w:shd w:val="clear" w:color="auto" w:fill="7599BB"/>
      </w:tcPr>
    </w:tblStylePr>
    <w:tblStylePr w:type="lastRow">
      <w:rPr>
        <w:b/>
        <w:bCs/>
      </w:rPr>
      <w:tblPr/>
      <w:tcPr>
        <w:tcBorders>
          <w:top w:val="double" w:sz="4" w:space="0" w:color="7599BB"/>
        </w:tcBorders>
      </w:tcPr>
    </w:tblStylePr>
    <w:tblStylePr w:type="firstCol">
      <w:rPr>
        <w:b/>
        <w:bCs/>
      </w:rPr>
    </w:tblStylePr>
    <w:tblStylePr w:type="lastCol">
      <w:rPr>
        <w:b/>
        <w:bCs/>
      </w:rPr>
    </w:tblStylePr>
    <w:tblStylePr w:type="band1Vert">
      <w:tblPr/>
      <w:tcPr>
        <w:shd w:val="clear" w:color="auto" w:fill="E3EAF1"/>
      </w:tcPr>
    </w:tblStylePr>
    <w:tblStylePr w:type="band1Horz">
      <w:tblPr/>
      <w:tcPr>
        <w:shd w:val="clear" w:color="auto" w:fill="E3EAF1"/>
      </w:tcPr>
    </w:tblStylePr>
  </w:style>
  <w:style w:type="table" w:customStyle="1" w:styleId="TableGrid1">
    <w:name w:val="Table Grid1"/>
    <w:basedOn w:val="TableNormal"/>
    <w:next w:val="TableGrid"/>
    <w:uiPriority w:val="39"/>
    <w:rsid w:val="00993F09"/>
    <w:pPr>
      <w:spacing w:after="0" w:line="240" w:lineRule="auto"/>
    </w:pPr>
    <w:rPr>
      <w:sz w:val="20"/>
    </w:rPr>
    <w:tblPr>
      <w:tblBorders>
        <w:insideH w:val="single" w:sz="4" w:space="0" w:color="7599BB"/>
        <w:insideV w:val="single" w:sz="4" w:space="0" w:color="7599BB"/>
      </w:tblBorders>
    </w:tblPr>
    <w:tblStylePr w:type="firstRow">
      <w:tblPr/>
      <w:tcPr>
        <w:shd w:val="clear" w:color="auto" w:fill="E3EAF1"/>
      </w:tcPr>
    </w:tblStylePr>
  </w:style>
  <w:style w:type="character" w:customStyle="1" w:styleId="HyperlinkCab1">
    <w:name w:val="Hyperlink Cab1"/>
    <w:basedOn w:val="DefaultParagraphFont"/>
    <w:uiPriority w:val="99"/>
    <w:rsid w:val="00993F09"/>
    <w:rPr>
      <w:color w:val="003865"/>
      <w:u w:val="single"/>
    </w:rPr>
  </w:style>
  <w:style w:type="paragraph" w:customStyle="1" w:styleId="FootnoteText1">
    <w:name w:val="Footnote Text1"/>
    <w:basedOn w:val="Normal"/>
    <w:next w:val="FootnoteText"/>
    <w:link w:val="FootnoteTextChar"/>
    <w:uiPriority w:val="99"/>
    <w:semiHidden/>
    <w:unhideWhenUsed/>
    <w:rsid w:val="00993F09"/>
    <w:pPr>
      <w:spacing w:after="0" w:line="240" w:lineRule="auto"/>
    </w:pPr>
    <w:rPr>
      <w:color w:val="FFFFFF"/>
      <w:sz w:val="16"/>
      <w:szCs w:val="20"/>
    </w:rPr>
  </w:style>
  <w:style w:type="character" w:customStyle="1" w:styleId="FootnoteTextChar">
    <w:name w:val="Footnote Text Char"/>
    <w:basedOn w:val="DefaultParagraphFont"/>
    <w:link w:val="FootnoteText1"/>
    <w:uiPriority w:val="99"/>
    <w:semiHidden/>
    <w:rsid w:val="00993F09"/>
    <w:rPr>
      <w:color w:val="FFFFFF"/>
      <w:sz w:val="16"/>
      <w:szCs w:val="20"/>
    </w:rPr>
  </w:style>
  <w:style w:type="character" w:styleId="FootnoteReference">
    <w:name w:val="footnote reference"/>
    <w:basedOn w:val="DefaultParagraphFont"/>
    <w:uiPriority w:val="99"/>
    <w:semiHidden/>
    <w:unhideWhenUsed/>
    <w:rsid w:val="00993F09"/>
    <w:rPr>
      <w:vertAlign w:val="superscript"/>
    </w:rPr>
  </w:style>
  <w:style w:type="paragraph" w:customStyle="1" w:styleId="Pa0">
    <w:name w:val="Pa0"/>
    <w:basedOn w:val="Normal"/>
    <w:next w:val="Normal"/>
    <w:uiPriority w:val="99"/>
    <w:rsid w:val="00993F09"/>
    <w:pPr>
      <w:autoSpaceDE w:val="0"/>
      <w:autoSpaceDN w:val="0"/>
      <w:adjustRightInd w:val="0"/>
      <w:spacing w:after="0" w:line="201" w:lineRule="atLeast"/>
    </w:pPr>
    <w:rPr>
      <w:rFonts w:ascii="Work Sans" w:hAnsi="Work Sans" w:cs="Times New Roman"/>
      <w:sz w:val="24"/>
      <w:szCs w:val="24"/>
    </w:rPr>
  </w:style>
  <w:style w:type="paragraph" w:styleId="ListParagraph">
    <w:name w:val="List Paragraph"/>
    <w:aliases w:val="Bullets,List Paragraph1,Recommendation,List Paragraph11,TOC style,lp1,Bullet OSM,Proposal Bullet List,List Paragraph111,L,F5 List Paragraph,Dot pt,CV text,Table text,Medium Grid 1 - Accent 21,Numbered Paragraph,List Paragraph2,FooterText"/>
    <w:basedOn w:val="Normal"/>
    <w:link w:val="ListParagraphChar"/>
    <w:uiPriority w:val="34"/>
    <w:qFormat/>
    <w:rsid w:val="00993F09"/>
    <w:pPr>
      <w:ind w:left="720"/>
      <w:contextualSpacing/>
    </w:pPr>
  </w:style>
  <w:style w:type="table" w:styleId="GridTable4-Accent2">
    <w:name w:val="Grid Table 4 Accent 2"/>
    <w:basedOn w:val="TableNormal"/>
    <w:uiPriority w:val="49"/>
    <w:rsid w:val="00993F0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39"/>
    <w:rsid w:val="00993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993F0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993F09"/>
    <w:rPr>
      <w:sz w:val="20"/>
      <w:szCs w:val="20"/>
    </w:rPr>
  </w:style>
  <w:style w:type="paragraph" w:styleId="BalloonText">
    <w:name w:val="Balloon Text"/>
    <w:basedOn w:val="Normal"/>
    <w:link w:val="BalloonTextChar"/>
    <w:uiPriority w:val="99"/>
    <w:semiHidden/>
    <w:unhideWhenUsed/>
    <w:rsid w:val="00993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F09"/>
    <w:rPr>
      <w:rFonts w:ascii="Segoe UI" w:hAnsi="Segoe UI" w:cs="Segoe UI"/>
      <w:sz w:val="18"/>
      <w:szCs w:val="18"/>
    </w:rPr>
  </w:style>
  <w:style w:type="character" w:styleId="CommentReference">
    <w:name w:val="annotation reference"/>
    <w:basedOn w:val="DefaultParagraphFont"/>
    <w:uiPriority w:val="99"/>
    <w:semiHidden/>
    <w:unhideWhenUsed/>
    <w:rsid w:val="00993F09"/>
    <w:rPr>
      <w:sz w:val="16"/>
      <w:szCs w:val="16"/>
    </w:rPr>
  </w:style>
  <w:style w:type="paragraph" w:styleId="CommentText">
    <w:name w:val="annotation text"/>
    <w:basedOn w:val="Normal"/>
    <w:link w:val="CommentTextChar"/>
    <w:uiPriority w:val="99"/>
    <w:unhideWhenUsed/>
    <w:rsid w:val="00993F09"/>
    <w:pPr>
      <w:spacing w:line="240" w:lineRule="auto"/>
    </w:pPr>
    <w:rPr>
      <w:sz w:val="20"/>
      <w:szCs w:val="20"/>
    </w:rPr>
  </w:style>
  <w:style w:type="character" w:customStyle="1" w:styleId="CommentTextChar">
    <w:name w:val="Comment Text Char"/>
    <w:basedOn w:val="DefaultParagraphFont"/>
    <w:link w:val="CommentText"/>
    <w:uiPriority w:val="99"/>
    <w:rsid w:val="00993F09"/>
    <w:rPr>
      <w:sz w:val="20"/>
      <w:szCs w:val="20"/>
    </w:rPr>
  </w:style>
  <w:style w:type="paragraph" w:styleId="CommentSubject">
    <w:name w:val="annotation subject"/>
    <w:basedOn w:val="CommentText"/>
    <w:next w:val="CommentText"/>
    <w:link w:val="CommentSubjectChar"/>
    <w:uiPriority w:val="99"/>
    <w:semiHidden/>
    <w:unhideWhenUsed/>
    <w:rsid w:val="00993F09"/>
    <w:rPr>
      <w:b/>
      <w:bCs/>
    </w:rPr>
  </w:style>
  <w:style w:type="character" w:customStyle="1" w:styleId="CommentSubjectChar">
    <w:name w:val="Comment Subject Char"/>
    <w:basedOn w:val="CommentTextChar"/>
    <w:link w:val="CommentSubject"/>
    <w:uiPriority w:val="99"/>
    <w:semiHidden/>
    <w:rsid w:val="00993F09"/>
    <w:rPr>
      <w:b/>
      <w:bCs/>
      <w:sz w:val="20"/>
      <w:szCs w:val="20"/>
    </w:rPr>
  </w:style>
  <w:style w:type="character" w:customStyle="1" w:styleId="ListParagraphChar">
    <w:name w:val="List Paragraph Char"/>
    <w:aliases w:val="Bullets Char,List Paragraph1 Char,Recommendation Char,List Paragraph11 Char,TOC style Char,lp1 Char,Bullet OSM Char,Proposal Bullet List Char,List Paragraph111 Char,L Char,F5 List Paragraph Char,Dot pt Char,CV text Char"/>
    <w:basedOn w:val="DefaultParagraphFont"/>
    <w:link w:val="ListParagraph"/>
    <w:uiPriority w:val="34"/>
    <w:qFormat/>
    <w:locked/>
    <w:rsid w:val="00993F09"/>
  </w:style>
  <w:style w:type="character" w:styleId="Hyperlink">
    <w:name w:val="Hyperlink"/>
    <w:basedOn w:val="DefaultParagraphFont"/>
    <w:uiPriority w:val="99"/>
    <w:unhideWhenUsed/>
    <w:rsid w:val="007E189C"/>
    <w:rPr>
      <w:color w:val="0000FF"/>
      <w:u w:val="single"/>
    </w:rPr>
  </w:style>
  <w:style w:type="table" w:styleId="ListTable4-Accent5">
    <w:name w:val="List Table 4 Accent 5"/>
    <w:basedOn w:val="TableNormal"/>
    <w:uiPriority w:val="49"/>
    <w:rsid w:val="00993F0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993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F09"/>
  </w:style>
  <w:style w:type="paragraph" w:styleId="Revision">
    <w:name w:val="Revision"/>
    <w:hidden/>
    <w:uiPriority w:val="99"/>
    <w:semiHidden/>
    <w:rsid w:val="00993F09"/>
    <w:pPr>
      <w:spacing w:after="0" w:line="240" w:lineRule="auto"/>
    </w:pPr>
  </w:style>
  <w:style w:type="paragraph" w:customStyle="1" w:styleId="Default">
    <w:name w:val="Default"/>
    <w:rsid w:val="00993F0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1">
    <w:name w:val="Table Grid11"/>
    <w:basedOn w:val="TableNormal"/>
    <w:next w:val="TableGrid"/>
    <w:uiPriority w:val="39"/>
    <w:rsid w:val="00993F09"/>
    <w:pPr>
      <w:spacing w:after="0" w:line="240" w:lineRule="auto"/>
    </w:pPr>
    <w:rPr>
      <w:sz w:val="20"/>
    </w:rPr>
    <w:tblPr>
      <w:tblBorders>
        <w:insideH w:val="single" w:sz="4" w:space="0" w:color="7599BB"/>
        <w:insideV w:val="single" w:sz="4" w:space="0" w:color="7599BB"/>
      </w:tblBorders>
    </w:tblPr>
    <w:tblStylePr w:type="firstRow">
      <w:tblPr/>
      <w:tcPr>
        <w:shd w:val="clear" w:color="auto" w:fill="E3EAF1"/>
      </w:tcPr>
    </w:tblStylePr>
  </w:style>
  <w:style w:type="paragraph" w:styleId="Title">
    <w:name w:val="Title"/>
    <w:basedOn w:val="Normal"/>
    <w:next w:val="Normal"/>
    <w:link w:val="TitleChar"/>
    <w:uiPriority w:val="10"/>
    <w:qFormat/>
    <w:rsid w:val="00993F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F09"/>
    <w:rPr>
      <w:rFonts w:asciiTheme="majorHAnsi" w:eastAsiaTheme="majorEastAsia" w:hAnsiTheme="majorHAnsi" w:cstheme="majorBidi"/>
      <w:spacing w:val="-10"/>
      <w:kern w:val="28"/>
      <w:sz w:val="56"/>
      <w:szCs w:val="56"/>
    </w:rPr>
  </w:style>
  <w:style w:type="table" w:styleId="ListTable3-Accent5">
    <w:name w:val="List Table 3 Accent 5"/>
    <w:basedOn w:val="TableNormal"/>
    <w:uiPriority w:val="48"/>
    <w:rsid w:val="00993F0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5">
    <w:name w:val="Grid Table 4 Accent 5"/>
    <w:basedOn w:val="TableNormal"/>
    <w:uiPriority w:val="49"/>
    <w:rsid w:val="00993F0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
    <w:name w:val="Grid Table 1 Light"/>
    <w:basedOn w:val="TableNormal"/>
    <w:uiPriority w:val="46"/>
    <w:rsid w:val="00993F0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stParagraph2">
    <w:name w:val="List Paragraph 2"/>
    <w:basedOn w:val="Normal"/>
    <w:uiPriority w:val="19"/>
    <w:rsid w:val="00993F09"/>
    <w:pPr>
      <w:spacing w:before="120" w:after="120" w:line="264" w:lineRule="auto"/>
      <w:ind w:left="568"/>
    </w:pPr>
    <w:rPr>
      <w:rFonts w:ascii="Times New Roman" w:hAnsi="Times New Roman" w:cs="Times New Roman"/>
      <w:sz w:val="20"/>
      <w:szCs w:val="20"/>
      <w:lang w:eastAsia="en-AU"/>
    </w:rPr>
  </w:style>
  <w:style w:type="paragraph" w:customStyle="1" w:styleId="ListParagraph3">
    <w:name w:val="List Paragraph 3"/>
    <w:basedOn w:val="Normal"/>
    <w:uiPriority w:val="19"/>
    <w:rsid w:val="00993F09"/>
    <w:pPr>
      <w:spacing w:before="120" w:after="120" w:line="264" w:lineRule="auto"/>
      <w:ind w:left="852"/>
    </w:pPr>
    <w:rPr>
      <w:rFonts w:ascii="Times New Roman" w:hAnsi="Times New Roman" w:cs="Times New Roman"/>
      <w:sz w:val="20"/>
      <w:szCs w:val="20"/>
      <w:lang w:eastAsia="en-AU"/>
    </w:rPr>
  </w:style>
  <w:style w:type="paragraph" w:customStyle="1" w:styleId="ListParagraph4">
    <w:name w:val="List Paragraph 4"/>
    <w:basedOn w:val="Normal"/>
    <w:uiPriority w:val="19"/>
    <w:rsid w:val="00993F09"/>
    <w:pPr>
      <w:spacing w:before="120" w:after="120" w:line="264" w:lineRule="auto"/>
      <w:ind w:left="1136"/>
    </w:pPr>
    <w:rPr>
      <w:rFonts w:ascii="Times New Roman" w:hAnsi="Times New Roman" w:cs="Times New Roman"/>
      <w:sz w:val="20"/>
      <w:szCs w:val="20"/>
      <w:lang w:eastAsia="en-AU"/>
    </w:rPr>
  </w:style>
  <w:style w:type="paragraph" w:customStyle="1" w:styleId="ListParagraph5">
    <w:name w:val="List Paragraph 5"/>
    <w:basedOn w:val="Normal"/>
    <w:uiPriority w:val="19"/>
    <w:rsid w:val="00993F09"/>
    <w:pPr>
      <w:spacing w:before="120" w:after="120" w:line="264" w:lineRule="auto"/>
      <w:ind w:left="1420"/>
    </w:pPr>
    <w:rPr>
      <w:rFonts w:ascii="Times New Roman" w:hAnsi="Times New Roman" w:cs="Times New Roman"/>
      <w:sz w:val="20"/>
      <w:szCs w:val="20"/>
      <w:lang w:eastAsia="en-AU"/>
    </w:rPr>
  </w:style>
  <w:style w:type="paragraph" w:customStyle="1" w:styleId="ListParagraph6">
    <w:name w:val="List Paragraph 6"/>
    <w:basedOn w:val="Normal"/>
    <w:uiPriority w:val="19"/>
    <w:rsid w:val="00993F09"/>
    <w:pPr>
      <w:spacing w:before="120" w:after="120" w:line="264" w:lineRule="auto"/>
      <w:ind w:left="1704"/>
    </w:pPr>
    <w:rPr>
      <w:rFonts w:ascii="Times New Roman" w:hAnsi="Times New Roman" w:cs="Times New Roman"/>
      <w:sz w:val="20"/>
      <w:szCs w:val="20"/>
      <w:lang w:eastAsia="en-AU"/>
    </w:rPr>
  </w:style>
  <w:style w:type="paragraph" w:customStyle="1" w:styleId="CABNumberedParagraph">
    <w:name w:val="CAB Numbered Paragraph"/>
    <w:basedOn w:val="Normal"/>
    <w:uiPriority w:val="98"/>
    <w:rsid w:val="00993F09"/>
    <w:pPr>
      <w:spacing w:after="200" w:line="276" w:lineRule="auto"/>
      <w:ind w:left="2553"/>
    </w:pPr>
    <w:rPr>
      <w:rFonts w:ascii="Arial" w:hAnsi="Arial" w:cs="Arial"/>
    </w:rPr>
  </w:style>
  <w:style w:type="paragraph" w:customStyle="1" w:styleId="subsection">
    <w:name w:val="subsection"/>
    <w:aliases w:val="ss"/>
    <w:basedOn w:val="Normal"/>
    <w:link w:val="subsectionChar"/>
    <w:rsid w:val="004D27E4"/>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4D27E4"/>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4D27E4"/>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link w:val="subsection"/>
    <w:locked/>
    <w:rsid w:val="004D27E4"/>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4D27E4"/>
    <w:rPr>
      <w:rFonts w:ascii="Times New Roman" w:eastAsia="Times New Roman" w:hAnsi="Times New Roman" w:cs="Times New Roman"/>
      <w:szCs w:val="20"/>
      <w:lang w:eastAsia="en-AU"/>
    </w:rPr>
  </w:style>
  <w:style w:type="character" w:customStyle="1" w:styleId="notetextChar">
    <w:name w:val="note(text) Char"/>
    <w:aliases w:val="n Char"/>
    <w:link w:val="notetext"/>
    <w:rsid w:val="004D27E4"/>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A0326A"/>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link w:val="subsection2Char"/>
    <w:rsid w:val="00E84518"/>
    <w:pPr>
      <w:spacing w:before="40" w:after="0" w:line="240" w:lineRule="auto"/>
      <w:ind w:left="1134"/>
    </w:pPr>
    <w:rPr>
      <w:rFonts w:ascii="Times New Roman" w:eastAsia="Times New Roman" w:hAnsi="Times New Roman" w:cs="Times New Roman"/>
      <w:szCs w:val="20"/>
      <w:lang w:eastAsia="en-AU"/>
    </w:rPr>
  </w:style>
  <w:style w:type="character" w:customStyle="1" w:styleId="subsection2Char">
    <w:name w:val="subsection2 Char"/>
    <w:aliases w:val="ss2 Char"/>
    <w:link w:val="subsection2"/>
    <w:rsid w:val="00E84518"/>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88143">
      <w:bodyDiv w:val="1"/>
      <w:marLeft w:val="0"/>
      <w:marRight w:val="0"/>
      <w:marTop w:val="0"/>
      <w:marBottom w:val="0"/>
      <w:divBdr>
        <w:top w:val="none" w:sz="0" w:space="0" w:color="auto"/>
        <w:left w:val="none" w:sz="0" w:space="0" w:color="auto"/>
        <w:bottom w:val="none" w:sz="0" w:space="0" w:color="auto"/>
        <w:right w:val="none" w:sz="0" w:space="0" w:color="auto"/>
      </w:divBdr>
    </w:div>
    <w:div w:id="419446663">
      <w:bodyDiv w:val="1"/>
      <w:marLeft w:val="0"/>
      <w:marRight w:val="0"/>
      <w:marTop w:val="0"/>
      <w:marBottom w:val="0"/>
      <w:divBdr>
        <w:top w:val="none" w:sz="0" w:space="0" w:color="auto"/>
        <w:left w:val="none" w:sz="0" w:space="0" w:color="auto"/>
        <w:bottom w:val="none" w:sz="0" w:space="0" w:color="auto"/>
        <w:right w:val="none" w:sz="0" w:space="0" w:color="auto"/>
      </w:divBdr>
      <w:divsChild>
        <w:div w:id="2019499237">
          <w:marLeft w:val="0"/>
          <w:marRight w:val="0"/>
          <w:marTop w:val="0"/>
          <w:marBottom w:val="0"/>
          <w:divBdr>
            <w:top w:val="none" w:sz="0" w:space="0" w:color="auto"/>
            <w:left w:val="none" w:sz="0" w:space="0" w:color="auto"/>
            <w:bottom w:val="none" w:sz="0" w:space="0" w:color="auto"/>
            <w:right w:val="none" w:sz="0" w:space="0" w:color="auto"/>
          </w:divBdr>
          <w:divsChild>
            <w:div w:id="19164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smh.com.au/national/nsw/traffic-chaos-from-sydney-harbour-bridge-drama-cost-city-up-to-10-million-20180404-p4z7rb.html" TargetMode="External"/><Relationship Id="rId7" Type="http://schemas.openxmlformats.org/officeDocument/2006/relationships/hyperlink" Target="https://www.homeaffairs.gov.au/reports-and-pubs/files/critical-infrastructure-consultation-submissions/Submission-009-CyberOps.PDF" TargetMode="External"/><Relationship Id="rId2" Type="http://schemas.openxmlformats.org/officeDocument/2006/relationships/hyperlink" Target="https://www.infrastructureaustralia.gov.au/listing/speech/asset-management-critical-infrastructure" TargetMode="External"/><Relationship Id="rId1" Type="http://schemas.openxmlformats.org/officeDocument/2006/relationships/hyperlink" Target="https://www.sbs.com.au/news/sa-blackout-cost-business-367-million" TargetMode="External"/><Relationship Id="rId6" Type="http://schemas.openxmlformats.org/officeDocument/2006/relationships/hyperlink" Target="file://din.bcz.gov.au/users/CBR01/JT97ZF/home/Downloads/deloitte-au-economics-building-resilience-natural%20disasters-states-territories-161117.pdf" TargetMode="External"/><Relationship Id="rId5" Type="http://schemas.openxmlformats.org/officeDocument/2006/relationships/hyperlink" Target="https://www.ipart.nsw.gov.au/Home/Industries/Energy/Energy-Networks-Safety-Reliability-eand-Compliance/Electricity-networks/Licence-conditions-and-regulatory-instruments" TargetMode="External"/><Relationship Id="rId4" Type="http://schemas.openxmlformats.org/officeDocument/2006/relationships/hyperlink" Target="https://www.austcyber.com/resource/digitaltrustreport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51A5E-9A68-4779-9BBE-20192C6EF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34129</Words>
  <Characters>194539</Characters>
  <Application>Microsoft Office Word</Application>
  <DocSecurity>4</DocSecurity>
  <Lines>1621</Lines>
  <Paragraphs>456</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228212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Sanchita EKANAYAKE</dc:creator>
  <cp:keywords/>
  <dc:description/>
  <cp:lastModifiedBy>Nick WOKKER</cp:lastModifiedBy>
  <cp:revision>2</cp:revision>
  <cp:lastPrinted>2020-12-03T01:28:00Z</cp:lastPrinted>
  <dcterms:created xsi:type="dcterms:W3CDTF">2020-12-03T22:06:00Z</dcterms:created>
  <dcterms:modified xsi:type="dcterms:W3CDTF">2020-12-03T22:06:00Z</dcterms:modified>
</cp:coreProperties>
</file>