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quickStyle2.xml" ContentType="application/vnd.openxmlformats-officedocument.drawingml.diagramStyle+xml"/>
  <Override PartName="/word/diagrams/layout2.xml" ContentType="application/vnd.openxmlformats-officedocument.drawingml.diagramLayout+xml"/>
  <Override PartName="/word/charts/colors1.xml" ContentType="application/vnd.ms-office.chartcolorstyle+xml"/>
  <Override PartName="/word/diagrams/colors2.xml" ContentType="application/vnd.openxmlformats-officedocument.drawingml.diagramColors+xml"/>
  <Override PartName="/word/diagrams/drawing2.xml" ContentType="application/vnd.ms-office.drawingml.diagramDrawing+xml"/>
  <Override PartName="/word/charts/style1.xml" ContentType="application/vnd.ms-office.chart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1" w:name="_Hlk35951117" w:displacedByCustomXml="next"/>
    <w:bookmarkEnd w:id="1" w:displacedByCustomXml="next"/>
    <w:sdt>
      <w:sdtPr>
        <w:id w:val="1576629942"/>
        <w:docPartObj>
          <w:docPartGallery w:val="Cover Pages"/>
          <w:docPartUnique/>
        </w:docPartObj>
      </w:sdtPr>
      <w:sdtContent>
        <w:p w14:paraId="6454D611" w14:textId="154A9A8A" w:rsidR="006E4728" w:rsidRDefault="007A1D08">
          <w:r w:rsidRPr="007A1D08">
            <w:rPr>
              <w:noProof/>
            </w:rPr>
            <w:drawing>
              <wp:anchor distT="0" distB="0" distL="114300" distR="114300" simplePos="0" relativeHeight="251658246" behindDoc="0" locked="0" layoutInCell="1" allowOverlap="1" wp14:anchorId="6D6DCEFA" wp14:editId="6A921219">
                <wp:simplePos x="0" y="0"/>
                <wp:positionH relativeFrom="page">
                  <wp:posOffset>345057</wp:posOffset>
                </wp:positionH>
                <wp:positionV relativeFrom="paragraph">
                  <wp:posOffset>-672860</wp:posOffset>
                </wp:positionV>
                <wp:extent cx="6887210" cy="7332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07060" cy="735358"/>
                        </a:xfrm>
                        <a:prstGeom prst="rect">
                          <a:avLst/>
                        </a:prstGeom>
                        <a:solidFill>
                          <a:schemeClr val="bg2">
                            <a:lumMod val="50000"/>
                          </a:schemeClr>
                        </a:solidFill>
                      </pic:spPr>
                    </pic:pic>
                  </a:graphicData>
                </a:graphic>
                <wp14:sizeRelH relativeFrom="page">
                  <wp14:pctWidth>0</wp14:pctWidth>
                </wp14:sizeRelH>
                <wp14:sizeRelV relativeFrom="page">
                  <wp14:pctHeight>0</wp14:pctHeight>
                </wp14:sizeRelV>
              </wp:anchor>
            </w:drawing>
          </w:r>
          <w:r w:rsidR="006E4728">
            <w:rPr>
              <w:noProof/>
            </w:rPr>
            <mc:AlternateContent>
              <mc:Choice Requires="wps">
                <w:drawing>
                  <wp:anchor distT="0" distB="0" distL="114300" distR="114300" simplePos="0" relativeHeight="251658245" behindDoc="1" locked="0" layoutInCell="1" allowOverlap="0" wp14:anchorId="25A53DF1" wp14:editId="37E6AC12">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07026A"/>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EC194F" w14:paraId="30E4CAE4" w14:textId="77777777">
                                  <w:trPr>
                                    <w:trHeight w:hRule="exact" w:val="9360"/>
                                  </w:trPr>
                                  <w:tc>
                                    <w:tcPr>
                                      <w:tcW w:w="9350" w:type="dxa"/>
                                    </w:tcPr>
                                    <w:p w14:paraId="700953E7" w14:textId="77777777" w:rsidR="00EC194F" w:rsidRDefault="00EC194F">
                                      <w:r>
                                        <w:rPr>
                                          <w:noProof/>
                                        </w:rPr>
                                        <w:drawing>
                                          <wp:inline distT="0" distB="0" distL="0" distR="0" wp14:anchorId="5EE99C8D" wp14:editId="504F4B62">
                                            <wp:extent cx="6858000" cy="5959637"/>
                                            <wp:effectExtent l="0" t="0" r="0" b="3175"/>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6877791" cy="5976835"/>
                                                    </a:xfrm>
                                                    <a:prstGeom prst="rect">
                                                      <a:avLst/>
                                                    </a:prstGeom>
                                                    <a:ln>
                                                      <a:noFill/>
                                                    </a:ln>
                                                    <a:extLst>
                                                      <a:ext uri="{53640926-AAD7-44D8-BBD7-CCE9431645EC}">
                                                        <a14:shadowObscured xmlns:a14="http://schemas.microsoft.com/office/drawing/2010/main"/>
                                                      </a:ext>
                                                    </a:extLst>
                                                  </pic:spPr>
                                                </pic:pic>
                                              </a:graphicData>
                                            </a:graphic>
                                          </wp:inline>
                                        </w:drawing>
                                      </w:r>
                                    </w:p>
                                  </w:tc>
                                </w:tr>
                                <w:tr w:rsidR="00EC194F" w14:paraId="6F266CD1" w14:textId="77777777" w:rsidTr="000F519A">
                                  <w:trPr>
                                    <w:trHeight w:hRule="exact" w:val="4320"/>
                                  </w:trPr>
                                  <w:tc>
                                    <w:tcPr>
                                      <w:tcW w:w="9350" w:type="dxa"/>
                                      <w:shd w:val="clear" w:color="auto" w:fill="1C6194" w:themeFill="accent6" w:themeFillShade="BF"/>
                                      <w:vAlign w:val="center"/>
                                    </w:tcPr>
                                    <w:p w14:paraId="54485DF9" w14:textId="220B802B" w:rsidR="00EC194F" w:rsidRPr="000C30A9" w:rsidRDefault="00EC194F">
                                      <w:pPr>
                                        <w:pStyle w:val="NoSpacing"/>
                                        <w:spacing w:before="200" w:line="216" w:lineRule="auto"/>
                                        <w:ind w:left="720" w:right="720"/>
                                        <w:rPr>
                                          <w:rFonts w:ascii="Franklin Gothic Demi Cond" w:hAnsi="Franklin Gothic Demi Cond"/>
                                          <w:color w:val="FFFFFF" w:themeColor="background1"/>
                                          <w:sz w:val="72"/>
                                          <w:szCs w:val="72"/>
                                        </w:rPr>
                                      </w:pPr>
                                      <w:r>
                                        <w:rPr>
                                          <w:rFonts w:ascii="Franklin Gothic Demi Cond" w:hAnsi="Franklin Gothic Demi Cond"/>
                                          <w:color w:val="FFFFFF" w:themeColor="background1"/>
                                          <w:sz w:val="72"/>
                                          <w:szCs w:val="72"/>
                                        </w:rPr>
                                        <w:t>Regulation Impact Statement</w:t>
                                      </w:r>
                                      <w:r>
                                        <w:rPr>
                                          <w:noProof/>
                                        </w:rPr>
                                        <w:t xml:space="preserve"> </w:t>
                                      </w:r>
                                    </w:p>
                                    <w:p w14:paraId="774A0ECB" w14:textId="71906F60" w:rsidR="00EC194F" w:rsidRDefault="00EC194F">
                                      <w:pPr>
                                        <w:pStyle w:val="NoSpacing"/>
                                        <w:spacing w:before="240"/>
                                        <w:ind w:left="720" w:right="720"/>
                                        <w:rPr>
                                          <w:color w:val="FFFFFF" w:themeColor="background1"/>
                                          <w:sz w:val="32"/>
                                          <w:szCs w:val="32"/>
                                        </w:rPr>
                                      </w:pPr>
                                      <w:r w:rsidRPr="000C30A9">
                                        <w:rPr>
                                          <w:rFonts w:ascii="Franklin Gothic Demi Cond" w:hAnsi="Franklin Gothic Demi Cond"/>
                                          <w:color w:val="FFFFFF" w:themeColor="background1"/>
                                          <w:sz w:val="28"/>
                                          <w:szCs w:val="28"/>
                                        </w:rPr>
                                        <w:t>Australia’s accession to the Athens Convention relating to the Carriage of Passengers and their Luggage by Sea 1974, as amended by the 2002 Protocol (Athens Convention 2002)</w:t>
                                      </w:r>
                                    </w:p>
                                  </w:tc>
                                </w:tr>
                                <w:tr w:rsidR="00EC194F" w14:paraId="319597B2" w14:textId="77777777" w:rsidTr="009679E5">
                                  <w:trPr>
                                    <w:trHeight w:hRule="exact" w:val="720"/>
                                  </w:trPr>
                                  <w:tc>
                                    <w:tcPr>
                                      <w:tcW w:w="9350" w:type="dxa"/>
                                      <w:shd w:val="clear" w:color="auto" w:fill="07026A"/>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EC194F" w14:paraId="0152A720" w14:textId="77777777" w:rsidTr="009679E5">
                                        <w:trPr>
                                          <w:trHeight w:hRule="exact" w:val="720"/>
                                        </w:trPr>
                                        <w:tc>
                                          <w:tcPr>
                                            <w:tcW w:w="3590" w:type="dxa"/>
                                            <w:shd w:val="clear" w:color="auto" w:fill="030131"/>
                                            <w:vAlign w:val="center"/>
                                          </w:tcPr>
                                          <w:p w14:paraId="30297D7F" w14:textId="5C9FE46F" w:rsidR="00EC194F" w:rsidRDefault="00EC194F" w:rsidP="00CA7A14">
                                            <w:pPr>
                                              <w:pStyle w:val="NoSpacing"/>
                                              <w:ind w:left="720" w:right="144"/>
                                              <w:rPr>
                                                <w:color w:val="FFFFFF" w:themeColor="background1"/>
                                              </w:rPr>
                                            </w:pPr>
                                            <w:r>
                                              <w:rPr>
                                                <w:color w:val="FFFFFF" w:themeColor="background1"/>
                                              </w:rPr>
                                              <w:t>July 2020</w:t>
                                            </w:r>
                                          </w:p>
                                        </w:tc>
                                        <w:tc>
                                          <w:tcPr>
                                            <w:tcW w:w="3591" w:type="dxa"/>
                                            <w:shd w:val="clear" w:color="auto" w:fill="030131"/>
                                            <w:vAlign w:val="center"/>
                                          </w:tcPr>
                                          <w:p w14:paraId="42C03672" w14:textId="1963B78E" w:rsidR="00EC194F" w:rsidRDefault="00EC194F">
                                            <w:pPr>
                                              <w:pStyle w:val="NoSpacing"/>
                                              <w:ind w:left="144" w:right="144"/>
                                              <w:jc w:val="center"/>
                                              <w:rPr>
                                                <w:color w:val="FFFFFF" w:themeColor="background1"/>
                                              </w:rPr>
                                            </w:pPr>
                                          </w:p>
                                        </w:tc>
                                        <w:tc>
                                          <w:tcPr>
                                            <w:tcW w:w="3591" w:type="dxa"/>
                                            <w:shd w:val="clear" w:color="auto" w:fill="030131"/>
                                            <w:vAlign w:val="center"/>
                                          </w:tcPr>
                                          <w:p w14:paraId="62F58DED" w14:textId="18716FD9" w:rsidR="00EC194F" w:rsidRDefault="00EC194F">
                                            <w:pPr>
                                              <w:pStyle w:val="NoSpacing"/>
                                              <w:ind w:left="144" w:right="720"/>
                                              <w:jc w:val="right"/>
                                              <w:rPr>
                                                <w:color w:val="FFFFFF" w:themeColor="background1"/>
                                              </w:rPr>
                                            </w:pPr>
                                          </w:p>
                                        </w:tc>
                                      </w:tr>
                                    </w:tbl>
                                    <w:p w14:paraId="5AE22AEC" w14:textId="77777777" w:rsidR="00EC194F" w:rsidRDefault="00EC194F"/>
                                  </w:tc>
                                </w:tr>
                              </w:tbl>
                              <w:p w14:paraId="52E9658C" w14:textId="77777777" w:rsidR="00EC194F" w:rsidRDefault="00EC19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A53DF1" id="_x0000_t202" coordsize="21600,21600" o:spt="202" path="m,l,21600r21600,l21600,xe">
                    <v:stroke joinstyle="miter"/>
                    <v:path gradientshapeok="t" o:connecttype="rect"/>
                  </v:shapetype>
                  <v:shape id="Text Box 1" o:spid="_x0000_s1026" type="#_x0000_t202" alt="Cover page layout" style="position:absolute;left:0;text-align:left;margin-left:0;margin-top:0;width:540pt;height:10in;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" o:allowoverlap="f" fillcolor="#07026a"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EC194F" w14:paraId="30E4CAE4" w14:textId="77777777">
                            <w:trPr>
                              <w:trHeight w:hRule="exact" w:val="9360"/>
                            </w:trPr>
                            <w:tc>
                              <w:tcPr>
                                <w:tcW w:w="9350" w:type="dxa"/>
                              </w:tcPr>
                              <w:p w14:paraId="700953E7" w14:textId="77777777" w:rsidR="00EC194F" w:rsidRDefault="00EC194F">
                                <w:r>
                                  <w:rPr>
                                    <w:noProof/>
                                  </w:rPr>
                                  <w:drawing>
                                    <wp:inline distT="0" distB="0" distL="0" distR="0" wp14:anchorId="5EE99C8D" wp14:editId="504F4B62">
                                      <wp:extent cx="6858000" cy="5959637"/>
                                      <wp:effectExtent l="0" t="0" r="0" b="3175"/>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6877791" cy="5976835"/>
                                              </a:xfrm>
                                              <a:prstGeom prst="rect">
                                                <a:avLst/>
                                              </a:prstGeom>
                                              <a:ln>
                                                <a:noFill/>
                                              </a:ln>
                                              <a:extLst>
                                                <a:ext uri="{53640926-AAD7-44D8-BBD7-CCE9431645EC}">
                                                  <a14:shadowObscured xmlns:a14="http://schemas.microsoft.com/office/drawing/2010/main"/>
                                                </a:ext>
                                              </a:extLst>
                                            </pic:spPr>
                                          </pic:pic>
                                        </a:graphicData>
                                      </a:graphic>
                                    </wp:inline>
                                  </w:drawing>
                                </w:r>
                              </w:p>
                            </w:tc>
                          </w:tr>
                          <w:tr w:rsidR="00EC194F" w14:paraId="6F266CD1" w14:textId="77777777" w:rsidTr="000F519A">
                            <w:trPr>
                              <w:trHeight w:hRule="exact" w:val="4320"/>
                            </w:trPr>
                            <w:tc>
                              <w:tcPr>
                                <w:tcW w:w="9350" w:type="dxa"/>
                                <w:shd w:val="clear" w:color="auto" w:fill="1C6194" w:themeFill="accent6" w:themeFillShade="BF"/>
                                <w:vAlign w:val="center"/>
                              </w:tcPr>
                              <w:p w14:paraId="54485DF9" w14:textId="220B802B" w:rsidR="00EC194F" w:rsidRPr="000C30A9" w:rsidRDefault="00EC194F">
                                <w:pPr>
                                  <w:pStyle w:val="NoSpacing"/>
                                  <w:spacing w:before="200" w:line="216" w:lineRule="auto"/>
                                  <w:ind w:left="720" w:right="720"/>
                                  <w:rPr>
                                    <w:rFonts w:ascii="Franklin Gothic Demi Cond" w:hAnsi="Franklin Gothic Demi Cond"/>
                                    <w:color w:val="FFFFFF" w:themeColor="background1"/>
                                    <w:sz w:val="72"/>
                                    <w:szCs w:val="72"/>
                                  </w:rPr>
                                </w:pPr>
                                <w:r>
                                  <w:rPr>
                                    <w:rFonts w:ascii="Franklin Gothic Demi Cond" w:hAnsi="Franklin Gothic Demi Cond"/>
                                    <w:color w:val="FFFFFF" w:themeColor="background1"/>
                                    <w:sz w:val="72"/>
                                    <w:szCs w:val="72"/>
                                  </w:rPr>
                                  <w:t>Regulation Impact Statement</w:t>
                                </w:r>
                                <w:r>
                                  <w:rPr>
                                    <w:noProof/>
                                  </w:rPr>
                                  <w:t xml:space="preserve"> </w:t>
                                </w:r>
                              </w:p>
                              <w:p w14:paraId="774A0ECB" w14:textId="71906F60" w:rsidR="00EC194F" w:rsidRDefault="00EC194F">
                                <w:pPr>
                                  <w:pStyle w:val="NoSpacing"/>
                                  <w:spacing w:before="240"/>
                                  <w:ind w:left="720" w:right="720"/>
                                  <w:rPr>
                                    <w:color w:val="FFFFFF" w:themeColor="background1"/>
                                    <w:sz w:val="32"/>
                                    <w:szCs w:val="32"/>
                                  </w:rPr>
                                </w:pPr>
                                <w:r w:rsidRPr="000C30A9">
                                  <w:rPr>
                                    <w:rFonts w:ascii="Franklin Gothic Demi Cond" w:hAnsi="Franklin Gothic Demi Cond"/>
                                    <w:color w:val="FFFFFF" w:themeColor="background1"/>
                                    <w:sz w:val="28"/>
                                    <w:szCs w:val="28"/>
                                  </w:rPr>
                                  <w:t>Australia’s accession to the Athens Convention relating to the Carriage of Passengers and their Luggage by Sea 1974, as amended by the 2002 Protocol (Athens Convention 2002)</w:t>
                                </w:r>
                              </w:p>
                            </w:tc>
                          </w:tr>
                          <w:tr w:rsidR="00EC194F" w14:paraId="319597B2" w14:textId="77777777" w:rsidTr="009679E5">
                            <w:trPr>
                              <w:trHeight w:hRule="exact" w:val="720"/>
                            </w:trPr>
                            <w:tc>
                              <w:tcPr>
                                <w:tcW w:w="9350" w:type="dxa"/>
                                <w:shd w:val="clear" w:color="auto" w:fill="07026A"/>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EC194F" w14:paraId="0152A720" w14:textId="77777777" w:rsidTr="009679E5">
                                  <w:trPr>
                                    <w:trHeight w:hRule="exact" w:val="720"/>
                                  </w:trPr>
                                  <w:tc>
                                    <w:tcPr>
                                      <w:tcW w:w="3590" w:type="dxa"/>
                                      <w:shd w:val="clear" w:color="auto" w:fill="030131"/>
                                      <w:vAlign w:val="center"/>
                                    </w:tcPr>
                                    <w:p w14:paraId="30297D7F" w14:textId="5C9FE46F" w:rsidR="00EC194F" w:rsidRDefault="00EC194F" w:rsidP="00CA7A14">
                                      <w:pPr>
                                        <w:pStyle w:val="NoSpacing"/>
                                        <w:ind w:left="720" w:right="144"/>
                                        <w:rPr>
                                          <w:color w:val="FFFFFF" w:themeColor="background1"/>
                                        </w:rPr>
                                      </w:pPr>
                                      <w:r>
                                        <w:rPr>
                                          <w:color w:val="FFFFFF" w:themeColor="background1"/>
                                        </w:rPr>
                                        <w:t>July 2020</w:t>
                                      </w:r>
                                    </w:p>
                                  </w:tc>
                                  <w:tc>
                                    <w:tcPr>
                                      <w:tcW w:w="3591" w:type="dxa"/>
                                      <w:shd w:val="clear" w:color="auto" w:fill="030131"/>
                                      <w:vAlign w:val="center"/>
                                    </w:tcPr>
                                    <w:p w14:paraId="42C03672" w14:textId="1963B78E" w:rsidR="00EC194F" w:rsidRDefault="00EC194F">
                                      <w:pPr>
                                        <w:pStyle w:val="NoSpacing"/>
                                        <w:ind w:left="144" w:right="144"/>
                                        <w:jc w:val="center"/>
                                        <w:rPr>
                                          <w:color w:val="FFFFFF" w:themeColor="background1"/>
                                        </w:rPr>
                                      </w:pPr>
                                    </w:p>
                                  </w:tc>
                                  <w:tc>
                                    <w:tcPr>
                                      <w:tcW w:w="3591" w:type="dxa"/>
                                      <w:shd w:val="clear" w:color="auto" w:fill="030131"/>
                                      <w:vAlign w:val="center"/>
                                    </w:tcPr>
                                    <w:p w14:paraId="62F58DED" w14:textId="18716FD9" w:rsidR="00EC194F" w:rsidRDefault="00EC194F">
                                      <w:pPr>
                                        <w:pStyle w:val="NoSpacing"/>
                                        <w:ind w:left="144" w:right="720"/>
                                        <w:jc w:val="right"/>
                                        <w:rPr>
                                          <w:color w:val="FFFFFF" w:themeColor="background1"/>
                                        </w:rPr>
                                      </w:pPr>
                                    </w:p>
                                  </w:tc>
                                </w:tr>
                              </w:tbl>
                              <w:p w14:paraId="5AE22AEC" w14:textId="77777777" w:rsidR="00EC194F" w:rsidRDefault="00EC194F"/>
                            </w:tc>
                          </w:tr>
                        </w:tbl>
                        <w:p w14:paraId="52E9658C" w14:textId="77777777" w:rsidR="00EC194F" w:rsidRDefault="00EC194F"/>
                      </w:txbxContent>
                    </v:textbox>
                    <w10:wrap anchorx="page" anchory="page"/>
                  </v:shape>
                </w:pict>
              </mc:Fallback>
            </mc:AlternateContent>
          </w:r>
        </w:p>
      </w:sdtContent>
    </w:sdt>
    <w:p w14:paraId="5BD86497" w14:textId="54F744B0" w:rsidR="003701D9" w:rsidRDefault="00250569">
      <w:pPr>
        <w:spacing w:after="160" w:line="259" w:lineRule="auto"/>
        <w:jc w:val="left"/>
      </w:pPr>
      <w:r>
        <w:t xml:space="preserve"> </w:t>
      </w:r>
      <w:r w:rsidR="001705BE">
        <w:br w:type="page"/>
      </w:r>
    </w:p>
    <w:p w14:paraId="293518EF" w14:textId="1AB09B0C" w:rsidR="00B433CC" w:rsidRPr="00B433CC" w:rsidRDefault="003701D9">
      <w:pPr>
        <w:spacing w:after="160" w:line="259" w:lineRule="auto"/>
        <w:jc w:val="left"/>
        <w:rPr>
          <w:rFonts w:ascii="Franklin Gothic Demi Cond" w:hAnsi="Franklin Gothic Demi Cond"/>
          <w:sz w:val="28"/>
          <w:szCs w:val="28"/>
        </w:rPr>
      </w:pPr>
      <w:r w:rsidRPr="00B433CC">
        <w:rPr>
          <w:rFonts w:ascii="Franklin Gothic Demi Cond" w:hAnsi="Franklin Gothic Demi Cond"/>
          <w:sz w:val="28"/>
          <w:szCs w:val="28"/>
        </w:rPr>
        <w:lastRenderedPageBreak/>
        <w:t xml:space="preserve">About the Department </w:t>
      </w:r>
      <w:r w:rsidR="00B433CC" w:rsidRPr="00B433CC">
        <w:rPr>
          <w:rFonts w:ascii="Franklin Gothic Demi Cond" w:hAnsi="Franklin Gothic Demi Cond"/>
          <w:sz w:val="28"/>
          <w:szCs w:val="28"/>
        </w:rPr>
        <w:t>of Infrastructure, Transport, Regional Development and Communications</w:t>
      </w:r>
    </w:p>
    <w:p w14:paraId="1B547E58" w14:textId="2ACD12F8" w:rsidR="00287C7E" w:rsidRDefault="00287C7E" w:rsidP="00287C7E">
      <w:pPr>
        <w:spacing w:after="160" w:line="259" w:lineRule="auto"/>
        <w:jc w:val="left"/>
      </w:pPr>
      <w:r>
        <w:t xml:space="preserve">The </w:t>
      </w:r>
      <w:r w:rsidR="00B77124">
        <w:t xml:space="preserve">department </w:t>
      </w:r>
      <w:r>
        <w:t>is responsible for the design and implementation of the Australian Government's infrastructure, transport and regional development policies and programs. We work to:</w:t>
      </w:r>
    </w:p>
    <w:p w14:paraId="1EAC4D5E" w14:textId="77777777" w:rsidR="00287C7E" w:rsidRDefault="00287C7E" w:rsidP="00160A48">
      <w:pPr>
        <w:pStyle w:val="ListParagraph"/>
        <w:numPr>
          <w:ilvl w:val="0"/>
          <w:numId w:val="3"/>
        </w:numPr>
        <w:spacing w:after="160" w:line="259" w:lineRule="auto"/>
        <w:jc w:val="left"/>
      </w:pPr>
      <w:r>
        <w:t>Support economic growth through transport</w:t>
      </w:r>
    </w:p>
    <w:p w14:paraId="73FE57B3" w14:textId="77777777" w:rsidR="00287C7E" w:rsidRDefault="00287C7E" w:rsidP="00160A48">
      <w:pPr>
        <w:pStyle w:val="ListParagraph"/>
        <w:numPr>
          <w:ilvl w:val="0"/>
          <w:numId w:val="3"/>
        </w:numPr>
        <w:spacing w:after="160" w:line="259" w:lineRule="auto"/>
        <w:jc w:val="left"/>
      </w:pPr>
      <w:r>
        <w:t>Make travel safer</w:t>
      </w:r>
    </w:p>
    <w:p w14:paraId="40779D0E" w14:textId="77777777" w:rsidR="00287C7E" w:rsidRDefault="00287C7E" w:rsidP="00160A48">
      <w:pPr>
        <w:pStyle w:val="ListParagraph"/>
        <w:numPr>
          <w:ilvl w:val="0"/>
          <w:numId w:val="3"/>
        </w:numPr>
        <w:spacing w:after="160" w:line="259" w:lineRule="auto"/>
        <w:jc w:val="left"/>
      </w:pPr>
      <w:r>
        <w:t>Increase transport access</w:t>
      </w:r>
    </w:p>
    <w:p w14:paraId="2A1C676F" w14:textId="77777777" w:rsidR="00287C7E" w:rsidRDefault="00287C7E" w:rsidP="00160A48">
      <w:pPr>
        <w:pStyle w:val="ListParagraph"/>
        <w:numPr>
          <w:ilvl w:val="0"/>
          <w:numId w:val="3"/>
        </w:numPr>
        <w:spacing w:after="160" w:line="259" w:lineRule="auto"/>
        <w:jc w:val="left"/>
      </w:pPr>
      <w:r>
        <w:t>Keep transport secure</w:t>
      </w:r>
    </w:p>
    <w:p w14:paraId="3FD989C5" w14:textId="77777777" w:rsidR="00287C7E" w:rsidRDefault="00287C7E" w:rsidP="00160A48">
      <w:pPr>
        <w:pStyle w:val="ListParagraph"/>
        <w:numPr>
          <w:ilvl w:val="0"/>
          <w:numId w:val="3"/>
        </w:numPr>
        <w:spacing w:after="160" w:line="259" w:lineRule="auto"/>
        <w:jc w:val="left"/>
      </w:pPr>
      <w:r>
        <w:t>Support regional development and local communities</w:t>
      </w:r>
    </w:p>
    <w:p w14:paraId="28DD1190" w14:textId="17872203" w:rsidR="00B433CC" w:rsidRDefault="00287C7E" w:rsidP="00160A48">
      <w:pPr>
        <w:pStyle w:val="ListParagraph"/>
        <w:numPr>
          <w:ilvl w:val="0"/>
          <w:numId w:val="3"/>
        </w:numPr>
        <w:spacing w:after="160" w:line="259" w:lineRule="auto"/>
        <w:jc w:val="left"/>
      </w:pPr>
      <w:r>
        <w:t>Provide good governance in the territories</w:t>
      </w:r>
    </w:p>
    <w:p w14:paraId="0A7B7633" w14:textId="77777777" w:rsidR="00B433CC" w:rsidRDefault="00B433CC">
      <w:pPr>
        <w:spacing w:after="160" w:line="259" w:lineRule="auto"/>
        <w:jc w:val="left"/>
      </w:pPr>
    </w:p>
    <w:p w14:paraId="63B39D55" w14:textId="77777777" w:rsidR="00B433CC" w:rsidRDefault="00B433CC">
      <w:pPr>
        <w:spacing w:after="160" w:line="259" w:lineRule="auto"/>
        <w:jc w:val="left"/>
      </w:pPr>
    </w:p>
    <w:p w14:paraId="485BE859" w14:textId="77777777" w:rsidR="00B433CC" w:rsidRDefault="00B433CC">
      <w:pPr>
        <w:spacing w:after="160" w:line="259" w:lineRule="auto"/>
        <w:jc w:val="left"/>
      </w:pPr>
    </w:p>
    <w:p w14:paraId="19BD7AEF" w14:textId="77777777" w:rsidR="00B433CC" w:rsidRDefault="00B433CC">
      <w:pPr>
        <w:spacing w:after="160" w:line="259" w:lineRule="auto"/>
        <w:jc w:val="left"/>
      </w:pPr>
    </w:p>
    <w:p w14:paraId="50773F01" w14:textId="77777777" w:rsidR="00B433CC" w:rsidRDefault="00B433CC">
      <w:pPr>
        <w:spacing w:after="160" w:line="259" w:lineRule="auto"/>
        <w:jc w:val="left"/>
      </w:pPr>
    </w:p>
    <w:p w14:paraId="14221CE0" w14:textId="77777777" w:rsidR="00B433CC" w:rsidRDefault="00B433CC">
      <w:pPr>
        <w:spacing w:after="160" w:line="259" w:lineRule="auto"/>
        <w:jc w:val="left"/>
      </w:pPr>
    </w:p>
    <w:p w14:paraId="3EAFBD04" w14:textId="77777777" w:rsidR="00B433CC" w:rsidRDefault="00B433CC">
      <w:pPr>
        <w:spacing w:after="160" w:line="259" w:lineRule="auto"/>
        <w:jc w:val="left"/>
      </w:pPr>
    </w:p>
    <w:p w14:paraId="68F5AAE1" w14:textId="77777777" w:rsidR="00B433CC" w:rsidRDefault="00B433CC">
      <w:pPr>
        <w:spacing w:after="160" w:line="259" w:lineRule="auto"/>
        <w:jc w:val="left"/>
      </w:pPr>
    </w:p>
    <w:p w14:paraId="05D4F9F4" w14:textId="77777777" w:rsidR="00B433CC" w:rsidRDefault="00B433CC">
      <w:pPr>
        <w:spacing w:after="160" w:line="259" w:lineRule="auto"/>
        <w:jc w:val="left"/>
      </w:pPr>
    </w:p>
    <w:p w14:paraId="634F433E" w14:textId="77777777" w:rsidR="00B433CC" w:rsidRDefault="00B433CC">
      <w:pPr>
        <w:spacing w:after="160" w:line="259" w:lineRule="auto"/>
        <w:jc w:val="left"/>
      </w:pPr>
    </w:p>
    <w:p w14:paraId="3680ECD6" w14:textId="77777777" w:rsidR="00B433CC" w:rsidRDefault="00B433CC">
      <w:pPr>
        <w:spacing w:after="160" w:line="259" w:lineRule="auto"/>
        <w:jc w:val="left"/>
      </w:pPr>
    </w:p>
    <w:p w14:paraId="32B4D1D6" w14:textId="77777777" w:rsidR="00B433CC" w:rsidRDefault="00B433CC">
      <w:pPr>
        <w:spacing w:after="160" w:line="259" w:lineRule="auto"/>
        <w:jc w:val="left"/>
      </w:pPr>
    </w:p>
    <w:p w14:paraId="3B6C7BF0" w14:textId="77777777" w:rsidR="00B433CC" w:rsidRDefault="00B433CC">
      <w:pPr>
        <w:spacing w:after="160" w:line="259" w:lineRule="auto"/>
        <w:jc w:val="left"/>
      </w:pPr>
    </w:p>
    <w:p w14:paraId="3DF987A8" w14:textId="77777777" w:rsidR="00B433CC" w:rsidRDefault="00B433CC">
      <w:pPr>
        <w:spacing w:after="160" w:line="259" w:lineRule="auto"/>
        <w:jc w:val="left"/>
      </w:pPr>
    </w:p>
    <w:p w14:paraId="367E54F0" w14:textId="77777777" w:rsidR="00B433CC" w:rsidRDefault="00B433CC">
      <w:pPr>
        <w:spacing w:after="160" w:line="259" w:lineRule="auto"/>
        <w:jc w:val="left"/>
      </w:pPr>
    </w:p>
    <w:p w14:paraId="130A4D3F" w14:textId="77777777" w:rsidR="0028499A" w:rsidRDefault="00B433CC">
      <w:pPr>
        <w:spacing w:after="160" w:line="259" w:lineRule="auto"/>
        <w:jc w:val="left"/>
      </w:pPr>
      <w:r w:rsidRPr="0028499A">
        <w:rPr>
          <w:rFonts w:ascii="Franklin Gothic Demi Cond" w:hAnsi="Franklin Gothic Demi Cond"/>
        </w:rPr>
        <w:t>Copyright</w:t>
      </w:r>
      <w:r>
        <w:t xml:space="preserve"> </w:t>
      </w:r>
    </w:p>
    <w:p w14:paraId="7161EE13" w14:textId="5124FB83" w:rsidR="001705BE" w:rsidRPr="0028499A" w:rsidRDefault="00B433CC">
      <w:pPr>
        <w:spacing w:after="160" w:line="259" w:lineRule="auto"/>
        <w:jc w:val="left"/>
      </w:pPr>
      <w:r>
        <w:t xml:space="preserve">© Commonwealth of Australia </w:t>
      </w:r>
      <w:r w:rsidR="00E21922">
        <w:t xml:space="preserve">2020 </w:t>
      </w:r>
      <w: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specific written permission from the Commonwealth to do so. </w:t>
      </w:r>
      <w:r w:rsidR="003701D9">
        <w:br w:type="page"/>
      </w:r>
    </w:p>
    <w:sdt>
      <w:sdtPr>
        <w:rPr>
          <w:rFonts w:asciiTheme="minorHAnsi" w:eastAsia="Calibri" w:hAnsiTheme="minorHAnsi" w:cstheme="minorHAnsi"/>
          <w:sz w:val="24"/>
          <w:szCs w:val="21"/>
          <w:lang w:val="en-AU" w:eastAsia="en-AU"/>
        </w:rPr>
        <w:id w:val="-1446388569"/>
        <w:docPartObj>
          <w:docPartGallery w:val="Table of Contents"/>
          <w:docPartUnique/>
        </w:docPartObj>
      </w:sdtPr>
      <w:sdtEndPr>
        <w:rPr>
          <w:noProof/>
          <w:sz w:val="20"/>
        </w:rPr>
      </w:sdtEndPr>
      <w:sdtContent>
        <w:p w14:paraId="65CEC6E1" w14:textId="51E5DCE4" w:rsidR="00700F7B" w:rsidRDefault="00700F7B" w:rsidP="00D018A4">
          <w:pPr>
            <w:pStyle w:val="TOCHeading"/>
          </w:pPr>
          <w:r>
            <w:t>Table of Contents</w:t>
          </w:r>
        </w:p>
        <w:p w14:paraId="05C5C456" w14:textId="09CA7C2E" w:rsidR="00A57529" w:rsidRDefault="00700F7B">
          <w:pPr>
            <w:pStyle w:val="TOC1"/>
            <w:tabs>
              <w:tab w:val="left" w:pos="420"/>
              <w:tab w:val="right" w:leader="dot" w:pos="9016"/>
            </w:tabs>
            <w:rPr>
              <w:rFonts w:eastAsiaTheme="minorEastAsia" w:cstheme="minorBidi"/>
              <w:noProof/>
              <w:color w:val="auto"/>
              <w:sz w:val="22"/>
              <w:szCs w:val="22"/>
            </w:rPr>
          </w:pPr>
          <w:r>
            <w:fldChar w:fldCharType="begin"/>
          </w:r>
          <w:r>
            <w:instrText xml:space="preserve"> TOC \o "1-3" \h \z \u </w:instrText>
          </w:r>
          <w:r>
            <w:fldChar w:fldCharType="separate"/>
          </w:r>
          <w:hyperlink w:anchor="_Toc44659891" w:history="1">
            <w:r w:rsidR="00A57529" w:rsidRPr="00B37DF3">
              <w:rPr>
                <w:rStyle w:val="Hyperlink"/>
                <w:noProof/>
              </w:rPr>
              <w:t>1.</w:t>
            </w:r>
            <w:r w:rsidR="00A57529">
              <w:rPr>
                <w:rFonts w:eastAsiaTheme="minorEastAsia" w:cstheme="minorBidi"/>
                <w:noProof/>
                <w:color w:val="auto"/>
                <w:sz w:val="22"/>
                <w:szCs w:val="22"/>
              </w:rPr>
              <w:tab/>
            </w:r>
            <w:r w:rsidR="00A57529" w:rsidRPr="00B37DF3">
              <w:rPr>
                <w:rStyle w:val="Hyperlink"/>
                <w:noProof/>
              </w:rPr>
              <w:t>Executive Summary</w:t>
            </w:r>
            <w:r w:rsidR="00A57529">
              <w:rPr>
                <w:noProof/>
                <w:webHidden/>
              </w:rPr>
              <w:tab/>
            </w:r>
            <w:r w:rsidR="00A57529">
              <w:rPr>
                <w:noProof/>
                <w:webHidden/>
              </w:rPr>
              <w:fldChar w:fldCharType="begin"/>
            </w:r>
            <w:r w:rsidR="00A57529">
              <w:rPr>
                <w:noProof/>
                <w:webHidden/>
              </w:rPr>
              <w:instrText xml:space="preserve"> PAGEREF _Toc44659891 \h </w:instrText>
            </w:r>
            <w:r w:rsidR="00A57529">
              <w:rPr>
                <w:noProof/>
                <w:webHidden/>
              </w:rPr>
            </w:r>
            <w:r w:rsidR="00A57529">
              <w:rPr>
                <w:noProof/>
                <w:webHidden/>
              </w:rPr>
              <w:fldChar w:fldCharType="separate"/>
            </w:r>
            <w:r w:rsidR="00A57529">
              <w:rPr>
                <w:noProof/>
                <w:webHidden/>
              </w:rPr>
              <w:t>8</w:t>
            </w:r>
            <w:r w:rsidR="00A57529">
              <w:rPr>
                <w:noProof/>
                <w:webHidden/>
              </w:rPr>
              <w:fldChar w:fldCharType="end"/>
            </w:r>
          </w:hyperlink>
        </w:p>
        <w:p w14:paraId="0F09D1C4" w14:textId="7EE80A9B" w:rsidR="00A57529" w:rsidRDefault="00EC194F">
          <w:pPr>
            <w:pStyle w:val="TOC2"/>
            <w:tabs>
              <w:tab w:val="left" w:pos="880"/>
              <w:tab w:val="right" w:leader="dot" w:pos="9016"/>
            </w:tabs>
            <w:rPr>
              <w:rFonts w:eastAsiaTheme="minorEastAsia" w:cstheme="minorBidi"/>
              <w:noProof/>
              <w:color w:val="auto"/>
              <w:sz w:val="22"/>
              <w:szCs w:val="22"/>
            </w:rPr>
          </w:pPr>
          <w:hyperlink w:anchor="_Toc44659892" w:history="1">
            <w:r w:rsidR="00A57529" w:rsidRPr="00B37DF3">
              <w:rPr>
                <w:rStyle w:val="Hyperlink"/>
                <w:noProof/>
              </w:rPr>
              <w:t>1.1</w:t>
            </w:r>
            <w:r w:rsidR="00A57529">
              <w:rPr>
                <w:rFonts w:eastAsiaTheme="minorEastAsia" w:cstheme="minorBidi"/>
                <w:noProof/>
                <w:color w:val="auto"/>
                <w:sz w:val="22"/>
                <w:szCs w:val="22"/>
              </w:rPr>
              <w:tab/>
            </w:r>
            <w:r w:rsidR="00A57529" w:rsidRPr="00B37DF3">
              <w:rPr>
                <w:rStyle w:val="Hyperlink"/>
                <w:noProof/>
              </w:rPr>
              <w:t>The Problem</w:t>
            </w:r>
            <w:r w:rsidR="00A57529">
              <w:rPr>
                <w:noProof/>
                <w:webHidden/>
              </w:rPr>
              <w:tab/>
            </w:r>
            <w:r w:rsidR="00A57529">
              <w:rPr>
                <w:noProof/>
                <w:webHidden/>
              </w:rPr>
              <w:fldChar w:fldCharType="begin"/>
            </w:r>
            <w:r w:rsidR="00A57529">
              <w:rPr>
                <w:noProof/>
                <w:webHidden/>
              </w:rPr>
              <w:instrText xml:space="preserve"> PAGEREF _Toc44659892 \h </w:instrText>
            </w:r>
            <w:r w:rsidR="00A57529">
              <w:rPr>
                <w:noProof/>
                <w:webHidden/>
              </w:rPr>
            </w:r>
            <w:r w:rsidR="00A57529">
              <w:rPr>
                <w:noProof/>
                <w:webHidden/>
              </w:rPr>
              <w:fldChar w:fldCharType="separate"/>
            </w:r>
            <w:r w:rsidR="00A57529">
              <w:rPr>
                <w:noProof/>
                <w:webHidden/>
              </w:rPr>
              <w:t>8</w:t>
            </w:r>
            <w:r w:rsidR="00A57529">
              <w:rPr>
                <w:noProof/>
                <w:webHidden/>
              </w:rPr>
              <w:fldChar w:fldCharType="end"/>
            </w:r>
          </w:hyperlink>
        </w:p>
        <w:p w14:paraId="06C0FA5D" w14:textId="324EAF89" w:rsidR="00A57529" w:rsidRDefault="00EC194F">
          <w:pPr>
            <w:pStyle w:val="TOC2"/>
            <w:tabs>
              <w:tab w:val="left" w:pos="880"/>
              <w:tab w:val="right" w:leader="dot" w:pos="9016"/>
            </w:tabs>
            <w:rPr>
              <w:rFonts w:eastAsiaTheme="minorEastAsia" w:cstheme="minorBidi"/>
              <w:noProof/>
              <w:color w:val="auto"/>
              <w:sz w:val="22"/>
              <w:szCs w:val="22"/>
            </w:rPr>
          </w:pPr>
          <w:hyperlink w:anchor="_Toc44659893" w:history="1">
            <w:r w:rsidR="00A57529" w:rsidRPr="00B37DF3">
              <w:rPr>
                <w:rStyle w:val="Hyperlink"/>
                <w:noProof/>
              </w:rPr>
              <w:t>1.2</w:t>
            </w:r>
            <w:r w:rsidR="00A57529">
              <w:rPr>
                <w:rFonts w:eastAsiaTheme="minorEastAsia" w:cstheme="minorBidi"/>
                <w:noProof/>
                <w:color w:val="auto"/>
                <w:sz w:val="22"/>
                <w:szCs w:val="22"/>
              </w:rPr>
              <w:tab/>
            </w:r>
            <w:r w:rsidR="00A57529" w:rsidRPr="00B37DF3">
              <w:rPr>
                <w:rStyle w:val="Hyperlink"/>
                <w:noProof/>
              </w:rPr>
              <w:t>The Objective</w:t>
            </w:r>
            <w:r w:rsidR="00A57529">
              <w:rPr>
                <w:noProof/>
                <w:webHidden/>
              </w:rPr>
              <w:tab/>
            </w:r>
            <w:r w:rsidR="00A57529">
              <w:rPr>
                <w:noProof/>
                <w:webHidden/>
              </w:rPr>
              <w:fldChar w:fldCharType="begin"/>
            </w:r>
            <w:r w:rsidR="00A57529">
              <w:rPr>
                <w:noProof/>
                <w:webHidden/>
              </w:rPr>
              <w:instrText xml:space="preserve"> PAGEREF _Toc44659893 \h </w:instrText>
            </w:r>
            <w:r w:rsidR="00A57529">
              <w:rPr>
                <w:noProof/>
                <w:webHidden/>
              </w:rPr>
            </w:r>
            <w:r w:rsidR="00A57529">
              <w:rPr>
                <w:noProof/>
                <w:webHidden/>
              </w:rPr>
              <w:fldChar w:fldCharType="separate"/>
            </w:r>
            <w:r w:rsidR="00A57529">
              <w:rPr>
                <w:noProof/>
                <w:webHidden/>
              </w:rPr>
              <w:t>9</w:t>
            </w:r>
            <w:r w:rsidR="00A57529">
              <w:rPr>
                <w:noProof/>
                <w:webHidden/>
              </w:rPr>
              <w:fldChar w:fldCharType="end"/>
            </w:r>
          </w:hyperlink>
        </w:p>
        <w:p w14:paraId="34517111" w14:textId="6EB00B1A" w:rsidR="00A57529" w:rsidRDefault="00EC194F">
          <w:pPr>
            <w:pStyle w:val="TOC2"/>
            <w:tabs>
              <w:tab w:val="left" w:pos="880"/>
              <w:tab w:val="right" w:leader="dot" w:pos="9016"/>
            </w:tabs>
            <w:rPr>
              <w:rFonts w:eastAsiaTheme="minorEastAsia" w:cstheme="minorBidi"/>
              <w:noProof/>
              <w:color w:val="auto"/>
              <w:sz w:val="22"/>
              <w:szCs w:val="22"/>
            </w:rPr>
          </w:pPr>
          <w:hyperlink w:anchor="_Toc44659894" w:history="1">
            <w:r w:rsidR="00A57529" w:rsidRPr="00B37DF3">
              <w:rPr>
                <w:rStyle w:val="Hyperlink"/>
                <w:noProof/>
              </w:rPr>
              <w:t>1.3</w:t>
            </w:r>
            <w:r w:rsidR="00A57529">
              <w:rPr>
                <w:rFonts w:eastAsiaTheme="minorEastAsia" w:cstheme="minorBidi"/>
                <w:noProof/>
                <w:color w:val="auto"/>
                <w:sz w:val="22"/>
                <w:szCs w:val="22"/>
              </w:rPr>
              <w:tab/>
            </w:r>
            <w:r w:rsidR="00A57529" w:rsidRPr="00B37DF3">
              <w:rPr>
                <w:rStyle w:val="Hyperlink"/>
                <w:noProof/>
              </w:rPr>
              <w:t>Options</w:t>
            </w:r>
            <w:r w:rsidR="00A57529">
              <w:rPr>
                <w:noProof/>
                <w:webHidden/>
              </w:rPr>
              <w:tab/>
            </w:r>
            <w:r w:rsidR="00A57529">
              <w:rPr>
                <w:noProof/>
                <w:webHidden/>
              </w:rPr>
              <w:fldChar w:fldCharType="begin"/>
            </w:r>
            <w:r w:rsidR="00A57529">
              <w:rPr>
                <w:noProof/>
                <w:webHidden/>
              </w:rPr>
              <w:instrText xml:space="preserve"> PAGEREF _Toc44659894 \h </w:instrText>
            </w:r>
            <w:r w:rsidR="00A57529">
              <w:rPr>
                <w:noProof/>
                <w:webHidden/>
              </w:rPr>
            </w:r>
            <w:r w:rsidR="00A57529">
              <w:rPr>
                <w:noProof/>
                <w:webHidden/>
              </w:rPr>
              <w:fldChar w:fldCharType="separate"/>
            </w:r>
            <w:r w:rsidR="00A57529">
              <w:rPr>
                <w:noProof/>
                <w:webHidden/>
              </w:rPr>
              <w:t>9</w:t>
            </w:r>
            <w:r w:rsidR="00A57529">
              <w:rPr>
                <w:noProof/>
                <w:webHidden/>
              </w:rPr>
              <w:fldChar w:fldCharType="end"/>
            </w:r>
          </w:hyperlink>
        </w:p>
        <w:p w14:paraId="336B6441" w14:textId="72770B56" w:rsidR="00A57529" w:rsidRDefault="00EC194F">
          <w:pPr>
            <w:pStyle w:val="TOC2"/>
            <w:tabs>
              <w:tab w:val="left" w:pos="880"/>
              <w:tab w:val="right" w:leader="dot" w:pos="9016"/>
            </w:tabs>
            <w:rPr>
              <w:rFonts w:eastAsiaTheme="minorEastAsia" w:cstheme="minorBidi"/>
              <w:noProof/>
              <w:color w:val="auto"/>
              <w:sz w:val="22"/>
              <w:szCs w:val="22"/>
            </w:rPr>
          </w:pPr>
          <w:hyperlink w:anchor="_Toc44659895" w:history="1">
            <w:r w:rsidR="00A57529" w:rsidRPr="00B37DF3">
              <w:rPr>
                <w:rStyle w:val="Hyperlink"/>
                <w:noProof/>
              </w:rPr>
              <w:t>1.4</w:t>
            </w:r>
            <w:r w:rsidR="00A57529">
              <w:rPr>
                <w:rFonts w:eastAsiaTheme="minorEastAsia" w:cstheme="minorBidi"/>
                <w:noProof/>
                <w:color w:val="auto"/>
                <w:sz w:val="22"/>
                <w:szCs w:val="22"/>
              </w:rPr>
              <w:tab/>
            </w:r>
            <w:r w:rsidR="00A57529" w:rsidRPr="00B37DF3">
              <w:rPr>
                <w:rStyle w:val="Hyperlink"/>
                <w:noProof/>
              </w:rPr>
              <w:t>Consultation</w:t>
            </w:r>
            <w:r w:rsidR="00A57529">
              <w:rPr>
                <w:noProof/>
                <w:webHidden/>
              </w:rPr>
              <w:tab/>
            </w:r>
            <w:r w:rsidR="00A57529">
              <w:rPr>
                <w:noProof/>
                <w:webHidden/>
              </w:rPr>
              <w:fldChar w:fldCharType="begin"/>
            </w:r>
            <w:r w:rsidR="00A57529">
              <w:rPr>
                <w:noProof/>
                <w:webHidden/>
              </w:rPr>
              <w:instrText xml:space="preserve"> PAGEREF _Toc44659895 \h </w:instrText>
            </w:r>
            <w:r w:rsidR="00A57529">
              <w:rPr>
                <w:noProof/>
                <w:webHidden/>
              </w:rPr>
            </w:r>
            <w:r w:rsidR="00A57529">
              <w:rPr>
                <w:noProof/>
                <w:webHidden/>
              </w:rPr>
              <w:fldChar w:fldCharType="separate"/>
            </w:r>
            <w:r w:rsidR="00A57529">
              <w:rPr>
                <w:noProof/>
                <w:webHidden/>
              </w:rPr>
              <w:t>10</w:t>
            </w:r>
            <w:r w:rsidR="00A57529">
              <w:rPr>
                <w:noProof/>
                <w:webHidden/>
              </w:rPr>
              <w:fldChar w:fldCharType="end"/>
            </w:r>
          </w:hyperlink>
        </w:p>
        <w:p w14:paraId="39F1EB9A" w14:textId="6374A68F" w:rsidR="00A57529" w:rsidRDefault="00EC194F">
          <w:pPr>
            <w:pStyle w:val="TOC2"/>
            <w:tabs>
              <w:tab w:val="left" w:pos="880"/>
              <w:tab w:val="right" w:leader="dot" w:pos="9016"/>
            </w:tabs>
            <w:rPr>
              <w:rFonts w:eastAsiaTheme="minorEastAsia" w:cstheme="minorBidi"/>
              <w:noProof/>
              <w:color w:val="auto"/>
              <w:sz w:val="22"/>
              <w:szCs w:val="22"/>
            </w:rPr>
          </w:pPr>
          <w:hyperlink w:anchor="_Toc44659896" w:history="1">
            <w:r w:rsidR="00A57529" w:rsidRPr="00B37DF3">
              <w:rPr>
                <w:rStyle w:val="Hyperlink"/>
                <w:noProof/>
              </w:rPr>
              <w:t>1.5</w:t>
            </w:r>
            <w:r w:rsidR="00A57529">
              <w:rPr>
                <w:rFonts w:eastAsiaTheme="minorEastAsia" w:cstheme="minorBidi"/>
                <w:noProof/>
                <w:color w:val="auto"/>
                <w:sz w:val="22"/>
                <w:szCs w:val="22"/>
              </w:rPr>
              <w:tab/>
            </w:r>
            <w:r w:rsidR="00A57529" w:rsidRPr="00B37DF3">
              <w:rPr>
                <w:rStyle w:val="Hyperlink"/>
                <w:noProof/>
              </w:rPr>
              <w:t>Impact</w:t>
            </w:r>
            <w:r w:rsidR="00A57529">
              <w:rPr>
                <w:noProof/>
                <w:webHidden/>
              </w:rPr>
              <w:tab/>
            </w:r>
            <w:r w:rsidR="00A57529">
              <w:rPr>
                <w:noProof/>
                <w:webHidden/>
              </w:rPr>
              <w:fldChar w:fldCharType="begin"/>
            </w:r>
            <w:r w:rsidR="00A57529">
              <w:rPr>
                <w:noProof/>
                <w:webHidden/>
              </w:rPr>
              <w:instrText xml:space="preserve"> PAGEREF _Toc44659896 \h </w:instrText>
            </w:r>
            <w:r w:rsidR="00A57529">
              <w:rPr>
                <w:noProof/>
                <w:webHidden/>
              </w:rPr>
            </w:r>
            <w:r w:rsidR="00A57529">
              <w:rPr>
                <w:noProof/>
                <w:webHidden/>
              </w:rPr>
              <w:fldChar w:fldCharType="separate"/>
            </w:r>
            <w:r w:rsidR="00A57529">
              <w:rPr>
                <w:noProof/>
                <w:webHidden/>
              </w:rPr>
              <w:t>10</w:t>
            </w:r>
            <w:r w:rsidR="00A57529">
              <w:rPr>
                <w:noProof/>
                <w:webHidden/>
              </w:rPr>
              <w:fldChar w:fldCharType="end"/>
            </w:r>
          </w:hyperlink>
        </w:p>
        <w:p w14:paraId="10E8528F" w14:textId="16C11075" w:rsidR="00A57529" w:rsidRDefault="00EC194F">
          <w:pPr>
            <w:pStyle w:val="TOC2"/>
            <w:tabs>
              <w:tab w:val="left" w:pos="880"/>
              <w:tab w:val="right" w:leader="dot" w:pos="9016"/>
            </w:tabs>
            <w:rPr>
              <w:rFonts w:eastAsiaTheme="minorEastAsia" w:cstheme="minorBidi"/>
              <w:noProof/>
              <w:color w:val="auto"/>
              <w:sz w:val="22"/>
              <w:szCs w:val="22"/>
            </w:rPr>
          </w:pPr>
          <w:hyperlink w:anchor="_Toc44659897" w:history="1">
            <w:r w:rsidR="00A57529" w:rsidRPr="00B37DF3">
              <w:rPr>
                <w:rStyle w:val="Hyperlink"/>
                <w:noProof/>
              </w:rPr>
              <w:t>1.6</w:t>
            </w:r>
            <w:r w:rsidR="00A57529">
              <w:rPr>
                <w:rFonts w:eastAsiaTheme="minorEastAsia" w:cstheme="minorBidi"/>
                <w:noProof/>
                <w:color w:val="auto"/>
                <w:sz w:val="22"/>
                <w:szCs w:val="22"/>
              </w:rPr>
              <w:tab/>
            </w:r>
            <w:r w:rsidR="00A57529" w:rsidRPr="00B37DF3">
              <w:rPr>
                <w:rStyle w:val="Hyperlink"/>
                <w:noProof/>
              </w:rPr>
              <w:t>Key Findings</w:t>
            </w:r>
            <w:r w:rsidR="00A57529">
              <w:rPr>
                <w:noProof/>
                <w:webHidden/>
              </w:rPr>
              <w:tab/>
            </w:r>
            <w:r w:rsidR="00A57529">
              <w:rPr>
                <w:noProof/>
                <w:webHidden/>
              </w:rPr>
              <w:fldChar w:fldCharType="begin"/>
            </w:r>
            <w:r w:rsidR="00A57529">
              <w:rPr>
                <w:noProof/>
                <w:webHidden/>
              </w:rPr>
              <w:instrText xml:space="preserve"> PAGEREF _Toc44659897 \h </w:instrText>
            </w:r>
            <w:r w:rsidR="00A57529">
              <w:rPr>
                <w:noProof/>
                <w:webHidden/>
              </w:rPr>
            </w:r>
            <w:r w:rsidR="00A57529">
              <w:rPr>
                <w:noProof/>
                <w:webHidden/>
              </w:rPr>
              <w:fldChar w:fldCharType="separate"/>
            </w:r>
            <w:r w:rsidR="00A57529">
              <w:rPr>
                <w:noProof/>
                <w:webHidden/>
              </w:rPr>
              <w:t>10</w:t>
            </w:r>
            <w:r w:rsidR="00A57529">
              <w:rPr>
                <w:noProof/>
                <w:webHidden/>
              </w:rPr>
              <w:fldChar w:fldCharType="end"/>
            </w:r>
          </w:hyperlink>
        </w:p>
        <w:p w14:paraId="3BB3E2BC" w14:textId="6D0BDB86" w:rsidR="00A57529" w:rsidRDefault="00EC194F">
          <w:pPr>
            <w:pStyle w:val="TOC1"/>
            <w:tabs>
              <w:tab w:val="left" w:pos="420"/>
              <w:tab w:val="right" w:leader="dot" w:pos="9016"/>
            </w:tabs>
            <w:rPr>
              <w:rFonts w:eastAsiaTheme="minorEastAsia" w:cstheme="minorBidi"/>
              <w:noProof/>
              <w:color w:val="auto"/>
              <w:sz w:val="22"/>
              <w:szCs w:val="22"/>
            </w:rPr>
          </w:pPr>
          <w:hyperlink w:anchor="_Toc44659898" w:history="1">
            <w:r w:rsidR="00A57529" w:rsidRPr="00B37DF3">
              <w:rPr>
                <w:rStyle w:val="Hyperlink"/>
                <w:noProof/>
              </w:rPr>
              <w:t>2.</w:t>
            </w:r>
            <w:r w:rsidR="00A57529">
              <w:rPr>
                <w:rFonts w:eastAsiaTheme="minorEastAsia" w:cstheme="minorBidi"/>
                <w:noProof/>
                <w:color w:val="auto"/>
                <w:sz w:val="22"/>
                <w:szCs w:val="22"/>
              </w:rPr>
              <w:tab/>
            </w:r>
            <w:r w:rsidR="00A57529" w:rsidRPr="00B37DF3">
              <w:rPr>
                <w:rStyle w:val="Hyperlink"/>
                <w:noProof/>
              </w:rPr>
              <w:t>Introduction</w:t>
            </w:r>
            <w:r w:rsidR="00A57529">
              <w:rPr>
                <w:noProof/>
                <w:webHidden/>
              </w:rPr>
              <w:tab/>
            </w:r>
            <w:r w:rsidR="00A57529">
              <w:rPr>
                <w:noProof/>
                <w:webHidden/>
              </w:rPr>
              <w:fldChar w:fldCharType="begin"/>
            </w:r>
            <w:r w:rsidR="00A57529">
              <w:rPr>
                <w:noProof/>
                <w:webHidden/>
              </w:rPr>
              <w:instrText xml:space="preserve"> PAGEREF _Toc44659898 \h </w:instrText>
            </w:r>
            <w:r w:rsidR="00A57529">
              <w:rPr>
                <w:noProof/>
                <w:webHidden/>
              </w:rPr>
            </w:r>
            <w:r w:rsidR="00A57529">
              <w:rPr>
                <w:noProof/>
                <w:webHidden/>
              </w:rPr>
              <w:fldChar w:fldCharType="separate"/>
            </w:r>
            <w:r w:rsidR="00A57529">
              <w:rPr>
                <w:noProof/>
                <w:webHidden/>
              </w:rPr>
              <w:t>13</w:t>
            </w:r>
            <w:r w:rsidR="00A57529">
              <w:rPr>
                <w:noProof/>
                <w:webHidden/>
              </w:rPr>
              <w:fldChar w:fldCharType="end"/>
            </w:r>
          </w:hyperlink>
        </w:p>
        <w:p w14:paraId="7F0E1545" w14:textId="3A5B0AEA" w:rsidR="00A57529" w:rsidRDefault="00EC194F">
          <w:pPr>
            <w:pStyle w:val="TOC2"/>
            <w:tabs>
              <w:tab w:val="left" w:pos="880"/>
              <w:tab w:val="right" w:leader="dot" w:pos="9016"/>
            </w:tabs>
            <w:rPr>
              <w:rFonts w:eastAsiaTheme="minorEastAsia" w:cstheme="minorBidi"/>
              <w:noProof/>
              <w:color w:val="auto"/>
              <w:sz w:val="22"/>
              <w:szCs w:val="22"/>
            </w:rPr>
          </w:pPr>
          <w:hyperlink w:anchor="_Toc44659899" w:history="1">
            <w:r w:rsidR="00A57529" w:rsidRPr="00B37DF3">
              <w:rPr>
                <w:rStyle w:val="Hyperlink"/>
                <w:noProof/>
              </w:rPr>
              <w:t>2.1</w:t>
            </w:r>
            <w:r w:rsidR="00A57529">
              <w:rPr>
                <w:rFonts w:eastAsiaTheme="minorEastAsia" w:cstheme="minorBidi"/>
                <w:noProof/>
                <w:color w:val="auto"/>
                <w:sz w:val="22"/>
                <w:szCs w:val="22"/>
              </w:rPr>
              <w:tab/>
            </w:r>
            <w:r w:rsidR="00A57529" w:rsidRPr="00B37DF3">
              <w:rPr>
                <w:rStyle w:val="Hyperlink"/>
                <w:noProof/>
              </w:rPr>
              <w:t>Context</w:t>
            </w:r>
            <w:r w:rsidR="00A57529">
              <w:rPr>
                <w:noProof/>
                <w:webHidden/>
              </w:rPr>
              <w:tab/>
            </w:r>
            <w:r w:rsidR="00A57529">
              <w:rPr>
                <w:noProof/>
                <w:webHidden/>
              </w:rPr>
              <w:fldChar w:fldCharType="begin"/>
            </w:r>
            <w:r w:rsidR="00A57529">
              <w:rPr>
                <w:noProof/>
                <w:webHidden/>
              </w:rPr>
              <w:instrText xml:space="preserve"> PAGEREF _Toc44659899 \h </w:instrText>
            </w:r>
            <w:r w:rsidR="00A57529">
              <w:rPr>
                <w:noProof/>
                <w:webHidden/>
              </w:rPr>
            </w:r>
            <w:r w:rsidR="00A57529">
              <w:rPr>
                <w:noProof/>
                <w:webHidden/>
              </w:rPr>
              <w:fldChar w:fldCharType="separate"/>
            </w:r>
            <w:r w:rsidR="00A57529">
              <w:rPr>
                <w:noProof/>
                <w:webHidden/>
              </w:rPr>
              <w:t>14</w:t>
            </w:r>
            <w:r w:rsidR="00A57529">
              <w:rPr>
                <w:noProof/>
                <w:webHidden/>
              </w:rPr>
              <w:fldChar w:fldCharType="end"/>
            </w:r>
          </w:hyperlink>
        </w:p>
        <w:p w14:paraId="5A52E323" w14:textId="44DDF8D4" w:rsidR="00A57529" w:rsidRDefault="00EC194F">
          <w:pPr>
            <w:pStyle w:val="TOC2"/>
            <w:tabs>
              <w:tab w:val="left" w:pos="880"/>
              <w:tab w:val="right" w:leader="dot" w:pos="9016"/>
            </w:tabs>
            <w:rPr>
              <w:rFonts w:eastAsiaTheme="minorEastAsia" w:cstheme="minorBidi"/>
              <w:noProof/>
              <w:color w:val="auto"/>
              <w:sz w:val="22"/>
              <w:szCs w:val="22"/>
            </w:rPr>
          </w:pPr>
          <w:hyperlink w:anchor="_Toc44659900" w:history="1">
            <w:r w:rsidR="00A57529" w:rsidRPr="00B37DF3">
              <w:rPr>
                <w:rStyle w:val="Hyperlink"/>
                <w:noProof/>
              </w:rPr>
              <w:t>2.2</w:t>
            </w:r>
            <w:r w:rsidR="00A57529">
              <w:rPr>
                <w:rFonts w:eastAsiaTheme="minorEastAsia" w:cstheme="minorBidi"/>
                <w:noProof/>
                <w:color w:val="auto"/>
                <w:sz w:val="22"/>
                <w:szCs w:val="22"/>
              </w:rPr>
              <w:tab/>
            </w:r>
            <w:r w:rsidR="00A57529" w:rsidRPr="00B37DF3">
              <w:rPr>
                <w:rStyle w:val="Hyperlink"/>
                <w:noProof/>
              </w:rPr>
              <w:t>Comparison to international air travel</w:t>
            </w:r>
            <w:r w:rsidR="00A57529">
              <w:rPr>
                <w:noProof/>
                <w:webHidden/>
              </w:rPr>
              <w:tab/>
            </w:r>
            <w:r w:rsidR="00A57529">
              <w:rPr>
                <w:noProof/>
                <w:webHidden/>
              </w:rPr>
              <w:fldChar w:fldCharType="begin"/>
            </w:r>
            <w:r w:rsidR="00A57529">
              <w:rPr>
                <w:noProof/>
                <w:webHidden/>
              </w:rPr>
              <w:instrText xml:space="preserve"> PAGEREF _Toc44659900 \h </w:instrText>
            </w:r>
            <w:r w:rsidR="00A57529">
              <w:rPr>
                <w:noProof/>
                <w:webHidden/>
              </w:rPr>
            </w:r>
            <w:r w:rsidR="00A57529">
              <w:rPr>
                <w:noProof/>
                <w:webHidden/>
              </w:rPr>
              <w:fldChar w:fldCharType="separate"/>
            </w:r>
            <w:r w:rsidR="00A57529">
              <w:rPr>
                <w:noProof/>
                <w:webHidden/>
              </w:rPr>
              <w:t>15</w:t>
            </w:r>
            <w:r w:rsidR="00A57529">
              <w:rPr>
                <w:noProof/>
                <w:webHidden/>
              </w:rPr>
              <w:fldChar w:fldCharType="end"/>
            </w:r>
          </w:hyperlink>
        </w:p>
        <w:p w14:paraId="38E0A549" w14:textId="727AC86F" w:rsidR="00A57529" w:rsidRDefault="00EC194F">
          <w:pPr>
            <w:pStyle w:val="TOC1"/>
            <w:tabs>
              <w:tab w:val="left" w:pos="420"/>
              <w:tab w:val="right" w:leader="dot" w:pos="9016"/>
            </w:tabs>
            <w:rPr>
              <w:rFonts w:eastAsiaTheme="minorEastAsia" w:cstheme="minorBidi"/>
              <w:noProof/>
              <w:color w:val="auto"/>
              <w:sz w:val="22"/>
              <w:szCs w:val="22"/>
            </w:rPr>
          </w:pPr>
          <w:hyperlink w:anchor="_Toc44659901" w:history="1">
            <w:r w:rsidR="00A57529" w:rsidRPr="00B37DF3">
              <w:rPr>
                <w:rStyle w:val="Hyperlink"/>
                <w:noProof/>
              </w:rPr>
              <w:t>3.</w:t>
            </w:r>
            <w:r w:rsidR="00A57529">
              <w:rPr>
                <w:rFonts w:eastAsiaTheme="minorEastAsia" w:cstheme="minorBidi"/>
                <w:noProof/>
                <w:color w:val="auto"/>
                <w:sz w:val="22"/>
                <w:szCs w:val="22"/>
              </w:rPr>
              <w:tab/>
            </w:r>
            <w:r w:rsidR="00A57529" w:rsidRPr="00B37DF3">
              <w:rPr>
                <w:rStyle w:val="Hyperlink"/>
                <w:noProof/>
              </w:rPr>
              <w:t>The Problem</w:t>
            </w:r>
            <w:r w:rsidR="00A57529">
              <w:rPr>
                <w:noProof/>
                <w:webHidden/>
              </w:rPr>
              <w:tab/>
            </w:r>
            <w:r w:rsidR="00A57529">
              <w:rPr>
                <w:noProof/>
                <w:webHidden/>
              </w:rPr>
              <w:fldChar w:fldCharType="begin"/>
            </w:r>
            <w:r w:rsidR="00A57529">
              <w:rPr>
                <w:noProof/>
                <w:webHidden/>
              </w:rPr>
              <w:instrText xml:space="preserve"> PAGEREF _Toc44659901 \h </w:instrText>
            </w:r>
            <w:r w:rsidR="00A57529">
              <w:rPr>
                <w:noProof/>
                <w:webHidden/>
              </w:rPr>
            </w:r>
            <w:r w:rsidR="00A57529">
              <w:rPr>
                <w:noProof/>
                <w:webHidden/>
              </w:rPr>
              <w:fldChar w:fldCharType="separate"/>
            </w:r>
            <w:r w:rsidR="00A57529">
              <w:rPr>
                <w:noProof/>
                <w:webHidden/>
              </w:rPr>
              <w:t>17</w:t>
            </w:r>
            <w:r w:rsidR="00A57529">
              <w:rPr>
                <w:noProof/>
                <w:webHidden/>
              </w:rPr>
              <w:fldChar w:fldCharType="end"/>
            </w:r>
          </w:hyperlink>
        </w:p>
        <w:p w14:paraId="1D31A6C1" w14:textId="00577E8B" w:rsidR="00A57529" w:rsidRDefault="00EC194F">
          <w:pPr>
            <w:pStyle w:val="TOC1"/>
            <w:tabs>
              <w:tab w:val="left" w:pos="420"/>
              <w:tab w:val="right" w:leader="dot" w:pos="9016"/>
            </w:tabs>
            <w:rPr>
              <w:rFonts w:eastAsiaTheme="minorEastAsia" w:cstheme="minorBidi"/>
              <w:noProof/>
              <w:color w:val="auto"/>
              <w:sz w:val="22"/>
              <w:szCs w:val="22"/>
            </w:rPr>
          </w:pPr>
          <w:hyperlink w:anchor="_Toc44659902" w:history="1">
            <w:r w:rsidR="00A57529" w:rsidRPr="00B37DF3">
              <w:rPr>
                <w:rStyle w:val="Hyperlink"/>
                <w:noProof/>
              </w:rPr>
              <w:t>4.</w:t>
            </w:r>
            <w:r w:rsidR="00A57529">
              <w:rPr>
                <w:rFonts w:eastAsiaTheme="minorEastAsia" w:cstheme="minorBidi"/>
                <w:noProof/>
                <w:color w:val="auto"/>
                <w:sz w:val="22"/>
                <w:szCs w:val="22"/>
              </w:rPr>
              <w:tab/>
            </w:r>
            <w:r w:rsidR="00A57529" w:rsidRPr="00B37DF3">
              <w:rPr>
                <w:rStyle w:val="Hyperlink"/>
                <w:noProof/>
              </w:rPr>
              <w:t>Option 1: Retain the Status Quo (No change)</w:t>
            </w:r>
            <w:r w:rsidR="00A57529">
              <w:rPr>
                <w:noProof/>
                <w:webHidden/>
              </w:rPr>
              <w:tab/>
            </w:r>
            <w:r w:rsidR="00A57529">
              <w:rPr>
                <w:noProof/>
                <w:webHidden/>
              </w:rPr>
              <w:fldChar w:fldCharType="begin"/>
            </w:r>
            <w:r w:rsidR="00A57529">
              <w:rPr>
                <w:noProof/>
                <w:webHidden/>
              </w:rPr>
              <w:instrText xml:space="preserve"> PAGEREF _Toc44659902 \h </w:instrText>
            </w:r>
            <w:r w:rsidR="00A57529">
              <w:rPr>
                <w:noProof/>
                <w:webHidden/>
              </w:rPr>
            </w:r>
            <w:r w:rsidR="00A57529">
              <w:rPr>
                <w:noProof/>
                <w:webHidden/>
              </w:rPr>
              <w:fldChar w:fldCharType="separate"/>
            </w:r>
            <w:r w:rsidR="00A57529">
              <w:rPr>
                <w:noProof/>
                <w:webHidden/>
              </w:rPr>
              <w:t>19</w:t>
            </w:r>
            <w:r w:rsidR="00A57529">
              <w:rPr>
                <w:noProof/>
                <w:webHidden/>
              </w:rPr>
              <w:fldChar w:fldCharType="end"/>
            </w:r>
          </w:hyperlink>
        </w:p>
        <w:p w14:paraId="14D70DA9" w14:textId="34E67C8D" w:rsidR="00A57529" w:rsidRDefault="00EC194F">
          <w:pPr>
            <w:pStyle w:val="TOC2"/>
            <w:tabs>
              <w:tab w:val="left" w:pos="880"/>
              <w:tab w:val="right" w:leader="dot" w:pos="9016"/>
            </w:tabs>
            <w:rPr>
              <w:rFonts w:eastAsiaTheme="minorEastAsia" w:cstheme="minorBidi"/>
              <w:noProof/>
              <w:color w:val="auto"/>
              <w:sz w:val="22"/>
              <w:szCs w:val="22"/>
            </w:rPr>
          </w:pPr>
          <w:hyperlink w:anchor="_Toc44659903" w:history="1">
            <w:r w:rsidR="00A57529" w:rsidRPr="00B37DF3">
              <w:rPr>
                <w:rStyle w:val="Hyperlink"/>
                <w:noProof/>
              </w:rPr>
              <w:t>4.1</w:t>
            </w:r>
            <w:r w:rsidR="00A57529">
              <w:rPr>
                <w:rFonts w:eastAsiaTheme="minorEastAsia" w:cstheme="minorBidi"/>
                <w:noProof/>
                <w:color w:val="auto"/>
                <w:sz w:val="22"/>
                <w:szCs w:val="22"/>
              </w:rPr>
              <w:tab/>
            </w:r>
            <w:r w:rsidR="00A57529" w:rsidRPr="00B37DF3">
              <w:rPr>
                <w:rStyle w:val="Hyperlink"/>
                <w:noProof/>
              </w:rPr>
              <w:t>Australia</w:t>
            </w:r>
            <w:r w:rsidR="00A57529">
              <w:rPr>
                <w:noProof/>
                <w:webHidden/>
              </w:rPr>
              <w:tab/>
            </w:r>
            <w:r w:rsidR="00A57529">
              <w:rPr>
                <w:noProof/>
                <w:webHidden/>
              </w:rPr>
              <w:fldChar w:fldCharType="begin"/>
            </w:r>
            <w:r w:rsidR="00A57529">
              <w:rPr>
                <w:noProof/>
                <w:webHidden/>
              </w:rPr>
              <w:instrText xml:space="preserve"> PAGEREF _Toc44659903 \h </w:instrText>
            </w:r>
            <w:r w:rsidR="00A57529">
              <w:rPr>
                <w:noProof/>
                <w:webHidden/>
              </w:rPr>
            </w:r>
            <w:r w:rsidR="00A57529">
              <w:rPr>
                <w:noProof/>
                <w:webHidden/>
              </w:rPr>
              <w:fldChar w:fldCharType="separate"/>
            </w:r>
            <w:r w:rsidR="00A57529">
              <w:rPr>
                <w:noProof/>
                <w:webHidden/>
              </w:rPr>
              <w:t>19</w:t>
            </w:r>
            <w:r w:rsidR="00A57529">
              <w:rPr>
                <w:noProof/>
                <w:webHidden/>
              </w:rPr>
              <w:fldChar w:fldCharType="end"/>
            </w:r>
          </w:hyperlink>
        </w:p>
        <w:p w14:paraId="1933D42E" w14:textId="0E4D2DC2" w:rsidR="00A57529" w:rsidRDefault="00EC194F">
          <w:pPr>
            <w:pStyle w:val="TOC2"/>
            <w:tabs>
              <w:tab w:val="left" w:pos="880"/>
              <w:tab w:val="right" w:leader="dot" w:pos="9016"/>
            </w:tabs>
            <w:rPr>
              <w:rFonts w:eastAsiaTheme="minorEastAsia" w:cstheme="minorBidi"/>
              <w:noProof/>
              <w:color w:val="auto"/>
              <w:sz w:val="22"/>
              <w:szCs w:val="22"/>
            </w:rPr>
          </w:pPr>
          <w:hyperlink w:anchor="_Toc44659904" w:history="1">
            <w:r w:rsidR="00A57529" w:rsidRPr="00B37DF3">
              <w:rPr>
                <w:rStyle w:val="Hyperlink"/>
                <w:noProof/>
              </w:rPr>
              <w:t>4.2</w:t>
            </w:r>
            <w:r w:rsidR="00A57529">
              <w:rPr>
                <w:rFonts w:eastAsiaTheme="minorEastAsia" w:cstheme="minorBidi"/>
                <w:noProof/>
                <w:color w:val="auto"/>
                <w:sz w:val="22"/>
                <w:szCs w:val="22"/>
              </w:rPr>
              <w:tab/>
            </w:r>
            <w:r w:rsidR="00A57529" w:rsidRPr="00B37DF3">
              <w:rPr>
                <w:rStyle w:val="Hyperlink"/>
                <w:noProof/>
              </w:rPr>
              <w:t>LLMC Convention</w:t>
            </w:r>
            <w:r w:rsidR="00A57529">
              <w:rPr>
                <w:noProof/>
                <w:webHidden/>
              </w:rPr>
              <w:tab/>
            </w:r>
            <w:r w:rsidR="00A57529">
              <w:rPr>
                <w:noProof/>
                <w:webHidden/>
              </w:rPr>
              <w:fldChar w:fldCharType="begin"/>
            </w:r>
            <w:r w:rsidR="00A57529">
              <w:rPr>
                <w:noProof/>
                <w:webHidden/>
              </w:rPr>
              <w:instrText xml:space="preserve"> PAGEREF _Toc44659904 \h </w:instrText>
            </w:r>
            <w:r w:rsidR="00A57529">
              <w:rPr>
                <w:noProof/>
                <w:webHidden/>
              </w:rPr>
            </w:r>
            <w:r w:rsidR="00A57529">
              <w:rPr>
                <w:noProof/>
                <w:webHidden/>
              </w:rPr>
              <w:fldChar w:fldCharType="separate"/>
            </w:r>
            <w:r w:rsidR="00A57529">
              <w:rPr>
                <w:noProof/>
                <w:webHidden/>
              </w:rPr>
              <w:t>19</w:t>
            </w:r>
            <w:r w:rsidR="00A57529">
              <w:rPr>
                <w:noProof/>
                <w:webHidden/>
              </w:rPr>
              <w:fldChar w:fldCharType="end"/>
            </w:r>
          </w:hyperlink>
        </w:p>
        <w:p w14:paraId="745F9CA2" w14:textId="1ED35F6D" w:rsidR="00A57529" w:rsidRDefault="00EC194F">
          <w:pPr>
            <w:pStyle w:val="TOC3"/>
            <w:tabs>
              <w:tab w:val="left" w:pos="1100"/>
              <w:tab w:val="right" w:leader="dot" w:pos="9016"/>
            </w:tabs>
            <w:rPr>
              <w:rFonts w:eastAsiaTheme="minorEastAsia" w:cstheme="minorBidi"/>
              <w:noProof/>
              <w:color w:val="auto"/>
              <w:sz w:val="22"/>
              <w:szCs w:val="22"/>
            </w:rPr>
          </w:pPr>
          <w:hyperlink w:anchor="_Toc44659905" w:history="1">
            <w:r w:rsidR="00A57529" w:rsidRPr="00B37DF3">
              <w:rPr>
                <w:rStyle w:val="Hyperlink"/>
                <w:noProof/>
              </w:rPr>
              <w:t>4.2.1</w:t>
            </w:r>
            <w:r w:rsidR="00A57529">
              <w:rPr>
                <w:rFonts w:eastAsiaTheme="minorEastAsia" w:cstheme="minorBidi"/>
                <w:noProof/>
                <w:color w:val="auto"/>
                <w:sz w:val="22"/>
                <w:szCs w:val="22"/>
              </w:rPr>
              <w:tab/>
            </w:r>
            <w:r w:rsidR="00A57529" w:rsidRPr="00B37DF3">
              <w:rPr>
                <w:rStyle w:val="Hyperlink"/>
                <w:noProof/>
              </w:rPr>
              <w:t>LLMC Liability limits</w:t>
            </w:r>
            <w:r w:rsidR="00A57529">
              <w:rPr>
                <w:noProof/>
                <w:webHidden/>
              </w:rPr>
              <w:tab/>
            </w:r>
            <w:r w:rsidR="00A57529">
              <w:rPr>
                <w:noProof/>
                <w:webHidden/>
              </w:rPr>
              <w:fldChar w:fldCharType="begin"/>
            </w:r>
            <w:r w:rsidR="00A57529">
              <w:rPr>
                <w:noProof/>
                <w:webHidden/>
              </w:rPr>
              <w:instrText xml:space="preserve"> PAGEREF _Toc44659905 \h </w:instrText>
            </w:r>
            <w:r w:rsidR="00A57529">
              <w:rPr>
                <w:noProof/>
                <w:webHidden/>
              </w:rPr>
            </w:r>
            <w:r w:rsidR="00A57529">
              <w:rPr>
                <w:noProof/>
                <w:webHidden/>
              </w:rPr>
              <w:fldChar w:fldCharType="separate"/>
            </w:r>
            <w:r w:rsidR="00A57529">
              <w:rPr>
                <w:noProof/>
                <w:webHidden/>
              </w:rPr>
              <w:t>19</w:t>
            </w:r>
            <w:r w:rsidR="00A57529">
              <w:rPr>
                <w:noProof/>
                <w:webHidden/>
              </w:rPr>
              <w:fldChar w:fldCharType="end"/>
            </w:r>
          </w:hyperlink>
        </w:p>
        <w:p w14:paraId="1308EE56" w14:textId="492594C0" w:rsidR="00A57529" w:rsidRDefault="00EC194F">
          <w:pPr>
            <w:pStyle w:val="TOC3"/>
            <w:tabs>
              <w:tab w:val="left" w:pos="1100"/>
              <w:tab w:val="right" w:leader="dot" w:pos="9016"/>
            </w:tabs>
            <w:rPr>
              <w:rFonts w:eastAsiaTheme="minorEastAsia" w:cstheme="minorBidi"/>
              <w:noProof/>
              <w:color w:val="auto"/>
              <w:sz w:val="22"/>
              <w:szCs w:val="22"/>
            </w:rPr>
          </w:pPr>
          <w:hyperlink w:anchor="_Toc44659906" w:history="1">
            <w:r w:rsidR="00A57529" w:rsidRPr="00B37DF3">
              <w:rPr>
                <w:rStyle w:val="Hyperlink"/>
                <w:noProof/>
              </w:rPr>
              <w:t>4.2.2</w:t>
            </w:r>
            <w:r w:rsidR="00A57529">
              <w:rPr>
                <w:rFonts w:eastAsiaTheme="minorEastAsia" w:cstheme="minorBidi"/>
                <w:noProof/>
                <w:color w:val="auto"/>
                <w:sz w:val="22"/>
                <w:szCs w:val="22"/>
              </w:rPr>
              <w:tab/>
            </w:r>
            <w:r w:rsidR="00A57529" w:rsidRPr="00B37DF3">
              <w:rPr>
                <w:rStyle w:val="Hyperlink"/>
                <w:noProof/>
              </w:rPr>
              <w:t>Claims process and recovery of payments</w:t>
            </w:r>
            <w:r w:rsidR="00A57529">
              <w:rPr>
                <w:noProof/>
                <w:webHidden/>
              </w:rPr>
              <w:tab/>
            </w:r>
            <w:r w:rsidR="00A57529">
              <w:rPr>
                <w:noProof/>
                <w:webHidden/>
              </w:rPr>
              <w:fldChar w:fldCharType="begin"/>
            </w:r>
            <w:r w:rsidR="00A57529">
              <w:rPr>
                <w:noProof/>
                <w:webHidden/>
              </w:rPr>
              <w:instrText xml:space="preserve"> PAGEREF _Toc44659906 \h </w:instrText>
            </w:r>
            <w:r w:rsidR="00A57529">
              <w:rPr>
                <w:noProof/>
                <w:webHidden/>
              </w:rPr>
            </w:r>
            <w:r w:rsidR="00A57529">
              <w:rPr>
                <w:noProof/>
                <w:webHidden/>
              </w:rPr>
              <w:fldChar w:fldCharType="separate"/>
            </w:r>
            <w:r w:rsidR="00A57529">
              <w:rPr>
                <w:noProof/>
                <w:webHidden/>
              </w:rPr>
              <w:t>20</w:t>
            </w:r>
            <w:r w:rsidR="00A57529">
              <w:rPr>
                <w:noProof/>
                <w:webHidden/>
              </w:rPr>
              <w:fldChar w:fldCharType="end"/>
            </w:r>
          </w:hyperlink>
        </w:p>
        <w:p w14:paraId="58AC19E7" w14:textId="4CEF4220" w:rsidR="00A57529" w:rsidRDefault="00EC194F">
          <w:pPr>
            <w:pStyle w:val="TOC3"/>
            <w:tabs>
              <w:tab w:val="left" w:pos="1100"/>
              <w:tab w:val="right" w:leader="dot" w:pos="9016"/>
            </w:tabs>
            <w:rPr>
              <w:rFonts w:eastAsiaTheme="minorEastAsia" w:cstheme="minorBidi"/>
              <w:noProof/>
              <w:color w:val="auto"/>
              <w:sz w:val="22"/>
              <w:szCs w:val="22"/>
            </w:rPr>
          </w:pPr>
          <w:hyperlink w:anchor="_Toc44659907" w:history="1">
            <w:r w:rsidR="00A57529" w:rsidRPr="00B37DF3">
              <w:rPr>
                <w:rStyle w:val="Hyperlink"/>
                <w:noProof/>
              </w:rPr>
              <w:t>4.2.3</w:t>
            </w:r>
            <w:r w:rsidR="00A57529">
              <w:rPr>
                <w:rFonts w:eastAsiaTheme="minorEastAsia" w:cstheme="minorBidi"/>
                <w:noProof/>
                <w:color w:val="auto"/>
                <w:sz w:val="22"/>
                <w:szCs w:val="22"/>
              </w:rPr>
              <w:tab/>
            </w:r>
            <w:r w:rsidR="00A57529" w:rsidRPr="00B37DF3">
              <w:rPr>
                <w:rStyle w:val="Hyperlink"/>
                <w:noProof/>
              </w:rPr>
              <w:t>Existing interaction between the Australian Consumer Law and the State Based Civil Liability Regimes.</w:t>
            </w:r>
            <w:r w:rsidR="00A57529">
              <w:rPr>
                <w:noProof/>
                <w:webHidden/>
              </w:rPr>
              <w:tab/>
            </w:r>
            <w:r w:rsidR="00A57529">
              <w:rPr>
                <w:noProof/>
                <w:webHidden/>
              </w:rPr>
              <w:fldChar w:fldCharType="begin"/>
            </w:r>
            <w:r w:rsidR="00A57529">
              <w:rPr>
                <w:noProof/>
                <w:webHidden/>
              </w:rPr>
              <w:instrText xml:space="preserve"> PAGEREF _Toc44659907 \h </w:instrText>
            </w:r>
            <w:r w:rsidR="00A57529">
              <w:rPr>
                <w:noProof/>
                <w:webHidden/>
              </w:rPr>
            </w:r>
            <w:r w:rsidR="00A57529">
              <w:rPr>
                <w:noProof/>
                <w:webHidden/>
              </w:rPr>
              <w:fldChar w:fldCharType="separate"/>
            </w:r>
            <w:r w:rsidR="00A57529">
              <w:rPr>
                <w:noProof/>
                <w:webHidden/>
              </w:rPr>
              <w:t>20</w:t>
            </w:r>
            <w:r w:rsidR="00A57529">
              <w:rPr>
                <w:noProof/>
                <w:webHidden/>
              </w:rPr>
              <w:fldChar w:fldCharType="end"/>
            </w:r>
          </w:hyperlink>
        </w:p>
        <w:p w14:paraId="5D6AA9C1" w14:textId="496D1B8B" w:rsidR="00A57529" w:rsidRDefault="00EC194F">
          <w:pPr>
            <w:pStyle w:val="TOC3"/>
            <w:tabs>
              <w:tab w:val="left" w:pos="1100"/>
              <w:tab w:val="right" w:leader="dot" w:pos="9016"/>
            </w:tabs>
            <w:rPr>
              <w:rFonts w:eastAsiaTheme="minorEastAsia" w:cstheme="minorBidi"/>
              <w:noProof/>
              <w:color w:val="auto"/>
              <w:sz w:val="22"/>
              <w:szCs w:val="22"/>
            </w:rPr>
          </w:pPr>
          <w:hyperlink w:anchor="_Toc44659908" w:history="1">
            <w:r w:rsidR="00A57529" w:rsidRPr="00B37DF3">
              <w:rPr>
                <w:rStyle w:val="Hyperlink"/>
                <w:noProof/>
              </w:rPr>
              <w:t>4.2.4</w:t>
            </w:r>
            <w:r w:rsidR="00A57529">
              <w:rPr>
                <w:rFonts w:eastAsiaTheme="minorEastAsia" w:cstheme="minorBidi"/>
                <w:noProof/>
                <w:color w:val="auto"/>
                <w:sz w:val="22"/>
                <w:szCs w:val="22"/>
              </w:rPr>
              <w:tab/>
            </w:r>
            <w:r w:rsidR="00A57529" w:rsidRPr="00B37DF3">
              <w:rPr>
                <w:rStyle w:val="Hyperlink"/>
                <w:noProof/>
              </w:rPr>
              <w:t>Existing claims data</w:t>
            </w:r>
            <w:r w:rsidR="00A57529">
              <w:rPr>
                <w:noProof/>
                <w:webHidden/>
              </w:rPr>
              <w:tab/>
            </w:r>
            <w:r w:rsidR="00A57529">
              <w:rPr>
                <w:noProof/>
                <w:webHidden/>
              </w:rPr>
              <w:fldChar w:fldCharType="begin"/>
            </w:r>
            <w:r w:rsidR="00A57529">
              <w:rPr>
                <w:noProof/>
                <w:webHidden/>
              </w:rPr>
              <w:instrText xml:space="preserve"> PAGEREF _Toc44659908 \h </w:instrText>
            </w:r>
            <w:r w:rsidR="00A57529">
              <w:rPr>
                <w:noProof/>
                <w:webHidden/>
              </w:rPr>
            </w:r>
            <w:r w:rsidR="00A57529">
              <w:rPr>
                <w:noProof/>
                <w:webHidden/>
              </w:rPr>
              <w:fldChar w:fldCharType="separate"/>
            </w:r>
            <w:r w:rsidR="00A57529">
              <w:rPr>
                <w:noProof/>
                <w:webHidden/>
              </w:rPr>
              <w:t>22</w:t>
            </w:r>
            <w:r w:rsidR="00A57529">
              <w:rPr>
                <w:noProof/>
                <w:webHidden/>
              </w:rPr>
              <w:fldChar w:fldCharType="end"/>
            </w:r>
          </w:hyperlink>
        </w:p>
        <w:p w14:paraId="5FFF2E19" w14:textId="62D10737" w:rsidR="00A57529" w:rsidRDefault="00EC194F">
          <w:pPr>
            <w:pStyle w:val="TOC2"/>
            <w:tabs>
              <w:tab w:val="left" w:pos="880"/>
              <w:tab w:val="right" w:leader="dot" w:pos="9016"/>
            </w:tabs>
            <w:rPr>
              <w:rFonts w:eastAsiaTheme="minorEastAsia" w:cstheme="minorBidi"/>
              <w:noProof/>
              <w:color w:val="auto"/>
              <w:sz w:val="22"/>
              <w:szCs w:val="22"/>
            </w:rPr>
          </w:pPr>
          <w:hyperlink w:anchor="_Toc44659909" w:history="1">
            <w:r w:rsidR="00A57529" w:rsidRPr="00B37DF3">
              <w:rPr>
                <w:rStyle w:val="Hyperlink"/>
                <w:noProof/>
              </w:rPr>
              <w:t>4.3</w:t>
            </w:r>
            <w:r w:rsidR="00A57529">
              <w:rPr>
                <w:rFonts w:eastAsiaTheme="minorEastAsia" w:cstheme="minorBidi"/>
                <w:noProof/>
                <w:color w:val="auto"/>
                <w:sz w:val="22"/>
                <w:szCs w:val="22"/>
              </w:rPr>
              <w:tab/>
            </w:r>
            <w:r w:rsidR="00A57529" w:rsidRPr="00B37DF3">
              <w:rPr>
                <w:rStyle w:val="Hyperlink"/>
                <w:noProof/>
              </w:rPr>
              <w:t>Other Considerations</w:t>
            </w:r>
            <w:r w:rsidR="00A57529">
              <w:rPr>
                <w:noProof/>
                <w:webHidden/>
              </w:rPr>
              <w:tab/>
            </w:r>
            <w:r w:rsidR="00A57529">
              <w:rPr>
                <w:noProof/>
                <w:webHidden/>
              </w:rPr>
              <w:fldChar w:fldCharType="begin"/>
            </w:r>
            <w:r w:rsidR="00A57529">
              <w:rPr>
                <w:noProof/>
                <w:webHidden/>
              </w:rPr>
              <w:instrText xml:space="preserve"> PAGEREF _Toc44659909 \h </w:instrText>
            </w:r>
            <w:r w:rsidR="00A57529">
              <w:rPr>
                <w:noProof/>
                <w:webHidden/>
              </w:rPr>
            </w:r>
            <w:r w:rsidR="00A57529">
              <w:rPr>
                <w:noProof/>
                <w:webHidden/>
              </w:rPr>
              <w:fldChar w:fldCharType="separate"/>
            </w:r>
            <w:r w:rsidR="00A57529">
              <w:rPr>
                <w:noProof/>
                <w:webHidden/>
              </w:rPr>
              <w:t>23</w:t>
            </w:r>
            <w:r w:rsidR="00A57529">
              <w:rPr>
                <w:noProof/>
                <w:webHidden/>
              </w:rPr>
              <w:fldChar w:fldCharType="end"/>
            </w:r>
          </w:hyperlink>
        </w:p>
        <w:p w14:paraId="5B985EE1" w14:textId="50D87F0C" w:rsidR="00A57529" w:rsidRDefault="00EC194F">
          <w:pPr>
            <w:pStyle w:val="TOC3"/>
            <w:tabs>
              <w:tab w:val="left" w:pos="1100"/>
              <w:tab w:val="right" w:leader="dot" w:pos="9016"/>
            </w:tabs>
            <w:rPr>
              <w:rFonts w:eastAsiaTheme="minorEastAsia" w:cstheme="minorBidi"/>
              <w:noProof/>
              <w:color w:val="auto"/>
              <w:sz w:val="22"/>
              <w:szCs w:val="22"/>
            </w:rPr>
          </w:pPr>
          <w:hyperlink w:anchor="_Toc44659910" w:history="1">
            <w:r w:rsidR="00A57529" w:rsidRPr="00B37DF3">
              <w:rPr>
                <w:rStyle w:val="Hyperlink"/>
                <w:noProof/>
              </w:rPr>
              <w:t>4.3.1</w:t>
            </w:r>
            <w:r w:rsidR="00A57529">
              <w:rPr>
                <w:rFonts w:eastAsiaTheme="minorEastAsia" w:cstheme="minorBidi"/>
                <w:noProof/>
                <w:color w:val="auto"/>
                <w:sz w:val="22"/>
                <w:szCs w:val="22"/>
              </w:rPr>
              <w:tab/>
            </w:r>
            <w:r w:rsidR="00A57529" w:rsidRPr="00B37DF3">
              <w:rPr>
                <w:rStyle w:val="Hyperlink"/>
                <w:noProof/>
              </w:rPr>
              <w:t>Liability Waivers</w:t>
            </w:r>
            <w:r w:rsidR="00A57529">
              <w:rPr>
                <w:noProof/>
                <w:webHidden/>
              </w:rPr>
              <w:tab/>
            </w:r>
            <w:r w:rsidR="00A57529">
              <w:rPr>
                <w:noProof/>
                <w:webHidden/>
              </w:rPr>
              <w:fldChar w:fldCharType="begin"/>
            </w:r>
            <w:r w:rsidR="00A57529">
              <w:rPr>
                <w:noProof/>
                <w:webHidden/>
              </w:rPr>
              <w:instrText xml:space="preserve"> PAGEREF _Toc44659910 \h </w:instrText>
            </w:r>
            <w:r w:rsidR="00A57529">
              <w:rPr>
                <w:noProof/>
                <w:webHidden/>
              </w:rPr>
            </w:r>
            <w:r w:rsidR="00A57529">
              <w:rPr>
                <w:noProof/>
                <w:webHidden/>
              </w:rPr>
              <w:fldChar w:fldCharType="separate"/>
            </w:r>
            <w:r w:rsidR="00A57529">
              <w:rPr>
                <w:noProof/>
                <w:webHidden/>
              </w:rPr>
              <w:t>23</w:t>
            </w:r>
            <w:r w:rsidR="00A57529">
              <w:rPr>
                <w:noProof/>
                <w:webHidden/>
              </w:rPr>
              <w:fldChar w:fldCharType="end"/>
            </w:r>
          </w:hyperlink>
        </w:p>
        <w:p w14:paraId="7F7CC9DB" w14:textId="116F1E90" w:rsidR="00A57529" w:rsidRDefault="00EC194F">
          <w:pPr>
            <w:pStyle w:val="TOC3"/>
            <w:tabs>
              <w:tab w:val="left" w:pos="1100"/>
              <w:tab w:val="right" w:leader="dot" w:pos="9016"/>
            </w:tabs>
            <w:rPr>
              <w:rFonts w:eastAsiaTheme="minorEastAsia" w:cstheme="minorBidi"/>
              <w:noProof/>
              <w:color w:val="auto"/>
              <w:sz w:val="22"/>
              <w:szCs w:val="22"/>
            </w:rPr>
          </w:pPr>
          <w:hyperlink w:anchor="_Toc44659911" w:history="1">
            <w:r w:rsidR="00A57529" w:rsidRPr="00B37DF3">
              <w:rPr>
                <w:rStyle w:val="Hyperlink"/>
                <w:noProof/>
              </w:rPr>
              <w:t>4.3.2</w:t>
            </w:r>
            <w:r w:rsidR="00A57529">
              <w:rPr>
                <w:rFonts w:eastAsiaTheme="minorEastAsia" w:cstheme="minorBidi"/>
                <w:noProof/>
                <w:color w:val="auto"/>
                <w:sz w:val="22"/>
                <w:szCs w:val="22"/>
              </w:rPr>
              <w:tab/>
            </w:r>
            <w:r w:rsidR="00A57529" w:rsidRPr="00B37DF3">
              <w:rPr>
                <w:rStyle w:val="Hyperlink"/>
                <w:noProof/>
              </w:rPr>
              <w:t>Passenger Liability Regulation (PLR)</w:t>
            </w:r>
            <w:r w:rsidR="00A57529">
              <w:rPr>
                <w:noProof/>
                <w:webHidden/>
              </w:rPr>
              <w:tab/>
            </w:r>
            <w:r w:rsidR="00A57529">
              <w:rPr>
                <w:noProof/>
                <w:webHidden/>
              </w:rPr>
              <w:fldChar w:fldCharType="begin"/>
            </w:r>
            <w:r w:rsidR="00A57529">
              <w:rPr>
                <w:noProof/>
                <w:webHidden/>
              </w:rPr>
              <w:instrText xml:space="preserve"> PAGEREF _Toc44659911 \h </w:instrText>
            </w:r>
            <w:r w:rsidR="00A57529">
              <w:rPr>
                <w:noProof/>
                <w:webHidden/>
              </w:rPr>
            </w:r>
            <w:r w:rsidR="00A57529">
              <w:rPr>
                <w:noProof/>
                <w:webHidden/>
              </w:rPr>
              <w:fldChar w:fldCharType="separate"/>
            </w:r>
            <w:r w:rsidR="00A57529">
              <w:rPr>
                <w:noProof/>
                <w:webHidden/>
              </w:rPr>
              <w:t>23</w:t>
            </w:r>
            <w:r w:rsidR="00A57529">
              <w:rPr>
                <w:noProof/>
                <w:webHidden/>
              </w:rPr>
              <w:fldChar w:fldCharType="end"/>
            </w:r>
          </w:hyperlink>
        </w:p>
        <w:p w14:paraId="7158DAE1" w14:textId="2AC1A63F" w:rsidR="00A57529" w:rsidRDefault="00EC194F">
          <w:pPr>
            <w:pStyle w:val="TOC3"/>
            <w:tabs>
              <w:tab w:val="left" w:pos="1100"/>
              <w:tab w:val="right" w:leader="dot" w:pos="9016"/>
            </w:tabs>
            <w:rPr>
              <w:rFonts w:eastAsiaTheme="minorEastAsia" w:cstheme="minorBidi"/>
              <w:noProof/>
              <w:color w:val="auto"/>
              <w:sz w:val="22"/>
              <w:szCs w:val="22"/>
            </w:rPr>
          </w:pPr>
          <w:hyperlink w:anchor="_Toc44659912" w:history="1">
            <w:r w:rsidR="00A57529" w:rsidRPr="00B37DF3">
              <w:rPr>
                <w:rStyle w:val="Hyperlink"/>
                <w:noProof/>
              </w:rPr>
              <w:t>4.3.3</w:t>
            </w:r>
            <w:r w:rsidR="00A57529">
              <w:rPr>
                <w:rFonts w:eastAsiaTheme="minorEastAsia" w:cstheme="minorBidi"/>
                <w:noProof/>
                <w:color w:val="auto"/>
                <w:sz w:val="22"/>
                <w:szCs w:val="22"/>
              </w:rPr>
              <w:tab/>
            </w:r>
            <w:r w:rsidR="00A57529" w:rsidRPr="00B37DF3">
              <w:rPr>
                <w:rStyle w:val="Hyperlink"/>
                <w:noProof/>
              </w:rPr>
              <w:t>Private Travel Insurance</w:t>
            </w:r>
            <w:r w:rsidR="00A57529">
              <w:rPr>
                <w:noProof/>
                <w:webHidden/>
              </w:rPr>
              <w:tab/>
            </w:r>
            <w:r w:rsidR="00A57529">
              <w:rPr>
                <w:noProof/>
                <w:webHidden/>
              </w:rPr>
              <w:fldChar w:fldCharType="begin"/>
            </w:r>
            <w:r w:rsidR="00A57529">
              <w:rPr>
                <w:noProof/>
                <w:webHidden/>
              </w:rPr>
              <w:instrText xml:space="preserve"> PAGEREF _Toc44659912 \h </w:instrText>
            </w:r>
            <w:r w:rsidR="00A57529">
              <w:rPr>
                <w:noProof/>
                <w:webHidden/>
              </w:rPr>
            </w:r>
            <w:r w:rsidR="00A57529">
              <w:rPr>
                <w:noProof/>
                <w:webHidden/>
              </w:rPr>
              <w:fldChar w:fldCharType="separate"/>
            </w:r>
            <w:r w:rsidR="00A57529">
              <w:rPr>
                <w:noProof/>
                <w:webHidden/>
              </w:rPr>
              <w:t>23</w:t>
            </w:r>
            <w:r w:rsidR="00A57529">
              <w:rPr>
                <w:noProof/>
                <w:webHidden/>
              </w:rPr>
              <w:fldChar w:fldCharType="end"/>
            </w:r>
          </w:hyperlink>
        </w:p>
        <w:p w14:paraId="78D1E18C" w14:textId="56903D80" w:rsidR="00A57529" w:rsidRDefault="00EC194F">
          <w:pPr>
            <w:pStyle w:val="TOC2"/>
            <w:tabs>
              <w:tab w:val="left" w:pos="880"/>
              <w:tab w:val="right" w:leader="dot" w:pos="9016"/>
            </w:tabs>
            <w:rPr>
              <w:rFonts w:eastAsiaTheme="minorEastAsia" w:cstheme="minorBidi"/>
              <w:noProof/>
              <w:color w:val="auto"/>
              <w:sz w:val="22"/>
              <w:szCs w:val="22"/>
            </w:rPr>
          </w:pPr>
          <w:hyperlink w:anchor="_Toc44659913" w:history="1">
            <w:r w:rsidR="00A57529" w:rsidRPr="00B37DF3">
              <w:rPr>
                <w:rStyle w:val="Hyperlink"/>
                <w:noProof/>
              </w:rPr>
              <w:t>4.4</w:t>
            </w:r>
            <w:r w:rsidR="00A57529">
              <w:rPr>
                <w:rFonts w:eastAsiaTheme="minorEastAsia" w:cstheme="minorBidi"/>
                <w:noProof/>
                <w:color w:val="auto"/>
                <w:sz w:val="22"/>
                <w:szCs w:val="22"/>
              </w:rPr>
              <w:tab/>
            </w:r>
            <w:r w:rsidR="00A57529" w:rsidRPr="00B37DF3">
              <w:rPr>
                <w:rStyle w:val="Hyperlink"/>
                <w:noProof/>
              </w:rPr>
              <w:t>Summary</w:t>
            </w:r>
            <w:r w:rsidR="00A57529">
              <w:rPr>
                <w:noProof/>
                <w:webHidden/>
              </w:rPr>
              <w:tab/>
            </w:r>
            <w:r w:rsidR="00A57529">
              <w:rPr>
                <w:noProof/>
                <w:webHidden/>
              </w:rPr>
              <w:fldChar w:fldCharType="begin"/>
            </w:r>
            <w:r w:rsidR="00A57529">
              <w:rPr>
                <w:noProof/>
                <w:webHidden/>
              </w:rPr>
              <w:instrText xml:space="preserve"> PAGEREF _Toc44659913 \h </w:instrText>
            </w:r>
            <w:r w:rsidR="00A57529">
              <w:rPr>
                <w:noProof/>
                <w:webHidden/>
              </w:rPr>
            </w:r>
            <w:r w:rsidR="00A57529">
              <w:rPr>
                <w:noProof/>
                <w:webHidden/>
              </w:rPr>
              <w:fldChar w:fldCharType="separate"/>
            </w:r>
            <w:r w:rsidR="00A57529">
              <w:rPr>
                <w:noProof/>
                <w:webHidden/>
              </w:rPr>
              <w:t>24</w:t>
            </w:r>
            <w:r w:rsidR="00A57529">
              <w:rPr>
                <w:noProof/>
                <w:webHidden/>
              </w:rPr>
              <w:fldChar w:fldCharType="end"/>
            </w:r>
          </w:hyperlink>
        </w:p>
        <w:p w14:paraId="26C6A2C9" w14:textId="03B9322F" w:rsidR="00A57529" w:rsidRDefault="00EC194F">
          <w:pPr>
            <w:pStyle w:val="TOC1"/>
            <w:tabs>
              <w:tab w:val="left" w:pos="420"/>
              <w:tab w:val="right" w:leader="dot" w:pos="9016"/>
            </w:tabs>
            <w:rPr>
              <w:rFonts w:eastAsiaTheme="minorEastAsia" w:cstheme="minorBidi"/>
              <w:noProof/>
              <w:color w:val="auto"/>
              <w:sz w:val="22"/>
              <w:szCs w:val="22"/>
            </w:rPr>
          </w:pPr>
          <w:hyperlink w:anchor="_Toc44659914" w:history="1">
            <w:r w:rsidR="00A57529" w:rsidRPr="00B37DF3">
              <w:rPr>
                <w:rStyle w:val="Hyperlink"/>
                <w:noProof/>
              </w:rPr>
              <w:t>5.</w:t>
            </w:r>
            <w:r w:rsidR="00A57529">
              <w:rPr>
                <w:rFonts w:eastAsiaTheme="minorEastAsia" w:cstheme="minorBidi"/>
                <w:noProof/>
                <w:color w:val="auto"/>
                <w:sz w:val="22"/>
                <w:szCs w:val="22"/>
              </w:rPr>
              <w:tab/>
            </w:r>
            <w:r w:rsidR="00A57529" w:rsidRPr="00B37DF3">
              <w:rPr>
                <w:rStyle w:val="Hyperlink"/>
                <w:noProof/>
              </w:rPr>
              <w:t>Option 2: Accede to Athens but retain 1996 LLMC global limits, (opt out of Athens limits)</w:t>
            </w:r>
            <w:r w:rsidR="00A57529">
              <w:rPr>
                <w:noProof/>
                <w:webHidden/>
              </w:rPr>
              <w:tab/>
            </w:r>
            <w:r w:rsidR="00A57529">
              <w:rPr>
                <w:noProof/>
                <w:webHidden/>
              </w:rPr>
              <w:fldChar w:fldCharType="begin"/>
            </w:r>
            <w:r w:rsidR="00A57529">
              <w:rPr>
                <w:noProof/>
                <w:webHidden/>
              </w:rPr>
              <w:instrText xml:space="preserve"> PAGEREF _Toc44659914 \h </w:instrText>
            </w:r>
            <w:r w:rsidR="00A57529">
              <w:rPr>
                <w:noProof/>
                <w:webHidden/>
              </w:rPr>
            </w:r>
            <w:r w:rsidR="00A57529">
              <w:rPr>
                <w:noProof/>
                <w:webHidden/>
              </w:rPr>
              <w:fldChar w:fldCharType="separate"/>
            </w:r>
            <w:r w:rsidR="00A57529">
              <w:rPr>
                <w:noProof/>
                <w:webHidden/>
              </w:rPr>
              <w:t>26</w:t>
            </w:r>
            <w:r w:rsidR="00A57529">
              <w:rPr>
                <w:noProof/>
                <w:webHidden/>
              </w:rPr>
              <w:fldChar w:fldCharType="end"/>
            </w:r>
          </w:hyperlink>
        </w:p>
        <w:p w14:paraId="2D5FB44A" w14:textId="64FF62A5" w:rsidR="00A57529" w:rsidRDefault="00EC194F">
          <w:pPr>
            <w:pStyle w:val="TOC2"/>
            <w:tabs>
              <w:tab w:val="left" w:pos="880"/>
              <w:tab w:val="right" w:leader="dot" w:pos="9016"/>
            </w:tabs>
            <w:rPr>
              <w:rFonts w:eastAsiaTheme="minorEastAsia" w:cstheme="minorBidi"/>
              <w:noProof/>
              <w:color w:val="auto"/>
              <w:sz w:val="22"/>
              <w:szCs w:val="22"/>
            </w:rPr>
          </w:pPr>
          <w:hyperlink w:anchor="_Toc44659915" w:history="1">
            <w:r w:rsidR="00A57529" w:rsidRPr="00B37DF3">
              <w:rPr>
                <w:rStyle w:val="Hyperlink"/>
                <w:noProof/>
              </w:rPr>
              <w:t>5.1</w:t>
            </w:r>
            <w:r w:rsidR="00A57529">
              <w:rPr>
                <w:rFonts w:eastAsiaTheme="minorEastAsia" w:cstheme="minorBidi"/>
                <w:noProof/>
                <w:color w:val="auto"/>
                <w:sz w:val="22"/>
                <w:szCs w:val="22"/>
              </w:rPr>
              <w:tab/>
            </w:r>
            <w:r w:rsidR="00A57529" w:rsidRPr="00B37DF3">
              <w:rPr>
                <w:rStyle w:val="Hyperlink"/>
                <w:noProof/>
              </w:rPr>
              <w:t>Option 2 Summary</w:t>
            </w:r>
            <w:r w:rsidR="00A57529">
              <w:rPr>
                <w:noProof/>
                <w:webHidden/>
              </w:rPr>
              <w:tab/>
            </w:r>
            <w:r w:rsidR="00A57529">
              <w:rPr>
                <w:noProof/>
                <w:webHidden/>
              </w:rPr>
              <w:fldChar w:fldCharType="begin"/>
            </w:r>
            <w:r w:rsidR="00A57529">
              <w:rPr>
                <w:noProof/>
                <w:webHidden/>
              </w:rPr>
              <w:instrText xml:space="preserve"> PAGEREF _Toc44659915 \h </w:instrText>
            </w:r>
            <w:r w:rsidR="00A57529">
              <w:rPr>
                <w:noProof/>
                <w:webHidden/>
              </w:rPr>
            </w:r>
            <w:r w:rsidR="00A57529">
              <w:rPr>
                <w:noProof/>
                <w:webHidden/>
              </w:rPr>
              <w:fldChar w:fldCharType="separate"/>
            </w:r>
            <w:r w:rsidR="00A57529">
              <w:rPr>
                <w:noProof/>
                <w:webHidden/>
              </w:rPr>
              <w:t>27</w:t>
            </w:r>
            <w:r w:rsidR="00A57529">
              <w:rPr>
                <w:noProof/>
                <w:webHidden/>
              </w:rPr>
              <w:fldChar w:fldCharType="end"/>
            </w:r>
          </w:hyperlink>
        </w:p>
        <w:p w14:paraId="4B94485C" w14:textId="1C9F655C" w:rsidR="00A57529" w:rsidRDefault="00EC194F">
          <w:pPr>
            <w:pStyle w:val="TOC1"/>
            <w:tabs>
              <w:tab w:val="left" w:pos="420"/>
              <w:tab w:val="right" w:leader="dot" w:pos="9016"/>
            </w:tabs>
            <w:rPr>
              <w:rFonts w:eastAsiaTheme="minorEastAsia" w:cstheme="minorBidi"/>
              <w:noProof/>
              <w:color w:val="auto"/>
              <w:sz w:val="22"/>
              <w:szCs w:val="22"/>
            </w:rPr>
          </w:pPr>
          <w:hyperlink w:anchor="_Toc44659916" w:history="1">
            <w:r w:rsidR="00A57529" w:rsidRPr="00B37DF3">
              <w:rPr>
                <w:rStyle w:val="Hyperlink"/>
                <w:noProof/>
              </w:rPr>
              <w:t>6.</w:t>
            </w:r>
            <w:r w:rsidR="00A57529">
              <w:rPr>
                <w:rFonts w:eastAsiaTheme="minorEastAsia" w:cstheme="minorBidi"/>
                <w:noProof/>
                <w:color w:val="auto"/>
                <w:sz w:val="22"/>
                <w:szCs w:val="22"/>
              </w:rPr>
              <w:tab/>
            </w:r>
            <w:r w:rsidR="00A57529" w:rsidRPr="00B37DF3">
              <w:rPr>
                <w:rStyle w:val="Hyperlink"/>
                <w:noProof/>
              </w:rPr>
              <w:t>Option 3: Accede to Athens with two variations on limits</w:t>
            </w:r>
            <w:r w:rsidR="00A57529">
              <w:rPr>
                <w:noProof/>
                <w:webHidden/>
              </w:rPr>
              <w:tab/>
            </w:r>
            <w:r w:rsidR="00A57529">
              <w:rPr>
                <w:noProof/>
                <w:webHidden/>
              </w:rPr>
              <w:fldChar w:fldCharType="begin"/>
            </w:r>
            <w:r w:rsidR="00A57529">
              <w:rPr>
                <w:noProof/>
                <w:webHidden/>
              </w:rPr>
              <w:instrText xml:space="preserve"> PAGEREF _Toc44659916 \h </w:instrText>
            </w:r>
            <w:r w:rsidR="00A57529">
              <w:rPr>
                <w:noProof/>
                <w:webHidden/>
              </w:rPr>
            </w:r>
            <w:r w:rsidR="00A57529">
              <w:rPr>
                <w:noProof/>
                <w:webHidden/>
              </w:rPr>
              <w:fldChar w:fldCharType="separate"/>
            </w:r>
            <w:r w:rsidR="00A57529">
              <w:rPr>
                <w:noProof/>
                <w:webHidden/>
              </w:rPr>
              <w:t>29</w:t>
            </w:r>
            <w:r w:rsidR="00A57529">
              <w:rPr>
                <w:noProof/>
                <w:webHidden/>
              </w:rPr>
              <w:fldChar w:fldCharType="end"/>
            </w:r>
          </w:hyperlink>
        </w:p>
        <w:p w14:paraId="12A8C439" w14:textId="19304242" w:rsidR="00A57529" w:rsidRDefault="00EC194F">
          <w:pPr>
            <w:pStyle w:val="TOC2"/>
            <w:tabs>
              <w:tab w:val="left" w:pos="880"/>
              <w:tab w:val="right" w:leader="dot" w:pos="9016"/>
            </w:tabs>
            <w:rPr>
              <w:rFonts w:eastAsiaTheme="minorEastAsia" w:cstheme="minorBidi"/>
              <w:noProof/>
              <w:color w:val="auto"/>
              <w:sz w:val="22"/>
              <w:szCs w:val="22"/>
            </w:rPr>
          </w:pPr>
          <w:hyperlink w:anchor="_Toc44659917" w:history="1">
            <w:r w:rsidR="00A57529" w:rsidRPr="00B37DF3">
              <w:rPr>
                <w:rStyle w:val="Hyperlink"/>
                <w:noProof/>
              </w:rPr>
              <w:t>6.1</w:t>
            </w:r>
            <w:r w:rsidR="00A57529">
              <w:rPr>
                <w:rFonts w:eastAsiaTheme="minorEastAsia" w:cstheme="minorBidi"/>
                <w:noProof/>
                <w:color w:val="auto"/>
                <w:sz w:val="22"/>
                <w:szCs w:val="22"/>
              </w:rPr>
              <w:tab/>
            </w:r>
            <w:r w:rsidR="00A57529" w:rsidRPr="00B37DF3">
              <w:rPr>
                <w:rStyle w:val="Hyperlink"/>
                <w:noProof/>
              </w:rPr>
              <w:t>Option 3a – Athens Tier 1 limits (strict liability) with Athens Tier 2 Limits (upper limit)</w:t>
            </w:r>
            <w:r w:rsidR="00A57529">
              <w:rPr>
                <w:noProof/>
                <w:webHidden/>
              </w:rPr>
              <w:tab/>
            </w:r>
            <w:r w:rsidR="00A57529">
              <w:rPr>
                <w:noProof/>
                <w:webHidden/>
              </w:rPr>
              <w:fldChar w:fldCharType="begin"/>
            </w:r>
            <w:r w:rsidR="00A57529">
              <w:rPr>
                <w:noProof/>
                <w:webHidden/>
              </w:rPr>
              <w:instrText xml:space="preserve"> PAGEREF _Toc44659917 \h </w:instrText>
            </w:r>
            <w:r w:rsidR="00A57529">
              <w:rPr>
                <w:noProof/>
                <w:webHidden/>
              </w:rPr>
            </w:r>
            <w:r w:rsidR="00A57529">
              <w:rPr>
                <w:noProof/>
                <w:webHidden/>
              </w:rPr>
              <w:fldChar w:fldCharType="separate"/>
            </w:r>
            <w:r w:rsidR="00A57529">
              <w:rPr>
                <w:noProof/>
                <w:webHidden/>
              </w:rPr>
              <w:t>29</w:t>
            </w:r>
            <w:r w:rsidR="00A57529">
              <w:rPr>
                <w:noProof/>
                <w:webHidden/>
              </w:rPr>
              <w:fldChar w:fldCharType="end"/>
            </w:r>
          </w:hyperlink>
        </w:p>
        <w:p w14:paraId="6F7C672A" w14:textId="61EDAB9D" w:rsidR="00A57529" w:rsidRDefault="00EC194F">
          <w:pPr>
            <w:pStyle w:val="TOC3"/>
            <w:tabs>
              <w:tab w:val="left" w:pos="1100"/>
              <w:tab w:val="right" w:leader="dot" w:pos="9016"/>
            </w:tabs>
            <w:rPr>
              <w:rFonts w:eastAsiaTheme="minorEastAsia" w:cstheme="minorBidi"/>
              <w:noProof/>
              <w:color w:val="auto"/>
              <w:sz w:val="22"/>
              <w:szCs w:val="22"/>
            </w:rPr>
          </w:pPr>
          <w:hyperlink w:anchor="_Toc44659918" w:history="1">
            <w:r w:rsidR="00A57529" w:rsidRPr="00B37DF3">
              <w:rPr>
                <w:rStyle w:val="Hyperlink"/>
                <w:noProof/>
              </w:rPr>
              <w:t>6.1.1</w:t>
            </w:r>
            <w:r w:rsidR="00A57529">
              <w:rPr>
                <w:rFonts w:eastAsiaTheme="minorEastAsia" w:cstheme="minorBidi"/>
                <w:noProof/>
                <w:color w:val="auto"/>
                <w:sz w:val="22"/>
                <w:szCs w:val="22"/>
              </w:rPr>
              <w:tab/>
            </w:r>
            <w:r w:rsidR="00A57529" w:rsidRPr="00B37DF3">
              <w:rPr>
                <w:rStyle w:val="Hyperlink"/>
                <w:noProof/>
              </w:rPr>
              <w:t>Strict Liability (Art.3)</w:t>
            </w:r>
            <w:r w:rsidR="00A57529">
              <w:rPr>
                <w:noProof/>
                <w:webHidden/>
              </w:rPr>
              <w:tab/>
            </w:r>
            <w:r w:rsidR="00A57529">
              <w:rPr>
                <w:noProof/>
                <w:webHidden/>
              </w:rPr>
              <w:fldChar w:fldCharType="begin"/>
            </w:r>
            <w:r w:rsidR="00A57529">
              <w:rPr>
                <w:noProof/>
                <w:webHidden/>
              </w:rPr>
              <w:instrText xml:space="preserve"> PAGEREF _Toc44659918 \h </w:instrText>
            </w:r>
            <w:r w:rsidR="00A57529">
              <w:rPr>
                <w:noProof/>
                <w:webHidden/>
              </w:rPr>
            </w:r>
            <w:r w:rsidR="00A57529">
              <w:rPr>
                <w:noProof/>
                <w:webHidden/>
              </w:rPr>
              <w:fldChar w:fldCharType="separate"/>
            </w:r>
            <w:r w:rsidR="00A57529">
              <w:rPr>
                <w:noProof/>
                <w:webHidden/>
              </w:rPr>
              <w:t>29</w:t>
            </w:r>
            <w:r w:rsidR="00A57529">
              <w:rPr>
                <w:noProof/>
                <w:webHidden/>
              </w:rPr>
              <w:fldChar w:fldCharType="end"/>
            </w:r>
          </w:hyperlink>
        </w:p>
        <w:p w14:paraId="128EB9C3" w14:textId="7DA4EE7A" w:rsidR="00A57529" w:rsidRDefault="00EC194F">
          <w:pPr>
            <w:pStyle w:val="TOC2"/>
            <w:tabs>
              <w:tab w:val="left" w:pos="880"/>
              <w:tab w:val="right" w:leader="dot" w:pos="9016"/>
            </w:tabs>
            <w:rPr>
              <w:rFonts w:eastAsiaTheme="minorEastAsia" w:cstheme="minorBidi"/>
              <w:noProof/>
              <w:color w:val="auto"/>
              <w:sz w:val="22"/>
              <w:szCs w:val="22"/>
            </w:rPr>
          </w:pPr>
          <w:hyperlink w:anchor="_Toc44659919" w:history="1">
            <w:r w:rsidR="00A57529" w:rsidRPr="00B37DF3">
              <w:rPr>
                <w:rStyle w:val="Hyperlink"/>
                <w:noProof/>
              </w:rPr>
              <w:t>6.2</w:t>
            </w:r>
            <w:r w:rsidR="00A57529">
              <w:rPr>
                <w:rFonts w:eastAsiaTheme="minorEastAsia" w:cstheme="minorBidi"/>
                <w:noProof/>
                <w:color w:val="auto"/>
                <w:sz w:val="22"/>
                <w:szCs w:val="22"/>
              </w:rPr>
              <w:tab/>
            </w:r>
            <w:r w:rsidR="00A57529" w:rsidRPr="00B37DF3">
              <w:rPr>
                <w:rStyle w:val="Hyperlink"/>
                <w:noProof/>
              </w:rPr>
              <w:t>Option 3b – Athens (Tier 1) limits with increased Athens upper limits (Tier 2)</w:t>
            </w:r>
            <w:r w:rsidR="00A57529">
              <w:rPr>
                <w:noProof/>
                <w:webHidden/>
              </w:rPr>
              <w:tab/>
            </w:r>
            <w:r w:rsidR="00A57529">
              <w:rPr>
                <w:noProof/>
                <w:webHidden/>
              </w:rPr>
              <w:fldChar w:fldCharType="begin"/>
            </w:r>
            <w:r w:rsidR="00A57529">
              <w:rPr>
                <w:noProof/>
                <w:webHidden/>
              </w:rPr>
              <w:instrText xml:space="preserve"> PAGEREF _Toc44659919 \h </w:instrText>
            </w:r>
            <w:r w:rsidR="00A57529">
              <w:rPr>
                <w:noProof/>
                <w:webHidden/>
              </w:rPr>
            </w:r>
            <w:r w:rsidR="00A57529">
              <w:rPr>
                <w:noProof/>
                <w:webHidden/>
              </w:rPr>
              <w:fldChar w:fldCharType="separate"/>
            </w:r>
            <w:r w:rsidR="00A57529">
              <w:rPr>
                <w:noProof/>
                <w:webHidden/>
              </w:rPr>
              <w:t>31</w:t>
            </w:r>
            <w:r w:rsidR="00A57529">
              <w:rPr>
                <w:noProof/>
                <w:webHidden/>
              </w:rPr>
              <w:fldChar w:fldCharType="end"/>
            </w:r>
          </w:hyperlink>
        </w:p>
        <w:p w14:paraId="087918ED" w14:textId="26AC4676" w:rsidR="00A57529" w:rsidRDefault="00EC194F">
          <w:pPr>
            <w:pStyle w:val="TOC3"/>
            <w:tabs>
              <w:tab w:val="left" w:pos="1100"/>
              <w:tab w:val="right" w:leader="dot" w:pos="9016"/>
            </w:tabs>
            <w:rPr>
              <w:rFonts w:eastAsiaTheme="minorEastAsia" w:cstheme="minorBidi"/>
              <w:noProof/>
              <w:color w:val="auto"/>
              <w:sz w:val="22"/>
              <w:szCs w:val="22"/>
            </w:rPr>
          </w:pPr>
          <w:hyperlink w:anchor="_Toc44659920" w:history="1">
            <w:r w:rsidR="00A57529" w:rsidRPr="00B37DF3">
              <w:rPr>
                <w:rStyle w:val="Hyperlink"/>
                <w:noProof/>
              </w:rPr>
              <w:t>6.2.1</w:t>
            </w:r>
            <w:r w:rsidR="00A57529">
              <w:rPr>
                <w:rFonts w:eastAsiaTheme="minorEastAsia" w:cstheme="minorBidi"/>
                <w:noProof/>
                <w:color w:val="auto"/>
                <w:sz w:val="22"/>
                <w:szCs w:val="22"/>
              </w:rPr>
              <w:tab/>
            </w:r>
            <w:r w:rsidR="00A57529" w:rsidRPr="00B37DF3">
              <w:rPr>
                <w:rStyle w:val="Hyperlink"/>
                <w:noProof/>
              </w:rPr>
              <w:t>Summary</w:t>
            </w:r>
            <w:r w:rsidR="00A57529">
              <w:rPr>
                <w:noProof/>
                <w:webHidden/>
              </w:rPr>
              <w:tab/>
            </w:r>
            <w:r w:rsidR="00A57529">
              <w:rPr>
                <w:noProof/>
                <w:webHidden/>
              </w:rPr>
              <w:fldChar w:fldCharType="begin"/>
            </w:r>
            <w:r w:rsidR="00A57529">
              <w:rPr>
                <w:noProof/>
                <w:webHidden/>
              </w:rPr>
              <w:instrText xml:space="preserve"> PAGEREF _Toc44659920 \h </w:instrText>
            </w:r>
            <w:r w:rsidR="00A57529">
              <w:rPr>
                <w:noProof/>
                <w:webHidden/>
              </w:rPr>
            </w:r>
            <w:r w:rsidR="00A57529">
              <w:rPr>
                <w:noProof/>
                <w:webHidden/>
              </w:rPr>
              <w:fldChar w:fldCharType="separate"/>
            </w:r>
            <w:r w:rsidR="00A57529">
              <w:rPr>
                <w:noProof/>
                <w:webHidden/>
              </w:rPr>
              <w:t>31</w:t>
            </w:r>
            <w:r w:rsidR="00A57529">
              <w:rPr>
                <w:noProof/>
                <w:webHidden/>
              </w:rPr>
              <w:fldChar w:fldCharType="end"/>
            </w:r>
          </w:hyperlink>
        </w:p>
        <w:p w14:paraId="28BE0095" w14:textId="2640D084" w:rsidR="00A57529" w:rsidRDefault="00EC194F">
          <w:pPr>
            <w:pStyle w:val="TOC1"/>
            <w:tabs>
              <w:tab w:val="left" w:pos="420"/>
              <w:tab w:val="right" w:leader="dot" w:pos="9016"/>
            </w:tabs>
            <w:rPr>
              <w:rFonts w:eastAsiaTheme="minorEastAsia" w:cstheme="minorBidi"/>
              <w:noProof/>
              <w:color w:val="auto"/>
              <w:sz w:val="22"/>
              <w:szCs w:val="22"/>
            </w:rPr>
          </w:pPr>
          <w:hyperlink w:anchor="_Toc44659921" w:history="1">
            <w:r w:rsidR="00A57529" w:rsidRPr="00B37DF3">
              <w:rPr>
                <w:rStyle w:val="Hyperlink"/>
                <w:noProof/>
              </w:rPr>
              <w:t>7.</w:t>
            </w:r>
            <w:r w:rsidR="00A57529">
              <w:rPr>
                <w:rFonts w:eastAsiaTheme="minorEastAsia" w:cstheme="minorBidi"/>
                <w:noProof/>
                <w:color w:val="auto"/>
                <w:sz w:val="22"/>
                <w:szCs w:val="22"/>
              </w:rPr>
              <w:tab/>
            </w:r>
            <w:r w:rsidR="00A57529" w:rsidRPr="00B37DF3">
              <w:rPr>
                <w:rStyle w:val="Hyperlink"/>
                <w:noProof/>
              </w:rPr>
              <w:t>Option 4: Option 2 or 3 and extend to “voyages to nowhere” and smaller domestic operators</w:t>
            </w:r>
            <w:r w:rsidR="00A57529">
              <w:rPr>
                <w:noProof/>
                <w:webHidden/>
              </w:rPr>
              <w:tab/>
            </w:r>
            <w:r w:rsidR="00A57529">
              <w:rPr>
                <w:noProof/>
                <w:webHidden/>
              </w:rPr>
              <w:fldChar w:fldCharType="begin"/>
            </w:r>
            <w:r w:rsidR="00A57529">
              <w:rPr>
                <w:noProof/>
                <w:webHidden/>
              </w:rPr>
              <w:instrText xml:space="preserve"> PAGEREF _Toc44659921 \h </w:instrText>
            </w:r>
            <w:r w:rsidR="00A57529">
              <w:rPr>
                <w:noProof/>
                <w:webHidden/>
              </w:rPr>
            </w:r>
            <w:r w:rsidR="00A57529">
              <w:rPr>
                <w:noProof/>
                <w:webHidden/>
              </w:rPr>
              <w:fldChar w:fldCharType="separate"/>
            </w:r>
            <w:r w:rsidR="00A57529">
              <w:rPr>
                <w:noProof/>
                <w:webHidden/>
              </w:rPr>
              <w:t>33</w:t>
            </w:r>
            <w:r w:rsidR="00A57529">
              <w:rPr>
                <w:noProof/>
                <w:webHidden/>
              </w:rPr>
              <w:fldChar w:fldCharType="end"/>
            </w:r>
          </w:hyperlink>
        </w:p>
        <w:p w14:paraId="1C292EB8" w14:textId="15F5DF42" w:rsidR="00A57529" w:rsidRDefault="00EC194F">
          <w:pPr>
            <w:pStyle w:val="TOC2"/>
            <w:tabs>
              <w:tab w:val="left" w:pos="880"/>
              <w:tab w:val="right" w:leader="dot" w:pos="9016"/>
            </w:tabs>
            <w:rPr>
              <w:rFonts w:eastAsiaTheme="minorEastAsia" w:cstheme="minorBidi"/>
              <w:noProof/>
              <w:color w:val="auto"/>
              <w:sz w:val="22"/>
              <w:szCs w:val="22"/>
            </w:rPr>
          </w:pPr>
          <w:hyperlink w:anchor="_Toc44659922" w:history="1">
            <w:r w:rsidR="00A57529" w:rsidRPr="00B37DF3">
              <w:rPr>
                <w:rStyle w:val="Hyperlink"/>
                <w:noProof/>
              </w:rPr>
              <w:t>7.1</w:t>
            </w:r>
            <w:r w:rsidR="00A57529">
              <w:rPr>
                <w:rFonts w:eastAsiaTheme="minorEastAsia" w:cstheme="minorBidi"/>
                <w:noProof/>
                <w:color w:val="auto"/>
                <w:sz w:val="22"/>
                <w:szCs w:val="22"/>
              </w:rPr>
              <w:tab/>
            </w:r>
            <w:r w:rsidR="00A57529" w:rsidRPr="00B37DF3">
              <w:rPr>
                <w:rStyle w:val="Hyperlink"/>
                <w:noProof/>
              </w:rPr>
              <w:t>Application to smaller operators to be canvassed</w:t>
            </w:r>
            <w:r w:rsidR="00A57529">
              <w:rPr>
                <w:noProof/>
                <w:webHidden/>
              </w:rPr>
              <w:tab/>
            </w:r>
            <w:r w:rsidR="00A57529">
              <w:rPr>
                <w:noProof/>
                <w:webHidden/>
              </w:rPr>
              <w:fldChar w:fldCharType="begin"/>
            </w:r>
            <w:r w:rsidR="00A57529">
              <w:rPr>
                <w:noProof/>
                <w:webHidden/>
              </w:rPr>
              <w:instrText xml:space="preserve"> PAGEREF _Toc44659922 \h </w:instrText>
            </w:r>
            <w:r w:rsidR="00A57529">
              <w:rPr>
                <w:noProof/>
                <w:webHidden/>
              </w:rPr>
            </w:r>
            <w:r w:rsidR="00A57529">
              <w:rPr>
                <w:noProof/>
                <w:webHidden/>
              </w:rPr>
              <w:fldChar w:fldCharType="separate"/>
            </w:r>
            <w:r w:rsidR="00A57529">
              <w:rPr>
                <w:noProof/>
                <w:webHidden/>
              </w:rPr>
              <w:t>34</w:t>
            </w:r>
            <w:r w:rsidR="00A57529">
              <w:rPr>
                <w:noProof/>
                <w:webHidden/>
              </w:rPr>
              <w:fldChar w:fldCharType="end"/>
            </w:r>
          </w:hyperlink>
        </w:p>
        <w:p w14:paraId="72F21378" w14:textId="55AED721" w:rsidR="00A57529" w:rsidRDefault="00EC194F">
          <w:pPr>
            <w:pStyle w:val="TOC1"/>
            <w:tabs>
              <w:tab w:val="left" w:pos="420"/>
              <w:tab w:val="right" w:leader="dot" w:pos="9016"/>
            </w:tabs>
            <w:rPr>
              <w:rFonts w:eastAsiaTheme="minorEastAsia" w:cstheme="minorBidi"/>
              <w:noProof/>
              <w:color w:val="auto"/>
              <w:sz w:val="22"/>
              <w:szCs w:val="22"/>
            </w:rPr>
          </w:pPr>
          <w:hyperlink w:anchor="_Toc44659923" w:history="1">
            <w:r w:rsidR="00A57529" w:rsidRPr="00B37DF3">
              <w:rPr>
                <w:rStyle w:val="Hyperlink"/>
                <w:noProof/>
              </w:rPr>
              <w:t>8.</w:t>
            </w:r>
            <w:r w:rsidR="00A57529">
              <w:rPr>
                <w:rFonts w:eastAsiaTheme="minorEastAsia" w:cstheme="minorBidi"/>
                <w:noProof/>
                <w:color w:val="auto"/>
                <w:sz w:val="22"/>
                <w:szCs w:val="22"/>
              </w:rPr>
              <w:tab/>
            </w:r>
            <w:r w:rsidR="00A57529" w:rsidRPr="00B37DF3">
              <w:rPr>
                <w:rStyle w:val="Hyperlink"/>
                <w:noProof/>
              </w:rPr>
              <w:t>Expected Compliance costs</w:t>
            </w:r>
            <w:r w:rsidR="00A57529">
              <w:rPr>
                <w:noProof/>
                <w:webHidden/>
              </w:rPr>
              <w:tab/>
            </w:r>
            <w:r w:rsidR="00A57529">
              <w:rPr>
                <w:noProof/>
                <w:webHidden/>
              </w:rPr>
              <w:fldChar w:fldCharType="begin"/>
            </w:r>
            <w:r w:rsidR="00A57529">
              <w:rPr>
                <w:noProof/>
                <w:webHidden/>
              </w:rPr>
              <w:instrText xml:space="preserve"> PAGEREF _Toc44659923 \h </w:instrText>
            </w:r>
            <w:r w:rsidR="00A57529">
              <w:rPr>
                <w:noProof/>
                <w:webHidden/>
              </w:rPr>
            </w:r>
            <w:r w:rsidR="00A57529">
              <w:rPr>
                <w:noProof/>
                <w:webHidden/>
              </w:rPr>
              <w:fldChar w:fldCharType="separate"/>
            </w:r>
            <w:r w:rsidR="00A57529">
              <w:rPr>
                <w:noProof/>
                <w:webHidden/>
              </w:rPr>
              <w:t>36</w:t>
            </w:r>
            <w:r w:rsidR="00A57529">
              <w:rPr>
                <w:noProof/>
                <w:webHidden/>
              </w:rPr>
              <w:fldChar w:fldCharType="end"/>
            </w:r>
          </w:hyperlink>
        </w:p>
        <w:p w14:paraId="4BE1DF80" w14:textId="586DF297" w:rsidR="00A57529" w:rsidRDefault="00EC194F">
          <w:pPr>
            <w:pStyle w:val="TOC2"/>
            <w:tabs>
              <w:tab w:val="left" w:pos="880"/>
              <w:tab w:val="right" w:leader="dot" w:pos="9016"/>
            </w:tabs>
            <w:rPr>
              <w:rFonts w:eastAsiaTheme="minorEastAsia" w:cstheme="minorBidi"/>
              <w:noProof/>
              <w:color w:val="auto"/>
              <w:sz w:val="22"/>
              <w:szCs w:val="22"/>
            </w:rPr>
          </w:pPr>
          <w:hyperlink w:anchor="_Toc44659924" w:history="1">
            <w:r w:rsidR="00A57529" w:rsidRPr="00B37DF3">
              <w:rPr>
                <w:rStyle w:val="Hyperlink"/>
                <w:noProof/>
              </w:rPr>
              <w:t>8.1</w:t>
            </w:r>
            <w:r w:rsidR="00A57529">
              <w:rPr>
                <w:rFonts w:eastAsiaTheme="minorEastAsia" w:cstheme="minorBidi"/>
                <w:noProof/>
                <w:color w:val="auto"/>
                <w:sz w:val="22"/>
                <w:szCs w:val="22"/>
              </w:rPr>
              <w:tab/>
            </w:r>
            <w:r w:rsidR="00A57529" w:rsidRPr="00B37DF3">
              <w:rPr>
                <w:rStyle w:val="Hyperlink"/>
                <w:noProof/>
              </w:rPr>
              <w:t>Regulatory Compliance</w:t>
            </w:r>
            <w:r w:rsidR="00A57529">
              <w:rPr>
                <w:noProof/>
                <w:webHidden/>
              </w:rPr>
              <w:tab/>
            </w:r>
            <w:r w:rsidR="00A57529">
              <w:rPr>
                <w:noProof/>
                <w:webHidden/>
              </w:rPr>
              <w:fldChar w:fldCharType="begin"/>
            </w:r>
            <w:r w:rsidR="00A57529">
              <w:rPr>
                <w:noProof/>
                <w:webHidden/>
              </w:rPr>
              <w:instrText xml:space="preserve"> PAGEREF _Toc44659924 \h </w:instrText>
            </w:r>
            <w:r w:rsidR="00A57529">
              <w:rPr>
                <w:noProof/>
                <w:webHidden/>
              </w:rPr>
            </w:r>
            <w:r w:rsidR="00A57529">
              <w:rPr>
                <w:noProof/>
                <w:webHidden/>
              </w:rPr>
              <w:fldChar w:fldCharType="separate"/>
            </w:r>
            <w:r w:rsidR="00A57529">
              <w:rPr>
                <w:noProof/>
                <w:webHidden/>
              </w:rPr>
              <w:t>36</w:t>
            </w:r>
            <w:r w:rsidR="00A57529">
              <w:rPr>
                <w:noProof/>
                <w:webHidden/>
              </w:rPr>
              <w:fldChar w:fldCharType="end"/>
            </w:r>
          </w:hyperlink>
        </w:p>
        <w:p w14:paraId="3348038C" w14:textId="29331B5A" w:rsidR="00A57529" w:rsidRDefault="00EC194F">
          <w:pPr>
            <w:pStyle w:val="TOC3"/>
            <w:tabs>
              <w:tab w:val="left" w:pos="1100"/>
              <w:tab w:val="right" w:leader="dot" w:pos="9016"/>
            </w:tabs>
            <w:rPr>
              <w:rFonts w:eastAsiaTheme="minorEastAsia" w:cstheme="minorBidi"/>
              <w:noProof/>
              <w:color w:val="auto"/>
              <w:sz w:val="22"/>
              <w:szCs w:val="22"/>
            </w:rPr>
          </w:pPr>
          <w:hyperlink w:anchor="_Toc44659925" w:history="1">
            <w:r w:rsidR="00A57529" w:rsidRPr="00B37DF3">
              <w:rPr>
                <w:rStyle w:val="Hyperlink"/>
                <w:noProof/>
              </w:rPr>
              <w:t>8.1.1</w:t>
            </w:r>
            <w:r w:rsidR="00A57529">
              <w:rPr>
                <w:rFonts w:eastAsiaTheme="minorEastAsia" w:cstheme="minorBidi"/>
                <w:noProof/>
                <w:color w:val="auto"/>
                <w:sz w:val="22"/>
                <w:szCs w:val="22"/>
              </w:rPr>
              <w:tab/>
            </w:r>
            <w:r w:rsidR="00A57529" w:rsidRPr="00B37DF3">
              <w:rPr>
                <w:rStyle w:val="Hyperlink"/>
                <w:noProof/>
              </w:rPr>
              <w:t>Australian vessels certified to carry more than 12 passengers on overseas voyages</w:t>
            </w:r>
            <w:r w:rsidR="00A57529">
              <w:rPr>
                <w:noProof/>
                <w:webHidden/>
              </w:rPr>
              <w:tab/>
            </w:r>
            <w:r w:rsidR="00A57529">
              <w:rPr>
                <w:noProof/>
                <w:webHidden/>
              </w:rPr>
              <w:fldChar w:fldCharType="begin"/>
            </w:r>
            <w:r w:rsidR="00A57529">
              <w:rPr>
                <w:noProof/>
                <w:webHidden/>
              </w:rPr>
              <w:instrText xml:space="preserve"> PAGEREF _Toc44659925 \h </w:instrText>
            </w:r>
            <w:r w:rsidR="00A57529">
              <w:rPr>
                <w:noProof/>
                <w:webHidden/>
              </w:rPr>
            </w:r>
            <w:r w:rsidR="00A57529">
              <w:rPr>
                <w:noProof/>
                <w:webHidden/>
              </w:rPr>
              <w:fldChar w:fldCharType="separate"/>
            </w:r>
            <w:r w:rsidR="00A57529">
              <w:rPr>
                <w:noProof/>
                <w:webHidden/>
              </w:rPr>
              <w:t>36</w:t>
            </w:r>
            <w:r w:rsidR="00A57529">
              <w:rPr>
                <w:noProof/>
                <w:webHidden/>
              </w:rPr>
              <w:fldChar w:fldCharType="end"/>
            </w:r>
          </w:hyperlink>
        </w:p>
        <w:p w14:paraId="6CBCE7BA" w14:textId="78BA6650" w:rsidR="00A57529" w:rsidRDefault="00EC194F">
          <w:pPr>
            <w:pStyle w:val="TOC3"/>
            <w:tabs>
              <w:tab w:val="left" w:pos="1100"/>
              <w:tab w:val="right" w:leader="dot" w:pos="9016"/>
            </w:tabs>
            <w:rPr>
              <w:rFonts w:eastAsiaTheme="minorEastAsia" w:cstheme="minorBidi"/>
              <w:noProof/>
              <w:color w:val="auto"/>
              <w:sz w:val="22"/>
              <w:szCs w:val="22"/>
            </w:rPr>
          </w:pPr>
          <w:hyperlink w:anchor="_Toc44659926" w:history="1">
            <w:r w:rsidR="00A57529" w:rsidRPr="00B37DF3">
              <w:rPr>
                <w:rStyle w:val="Hyperlink"/>
                <w:noProof/>
              </w:rPr>
              <w:t>8.1.2</w:t>
            </w:r>
            <w:r w:rsidR="00A57529">
              <w:rPr>
                <w:rFonts w:eastAsiaTheme="minorEastAsia" w:cstheme="minorBidi"/>
                <w:noProof/>
                <w:color w:val="auto"/>
                <w:sz w:val="22"/>
                <w:szCs w:val="22"/>
              </w:rPr>
              <w:tab/>
            </w:r>
            <w:r w:rsidR="00A57529" w:rsidRPr="00B37DF3">
              <w:rPr>
                <w:rStyle w:val="Hyperlink"/>
                <w:noProof/>
              </w:rPr>
              <w:t>Foreign vessels carrying more than 12 passengers</w:t>
            </w:r>
            <w:r w:rsidR="00A57529">
              <w:rPr>
                <w:noProof/>
                <w:webHidden/>
              </w:rPr>
              <w:tab/>
            </w:r>
            <w:r w:rsidR="00A57529">
              <w:rPr>
                <w:noProof/>
                <w:webHidden/>
              </w:rPr>
              <w:fldChar w:fldCharType="begin"/>
            </w:r>
            <w:r w:rsidR="00A57529">
              <w:rPr>
                <w:noProof/>
                <w:webHidden/>
              </w:rPr>
              <w:instrText xml:space="preserve"> PAGEREF _Toc44659926 \h </w:instrText>
            </w:r>
            <w:r w:rsidR="00A57529">
              <w:rPr>
                <w:noProof/>
                <w:webHidden/>
              </w:rPr>
            </w:r>
            <w:r w:rsidR="00A57529">
              <w:rPr>
                <w:noProof/>
                <w:webHidden/>
              </w:rPr>
              <w:fldChar w:fldCharType="separate"/>
            </w:r>
            <w:r w:rsidR="00A57529">
              <w:rPr>
                <w:noProof/>
                <w:webHidden/>
              </w:rPr>
              <w:t>37</w:t>
            </w:r>
            <w:r w:rsidR="00A57529">
              <w:rPr>
                <w:noProof/>
                <w:webHidden/>
              </w:rPr>
              <w:fldChar w:fldCharType="end"/>
            </w:r>
          </w:hyperlink>
        </w:p>
        <w:p w14:paraId="2612AA8E" w14:textId="3D4E9F16" w:rsidR="00A57529" w:rsidRDefault="00EC194F">
          <w:pPr>
            <w:pStyle w:val="TOC3"/>
            <w:tabs>
              <w:tab w:val="left" w:pos="1100"/>
              <w:tab w:val="right" w:leader="dot" w:pos="9016"/>
            </w:tabs>
            <w:rPr>
              <w:rFonts w:eastAsiaTheme="minorEastAsia" w:cstheme="minorBidi"/>
              <w:noProof/>
              <w:color w:val="auto"/>
              <w:sz w:val="22"/>
              <w:szCs w:val="22"/>
            </w:rPr>
          </w:pPr>
          <w:hyperlink w:anchor="_Toc44659927" w:history="1">
            <w:r w:rsidR="00A57529" w:rsidRPr="00B37DF3">
              <w:rPr>
                <w:rStyle w:val="Hyperlink"/>
                <w:noProof/>
              </w:rPr>
              <w:t>8.1.3</w:t>
            </w:r>
            <w:r w:rsidR="00A57529">
              <w:rPr>
                <w:rFonts w:eastAsiaTheme="minorEastAsia" w:cstheme="minorBidi"/>
                <w:noProof/>
                <w:color w:val="auto"/>
                <w:sz w:val="22"/>
                <w:szCs w:val="22"/>
              </w:rPr>
              <w:tab/>
            </w:r>
            <w:r w:rsidR="00A57529" w:rsidRPr="00B37DF3">
              <w:rPr>
                <w:rStyle w:val="Hyperlink"/>
                <w:noProof/>
              </w:rPr>
              <w:t>DCV that may take more than 12 passengers on multiple night cruises</w:t>
            </w:r>
            <w:r w:rsidR="00A57529">
              <w:rPr>
                <w:noProof/>
                <w:webHidden/>
              </w:rPr>
              <w:tab/>
            </w:r>
            <w:r w:rsidR="00A57529">
              <w:rPr>
                <w:noProof/>
                <w:webHidden/>
              </w:rPr>
              <w:fldChar w:fldCharType="begin"/>
            </w:r>
            <w:r w:rsidR="00A57529">
              <w:rPr>
                <w:noProof/>
                <w:webHidden/>
              </w:rPr>
              <w:instrText xml:space="preserve"> PAGEREF _Toc44659927 \h </w:instrText>
            </w:r>
            <w:r w:rsidR="00A57529">
              <w:rPr>
                <w:noProof/>
                <w:webHidden/>
              </w:rPr>
            </w:r>
            <w:r w:rsidR="00A57529">
              <w:rPr>
                <w:noProof/>
                <w:webHidden/>
              </w:rPr>
              <w:fldChar w:fldCharType="separate"/>
            </w:r>
            <w:r w:rsidR="00A57529">
              <w:rPr>
                <w:noProof/>
                <w:webHidden/>
              </w:rPr>
              <w:t>37</w:t>
            </w:r>
            <w:r w:rsidR="00A57529">
              <w:rPr>
                <w:noProof/>
                <w:webHidden/>
              </w:rPr>
              <w:fldChar w:fldCharType="end"/>
            </w:r>
          </w:hyperlink>
        </w:p>
        <w:p w14:paraId="3525D74A" w14:textId="6836BD5D" w:rsidR="00A57529" w:rsidRDefault="00EC194F">
          <w:pPr>
            <w:pStyle w:val="TOC3"/>
            <w:tabs>
              <w:tab w:val="left" w:pos="1100"/>
              <w:tab w:val="right" w:leader="dot" w:pos="9016"/>
            </w:tabs>
            <w:rPr>
              <w:rFonts w:eastAsiaTheme="minorEastAsia" w:cstheme="minorBidi"/>
              <w:noProof/>
              <w:color w:val="auto"/>
              <w:sz w:val="22"/>
              <w:szCs w:val="22"/>
            </w:rPr>
          </w:pPr>
          <w:hyperlink w:anchor="_Toc44659928" w:history="1">
            <w:r w:rsidR="00A57529" w:rsidRPr="00B37DF3">
              <w:rPr>
                <w:rStyle w:val="Hyperlink"/>
                <w:noProof/>
              </w:rPr>
              <w:t>8.1.4</w:t>
            </w:r>
            <w:r w:rsidR="00A57529">
              <w:rPr>
                <w:rFonts w:eastAsiaTheme="minorEastAsia" w:cstheme="minorBidi"/>
                <w:noProof/>
                <w:color w:val="auto"/>
                <w:sz w:val="22"/>
                <w:szCs w:val="22"/>
              </w:rPr>
              <w:tab/>
            </w:r>
            <w:r w:rsidR="00A57529" w:rsidRPr="00B37DF3">
              <w:rPr>
                <w:rStyle w:val="Hyperlink"/>
                <w:noProof/>
              </w:rPr>
              <w:t>Conclusion</w:t>
            </w:r>
            <w:r w:rsidR="00A57529">
              <w:rPr>
                <w:noProof/>
                <w:webHidden/>
              </w:rPr>
              <w:tab/>
            </w:r>
            <w:r w:rsidR="00A57529">
              <w:rPr>
                <w:noProof/>
                <w:webHidden/>
              </w:rPr>
              <w:fldChar w:fldCharType="begin"/>
            </w:r>
            <w:r w:rsidR="00A57529">
              <w:rPr>
                <w:noProof/>
                <w:webHidden/>
              </w:rPr>
              <w:instrText xml:space="preserve"> PAGEREF _Toc44659928 \h </w:instrText>
            </w:r>
            <w:r w:rsidR="00A57529">
              <w:rPr>
                <w:noProof/>
                <w:webHidden/>
              </w:rPr>
            </w:r>
            <w:r w:rsidR="00A57529">
              <w:rPr>
                <w:noProof/>
                <w:webHidden/>
              </w:rPr>
              <w:fldChar w:fldCharType="separate"/>
            </w:r>
            <w:r w:rsidR="00A57529">
              <w:rPr>
                <w:noProof/>
                <w:webHidden/>
              </w:rPr>
              <w:t>38</w:t>
            </w:r>
            <w:r w:rsidR="00A57529">
              <w:rPr>
                <w:noProof/>
                <w:webHidden/>
              </w:rPr>
              <w:fldChar w:fldCharType="end"/>
            </w:r>
          </w:hyperlink>
        </w:p>
        <w:p w14:paraId="07C0F339" w14:textId="6B25FF42" w:rsidR="00A57529" w:rsidRDefault="00EC194F">
          <w:pPr>
            <w:pStyle w:val="TOC1"/>
            <w:tabs>
              <w:tab w:val="left" w:pos="420"/>
              <w:tab w:val="right" w:leader="dot" w:pos="9016"/>
            </w:tabs>
            <w:rPr>
              <w:rFonts w:eastAsiaTheme="minorEastAsia" w:cstheme="minorBidi"/>
              <w:noProof/>
              <w:color w:val="auto"/>
              <w:sz w:val="22"/>
              <w:szCs w:val="22"/>
            </w:rPr>
          </w:pPr>
          <w:hyperlink w:anchor="_Toc44659929" w:history="1">
            <w:r w:rsidR="00A57529" w:rsidRPr="00B37DF3">
              <w:rPr>
                <w:rStyle w:val="Hyperlink"/>
                <w:noProof/>
              </w:rPr>
              <w:t>9.</w:t>
            </w:r>
            <w:r w:rsidR="00A57529">
              <w:rPr>
                <w:rFonts w:eastAsiaTheme="minorEastAsia" w:cstheme="minorBidi"/>
                <w:noProof/>
                <w:color w:val="auto"/>
                <w:sz w:val="22"/>
                <w:szCs w:val="22"/>
              </w:rPr>
              <w:tab/>
            </w:r>
            <w:r w:rsidR="00A57529" w:rsidRPr="00B37DF3">
              <w:rPr>
                <w:rStyle w:val="Hyperlink"/>
                <w:noProof/>
              </w:rPr>
              <w:t>Consultation Process</w:t>
            </w:r>
            <w:r w:rsidR="00A57529">
              <w:rPr>
                <w:noProof/>
                <w:webHidden/>
              </w:rPr>
              <w:tab/>
            </w:r>
            <w:r w:rsidR="00A57529">
              <w:rPr>
                <w:noProof/>
                <w:webHidden/>
              </w:rPr>
              <w:fldChar w:fldCharType="begin"/>
            </w:r>
            <w:r w:rsidR="00A57529">
              <w:rPr>
                <w:noProof/>
                <w:webHidden/>
              </w:rPr>
              <w:instrText xml:space="preserve"> PAGEREF _Toc44659929 \h </w:instrText>
            </w:r>
            <w:r w:rsidR="00A57529">
              <w:rPr>
                <w:noProof/>
                <w:webHidden/>
              </w:rPr>
            </w:r>
            <w:r w:rsidR="00A57529">
              <w:rPr>
                <w:noProof/>
                <w:webHidden/>
              </w:rPr>
              <w:fldChar w:fldCharType="separate"/>
            </w:r>
            <w:r w:rsidR="00A57529">
              <w:rPr>
                <w:noProof/>
                <w:webHidden/>
              </w:rPr>
              <w:t>39</w:t>
            </w:r>
            <w:r w:rsidR="00A57529">
              <w:rPr>
                <w:noProof/>
                <w:webHidden/>
              </w:rPr>
              <w:fldChar w:fldCharType="end"/>
            </w:r>
          </w:hyperlink>
        </w:p>
        <w:p w14:paraId="103F942C" w14:textId="317898E4" w:rsidR="00A57529" w:rsidRDefault="00EC194F">
          <w:pPr>
            <w:pStyle w:val="TOC3"/>
            <w:tabs>
              <w:tab w:val="left" w:pos="1100"/>
              <w:tab w:val="right" w:leader="dot" w:pos="9016"/>
            </w:tabs>
            <w:rPr>
              <w:rFonts w:eastAsiaTheme="minorEastAsia" w:cstheme="minorBidi"/>
              <w:noProof/>
              <w:color w:val="auto"/>
              <w:sz w:val="22"/>
              <w:szCs w:val="22"/>
            </w:rPr>
          </w:pPr>
          <w:hyperlink w:anchor="_Toc44659930" w:history="1">
            <w:r w:rsidR="00A57529" w:rsidRPr="00B37DF3">
              <w:rPr>
                <w:rStyle w:val="Hyperlink"/>
                <w:noProof/>
              </w:rPr>
              <w:t>9.1.1</w:t>
            </w:r>
            <w:r w:rsidR="00A57529">
              <w:rPr>
                <w:rFonts w:eastAsiaTheme="minorEastAsia" w:cstheme="minorBidi"/>
                <w:noProof/>
                <w:color w:val="auto"/>
                <w:sz w:val="22"/>
                <w:szCs w:val="22"/>
              </w:rPr>
              <w:tab/>
            </w:r>
            <w:r w:rsidR="00A57529" w:rsidRPr="00B37DF3">
              <w:rPr>
                <w:rStyle w:val="Hyperlink"/>
                <w:noProof/>
              </w:rPr>
              <w:t>Who we engaged with</w:t>
            </w:r>
            <w:r w:rsidR="00A57529">
              <w:rPr>
                <w:noProof/>
                <w:webHidden/>
              </w:rPr>
              <w:tab/>
            </w:r>
            <w:r w:rsidR="00A57529">
              <w:rPr>
                <w:noProof/>
                <w:webHidden/>
              </w:rPr>
              <w:fldChar w:fldCharType="begin"/>
            </w:r>
            <w:r w:rsidR="00A57529">
              <w:rPr>
                <w:noProof/>
                <w:webHidden/>
              </w:rPr>
              <w:instrText xml:space="preserve"> PAGEREF _Toc44659930 \h </w:instrText>
            </w:r>
            <w:r w:rsidR="00A57529">
              <w:rPr>
                <w:noProof/>
                <w:webHidden/>
              </w:rPr>
            </w:r>
            <w:r w:rsidR="00A57529">
              <w:rPr>
                <w:noProof/>
                <w:webHidden/>
              </w:rPr>
              <w:fldChar w:fldCharType="separate"/>
            </w:r>
            <w:r w:rsidR="00A57529">
              <w:rPr>
                <w:noProof/>
                <w:webHidden/>
              </w:rPr>
              <w:t>39</w:t>
            </w:r>
            <w:r w:rsidR="00A57529">
              <w:rPr>
                <w:noProof/>
                <w:webHidden/>
              </w:rPr>
              <w:fldChar w:fldCharType="end"/>
            </w:r>
          </w:hyperlink>
        </w:p>
        <w:p w14:paraId="722413E1" w14:textId="4DFF2027" w:rsidR="00A57529" w:rsidRDefault="00EC194F">
          <w:pPr>
            <w:pStyle w:val="TOC3"/>
            <w:tabs>
              <w:tab w:val="left" w:pos="1100"/>
              <w:tab w:val="right" w:leader="dot" w:pos="9016"/>
            </w:tabs>
            <w:rPr>
              <w:rFonts w:eastAsiaTheme="minorEastAsia" w:cstheme="minorBidi"/>
              <w:noProof/>
              <w:color w:val="auto"/>
              <w:sz w:val="22"/>
              <w:szCs w:val="22"/>
            </w:rPr>
          </w:pPr>
          <w:hyperlink w:anchor="_Toc44659931" w:history="1">
            <w:r w:rsidR="00A57529" w:rsidRPr="00B37DF3">
              <w:rPr>
                <w:rStyle w:val="Hyperlink"/>
                <w:noProof/>
              </w:rPr>
              <w:t>9.1.2</w:t>
            </w:r>
            <w:r w:rsidR="00A57529">
              <w:rPr>
                <w:rFonts w:eastAsiaTheme="minorEastAsia" w:cstheme="minorBidi"/>
                <w:noProof/>
                <w:color w:val="auto"/>
                <w:sz w:val="22"/>
                <w:szCs w:val="22"/>
              </w:rPr>
              <w:tab/>
            </w:r>
            <w:r w:rsidR="00A57529" w:rsidRPr="00B37DF3">
              <w:rPr>
                <w:rStyle w:val="Hyperlink"/>
                <w:noProof/>
              </w:rPr>
              <w:t>Responses received</w:t>
            </w:r>
            <w:r w:rsidR="00A57529">
              <w:rPr>
                <w:noProof/>
                <w:webHidden/>
              </w:rPr>
              <w:tab/>
            </w:r>
            <w:r w:rsidR="00A57529">
              <w:rPr>
                <w:noProof/>
                <w:webHidden/>
              </w:rPr>
              <w:fldChar w:fldCharType="begin"/>
            </w:r>
            <w:r w:rsidR="00A57529">
              <w:rPr>
                <w:noProof/>
                <w:webHidden/>
              </w:rPr>
              <w:instrText xml:space="preserve"> PAGEREF _Toc44659931 \h </w:instrText>
            </w:r>
            <w:r w:rsidR="00A57529">
              <w:rPr>
                <w:noProof/>
                <w:webHidden/>
              </w:rPr>
            </w:r>
            <w:r w:rsidR="00A57529">
              <w:rPr>
                <w:noProof/>
                <w:webHidden/>
              </w:rPr>
              <w:fldChar w:fldCharType="separate"/>
            </w:r>
            <w:r w:rsidR="00A57529">
              <w:rPr>
                <w:noProof/>
                <w:webHidden/>
              </w:rPr>
              <w:t>40</w:t>
            </w:r>
            <w:r w:rsidR="00A57529">
              <w:rPr>
                <w:noProof/>
                <w:webHidden/>
              </w:rPr>
              <w:fldChar w:fldCharType="end"/>
            </w:r>
          </w:hyperlink>
        </w:p>
        <w:p w14:paraId="6D1B8BE8" w14:textId="58520020" w:rsidR="00A57529" w:rsidRDefault="00EC194F">
          <w:pPr>
            <w:pStyle w:val="TOC3"/>
            <w:tabs>
              <w:tab w:val="left" w:pos="1100"/>
              <w:tab w:val="right" w:leader="dot" w:pos="9016"/>
            </w:tabs>
            <w:rPr>
              <w:rFonts w:eastAsiaTheme="minorEastAsia" w:cstheme="minorBidi"/>
              <w:noProof/>
              <w:color w:val="auto"/>
              <w:sz w:val="22"/>
              <w:szCs w:val="22"/>
            </w:rPr>
          </w:pPr>
          <w:hyperlink w:anchor="_Toc44659932" w:history="1">
            <w:r w:rsidR="00A57529" w:rsidRPr="00B37DF3">
              <w:rPr>
                <w:rStyle w:val="Hyperlink"/>
                <w:noProof/>
              </w:rPr>
              <w:t>9.1.3</w:t>
            </w:r>
            <w:r w:rsidR="00A57529">
              <w:rPr>
                <w:rFonts w:eastAsiaTheme="minorEastAsia" w:cstheme="minorBidi"/>
                <w:noProof/>
                <w:color w:val="auto"/>
                <w:sz w:val="22"/>
                <w:szCs w:val="22"/>
              </w:rPr>
              <w:tab/>
            </w:r>
            <w:r w:rsidR="00A57529" w:rsidRPr="00B37DF3">
              <w:rPr>
                <w:rStyle w:val="Hyperlink"/>
                <w:noProof/>
              </w:rPr>
              <w:t>Summary of key views of respondents</w:t>
            </w:r>
            <w:r w:rsidR="00A57529">
              <w:rPr>
                <w:noProof/>
                <w:webHidden/>
              </w:rPr>
              <w:tab/>
            </w:r>
            <w:r w:rsidR="00A57529">
              <w:rPr>
                <w:noProof/>
                <w:webHidden/>
              </w:rPr>
              <w:fldChar w:fldCharType="begin"/>
            </w:r>
            <w:r w:rsidR="00A57529">
              <w:rPr>
                <w:noProof/>
                <w:webHidden/>
              </w:rPr>
              <w:instrText xml:space="preserve"> PAGEREF _Toc44659932 \h </w:instrText>
            </w:r>
            <w:r w:rsidR="00A57529">
              <w:rPr>
                <w:noProof/>
                <w:webHidden/>
              </w:rPr>
            </w:r>
            <w:r w:rsidR="00A57529">
              <w:rPr>
                <w:noProof/>
                <w:webHidden/>
              </w:rPr>
              <w:fldChar w:fldCharType="separate"/>
            </w:r>
            <w:r w:rsidR="00A57529">
              <w:rPr>
                <w:noProof/>
                <w:webHidden/>
              </w:rPr>
              <w:t>40</w:t>
            </w:r>
            <w:r w:rsidR="00A57529">
              <w:rPr>
                <w:noProof/>
                <w:webHidden/>
              </w:rPr>
              <w:fldChar w:fldCharType="end"/>
            </w:r>
          </w:hyperlink>
        </w:p>
        <w:p w14:paraId="54D33625" w14:textId="14B6D1B5" w:rsidR="00A57529" w:rsidRDefault="00EC194F">
          <w:pPr>
            <w:pStyle w:val="TOC1"/>
            <w:tabs>
              <w:tab w:val="left" w:pos="660"/>
              <w:tab w:val="right" w:leader="dot" w:pos="9016"/>
            </w:tabs>
            <w:rPr>
              <w:rFonts w:eastAsiaTheme="minorEastAsia" w:cstheme="minorBidi"/>
              <w:noProof/>
              <w:color w:val="auto"/>
              <w:sz w:val="22"/>
              <w:szCs w:val="22"/>
            </w:rPr>
          </w:pPr>
          <w:hyperlink w:anchor="_Toc44659933" w:history="1">
            <w:r w:rsidR="00A57529" w:rsidRPr="00B37DF3">
              <w:rPr>
                <w:rStyle w:val="Hyperlink"/>
                <w:noProof/>
              </w:rPr>
              <w:t>10.</w:t>
            </w:r>
            <w:r w:rsidR="00A57529">
              <w:rPr>
                <w:rFonts w:eastAsiaTheme="minorEastAsia" w:cstheme="minorBidi"/>
                <w:noProof/>
                <w:color w:val="auto"/>
                <w:sz w:val="22"/>
                <w:szCs w:val="22"/>
              </w:rPr>
              <w:tab/>
            </w:r>
            <w:r w:rsidR="00A57529" w:rsidRPr="00B37DF3">
              <w:rPr>
                <w:rStyle w:val="Hyperlink"/>
                <w:noProof/>
              </w:rPr>
              <w:t>Impact Analysis</w:t>
            </w:r>
            <w:r w:rsidR="00A57529">
              <w:rPr>
                <w:noProof/>
                <w:webHidden/>
              </w:rPr>
              <w:tab/>
            </w:r>
            <w:r w:rsidR="00A57529">
              <w:rPr>
                <w:noProof/>
                <w:webHidden/>
              </w:rPr>
              <w:fldChar w:fldCharType="begin"/>
            </w:r>
            <w:r w:rsidR="00A57529">
              <w:rPr>
                <w:noProof/>
                <w:webHidden/>
              </w:rPr>
              <w:instrText xml:space="preserve"> PAGEREF _Toc44659933 \h </w:instrText>
            </w:r>
            <w:r w:rsidR="00A57529">
              <w:rPr>
                <w:noProof/>
                <w:webHidden/>
              </w:rPr>
            </w:r>
            <w:r w:rsidR="00A57529">
              <w:rPr>
                <w:noProof/>
                <w:webHidden/>
              </w:rPr>
              <w:fldChar w:fldCharType="separate"/>
            </w:r>
            <w:r w:rsidR="00A57529">
              <w:rPr>
                <w:noProof/>
                <w:webHidden/>
              </w:rPr>
              <w:t>42</w:t>
            </w:r>
            <w:r w:rsidR="00A57529">
              <w:rPr>
                <w:noProof/>
                <w:webHidden/>
              </w:rPr>
              <w:fldChar w:fldCharType="end"/>
            </w:r>
          </w:hyperlink>
        </w:p>
        <w:p w14:paraId="45D114D0" w14:textId="2F8AE7AD" w:rsidR="00A57529" w:rsidRDefault="00EC194F">
          <w:pPr>
            <w:pStyle w:val="TOC2"/>
            <w:tabs>
              <w:tab w:val="left" w:pos="880"/>
              <w:tab w:val="right" w:leader="dot" w:pos="9016"/>
            </w:tabs>
            <w:rPr>
              <w:rFonts w:eastAsiaTheme="minorEastAsia" w:cstheme="minorBidi"/>
              <w:noProof/>
              <w:color w:val="auto"/>
              <w:sz w:val="22"/>
              <w:szCs w:val="22"/>
            </w:rPr>
          </w:pPr>
          <w:hyperlink w:anchor="_Toc44659934" w:history="1">
            <w:r w:rsidR="00A57529" w:rsidRPr="00B37DF3">
              <w:rPr>
                <w:rStyle w:val="Hyperlink"/>
                <w:noProof/>
              </w:rPr>
              <w:t>10.1</w:t>
            </w:r>
            <w:r w:rsidR="00A57529">
              <w:rPr>
                <w:rFonts w:eastAsiaTheme="minorEastAsia" w:cstheme="minorBidi"/>
                <w:noProof/>
                <w:color w:val="auto"/>
                <w:sz w:val="22"/>
                <w:szCs w:val="22"/>
              </w:rPr>
              <w:tab/>
            </w:r>
            <w:r w:rsidR="00A57529" w:rsidRPr="00B37DF3">
              <w:rPr>
                <w:rStyle w:val="Hyperlink"/>
                <w:noProof/>
              </w:rPr>
              <w:t>Identification of whose costs and benefits counts</w:t>
            </w:r>
            <w:r w:rsidR="00A57529">
              <w:rPr>
                <w:noProof/>
                <w:webHidden/>
              </w:rPr>
              <w:tab/>
            </w:r>
            <w:r w:rsidR="00A57529">
              <w:rPr>
                <w:noProof/>
                <w:webHidden/>
              </w:rPr>
              <w:fldChar w:fldCharType="begin"/>
            </w:r>
            <w:r w:rsidR="00A57529">
              <w:rPr>
                <w:noProof/>
                <w:webHidden/>
              </w:rPr>
              <w:instrText xml:space="preserve"> PAGEREF _Toc44659934 \h </w:instrText>
            </w:r>
            <w:r w:rsidR="00A57529">
              <w:rPr>
                <w:noProof/>
                <w:webHidden/>
              </w:rPr>
            </w:r>
            <w:r w:rsidR="00A57529">
              <w:rPr>
                <w:noProof/>
                <w:webHidden/>
              </w:rPr>
              <w:fldChar w:fldCharType="separate"/>
            </w:r>
            <w:r w:rsidR="00A57529">
              <w:rPr>
                <w:noProof/>
                <w:webHidden/>
              </w:rPr>
              <w:t>43</w:t>
            </w:r>
            <w:r w:rsidR="00A57529">
              <w:rPr>
                <w:noProof/>
                <w:webHidden/>
              </w:rPr>
              <w:fldChar w:fldCharType="end"/>
            </w:r>
          </w:hyperlink>
        </w:p>
        <w:p w14:paraId="01185492" w14:textId="41E61276" w:rsidR="00A57529" w:rsidRDefault="00EC194F">
          <w:pPr>
            <w:pStyle w:val="TOC2"/>
            <w:tabs>
              <w:tab w:val="left" w:pos="880"/>
              <w:tab w:val="right" w:leader="dot" w:pos="9016"/>
            </w:tabs>
            <w:rPr>
              <w:rFonts w:eastAsiaTheme="minorEastAsia" w:cstheme="minorBidi"/>
              <w:noProof/>
              <w:color w:val="auto"/>
              <w:sz w:val="22"/>
              <w:szCs w:val="22"/>
            </w:rPr>
          </w:pPr>
          <w:hyperlink w:anchor="_Toc44659935" w:history="1">
            <w:r w:rsidR="00A57529" w:rsidRPr="00B37DF3">
              <w:rPr>
                <w:rStyle w:val="Hyperlink"/>
                <w:noProof/>
              </w:rPr>
              <w:t>10.2</w:t>
            </w:r>
            <w:r w:rsidR="00A57529">
              <w:rPr>
                <w:rFonts w:eastAsiaTheme="minorEastAsia" w:cstheme="minorBidi"/>
                <w:noProof/>
                <w:color w:val="auto"/>
                <w:sz w:val="22"/>
                <w:szCs w:val="22"/>
              </w:rPr>
              <w:tab/>
            </w:r>
            <w:r w:rsidR="00A57529" w:rsidRPr="00B37DF3">
              <w:rPr>
                <w:rStyle w:val="Hyperlink"/>
                <w:noProof/>
              </w:rPr>
              <w:t>Outline of impacts and measurement indicators</w:t>
            </w:r>
            <w:r w:rsidR="00A57529">
              <w:rPr>
                <w:noProof/>
                <w:webHidden/>
              </w:rPr>
              <w:tab/>
            </w:r>
            <w:r w:rsidR="00A57529">
              <w:rPr>
                <w:noProof/>
                <w:webHidden/>
              </w:rPr>
              <w:fldChar w:fldCharType="begin"/>
            </w:r>
            <w:r w:rsidR="00A57529">
              <w:rPr>
                <w:noProof/>
                <w:webHidden/>
              </w:rPr>
              <w:instrText xml:space="preserve"> PAGEREF _Toc44659935 \h </w:instrText>
            </w:r>
            <w:r w:rsidR="00A57529">
              <w:rPr>
                <w:noProof/>
                <w:webHidden/>
              </w:rPr>
            </w:r>
            <w:r w:rsidR="00A57529">
              <w:rPr>
                <w:noProof/>
                <w:webHidden/>
              </w:rPr>
              <w:fldChar w:fldCharType="separate"/>
            </w:r>
            <w:r w:rsidR="00A57529">
              <w:rPr>
                <w:noProof/>
                <w:webHidden/>
              </w:rPr>
              <w:t>44</w:t>
            </w:r>
            <w:r w:rsidR="00A57529">
              <w:rPr>
                <w:noProof/>
                <w:webHidden/>
              </w:rPr>
              <w:fldChar w:fldCharType="end"/>
            </w:r>
          </w:hyperlink>
        </w:p>
        <w:p w14:paraId="1D7112D3" w14:textId="1EB49E91" w:rsidR="00A57529" w:rsidRDefault="00EC194F">
          <w:pPr>
            <w:pStyle w:val="TOC2"/>
            <w:tabs>
              <w:tab w:val="left" w:pos="880"/>
              <w:tab w:val="right" w:leader="dot" w:pos="9016"/>
            </w:tabs>
            <w:rPr>
              <w:rFonts w:eastAsiaTheme="minorEastAsia" w:cstheme="minorBidi"/>
              <w:noProof/>
              <w:color w:val="auto"/>
              <w:sz w:val="22"/>
              <w:szCs w:val="22"/>
            </w:rPr>
          </w:pPr>
          <w:hyperlink w:anchor="_Toc44659936" w:history="1">
            <w:r w:rsidR="00A57529" w:rsidRPr="00B37DF3">
              <w:rPr>
                <w:rStyle w:val="Hyperlink"/>
                <w:noProof/>
              </w:rPr>
              <w:t>10.3</w:t>
            </w:r>
            <w:r w:rsidR="00A57529">
              <w:rPr>
                <w:rFonts w:eastAsiaTheme="minorEastAsia" w:cstheme="minorBidi"/>
                <w:noProof/>
                <w:color w:val="auto"/>
                <w:sz w:val="22"/>
                <w:szCs w:val="22"/>
              </w:rPr>
              <w:tab/>
            </w:r>
            <w:r w:rsidR="00A57529" w:rsidRPr="00B37DF3">
              <w:rPr>
                <w:rStyle w:val="Hyperlink"/>
                <w:noProof/>
              </w:rPr>
              <w:t>Impact Analysis</w:t>
            </w:r>
            <w:r w:rsidR="00A57529">
              <w:rPr>
                <w:noProof/>
                <w:webHidden/>
              </w:rPr>
              <w:tab/>
            </w:r>
            <w:r w:rsidR="00A57529">
              <w:rPr>
                <w:noProof/>
                <w:webHidden/>
              </w:rPr>
              <w:fldChar w:fldCharType="begin"/>
            </w:r>
            <w:r w:rsidR="00A57529">
              <w:rPr>
                <w:noProof/>
                <w:webHidden/>
              </w:rPr>
              <w:instrText xml:space="preserve"> PAGEREF _Toc44659936 \h </w:instrText>
            </w:r>
            <w:r w:rsidR="00A57529">
              <w:rPr>
                <w:noProof/>
                <w:webHidden/>
              </w:rPr>
            </w:r>
            <w:r w:rsidR="00A57529">
              <w:rPr>
                <w:noProof/>
                <w:webHidden/>
              </w:rPr>
              <w:fldChar w:fldCharType="separate"/>
            </w:r>
            <w:r w:rsidR="00A57529">
              <w:rPr>
                <w:noProof/>
                <w:webHidden/>
              </w:rPr>
              <w:t>44</w:t>
            </w:r>
            <w:r w:rsidR="00A57529">
              <w:rPr>
                <w:noProof/>
                <w:webHidden/>
              </w:rPr>
              <w:fldChar w:fldCharType="end"/>
            </w:r>
          </w:hyperlink>
        </w:p>
        <w:p w14:paraId="15EBDB75" w14:textId="07C48A4E" w:rsidR="00A57529" w:rsidRDefault="00EC194F">
          <w:pPr>
            <w:pStyle w:val="TOC3"/>
            <w:tabs>
              <w:tab w:val="left" w:pos="1320"/>
              <w:tab w:val="right" w:leader="dot" w:pos="9016"/>
            </w:tabs>
            <w:rPr>
              <w:rFonts w:eastAsiaTheme="minorEastAsia" w:cstheme="minorBidi"/>
              <w:noProof/>
              <w:color w:val="auto"/>
              <w:sz w:val="22"/>
              <w:szCs w:val="22"/>
            </w:rPr>
          </w:pPr>
          <w:hyperlink w:anchor="_Toc44659937" w:history="1">
            <w:r w:rsidR="00A57529" w:rsidRPr="00B37DF3">
              <w:rPr>
                <w:rStyle w:val="Hyperlink"/>
                <w:noProof/>
              </w:rPr>
              <w:t>10.3.1</w:t>
            </w:r>
            <w:r w:rsidR="00A57529">
              <w:rPr>
                <w:rFonts w:eastAsiaTheme="minorEastAsia" w:cstheme="minorBidi"/>
                <w:noProof/>
                <w:color w:val="auto"/>
                <w:sz w:val="22"/>
                <w:szCs w:val="22"/>
              </w:rPr>
              <w:tab/>
            </w:r>
            <w:r w:rsidR="00A57529" w:rsidRPr="00B37DF3">
              <w:rPr>
                <w:rStyle w:val="Hyperlink"/>
                <w:noProof/>
              </w:rPr>
              <w:t>Cruise companies</w:t>
            </w:r>
            <w:r w:rsidR="00A57529">
              <w:rPr>
                <w:noProof/>
                <w:webHidden/>
              </w:rPr>
              <w:tab/>
            </w:r>
            <w:r w:rsidR="00A57529">
              <w:rPr>
                <w:noProof/>
                <w:webHidden/>
              </w:rPr>
              <w:fldChar w:fldCharType="begin"/>
            </w:r>
            <w:r w:rsidR="00A57529">
              <w:rPr>
                <w:noProof/>
                <w:webHidden/>
              </w:rPr>
              <w:instrText xml:space="preserve"> PAGEREF _Toc44659937 \h </w:instrText>
            </w:r>
            <w:r w:rsidR="00A57529">
              <w:rPr>
                <w:noProof/>
                <w:webHidden/>
              </w:rPr>
            </w:r>
            <w:r w:rsidR="00A57529">
              <w:rPr>
                <w:noProof/>
                <w:webHidden/>
              </w:rPr>
              <w:fldChar w:fldCharType="separate"/>
            </w:r>
            <w:r w:rsidR="00A57529">
              <w:rPr>
                <w:noProof/>
                <w:webHidden/>
              </w:rPr>
              <w:t>44</w:t>
            </w:r>
            <w:r w:rsidR="00A57529">
              <w:rPr>
                <w:noProof/>
                <w:webHidden/>
              </w:rPr>
              <w:fldChar w:fldCharType="end"/>
            </w:r>
          </w:hyperlink>
        </w:p>
        <w:p w14:paraId="144EDC54" w14:textId="467FE348" w:rsidR="00A57529" w:rsidRDefault="00EC194F">
          <w:pPr>
            <w:pStyle w:val="TOC3"/>
            <w:tabs>
              <w:tab w:val="left" w:pos="1320"/>
              <w:tab w:val="right" w:leader="dot" w:pos="9016"/>
            </w:tabs>
            <w:rPr>
              <w:rFonts w:eastAsiaTheme="minorEastAsia" w:cstheme="minorBidi"/>
              <w:noProof/>
              <w:color w:val="auto"/>
              <w:sz w:val="22"/>
              <w:szCs w:val="22"/>
            </w:rPr>
          </w:pPr>
          <w:hyperlink w:anchor="_Toc44659938" w:history="1">
            <w:r w:rsidR="00A57529" w:rsidRPr="00B37DF3">
              <w:rPr>
                <w:rStyle w:val="Hyperlink"/>
                <w:noProof/>
              </w:rPr>
              <w:t>10.3.2</w:t>
            </w:r>
            <w:r w:rsidR="00A57529">
              <w:rPr>
                <w:rFonts w:eastAsiaTheme="minorEastAsia" w:cstheme="minorBidi"/>
                <w:noProof/>
                <w:color w:val="auto"/>
                <w:sz w:val="22"/>
                <w:szCs w:val="22"/>
              </w:rPr>
              <w:tab/>
            </w:r>
            <w:r w:rsidR="00A57529" w:rsidRPr="00B37DF3">
              <w:rPr>
                <w:rStyle w:val="Hyperlink"/>
                <w:noProof/>
              </w:rPr>
              <w:t>Insurance companies</w:t>
            </w:r>
            <w:r w:rsidR="00A57529">
              <w:rPr>
                <w:noProof/>
                <w:webHidden/>
              </w:rPr>
              <w:tab/>
            </w:r>
            <w:r w:rsidR="00A57529">
              <w:rPr>
                <w:noProof/>
                <w:webHidden/>
              </w:rPr>
              <w:fldChar w:fldCharType="begin"/>
            </w:r>
            <w:r w:rsidR="00A57529">
              <w:rPr>
                <w:noProof/>
                <w:webHidden/>
              </w:rPr>
              <w:instrText xml:space="preserve"> PAGEREF _Toc44659938 \h </w:instrText>
            </w:r>
            <w:r w:rsidR="00A57529">
              <w:rPr>
                <w:noProof/>
                <w:webHidden/>
              </w:rPr>
            </w:r>
            <w:r w:rsidR="00A57529">
              <w:rPr>
                <w:noProof/>
                <w:webHidden/>
              </w:rPr>
              <w:fldChar w:fldCharType="separate"/>
            </w:r>
            <w:r w:rsidR="00A57529">
              <w:rPr>
                <w:noProof/>
                <w:webHidden/>
              </w:rPr>
              <w:t>47</w:t>
            </w:r>
            <w:r w:rsidR="00A57529">
              <w:rPr>
                <w:noProof/>
                <w:webHidden/>
              </w:rPr>
              <w:fldChar w:fldCharType="end"/>
            </w:r>
          </w:hyperlink>
        </w:p>
        <w:p w14:paraId="306742EB" w14:textId="56CFD673" w:rsidR="00A57529" w:rsidRDefault="00EC194F">
          <w:pPr>
            <w:pStyle w:val="TOC3"/>
            <w:tabs>
              <w:tab w:val="left" w:pos="1320"/>
              <w:tab w:val="right" w:leader="dot" w:pos="9016"/>
            </w:tabs>
            <w:rPr>
              <w:rFonts w:eastAsiaTheme="minorEastAsia" w:cstheme="minorBidi"/>
              <w:noProof/>
              <w:color w:val="auto"/>
              <w:sz w:val="22"/>
              <w:szCs w:val="22"/>
            </w:rPr>
          </w:pPr>
          <w:hyperlink w:anchor="_Toc44659939" w:history="1">
            <w:r w:rsidR="00A57529" w:rsidRPr="00B37DF3">
              <w:rPr>
                <w:rStyle w:val="Hyperlink"/>
                <w:noProof/>
              </w:rPr>
              <w:t>10.3.3</w:t>
            </w:r>
            <w:r w:rsidR="00A57529">
              <w:rPr>
                <w:rFonts w:eastAsiaTheme="minorEastAsia" w:cstheme="minorBidi"/>
                <w:noProof/>
                <w:color w:val="auto"/>
                <w:sz w:val="22"/>
                <w:szCs w:val="22"/>
              </w:rPr>
              <w:tab/>
            </w:r>
            <w:r w:rsidR="00A57529" w:rsidRPr="00B37DF3">
              <w:rPr>
                <w:rStyle w:val="Hyperlink"/>
                <w:noProof/>
              </w:rPr>
              <w:t>Passengers</w:t>
            </w:r>
            <w:r w:rsidR="00A57529">
              <w:rPr>
                <w:noProof/>
                <w:webHidden/>
              </w:rPr>
              <w:tab/>
            </w:r>
            <w:r w:rsidR="00A57529">
              <w:rPr>
                <w:noProof/>
                <w:webHidden/>
              </w:rPr>
              <w:fldChar w:fldCharType="begin"/>
            </w:r>
            <w:r w:rsidR="00A57529">
              <w:rPr>
                <w:noProof/>
                <w:webHidden/>
              </w:rPr>
              <w:instrText xml:space="preserve"> PAGEREF _Toc44659939 \h </w:instrText>
            </w:r>
            <w:r w:rsidR="00A57529">
              <w:rPr>
                <w:noProof/>
                <w:webHidden/>
              </w:rPr>
            </w:r>
            <w:r w:rsidR="00A57529">
              <w:rPr>
                <w:noProof/>
                <w:webHidden/>
              </w:rPr>
              <w:fldChar w:fldCharType="separate"/>
            </w:r>
            <w:r w:rsidR="00A57529">
              <w:rPr>
                <w:noProof/>
                <w:webHidden/>
              </w:rPr>
              <w:t>49</w:t>
            </w:r>
            <w:r w:rsidR="00A57529">
              <w:rPr>
                <w:noProof/>
                <w:webHidden/>
              </w:rPr>
              <w:fldChar w:fldCharType="end"/>
            </w:r>
          </w:hyperlink>
        </w:p>
        <w:p w14:paraId="047EFCA4" w14:textId="228ACA52" w:rsidR="00A57529" w:rsidRDefault="00EC194F">
          <w:pPr>
            <w:pStyle w:val="TOC3"/>
            <w:tabs>
              <w:tab w:val="left" w:pos="1320"/>
              <w:tab w:val="right" w:leader="dot" w:pos="9016"/>
            </w:tabs>
            <w:rPr>
              <w:rFonts w:eastAsiaTheme="minorEastAsia" w:cstheme="minorBidi"/>
              <w:noProof/>
              <w:color w:val="auto"/>
              <w:sz w:val="22"/>
              <w:szCs w:val="22"/>
            </w:rPr>
          </w:pPr>
          <w:hyperlink w:anchor="_Toc44659940" w:history="1">
            <w:r w:rsidR="00A57529" w:rsidRPr="00B37DF3">
              <w:rPr>
                <w:rStyle w:val="Hyperlink"/>
                <w:noProof/>
              </w:rPr>
              <w:t>10.3.4</w:t>
            </w:r>
            <w:r w:rsidR="00A57529">
              <w:rPr>
                <w:rFonts w:eastAsiaTheme="minorEastAsia" w:cstheme="minorBidi"/>
                <w:noProof/>
                <w:color w:val="auto"/>
                <w:sz w:val="22"/>
                <w:szCs w:val="22"/>
              </w:rPr>
              <w:tab/>
            </w:r>
            <w:r w:rsidR="00A57529" w:rsidRPr="00B37DF3">
              <w:rPr>
                <w:rStyle w:val="Hyperlink"/>
                <w:noProof/>
              </w:rPr>
              <w:t>Government</w:t>
            </w:r>
            <w:r w:rsidR="00A57529">
              <w:rPr>
                <w:noProof/>
                <w:webHidden/>
              </w:rPr>
              <w:tab/>
            </w:r>
            <w:r w:rsidR="00A57529">
              <w:rPr>
                <w:noProof/>
                <w:webHidden/>
              </w:rPr>
              <w:fldChar w:fldCharType="begin"/>
            </w:r>
            <w:r w:rsidR="00A57529">
              <w:rPr>
                <w:noProof/>
                <w:webHidden/>
              </w:rPr>
              <w:instrText xml:space="preserve"> PAGEREF _Toc44659940 \h </w:instrText>
            </w:r>
            <w:r w:rsidR="00A57529">
              <w:rPr>
                <w:noProof/>
                <w:webHidden/>
              </w:rPr>
            </w:r>
            <w:r w:rsidR="00A57529">
              <w:rPr>
                <w:noProof/>
                <w:webHidden/>
              </w:rPr>
              <w:fldChar w:fldCharType="separate"/>
            </w:r>
            <w:r w:rsidR="00A57529">
              <w:rPr>
                <w:noProof/>
                <w:webHidden/>
              </w:rPr>
              <w:t>52</w:t>
            </w:r>
            <w:r w:rsidR="00A57529">
              <w:rPr>
                <w:noProof/>
                <w:webHidden/>
              </w:rPr>
              <w:fldChar w:fldCharType="end"/>
            </w:r>
          </w:hyperlink>
        </w:p>
        <w:p w14:paraId="16AED172" w14:textId="6026E100" w:rsidR="00A57529" w:rsidRDefault="00EC194F">
          <w:pPr>
            <w:pStyle w:val="TOC2"/>
            <w:tabs>
              <w:tab w:val="left" w:pos="880"/>
              <w:tab w:val="right" w:leader="dot" w:pos="9016"/>
            </w:tabs>
            <w:rPr>
              <w:rFonts w:eastAsiaTheme="minorEastAsia" w:cstheme="minorBidi"/>
              <w:noProof/>
              <w:color w:val="auto"/>
              <w:sz w:val="22"/>
              <w:szCs w:val="22"/>
            </w:rPr>
          </w:pPr>
          <w:hyperlink w:anchor="_Toc44659941" w:history="1">
            <w:r w:rsidR="00A57529" w:rsidRPr="00B37DF3">
              <w:rPr>
                <w:rStyle w:val="Hyperlink"/>
                <w:noProof/>
              </w:rPr>
              <w:t>10.4</w:t>
            </w:r>
            <w:r w:rsidR="00A57529">
              <w:rPr>
                <w:rFonts w:eastAsiaTheme="minorEastAsia" w:cstheme="minorBidi"/>
                <w:noProof/>
                <w:color w:val="auto"/>
                <w:sz w:val="22"/>
                <w:szCs w:val="22"/>
              </w:rPr>
              <w:tab/>
            </w:r>
            <w:r w:rsidR="00A57529" w:rsidRPr="00B37DF3">
              <w:rPr>
                <w:rStyle w:val="Hyperlink"/>
                <w:noProof/>
              </w:rPr>
              <w:t>Luggage Compensation</w:t>
            </w:r>
            <w:r w:rsidR="00A57529">
              <w:rPr>
                <w:noProof/>
                <w:webHidden/>
              </w:rPr>
              <w:tab/>
            </w:r>
            <w:r w:rsidR="00A57529">
              <w:rPr>
                <w:noProof/>
                <w:webHidden/>
              </w:rPr>
              <w:fldChar w:fldCharType="begin"/>
            </w:r>
            <w:r w:rsidR="00A57529">
              <w:rPr>
                <w:noProof/>
                <w:webHidden/>
              </w:rPr>
              <w:instrText xml:space="preserve"> PAGEREF _Toc44659941 \h </w:instrText>
            </w:r>
            <w:r w:rsidR="00A57529">
              <w:rPr>
                <w:noProof/>
                <w:webHidden/>
              </w:rPr>
            </w:r>
            <w:r w:rsidR="00A57529">
              <w:rPr>
                <w:noProof/>
                <w:webHidden/>
              </w:rPr>
              <w:fldChar w:fldCharType="separate"/>
            </w:r>
            <w:r w:rsidR="00A57529">
              <w:rPr>
                <w:noProof/>
                <w:webHidden/>
              </w:rPr>
              <w:t>53</w:t>
            </w:r>
            <w:r w:rsidR="00A57529">
              <w:rPr>
                <w:noProof/>
                <w:webHidden/>
              </w:rPr>
              <w:fldChar w:fldCharType="end"/>
            </w:r>
          </w:hyperlink>
        </w:p>
        <w:p w14:paraId="4BA5C48A" w14:textId="37052ECD" w:rsidR="00A57529" w:rsidRDefault="00EC194F">
          <w:pPr>
            <w:pStyle w:val="TOC2"/>
            <w:tabs>
              <w:tab w:val="left" w:pos="880"/>
              <w:tab w:val="right" w:leader="dot" w:pos="9016"/>
            </w:tabs>
            <w:rPr>
              <w:rFonts w:eastAsiaTheme="minorEastAsia" w:cstheme="minorBidi"/>
              <w:noProof/>
              <w:color w:val="auto"/>
              <w:sz w:val="22"/>
              <w:szCs w:val="22"/>
            </w:rPr>
          </w:pPr>
          <w:hyperlink w:anchor="_Toc44659942" w:history="1">
            <w:r w:rsidR="00A57529" w:rsidRPr="00B37DF3">
              <w:rPr>
                <w:rStyle w:val="Hyperlink"/>
                <w:noProof/>
              </w:rPr>
              <w:t>10.5</w:t>
            </w:r>
            <w:r w:rsidR="00A57529">
              <w:rPr>
                <w:rFonts w:eastAsiaTheme="minorEastAsia" w:cstheme="minorBidi"/>
                <w:noProof/>
                <w:color w:val="auto"/>
                <w:sz w:val="22"/>
                <w:szCs w:val="22"/>
              </w:rPr>
              <w:tab/>
            </w:r>
            <w:r w:rsidR="00A57529" w:rsidRPr="00B37DF3">
              <w:rPr>
                <w:rStyle w:val="Hyperlink"/>
                <w:noProof/>
              </w:rPr>
              <w:t>Cost of Implementation</w:t>
            </w:r>
            <w:r w:rsidR="00A57529">
              <w:rPr>
                <w:noProof/>
                <w:webHidden/>
              </w:rPr>
              <w:tab/>
            </w:r>
            <w:r w:rsidR="00A57529">
              <w:rPr>
                <w:noProof/>
                <w:webHidden/>
              </w:rPr>
              <w:fldChar w:fldCharType="begin"/>
            </w:r>
            <w:r w:rsidR="00A57529">
              <w:rPr>
                <w:noProof/>
                <w:webHidden/>
              </w:rPr>
              <w:instrText xml:space="preserve"> PAGEREF _Toc44659942 \h </w:instrText>
            </w:r>
            <w:r w:rsidR="00A57529">
              <w:rPr>
                <w:noProof/>
                <w:webHidden/>
              </w:rPr>
            </w:r>
            <w:r w:rsidR="00A57529">
              <w:rPr>
                <w:noProof/>
                <w:webHidden/>
              </w:rPr>
              <w:fldChar w:fldCharType="separate"/>
            </w:r>
            <w:r w:rsidR="00A57529">
              <w:rPr>
                <w:noProof/>
                <w:webHidden/>
              </w:rPr>
              <w:t>53</w:t>
            </w:r>
            <w:r w:rsidR="00A57529">
              <w:rPr>
                <w:noProof/>
                <w:webHidden/>
              </w:rPr>
              <w:fldChar w:fldCharType="end"/>
            </w:r>
          </w:hyperlink>
        </w:p>
        <w:p w14:paraId="3171B438" w14:textId="13FF6ADB" w:rsidR="00A57529" w:rsidRDefault="00EC194F">
          <w:pPr>
            <w:pStyle w:val="TOC2"/>
            <w:tabs>
              <w:tab w:val="left" w:pos="880"/>
              <w:tab w:val="right" w:leader="dot" w:pos="9016"/>
            </w:tabs>
            <w:rPr>
              <w:rFonts w:eastAsiaTheme="minorEastAsia" w:cstheme="minorBidi"/>
              <w:noProof/>
              <w:color w:val="auto"/>
              <w:sz w:val="22"/>
              <w:szCs w:val="22"/>
            </w:rPr>
          </w:pPr>
          <w:hyperlink w:anchor="_Toc44659943" w:history="1">
            <w:r w:rsidR="00A57529" w:rsidRPr="00B37DF3">
              <w:rPr>
                <w:rStyle w:val="Hyperlink"/>
                <w:noProof/>
              </w:rPr>
              <w:t>10.6</w:t>
            </w:r>
            <w:r w:rsidR="00A57529">
              <w:rPr>
                <w:rFonts w:eastAsiaTheme="minorEastAsia" w:cstheme="minorBidi"/>
                <w:noProof/>
                <w:color w:val="auto"/>
                <w:sz w:val="22"/>
                <w:szCs w:val="22"/>
              </w:rPr>
              <w:tab/>
            </w:r>
            <w:r w:rsidR="00A57529" w:rsidRPr="00B37DF3">
              <w:rPr>
                <w:rStyle w:val="Hyperlink"/>
                <w:noProof/>
              </w:rPr>
              <w:t>Summary of Impacts Identified</w:t>
            </w:r>
            <w:r w:rsidR="00A57529">
              <w:rPr>
                <w:noProof/>
                <w:webHidden/>
              </w:rPr>
              <w:tab/>
            </w:r>
            <w:r w:rsidR="00A57529">
              <w:rPr>
                <w:noProof/>
                <w:webHidden/>
              </w:rPr>
              <w:fldChar w:fldCharType="begin"/>
            </w:r>
            <w:r w:rsidR="00A57529">
              <w:rPr>
                <w:noProof/>
                <w:webHidden/>
              </w:rPr>
              <w:instrText xml:space="preserve"> PAGEREF _Toc44659943 \h </w:instrText>
            </w:r>
            <w:r w:rsidR="00A57529">
              <w:rPr>
                <w:noProof/>
                <w:webHidden/>
              </w:rPr>
            </w:r>
            <w:r w:rsidR="00A57529">
              <w:rPr>
                <w:noProof/>
                <w:webHidden/>
              </w:rPr>
              <w:fldChar w:fldCharType="separate"/>
            </w:r>
            <w:r w:rsidR="00A57529">
              <w:rPr>
                <w:noProof/>
                <w:webHidden/>
              </w:rPr>
              <w:t>53</w:t>
            </w:r>
            <w:r w:rsidR="00A57529">
              <w:rPr>
                <w:noProof/>
                <w:webHidden/>
              </w:rPr>
              <w:fldChar w:fldCharType="end"/>
            </w:r>
          </w:hyperlink>
        </w:p>
        <w:p w14:paraId="721B8E79" w14:textId="743AC536" w:rsidR="00A57529" w:rsidRDefault="00EC194F">
          <w:pPr>
            <w:pStyle w:val="TOC2"/>
            <w:tabs>
              <w:tab w:val="left" w:pos="880"/>
              <w:tab w:val="right" w:leader="dot" w:pos="9016"/>
            </w:tabs>
            <w:rPr>
              <w:rFonts w:eastAsiaTheme="minorEastAsia" w:cstheme="minorBidi"/>
              <w:noProof/>
              <w:color w:val="auto"/>
              <w:sz w:val="22"/>
              <w:szCs w:val="22"/>
            </w:rPr>
          </w:pPr>
          <w:hyperlink w:anchor="_Toc44659944" w:history="1">
            <w:r w:rsidR="00A57529" w:rsidRPr="00B37DF3">
              <w:rPr>
                <w:rStyle w:val="Hyperlink"/>
                <w:noProof/>
              </w:rPr>
              <w:t>10.7</w:t>
            </w:r>
            <w:r w:rsidR="00A57529">
              <w:rPr>
                <w:rFonts w:eastAsiaTheme="minorEastAsia" w:cstheme="minorBidi"/>
                <w:noProof/>
                <w:color w:val="auto"/>
                <w:sz w:val="22"/>
                <w:szCs w:val="22"/>
              </w:rPr>
              <w:tab/>
            </w:r>
            <w:r w:rsidR="00A57529" w:rsidRPr="00B37DF3">
              <w:rPr>
                <w:rStyle w:val="Hyperlink"/>
                <w:noProof/>
              </w:rPr>
              <w:t>Options discussion</w:t>
            </w:r>
            <w:r w:rsidR="00A57529">
              <w:rPr>
                <w:noProof/>
                <w:webHidden/>
              </w:rPr>
              <w:tab/>
            </w:r>
            <w:r w:rsidR="00A57529">
              <w:rPr>
                <w:noProof/>
                <w:webHidden/>
              </w:rPr>
              <w:fldChar w:fldCharType="begin"/>
            </w:r>
            <w:r w:rsidR="00A57529">
              <w:rPr>
                <w:noProof/>
                <w:webHidden/>
              </w:rPr>
              <w:instrText xml:space="preserve"> PAGEREF _Toc44659944 \h </w:instrText>
            </w:r>
            <w:r w:rsidR="00A57529">
              <w:rPr>
                <w:noProof/>
                <w:webHidden/>
              </w:rPr>
            </w:r>
            <w:r w:rsidR="00A57529">
              <w:rPr>
                <w:noProof/>
                <w:webHidden/>
              </w:rPr>
              <w:fldChar w:fldCharType="separate"/>
            </w:r>
            <w:r w:rsidR="00A57529">
              <w:rPr>
                <w:noProof/>
                <w:webHidden/>
              </w:rPr>
              <w:t>55</w:t>
            </w:r>
            <w:r w:rsidR="00A57529">
              <w:rPr>
                <w:noProof/>
                <w:webHidden/>
              </w:rPr>
              <w:fldChar w:fldCharType="end"/>
            </w:r>
          </w:hyperlink>
        </w:p>
        <w:p w14:paraId="2635B8C3" w14:textId="39B8F7E8" w:rsidR="00A57529" w:rsidRDefault="00EC194F">
          <w:pPr>
            <w:pStyle w:val="TOC1"/>
            <w:tabs>
              <w:tab w:val="left" w:pos="660"/>
              <w:tab w:val="right" w:leader="dot" w:pos="9016"/>
            </w:tabs>
            <w:rPr>
              <w:rFonts w:eastAsiaTheme="minorEastAsia" w:cstheme="minorBidi"/>
              <w:noProof/>
              <w:color w:val="auto"/>
              <w:sz w:val="22"/>
              <w:szCs w:val="22"/>
            </w:rPr>
          </w:pPr>
          <w:hyperlink w:anchor="_Toc44659945" w:history="1">
            <w:r w:rsidR="00A57529" w:rsidRPr="00B37DF3">
              <w:rPr>
                <w:rStyle w:val="Hyperlink"/>
                <w:noProof/>
              </w:rPr>
              <w:t>11.</w:t>
            </w:r>
            <w:r w:rsidR="00A57529">
              <w:rPr>
                <w:rFonts w:eastAsiaTheme="minorEastAsia" w:cstheme="minorBidi"/>
                <w:noProof/>
                <w:color w:val="auto"/>
                <w:sz w:val="22"/>
                <w:szCs w:val="22"/>
              </w:rPr>
              <w:tab/>
            </w:r>
            <w:r w:rsidR="00A57529" w:rsidRPr="00B37DF3">
              <w:rPr>
                <w:rStyle w:val="Hyperlink"/>
                <w:noProof/>
              </w:rPr>
              <w:t>Key findings and recommendation</w:t>
            </w:r>
            <w:r w:rsidR="00A57529">
              <w:rPr>
                <w:noProof/>
                <w:webHidden/>
              </w:rPr>
              <w:tab/>
            </w:r>
            <w:r w:rsidR="00A57529">
              <w:rPr>
                <w:noProof/>
                <w:webHidden/>
              </w:rPr>
              <w:fldChar w:fldCharType="begin"/>
            </w:r>
            <w:r w:rsidR="00A57529">
              <w:rPr>
                <w:noProof/>
                <w:webHidden/>
              </w:rPr>
              <w:instrText xml:space="preserve"> PAGEREF _Toc44659945 \h </w:instrText>
            </w:r>
            <w:r w:rsidR="00A57529">
              <w:rPr>
                <w:noProof/>
                <w:webHidden/>
              </w:rPr>
            </w:r>
            <w:r w:rsidR="00A57529">
              <w:rPr>
                <w:noProof/>
                <w:webHidden/>
              </w:rPr>
              <w:fldChar w:fldCharType="separate"/>
            </w:r>
            <w:r w:rsidR="00A57529">
              <w:rPr>
                <w:noProof/>
                <w:webHidden/>
              </w:rPr>
              <w:t>57</w:t>
            </w:r>
            <w:r w:rsidR="00A57529">
              <w:rPr>
                <w:noProof/>
                <w:webHidden/>
              </w:rPr>
              <w:fldChar w:fldCharType="end"/>
            </w:r>
          </w:hyperlink>
        </w:p>
        <w:p w14:paraId="75FDCD9B" w14:textId="68239DF3" w:rsidR="00A57529" w:rsidRDefault="00EC194F">
          <w:pPr>
            <w:pStyle w:val="TOC2"/>
            <w:tabs>
              <w:tab w:val="left" w:pos="880"/>
              <w:tab w:val="right" w:leader="dot" w:pos="9016"/>
            </w:tabs>
            <w:rPr>
              <w:rFonts w:eastAsiaTheme="minorEastAsia" w:cstheme="minorBidi"/>
              <w:noProof/>
              <w:color w:val="auto"/>
              <w:sz w:val="22"/>
              <w:szCs w:val="22"/>
            </w:rPr>
          </w:pPr>
          <w:hyperlink w:anchor="_Toc44659946" w:history="1">
            <w:r w:rsidR="00A57529" w:rsidRPr="00B37DF3">
              <w:rPr>
                <w:rStyle w:val="Hyperlink"/>
                <w:noProof/>
              </w:rPr>
              <w:t>11.1</w:t>
            </w:r>
            <w:r w:rsidR="00A57529">
              <w:rPr>
                <w:rFonts w:eastAsiaTheme="minorEastAsia" w:cstheme="minorBidi"/>
                <w:noProof/>
                <w:color w:val="auto"/>
                <w:sz w:val="22"/>
                <w:szCs w:val="22"/>
              </w:rPr>
              <w:tab/>
            </w:r>
            <w:r w:rsidR="00A57529" w:rsidRPr="00B37DF3">
              <w:rPr>
                <w:rStyle w:val="Hyperlink"/>
                <w:noProof/>
              </w:rPr>
              <w:t>Key findings</w:t>
            </w:r>
            <w:r w:rsidR="00A57529">
              <w:rPr>
                <w:noProof/>
                <w:webHidden/>
              </w:rPr>
              <w:tab/>
            </w:r>
            <w:r w:rsidR="00A57529">
              <w:rPr>
                <w:noProof/>
                <w:webHidden/>
              </w:rPr>
              <w:fldChar w:fldCharType="begin"/>
            </w:r>
            <w:r w:rsidR="00A57529">
              <w:rPr>
                <w:noProof/>
                <w:webHidden/>
              </w:rPr>
              <w:instrText xml:space="preserve"> PAGEREF _Toc44659946 \h </w:instrText>
            </w:r>
            <w:r w:rsidR="00A57529">
              <w:rPr>
                <w:noProof/>
                <w:webHidden/>
              </w:rPr>
            </w:r>
            <w:r w:rsidR="00A57529">
              <w:rPr>
                <w:noProof/>
                <w:webHidden/>
              </w:rPr>
              <w:fldChar w:fldCharType="separate"/>
            </w:r>
            <w:r w:rsidR="00A57529">
              <w:rPr>
                <w:noProof/>
                <w:webHidden/>
              </w:rPr>
              <w:t>57</w:t>
            </w:r>
            <w:r w:rsidR="00A57529">
              <w:rPr>
                <w:noProof/>
                <w:webHidden/>
              </w:rPr>
              <w:fldChar w:fldCharType="end"/>
            </w:r>
          </w:hyperlink>
        </w:p>
        <w:p w14:paraId="24C59910" w14:textId="1C9776A7" w:rsidR="00A57529" w:rsidRDefault="00EC194F">
          <w:pPr>
            <w:pStyle w:val="TOC2"/>
            <w:tabs>
              <w:tab w:val="left" w:pos="880"/>
              <w:tab w:val="right" w:leader="dot" w:pos="9016"/>
            </w:tabs>
            <w:rPr>
              <w:rFonts w:eastAsiaTheme="minorEastAsia" w:cstheme="minorBidi"/>
              <w:noProof/>
              <w:color w:val="auto"/>
              <w:sz w:val="22"/>
              <w:szCs w:val="22"/>
            </w:rPr>
          </w:pPr>
          <w:hyperlink w:anchor="_Toc44659947" w:history="1">
            <w:r w:rsidR="00A57529" w:rsidRPr="00B37DF3">
              <w:rPr>
                <w:rStyle w:val="Hyperlink"/>
                <w:noProof/>
              </w:rPr>
              <w:t>11.2</w:t>
            </w:r>
            <w:r w:rsidR="00A57529">
              <w:rPr>
                <w:rFonts w:eastAsiaTheme="minorEastAsia" w:cstheme="minorBidi"/>
                <w:noProof/>
                <w:color w:val="auto"/>
                <w:sz w:val="22"/>
                <w:szCs w:val="22"/>
              </w:rPr>
              <w:tab/>
            </w:r>
            <w:r w:rsidR="00A57529" w:rsidRPr="00B37DF3">
              <w:rPr>
                <w:rStyle w:val="Hyperlink"/>
                <w:noProof/>
              </w:rPr>
              <w:t>Recommendation</w:t>
            </w:r>
            <w:r w:rsidR="00A57529">
              <w:rPr>
                <w:noProof/>
                <w:webHidden/>
              </w:rPr>
              <w:tab/>
            </w:r>
            <w:r w:rsidR="00A57529">
              <w:rPr>
                <w:noProof/>
                <w:webHidden/>
              </w:rPr>
              <w:fldChar w:fldCharType="begin"/>
            </w:r>
            <w:r w:rsidR="00A57529">
              <w:rPr>
                <w:noProof/>
                <w:webHidden/>
              </w:rPr>
              <w:instrText xml:space="preserve"> PAGEREF _Toc44659947 \h </w:instrText>
            </w:r>
            <w:r w:rsidR="00A57529">
              <w:rPr>
                <w:noProof/>
                <w:webHidden/>
              </w:rPr>
            </w:r>
            <w:r w:rsidR="00A57529">
              <w:rPr>
                <w:noProof/>
                <w:webHidden/>
              </w:rPr>
              <w:fldChar w:fldCharType="separate"/>
            </w:r>
            <w:r w:rsidR="00A57529">
              <w:rPr>
                <w:noProof/>
                <w:webHidden/>
              </w:rPr>
              <w:t>58</w:t>
            </w:r>
            <w:r w:rsidR="00A57529">
              <w:rPr>
                <w:noProof/>
                <w:webHidden/>
              </w:rPr>
              <w:fldChar w:fldCharType="end"/>
            </w:r>
          </w:hyperlink>
        </w:p>
        <w:p w14:paraId="4B8DC810" w14:textId="16989A65" w:rsidR="00A57529" w:rsidRDefault="00EC194F">
          <w:pPr>
            <w:pStyle w:val="TOC1"/>
            <w:tabs>
              <w:tab w:val="left" w:pos="660"/>
              <w:tab w:val="right" w:leader="dot" w:pos="9016"/>
            </w:tabs>
            <w:rPr>
              <w:rFonts w:eastAsiaTheme="minorEastAsia" w:cstheme="minorBidi"/>
              <w:noProof/>
              <w:color w:val="auto"/>
              <w:sz w:val="22"/>
              <w:szCs w:val="22"/>
            </w:rPr>
          </w:pPr>
          <w:hyperlink w:anchor="_Toc44659948" w:history="1">
            <w:r w:rsidR="00A57529" w:rsidRPr="00B37DF3">
              <w:rPr>
                <w:rStyle w:val="Hyperlink"/>
                <w:noProof/>
              </w:rPr>
              <w:t>12.</w:t>
            </w:r>
            <w:r w:rsidR="00A57529">
              <w:rPr>
                <w:rFonts w:eastAsiaTheme="minorEastAsia" w:cstheme="minorBidi"/>
                <w:noProof/>
                <w:color w:val="auto"/>
                <w:sz w:val="22"/>
                <w:szCs w:val="22"/>
              </w:rPr>
              <w:tab/>
            </w:r>
            <w:r w:rsidR="00A57529" w:rsidRPr="00B37DF3">
              <w:rPr>
                <w:rStyle w:val="Hyperlink"/>
                <w:noProof/>
              </w:rPr>
              <w:t>Implementation and Evaluation Considerations</w:t>
            </w:r>
            <w:r w:rsidR="00A57529">
              <w:rPr>
                <w:noProof/>
                <w:webHidden/>
              </w:rPr>
              <w:tab/>
            </w:r>
            <w:r w:rsidR="00A57529">
              <w:rPr>
                <w:noProof/>
                <w:webHidden/>
              </w:rPr>
              <w:fldChar w:fldCharType="begin"/>
            </w:r>
            <w:r w:rsidR="00A57529">
              <w:rPr>
                <w:noProof/>
                <w:webHidden/>
              </w:rPr>
              <w:instrText xml:space="preserve"> PAGEREF _Toc44659948 \h </w:instrText>
            </w:r>
            <w:r w:rsidR="00A57529">
              <w:rPr>
                <w:noProof/>
                <w:webHidden/>
              </w:rPr>
            </w:r>
            <w:r w:rsidR="00A57529">
              <w:rPr>
                <w:noProof/>
                <w:webHidden/>
              </w:rPr>
              <w:fldChar w:fldCharType="separate"/>
            </w:r>
            <w:r w:rsidR="00A57529">
              <w:rPr>
                <w:noProof/>
                <w:webHidden/>
              </w:rPr>
              <w:t>59</w:t>
            </w:r>
            <w:r w:rsidR="00A57529">
              <w:rPr>
                <w:noProof/>
                <w:webHidden/>
              </w:rPr>
              <w:fldChar w:fldCharType="end"/>
            </w:r>
          </w:hyperlink>
        </w:p>
        <w:p w14:paraId="1940F212" w14:textId="0BC29D90" w:rsidR="00A57529" w:rsidRDefault="00EC194F">
          <w:pPr>
            <w:pStyle w:val="TOC2"/>
            <w:tabs>
              <w:tab w:val="left" w:pos="880"/>
              <w:tab w:val="right" w:leader="dot" w:pos="9016"/>
            </w:tabs>
            <w:rPr>
              <w:rFonts w:eastAsiaTheme="minorEastAsia" w:cstheme="minorBidi"/>
              <w:noProof/>
              <w:color w:val="auto"/>
              <w:sz w:val="22"/>
              <w:szCs w:val="22"/>
            </w:rPr>
          </w:pPr>
          <w:hyperlink w:anchor="_Toc44659949" w:history="1">
            <w:r w:rsidR="00A57529" w:rsidRPr="00B37DF3">
              <w:rPr>
                <w:rStyle w:val="Hyperlink"/>
                <w:noProof/>
              </w:rPr>
              <w:t>12.1</w:t>
            </w:r>
            <w:r w:rsidR="00A57529">
              <w:rPr>
                <w:rFonts w:eastAsiaTheme="minorEastAsia" w:cstheme="minorBidi"/>
                <w:noProof/>
                <w:color w:val="auto"/>
                <w:sz w:val="22"/>
                <w:szCs w:val="22"/>
              </w:rPr>
              <w:tab/>
            </w:r>
            <w:r w:rsidR="00A57529" w:rsidRPr="00B37DF3">
              <w:rPr>
                <w:rStyle w:val="Hyperlink"/>
                <w:noProof/>
              </w:rPr>
              <w:t>Australian Law (ACL/CLA interactions)</w:t>
            </w:r>
            <w:r w:rsidR="00A57529">
              <w:rPr>
                <w:noProof/>
                <w:webHidden/>
              </w:rPr>
              <w:tab/>
            </w:r>
            <w:r w:rsidR="00A57529">
              <w:rPr>
                <w:noProof/>
                <w:webHidden/>
              </w:rPr>
              <w:fldChar w:fldCharType="begin"/>
            </w:r>
            <w:r w:rsidR="00A57529">
              <w:rPr>
                <w:noProof/>
                <w:webHidden/>
              </w:rPr>
              <w:instrText xml:space="preserve"> PAGEREF _Toc44659949 \h </w:instrText>
            </w:r>
            <w:r w:rsidR="00A57529">
              <w:rPr>
                <w:noProof/>
                <w:webHidden/>
              </w:rPr>
            </w:r>
            <w:r w:rsidR="00A57529">
              <w:rPr>
                <w:noProof/>
                <w:webHidden/>
              </w:rPr>
              <w:fldChar w:fldCharType="separate"/>
            </w:r>
            <w:r w:rsidR="00A57529">
              <w:rPr>
                <w:noProof/>
                <w:webHidden/>
              </w:rPr>
              <w:t>59</w:t>
            </w:r>
            <w:r w:rsidR="00A57529">
              <w:rPr>
                <w:noProof/>
                <w:webHidden/>
              </w:rPr>
              <w:fldChar w:fldCharType="end"/>
            </w:r>
          </w:hyperlink>
        </w:p>
        <w:p w14:paraId="6B93515C" w14:textId="38B89F0A" w:rsidR="00A57529" w:rsidRDefault="00EC194F">
          <w:pPr>
            <w:pStyle w:val="TOC2"/>
            <w:tabs>
              <w:tab w:val="left" w:pos="880"/>
              <w:tab w:val="right" w:leader="dot" w:pos="9016"/>
            </w:tabs>
            <w:rPr>
              <w:rFonts w:eastAsiaTheme="minorEastAsia" w:cstheme="minorBidi"/>
              <w:noProof/>
              <w:color w:val="auto"/>
              <w:sz w:val="22"/>
              <w:szCs w:val="22"/>
            </w:rPr>
          </w:pPr>
          <w:hyperlink w:anchor="_Toc44659950" w:history="1">
            <w:r w:rsidR="00A57529" w:rsidRPr="00B37DF3">
              <w:rPr>
                <w:rStyle w:val="Hyperlink"/>
                <w:noProof/>
              </w:rPr>
              <w:t>12.2</w:t>
            </w:r>
            <w:r w:rsidR="00A57529">
              <w:rPr>
                <w:rFonts w:eastAsiaTheme="minorEastAsia" w:cstheme="minorBidi"/>
                <w:noProof/>
                <w:color w:val="auto"/>
                <w:sz w:val="22"/>
                <w:szCs w:val="22"/>
              </w:rPr>
              <w:tab/>
            </w:r>
            <w:r w:rsidR="00A57529" w:rsidRPr="00B37DF3">
              <w:rPr>
                <w:rStyle w:val="Hyperlink"/>
                <w:noProof/>
              </w:rPr>
              <w:t>International Conventions</w:t>
            </w:r>
            <w:r w:rsidR="00A57529">
              <w:rPr>
                <w:noProof/>
                <w:webHidden/>
              </w:rPr>
              <w:tab/>
            </w:r>
            <w:r w:rsidR="00A57529">
              <w:rPr>
                <w:noProof/>
                <w:webHidden/>
              </w:rPr>
              <w:fldChar w:fldCharType="begin"/>
            </w:r>
            <w:r w:rsidR="00A57529">
              <w:rPr>
                <w:noProof/>
                <w:webHidden/>
              </w:rPr>
              <w:instrText xml:space="preserve"> PAGEREF _Toc44659950 \h </w:instrText>
            </w:r>
            <w:r w:rsidR="00A57529">
              <w:rPr>
                <w:noProof/>
                <w:webHidden/>
              </w:rPr>
            </w:r>
            <w:r w:rsidR="00A57529">
              <w:rPr>
                <w:noProof/>
                <w:webHidden/>
              </w:rPr>
              <w:fldChar w:fldCharType="separate"/>
            </w:r>
            <w:r w:rsidR="00A57529">
              <w:rPr>
                <w:noProof/>
                <w:webHidden/>
              </w:rPr>
              <w:t>59</w:t>
            </w:r>
            <w:r w:rsidR="00A57529">
              <w:rPr>
                <w:noProof/>
                <w:webHidden/>
              </w:rPr>
              <w:fldChar w:fldCharType="end"/>
            </w:r>
          </w:hyperlink>
        </w:p>
        <w:p w14:paraId="0DA538CD" w14:textId="26BF7097" w:rsidR="00A57529" w:rsidRDefault="00EC194F">
          <w:pPr>
            <w:pStyle w:val="TOC2"/>
            <w:tabs>
              <w:tab w:val="left" w:pos="880"/>
              <w:tab w:val="right" w:leader="dot" w:pos="9016"/>
            </w:tabs>
            <w:rPr>
              <w:rFonts w:eastAsiaTheme="minorEastAsia" w:cstheme="minorBidi"/>
              <w:noProof/>
              <w:color w:val="auto"/>
              <w:sz w:val="22"/>
              <w:szCs w:val="22"/>
            </w:rPr>
          </w:pPr>
          <w:hyperlink w:anchor="_Toc44659951" w:history="1">
            <w:r w:rsidR="00A57529" w:rsidRPr="00B37DF3">
              <w:rPr>
                <w:rStyle w:val="Hyperlink"/>
                <w:noProof/>
              </w:rPr>
              <w:t>12.3</w:t>
            </w:r>
            <w:r w:rsidR="00A57529">
              <w:rPr>
                <w:rFonts w:eastAsiaTheme="minorEastAsia" w:cstheme="minorBidi"/>
                <w:noProof/>
                <w:color w:val="auto"/>
                <w:sz w:val="22"/>
                <w:szCs w:val="22"/>
              </w:rPr>
              <w:tab/>
            </w:r>
            <w:r w:rsidR="00A57529" w:rsidRPr="00B37DF3">
              <w:rPr>
                <w:rStyle w:val="Hyperlink"/>
                <w:noProof/>
              </w:rPr>
              <w:t>Evaluation</w:t>
            </w:r>
            <w:r w:rsidR="00A57529">
              <w:rPr>
                <w:noProof/>
                <w:webHidden/>
              </w:rPr>
              <w:tab/>
            </w:r>
            <w:r w:rsidR="00A57529">
              <w:rPr>
                <w:noProof/>
                <w:webHidden/>
              </w:rPr>
              <w:fldChar w:fldCharType="begin"/>
            </w:r>
            <w:r w:rsidR="00A57529">
              <w:rPr>
                <w:noProof/>
                <w:webHidden/>
              </w:rPr>
              <w:instrText xml:space="preserve"> PAGEREF _Toc44659951 \h </w:instrText>
            </w:r>
            <w:r w:rsidR="00A57529">
              <w:rPr>
                <w:noProof/>
                <w:webHidden/>
              </w:rPr>
            </w:r>
            <w:r w:rsidR="00A57529">
              <w:rPr>
                <w:noProof/>
                <w:webHidden/>
              </w:rPr>
              <w:fldChar w:fldCharType="separate"/>
            </w:r>
            <w:r w:rsidR="00A57529">
              <w:rPr>
                <w:noProof/>
                <w:webHidden/>
              </w:rPr>
              <w:t>59</w:t>
            </w:r>
            <w:r w:rsidR="00A57529">
              <w:rPr>
                <w:noProof/>
                <w:webHidden/>
              </w:rPr>
              <w:fldChar w:fldCharType="end"/>
            </w:r>
          </w:hyperlink>
        </w:p>
        <w:p w14:paraId="1680C60D" w14:textId="71DE1C48" w:rsidR="00A57529" w:rsidRDefault="00EC194F">
          <w:pPr>
            <w:pStyle w:val="TOC1"/>
            <w:tabs>
              <w:tab w:val="left" w:pos="660"/>
              <w:tab w:val="right" w:leader="dot" w:pos="9016"/>
            </w:tabs>
            <w:rPr>
              <w:rFonts w:eastAsiaTheme="minorEastAsia" w:cstheme="minorBidi"/>
              <w:noProof/>
              <w:color w:val="auto"/>
              <w:sz w:val="22"/>
              <w:szCs w:val="22"/>
            </w:rPr>
          </w:pPr>
          <w:hyperlink w:anchor="_Toc44659952" w:history="1">
            <w:r w:rsidR="00A57529" w:rsidRPr="00B37DF3">
              <w:rPr>
                <w:rStyle w:val="Hyperlink"/>
                <w:noProof/>
              </w:rPr>
              <w:t>13.</w:t>
            </w:r>
            <w:r w:rsidR="00A57529">
              <w:rPr>
                <w:rFonts w:eastAsiaTheme="minorEastAsia" w:cstheme="minorBidi"/>
                <w:noProof/>
                <w:color w:val="auto"/>
                <w:sz w:val="22"/>
                <w:szCs w:val="22"/>
              </w:rPr>
              <w:tab/>
            </w:r>
            <w:r w:rsidR="00A57529" w:rsidRPr="00B37DF3">
              <w:rPr>
                <w:rStyle w:val="Hyperlink"/>
                <w:noProof/>
              </w:rPr>
              <w:t>Appendix A: List of Stakeholders contacted</w:t>
            </w:r>
            <w:r w:rsidR="00A57529">
              <w:rPr>
                <w:noProof/>
                <w:webHidden/>
              </w:rPr>
              <w:tab/>
            </w:r>
            <w:r w:rsidR="00A57529">
              <w:rPr>
                <w:noProof/>
                <w:webHidden/>
              </w:rPr>
              <w:fldChar w:fldCharType="begin"/>
            </w:r>
            <w:r w:rsidR="00A57529">
              <w:rPr>
                <w:noProof/>
                <w:webHidden/>
              </w:rPr>
              <w:instrText xml:space="preserve"> PAGEREF _Toc44659952 \h </w:instrText>
            </w:r>
            <w:r w:rsidR="00A57529">
              <w:rPr>
                <w:noProof/>
                <w:webHidden/>
              </w:rPr>
            </w:r>
            <w:r w:rsidR="00A57529">
              <w:rPr>
                <w:noProof/>
                <w:webHidden/>
              </w:rPr>
              <w:fldChar w:fldCharType="separate"/>
            </w:r>
            <w:r w:rsidR="00A57529">
              <w:rPr>
                <w:noProof/>
                <w:webHidden/>
              </w:rPr>
              <w:t>61</w:t>
            </w:r>
            <w:r w:rsidR="00A57529">
              <w:rPr>
                <w:noProof/>
                <w:webHidden/>
              </w:rPr>
              <w:fldChar w:fldCharType="end"/>
            </w:r>
          </w:hyperlink>
        </w:p>
        <w:p w14:paraId="653A8F53" w14:textId="3C7389E6" w:rsidR="00A57529" w:rsidRDefault="00EC194F">
          <w:pPr>
            <w:pStyle w:val="TOC1"/>
            <w:tabs>
              <w:tab w:val="left" w:pos="660"/>
              <w:tab w:val="right" w:leader="dot" w:pos="9016"/>
            </w:tabs>
            <w:rPr>
              <w:rFonts w:eastAsiaTheme="minorEastAsia" w:cstheme="minorBidi"/>
              <w:noProof/>
              <w:color w:val="auto"/>
              <w:sz w:val="22"/>
              <w:szCs w:val="22"/>
            </w:rPr>
          </w:pPr>
          <w:hyperlink w:anchor="_Toc44659953" w:history="1">
            <w:r w:rsidR="00A57529" w:rsidRPr="00B37DF3">
              <w:rPr>
                <w:rStyle w:val="Hyperlink"/>
                <w:noProof/>
              </w:rPr>
              <w:t>14.</w:t>
            </w:r>
            <w:r w:rsidR="00A57529">
              <w:rPr>
                <w:rFonts w:eastAsiaTheme="minorEastAsia" w:cstheme="minorBidi"/>
                <w:noProof/>
                <w:color w:val="auto"/>
                <w:sz w:val="22"/>
                <w:szCs w:val="22"/>
              </w:rPr>
              <w:tab/>
            </w:r>
            <w:r w:rsidR="00A57529" w:rsidRPr="00B37DF3">
              <w:rPr>
                <w:rStyle w:val="Hyperlink"/>
                <w:noProof/>
              </w:rPr>
              <w:t>Appendix B: Stakeholder representatives engaged</w:t>
            </w:r>
            <w:r w:rsidR="00A57529">
              <w:rPr>
                <w:noProof/>
                <w:webHidden/>
              </w:rPr>
              <w:tab/>
            </w:r>
            <w:r w:rsidR="00A57529">
              <w:rPr>
                <w:noProof/>
                <w:webHidden/>
              </w:rPr>
              <w:fldChar w:fldCharType="begin"/>
            </w:r>
            <w:r w:rsidR="00A57529">
              <w:rPr>
                <w:noProof/>
                <w:webHidden/>
              </w:rPr>
              <w:instrText xml:space="preserve"> PAGEREF _Toc44659953 \h </w:instrText>
            </w:r>
            <w:r w:rsidR="00A57529">
              <w:rPr>
                <w:noProof/>
                <w:webHidden/>
              </w:rPr>
            </w:r>
            <w:r w:rsidR="00A57529">
              <w:rPr>
                <w:noProof/>
                <w:webHidden/>
              </w:rPr>
              <w:fldChar w:fldCharType="separate"/>
            </w:r>
            <w:r w:rsidR="00A57529">
              <w:rPr>
                <w:noProof/>
                <w:webHidden/>
              </w:rPr>
              <w:t>62</w:t>
            </w:r>
            <w:r w:rsidR="00A57529">
              <w:rPr>
                <w:noProof/>
                <w:webHidden/>
              </w:rPr>
              <w:fldChar w:fldCharType="end"/>
            </w:r>
          </w:hyperlink>
        </w:p>
        <w:p w14:paraId="1299629C" w14:textId="2B77CFC2" w:rsidR="00A57529" w:rsidRDefault="00EC194F">
          <w:pPr>
            <w:pStyle w:val="TOC1"/>
            <w:tabs>
              <w:tab w:val="left" w:pos="660"/>
              <w:tab w:val="right" w:leader="dot" w:pos="9016"/>
            </w:tabs>
            <w:rPr>
              <w:rFonts w:eastAsiaTheme="minorEastAsia" w:cstheme="minorBidi"/>
              <w:noProof/>
              <w:color w:val="auto"/>
              <w:sz w:val="22"/>
              <w:szCs w:val="22"/>
            </w:rPr>
          </w:pPr>
          <w:hyperlink w:anchor="_Toc44659954" w:history="1">
            <w:r w:rsidR="00A57529" w:rsidRPr="00B37DF3">
              <w:rPr>
                <w:rStyle w:val="Hyperlink"/>
                <w:noProof/>
              </w:rPr>
              <w:t>15.</w:t>
            </w:r>
            <w:r w:rsidR="00A57529">
              <w:rPr>
                <w:rFonts w:eastAsiaTheme="minorEastAsia" w:cstheme="minorBidi"/>
                <w:noProof/>
                <w:color w:val="auto"/>
                <w:sz w:val="22"/>
                <w:szCs w:val="22"/>
              </w:rPr>
              <w:tab/>
            </w:r>
            <w:r w:rsidR="00A57529" w:rsidRPr="00B37DF3">
              <w:rPr>
                <w:rStyle w:val="Hyperlink"/>
                <w:noProof/>
              </w:rPr>
              <w:t>Appendix C:  Athens Convention State Parties</w:t>
            </w:r>
            <w:r w:rsidR="00A57529">
              <w:rPr>
                <w:noProof/>
                <w:webHidden/>
              </w:rPr>
              <w:tab/>
            </w:r>
            <w:r w:rsidR="00A57529">
              <w:rPr>
                <w:noProof/>
                <w:webHidden/>
              </w:rPr>
              <w:fldChar w:fldCharType="begin"/>
            </w:r>
            <w:r w:rsidR="00A57529">
              <w:rPr>
                <w:noProof/>
                <w:webHidden/>
              </w:rPr>
              <w:instrText xml:space="preserve"> PAGEREF _Toc44659954 \h </w:instrText>
            </w:r>
            <w:r w:rsidR="00A57529">
              <w:rPr>
                <w:noProof/>
                <w:webHidden/>
              </w:rPr>
            </w:r>
            <w:r w:rsidR="00A57529">
              <w:rPr>
                <w:noProof/>
                <w:webHidden/>
              </w:rPr>
              <w:fldChar w:fldCharType="separate"/>
            </w:r>
            <w:r w:rsidR="00A57529">
              <w:rPr>
                <w:noProof/>
                <w:webHidden/>
              </w:rPr>
              <w:t>63</w:t>
            </w:r>
            <w:r w:rsidR="00A57529">
              <w:rPr>
                <w:noProof/>
                <w:webHidden/>
              </w:rPr>
              <w:fldChar w:fldCharType="end"/>
            </w:r>
          </w:hyperlink>
        </w:p>
        <w:p w14:paraId="2168AD07" w14:textId="06E0F33B" w:rsidR="00A57529" w:rsidRDefault="00EC194F">
          <w:pPr>
            <w:pStyle w:val="TOC1"/>
            <w:tabs>
              <w:tab w:val="left" w:pos="660"/>
              <w:tab w:val="right" w:leader="dot" w:pos="9016"/>
            </w:tabs>
            <w:rPr>
              <w:rFonts w:eastAsiaTheme="minorEastAsia" w:cstheme="minorBidi"/>
              <w:noProof/>
              <w:color w:val="auto"/>
              <w:sz w:val="22"/>
              <w:szCs w:val="22"/>
            </w:rPr>
          </w:pPr>
          <w:hyperlink w:anchor="_Toc44659955" w:history="1">
            <w:r w:rsidR="00A57529" w:rsidRPr="00B37DF3">
              <w:rPr>
                <w:rStyle w:val="Hyperlink"/>
                <w:noProof/>
              </w:rPr>
              <w:t>16.</w:t>
            </w:r>
            <w:r w:rsidR="00A57529">
              <w:rPr>
                <w:rFonts w:eastAsiaTheme="minorEastAsia" w:cstheme="minorBidi"/>
                <w:noProof/>
                <w:color w:val="auto"/>
                <w:sz w:val="22"/>
                <w:szCs w:val="22"/>
              </w:rPr>
              <w:tab/>
            </w:r>
            <w:r w:rsidR="00A57529" w:rsidRPr="00B37DF3">
              <w:rPr>
                <w:rStyle w:val="Hyperlink"/>
                <w:noProof/>
              </w:rPr>
              <w:t>Appendix D: Options Analysis for Consultation</w:t>
            </w:r>
            <w:r w:rsidR="00A57529">
              <w:rPr>
                <w:noProof/>
                <w:webHidden/>
              </w:rPr>
              <w:tab/>
            </w:r>
            <w:r w:rsidR="00A57529">
              <w:rPr>
                <w:noProof/>
                <w:webHidden/>
              </w:rPr>
              <w:fldChar w:fldCharType="begin"/>
            </w:r>
            <w:r w:rsidR="00A57529">
              <w:rPr>
                <w:noProof/>
                <w:webHidden/>
              </w:rPr>
              <w:instrText xml:space="preserve"> PAGEREF _Toc44659955 \h </w:instrText>
            </w:r>
            <w:r w:rsidR="00A57529">
              <w:rPr>
                <w:noProof/>
                <w:webHidden/>
              </w:rPr>
            </w:r>
            <w:r w:rsidR="00A57529">
              <w:rPr>
                <w:noProof/>
                <w:webHidden/>
              </w:rPr>
              <w:fldChar w:fldCharType="separate"/>
            </w:r>
            <w:r w:rsidR="00A57529">
              <w:rPr>
                <w:noProof/>
                <w:webHidden/>
              </w:rPr>
              <w:t>66</w:t>
            </w:r>
            <w:r w:rsidR="00A57529">
              <w:rPr>
                <w:noProof/>
                <w:webHidden/>
              </w:rPr>
              <w:fldChar w:fldCharType="end"/>
            </w:r>
          </w:hyperlink>
        </w:p>
        <w:p w14:paraId="33A7718E" w14:textId="1A673E17" w:rsidR="00700F7B" w:rsidRDefault="00700F7B" w:rsidP="00800F17">
          <w:r>
            <w:rPr>
              <w:noProof/>
            </w:rPr>
            <w:fldChar w:fldCharType="end"/>
          </w:r>
        </w:p>
      </w:sdtContent>
    </w:sdt>
    <w:p w14:paraId="39BC334C" w14:textId="20F1A978" w:rsidR="00127640" w:rsidRDefault="00127640">
      <w:pPr>
        <w:spacing w:after="160" w:line="259" w:lineRule="auto"/>
        <w:jc w:val="left"/>
        <w:rPr>
          <w:rFonts w:ascii="Franklin Gothic Demi Cond" w:hAnsi="Franklin Gothic Demi Cond"/>
          <w:kern w:val="28"/>
          <w:sz w:val="40"/>
        </w:rPr>
      </w:pPr>
      <w:r>
        <w:br w:type="page"/>
      </w:r>
    </w:p>
    <w:p w14:paraId="7B8102D3" w14:textId="77777777" w:rsidR="00F965FE" w:rsidRPr="00383E99" w:rsidRDefault="00F965FE" w:rsidP="00F965FE">
      <w:pPr>
        <w:pStyle w:val="Non-numberedheading1"/>
        <w:spacing w:line="22" w:lineRule="atLeast"/>
        <w:ind w:right="-144"/>
        <w:rPr>
          <w:sz w:val="36"/>
          <w:szCs w:val="20"/>
        </w:rPr>
      </w:pPr>
      <w:r>
        <w:rPr>
          <w:sz w:val="36"/>
          <w:szCs w:val="20"/>
        </w:rPr>
        <w:t>Figures</w:t>
      </w:r>
    </w:p>
    <w:p w14:paraId="41579D4D" w14:textId="3AC6FDA1" w:rsidR="007A4CD2" w:rsidRDefault="002D0651">
      <w:pPr>
        <w:pStyle w:val="TableofFigures"/>
        <w:tabs>
          <w:tab w:val="right" w:leader="dot" w:pos="9016"/>
        </w:tabs>
        <w:rPr>
          <w:rFonts w:eastAsiaTheme="minorEastAsia" w:cstheme="minorBidi"/>
          <w:noProof/>
          <w:color w:val="auto"/>
          <w:sz w:val="22"/>
          <w:szCs w:val="22"/>
        </w:rPr>
      </w:pPr>
      <w:r>
        <w:fldChar w:fldCharType="begin"/>
      </w:r>
      <w:r>
        <w:instrText xml:space="preserve"> TOC \h \z \c "Figure" </w:instrText>
      </w:r>
      <w:r>
        <w:fldChar w:fldCharType="separate"/>
      </w:r>
      <w:hyperlink w:anchor="_Toc36567873" w:history="1">
        <w:r w:rsidR="007A4CD2" w:rsidRPr="003B123A">
          <w:rPr>
            <w:rStyle w:val="Hyperlink"/>
            <w:noProof/>
          </w:rPr>
          <w:t xml:space="preserve">Figure 1: Options Assessed in the development of the </w:t>
        </w:r>
        <w:r w:rsidR="008C7116">
          <w:rPr>
            <w:rStyle w:val="Hyperlink"/>
            <w:noProof/>
          </w:rPr>
          <w:t xml:space="preserve">Regulation </w:t>
        </w:r>
        <w:r w:rsidR="007A4CD2" w:rsidRPr="003B123A">
          <w:rPr>
            <w:rStyle w:val="Hyperlink"/>
            <w:noProof/>
          </w:rPr>
          <w:t>Impact Statement</w:t>
        </w:r>
        <w:r w:rsidR="007A4CD2">
          <w:rPr>
            <w:noProof/>
            <w:webHidden/>
          </w:rPr>
          <w:tab/>
        </w:r>
        <w:r w:rsidR="007A4CD2">
          <w:rPr>
            <w:noProof/>
            <w:webHidden/>
          </w:rPr>
          <w:fldChar w:fldCharType="begin"/>
        </w:r>
        <w:r w:rsidR="007A4CD2">
          <w:rPr>
            <w:noProof/>
            <w:webHidden/>
          </w:rPr>
          <w:instrText xml:space="preserve"> PAGEREF _Toc36567873 \h </w:instrText>
        </w:r>
        <w:r w:rsidR="007A4CD2">
          <w:rPr>
            <w:noProof/>
            <w:webHidden/>
          </w:rPr>
        </w:r>
        <w:r w:rsidR="007A4CD2">
          <w:rPr>
            <w:noProof/>
            <w:webHidden/>
          </w:rPr>
          <w:fldChar w:fldCharType="separate"/>
        </w:r>
        <w:r w:rsidR="007F6DC1">
          <w:rPr>
            <w:noProof/>
            <w:webHidden/>
          </w:rPr>
          <w:t>9</w:t>
        </w:r>
        <w:r w:rsidR="007A4CD2">
          <w:rPr>
            <w:noProof/>
            <w:webHidden/>
          </w:rPr>
          <w:fldChar w:fldCharType="end"/>
        </w:r>
      </w:hyperlink>
    </w:p>
    <w:p w14:paraId="593A6EE9" w14:textId="20D8365C" w:rsidR="007A4CD2" w:rsidRDefault="00EC194F">
      <w:pPr>
        <w:pStyle w:val="TableofFigures"/>
        <w:tabs>
          <w:tab w:val="right" w:leader="dot" w:pos="9016"/>
        </w:tabs>
        <w:rPr>
          <w:rFonts w:eastAsiaTheme="minorEastAsia" w:cstheme="minorBidi"/>
          <w:noProof/>
          <w:color w:val="auto"/>
          <w:sz w:val="22"/>
          <w:szCs w:val="22"/>
        </w:rPr>
      </w:pPr>
      <w:hyperlink w:anchor="_Toc36567874" w:history="1">
        <w:r w:rsidR="007A4CD2" w:rsidRPr="003B123A">
          <w:rPr>
            <w:rStyle w:val="Hyperlink"/>
            <w:noProof/>
          </w:rPr>
          <w:t xml:space="preserve">Figure 2: International flagged ship arrivals in Australian Ports restricted to the top 8 countries. Blue indicates Athens Convention </w:t>
        </w:r>
        <w:r w:rsidR="00C03A51">
          <w:rPr>
            <w:rStyle w:val="Hyperlink"/>
            <w:noProof/>
          </w:rPr>
          <w:t>Parties</w:t>
        </w:r>
        <w:r w:rsidR="007A4CD2" w:rsidRPr="003B123A">
          <w:rPr>
            <w:rStyle w:val="Hyperlink"/>
            <w:noProof/>
          </w:rPr>
          <w:t xml:space="preserve"> (2002 Protocol).</w:t>
        </w:r>
        <w:r w:rsidR="007A4CD2">
          <w:rPr>
            <w:noProof/>
            <w:webHidden/>
          </w:rPr>
          <w:tab/>
        </w:r>
        <w:r w:rsidR="007A4CD2">
          <w:rPr>
            <w:noProof/>
            <w:webHidden/>
          </w:rPr>
          <w:fldChar w:fldCharType="begin"/>
        </w:r>
        <w:r w:rsidR="007A4CD2">
          <w:rPr>
            <w:noProof/>
            <w:webHidden/>
          </w:rPr>
          <w:instrText xml:space="preserve"> PAGEREF _Toc36567874 \h </w:instrText>
        </w:r>
        <w:r w:rsidR="007A4CD2">
          <w:rPr>
            <w:noProof/>
            <w:webHidden/>
          </w:rPr>
        </w:r>
        <w:r w:rsidR="007A4CD2">
          <w:rPr>
            <w:noProof/>
            <w:webHidden/>
          </w:rPr>
          <w:fldChar w:fldCharType="separate"/>
        </w:r>
        <w:r w:rsidR="007F6DC1">
          <w:rPr>
            <w:noProof/>
            <w:webHidden/>
          </w:rPr>
          <w:t>1</w:t>
        </w:r>
        <w:r w:rsidR="000A0862">
          <w:rPr>
            <w:noProof/>
            <w:webHidden/>
          </w:rPr>
          <w:t>5</w:t>
        </w:r>
        <w:r w:rsidR="007A4CD2">
          <w:rPr>
            <w:noProof/>
            <w:webHidden/>
          </w:rPr>
          <w:fldChar w:fldCharType="end"/>
        </w:r>
      </w:hyperlink>
    </w:p>
    <w:p w14:paraId="31BDB59D" w14:textId="516320C4" w:rsidR="007A4CD2" w:rsidRDefault="00EC194F">
      <w:pPr>
        <w:pStyle w:val="TableofFigures"/>
        <w:tabs>
          <w:tab w:val="right" w:leader="dot" w:pos="9016"/>
        </w:tabs>
        <w:rPr>
          <w:rFonts w:eastAsiaTheme="minorEastAsia" w:cstheme="minorBidi"/>
          <w:noProof/>
          <w:color w:val="auto"/>
          <w:sz w:val="22"/>
          <w:szCs w:val="22"/>
        </w:rPr>
      </w:pPr>
      <w:hyperlink w:anchor="_Toc36567875" w:history="1">
        <w:r w:rsidR="007A4CD2" w:rsidRPr="003B123A">
          <w:rPr>
            <w:rStyle w:val="Hyperlink"/>
            <w:noProof/>
          </w:rPr>
          <w:t xml:space="preserve">Figure 3: </w:t>
        </w:r>
        <w:r w:rsidR="008C7116">
          <w:rPr>
            <w:rStyle w:val="Hyperlink"/>
            <w:noProof/>
          </w:rPr>
          <w:t>S</w:t>
        </w:r>
        <w:r w:rsidR="008C7116" w:rsidRPr="003B123A">
          <w:rPr>
            <w:rStyle w:val="Hyperlink"/>
            <w:noProof/>
          </w:rPr>
          <w:t xml:space="preserve">chematic </w:t>
        </w:r>
        <w:r w:rsidR="007A4CD2" w:rsidRPr="003B123A">
          <w:rPr>
            <w:rStyle w:val="Hyperlink"/>
            <w:noProof/>
          </w:rPr>
          <w:t>outlining the existing framework and claims process (top) and the passenger claim process under the Athens Convention (bottom) if Australia were to accede to the 2002 Protocol.</w:t>
        </w:r>
        <w:r w:rsidR="007A4CD2">
          <w:rPr>
            <w:noProof/>
            <w:webHidden/>
          </w:rPr>
          <w:tab/>
        </w:r>
        <w:r w:rsidR="007A4CD2">
          <w:rPr>
            <w:noProof/>
            <w:webHidden/>
          </w:rPr>
          <w:fldChar w:fldCharType="begin"/>
        </w:r>
        <w:r w:rsidR="007A4CD2">
          <w:rPr>
            <w:noProof/>
            <w:webHidden/>
          </w:rPr>
          <w:instrText xml:space="preserve"> PAGEREF _Toc36567875 \h </w:instrText>
        </w:r>
        <w:r w:rsidR="007A4CD2">
          <w:rPr>
            <w:noProof/>
            <w:webHidden/>
          </w:rPr>
        </w:r>
        <w:r w:rsidR="007A4CD2">
          <w:rPr>
            <w:noProof/>
            <w:webHidden/>
          </w:rPr>
          <w:fldChar w:fldCharType="separate"/>
        </w:r>
        <w:r w:rsidR="007F6DC1">
          <w:rPr>
            <w:noProof/>
            <w:webHidden/>
          </w:rPr>
          <w:t>1</w:t>
        </w:r>
        <w:r w:rsidR="000A0862">
          <w:rPr>
            <w:noProof/>
            <w:webHidden/>
          </w:rPr>
          <w:t>8</w:t>
        </w:r>
        <w:r w:rsidR="007A4CD2">
          <w:rPr>
            <w:noProof/>
            <w:webHidden/>
          </w:rPr>
          <w:fldChar w:fldCharType="end"/>
        </w:r>
      </w:hyperlink>
    </w:p>
    <w:p w14:paraId="55ED2120" w14:textId="1FF6DB20" w:rsidR="007A4CD2" w:rsidRDefault="00EC194F">
      <w:pPr>
        <w:pStyle w:val="TableofFigures"/>
        <w:tabs>
          <w:tab w:val="right" w:leader="dot" w:pos="9016"/>
        </w:tabs>
        <w:rPr>
          <w:rFonts w:eastAsiaTheme="minorEastAsia" w:cstheme="minorBidi"/>
          <w:noProof/>
          <w:color w:val="auto"/>
          <w:sz w:val="22"/>
          <w:szCs w:val="22"/>
        </w:rPr>
      </w:pPr>
      <w:hyperlink w:anchor="_Toc36567876" w:history="1">
        <w:r w:rsidR="007A4CD2" w:rsidRPr="003B123A">
          <w:rPr>
            <w:rStyle w:val="Hyperlink"/>
            <w:noProof/>
          </w:rPr>
          <w:t>Figure 4: Non-economic loss for personal injury thresholds and caps by state compared to the Competition and Consumer Act.</w:t>
        </w:r>
        <w:r w:rsidR="007A4CD2">
          <w:rPr>
            <w:noProof/>
            <w:webHidden/>
          </w:rPr>
          <w:tab/>
        </w:r>
        <w:r w:rsidR="000A0862">
          <w:rPr>
            <w:noProof/>
            <w:webHidden/>
          </w:rPr>
          <w:t>21</w:t>
        </w:r>
      </w:hyperlink>
    </w:p>
    <w:p w14:paraId="051CA158" w14:textId="6732DDE7" w:rsidR="007A4CD2" w:rsidRDefault="00EC194F">
      <w:pPr>
        <w:pStyle w:val="TableofFigures"/>
        <w:tabs>
          <w:tab w:val="right" w:leader="dot" w:pos="9016"/>
        </w:tabs>
        <w:rPr>
          <w:rFonts w:eastAsiaTheme="minorEastAsia" w:cstheme="minorBidi"/>
          <w:noProof/>
          <w:color w:val="auto"/>
          <w:sz w:val="22"/>
          <w:szCs w:val="22"/>
        </w:rPr>
      </w:pPr>
      <w:hyperlink w:anchor="_Toc36567877" w:history="1">
        <w:r w:rsidR="007A4CD2" w:rsidRPr="003B123A">
          <w:rPr>
            <w:rStyle w:val="Hyperlink"/>
            <w:noProof/>
          </w:rPr>
          <w:t>Figure 5: NSW Fair Trading ‘cruise’ claims data provided for 2015 to 2019 showing distribution of claims across 'Practice' across years.</w:t>
        </w:r>
        <w:r w:rsidR="007A4CD2">
          <w:rPr>
            <w:noProof/>
            <w:webHidden/>
          </w:rPr>
          <w:tab/>
        </w:r>
        <w:r w:rsidR="007A4CD2">
          <w:rPr>
            <w:noProof/>
            <w:webHidden/>
          </w:rPr>
          <w:fldChar w:fldCharType="begin"/>
        </w:r>
        <w:r w:rsidR="007A4CD2">
          <w:rPr>
            <w:noProof/>
            <w:webHidden/>
          </w:rPr>
          <w:instrText xml:space="preserve"> PAGEREF _Toc36567877 \h </w:instrText>
        </w:r>
        <w:r w:rsidR="007A4CD2">
          <w:rPr>
            <w:noProof/>
            <w:webHidden/>
          </w:rPr>
        </w:r>
        <w:r w:rsidR="007A4CD2">
          <w:rPr>
            <w:noProof/>
            <w:webHidden/>
          </w:rPr>
          <w:fldChar w:fldCharType="separate"/>
        </w:r>
        <w:r w:rsidR="007F6DC1">
          <w:rPr>
            <w:noProof/>
            <w:webHidden/>
          </w:rPr>
          <w:t>2</w:t>
        </w:r>
        <w:r w:rsidR="000A0862">
          <w:rPr>
            <w:noProof/>
            <w:webHidden/>
          </w:rPr>
          <w:t>3</w:t>
        </w:r>
        <w:r w:rsidR="007A4CD2">
          <w:rPr>
            <w:noProof/>
            <w:webHidden/>
          </w:rPr>
          <w:fldChar w:fldCharType="end"/>
        </w:r>
      </w:hyperlink>
    </w:p>
    <w:p w14:paraId="366662D8" w14:textId="04FFCE2D" w:rsidR="007A4CD2" w:rsidRDefault="00EC194F">
      <w:pPr>
        <w:pStyle w:val="TableofFigures"/>
        <w:tabs>
          <w:tab w:val="right" w:leader="dot" w:pos="9016"/>
        </w:tabs>
        <w:rPr>
          <w:rFonts w:eastAsiaTheme="minorEastAsia" w:cstheme="minorBidi"/>
          <w:noProof/>
          <w:color w:val="auto"/>
          <w:sz w:val="22"/>
          <w:szCs w:val="22"/>
        </w:rPr>
      </w:pPr>
      <w:hyperlink w:anchor="_Toc36567878" w:history="1">
        <w:r w:rsidR="007A4CD2" w:rsidRPr="003B123A">
          <w:rPr>
            <w:rStyle w:val="Hyperlink"/>
            <w:noProof/>
          </w:rPr>
          <w:t xml:space="preserve">Figure 6: Engagement statistics for the development of the </w:t>
        </w:r>
        <w:r w:rsidR="008C7116">
          <w:rPr>
            <w:rStyle w:val="Hyperlink"/>
            <w:noProof/>
          </w:rPr>
          <w:t xml:space="preserve">Regulation </w:t>
        </w:r>
        <w:r w:rsidR="007A4CD2" w:rsidRPr="003B123A">
          <w:rPr>
            <w:rStyle w:val="Hyperlink"/>
            <w:noProof/>
          </w:rPr>
          <w:t>Impact Statement</w:t>
        </w:r>
        <w:r w:rsidR="007A4CD2">
          <w:rPr>
            <w:noProof/>
            <w:webHidden/>
          </w:rPr>
          <w:tab/>
        </w:r>
        <w:r w:rsidR="000A0862">
          <w:rPr>
            <w:noProof/>
            <w:webHidden/>
          </w:rPr>
          <w:t>40</w:t>
        </w:r>
      </w:hyperlink>
    </w:p>
    <w:p w14:paraId="10EAC2F3" w14:textId="72F44AE7" w:rsidR="007A4CD2" w:rsidRDefault="00EC194F">
      <w:pPr>
        <w:pStyle w:val="TableofFigures"/>
        <w:tabs>
          <w:tab w:val="right" w:leader="dot" w:pos="9016"/>
        </w:tabs>
        <w:rPr>
          <w:rFonts w:eastAsiaTheme="minorEastAsia" w:cstheme="minorBidi"/>
          <w:noProof/>
          <w:color w:val="auto"/>
          <w:sz w:val="22"/>
          <w:szCs w:val="22"/>
        </w:rPr>
      </w:pPr>
      <w:hyperlink w:anchor="_Toc36567879" w:history="1">
        <w:r w:rsidR="007A4CD2" w:rsidRPr="003B123A">
          <w:rPr>
            <w:rStyle w:val="Hyperlink"/>
            <w:noProof/>
          </w:rPr>
          <w:t>Figure 7: Maximum liability against a sliding scale of casualty numbers based on LLMC and Athens limits</w:t>
        </w:r>
        <w:r w:rsidR="007A4CD2">
          <w:rPr>
            <w:noProof/>
            <w:webHidden/>
          </w:rPr>
          <w:tab/>
        </w:r>
        <w:r w:rsidR="007A4CD2">
          <w:rPr>
            <w:noProof/>
            <w:webHidden/>
          </w:rPr>
          <w:fldChar w:fldCharType="begin"/>
        </w:r>
        <w:r w:rsidR="007A4CD2">
          <w:rPr>
            <w:noProof/>
            <w:webHidden/>
          </w:rPr>
          <w:instrText xml:space="preserve"> PAGEREF _Toc36567879 \h </w:instrText>
        </w:r>
        <w:r w:rsidR="007A4CD2">
          <w:rPr>
            <w:noProof/>
            <w:webHidden/>
          </w:rPr>
        </w:r>
        <w:r w:rsidR="007A4CD2">
          <w:rPr>
            <w:noProof/>
            <w:webHidden/>
          </w:rPr>
          <w:fldChar w:fldCharType="separate"/>
        </w:r>
        <w:r w:rsidR="007F6DC1">
          <w:rPr>
            <w:noProof/>
            <w:webHidden/>
          </w:rPr>
          <w:t>4</w:t>
        </w:r>
        <w:r w:rsidR="000A0862">
          <w:rPr>
            <w:noProof/>
            <w:webHidden/>
          </w:rPr>
          <w:t>5</w:t>
        </w:r>
        <w:r w:rsidR="007A4CD2">
          <w:rPr>
            <w:noProof/>
            <w:webHidden/>
          </w:rPr>
          <w:fldChar w:fldCharType="end"/>
        </w:r>
      </w:hyperlink>
    </w:p>
    <w:p w14:paraId="71FF28AC" w14:textId="1945ACE3" w:rsidR="00020444" w:rsidRDefault="002D0651" w:rsidP="00913B7C">
      <w:pPr>
        <w:pStyle w:val="Non-numberedheading1"/>
      </w:pPr>
      <w:r>
        <w:rPr>
          <w:rFonts w:asciiTheme="minorHAnsi" w:hAnsiTheme="minorHAnsi"/>
          <w:kern w:val="0"/>
          <w:sz w:val="20"/>
        </w:rPr>
        <w:fldChar w:fldCharType="end"/>
      </w:r>
    </w:p>
    <w:p w14:paraId="5B1AB15D" w14:textId="1DA60974" w:rsidR="00C41F85" w:rsidRDefault="00155CD5" w:rsidP="00800F17">
      <w:pPr>
        <w:pStyle w:val="Non-numberedheading1"/>
      </w:pPr>
      <w:r>
        <w:t>Tables</w:t>
      </w:r>
    </w:p>
    <w:p w14:paraId="252CC067" w14:textId="404FE73A" w:rsidR="00CF755C" w:rsidRDefault="00155CD5">
      <w:pPr>
        <w:pStyle w:val="TableofFigures"/>
        <w:tabs>
          <w:tab w:val="right" w:leader="dot" w:pos="9016"/>
        </w:tabs>
        <w:rPr>
          <w:rFonts w:eastAsiaTheme="minorEastAsia" w:cstheme="minorBidi"/>
          <w:noProof/>
          <w:color w:val="auto"/>
          <w:sz w:val="22"/>
          <w:szCs w:val="22"/>
        </w:rPr>
      </w:pPr>
      <w:r>
        <w:fldChar w:fldCharType="begin"/>
      </w:r>
      <w:r>
        <w:instrText xml:space="preserve"> TOC \h \z \c "Table" </w:instrText>
      </w:r>
      <w:r>
        <w:fldChar w:fldCharType="separate"/>
      </w:r>
      <w:hyperlink w:anchor="_Toc36560348" w:history="1">
        <w:r w:rsidR="00CF755C" w:rsidRPr="00A25E45">
          <w:rPr>
            <w:rStyle w:val="Hyperlink"/>
            <w:noProof/>
          </w:rPr>
          <w:t>Table 1: Scenarios per person liability</w:t>
        </w:r>
        <w:r w:rsidR="00CF755C">
          <w:rPr>
            <w:noProof/>
            <w:webHidden/>
          </w:rPr>
          <w:tab/>
        </w:r>
        <w:r w:rsidR="006D7351">
          <w:rPr>
            <w:noProof/>
            <w:webHidden/>
          </w:rPr>
          <w:t>30</w:t>
        </w:r>
      </w:hyperlink>
    </w:p>
    <w:p w14:paraId="40DDFA46" w14:textId="0C11CA07" w:rsidR="00CF755C" w:rsidRDefault="00EC194F">
      <w:pPr>
        <w:pStyle w:val="TableofFigures"/>
        <w:tabs>
          <w:tab w:val="right" w:leader="dot" w:pos="9016"/>
        </w:tabs>
        <w:rPr>
          <w:rFonts w:eastAsiaTheme="minorEastAsia" w:cstheme="minorBidi"/>
          <w:noProof/>
          <w:color w:val="auto"/>
          <w:sz w:val="22"/>
          <w:szCs w:val="22"/>
        </w:rPr>
      </w:pPr>
      <w:hyperlink w:anchor="_Toc36560349" w:history="1">
        <w:r w:rsidR="00CF755C" w:rsidRPr="00A25E45">
          <w:rPr>
            <w:rStyle w:val="Hyperlink"/>
            <w:noProof/>
          </w:rPr>
          <w:t>Table 2: Passenger Capacity based on Vessel Liability Insurance</w:t>
        </w:r>
        <w:r w:rsidR="00CF755C">
          <w:rPr>
            <w:noProof/>
            <w:webHidden/>
          </w:rPr>
          <w:tab/>
        </w:r>
        <w:r w:rsidR="006D7351">
          <w:rPr>
            <w:noProof/>
            <w:webHidden/>
          </w:rPr>
          <w:t>30</w:t>
        </w:r>
      </w:hyperlink>
    </w:p>
    <w:p w14:paraId="1ED71484" w14:textId="45B5F029" w:rsidR="00CF755C" w:rsidRDefault="00EC194F">
      <w:pPr>
        <w:pStyle w:val="TableofFigures"/>
        <w:tabs>
          <w:tab w:val="right" w:leader="dot" w:pos="9016"/>
        </w:tabs>
        <w:rPr>
          <w:rFonts w:eastAsiaTheme="minorEastAsia" w:cstheme="minorBidi"/>
          <w:noProof/>
          <w:color w:val="auto"/>
          <w:sz w:val="22"/>
          <w:szCs w:val="22"/>
        </w:rPr>
      </w:pPr>
      <w:hyperlink w:anchor="_Toc36560350" w:history="1">
        <w:r w:rsidR="00CF755C" w:rsidRPr="00A25E45">
          <w:rPr>
            <w:rStyle w:val="Hyperlink"/>
            <w:noProof/>
          </w:rPr>
          <w:t>Table 3: Liability limits for loss or damage to luggage and vehicles Scenarios</w:t>
        </w:r>
        <w:r w:rsidR="00CF755C">
          <w:rPr>
            <w:noProof/>
            <w:webHidden/>
          </w:rPr>
          <w:tab/>
        </w:r>
        <w:r w:rsidR="006D7351">
          <w:rPr>
            <w:noProof/>
            <w:webHidden/>
          </w:rPr>
          <w:t>30</w:t>
        </w:r>
      </w:hyperlink>
    </w:p>
    <w:p w14:paraId="3C3AD190" w14:textId="1FE2CC2F" w:rsidR="00CF755C" w:rsidRDefault="00EC194F">
      <w:pPr>
        <w:pStyle w:val="TableofFigures"/>
        <w:tabs>
          <w:tab w:val="right" w:leader="dot" w:pos="9016"/>
        </w:tabs>
        <w:rPr>
          <w:rFonts w:eastAsiaTheme="minorEastAsia" w:cstheme="minorBidi"/>
          <w:noProof/>
          <w:color w:val="auto"/>
          <w:sz w:val="22"/>
          <w:szCs w:val="22"/>
        </w:rPr>
      </w:pPr>
      <w:hyperlink w:anchor="_Toc36560351" w:history="1">
        <w:r w:rsidR="00CF755C" w:rsidRPr="00A25E45">
          <w:rPr>
            <w:rStyle w:val="Hyperlink"/>
            <w:noProof/>
          </w:rPr>
          <w:t>Table 4: Identified Costs and Benefits by User Group</w:t>
        </w:r>
        <w:r w:rsidR="00CF755C">
          <w:rPr>
            <w:noProof/>
            <w:webHidden/>
          </w:rPr>
          <w:tab/>
        </w:r>
        <w:r w:rsidR="00CF755C">
          <w:rPr>
            <w:noProof/>
            <w:webHidden/>
          </w:rPr>
          <w:fldChar w:fldCharType="begin"/>
        </w:r>
        <w:r w:rsidR="00CF755C">
          <w:rPr>
            <w:noProof/>
            <w:webHidden/>
          </w:rPr>
          <w:instrText xml:space="preserve"> PAGEREF _Toc36560351 \h </w:instrText>
        </w:r>
        <w:r w:rsidR="00CF755C">
          <w:rPr>
            <w:noProof/>
            <w:webHidden/>
          </w:rPr>
        </w:r>
        <w:r w:rsidR="00CF755C">
          <w:rPr>
            <w:noProof/>
            <w:webHidden/>
          </w:rPr>
          <w:fldChar w:fldCharType="separate"/>
        </w:r>
        <w:r w:rsidR="007F6DC1">
          <w:rPr>
            <w:noProof/>
            <w:webHidden/>
          </w:rPr>
          <w:t>4</w:t>
        </w:r>
        <w:r w:rsidR="00B97889">
          <w:rPr>
            <w:noProof/>
            <w:webHidden/>
          </w:rPr>
          <w:t>3</w:t>
        </w:r>
        <w:r w:rsidR="00CF755C">
          <w:rPr>
            <w:noProof/>
            <w:webHidden/>
          </w:rPr>
          <w:fldChar w:fldCharType="end"/>
        </w:r>
      </w:hyperlink>
    </w:p>
    <w:p w14:paraId="37865156" w14:textId="373FF359" w:rsidR="00CF755C" w:rsidRDefault="00EC194F">
      <w:pPr>
        <w:pStyle w:val="TableofFigures"/>
        <w:tabs>
          <w:tab w:val="right" w:leader="dot" w:pos="9016"/>
        </w:tabs>
        <w:rPr>
          <w:rFonts w:eastAsiaTheme="minorEastAsia" w:cstheme="minorBidi"/>
          <w:noProof/>
          <w:color w:val="auto"/>
          <w:sz w:val="22"/>
          <w:szCs w:val="22"/>
        </w:rPr>
      </w:pPr>
      <w:hyperlink w:anchor="_Toc36560352" w:history="1">
        <w:r w:rsidR="00CF755C" w:rsidRPr="00A25E45">
          <w:rPr>
            <w:rStyle w:val="Hyperlink"/>
            <w:noProof/>
          </w:rPr>
          <w:t>Table 5: Maximum amount paid by cruise ship under different scenarios (SDR values)</w:t>
        </w:r>
        <w:r w:rsidR="00CF755C">
          <w:rPr>
            <w:noProof/>
            <w:webHidden/>
          </w:rPr>
          <w:tab/>
        </w:r>
        <w:r w:rsidR="00CF755C">
          <w:rPr>
            <w:noProof/>
            <w:webHidden/>
          </w:rPr>
          <w:fldChar w:fldCharType="begin"/>
        </w:r>
        <w:r w:rsidR="00CF755C">
          <w:rPr>
            <w:noProof/>
            <w:webHidden/>
          </w:rPr>
          <w:instrText xml:space="preserve"> PAGEREF _Toc36560352 \h </w:instrText>
        </w:r>
        <w:r w:rsidR="00CF755C">
          <w:rPr>
            <w:noProof/>
            <w:webHidden/>
          </w:rPr>
        </w:r>
        <w:r w:rsidR="00CF755C">
          <w:rPr>
            <w:noProof/>
            <w:webHidden/>
          </w:rPr>
          <w:fldChar w:fldCharType="separate"/>
        </w:r>
        <w:r w:rsidR="007F6DC1">
          <w:rPr>
            <w:noProof/>
            <w:webHidden/>
          </w:rPr>
          <w:t>4</w:t>
        </w:r>
        <w:r w:rsidR="00B97889">
          <w:rPr>
            <w:noProof/>
            <w:webHidden/>
          </w:rPr>
          <w:t>6</w:t>
        </w:r>
        <w:r w:rsidR="00CF755C">
          <w:rPr>
            <w:noProof/>
            <w:webHidden/>
          </w:rPr>
          <w:fldChar w:fldCharType="end"/>
        </w:r>
      </w:hyperlink>
    </w:p>
    <w:p w14:paraId="36EB29C8" w14:textId="7677DCBB" w:rsidR="00CF755C" w:rsidRDefault="00EC194F">
      <w:pPr>
        <w:pStyle w:val="TableofFigures"/>
        <w:tabs>
          <w:tab w:val="right" w:leader="dot" w:pos="9016"/>
        </w:tabs>
        <w:rPr>
          <w:rFonts w:eastAsiaTheme="minorEastAsia" w:cstheme="minorBidi"/>
          <w:noProof/>
          <w:color w:val="auto"/>
          <w:sz w:val="22"/>
          <w:szCs w:val="22"/>
        </w:rPr>
      </w:pPr>
      <w:hyperlink w:anchor="_Toc36560353" w:history="1">
        <w:r w:rsidR="00CF755C" w:rsidRPr="00A25E45">
          <w:rPr>
            <w:rStyle w:val="Hyperlink"/>
            <w:noProof/>
          </w:rPr>
          <w:t>Table 6: Change in liability limits and insurance costs (all values in AUD)</w:t>
        </w:r>
        <w:r w:rsidR="00CF755C">
          <w:rPr>
            <w:noProof/>
            <w:webHidden/>
          </w:rPr>
          <w:tab/>
        </w:r>
        <w:r w:rsidR="00CF755C">
          <w:rPr>
            <w:noProof/>
            <w:webHidden/>
          </w:rPr>
          <w:fldChar w:fldCharType="begin"/>
        </w:r>
        <w:r w:rsidR="00CF755C">
          <w:rPr>
            <w:noProof/>
            <w:webHidden/>
          </w:rPr>
          <w:instrText xml:space="preserve"> PAGEREF _Toc36560353 \h </w:instrText>
        </w:r>
        <w:r w:rsidR="00CF755C">
          <w:rPr>
            <w:noProof/>
            <w:webHidden/>
          </w:rPr>
        </w:r>
        <w:r w:rsidR="00CF755C">
          <w:rPr>
            <w:noProof/>
            <w:webHidden/>
          </w:rPr>
          <w:fldChar w:fldCharType="separate"/>
        </w:r>
        <w:r w:rsidR="007F6DC1">
          <w:rPr>
            <w:noProof/>
            <w:webHidden/>
          </w:rPr>
          <w:t>4</w:t>
        </w:r>
        <w:r w:rsidR="00B97889">
          <w:rPr>
            <w:noProof/>
            <w:webHidden/>
          </w:rPr>
          <w:t>8</w:t>
        </w:r>
        <w:r w:rsidR="00CF755C">
          <w:rPr>
            <w:noProof/>
            <w:webHidden/>
          </w:rPr>
          <w:fldChar w:fldCharType="end"/>
        </w:r>
      </w:hyperlink>
    </w:p>
    <w:p w14:paraId="76AEB9D1" w14:textId="442D6E7F" w:rsidR="00CF755C" w:rsidRDefault="00EC194F">
      <w:pPr>
        <w:pStyle w:val="TableofFigures"/>
        <w:tabs>
          <w:tab w:val="right" w:leader="dot" w:pos="9016"/>
        </w:tabs>
        <w:rPr>
          <w:rFonts w:eastAsiaTheme="minorEastAsia" w:cstheme="minorBidi"/>
          <w:noProof/>
          <w:color w:val="auto"/>
          <w:sz w:val="22"/>
          <w:szCs w:val="22"/>
        </w:rPr>
      </w:pPr>
      <w:hyperlink w:anchor="_Toc36560354" w:history="1">
        <w:r w:rsidR="00CF755C" w:rsidRPr="00A25E45">
          <w:rPr>
            <w:rStyle w:val="Hyperlink"/>
            <w:noProof/>
          </w:rPr>
          <w:t>Table 7: Change in fares for passengers</w:t>
        </w:r>
        <w:r w:rsidR="00CF755C">
          <w:rPr>
            <w:noProof/>
            <w:webHidden/>
          </w:rPr>
          <w:tab/>
        </w:r>
        <w:r w:rsidR="00CF755C">
          <w:rPr>
            <w:noProof/>
            <w:webHidden/>
          </w:rPr>
          <w:fldChar w:fldCharType="begin"/>
        </w:r>
        <w:r w:rsidR="00CF755C">
          <w:rPr>
            <w:noProof/>
            <w:webHidden/>
          </w:rPr>
          <w:instrText xml:space="preserve"> PAGEREF _Toc36560354 \h </w:instrText>
        </w:r>
        <w:r w:rsidR="00CF755C">
          <w:rPr>
            <w:noProof/>
            <w:webHidden/>
          </w:rPr>
        </w:r>
        <w:r w:rsidR="00CF755C">
          <w:rPr>
            <w:noProof/>
            <w:webHidden/>
          </w:rPr>
          <w:fldChar w:fldCharType="separate"/>
        </w:r>
        <w:r w:rsidR="007F6DC1">
          <w:rPr>
            <w:noProof/>
            <w:webHidden/>
          </w:rPr>
          <w:t>4</w:t>
        </w:r>
        <w:r w:rsidR="00B97889">
          <w:rPr>
            <w:noProof/>
            <w:webHidden/>
          </w:rPr>
          <w:t>9</w:t>
        </w:r>
        <w:r w:rsidR="00CF755C">
          <w:rPr>
            <w:noProof/>
            <w:webHidden/>
          </w:rPr>
          <w:fldChar w:fldCharType="end"/>
        </w:r>
      </w:hyperlink>
    </w:p>
    <w:p w14:paraId="281B70CD" w14:textId="50D01E8C" w:rsidR="00CF755C" w:rsidRDefault="00EC194F">
      <w:pPr>
        <w:pStyle w:val="TableofFigures"/>
        <w:tabs>
          <w:tab w:val="right" w:leader="dot" w:pos="9016"/>
        </w:tabs>
        <w:rPr>
          <w:rFonts w:eastAsiaTheme="minorEastAsia" w:cstheme="minorBidi"/>
          <w:noProof/>
          <w:color w:val="auto"/>
          <w:sz w:val="22"/>
          <w:szCs w:val="22"/>
        </w:rPr>
      </w:pPr>
      <w:hyperlink w:anchor="_Toc36560355" w:history="1">
        <w:r w:rsidR="00CF755C" w:rsidRPr="00A25E45">
          <w:rPr>
            <w:rStyle w:val="Hyperlink"/>
            <w:noProof/>
          </w:rPr>
          <w:t>Table 8: % Change in fares for passengers*</w:t>
        </w:r>
        <w:r w:rsidR="00CF755C">
          <w:rPr>
            <w:noProof/>
            <w:webHidden/>
          </w:rPr>
          <w:tab/>
        </w:r>
        <w:r w:rsidR="0078019B">
          <w:rPr>
            <w:noProof/>
            <w:webHidden/>
          </w:rPr>
          <w:t>50</w:t>
        </w:r>
      </w:hyperlink>
    </w:p>
    <w:p w14:paraId="3FC33546" w14:textId="397E052D" w:rsidR="00CF755C" w:rsidRDefault="00EC194F">
      <w:pPr>
        <w:pStyle w:val="TableofFigures"/>
        <w:tabs>
          <w:tab w:val="right" w:leader="dot" w:pos="9016"/>
        </w:tabs>
        <w:rPr>
          <w:rFonts w:eastAsiaTheme="minorEastAsia" w:cstheme="minorBidi"/>
          <w:noProof/>
          <w:color w:val="auto"/>
          <w:sz w:val="22"/>
          <w:szCs w:val="22"/>
        </w:rPr>
      </w:pPr>
      <w:hyperlink w:anchor="_Toc36560356" w:history="1">
        <w:r w:rsidR="00CF755C" w:rsidRPr="00A25E45">
          <w:rPr>
            <w:rStyle w:val="Hyperlink"/>
            <w:noProof/>
          </w:rPr>
          <w:t>Table 9: Example Lost Earnings in Submitting a Claim</w:t>
        </w:r>
        <w:r w:rsidR="00CF755C">
          <w:rPr>
            <w:noProof/>
            <w:webHidden/>
          </w:rPr>
          <w:tab/>
        </w:r>
        <w:r w:rsidR="0078019B">
          <w:rPr>
            <w:noProof/>
            <w:webHidden/>
          </w:rPr>
          <w:t>50</w:t>
        </w:r>
      </w:hyperlink>
    </w:p>
    <w:p w14:paraId="3EDF9F3D" w14:textId="7A32ABFC" w:rsidR="00CF755C" w:rsidRDefault="00EC194F">
      <w:pPr>
        <w:pStyle w:val="TableofFigures"/>
        <w:tabs>
          <w:tab w:val="right" w:leader="dot" w:pos="9016"/>
        </w:tabs>
        <w:rPr>
          <w:rFonts w:eastAsiaTheme="minorEastAsia" w:cstheme="minorBidi"/>
          <w:noProof/>
          <w:color w:val="auto"/>
          <w:sz w:val="22"/>
          <w:szCs w:val="22"/>
        </w:rPr>
      </w:pPr>
      <w:hyperlink w:anchor="_Toc36560357" w:history="1">
        <w:r w:rsidR="00CF755C" w:rsidRPr="00A25E45">
          <w:rPr>
            <w:rStyle w:val="Hyperlink"/>
            <w:noProof/>
          </w:rPr>
          <w:t>Table 10: Upper Limit of Claims</w:t>
        </w:r>
        <w:r w:rsidR="00CF755C">
          <w:rPr>
            <w:noProof/>
            <w:webHidden/>
          </w:rPr>
          <w:tab/>
        </w:r>
        <w:r w:rsidR="0078019B">
          <w:rPr>
            <w:noProof/>
            <w:webHidden/>
          </w:rPr>
          <w:t>51</w:t>
        </w:r>
      </w:hyperlink>
    </w:p>
    <w:p w14:paraId="23ECB4B7" w14:textId="473F3CAB" w:rsidR="00CF755C" w:rsidRDefault="00EC194F">
      <w:pPr>
        <w:pStyle w:val="TableofFigures"/>
        <w:tabs>
          <w:tab w:val="right" w:leader="dot" w:pos="9016"/>
        </w:tabs>
        <w:rPr>
          <w:rFonts w:eastAsiaTheme="minorEastAsia" w:cstheme="minorBidi"/>
          <w:noProof/>
          <w:color w:val="auto"/>
          <w:sz w:val="22"/>
          <w:szCs w:val="22"/>
        </w:rPr>
      </w:pPr>
      <w:hyperlink w:anchor="_Toc36560358" w:history="1">
        <w:r w:rsidR="00CF755C" w:rsidRPr="00A25E45">
          <w:rPr>
            <w:rStyle w:val="Hyperlink"/>
            <w:noProof/>
          </w:rPr>
          <w:t>Table 11: Maximum amount awarded to individual passenger under different scenarios (SDR values)</w:t>
        </w:r>
        <w:r w:rsidR="00CF755C">
          <w:rPr>
            <w:noProof/>
            <w:webHidden/>
          </w:rPr>
          <w:tab/>
        </w:r>
        <w:r w:rsidR="0078019B">
          <w:rPr>
            <w:noProof/>
            <w:webHidden/>
          </w:rPr>
          <w:t>52</w:t>
        </w:r>
      </w:hyperlink>
    </w:p>
    <w:p w14:paraId="4ADD83E2" w14:textId="7769755B" w:rsidR="00CF755C" w:rsidRDefault="00EC194F">
      <w:pPr>
        <w:pStyle w:val="TableofFigures"/>
        <w:tabs>
          <w:tab w:val="right" w:leader="dot" w:pos="9016"/>
        </w:tabs>
        <w:rPr>
          <w:rFonts w:eastAsiaTheme="minorEastAsia" w:cstheme="minorBidi"/>
          <w:noProof/>
          <w:color w:val="auto"/>
          <w:sz w:val="22"/>
          <w:szCs w:val="22"/>
        </w:rPr>
      </w:pPr>
      <w:hyperlink w:anchor="_Toc36560359" w:history="1">
        <w:r w:rsidR="00CF755C" w:rsidRPr="00A25E45">
          <w:rPr>
            <w:rStyle w:val="Hyperlink"/>
            <w:noProof/>
          </w:rPr>
          <w:t>Table 12: Assessment of the Impacts identified:</w:t>
        </w:r>
        <w:r w:rsidR="00CF755C">
          <w:rPr>
            <w:noProof/>
            <w:webHidden/>
          </w:rPr>
          <w:tab/>
        </w:r>
        <w:r w:rsidR="00CF755C">
          <w:rPr>
            <w:noProof/>
            <w:webHidden/>
          </w:rPr>
          <w:fldChar w:fldCharType="begin"/>
        </w:r>
        <w:r w:rsidR="00CF755C">
          <w:rPr>
            <w:noProof/>
            <w:webHidden/>
          </w:rPr>
          <w:instrText xml:space="preserve"> PAGEREF _Toc36560359 \h </w:instrText>
        </w:r>
        <w:r w:rsidR="00CF755C">
          <w:rPr>
            <w:noProof/>
            <w:webHidden/>
          </w:rPr>
        </w:r>
        <w:r w:rsidR="00CF755C">
          <w:rPr>
            <w:noProof/>
            <w:webHidden/>
          </w:rPr>
          <w:fldChar w:fldCharType="separate"/>
        </w:r>
        <w:r w:rsidR="007F6DC1">
          <w:rPr>
            <w:noProof/>
            <w:webHidden/>
          </w:rPr>
          <w:t>5</w:t>
        </w:r>
        <w:r w:rsidR="0078019B">
          <w:rPr>
            <w:noProof/>
            <w:webHidden/>
          </w:rPr>
          <w:t>4</w:t>
        </w:r>
        <w:r w:rsidR="00CF755C">
          <w:rPr>
            <w:noProof/>
            <w:webHidden/>
          </w:rPr>
          <w:fldChar w:fldCharType="end"/>
        </w:r>
      </w:hyperlink>
    </w:p>
    <w:p w14:paraId="2F193FCE" w14:textId="6328FE86" w:rsidR="00CF755C" w:rsidRDefault="00EC194F">
      <w:pPr>
        <w:pStyle w:val="TableofFigures"/>
        <w:tabs>
          <w:tab w:val="right" w:leader="dot" w:pos="9016"/>
        </w:tabs>
        <w:rPr>
          <w:rFonts w:eastAsiaTheme="minorEastAsia" w:cstheme="minorBidi"/>
          <w:noProof/>
          <w:color w:val="auto"/>
          <w:sz w:val="22"/>
          <w:szCs w:val="22"/>
        </w:rPr>
      </w:pPr>
      <w:hyperlink w:anchor="_Toc36560360" w:history="1">
        <w:r w:rsidR="00CF755C" w:rsidRPr="00A25E45">
          <w:rPr>
            <w:rStyle w:val="Hyperlink"/>
            <w:noProof/>
          </w:rPr>
          <w:t>Table 13: Discussion of differences between options</w:t>
        </w:r>
        <w:r w:rsidR="00CF755C">
          <w:rPr>
            <w:noProof/>
            <w:webHidden/>
          </w:rPr>
          <w:tab/>
        </w:r>
        <w:r w:rsidR="00CF755C">
          <w:rPr>
            <w:noProof/>
            <w:webHidden/>
          </w:rPr>
          <w:fldChar w:fldCharType="begin"/>
        </w:r>
        <w:r w:rsidR="00CF755C">
          <w:rPr>
            <w:noProof/>
            <w:webHidden/>
          </w:rPr>
          <w:instrText xml:space="preserve"> PAGEREF _Toc36560360 \h </w:instrText>
        </w:r>
        <w:r w:rsidR="00CF755C">
          <w:rPr>
            <w:noProof/>
            <w:webHidden/>
          </w:rPr>
        </w:r>
        <w:r w:rsidR="00CF755C">
          <w:rPr>
            <w:noProof/>
            <w:webHidden/>
          </w:rPr>
          <w:fldChar w:fldCharType="separate"/>
        </w:r>
        <w:r w:rsidR="007F6DC1">
          <w:rPr>
            <w:noProof/>
            <w:webHidden/>
          </w:rPr>
          <w:t>5</w:t>
        </w:r>
        <w:r w:rsidR="0078019B">
          <w:rPr>
            <w:noProof/>
            <w:webHidden/>
          </w:rPr>
          <w:t>5</w:t>
        </w:r>
        <w:r w:rsidR="00CF755C">
          <w:rPr>
            <w:noProof/>
            <w:webHidden/>
          </w:rPr>
          <w:fldChar w:fldCharType="end"/>
        </w:r>
      </w:hyperlink>
    </w:p>
    <w:p w14:paraId="0D179F2F" w14:textId="76B19F58" w:rsidR="00B0176D" w:rsidRDefault="00155CD5" w:rsidP="00913B7C">
      <w:pPr>
        <w:pStyle w:val="Non-numberedheading1"/>
        <w:spacing w:line="22" w:lineRule="atLeast"/>
        <w:ind w:right="-144"/>
      </w:pPr>
      <w:r>
        <w:fldChar w:fldCharType="end"/>
      </w:r>
    </w:p>
    <w:p w14:paraId="137695A3" w14:textId="5614399A" w:rsidR="004F7F0D" w:rsidRDefault="00155CD5" w:rsidP="00C91887">
      <w:pPr>
        <w:pStyle w:val="Non-numberedheading1"/>
        <w:spacing w:line="22" w:lineRule="atLeast"/>
        <w:ind w:right="-144"/>
        <w:rPr>
          <w:sz w:val="36"/>
          <w:szCs w:val="20"/>
        </w:rPr>
      </w:pPr>
      <w:r>
        <w:rPr>
          <w:sz w:val="36"/>
          <w:szCs w:val="20"/>
        </w:rPr>
        <w:fldChar w:fldCharType="begin"/>
      </w:r>
      <w:r>
        <w:rPr>
          <w:sz w:val="36"/>
          <w:szCs w:val="20"/>
        </w:rPr>
        <w:instrText xml:space="preserve"> INDEX \c "2" \z "3081" </w:instrText>
      </w:r>
      <w:r>
        <w:rPr>
          <w:sz w:val="36"/>
          <w:szCs w:val="20"/>
        </w:rPr>
        <w:fldChar w:fldCharType="end"/>
      </w:r>
    </w:p>
    <w:p w14:paraId="7BBBFB3C" w14:textId="77777777" w:rsidR="004F7F0D" w:rsidRDefault="004F7F0D">
      <w:pPr>
        <w:spacing w:after="160" w:line="259" w:lineRule="auto"/>
        <w:jc w:val="left"/>
        <w:rPr>
          <w:rFonts w:ascii="Franklin Gothic Demi Cond" w:hAnsi="Franklin Gothic Demi Cond"/>
          <w:kern w:val="28"/>
          <w:sz w:val="36"/>
          <w:szCs w:val="20"/>
        </w:rPr>
      </w:pPr>
      <w:r>
        <w:rPr>
          <w:sz w:val="36"/>
          <w:szCs w:val="20"/>
        </w:rPr>
        <w:br w:type="page"/>
      </w:r>
    </w:p>
    <w:p w14:paraId="202A4473" w14:textId="2AEA1061" w:rsidR="00C91887" w:rsidRPr="005347FB" w:rsidRDefault="003A0073" w:rsidP="00C91887">
      <w:pPr>
        <w:pStyle w:val="Non-numberedheading1"/>
        <w:spacing w:line="22" w:lineRule="atLeast"/>
        <w:ind w:right="-144"/>
        <w:rPr>
          <w:sz w:val="36"/>
          <w:szCs w:val="20"/>
        </w:rPr>
      </w:pPr>
      <w:r>
        <w:rPr>
          <w:sz w:val="36"/>
          <w:szCs w:val="20"/>
        </w:rPr>
        <w:t>Glossary of terms</w:t>
      </w:r>
    </w:p>
    <w:tbl>
      <w:tblPr>
        <w:tblStyle w:val="TableGridLight"/>
        <w:tblW w:w="9067" w:type="dxa"/>
        <w:tblLook w:val="06A0" w:firstRow="1" w:lastRow="0" w:firstColumn="1" w:lastColumn="0" w:noHBand="1" w:noVBand="1"/>
      </w:tblPr>
      <w:tblGrid>
        <w:gridCol w:w="1980"/>
        <w:gridCol w:w="7087"/>
      </w:tblGrid>
      <w:tr w:rsidR="0087255A" w:rsidRPr="00863EC4" w14:paraId="04EB0F60" w14:textId="77777777" w:rsidTr="007146EC">
        <w:tc>
          <w:tcPr>
            <w:tcW w:w="1980" w:type="dxa"/>
          </w:tcPr>
          <w:p w14:paraId="4147A382" w14:textId="13CA2684" w:rsidR="0087255A" w:rsidRPr="007146EC" w:rsidRDefault="00C863B2" w:rsidP="0069386C">
            <w:pPr>
              <w:jc w:val="left"/>
              <w:rPr>
                <w:szCs w:val="18"/>
              </w:rPr>
            </w:pPr>
            <w:r w:rsidRPr="00C863B2">
              <w:rPr>
                <w:szCs w:val="18"/>
              </w:rPr>
              <w:t xml:space="preserve">1974 </w:t>
            </w:r>
            <w:r w:rsidR="00AD2A53" w:rsidRPr="007146EC">
              <w:rPr>
                <w:szCs w:val="18"/>
              </w:rPr>
              <w:t>Con</w:t>
            </w:r>
            <w:r w:rsidR="005663E1" w:rsidRPr="007146EC">
              <w:rPr>
                <w:szCs w:val="18"/>
              </w:rPr>
              <w:t>vention</w:t>
            </w:r>
          </w:p>
        </w:tc>
        <w:tc>
          <w:tcPr>
            <w:tcW w:w="7087" w:type="dxa"/>
          </w:tcPr>
          <w:p w14:paraId="74589222" w14:textId="297CCF7E" w:rsidR="0087255A" w:rsidRPr="00863EC4" w:rsidRDefault="00AD2A53" w:rsidP="0069386C">
            <w:pPr>
              <w:jc w:val="left"/>
              <w:rPr>
                <w:szCs w:val="18"/>
              </w:rPr>
            </w:pPr>
            <w:r w:rsidRPr="00AD2A53">
              <w:rPr>
                <w:szCs w:val="18"/>
              </w:rPr>
              <w:t>Athens Convention relating to the Carriage of Passengers and</w:t>
            </w:r>
            <w:r>
              <w:rPr>
                <w:szCs w:val="18"/>
              </w:rPr>
              <w:t xml:space="preserve"> </w:t>
            </w:r>
            <w:r w:rsidRPr="00AD2A53">
              <w:rPr>
                <w:szCs w:val="18"/>
              </w:rPr>
              <w:t>their Luggage by Sea 1974</w:t>
            </w:r>
          </w:p>
        </w:tc>
      </w:tr>
      <w:tr w:rsidR="0087255A" w:rsidRPr="00863EC4" w14:paraId="66C40E5B" w14:textId="77777777" w:rsidTr="007146EC">
        <w:tc>
          <w:tcPr>
            <w:tcW w:w="1980" w:type="dxa"/>
          </w:tcPr>
          <w:p w14:paraId="48B99471" w14:textId="60D6189D" w:rsidR="0087255A" w:rsidRPr="007146EC" w:rsidRDefault="0096128F" w:rsidP="0069386C">
            <w:pPr>
              <w:jc w:val="left"/>
              <w:rPr>
                <w:szCs w:val="18"/>
              </w:rPr>
            </w:pPr>
            <w:r w:rsidRPr="0096128F">
              <w:rPr>
                <w:szCs w:val="18"/>
              </w:rPr>
              <w:t>2002 Protocol</w:t>
            </w:r>
          </w:p>
        </w:tc>
        <w:tc>
          <w:tcPr>
            <w:tcW w:w="7087" w:type="dxa"/>
          </w:tcPr>
          <w:p w14:paraId="1280803B" w14:textId="09CE68D3" w:rsidR="0087255A" w:rsidRPr="00863EC4" w:rsidRDefault="002A6FDB" w:rsidP="0069386C">
            <w:pPr>
              <w:jc w:val="left"/>
              <w:rPr>
                <w:szCs w:val="18"/>
              </w:rPr>
            </w:pPr>
            <w:r w:rsidRPr="002A6FDB">
              <w:rPr>
                <w:szCs w:val="18"/>
              </w:rPr>
              <w:t>Protocol of 2002 to the Athens Convention relating to the Carriage</w:t>
            </w:r>
            <w:r>
              <w:rPr>
                <w:szCs w:val="18"/>
              </w:rPr>
              <w:t xml:space="preserve"> </w:t>
            </w:r>
            <w:r w:rsidRPr="002A6FDB">
              <w:rPr>
                <w:szCs w:val="18"/>
              </w:rPr>
              <w:t>of Passengers and their Luggage by Sea, 1974</w:t>
            </w:r>
          </w:p>
        </w:tc>
      </w:tr>
      <w:tr w:rsidR="007146EC" w:rsidRPr="00863EC4" w14:paraId="5CEAE6A1" w14:textId="77777777" w:rsidTr="007146EC">
        <w:tc>
          <w:tcPr>
            <w:tcW w:w="1980" w:type="dxa"/>
          </w:tcPr>
          <w:p w14:paraId="0B115854" w14:textId="7626E019" w:rsidR="007146EC" w:rsidRPr="007146EC" w:rsidRDefault="007146EC" w:rsidP="00206635">
            <w:pPr>
              <w:jc w:val="left"/>
              <w:rPr>
                <w:szCs w:val="18"/>
              </w:rPr>
            </w:pPr>
            <w:r w:rsidRPr="007146EC">
              <w:rPr>
                <w:szCs w:val="18"/>
              </w:rPr>
              <w:t>ACL</w:t>
            </w:r>
          </w:p>
        </w:tc>
        <w:tc>
          <w:tcPr>
            <w:tcW w:w="7087" w:type="dxa"/>
          </w:tcPr>
          <w:p w14:paraId="33765014" w14:textId="5499F35A" w:rsidR="007146EC" w:rsidRPr="007146EC" w:rsidRDefault="007146EC" w:rsidP="00B0176D">
            <w:pPr>
              <w:jc w:val="left"/>
              <w:rPr>
                <w:szCs w:val="18"/>
              </w:rPr>
            </w:pPr>
            <w:r w:rsidRPr="007146EC">
              <w:rPr>
                <w:szCs w:val="18"/>
              </w:rPr>
              <w:t>Australian Consumer Law</w:t>
            </w:r>
          </w:p>
        </w:tc>
      </w:tr>
      <w:tr w:rsidR="006F7A11" w:rsidRPr="00863EC4" w14:paraId="434EDCA7" w14:textId="77777777" w:rsidTr="007146EC">
        <w:tc>
          <w:tcPr>
            <w:tcW w:w="1980" w:type="dxa"/>
          </w:tcPr>
          <w:p w14:paraId="6C2E0E9D" w14:textId="76940D5D" w:rsidR="006F7A11" w:rsidRPr="007146EC" w:rsidRDefault="006F7A11" w:rsidP="00206635">
            <w:pPr>
              <w:jc w:val="left"/>
              <w:rPr>
                <w:szCs w:val="18"/>
              </w:rPr>
            </w:pPr>
            <w:r>
              <w:rPr>
                <w:szCs w:val="18"/>
              </w:rPr>
              <w:t>AMSA</w:t>
            </w:r>
          </w:p>
        </w:tc>
        <w:tc>
          <w:tcPr>
            <w:tcW w:w="7087" w:type="dxa"/>
          </w:tcPr>
          <w:p w14:paraId="3DF38C01" w14:textId="14974A31" w:rsidR="006F7A11" w:rsidRPr="007146EC" w:rsidRDefault="006F7A11" w:rsidP="00B0176D">
            <w:pPr>
              <w:jc w:val="left"/>
              <w:rPr>
                <w:szCs w:val="18"/>
              </w:rPr>
            </w:pPr>
            <w:r>
              <w:rPr>
                <w:szCs w:val="18"/>
              </w:rPr>
              <w:t>Australian Maritime Safety Authority</w:t>
            </w:r>
          </w:p>
        </w:tc>
      </w:tr>
      <w:tr w:rsidR="0087255A" w:rsidRPr="00863EC4" w14:paraId="0248E37B" w14:textId="77777777" w:rsidTr="007146EC">
        <w:tc>
          <w:tcPr>
            <w:tcW w:w="1980" w:type="dxa"/>
          </w:tcPr>
          <w:p w14:paraId="0A67985F" w14:textId="0B5B324D" w:rsidR="0087255A" w:rsidRPr="007146EC" w:rsidRDefault="000C2A89" w:rsidP="0069386C">
            <w:pPr>
              <w:jc w:val="left"/>
              <w:rPr>
                <w:szCs w:val="18"/>
              </w:rPr>
            </w:pPr>
            <w:r w:rsidRPr="000C2A89">
              <w:rPr>
                <w:szCs w:val="18"/>
              </w:rPr>
              <w:t>Athens Convention</w:t>
            </w:r>
          </w:p>
        </w:tc>
        <w:tc>
          <w:tcPr>
            <w:tcW w:w="7087" w:type="dxa"/>
          </w:tcPr>
          <w:p w14:paraId="434D29C9" w14:textId="4E545D9D" w:rsidR="0087255A" w:rsidRPr="00863EC4" w:rsidRDefault="00B0176D" w:rsidP="0069386C">
            <w:pPr>
              <w:jc w:val="left"/>
              <w:rPr>
                <w:szCs w:val="18"/>
              </w:rPr>
            </w:pPr>
            <w:r w:rsidRPr="00B0176D">
              <w:rPr>
                <w:szCs w:val="18"/>
              </w:rPr>
              <w:t>Athens Convention relating to the Carriage of Passengers and</w:t>
            </w:r>
            <w:r>
              <w:rPr>
                <w:szCs w:val="18"/>
              </w:rPr>
              <w:t xml:space="preserve"> </w:t>
            </w:r>
            <w:r w:rsidRPr="00B0176D">
              <w:rPr>
                <w:szCs w:val="18"/>
              </w:rPr>
              <w:t>their Luggage by Sea 1974, as amended by the 2002 Protocol</w:t>
            </w:r>
          </w:p>
        </w:tc>
      </w:tr>
      <w:tr w:rsidR="0087255A" w:rsidRPr="00863EC4" w14:paraId="301ACC6F" w14:textId="77777777" w:rsidTr="007146EC">
        <w:tc>
          <w:tcPr>
            <w:tcW w:w="1980" w:type="dxa"/>
          </w:tcPr>
          <w:p w14:paraId="0D268448" w14:textId="3CE8FA0D" w:rsidR="0087255A" w:rsidRPr="007146EC" w:rsidRDefault="002500CA" w:rsidP="0069386C">
            <w:pPr>
              <w:jc w:val="left"/>
              <w:rPr>
                <w:szCs w:val="18"/>
              </w:rPr>
            </w:pPr>
            <w:r w:rsidRPr="002500CA">
              <w:rPr>
                <w:szCs w:val="18"/>
              </w:rPr>
              <w:t>Carrier</w:t>
            </w:r>
          </w:p>
        </w:tc>
        <w:tc>
          <w:tcPr>
            <w:tcW w:w="7087" w:type="dxa"/>
          </w:tcPr>
          <w:p w14:paraId="19AD802C" w14:textId="63B93068" w:rsidR="0087255A" w:rsidRDefault="00FD12B4" w:rsidP="0069386C">
            <w:pPr>
              <w:jc w:val="left"/>
              <w:rPr>
                <w:szCs w:val="18"/>
              </w:rPr>
            </w:pPr>
            <w:r w:rsidRPr="00FD12B4">
              <w:rPr>
                <w:szCs w:val="18"/>
              </w:rPr>
              <w:t>Under the Athens Convention, a person by or on behalf of whom</w:t>
            </w:r>
            <w:r>
              <w:rPr>
                <w:szCs w:val="18"/>
              </w:rPr>
              <w:t xml:space="preserve"> </w:t>
            </w:r>
            <w:r w:rsidRPr="00FD12B4">
              <w:rPr>
                <w:szCs w:val="18"/>
              </w:rPr>
              <w:t>a contract of carriage has been concluded, whether the carriage is</w:t>
            </w:r>
            <w:r>
              <w:rPr>
                <w:szCs w:val="18"/>
              </w:rPr>
              <w:t xml:space="preserve"> </w:t>
            </w:r>
            <w:r w:rsidRPr="00FD12B4">
              <w:rPr>
                <w:szCs w:val="18"/>
              </w:rPr>
              <w:t>performed by that person or by a Performing Carrier. In</w:t>
            </w:r>
            <w:r>
              <w:rPr>
                <w:szCs w:val="18"/>
              </w:rPr>
              <w:t xml:space="preserve"> </w:t>
            </w:r>
            <w:r w:rsidRPr="00FD12B4">
              <w:rPr>
                <w:szCs w:val="18"/>
              </w:rPr>
              <w:t>the context of this paper, Carrier and Shipowner are used</w:t>
            </w:r>
            <w:r>
              <w:rPr>
                <w:szCs w:val="18"/>
              </w:rPr>
              <w:t xml:space="preserve"> </w:t>
            </w:r>
            <w:r w:rsidRPr="00FD12B4">
              <w:rPr>
                <w:szCs w:val="18"/>
              </w:rPr>
              <w:t>interchangeably</w:t>
            </w:r>
          </w:p>
        </w:tc>
      </w:tr>
      <w:tr w:rsidR="00C040C0" w:rsidRPr="00863EC4" w14:paraId="79B5B803" w14:textId="77777777" w:rsidTr="007146EC">
        <w:tc>
          <w:tcPr>
            <w:tcW w:w="1980" w:type="dxa"/>
          </w:tcPr>
          <w:p w14:paraId="41B02260" w14:textId="399FC9C9" w:rsidR="00C040C0" w:rsidRDefault="00EB31AE" w:rsidP="00206635">
            <w:pPr>
              <w:jc w:val="left"/>
              <w:rPr>
                <w:szCs w:val="18"/>
              </w:rPr>
            </w:pPr>
            <w:r>
              <w:rPr>
                <w:szCs w:val="18"/>
              </w:rPr>
              <w:t>CCA</w:t>
            </w:r>
          </w:p>
        </w:tc>
        <w:tc>
          <w:tcPr>
            <w:tcW w:w="7087" w:type="dxa"/>
          </w:tcPr>
          <w:p w14:paraId="1D23991D" w14:textId="072EECF4" w:rsidR="00C040C0" w:rsidRDefault="00231A15" w:rsidP="00FD12B4">
            <w:pPr>
              <w:jc w:val="left"/>
              <w:rPr>
                <w:szCs w:val="18"/>
              </w:rPr>
            </w:pPr>
            <w:r>
              <w:rPr>
                <w:szCs w:val="18"/>
              </w:rPr>
              <w:t>Competition and Consumer Act 2010</w:t>
            </w:r>
          </w:p>
        </w:tc>
      </w:tr>
      <w:tr w:rsidR="00C040C0" w:rsidRPr="00863EC4" w14:paraId="6D9F8BD5" w14:textId="77777777" w:rsidTr="007146EC">
        <w:tc>
          <w:tcPr>
            <w:tcW w:w="1980" w:type="dxa"/>
          </w:tcPr>
          <w:p w14:paraId="04DDABE1" w14:textId="57D3E1F2" w:rsidR="00C040C0" w:rsidRPr="007146EC" w:rsidRDefault="00C040C0" w:rsidP="00206635">
            <w:pPr>
              <w:jc w:val="left"/>
              <w:rPr>
                <w:szCs w:val="18"/>
              </w:rPr>
            </w:pPr>
            <w:r>
              <w:rPr>
                <w:szCs w:val="18"/>
              </w:rPr>
              <w:t>CLA</w:t>
            </w:r>
          </w:p>
        </w:tc>
        <w:tc>
          <w:tcPr>
            <w:tcW w:w="7087" w:type="dxa"/>
          </w:tcPr>
          <w:p w14:paraId="47178D96" w14:textId="496CA71E" w:rsidR="00C040C0" w:rsidRPr="007146EC" w:rsidRDefault="00C040C0" w:rsidP="00FD12B4">
            <w:pPr>
              <w:jc w:val="left"/>
              <w:rPr>
                <w:szCs w:val="18"/>
              </w:rPr>
            </w:pPr>
            <w:r>
              <w:rPr>
                <w:szCs w:val="18"/>
              </w:rPr>
              <w:t>Civil Liability Acts</w:t>
            </w:r>
          </w:p>
        </w:tc>
      </w:tr>
      <w:tr w:rsidR="005663E1" w:rsidRPr="00863EC4" w14:paraId="129FB854" w14:textId="77777777" w:rsidTr="007146EC">
        <w:tc>
          <w:tcPr>
            <w:tcW w:w="1980" w:type="dxa"/>
          </w:tcPr>
          <w:p w14:paraId="1142305A" w14:textId="7A173626" w:rsidR="005663E1" w:rsidRPr="007146EC" w:rsidRDefault="00CE131F" w:rsidP="00206635">
            <w:pPr>
              <w:jc w:val="left"/>
              <w:rPr>
                <w:szCs w:val="18"/>
              </w:rPr>
            </w:pPr>
            <w:r w:rsidRPr="00CE131F">
              <w:rPr>
                <w:szCs w:val="18"/>
              </w:rPr>
              <w:t>Claimant</w:t>
            </w:r>
          </w:p>
        </w:tc>
        <w:tc>
          <w:tcPr>
            <w:tcW w:w="7087" w:type="dxa"/>
          </w:tcPr>
          <w:p w14:paraId="3345AA36" w14:textId="2614F4CD" w:rsidR="005663E1" w:rsidRDefault="002802EE" w:rsidP="00206635">
            <w:pPr>
              <w:jc w:val="left"/>
              <w:rPr>
                <w:szCs w:val="18"/>
              </w:rPr>
            </w:pPr>
            <w:r w:rsidRPr="002802EE">
              <w:rPr>
                <w:szCs w:val="18"/>
              </w:rPr>
              <w:t>A person who makes a claim or asserts a right or an interest</w:t>
            </w:r>
            <w:r>
              <w:rPr>
                <w:szCs w:val="18"/>
              </w:rPr>
              <w:t xml:space="preserve"> </w:t>
            </w:r>
            <w:r w:rsidRPr="002802EE">
              <w:rPr>
                <w:szCs w:val="18"/>
              </w:rPr>
              <w:t>against a Shipowner or Carrier. In the context of this paper,</w:t>
            </w:r>
            <w:r>
              <w:rPr>
                <w:szCs w:val="18"/>
              </w:rPr>
              <w:t xml:space="preserve"> </w:t>
            </w:r>
            <w:r w:rsidRPr="002802EE">
              <w:rPr>
                <w:szCs w:val="18"/>
              </w:rPr>
              <w:t>claimant and passenger are used interchangeably</w:t>
            </w:r>
          </w:p>
        </w:tc>
      </w:tr>
      <w:tr w:rsidR="005663E1" w:rsidRPr="00863EC4" w14:paraId="334E8211" w14:textId="77777777" w:rsidTr="00F03F9D">
        <w:tc>
          <w:tcPr>
            <w:tcW w:w="1980" w:type="dxa"/>
            <w:shd w:val="clear" w:color="auto" w:fill="auto"/>
          </w:tcPr>
          <w:p w14:paraId="146F38C6" w14:textId="6B9E0D3A" w:rsidR="005663E1" w:rsidRPr="007146EC" w:rsidRDefault="00A03983" w:rsidP="00206635">
            <w:pPr>
              <w:jc w:val="left"/>
              <w:rPr>
                <w:szCs w:val="18"/>
              </w:rPr>
            </w:pPr>
            <w:r w:rsidRPr="00A03983">
              <w:rPr>
                <w:szCs w:val="18"/>
              </w:rPr>
              <w:t>Contract of Carriage</w:t>
            </w:r>
          </w:p>
        </w:tc>
        <w:tc>
          <w:tcPr>
            <w:tcW w:w="7087" w:type="dxa"/>
            <w:shd w:val="clear" w:color="auto" w:fill="auto"/>
          </w:tcPr>
          <w:p w14:paraId="09E1B7A2" w14:textId="71961669" w:rsidR="005663E1" w:rsidRDefault="00A216EF" w:rsidP="00206635">
            <w:pPr>
              <w:jc w:val="left"/>
              <w:rPr>
                <w:szCs w:val="18"/>
              </w:rPr>
            </w:pPr>
            <w:r w:rsidRPr="00A216EF">
              <w:rPr>
                <w:szCs w:val="18"/>
              </w:rPr>
              <w:t>Under the Athens Convention, a contract made by or on behalf of</w:t>
            </w:r>
            <w:r>
              <w:rPr>
                <w:szCs w:val="18"/>
              </w:rPr>
              <w:t xml:space="preserve"> </w:t>
            </w:r>
            <w:r w:rsidRPr="00A216EF">
              <w:rPr>
                <w:szCs w:val="18"/>
              </w:rPr>
              <w:t>a Carrier for the carriage by sea of a passenger and his luggage,</w:t>
            </w:r>
          </w:p>
        </w:tc>
      </w:tr>
      <w:tr w:rsidR="007146EC" w:rsidRPr="00863EC4" w14:paraId="3C70418B" w14:textId="77777777" w:rsidTr="00F03F9D">
        <w:tc>
          <w:tcPr>
            <w:tcW w:w="1980" w:type="dxa"/>
            <w:shd w:val="clear" w:color="auto" w:fill="auto"/>
          </w:tcPr>
          <w:p w14:paraId="0E3CA2A1" w14:textId="2136E58F" w:rsidR="007146EC" w:rsidRPr="007146EC" w:rsidRDefault="007146EC" w:rsidP="00206635">
            <w:pPr>
              <w:jc w:val="left"/>
              <w:rPr>
                <w:szCs w:val="18"/>
              </w:rPr>
            </w:pPr>
            <w:r w:rsidRPr="007146EC">
              <w:rPr>
                <w:szCs w:val="18"/>
              </w:rPr>
              <w:t>Department</w:t>
            </w:r>
          </w:p>
        </w:tc>
        <w:tc>
          <w:tcPr>
            <w:tcW w:w="7087" w:type="dxa"/>
            <w:shd w:val="clear" w:color="auto" w:fill="auto"/>
          </w:tcPr>
          <w:p w14:paraId="4737A2E0" w14:textId="170596B6" w:rsidR="007146EC" w:rsidRPr="007146EC" w:rsidRDefault="007146EC" w:rsidP="00A216EF">
            <w:pPr>
              <w:jc w:val="left"/>
              <w:rPr>
                <w:szCs w:val="18"/>
              </w:rPr>
            </w:pPr>
            <w:r w:rsidRPr="007146EC">
              <w:rPr>
                <w:szCs w:val="18"/>
              </w:rPr>
              <w:t>Department of Infrastructure, Transport, Regional Development and Communications</w:t>
            </w:r>
          </w:p>
        </w:tc>
      </w:tr>
      <w:tr w:rsidR="00CD4085" w:rsidRPr="00863EC4" w14:paraId="32EBC613" w14:textId="77777777" w:rsidTr="00F03F9D">
        <w:tc>
          <w:tcPr>
            <w:tcW w:w="1980" w:type="dxa"/>
            <w:shd w:val="clear" w:color="auto" w:fill="auto"/>
          </w:tcPr>
          <w:p w14:paraId="55FFCAEB" w14:textId="4DA2363B" w:rsidR="00CD4085" w:rsidRPr="009D4927" w:rsidRDefault="00CD4085" w:rsidP="00206635">
            <w:pPr>
              <w:jc w:val="left"/>
              <w:rPr>
                <w:szCs w:val="18"/>
              </w:rPr>
            </w:pPr>
            <w:r>
              <w:rPr>
                <w:szCs w:val="18"/>
              </w:rPr>
              <w:t>DCV</w:t>
            </w:r>
          </w:p>
        </w:tc>
        <w:tc>
          <w:tcPr>
            <w:tcW w:w="7087" w:type="dxa"/>
            <w:shd w:val="clear" w:color="auto" w:fill="auto"/>
          </w:tcPr>
          <w:p w14:paraId="51187921" w14:textId="45FF8C11" w:rsidR="00CD4085" w:rsidRPr="00D4783A" w:rsidRDefault="00CD4085" w:rsidP="00206635">
            <w:pPr>
              <w:jc w:val="left"/>
              <w:rPr>
                <w:szCs w:val="18"/>
              </w:rPr>
            </w:pPr>
            <w:r>
              <w:rPr>
                <w:szCs w:val="18"/>
              </w:rPr>
              <w:t>Domestic Commercial Vessel</w:t>
            </w:r>
          </w:p>
        </w:tc>
      </w:tr>
      <w:tr w:rsidR="005663E1" w:rsidRPr="00863EC4" w14:paraId="774868B5" w14:textId="77777777" w:rsidTr="00F03F9D">
        <w:tc>
          <w:tcPr>
            <w:tcW w:w="1980" w:type="dxa"/>
            <w:shd w:val="clear" w:color="auto" w:fill="auto"/>
          </w:tcPr>
          <w:p w14:paraId="65E09333" w14:textId="5B1AC07D" w:rsidR="005663E1" w:rsidRPr="007146EC" w:rsidRDefault="009D4927" w:rsidP="00206635">
            <w:pPr>
              <w:jc w:val="left"/>
              <w:rPr>
                <w:szCs w:val="18"/>
              </w:rPr>
            </w:pPr>
            <w:r w:rsidRPr="009D4927">
              <w:rPr>
                <w:szCs w:val="18"/>
              </w:rPr>
              <w:t>International Carriage</w:t>
            </w:r>
          </w:p>
        </w:tc>
        <w:tc>
          <w:tcPr>
            <w:tcW w:w="7087" w:type="dxa"/>
            <w:shd w:val="clear" w:color="auto" w:fill="auto"/>
          </w:tcPr>
          <w:p w14:paraId="737C013D" w14:textId="587DF6AE" w:rsidR="005663E1" w:rsidRDefault="00D4783A" w:rsidP="00206635">
            <w:pPr>
              <w:jc w:val="left"/>
              <w:rPr>
                <w:szCs w:val="18"/>
              </w:rPr>
            </w:pPr>
            <w:r w:rsidRPr="00D4783A">
              <w:rPr>
                <w:szCs w:val="18"/>
              </w:rPr>
              <w:t>Under the Athens Convention, any carriage in which, according to</w:t>
            </w:r>
            <w:r>
              <w:rPr>
                <w:szCs w:val="18"/>
              </w:rPr>
              <w:t xml:space="preserve"> </w:t>
            </w:r>
            <w:r w:rsidRPr="00D4783A">
              <w:rPr>
                <w:szCs w:val="18"/>
              </w:rPr>
              <w:t>the contract of carriage, the place of departure and the place of</w:t>
            </w:r>
            <w:r>
              <w:rPr>
                <w:szCs w:val="18"/>
              </w:rPr>
              <w:t xml:space="preserve"> </w:t>
            </w:r>
            <w:r w:rsidRPr="00D4783A">
              <w:rPr>
                <w:szCs w:val="18"/>
              </w:rPr>
              <w:t>destination are situated in two different States, or in a single</w:t>
            </w:r>
            <w:r>
              <w:rPr>
                <w:szCs w:val="18"/>
              </w:rPr>
              <w:t xml:space="preserve"> </w:t>
            </w:r>
            <w:r w:rsidRPr="00D4783A">
              <w:rPr>
                <w:szCs w:val="18"/>
              </w:rPr>
              <w:t>State if, according to the contract of carriage or scheduled</w:t>
            </w:r>
            <w:r>
              <w:rPr>
                <w:szCs w:val="18"/>
              </w:rPr>
              <w:t xml:space="preserve"> </w:t>
            </w:r>
            <w:r w:rsidRPr="00D4783A">
              <w:rPr>
                <w:szCs w:val="18"/>
              </w:rPr>
              <w:t>itinerary, there is an intermediate port of call in another State</w:t>
            </w:r>
          </w:p>
        </w:tc>
      </w:tr>
      <w:tr w:rsidR="003F7DDB" w:rsidRPr="00863EC4" w14:paraId="16C853F6" w14:textId="77777777" w:rsidTr="00F03F9D">
        <w:tc>
          <w:tcPr>
            <w:tcW w:w="1980" w:type="dxa"/>
            <w:shd w:val="clear" w:color="auto" w:fill="auto"/>
          </w:tcPr>
          <w:p w14:paraId="4C6F6FFB" w14:textId="1CF1DEB9" w:rsidR="003F7DDB" w:rsidRPr="00F03F9D" w:rsidRDefault="003F7DDB" w:rsidP="00206635">
            <w:pPr>
              <w:jc w:val="left"/>
              <w:rPr>
                <w:szCs w:val="18"/>
              </w:rPr>
            </w:pPr>
            <w:r w:rsidRPr="00F03F9D">
              <w:rPr>
                <w:szCs w:val="18"/>
              </w:rPr>
              <w:t>International Waters</w:t>
            </w:r>
          </w:p>
        </w:tc>
        <w:tc>
          <w:tcPr>
            <w:tcW w:w="7087" w:type="dxa"/>
            <w:shd w:val="clear" w:color="auto" w:fill="auto"/>
          </w:tcPr>
          <w:p w14:paraId="6A27DFF9" w14:textId="1DC3578C" w:rsidR="003F7DDB" w:rsidRPr="00F03F9D" w:rsidRDefault="003F7DDB" w:rsidP="00206635">
            <w:pPr>
              <w:jc w:val="left"/>
              <w:rPr>
                <w:szCs w:val="18"/>
              </w:rPr>
            </w:pPr>
            <w:r w:rsidRPr="00F03F9D">
              <w:rPr>
                <w:szCs w:val="18"/>
              </w:rPr>
              <w:t>Th</w:t>
            </w:r>
            <w:r w:rsidR="002435BC" w:rsidRPr="00F03F9D">
              <w:rPr>
                <w:szCs w:val="18"/>
              </w:rPr>
              <w:t>e</w:t>
            </w:r>
            <w:r w:rsidRPr="00F03F9D">
              <w:rPr>
                <w:szCs w:val="18"/>
              </w:rPr>
              <w:t xml:space="preserve"> term </w:t>
            </w:r>
            <w:r w:rsidR="002435BC" w:rsidRPr="00F03F9D">
              <w:rPr>
                <w:szCs w:val="18"/>
              </w:rPr>
              <w:t xml:space="preserve">“international waters” used in this document is synonymous with the ‘high seas’ </w:t>
            </w:r>
            <w:r w:rsidR="00030FE4" w:rsidRPr="00F03F9D">
              <w:rPr>
                <w:szCs w:val="18"/>
              </w:rPr>
              <w:t>or ‘beyond national jurisdiction’</w:t>
            </w:r>
          </w:p>
        </w:tc>
      </w:tr>
      <w:tr w:rsidR="00215A83" w:rsidRPr="00863EC4" w14:paraId="147956D3" w14:textId="77777777" w:rsidTr="00F03F9D">
        <w:tc>
          <w:tcPr>
            <w:tcW w:w="1980" w:type="dxa"/>
            <w:shd w:val="clear" w:color="auto" w:fill="auto"/>
          </w:tcPr>
          <w:p w14:paraId="0EE968B8" w14:textId="0C2FE4D4" w:rsidR="00215A83" w:rsidRPr="008C1845" w:rsidRDefault="00215A83" w:rsidP="00206635">
            <w:pPr>
              <w:jc w:val="left"/>
              <w:rPr>
                <w:szCs w:val="18"/>
              </w:rPr>
            </w:pPr>
            <w:r>
              <w:rPr>
                <w:szCs w:val="18"/>
              </w:rPr>
              <w:t>LLMC Act 1989</w:t>
            </w:r>
          </w:p>
        </w:tc>
        <w:tc>
          <w:tcPr>
            <w:tcW w:w="7087" w:type="dxa"/>
            <w:shd w:val="clear" w:color="auto" w:fill="auto"/>
          </w:tcPr>
          <w:p w14:paraId="2B631DC2" w14:textId="0631FB5D" w:rsidR="00215A83" w:rsidRPr="00312FD3" w:rsidRDefault="00215A83" w:rsidP="00D4783A">
            <w:pPr>
              <w:jc w:val="left"/>
              <w:rPr>
                <w:szCs w:val="18"/>
              </w:rPr>
            </w:pPr>
            <w:r w:rsidRPr="00215A83">
              <w:rPr>
                <w:szCs w:val="18"/>
              </w:rPr>
              <w:t>Limitation of Liability for Maritime Claims Act 1989</w:t>
            </w:r>
          </w:p>
        </w:tc>
      </w:tr>
      <w:tr w:rsidR="00485C18" w:rsidRPr="00863EC4" w14:paraId="79FD4D0F" w14:textId="77777777" w:rsidTr="00F03F9D">
        <w:tc>
          <w:tcPr>
            <w:tcW w:w="1980" w:type="dxa"/>
            <w:shd w:val="clear" w:color="auto" w:fill="auto"/>
          </w:tcPr>
          <w:p w14:paraId="1CEB1BBC" w14:textId="1266D5ED" w:rsidR="00485C18" w:rsidRPr="009D4927" w:rsidRDefault="008C1845" w:rsidP="00206635">
            <w:pPr>
              <w:jc w:val="left"/>
              <w:rPr>
                <w:szCs w:val="18"/>
              </w:rPr>
            </w:pPr>
            <w:r w:rsidRPr="008C1845">
              <w:rPr>
                <w:szCs w:val="18"/>
              </w:rPr>
              <w:t>LLMC Convention</w:t>
            </w:r>
          </w:p>
        </w:tc>
        <w:tc>
          <w:tcPr>
            <w:tcW w:w="7087" w:type="dxa"/>
            <w:shd w:val="clear" w:color="auto" w:fill="auto"/>
          </w:tcPr>
          <w:p w14:paraId="0293C51B" w14:textId="63C718ED" w:rsidR="00485C18" w:rsidRPr="00D4783A" w:rsidRDefault="00312FD3" w:rsidP="00D4783A">
            <w:pPr>
              <w:jc w:val="left"/>
              <w:rPr>
                <w:szCs w:val="18"/>
              </w:rPr>
            </w:pPr>
            <w:r w:rsidRPr="00312FD3">
              <w:rPr>
                <w:szCs w:val="18"/>
              </w:rPr>
              <w:t>Convention on Limitation of Liability for Maritime Claims 1976, as</w:t>
            </w:r>
            <w:r>
              <w:rPr>
                <w:szCs w:val="18"/>
              </w:rPr>
              <w:t xml:space="preserve"> </w:t>
            </w:r>
            <w:r w:rsidRPr="00312FD3">
              <w:rPr>
                <w:szCs w:val="18"/>
              </w:rPr>
              <w:t>amended by the 1996 Protocol</w:t>
            </w:r>
          </w:p>
        </w:tc>
      </w:tr>
      <w:tr w:rsidR="002178D5" w:rsidRPr="00863EC4" w14:paraId="357C835C" w14:textId="77777777" w:rsidTr="007146EC">
        <w:tc>
          <w:tcPr>
            <w:tcW w:w="1980" w:type="dxa"/>
          </w:tcPr>
          <w:p w14:paraId="057D4480" w14:textId="701CBAFF" w:rsidR="002178D5" w:rsidRDefault="002178D5" w:rsidP="002178D5">
            <w:pPr>
              <w:jc w:val="left"/>
              <w:rPr>
                <w:szCs w:val="18"/>
              </w:rPr>
            </w:pPr>
            <w:r>
              <w:rPr>
                <w:szCs w:val="18"/>
              </w:rPr>
              <w:t>P&amp;I</w:t>
            </w:r>
          </w:p>
        </w:tc>
        <w:tc>
          <w:tcPr>
            <w:tcW w:w="7087" w:type="dxa"/>
          </w:tcPr>
          <w:p w14:paraId="31B986FE" w14:textId="73AA1D4D" w:rsidR="002178D5" w:rsidRPr="00144032" w:rsidRDefault="002178D5" w:rsidP="002178D5">
            <w:pPr>
              <w:jc w:val="left"/>
              <w:rPr>
                <w:szCs w:val="18"/>
              </w:rPr>
            </w:pPr>
            <w:r>
              <w:rPr>
                <w:szCs w:val="18"/>
              </w:rPr>
              <w:t xml:space="preserve">Protection and Indemnity (insurance) </w:t>
            </w:r>
          </w:p>
        </w:tc>
      </w:tr>
      <w:tr w:rsidR="00D43631" w:rsidRPr="00863EC4" w14:paraId="7445FEB7" w14:textId="77777777" w:rsidTr="007146EC">
        <w:tc>
          <w:tcPr>
            <w:tcW w:w="1980" w:type="dxa"/>
          </w:tcPr>
          <w:p w14:paraId="5A1DA205" w14:textId="55B12BCF" w:rsidR="00D43631" w:rsidRPr="007146EC" w:rsidRDefault="00D43631" w:rsidP="00206635">
            <w:pPr>
              <w:jc w:val="left"/>
              <w:rPr>
                <w:szCs w:val="18"/>
              </w:rPr>
            </w:pPr>
            <w:r>
              <w:rPr>
                <w:szCs w:val="18"/>
              </w:rPr>
              <w:t>Passenger</w:t>
            </w:r>
          </w:p>
        </w:tc>
        <w:tc>
          <w:tcPr>
            <w:tcW w:w="7087" w:type="dxa"/>
          </w:tcPr>
          <w:p w14:paraId="3DDD77B4" w14:textId="0AD86500" w:rsidR="00D43631" w:rsidRPr="007146EC" w:rsidRDefault="00144032" w:rsidP="00312FD3">
            <w:pPr>
              <w:jc w:val="left"/>
              <w:rPr>
                <w:szCs w:val="18"/>
              </w:rPr>
            </w:pPr>
            <w:r w:rsidRPr="00144032">
              <w:rPr>
                <w:szCs w:val="18"/>
              </w:rPr>
              <w:t>Any person carried on a ship under a contract of carriage; in the</w:t>
            </w:r>
            <w:r>
              <w:rPr>
                <w:szCs w:val="18"/>
              </w:rPr>
              <w:t xml:space="preserve"> </w:t>
            </w:r>
            <w:r w:rsidRPr="00144032">
              <w:rPr>
                <w:szCs w:val="18"/>
              </w:rPr>
              <w:t>context of this paper, a ‘passenger’ is also referred to as a</w:t>
            </w:r>
            <w:r>
              <w:rPr>
                <w:szCs w:val="18"/>
              </w:rPr>
              <w:t xml:space="preserve"> </w:t>
            </w:r>
            <w:r w:rsidRPr="00144032">
              <w:rPr>
                <w:szCs w:val="18"/>
              </w:rPr>
              <w:t>‘claimant’</w:t>
            </w:r>
          </w:p>
        </w:tc>
      </w:tr>
      <w:tr w:rsidR="00C44699" w:rsidRPr="00863EC4" w14:paraId="0E259BCE" w14:textId="77777777" w:rsidTr="007146EC">
        <w:tc>
          <w:tcPr>
            <w:tcW w:w="1980" w:type="dxa"/>
          </w:tcPr>
          <w:p w14:paraId="37405F2A" w14:textId="2C7E4700" w:rsidR="00C44699" w:rsidRPr="007146EC" w:rsidRDefault="00C44699" w:rsidP="00206635">
            <w:pPr>
              <w:jc w:val="left"/>
              <w:rPr>
                <w:szCs w:val="18"/>
              </w:rPr>
            </w:pPr>
            <w:r>
              <w:rPr>
                <w:szCs w:val="18"/>
              </w:rPr>
              <w:t>PSC</w:t>
            </w:r>
          </w:p>
        </w:tc>
        <w:tc>
          <w:tcPr>
            <w:tcW w:w="7087" w:type="dxa"/>
          </w:tcPr>
          <w:p w14:paraId="3B8F93CB" w14:textId="399CAC8B" w:rsidR="00C44699" w:rsidRPr="007146EC" w:rsidDel="008C7116" w:rsidRDefault="00C44699" w:rsidP="008C7116">
            <w:pPr>
              <w:jc w:val="left"/>
              <w:rPr>
                <w:szCs w:val="18"/>
              </w:rPr>
            </w:pPr>
            <w:r>
              <w:rPr>
                <w:szCs w:val="18"/>
              </w:rPr>
              <w:t>Port State Control</w:t>
            </w:r>
          </w:p>
        </w:tc>
      </w:tr>
      <w:tr w:rsidR="007146EC" w:rsidRPr="00863EC4" w14:paraId="20B2AB65" w14:textId="77777777" w:rsidTr="007146EC">
        <w:tc>
          <w:tcPr>
            <w:tcW w:w="1980" w:type="dxa"/>
          </w:tcPr>
          <w:p w14:paraId="224C3346" w14:textId="24B73AF8" w:rsidR="007146EC" w:rsidRPr="007146EC" w:rsidRDefault="007146EC" w:rsidP="00206635">
            <w:pPr>
              <w:jc w:val="left"/>
              <w:rPr>
                <w:szCs w:val="18"/>
              </w:rPr>
            </w:pPr>
            <w:r w:rsidRPr="007146EC">
              <w:rPr>
                <w:szCs w:val="18"/>
              </w:rPr>
              <w:t>RIS</w:t>
            </w:r>
          </w:p>
        </w:tc>
        <w:tc>
          <w:tcPr>
            <w:tcW w:w="7087" w:type="dxa"/>
          </w:tcPr>
          <w:p w14:paraId="6057BB20" w14:textId="59C77E7D" w:rsidR="007146EC" w:rsidRPr="007146EC" w:rsidRDefault="008C7116" w:rsidP="008C7116">
            <w:pPr>
              <w:jc w:val="left"/>
              <w:rPr>
                <w:szCs w:val="18"/>
              </w:rPr>
            </w:pPr>
            <w:r>
              <w:rPr>
                <w:szCs w:val="18"/>
              </w:rPr>
              <w:t xml:space="preserve">Regulation Impact </w:t>
            </w:r>
            <w:r w:rsidR="007146EC" w:rsidRPr="007146EC">
              <w:rPr>
                <w:szCs w:val="18"/>
              </w:rPr>
              <w:t>Statement</w:t>
            </w:r>
          </w:p>
        </w:tc>
      </w:tr>
      <w:tr w:rsidR="007146EC" w:rsidRPr="00863EC4" w14:paraId="41B16FB1" w14:textId="77777777" w:rsidTr="007146EC">
        <w:tc>
          <w:tcPr>
            <w:tcW w:w="1980" w:type="dxa"/>
          </w:tcPr>
          <w:p w14:paraId="28D65A2B" w14:textId="2E6496BE" w:rsidR="007146EC" w:rsidRPr="007146EC" w:rsidRDefault="007146EC" w:rsidP="00206635">
            <w:pPr>
              <w:jc w:val="left"/>
              <w:rPr>
                <w:szCs w:val="18"/>
              </w:rPr>
            </w:pPr>
            <w:r w:rsidRPr="007146EC">
              <w:rPr>
                <w:szCs w:val="18"/>
              </w:rPr>
              <w:t>S</w:t>
            </w:r>
            <w:r w:rsidR="00471466">
              <w:rPr>
                <w:szCs w:val="18"/>
              </w:rPr>
              <w:t>T</w:t>
            </w:r>
            <w:r w:rsidRPr="007146EC">
              <w:rPr>
                <w:szCs w:val="18"/>
              </w:rPr>
              <w:t>CLAs</w:t>
            </w:r>
          </w:p>
        </w:tc>
        <w:tc>
          <w:tcPr>
            <w:tcW w:w="7087" w:type="dxa"/>
          </w:tcPr>
          <w:p w14:paraId="424DE75B" w14:textId="6D20AD6B" w:rsidR="007146EC" w:rsidRPr="007146EC" w:rsidRDefault="007146EC" w:rsidP="000515BD">
            <w:pPr>
              <w:jc w:val="left"/>
              <w:rPr>
                <w:szCs w:val="18"/>
              </w:rPr>
            </w:pPr>
            <w:r w:rsidRPr="007146EC">
              <w:rPr>
                <w:szCs w:val="18"/>
              </w:rPr>
              <w:t xml:space="preserve">State </w:t>
            </w:r>
            <w:r w:rsidR="00471466">
              <w:rPr>
                <w:szCs w:val="18"/>
              </w:rPr>
              <w:t xml:space="preserve">/ Territory </w:t>
            </w:r>
            <w:r w:rsidR="000F2EFC">
              <w:rPr>
                <w:szCs w:val="18"/>
              </w:rPr>
              <w:t>Civil Liability</w:t>
            </w:r>
            <w:r w:rsidRPr="007146EC">
              <w:rPr>
                <w:szCs w:val="18"/>
              </w:rPr>
              <w:t xml:space="preserve"> Acts</w:t>
            </w:r>
          </w:p>
        </w:tc>
      </w:tr>
      <w:tr w:rsidR="00485C18" w:rsidRPr="00863EC4" w14:paraId="2CA4D49B" w14:textId="77777777" w:rsidTr="007146EC">
        <w:tc>
          <w:tcPr>
            <w:tcW w:w="1980" w:type="dxa"/>
          </w:tcPr>
          <w:p w14:paraId="058237C2" w14:textId="61F8D63D" w:rsidR="00485C18" w:rsidRPr="009D4927" w:rsidRDefault="007060D1" w:rsidP="00206635">
            <w:pPr>
              <w:jc w:val="left"/>
              <w:rPr>
                <w:szCs w:val="18"/>
              </w:rPr>
            </w:pPr>
            <w:r>
              <w:rPr>
                <w:szCs w:val="18"/>
              </w:rPr>
              <w:t>S</w:t>
            </w:r>
            <w:r w:rsidR="0041382F">
              <w:rPr>
                <w:szCs w:val="18"/>
              </w:rPr>
              <w:t>hipping incident</w:t>
            </w:r>
          </w:p>
        </w:tc>
        <w:tc>
          <w:tcPr>
            <w:tcW w:w="7087" w:type="dxa"/>
          </w:tcPr>
          <w:p w14:paraId="6FA1C8E4" w14:textId="51F7C6E9" w:rsidR="00485C18" w:rsidRPr="00D4783A" w:rsidRDefault="000515BD" w:rsidP="00D4783A">
            <w:pPr>
              <w:jc w:val="left"/>
              <w:rPr>
                <w:szCs w:val="18"/>
              </w:rPr>
            </w:pPr>
            <w:r w:rsidRPr="000515BD">
              <w:rPr>
                <w:szCs w:val="18"/>
              </w:rPr>
              <w:t>Shipwreck, capsizing, collision or stranding of the ship, explosion</w:t>
            </w:r>
            <w:r>
              <w:rPr>
                <w:szCs w:val="18"/>
              </w:rPr>
              <w:t xml:space="preserve"> </w:t>
            </w:r>
            <w:r w:rsidRPr="000515BD">
              <w:rPr>
                <w:szCs w:val="18"/>
              </w:rPr>
              <w:t>or fire in the ship, or defect in the ship</w:t>
            </w:r>
          </w:p>
        </w:tc>
      </w:tr>
      <w:tr w:rsidR="00485C18" w:rsidRPr="00863EC4" w14:paraId="0F1E2F05" w14:textId="77777777" w:rsidTr="007146EC">
        <w:tc>
          <w:tcPr>
            <w:tcW w:w="1980" w:type="dxa"/>
          </w:tcPr>
          <w:p w14:paraId="4A7D08DD" w14:textId="3DD1D0E6" w:rsidR="00485C18" w:rsidRPr="009D4927" w:rsidRDefault="007146EC" w:rsidP="00206635">
            <w:pPr>
              <w:jc w:val="left"/>
              <w:rPr>
                <w:szCs w:val="18"/>
              </w:rPr>
            </w:pPr>
            <w:r w:rsidRPr="007146EC">
              <w:rPr>
                <w:szCs w:val="18"/>
              </w:rPr>
              <w:t>SDR</w:t>
            </w:r>
          </w:p>
        </w:tc>
        <w:tc>
          <w:tcPr>
            <w:tcW w:w="7087" w:type="dxa"/>
          </w:tcPr>
          <w:p w14:paraId="39C9D5DC" w14:textId="4BD5EE54" w:rsidR="00485C18" w:rsidRPr="00D4783A" w:rsidRDefault="00D2033B" w:rsidP="00D4783A">
            <w:pPr>
              <w:jc w:val="left"/>
              <w:rPr>
                <w:szCs w:val="18"/>
              </w:rPr>
            </w:pPr>
            <w:r>
              <w:rPr>
                <w:szCs w:val="18"/>
              </w:rPr>
              <w:t xml:space="preserve">Special </w:t>
            </w:r>
            <w:r w:rsidR="007146EC" w:rsidRPr="007146EC">
              <w:rPr>
                <w:szCs w:val="18"/>
              </w:rPr>
              <w:t xml:space="preserve">Drawing Rights which are a supplementary foreign-exchange reserve </w:t>
            </w:r>
            <w:r w:rsidR="00AF093E" w:rsidRPr="007146EC">
              <w:rPr>
                <w:szCs w:val="18"/>
              </w:rPr>
              <w:t>asset</w:t>
            </w:r>
            <w:r w:rsidR="007146EC" w:rsidRPr="007146EC">
              <w:rPr>
                <w:szCs w:val="18"/>
              </w:rPr>
              <w:t xml:space="preserve"> defined and maintained by the International Monetary Fund. The SDR is an artificial unit of account for the IMF, and is not a currency per se. An SDR instead represents a claim to currency held by IMF member countries for which they may be exchanged. On the 13 November 2019, 1 SDR = AUD $2.00724.</w:t>
            </w:r>
          </w:p>
        </w:tc>
      </w:tr>
    </w:tbl>
    <w:p w14:paraId="2A312A08" w14:textId="77777777" w:rsidR="00C41F85" w:rsidRDefault="00C41F85" w:rsidP="00800F17">
      <w:pPr>
        <w:pStyle w:val="Non-numberedheading1"/>
      </w:pPr>
    </w:p>
    <w:p w14:paraId="5D0F5C59" w14:textId="77777777" w:rsidR="00020444" w:rsidRDefault="00020444" w:rsidP="00800F17">
      <w:pPr>
        <w:pStyle w:val="Non-numberedheading1"/>
      </w:pPr>
    </w:p>
    <w:p w14:paraId="4CDF2862" w14:textId="0258F09D" w:rsidR="00087EAE" w:rsidRDefault="00087EAE" w:rsidP="00D018A4">
      <w:pPr>
        <w:pStyle w:val="Heading1"/>
      </w:pPr>
      <w:bookmarkStart w:id="2" w:name="_Toc44659891"/>
      <w:r>
        <w:t>Executive Summary</w:t>
      </w:r>
      <w:bookmarkEnd w:id="2"/>
    </w:p>
    <w:p w14:paraId="29136F28" w14:textId="3EBEDD45" w:rsidR="00F42029" w:rsidRDefault="001B73ED" w:rsidP="001B73ED">
      <w:pPr>
        <w:pStyle w:val="Heading2"/>
      </w:pPr>
      <w:bookmarkStart w:id="3" w:name="_Toc44659892"/>
      <w:r>
        <w:t>The Problem</w:t>
      </w:r>
      <w:bookmarkEnd w:id="3"/>
    </w:p>
    <w:p w14:paraId="231F98FC" w14:textId="4781D900" w:rsidR="00332FEC" w:rsidRPr="00F60CBF" w:rsidRDefault="00335ED9" w:rsidP="000919B1">
      <w:pPr>
        <w:jc w:val="left"/>
        <w:rPr>
          <w:szCs w:val="20"/>
        </w:rPr>
      </w:pPr>
      <w:r w:rsidRPr="00F5014A">
        <w:rPr>
          <w:szCs w:val="20"/>
        </w:rPr>
        <w:t>The Australian cruise ship industry is a growing industry</w:t>
      </w:r>
      <w:r w:rsidR="003A125D" w:rsidRPr="00F5014A">
        <w:rPr>
          <w:szCs w:val="20"/>
        </w:rPr>
        <w:t xml:space="preserve">, with </w:t>
      </w:r>
      <w:r w:rsidR="002A4A95" w:rsidRPr="00F5014A">
        <w:rPr>
          <w:szCs w:val="20"/>
        </w:rPr>
        <w:t>Australian</w:t>
      </w:r>
      <w:r w:rsidR="00D972D3" w:rsidRPr="00F5014A">
        <w:rPr>
          <w:szCs w:val="20"/>
        </w:rPr>
        <w:t xml:space="preserve"> passenger numbers quad</w:t>
      </w:r>
      <w:r w:rsidR="002A4A95" w:rsidRPr="00F5014A">
        <w:rPr>
          <w:szCs w:val="20"/>
        </w:rPr>
        <w:t>rupling</w:t>
      </w:r>
      <w:r w:rsidR="000B6A48" w:rsidRPr="00F5014A">
        <w:rPr>
          <w:szCs w:val="20"/>
        </w:rPr>
        <w:t xml:space="preserve"> over the last decade</w:t>
      </w:r>
      <w:r w:rsidR="002A4A95" w:rsidRPr="005B5BE5">
        <w:rPr>
          <w:rStyle w:val="FootnoteReference"/>
          <w:szCs w:val="20"/>
        </w:rPr>
        <w:footnoteReference w:id="2"/>
      </w:r>
      <w:r w:rsidR="002A4A95" w:rsidRPr="005B5BE5">
        <w:rPr>
          <w:szCs w:val="20"/>
        </w:rPr>
        <w:t xml:space="preserve">. </w:t>
      </w:r>
      <w:r w:rsidR="007D3FAD" w:rsidRPr="005B5BE5">
        <w:rPr>
          <w:szCs w:val="20"/>
        </w:rPr>
        <w:t xml:space="preserve">With this growth, there is a greater need to ensure that Australian passengers and shipping </w:t>
      </w:r>
      <w:r w:rsidR="003E75B7">
        <w:rPr>
          <w:szCs w:val="20"/>
        </w:rPr>
        <w:t>c</w:t>
      </w:r>
      <w:r w:rsidR="00F03F9D" w:rsidRPr="005B5BE5">
        <w:rPr>
          <w:szCs w:val="20"/>
        </w:rPr>
        <w:t xml:space="preserve">arriers </w:t>
      </w:r>
      <w:r w:rsidR="007D3FAD" w:rsidRPr="005B5BE5">
        <w:rPr>
          <w:szCs w:val="20"/>
        </w:rPr>
        <w:t xml:space="preserve">are provided with </w:t>
      </w:r>
      <w:r w:rsidR="00883EE4">
        <w:rPr>
          <w:szCs w:val="20"/>
        </w:rPr>
        <w:t>high quality</w:t>
      </w:r>
      <w:r w:rsidR="007D3FAD" w:rsidRPr="005B5BE5">
        <w:rPr>
          <w:szCs w:val="20"/>
        </w:rPr>
        <w:t xml:space="preserve"> legal protections </w:t>
      </w:r>
      <w:r w:rsidR="00883EE4">
        <w:rPr>
          <w:szCs w:val="20"/>
        </w:rPr>
        <w:t>informed by the world’s best practice</w:t>
      </w:r>
      <w:r w:rsidR="007D3FAD" w:rsidRPr="005B5BE5">
        <w:rPr>
          <w:szCs w:val="20"/>
        </w:rPr>
        <w:t>.</w:t>
      </w:r>
      <w:r w:rsidR="00DC6966" w:rsidRPr="00FA0F35">
        <w:rPr>
          <w:szCs w:val="20"/>
        </w:rPr>
        <w:t xml:space="preserve"> </w:t>
      </w:r>
    </w:p>
    <w:p w14:paraId="4173AD96" w14:textId="1388B3E1" w:rsidR="004D471E" w:rsidRDefault="00D0515C" w:rsidP="000919B1">
      <w:pPr>
        <w:jc w:val="left"/>
        <w:rPr>
          <w:szCs w:val="20"/>
        </w:rPr>
      </w:pPr>
      <w:r w:rsidRPr="005B5BE5">
        <w:rPr>
          <w:szCs w:val="20"/>
        </w:rPr>
        <w:t xml:space="preserve">Presently, </w:t>
      </w:r>
      <w:r w:rsidR="0001645D" w:rsidRPr="005B5BE5">
        <w:rPr>
          <w:szCs w:val="20"/>
        </w:rPr>
        <w:t xml:space="preserve">Australian passengers on international cruise ships who pursue a claim relating to injury or luggage can be faced with an overly complex </w:t>
      </w:r>
      <w:r w:rsidR="005D4817">
        <w:rPr>
          <w:szCs w:val="20"/>
        </w:rPr>
        <w:t>process</w:t>
      </w:r>
      <w:r w:rsidR="0001645D" w:rsidRPr="005B5BE5">
        <w:rPr>
          <w:szCs w:val="20"/>
        </w:rPr>
        <w:t xml:space="preserve"> which may impact the </w:t>
      </w:r>
      <w:r w:rsidR="00BF73B7">
        <w:rPr>
          <w:szCs w:val="20"/>
        </w:rPr>
        <w:t>ability to make legitimate claims</w:t>
      </w:r>
      <w:r w:rsidR="0001645D" w:rsidRPr="005B5BE5">
        <w:rPr>
          <w:szCs w:val="20"/>
        </w:rPr>
        <w:t xml:space="preserve">. Many cruise ships are registered </w:t>
      </w:r>
      <w:r w:rsidR="00721D13">
        <w:rPr>
          <w:szCs w:val="20"/>
        </w:rPr>
        <w:t>in</w:t>
      </w:r>
      <w:r w:rsidR="00721D13" w:rsidRPr="005B5BE5">
        <w:rPr>
          <w:szCs w:val="20"/>
        </w:rPr>
        <w:t xml:space="preserve"> </w:t>
      </w:r>
      <w:r w:rsidR="0001645D" w:rsidRPr="005B5BE5">
        <w:rPr>
          <w:szCs w:val="20"/>
        </w:rPr>
        <w:t xml:space="preserve">foreign countries; the companies that own the cruise ships are often based internationally; the accidents often happen in international waters or in the territory of another country; </w:t>
      </w:r>
      <w:r w:rsidR="009E6FD3">
        <w:rPr>
          <w:szCs w:val="20"/>
        </w:rPr>
        <w:t xml:space="preserve">the burden </w:t>
      </w:r>
      <w:r w:rsidR="009E6FD3" w:rsidRPr="00F03F9D">
        <w:rPr>
          <w:szCs w:val="20"/>
        </w:rPr>
        <w:t>of proof lies with the claimant whom also,</w:t>
      </w:r>
      <w:r w:rsidR="0001645D" w:rsidRPr="00F03F9D">
        <w:rPr>
          <w:szCs w:val="20"/>
        </w:rPr>
        <w:t xml:space="preserve"> typically only </w:t>
      </w:r>
      <w:r w:rsidR="009E6FD3" w:rsidRPr="00F03F9D">
        <w:rPr>
          <w:szCs w:val="20"/>
        </w:rPr>
        <w:t>has</w:t>
      </w:r>
      <w:r w:rsidR="0001645D" w:rsidRPr="00F03F9D">
        <w:rPr>
          <w:szCs w:val="20"/>
        </w:rPr>
        <w:t xml:space="preserve"> one year to bring any type of claim for injuries against a cruise ship. </w:t>
      </w:r>
      <w:r w:rsidR="00CA392D" w:rsidRPr="00F03F9D">
        <w:rPr>
          <w:szCs w:val="20"/>
        </w:rPr>
        <w:t>Furthermore, c</w:t>
      </w:r>
      <w:r w:rsidR="0001645D" w:rsidRPr="00F03F9D">
        <w:rPr>
          <w:szCs w:val="20"/>
        </w:rPr>
        <w:t xml:space="preserve">laims </w:t>
      </w:r>
      <w:r w:rsidR="00CA392D" w:rsidRPr="00F03F9D">
        <w:rPr>
          <w:szCs w:val="20"/>
        </w:rPr>
        <w:t>must</w:t>
      </w:r>
      <w:r w:rsidR="0001645D" w:rsidRPr="00F03F9D">
        <w:rPr>
          <w:szCs w:val="20"/>
        </w:rPr>
        <w:t xml:space="preserve"> be brought to the company directly and may be bound by limitations outlined in the individual cruise contract.</w:t>
      </w:r>
      <w:r w:rsidR="005F3A2E" w:rsidRPr="00F03F9D">
        <w:rPr>
          <w:szCs w:val="20"/>
        </w:rPr>
        <w:t xml:space="preserve"> Currently, the claims process for passenger injury or death </w:t>
      </w:r>
      <w:r w:rsidR="0065449B" w:rsidRPr="00F03F9D">
        <w:rPr>
          <w:szCs w:val="20"/>
        </w:rPr>
        <w:t>is governed by the application of the Australian Consumer Law</w:t>
      </w:r>
      <w:r w:rsidR="002E06C2" w:rsidRPr="00F03F9D">
        <w:rPr>
          <w:szCs w:val="20"/>
        </w:rPr>
        <w:t xml:space="preserve"> (ACL)</w:t>
      </w:r>
      <w:r w:rsidR="009E26CA" w:rsidRPr="00F03F9D">
        <w:rPr>
          <w:szCs w:val="20"/>
        </w:rPr>
        <w:t xml:space="preserve"> where </w:t>
      </w:r>
      <w:r w:rsidR="003E75B7">
        <w:t>c</w:t>
      </w:r>
      <w:r w:rsidR="00F03F9D" w:rsidRPr="00F03F9D">
        <w:t xml:space="preserve">arriers </w:t>
      </w:r>
      <w:r w:rsidR="009E26CA" w:rsidRPr="00F03F9D">
        <w:t>are bound by a statutory guarantee to exercise due care and skill in the carriage of their passengers</w:t>
      </w:r>
      <w:r w:rsidR="00EC0D17" w:rsidRPr="00F03F9D">
        <w:t xml:space="preserve"> as well as the obligation to ensure the provision of expected services. </w:t>
      </w:r>
      <w:r w:rsidR="009E26CA" w:rsidRPr="00F03F9D">
        <w:rPr>
          <w:szCs w:val="20"/>
        </w:rPr>
        <w:t xml:space="preserve"> </w:t>
      </w:r>
      <w:r w:rsidR="008066D4" w:rsidRPr="00F03F9D">
        <w:rPr>
          <w:szCs w:val="20"/>
        </w:rPr>
        <w:t>Evidence suggests that except for unique and complex scenarios, the international cruise industry operating in Australia has an adequate consumer complaints resolution policy and approach seeing most claims</w:t>
      </w:r>
      <w:r w:rsidR="005E44B0" w:rsidRPr="00F03F9D">
        <w:rPr>
          <w:szCs w:val="20"/>
        </w:rPr>
        <w:t xml:space="preserve">, which are </w:t>
      </w:r>
      <w:r w:rsidR="00CA65E0" w:rsidRPr="00F03F9D">
        <w:rPr>
          <w:szCs w:val="20"/>
        </w:rPr>
        <w:t>predominantly ‘hotel claims’</w:t>
      </w:r>
      <w:r w:rsidR="008066D4" w:rsidRPr="00F03F9D">
        <w:rPr>
          <w:szCs w:val="20"/>
        </w:rPr>
        <w:t xml:space="preserve"> resolved directly through the company.</w:t>
      </w:r>
      <w:r w:rsidR="001B1B9D" w:rsidRPr="00F03F9D">
        <w:rPr>
          <w:szCs w:val="20"/>
        </w:rPr>
        <w:t xml:space="preserve"> However, </w:t>
      </w:r>
      <w:r w:rsidR="001B1B9D" w:rsidRPr="00F03F9D">
        <w:t>l</w:t>
      </w:r>
      <w:r w:rsidR="001B3250" w:rsidRPr="00F03F9D">
        <w:t>ack of clarity exists around the coverage of passengers when injured outside of Australian waters</w:t>
      </w:r>
      <w:r w:rsidR="00181380" w:rsidRPr="00F03F9D">
        <w:t>, the application of the ACL and</w:t>
      </w:r>
      <w:r w:rsidR="001B3250" w:rsidRPr="00F03F9D">
        <w:t xml:space="preserve"> whether the limitations </w:t>
      </w:r>
      <w:r w:rsidR="00181380" w:rsidRPr="00F03F9D">
        <w:t>contained with</w:t>
      </w:r>
      <w:r w:rsidR="001C1BA5" w:rsidRPr="00F03F9D">
        <w:t>in</w:t>
      </w:r>
      <w:r w:rsidR="00181380" w:rsidRPr="00F03F9D">
        <w:t xml:space="preserve"> the </w:t>
      </w:r>
      <w:r w:rsidR="00CB0E90" w:rsidRPr="00F03F9D">
        <w:t xml:space="preserve">State and Territory Civil Liability Acts </w:t>
      </w:r>
      <w:r w:rsidR="001B3250" w:rsidRPr="00F03F9D">
        <w:t>apply</w:t>
      </w:r>
      <w:r w:rsidR="00CB0E90" w:rsidRPr="00F03F9D">
        <w:t xml:space="preserve">. </w:t>
      </w:r>
      <w:r w:rsidR="00CB0E90" w:rsidRPr="00F03F9D">
        <w:rPr>
          <w:szCs w:val="20"/>
        </w:rPr>
        <w:t>Furthermore, w</w:t>
      </w:r>
      <w:r w:rsidR="0001645D" w:rsidRPr="00F03F9D">
        <w:rPr>
          <w:szCs w:val="20"/>
        </w:rPr>
        <w:t>hilst it is understood that most of the shipping</w:t>
      </w:r>
      <w:r w:rsidR="0001645D" w:rsidRPr="005B5BE5">
        <w:rPr>
          <w:szCs w:val="20"/>
        </w:rPr>
        <w:t xml:space="preserve"> industry operating in Australia holds insurance for passenger claims, there is no compulsory requirement for ships to have </w:t>
      </w:r>
      <w:r w:rsidR="00912AFF" w:rsidRPr="005B5BE5">
        <w:rPr>
          <w:szCs w:val="20"/>
        </w:rPr>
        <w:t xml:space="preserve">passenger liability </w:t>
      </w:r>
      <w:r w:rsidR="0001645D" w:rsidRPr="005B5BE5">
        <w:rPr>
          <w:szCs w:val="20"/>
        </w:rPr>
        <w:t xml:space="preserve">insurance, or a legal presence in Australia. Passengers can therefore be exposed to the risk of a </w:t>
      </w:r>
      <w:r w:rsidR="003E75B7">
        <w:rPr>
          <w:szCs w:val="20"/>
        </w:rPr>
        <w:t>c</w:t>
      </w:r>
      <w:r w:rsidR="00F03F9D" w:rsidRPr="005B5BE5">
        <w:rPr>
          <w:szCs w:val="20"/>
        </w:rPr>
        <w:t xml:space="preserve">arrier </w:t>
      </w:r>
      <w:r w:rsidR="0001645D" w:rsidRPr="005B5BE5">
        <w:rPr>
          <w:szCs w:val="20"/>
        </w:rPr>
        <w:t>not being able to pay compensation, or avoid</w:t>
      </w:r>
      <w:r w:rsidR="001C1BA5">
        <w:rPr>
          <w:szCs w:val="20"/>
        </w:rPr>
        <w:t>ing</w:t>
      </w:r>
      <w:r w:rsidR="0001645D" w:rsidRPr="005B5BE5">
        <w:rPr>
          <w:szCs w:val="20"/>
        </w:rPr>
        <w:t xml:space="preserve"> payment, or </w:t>
      </w:r>
      <w:r w:rsidR="00E903D3" w:rsidRPr="005B5BE5">
        <w:rPr>
          <w:szCs w:val="20"/>
        </w:rPr>
        <w:t xml:space="preserve">can be </w:t>
      </w:r>
      <w:r w:rsidR="00FD6F6F" w:rsidRPr="005B5BE5">
        <w:rPr>
          <w:szCs w:val="20"/>
        </w:rPr>
        <w:t>required to</w:t>
      </w:r>
      <w:r w:rsidR="0001645D" w:rsidRPr="005B5BE5">
        <w:rPr>
          <w:szCs w:val="20"/>
        </w:rPr>
        <w:t xml:space="preserve"> pursue a claim in a foreign court.</w:t>
      </w:r>
    </w:p>
    <w:p w14:paraId="1267B9BA" w14:textId="77777777" w:rsidR="00221EDD" w:rsidRDefault="00DC6966" w:rsidP="000919B1">
      <w:pPr>
        <w:jc w:val="left"/>
        <w:rPr>
          <w:szCs w:val="20"/>
        </w:rPr>
      </w:pPr>
      <w:r w:rsidRPr="005B5BE5">
        <w:rPr>
          <w:szCs w:val="20"/>
        </w:rPr>
        <w:t xml:space="preserve">The Athens Convention </w:t>
      </w:r>
      <w:r w:rsidR="00EC1ADB">
        <w:rPr>
          <w:szCs w:val="20"/>
        </w:rPr>
        <w:t>relating to the Carriage of Passengers and their Luggage by Sea 1974, as amended by the 2002 Protocol (Athens Convention)</w:t>
      </w:r>
      <w:r w:rsidRPr="005B5BE5">
        <w:rPr>
          <w:szCs w:val="20"/>
        </w:rPr>
        <w:t xml:space="preserve"> seeks to implement a regime for assigning liability in international passenger shipping that provides passengers and </w:t>
      </w:r>
      <w:r w:rsidR="003E75B7">
        <w:rPr>
          <w:szCs w:val="20"/>
        </w:rPr>
        <w:t>c</w:t>
      </w:r>
      <w:r w:rsidR="003E75B7" w:rsidRPr="005B5BE5">
        <w:rPr>
          <w:szCs w:val="20"/>
        </w:rPr>
        <w:t xml:space="preserve">arriers </w:t>
      </w:r>
      <w:r w:rsidRPr="005B5BE5">
        <w:rPr>
          <w:szCs w:val="20"/>
        </w:rPr>
        <w:t>with greater legal certainty</w:t>
      </w:r>
      <w:r w:rsidR="00EC46BA">
        <w:rPr>
          <w:szCs w:val="20"/>
        </w:rPr>
        <w:t xml:space="preserve"> and assurance of cover</w:t>
      </w:r>
      <w:r w:rsidRPr="005B5BE5">
        <w:rPr>
          <w:szCs w:val="20"/>
        </w:rPr>
        <w:t xml:space="preserve">. It </w:t>
      </w:r>
      <w:r w:rsidR="00827426">
        <w:rPr>
          <w:szCs w:val="20"/>
        </w:rPr>
        <w:t xml:space="preserve">shifts the burden of proof for </w:t>
      </w:r>
      <w:r w:rsidR="0041382F">
        <w:rPr>
          <w:szCs w:val="20"/>
        </w:rPr>
        <w:t>‘</w:t>
      </w:r>
      <w:r w:rsidR="00AC5D90">
        <w:rPr>
          <w:szCs w:val="20"/>
        </w:rPr>
        <w:t>shipping incidents’</w:t>
      </w:r>
      <w:r w:rsidR="00C66AAE">
        <w:rPr>
          <w:szCs w:val="20"/>
        </w:rPr>
        <w:t xml:space="preserve"> from the passenger to the </w:t>
      </w:r>
      <w:r w:rsidR="003E75B7">
        <w:rPr>
          <w:szCs w:val="20"/>
        </w:rPr>
        <w:t>c</w:t>
      </w:r>
      <w:r w:rsidR="00F03F9D">
        <w:rPr>
          <w:szCs w:val="20"/>
        </w:rPr>
        <w:t xml:space="preserve">arrier </w:t>
      </w:r>
      <w:r w:rsidR="00CB0E90">
        <w:rPr>
          <w:szCs w:val="20"/>
        </w:rPr>
        <w:t>and</w:t>
      </w:r>
      <w:r w:rsidRPr="005B5BE5">
        <w:rPr>
          <w:szCs w:val="20"/>
        </w:rPr>
        <w:t xml:space="preserve"> provides defined options to resolve legal claims arising from shipping accidents that are arguably simpler and more extensive than those currently available under Australian law. The Athens Convention</w:t>
      </w:r>
      <w:r>
        <w:rPr>
          <w:szCs w:val="20"/>
        </w:rPr>
        <w:t xml:space="preserve"> </w:t>
      </w:r>
      <w:r w:rsidRPr="005B5BE5">
        <w:rPr>
          <w:szCs w:val="20"/>
        </w:rPr>
        <w:t xml:space="preserve">sets out an international regime of </w:t>
      </w:r>
      <w:r w:rsidR="003E75B7">
        <w:rPr>
          <w:szCs w:val="20"/>
        </w:rPr>
        <w:t>c</w:t>
      </w:r>
      <w:r w:rsidR="003E75B7" w:rsidRPr="005B5BE5">
        <w:rPr>
          <w:szCs w:val="20"/>
        </w:rPr>
        <w:t xml:space="preserve">arrier </w:t>
      </w:r>
      <w:r w:rsidRPr="005B5BE5">
        <w:rPr>
          <w:szCs w:val="20"/>
        </w:rPr>
        <w:t xml:space="preserve">liability for damage suffered by passengers, (or where luggage has been lost or damaged), on board ships engaged on international voyages. It applies to any international carriage </w:t>
      </w:r>
      <w:r w:rsidR="00471466">
        <w:rPr>
          <w:szCs w:val="20"/>
        </w:rPr>
        <w:t xml:space="preserve">captured under the umbrella of the Athens Convention </w:t>
      </w:r>
      <w:r w:rsidRPr="005B5BE5">
        <w:rPr>
          <w:szCs w:val="20"/>
        </w:rPr>
        <w:t>where</w:t>
      </w:r>
      <w:r w:rsidR="00221EDD">
        <w:rPr>
          <w:szCs w:val="20"/>
        </w:rPr>
        <w:t>:</w:t>
      </w:r>
    </w:p>
    <w:p w14:paraId="51148517" w14:textId="2F71C79E" w:rsidR="002B5304" w:rsidRDefault="002B5304" w:rsidP="00015D02">
      <w:pPr>
        <w:pStyle w:val="ListParagraph"/>
        <w:numPr>
          <w:ilvl w:val="0"/>
          <w:numId w:val="7"/>
        </w:numPr>
        <w:rPr>
          <w:szCs w:val="20"/>
        </w:rPr>
      </w:pPr>
      <w:r>
        <w:rPr>
          <w:szCs w:val="20"/>
        </w:rPr>
        <w:t>the ship is flying the flag of or is registered in a State Party to the Convention</w:t>
      </w:r>
      <w:r w:rsidR="00CA7A14">
        <w:rPr>
          <w:szCs w:val="20"/>
        </w:rPr>
        <w:t>, or</w:t>
      </w:r>
      <w:r>
        <w:rPr>
          <w:szCs w:val="20"/>
        </w:rPr>
        <w:t xml:space="preserve"> </w:t>
      </w:r>
    </w:p>
    <w:p w14:paraId="1A0F5674" w14:textId="755821C5" w:rsidR="00015D02" w:rsidRDefault="00DC6966" w:rsidP="00015D02">
      <w:pPr>
        <w:pStyle w:val="ListParagraph"/>
        <w:numPr>
          <w:ilvl w:val="0"/>
          <w:numId w:val="7"/>
        </w:numPr>
        <w:rPr>
          <w:szCs w:val="20"/>
        </w:rPr>
      </w:pPr>
      <w:r w:rsidRPr="005B5BE5">
        <w:rPr>
          <w:szCs w:val="20"/>
        </w:rPr>
        <w:t xml:space="preserve">the passenger’s contract is made in a </w:t>
      </w:r>
      <w:r w:rsidR="00E60F15">
        <w:rPr>
          <w:szCs w:val="20"/>
        </w:rPr>
        <w:t>S</w:t>
      </w:r>
      <w:r w:rsidR="00E60F15" w:rsidRPr="005B5BE5">
        <w:rPr>
          <w:szCs w:val="20"/>
        </w:rPr>
        <w:t xml:space="preserve">tate </w:t>
      </w:r>
      <w:r w:rsidRPr="00015D02">
        <w:t>that</w:t>
      </w:r>
      <w:r w:rsidRPr="005B5BE5">
        <w:rPr>
          <w:szCs w:val="20"/>
        </w:rPr>
        <w:t xml:space="preserve"> is party to the </w:t>
      </w:r>
      <w:r w:rsidR="00816023" w:rsidRPr="005B5BE5">
        <w:rPr>
          <w:szCs w:val="20"/>
        </w:rPr>
        <w:t>Convention</w:t>
      </w:r>
      <w:r w:rsidRPr="005B5BE5">
        <w:rPr>
          <w:szCs w:val="20"/>
        </w:rPr>
        <w:t>, or</w:t>
      </w:r>
    </w:p>
    <w:p w14:paraId="08193F35" w14:textId="20291F6C" w:rsidR="00015D02" w:rsidRDefault="00DC6966" w:rsidP="00015D02">
      <w:pPr>
        <w:pStyle w:val="ListParagraph"/>
        <w:numPr>
          <w:ilvl w:val="0"/>
          <w:numId w:val="7"/>
        </w:numPr>
        <w:rPr>
          <w:szCs w:val="20"/>
        </w:rPr>
      </w:pPr>
      <w:r w:rsidRPr="005B5BE5">
        <w:rPr>
          <w:szCs w:val="20"/>
        </w:rPr>
        <w:t>when the place of departure</w:t>
      </w:r>
      <w:r w:rsidR="002B5304">
        <w:rPr>
          <w:szCs w:val="20"/>
        </w:rPr>
        <w:t xml:space="preserve"> or</w:t>
      </w:r>
      <w:r w:rsidRPr="005B5BE5">
        <w:rPr>
          <w:szCs w:val="20"/>
        </w:rPr>
        <w:t xml:space="preserve"> destination is in a </w:t>
      </w:r>
      <w:r w:rsidR="00E60F15">
        <w:rPr>
          <w:szCs w:val="20"/>
        </w:rPr>
        <w:t>S</w:t>
      </w:r>
      <w:r w:rsidR="00E60F15" w:rsidRPr="005B5BE5">
        <w:rPr>
          <w:szCs w:val="20"/>
        </w:rPr>
        <w:t xml:space="preserve">tate </w:t>
      </w:r>
      <w:r w:rsidRPr="005B5BE5">
        <w:rPr>
          <w:szCs w:val="20"/>
        </w:rPr>
        <w:t xml:space="preserve">that is party to the Convention.  </w:t>
      </w:r>
    </w:p>
    <w:p w14:paraId="1C435C46" w14:textId="78FAAE25" w:rsidR="00DC6966" w:rsidRPr="005B5BE5" w:rsidRDefault="00A30A46" w:rsidP="000919B1">
      <w:pPr>
        <w:jc w:val="left"/>
        <w:rPr>
          <w:szCs w:val="20"/>
        </w:rPr>
      </w:pPr>
      <w:r>
        <w:rPr>
          <w:szCs w:val="20"/>
        </w:rPr>
        <w:t>In this paper, when the benefits for accession are discussed it is limited to these situation</w:t>
      </w:r>
      <w:r w:rsidR="009638C0">
        <w:rPr>
          <w:szCs w:val="20"/>
        </w:rPr>
        <w:t>s</w:t>
      </w:r>
      <w:r>
        <w:rPr>
          <w:szCs w:val="20"/>
        </w:rPr>
        <w:t xml:space="preserve"> where the Athens Convention applies. </w:t>
      </w:r>
      <w:r w:rsidR="009A712F">
        <w:rPr>
          <w:szCs w:val="20"/>
        </w:rPr>
        <w:t>The Athens Convention also provides</w:t>
      </w:r>
      <w:r w:rsidR="009A712F" w:rsidRPr="009A712F">
        <w:rPr>
          <w:szCs w:val="20"/>
        </w:rPr>
        <w:t xml:space="preserve"> added protection of potential direct action against a ship’s insurer (</w:t>
      </w:r>
      <w:r w:rsidR="0086191C">
        <w:rPr>
          <w:szCs w:val="20"/>
        </w:rPr>
        <w:t xml:space="preserve">for example, </w:t>
      </w:r>
      <w:r w:rsidR="009A712F" w:rsidRPr="009A712F">
        <w:rPr>
          <w:szCs w:val="20"/>
        </w:rPr>
        <w:t xml:space="preserve">if the cruise company becomes insolvent). </w:t>
      </w:r>
      <w:r w:rsidR="000B4A93" w:rsidRPr="000B4A93">
        <w:rPr>
          <w:szCs w:val="20"/>
        </w:rPr>
        <w:t xml:space="preserve">There are currently 31 </w:t>
      </w:r>
      <w:r w:rsidR="00C03A51">
        <w:rPr>
          <w:szCs w:val="20"/>
        </w:rPr>
        <w:t xml:space="preserve">Parties </w:t>
      </w:r>
      <w:r w:rsidR="000B4A93" w:rsidRPr="000B4A93">
        <w:rPr>
          <w:szCs w:val="20"/>
        </w:rPr>
        <w:t>to the 2002 Protocol worldwide</w:t>
      </w:r>
      <w:r w:rsidR="00563434">
        <w:rPr>
          <w:szCs w:val="20"/>
        </w:rPr>
        <w:t xml:space="preserve"> (Appendix C)</w:t>
      </w:r>
      <w:r w:rsidR="000B4A93" w:rsidRPr="000B4A93">
        <w:rPr>
          <w:szCs w:val="20"/>
        </w:rPr>
        <w:t xml:space="preserve">.  </w:t>
      </w:r>
    </w:p>
    <w:p w14:paraId="53B729CE" w14:textId="580F2F25" w:rsidR="008066D4" w:rsidRDefault="00F048DB" w:rsidP="000919B1">
      <w:pPr>
        <w:jc w:val="left"/>
        <w:rPr>
          <w:szCs w:val="20"/>
        </w:rPr>
      </w:pPr>
      <w:r w:rsidRPr="005B5BE5">
        <w:rPr>
          <w:szCs w:val="20"/>
        </w:rPr>
        <w:t>If Australia were to accede to the Athens Convention, all claims for the recovery of damages for death and personal injury, as well as loss or damage to the passenger's luggage, sustained during the course of international carriage, would be brought into alignment with other</w:t>
      </w:r>
      <w:r w:rsidR="00C03A51">
        <w:rPr>
          <w:szCs w:val="20"/>
        </w:rPr>
        <w:t xml:space="preserve"> </w:t>
      </w:r>
      <w:r w:rsidR="00070723">
        <w:rPr>
          <w:szCs w:val="20"/>
        </w:rPr>
        <w:t xml:space="preserve">State </w:t>
      </w:r>
      <w:r w:rsidR="00C03A51">
        <w:rPr>
          <w:szCs w:val="20"/>
        </w:rPr>
        <w:t xml:space="preserve">Parties </w:t>
      </w:r>
      <w:r w:rsidRPr="005B5BE5">
        <w:rPr>
          <w:szCs w:val="20"/>
        </w:rPr>
        <w:t>whilst also allowing Australia to implement its own definitions around the limitation of liability.</w:t>
      </w:r>
    </w:p>
    <w:p w14:paraId="452597E8" w14:textId="6C89251E" w:rsidR="001B73ED" w:rsidRDefault="001B73ED" w:rsidP="001B73ED">
      <w:pPr>
        <w:pStyle w:val="Heading2"/>
      </w:pPr>
      <w:bookmarkStart w:id="4" w:name="_Toc44659893"/>
      <w:r>
        <w:t>The Objective</w:t>
      </w:r>
      <w:bookmarkEnd w:id="4"/>
    </w:p>
    <w:p w14:paraId="65873682" w14:textId="394776B5" w:rsidR="00283E8D" w:rsidRPr="005B5BE5" w:rsidRDefault="00283E8D" w:rsidP="000919B1">
      <w:pPr>
        <w:jc w:val="left"/>
        <w:rPr>
          <w:szCs w:val="20"/>
        </w:rPr>
      </w:pPr>
      <w:r w:rsidRPr="005B5BE5">
        <w:rPr>
          <w:szCs w:val="20"/>
        </w:rPr>
        <w:t xml:space="preserve">The Athens Convention was initially adopted in 1974 </w:t>
      </w:r>
      <w:r w:rsidR="00577E83">
        <w:rPr>
          <w:szCs w:val="20"/>
        </w:rPr>
        <w:t xml:space="preserve">and entered into force in 1987 </w:t>
      </w:r>
      <w:r w:rsidRPr="005B5BE5">
        <w:rPr>
          <w:szCs w:val="20"/>
        </w:rPr>
        <w:t xml:space="preserve">but has since been extensively updated, most significantly by the 2002 Protocol.  In effect, under the Athens Convention 2002, passengers who suffer loss or damage to luggage, or personal injury or death should have access to simpler, cheaper legal recourse against </w:t>
      </w:r>
      <w:r w:rsidR="003E75B7">
        <w:rPr>
          <w:szCs w:val="20"/>
        </w:rPr>
        <w:t>c</w:t>
      </w:r>
      <w:r w:rsidR="00F03F9D" w:rsidRPr="005B5BE5">
        <w:rPr>
          <w:szCs w:val="20"/>
        </w:rPr>
        <w:t xml:space="preserve">arriers </w:t>
      </w:r>
      <w:r w:rsidRPr="005B5BE5">
        <w:rPr>
          <w:szCs w:val="20"/>
        </w:rPr>
        <w:t xml:space="preserve">and insurers, up to specified limits. The 2002 Protocol to the Athens Convention entered into force in 2014 but Australia is not a party to it.  </w:t>
      </w:r>
    </w:p>
    <w:p w14:paraId="474C404A" w14:textId="6F779F59" w:rsidR="00215862" w:rsidRPr="00F03F9D" w:rsidRDefault="00FF26E2" w:rsidP="000919B1">
      <w:pPr>
        <w:jc w:val="left"/>
        <w:rPr>
          <w:szCs w:val="20"/>
        </w:rPr>
      </w:pPr>
      <w:r w:rsidRPr="005B5BE5">
        <w:rPr>
          <w:szCs w:val="20"/>
        </w:rPr>
        <w:t xml:space="preserve">This Regulation Impact Statement (RIS) assesses options </w:t>
      </w:r>
      <w:r w:rsidR="00F2680C" w:rsidRPr="005B5BE5">
        <w:rPr>
          <w:szCs w:val="20"/>
        </w:rPr>
        <w:t xml:space="preserve">for </w:t>
      </w:r>
      <w:r w:rsidR="00A5152B" w:rsidRPr="005B5BE5">
        <w:rPr>
          <w:szCs w:val="20"/>
        </w:rPr>
        <w:t>Australia’s accession to the Athens Convention (2002 Protocol</w:t>
      </w:r>
      <w:r w:rsidR="00B50305" w:rsidRPr="005B5BE5">
        <w:rPr>
          <w:szCs w:val="20"/>
        </w:rPr>
        <w:t>)</w:t>
      </w:r>
      <w:r w:rsidR="00A5152B" w:rsidRPr="005B5BE5">
        <w:rPr>
          <w:szCs w:val="20"/>
        </w:rPr>
        <w:t>.</w:t>
      </w:r>
      <w:r w:rsidR="00215862" w:rsidRPr="00FA0F35">
        <w:rPr>
          <w:szCs w:val="20"/>
        </w:rPr>
        <w:t xml:space="preserve"> </w:t>
      </w:r>
      <w:r w:rsidR="00215862" w:rsidRPr="005B5BE5">
        <w:rPr>
          <w:szCs w:val="20"/>
        </w:rPr>
        <w:t xml:space="preserve">The analysis provides a sound basis on which to assess the financial and regulatory impacts of the policy options for implementation of the </w:t>
      </w:r>
      <w:r w:rsidR="005614A8">
        <w:rPr>
          <w:szCs w:val="20"/>
        </w:rPr>
        <w:t>C</w:t>
      </w:r>
      <w:r w:rsidR="005614A8" w:rsidRPr="005B5BE5">
        <w:rPr>
          <w:szCs w:val="20"/>
        </w:rPr>
        <w:t>onvention</w:t>
      </w:r>
      <w:r w:rsidR="00215862" w:rsidRPr="005B5BE5">
        <w:rPr>
          <w:szCs w:val="20"/>
        </w:rPr>
        <w:t xml:space="preserve">, including non-implementation. The </w:t>
      </w:r>
      <w:r w:rsidR="002D4205" w:rsidRPr="005B5BE5">
        <w:rPr>
          <w:szCs w:val="20"/>
        </w:rPr>
        <w:t xml:space="preserve">objective of the </w:t>
      </w:r>
      <w:r w:rsidR="002D4205" w:rsidRPr="00F03F9D">
        <w:rPr>
          <w:szCs w:val="20"/>
        </w:rPr>
        <w:t xml:space="preserve">analysis is to </w:t>
      </w:r>
      <w:r w:rsidR="00215862" w:rsidRPr="00F03F9D">
        <w:rPr>
          <w:szCs w:val="20"/>
        </w:rPr>
        <w:t>show the potential impact on</w:t>
      </w:r>
      <w:r w:rsidR="002D4205" w:rsidRPr="00F03F9D">
        <w:rPr>
          <w:szCs w:val="20"/>
        </w:rPr>
        <w:t xml:space="preserve"> the cruise</w:t>
      </w:r>
      <w:r w:rsidR="00215862" w:rsidRPr="00F03F9D">
        <w:rPr>
          <w:szCs w:val="20"/>
        </w:rPr>
        <w:t xml:space="preserve"> and insurance industry stakeholders that may be affected, and on the Australian shipping passenger</w:t>
      </w:r>
      <w:r w:rsidR="00215862" w:rsidRPr="00F03F9D" w:rsidDel="00A04362">
        <w:rPr>
          <w:szCs w:val="20"/>
        </w:rPr>
        <w:t xml:space="preserve"> </w:t>
      </w:r>
      <w:r w:rsidR="00A04362" w:rsidRPr="00F03F9D">
        <w:rPr>
          <w:szCs w:val="20"/>
        </w:rPr>
        <w:t xml:space="preserve">or </w:t>
      </w:r>
      <w:r w:rsidR="00215862" w:rsidRPr="00F03F9D">
        <w:rPr>
          <w:szCs w:val="20"/>
        </w:rPr>
        <w:t>consumer markets.</w:t>
      </w:r>
    </w:p>
    <w:p w14:paraId="0A8A12B5" w14:textId="13C28671" w:rsidR="007C6216" w:rsidRPr="00F03F9D" w:rsidRDefault="00215862" w:rsidP="000919B1">
      <w:pPr>
        <w:jc w:val="left"/>
        <w:rPr>
          <w:szCs w:val="20"/>
        </w:rPr>
      </w:pPr>
      <w:r w:rsidRPr="00F03F9D">
        <w:rPr>
          <w:szCs w:val="20"/>
        </w:rPr>
        <w:t>Along with the option of maintaining the status quo and not acceding, this document outlines three options in acceding to the Athens Convention. It outlines potential impacts to the three significant stakeholder groups: consumers, insurers and the cruise industry.</w:t>
      </w:r>
    </w:p>
    <w:p w14:paraId="017F3E93" w14:textId="5643A9FC" w:rsidR="00F57C4F" w:rsidRPr="00F03F9D" w:rsidRDefault="00AA006D" w:rsidP="00F57C4F">
      <w:pPr>
        <w:jc w:val="left"/>
        <w:rPr>
          <w:szCs w:val="20"/>
        </w:rPr>
      </w:pPr>
      <w:r w:rsidRPr="00F03F9D">
        <w:rPr>
          <w:szCs w:val="20"/>
        </w:rPr>
        <w:t>This</w:t>
      </w:r>
      <w:r w:rsidR="00EB46CF" w:rsidRPr="00F03F9D">
        <w:rPr>
          <w:szCs w:val="20"/>
        </w:rPr>
        <w:t xml:space="preserve"> RIS was developed in </w:t>
      </w:r>
      <w:r w:rsidR="00A55B4E" w:rsidRPr="00F03F9D">
        <w:rPr>
          <w:szCs w:val="20"/>
        </w:rPr>
        <w:t>March/</w:t>
      </w:r>
      <w:r w:rsidR="00EB46CF" w:rsidRPr="00F03F9D">
        <w:rPr>
          <w:szCs w:val="20"/>
        </w:rPr>
        <w:t>April 2020,</w:t>
      </w:r>
      <w:r w:rsidR="00FA370B" w:rsidRPr="00F03F9D">
        <w:rPr>
          <w:szCs w:val="20"/>
        </w:rPr>
        <w:t xml:space="preserve"> </w:t>
      </w:r>
      <w:r w:rsidR="00426223" w:rsidRPr="00F03F9D">
        <w:rPr>
          <w:szCs w:val="20"/>
        </w:rPr>
        <w:t>d</w:t>
      </w:r>
      <w:r w:rsidR="00FA370B" w:rsidRPr="00F03F9D">
        <w:rPr>
          <w:szCs w:val="20"/>
        </w:rPr>
        <w:t xml:space="preserve">uring the 2020 </w:t>
      </w:r>
      <w:r w:rsidR="0028565B" w:rsidRPr="00F03F9D">
        <w:rPr>
          <w:szCs w:val="20"/>
        </w:rPr>
        <w:t>COVID</w:t>
      </w:r>
      <w:r w:rsidR="00453425" w:rsidRPr="00F03F9D">
        <w:rPr>
          <w:szCs w:val="20"/>
        </w:rPr>
        <w:noBreakHyphen/>
      </w:r>
      <w:r w:rsidR="00FA370B" w:rsidRPr="00F03F9D">
        <w:rPr>
          <w:szCs w:val="20"/>
        </w:rPr>
        <w:t>19 pandemic</w:t>
      </w:r>
      <w:r w:rsidRPr="00F03F9D">
        <w:rPr>
          <w:szCs w:val="20"/>
        </w:rPr>
        <w:t>. T</w:t>
      </w:r>
      <w:r w:rsidR="00054504" w:rsidRPr="00F03F9D">
        <w:rPr>
          <w:szCs w:val="20"/>
        </w:rPr>
        <w:t>he analysis</w:t>
      </w:r>
      <w:r w:rsidR="009E189C" w:rsidRPr="00F03F9D">
        <w:rPr>
          <w:szCs w:val="20"/>
        </w:rPr>
        <w:t>, h</w:t>
      </w:r>
      <w:r w:rsidRPr="00F03F9D">
        <w:rPr>
          <w:szCs w:val="20"/>
        </w:rPr>
        <w:t>owever,</w:t>
      </w:r>
      <w:r w:rsidR="00054504" w:rsidRPr="00F03F9D">
        <w:rPr>
          <w:szCs w:val="20"/>
        </w:rPr>
        <w:t xml:space="preserve"> is</w:t>
      </w:r>
      <w:r w:rsidR="0028565B" w:rsidRPr="00F03F9D">
        <w:rPr>
          <w:szCs w:val="20"/>
        </w:rPr>
        <w:t xml:space="preserve"> based on assumptions prevailing </w:t>
      </w:r>
      <w:r w:rsidR="00B56341" w:rsidRPr="00F03F9D">
        <w:rPr>
          <w:szCs w:val="20"/>
        </w:rPr>
        <w:t>to</w:t>
      </w:r>
      <w:r w:rsidR="0028565B" w:rsidRPr="00F03F9D">
        <w:rPr>
          <w:szCs w:val="20"/>
        </w:rPr>
        <w:t xml:space="preserve"> February 2020</w:t>
      </w:r>
      <w:r w:rsidR="007D3951" w:rsidRPr="00F03F9D">
        <w:rPr>
          <w:szCs w:val="20"/>
        </w:rPr>
        <w:t xml:space="preserve"> and does not reference any </w:t>
      </w:r>
      <w:r w:rsidR="007D4860" w:rsidRPr="00F03F9D">
        <w:rPr>
          <w:szCs w:val="20"/>
        </w:rPr>
        <w:t xml:space="preserve">changes to circumstances </w:t>
      </w:r>
      <w:r w:rsidR="008D2C1D" w:rsidRPr="00F03F9D">
        <w:rPr>
          <w:szCs w:val="20"/>
        </w:rPr>
        <w:t>from the pandemic</w:t>
      </w:r>
      <w:r w:rsidR="0028565B" w:rsidRPr="00F03F9D">
        <w:rPr>
          <w:szCs w:val="20"/>
        </w:rPr>
        <w:t>.</w:t>
      </w:r>
      <w:r w:rsidR="005E66F2" w:rsidRPr="00F03F9D">
        <w:rPr>
          <w:szCs w:val="20"/>
        </w:rPr>
        <w:t xml:space="preserve"> </w:t>
      </w:r>
      <w:r w:rsidR="007E020B" w:rsidRPr="00F03F9D">
        <w:rPr>
          <w:szCs w:val="20"/>
        </w:rPr>
        <w:t xml:space="preserve">The conclusions and recommendations reached are independent of the </w:t>
      </w:r>
      <w:r w:rsidR="0022105C" w:rsidRPr="00F03F9D">
        <w:rPr>
          <w:szCs w:val="20"/>
        </w:rPr>
        <w:t xml:space="preserve">pandemic and its effects. </w:t>
      </w:r>
      <w:r w:rsidR="00614F21" w:rsidRPr="00F03F9D">
        <w:rPr>
          <w:szCs w:val="20"/>
        </w:rPr>
        <w:t>However, we consider that there will be significant changes to the cruise industry as a result</w:t>
      </w:r>
      <w:r w:rsidR="00C97D45" w:rsidRPr="00F03F9D">
        <w:rPr>
          <w:szCs w:val="20"/>
        </w:rPr>
        <w:t>, and that the nature of these changes will take time to assess</w:t>
      </w:r>
      <w:r w:rsidR="00EA07C3" w:rsidRPr="00F03F9D">
        <w:rPr>
          <w:szCs w:val="20"/>
        </w:rPr>
        <w:t xml:space="preserve">. </w:t>
      </w:r>
      <w:r w:rsidR="00B830CF" w:rsidRPr="00F03F9D">
        <w:rPr>
          <w:szCs w:val="20"/>
        </w:rPr>
        <w:t>These impacts</w:t>
      </w:r>
      <w:r w:rsidR="005E66F2" w:rsidRPr="00F03F9D">
        <w:rPr>
          <w:szCs w:val="20"/>
        </w:rPr>
        <w:t xml:space="preserve"> will </w:t>
      </w:r>
      <w:r w:rsidR="00B830CF" w:rsidRPr="00F03F9D">
        <w:rPr>
          <w:szCs w:val="20"/>
        </w:rPr>
        <w:t xml:space="preserve">ultimately </w:t>
      </w:r>
      <w:r w:rsidR="005E66F2" w:rsidRPr="00F03F9D">
        <w:rPr>
          <w:szCs w:val="20"/>
        </w:rPr>
        <w:t>need to be assessed</w:t>
      </w:r>
      <w:r w:rsidR="00241A88" w:rsidRPr="00F03F9D">
        <w:rPr>
          <w:szCs w:val="20"/>
        </w:rPr>
        <w:t xml:space="preserve"> and considered</w:t>
      </w:r>
      <w:r w:rsidR="005E66F2" w:rsidRPr="00F03F9D">
        <w:rPr>
          <w:szCs w:val="20"/>
        </w:rPr>
        <w:t xml:space="preserve"> in future</w:t>
      </w:r>
      <w:r w:rsidR="00B56341" w:rsidRPr="00F03F9D">
        <w:rPr>
          <w:szCs w:val="20"/>
        </w:rPr>
        <w:t xml:space="preserve"> </w:t>
      </w:r>
      <w:r w:rsidR="00583AF7" w:rsidRPr="00F03F9D">
        <w:rPr>
          <w:szCs w:val="20"/>
        </w:rPr>
        <w:t xml:space="preserve">when considering </w:t>
      </w:r>
      <w:r w:rsidR="00241A88" w:rsidRPr="00F03F9D">
        <w:rPr>
          <w:szCs w:val="20"/>
        </w:rPr>
        <w:t xml:space="preserve">any regulatory change. </w:t>
      </w:r>
    </w:p>
    <w:p w14:paraId="33FE2944" w14:textId="6127600E" w:rsidR="001B73ED" w:rsidRPr="00F03F9D" w:rsidRDefault="001B73ED" w:rsidP="001B73ED">
      <w:pPr>
        <w:pStyle w:val="Heading2"/>
      </w:pPr>
      <w:bookmarkStart w:id="5" w:name="_Toc44659894"/>
      <w:r w:rsidRPr="00F03F9D">
        <w:t>Options</w:t>
      </w:r>
      <w:bookmarkEnd w:id="5"/>
    </w:p>
    <w:p w14:paraId="3E9CEBCD" w14:textId="23C3EBE4" w:rsidR="004C5BD6" w:rsidRDefault="008D4C2F" w:rsidP="000919B1">
      <w:pPr>
        <w:jc w:val="left"/>
      </w:pPr>
      <w:r w:rsidRPr="007243B4">
        <w:t xml:space="preserve">The Department </w:t>
      </w:r>
      <w:r w:rsidR="002F594F">
        <w:t>has identified</w:t>
      </w:r>
      <w:r w:rsidRPr="007243B4">
        <w:t xml:space="preserve"> four </w:t>
      </w:r>
      <w:r w:rsidR="00B357A2">
        <w:t xml:space="preserve">policy </w:t>
      </w:r>
      <w:r w:rsidRPr="007243B4">
        <w:t xml:space="preserve">options </w:t>
      </w:r>
      <w:r w:rsidR="002F594F">
        <w:t xml:space="preserve">for consideration, </w:t>
      </w:r>
      <w:r w:rsidRPr="007243B4">
        <w:t xml:space="preserve">which </w:t>
      </w:r>
      <w:r w:rsidR="004A0129">
        <w:t xml:space="preserve">include no change, </w:t>
      </w:r>
      <w:r w:rsidR="00577FE8">
        <w:t>and three</w:t>
      </w:r>
      <w:r w:rsidRPr="007243B4">
        <w:t xml:space="preserve"> options </w:t>
      </w:r>
      <w:r w:rsidR="00577FE8">
        <w:t>that see Australia’s accession</w:t>
      </w:r>
      <w:r w:rsidRPr="007243B4">
        <w:t xml:space="preserve"> to </w:t>
      </w:r>
      <w:r w:rsidR="00577FE8">
        <w:t xml:space="preserve">the </w:t>
      </w:r>
      <w:r w:rsidRPr="007243B4">
        <w:t xml:space="preserve">Athens </w:t>
      </w:r>
      <w:r w:rsidR="00577FE8">
        <w:t>Protocol 2002</w:t>
      </w:r>
      <w:r w:rsidRPr="007243B4">
        <w:t xml:space="preserve"> with </w:t>
      </w:r>
      <w:r w:rsidR="00DC46ED">
        <w:t>variations to limits</w:t>
      </w:r>
      <w:r w:rsidRPr="007243B4">
        <w:t xml:space="preserve"> and </w:t>
      </w:r>
      <w:r w:rsidR="0057396E">
        <w:t>application</w:t>
      </w:r>
      <w:r w:rsidRPr="007243B4">
        <w:t xml:space="preserve"> to voyages</w:t>
      </w:r>
      <w:r w:rsidR="0057396E">
        <w:t>.</w:t>
      </w:r>
      <w:r w:rsidRPr="007243B4">
        <w:t xml:space="preserve"> These options </w:t>
      </w:r>
      <w:r w:rsidR="00F332A4">
        <w:t>are illustrated in the figure below</w:t>
      </w:r>
      <w:r w:rsidR="00DE24B4">
        <w:t xml:space="preserve"> and were refined </w:t>
      </w:r>
      <w:r w:rsidR="00B50DD3">
        <w:t>after initial public and industry consultation undertaken by the Department in December 2017</w:t>
      </w:r>
      <w:r w:rsidR="008641DC">
        <w:rPr>
          <w:rStyle w:val="FootnoteReference"/>
        </w:rPr>
        <w:footnoteReference w:id="3"/>
      </w:r>
      <w:r w:rsidR="00B50DD3">
        <w:t xml:space="preserve">. </w:t>
      </w:r>
    </w:p>
    <w:p w14:paraId="555013E6" w14:textId="77777777" w:rsidR="00254BF1" w:rsidRDefault="00510780" w:rsidP="00E43B92">
      <w:pPr>
        <w:jc w:val="left"/>
      </w:pPr>
      <w:r>
        <w:rPr>
          <w:noProof/>
        </w:rPr>
        <w:drawing>
          <wp:inline distT="0" distB="0" distL="0" distR="0" wp14:anchorId="7F80DCF3" wp14:editId="69B96CEA">
            <wp:extent cx="5464809" cy="2754420"/>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5467" cy="2769872"/>
                    </a:xfrm>
                    <a:prstGeom prst="rect">
                      <a:avLst/>
                    </a:prstGeom>
                  </pic:spPr>
                </pic:pic>
              </a:graphicData>
            </a:graphic>
          </wp:inline>
        </w:drawing>
      </w:r>
    </w:p>
    <w:p w14:paraId="2E053560" w14:textId="5B290959" w:rsidR="00510780" w:rsidRPr="00212240" w:rsidRDefault="00E43B92" w:rsidP="00E43B92">
      <w:pPr>
        <w:jc w:val="left"/>
        <w:rPr>
          <w:sz w:val="18"/>
          <w:szCs w:val="18"/>
        </w:rPr>
      </w:pPr>
      <w:bookmarkStart w:id="6" w:name="_Toc36567873"/>
      <w:r w:rsidRPr="00212240">
        <w:rPr>
          <w:sz w:val="18"/>
          <w:szCs w:val="18"/>
        </w:rPr>
        <w:t xml:space="preserve">Figure </w:t>
      </w:r>
      <w:r w:rsidR="00B435A7" w:rsidRPr="00212240">
        <w:rPr>
          <w:noProof/>
          <w:sz w:val="18"/>
          <w:szCs w:val="18"/>
        </w:rPr>
        <w:fldChar w:fldCharType="begin"/>
      </w:r>
      <w:r w:rsidR="00B435A7" w:rsidRPr="00212240">
        <w:rPr>
          <w:noProof/>
          <w:sz w:val="18"/>
          <w:szCs w:val="18"/>
        </w:rPr>
        <w:instrText xml:space="preserve"> SEQ Figure \* ARABIC </w:instrText>
      </w:r>
      <w:r w:rsidR="00B435A7" w:rsidRPr="00212240">
        <w:rPr>
          <w:noProof/>
          <w:sz w:val="18"/>
          <w:szCs w:val="18"/>
        </w:rPr>
        <w:fldChar w:fldCharType="separate"/>
      </w:r>
      <w:r w:rsidR="0036463E" w:rsidRPr="00212240">
        <w:rPr>
          <w:noProof/>
          <w:sz w:val="18"/>
          <w:szCs w:val="18"/>
        </w:rPr>
        <w:t>1</w:t>
      </w:r>
      <w:r w:rsidR="00B435A7" w:rsidRPr="00212240">
        <w:rPr>
          <w:noProof/>
          <w:sz w:val="18"/>
          <w:szCs w:val="18"/>
        </w:rPr>
        <w:fldChar w:fldCharType="end"/>
      </w:r>
      <w:r w:rsidRPr="00212240">
        <w:rPr>
          <w:sz w:val="18"/>
          <w:szCs w:val="18"/>
        </w:rPr>
        <w:t>: Options Assessed</w:t>
      </w:r>
      <w:r w:rsidR="00E94B26" w:rsidRPr="00212240">
        <w:rPr>
          <w:sz w:val="18"/>
          <w:szCs w:val="18"/>
        </w:rPr>
        <w:t xml:space="preserve"> in the development of the </w:t>
      </w:r>
      <w:r w:rsidR="008C7116" w:rsidRPr="00212240">
        <w:rPr>
          <w:sz w:val="18"/>
          <w:szCs w:val="18"/>
        </w:rPr>
        <w:t xml:space="preserve">Regulation </w:t>
      </w:r>
      <w:r w:rsidR="00E94B26" w:rsidRPr="00212240">
        <w:rPr>
          <w:sz w:val="18"/>
          <w:szCs w:val="18"/>
        </w:rPr>
        <w:t>Impact Statement</w:t>
      </w:r>
      <w:bookmarkEnd w:id="6"/>
    </w:p>
    <w:p w14:paraId="44D89E56" w14:textId="1170EE52" w:rsidR="001B73ED" w:rsidRDefault="001B73ED" w:rsidP="001B73ED">
      <w:pPr>
        <w:pStyle w:val="Heading2"/>
      </w:pPr>
      <w:bookmarkStart w:id="7" w:name="_Toc44659895"/>
      <w:r>
        <w:t>Consultation</w:t>
      </w:r>
      <w:bookmarkEnd w:id="7"/>
    </w:p>
    <w:p w14:paraId="7E9286D0" w14:textId="3842CC1F" w:rsidR="005E73FF" w:rsidRDefault="005E73FF" w:rsidP="00C95963">
      <w:r w:rsidRPr="005E73FF">
        <w:t xml:space="preserve">In November 2017 the Department published a </w:t>
      </w:r>
      <w:r w:rsidR="00B245FD">
        <w:t>D</w:t>
      </w:r>
      <w:r w:rsidR="00B245FD" w:rsidRPr="005E73FF">
        <w:t>iscussion Paper</w:t>
      </w:r>
      <w:r w:rsidR="00B245FD">
        <w:rPr>
          <w:rStyle w:val="FootnoteReference"/>
        </w:rPr>
        <w:footnoteReference w:id="4"/>
      </w:r>
      <w:r w:rsidRPr="005E73FF">
        <w:t xml:space="preserve"> and received a number of formal submissions. </w:t>
      </w:r>
      <w:r w:rsidR="00C5349C">
        <w:t xml:space="preserve">In </w:t>
      </w:r>
      <w:r w:rsidR="00892D97">
        <w:t>November</w:t>
      </w:r>
      <w:r w:rsidR="00B245FD">
        <w:t xml:space="preserve"> 2019</w:t>
      </w:r>
      <w:r w:rsidR="00892D97">
        <w:t xml:space="preserve">, the Department </w:t>
      </w:r>
      <w:r w:rsidR="00D86D0C" w:rsidRPr="00D86D0C">
        <w:t>engaged NineSquared to undertake</w:t>
      </w:r>
      <w:r w:rsidR="00D86D0C">
        <w:t xml:space="preserve"> further, targeted consultation </w:t>
      </w:r>
      <w:r w:rsidR="002B4C6C">
        <w:t>to conduct</w:t>
      </w:r>
      <w:r w:rsidR="00D86D0C" w:rsidRPr="00D86D0C">
        <w:t xml:space="preserve"> a cost benefit analysis </w:t>
      </w:r>
      <w:r w:rsidR="00FF0508">
        <w:t xml:space="preserve">and options analysis to </w:t>
      </w:r>
      <w:r w:rsidR="00D86D0C" w:rsidRPr="00D86D0C">
        <w:t xml:space="preserve">develop </w:t>
      </w:r>
      <w:r w:rsidR="00D270D9">
        <w:t>th</w:t>
      </w:r>
      <w:r w:rsidR="00E30EC4">
        <w:t>i</w:t>
      </w:r>
      <w:r w:rsidR="00D270D9">
        <w:t>s</w:t>
      </w:r>
      <w:r w:rsidR="00D86D0C" w:rsidRPr="00D86D0C">
        <w:t xml:space="preserve"> </w:t>
      </w:r>
      <w:r w:rsidR="00453DDB">
        <w:t xml:space="preserve">Regulation </w:t>
      </w:r>
      <w:r w:rsidR="00D86D0C" w:rsidRPr="00D86D0C">
        <w:t xml:space="preserve">Impact Statement. </w:t>
      </w:r>
    </w:p>
    <w:p w14:paraId="1F87888E" w14:textId="7E425BB7" w:rsidR="00841EBB" w:rsidRDefault="00C95963" w:rsidP="000919B1">
      <w:pPr>
        <w:jc w:val="left"/>
      </w:pPr>
      <w:r w:rsidRPr="00C95963">
        <w:t xml:space="preserve">Changes in regulation relating to claims on cruise ships will impact on several user groups in different ways. </w:t>
      </w:r>
      <w:r w:rsidR="004647A6">
        <w:t xml:space="preserve">The </w:t>
      </w:r>
      <w:r w:rsidRPr="00C95963">
        <w:t xml:space="preserve">cost benefit analysis considers these groups, with the final assessment based on a national impact. For this analysis, the relevant user groups who </w:t>
      </w:r>
      <w:r w:rsidR="00954CEA">
        <w:t>may be</w:t>
      </w:r>
      <w:r w:rsidRPr="00C95963">
        <w:t xml:space="preserve"> impacted by a change in the regulation were identified as cruise companies, insurance companies, passengers and the government. </w:t>
      </w:r>
      <w:r w:rsidR="00E04769" w:rsidRPr="00E04769">
        <w:t>Consultation for the preparation of this RIS was undertaken with the various stakeholders over the period January to April 2020.</w:t>
      </w:r>
      <w:r w:rsidR="00E04769">
        <w:t xml:space="preserve"> </w:t>
      </w:r>
      <w:r w:rsidRPr="00C95963">
        <w:t xml:space="preserve">A total of </w:t>
      </w:r>
      <w:r w:rsidR="00AC2C3B">
        <w:t>5</w:t>
      </w:r>
      <w:r w:rsidR="00883B7F">
        <w:t xml:space="preserve">4 </w:t>
      </w:r>
      <w:r w:rsidRPr="00C95963">
        <w:t>stakeholders ranging across these stakeholder groups, with the addition of the legal sector, were contacted to obtain feedback on an options paper.</w:t>
      </w:r>
      <w:r w:rsidR="00883B7F" w:rsidRPr="00883B7F">
        <w:t xml:space="preserve"> Of the 54 </w:t>
      </w:r>
      <w:r w:rsidR="00954CEA">
        <w:t xml:space="preserve">stakeholders </w:t>
      </w:r>
      <w:r w:rsidR="00883B7F" w:rsidRPr="00883B7F">
        <w:t>contacted, 24</w:t>
      </w:r>
      <w:r w:rsidR="003D104F" w:rsidRPr="00C95963">
        <w:t xml:space="preserve"> provide</w:t>
      </w:r>
      <w:r w:rsidR="003D104F">
        <w:t>d</w:t>
      </w:r>
      <w:r w:rsidR="003D104F" w:rsidRPr="00C95963">
        <w:t xml:space="preserve"> feedback </w:t>
      </w:r>
      <w:r w:rsidR="003D104F">
        <w:t xml:space="preserve">on </w:t>
      </w:r>
      <w:r w:rsidR="003D104F" w:rsidRPr="00C95963">
        <w:t>the options and cost benefit analys</w:t>
      </w:r>
      <w:r w:rsidR="003D104F">
        <w:t>e</w:t>
      </w:r>
      <w:r w:rsidR="003D104F" w:rsidRPr="00C95963">
        <w:t>s</w:t>
      </w:r>
      <w:r w:rsidR="003D104F">
        <w:t xml:space="preserve"> (See Appendix A and B)</w:t>
      </w:r>
      <w:r w:rsidR="00883B7F" w:rsidRPr="00883B7F">
        <w:t>. Of the 24 engaged, the cruise industry represented 25%, government sector 42%, legal sector at 17%, insurance sector 8% and consumer groups 8%.</w:t>
      </w:r>
      <w:r w:rsidRPr="00C95963">
        <w:t xml:space="preserve"> Consultation with those potentially impacted by regulatory changes provided important information on existing claims processes, insurance arrangements, and the interaction between the Australian Consumer Law (ACL) and </w:t>
      </w:r>
      <w:r w:rsidR="004E52C5">
        <w:t>S</w:t>
      </w:r>
      <w:r w:rsidR="004E52C5" w:rsidRPr="00C95963">
        <w:t>tate</w:t>
      </w:r>
      <w:r w:rsidR="00471466">
        <w:t xml:space="preserve"> / Territory</w:t>
      </w:r>
      <w:r w:rsidR="004E52C5" w:rsidRPr="00C95963">
        <w:t xml:space="preserve"> </w:t>
      </w:r>
      <w:r w:rsidRPr="00C95963">
        <w:t>Civil Liability Acts (</w:t>
      </w:r>
      <w:r w:rsidR="00F4659C">
        <w:t>S</w:t>
      </w:r>
      <w:r w:rsidR="00471466">
        <w:t>T</w:t>
      </w:r>
      <w:r w:rsidRPr="00C95963">
        <w:t>CLAs).</w:t>
      </w:r>
    </w:p>
    <w:p w14:paraId="50CBA34D" w14:textId="4F6E8912" w:rsidR="001B73ED" w:rsidRDefault="00066344" w:rsidP="001B73ED">
      <w:pPr>
        <w:pStyle w:val="Heading2"/>
      </w:pPr>
      <w:bookmarkStart w:id="8" w:name="_Toc36452494"/>
      <w:bookmarkStart w:id="9" w:name="_Toc44659896"/>
      <w:bookmarkEnd w:id="8"/>
      <w:r>
        <w:t>Impact</w:t>
      </w:r>
      <w:bookmarkEnd w:id="9"/>
    </w:p>
    <w:p w14:paraId="6004ED51" w14:textId="7096CA3C" w:rsidR="00E506DB" w:rsidRDefault="00E506DB" w:rsidP="00E506DB">
      <w:r>
        <w:t>For the majority of the impacts discussed, the main differences occur between the current status quo (option</w:t>
      </w:r>
      <w:r w:rsidR="0050422D">
        <w:t xml:space="preserve"> </w:t>
      </w:r>
      <w:r>
        <w:t xml:space="preserve">1) and the options which involve </w:t>
      </w:r>
      <w:r w:rsidR="00453425">
        <w:t xml:space="preserve">acceding </w:t>
      </w:r>
      <w:r>
        <w:t xml:space="preserve">to </w:t>
      </w:r>
      <w:r w:rsidR="00453425">
        <w:t xml:space="preserve">the </w:t>
      </w:r>
      <w:r>
        <w:t>Athens</w:t>
      </w:r>
      <w:r w:rsidR="00453425">
        <w:t xml:space="preserve"> Convention</w:t>
      </w:r>
      <w:r>
        <w:t xml:space="preserve"> (option</w:t>
      </w:r>
      <w:r w:rsidR="0050422D">
        <w:t>s</w:t>
      </w:r>
      <w:r>
        <w:t xml:space="preserve"> </w:t>
      </w:r>
      <w:r w:rsidR="000C7C48">
        <w:t xml:space="preserve">2, </w:t>
      </w:r>
      <w:r>
        <w:t xml:space="preserve">3a, 3b and potentially option 4). Areas assessed included impacts on effort to make a claim, claim frequency and value, insurance costs, passenger numbers and implementation requirements. These impacts were investigated across the </w:t>
      </w:r>
      <w:r w:rsidR="00523807">
        <w:t>different user groups.</w:t>
      </w:r>
    </w:p>
    <w:p w14:paraId="381138CF" w14:textId="50588A73" w:rsidR="00E506DB" w:rsidRDefault="00E506DB" w:rsidP="00E506DB">
      <w:r>
        <w:t xml:space="preserve">Generally, accession to the Athens Convention was assessed as having a neutral impact to Government and the Insurance industry, a beneficial impact to passengers and an adverse impact to the cruise industry. Further considerations are also outlined including a description of the existing complexities between the ACL and </w:t>
      </w:r>
      <w:r w:rsidR="00303348">
        <w:t>ST</w:t>
      </w:r>
      <w:r>
        <w:t xml:space="preserve">CLAs regarding cruise ship claims. </w:t>
      </w:r>
    </w:p>
    <w:p w14:paraId="1BC68A4E" w14:textId="21E06024" w:rsidR="0029271F" w:rsidRDefault="00F81421" w:rsidP="00E506DB">
      <w:r w:rsidRPr="00F81421">
        <w:t xml:space="preserve">Overall, the analysis suggests that there is no strong or urgent case for accession to the Athens Convention. </w:t>
      </w:r>
      <w:r w:rsidR="00E506DB">
        <w:t xml:space="preserve">Considering current events and the short to medium economic impact likely to be experienced by the cruise industry, including implications to financial security, safety compliance, insurance and passenger willingness to travel, </w:t>
      </w:r>
      <w:r w:rsidR="002A484F">
        <w:t>it is recommended that the government</w:t>
      </w:r>
      <w:r w:rsidR="00E506DB">
        <w:t xml:space="preserve"> consider deferring action until the implications become clearer.</w:t>
      </w:r>
    </w:p>
    <w:p w14:paraId="5C297A04" w14:textId="36B362F9" w:rsidR="0017691F" w:rsidRDefault="00C96D8B" w:rsidP="009470F7">
      <w:pPr>
        <w:pStyle w:val="Heading2"/>
      </w:pPr>
      <w:bookmarkStart w:id="10" w:name="_Toc44659897"/>
      <w:r>
        <w:t>Key Findings</w:t>
      </w:r>
      <w:bookmarkEnd w:id="10"/>
    </w:p>
    <w:p w14:paraId="5F505D5F" w14:textId="29184E90" w:rsidR="009470F7" w:rsidRDefault="00793077" w:rsidP="00AB7F03">
      <w:pPr>
        <w:jc w:val="left"/>
      </w:pPr>
      <w:r>
        <w:t xml:space="preserve">Evidence suggests that there is </w:t>
      </w:r>
      <w:r w:rsidR="0039147A">
        <w:t xml:space="preserve">already </w:t>
      </w:r>
      <w:r w:rsidR="009A686F">
        <w:t>adequate</w:t>
      </w:r>
      <w:r>
        <w:t xml:space="preserve"> protection of consumer/passenger rights in Australia through the existing Australian Consumer Law (ACL) and State </w:t>
      </w:r>
      <w:r w:rsidR="00303348">
        <w:t xml:space="preserve">/ Territory </w:t>
      </w:r>
      <w:r>
        <w:t xml:space="preserve">Civil Liability Acts. The disadvantage in maintaining </w:t>
      </w:r>
      <w:r w:rsidR="00C06110">
        <w:t xml:space="preserve">the </w:t>
      </w:r>
      <w:r>
        <w:t xml:space="preserve">status quo largely lies with the consumer (passengers) due to </w:t>
      </w:r>
      <w:r w:rsidR="006972A9">
        <w:t xml:space="preserve">uncertainty </w:t>
      </w:r>
      <w:r>
        <w:t>of coverage for damages, jurisdictional inconsistencies, lack of clarity around extraterritorial application of state</w:t>
      </w:r>
      <w:r w:rsidR="005614A8">
        <w:t xml:space="preserve"> / territory</w:t>
      </w:r>
      <w:r>
        <w:t xml:space="preserve"> laws, and the interaction of ‘recreational activities’ under the ACL. However, acceding to the Athens Convention </w:t>
      </w:r>
      <w:r w:rsidR="009A686F">
        <w:t xml:space="preserve">would </w:t>
      </w:r>
      <w:r>
        <w:t>only partly resolve these issues</w:t>
      </w:r>
      <w:r w:rsidR="002535C6">
        <w:t>:</w:t>
      </w:r>
      <w:r>
        <w:t xml:space="preserve"> namely through mandating </w:t>
      </w:r>
      <w:r w:rsidR="003E75B7">
        <w:t>c</w:t>
      </w:r>
      <w:r w:rsidR="00F03F9D">
        <w:t xml:space="preserve">arrier </w:t>
      </w:r>
      <w:r>
        <w:t>insurance, establishing strict liability limits and providing uniformity o</w:t>
      </w:r>
      <w:r w:rsidR="00757B37">
        <w:t>f</w:t>
      </w:r>
      <w:r>
        <w:t xml:space="preserve"> rights to all passengers</w:t>
      </w:r>
      <w:r w:rsidR="00904624">
        <w:t xml:space="preserve"> where captured by the Athens Convention</w:t>
      </w:r>
      <w:r>
        <w:t xml:space="preserve">. The complexities around the claims process would only be alleviated in part, and further consideration would need to be </w:t>
      </w:r>
      <w:r w:rsidR="009A686F">
        <w:t>given</w:t>
      </w:r>
      <w:r>
        <w:t xml:space="preserve"> to the legislation enacting the Athens Convention to ensure it is explicit as to how damages would be awarded under the regime. </w:t>
      </w:r>
      <w:bookmarkStart w:id="11" w:name="_GoBack"/>
      <w:bookmarkEnd w:id="11"/>
    </w:p>
    <w:p w14:paraId="6C25114B" w14:textId="4FBDDF20" w:rsidR="000E79B8" w:rsidRDefault="005E27CA" w:rsidP="00AB7F03">
      <w:pPr>
        <w:jc w:val="left"/>
      </w:pPr>
      <w:r>
        <w:t xml:space="preserve">Australia’s accession to the Athens Convention would likely </w:t>
      </w:r>
      <w:r w:rsidR="00F86E06">
        <w:t xml:space="preserve">have </w:t>
      </w:r>
      <w:r>
        <w:t>a detrimental impact to the Cruise Industry</w:t>
      </w:r>
      <w:r w:rsidR="00420C67">
        <w:t xml:space="preserve"> in the short to medium term</w:t>
      </w:r>
      <w:r>
        <w:t xml:space="preserve">. Evidence suggests that except for </w:t>
      </w:r>
      <w:r w:rsidR="00DB763F">
        <w:t>unique and complex scenarios, the cruise industry operating in Australia has a</w:t>
      </w:r>
      <w:r w:rsidR="0082036E">
        <w:t xml:space="preserve">n adequate </w:t>
      </w:r>
      <w:r w:rsidR="002E53DB">
        <w:t xml:space="preserve">consumer complaints </w:t>
      </w:r>
      <w:r w:rsidR="002C1B92">
        <w:t xml:space="preserve">resolution </w:t>
      </w:r>
      <w:r w:rsidR="0062725B">
        <w:t>policy and approach</w:t>
      </w:r>
      <w:r w:rsidR="002E53DB">
        <w:t xml:space="preserve"> seeing </w:t>
      </w:r>
      <w:r w:rsidR="0062725B">
        <w:t>most</w:t>
      </w:r>
      <w:r w:rsidR="002E53DB">
        <w:t xml:space="preserve"> claims </w:t>
      </w:r>
      <w:r w:rsidR="0062725B">
        <w:t>resolved</w:t>
      </w:r>
      <w:r w:rsidR="002E53DB">
        <w:t xml:space="preserve"> directly through the company. </w:t>
      </w:r>
      <w:r w:rsidR="000C263E">
        <w:t xml:space="preserve">Most </w:t>
      </w:r>
      <w:r w:rsidR="002E53DB">
        <w:t xml:space="preserve">claims </w:t>
      </w:r>
      <w:r w:rsidR="000578AC">
        <w:t xml:space="preserve">are minor in size and are categorised as ‘hotel claims’ </w:t>
      </w:r>
      <w:r w:rsidR="009F7351">
        <w:t>with payout figures below the</w:t>
      </w:r>
      <w:r w:rsidR="00EE3365">
        <w:t xml:space="preserve"> company’s</w:t>
      </w:r>
      <w:r w:rsidR="009F7351">
        <w:t xml:space="preserve"> </w:t>
      </w:r>
      <w:r w:rsidR="002E53DB">
        <w:t xml:space="preserve">insurance </w:t>
      </w:r>
      <w:r w:rsidR="0062725B">
        <w:t>deductable</w:t>
      </w:r>
      <w:r w:rsidR="002E53DB">
        <w:t xml:space="preserve"> </w:t>
      </w:r>
      <w:r w:rsidR="00EE3365">
        <w:t>(‘excess</w:t>
      </w:r>
      <w:r w:rsidR="000E49A0">
        <w:t>’</w:t>
      </w:r>
      <w:r w:rsidR="00EE3365">
        <w:t xml:space="preserve">) </w:t>
      </w:r>
      <w:r w:rsidR="008D1CAD">
        <w:t>which</w:t>
      </w:r>
      <w:r w:rsidR="000E79B8">
        <w:t xml:space="preserve"> would not </w:t>
      </w:r>
      <w:r w:rsidR="0001653F">
        <w:t xml:space="preserve">be </w:t>
      </w:r>
      <w:r w:rsidR="00EE3365">
        <w:t>affected by</w:t>
      </w:r>
      <w:r w:rsidR="0001653F">
        <w:t xml:space="preserve"> </w:t>
      </w:r>
      <w:r w:rsidR="00C7649A">
        <w:t>Australia’s</w:t>
      </w:r>
      <w:r w:rsidR="000E79B8">
        <w:t xml:space="preserve"> </w:t>
      </w:r>
      <w:r w:rsidR="008D1CAD">
        <w:t xml:space="preserve">accession to the </w:t>
      </w:r>
      <w:r w:rsidR="0001653F">
        <w:t>Athens Convention.</w:t>
      </w:r>
    </w:p>
    <w:p w14:paraId="4DC0E564" w14:textId="7C6FFBFB" w:rsidR="0001653F" w:rsidRDefault="00EE3365" w:rsidP="00AB7F03">
      <w:pPr>
        <w:jc w:val="left"/>
      </w:pPr>
      <w:r>
        <w:t xml:space="preserve">In instances of </w:t>
      </w:r>
      <w:r w:rsidR="00F54635">
        <w:t>serious injury or catastrophic events</w:t>
      </w:r>
      <w:r w:rsidR="006D4843">
        <w:t xml:space="preserve">, the </w:t>
      </w:r>
      <w:r w:rsidR="008D1CAD">
        <w:t xml:space="preserve">Athens Convention would provide some certainty of </w:t>
      </w:r>
      <w:r w:rsidR="00983DD9">
        <w:t>maximum claims per passenger through the Tier 2 upper limit for damages of 400,000 SDR</w:t>
      </w:r>
      <w:r w:rsidR="0070410F">
        <w:t xml:space="preserve">, however, trends suggest that the risk of such an incident for </w:t>
      </w:r>
      <w:r w:rsidR="000078AA">
        <w:t>voyages</w:t>
      </w:r>
      <w:r w:rsidR="0070410F">
        <w:t xml:space="preserve"> operating in Australia are low. </w:t>
      </w:r>
      <w:r w:rsidR="009F370D">
        <w:t xml:space="preserve">Given the perceived adequacy of the existing framework, imposing new regulatory requirements on the industry and </w:t>
      </w:r>
      <w:r w:rsidR="009D7DE1">
        <w:t>consequent re-training</w:t>
      </w:r>
      <w:r w:rsidR="00965AFD">
        <w:t xml:space="preserve"> of legal and customer services staff</w:t>
      </w:r>
      <w:r w:rsidR="009D7DE1">
        <w:t>, redrafting of contracts, operating policies and procedures</w:t>
      </w:r>
      <w:r w:rsidR="008B5F8B" w:rsidRPr="008B5F8B">
        <w:t xml:space="preserve"> </w:t>
      </w:r>
      <w:r w:rsidR="008B5F8B">
        <w:t xml:space="preserve">would </w:t>
      </w:r>
      <w:r w:rsidR="008B5F8B" w:rsidRPr="008B5F8B">
        <w:t xml:space="preserve">impose costs </w:t>
      </w:r>
      <w:r w:rsidR="008B5F8B">
        <w:t xml:space="preserve">on industry </w:t>
      </w:r>
      <w:r w:rsidR="008B5F8B" w:rsidRPr="008B5F8B">
        <w:t>without necessarily providing any substantial benefits for customers</w:t>
      </w:r>
      <w:r w:rsidR="008B5F8B">
        <w:t>.</w:t>
      </w:r>
    </w:p>
    <w:p w14:paraId="194E2D61" w14:textId="04E58279" w:rsidR="008D5965" w:rsidRPr="00F03F9D" w:rsidRDefault="00CA33CD" w:rsidP="00AB7F03">
      <w:pPr>
        <w:jc w:val="left"/>
      </w:pPr>
      <w:r>
        <w:t xml:space="preserve">Impacts on the Government and insurance industry sectors were assessed as neutral. </w:t>
      </w:r>
      <w:r w:rsidR="009249CB" w:rsidRPr="009249CB">
        <w:t xml:space="preserve">Consultation with the Australian Maritime Safety Authority </w:t>
      </w:r>
      <w:r w:rsidR="00453425">
        <w:t xml:space="preserve">(AMSA) </w:t>
      </w:r>
      <w:r w:rsidR="009249CB" w:rsidRPr="009249CB">
        <w:t xml:space="preserve">indicated that existing compliance </w:t>
      </w:r>
      <w:r w:rsidR="00453425">
        <w:t xml:space="preserve">processes </w:t>
      </w:r>
      <w:r w:rsidR="006B6C07">
        <w:t>would handle compliance around</w:t>
      </w:r>
      <w:r w:rsidR="009249CB" w:rsidRPr="009249CB">
        <w:t xml:space="preserve"> Athens Convention </w:t>
      </w:r>
      <w:r w:rsidR="006B6C07">
        <w:t>requirements with</w:t>
      </w:r>
      <w:r w:rsidR="009249CB" w:rsidRPr="009249CB">
        <w:t xml:space="preserve"> little additional regulatory cost. The Government may </w:t>
      </w:r>
      <w:r w:rsidR="009249CB">
        <w:t>incur some costs associate</w:t>
      </w:r>
      <w:r w:rsidR="006B6C07">
        <w:t>d</w:t>
      </w:r>
      <w:r w:rsidR="009249CB">
        <w:t xml:space="preserve"> with the drafting and implementation of new legislation and may </w:t>
      </w:r>
      <w:r w:rsidR="009249CB" w:rsidRPr="009249CB">
        <w:t xml:space="preserve">derive some benefit from their </w:t>
      </w:r>
      <w:r w:rsidR="009249CB" w:rsidRPr="00F03F9D">
        <w:t>regulations being in line with other countries</w:t>
      </w:r>
      <w:r w:rsidR="002C5193" w:rsidRPr="00F03F9D">
        <w:t xml:space="preserve">. </w:t>
      </w:r>
      <w:r w:rsidR="004B731B" w:rsidRPr="00F03F9D">
        <w:t xml:space="preserve">From an international travel perspective, accession to </w:t>
      </w:r>
      <w:r w:rsidR="00032E51" w:rsidRPr="00F03F9D">
        <w:t xml:space="preserve">the </w:t>
      </w:r>
      <w:r w:rsidR="004B731B" w:rsidRPr="00F03F9D">
        <w:t>Athens Convention could contribute to consistency of international agreements and promote international conformity, like the Montreal Convention. Simply put, an Australian traveling internationally by air or sea</w:t>
      </w:r>
      <w:r w:rsidR="00904624" w:rsidRPr="00F03F9D">
        <w:t>, where captured under the Athens Convention,</w:t>
      </w:r>
      <w:r w:rsidR="004B731B" w:rsidRPr="00F03F9D">
        <w:t xml:space="preserve"> could be assured a uniform process and coverage to a similar value for personal injury, regardless of their mode of travel.</w:t>
      </w:r>
    </w:p>
    <w:p w14:paraId="5B2C258F" w14:textId="5A03F482" w:rsidR="00E477E3" w:rsidRPr="00F03F9D" w:rsidRDefault="00CB7EE3" w:rsidP="00AB7F03">
      <w:pPr>
        <w:jc w:val="left"/>
      </w:pPr>
      <w:r w:rsidRPr="00F03F9D">
        <w:t>S</w:t>
      </w:r>
      <w:r w:rsidR="00E477E3" w:rsidRPr="00F03F9D">
        <w:t xml:space="preserve">takeholder engagement suggested that insurance companies would proportionally pass on any changes to insurance premiums to the cruise industry </w:t>
      </w:r>
      <w:r w:rsidR="00983255" w:rsidRPr="00F03F9D">
        <w:t xml:space="preserve">and may also benefit </w:t>
      </w:r>
      <w:r w:rsidR="007F4398" w:rsidRPr="00F03F9D">
        <w:t>from</w:t>
      </w:r>
      <w:r w:rsidR="00983255" w:rsidRPr="00F03F9D">
        <w:t xml:space="preserve"> alignment </w:t>
      </w:r>
      <w:r w:rsidR="006B6C07" w:rsidRPr="00F03F9D">
        <w:t>with</w:t>
      </w:r>
      <w:r w:rsidR="00983255" w:rsidRPr="00F03F9D">
        <w:t xml:space="preserve"> other </w:t>
      </w:r>
      <w:r w:rsidR="008341C5" w:rsidRPr="00F03F9D">
        <w:t>countries</w:t>
      </w:r>
      <w:r w:rsidR="007F4398" w:rsidRPr="00F03F9D">
        <w:t xml:space="preserve"> and consistency amongst its P&amp;I member group. </w:t>
      </w:r>
    </w:p>
    <w:p w14:paraId="1742F159" w14:textId="77777777" w:rsidR="00487CEC" w:rsidRPr="00F03F9D" w:rsidRDefault="00487CEC" w:rsidP="00373445">
      <w:pPr>
        <w:jc w:val="left"/>
      </w:pPr>
      <w:r w:rsidRPr="00F03F9D">
        <w:t>Upon reviewing the impact assessment, the Australian Competition and Consumer Commission (ACCC) concurred with the analysis that there is already adequate protection of consumer rights in Australia through the ACL. In addition, although the ACCC’s enforcement and compliance work is designed to encourage sector- and economy-wide compliance with the CCA rather than resolving individual complaints, in principle the ACCC supports Australia’s accession to the Athens Convention and other associated legislative amendments that would give consumers greater clarity and certainty when enforcing their rights.</w:t>
      </w:r>
    </w:p>
    <w:p w14:paraId="29A0A41A" w14:textId="77777777" w:rsidR="00123A27" w:rsidRPr="00F03F9D" w:rsidRDefault="004B731B" w:rsidP="00483B2B">
      <w:pPr>
        <w:spacing w:after="0"/>
        <w:jc w:val="left"/>
        <w:rPr>
          <w:rFonts w:eastAsia="Times New Roman"/>
          <w:color w:val="auto"/>
          <w:szCs w:val="20"/>
        </w:rPr>
      </w:pPr>
      <w:r w:rsidRPr="00F03F9D">
        <w:rPr>
          <w:rFonts w:eastAsia="Times New Roman"/>
          <w:color w:val="auto"/>
          <w:szCs w:val="20"/>
        </w:rPr>
        <w:t xml:space="preserve">Whilst there are clear benefits to passengers if Australia were to accede to </w:t>
      </w:r>
      <w:r w:rsidR="00453425" w:rsidRPr="00F03F9D">
        <w:rPr>
          <w:rFonts w:eastAsia="Times New Roman"/>
          <w:color w:val="auto"/>
          <w:szCs w:val="20"/>
        </w:rPr>
        <w:t xml:space="preserve">the </w:t>
      </w:r>
      <w:r w:rsidRPr="00F03F9D">
        <w:rPr>
          <w:rFonts w:eastAsia="Times New Roman"/>
          <w:color w:val="auto"/>
          <w:szCs w:val="20"/>
        </w:rPr>
        <w:t>Athens</w:t>
      </w:r>
      <w:r w:rsidR="00453425" w:rsidRPr="00F03F9D">
        <w:rPr>
          <w:rFonts w:eastAsia="Times New Roman"/>
          <w:color w:val="auto"/>
          <w:szCs w:val="20"/>
        </w:rPr>
        <w:t xml:space="preserve"> Convention</w:t>
      </w:r>
      <w:r w:rsidRPr="00F03F9D">
        <w:rPr>
          <w:rFonts w:eastAsia="Times New Roman"/>
          <w:color w:val="auto"/>
          <w:szCs w:val="20"/>
        </w:rPr>
        <w:t xml:space="preserve">, </w:t>
      </w:r>
      <w:r w:rsidR="00483B2B" w:rsidRPr="00F03F9D">
        <w:rPr>
          <w:rFonts w:eastAsia="Times New Roman"/>
          <w:color w:val="auto"/>
          <w:szCs w:val="20"/>
        </w:rPr>
        <w:t xml:space="preserve">there is no strong or urgent case for government action. The moderate benefits for passengers could be outweighed by the regulatory burden imposed on the cruise industry, and the cost to government of reviewing Australian consumer law and the State </w:t>
      </w:r>
      <w:r w:rsidR="002178D5" w:rsidRPr="00F03F9D">
        <w:rPr>
          <w:rFonts w:eastAsia="Times New Roman"/>
          <w:color w:val="auto"/>
          <w:szCs w:val="20"/>
        </w:rPr>
        <w:t xml:space="preserve">/ Territory </w:t>
      </w:r>
      <w:r w:rsidR="00483B2B" w:rsidRPr="00F03F9D">
        <w:rPr>
          <w:rFonts w:eastAsia="Times New Roman"/>
          <w:color w:val="auto"/>
          <w:szCs w:val="20"/>
        </w:rPr>
        <w:t xml:space="preserve">civil liability limitations, so as to ensure uniformity with Australian laws. </w:t>
      </w:r>
    </w:p>
    <w:p w14:paraId="201E39E7" w14:textId="77777777" w:rsidR="00016322" w:rsidRPr="00F03F9D" w:rsidRDefault="00016322" w:rsidP="00483B2B">
      <w:pPr>
        <w:spacing w:after="0"/>
        <w:jc w:val="left"/>
        <w:rPr>
          <w:rFonts w:eastAsia="Times New Roman"/>
          <w:color w:val="auto"/>
          <w:szCs w:val="20"/>
        </w:rPr>
      </w:pPr>
    </w:p>
    <w:p w14:paraId="153119D1" w14:textId="12C453E3" w:rsidR="00483B2B" w:rsidRPr="00F03F9D" w:rsidRDefault="00E0190E" w:rsidP="00483B2B">
      <w:pPr>
        <w:spacing w:after="0"/>
        <w:jc w:val="left"/>
        <w:rPr>
          <w:rFonts w:eastAsia="Times New Roman"/>
          <w:color w:val="auto"/>
          <w:szCs w:val="20"/>
        </w:rPr>
      </w:pPr>
      <w:r w:rsidRPr="00F03F9D">
        <w:rPr>
          <w:rFonts w:eastAsia="Times New Roman"/>
          <w:color w:val="auto"/>
          <w:szCs w:val="20"/>
        </w:rPr>
        <w:t xml:space="preserve">As stated above, this conclusion was reached based on analysis prior to the effects of the COVID-19 pandemic. The pandemic </w:t>
      </w:r>
      <w:r w:rsidR="004401A6" w:rsidRPr="00F03F9D">
        <w:rPr>
          <w:rFonts w:eastAsia="Times New Roman"/>
          <w:color w:val="auto"/>
          <w:szCs w:val="20"/>
        </w:rPr>
        <w:t xml:space="preserve">is likely to have major and ongoing impacts </w:t>
      </w:r>
      <w:r w:rsidRPr="00F03F9D">
        <w:rPr>
          <w:rFonts w:eastAsia="Times New Roman"/>
          <w:color w:val="auto"/>
          <w:szCs w:val="20"/>
        </w:rPr>
        <w:t>on the cruise ship industry</w:t>
      </w:r>
      <w:r w:rsidR="004401A6" w:rsidRPr="00F03F9D">
        <w:rPr>
          <w:rFonts w:eastAsia="Times New Roman"/>
          <w:color w:val="auto"/>
          <w:szCs w:val="20"/>
        </w:rPr>
        <w:t xml:space="preserve">, and </w:t>
      </w:r>
      <w:r w:rsidR="00762672" w:rsidRPr="00F03F9D">
        <w:rPr>
          <w:rFonts w:eastAsia="Times New Roman"/>
          <w:color w:val="auto"/>
          <w:szCs w:val="20"/>
        </w:rPr>
        <w:t xml:space="preserve">the effects of additional regulation </w:t>
      </w:r>
      <w:r w:rsidR="0090105E" w:rsidRPr="00F03F9D">
        <w:rPr>
          <w:rFonts w:eastAsia="Times New Roman"/>
          <w:color w:val="auto"/>
          <w:szCs w:val="20"/>
        </w:rPr>
        <w:t>may</w:t>
      </w:r>
      <w:r w:rsidR="00762672" w:rsidRPr="00F03F9D">
        <w:rPr>
          <w:rFonts w:eastAsia="Times New Roman"/>
          <w:color w:val="auto"/>
          <w:szCs w:val="20"/>
        </w:rPr>
        <w:t xml:space="preserve"> be </w:t>
      </w:r>
      <w:r w:rsidR="00F277C7" w:rsidRPr="00F03F9D">
        <w:rPr>
          <w:rFonts w:eastAsia="Times New Roman"/>
          <w:color w:val="auto"/>
          <w:szCs w:val="20"/>
        </w:rPr>
        <w:t>felt more by the industry.</w:t>
      </w:r>
    </w:p>
    <w:p w14:paraId="5056A4F3" w14:textId="77777777" w:rsidR="00E0190E" w:rsidRPr="00F03F9D" w:rsidRDefault="00E0190E" w:rsidP="00483B2B">
      <w:pPr>
        <w:spacing w:after="0"/>
        <w:jc w:val="left"/>
        <w:rPr>
          <w:rFonts w:eastAsia="Times New Roman"/>
          <w:color w:val="auto"/>
          <w:szCs w:val="20"/>
        </w:rPr>
      </w:pPr>
    </w:p>
    <w:p w14:paraId="1E97F654" w14:textId="391A5D65" w:rsidR="00483B2B" w:rsidRDefault="00E0190E" w:rsidP="007C457A">
      <w:pPr>
        <w:jc w:val="left"/>
        <w:rPr>
          <w:rFonts w:eastAsia="Times New Roman"/>
          <w:color w:val="auto"/>
          <w:szCs w:val="20"/>
        </w:rPr>
      </w:pPr>
      <w:r w:rsidRPr="00F03F9D">
        <w:rPr>
          <w:szCs w:val="20"/>
        </w:rPr>
        <w:t>During the finalisation of this RIS, it is clear that there is some significant legal action underway regarding the liability of cruise ships. Three cases have the potential to shed light on the ease by which a complainant can take a case against a cruise ship company</w:t>
      </w:r>
      <w:r w:rsidR="00431F01" w:rsidRPr="00F03F9D">
        <w:rPr>
          <w:szCs w:val="20"/>
        </w:rPr>
        <w:t>, and the results of th</w:t>
      </w:r>
      <w:r w:rsidR="00821350" w:rsidRPr="00F03F9D">
        <w:rPr>
          <w:szCs w:val="20"/>
        </w:rPr>
        <w:t>ese complaints</w:t>
      </w:r>
      <w:r w:rsidRPr="00F03F9D">
        <w:rPr>
          <w:szCs w:val="20"/>
        </w:rPr>
        <w:t>. The first is a case considered by the High Court of Australia regarding compensation for disappointment in a cruise</w:t>
      </w:r>
      <w:r w:rsidR="00403A84" w:rsidRPr="00F03F9D">
        <w:rPr>
          <w:rStyle w:val="FootnoteReference"/>
          <w:szCs w:val="20"/>
        </w:rPr>
        <w:footnoteReference w:id="5"/>
      </w:r>
      <w:r w:rsidRPr="00F03F9D">
        <w:rPr>
          <w:szCs w:val="20"/>
        </w:rPr>
        <w:t>. The second is a class action being prepared against Royal Caribbean regarding the multiple fatalities during an excursion on White Island</w:t>
      </w:r>
      <w:r w:rsidR="00403A84" w:rsidRPr="00F03F9D">
        <w:rPr>
          <w:rStyle w:val="FootnoteReference"/>
          <w:szCs w:val="20"/>
        </w:rPr>
        <w:footnoteReference w:id="6"/>
      </w:r>
      <w:r w:rsidRPr="00F03F9D">
        <w:rPr>
          <w:szCs w:val="20"/>
        </w:rPr>
        <w:t>. The third is a class action being prepared against Carnival Australia regarding the operation of the Ruby Princess and its relationship to COVID-19 infections</w:t>
      </w:r>
      <w:r w:rsidR="007C457A" w:rsidRPr="00F03F9D">
        <w:rPr>
          <w:rStyle w:val="FootnoteReference"/>
          <w:szCs w:val="20"/>
        </w:rPr>
        <w:footnoteReference w:id="7"/>
      </w:r>
      <w:r w:rsidRPr="00F03F9D">
        <w:rPr>
          <w:szCs w:val="20"/>
        </w:rPr>
        <w:t xml:space="preserve">. </w:t>
      </w:r>
      <w:r w:rsidR="007C457A" w:rsidRPr="00F03F9D">
        <w:rPr>
          <w:szCs w:val="20"/>
        </w:rPr>
        <w:t xml:space="preserve"> </w:t>
      </w:r>
      <w:r w:rsidR="000473E1" w:rsidRPr="00F03F9D">
        <w:rPr>
          <w:szCs w:val="20"/>
        </w:rPr>
        <w:t>Given the changing circumstances</w:t>
      </w:r>
      <w:r w:rsidR="00A22EA1" w:rsidRPr="00F03F9D">
        <w:rPr>
          <w:szCs w:val="20"/>
        </w:rPr>
        <w:t xml:space="preserve"> and uncertainty over the shape of the cruise industry post-COVID 19</w:t>
      </w:r>
      <w:r w:rsidR="000473E1" w:rsidRPr="00F03F9D">
        <w:rPr>
          <w:szCs w:val="20"/>
        </w:rPr>
        <w:t xml:space="preserve">, the current legal action, and the </w:t>
      </w:r>
      <w:r w:rsidR="00303A3E" w:rsidRPr="00F03F9D">
        <w:rPr>
          <w:szCs w:val="20"/>
        </w:rPr>
        <w:t xml:space="preserve">lack of an urgent case for change, </w:t>
      </w:r>
      <w:r w:rsidR="003954F9" w:rsidRPr="00F03F9D">
        <w:rPr>
          <w:szCs w:val="20"/>
        </w:rPr>
        <w:t xml:space="preserve">it may be beneficial to revisit the assessment of the regulatory impact of accession to the Athens Convention at a later date. </w:t>
      </w:r>
    </w:p>
    <w:p w14:paraId="4E067AD5" w14:textId="171B24A0" w:rsidR="00C318A5" w:rsidRDefault="00F42029" w:rsidP="00D018A4">
      <w:pPr>
        <w:pStyle w:val="Heading1"/>
      </w:pPr>
      <w:bookmarkStart w:id="12" w:name="_Toc44659898"/>
      <w:r>
        <w:t>Introduction</w:t>
      </w:r>
      <w:bookmarkEnd w:id="12"/>
    </w:p>
    <w:p w14:paraId="4D5E0DDC" w14:textId="0E613A84" w:rsidR="00C13277" w:rsidRDefault="00C13277" w:rsidP="00C13277">
      <w:pPr>
        <w:jc w:val="left"/>
      </w:pPr>
      <w:r w:rsidRPr="009A7529">
        <w:t>The</w:t>
      </w:r>
      <w:r>
        <w:t xml:space="preserve"> 1974</w:t>
      </w:r>
      <w:r w:rsidRPr="009A7529">
        <w:t xml:space="preserve"> Athens Convention</w:t>
      </w:r>
      <w:r>
        <w:t>, and its successor the 2002 Protocol,</w:t>
      </w:r>
      <w:r w:rsidRPr="009A7529">
        <w:t xml:space="preserve"> establishes a comprehensive integrated system to govern the liability of cruise ship operators for personal injuries and property damage sustained by </w:t>
      </w:r>
      <w:r>
        <w:t>cruise ship</w:t>
      </w:r>
      <w:r w:rsidRPr="009A7529">
        <w:t xml:space="preserve"> passengers. It contains standards for establishing liability and permissible defences as well as its own statute of limitations and venue provisions</w:t>
      </w:r>
      <w:r>
        <w:t xml:space="preserve">. </w:t>
      </w:r>
    </w:p>
    <w:p w14:paraId="2C468106" w14:textId="3A458472" w:rsidR="00C13277" w:rsidRDefault="00C13277" w:rsidP="00C13277">
      <w:pPr>
        <w:jc w:val="left"/>
      </w:pPr>
      <w:r w:rsidRPr="000C79B0">
        <w:t>The Athens Convention establishe</w:t>
      </w:r>
      <w:r>
        <w:t>s</w:t>
      </w:r>
      <w:r w:rsidRPr="000C79B0">
        <w:t xml:space="preserve"> a fault-based liability regime for damage and injuries suffered by passengers at sea</w:t>
      </w:r>
      <w:r>
        <w:t xml:space="preserve"> during international carriage</w:t>
      </w:r>
      <w:r w:rsidRPr="000C79B0">
        <w:t xml:space="preserve">. In </w:t>
      </w:r>
      <w:r w:rsidR="00A07A21">
        <w:t>non</w:t>
      </w:r>
      <w:r w:rsidR="00AD4A66">
        <w:t>-</w:t>
      </w:r>
      <w:r w:rsidR="00A07A21">
        <w:t xml:space="preserve"> </w:t>
      </w:r>
      <w:r w:rsidRPr="000C79B0">
        <w:t>“</w:t>
      </w:r>
      <w:r w:rsidR="000E5E05">
        <w:t>shipping incident</w:t>
      </w:r>
      <w:r w:rsidRPr="000C79B0">
        <w:t>” cases</w:t>
      </w:r>
      <w:r w:rsidR="00192D63">
        <w:rPr>
          <w:rStyle w:val="FootnoteReference"/>
        </w:rPr>
        <w:footnoteReference w:id="8"/>
      </w:r>
      <w:r w:rsidR="00C949F1">
        <w:t xml:space="preserve"> (e.g. “hotel claims”)</w:t>
      </w:r>
      <w:r w:rsidRPr="000C79B0">
        <w:t>, the passenger has the burden of proving the fault or neglect of the carrier and the extent of the loss or damage suffered. On the other hand, in “</w:t>
      </w:r>
      <w:r w:rsidR="007060D1">
        <w:t>shipping incidents</w:t>
      </w:r>
      <w:r w:rsidRPr="000C79B0">
        <w:t xml:space="preserve">” </w:t>
      </w:r>
      <w:r w:rsidR="00120FCA">
        <w:t>cases</w:t>
      </w:r>
      <w:r w:rsidRPr="000C79B0">
        <w:t>, such as shipwreck,</w:t>
      </w:r>
      <w:r>
        <w:t xml:space="preserve"> capsizing,</w:t>
      </w:r>
      <w:r w:rsidRPr="000C79B0">
        <w:t xml:space="preserve"> collision, stranding, explosion, fire or defects in the ship, the burden of proof shifts from the passenger to the carrier. </w:t>
      </w:r>
    </w:p>
    <w:p w14:paraId="5A83F122" w14:textId="7B0DAD54" w:rsidR="00C13277" w:rsidRDefault="00C13277" w:rsidP="00C13277">
      <w:pPr>
        <w:jc w:val="left"/>
      </w:pPr>
      <w:r w:rsidRPr="00BA58A1">
        <w:rPr>
          <w:i/>
          <w:iCs/>
          <w:noProof/>
        </w:rPr>
        <mc:AlternateContent>
          <mc:Choice Requires="wps">
            <w:drawing>
              <wp:anchor distT="0" distB="0" distL="457200" distR="118745" simplePos="0" relativeHeight="251658244" behindDoc="0" locked="0" layoutInCell="0" allowOverlap="1" wp14:anchorId="7646D982" wp14:editId="494EA16F">
                <wp:simplePos x="0" y="0"/>
                <wp:positionH relativeFrom="margin">
                  <wp:posOffset>-635</wp:posOffset>
                </wp:positionH>
                <wp:positionV relativeFrom="paragraph">
                  <wp:posOffset>180975</wp:posOffset>
                </wp:positionV>
                <wp:extent cx="5610225" cy="1257935"/>
                <wp:effectExtent l="0" t="0" r="0" b="0"/>
                <wp:wrapSquare wrapText="bothSides"/>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257935"/>
                        </a:xfrm>
                        <a:prstGeom prst="rect">
                          <a:avLst/>
                        </a:prstGeom>
                        <a:noFill/>
                        <a:ln w="15875">
                          <a:noFill/>
                        </a:ln>
                      </wps:spPr>
                      <wps:style>
                        <a:lnRef idx="0">
                          <a:scrgbClr r="0" g="0" b="0"/>
                        </a:lnRef>
                        <a:fillRef idx="1003">
                          <a:schemeClr val="lt1"/>
                        </a:fillRef>
                        <a:effectRef idx="0">
                          <a:scrgbClr r="0" g="0" b="0"/>
                        </a:effectRef>
                        <a:fontRef idx="major"/>
                      </wps:style>
                      <wps:txbx>
                        <w:txbxContent>
                          <w:p w14:paraId="75C85A24" w14:textId="77777777" w:rsidR="00EC194F" w:rsidRPr="00D40E3D" w:rsidRDefault="00EC194F" w:rsidP="00C13277">
                            <w:pPr>
                              <w:pBdr>
                                <w:left w:val="single" w:sz="4" w:space="9" w:color="3494BA" w:themeColor="accent1"/>
                              </w:pBdr>
                              <w:rPr>
                                <w:rFonts w:eastAsiaTheme="majorEastAsia"/>
                                <w:color w:val="276E8B" w:themeColor="accent1" w:themeShade="BF"/>
                                <w:szCs w:val="20"/>
                              </w:rPr>
                            </w:pPr>
                            <w:r w:rsidRPr="00D40E3D">
                              <w:rPr>
                                <w:rFonts w:eastAsiaTheme="majorEastAsia"/>
                                <w:color w:val="276E8B" w:themeColor="accent1" w:themeShade="BF"/>
                                <w:szCs w:val="20"/>
                              </w:rPr>
                              <w:t>Article 2 – Application</w:t>
                            </w:r>
                          </w:p>
                          <w:p w14:paraId="223717A8" w14:textId="77777777" w:rsidR="00EC194F" w:rsidRPr="00D40E3D" w:rsidRDefault="00EC194F" w:rsidP="00C13277">
                            <w:pPr>
                              <w:pBdr>
                                <w:left w:val="single" w:sz="4" w:space="9" w:color="3494BA" w:themeColor="accent1"/>
                              </w:pBdr>
                              <w:jc w:val="left"/>
                              <w:rPr>
                                <w:color w:val="276E8B" w:themeColor="accent1" w:themeShade="BF"/>
                                <w:szCs w:val="20"/>
                              </w:rPr>
                            </w:pPr>
                            <w:r w:rsidRPr="00D40E3D">
                              <w:rPr>
                                <w:i/>
                                <w:iCs/>
                                <w:color w:val="276E8B" w:themeColor="accent1" w:themeShade="BF"/>
                              </w:rPr>
                              <w:t>This Convention shall apply to any international carriage if:</w:t>
                            </w:r>
                            <w:r w:rsidRPr="00D40E3D">
                              <w:rPr>
                                <w:i/>
                                <w:iCs/>
                                <w:color w:val="276E8B" w:themeColor="accent1" w:themeShade="BF"/>
                              </w:rPr>
                              <w:br/>
                              <w:t>(a) the ship is flying the flag of or is registered in a State Party to this Convention, or</w:t>
                            </w:r>
                            <w:r w:rsidRPr="00D40E3D">
                              <w:rPr>
                                <w:i/>
                                <w:iCs/>
                                <w:color w:val="276E8B" w:themeColor="accent1" w:themeShade="BF"/>
                              </w:rPr>
                              <w:br/>
                              <w:t>(b) the contract of carriage has been made in a State Party to this Convention, or</w:t>
                            </w:r>
                            <w:r w:rsidRPr="00D40E3D">
                              <w:rPr>
                                <w:i/>
                                <w:iCs/>
                                <w:color w:val="276E8B" w:themeColor="accent1" w:themeShade="BF"/>
                              </w:rPr>
                              <w:br/>
                              <w:t>(c) the place of departure or destination, according to the contract of carriage, is in a State Party to this Convention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46D982" id="_x0000_s1027" style="position:absolute;margin-left:-.05pt;margin-top:14.25pt;width:441.75pt;height:99.05pt;z-index:251658244;visibility:visible;mso-wrap-style:square;mso-width-percent:0;mso-height-percent:0;mso-wrap-distance-left:36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" o:allowincell="f" filled="f" stroked="f" strokeweight="1.25pt">
                <v:textbox inset=",7.2pt,,7.2pt">
                  <w:txbxContent>
                    <w:p w14:paraId="75C85A24" w14:textId="77777777" w:rsidR="00EC194F" w:rsidRPr="00D40E3D" w:rsidRDefault="00EC194F" w:rsidP="00C13277">
                      <w:pPr>
                        <w:pBdr>
                          <w:left w:val="single" w:sz="4" w:space="9" w:color="3494BA" w:themeColor="accent1"/>
                        </w:pBdr>
                        <w:rPr>
                          <w:rFonts w:eastAsiaTheme="majorEastAsia"/>
                          <w:color w:val="276E8B" w:themeColor="accent1" w:themeShade="BF"/>
                          <w:szCs w:val="20"/>
                        </w:rPr>
                      </w:pPr>
                      <w:r w:rsidRPr="00D40E3D">
                        <w:rPr>
                          <w:rFonts w:eastAsiaTheme="majorEastAsia"/>
                          <w:color w:val="276E8B" w:themeColor="accent1" w:themeShade="BF"/>
                          <w:szCs w:val="20"/>
                        </w:rPr>
                        <w:t>Article 2 – Application</w:t>
                      </w:r>
                    </w:p>
                    <w:p w14:paraId="223717A8" w14:textId="77777777" w:rsidR="00EC194F" w:rsidRPr="00D40E3D" w:rsidRDefault="00EC194F" w:rsidP="00C13277">
                      <w:pPr>
                        <w:pBdr>
                          <w:left w:val="single" w:sz="4" w:space="9" w:color="3494BA" w:themeColor="accent1"/>
                        </w:pBdr>
                        <w:jc w:val="left"/>
                        <w:rPr>
                          <w:color w:val="276E8B" w:themeColor="accent1" w:themeShade="BF"/>
                          <w:szCs w:val="20"/>
                        </w:rPr>
                      </w:pPr>
                      <w:r w:rsidRPr="00D40E3D">
                        <w:rPr>
                          <w:i/>
                          <w:iCs/>
                          <w:color w:val="276E8B" w:themeColor="accent1" w:themeShade="BF"/>
                        </w:rPr>
                        <w:t>This Convention shall apply to any international carriage if:</w:t>
                      </w:r>
                      <w:r w:rsidRPr="00D40E3D">
                        <w:rPr>
                          <w:i/>
                          <w:iCs/>
                          <w:color w:val="276E8B" w:themeColor="accent1" w:themeShade="BF"/>
                        </w:rPr>
                        <w:br/>
                        <w:t>(a) the ship is flying the flag of or is registered in a State Party to this Convention, or</w:t>
                      </w:r>
                      <w:r w:rsidRPr="00D40E3D">
                        <w:rPr>
                          <w:i/>
                          <w:iCs/>
                          <w:color w:val="276E8B" w:themeColor="accent1" w:themeShade="BF"/>
                        </w:rPr>
                        <w:br/>
                        <w:t>(b) the contract of carriage has been made in a State Party to this Convention, or</w:t>
                      </w:r>
                      <w:r w:rsidRPr="00D40E3D">
                        <w:rPr>
                          <w:i/>
                          <w:iCs/>
                          <w:color w:val="276E8B" w:themeColor="accent1" w:themeShade="BF"/>
                        </w:rPr>
                        <w:br/>
                        <w:t>(c) the place of departure or destination, according to the contract of carriage, is in a State Party to this Convention</w:t>
                      </w:r>
                    </w:p>
                  </w:txbxContent>
                </v:textbox>
                <w10:wrap type="square" anchorx="margin"/>
              </v:rect>
            </w:pict>
          </mc:Fallback>
        </mc:AlternateContent>
      </w:r>
    </w:p>
    <w:p w14:paraId="3853C9CF" w14:textId="77777777" w:rsidR="00C13277" w:rsidRDefault="00C13277" w:rsidP="00C13277">
      <w:pPr>
        <w:jc w:val="left"/>
      </w:pPr>
    </w:p>
    <w:p w14:paraId="27D07D53" w14:textId="3FCD50C6" w:rsidR="00C13277" w:rsidRDefault="00C13277" w:rsidP="00C13277">
      <w:pPr>
        <w:jc w:val="left"/>
      </w:pPr>
      <w:r>
        <w:t xml:space="preserve">Australia is currently a party to the Convention </w:t>
      </w:r>
      <w:r w:rsidRPr="00024112">
        <w:t>on Limitation of Liability for Maritime Claims (LLMC</w:t>
      </w:r>
      <w:r w:rsidR="00553921">
        <w:t xml:space="preserve"> Convention</w:t>
      </w:r>
      <w:r w:rsidRPr="00024112">
        <w:t>)</w:t>
      </w:r>
      <w:r>
        <w:t xml:space="preserve"> which provides a ‘global liability limit’ to a ship whereas the Athens Convention applies a ‘per passenger limit’. The global liability limit under the LLMC Convention is set at 175,000 SDR multiplied by the ship’s certified passenger capacity for passenger liability. The </w:t>
      </w:r>
      <w:r w:rsidR="00430991">
        <w:t xml:space="preserve">Tier 1 </w:t>
      </w:r>
      <w:r>
        <w:t xml:space="preserve">per passenger liability limit under </w:t>
      </w:r>
      <w:r w:rsidR="00553921">
        <w:t xml:space="preserve">the </w:t>
      </w:r>
      <w:r>
        <w:t>Athens</w:t>
      </w:r>
      <w:r w:rsidR="00553921">
        <w:t xml:space="preserve"> Convention</w:t>
      </w:r>
      <w:r>
        <w:t xml:space="preserve"> is 250,000 SDR (2002 Protocol). As such, depending on the size of the ship and the number of passengers it is authorised to carry, compensation for passengers under the Athens Convention could, if the LLMC Convention limit did not apply, be significantly higher than what is currently permitted under the LLMC Convention.</w:t>
      </w:r>
      <w:r w:rsidR="006310A4">
        <w:t xml:space="preserve"> T</w:t>
      </w:r>
      <w:r w:rsidR="00C20709">
        <w:t xml:space="preserve">he LLMC Convention </w:t>
      </w:r>
      <w:r w:rsidR="006310A4">
        <w:t>has the capacity to provide</w:t>
      </w:r>
      <w:r w:rsidR="00C20709">
        <w:t xml:space="preserve"> higher compensation for passengers on large vessels </w:t>
      </w:r>
      <w:r w:rsidR="005D235C">
        <w:t>that have higher</w:t>
      </w:r>
      <w:r w:rsidR="00C20709">
        <w:t xml:space="preserve"> capacity </w:t>
      </w:r>
      <w:r w:rsidR="005D235C">
        <w:t xml:space="preserve">for passengers, </w:t>
      </w:r>
      <w:r w:rsidR="00C20709">
        <w:t xml:space="preserve">if only a few of those passengers </w:t>
      </w:r>
      <w:r w:rsidR="00C90D59">
        <w:t>file</w:t>
      </w:r>
      <w:r w:rsidR="00C20709">
        <w:t xml:space="preserve"> claims. </w:t>
      </w:r>
    </w:p>
    <w:p w14:paraId="4B84803A" w14:textId="59E1AB04" w:rsidR="00152051" w:rsidRDefault="00152051" w:rsidP="00C13277">
      <w:pPr>
        <w:jc w:val="left"/>
      </w:pPr>
      <w:r>
        <w:t>In addition to the ‘tier 1’ strict liability limit of 250,000 SDR</w:t>
      </w:r>
      <w:r w:rsidR="00696EEF">
        <w:t>,</w:t>
      </w:r>
      <w:r>
        <w:t xml:space="preserve"> Article 7</w:t>
      </w:r>
      <w:r w:rsidR="00484017">
        <w:t>(1)</w:t>
      </w:r>
      <w:r>
        <w:t xml:space="preserve"> of the Athens Convention applies a ‘tier 2’ liability limit of 400,000 SDR. </w:t>
      </w:r>
      <w:r w:rsidR="00484017">
        <w:t>The carrier is not required to hold compulsory insurance for</w:t>
      </w:r>
      <w:r>
        <w:t xml:space="preserve"> the tier </w:t>
      </w:r>
      <w:r w:rsidR="00484017">
        <w:t>2</w:t>
      </w:r>
      <w:r>
        <w:t xml:space="preserve"> liability limit</w:t>
      </w:r>
      <w:r w:rsidR="00484017">
        <w:t xml:space="preserve"> though. Article 7(2) allows a State Party to prescribe a higher national limit of liability, provided that it is not lower than the limit (currently 400,000 SDR) prescribed in Article 7(1). </w:t>
      </w:r>
    </w:p>
    <w:p w14:paraId="0464B132" w14:textId="2CC494CC" w:rsidR="00C13277" w:rsidRPr="000C79B0" w:rsidRDefault="00C13277" w:rsidP="00C13277">
      <w:pPr>
        <w:jc w:val="left"/>
      </w:pPr>
      <w:r>
        <w:t xml:space="preserve">The Athens Convention and the LLMC Convention enable governments to decide whether to limit </w:t>
      </w:r>
      <w:r w:rsidR="003E75B7">
        <w:t>c</w:t>
      </w:r>
      <w:r>
        <w:t>arriers’ liability for personal injury and death under either or both of the Conventions.</w:t>
      </w:r>
    </w:p>
    <w:p w14:paraId="25EE8F0D" w14:textId="51AE52C1" w:rsidR="00C13277" w:rsidRDefault="00C13277" w:rsidP="00C13277">
      <w:pPr>
        <w:spacing w:after="160" w:line="259" w:lineRule="auto"/>
        <w:jc w:val="left"/>
      </w:pPr>
      <w:r w:rsidRPr="007C0721">
        <w:t xml:space="preserve">If Australia were to </w:t>
      </w:r>
      <w:r>
        <w:t xml:space="preserve">accede to </w:t>
      </w:r>
      <w:r w:rsidRPr="007C0721">
        <w:t xml:space="preserve">the Athens Convention, all claims for the recovery of damages for death and personal injury, as well as loss or damage to the passenger's luggage, sustained during the course of international carriage, would be brought into alignment with other </w:t>
      </w:r>
      <w:r w:rsidR="00C03A51">
        <w:t>Parties</w:t>
      </w:r>
      <w:r w:rsidR="001A0D3D">
        <w:t>. This would allow</w:t>
      </w:r>
      <w:r w:rsidRPr="007C0721">
        <w:t xml:space="preserve"> Australia to implement its own </w:t>
      </w:r>
      <w:r w:rsidR="00E14951">
        <w:t>national limit of</w:t>
      </w:r>
      <w:r w:rsidRPr="007C0721">
        <w:t xml:space="preserve"> liability</w:t>
      </w:r>
      <w:r w:rsidR="002B552A">
        <w:t xml:space="preserve"> for death or personal injury</w:t>
      </w:r>
      <w:r w:rsidR="00E14951">
        <w:t xml:space="preserve"> subject to the requirements set out in the Convention</w:t>
      </w:r>
      <w:r w:rsidRPr="007C0721">
        <w:t>.</w:t>
      </w:r>
    </w:p>
    <w:p w14:paraId="4BF2AEED" w14:textId="0C8D25FD" w:rsidR="00C13277" w:rsidRDefault="00C13277" w:rsidP="00C13277">
      <w:pPr>
        <w:spacing w:after="160" w:line="259" w:lineRule="auto"/>
        <w:jc w:val="left"/>
      </w:pPr>
      <w:r>
        <w:t>As of November 2019, 31 State Parties have ratified the Athens Passenger and Luggage (PAL) Protocol 2002</w:t>
      </w:r>
      <w:r>
        <w:rPr>
          <w:rStyle w:val="FootnoteReference"/>
        </w:rPr>
        <w:footnoteReference w:id="9"/>
      </w:r>
      <w:r>
        <w:t xml:space="preserve"> (Athens Convention 2002). Accession to Athens Convention 2002 could contribute to consistency of international agreements and promote international conformity, similar to the Montreal Convention (1999) for air </w:t>
      </w:r>
      <w:r w:rsidR="003E75B7">
        <w:t>c</w:t>
      </w:r>
      <w:r>
        <w:t xml:space="preserve">arrier liability. </w:t>
      </w:r>
    </w:p>
    <w:p w14:paraId="382DA5B2" w14:textId="025045CC" w:rsidR="00C13277" w:rsidRDefault="00C13277" w:rsidP="00C13277">
      <w:pPr>
        <w:spacing w:after="160" w:line="259" w:lineRule="auto"/>
        <w:jc w:val="left"/>
      </w:pPr>
      <w:r>
        <w:t xml:space="preserve">Leading on from the 2017 discussion paper and formal submissions received, the </w:t>
      </w:r>
      <w:r w:rsidRPr="00C61FA1">
        <w:t>Department of Infrastructure, Transport, Regional Development</w:t>
      </w:r>
      <w:r>
        <w:t xml:space="preserve"> and Communications (the Department) is considering four </w:t>
      </w:r>
      <w:r w:rsidR="00195650">
        <w:t xml:space="preserve">policy </w:t>
      </w:r>
      <w:r>
        <w:t xml:space="preserve">options which are outlined </w:t>
      </w:r>
      <w:r w:rsidR="000B55FC">
        <w:t xml:space="preserve">in some detail </w:t>
      </w:r>
      <w:r>
        <w:t xml:space="preserve">and assessed in this paper. The options </w:t>
      </w:r>
      <w:r w:rsidR="000B55FC">
        <w:t>in summary are</w:t>
      </w:r>
      <w:r>
        <w:t>:</w:t>
      </w:r>
    </w:p>
    <w:p w14:paraId="4A3A7135" w14:textId="77777777" w:rsidR="00C13277" w:rsidRDefault="00C13277" w:rsidP="00C13277">
      <w:pPr>
        <w:pStyle w:val="ListParagraph"/>
        <w:numPr>
          <w:ilvl w:val="0"/>
          <w:numId w:val="19"/>
        </w:numPr>
        <w:spacing w:after="160" w:line="259" w:lineRule="auto"/>
        <w:jc w:val="left"/>
      </w:pPr>
      <w:r>
        <w:t>Retain the status quo (i.e. not accede)</w:t>
      </w:r>
    </w:p>
    <w:p w14:paraId="3F15EC66" w14:textId="2EFABFDC" w:rsidR="00C13277" w:rsidRDefault="00C13277" w:rsidP="00C13277">
      <w:pPr>
        <w:pStyle w:val="ListParagraph"/>
        <w:numPr>
          <w:ilvl w:val="0"/>
          <w:numId w:val="19"/>
        </w:numPr>
        <w:spacing w:after="160" w:line="259" w:lineRule="auto"/>
        <w:jc w:val="left"/>
      </w:pPr>
      <w:r w:rsidRPr="00D6222A">
        <w:t xml:space="preserve">Accede to Athens but retain 1996 LLMC global limits, </w:t>
      </w:r>
      <w:r w:rsidR="000058DD">
        <w:t xml:space="preserve">and </w:t>
      </w:r>
      <w:r w:rsidRPr="00D6222A">
        <w:t>opt out of Athens limits</w:t>
      </w:r>
    </w:p>
    <w:p w14:paraId="471ADF58" w14:textId="72387258" w:rsidR="00C13277" w:rsidRDefault="00C13277" w:rsidP="00C13277">
      <w:pPr>
        <w:pStyle w:val="ListParagraph"/>
        <w:numPr>
          <w:ilvl w:val="0"/>
          <w:numId w:val="19"/>
        </w:numPr>
      </w:pPr>
      <w:r>
        <w:t xml:space="preserve">Accede to Athens with either a) </w:t>
      </w:r>
      <w:r w:rsidRPr="00D6222A">
        <w:t>Athens Tier 1 limits with Athens Tier 2 Limits</w:t>
      </w:r>
      <w:r>
        <w:t xml:space="preserve"> or b) </w:t>
      </w:r>
      <w:r w:rsidRPr="001826A7">
        <w:t xml:space="preserve">Athens (Tier 1) limits with </w:t>
      </w:r>
      <w:r w:rsidR="00574C5F">
        <w:t>i</w:t>
      </w:r>
      <w:r w:rsidRPr="001826A7">
        <w:t>ncreased Athens upper limits (Tier 2)</w:t>
      </w:r>
    </w:p>
    <w:p w14:paraId="6CF70816" w14:textId="77777777" w:rsidR="00C13277" w:rsidRDefault="00C13277" w:rsidP="00C13277">
      <w:pPr>
        <w:pStyle w:val="ListParagraph"/>
        <w:numPr>
          <w:ilvl w:val="0"/>
          <w:numId w:val="19"/>
        </w:numPr>
      </w:pPr>
      <w:r w:rsidRPr="000B26CF">
        <w:t xml:space="preserve">Option 2 or 3 and extend to “voyages to nowhere” and smaller </w:t>
      </w:r>
      <w:r>
        <w:t xml:space="preserve">domestic </w:t>
      </w:r>
      <w:r w:rsidRPr="000B26CF">
        <w:t>operators</w:t>
      </w:r>
    </w:p>
    <w:p w14:paraId="5BFE1B04" w14:textId="77777777" w:rsidR="00C13277" w:rsidRDefault="00C13277" w:rsidP="00C13277">
      <w:pPr>
        <w:pStyle w:val="Heading2"/>
        <w:jc w:val="both"/>
      </w:pPr>
      <w:bookmarkStart w:id="13" w:name="_Toc34657046"/>
      <w:bookmarkStart w:id="14" w:name="_Toc44659899"/>
      <w:r>
        <w:t>Context</w:t>
      </w:r>
      <w:bookmarkEnd w:id="13"/>
      <w:bookmarkEnd w:id="14"/>
    </w:p>
    <w:p w14:paraId="724150DF" w14:textId="44ED620F" w:rsidR="006C1806" w:rsidRDefault="006C1806" w:rsidP="00C13277">
      <w:pPr>
        <w:jc w:val="left"/>
      </w:pPr>
      <w:r w:rsidRPr="006C1806">
        <w:t xml:space="preserve">The global cruise ship industry carried nearly 29 million passengers in 2017, equating to roughly 1 million additional passengers each year since 2009. A total of 5.7% of passengers are reported to come from the Asia Pacific. With over 50 cruise lines, the global cruise ship industry generates 45.6 billion USD in wages and salaries and 134 billion USD in total economic output worldwide. </w:t>
      </w:r>
    </w:p>
    <w:p w14:paraId="6BDA56BD" w14:textId="72A65615" w:rsidR="00C13277" w:rsidRPr="00A92AC1" w:rsidRDefault="00C13277" w:rsidP="00C13277">
      <w:pPr>
        <w:jc w:val="left"/>
      </w:pPr>
      <w:r>
        <w:t xml:space="preserve">Australia and the surrounding region </w:t>
      </w:r>
      <w:r w:rsidR="00E54F48">
        <w:t>continue</w:t>
      </w:r>
      <w:r>
        <w:t xml:space="preserve"> to be a key focus for the international cruise lines</w:t>
      </w:r>
      <w:r w:rsidR="00FC1B6A">
        <w:t xml:space="preserve">. </w:t>
      </w:r>
      <w:r w:rsidR="00E63BC1">
        <w:t>During the 2018-19 financial year, t</w:t>
      </w:r>
      <w:r w:rsidR="00FC1B6A">
        <w:t>he sector grew</w:t>
      </w:r>
      <w:r w:rsidDel="00FC1B6A">
        <w:t xml:space="preserve"> </w:t>
      </w:r>
      <w:r>
        <w:t>more than 10% in total value to the national economy, and cruise tourism contribut</w:t>
      </w:r>
      <w:r w:rsidR="00FC1B6A">
        <w:t>ed</w:t>
      </w:r>
      <w:r>
        <w:t xml:space="preserve"> </w:t>
      </w:r>
      <w:r w:rsidRPr="009F7ADD">
        <w:t xml:space="preserve">5.2 billion </w:t>
      </w:r>
      <w:r>
        <w:t xml:space="preserve">AUD </w:t>
      </w:r>
      <w:r w:rsidRPr="009F7ADD">
        <w:t>in direct and indirect output</w:t>
      </w:r>
      <w:r w:rsidR="00E63BC1">
        <w:t>.</w:t>
      </w:r>
      <w:r>
        <w:rPr>
          <w:rStyle w:val="FootnoteReference"/>
        </w:rPr>
        <w:footnoteReference w:id="10"/>
      </w:r>
    </w:p>
    <w:p w14:paraId="323E7657" w14:textId="4BB51553" w:rsidR="00C13277" w:rsidRDefault="00C13277" w:rsidP="00C13277">
      <w:pPr>
        <w:jc w:val="left"/>
      </w:pPr>
      <w:r>
        <w:t xml:space="preserve">Passenger carrying ships </w:t>
      </w:r>
      <w:r w:rsidRPr="00697714">
        <w:t xml:space="preserve">present </w:t>
      </w:r>
      <w:r>
        <w:t xml:space="preserve">insurers and </w:t>
      </w:r>
      <w:r w:rsidRPr="00697714">
        <w:t>underwriters with some complex and significant exposures when compared to other types of ships</w:t>
      </w:r>
      <w:r>
        <w:t>, particularly due to the</w:t>
      </w:r>
      <w:r w:rsidR="00B22EE1">
        <w:t xml:space="preserve"> total</w:t>
      </w:r>
      <w:r>
        <w:t xml:space="preserve"> passenger capacity, often in the thousands. </w:t>
      </w:r>
      <w:r w:rsidRPr="00F43F25">
        <w:t>The highest profile accident and most expensive marine claim in recent history is the disaster involving Costa Concordia</w:t>
      </w:r>
      <w:r>
        <w:t xml:space="preserve"> in 2012, which ran aground off the coast of Italy, leading to a significant loss of life (32 deaths), a difficult salvage process and expenses of 1.5 billion EUR (approx. 2.4 Billion AUD) through claims and salvage, with the protection and indemnity claim in excess of 1.2 billion EUR alone</w:t>
      </w:r>
      <w:r>
        <w:rPr>
          <w:rStyle w:val="FootnoteReference"/>
        </w:rPr>
        <w:footnoteReference w:id="11"/>
      </w:r>
      <w:r>
        <w:t xml:space="preserve">. </w:t>
      </w:r>
    </w:p>
    <w:p w14:paraId="214EADD1" w14:textId="1DF70027" w:rsidR="00C13277" w:rsidRDefault="00BB74D1" w:rsidP="00C13277">
      <w:pPr>
        <w:jc w:val="left"/>
      </w:pPr>
      <w:r>
        <w:t xml:space="preserve">Considering the growing upward trend in the Australian cruise ship industry for both the frequency and carrying capacity of ships, </w:t>
      </w:r>
      <w:r w:rsidR="00C13277">
        <w:t>it is timely to review the adequacy of the existing liability framework</w:t>
      </w:r>
      <w:r w:rsidR="00307A26">
        <w:t>. This</w:t>
      </w:r>
      <w:r w:rsidR="00C13277">
        <w:t xml:space="preserve"> includ</w:t>
      </w:r>
      <w:r w:rsidR="00307A26">
        <w:t>es</w:t>
      </w:r>
      <w:r w:rsidR="00C13277">
        <w:t xml:space="preserve"> </w:t>
      </w:r>
      <w:r w:rsidR="00311292">
        <w:t xml:space="preserve">the </w:t>
      </w:r>
      <w:r w:rsidR="00C13277">
        <w:t>claims process and liability limits for passengers and luggage</w:t>
      </w:r>
      <w:r w:rsidR="00307A26">
        <w:t>, both</w:t>
      </w:r>
      <w:r w:rsidR="00C13277">
        <w:t xml:space="preserve"> for consistency across </w:t>
      </w:r>
      <w:r w:rsidR="003E75B7">
        <w:t xml:space="preserve">cruise ships </w:t>
      </w:r>
      <w:r w:rsidR="00C13277">
        <w:t xml:space="preserve">visiting, and conformity to international conventions. </w:t>
      </w:r>
    </w:p>
    <w:p w14:paraId="2F87D24F" w14:textId="3C300F32" w:rsidR="00A44A83" w:rsidRDefault="00C13277" w:rsidP="005F3DC8">
      <w:pPr>
        <w:jc w:val="left"/>
      </w:pPr>
      <w:r>
        <w:t>Figures for cruise ship arrivals in Australian ports for 2017-18 show that 47% of cruise ships (including Australian ships) are registered to countries that have acceded to the Athens Convention</w:t>
      </w:r>
      <w:r w:rsidR="00485971">
        <w:t>.</w:t>
      </w:r>
      <w:r w:rsidR="00D02A88">
        <w:t xml:space="preserve"> Between 2011 and 2018, </w:t>
      </w:r>
      <w:r w:rsidR="00D36AF3">
        <w:t xml:space="preserve">arrivals by ships registered to </w:t>
      </w:r>
      <w:r w:rsidR="003E61B2">
        <w:t>State Parties to the Protocol</w:t>
      </w:r>
      <w:r w:rsidR="00D36AF3">
        <w:t xml:space="preserve"> increase</w:t>
      </w:r>
      <w:r w:rsidR="00D846C9">
        <w:t>d</w:t>
      </w:r>
      <w:r w:rsidR="00D36AF3">
        <w:t xml:space="preserve"> by 71% compared to </w:t>
      </w:r>
      <w:r w:rsidR="00D846C9">
        <w:t xml:space="preserve">a </w:t>
      </w:r>
      <w:r w:rsidR="00356CCC">
        <w:t>54%</w:t>
      </w:r>
      <w:r w:rsidR="00D846C9">
        <w:t xml:space="preserve"> increase by </w:t>
      </w:r>
      <w:r w:rsidR="00D36AF3">
        <w:t xml:space="preserve">ships </w:t>
      </w:r>
      <w:r w:rsidR="00356CCC">
        <w:t xml:space="preserve">registered to states that </w:t>
      </w:r>
      <w:r w:rsidR="00431F29">
        <w:t xml:space="preserve">were not </w:t>
      </w:r>
      <w:r w:rsidR="00C03A51">
        <w:t>Parties</w:t>
      </w:r>
      <w:r w:rsidR="00431F29">
        <w:t xml:space="preserve"> to the Athens Convention. Figure 2 </w:t>
      </w:r>
      <w:r w:rsidR="003F243C">
        <w:t>shows the</w:t>
      </w:r>
      <w:r w:rsidR="00321697">
        <w:t xml:space="preserve"> </w:t>
      </w:r>
      <w:r w:rsidR="00D31D3A">
        <w:t xml:space="preserve">arrival figures across the top 8 </w:t>
      </w:r>
      <w:r w:rsidR="00E05C94">
        <w:t>visiting flags</w:t>
      </w:r>
      <w:r w:rsidR="00790806">
        <w:t xml:space="preserve"> (out of </w:t>
      </w:r>
      <w:r w:rsidR="00842F01">
        <w:t>a total of 19)</w:t>
      </w:r>
      <w:r w:rsidR="00E05C94">
        <w:t xml:space="preserve"> from 2011 to 2018 and </w:t>
      </w:r>
      <w:r w:rsidR="009F121A">
        <w:t>is colour coded depending on whether t</w:t>
      </w:r>
      <w:r w:rsidR="00174516">
        <w:t xml:space="preserve">he vessel </w:t>
      </w:r>
      <w:r w:rsidR="003F243C">
        <w:t>is or isn’t</w:t>
      </w:r>
      <w:r w:rsidR="00174516">
        <w:t xml:space="preserve"> registered to an Athens </w:t>
      </w:r>
      <w:r w:rsidR="003F243C">
        <w:t xml:space="preserve">2002 protocol </w:t>
      </w:r>
      <w:r w:rsidR="003E61B2">
        <w:t>State</w:t>
      </w:r>
      <w:r w:rsidR="003F243C">
        <w:t>.</w:t>
      </w:r>
    </w:p>
    <w:p w14:paraId="4839AB2C" w14:textId="5ED2842A" w:rsidR="005F3DC8" w:rsidRDefault="00C13277" w:rsidP="005F3DC8">
      <w:pPr>
        <w:jc w:val="left"/>
      </w:pPr>
      <w:r>
        <w:t xml:space="preserve">It is therefore </w:t>
      </w:r>
      <w:r w:rsidR="00C70073">
        <w:t xml:space="preserve">also </w:t>
      </w:r>
      <w:r>
        <w:t xml:space="preserve">timely to review whether Australia should be </w:t>
      </w:r>
      <w:r w:rsidRPr="007C0721">
        <w:t>brought into alignment with other</w:t>
      </w:r>
      <w:r w:rsidR="00781440">
        <w:t xml:space="preserve"> Parties </w:t>
      </w:r>
      <w:r w:rsidR="00117831">
        <w:t>to the Protocol</w:t>
      </w:r>
      <w:r>
        <w:t xml:space="preserve">, the costs and benefits of doing so, whilst also considering the ability for </w:t>
      </w:r>
      <w:r w:rsidRPr="007C0721">
        <w:t xml:space="preserve">Australia to implement its own </w:t>
      </w:r>
      <w:r>
        <w:t>limits where considered appropriate</w:t>
      </w:r>
      <w:r w:rsidRPr="007C0721">
        <w:t>.</w:t>
      </w:r>
      <w:r w:rsidR="005F3DC8" w:rsidRPr="005F3DC8">
        <w:t xml:space="preserve"> </w:t>
      </w:r>
    </w:p>
    <w:p w14:paraId="56AC6F64" w14:textId="62FF2796" w:rsidR="005F3DC8" w:rsidRDefault="005F3DC8" w:rsidP="005F3DC8">
      <w:pPr>
        <w:jc w:val="left"/>
      </w:pPr>
      <w:r>
        <w:t>Submissions to the Department’s 2017 discussion paper included discussion of applying the Convention to domestic carriage of passengers which occurs during “voyages to nowhere”. A voyage or cruise ‘to nowhere’ is characterised by the absence of a port of call, with the ship returning to the same port from which it departed, capitalising on the ability to operate the casino and duty-free outlets</w:t>
      </w:r>
      <w:r w:rsidR="00587778" w:rsidRPr="00587778">
        <w:t xml:space="preserve"> legally</w:t>
      </w:r>
      <w:r>
        <w:t xml:space="preserve">, and often promoted as a sampler cruise or short break. There are also several domestic cruise companies (such as operators in Australia’s Kimberley region) that would fall under this </w:t>
      </w:r>
      <w:r w:rsidR="009E054D">
        <w:t>definition</w:t>
      </w:r>
      <w:r>
        <w:t xml:space="preserve">, where passengers may not experience the same claims and liability framework challenges when compared to the larger international operators. </w:t>
      </w:r>
    </w:p>
    <w:p w14:paraId="6DAA6CA5" w14:textId="75F947A7" w:rsidR="00E07761" w:rsidRDefault="00A74814" w:rsidP="00331C6A">
      <w:pPr>
        <w:ind w:left="-142"/>
        <w:jc w:val="left"/>
      </w:pPr>
      <w:r>
        <w:rPr>
          <w:noProof/>
        </w:rPr>
        <w:drawing>
          <wp:inline distT="0" distB="0" distL="0" distR="0" wp14:anchorId="134F48CA" wp14:editId="4DC3EEEB">
            <wp:extent cx="5941060" cy="2945999"/>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7172" cy="2958947"/>
                    </a:xfrm>
                    <a:prstGeom prst="rect">
                      <a:avLst/>
                    </a:prstGeom>
                    <a:noFill/>
                  </pic:spPr>
                </pic:pic>
              </a:graphicData>
            </a:graphic>
          </wp:inline>
        </w:drawing>
      </w:r>
    </w:p>
    <w:p w14:paraId="38BEAD77" w14:textId="253BD3EA" w:rsidR="0036463E" w:rsidRPr="0036463E" w:rsidRDefault="0036463E" w:rsidP="0036463E">
      <w:pPr>
        <w:pStyle w:val="Caption"/>
      </w:pPr>
      <w:bookmarkStart w:id="15" w:name="_Toc36567874"/>
      <w:r>
        <w:t xml:space="preserve">Figure </w:t>
      </w:r>
      <w:r w:rsidR="00B435A7">
        <w:rPr>
          <w:noProof/>
        </w:rPr>
        <w:fldChar w:fldCharType="begin"/>
      </w:r>
      <w:r w:rsidR="00B435A7">
        <w:rPr>
          <w:noProof/>
        </w:rPr>
        <w:instrText xml:space="preserve"> SEQ Figure \* ARABIC </w:instrText>
      </w:r>
      <w:r w:rsidR="00B435A7">
        <w:rPr>
          <w:noProof/>
        </w:rPr>
        <w:fldChar w:fldCharType="separate"/>
      </w:r>
      <w:r w:rsidR="004F7F0D">
        <w:rPr>
          <w:noProof/>
        </w:rPr>
        <w:t>2</w:t>
      </w:r>
      <w:r w:rsidR="00B435A7">
        <w:rPr>
          <w:noProof/>
        </w:rPr>
        <w:fldChar w:fldCharType="end"/>
      </w:r>
      <w:r>
        <w:t xml:space="preserve">: </w:t>
      </w:r>
      <w:r w:rsidR="00D5309E" w:rsidRPr="00D5309E">
        <w:t xml:space="preserve">Cruise Ship Arrivals at Australian ports, by vessel flag (including </w:t>
      </w:r>
      <w:r w:rsidR="008C235E">
        <w:t xml:space="preserve">Australian </w:t>
      </w:r>
      <w:r w:rsidR="00D5309E" w:rsidRPr="00D5309E">
        <w:t>domestic</w:t>
      </w:r>
      <w:r w:rsidR="001F190D">
        <w:t xml:space="preserve"> vessels carrying </w:t>
      </w:r>
      <w:r w:rsidR="00196FFD">
        <w:t>&gt; 12 passengers</w:t>
      </w:r>
      <w:r w:rsidR="00D5309E" w:rsidRPr="00D5309E">
        <w:t>)</w:t>
      </w:r>
      <w:r w:rsidR="00D5309E">
        <w:t xml:space="preserve">. Data </w:t>
      </w:r>
      <w:r w:rsidR="00D5309E" w:rsidRPr="00D5309E">
        <w:t xml:space="preserve">restricted to the top 8 countries. Blue indicates Athens Convention </w:t>
      </w:r>
      <w:r w:rsidR="00117831">
        <w:t xml:space="preserve">Parties </w:t>
      </w:r>
      <w:r w:rsidR="00D5309E" w:rsidRPr="00D5309E">
        <w:t>(2002 Protocol).</w:t>
      </w:r>
      <w:bookmarkEnd w:id="15"/>
      <w:r w:rsidR="00F0611D">
        <w:t xml:space="preserve"> </w:t>
      </w:r>
      <w:r w:rsidRPr="009510E5">
        <w:t>Data supplied by Lloyd’s List Intelligence (LLI), 2019. Australian ship movements (unpublished data), Lond</w:t>
      </w:r>
      <w:r>
        <w:t>on</w:t>
      </w:r>
      <w:r w:rsidR="00F34433">
        <w:t xml:space="preserve"> </w:t>
      </w:r>
    </w:p>
    <w:p w14:paraId="6CB3FDB3" w14:textId="21B88CBA" w:rsidR="00C13277" w:rsidRDefault="00C13277" w:rsidP="00C13277">
      <w:pPr>
        <w:pStyle w:val="Heading2"/>
        <w:jc w:val="both"/>
      </w:pPr>
      <w:bookmarkStart w:id="16" w:name="_Toc34657047"/>
      <w:bookmarkStart w:id="17" w:name="_Toc44659900"/>
      <w:r>
        <w:t>Comparison to international air travel</w:t>
      </w:r>
      <w:bookmarkEnd w:id="16"/>
      <w:bookmarkEnd w:id="17"/>
      <w:r>
        <w:t xml:space="preserve"> </w:t>
      </w:r>
    </w:p>
    <w:p w14:paraId="5018B017" w14:textId="14763C47" w:rsidR="00C13277" w:rsidRDefault="00C13277" w:rsidP="00C13277">
      <w:pPr>
        <w:jc w:val="left"/>
      </w:pPr>
      <w:r>
        <w:t xml:space="preserve">Accession to Athens Convention 2002 could </w:t>
      </w:r>
      <w:r w:rsidR="00FA7B2B">
        <w:t xml:space="preserve">promote international conformity and </w:t>
      </w:r>
      <w:r>
        <w:t xml:space="preserve">contribute to consistency of international agreements, </w:t>
      </w:r>
      <w:r w:rsidR="00492859">
        <w:t>like</w:t>
      </w:r>
      <w:r>
        <w:t xml:space="preserve"> the Montreal Convention (1999) for air carrier liability. Comparing international air travel liability frameworks with the maritime sector can be useful in assessing whether Australia should accede to Athens and if so, how. Those sustaining injury on a commercial aircraft </w:t>
      </w:r>
      <w:r w:rsidR="00720665">
        <w:t xml:space="preserve">on international voyage </w:t>
      </w:r>
      <w:r>
        <w:t xml:space="preserve">are not subjected to the Australian domestic regime for personal injuries. The Montreal Convention has been in place for over a decade in Australia with little controversy, supporting the argument to align the maritime industry and afford its passengers the same assurance of protection in the event of carrier negligence.  </w:t>
      </w:r>
    </w:p>
    <w:p w14:paraId="138920BA" w14:textId="0CEFE5E4" w:rsidR="00790350" w:rsidRDefault="00790350" w:rsidP="00C13277">
      <w:pPr>
        <w:jc w:val="left"/>
      </w:pPr>
      <w:r w:rsidRPr="00790350">
        <w:t>The need for the Montreal Convention stem</w:t>
      </w:r>
      <w:r w:rsidR="00151910">
        <w:t>med</w:t>
      </w:r>
      <w:r w:rsidRPr="00790350">
        <w:t xml:space="preserve"> from the inadequacy of the Convention for the Unification of Certain Rules Relating to International Carriage by Air ("</w:t>
      </w:r>
      <w:r w:rsidRPr="00151910">
        <w:rPr>
          <w:i/>
          <w:iCs/>
        </w:rPr>
        <w:t>Warsaw Convention</w:t>
      </w:r>
      <w:r w:rsidRPr="00790350">
        <w:t>") which was the Convention that originally determined carriers' liability.</w:t>
      </w:r>
      <w:r w:rsidR="00F67F43" w:rsidRPr="00F67F43">
        <w:t xml:space="preserve"> The Warsaw Convention</w:t>
      </w:r>
      <w:r w:rsidR="00D3215E">
        <w:t xml:space="preserve"> was</w:t>
      </w:r>
      <w:r w:rsidR="00F67F43" w:rsidRPr="00F67F43">
        <w:t xml:space="preserve"> first signed in 1929</w:t>
      </w:r>
      <w:r w:rsidR="00D3215E">
        <w:t xml:space="preserve">, during an era </w:t>
      </w:r>
      <w:r w:rsidR="00F67F43" w:rsidRPr="00F67F43">
        <w:t xml:space="preserve">which the young aviation industry required protection from potentially ruinous compensation claims. The Warsaw Convention used terminology and language which </w:t>
      </w:r>
      <w:r w:rsidR="00F67F43">
        <w:t>became</w:t>
      </w:r>
      <w:r w:rsidR="00F67F43" w:rsidRPr="00F67F43">
        <w:t xml:space="preserve"> </w:t>
      </w:r>
      <w:r w:rsidR="004E23A3">
        <w:t xml:space="preserve">outdated and whilst it was updated several times, </w:t>
      </w:r>
      <w:r w:rsidR="00ED0429">
        <w:t xml:space="preserve">not all </w:t>
      </w:r>
      <w:r w:rsidR="00117831">
        <w:t>Parties</w:t>
      </w:r>
      <w:r w:rsidR="00ED0429">
        <w:t xml:space="preserve"> ratified all the amendments</w:t>
      </w:r>
      <w:r w:rsidR="00F67F43" w:rsidRPr="00F67F43">
        <w:t>.</w:t>
      </w:r>
      <w:r w:rsidRPr="00790350">
        <w:t xml:space="preserve"> </w:t>
      </w:r>
      <w:r w:rsidR="00151910" w:rsidRPr="00151910">
        <w:t xml:space="preserve">The Montreal Convention </w:t>
      </w:r>
      <w:r w:rsidR="00ED0429">
        <w:t>addressed</w:t>
      </w:r>
      <w:r w:rsidR="00151910" w:rsidRPr="00151910">
        <w:t xml:space="preserve"> these problems by raising carriers' liability limits, presenting the liability framework in a single consistent Convention and updating the terminology used.</w:t>
      </w:r>
    </w:p>
    <w:p w14:paraId="15FE3594" w14:textId="2827542F" w:rsidR="00CD0C61" w:rsidRDefault="00CD0C61" w:rsidP="00CD0C61">
      <w:pPr>
        <w:jc w:val="left"/>
      </w:pPr>
      <w:r>
        <w:t xml:space="preserve">In 2008, Australia amended </w:t>
      </w:r>
      <w:r w:rsidR="00007836">
        <w:t xml:space="preserve">its </w:t>
      </w:r>
      <w:r>
        <w:t xml:space="preserve">Civil Aviation legislation to give effect to the Montreal Convention. It was strongly supported by the aviation industry which believed that early </w:t>
      </w:r>
      <w:r w:rsidRPr="00645E90">
        <w:t xml:space="preserve">ratification by States and </w:t>
      </w:r>
      <w:r w:rsidR="00553921">
        <w:t xml:space="preserve">the </w:t>
      </w:r>
      <w:r w:rsidRPr="00645E90">
        <w:t>coming into force of the Montreal Convention would result in the accrual of significant benefit to consumers and to the air transport industry generally, through increased efficiencies and uniformity of law</w:t>
      </w:r>
      <w:r>
        <w:rPr>
          <w:rStyle w:val="FootnoteReference"/>
        </w:rPr>
        <w:footnoteReference w:id="12"/>
      </w:r>
      <w:r w:rsidRPr="00645E90">
        <w:t>.</w:t>
      </w:r>
    </w:p>
    <w:p w14:paraId="2AC7B910" w14:textId="2A0AC7EA" w:rsidR="00D433E5" w:rsidRDefault="00D433E5" w:rsidP="00D433E5">
      <w:pPr>
        <w:jc w:val="left"/>
      </w:pPr>
      <w:r>
        <w:t>In Australia, t</w:t>
      </w:r>
      <w:r w:rsidRPr="00FC204D">
        <w:t>he Civil Aviation Safety Authority (CASA) is responsible for administering and enforcing the Commonwealth and State compulsory insurance schemes. The legislation governing the schemes is contained in Part IV</w:t>
      </w:r>
      <w:r w:rsidR="00D3215E">
        <w:t>(A)</w:t>
      </w:r>
      <w:r w:rsidRPr="00FC204D">
        <w:t xml:space="preserve"> of the </w:t>
      </w:r>
      <w:r w:rsidRPr="00927860">
        <w:rPr>
          <w:i/>
        </w:rPr>
        <w:t>Commonwealth Civil Aviation (Carriers' Liability)</w:t>
      </w:r>
      <w:r w:rsidRPr="00FC204D">
        <w:t xml:space="preserve"> </w:t>
      </w:r>
      <w:r w:rsidRPr="00927860">
        <w:rPr>
          <w:i/>
        </w:rPr>
        <w:t>Act</w:t>
      </w:r>
      <w:r w:rsidRPr="00FC204D">
        <w:t xml:space="preserve"> 1959</w:t>
      </w:r>
      <w:r>
        <w:t>, together with the</w:t>
      </w:r>
      <w:r w:rsidRPr="00FC204D">
        <w:t xml:space="preserve"> </w:t>
      </w:r>
      <w:r w:rsidRPr="00A64F8A">
        <w:rPr>
          <w:i/>
        </w:rPr>
        <w:t>Civil Aviation (Carriers' Liability)</w:t>
      </w:r>
      <w:r w:rsidRPr="00FC204D">
        <w:t xml:space="preserve"> Regulation</w:t>
      </w:r>
      <w:r>
        <w:t>s 1991</w:t>
      </w:r>
      <w:r w:rsidRPr="00FC204D">
        <w:t xml:space="preserve"> and complementary State legislation. Additional supporting provisions are contained in the </w:t>
      </w:r>
      <w:r w:rsidRPr="001F6368">
        <w:rPr>
          <w:i/>
        </w:rPr>
        <w:t>Civil Aviation</w:t>
      </w:r>
      <w:r w:rsidRPr="00FC204D">
        <w:t xml:space="preserve"> </w:t>
      </w:r>
      <w:r w:rsidRPr="001F6368">
        <w:rPr>
          <w:i/>
        </w:rPr>
        <w:t>Act</w:t>
      </w:r>
      <w:r w:rsidRPr="00FC204D">
        <w:t xml:space="preserve"> 1988 and </w:t>
      </w:r>
      <w:r w:rsidRPr="001F6368">
        <w:rPr>
          <w:i/>
        </w:rPr>
        <w:t xml:space="preserve">Civil Aviation Safety </w:t>
      </w:r>
      <w:r w:rsidRPr="005B5BE5">
        <w:rPr>
          <w:i/>
        </w:rPr>
        <w:t>Regulations</w:t>
      </w:r>
      <w:r w:rsidRPr="00FC204D">
        <w:t xml:space="preserve"> 1998</w:t>
      </w:r>
      <w:r>
        <w:t>.</w:t>
      </w:r>
    </w:p>
    <w:p w14:paraId="5E284A21" w14:textId="56AB5EBD" w:rsidR="00C13277" w:rsidRDefault="00EE3AE7" w:rsidP="00C13277">
      <w:pPr>
        <w:jc w:val="left"/>
      </w:pPr>
      <w:r>
        <w:t>Under the Montreal Convention</w:t>
      </w:r>
      <w:r w:rsidR="00E50FEB">
        <w:t xml:space="preserve"> (</w:t>
      </w:r>
      <w:r w:rsidR="0027269B">
        <w:t xml:space="preserve">as </w:t>
      </w:r>
      <w:r w:rsidR="00E50FEB">
        <w:t xml:space="preserve">administered through Australia’s Civil Aviation </w:t>
      </w:r>
      <w:r w:rsidR="0027269B">
        <w:t>legislation</w:t>
      </w:r>
      <w:r w:rsidR="00E50FEB">
        <w:t>)</w:t>
      </w:r>
      <w:r>
        <w:t>, e</w:t>
      </w:r>
      <w:r w:rsidR="00C13277" w:rsidRPr="00574F1C">
        <w:t xml:space="preserve">ach </w:t>
      </w:r>
      <w:r w:rsidR="00C13277">
        <w:t xml:space="preserve">air </w:t>
      </w:r>
      <w:r w:rsidR="00C13277" w:rsidRPr="00574F1C">
        <w:t>carrier who carries passengers for hire or reward to or from Australia, or within Australia, is required to hav</w:t>
      </w:r>
      <w:r w:rsidR="000D2A65">
        <w:t>e</w:t>
      </w:r>
      <w:r w:rsidR="00C13277" w:rsidRPr="00574F1C">
        <w:t xml:space="preserve"> passenger liability insurance</w:t>
      </w:r>
      <w:r w:rsidR="000D2A65">
        <w:t xml:space="preserve"> in place to ensure</w:t>
      </w:r>
      <w:r w:rsidR="00C13277" w:rsidRPr="00574F1C">
        <w:t xml:space="preserve"> that compensation will be paid in respect of death or personal injury to passengers arising from an air accident</w:t>
      </w:r>
      <w:r w:rsidR="0080374B">
        <w:t xml:space="preserve"> and for </w:t>
      </w:r>
      <w:r w:rsidR="0080374B" w:rsidRPr="0080374B">
        <w:t>damage</w:t>
      </w:r>
      <w:r w:rsidR="0080374B">
        <w:t>d or delayed</w:t>
      </w:r>
      <w:r w:rsidR="0080374B" w:rsidRPr="0080374B">
        <w:t xml:space="preserve"> checked luggage</w:t>
      </w:r>
      <w:r w:rsidR="00C13277" w:rsidRPr="00574F1C">
        <w:t>.</w:t>
      </w:r>
      <w:r w:rsidR="00C13277">
        <w:t xml:space="preserve"> The current liability cap for international passenger carrying operations is 260,000 SDR, and 725,000 AUD (~360,000 SDR) for domestic passenger carrying operations. The </w:t>
      </w:r>
      <w:r w:rsidR="00C13277" w:rsidRPr="002E18C1">
        <w:t xml:space="preserve">requirement for mandatory </w:t>
      </w:r>
      <w:r w:rsidR="00A92ABC">
        <w:t xml:space="preserve">domestic </w:t>
      </w:r>
      <w:r w:rsidR="00C13277" w:rsidRPr="002E18C1">
        <w:t>insurance was introduced in 1995 in response to th</w:t>
      </w:r>
      <w:r w:rsidR="00C13277">
        <w:t>e June 1993</w:t>
      </w:r>
      <w:r w:rsidR="00C13277" w:rsidRPr="002E18C1">
        <w:t xml:space="preserve"> Monarch Airlines fatal accident</w:t>
      </w:r>
      <w:r w:rsidR="00C13277">
        <w:t xml:space="preserve"> that saw 5 passengers and 2 pilots fatally injured when a Monarch Airlines flight traveling between Sydney and Young was destroyed on impact</w:t>
      </w:r>
      <w:r w:rsidR="00C13277" w:rsidRPr="002E18C1">
        <w:t xml:space="preserve">. </w:t>
      </w:r>
    </w:p>
    <w:p w14:paraId="76A5BE4A" w14:textId="49D7F19A" w:rsidR="00C13277" w:rsidRDefault="00C13277" w:rsidP="00C13277">
      <w:pPr>
        <w:jc w:val="left"/>
      </w:pPr>
      <w:r w:rsidRPr="004B37A4">
        <w:t xml:space="preserve">The provisions of the Carriers’ Liability Act applying to non-Montreal Convention international flights (i.e. between Australia and a country that is not a Party to the Montreal Convention) </w:t>
      </w:r>
      <w:r>
        <w:t>remain</w:t>
      </w:r>
      <w:r w:rsidR="00566091">
        <w:t>ed</w:t>
      </w:r>
      <w:r w:rsidRPr="004B37A4">
        <w:t xml:space="preserve"> unchanged.  The provisions of the Act applying to domestic flights </w:t>
      </w:r>
      <w:r>
        <w:t xml:space="preserve">also remained </w:t>
      </w:r>
      <w:r w:rsidRPr="004B37A4">
        <w:t>unchanged.</w:t>
      </w:r>
    </w:p>
    <w:p w14:paraId="3E937F3A" w14:textId="06249C9C" w:rsidR="00436FEA" w:rsidRDefault="00436FEA" w:rsidP="00436FEA">
      <w:pPr>
        <w:jc w:val="left"/>
      </w:pPr>
      <w:r w:rsidRPr="001A3351">
        <w:t xml:space="preserve">The introduction of strict liability up to 250,000 </w:t>
      </w:r>
      <w:r>
        <w:t xml:space="preserve">SDR </w:t>
      </w:r>
      <w:r w:rsidRPr="001A3351">
        <w:t xml:space="preserve">for most shipping incidents </w:t>
      </w:r>
      <w:r>
        <w:t xml:space="preserve">would </w:t>
      </w:r>
      <w:r w:rsidR="00E14E7F">
        <w:t>bring</w:t>
      </w:r>
      <w:r>
        <w:t xml:space="preserve"> maritime in-line with </w:t>
      </w:r>
      <w:r w:rsidRPr="001A3351">
        <w:t>the Montreal Convention 1999</w:t>
      </w:r>
      <w:r>
        <w:t xml:space="preserve">. </w:t>
      </w:r>
      <w:r w:rsidRPr="00756C4A">
        <w:t xml:space="preserve">The Athens Convention 2002 would also require compulsory insurance levels at a similar level to the Montreal Convention 1999, but with the added protection </w:t>
      </w:r>
      <w:r>
        <w:t xml:space="preserve">of passengers being able to take </w:t>
      </w:r>
      <w:r w:rsidRPr="00756C4A">
        <w:t>direct action against</w:t>
      </w:r>
      <w:r>
        <w:t xml:space="preserve"> a ship’s insurer (</w:t>
      </w:r>
      <w:r w:rsidR="004D65AE">
        <w:t>for example,</w:t>
      </w:r>
      <w:r>
        <w:t xml:space="preserve"> if the cruise company becomes insolvent). </w:t>
      </w:r>
    </w:p>
    <w:p w14:paraId="4B1EC3B5" w14:textId="7B2B5D6D" w:rsidR="00C13277" w:rsidRPr="003F54D8" w:rsidRDefault="00C13277" w:rsidP="00C13277">
      <w:r w:rsidRPr="00F96F11">
        <w:t>The legislation</w:t>
      </w:r>
      <w:r>
        <w:t xml:space="preserve"> governing aviation liability </w:t>
      </w:r>
      <w:r w:rsidRPr="00F96F11">
        <w:t>requires carriers to have in place an acceptable contract of insurance and to routinely submit evidence of that insurance to CASA whenever a contract is commenced, varied or renewed.</w:t>
      </w:r>
      <w:r>
        <w:t xml:space="preserve"> This is a potential model for consideration if Australia were to accede to the Athens Convention. </w:t>
      </w:r>
    </w:p>
    <w:p w14:paraId="7314EE32" w14:textId="77777777" w:rsidR="0000733A" w:rsidRPr="0000733A" w:rsidRDefault="0000733A" w:rsidP="0000733A"/>
    <w:p w14:paraId="0337A304" w14:textId="36E4F9FA" w:rsidR="00D018A4" w:rsidRDefault="00E83AE3" w:rsidP="00E83AE3">
      <w:pPr>
        <w:pStyle w:val="Heading1"/>
      </w:pPr>
      <w:bookmarkStart w:id="18" w:name="_Toc44659901"/>
      <w:r>
        <w:t xml:space="preserve">The </w:t>
      </w:r>
      <w:r w:rsidR="00080F72">
        <w:t>Problem</w:t>
      </w:r>
      <w:bookmarkEnd w:id="18"/>
    </w:p>
    <w:p w14:paraId="4B80DBD8" w14:textId="2A14BDA0" w:rsidR="001C390D" w:rsidRDefault="001C390D" w:rsidP="007607CB">
      <w:pPr>
        <w:jc w:val="left"/>
      </w:pPr>
      <w:r>
        <w:t xml:space="preserve">Pursuing a claim against a cruise ship relating to injury or luggage has numerous unique challenges </w:t>
      </w:r>
      <w:r w:rsidR="007A0DA7">
        <w:t>for customers</w:t>
      </w:r>
      <w:r>
        <w:t>. Many cruise ships are registered to foreign countries; the companies that own the cruise ships are often based internationally; the accidents often happen in international waters or in the territory of another country; and claimants typically only have one year to bring any type of claim for injuries against a cruise ship. Claims have to be brought to the company directly and may be bound by limitations outlined in the individual cruise contract.</w:t>
      </w:r>
    </w:p>
    <w:p w14:paraId="1D5B2C35" w14:textId="77777777" w:rsidR="00A301D6" w:rsidRDefault="00A301D6" w:rsidP="00A301D6">
      <w:pPr>
        <w:jc w:val="left"/>
      </w:pPr>
      <w:r>
        <w:t xml:space="preserve">Each cruise contract generally differs between companies and even within companies depending on where they are operating. The contract entered into by the passenger when purchasing the ticket will state where a case should be brought if a claim is made and the time limits for making a claim. Cruise contracts also typically contain long and detailed terms and conditions, which can lead to cascading arguments during a claims process, resulting in unnecessary expense and delay in resolution. This can be compounded with often short timeframes for a case to be brought against a company and then heard before the courts. The modest value of most claims makes it unattractive to proceed with a claim if it will require a complex legal process.  </w:t>
      </w:r>
    </w:p>
    <w:p w14:paraId="2689412F" w14:textId="1A77FFBD" w:rsidR="007952F6" w:rsidRDefault="007952F6" w:rsidP="007952F6">
      <w:pPr>
        <w:jc w:val="left"/>
      </w:pPr>
      <w:r>
        <w:t>Whilst it is understood that most of the shipping industry operating in Australia holds insurance for passenger claims, there is no compulsory requirement for ships to have insurance for passenger claims, or a legal or administrative presence in Australia. Passengers can therefore be exposed to the risk of a carrier not being able to pay compensation, avoiding a payment, or hav</w:t>
      </w:r>
      <w:r w:rsidR="002830CE">
        <w:t>ing</w:t>
      </w:r>
      <w:r>
        <w:t xml:space="preserve"> to pursue a claim in a foreign court.</w:t>
      </w:r>
    </w:p>
    <w:p w14:paraId="7A966969" w14:textId="0DF35C53" w:rsidR="007952F6" w:rsidRDefault="007952F6" w:rsidP="007952F6">
      <w:pPr>
        <w:jc w:val="left"/>
      </w:pPr>
      <w:r>
        <w:t xml:space="preserve">Considering the growth in the Australian cruise ship market, it is timely to review the existing liability framework, claims process and liability limits for passengers and </w:t>
      </w:r>
      <w:r w:rsidR="00093FA4">
        <w:t xml:space="preserve">their </w:t>
      </w:r>
      <w:r>
        <w:t xml:space="preserve">luggage for consistency across carriers visiting, and conformity to international conventions. The Athens Convention relating to the Carriage of Passengers and their luggage by Sea (PAL) 1974, as amended by the 2002 protocol, establishes a comprehensive integrated system to govern the liability of cruise ship operators for personal injuries and property damage sustained by cruise ship passengers. It contains standards for establishing liability and permissible defences as well as its own statute of limitations and venue provisions. As of 2020, </w:t>
      </w:r>
      <w:r w:rsidR="002B552A">
        <w:t xml:space="preserve">there are </w:t>
      </w:r>
      <w:r>
        <w:t>31</w:t>
      </w:r>
      <w:r w:rsidR="00D31E61">
        <w:t> </w:t>
      </w:r>
      <w:r>
        <w:t xml:space="preserve">State Parties to the Athens Convention (Appendix C). The Department of Infrastructure, Transport, Regional Development and Communications (the Department) is assessing whether Australia should also accede to the Athens Convention relating to the Carriage of Passengers and their Luggage by Sea 1974, as amended by the 2002 Protocol (Athens Convention 2002), and determine whether they adequately address the aforementioned problems. </w:t>
      </w:r>
    </w:p>
    <w:p w14:paraId="0956CC7B" w14:textId="23B6D9EC" w:rsidR="00C556FA" w:rsidRPr="00C556FA" w:rsidRDefault="001C390D" w:rsidP="007607CB">
      <w:pPr>
        <w:jc w:val="left"/>
      </w:pPr>
      <w:r>
        <w:t>If Australia were to accede to the Athens Convention, all claims</w:t>
      </w:r>
      <w:r w:rsidR="00866173">
        <w:t>,</w:t>
      </w:r>
      <w:r>
        <w:t xml:space="preserve"> </w:t>
      </w:r>
      <w:r w:rsidR="004647A4">
        <w:t xml:space="preserve">which are caught under the umbrella of the Athens </w:t>
      </w:r>
      <w:r w:rsidR="00866173">
        <w:t xml:space="preserve">Protocol 2002, </w:t>
      </w:r>
      <w:r>
        <w:t xml:space="preserve">for the recovery of damages for death and personal injury, as well as loss or damage to the passenger's luggage, sustained during the course of international carriage, would be brought into alignment with other </w:t>
      </w:r>
      <w:r w:rsidR="00093FA4">
        <w:t xml:space="preserve">State </w:t>
      </w:r>
      <w:r w:rsidR="00C03A51">
        <w:t>Parties</w:t>
      </w:r>
      <w:r>
        <w:t xml:space="preserve"> whilst also allowing Australia to implement its own </w:t>
      </w:r>
      <w:r w:rsidR="002B552A">
        <w:t>national limit</w:t>
      </w:r>
      <w:r>
        <w:t xml:space="preserve"> of liability</w:t>
      </w:r>
      <w:r w:rsidR="002B552A">
        <w:t xml:space="preserve"> for death and personal injury subject to the limitations in the Convention</w:t>
      </w:r>
      <w:r>
        <w:t>.</w:t>
      </w:r>
    </w:p>
    <w:p w14:paraId="7D86FF0B" w14:textId="1BA234E6" w:rsidR="00C556FA" w:rsidRDefault="00C556FA" w:rsidP="00C556FA">
      <w:r>
        <w:t xml:space="preserve">The key differences between the existing framework and </w:t>
      </w:r>
      <w:r w:rsidR="006310A4">
        <w:t xml:space="preserve">where </w:t>
      </w:r>
      <w:r>
        <w:t>the Athens Convention</w:t>
      </w:r>
      <w:r w:rsidR="006310A4">
        <w:t xml:space="preserve"> applies,</w:t>
      </w:r>
      <w:r>
        <w:t xml:space="preserve"> include:</w:t>
      </w:r>
    </w:p>
    <w:p w14:paraId="792D9ED9" w14:textId="2B5F0B8C" w:rsidR="009B686D" w:rsidRDefault="007B6903" w:rsidP="00160A48">
      <w:pPr>
        <w:pStyle w:val="ListParagraph"/>
        <w:numPr>
          <w:ilvl w:val="0"/>
          <w:numId w:val="7"/>
        </w:numPr>
      </w:pPr>
      <w:r w:rsidRPr="007B6903">
        <w:t xml:space="preserve">A process that better clarifies and </w:t>
      </w:r>
      <w:r w:rsidR="009B686D" w:rsidRPr="007B6903">
        <w:t>standardis</w:t>
      </w:r>
      <w:r w:rsidR="009B686D">
        <w:t>es</w:t>
      </w:r>
      <w:r w:rsidR="009B686D" w:rsidRPr="007B6903">
        <w:t xml:space="preserve"> </w:t>
      </w:r>
      <w:r w:rsidRPr="007B6903">
        <w:t>passenger claims in Australia</w:t>
      </w:r>
    </w:p>
    <w:p w14:paraId="14E78B50" w14:textId="574E7D66" w:rsidR="00C556FA" w:rsidRDefault="00C556FA" w:rsidP="00160A48">
      <w:pPr>
        <w:pStyle w:val="ListParagraph"/>
        <w:numPr>
          <w:ilvl w:val="0"/>
          <w:numId w:val="7"/>
        </w:numPr>
      </w:pPr>
      <w:r>
        <w:t>Provid</w:t>
      </w:r>
      <w:r w:rsidR="0077352C">
        <w:t>es</w:t>
      </w:r>
      <w:r>
        <w:t xml:space="preserve"> plaintiffs with a choice of venues for their litigation</w:t>
      </w:r>
    </w:p>
    <w:p w14:paraId="11D84259" w14:textId="77777777" w:rsidR="00C556FA" w:rsidRDefault="00C556FA" w:rsidP="00160A48">
      <w:pPr>
        <w:pStyle w:val="ListParagraph"/>
        <w:numPr>
          <w:ilvl w:val="0"/>
          <w:numId w:val="7"/>
        </w:numPr>
      </w:pPr>
      <w:r>
        <w:t>Carriers would be held strictly liable for injuries or death arising from shipping incidents</w:t>
      </w:r>
    </w:p>
    <w:p w14:paraId="3D7D95E3" w14:textId="27CD9636" w:rsidR="008812DB" w:rsidRDefault="008812DB" w:rsidP="00160A48">
      <w:pPr>
        <w:pStyle w:val="ListParagraph"/>
        <w:numPr>
          <w:ilvl w:val="0"/>
          <w:numId w:val="7"/>
        </w:numPr>
      </w:pPr>
      <w:r>
        <w:t xml:space="preserve">Burden of proof shifts from the passenger to the </w:t>
      </w:r>
      <w:r w:rsidR="003E75B7">
        <w:t>c</w:t>
      </w:r>
      <w:r>
        <w:t xml:space="preserve">arrier for all </w:t>
      </w:r>
      <w:r w:rsidR="007060D1">
        <w:t>shipping incidents</w:t>
      </w:r>
    </w:p>
    <w:p w14:paraId="30761258" w14:textId="72CAD6FE" w:rsidR="00C556FA" w:rsidRDefault="003E178C" w:rsidP="00160A48">
      <w:pPr>
        <w:pStyle w:val="ListParagraph"/>
        <w:numPr>
          <w:ilvl w:val="0"/>
          <w:numId w:val="7"/>
        </w:numPr>
      </w:pPr>
      <w:r>
        <w:t>Provid</w:t>
      </w:r>
      <w:r w:rsidR="0077352C">
        <w:t>es</w:t>
      </w:r>
      <w:r w:rsidR="00C556FA">
        <w:t xml:space="preserve"> assurance of </w:t>
      </w:r>
      <w:r>
        <w:t>liability coverage</w:t>
      </w:r>
      <w:r w:rsidR="00C556FA">
        <w:t xml:space="preserve"> through compulsory insurance and access to the Insurer in instances where the company is unable to pay damages</w:t>
      </w:r>
    </w:p>
    <w:p w14:paraId="3CAA94C8" w14:textId="77777777" w:rsidR="00C556FA" w:rsidRDefault="00C556FA" w:rsidP="00160A48">
      <w:pPr>
        <w:pStyle w:val="ListParagraph"/>
        <w:numPr>
          <w:ilvl w:val="0"/>
          <w:numId w:val="7"/>
        </w:numPr>
      </w:pPr>
      <w:r>
        <w:t xml:space="preserve">Coverage for damage to luggage and vehicles </w:t>
      </w:r>
    </w:p>
    <w:p w14:paraId="771A9C30" w14:textId="7721FCAC" w:rsidR="00C556FA" w:rsidRDefault="00C556FA" w:rsidP="00160A48">
      <w:pPr>
        <w:pStyle w:val="ListParagraph"/>
        <w:numPr>
          <w:ilvl w:val="0"/>
          <w:numId w:val="7"/>
        </w:numPr>
      </w:pPr>
      <w:r>
        <w:t>Creat</w:t>
      </w:r>
      <w:r w:rsidR="0077352C">
        <w:t>es</w:t>
      </w:r>
      <w:r>
        <w:t xml:space="preserve"> passenger liability uniformity with at least 31 other states</w:t>
      </w:r>
    </w:p>
    <w:p w14:paraId="52E6CDFB" w14:textId="77777777" w:rsidR="00C556FA" w:rsidRPr="003F4B11" w:rsidRDefault="00C556FA" w:rsidP="00C556FA">
      <w:pPr>
        <w:ind w:left="360"/>
      </w:pPr>
    </w:p>
    <w:p w14:paraId="171252F1" w14:textId="63984660" w:rsidR="005A0B9A" w:rsidRDefault="00924150" w:rsidP="005A0B9A">
      <w:pPr>
        <w:keepNext/>
      </w:pPr>
      <w:r>
        <w:rPr>
          <w:rFonts w:ascii="Franklin Gothic Demi Cond" w:eastAsiaTheme="majorEastAsia" w:hAnsi="Franklin Gothic Demi Cond" w:cstheme="majorBidi"/>
          <w:noProof/>
          <w:sz w:val="36"/>
          <w:szCs w:val="32"/>
        </w:rPr>
        <w:drawing>
          <wp:inline distT="0" distB="0" distL="0" distR="0" wp14:anchorId="63D0C3D0" wp14:editId="401C0915">
            <wp:extent cx="5731510" cy="301478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14783"/>
                    </a:xfrm>
                    <a:prstGeom prst="rect">
                      <a:avLst/>
                    </a:prstGeom>
                    <a:noFill/>
                  </pic:spPr>
                </pic:pic>
              </a:graphicData>
            </a:graphic>
          </wp:inline>
        </w:drawing>
      </w:r>
      <w:r w:rsidR="00C556FA">
        <w:rPr>
          <w:noProof/>
        </w:rPr>
        <w:drawing>
          <wp:inline distT="0" distB="0" distL="0" distR="0" wp14:anchorId="5B43095B" wp14:editId="2CBFF066">
            <wp:extent cx="5718093" cy="3124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029" cy="3129082"/>
                    </a:xfrm>
                    <a:prstGeom prst="rect">
                      <a:avLst/>
                    </a:prstGeom>
                  </pic:spPr>
                </pic:pic>
              </a:graphicData>
            </a:graphic>
          </wp:inline>
        </w:drawing>
      </w:r>
    </w:p>
    <w:p w14:paraId="7B78E96D" w14:textId="51F95978" w:rsidR="00C556FA" w:rsidRDefault="005A0B9A" w:rsidP="005A0B9A">
      <w:pPr>
        <w:pStyle w:val="Caption"/>
      </w:pPr>
      <w:bookmarkStart w:id="19" w:name="_Toc36555125"/>
      <w:bookmarkStart w:id="20" w:name="_Toc36567875"/>
      <w:r>
        <w:t xml:space="preserve">Figure </w:t>
      </w:r>
      <w:r w:rsidR="00B435A7">
        <w:rPr>
          <w:noProof/>
        </w:rPr>
        <w:fldChar w:fldCharType="begin"/>
      </w:r>
      <w:r w:rsidR="00B435A7">
        <w:rPr>
          <w:noProof/>
        </w:rPr>
        <w:instrText xml:space="preserve"> SEQ Figure \* ARABIC </w:instrText>
      </w:r>
      <w:r w:rsidR="00B435A7">
        <w:rPr>
          <w:noProof/>
        </w:rPr>
        <w:fldChar w:fldCharType="separate"/>
      </w:r>
      <w:r w:rsidR="00465516">
        <w:rPr>
          <w:noProof/>
        </w:rPr>
        <w:t>3</w:t>
      </w:r>
      <w:r w:rsidR="00B435A7">
        <w:rPr>
          <w:noProof/>
        </w:rPr>
        <w:fldChar w:fldCharType="end"/>
      </w:r>
      <w:r w:rsidR="00A34E0D">
        <w:rPr>
          <w:noProof/>
        </w:rPr>
        <w:t>:</w:t>
      </w:r>
      <w:r w:rsidRPr="005A0B9A">
        <w:t xml:space="preserve"> </w:t>
      </w:r>
      <w:r>
        <w:t xml:space="preserve">schematic outlining the </w:t>
      </w:r>
      <w:r w:rsidR="00924150">
        <w:t xml:space="preserve">existing </w:t>
      </w:r>
      <w:r w:rsidR="004E3C34">
        <w:t>framework and</w:t>
      </w:r>
      <w:r w:rsidR="007D0E5B">
        <w:t xml:space="preserve"> </w:t>
      </w:r>
      <w:r w:rsidR="00D05868">
        <w:t xml:space="preserve">claims process </w:t>
      </w:r>
      <w:r w:rsidR="00DF7CB2">
        <w:t>(top) and the</w:t>
      </w:r>
      <w:r w:rsidR="00B84E1F">
        <w:t xml:space="preserve"> </w:t>
      </w:r>
      <w:r>
        <w:t xml:space="preserve">passenger claim process under the Athens Convention </w:t>
      </w:r>
      <w:r w:rsidR="00DF7CB2">
        <w:t>(bottom)</w:t>
      </w:r>
      <w:r>
        <w:t xml:space="preserve"> if Australia were to accede to the 2002 Protocol.</w:t>
      </w:r>
      <w:bookmarkEnd w:id="19"/>
      <w:bookmarkEnd w:id="20"/>
      <w:r>
        <w:t xml:space="preserve"> </w:t>
      </w:r>
    </w:p>
    <w:p w14:paraId="36DA0175" w14:textId="77777777" w:rsidR="00C574CA" w:rsidRPr="00C574CA" w:rsidRDefault="00C574CA" w:rsidP="00C574CA">
      <w:pPr>
        <w:pStyle w:val="Caption"/>
        <w:rPr>
          <w:i w:val="0"/>
          <w:iCs w:val="0"/>
        </w:rPr>
      </w:pPr>
      <w:r w:rsidRPr="00C574CA">
        <w:rPr>
          <w:i w:val="0"/>
          <w:iCs w:val="0"/>
        </w:rPr>
        <w:t>Note: It is assumed that vessels operating in Australia</w:t>
      </w:r>
      <w:r w:rsidRPr="00C574CA">
        <w:rPr>
          <w:b/>
          <w:bCs/>
          <w:i w:val="0"/>
          <w:iCs w:val="0"/>
        </w:rPr>
        <w:t xml:space="preserve"> </w:t>
      </w:r>
      <w:r w:rsidRPr="00C574CA">
        <w:rPr>
          <w:i w:val="0"/>
          <w:iCs w:val="0"/>
        </w:rPr>
        <w:t>either include a departure or arrival (or both) to an Australian Port according to the contract of passage and therefore satisfies Article 2(c) of the Athens Convention (see section 2)</w:t>
      </w:r>
    </w:p>
    <w:p w14:paraId="04243EB9" w14:textId="77777777" w:rsidR="00C556FA" w:rsidRPr="00C556FA" w:rsidRDefault="00C556FA" w:rsidP="00C556FA"/>
    <w:p w14:paraId="1D9E4B9B" w14:textId="5CC72EA8" w:rsidR="00C556FA" w:rsidRPr="00C556FA" w:rsidRDefault="00C556FA" w:rsidP="00C556FA"/>
    <w:p w14:paraId="2E2A8218" w14:textId="5A6E8392" w:rsidR="00165C6F" w:rsidRDefault="00165C6F" w:rsidP="00165C6F">
      <w:pPr>
        <w:keepNext/>
      </w:pPr>
    </w:p>
    <w:p w14:paraId="692CF898" w14:textId="77777777" w:rsidR="00C556FA" w:rsidRPr="00C556FA" w:rsidRDefault="00C556FA" w:rsidP="00C556FA"/>
    <w:p w14:paraId="5BF157C8" w14:textId="4D89A107" w:rsidR="004831D4" w:rsidRDefault="004831D4" w:rsidP="00372ECE">
      <w:pPr>
        <w:pStyle w:val="Heading1"/>
        <w:ind w:left="357" w:hanging="357"/>
      </w:pPr>
      <w:bookmarkStart w:id="21" w:name="_Toc44659902"/>
      <w:r>
        <w:t>Op</w:t>
      </w:r>
      <w:r w:rsidR="00CD6F92">
        <w:t>tion 1: Retain the Status Quo (No change)</w:t>
      </w:r>
      <w:bookmarkEnd w:id="21"/>
      <w:r w:rsidR="00CD6F92">
        <w:t xml:space="preserve"> </w:t>
      </w:r>
    </w:p>
    <w:p w14:paraId="2407FBA2" w14:textId="11B335E5" w:rsidR="006567D5" w:rsidRDefault="006567D5" w:rsidP="006567D5">
      <w:pPr>
        <w:pStyle w:val="Heading2"/>
        <w:jc w:val="both"/>
      </w:pPr>
      <w:bookmarkStart w:id="22" w:name="_Toc31119150"/>
      <w:bookmarkStart w:id="23" w:name="_Toc34657052"/>
      <w:bookmarkStart w:id="24" w:name="_Toc44659903"/>
      <w:r>
        <w:t>Australia</w:t>
      </w:r>
      <w:bookmarkEnd w:id="22"/>
      <w:bookmarkEnd w:id="23"/>
      <w:bookmarkEnd w:id="24"/>
    </w:p>
    <w:p w14:paraId="614D3D42" w14:textId="38787019" w:rsidR="006567D5" w:rsidRPr="00BC05A7" w:rsidRDefault="006567D5" w:rsidP="006567D5">
      <w:pPr>
        <w:jc w:val="left"/>
        <w:rPr>
          <w:szCs w:val="20"/>
        </w:rPr>
      </w:pPr>
      <w:r w:rsidRPr="00BC05A7">
        <w:rPr>
          <w:szCs w:val="20"/>
        </w:rPr>
        <w:t>The Australian Consumer Law (ACL) is a national law for fair trading and consumer protection that has been adopted uniformly by the state and territory governments and commenced on 1</w:t>
      </w:r>
      <w:r>
        <w:rPr>
          <w:szCs w:val="20"/>
        </w:rPr>
        <w:t> </w:t>
      </w:r>
      <w:r w:rsidRPr="00BC05A7">
        <w:rPr>
          <w:szCs w:val="20"/>
        </w:rPr>
        <w:t>January 2011. The ACL is administered and enforced by the Australian Competition and Consumer Commission (ACC</w:t>
      </w:r>
      <w:r>
        <w:rPr>
          <w:szCs w:val="20"/>
        </w:rPr>
        <w:t>C</w:t>
      </w:r>
      <w:r w:rsidRPr="00BC05A7">
        <w:rPr>
          <w:szCs w:val="20"/>
        </w:rPr>
        <w:t xml:space="preserve">) and state and territory consumer protection agencies. The ACL creates a basic set of guarantees for consumers who acquire goods and services (such as passenger cruises) from a service provider or </w:t>
      </w:r>
      <w:r>
        <w:rPr>
          <w:szCs w:val="20"/>
        </w:rPr>
        <w:t>c</w:t>
      </w:r>
      <w:r w:rsidRPr="00BC05A7">
        <w:rPr>
          <w:szCs w:val="20"/>
        </w:rPr>
        <w:t>arrier in circumstances where there is a relevant connection to Australia.</w:t>
      </w:r>
      <w:r>
        <w:rPr>
          <w:szCs w:val="20"/>
        </w:rPr>
        <w:t xml:space="preserve"> The ACL assists</w:t>
      </w:r>
      <w:r w:rsidRPr="00BC05A7">
        <w:rPr>
          <w:szCs w:val="20"/>
        </w:rPr>
        <w:t xml:space="preserve"> </w:t>
      </w:r>
      <w:r>
        <w:rPr>
          <w:szCs w:val="20"/>
        </w:rPr>
        <w:t>c</w:t>
      </w:r>
      <w:r w:rsidRPr="00BC05A7">
        <w:rPr>
          <w:szCs w:val="20"/>
        </w:rPr>
        <w:t xml:space="preserve">onsumers </w:t>
      </w:r>
      <w:r>
        <w:rPr>
          <w:szCs w:val="20"/>
        </w:rPr>
        <w:t>to</w:t>
      </w:r>
      <w:r w:rsidRPr="00BC05A7">
        <w:rPr>
          <w:szCs w:val="20"/>
        </w:rPr>
        <w:t xml:space="preserve"> </w:t>
      </w:r>
      <w:r>
        <w:rPr>
          <w:szCs w:val="20"/>
        </w:rPr>
        <w:t>resolve a dispute with</w:t>
      </w:r>
      <w:r w:rsidRPr="00BC05A7">
        <w:rPr>
          <w:szCs w:val="20"/>
        </w:rPr>
        <w:t xml:space="preserve"> the supplier where the service does not meet a statutory consumer guarantee. In </w:t>
      </w:r>
      <w:r>
        <w:rPr>
          <w:szCs w:val="20"/>
        </w:rPr>
        <w:t xml:space="preserve">these circumstances, </w:t>
      </w:r>
      <w:r w:rsidRPr="00BC05A7">
        <w:rPr>
          <w:szCs w:val="20"/>
        </w:rPr>
        <w:t>the ACL provides the consumer with a range of remedies. The consumer can seek to recover the amount of the loss or damage caused by the conduct of the supplier (or other relevant person involved in the contravention) under section</w:t>
      </w:r>
      <w:r w:rsidR="00051C4B">
        <w:rPr>
          <w:szCs w:val="20"/>
        </w:rPr>
        <w:t> </w:t>
      </w:r>
      <w:r w:rsidRPr="00BC05A7">
        <w:rPr>
          <w:szCs w:val="20"/>
        </w:rPr>
        <w:t>236 and, in some cases, the consumer will be entitled to compensation for damages and loss under section 237.</w:t>
      </w:r>
    </w:p>
    <w:p w14:paraId="6B33EAC9" w14:textId="0650B531" w:rsidR="006567D5" w:rsidRDefault="006567D5" w:rsidP="006567D5">
      <w:pPr>
        <w:jc w:val="left"/>
        <w:rPr>
          <w:szCs w:val="20"/>
        </w:rPr>
      </w:pPr>
      <w:r w:rsidRPr="00BC05A7">
        <w:rPr>
          <w:szCs w:val="20"/>
        </w:rPr>
        <w:t>In addition to the protections conferred under the ACL, consumers are also able to pursue claims for damages in respect of harm resulting from the fault of a person, in actions based in negligence, contract or other causes of action under common law</w:t>
      </w:r>
      <w:r>
        <w:rPr>
          <w:szCs w:val="20"/>
        </w:rPr>
        <w:t>. Some limits are placed on the amount of a claim by State and Territory Civil Liability Acts</w:t>
      </w:r>
      <w:r w:rsidRPr="00BC05A7">
        <w:rPr>
          <w:szCs w:val="20"/>
        </w:rPr>
        <w:t>, which each modify essential elements of the action</w:t>
      </w:r>
      <w:r>
        <w:rPr>
          <w:szCs w:val="20"/>
        </w:rPr>
        <w:t>, for example with different</w:t>
      </w:r>
      <w:r w:rsidRPr="00BC05A7">
        <w:rPr>
          <w:szCs w:val="20"/>
        </w:rPr>
        <w:t xml:space="preserve"> limitation periods, statutory defences, </w:t>
      </w:r>
      <w:r>
        <w:rPr>
          <w:szCs w:val="20"/>
        </w:rPr>
        <w:t xml:space="preserve">and limits on damages. See section </w:t>
      </w:r>
      <w:r w:rsidR="00795BC8">
        <w:rPr>
          <w:szCs w:val="20"/>
        </w:rPr>
        <w:t>4</w:t>
      </w:r>
      <w:r w:rsidR="0052444E">
        <w:rPr>
          <w:szCs w:val="20"/>
        </w:rPr>
        <w:t>.</w:t>
      </w:r>
      <w:r w:rsidR="00F43721">
        <w:rPr>
          <w:szCs w:val="20"/>
        </w:rPr>
        <w:t>2</w:t>
      </w:r>
      <w:r w:rsidR="000F455D">
        <w:rPr>
          <w:szCs w:val="20"/>
        </w:rPr>
        <w:t>.</w:t>
      </w:r>
      <w:r>
        <w:rPr>
          <w:szCs w:val="20"/>
        </w:rPr>
        <w:t xml:space="preserve">3 below for further detail. </w:t>
      </w:r>
    </w:p>
    <w:p w14:paraId="1E612AB0" w14:textId="77777777" w:rsidR="003E6830" w:rsidRDefault="003E6830" w:rsidP="003E6830">
      <w:pPr>
        <w:pStyle w:val="Heading2"/>
        <w:jc w:val="both"/>
      </w:pPr>
      <w:bookmarkStart w:id="25" w:name="_Toc34657053"/>
      <w:bookmarkStart w:id="26" w:name="_Toc44659904"/>
      <w:r>
        <w:t>LLMC Convention</w:t>
      </w:r>
      <w:bookmarkEnd w:id="25"/>
      <w:bookmarkEnd w:id="26"/>
    </w:p>
    <w:p w14:paraId="10AF595A" w14:textId="6B37C02B" w:rsidR="003E6830" w:rsidRPr="000C79B0" w:rsidRDefault="003E6830" w:rsidP="003E6830">
      <w:pPr>
        <w:jc w:val="left"/>
      </w:pPr>
      <w:r w:rsidRPr="000C79B0">
        <w:t>The Convention on Limitation of Liability for Maritime Claims 1976 (LLMC Convention) allows Shipowners to limit their total liability for claims arising out of one single event, referred to as ‘global limitation’</w:t>
      </w:r>
      <w:r>
        <w:t xml:space="preserve">. The LLMC Convention applies to claims for loss of life and personal injury, as well as loss of or damage to property. Australia is a party to the LLMC Protocol 1996, which is implemented in Australia by the </w:t>
      </w:r>
      <w:r w:rsidRPr="00737B3B">
        <w:rPr>
          <w:i/>
        </w:rPr>
        <w:t xml:space="preserve">Limitation of Liability for Maritime Claims </w:t>
      </w:r>
      <w:r w:rsidRPr="006F03E2">
        <w:rPr>
          <w:i/>
        </w:rPr>
        <w:t>Act</w:t>
      </w:r>
      <w:r>
        <w:t xml:space="preserve"> 1989 (LLMC Act).</w:t>
      </w:r>
    </w:p>
    <w:p w14:paraId="6E5C4074" w14:textId="77777777" w:rsidR="004B506A" w:rsidRDefault="004B506A" w:rsidP="004B506A">
      <w:pPr>
        <w:jc w:val="left"/>
      </w:pPr>
      <w:r>
        <w:t>Carriers can limit their liability under the LLMC Convention, unless it is proven that the loss occurred due to an intentional act or omission, or that the carrier acted recklessly with the knowledge that such damage would probably occur. Liability limits are specified in respect of claims for loss of life or personal injury, and property claims (such as damage to other ships).</w:t>
      </w:r>
    </w:p>
    <w:p w14:paraId="4B14965C" w14:textId="4E0A0BE2" w:rsidR="003E6830" w:rsidRPr="000C79B0" w:rsidRDefault="004B506A" w:rsidP="004B506A">
      <w:pPr>
        <w:jc w:val="left"/>
      </w:pPr>
      <w:r>
        <w:t xml:space="preserve">In Australia, it is </w:t>
      </w:r>
      <w:r w:rsidRPr="004B506A">
        <w:rPr>
          <w:b/>
          <w:bCs/>
        </w:rPr>
        <w:t>not mandatory</w:t>
      </w:r>
      <w:r>
        <w:t xml:space="preserve"> to hold passenger liability insurance</w:t>
      </w:r>
      <w:r w:rsidR="00A4634A">
        <w:t>.</w:t>
      </w:r>
      <w:r>
        <w:t xml:space="preserve"> Passenger insurance is regarded as a business decision. However, through consultation with representatives from across the maritime industry, there is a strong view that it would be highly unlikely for cruise operators to be uninsured. Feedback from stakeholders indicates that absence of insurance by cruise ships has not yet been identified in Australian Courts through damage claims.</w:t>
      </w:r>
      <w:r w:rsidR="003E6830">
        <w:br/>
      </w:r>
    </w:p>
    <w:p w14:paraId="6FD92950" w14:textId="77777777" w:rsidR="003E6830" w:rsidRDefault="003E6830" w:rsidP="003E6830">
      <w:pPr>
        <w:pStyle w:val="Heading3"/>
        <w:jc w:val="both"/>
      </w:pPr>
      <w:bookmarkStart w:id="27" w:name="_Toc31119152"/>
      <w:bookmarkStart w:id="28" w:name="_Toc34657054"/>
      <w:bookmarkStart w:id="29" w:name="_Toc44659905"/>
      <w:r>
        <w:t>LLMC Liability limits</w:t>
      </w:r>
      <w:bookmarkEnd w:id="27"/>
      <w:bookmarkEnd w:id="28"/>
      <w:bookmarkEnd w:id="29"/>
    </w:p>
    <w:p w14:paraId="7912DB25" w14:textId="37DB9B0D" w:rsidR="003E6830" w:rsidRDefault="003E6830" w:rsidP="003E6830">
      <w:pPr>
        <w:jc w:val="left"/>
      </w:pPr>
      <w:r>
        <w:t>The liability limit</w:t>
      </w:r>
      <w:r w:rsidR="005D538D">
        <w:t xml:space="preserve"> for </w:t>
      </w:r>
      <w:r>
        <w:t xml:space="preserve">loss of life or personal injury to passengers </w:t>
      </w:r>
      <w:r w:rsidR="005D538D">
        <w:t>on</w:t>
      </w:r>
      <w:r w:rsidR="007F63EB">
        <w:t xml:space="preserve"> </w:t>
      </w:r>
      <w:r>
        <w:t xml:space="preserve">a ship is calculated </w:t>
      </w:r>
      <w:r w:rsidR="00EE5E82">
        <w:t>according to carrying capacity of the ship</w:t>
      </w:r>
      <w:r w:rsidR="007F63EB">
        <w:t xml:space="preserve"> </w:t>
      </w:r>
      <w:r w:rsidR="00EE5E82">
        <w:t xml:space="preserve">where the </w:t>
      </w:r>
      <w:r>
        <w:t xml:space="preserve">overall passenger limit is 175,000 SDR multiplied by the ship’s certified passenger capacity (LLMC 1996 protocol). Article 15 of the LLMC Convention provides state parties with the flexibility to set a higher maximum carrier liability limit (up to unlimited liability) in respect of claims for loss of life or personal injury to passengers. Australia has implemented the standard LLMC Convention limit in the LLMC Act. Australia could however increase the limit through amending the LLMC Act and notifying the Secretary General of the IMO. </w:t>
      </w:r>
    </w:p>
    <w:p w14:paraId="636E08A9" w14:textId="77777777" w:rsidR="003E6830" w:rsidRDefault="003E6830" w:rsidP="003E6830">
      <w:pPr>
        <w:jc w:val="left"/>
      </w:pPr>
    </w:p>
    <w:p w14:paraId="0F4F1CBB" w14:textId="77777777" w:rsidR="003E6830" w:rsidRDefault="003E6830" w:rsidP="003E6830">
      <w:pPr>
        <w:pStyle w:val="Heading3"/>
        <w:jc w:val="both"/>
      </w:pPr>
      <w:bookmarkStart w:id="30" w:name="_Toc31119153"/>
      <w:bookmarkStart w:id="31" w:name="_Toc34657055"/>
      <w:bookmarkStart w:id="32" w:name="_Toc44659906"/>
      <w:r>
        <w:t>Claims process and recovery of payments</w:t>
      </w:r>
      <w:bookmarkEnd w:id="30"/>
      <w:bookmarkEnd w:id="31"/>
      <w:bookmarkEnd w:id="32"/>
    </w:p>
    <w:p w14:paraId="690DE389" w14:textId="7404FA5A" w:rsidR="003E6830" w:rsidRDefault="003E6830" w:rsidP="003E6830">
      <w:pPr>
        <w:jc w:val="left"/>
        <w:rPr>
          <w:color w:val="000000"/>
          <w:szCs w:val="20"/>
          <w:shd w:val="clear" w:color="auto" w:fill="FFFFFF"/>
        </w:rPr>
      </w:pPr>
      <w:r>
        <w:rPr>
          <w:color w:val="000000"/>
          <w:szCs w:val="20"/>
          <w:shd w:val="clear" w:color="auto" w:fill="FFFFFF"/>
        </w:rPr>
        <w:t>Pursuing a claim against a cruise ship relating to injury or luggage has numerous unique challenges which impact the claims process. Many</w:t>
      </w:r>
      <w:r w:rsidRPr="00434DCF">
        <w:rPr>
          <w:color w:val="000000"/>
          <w:szCs w:val="20"/>
          <w:shd w:val="clear" w:color="auto" w:fill="FFFFFF"/>
        </w:rPr>
        <w:t xml:space="preserve"> cruise ships are registered to foreign countries</w:t>
      </w:r>
      <w:r>
        <w:rPr>
          <w:color w:val="000000"/>
          <w:szCs w:val="20"/>
          <w:shd w:val="clear" w:color="auto" w:fill="FFFFFF"/>
        </w:rPr>
        <w:t>;</w:t>
      </w:r>
      <w:r w:rsidRPr="00434DCF">
        <w:rPr>
          <w:color w:val="000000"/>
          <w:szCs w:val="20"/>
          <w:shd w:val="clear" w:color="auto" w:fill="FFFFFF"/>
        </w:rPr>
        <w:t xml:space="preserve"> the companies that own the cruise ships are often based internationally</w:t>
      </w:r>
      <w:r>
        <w:rPr>
          <w:color w:val="000000"/>
          <w:szCs w:val="20"/>
          <w:shd w:val="clear" w:color="auto" w:fill="FFFFFF"/>
        </w:rPr>
        <w:t>;</w:t>
      </w:r>
      <w:r w:rsidRPr="00434DCF">
        <w:rPr>
          <w:color w:val="000000"/>
          <w:szCs w:val="20"/>
          <w:shd w:val="clear" w:color="auto" w:fill="FFFFFF"/>
        </w:rPr>
        <w:t xml:space="preserve"> the accidents often happen in international waters or in the territory of another country</w:t>
      </w:r>
      <w:r>
        <w:rPr>
          <w:color w:val="000000"/>
          <w:szCs w:val="20"/>
          <w:shd w:val="clear" w:color="auto" w:fill="FFFFFF"/>
        </w:rPr>
        <w:t>;</w:t>
      </w:r>
      <w:r w:rsidRPr="00434DCF">
        <w:rPr>
          <w:color w:val="000000"/>
          <w:szCs w:val="20"/>
          <w:shd w:val="clear" w:color="auto" w:fill="FFFFFF"/>
        </w:rPr>
        <w:t xml:space="preserve"> and </w:t>
      </w:r>
      <w:r>
        <w:rPr>
          <w:color w:val="000000"/>
          <w:szCs w:val="20"/>
          <w:shd w:val="clear" w:color="auto" w:fill="FFFFFF"/>
        </w:rPr>
        <w:t>claimants</w:t>
      </w:r>
      <w:r w:rsidRPr="00434DCF">
        <w:rPr>
          <w:color w:val="000000"/>
          <w:szCs w:val="20"/>
          <w:shd w:val="clear" w:color="auto" w:fill="FFFFFF"/>
        </w:rPr>
        <w:t xml:space="preserve"> typically only have one year to bring any type of claim for injuries </w:t>
      </w:r>
      <w:r>
        <w:rPr>
          <w:color w:val="000000"/>
          <w:szCs w:val="20"/>
          <w:shd w:val="clear" w:color="auto" w:fill="FFFFFF"/>
        </w:rPr>
        <w:t>against a</w:t>
      </w:r>
      <w:r w:rsidRPr="00434DCF">
        <w:rPr>
          <w:color w:val="000000"/>
          <w:szCs w:val="20"/>
          <w:shd w:val="clear" w:color="auto" w:fill="FFFFFF"/>
        </w:rPr>
        <w:t xml:space="preserve"> cruise ship.</w:t>
      </w:r>
      <w:r w:rsidR="0080374B">
        <w:rPr>
          <w:color w:val="000000"/>
          <w:szCs w:val="20"/>
          <w:shd w:val="clear" w:color="auto" w:fill="FFFFFF"/>
        </w:rPr>
        <w:t xml:space="preserve"> These circumstances </w:t>
      </w:r>
      <w:r w:rsidR="004735FD">
        <w:rPr>
          <w:color w:val="000000"/>
          <w:szCs w:val="20"/>
          <w:shd w:val="clear" w:color="auto" w:fill="FFFFFF"/>
        </w:rPr>
        <w:t xml:space="preserve">for claims </w:t>
      </w:r>
      <w:r w:rsidR="0080374B">
        <w:rPr>
          <w:color w:val="000000"/>
          <w:szCs w:val="20"/>
          <w:shd w:val="clear" w:color="auto" w:fill="FFFFFF"/>
        </w:rPr>
        <w:t xml:space="preserve">can occur </w:t>
      </w:r>
      <w:r w:rsidR="00195650">
        <w:rPr>
          <w:color w:val="000000"/>
          <w:szCs w:val="20"/>
          <w:shd w:val="clear" w:color="auto" w:fill="FFFFFF"/>
        </w:rPr>
        <w:t>in different geographic locations</w:t>
      </w:r>
      <w:r w:rsidR="004735FD">
        <w:rPr>
          <w:color w:val="000000"/>
          <w:szCs w:val="20"/>
          <w:shd w:val="clear" w:color="auto" w:fill="FFFFFF"/>
        </w:rPr>
        <w:t>, including the points of embarkation and disembarkation</w:t>
      </w:r>
      <w:r w:rsidR="0080374B">
        <w:rPr>
          <w:color w:val="000000"/>
          <w:szCs w:val="20"/>
          <w:shd w:val="clear" w:color="auto" w:fill="FFFFFF"/>
        </w:rPr>
        <w:t>.</w:t>
      </w:r>
      <w:r>
        <w:rPr>
          <w:color w:val="000000"/>
          <w:szCs w:val="20"/>
          <w:shd w:val="clear" w:color="auto" w:fill="FFFFFF"/>
        </w:rPr>
        <w:t xml:space="preserve"> Claims have to be brought to the company directly and may be bound by limitations outlined in the individual cruise contract. </w:t>
      </w:r>
    </w:p>
    <w:p w14:paraId="54DEE20C" w14:textId="77777777" w:rsidR="003E6830" w:rsidRDefault="003E6830" w:rsidP="003E6830">
      <w:pPr>
        <w:jc w:val="left"/>
        <w:rPr>
          <w:color w:val="000000"/>
          <w:szCs w:val="20"/>
          <w:shd w:val="clear" w:color="auto" w:fill="FFFFFF"/>
        </w:rPr>
      </w:pPr>
      <w:r>
        <w:rPr>
          <w:color w:val="000000"/>
          <w:szCs w:val="20"/>
          <w:shd w:val="clear" w:color="auto" w:fill="FFFFFF"/>
        </w:rPr>
        <w:t>Each cruise contract</w:t>
      </w:r>
      <w:r w:rsidDel="00773513">
        <w:rPr>
          <w:color w:val="000000"/>
          <w:szCs w:val="20"/>
          <w:shd w:val="clear" w:color="auto" w:fill="FFFFFF"/>
        </w:rPr>
        <w:t xml:space="preserve"> </w:t>
      </w:r>
      <w:r>
        <w:rPr>
          <w:color w:val="000000"/>
          <w:szCs w:val="20"/>
          <w:shd w:val="clear" w:color="auto" w:fill="FFFFFF"/>
        </w:rPr>
        <w:t xml:space="preserve">generally differs between companies and even within companies depending on where they are operating. The contract entered into by the passenger when purchasing the ticket will state where the case should be brought if a claim was to be made and how long the claimant has before submitting a claim. Cruise contracts also typically contain long and detailed terms and conditions, which can lead to cascading arguments during a claims process leading to expense and delay in resolution. Compounded with often short timeframes for a case to be brought against a company and then heard before the courts, navigating cruise contracts can be complex and burdensome for passengers. The modest value of most claims makes it unattractive to proceed with a claim involving a complex legal debate.  </w:t>
      </w:r>
    </w:p>
    <w:p w14:paraId="0592DA0D" w14:textId="53DC4964" w:rsidR="003E6830" w:rsidRDefault="003E6830" w:rsidP="003E6830">
      <w:pPr>
        <w:jc w:val="left"/>
      </w:pPr>
      <w:r>
        <w:t>Whilst the majority of the shipping industry operating in Australia holds insurance for passenger claims, there is no compulsory requirement for ships to have insurance for passenger claims, or a legal presence in Australia. Passengers can therefore be exposed to the risk of a carrier not being able to pay compensation, or avoid</w:t>
      </w:r>
      <w:r w:rsidR="00562088">
        <w:t>ing</w:t>
      </w:r>
      <w:r>
        <w:t xml:space="preserve"> payment, or </w:t>
      </w:r>
      <w:r w:rsidR="00562088">
        <w:t xml:space="preserve">having </w:t>
      </w:r>
      <w:r>
        <w:t>to pursue a claim in a foreign court.</w:t>
      </w:r>
    </w:p>
    <w:p w14:paraId="0FE4D033" w14:textId="77777777" w:rsidR="003E6830" w:rsidRDefault="003E6830" w:rsidP="003E6830">
      <w:pPr>
        <w:jc w:val="left"/>
      </w:pPr>
    </w:p>
    <w:p w14:paraId="5813EAB3" w14:textId="77777777" w:rsidR="003E6830" w:rsidRDefault="003E6830" w:rsidP="003E6830">
      <w:pPr>
        <w:pStyle w:val="Heading3"/>
        <w:jc w:val="both"/>
      </w:pPr>
      <w:bookmarkStart w:id="33" w:name="_Toc34657056"/>
      <w:bookmarkStart w:id="34" w:name="_Toc44659907"/>
      <w:r>
        <w:t>Existing interaction between the Australian Consumer Law and the State Based Civil Liability Regimes.</w:t>
      </w:r>
      <w:bookmarkEnd w:id="33"/>
      <w:bookmarkEnd w:id="34"/>
      <w:r>
        <w:t xml:space="preserve"> </w:t>
      </w:r>
    </w:p>
    <w:p w14:paraId="0F1FBB62" w14:textId="15DF5302" w:rsidR="003E6830" w:rsidRDefault="003E6830" w:rsidP="003E6830">
      <w:pPr>
        <w:jc w:val="left"/>
      </w:pPr>
      <w:r>
        <w:t>The Australian law applicable to passengers carried by sea is widely regarded as being complex and difficult to navigate. Where the Australian Consumer Law (ACL) applies, carriers are bound by a statutory guarantee to exercise due care and skill in the carriage of their passengers.</w:t>
      </w:r>
      <w:r w:rsidR="00955BFF" w:rsidRPr="00955BFF">
        <w:t xml:space="preserve"> Under section 61(2) of the ACL, there is a guarantee that services will be of such a nature, quality, state, or condition that they might reasonably be expected to achieve a particular purpose made known to the supplier by the consumer</w:t>
      </w:r>
      <w:r w:rsidR="00955BFF">
        <w:t xml:space="preserve">. </w:t>
      </w:r>
      <w:r w:rsidR="007F4797" w:rsidRPr="007F4797">
        <w:t>Under section 61(1) of the ACL, there is a guarantee that services will be reasonably fit to achieve a particular purpose made known to the supplier by the consumer</w:t>
      </w:r>
      <w:r w:rsidR="007F4797">
        <w:t>.</w:t>
      </w:r>
      <w:r w:rsidR="00006F36">
        <w:t xml:space="preserve"> </w:t>
      </w:r>
      <w:r>
        <w:t>The nature of the obligations imposed on service providers under the consumer guarantees is not in itself problematic as the duty of care closely aligns with a carrier’s common law obligation. However, insofar as they involve a duty of care to avoid injury or death, the legal position is less straightforward due to the exceptions of the ACL and the impact of the ‘uplift’ of State Laws (such as Civil Liability Acts)</w:t>
      </w:r>
      <w:r>
        <w:rPr>
          <w:rStyle w:val="FootnoteReference"/>
        </w:rPr>
        <w:footnoteReference w:id="13"/>
      </w:r>
      <w:r>
        <w:t>. The known issues include:</w:t>
      </w:r>
    </w:p>
    <w:p w14:paraId="4F6456B9" w14:textId="77777777" w:rsidR="003E6830" w:rsidRPr="00641150" w:rsidRDefault="003E6830" w:rsidP="00160A48">
      <w:pPr>
        <w:pStyle w:val="ListParagraph"/>
        <w:numPr>
          <w:ilvl w:val="0"/>
          <w:numId w:val="7"/>
        </w:numPr>
        <w:rPr>
          <w:b/>
          <w:bCs/>
        </w:rPr>
      </w:pPr>
      <w:r w:rsidRPr="00641150">
        <w:rPr>
          <w:b/>
          <w:bCs/>
        </w:rPr>
        <w:t>Recreational Services</w:t>
      </w:r>
    </w:p>
    <w:p w14:paraId="2CFBAE82" w14:textId="71B7BEB9" w:rsidR="00D0618F" w:rsidRDefault="003E6830" w:rsidP="006F3EA2">
      <w:pPr>
        <w:pStyle w:val="ListParagraph"/>
        <w:ind w:left="0"/>
        <w:jc w:val="left"/>
      </w:pPr>
      <w:r>
        <w:t xml:space="preserve">As highlighted above, the ACL imposes a statutory guarantee on service providers to exercise due care in the provisions of services in trade and commerce. However, there is what is termed a ‘carve out’ (found in the parent Act, the </w:t>
      </w:r>
      <w:r w:rsidRPr="003E0FC8">
        <w:rPr>
          <w:i/>
        </w:rPr>
        <w:t>Competition and Consumer Act</w:t>
      </w:r>
      <w:r>
        <w:t xml:space="preserve"> (CCA) 2010 s139A) which allows for service providers to exclude liabilities in relation to injuries sustained during the provision of recreational services. The definition of </w:t>
      </w:r>
      <w:r w:rsidRPr="00F03F9D">
        <w:t xml:space="preserve">‘recreational services’ in the CCA is quite narrow in that an entire cruise is unlikely to constitute a recreational service but this has not been tested in case law. To trigger s139A, an exclusion clause must only exclude injury or death, and not property, and the exclusion clause must be part of the contract. </w:t>
      </w:r>
      <w:r w:rsidR="001C6A96" w:rsidRPr="00F03F9D">
        <w:t>Importantly</w:t>
      </w:r>
      <w:r w:rsidR="006C48CF" w:rsidRPr="00F03F9D">
        <w:t xml:space="preserve"> however</w:t>
      </w:r>
      <w:r w:rsidR="001C6A96" w:rsidRPr="00F03F9D">
        <w:t>, significant personal injury caused by a supplier’s reckless conduct cannot be excluded under section 139A, and such an exclusion clause would be void under section 64 of the ACL</w:t>
      </w:r>
      <w:r w:rsidR="006C48CF" w:rsidRPr="00F03F9D">
        <w:t xml:space="preserve"> despite whether an activity is or isn’t classe</w:t>
      </w:r>
      <w:r w:rsidR="00DE0EEC" w:rsidRPr="00F03F9D">
        <w:t>d</w:t>
      </w:r>
      <w:r w:rsidR="006C48CF" w:rsidRPr="00F03F9D">
        <w:t xml:space="preserve"> as a ‘recreational service’.</w:t>
      </w:r>
      <w:r w:rsidR="006C48CF">
        <w:t xml:space="preserve"> </w:t>
      </w:r>
    </w:p>
    <w:p w14:paraId="619E594C" w14:textId="77777777" w:rsidR="006C48CF" w:rsidRDefault="006C48CF" w:rsidP="006F3EA2">
      <w:pPr>
        <w:pStyle w:val="ListParagraph"/>
        <w:ind w:left="0"/>
        <w:jc w:val="left"/>
      </w:pPr>
    </w:p>
    <w:p w14:paraId="35FC5729" w14:textId="77777777" w:rsidR="00D0618F" w:rsidRDefault="00D0618F" w:rsidP="003E6830">
      <w:pPr>
        <w:pStyle w:val="ListParagraph"/>
      </w:pPr>
    </w:p>
    <w:p w14:paraId="6FDED5B8" w14:textId="77777777" w:rsidR="003E6830" w:rsidRPr="00641150" w:rsidRDefault="003E6830" w:rsidP="00160A48">
      <w:pPr>
        <w:pStyle w:val="ListParagraph"/>
        <w:numPr>
          <w:ilvl w:val="0"/>
          <w:numId w:val="7"/>
        </w:numPr>
        <w:rPr>
          <w:b/>
          <w:bCs/>
        </w:rPr>
      </w:pPr>
      <w:r>
        <w:rPr>
          <w:b/>
          <w:bCs/>
        </w:rPr>
        <w:t>The interaction between the ACL and state based</w:t>
      </w:r>
      <w:r w:rsidRPr="00641150">
        <w:rPr>
          <w:b/>
          <w:bCs/>
        </w:rPr>
        <w:t xml:space="preserve"> Civil Liability </w:t>
      </w:r>
      <w:r>
        <w:rPr>
          <w:b/>
          <w:bCs/>
        </w:rPr>
        <w:t>regimes</w:t>
      </w:r>
    </w:p>
    <w:p w14:paraId="52B9D5C6" w14:textId="77777777" w:rsidR="003E6830" w:rsidRDefault="003E6830" w:rsidP="003E6830">
      <w:pPr>
        <w:jc w:val="left"/>
      </w:pPr>
      <w:r>
        <w:t>The objectives of the CCA (which contains the ACL) and the various state Civil Liability Acts (CLAs) have overlapping applications.  The objective of the CCA could be described as enhancing consumer protection and the CLAs as placing importance on personal responsibility,</w:t>
      </w:r>
      <w:r w:rsidDel="009F1404">
        <w:t xml:space="preserve"> </w:t>
      </w:r>
      <w:r>
        <w:t>reining in the law of negligence and limiting aspects of a defendant’s liability. The</w:t>
      </w:r>
      <w:r w:rsidDel="00914E93">
        <w:t xml:space="preserve"> </w:t>
      </w:r>
      <w:r>
        <w:t xml:space="preserve">CLAs also have unique rules applicable to recreational activities, defined more broadly than the CCA. The CLAs permit the use of waivers, risk warnings and disclaimers in relation to recreational services and have special rules for dangerous recreational activities. </w:t>
      </w:r>
    </w:p>
    <w:p w14:paraId="3E4AF65B" w14:textId="77777777" w:rsidR="003E6830" w:rsidRPr="001644FA" w:rsidRDefault="003E6830" w:rsidP="00160A48">
      <w:pPr>
        <w:pStyle w:val="ListParagraph"/>
        <w:numPr>
          <w:ilvl w:val="0"/>
          <w:numId w:val="7"/>
        </w:numPr>
        <w:rPr>
          <w:b/>
          <w:bCs/>
        </w:rPr>
      </w:pPr>
      <w:r w:rsidRPr="001644FA">
        <w:rPr>
          <w:b/>
          <w:bCs/>
        </w:rPr>
        <w:t>Quantum of claims</w:t>
      </w:r>
    </w:p>
    <w:p w14:paraId="68E5C360" w14:textId="784AC695" w:rsidR="006825F3" w:rsidRDefault="003E6830" w:rsidP="003E6830">
      <w:pPr>
        <w:jc w:val="left"/>
      </w:pPr>
      <w:r>
        <w:t xml:space="preserve">The CLAs seek to minimise the quantum of claims awarded in the event that a defendant is found liable. In most </w:t>
      </w:r>
      <w:r w:rsidR="00937493">
        <w:t>states</w:t>
      </w:r>
      <w:r w:rsidR="004F214B">
        <w:t>/territories</w:t>
      </w:r>
      <w:r>
        <w:t>, plaintiff’s damages are subject to a threshold and a cap for financial and non-financial losses.  However, thresholds</w:t>
      </w:r>
      <w:r w:rsidR="00B8287F">
        <w:t xml:space="preserve"> for general damages</w:t>
      </w:r>
      <w:r>
        <w:t xml:space="preserve"> and definitions vary significantly between states</w:t>
      </w:r>
      <w:r w:rsidR="006825F3">
        <w:t xml:space="preserve"> where r</w:t>
      </w:r>
      <w:r w:rsidR="006825F3" w:rsidRPr="006825F3">
        <w:t>estrictions on the scope of damages for non-economic loss for personal injury actions are stipulated at statute.</w:t>
      </w:r>
    </w:p>
    <w:p w14:paraId="397F1D76" w14:textId="77777777" w:rsidR="00F4584E" w:rsidRDefault="00F4584E" w:rsidP="003E6830">
      <w:pPr>
        <w:jc w:val="left"/>
      </w:pPr>
    </w:p>
    <w:tbl>
      <w:tblPr>
        <w:tblStyle w:val="ListTable2"/>
        <w:tblW w:w="0" w:type="auto"/>
        <w:tblLook w:val="04A0" w:firstRow="1" w:lastRow="0" w:firstColumn="1" w:lastColumn="0" w:noHBand="0" w:noVBand="1"/>
      </w:tblPr>
      <w:tblGrid>
        <w:gridCol w:w="704"/>
        <w:gridCol w:w="2126"/>
        <w:gridCol w:w="4962"/>
        <w:gridCol w:w="1224"/>
      </w:tblGrid>
      <w:tr w:rsidR="00236B12" w14:paraId="52A80B69" w14:textId="34095311" w:rsidTr="009F5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2E9DAEB" w14:textId="11E39B80" w:rsidR="00236B12" w:rsidRPr="004A05BE" w:rsidRDefault="00236B12" w:rsidP="003E6830">
            <w:pPr>
              <w:jc w:val="left"/>
              <w:rPr>
                <w:color w:val="auto"/>
                <w:szCs w:val="20"/>
              </w:rPr>
            </w:pPr>
            <w:r w:rsidRPr="004A05BE">
              <w:rPr>
                <w:color w:val="auto"/>
                <w:szCs w:val="20"/>
              </w:rPr>
              <w:t>State</w:t>
            </w:r>
          </w:p>
        </w:tc>
        <w:tc>
          <w:tcPr>
            <w:tcW w:w="2126" w:type="dxa"/>
          </w:tcPr>
          <w:p w14:paraId="61085A34" w14:textId="58D4909D" w:rsidR="00236B12" w:rsidRPr="004A05BE" w:rsidRDefault="00236B12" w:rsidP="003E6830">
            <w:pPr>
              <w:jc w:val="left"/>
              <w:cnfStyle w:val="100000000000" w:firstRow="1" w:lastRow="0" w:firstColumn="0" w:lastColumn="0" w:oddVBand="0" w:evenVBand="0" w:oddHBand="0" w:evenHBand="0" w:firstRowFirstColumn="0" w:firstRowLastColumn="0" w:lastRowFirstColumn="0" w:lastRowLastColumn="0"/>
              <w:rPr>
                <w:color w:val="auto"/>
                <w:szCs w:val="20"/>
              </w:rPr>
            </w:pPr>
            <w:r w:rsidRPr="004A05BE">
              <w:rPr>
                <w:color w:val="auto"/>
                <w:szCs w:val="20"/>
              </w:rPr>
              <w:t>Relevant Act</w:t>
            </w:r>
          </w:p>
        </w:tc>
        <w:tc>
          <w:tcPr>
            <w:tcW w:w="4962" w:type="dxa"/>
          </w:tcPr>
          <w:p w14:paraId="00803CC5" w14:textId="5D5DB114" w:rsidR="00236B12" w:rsidRPr="004A05BE" w:rsidRDefault="00236B12" w:rsidP="003E6830">
            <w:pPr>
              <w:jc w:val="left"/>
              <w:cnfStyle w:val="100000000000" w:firstRow="1" w:lastRow="0" w:firstColumn="0" w:lastColumn="0" w:oddVBand="0" w:evenVBand="0" w:oddHBand="0" w:evenHBand="0" w:firstRowFirstColumn="0" w:firstRowLastColumn="0" w:lastRowFirstColumn="0" w:lastRowLastColumn="0"/>
              <w:rPr>
                <w:color w:val="auto"/>
                <w:szCs w:val="20"/>
              </w:rPr>
            </w:pPr>
            <w:r w:rsidRPr="004A05BE">
              <w:rPr>
                <w:color w:val="auto"/>
                <w:szCs w:val="20"/>
              </w:rPr>
              <w:t>Thresholds</w:t>
            </w:r>
          </w:p>
        </w:tc>
        <w:tc>
          <w:tcPr>
            <w:tcW w:w="1224" w:type="dxa"/>
          </w:tcPr>
          <w:p w14:paraId="64C47C9B" w14:textId="667EA3FA" w:rsidR="00236B12" w:rsidRPr="004A05BE" w:rsidRDefault="00236B12" w:rsidP="003E6830">
            <w:pPr>
              <w:jc w:val="left"/>
              <w:cnfStyle w:val="100000000000" w:firstRow="1" w:lastRow="0" w:firstColumn="0" w:lastColumn="0" w:oddVBand="0" w:evenVBand="0" w:oddHBand="0" w:evenHBand="0" w:firstRowFirstColumn="0" w:firstRowLastColumn="0" w:lastRowFirstColumn="0" w:lastRowLastColumn="0"/>
              <w:rPr>
                <w:color w:val="auto"/>
                <w:szCs w:val="20"/>
              </w:rPr>
            </w:pPr>
            <w:r w:rsidRPr="004A05BE">
              <w:rPr>
                <w:color w:val="auto"/>
                <w:szCs w:val="20"/>
              </w:rPr>
              <w:t>Damages Cap</w:t>
            </w:r>
            <w:r w:rsidR="00110E94" w:rsidRPr="004A05BE">
              <w:rPr>
                <w:color w:val="auto"/>
                <w:szCs w:val="20"/>
              </w:rPr>
              <w:t xml:space="preserve"> (AUD)</w:t>
            </w:r>
          </w:p>
        </w:tc>
      </w:tr>
      <w:tr w:rsidR="00236B12" w14:paraId="7D855A43" w14:textId="74328045" w:rsidTr="009F5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3CA9DAE" w14:textId="338AB83A" w:rsidR="00236B12" w:rsidRPr="004A05BE" w:rsidRDefault="00236B12" w:rsidP="003E6830">
            <w:pPr>
              <w:jc w:val="left"/>
              <w:rPr>
                <w:sz w:val="18"/>
                <w:szCs w:val="20"/>
              </w:rPr>
            </w:pPr>
            <w:r w:rsidRPr="004A05BE">
              <w:rPr>
                <w:sz w:val="18"/>
                <w:szCs w:val="20"/>
              </w:rPr>
              <w:t>QLD</w:t>
            </w:r>
          </w:p>
        </w:tc>
        <w:tc>
          <w:tcPr>
            <w:tcW w:w="2126" w:type="dxa"/>
          </w:tcPr>
          <w:p w14:paraId="5997B44B" w14:textId="1E7A06DB" w:rsidR="00236B12" w:rsidRPr="004A05BE" w:rsidRDefault="00236B12" w:rsidP="003E6830">
            <w:pPr>
              <w:jc w:val="left"/>
              <w:cnfStyle w:val="000000100000" w:firstRow="0" w:lastRow="0" w:firstColumn="0" w:lastColumn="0" w:oddVBand="0" w:evenVBand="0" w:oddHBand="1" w:evenHBand="0" w:firstRowFirstColumn="0" w:firstRowLastColumn="0" w:lastRowFirstColumn="0" w:lastRowLastColumn="0"/>
              <w:rPr>
                <w:sz w:val="18"/>
                <w:szCs w:val="20"/>
              </w:rPr>
            </w:pPr>
            <w:r w:rsidRPr="004A05BE">
              <w:rPr>
                <w:sz w:val="18"/>
                <w:szCs w:val="20"/>
              </w:rPr>
              <w:t xml:space="preserve">Civil Liabilities Act 2003 </w:t>
            </w:r>
          </w:p>
        </w:tc>
        <w:tc>
          <w:tcPr>
            <w:tcW w:w="4962" w:type="dxa"/>
          </w:tcPr>
          <w:p w14:paraId="5F0FD5AE" w14:textId="6E76AB54" w:rsidR="00236B12" w:rsidRPr="004A05BE" w:rsidRDefault="00236B12" w:rsidP="003E6830">
            <w:pPr>
              <w:jc w:val="left"/>
              <w:cnfStyle w:val="000000100000" w:firstRow="0" w:lastRow="0" w:firstColumn="0" w:lastColumn="0" w:oddVBand="0" w:evenVBand="0" w:oddHBand="1" w:evenHBand="0" w:firstRowFirstColumn="0" w:firstRowLastColumn="0" w:lastRowFirstColumn="0" w:lastRowLastColumn="0"/>
              <w:rPr>
                <w:sz w:val="18"/>
                <w:szCs w:val="20"/>
              </w:rPr>
            </w:pPr>
            <w:r w:rsidRPr="004A05BE">
              <w:rPr>
                <w:sz w:val="18"/>
                <w:szCs w:val="20"/>
              </w:rPr>
              <w:t>No minimum threshold</w:t>
            </w:r>
          </w:p>
        </w:tc>
        <w:tc>
          <w:tcPr>
            <w:tcW w:w="1224" w:type="dxa"/>
          </w:tcPr>
          <w:p w14:paraId="506FCD27" w14:textId="7084DB49" w:rsidR="00236B12" w:rsidRDefault="00236B12" w:rsidP="003E6830">
            <w:pPr>
              <w:jc w:val="left"/>
              <w:cnfStyle w:val="000000100000" w:firstRow="0" w:lastRow="0" w:firstColumn="0" w:lastColumn="0" w:oddVBand="0" w:evenVBand="0" w:oddHBand="1" w:evenHBand="0" w:firstRowFirstColumn="0" w:firstRowLastColumn="0" w:lastRowFirstColumn="0" w:lastRowLastColumn="0"/>
            </w:pPr>
            <w:r>
              <w:t>$</w:t>
            </w:r>
            <w:r w:rsidR="002B0AB1">
              <w:t>378,550</w:t>
            </w:r>
          </w:p>
        </w:tc>
      </w:tr>
      <w:tr w:rsidR="00236B12" w14:paraId="7912DAD9" w14:textId="352B0CBA" w:rsidTr="009F5CCA">
        <w:tc>
          <w:tcPr>
            <w:cnfStyle w:val="001000000000" w:firstRow="0" w:lastRow="0" w:firstColumn="1" w:lastColumn="0" w:oddVBand="0" w:evenVBand="0" w:oddHBand="0" w:evenHBand="0" w:firstRowFirstColumn="0" w:firstRowLastColumn="0" w:lastRowFirstColumn="0" w:lastRowLastColumn="0"/>
            <w:tcW w:w="704" w:type="dxa"/>
          </w:tcPr>
          <w:p w14:paraId="7FE4A550" w14:textId="552C9B78" w:rsidR="00236B12" w:rsidRPr="004A05BE" w:rsidRDefault="00236B12" w:rsidP="003E6830">
            <w:pPr>
              <w:jc w:val="left"/>
              <w:rPr>
                <w:sz w:val="18"/>
                <w:szCs w:val="20"/>
              </w:rPr>
            </w:pPr>
            <w:r w:rsidRPr="004A05BE">
              <w:rPr>
                <w:sz w:val="18"/>
                <w:szCs w:val="20"/>
              </w:rPr>
              <w:t>ACT</w:t>
            </w:r>
          </w:p>
        </w:tc>
        <w:tc>
          <w:tcPr>
            <w:tcW w:w="2126" w:type="dxa"/>
          </w:tcPr>
          <w:p w14:paraId="245CB5E8" w14:textId="25BBA2F2" w:rsidR="00236B12" w:rsidRPr="004A05BE" w:rsidRDefault="00236B12" w:rsidP="003E6830">
            <w:pPr>
              <w:jc w:val="left"/>
              <w:cnfStyle w:val="000000000000" w:firstRow="0" w:lastRow="0" w:firstColumn="0" w:lastColumn="0" w:oddVBand="0" w:evenVBand="0" w:oddHBand="0" w:evenHBand="0" w:firstRowFirstColumn="0" w:firstRowLastColumn="0" w:lastRowFirstColumn="0" w:lastRowLastColumn="0"/>
              <w:rPr>
                <w:sz w:val="18"/>
                <w:szCs w:val="20"/>
              </w:rPr>
            </w:pPr>
            <w:r w:rsidRPr="004A05BE">
              <w:rPr>
                <w:sz w:val="18"/>
                <w:szCs w:val="20"/>
              </w:rPr>
              <w:t>Civil Law (Wrongs) Act 2002</w:t>
            </w:r>
          </w:p>
        </w:tc>
        <w:tc>
          <w:tcPr>
            <w:tcW w:w="4962" w:type="dxa"/>
          </w:tcPr>
          <w:p w14:paraId="01A6DA57" w14:textId="44199457" w:rsidR="00236B12" w:rsidRPr="004A05BE" w:rsidRDefault="00236B12" w:rsidP="003E6830">
            <w:pPr>
              <w:jc w:val="left"/>
              <w:cnfStyle w:val="000000000000" w:firstRow="0" w:lastRow="0" w:firstColumn="0" w:lastColumn="0" w:oddVBand="0" w:evenVBand="0" w:oddHBand="0" w:evenHBand="0" w:firstRowFirstColumn="0" w:firstRowLastColumn="0" w:lastRowFirstColumn="0" w:lastRowLastColumn="0"/>
              <w:rPr>
                <w:sz w:val="18"/>
                <w:szCs w:val="20"/>
              </w:rPr>
            </w:pPr>
            <w:r w:rsidRPr="004A05BE">
              <w:rPr>
                <w:sz w:val="18"/>
                <w:szCs w:val="20"/>
              </w:rPr>
              <w:t xml:space="preserve">No minimum threshold </w:t>
            </w:r>
          </w:p>
        </w:tc>
        <w:tc>
          <w:tcPr>
            <w:tcW w:w="1224" w:type="dxa"/>
          </w:tcPr>
          <w:p w14:paraId="4F93FDF5" w14:textId="1B895495" w:rsidR="00236B12" w:rsidRDefault="00D16E7A" w:rsidP="003E6830">
            <w:pPr>
              <w:jc w:val="left"/>
              <w:cnfStyle w:val="000000000000" w:firstRow="0" w:lastRow="0" w:firstColumn="0" w:lastColumn="0" w:oddVBand="0" w:evenVBand="0" w:oddHBand="0" w:evenHBand="0" w:firstRowFirstColumn="0" w:firstRowLastColumn="0" w:lastRowFirstColumn="0" w:lastRowLastColumn="0"/>
            </w:pPr>
            <w:r>
              <w:t>No Cap</w:t>
            </w:r>
          </w:p>
        </w:tc>
      </w:tr>
      <w:tr w:rsidR="00236B12" w14:paraId="0FE1645A" w14:textId="1E089F30" w:rsidTr="009F5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362AD38" w14:textId="7C6C279B" w:rsidR="00236B12" w:rsidRPr="004A05BE" w:rsidRDefault="00236B12" w:rsidP="003E6830">
            <w:pPr>
              <w:jc w:val="left"/>
              <w:rPr>
                <w:sz w:val="18"/>
                <w:szCs w:val="20"/>
              </w:rPr>
            </w:pPr>
            <w:r w:rsidRPr="004A05BE">
              <w:rPr>
                <w:sz w:val="18"/>
                <w:szCs w:val="20"/>
              </w:rPr>
              <w:t>SA</w:t>
            </w:r>
          </w:p>
        </w:tc>
        <w:tc>
          <w:tcPr>
            <w:tcW w:w="2126" w:type="dxa"/>
          </w:tcPr>
          <w:p w14:paraId="6DDA3EFB" w14:textId="798D392E" w:rsidR="00236B12" w:rsidRPr="004A05BE" w:rsidRDefault="00236B12" w:rsidP="003E6830">
            <w:pPr>
              <w:jc w:val="left"/>
              <w:cnfStyle w:val="000000100000" w:firstRow="0" w:lastRow="0" w:firstColumn="0" w:lastColumn="0" w:oddVBand="0" w:evenVBand="0" w:oddHBand="1" w:evenHBand="0" w:firstRowFirstColumn="0" w:firstRowLastColumn="0" w:lastRowFirstColumn="0" w:lastRowLastColumn="0"/>
              <w:rPr>
                <w:sz w:val="18"/>
                <w:szCs w:val="20"/>
              </w:rPr>
            </w:pPr>
            <w:r w:rsidRPr="004A05BE">
              <w:rPr>
                <w:sz w:val="18"/>
                <w:szCs w:val="20"/>
              </w:rPr>
              <w:t>Civil Liability Act 1936</w:t>
            </w:r>
          </w:p>
        </w:tc>
        <w:tc>
          <w:tcPr>
            <w:tcW w:w="4962" w:type="dxa"/>
          </w:tcPr>
          <w:p w14:paraId="5B9C226C" w14:textId="44F8673B" w:rsidR="00236B12" w:rsidRPr="004A05BE" w:rsidRDefault="00562088" w:rsidP="003E6830">
            <w:pPr>
              <w:jc w:val="left"/>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L</w:t>
            </w:r>
            <w:r w:rsidRPr="004A05BE">
              <w:rPr>
                <w:sz w:val="18"/>
                <w:szCs w:val="20"/>
              </w:rPr>
              <w:t xml:space="preserve">ow </w:t>
            </w:r>
            <w:r w:rsidR="00236B12" w:rsidRPr="004A05BE">
              <w:rPr>
                <w:sz w:val="18"/>
                <w:szCs w:val="20"/>
              </w:rPr>
              <w:t xml:space="preserve">threshold but requires the plaintiff to demonstrate that they have significant impairment of the ability to lead a normal life for at </w:t>
            </w:r>
            <w:r w:rsidR="005C25AC" w:rsidRPr="004A05BE">
              <w:rPr>
                <w:sz w:val="18"/>
                <w:szCs w:val="20"/>
              </w:rPr>
              <w:t xml:space="preserve">least </w:t>
            </w:r>
            <w:r w:rsidR="00590CE8" w:rsidRPr="004A05BE">
              <w:rPr>
                <w:sz w:val="18"/>
                <w:szCs w:val="20"/>
              </w:rPr>
              <w:t>7 days</w:t>
            </w:r>
            <w:r w:rsidR="00236B12" w:rsidRPr="004A05BE">
              <w:rPr>
                <w:sz w:val="18"/>
                <w:szCs w:val="20"/>
              </w:rPr>
              <w:t xml:space="preserve"> and have incurred medical expenses around $</w:t>
            </w:r>
            <w:r w:rsidR="00B63CAD" w:rsidRPr="004A05BE">
              <w:rPr>
                <w:sz w:val="18"/>
                <w:szCs w:val="20"/>
              </w:rPr>
              <w:t>2,750</w:t>
            </w:r>
            <w:r w:rsidR="00236B12" w:rsidRPr="004A05BE">
              <w:rPr>
                <w:sz w:val="18"/>
                <w:szCs w:val="20"/>
              </w:rPr>
              <w:t>.</w:t>
            </w:r>
          </w:p>
        </w:tc>
        <w:tc>
          <w:tcPr>
            <w:tcW w:w="1224" w:type="dxa"/>
          </w:tcPr>
          <w:p w14:paraId="4BCFB5ED" w14:textId="6A0C8FBD" w:rsidR="00236B12" w:rsidRPr="003B395A" w:rsidRDefault="000B7068" w:rsidP="003E6830">
            <w:pPr>
              <w:jc w:val="left"/>
              <w:cnfStyle w:val="000000100000" w:firstRow="0" w:lastRow="0" w:firstColumn="0" w:lastColumn="0" w:oddVBand="0" w:evenVBand="0" w:oddHBand="1" w:evenHBand="0" w:firstRowFirstColumn="0" w:firstRowLastColumn="0" w:lastRowFirstColumn="0" w:lastRowLastColumn="0"/>
            </w:pPr>
            <w:r>
              <w:t>$</w:t>
            </w:r>
            <w:r w:rsidR="004722E2">
              <w:t>300,000 (indexed)</w:t>
            </w:r>
          </w:p>
        </w:tc>
      </w:tr>
      <w:tr w:rsidR="00236B12" w14:paraId="7FB5566A" w14:textId="5306E916" w:rsidTr="009F5CCA">
        <w:tc>
          <w:tcPr>
            <w:cnfStyle w:val="001000000000" w:firstRow="0" w:lastRow="0" w:firstColumn="1" w:lastColumn="0" w:oddVBand="0" w:evenVBand="0" w:oddHBand="0" w:evenHBand="0" w:firstRowFirstColumn="0" w:firstRowLastColumn="0" w:lastRowFirstColumn="0" w:lastRowLastColumn="0"/>
            <w:tcW w:w="704" w:type="dxa"/>
          </w:tcPr>
          <w:p w14:paraId="54D37F60" w14:textId="03C23C6E" w:rsidR="00236B12" w:rsidRPr="004A05BE" w:rsidRDefault="00236B12" w:rsidP="003E6830">
            <w:pPr>
              <w:jc w:val="left"/>
              <w:rPr>
                <w:sz w:val="18"/>
                <w:szCs w:val="20"/>
              </w:rPr>
            </w:pPr>
            <w:r w:rsidRPr="004A05BE">
              <w:rPr>
                <w:sz w:val="18"/>
                <w:szCs w:val="20"/>
              </w:rPr>
              <w:t>VIC</w:t>
            </w:r>
          </w:p>
        </w:tc>
        <w:tc>
          <w:tcPr>
            <w:tcW w:w="2126" w:type="dxa"/>
          </w:tcPr>
          <w:p w14:paraId="4A89EBFE" w14:textId="22AF390B" w:rsidR="00236B12" w:rsidRPr="004A05BE" w:rsidRDefault="00236B12" w:rsidP="003E6830">
            <w:pPr>
              <w:jc w:val="left"/>
              <w:cnfStyle w:val="000000000000" w:firstRow="0" w:lastRow="0" w:firstColumn="0" w:lastColumn="0" w:oddVBand="0" w:evenVBand="0" w:oddHBand="0" w:evenHBand="0" w:firstRowFirstColumn="0" w:firstRowLastColumn="0" w:lastRowFirstColumn="0" w:lastRowLastColumn="0"/>
              <w:rPr>
                <w:sz w:val="18"/>
                <w:szCs w:val="20"/>
              </w:rPr>
            </w:pPr>
            <w:r w:rsidRPr="004A05BE">
              <w:rPr>
                <w:sz w:val="18"/>
                <w:szCs w:val="20"/>
              </w:rPr>
              <w:t>Wrongs Act 1958</w:t>
            </w:r>
          </w:p>
        </w:tc>
        <w:tc>
          <w:tcPr>
            <w:tcW w:w="4962" w:type="dxa"/>
          </w:tcPr>
          <w:p w14:paraId="50CA65EF" w14:textId="3F599830" w:rsidR="00236B12" w:rsidRPr="004A05BE" w:rsidRDefault="00236B12" w:rsidP="0046699E">
            <w:pPr>
              <w:jc w:val="left"/>
              <w:cnfStyle w:val="000000000000" w:firstRow="0" w:lastRow="0" w:firstColumn="0" w:lastColumn="0" w:oddVBand="0" w:evenVBand="0" w:oddHBand="0" w:evenHBand="0" w:firstRowFirstColumn="0" w:firstRowLastColumn="0" w:lastRowFirstColumn="0" w:lastRowLastColumn="0"/>
              <w:rPr>
                <w:sz w:val="18"/>
                <w:szCs w:val="20"/>
              </w:rPr>
            </w:pPr>
            <w:r w:rsidRPr="004A05BE">
              <w:rPr>
                <w:sz w:val="18"/>
                <w:szCs w:val="20"/>
              </w:rPr>
              <w:t>The plaintiff must have suffered a significant injury (5%</w:t>
            </w:r>
            <w:r w:rsidR="0046699E">
              <w:rPr>
                <w:sz w:val="18"/>
                <w:szCs w:val="20"/>
              </w:rPr>
              <w:t> </w:t>
            </w:r>
            <w:r w:rsidRPr="004A05BE">
              <w:rPr>
                <w:sz w:val="18"/>
                <w:szCs w:val="20"/>
              </w:rPr>
              <w:t>permanent impairment o</w:t>
            </w:r>
            <w:r w:rsidR="00EB652A" w:rsidRPr="004A05BE">
              <w:rPr>
                <w:sz w:val="18"/>
                <w:szCs w:val="20"/>
              </w:rPr>
              <w:t>r</w:t>
            </w:r>
            <w:r w:rsidRPr="004A05BE">
              <w:rPr>
                <w:sz w:val="18"/>
                <w:szCs w:val="20"/>
              </w:rPr>
              <w:t xml:space="preserve"> 10% if psychiatric).</w:t>
            </w:r>
          </w:p>
        </w:tc>
        <w:tc>
          <w:tcPr>
            <w:tcW w:w="1224" w:type="dxa"/>
          </w:tcPr>
          <w:p w14:paraId="4B28DCBD" w14:textId="63490336" w:rsidR="00236B12" w:rsidRDefault="00CB5D4D" w:rsidP="003E6830">
            <w:pPr>
              <w:jc w:val="left"/>
              <w:cnfStyle w:val="000000000000" w:firstRow="0" w:lastRow="0" w:firstColumn="0" w:lastColumn="0" w:oddVBand="0" w:evenVBand="0" w:oddHBand="0" w:evenHBand="0" w:firstRowFirstColumn="0" w:firstRowLastColumn="0" w:lastRowFirstColumn="0" w:lastRowLastColumn="0"/>
            </w:pPr>
            <w:r>
              <w:t>$</w:t>
            </w:r>
            <w:r w:rsidR="00295D74">
              <w:t>611,430</w:t>
            </w:r>
          </w:p>
        </w:tc>
      </w:tr>
      <w:tr w:rsidR="00236B12" w14:paraId="782D1B09" w14:textId="6A3D7A38" w:rsidTr="009F5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A66460F" w14:textId="39787618" w:rsidR="00236B12" w:rsidRPr="004A05BE" w:rsidRDefault="00236B12" w:rsidP="003E6830">
            <w:pPr>
              <w:jc w:val="left"/>
              <w:rPr>
                <w:sz w:val="18"/>
                <w:szCs w:val="20"/>
              </w:rPr>
            </w:pPr>
            <w:r w:rsidRPr="004A05BE">
              <w:rPr>
                <w:sz w:val="18"/>
                <w:szCs w:val="20"/>
              </w:rPr>
              <w:t>NSW</w:t>
            </w:r>
          </w:p>
        </w:tc>
        <w:tc>
          <w:tcPr>
            <w:tcW w:w="2126" w:type="dxa"/>
          </w:tcPr>
          <w:p w14:paraId="025E96D0" w14:textId="0B15F9B6" w:rsidR="00236B12" w:rsidRPr="004A05BE" w:rsidRDefault="00236B12" w:rsidP="003E6830">
            <w:pPr>
              <w:jc w:val="left"/>
              <w:cnfStyle w:val="000000100000" w:firstRow="0" w:lastRow="0" w:firstColumn="0" w:lastColumn="0" w:oddVBand="0" w:evenVBand="0" w:oddHBand="1" w:evenHBand="0" w:firstRowFirstColumn="0" w:firstRowLastColumn="0" w:lastRowFirstColumn="0" w:lastRowLastColumn="0"/>
              <w:rPr>
                <w:sz w:val="18"/>
                <w:szCs w:val="20"/>
              </w:rPr>
            </w:pPr>
            <w:r w:rsidRPr="004A05BE">
              <w:rPr>
                <w:sz w:val="18"/>
                <w:szCs w:val="20"/>
              </w:rPr>
              <w:t>Civil Liability Act 2002</w:t>
            </w:r>
          </w:p>
        </w:tc>
        <w:tc>
          <w:tcPr>
            <w:tcW w:w="4962" w:type="dxa"/>
          </w:tcPr>
          <w:p w14:paraId="709AA807" w14:textId="69D097DB" w:rsidR="00236B12" w:rsidRPr="004A05BE" w:rsidRDefault="00236B12" w:rsidP="003E6830">
            <w:pPr>
              <w:jc w:val="left"/>
              <w:cnfStyle w:val="000000100000" w:firstRow="0" w:lastRow="0" w:firstColumn="0" w:lastColumn="0" w:oddVBand="0" w:evenVBand="0" w:oddHBand="1" w:evenHBand="0" w:firstRowFirstColumn="0" w:firstRowLastColumn="0" w:lastRowFirstColumn="0" w:lastRowLastColumn="0"/>
              <w:rPr>
                <w:sz w:val="18"/>
                <w:szCs w:val="20"/>
              </w:rPr>
            </w:pPr>
            <w:r w:rsidRPr="004A05BE">
              <w:rPr>
                <w:sz w:val="18"/>
                <w:szCs w:val="20"/>
              </w:rPr>
              <w:t>Personal injury must be more than 15% of the most extreme case in order to receive compensation.</w:t>
            </w:r>
          </w:p>
        </w:tc>
        <w:tc>
          <w:tcPr>
            <w:tcW w:w="1224" w:type="dxa"/>
          </w:tcPr>
          <w:p w14:paraId="5386AAC8" w14:textId="652BD8E7" w:rsidR="00236B12" w:rsidRDefault="00757248" w:rsidP="003E6830">
            <w:pPr>
              <w:jc w:val="left"/>
              <w:cnfStyle w:val="000000100000" w:firstRow="0" w:lastRow="0" w:firstColumn="0" w:lastColumn="0" w:oddVBand="0" w:evenVBand="0" w:oddHBand="1" w:evenHBand="0" w:firstRowFirstColumn="0" w:firstRowLastColumn="0" w:lastRowFirstColumn="0" w:lastRowLastColumn="0"/>
            </w:pPr>
            <w:r>
              <w:t>$</w:t>
            </w:r>
            <w:r w:rsidR="000A7115">
              <w:t>658,000</w:t>
            </w:r>
          </w:p>
        </w:tc>
      </w:tr>
      <w:tr w:rsidR="00236B12" w14:paraId="78047632" w14:textId="3602FC80" w:rsidTr="009F5CCA">
        <w:tc>
          <w:tcPr>
            <w:cnfStyle w:val="001000000000" w:firstRow="0" w:lastRow="0" w:firstColumn="1" w:lastColumn="0" w:oddVBand="0" w:evenVBand="0" w:oddHBand="0" w:evenHBand="0" w:firstRowFirstColumn="0" w:firstRowLastColumn="0" w:lastRowFirstColumn="0" w:lastRowLastColumn="0"/>
            <w:tcW w:w="704" w:type="dxa"/>
          </w:tcPr>
          <w:p w14:paraId="75732A44" w14:textId="3CBC9679" w:rsidR="00236B12" w:rsidRPr="004A05BE" w:rsidRDefault="00236B12" w:rsidP="003E6830">
            <w:pPr>
              <w:jc w:val="left"/>
              <w:rPr>
                <w:sz w:val="18"/>
                <w:szCs w:val="20"/>
              </w:rPr>
            </w:pPr>
            <w:r w:rsidRPr="004A05BE">
              <w:rPr>
                <w:sz w:val="18"/>
                <w:szCs w:val="20"/>
              </w:rPr>
              <w:t>TAS</w:t>
            </w:r>
          </w:p>
        </w:tc>
        <w:tc>
          <w:tcPr>
            <w:tcW w:w="2126" w:type="dxa"/>
          </w:tcPr>
          <w:p w14:paraId="565D9A17" w14:textId="26EED55F" w:rsidR="00236B12" w:rsidRPr="004A05BE" w:rsidRDefault="00236B12" w:rsidP="003E6830">
            <w:pPr>
              <w:jc w:val="left"/>
              <w:cnfStyle w:val="000000000000" w:firstRow="0" w:lastRow="0" w:firstColumn="0" w:lastColumn="0" w:oddVBand="0" w:evenVBand="0" w:oddHBand="0" w:evenHBand="0" w:firstRowFirstColumn="0" w:firstRowLastColumn="0" w:lastRowFirstColumn="0" w:lastRowLastColumn="0"/>
              <w:rPr>
                <w:sz w:val="18"/>
                <w:szCs w:val="20"/>
              </w:rPr>
            </w:pPr>
            <w:r w:rsidRPr="004A05BE">
              <w:rPr>
                <w:sz w:val="18"/>
                <w:szCs w:val="20"/>
              </w:rPr>
              <w:t>Civil Liability Act 2002</w:t>
            </w:r>
          </w:p>
        </w:tc>
        <w:tc>
          <w:tcPr>
            <w:tcW w:w="4962" w:type="dxa"/>
          </w:tcPr>
          <w:p w14:paraId="5E297899" w14:textId="5EC27313" w:rsidR="00236B12" w:rsidRPr="004A05BE" w:rsidRDefault="00236B12" w:rsidP="003E6830">
            <w:pPr>
              <w:jc w:val="left"/>
              <w:cnfStyle w:val="000000000000" w:firstRow="0" w:lastRow="0" w:firstColumn="0" w:lastColumn="0" w:oddVBand="0" w:evenVBand="0" w:oddHBand="0" w:evenHBand="0" w:firstRowFirstColumn="0" w:firstRowLastColumn="0" w:lastRowFirstColumn="0" w:lastRowLastColumn="0"/>
              <w:rPr>
                <w:sz w:val="18"/>
                <w:szCs w:val="20"/>
              </w:rPr>
            </w:pPr>
            <w:r w:rsidRPr="004A05BE">
              <w:rPr>
                <w:sz w:val="18"/>
                <w:szCs w:val="20"/>
              </w:rPr>
              <w:t>No award if damages are assessed at &lt;</w:t>
            </w:r>
            <w:r w:rsidR="0046699E">
              <w:rPr>
                <w:sz w:val="18"/>
                <w:szCs w:val="20"/>
              </w:rPr>
              <w:t xml:space="preserve"> </w:t>
            </w:r>
            <w:r w:rsidRPr="004A05BE">
              <w:rPr>
                <w:sz w:val="18"/>
                <w:szCs w:val="20"/>
              </w:rPr>
              <w:t>$4000. Where assessment if $4000 - $20,000 award is calculated Award</w:t>
            </w:r>
            <w:r w:rsidR="0046699E">
              <w:rPr>
                <w:sz w:val="18"/>
                <w:szCs w:val="20"/>
              </w:rPr>
              <w:t xml:space="preserve"> </w:t>
            </w:r>
            <w:r w:rsidRPr="004A05BE">
              <w:rPr>
                <w:sz w:val="18"/>
                <w:szCs w:val="20"/>
              </w:rPr>
              <w:t>=</w:t>
            </w:r>
            <w:r w:rsidR="0046699E">
              <w:rPr>
                <w:sz w:val="18"/>
                <w:szCs w:val="20"/>
              </w:rPr>
              <w:t xml:space="preserve"> </w:t>
            </w:r>
            <w:r w:rsidRPr="004A05BE">
              <w:rPr>
                <w:sz w:val="18"/>
                <w:szCs w:val="20"/>
              </w:rPr>
              <w:t xml:space="preserve">1.25 x (amount assessed - $4000). Where assessment is &gt; $20,000, award is equal to that amount. </w:t>
            </w:r>
          </w:p>
        </w:tc>
        <w:tc>
          <w:tcPr>
            <w:tcW w:w="1224" w:type="dxa"/>
          </w:tcPr>
          <w:p w14:paraId="2B9D9610" w14:textId="6A768341" w:rsidR="00236B12" w:rsidRDefault="00110E94" w:rsidP="003E6830">
            <w:pPr>
              <w:jc w:val="left"/>
              <w:cnfStyle w:val="000000000000" w:firstRow="0" w:lastRow="0" w:firstColumn="0" w:lastColumn="0" w:oddVBand="0" w:evenVBand="0" w:oddHBand="0" w:evenHBand="0" w:firstRowFirstColumn="0" w:firstRowLastColumn="0" w:lastRowFirstColumn="0" w:lastRowLastColumn="0"/>
            </w:pPr>
            <w:r>
              <w:t>No Cap</w:t>
            </w:r>
          </w:p>
        </w:tc>
      </w:tr>
      <w:tr w:rsidR="00236B12" w14:paraId="3D065FD6" w14:textId="6FB54DF6" w:rsidTr="009F5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6D831A7" w14:textId="570454E5" w:rsidR="00236B12" w:rsidRPr="004A05BE" w:rsidRDefault="00236B12" w:rsidP="003E6830">
            <w:pPr>
              <w:jc w:val="left"/>
              <w:rPr>
                <w:sz w:val="18"/>
                <w:szCs w:val="20"/>
              </w:rPr>
            </w:pPr>
            <w:r w:rsidRPr="004A05BE">
              <w:rPr>
                <w:sz w:val="18"/>
                <w:szCs w:val="20"/>
              </w:rPr>
              <w:t>WA</w:t>
            </w:r>
          </w:p>
        </w:tc>
        <w:tc>
          <w:tcPr>
            <w:tcW w:w="2126" w:type="dxa"/>
          </w:tcPr>
          <w:p w14:paraId="2584C1CE" w14:textId="4B0107F5" w:rsidR="00236B12" w:rsidRPr="004A05BE" w:rsidRDefault="00236B12" w:rsidP="003E6830">
            <w:pPr>
              <w:jc w:val="left"/>
              <w:cnfStyle w:val="000000100000" w:firstRow="0" w:lastRow="0" w:firstColumn="0" w:lastColumn="0" w:oddVBand="0" w:evenVBand="0" w:oddHBand="1" w:evenHBand="0" w:firstRowFirstColumn="0" w:firstRowLastColumn="0" w:lastRowFirstColumn="0" w:lastRowLastColumn="0"/>
              <w:rPr>
                <w:sz w:val="18"/>
                <w:szCs w:val="20"/>
              </w:rPr>
            </w:pPr>
            <w:r w:rsidRPr="004A05BE">
              <w:rPr>
                <w:sz w:val="18"/>
                <w:szCs w:val="20"/>
              </w:rPr>
              <w:t>Civil Liability Act 2002</w:t>
            </w:r>
          </w:p>
        </w:tc>
        <w:tc>
          <w:tcPr>
            <w:tcW w:w="4962" w:type="dxa"/>
          </w:tcPr>
          <w:p w14:paraId="4EF58BF0" w14:textId="2A260CEB" w:rsidR="00236B12" w:rsidRPr="004A05BE" w:rsidRDefault="00236B12" w:rsidP="003E6830">
            <w:pPr>
              <w:jc w:val="left"/>
              <w:cnfStyle w:val="000000100000" w:firstRow="0" w:lastRow="0" w:firstColumn="0" w:lastColumn="0" w:oddVBand="0" w:evenVBand="0" w:oddHBand="1" w:evenHBand="0" w:firstRowFirstColumn="0" w:firstRowLastColumn="0" w:lastRowFirstColumn="0" w:lastRowLastColumn="0"/>
              <w:rPr>
                <w:sz w:val="18"/>
                <w:szCs w:val="20"/>
              </w:rPr>
            </w:pPr>
            <w:r w:rsidRPr="004A05BE">
              <w:rPr>
                <w:sz w:val="18"/>
                <w:szCs w:val="20"/>
              </w:rPr>
              <w:t>No award if damages are assessed &lt;</w:t>
            </w:r>
            <w:r w:rsidR="0046699E">
              <w:rPr>
                <w:sz w:val="18"/>
                <w:szCs w:val="20"/>
              </w:rPr>
              <w:t xml:space="preserve"> </w:t>
            </w:r>
            <w:r w:rsidRPr="004A05BE">
              <w:rPr>
                <w:sz w:val="18"/>
                <w:szCs w:val="20"/>
              </w:rPr>
              <w:t>18,000. Where assessment is $18,001 - $55,000 award if calculated as: Award = assessment - $18,000. Where assessment is $55001</w:t>
            </w:r>
            <w:r w:rsidR="0046699E">
              <w:rPr>
                <w:sz w:val="18"/>
                <w:szCs w:val="20"/>
              </w:rPr>
              <w:t xml:space="preserve"> </w:t>
            </w:r>
            <w:r w:rsidRPr="004A05BE">
              <w:rPr>
                <w:sz w:val="18"/>
                <w:szCs w:val="20"/>
              </w:rPr>
              <w:t>-</w:t>
            </w:r>
            <w:r w:rsidR="0046699E">
              <w:rPr>
                <w:sz w:val="18"/>
                <w:szCs w:val="20"/>
              </w:rPr>
              <w:t xml:space="preserve"> $</w:t>
            </w:r>
            <w:r w:rsidRPr="004A05BE">
              <w:rPr>
                <w:sz w:val="18"/>
                <w:szCs w:val="20"/>
              </w:rPr>
              <w:t>73,000, award if cal</w:t>
            </w:r>
            <w:r w:rsidR="0046699E">
              <w:rPr>
                <w:sz w:val="18"/>
                <w:szCs w:val="20"/>
              </w:rPr>
              <w:t>culated as: Award = assessment -</w:t>
            </w:r>
            <w:r w:rsidRPr="004A05BE">
              <w:rPr>
                <w:sz w:val="18"/>
                <w:szCs w:val="20"/>
              </w:rPr>
              <w:t xml:space="preserve"> ($18,000-(award-$55,000)).</w:t>
            </w:r>
          </w:p>
        </w:tc>
        <w:tc>
          <w:tcPr>
            <w:tcW w:w="1224" w:type="dxa"/>
          </w:tcPr>
          <w:p w14:paraId="197CC437" w14:textId="2FA32342" w:rsidR="00236B12" w:rsidRDefault="00110E94" w:rsidP="003E6830">
            <w:pPr>
              <w:jc w:val="left"/>
              <w:cnfStyle w:val="000000100000" w:firstRow="0" w:lastRow="0" w:firstColumn="0" w:lastColumn="0" w:oddVBand="0" w:evenVBand="0" w:oddHBand="1" w:evenHBand="0" w:firstRowFirstColumn="0" w:firstRowLastColumn="0" w:lastRowFirstColumn="0" w:lastRowLastColumn="0"/>
            </w:pPr>
            <w:r>
              <w:t>No Cap</w:t>
            </w:r>
          </w:p>
        </w:tc>
      </w:tr>
      <w:tr w:rsidR="00236B12" w14:paraId="777D5E84" w14:textId="44198E8E" w:rsidTr="009F5CCA">
        <w:tc>
          <w:tcPr>
            <w:cnfStyle w:val="001000000000" w:firstRow="0" w:lastRow="0" w:firstColumn="1" w:lastColumn="0" w:oddVBand="0" w:evenVBand="0" w:oddHBand="0" w:evenHBand="0" w:firstRowFirstColumn="0" w:firstRowLastColumn="0" w:lastRowFirstColumn="0" w:lastRowLastColumn="0"/>
            <w:tcW w:w="704" w:type="dxa"/>
          </w:tcPr>
          <w:p w14:paraId="389772EE" w14:textId="0CDFB714" w:rsidR="00236B12" w:rsidRPr="004A05BE" w:rsidRDefault="00236B12" w:rsidP="003E6830">
            <w:pPr>
              <w:jc w:val="left"/>
              <w:rPr>
                <w:sz w:val="18"/>
                <w:szCs w:val="20"/>
              </w:rPr>
            </w:pPr>
            <w:r w:rsidRPr="004A05BE">
              <w:rPr>
                <w:sz w:val="18"/>
                <w:szCs w:val="20"/>
              </w:rPr>
              <w:t>NT</w:t>
            </w:r>
          </w:p>
        </w:tc>
        <w:tc>
          <w:tcPr>
            <w:tcW w:w="2126" w:type="dxa"/>
          </w:tcPr>
          <w:p w14:paraId="3105BBBE" w14:textId="767F60E1" w:rsidR="00236B12" w:rsidRPr="004A05BE" w:rsidRDefault="00236B12" w:rsidP="003E6830">
            <w:pPr>
              <w:jc w:val="left"/>
              <w:cnfStyle w:val="000000000000" w:firstRow="0" w:lastRow="0" w:firstColumn="0" w:lastColumn="0" w:oddVBand="0" w:evenVBand="0" w:oddHBand="0" w:evenHBand="0" w:firstRowFirstColumn="0" w:firstRowLastColumn="0" w:lastRowFirstColumn="0" w:lastRowLastColumn="0"/>
              <w:rPr>
                <w:sz w:val="18"/>
                <w:szCs w:val="20"/>
              </w:rPr>
            </w:pPr>
            <w:r w:rsidRPr="004A05BE">
              <w:rPr>
                <w:sz w:val="18"/>
                <w:szCs w:val="20"/>
              </w:rPr>
              <w:t>Personal Injuries (Liability for Damages) Act 2002</w:t>
            </w:r>
          </w:p>
        </w:tc>
        <w:tc>
          <w:tcPr>
            <w:tcW w:w="4962" w:type="dxa"/>
          </w:tcPr>
          <w:p w14:paraId="2520D44D" w14:textId="7EFC52E9" w:rsidR="00236B12" w:rsidRPr="004A05BE" w:rsidRDefault="00236B12" w:rsidP="003E6830">
            <w:pPr>
              <w:jc w:val="left"/>
              <w:cnfStyle w:val="000000000000" w:firstRow="0" w:lastRow="0" w:firstColumn="0" w:lastColumn="0" w:oddVBand="0" w:evenVBand="0" w:oddHBand="0" w:evenHBand="0" w:firstRowFirstColumn="0" w:firstRowLastColumn="0" w:lastRowFirstColumn="0" w:lastRowLastColumn="0"/>
              <w:rPr>
                <w:sz w:val="18"/>
                <w:szCs w:val="20"/>
              </w:rPr>
            </w:pPr>
            <w:r w:rsidRPr="004A05BE">
              <w:rPr>
                <w:sz w:val="18"/>
                <w:szCs w:val="20"/>
              </w:rPr>
              <w:t>No award unless the whole person impairment is greater than 5%</w:t>
            </w:r>
          </w:p>
        </w:tc>
        <w:tc>
          <w:tcPr>
            <w:tcW w:w="1224" w:type="dxa"/>
          </w:tcPr>
          <w:p w14:paraId="237EBCF9" w14:textId="1E7CD0FD" w:rsidR="00236B12" w:rsidRDefault="00236B12" w:rsidP="003E6830">
            <w:pPr>
              <w:jc w:val="left"/>
              <w:cnfStyle w:val="000000000000" w:firstRow="0" w:lastRow="0" w:firstColumn="0" w:lastColumn="0" w:oddVBand="0" w:evenVBand="0" w:oddHBand="0" w:evenHBand="0" w:firstRowFirstColumn="0" w:firstRowLastColumn="0" w:lastRowFirstColumn="0" w:lastRowLastColumn="0"/>
            </w:pPr>
            <w:r>
              <w:t>$</w:t>
            </w:r>
            <w:r w:rsidR="00523F33">
              <w:t>662,000</w:t>
            </w:r>
          </w:p>
        </w:tc>
      </w:tr>
      <w:tr w:rsidR="00A311B4" w14:paraId="754ACDD1" w14:textId="77777777" w:rsidTr="009F5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Pr>
          <w:p w14:paraId="1FFFA5A0" w14:textId="43231406" w:rsidR="00A311B4" w:rsidRPr="004A05BE" w:rsidRDefault="00A311B4" w:rsidP="003E6830">
            <w:pPr>
              <w:jc w:val="left"/>
              <w:rPr>
                <w:sz w:val="18"/>
                <w:szCs w:val="20"/>
              </w:rPr>
            </w:pPr>
            <w:r w:rsidRPr="004A05BE">
              <w:rPr>
                <w:sz w:val="18"/>
                <w:szCs w:val="20"/>
              </w:rPr>
              <w:t>Competition and Consumer Act 2010</w:t>
            </w:r>
          </w:p>
        </w:tc>
        <w:tc>
          <w:tcPr>
            <w:tcW w:w="4962" w:type="dxa"/>
          </w:tcPr>
          <w:p w14:paraId="2D81C0D8" w14:textId="5EA8A87C" w:rsidR="00A311B4" w:rsidRPr="004A05BE" w:rsidRDefault="00A311B4" w:rsidP="003E6830">
            <w:pPr>
              <w:jc w:val="left"/>
              <w:cnfStyle w:val="000000100000" w:firstRow="0" w:lastRow="0" w:firstColumn="0" w:lastColumn="0" w:oddVBand="0" w:evenVBand="0" w:oddHBand="1" w:evenHBand="0" w:firstRowFirstColumn="0" w:firstRowLastColumn="0" w:lastRowFirstColumn="0" w:lastRowLastColumn="0"/>
              <w:rPr>
                <w:sz w:val="18"/>
                <w:szCs w:val="20"/>
              </w:rPr>
            </w:pPr>
            <w:r w:rsidRPr="004A05BE">
              <w:rPr>
                <w:sz w:val="18"/>
                <w:szCs w:val="20"/>
              </w:rPr>
              <w:t xml:space="preserve">15% or more of the most extreme case </w:t>
            </w:r>
          </w:p>
        </w:tc>
        <w:tc>
          <w:tcPr>
            <w:tcW w:w="1224" w:type="dxa"/>
          </w:tcPr>
          <w:p w14:paraId="65CFF083" w14:textId="26CEDED7" w:rsidR="00A311B4" w:rsidRDefault="00A311B4" w:rsidP="00206635">
            <w:pPr>
              <w:keepNext/>
              <w:jc w:val="left"/>
              <w:cnfStyle w:val="000000100000" w:firstRow="0" w:lastRow="0" w:firstColumn="0" w:lastColumn="0" w:oddVBand="0" w:evenVBand="0" w:oddHBand="1" w:evenHBand="0" w:firstRowFirstColumn="0" w:firstRowLastColumn="0" w:lastRowFirstColumn="0" w:lastRowLastColumn="0"/>
            </w:pPr>
            <w:r>
              <w:t>$350,000</w:t>
            </w:r>
          </w:p>
        </w:tc>
      </w:tr>
    </w:tbl>
    <w:p w14:paraId="43330B6C" w14:textId="2EEF92E7" w:rsidR="009F5CCA" w:rsidRPr="009F5CCA" w:rsidRDefault="00206635" w:rsidP="009F5CCA">
      <w:pPr>
        <w:pStyle w:val="Caption"/>
      </w:pPr>
      <w:bookmarkStart w:id="35" w:name="_Toc36555126"/>
      <w:bookmarkStart w:id="36" w:name="_Toc36567876"/>
      <w:r>
        <w:t xml:space="preserve">Figure </w:t>
      </w:r>
      <w:r w:rsidR="00B435A7">
        <w:rPr>
          <w:noProof/>
        </w:rPr>
        <w:fldChar w:fldCharType="begin"/>
      </w:r>
      <w:r w:rsidR="00B435A7">
        <w:rPr>
          <w:noProof/>
        </w:rPr>
        <w:instrText xml:space="preserve"> SEQ Figure \* ARABIC </w:instrText>
      </w:r>
      <w:r w:rsidR="00B435A7">
        <w:rPr>
          <w:noProof/>
        </w:rPr>
        <w:fldChar w:fldCharType="separate"/>
      </w:r>
      <w:r w:rsidR="00465516">
        <w:rPr>
          <w:noProof/>
        </w:rPr>
        <w:t>4</w:t>
      </w:r>
      <w:r w:rsidR="00B435A7">
        <w:rPr>
          <w:noProof/>
        </w:rPr>
        <w:fldChar w:fldCharType="end"/>
      </w:r>
      <w:r w:rsidR="00A34E0D">
        <w:t>:</w:t>
      </w:r>
      <w:r>
        <w:t xml:space="preserve"> Non-economic loss for personal injury thresholds and caps by state </w:t>
      </w:r>
      <w:r w:rsidR="000931B1">
        <w:t xml:space="preserve">and territory </w:t>
      </w:r>
      <w:r>
        <w:t>compared to the Competition and Consumer Act.</w:t>
      </w:r>
      <w:bookmarkEnd w:id="35"/>
      <w:bookmarkEnd w:id="36"/>
    </w:p>
    <w:p w14:paraId="7DD8C19C" w14:textId="11296D25" w:rsidR="003E6830" w:rsidRDefault="003E6830" w:rsidP="003E6830">
      <w:pPr>
        <w:jc w:val="left"/>
      </w:pPr>
      <w:r>
        <w:t>The CCA restricts personal injury damages along the same lines as the NSW CLA</w:t>
      </w:r>
      <w:r w:rsidR="00355061">
        <w:t xml:space="preserve"> (15%</w:t>
      </w:r>
      <w:r w:rsidR="00A15185">
        <w:t>)</w:t>
      </w:r>
      <w:r>
        <w:t>, however, the CCA does not extend to personal injury damages awarded for a breach of the consumer guarantees</w:t>
      </w:r>
      <w:r w:rsidR="005B465A">
        <w:t xml:space="preserve"> and is capped at a significantly less</w:t>
      </w:r>
      <w:r w:rsidR="009B7ED9">
        <w:t xml:space="preserve"> figure than most states</w:t>
      </w:r>
      <w:r>
        <w:t>. Therefore</w:t>
      </w:r>
      <w:r w:rsidR="00113DFD">
        <w:t>,</w:t>
      </w:r>
      <w:r>
        <w:t xml:space="preserve"> the</w:t>
      </w:r>
      <w:r w:rsidDel="001F739D">
        <w:t xml:space="preserve"> </w:t>
      </w:r>
      <w:r>
        <w:t xml:space="preserve">restrictions on the amount of damages contained in the State </w:t>
      </w:r>
      <w:r w:rsidR="00937493">
        <w:t xml:space="preserve">/ Territory </w:t>
      </w:r>
      <w:r>
        <w:t xml:space="preserve">CLAs generally apply to personal injury claims brought under the ACL consumer guarantees. It can be argued that Australia has as many different systems for damages assessment as there are different CLAs, though the differences between them might be minor. Whilst these variations are unlikely to be an issue for a single plaintiff, in instances where there are multiple plaintiffs from multiple states, it could create different outcomes for plaintiffs. </w:t>
      </w:r>
    </w:p>
    <w:p w14:paraId="4C93BDEB" w14:textId="14E6B8CF" w:rsidR="00EA1FEE" w:rsidRDefault="00EA1FEE" w:rsidP="003E6830">
      <w:pPr>
        <w:jc w:val="left"/>
      </w:pPr>
      <w:r>
        <w:t xml:space="preserve">The varying state and territory limits need to be considered in the implementation of options that advocate </w:t>
      </w:r>
      <w:r w:rsidR="00F61D1F">
        <w:t>accession</w:t>
      </w:r>
      <w:r>
        <w:t xml:space="preserve"> to the Athens Convention. </w:t>
      </w:r>
    </w:p>
    <w:p w14:paraId="7F886691" w14:textId="77777777" w:rsidR="003E6830" w:rsidRPr="00641150" w:rsidRDefault="003E6830" w:rsidP="00160A48">
      <w:pPr>
        <w:pStyle w:val="ListParagraph"/>
        <w:numPr>
          <w:ilvl w:val="0"/>
          <w:numId w:val="7"/>
        </w:numPr>
        <w:rPr>
          <w:b/>
          <w:bCs/>
        </w:rPr>
      </w:pPr>
      <w:r w:rsidRPr="00641150">
        <w:rPr>
          <w:b/>
          <w:bCs/>
        </w:rPr>
        <w:t>When passengers are injured outside of Australian waters</w:t>
      </w:r>
    </w:p>
    <w:p w14:paraId="2ED3D445" w14:textId="31F562C4" w:rsidR="003E6830" w:rsidRDefault="0028242C" w:rsidP="003E6830">
      <w:pPr>
        <w:jc w:val="left"/>
      </w:pPr>
      <w:r>
        <w:t>It is unclear whether CLA limitations apply</w:t>
      </w:r>
      <w:r w:rsidDel="004C119B">
        <w:t xml:space="preserve"> </w:t>
      </w:r>
      <w:r>
        <w:t>for coverage of passengers when injured outside of Australian waters. Some CLAs are silent as to extraterritorial application, the intent to apply state CLA beyond the state and the interaction of ‘recreational activities’ under the ACL</w:t>
      </w:r>
      <w:r w:rsidR="003E6830">
        <w:t xml:space="preserve">. In </w:t>
      </w:r>
      <w:r w:rsidR="003E6830" w:rsidRPr="00A80FD6">
        <w:rPr>
          <w:i/>
        </w:rPr>
        <w:t xml:space="preserve">Moore v Scenic Tours </w:t>
      </w:r>
      <w:r w:rsidR="003E6830" w:rsidRPr="00A80FD6">
        <w:rPr>
          <w:i/>
          <w:iCs/>
        </w:rPr>
        <w:t>Ltd</w:t>
      </w:r>
      <w:r w:rsidR="003E6830">
        <w:t>, the trial judge found the CLA (NSW) does not necessarily apply to losses sustained overseas, but this finding was overturned on appeal with both parties having sought special leave to appeal to the High Court</w:t>
      </w:r>
      <w:r w:rsidR="003E6830">
        <w:rPr>
          <w:rStyle w:val="FootnoteReference"/>
        </w:rPr>
        <w:footnoteReference w:id="14"/>
      </w:r>
      <w:r w:rsidR="003E6830">
        <w:t xml:space="preserve"> to determine whether damages can be recovered. </w:t>
      </w:r>
    </w:p>
    <w:p w14:paraId="0F831DD5" w14:textId="133DA6E5" w:rsidR="003E6830" w:rsidRDefault="003E6830" w:rsidP="003E6830">
      <w:pPr>
        <w:jc w:val="left"/>
      </w:pPr>
      <w:r>
        <w:t xml:space="preserve">Although recent cases have clarified certain aspects, Australian law as it currently applies to cruise ship passengers has some degree of uncertainty. The laws governing personal injury are inconsistent between states. Where a personal injury occurs during the course of delivery of services caught by the ACL, questions of liability and the amount of damages are complicated by the different effect of state </w:t>
      </w:r>
      <w:r w:rsidR="00937493">
        <w:t xml:space="preserve">/ territory </w:t>
      </w:r>
      <w:r>
        <w:t xml:space="preserve">CLAs. </w:t>
      </w:r>
      <w:r w:rsidRPr="00AA6519">
        <w:t>For comment on future considerations for cruise passenger claims under the ACL/CLA regime, please see section</w:t>
      </w:r>
      <w:r w:rsidR="00C77CD9">
        <w:t> </w:t>
      </w:r>
      <w:r w:rsidR="00AA6519" w:rsidRPr="00AA6519">
        <w:t>12.1</w:t>
      </w:r>
      <w:r w:rsidRPr="00AA6519">
        <w:t>.</w:t>
      </w:r>
      <w:r>
        <w:t xml:space="preserve"> </w:t>
      </w:r>
    </w:p>
    <w:p w14:paraId="647329BC" w14:textId="77777777" w:rsidR="004A05BE" w:rsidRDefault="004A05BE" w:rsidP="003E6830">
      <w:pPr>
        <w:jc w:val="left"/>
      </w:pPr>
    </w:p>
    <w:p w14:paraId="341C21C9" w14:textId="77777777" w:rsidR="003E6830" w:rsidRPr="00C63FE8" w:rsidRDefault="003E6830" w:rsidP="003E6830">
      <w:pPr>
        <w:pStyle w:val="Heading3"/>
        <w:jc w:val="both"/>
      </w:pPr>
      <w:bookmarkStart w:id="37" w:name="_Toc34657057"/>
      <w:bookmarkStart w:id="38" w:name="_Toc44659908"/>
      <w:r>
        <w:t>Existing claims data</w:t>
      </w:r>
      <w:bookmarkEnd w:id="37"/>
      <w:bookmarkEnd w:id="38"/>
    </w:p>
    <w:p w14:paraId="714813B7" w14:textId="3F3DCB58" w:rsidR="00C0793C" w:rsidRDefault="003E6830" w:rsidP="003E6830">
      <w:pPr>
        <w:jc w:val="left"/>
      </w:pPr>
      <w:r>
        <w:t>Statistics were provided by NSW Fair Trading / NSW Department of Customer Service</w:t>
      </w:r>
      <w:r w:rsidR="00D2652B">
        <w:t xml:space="preserve"> and the Australian Competition and Consumer Commission (ACCC) </w:t>
      </w:r>
      <w:r>
        <w:t>indicating complaints received relating to the cruise industry from January 2015 to February 2020</w:t>
      </w:r>
      <w:r>
        <w:rPr>
          <w:rStyle w:val="FootnoteReference"/>
        </w:rPr>
        <w:footnoteReference w:id="15"/>
      </w:r>
      <w:r>
        <w:t xml:space="preserve">. NSW data is important as major cruise ship contracts nominate NSW as the jurisdiction applying. </w:t>
      </w:r>
      <w:r w:rsidR="00D2652B">
        <w:t>In NSW, a</w:t>
      </w:r>
      <w:r>
        <w:t xml:space="preserve"> total of 84 complaints were received across a combination of cruise companies and travel agencies. </w:t>
      </w:r>
      <w:r w:rsidR="000A508D">
        <w:t xml:space="preserve">Most </w:t>
      </w:r>
      <w:r>
        <w:t xml:space="preserve">complaints received were in relation to quality, passenger rights and responsibilities and conduct of the cruise line (Figure </w:t>
      </w:r>
      <w:r w:rsidR="00E43B92">
        <w:t>5</w:t>
      </w:r>
      <w:r>
        <w:t>) with only one complaint pertaining to injury and 2</w:t>
      </w:r>
      <w:r w:rsidR="0037252E">
        <w:t> </w:t>
      </w:r>
      <w:r>
        <w:t xml:space="preserve">complaints pertaining to </w:t>
      </w:r>
      <w:r w:rsidR="008B1384">
        <w:t xml:space="preserve">luggage </w:t>
      </w:r>
      <w:r>
        <w:t>damage. The remainder of complaints are classified as “hotel claims” which relate to illness or distress associated with the delivery of service and perceived conflict with advertised service.</w:t>
      </w:r>
      <w:r w:rsidR="00C0793C">
        <w:t xml:space="preserve"> Nation-wide</w:t>
      </w:r>
      <w:r>
        <w:t xml:space="preserve"> </w:t>
      </w:r>
      <w:r w:rsidR="00C0793C">
        <w:t xml:space="preserve">data obtained from the </w:t>
      </w:r>
      <w:r w:rsidR="00D2652B">
        <w:t>ACCC</w:t>
      </w:r>
      <w:r w:rsidR="00C0793C">
        <w:t xml:space="preserve"> for the same period shows an average of 138 contacts a year relating </w:t>
      </w:r>
      <w:r w:rsidR="00D2652B">
        <w:t>to quality, passenger rights and responsibilities and conduct of the cruise line</w:t>
      </w:r>
      <w:r w:rsidR="00C0793C">
        <w:t xml:space="preserve">. </w:t>
      </w:r>
      <w:r w:rsidR="00C0793C" w:rsidRPr="00C0793C">
        <w:t xml:space="preserve">There has been a slight increase over the period, however the average is steady at around 13 contacts per month for the past three years. This is likely to increase in 2020, with a large number of contacts </w:t>
      </w:r>
      <w:r w:rsidR="00D2652B">
        <w:t>received</w:t>
      </w:r>
      <w:r w:rsidR="00C0793C" w:rsidRPr="00C0793C">
        <w:t xml:space="preserve"> from March onwards in relation to the COVID-19 pandemic and its impact on the cruise industry.</w:t>
      </w:r>
    </w:p>
    <w:p w14:paraId="3648F8B5" w14:textId="1FC0BA1A" w:rsidR="003E6830" w:rsidRPr="008D127F" w:rsidRDefault="003E6830" w:rsidP="003E6830">
      <w:pPr>
        <w:jc w:val="left"/>
      </w:pPr>
      <w:r>
        <w:t xml:space="preserve">These claims do not include complaints/claims settled directly with the cruise company or claims that have been settled through litigation.  It is interesting to note that complaints are steadily decreasing over this </w:t>
      </w:r>
      <w:r w:rsidR="00E54F48">
        <w:t>five</w:t>
      </w:r>
      <w:r w:rsidR="00784D20">
        <w:noBreakHyphen/>
      </w:r>
      <w:r w:rsidR="00E54F48">
        <w:t>year</w:t>
      </w:r>
      <w:r>
        <w:t xml:space="preserve"> period</w:t>
      </w:r>
      <w:r w:rsidR="00C0793C">
        <w:t xml:space="preserve"> in NSW, whilst steadily increasing nationwide</w:t>
      </w:r>
      <w:r>
        <w:t xml:space="preserve">. </w:t>
      </w:r>
      <w:r w:rsidR="00C0793C">
        <w:br/>
      </w:r>
      <w:r w:rsidR="00C0793C">
        <w:br/>
      </w:r>
      <w:r>
        <w:t>Information received through consultation with Cruise Lines International Association (CLIA) and its members indicates that greater than 90% of complaints and claims are managed and settled internally and therefore would not be registered with NSW Fair Trading</w:t>
      </w:r>
      <w:r w:rsidR="00D2652B">
        <w:t xml:space="preserve"> or the ACCC</w:t>
      </w:r>
      <w:r>
        <w:t xml:space="preserve">. </w:t>
      </w:r>
    </w:p>
    <w:p w14:paraId="287A05AE" w14:textId="77777777" w:rsidR="003E6830" w:rsidRDefault="003E6830" w:rsidP="002E03FD">
      <w:pPr>
        <w:keepNext/>
        <w:jc w:val="center"/>
      </w:pPr>
      <w:r>
        <w:rPr>
          <w:noProof/>
        </w:rPr>
        <w:drawing>
          <wp:inline distT="0" distB="0" distL="0" distR="0" wp14:anchorId="47BEAD54" wp14:editId="06F3AC68">
            <wp:extent cx="5427059" cy="25812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059" cy="2581275"/>
                    </a:xfrm>
                    <a:prstGeom prst="rect">
                      <a:avLst/>
                    </a:prstGeom>
                    <a:noFill/>
                  </pic:spPr>
                </pic:pic>
              </a:graphicData>
            </a:graphic>
          </wp:inline>
        </w:drawing>
      </w:r>
    </w:p>
    <w:p w14:paraId="6C38BA73" w14:textId="39ECF4E1" w:rsidR="003E6830" w:rsidRPr="00495286" w:rsidRDefault="003E6830" w:rsidP="003E6830">
      <w:pPr>
        <w:pStyle w:val="Caption"/>
      </w:pPr>
      <w:bookmarkStart w:id="39" w:name="_Toc36555127"/>
      <w:bookmarkStart w:id="40" w:name="_Toc36567877"/>
      <w:r>
        <w:t xml:space="preserve">Figure </w:t>
      </w:r>
      <w:r w:rsidR="00B435A7">
        <w:rPr>
          <w:noProof/>
        </w:rPr>
        <w:fldChar w:fldCharType="begin"/>
      </w:r>
      <w:r w:rsidR="00B435A7">
        <w:rPr>
          <w:noProof/>
        </w:rPr>
        <w:instrText xml:space="preserve"> SEQ Figure \* ARABIC </w:instrText>
      </w:r>
      <w:r w:rsidR="00B435A7">
        <w:rPr>
          <w:noProof/>
        </w:rPr>
        <w:fldChar w:fldCharType="separate"/>
      </w:r>
      <w:r w:rsidR="005F3529">
        <w:rPr>
          <w:noProof/>
        </w:rPr>
        <w:t>5</w:t>
      </w:r>
      <w:r w:rsidR="00B435A7">
        <w:rPr>
          <w:noProof/>
        </w:rPr>
        <w:fldChar w:fldCharType="end"/>
      </w:r>
      <w:r w:rsidR="00A34E0D">
        <w:t xml:space="preserve">: </w:t>
      </w:r>
      <w:r>
        <w:t xml:space="preserve">NSW Fair Trading </w:t>
      </w:r>
      <w:r w:rsidR="007A4CD2">
        <w:t xml:space="preserve">‘cruise’ </w:t>
      </w:r>
      <w:r>
        <w:t>claims data provided for 2015 to 2019 showing distribution of claims across 'Practice'</w:t>
      </w:r>
      <w:bookmarkEnd w:id="39"/>
      <w:r w:rsidR="007A4CD2">
        <w:t xml:space="preserve"> across years.</w:t>
      </w:r>
      <w:bookmarkEnd w:id="40"/>
      <w:r w:rsidR="007A4CD2">
        <w:t xml:space="preserve"> </w:t>
      </w:r>
    </w:p>
    <w:p w14:paraId="5755D09A" w14:textId="77777777" w:rsidR="003E6830" w:rsidRPr="00FB7943" w:rsidRDefault="003E6830" w:rsidP="003E6830"/>
    <w:p w14:paraId="1230837B" w14:textId="77777777" w:rsidR="003E6830" w:rsidRPr="00FB7943" w:rsidRDefault="003E6830" w:rsidP="003E6830">
      <w:pPr>
        <w:pStyle w:val="Heading2"/>
        <w:jc w:val="both"/>
      </w:pPr>
      <w:bookmarkStart w:id="41" w:name="_Toc34657058"/>
      <w:bookmarkStart w:id="42" w:name="_Toc44659909"/>
      <w:r>
        <w:t>Other Considerations</w:t>
      </w:r>
      <w:bookmarkEnd w:id="41"/>
      <w:bookmarkEnd w:id="42"/>
    </w:p>
    <w:p w14:paraId="6A30CFDC" w14:textId="570ACFC8" w:rsidR="003E6830" w:rsidRDefault="003E6830" w:rsidP="003E6830">
      <w:pPr>
        <w:pStyle w:val="Heading3"/>
        <w:jc w:val="both"/>
      </w:pPr>
      <w:bookmarkStart w:id="43" w:name="_Toc31119154"/>
      <w:bookmarkStart w:id="44" w:name="_Toc34657059"/>
      <w:bookmarkStart w:id="45" w:name="_Toc44659910"/>
      <w:r>
        <w:t>Liability Waivers</w:t>
      </w:r>
      <w:bookmarkEnd w:id="43"/>
      <w:bookmarkEnd w:id="44"/>
      <w:bookmarkEnd w:id="45"/>
    </w:p>
    <w:p w14:paraId="6DA32461" w14:textId="77777777" w:rsidR="003E6830" w:rsidRDefault="003E6830" w:rsidP="003E6830">
      <w:pPr>
        <w:jc w:val="left"/>
      </w:pPr>
      <w:r>
        <w:t xml:space="preserve">Most cruise ships have waivers included in the passage contract limiting the liability of the cruise line for injuries or luggage damage and loss, and subsequently encourage their passengers to take out additional travel insurance or pay a fee to the cruise line for greater liability protection of personal goods. </w:t>
      </w:r>
      <w:r w:rsidRPr="00E91C4F">
        <w:t xml:space="preserve">While cruise lines may assert that these limited liability waivers are iron-clad, in many cases, </w:t>
      </w:r>
      <w:r>
        <w:t xml:space="preserve">a company cannot contract out negligence and therefore the waivers </w:t>
      </w:r>
      <w:r w:rsidRPr="00E91C4F">
        <w:t>are not valid and enforceable</w:t>
      </w:r>
      <w:r>
        <w:t xml:space="preserve"> to the degree outlined in the contract</w:t>
      </w:r>
      <w:r w:rsidRPr="00E91C4F">
        <w:t xml:space="preserve">. </w:t>
      </w:r>
      <w:r>
        <w:t>However, a challenge to the contracts might require expert counsel to navigate the complexities of Australian Maritime Law, Australian Consumer Law and Contract Law.</w:t>
      </w:r>
    </w:p>
    <w:p w14:paraId="26B787F0" w14:textId="77777777" w:rsidR="003E6830" w:rsidRDefault="003E6830" w:rsidP="003E6830">
      <w:pPr>
        <w:pStyle w:val="Heading3"/>
        <w:jc w:val="both"/>
      </w:pPr>
      <w:bookmarkStart w:id="46" w:name="_Toc31119155"/>
      <w:bookmarkStart w:id="47" w:name="_Toc34657060"/>
      <w:bookmarkStart w:id="48" w:name="_Toc44659911"/>
      <w:r>
        <w:t>Passenger Liability Regulation (PLR)</w:t>
      </w:r>
      <w:bookmarkEnd w:id="46"/>
      <w:bookmarkEnd w:id="47"/>
      <w:bookmarkEnd w:id="48"/>
    </w:p>
    <w:p w14:paraId="69E6CED6" w14:textId="67B14254" w:rsidR="003E6830" w:rsidRDefault="003E6830" w:rsidP="003E6830">
      <w:pPr>
        <w:jc w:val="left"/>
      </w:pPr>
      <w:r>
        <w:t xml:space="preserve">The </w:t>
      </w:r>
      <w:r w:rsidRPr="000055D0">
        <w:t>Passenger Liability Regulation (PLR) came into effect within the European Union (EU) and European Economic Area (EEA) on 31 December 2012. The Regulation gives effect to the key provisions of the Athens Convention</w:t>
      </w:r>
      <w:r>
        <w:t>,</w:t>
      </w:r>
      <w:r w:rsidRPr="000055D0">
        <w:t xml:space="preserve"> together with the 2006 IMO Reservation and Guidelines for Implementation of the Convention covering war risks.</w:t>
      </w:r>
      <w:r>
        <w:t xml:space="preserve"> Some international carriers, homeported in Australia, carry PLR insurance consistent with compulsory insurances requirements under Athens. </w:t>
      </w:r>
      <w:r w:rsidR="00307B84">
        <w:t>I</w:t>
      </w:r>
      <w:r>
        <w:t xml:space="preserve">t is not unusual for large cruise companies who routinely operate in the EU as well as Australia, to already be compliant with the Athens </w:t>
      </w:r>
      <w:r w:rsidR="005614A8">
        <w:t>Convention</w:t>
      </w:r>
      <w:r>
        <w:t>. However, accession to Athens in Australia would likely have implications on the insurance premiums due to the greater number of passengers to whom the</w:t>
      </w:r>
      <w:r w:rsidDel="00561AD2">
        <w:t xml:space="preserve"> </w:t>
      </w:r>
      <w:r>
        <w:t xml:space="preserve">Athens limits would then apply. </w:t>
      </w:r>
    </w:p>
    <w:p w14:paraId="5699E0FA" w14:textId="77777777" w:rsidR="003E6830" w:rsidRDefault="003E6830" w:rsidP="003E6830">
      <w:pPr>
        <w:pStyle w:val="Heading3"/>
        <w:jc w:val="both"/>
      </w:pPr>
      <w:bookmarkStart w:id="49" w:name="_Toc31119156"/>
      <w:bookmarkStart w:id="50" w:name="_Toc34657061"/>
      <w:bookmarkStart w:id="51" w:name="_Toc44659912"/>
      <w:r>
        <w:t>Private Travel Insurance</w:t>
      </w:r>
      <w:bookmarkEnd w:id="49"/>
      <w:bookmarkEnd w:id="50"/>
      <w:bookmarkEnd w:id="51"/>
    </w:p>
    <w:p w14:paraId="6858AC9C" w14:textId="77777777" w:rsidR="003E6830" w:rsidRDefault="003E6830" w:rsidP="003E6830">
      <w:pPr>
        <w:jc w:val="left"/>
      </w:pPr>
      <w:r>
        <w:t xml:space="preserve">Most cruise ship companies either require or strongly recommend that passengers take out private travel insurance, however, this is not unanimous across the industry, nor could it be used in lieu of compensation from the cruise company in instances of fault and/or negligence. Private travel insurance policies typically have claim limits for accidental death, serious injury and/or loss of income of only 25,000 AUD, which is significantly lower than the LLMC limits or Athens strict liability limits.  If a passenger were to make a claim through their private travel insurance for injury caused by the cruise company, travel insurance policies usually require the payout to be repaid to them out of compensation received from the cruise line or the cruise line’s insurer if a claim was also made to the cruise company. </w:t>
      </w:r>
    </w:p>
    <w:p w14:paraId="2CE2DC0D" w14:textId="77777777" w:rsidR="003E6830" w:rsidRDefault="003E6830" w:rsidP="003E6830">
      <w:pPr>
        <w:pStyle w:val="Heading2"/>
        <w:jc w:val="both"/>
      </w:pPr>
      <w:bookmarkStart w:id="52" w:name="_Toc31119157"/>
      <w:bookmarkStart w:id="53" w:name="_Toc34657062"/>
      <w:bookmarkStart w:id="54" w:name="_Toc44659913"/>
      <w:r w:rsidRPr="000C79B0">
        <w:t>Summary</w:t>
      </w:r>
      <w:bookmarkEnd w:id="52"/>
      <w:bookmarkEnd w:id="53"/>
      <w:bookmarkEnd w:id="54"/>
    </w:p>
    <w:p w14:paraId="1620B079" w14:textId="2A3537CB" w:rsidR="003E6830" w:rsidRPr="00CC49E1" w:rsidRDefault="003E6830" w:rsidP="003E6830">
      <w:pPr>
        <w:jc w:val="left"/>
      </w:pPr>
      <w:r w:rsidRPr="00CC49E1">
        <w:t>In submissions received to the 2017 Discussion paper, sentiment within the cruise industry ranged from neutral towards favouring the status quo. The primary reasons for the cruise industry to favour the status</w:t>
      </w:r>
      <w:r>
        <w:t xml:space="preserve"> </w:t>
      </w:r>
      <w:r w:rsidRPr="00CC49E1">
        <w:t>quo relate to the protections already afforded to Australians under existing Australian Consumer Law, the rarity of serious shipping incidents, and a perceived Euro-centric focus of the Athens Convention, as represented by the countries that are party to the Convention.</w:t>
      </w:r>
    </w:p>
    <w:p w14:paraId="56AA2B9B" w14:textId="6C82BA11" w:rsidR="00644A57" w:rsidRDefault="00644A57" w:rsidP="003E6830">
      <w:pPr>
        <w:jc w:val="left"/>
      </w:pPr>
      <w:r w:rsidRPr="00AC1B4C">
        <w:t>The Impact Analysis considered each of the proposed options</w:t>
      </w:r>
      <w:r>
        <w:t xml:space="preserve"> in their end state once implemented</w:t>
      </w:r>
      <w:r w:rsidRPr="00AC1B4C">
        <w:t xml:space="preserve"> in relation to the baseline option of maintain</w:t>
      </w:r>
      <w:r>
        <w:t>ing</w:t>
      </w:r>
      <w:r w:rsidRPr="00AC1B4C">
        <w:t xml:space="preserve"> the status quo. </w:t>
      </w:r>
      <w:r>
        <w:t xml:space="preserve">Option 1, to continue as currently, would therefore not lead to any impacts different to the current framework. </w:t>
      </w:r>
    </w:p>
    <w:p w14:paraId="7F1ECBF3" w14:textId="77777777" w:rsidR="003E6830" w:rsidRPr="000C79B0" w:rsidRDefault="003E6830" w:rsidP="003E6830">
      <w:pPr>
        <w:pStyle w:val="Heading4"/>
      </w:pPr>
      <w:r w:rsidRPr="000C79B0">
        <w:t>Benefits</w:t>
      </w:r>
      <w:r>
        <w:t xml:space="preserve"> of maintaining the status quo</w:t>
      </w:r>
    </w:p>
    <w:p w14:paraId="5B8319BE" w14:textId="77777777" w:rsidR="003E6830" w:rsidRDefault="003E6830" w:rsidP="00160A48">
      <w:pPr>
        <w:pStyle w:val="ListParagraph"/>
        <w:numPr>
          <w:ilvl w:val="0"/>
          <w:numId w:val="5"/>
        </w:numPr>
        <w:spacing w:after="160" w:line="259" w:lineRule="auto"/>
        <w:jc w:val="left"/>
        <w:rPr>
          <w:szCs w:val="20"/>
        </w:rPr>
      </w:pPr>
      <w:r w:rsidRPr="000C79B0">
        <w:rPr>
          <w:szCs w:val="20"/>
        </w:rPr>
        <w:t>Business as usual, no change to existing processes</w:t>
      </w:r>
      <w:r>
        <w:rPr>
          <w:szCs w:val="20"/>
        </w:rPr>
        <w:t xml:space="preserve">, company policies and procedures, and no implementation costs.  </w:t>
      </w:r>
    </w:p>
    <w:p w14:paraId="4F7F8097" w14:textId="5E735EB2" w:rsidR="003E6830" w:rsidRPr="00533690" w:rsidRDefault="003E6830" w:rsidP="00160A48">
      <w:pPr>
        <w:pStyle w:val="ListParagraph"/>
        <w:numPr>
          <w:ilvl w:val="0"/>
          <w:numId w:val="6"/>
        </w:numPr>
        <w:spacing w:after="160" w:line="259" w:lineRule="auto"/>
        <w:jc w:val="left"/>
        <w:rPr>
          <w:rStyle w:val="eop"/>
          <w:szCs w:val="20"/>
        </w:rPr>
      </w:pPr>
      <w:r>
        <w:rPr>
          <w:rStyle w:val="normaltextrun"/>
          <w:color w:val="000000"/>
          <w:szCs w:val="20"/>
          <w:shd w:val="clear" w:color="auto" w:fill="FFFFFF"/>
        </w:rPr>
        <w:t xml:space="preserve">The Department’s </w:t>
      </w:r>
      <w:r w:rsidR="00562088">
        <w:rPr>
          <w:rStyle w:val="normaltextrun"/>
          <w:color w:val="000000"/>
          <w:szCs w:val="20"/>
          <w:shd w:val="clear" w:color="auto" w:fill="FFFFFF"/>
        </w:rPr>
        <w:t xml:space="preserve">Discussion </w:t>
      </w:r>
      <w:r>
        <w:rPr>
          <w:rStyle w:val="normaltextrun"/>
          <w:color w:val="000000"/>
          <w:szCs w:val="20"/>
          <w:shd w:val="clear" w:color="auto" w:fill="FFFFFF"/>
        </w:rPr>
        <w:t>paper a</w:t>
      </w:r>
      <w:r w:rsidRPr="00533690">
        <w:rPr>
          <w:rStyle w:val="normaltextrun"/>
          <w:color w:val="000000"/>
          <w:szCs w:val="20"/>
          <w:shd w:val="clear" w:color="auto" w:fill="FFFFFF"/>
        </w:rPr>
        <w:t>cknowledge</w:t>
      </w:r>
      <w:r>
        <w:rPr>
          <w:rStyle w:val="normaltextrun"/>
          <w:color w:val="000000"/>
          <w:szCs w:val="20"/>
          <w:shd w:val="clear" w:color="auto" w:fill="FFFFFF"/>
        </w:rPr>
        <w:t>d</w:t>
      </w:r>
      <w:r w:rsidRPr="00533690">
        <w:rPr>
          <w:rStyle w:val="normaltextrun"/>
          <w:color w:val="000000"/>
          <w:szCs w:val="20"/>
          <w:shd w:val="clear" w:color="auto" w:fill="FFFFFF"/>
        </w:rPr>
        <w:t xml:space="preserve"> that the major international cruise companies with business operations in Australia take great care to ensure the full incorporation in their Australian passage contracts of existing protections under </w:t>
      </w:r>
      <w:r>
        <w:rPr>
          <w:rStyle w:val="normaltextrun"/>
          <w:color w:val="000000"/>
          <w:szCs w:val="20"/>
          <w:shd w:val="clear" w:color="auto" w:fill="FFFFFF"/>
        </w:rPr>
        <w:t>ACL</w:t>
      </w:r>
      <w:r w:rsidRPr="00533690">
        <w:rPr>
          <w:rStyle w:val="textrun"/>
          <w:color w:val="000000"/>
          <w:szCs w:val="20"/>
          <w:shd w:val="clear" w:color="auto" w:fill="FFFFFF"/>
          <w:vertAlign w:val="superscript"/>
        </w:rPr>
        <w:t>6</w:t>
      </w:r>
      <w:r w:rsidRPr="00533690">
        <w:rPr>
          <w:rStyle w:val="normaltextrun"/>
          <w:color w:val="000000"/>
          <w:szCs w:val="20"/>
          <w:shd w:val="clear" w:color="auto" w:fill="FFFFFF"/>
        </w:rPr>
        <w:t>, and that changes to these laws may necessitate revisions to a company’s policies and procedures. </w:t>
      </w:r>
      <w:r w:rsidRPr="00533690">
        <w:rPr>
          <w:rStyle w:val="eop"/>
          <w:color w:val="000000"/>
          <w:szCs w:val="20"/>
          <w:shd w:val="clear" w:color="auto" w:fill="FFFFFF"/>
        </w:rPr>
        <w:t> </w:t>
      </w:r>
    </w:p>
    <w:p w14:paraId="6974F047" w14:textId="2DDAC09C" w:rsidR="003E6830" w:rsidRPr="00533690" w:rsidRDefault="003E6830" w:rsidP="00160A48">
      <w:pPr>
        <w:pStyle w:val="ListParagraph"/>
        <w:numPr>
          <w:ilvl w:val="0"/>
          <w:numId w:val="6"/>
        </w:numPr>
        <w:spacing w:after="160" w:line="259" w:lineRule="auto"/>
        <w:jc w:val="left"/>
        <w:rPr>
          <w:szCs w:val="20"/>
        </w:rPr>
      </w:pPr>
      <w:r>
        <w:rPr>
          <w:szCs w:val="20"/>
        </w:rPr>
        <w:t>The discussion paper also ac</w:t>
      </w:r>
      <w:r w:rsidRPr="00533690">
        <w:rPr>
          <w:szCs w:val="20"/>
        </w:rPr>
        <w:t>knowledge</w:t>
      </w:r>
      <w:r>
        <w:rPr>
          <w:szCs w:val="20"/>
        </w:rPr>
        <w:t>d</w:t>
      </w:r>
      <w:r w:rsidRPr="00533690">
        <w:rPr>
          <w:szCs w:val="20"/>
        </w:rPr>
        <w:t xml:space="preserve"> that international cruise companies with business operations in Australia </w:t>
      </w:r>
      <w:r>
        <w:rPr>
          <w:szCs w:val="20"/>
        </w:rPr>
        <w:t>have made</w:t>
      </w:r>
      <w:r w:rsidRPr="00533690">
        <w:rPr>
          <w:szCs w:val="20"/>
        </w:rPr>
        <w:t xml:space="preserve"> efforts to clarify jurisdictional uncertainty in contracts of carriage. For example, the Australian passage contracts of Carnival Australia and Royal Caribbean permit claims to be brought in Australian courts and provide that NSW law is the applicable law governing these contracts.</w:t>
      </w:r>
    </w:p>
    <w:p w14:paraId="4632C250" w14:textId="77777777" w:rsidR="003E6830" w:rsidRDefault="003E6830" w:rsidP="00160A48">
      <w:pPr>
        <w:pStyle w:val="ListParagraph"/>
        <w:numPr>
          <w:ilvl w:val="0"/>
          <w:numId w:val="5"/>
        </w:numPr>
        <w:spacing w:after="160" w:line="259" w:lineRule="auto"/>
        <w:jc w:val="left"/>
        <w:rPr>
          <w:szCs w:val="20"/>
        </w:rPr>
      </w:pPr>
      <w:r>
        <w:rPr>
          <w:szCs w:val="20"/>
        </w:rPr>
        <w:t xml:space="preserve">The existing legal framework and industry practice is adequate. </w:t>
      </w:r>
    </w:p>
    <w:p w14:paraId="24554DD5" w14:textId="164A88A1" w:rsidR="003E6830" w:rsidRPr="007E2F1B" w:rsidRDefault="003E6830" w:rsidP="00160A48">
      <w:pPr>
        <w:pStyle w:val="ListParagraph"/>
        <w:numPr>
          <w:ilvl w:val="0"/>
          <w:numId w:val="5"/>
        </w:numPr>
        <w:spacing w:after="160" w:line="259" w:lineRule="auto"/>
        <w:jc w:val="left"/>
        <w:rPr>
          <w:szCs w:val="20"/>
        </w:rPr>
      </w:pPr>
      <w:r>
        <w:rPr>
          <w:szCs w:val="20"/>
        </w:rPr>
        <w:t xml:space="preserve">Claims for damages can access the full amount of the global LLMC limit for that ship rather than a limit per person under the Athens </w:t>
      </w:r>
      <w:r w:rsidR="005614A8">
        <w:rPr>
          <w:szCs w:val="20"/>
        </w:rPr>
        <w:t>Convention</w:t>
      </w:r>
      <w:r>
        <w:rPr>
          <w:szCs w:val="20"/>
        </w:rPr>
        <w:t>.</w:t>
      </w:r>
    </w:p>
    <w:p w14:paraId="7797A4E4" w14:textId="77777777" w:rsidR="003E6830" w:rsidRDefault="003E6830" w:rsidP="003E6830">
      <w:pPr>
        <w:pStyle w:val="Heading4"/>
      </w:pPr>
      <w:r w:rsidRPr="000C79B0">
        <w:t>Constraints and challenges</w:t>
      </w:r>
      <w:r>
        <w:t xml:space="preserve"> of maintaining status quo</w:t>
      </w:r>
    </w:p>
    <w:p w14:paraId="0F9DA7BB" w14:textId="77777777" w:rsidR="003E6830" w:rsidRPr="002B552A" w:rsidRDefault="003E6830" w:rsidP="00160A48">
      <w:pPr>
        <w:pStyle w:val="ListParagraph"/>
        <w:numPr>
          <w:ilvl w:val="0"/>
          <w:numId w:val="4"/>
        </w:numPr>
        <w:spacing w:after="160" w:line="259" w:lineRule="auto"/>
        <w:jc w:val="left"/>
        <w:rPr>
          <w:szCs w:val="20"/>
        </w:rPr>
      </w:pPr>
      <w:r w:rsidRPr="002B552A">
        <w:rPr>
          <w:szCs w:val="20"/>
        </w:rPr>
        <w:t xml:space="preserve">There is no uniformity in liability limits in Australia for passenger carrying commercial vessels. </w:t>
      </w:r>
    </w:p>
    <w:p w14:paraId="2E386FCD" w14:textId="71DCC02C" w:rsidR="003E6830" w:rsidRPr="002B552A" w:rsidRDefault="003E6830" w:rsidP="00160A48">
      <w:pPr>
        <w:pStyle w:val="ListParagraph"/>
        <w:numPr>
          <w:ilvl w:val="0"/>
          <w:numId w:val="4"/>
        </w:numPr>
        <w:spacing w:after="160" w:line="259" w:lineRule="auto"/>
        <w:jc w:val="left"/>
        <w:rPr>
          <w:szCs w:val="20"/>
        </w:rPr>
      </w:pPr>
      <w:r w:rsidRPr="002B552A">
        <w:rPr>
          <w:szCs w:val="20"/>
        </w:rPr>
        <w:t>Existing personal travel insurance coverage for cruise travel indicates a maximum claimable sum of approximately</w:t>
      </w:r>
      <w:r w:rsidRPr="00A51994" w:rsidDel="0071478B">
        <w:rPr>
          <w:szCs w:val="20"/>
        </w:rPr>
        <w:t xml:space="preserve"> </w:t>
      </w:r>
      <w:r w:rsidRPr="00A51994">
        <w:rPr>
          <w:szCs w:val="20"/>
        </w:rPr>
        <w:t xml:space="preserve">25,000 AUD for death or disablement. If the ship’s passenger liability insurance funds were not available for claiming damages (i.e. if the ship was uninsured) this would leave a potential </w:t>
      </w:r>
      <w:r w:rsidR="00E616B9">
        <w:rPr>
          <w:szCs w:val="20"/>
        </w:rPr>
        <w:t xml:space="preserve">significant </w:t>
      </w:r>
      <w:r w:rsidRPr="00A51994">
        <w:rPr>
          <w:szCs w:val="20"/>
        </w:rPr>
        <w:t xml:space="preserve">gap </w:t>
      </w:r>
      <w:r w:rsidRPr="00CB5A4D">
        <w:rPr>
          <w:szCs w:val="20"/>
        </w:rPr>
        <w:t xml:space="preserve">from what would be accessible under the Athens </w:t>
      </w:r>
      <w:r w:rsidR="005614A8" w:rsidRPr="00CB5A4D">
        <w:rPr>
          <w:szCs w:val="20"/>
        </w:rPr>
        <w:t>Conventi</w:t>
      </w:r>
      <w:r w:rsidR="005614A8" w:rsidRPr="00C64567">
        <w:rPr>
          <w:szCs w:val="20"/>
        </w:rPr>
        <w:t>on</w:t>
      </w:r>
      <w:r w:rsidRPr="002B552A">
        <w:rPr>
          <w:szCs w:val="20"/>
        </w:rPr>
        <w:t xml:space="preserve">.  </w:t>
      </w:r>
    </w:p>
    <w:p w14:paraId="4625CE29" w14:textId="63588E12" w:rsidR="003E6830" w:rsidRPr="00236368" w:rsidRDefault="003E6830" w:rsidP="00160A48">
      <w:pPr>
        <w:pStyle w:val="ListParagraph"/>
        <w:numPr>
          <w:ilvl w:val="0"/>
          <w:numId w:val="4"/>
        </w:numPr>
        <w:spacing w:after="160" w:line="259" w:lineRule="auto"/>
        <w:jc w:val="left"/>
        <w:rPr>
          <w:szCs w:val="20"/>
        </w:rPr>
      </w:pPr>
      <w:r w:rsidRPr="00D27D55">
        <w:rPr>
          <w:szCs w:val="20"/>
        </w:rPr>
        <w:t>Fairness and equity concerns if for example an EU or UK resident travelling on a cruise ship departing from an Australian port is afforded greater legal recourse in the case of loss, injury or death than an Australian resident in a neighbouring cabi</w:t>
      </w:r>
      <w:r w:rsidRPr="00B1592A">
        <w:rPr>
          <w:szCs w:val="20"/>
        </w:rPr>
        <w:t xml:space="preserve">n on the same cruise. Whilst this is important for fairness and equity, it is also of importance during catastrophic incidents. For example, if a vessel carrying 2000 passengers sinks resulting in catastrophic loss, and 1000 passenger </w:t>
      </w:r>
      <w:r w:rsidRPr="00036307">
        <w:t>contracts of carriage</w:t>
      </w:r>
      <w:r w:rsidRPr="00E14951">
        <w:t xml:space="preserve"> were made in a State Party to Athens Convention (i.e. UK, EU) and 1000 were Australian, families of the former would have access to a fully insured, set amount of compensation that can be recovered as an administrative process because of strict liability.</w:t>
      </w:r>
      <w:r w:rsidRPr="002B552A">
        <w:t xml:space="preserve"> Australian passengers</w:t>
      </w:r>
      <w:r w:rsidR="00236368">
        <w:t>,</w:t>
      </w:r>
      <w:r w:rsidRPr="00236368">
        <w:t xml:space="preserve"> however, on the same cruise, who suffered the same consequence, </w:t>
      </w:r>
      <w:r w:rsidR="004044A1">
        <w:t>and who</w:t>
      </w:r>
      <w:r w:rsidR="005244FE">
        <w:t>m</w:t>
      </w:r>
      <w:r w:rsidR="004044A1">
        <w:t xml:space="preserve"> don’t meet eligibility criteria for the Athens Convention</w:t>
      </w:r>
      <w:r w:rsidRPr="00236368">
        <w:t xml:space="preserve"> could be disadvantaged</w:t>
      </w:r>
      <w:r w:rsidR="00236368">
        <w:t>.</w:t>
      </w:r>
      <w:r w:rsidR="00295A23" w:rsidRPr="00236368">
        <w:t xml:space="preserve"> Similarly, </w:t>
      </w:r>
      <w:r w:rsidR="000D5EFD" w:rsidRPr="00236368">
        <w:t xml:space="preserve">passengers from different Australian states may be entitled to different amounts under state CLA limits. </w:t>
      </w:r>
    </w:p>
    <w:p w14:paraId="3362C7B2" w14:textId="03F260E7" w:rsidR="003E6830" w:rsidRDefault="003E6830" w:rsidP="00160A48">
      <w:pPr>
        <w:pStyle w:val="ListParagraph"/>
        <w:numPr>
          <w:ilvl w:val="0"/>
          <w:numId w:val="4"/>
        </w:numPr>
        <w:spacing w:after="160" w:line="259" w:lineRule="auto"/>
        <w:jc w:val="left"/>
        <w:rPr>
          <w:szCs w:val="20"/>
        </w:rPr>
      </w:pPr>
      <w:r w:rsidRPr="00236368">
        <w:rPr>
          <w:szCs w:val="20"/>
        </w:rPr>
        <w:t>Potential for certain claims to attract high legal defence costs due to the complex legislative</w:t>
      </w:r>
      <w:r w:rsidRPr="000C79B0">
        <w:rPr>
          <w:szCs w:val="20"/>
        </w:rPr>
        <w:t xml:space="preserve"> framework</w:t>
      </w:r>
      <w:r w:rsidR="000F6884">
        <w:rPr>
          <w:szCs w:val="20"/>
        </w:rPr>
        <w:t>.</w:t>
      </w:r>
    </w:p>
    <w:p w14:paraId="6F93D878" w14:textId="77777777" w:rsidR="003E6830" w:rsidRPr="00533690" w:rsidRDefault="003E6830" w:rsidP="00160A48">
      <w:pPr>
        <w:pStyle w:val="ListParagraph"/>
        <w:numPr>
          <w:ilvl w:val="0"/>
          <w:numId w:val="4"/>
        </w:numPr>
        <w:spacing w:after="160" w:line="259" w:lineRule="auto"/>
        <w:jc w:val="left"/>
        <w:rPr>
          <w:szCs w:val="20"/>
        </w:rPr>
      </w:pPr>
      <w:r w:rsidRPr="0079084B">
        <w:rPr>
          <w:szCs w:val="20"/>
        </w:rPr>
        <w:t xml:space="preserve">There is no requirement for </w:t>
      </w:r>
      <w:r>
        <w:rPr>
          <w:szCs w:val="20"/>
        </w:rPr>
        <w:t>s</w:t>
      </w:r>
      <w:r w:rsidRPr="0079084B">
        <w:rPr>
          <w:szCs w:val="20"/>
        </w:rPr>
        <w:t>hipowners to gain and maintain insurance in the LLMC</w:t>
      </w:r>
      <w:r>
        <w:rPr>
          <w:szCs w:val="20"/>
        </w:rPr>
        <w:t xml:space="preserve"> </w:t>
      </w:r>
      <w:r w:rsidRPr="0079084B">
        <w:rPr>
          <w:szCs w:val="20"/>
        </w:rPr>
        <w:t>Convention and there is no avenue for passengers to sue insurers directly.</w:t>
      </w:r>
    </w:p>
    <w:p w14:paraId="15E46783" w14:textId="6A2D12D9" w:rsidR="003E6830" w:rsidRDefault="003E6830" w:rsidP="00160A48">
      <w:pPr>
        <w:pStyle w:val="ListParagraph"/>
        <w:numPr>
          <w:ilvl w:val="0"/>
          <w:numId w:val="4"/>
        </w:numPr>
        <w:spacing w:after="160" w:line="259" w:lineRule="auto"/>
        <w:jc w:val="left"/>
        <w:rPr>
          <w:szCs w:val="20"/>
        </w:rPr>
      </w:pPr>
      <w:r w:rsidRPr="000C79B0">
        <w:rPr>
          <w:szCs w:val="20"/>
        </w:rPr>
        <w:t xml:space="preserve">The onus </w:t>
      </w:r>
      <w:r>
        <w:rPr>
          <w:szCs w:val="20"/>
        </w:rPr>
        <w:t xml:space="preserve">is </w:t>
      </w:r>
      <w:r w:rsidRPr="000C79B0">
        <w:rPr>
          <w:szCs w:val="20"/>
        </w:rPr>
        <w:t>on passengers to prove negligence on the part of the shipowner or carrier in the event of any injury, even arising from a shipping incident</w:t>
      </w:r>
      <w:r>
        <w:rPr>
          <w:szCs w:val="20"/>
        </w:rPr>
        <w:t xml:space="preserve"> under the LLMC </w:t>
      </w:r>
      <w:r w:rsidR="005614A8">
        <w:rPr>
          <w:szCs w:val="20"/>
        </w:rPr>
        <w:t>Convention</w:t>
      </w:r>
      <w:r w:rsidR="00A966A5">
        <w:rPr>
          <w:szCs w:val="20"/>
        </w:rPr>
        <w:t>, the limits for which are set in the LLMC Convention</w:t>
      </w:r>
      <w:r>
        <w:rPr>
          <w:szCs w:val="20"/>
        </w:rPr>
        <w:t xml:space="preserve">. </w:t>
      </w:r>
    </w:p>
    <w:p w14:paraId="7663C010" w14:textId="77777777" w:rsidR="003E6830" w:rsidRPr="0027577A" w:rsidRDefault="003E6830" w:rsidP="00160A48">
      <w:pPr>
        <w:pStyle w:val="ListParagraph"/>
        <w:numPr>
          <w:ilvl w:val="0"/>
          <w:numId w:val="4"/>
        </w:numPr>
        <w:spacing w:after="160" w:line="259" w:lineRule="auto"/>
        <w:jc w:val="left"/>
        <w:rPr>
          <w:szCs w:val="20"/>
        </w:rPr>
      </w:pPr>
      <w:r w:rsidRPr="0027577A">
        <w:rPr>
          <w:szCs w:val="20"/>
        </w:rPr>
        <w:t>The</w:t>
      </w:r>
      <w:r>
        <w:rPr>
          <w:szCs w:val="20"/>
        </w:rPr>
        <w:t xml:space="preserve"> total</w:t>
      </w:r>
      <w:r w:rsidRPr="0027577A">
        <w:rPr>
          <w:szCs w:val="20"/>
        </w:rPr>
        <w:t xml:space="preserve"> amount of compensation that a court is able to</w:t>
      </w:r>
      <w:r>
        <w:rPr>
          <w:szCs w:val="20"/>
        </w:rPr>
        <w:t xml:space="preserve"> </w:t>
      </w:r>
      <w:r w:rsidRPr="0027577A">
        <w:rPr>
          <w:szCs w:val="20"/>
        </w:rPr>
        <w:t>award is limited by the LLMC Convention</w:t>
      </w:r>
      <w:r>
        <w:rPr>
          <w:szCs w:val="20"/>
        </w:rPr>
        <w:t xml:space="preserve"> to the global limit of 175,000 SDR times the number of passengers able to be carried.</w:t>
      </w:r>
    </w:p>
    <w:p w14:paraId="6BCC1DD8" w14:textId="103124B0" w:rsidR="003E6830" w:rsidRDefault="003E6830" w:rsidP="00160A48">
      <w:pPr>
        <w:pStyle w:val="ListParagraph"/>
        <w:numPr>
          <w:ilvl w:val="0"/>
          <w:numId w:val="4"/>
        </w:numPr>
        <w:spacing w:after="160" w:line="259" w:lineRule="auto"/>
        <w:jc w:val="left"/>
        <w:rPr>
          <w:szCs w:val="20"/>
        </w:rPr>
      </w:pPr>
      <w:r w:rsidRPr="000C79B0">
        <w:rPr>
          <w:szCs w:val="20"/>
        </w:rPr>
        <w:t xml:space="preserve">The absence of a requirement </w:t>
      </w:r>
      <w:r>
        <w:rPr>
          <w:szCs w:val="20"/>
        </w:rPr>
        <w:t>for a cruise company to be registered in Australia and therefore may not have a legal presence in Australia</w:t>
      </w:r>
      <w:r w:rsidR="00CD256A">
        <w:rPr>
          <w:szCs w:val="20"/>
        </w:rPr>
        <w:t>.</w:t>
      </w:r>
    </w:p>
    <w:p w14:paraId="485932A7" w14:textId="1A0B6EF7" w:rsidR="000959C6" w:rsidRDefault="000959C6" w:rsidP="00160A48">
      <w:pPr>
        <w:pStyle w:val="ListParagraph"/>
        <w:numPr>
          <w:ilvl w:val="0"/>
          <w:numId w:val="4"/>
        </w:numPr>
        <w:spacing w:after="160" w:line="259" w:lineRule="auto"/>
        <w:jc w:val="left"/>
        <w:rPr>
          <w:szCs w:val="20"/>
        </w:rPr>
      </w:pPr>
      <w:r>
        <w:rPr>
          <w:szCs w:val="20"/>
        </w:rPr>
        <w:t xml:space="preserve">Some </w:t>
      </w:r>
      <w:r w:rsidR="004F214B">
        <w:rPr>
          <w:szCs w:val="20"/>
        </w:rPr>
        <w:t xml:space="preserve">smaller </w:t>
      </w:r>
      <w:r>
        <w:rPr>
          <w:szCs w:val="20"/>
        </w:rPr>
        <w:t xml:space="preserve">cruise companies </w:t>
      </w:r>
      <w:r w:rsidR="004F214B">
        <w:rPr>
          <w:szCs w:val="20"/>
        </w:rPr>
        <w:t>could</w:t>
      </w:r>
      <w:r>
        <w:rPr>
          <w:szCs w:val="20"/>
        </w:rPr>
        <w:t xml:space="preserve"> require disputed claims to be heard in courts in overseas jurisdictions. </w:t>
      </w:r>
    </w:p>
    <w:p w14:paraId="10A1E760" w14:textId="2184C00A" w:rsidR="003E6830" w:rsidRPr="000C79B0" w:rsidRDefault="003E6830" w:rsidP="00160A48">
      <w:pPr>
        <w:pStyle w:val="ListParagraph"/>
        <w:numPr>
          <w:ilvl w:val="0"/>
          <w:numId w:val="4"/>
        </w:numPr>
        <w:spacing w:after="160" w:line="259" w:lineRule="auto"/>
        <w:jc w:val="left"/>
        <w:rPr>
          <w:szCs w:val="20"/>
        </w:rPr>
      </w:pPr>
      <w:r w:rsidRPr="00667DCC">
        <w:rPr>
          <w:szCs w:val="20"/>
        </w:rPr>
        <w:t>Even if the carrier has insurance, under the current legal framework passengers are not able to sue the insurer directly, and thus may not have access to insurance proceeds</w:t>
      </w:r>
      <w:r>
        <w:rPr>
          <w:szCs w:val="20"/>
        </w:rPr>
        <w:t xml:space="preserve"> in the event that the cruise ship company becomes insolvent</w:t>
      </w:r>
      <w:r w:rsidRPr="00667DCC">
        <w:rPr>
          <w:szCs w:val="20"/>
        </w:rPr>
        <w:t>.</w:t>
      </w:r>
    </w:p>
    <w:p w14:paraId="693AA73A" w14:textId="315C5770" w:rsidR="003E6830" w:rsidRPr="005362C3" w:rsidRDefault="003E6830" w:rsidP="003E6830">
      <w:pPr>
        <w:pStyle w:val="ListParagraph"/>
        <w:numPr>
          <w:ilvl w:val="0"/>
          <w:numId w:val="4"/>
        </w:numPr>
        <w:spacing w:after="160" w:line="259" w:lineRule="auto"/>
        <w:jc w:val="left"/>
        <w:rPr>
          <w:szCs w:val="20"/>
        </w:rPr>
      </w:pPr>
      <w:r w:rsidRPr="000C79B0">
        <w:rPr>
          <w:szCs w:val="20"/>
        </w:rPr>
        <w:t xml:space="preserve">Rights of cruise passengers appear inconsistent with the rights of aviation passengers under the Montreal Convention. </w:t>
      </w:r>
    </w:p>
    <w:p w14:paraId="3B4CBD01" w14:textId="7E4C0EF4" w:rsidR="00537C94" w:rsidRDefault="00537C94" w:rsidP="00537C94">
      <w:pPr>
        <w:pStyle w:val="Heading1"/>
        <w:jc w:val="both"/>
      </w:pPr>
      <w:bookmarkStart w:id="55" w:name="_Toc34657064"/>
      <w:bookmarkStart w:id="56" w:name="_Toc44659914"/>
      <w:r>
        <w:t xml:space="preserve">Option 2: </w:t>
      </w:r>
      <w:bookmarkStart w:id="57" w:name="_Hlk29282424"/>
      <w:r>
        <w:t xml:space="preserve">Accede to Athens but </w:t>
      </w:r>
      <w:r w:rsidRPr="0068428F">
        <w:t xml:space="preserve">retain </w:t>
      </w:r>
      <w:r>
        <w:t xml:space="preserve">1996 </w:t>
      </w:r>
      <w:r w:rsidRPr="0068428F">
        <w:t xml:space="preserve">LLMC global limits, </w:t>
      </w:r>
      <w:r w:rsidR="00BD315E">
        <w:t>(</w:t>
      </w:r>
      <w:r w:rsidRPr="0068428F">
        <w:t>opt out of Athens limits</w:t>
      </w:r>
      <w:bookmarkEnd w:id="55"/>
      <w:bookmarkEnd w:id="57"/>
      <w:r w:rsidR="00BD315E">
        <w:t>)</w:t>
      </w:r>
      <w:bookmarkEnd w:id="56"/>
    </w:p>
    <w:p w14:paraId="6B3F3E3A" w14:textId="5FB16905" w:rsidR="007077E9" w:rsidRDefault="003D48FE" w:rsidP="00537C94">
      <w:pPr>
        <w:spacing w:after="160" w:line="259" w:lineRule="auto"/>
        <w:jc w:val="left"/>
      </w:pPr>
      <w:r w:rsidRPr="00BA58A1">
        <w:rPr>
          <w:i/>
          <w:iCs/>
          <w:noProof/>
        </w:rPr>
        <mc:AlternateContent>
          <mc:Choice Requires="wps">
            <w:drawing>
              <wp:anchor distT="0" distB="0" distL="457200" distR="118745" simplePos="0" relativeHeight="251658241" behindDoc="0" locked="0" layoutInCell="0" allowOverlap="1" wp14:anchorId="5E247DC3" wp14:editId="6806F1F6">
                <wp:simplePos x="0" y="0"/>
                <wp:positionH relativeFrom="margin">
                  <wp:posOffset>46990</wp:posOffset>
                </wp:positionH>
                <wp:positionV relativeFrom="paragraph">
                  <wp:posOffset>1670613</wp:posOffset>
                </wp:positionV>
                <wp:extent cx="5534025" cy="1318260"/>
                <wp:effectExtent l="0" t="0" r="0" b="0"/>
                <wp:wrapSquare wrapText="bothSides"/>
                <wp:docPr id="20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31826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064982F5" w14:textId="77777777" w:rsidR="00EC194F" w:rsidRPr="00BC225B" w:rsidRDefault="00EC194F" w:rsidP="00537C94">
                            <w:pPr>
                              <w:pBdr>
                                <w:left w:val="single" w:sz="4" w:space="9" w:color="3494BA" w:themeColor="accent1"/>
                              </w:pBdr>
                              <w:rPr>
                                <w:rFonts w:eastAsiaTheme="majorEastAsia"/>
                                <w:i/>
                                <w:iCs/>
                                <w:color w:val="276E8B" w:themeColor="accent1" w:themeShade="BF"/>
                                <w:szCs w:val="20"/>
                              </w:rPr>
                            </w:pPr>
                            <w:r w:rsidRPr="00BC225B">
                              <w:rPr>
                                <w:rFonts w:eastAsiaTheme="majorEastAsia"/>
                                <w:i/>
                                <w:iCs/>
                                <w:color w:val="276E8B" w:themeColor="accent1" w:themeShade="BF"/>
                                <w:szCs w:val="20"/>
                              </w:rPr>
                              <w:t>Article 7 – Limit of liability for death and personal injury</w:t>
                            </w:r>
                          </w:p>
                          <w:p w14:paraId="4D319665" w14:textId="77777777" w:rsidR="00EC194F" w:rsidRPr="00BC225B" w:rsidRDefault="00EC194F" w:rsidP="00537C94">
                            <w:pPr>
                              <w:pBdr>
                                <w:left w:val="single" w:sz="4" w:space="9" w:color="3494BA" w:themeColor="accent1"/>
                              </w:pBdr>
                              <w:rPr>
                                <w:i/>
                                <w:iCs/>
                                <w:color w:val="276E8B" w:themeColor="accent1" w:themeShade="BF"/>
                                <w:szCs w:val="20"/>
                              </w:rPr>
                            </w:pPr>
                            <w:r w:rsidRPr="00BC225B">
                              <w:rPr>
                                <w:i/>
                                <w:iCs/>
                                <w:color w:val="276E8B" w:themeColor="accent1" w:themeShade="BF"/>
                                <w:szCs w:val="20"/>
                              </w:rPr>
                              <w:t>A State Party may regulate by specific provisions of national law the limit of liability prescribed in paragraph 1, provided that the national limit of liability, if any, is not lower than that prescribed in paragraph 1.  A State Party, which makes use of the option provided for in this paragraph, shall inform the Secretary General of the limit of liability adopted or of the fact that there is none</w:t>
                            </w:r>
                          </w:p>
                          <w:p w14:paraId="02636CAC" w14:textId="77777777" w:rsidR="00EC194F" w:rsidRPr="00BA58A1" w:rsidRDefault="00EC194F" w:rsidP="00537C94">
                            <w:pPr>
                              <w:pBdr>
                                <w:left w:val="single" w:sz="4" w:space="9" w:color="3494BA" w:themeColor="accent1"/>
                              </w:pBdr>
                              <w:rPr>
                                <w:color w:val="276E8B" w:themeColor="accent1" w:themeShade="BF"/>
                                <w:szCs w:val="20"/>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247DC3" id="_x0000_s1028" style="position:absolute;margin-left:3.7pt;margin-top:131.55pt;width:435.75pt;height:103.8pt;z-index:251658241;visibility:visible;mso-wrap-style:square;mso-width-percent:0;mso-height-percent:0;mso-wrap-distance-left:36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" o:allowincell="f" filled="f" stroked="f" strokeweight="1.25pt">
                <v:textbox inset=",7.2pt,,7.2pt">
                  <w:txbxContent>
                    <w:p w14:paraId="064982F5" w14:textId="77777777" w:rsidR="00EC194F" w:rsidRPr="00BC225B" w:rsidRDefault="00EC194F" w:rsidP="00537C94">
                      <w:pPr>
                        <w:pBdr>
                          <w:left w:val="single" w:sz="4" w:space="9" w:color="3494BA" w:themeColor="accent1"/>
                        </w:pBdr>
                        <w:rPr>
                          <w:rFonts w:eastAsiaTheme="majorEastAsia"/>
                          <w:i/>
                          <w:iCs/>
                          <w:color w:val="276E8B" w:themeColor="accent1" w:themeShade="BF"/>
                          <w:szCs w:val="20"/>
                        </w:rPr>
                      </w:pPr>
                      <w:r w:rsidRPr="00BC225B">
                        <w:rPr>
                          <w:rFonts w:eastAsiaTheme="majorEastAsia"/>
                          <w:i/>
                          <w:iCs/>
                          <w:color w:val="276E8B" w:themeColor="accent1" w:themeShade="BF"/>
                          <w:szCs w:val="20"/>
                        </w:rPr>
                        <w:t>Article 7 – Limit of liability for death and personal injury</w:t>
                      </w:r>
                    </w:p>
                    <w:p w14:paraId="4D319665" w14:textId="77777777" w:rsidR="00EC194F" w:rsidRPr="00BC225B" w:rsidRDefault="00EC194F" w:rsidP="00537C94">
                      <w:pPr>
                        <w:pBdr>
                          <w:left w:val="single" w:sz="4" w:space="9" w:color="3494BA" w:themeColor="accent1"/>
                        </w:pBdr>
                        <w:rPr>
                          <w:i/>
                          <w:iCs/>
                          <w:color w:val="276E8B" w:themeColor="accent1" w:themeShade="BF"/>
                          <w:szCs w:val="20"/>
                        </w:rPr>
                      </w:pPr>
                      <w:r w:rsidRPr="00BC225B">
                        <w:rPr>
                          <w:i/>
                          <w:iCs/>
                          <w:color w:val="276E8B" w:themeColor="accent1" w:themeShade="BF"/>
                          <w:szCs w:val="20"/>
                        </w:rPr>
                        <w:t>A State Party may regulate by specific provisions of national law the limit of liability prescribed in paragraph 1, provided that the national limit of liability, if any, is not lower than that prescribed in paragraph 1.  A State Party, which makes use of the option provided for in this paragraph, shall inform the Secretary General of the limit of liability adopted or of the fact that there is none</w:t>
                      </w:r>
                    </w:p>
                    <w:p w14:paraId="02636CAC" w14:textId="77777777" w:rsidR="00EC194F" w:rsidRPr="00BA58A1" w:rsidRDefault="00EC194F" w:rsidP="00537C94">
                      <w:pPr>
                        <w:pBdr>
                          <w:left w:val="single" w:sz="4" w:space="9" w:color="3494BA" w:themeColor="accent1"/>
                        </w:pBdr>
                        <w:rPr>
                          <w:color w:val="276E8B" w:themeColor="accent1" w:themeShade="BF"/>
                          <w:szCs w:val="20"/>
                        </w:rPr>
                      </w:pPr>
                    </w:p>
                  </w:txbxContent>
                </v:textbox>
                <w10:wrap type="square" anchorx="margin"/>
              </v:rect>
            </w:pict>
          </mc:Fallback>
        </mc:AlternateContent>
      </w:r>
      <w:r w:rsidR="00537C94">
        <w:t>The Athens Convention 2002 will provide a simpler and clearer path for claimants in injury and death cases</w:t>
      </w:r>
      <w:r w:rsidR="00AB2410">
        <w:t xml:space="preserve"> </w:t>
      </w:r>
      <w:r w:rsidR="00EB1023">
        <w:t>resulting from shipping incidents</w:t>
      </w:r>
      <w:r w:rsidR="00203149">
        <w:t>.</w:t>
      </w:r>
      <w:r w:rsidR="00EB1023">
        <w:t xml:space="preserve"> </w:t>
      </w:r>
      <w:r w:rsidR="00537C94">
        <w:t>The Convention does not affect existing law about more general breaches of a passenger contract (e.g. quality of service, also known as ‘hotel claims’) which will still come under the ACL</w:t>
      </w:r>
      <w:r w:rsidR="009B7050">
        <w:t xml:space="preserve"> unless the</w:t>
      </w:r>
      <w:r w:rsidR="006912E0" w:rsidRPr="006912E0">
        <w:t xml:space="preserve"> claimant can prove that the carrier was negligent and that the injury resulted from that negligence</w:t>
      </w:r>
      <w:r w:rsidR="009B7050">
        <w:t>.</w:t>
      </w:r>
      <w:r w:rsidR="00537C94">
        <w:t xml:space="preserve"> Importantly, the Athens Convention provides financial security for maritime claims through compulsory insurance and direct action against insurers. The Athens Convention involves introducing a strict </w:t>
      </w:r>
      <w:r w:rsidR="00537C94" w:rsidRPr="001450C9">
        <w:t xml:space="preserve">liability up to 250,000 </w:t>
      </w:r>
      <w:r w:rsidR="00537C94">
        <w:t>SDR</w:t>
      </w:r>
      <w:r w:rsidR="00537C94" w:rsidRPr="001450C9">
        <w:t xml:space="preserve"> for most “shipping” incidents</w:t>
      </w:r>
      <w:r w:rsidR="00537C94">
        <w:t xml:space="preserve">. However, under Article 7(2) of the Athens Convention 2002, it is possible to </w:t>
      </w:r>
      <w:r w:rsidR="00537C94" w:rsidRPr="00AA4BDB">
        <w:rPr>
          <w:b/>
          <w:u w:val="single"/>
        </w:rPr>
        <w:t xml:space="preserve">opt out </w:t>
      </w:r>
      <w:r w:rsidR="00537C94">
        <w:t xml:space="preserve">and </w:t>
      </w:r>
      <w:r w:rsidR="00CB0C82">
        <w:t>prescribe an alt</w:t>
      </w:r>
      <w:r w:rsidR="00844F8E">
        <w:t>er</w:t>
      </w:r>
      <w:r w:rsidR="00CB0C82">
        <w:t xml:space="preserve">nate limit of liability providing it is greater than the </w:t>
      </w:r>
      <w:r w:rsidR="005D235C">
        <w:t>400</w:t>
      </w:r>
      <w:r w:rsidR="00CB0C82">
        <w:t xml:space="preserve">,000 SDR described in the </w:t>
      </w:r>
      <w:r w:rsidR="005614A8">
        <w:t>Convention</w:t>
      </w:r>
      <w:r w:rsidR="00CB0C82">
        <w:t xml:space="preserve">. </w:t>
      </w:r>
    </w:p>
    <w:p w14:paraId="41C3B2C0" w14:textId="64A799B4" w:rsidR="007077E9" w:rsidRDefault="00537C94" w:rsidP="00537C94">
      <w:pPr>
        <w:spacing w:after="160" w:line="259" w:lineRule="auto"/>
        <w:jc w:val="left"/>
      </w:pPr>
      <w:r>
        <w:t xml:space="preserve">This option assumes that the Athens Convention 2002 opt out is used so that only the LLMC Article 7 applies </w:t>
      </w:r>
      <w:r w:rsidR="00763E15">
        <w:t xml:space="preserve">where the total passenger liability limit for the ship is 175,000 SDR </w:t>
      </w:r>
      <w:r w:rsidR="00763E15" w:rsidRPr="00763E15">
        <w:rPr>
          <w:i/>
          <w:iCs/>
        </w:rPr>
        <w:t>x</w:t>
      </w:r>
      <w:r w:rsidR="00763E15">
        <w:t xml:space="preserve"> registered passenger carrying capacity of the ship</w:t>
      </w:r>
      <w:r w:rsidR="000959C6">
        <w:t xml:space="preserve"> </w:t>
      </w:r>
      <w:r w:rsidR="00D85392">
        <w:t>(s</w:t>
      </w:r>
      <w:r w:rsidR="0061202D">
        <w:t>ee 4.2</w:t>
      </w:r>
      <w:r w:rsidR="00D85392">
        <w:t>.1)</w:t>
      </w:r>
      <w:r>
        <w:t>.</w:t>
      </w:r>
      <w:r w:rsidRPr="00113BA2">
        <w:t xml:space="preserve"> </w:t>
      </w:r>
      <w:r>
        <w:t xml:space="preserve">In such a scenario, passengers face no </w:t>
      </w:r>
      <w:r w:rsidR="00763E15">
        <w:t>‘</w:t>
      </w:r>
      <w:r w:rsidR="005F259B">
        <w:t>per passenger</w:t>
      </w:r>
      <w:r w:rsidR="00763E15">
        <w:t>’</w:t>
      </w:r>
      <w:r w:rsidR="005F259B">
        <w:t xml:space="preserve"> </w:t>
      </w:r>
      <w:r>
        <w:t xml:space="preserve">limit </w:t>
      </w:r>
      <w:r w:rsidR="009F2E49">
        <w:t xml:space="preserve">and therefore may have access to a greater pool of funds on the occasion of </w:t>
      </w:r>
      <w:r w:rsidR="00F32707">
        <w:t>a small number of impacted passengers</w:t>
      </w:r>
      <w:r>
        <w:t xml:space="preserve"> (see example </w:t>
      </w:r>
      <w:r w:rsidR="005F259B">
        <w:t>for a working example)</w:t>
      </w:r>
      <w:r>
        <w:t xml:space="preserve">. </w:t>
      </w:r>
    </w:p>
    <w:tbl>
      <w:tblPr>
        <w:tblStyle w:val="ListTable4-Accent6"/>
        <w:tblW w:w="0" w:type="auto"/>
        <w:tblLook w:val="04A0" w:firstRow="1" w:lastRow="0" w:firstColumn="1" w:lastColumn="0" w:noHBand="0" w:noVBand="1"/>
      </w:tblPr>
      <w:tblGrid>
        <w:gridCol w:w="8847"/>
      </w:tblGrid>
      <w:tr w:rsidR="00537C94" w14:paraId="5E6AE7A7" w14:textId="77777777" w:rsidTr="00F4584E">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8847" w:type="dxa"/>
          </w:tcPr>
          <w:p w14:paraId="280EE4C3" w14:textId="77777777" w:rsidR="00537C94" w:rsidRPr="00A85F85" w:rsidRDefault="00537C94" w:rsidP="0069386C">
            <w:pPr>
              <w:rPr>
                <w:color w:val="292733" w:themeColor="text2" w:themeShade="BF"/>
              </w:rPr>
            </w:pPr>
            <w:r w:rsidRPr="00F4584E">
              <w:rPr>
                <w:color w:val="FFFFFF" w:themeColor="background1"/>
              </w:rPr>
              <w:t>Example – Ovation of the Seas</w:t>
            </w:r>
          </w:p>
        </w:tc>
      </w:tr>
      <w:tr w:rsidR="00537C94" w14:paraId="6D3391BE" w14:textId="77777777" w:rsidTr="00F4584E">
        <w:trPr>
          <w:cnfStyle w:val="000000100000" w:firstRow="0" w:lastRow="0" w:firstColumn="0" w:lastColumn="0" w:oddVBand="0" w:evenVBand="0" w:oddHBand="1" w:evenHBand="0" w:firstRowFirstColumn="0" w:firstRowLastColumn="0" w:lastRowFirstColumn="0" w:lastRowLastColumn="0"/>
          <w:trHeight w:val="2777"/>
        </w:trPr>
        <w:tc>
          <w:tcPr>
            <w:cnfStyle w:val="001000000000" w:firstRow="0" w:lastRow="0" w:firstColumn="1" w:lastColumn="0" w:oddVBand="0" w:evenVBand="0" w:oddHBand="0" w:evenHBand="0" w:firstRowFirstColumn="0" w:firstRowLastColumn="0" w:lastRowFirstColumn="0" w:lastRowLastColumn="0"/>
            <w:tcW w:w="8847" w:type="dxa"/>
          </w:tcPr>
          <w:p w14:paraId="4645D134" w14:textId="77777777" w:rsidR="00537C94" w:rsidRPr="00A85F85" w:rsidRDefault="00537C94" w:rsidP="0069386C">
            <w:pPr>
              <w:rPr>
                <w:b w:val="0"/>
              </w:rPr>
            </w:pPr>
            <w:r w:rsidRPr="00A85F85">
              <w:rPr>
                <w:b w:val="0"/>
              </w:rPr>
              <w:t>Passenger capacity of 4,180.</w:t>
            </w:r>
          </w:p>
          <w:p w14:paraId="7F778211" w14:textId="77777777" w:rsidR="00537C94" w:rsidRPr="00A85F85" w:rsidRDefault="00537C94" w:rsidP="0069386C">
            <w:pPr>
              <w:rPr>
                <w:b w:val="0"/>
              </w:rPr>
            </w:pPr>
            <w:r w:rsidRPr="00A85F85">
              <w:rPr>
                <w:b w:val="0"/>
              </w:rPr>
              <w:t>Sum available to claimant group: 175,000 SDR x 4,180 = 731.5 million SDR (1.46 billion AUD)</w:t>
            </w:r>
          </w:p>
          <w:p w14:paraId="26C5BFA3" w14:textId="3D2E490D" w:rsidR="00537C94" w:rsidRPr="00A85F85" w:rsidRDefault="00537C94" w:rsidP="0069386C">
            <w:pPr>
              <w:pBdr>
                <w:bottom w:val="single" w:sz="4" w:space="1" w:color="auto"/>
              </w:pBdr>
              <w:spacing w:after="160" w:line="259" w:lineRule="auto"/>
              <w:jc w:val="left"/>
              <w:rPr>
                <w:b w:val="0"/>
              </w:rPr>
            </w:pPr>
            <w:r w:rsidRPr="00A85F85">
              <w:rPr>
                <w:b w:val="0"/>
              </w:rPr>
              <w:t>In the event of a fire on board or a sinking resulting in 50 passengers killed or seriously injured, 1.4</w:t>
            </w:r>
            <w:r w:rsidR="004D782E">
              <w:rPr>
                <w:b w:val="0"/>
              </w:rPr>
              <w:t>6</w:t>
            </w:r>
            <w:r w:rsidR="00C60DDE">
              <w:rPr>
                <w:b w:val="0"/>
              </w:rPr>
              <w:t> </w:t>
            </w:r>
            <w:r w:rsidRPr="00A85F85">
              <w:rPr>
                <w:b w:val="0"/>
              </w:rPr>
              <w:t xml:space="preserve">billion AUD would be available to compensate the passenger claims in full with no imposed individual limit. In this way, the LLMC 1996 Article 7 limit is more favourable to passengers – as where there are a few claims the global theoretical limit will never apply. If the ship sinks and all passengers are killed however, the limit per claim will be 175,000 SDR or 351,267 AUD. </w:t>
            </w:r>
          </w:p>
          <w:p w14:paraId="0B5594A1" w14:textId="1B9CCEFB" w:rsidR="00537C94" w:rsidRDefault="00537C94" w:rsidP="0069386C">
            <w:pPr>
              <w:pBdr>
                <w:bottom w:val="single" w:sz="4" w:space="1" w:color="auto"/>
              </w:pBdr>
              <w:spacing w:after="160" w:line="259" w:lineRule="auto"/>
              <w:jc w:val="left"/>
            </w:pPr>
            <w:r w:rsidRPr="00A85F85">
              <w:rPr>
                <w:b w:val="0"/>
              </w:rPr>
              <w:t>If, however, the Athens Convention Article 7 Tier 2 limit of 400,000 SDR was applied in a major disaster, each passenger would potentially have access to the amount of 400,000 SDR</w:t>
            </w:r>
            <w:r w:rsidR="007F1DFC">
              <w:rPr>
                <w:b w:val="0"/>
              </w:rPr>
              <w:t xml:space="preserve"> if damages were demonstrated to be greater than the Strict Liability Limit of 250,000 SDR</w:t>
            </w:r>
            <w:r w:rsidR="00EC126E">
              <w:rPr>
                <w:b w:val="0"/>
              </w:rPr>
              <w:t xml:space="preserve">. </w:t>
            </w:r>
          </w:p>
        </w:tc>
      </w:tr>
    </w:tbl>
    <w:p w14:paraId="53061188" w14:textId="77777777" w:rsidR="00537C94" w:rsidRDefault="00537C94" w:rsidP="00537C94">
      <w:pPr>
        <w:spacing w:after="160" w:line="259" w:lineRule="auto"/>
        <w:jc w:val="left"/>
      </w:pPr>
    </w:p>
    <w:p w14:paraId="730C45EB" w14:textId="3FE62AC8" w:rsidR="009205A4" w:rsidRDefault="009205A4" w:rsidP="006219B4">
      <w:pPr>
        <w:jc w:val="left"/>
      </w:pPr>
      <w:r>
        <w:t xml:space="preserve">The LLMC </w:t>
      </w:r>
      <w:r w:rsidR="005614A8">
        <w:t xml:space="preserve">Convention </w:t>
      </w:r>
      <w:r>
        <w:t xml:space="preserve">does not seek to place </w:t>
      </w:r>
      <w:r w:rsidR="005F573D">
        <w:t xml:space="preserve">liability limitations for luggage or vehicles. As such, the Athens limits for luggage and </w:t>
      </w:r>
      <w:r w:rsidR="006219B4">
        <w:t xml:space="preserve">vehicles would be adopted. The Athens 2002 protocol liability limits for loss or damage to luggage and vehicles includes 2,250 SDR for cabin luggage, 12,700 SDR for vehicles and 3, 375 SDR for other luggage. </w:t>
      </w:r>
    </w:p>
    <w:p w14:paraId="2D37AA7F" w14:textId="047BE791" w:rsidR="00537C94" w:rsidRDefault="00537C94" w:rsidP="00537C94">
      <w:pPr>
        <w:spacing w:after="160" w:line="259" w:lineRule="auto"/>
        <w:jc w:val="left"/>
      </w:pPr>
      <w:r>
        <w:t xml:space="preserve">It is important to note that the LLMC limit was set two decades ago and has not seen limits reviewed in line with Australia’s aviation sector where passenger liability limits are currently </w:t>
      </w:r>
      <w:r w:rsidRPr="00F67D07">
        <w:t>250,000 SDR</w:t>
      </w:r>
      <w:r w:rsidR="001135DC" w:rsidRPr="00F67D07">
        <w:t xml:space="preserve"> – 260,000</w:t>
      </w:r>
      <w:r w:rsidR="00562088">
        <w:t xml:space="preserve"> </w:t>
      </w:r>
      <w:r w:rsidRPr="00A426FA">
        <w:t>per</w:t>
      </w:r>
      <w:r>
        <w:t xml:space="preserve"> passenger for international travel. If LLMC limits were increased to 250,000 SDR, they would be equivalent to the compulsory tier 1 insurance in the Athens Convention. The civil aviation carriers’ liability framework is also currently under review to ensure adequacy and relevancy of the regulatory framework, including a review of limits</w:t>
      </w:r>
      <w:r>
        <w:rPr>
          <w:rStyle w:val="FootnoteReference"/>
        </w:rPr>
        <w:footnoteReference w:id="16"/>
      </w:r>
      <w:r>
        <w:t xml:space="preserve">. </w:t>
      </w:r>
    </w:p>
    <w:p w14:paraId="206F6751" w14:textId="3E6B1AF1" w:rsidR="00063446" w:rsidRDefault="00063446" w:rsidP="00537C94">
      <w:pPr>
        <w:spacing w:after="160" w:line="259" w:lineRule="auto"/>
        <w:jc w:val="left"/>
      </w:pPr>
      <w:r w:rsidRPr="00063446">
        <w:t xml:space="preserve">The Attorney-General’s Department’s Office of International Law has identified some legal risk relating to the implementation of this option.  While the Office stated the option is consistent with Article 7(2) of the Athens Convention, which requires that any liability limit should not be lower than the limits in the convention, the view could be taken that it sets a limitation on compensation.  If any future </w:t>
      </w:r>
      <w:r w:rsidR="00DB61C5">
        <w:t>re-</w:t>
      </w:r>
      <w:r w:rsidRPr="00063446">
        <w:t>evaluation of acceding to the Athens Convention is undertaken, there would be a need to revisit this option to consider how that risk may be reduced</w:t>
      </w:r>
      <w:r w:rsidR="00DB61C5">
        <w:t xml:space="preserve"> in the design of its implementation</w:t>
      </w:r>
      <w:r w:rsidRPr="00063446">
        <w:t>.</w:t>
      </w:r>
    </w:p>
    <w:p w14:paraId="4B94A21A" w14:textId="77777777" w:rsidR="00537C94" w:rsidRDefault="00537C94" w:rsidP="00537C94">
      <w:pPr>
        <w:pStyle w:val="Heading2"/>
        <w:jc w:val="both"/>
      </w:pPr>
      <w:bookmarkStart w:id="58" w:name="_Toc34657065"/>
      <w:bookmarkStart w:id="59" w:name="_Toc44659915"/>
      <w:r>
        <w:t>Option 2 Summary</w:t>
      </w:r>
      <w:bookmarkEnd w:id="58"/>
      <w:bookmarkEnd w:id="59"/>
    </w:p>
    <w:p w14:paraId="201BA2BA" w14:textId="226F0355" w:rsidR="00537C94" w:rsidRDefault="00791277" w:rsidP="00537C94">
      <w:pPr>
        <w:spacing w:after="160" w:line="259" w:lineRule="auto"/>
        <w:jc w:val="left"/>
      </w:pPr>
      <w:r w:rsidRPr="00791277">
        <w:t xml:space="preserve">The option of retaining the 1996 LLMC global limits and opting out of Athens limits means that the ‘occasional’ death or injury would not be subject to any limit, other than the maximum limit for the ship (i.e. licenced passenger capacity x 175,000 SDR). </w:t>
      </w:r>
      <w:r w:rsidR="00A51994">
        <w:t>In most cases, t</w:t>
      </w:r>
      <w:r w:rsidRPr="00791277">
        <w:t xml:space="preserve">his would provide greater access to </w:t>
      </w:r>
      <w:r w:rsidR="00A51994">
        <w:t xml:space="preserve">compensation </w:t>
      </w:r>
      <w:r w:rsidRPr="00791277">
        <w:t xml:space="preserve">for passengers. Without opting out of Athens, </w:t>
      </w:r>
      <w:r w:rsidR="007E6D7C">
        <w:t xml:space="preserve">liability would be capped at </w:t>
      </w:r>
      <w:r w:rsidRPr="00791277">
        <w:t xml:space="preserve">a maximum of 400,000 SDR </w:t>
      </w:r>
      <w:r w:rsidR="007E6D7C">
        <w:t xml:space="preserve">per person on each distinct occasion </w:t>
      </w:r>
      <w:r w:rsidRPr="00791277">
        <w:t>regardless of the number of impacted passengers.</w:t>
      </w:r>
      <w:r w:rsidR="00537C94">
        <w:t xml:space="preserve"> </w:t>
      </w:r>
    </w:p>
    <w:p w14:paraId="5F3E86E5" w14:textId="77777777" w:rsidR="00537C94" w:rsidRDefault="00537C94" w:rsidP="00537C94">
      <w:pPr>
        <w:spacing w:after="160" w:line="259" w:lineRule="auto"/>
        <w:jc w:val="left"/>
        <w:rPr>
          <w:b/>
          <w:bCs/>
          <w:i/>
          <w:iCs/>
        </w:rPr>
      </w:pPr>
      <w:r w:rsidRPr="00F50C7B">
        <w:rPr>
          <w:b/>
          <w:bCs/>
          <w:i/>
          <w:iCs/>
        </w:rPr>
        <w:t>Positives</w:t>
      </w:r>
    </w:p>
    <w:p w14:paraId="7CC9EA69" w14:textId="77777777" w:rsidR="00537C94" w:rsidRDefault="00537C94" w:rsidP="00160A48">
      <w:pPr>
        <w:pStyle w:val="ListParagraph"/>
        <w:numPr>
          <w:ilvl w:val="0"/>
          <w:numId w:val="4"/>
        </w:numPr>
        <w:spacing w:after="160" w:line="259" w:lineRule="auto"/>
        <w:jc w:val="left"/>
      </w:pPr>
      <w:r>
        <w:t xml:space="preserve">Greater access to funds if an incident results in the occasional casualty. </w:t>
      </w:r>
    </w:p>
    <w:p w14:paraId="6932BB93" w14:textId="77777777" w:rsidR="00537C94" w:rsidRDefault="00537C94" w:rsidP="00160A48">
      <w:pPr>
        <w:pStyle w:val="ListParagraph"/>
        <w:numPr>
          <w:ilvl w:val="0"/>
          <w:numId w:val="4"/>
        </w:numPr>
        <w:spacing w:after="160" w:line="259" w:lineRule="auto"/>
        <w:jc w:val="left"/>
      </w:pPr>
      <w:r>
        <w:t>Compulsory passenger liability insurance.</w:t>
      </w:r>
    </w:p>
    <w:p w14:paraId="3673278A" w14:textId="77777777" w:rsidR="00537C94" w:rsidRPr="00F50C7B" w:rsidRDefault="00537C94" w:rsidP="00537C94">
      <w:pPr>
        <w:spacing w:after="160" w:line="259" w:lineRule="auto"/>
        <w:jc w:val="left"/>
        <w:rPr>
          <w:b/>
          <w:bCs/>
          <w:i/>
          <w:iCs/>
        </w:rPr>
      </w:pPr>
      <w:r w:rsidRPr="00F50C7B">
        <w:rPr>
          <w:b/>
          <w:bCs/>
          <w:i/>
          <w:iCs/>
        </w:rPr>
        <w:t>Constraints and challenges</w:t>
      </w:r>
    </w:p>
    <w:p w14:paraId="7AC0B79D" w14:textId="55A21164" w:rsidR="00537C94" w:rsidRDefault="00537C94" w:rsidP="00160A48">
      <w:pPr>
        <w:pStyle w:val="ListParagraph"/>
        <w:numPr>
          <w:ilvl w:val="0"/>
          <w:numId w:val="10"/>
        </w:numPr>
        <w:spacing w:after="160" w:line="259" w:lineRule="auto"/>
        <w:jc w:val="left"/>
      </w:pPr>
      <w:r>
        <w:t xml:space="preserve">The </w:t>
      </w:r>
      <w:r w:rsidR="005D235C">
        <w:t xml:space="preserve">global </w:t>
      </w:r>
      <w:r>
        <w:t xml:space="preserve">limits under Article 7 of LLMC </w:t>
      </w:r>
      <w:r w:rsidR="00F94868">
        <w:t xml:space="preserve">are </w:t>
      </w:r>
      <w:r>
        <w:t>175,000 SDR</w:t>
      </w:r>
      <w:r w:rsidR="00D27D55">
        <w:t xml:space="preserve"> </w:t>
      </w:r>
      <w:r w:rsidR="005D235C">
        <w:t>multiplied by the capacity of the ship</w:t>
      </w:r>
      <w:r>
        <w:t xml:space="preserve">. </w:t>
      </w:r>
    </w:p>
    <w:p w14:paraId="4E51041C" w14:textId="3AC31969" w:rsidR="00537C94" w:rsidRDefault="00537C94" w:rsidP="00160A48">
      <w:pPr>
        <w:pStyle w:val="ListParagraph"/>
        <w:numPr>
          <w:ilvl w:val="0"/>
          <w:numId w:val="10"/>
        </w:numPr>
        <w:spacing w:line="264" w:lineRule="auto"/>
        <w:jc w:val="left"/>
      </w:pPr>
      <w:r>
        <w:t xml:space="preserve">The shift of the burden of proof from the claimant (status quo) to the cruise operator (under Athens) may lead to a greater number of opportunist claims being brought against the cruise operator and greater time costs associated with managing the increase in claims. </w:t>
      </w:r>
      <w:r w:rsidR="004F1DA0">
        <w:t xml:space="preserve">However, this is only possible in relation to shipping incidents. </w:t>
      </w:r>
    </w:p>
    <w:tbl>
      <w:tblPr>
        <w:tblStyle w:val="GridTable4-Accent6"/>
        <w:tblW w:w="0" w:type="auto"/>
        <w:tblLook w:val="04A0" w:firstRow="1" w:lastRow="0" w:firstColumn="1" w:lastColumn="0" w:noHBand="0" w:noVBand="1"/>
      </w:tblPr>
      <w:tblGrid>
        <w:gridCol w:w="9016"/>
      </w:tblGrid>
      <w:tr w:rsidR="00A85F85" w14:paraId="3D692A7B" w14:textId="77777777" w:rsidTr="00387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0321C02" w14:textId="3BE20420" w:rsidR="00A85F85" w:rsidRPr="00A85F85" w:rsidRDefault="00A85F85" w:rsidP="00A85F85">
            <w:pPr>
              <w:spacing w:before="240"/>
              <w:jc w:val="left"/>
              <w:rPr>
                <w:color w:val="auto"/>
                <w:sz w:val="24"/>
                <w:szCs w:val="24"/>
              </w:rPr>
            </w:pPr>
            <w:r w:rsidRPr="00A85F85">
              <w:rPr>
                <w:noProof/>
                <w:color w:val="FFFFFF" w:themeColor="background1"/>
                <w:szCs w:val="20"/>
              </w:rPr>
              <w:drawing>
                <wp:anchor distT="0" distB="0" distL="114300" distR="114300" simplePos="0" relativeHeight="251658249" behindDoc="0" locked="0" layoutInCell="1" allowOverlap="1" wp14:anchorId="09750E8C" wp14:editId="30072452">
                  <wp:simplePos x="0" y="0"/>
                  <wp:positionH relativeFrom="margin">
                    <wp:posOffset>5143500</wp:posOffset>
                  </wp:positionH>
                  <wp:positionV relativeFrom="paragraph">
                    <wp:posOffset>-15240</wp:posOffset>
                  </wp:positionV>
                  <wp:extent cx="400050" cy="400050"/>
                  <wp:effectExtent l="0" t="0" r="0" b="0"/>
                  <wp:wrapNone/>
                  <wp:docPr id="24" name="Graphic 24"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withgears.svg"/>
                          <pic:cNvPicPr/>
                        </pic:nvPicPr>
                        <pic:blipFill>
                          <a:blip r:embed="rId1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Pr="00A85F85">
              <w:rPr>
                <w:color w:val="FFFFFF" w:themeColor="background1"/>
                <w:sz w:val="24"/>
                <w:szCs w:val="24"/>
              </w:rPr>
              <w:t>Key Points from Impact Analysis</w:t>
            </w:r>
          </w:p>
        </w:tc>
      </w:tr>
      <w:tr w:rsidR="00A85F85" w14:paraId="49832237" w14:textId="77777777" w:rsidTr="00387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9C57A8D" w14:textId="77777777" w:rsidR="00A85F85" w:rsidRDefault="00A85F85" w:rsidP="00A85F85">
            <w:pPr>
              <w:jc w:val="left"/>
            </w:pPr>
          </w:p>
          <w:p w14:paraId="7CF694C6" w14:textId="508D3A26" w:rsidR="00A85F85" w:rsidRPr="00A85F85" w:rsidRDefault="007042AC" w:rsidP="00A85F85">
            <w:pPr>
              <w:jc w:val="left"/>
              <w:rPr>
                <w:b w:val="0"/>
                <w:bCs w:val="0"/>
              </w:rPr>
            </w:pPr>
            <w:r>
              <w:rPr>
                <w:b w:val="0"/>
                <w:bCs w:val="0"/>
              </w:rPr>
              <w:t>Under O</w:t>
            </w:r>
            <w:r w:rsidR="00A85F85" w:rsidRPr="00A85F85">
              <w:rPr>
                <w:b w:val="0"/>
                <w:bCs w:val="0"/>
              </w:rPr>
              <w:t xml:space="preserve">ption 2 it would become mandatory for a cruise company to take out insurance. Currently, </w:t>
            </w:r>
            <w:r w:rsidR="00A85F85" w:rsidRPr="00444DE9">
              <w:t>insurance is not mandatory</w:t>
            </w:r>
            <w:r w:rsidR="00A85F85" w:rsidRPr="00A85F85">
              <w:rPr>
                <w:b w:val="0"/>
                <w:bCs w:val="0"/>
              </w:rPr>
              <w:t xml:space="preserve">, and </w:t>
            </w:r>
            <w:r w:rsidR="00A85F85" w:rsidRPr="00444DE9">
              <w:t>no minimum limit</w:t>
            </w:r>
            <w:r w:rsidR="00A85F85" w:rsidRPr="00A85F85">
              <w:rPr>
                <w:b w:val="0"/>
                <w:bCs w:val="0"/>
              </w:rPr>
              <w:t xml:space="preserve"> is required. Companies which do not currently hold insurance (expected to be &lt;10% of the market</w:t>
            </w:r>
            <w:r w:rsidR="00BA6892">
              <w:rPr>
                <w:b w:val="0"/>
                <w:bCs w:val="0"/>
              </w:rPr>
              <w:t>, see footnote 23</w:t>
            </w:r>
            <w:r w:rsidR="00A85F85" w:rsidRPr="00A85F85">
              <w:rPr>
                <w:b w:val="0"/>
                <w:bCs w:val="0"/>
              </w:rPr>
              <w:t xml:space="preserve">) would be required to obtain </w:t>
            </w:r>
            <w:r w:rsidR="00563F3B">
              <w:rPr>
                <w:b w:val="0"/>
                <w:bCs w:val="0"/>
              </w:rPr>
              <w:t>insurance</w:t>
            </w:r>
            <w:r w:rsidR="00A85F85" w:rsidRPr="00A85F85">
              <w:rPr>
                <w:b w:val="0"/>
                <w:bCs w:val="0"/>
              </w:rPr>
              <w:t>. It is expected that these additional costs would ultimately be passed onto passengers or absorbed by the cruise company. The increase is not estimated to be large in relation to a cruise company’s operating costs, nor represent a large increase i</w:t>
            </w:r>
            <w:r>
              <w:rPr>
                <w:b w:val="0"/>
                <w:bCs w:val="0"/>
              </w:rPr>
              <w:t>n the passenger fare price. As O</w:t>
            </w:r>
            <w:r w:rsidR="00A85F85" w:rsidRPr="00A85F85">
              <w:rPr>
                <w:b w:val="0"/>
                <w:bCs w:val="0"/>
              </w:rPr>
              <w:t xml:space="preserve">ption 2 </w:t>
            </w:r>
            <w:r w:rsidR="00F40F46">
              <w:rPr>
                <w:b w:val="0"/>
                <w:bCs w:val="0"/>
              </w:rPr>
              <w:t>accedes to</w:t>
            </w:r>
            <w:r w:rsidR="00A85F85" w:rsidRPr="00A85F85">
              <w:rPr>
                <w:b w:val="0"/>
                <w:bCs w:val="0"/>
              </w:rPr>
              <w:t xml:space="preserve"> the Athens Convention, insurance companies would have more examples from other countries to provide accurate estimates and lawyers would have more information to advise claimants.  </w:t>
            </w:r>
          </w:p>
          <w:p w14:paraId="1AB65888" w14:textId="3BFB46EB" w:rsidR="00A85F85" w:rsidRPr="00A85F85" w:rsidRDefault="00A85F85" w:rsidP="00A85F85">
            <w:pPr>
              <w:jc w:val="left"/>
              <w:rPr>
                <w:b w:val="0"/>
                <w:bCs w:val="0"/>
              </w:rPr>
            </w:pPr>
            <w:r w:rsidRPr="00F52E9A">
              <w:rPr>
                <w:b w:val="0"/>
                <w:bCs w:val="0"/>
              </w:rPr>
              <w:t>In</w:t>
            </w:r>
            <w:r w:rsidR="007042AC">
              <w:rPr>
                <w:b w:val="0"/>
                <w:bCs w:val="0"/>
              </w:rPr>
              <w:t xml:space="preserve"> O</w:t>
            </w:r>
            <w:r w:rsidRPr="00F52E9A">
              <w:rPr>
                <w:b w:val="0"/>
                <w:bCs w:val="0"/>
              </w:rPr>
              <w:t xml:space="preserve">ption </w:t>
            </w:r>
            <w:r w:rsidRPr="00394027">
              <w:rPr>
                <w:b w:val="0"/>
                <w:bCs w:val="0"/>
              </w:rPr>
              <w:t xml:space="preserve">2, the </w:t>
            </w:r>
            <w:r w:rsidRPr="0081433A">
              <w:t>burden of proof</w:t>
            </w:r>
            <w:r w:rsidRPr="00394027">
              <w:rPr>
                <w:b w:val="0"/>
                <w:bCs w:val="0"/>
              </w:rPr>
              <w:t xml:space="preserve"> is shifted </w:t>
            </w:r>
            <w:r w:rsidR="00286944" w:rsidRPr="00394027">
              <w:rPr>
                <w:b w:val="0"/>
                <w:bCs w:val="0"/>
              </w:rPr>
              <w:t>to</w:t>
            </w:r>
            <w:r w:rsidR="00286944">
              <w:rPr>
                <w:b w:val="0"/>
                <w:bCs w:val="0"/>
              </w:rPr>
              <w:t xml:space="preserve"> the carrier for </w:t>
            </w:r>
            <w:r w:rsidR="007060D1">
              <w:rPr>
                <w:b w:val="0"/>
                <w:bCs w:val="0"/>
              </w:rPr>
              <w:t>shipping</w:t>
            </w:r>
            <w:r w:rsidR="00286944">
              <w:rPr>
                <w:b w:val="0"/>
                <w:bCs w:val="0"/>
              </w:rPr>
              <w:t xml:space="preserve"> incidents </w:t>
            </w:r>
            <w:r w:rsidR="00A608C3">
              <w:rPr>
                <w:b w:val="0"/>
                <w:bCs w:val="0"/>
              </w:rPr>
              <w:t>where</w:t>
            </w:r>
            <w:r w:rsidRPr="00A85F85">
              <w:rPr>
                <w:b w:val="0"/>
                <w:bCs w:val="0"/>
              </w:rPr>
              <w:t xml:space="preserve"> the </w:t>
            </w:r>
            <w:r w:rsidR="00A608C3">
              <w:rPr>
                <w:b w:val="0"/>
                <w:bCs w:val="0"/>
              </w:rPr>
              <w:t>carrier</w:t>
            </w:r>
            <w:r w:rsidRPr="00A85F85">
              <w:rPr>
                <w:b w:val="0"/>
                <w:bCs w:val="0"/>
              </w:rPr>
              <w:t xml:space="preserve"> must demonstrate </w:t>
            </w:r>
            <w:r w:rsidR="007370D3">
              <w:rPr>
                <w:b w:val="0"/>
                <w:bCs w:val="0"/>
              </w:rPr>
              <w:t>they were</w:t>
            </w:r>
            <w:r w:rsidRPr="00A85F85">
              <w:rPr>
                <w:b w:val="0"/>
                <w:bCs w:val="0"/>
              </w:rPr>
              <w:t xml:space="preserve"> not negligent compared to the current state </w:t>
            </w:r>
            <w:r w:rsidR="00286944">
              <w:rPr>
                <w:b w:val="0"/>
                <w:bCs w:val="0"/>
              </w:rPr>
              <w:t>where the</w:t>
            </w:r>
            <w:r w:rsidRPr="00A85F85">
              <w:rPr>
                <w:b w:val="0"/>
                <w:bCs w:val="0"/>
              </w:rPr>
              <w:t xml:space="preserve"> passenger </w:t>
            </w:r>
            <w:r w:rsidR="00A608C3">
              <w:rPr>
                <w:b w:val="0"/>
                <w:bCs w:val="0"/>
              </w:rPr>
              <w:t>must prove the carrier was negligent.</w:t>
            </w:r>
            <w:r w:rsidRPr="00A85F85">
              <w:rPr>
                <w:b w:val="0"/>
                <w:bCs w:val="0"/>
              </w:rPr>
              <w:t xml:space="preserve"> This makes it easier for a passenger to lodge a claim and harder for</w:t>
            </w:r>
            <w:r w:rsidR="00394027">
              <w:rPr>
                <w:b w:val="0"/>
                <w:bCs w:val="0"/>
              </w:rPr>
              <w:t xml:space="preserve"> a</w:t>
            </w:r>
            <w:r w:rsidRPr="00A85F85">
              <w:rPr>
                <w:b w:val="0"/>
                <w:bCs w:val="0"/>
              </w:rPr>
              <w:t xml:space="preserve"> cruise company to gather evidence to reject a claim. This may result in more claims needing to be paid out, therefore increasing costs to cruise companies but benefiting passengers. </w:t>
            </w:r>
          </w:p>
          <w:p w14:paraId="00FA345D" w14:textId="70308891" w:rsidR="00E55296" w:rsidRPr="00E55296" w:rsidRDefault="00BA6892" w:rsidP="00E55296">
            <w:pPr>
              <w:jc w:val="left"/>
              <w:rPr>
                <w:b w:val="0"/>
                <w:bCs w:val="0"/>
              </w:rPr>
            </w:pPr>
            <w:r>
              <w:rPr>
                <w:b w:val="0"/>
                <w:bCs w:val="0"/>
              </w:rPr>
              <w:t>Under O</w:t>
            </w:r>
            <w:r w:rsidR="00E55296" w:rsidRPr="00E55296">
              <w:rPr>
                <w:b w:val="0"/>
                <w:bCs w:val="0"/>
              </w:rPr>
              <w:t xml:space="preserve">ption 2, the process for submitting a claim would follow the Athens Convention but the current limits for the amount a passenger can claim would remain the same. Therefore, there would be no change to the maximum amount a passenger could claim, but the effort involved in lodging a claim and likelihood it is approved are improved for the passenger. </w:t>
            </w:r>
          </w:p>
          <w:p w14:paraId="19B78F81" w14:textId="0BA33786" w:rsidR="00E55296" w:rsidRPr="00E55296" w:rsidRDefault="00E55296" w:rsidP="00E55296">
            <w:pPr>
              <w:jc w:val="left"/>
              <w:rPr>
                <w:b w:val="0"/>
                <w:bCs w:val="0"/>
              </w:rPr>
            </w:pPr>
            <w:r w:rsidRPr="00E55296">
              <w:rPr>
                <w:b w:val="0"/>
                <w:bCs w:val="0"/>
              </w:rPr>
              <w:t>Currently, Australian passengers on international cruise ships who pursue a claim relating to injury or luggage, can be faced with an overly complex recourse which may be different depending on the carrier, residential location of the claimant, location of the incident</w:t>
            </w:r>
            <w:r w:rsidR="00F84F61">
              <w:rPr>
                <w:b w:val="0"/>
                <w:bCs w:val="0"/>
              </w:rPr>
              <w:t xml:space="preserve"> and the terms and conditions of the contract of carriage</w:t>
            </w:r>
            <w:r w:rsidRPr="00E55296">
              <w:rPr>
                <w:b w:val="0"/>
                <w:bCs w:val="0"/>
              </w:rPr>
              <w:t>.</w:t>
            </w:r>
            <w:r w:rsidR="006F7B9E">
              <w:rPr>
                <w:b w:val="0"/>
                <w:bCs w:val="0"/>
              </w:rPr>
              <w:t xml:space="preserve"> Where the Athens Convention applies</w:t>
            </w:r>
            <w:r w:rsidR="005D235C">
              <w:rPr>
                <w:b w:val="0"/>
                <w:bCs w:val="0"/>
              </w:rPr>
              <w:t>,</w:t>
            </w:r>
            <w:r w:rsidRPr="00E55296">
              <w:rPr>
                <w:b w:val="0"/>
                <w:bCs w:val="0"/>
              </w:rPr>
              <w:t xml:space="preserve"> Option 2 provides uniformity in the claims process, providing equity to passengers and potentially increasing demand from a perceived easier claims system. </w:t>
            </w:r>
          </w:p>
          <w:p w14:paraId="068F7B8A" w14:textId="655DE562" w:rsidR="00A85F85" w:rsidRPr="002954F1" w:rsidRDefault="00BA6892" w:rsidP="002954F1">
            <w:pPr>
              <w:jc w:val="left"/>
              <w:rPr>
                <w:b w:val="0"/>
                <w:bCs w:val="0"/>
              </w:rPr>
            </w:pPr>
            <w:r>
              <w:rPr>
                <w:b w:val="0"/>
                <w:bCs w:val="0"/>
              </w:rPr>
              <w:t>In summary, implementing O</w:t>
            </w:r>
            <w:r w:rsidR="00E55296" w:rsidRPr="00E55296">
              <w:rPr>
                <w:b w:val="0"/>
                <w:bCs w:val="0"/>
              </w:rPr>
              <w:t>ption 2 would be likely to increase costs for cruise companies which do not currently hold insurance and could lead to more claims being paid out. Passengers would benefit from an easier and consistent process to lodge a claim, but with the same upper limits awarded as currently.</w:t>
            </w:r>
            <w:r w:rsidR="002954F1">
              <w:rPr>
                <w:b w:val="0"/>
                <w:bCs w:val="0"/>
              </w:rPr>
              <w:t xml:space="preserve"> </w:t>
            </w:r>
          </w:p>
        </w:tc>
      </w:tr>
    </w:tbl>
    <w:p w14:paraId="0498E9FA" w14:textId="43A2E436" w:rsidR="00A85F85" w:rsidRDefault="00A85F85" w:rsidP="00764AE3">
      <w:pPr>
        <w:spacing w:line="264" w:lineRule="auto"/>
        <w:jc w:val="left"/>
      </w:pPr>
    </w:p>
    <w:p w14:paraId="484AA9A1" w14:textId="748D48FF" w:rsidR="00A85F85" w:rsidRDefault="00A85F85" w:rsidP="00764AE3">
      <w:pPr>
        <w:spacing w:line="264" w:lineRule="auto"/>
        <w:jc w:val="left"/>
      </w:pPr>
    </w:p>
    <w:p w14:paraId="059FE75F" w14:textId="0CA0B7CB" w:rsidR="00764AE3" w:rsidRDefault="00764AE3" w:rsidP="00764AE3">
      <w:pPr>
        <w:spacing w:line="264" w:lineRule="auto"/>
        <w:jc w:val="left"/>
      </w:pPr>
    </w:p>
    <w:p w14:paraId="6FB8B9DE" w14:textId="07D263A0" w:rsidR="00764AE3" w:rsidRDefault="00764AE3" w:rsidP="00764AE3">
      <w:pPr>
        <w:spacing w:line="264" w:lineRule="auto"/>
        <w:jc w:val="left"/>
      </w:pPr>
    </w:p>
    <w:p w14:paraId="791FAD06" w14:textId="08B10D9C" w:rsidR="00764AE3" w:rsidRDefault="00764AE3" w:rsidP="00764AE3">
      <w:pPr>
        <w:spacing w:line="264" w:lineRule="auto"/>
        <w:jc w:val="left"/>
      </w:pPr>
    </w:p>
    <w:p w14:paraId="0F653E75" w14:textId="50AB654F" w:rsidR="00764AE3" w:rsidRDefault="00764AE3" w:rsidP="00764AE3">
      <w:pPr>
        <w:spacing w:line="264" w:lineRule="auto"/>
        <w:jc w:val="left"/>
      </w:pPr>
    </w:p>
    <w:p w14:paraId="0A16A1A4" w14:textId="671E3666" w:rsidR="00764AE3" w:rsidRDefault="00764AE3" w:rsidP="00764AE3">
      <w:pPr>
        <w:spacing w:line="264" w:lineRule="auto"/>
        <w:jc w:val="left"/>
      </w:pPr>
    </w:p>
    <w:p w14:paraId="15178C9A" w14:textId="3505EBBC" w:rsidR="00537C94" w:rsidRDefault="00537C94" w:rsidP="00D26CA3">
      <w:pPr>
        <w:spacing w:after="160" w:line="259" w:lineRule="auto"/>
        <w:jc w:val="left"/>
      </w:pPr>
    </w:p>
    <w:p w14:paraId="4379AF09" w14:textId="3C329429" w:rsidR="00537C94" w:rsidRDefault="00537C94" w:rsidP="00537C94">
      <w:pPr>
        <w:spacing w:after="160" w:line="259" w:lineRule="auto"/>
        <w:ind w:left="360"/>
        <w:jc w:val="left"/>
      </w:pPr>
    </w:p>
    <w:p w14:paraId="2E3CC3DD" w14:textId="77777777" w:rsidR="00537C94" w:rsidRDefault="00537C94" w:rsidP="00537C94">
      <w:pPr>
        <w:pStyle w:val="Heading1"/>
        <w:jc w:val="both"/>
      </w:pPr>
      <w:bookmarkStart w:id="60" w:name="_Toc34657066"/>
      <w:bookmarkStart w:id="61" w:name="_Toc44659916"/>
      <w:r>
        <w:t xml:space="preserve">Option 3: </w:t>
      </w:r>
      <w:r w:rsidRPr="0068428F">
        <w:t xml:space="preserve">Accede to Athens </w:t>
      </w:r>
      <w:r>
        <w:t>with two variations on limits</w:t>
      </w:r>
      <w:bookmarkEnd w:id="60"/>
      <w:bookmarkEnd w:id="61"/>
    </w:p>
    <w:p w14:paraId="6C32B5B9" w14:textId="7A846913" w:rsidR="00537C94" w:rsidRPr="00CA6799" w:rsidRDefault="00590DE3" w:rsidP="00537C94">
      <w:r w:rsidRPr="00590DE3">
        <w:t>Option three considers two variations, both involving accession to the Athens Convention but with variations in the upper limit of liability. Feedback from stakeholders suggests that this needs to be considered against the likelihood of catastrophic incidents where the existing upper limit may not prove sufficient to cover all damages</w:t>
      </w:r>
      <w:r w:rsidR="00537C94">
        <w:t xml:space="preserve">. </w:t>
      </w:r>
    </w:p>
    <w:p w14:paraId="70725C23" w14:textId="45B3FBBF" w:rsidR="00537C94" w:rsidRPr="009375BE" w:rsidRDefault="00537C94" w:rsidP="00537C94">
      <w:pPr>
        <w:pStyle w:val="Heading2"/>
        <w:jc w:val="both"/>
      </w:pPr>
      <w:bookmarkStart w:id="62" w:name="_Toc31119161"/>
      <w:bookmarkStart w:id="63" w:name="_Toc34657067"/>
      <w:bookmarkStart w:id="64" w:name="_Toc44659917"/>
      <w:r>
        <w:t>Option 3a – Athens Tier 1 limits</w:t>
      </w:r>
      <w:r w:rsidR="00590DE3">
        <w:t xml:space="preserve"> (strict liability)</w:t>
      </w:r>
      <w:r>
        <w:t xml:space="preserve"> with Athens Tier 2 Limits</w:t>
      </w:r>
      <w:bookmarkEnd w:id="62"/>
      <w:bookmarkEnd w:id="63"/>
      <w:r w:rsidR="00EC4A25">
        <w:t xml:space="preserve"> (upper limit)</w:t>
      </w:r>
      <w:bookmarkEnd w:id="64"/>
    </w:p>
    <w:p w14:paraId="6E459423" w14:textId="486244CE" w:rsidR="00537C94" w:rsidRDefault="00537C94" w:rsidP="00537C94">
      <w:pPr>
        <w:jc w:val="left"/>
      </w:pPr>
      <w:r w:rsidRPr="007F20E8">
        <w:t xml:space="preserve">For death and personal injury claims, </w:t>
      </w:r>
      <w:r>
        <w:t>the Athens 2002 protocol</w:t>
      </w:r>
      <w:r w:rsidR="00AF0FBA">
        <w:t xml:space="preserve"> provides a strict liability</w:t>
      </w:r>
      <w:r>
        <w:t xml:space="preserve"> </w:t>
      </w:r>
      <w:r w:rsidRPr="007F20E8">
        <w:t xml:space="preserve">limit </w:t>
      </w:r>
      <w:r w:rsidR="00AF0FBA">
        <w:t>of</w:t>
      </w:r>
      <w:r w:rsidRPr="007F20E8">
        <w:t xml:space="preserve"> 250,000 </w:t>
      </w:r>
      <w:r>
        <w:t xml:space="preserve">SDR </w:t>
      </w:r>
      <w:r w:rsidRPr="007F20E8">
        <w:t xml:space="preserve">per passenger on each distinct occasion. If the loss exceeds the limit, the carrier is further liable up to an overall maximum limit of 400,000 </w:t>
      </w:r>
      <w:r>
        <w:t xml:space="preserve">SDR </w:t>
      </w:r>
      <w:r w:rsidRPr="007F20E8">
        <w:t xml:space="preserve">per passenger unless the carrier shows that the incident which caused the loss occurred without </w:t>
      </w:r>
      <w:r>
        <w:t>the operator’s</w:t>
      </w:r>
      <w:r w:rsidRPr="007F20E8">
        <w:t xml:space="preserve"> (or </w:t>
      </w:r>
      <w:r>
        <w:t>their</w:t>
      </w:r>
      <w:r w:rsidRPr="007F20E8">
        <w:t xml:space="preserve"> servants’) fault or neglect.</w:t>
      </w:r>
      <w:r>
        <w:t xml:space="preserve"> However, compulsory insurance is only required for the tier 1 limit of SDR 250,000. </w:t>
      </w:r>
    </w:p>
    <w:p w14:paraId="7E50F26E" w14:textId="1816F429" w:rsidR="00537C94" w:rsidRDefault="00537C94" w:rsidP="00537C94">
      <w:pPr>
        <w:jc w:val="left"/>
      </w:pPr>
      <w:r>
        <w:t xml:space="preserve">The Athens 2002 </w:t>
      </w:r>
      <w:r w:rsidR="0083307A">
        <w:t>protocol also</w:t>
      </w:r>
      <w:r>
        <w:t xml:space="preserve"> includes liability limits for loss or damage to luggage and vehicles which includes 2,250 SDR for cabin luggage, 12,700 SDR </w:t>
      </w:r>
      <w:r w:rsidR="00BA6892">
        <w:t>for vehicles and 3,</w:t>
      </w:r>
      <w:r>
        <w:t xml:space="preserve">375 SDR for other luggage. </w:t>
      </w:r>
    </w:p>
    <w:p w14:paraId="02715F93" w14:textId="77777777" w:rsidR="00537C94" w:rsidRDefault="00537C94" w:rsidP="00537C94">
      <w:pPr>
        <w:pStyle w:val="ListParagraph"/>
        <w:jc w:val="left"/>
      </w:pPr>
    </w:p>
    <w:p w14:paraId="526C3662" w14:textId="77777777" w:rsidR="00537C94" w:rsidRDefault="00537C94" w:rsidP="00537C94">
      <w:pPr>
        <w:pStyle w:val="Heading3"/>
        <w:jc w:val="both"/>
      </w:pPr>
      <w:bookmarkStart w:id="65" w:name="_Toc31119162"/>
      <w:bookmarkStart w:id="66" w:name="_Toc34657068"/>
      <w:bookmarkStart w:id="67" w:name="_Toc44659918"/>
      <w:r>
        <w:t>Strict Liability (Art.3)</w:t>
      </w:r>
      <w:bookmarkEnd w:id="65"/>
      <w:bookmarkEnd w:id="66"/>
      <w:bookmarkEnd w:id="67"/>
    </w:p>
    <w:p w14:paraId="1C6F3F59" w14:textId="15FCCBCC" w:rsidR="00537C94" w:rsidRDefault="00537C94" w:rsidP="00537C94">
      <w:pPr>
        <w:jc w:val="left"/>
      </w:pPr>
      <w:r>
        <w:t xml:space="preserve">In relation to </w:t>
      </w:r>
      <w:r w:rsidR="007060D1">
        <w:t xml:space="preserve">shipping </w:t>
      </w:r>
      <w:r>
        <w:t xml:space="preserve">incidents, the fault-based regime under the Athens Convention 1974 </w:t>
      </w:r>
      <w:r w:rsidR="00593885">
        <w:t>would be</w:t>
      </w:r>
      <w:r>
        <w:t xml:space="preserve"> replaced with strict liability, but there are two tiers to the liability:</w:t>
      </w:r>
    </w:p>
    <w:p w14:paraId="72DDF978" w14:textId="29C34B4A" w:rsidR="00537C94" w:rsidRPr="00F03F9D" w:rsidRDefault="0057185A" w:rsidP="00160A48">
      <w:pPr>
        <w:pStyle w:val="ListParagraph"/>
        <w:numPr>
          <w:ilvl w:val="0"/>
          <w:numId w:val="13"/>
        </w:numPr>
        <w:spacing w:line="264" w:lineRule="auto"/>
        <w:jc w:val="left"/>
        <w:rPr>
          <w:color w:val="auto"/>
        </w:rPr>
      </w:pPr>
      <w:r w:rsidRPr="00F03F9D">
        <w:rPr>
          <w:color w:val="auto"/>
        </w:rPr>
        <w:t>Strict Liability limit</w:t>
      </w:r>
      <w:r w:rsidR="00537C94" w:rsidRPr="00F03F9D">
        <w:rPr>
          <w:color w:val="auto"/>
        </w:rPr>
        <w:t xml:space="preserve"> 250,000 SDR (also referred to as Tier 1) </w:t>
      </w:r>
    </w:p>
    <w:p w14:paraId="48B85D04" w14:textId="1AC72450" w:rsidR="00537C94" w:rsidRPr="00F03F9D" w:rsidRDefault="0057185A" w:rsidP="00160A48">
      <w:pPr>
        <w:pStyle w:val="ListParagraph"/>
        <w:numPr>
          <w:ilvl w:val="0"/>
          <w:numId w:val="13"/>
        </w:numPr>
        <w:spacing w:line="264" w:lineRule="auto"/>
        <w:jc w:val="left"/>
        <w:rPr>
          <w:color w:val="auto"/>
        </w:rPr>
      </w:pPr>
      <w:r w:rsidRPr="00F03F9D">
        <w:rPr>
          <w:color w:val="auto"/>
        </w:rPr>
        <w:t>Upper limit</w:t>
      </w:r>
      <w:r w:rsidR="00537C94" w:rsidRPr="00F03F9D">
        <w:rPr>
          <w:color w:val="auto"/>
        </w:rPr>
        <w:t xml:space="preserve"> 400,000 SDR (also referred to as Tier 2)</w:t>
      </w:r>
    </w:p>
    <w:p w14:paraId="63D535FF" w14:textId="700DA358" w:rsidR="00537C94" w:rsidRDefault="00537C94" w:rsidP="007607CB">
      <w:pPr>
        <w:jc w:val="left"/>
      </w:pPr>
      <w:r>
        <w:t xml:space="preserve">Tier 1 - the carrier is strictly liable up to the set limit (250,000 SDR) unless the carrier can prove that the accident was caused by (a) a natural phenomenon, act of war, hostilities or insurrection; or (b) by a third party with intent to cause the incident (such as a terrorist act). </w:t>
      </w:r>
      <w:r w:rsidR="00D27EE5" w:rsidRPr="00D27EE5">
        <w:t xml:space="preserve">If and to the extent that the loss exceeds the above limit, the carrier </w:t>
      </w:r>
      <w:r w:rsidR="00D27EE5">
        <w:t>is</w:t>
      </w:r>
      <w:r w:rsidR="00D27EE5" w:rsidRPr="00D27EE5">
        <w:t xml:space="preserve"> further liable</w:t>
      </w:r>
      <w:r w:rsidR="00D27EE5">
        <w:t xml:space="preserve">, up to 400,000 SDR, (Tier 2) </w:t>
      </w:r>
      <w:r w:rsidR="00D27EE5" w:rsidRPr="00D27EE5">
        <w:t>unless the carrier proves that the incident which caused the loss occurred without the fault or neglect of the carrier</w:t>
      </w:r>
      <w:r>
        <w:t xml:space="preserve"> (Article 3(1) of the Athens Convention). Non shipping-related incidents are not covered</w:t>
      </w:r>
      <w:r w:rsidR="00ED15BE">
        <w:t xml:space="preserve"> by strict liability</w:t>
      </w:r>
      <w:r>
        <w:t xml:space="preserve">, meaning a claimant would still have to prove that the carrier was at fault in such an incident. </w:t>
      </w:r>
    </w:p>
    <w:p w14:paraId="058565C9" w14:textId="77777777" w:rsidR="00537C94" w:rsidRDefault="00537C94" w:rsidP="007607CB">
      <w:pPr>
        <w:jc w:val="left"/>
      </w:pPr>
      <w:r>
        <w:t xml:space="preserve">Importantly, and one of the key benefits of acceding to the Athens Convention 2002 is that carriers must have financial security to cover death or personal injury for 250,000 SDR per passenger, whereas under the status quo, insurance for passenger liability is not compulsory. </w:t>
      </w:r>
    </w:p>
    <w:p w14:paraId="699E83F1" w14:textId="77777777" w:rsidR="00537C94" w:rsidRDefault="00537C94" w:rsidP="007607CB">
      <w:pPr>
        <w:jc w:val="left"/>
      </w:pPr>
      <w:r>
        <w:t xml:space="preserve">The tables on the next page compare liability scenarios across a variety of cruise ships that routinely travel to and from Australian ports. </w:t>
      </w:r>
    </w:p>
    <w:p w14:paraId="0138B009" w14:textId="77777777" w:rsidR="00537C94" w:rsidRDefault="00537C94" w:rsidP="007607CB">
      <w:pPr>
        <w:jc w:val="left"/>
      </w:pPr>
    </w:p>
    <w:p w14:paraId="76C609EE" w14:textId="77777777" w:rsidR="00537C94" w:rsidRDefault="00537C94" w:rsidP="007607CB">
      <w:pPr>
        <w:jc w:val="left"/>
      </w:pPr>
    </w:p>
    <w:p w14:paraId="2677E64D" w14:textId="77777777" w:rsidR="00537C94" w:rsidRDefault="00537C94" w:rsidP="00537C94"/>
    <w:p w14:paraId="60CADA22" w14:textId="77777777" w:rsidR="00537C94" w:rsidRDefault="00537C94" w:rsidP="00537C94"/>
    <w:p w14:paraId="611F331A" w14:textId="77777777" w:rsidR="00537C94" w:rsidRDefault="00537C94" w:rsidP="00537C94"/>
    <w:p w14:paraId="04F843BE" w14:textId="77777777" w:rsidR="00537C94" w:rsidRDefault="00537C94" w:rsidP="00537C94"/>
    <w:p w14:paraId="434B7497" w14:textId="77777777" w:rsidR="00537C94" w:rsidRDefault="00537C94" w:rsidP="00537C94">
      <w:pPr>
        <w:jc w:val="left"/>
      </w:pPr>
    </w:p>
    <w:p w14:paraId="40C490E8" w14:textId="3DDCB459" w:rsidR="00537C94" w:rsidRDefault="00537C94" w:rsidP="00554E02">
      <w:pPr>
        <w:pStyle w:val="Caption"/>
      </w:pPr>
      <w:bookmarkStart w:id="68" w:name="_Ref36557826"/>
      <w:bookmarkStart w:id="69" w:name="_Toc36560348"/>
      <w:r>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1</w:t>
      </w:r>
      <w:r w:rsidR="00B435A7">
        <w:rPr>
          <w:noProof/>
        </w:rPr>
        <w:fldChar w:fldCharType="end"/>
      </w:r>
      <w:r w:rsidR="00554E02" w:rsidRPr="00027F78">
        <w:t>:</w:t>
      </w:r>
      <w:r>
        <w:t xml:space="preserve"> Scenarios per person liability</w:t>
      </w:r>
      <w:bookmarkEnd w:id="68"/>
      <w:bookmarkEnd w:id="69"/>
    </w:p>
    <w:tbl>
      <w:tblPr>
        <w:tblStyle w:val="GridTable6Colorful-Accent4"/>
        <w:tblpPr w:leftFromText="180" w:rightFromText="180" w:vertAnchor="text" w:tblpY="1"/>
        <w:tblW w:w="0" w:type="auto"/>
        <w:tblLook w:val="04A0" w:firstRow="1" w:lastRow="0" w:firstColumn="1" w:lastColumn="0" w:noHBand="0" w:noVBand="1"/>
      </w:tblPr>
      <w:tblGrid>
        <w:gridCol w:w="1786"/>
        <w:gridCol w:w="982"/>
        <w:gridCol w:w="670"/>
        <w:gridCol w:w="1610"/>
        <w:gridCol w:w="1791"/>
        <w:gridCol w:w="1790"/>
      </w:tblGrid>
      <w:tr w:rsidR="00537C94" w14:paraId="2319A19F" w14:textId="77777777" w:rsidTr="002820A9">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786" w:type="dxa"/>
          </w:tcPr>
          <w:p w14:paraId="4FF7FC22" w14:textId="77777777" w:rsidR="00537C94" w:rsidRPr="00C344C5" w:rsidRDefault="00537C94" w:rsidP="0069386C">
            <w:pPr>
              <w:jc w:val="left"/>
              <w:rPr>
                <w:b w:val="0"/>
              </w:rPr>
            </w:pPr>
            <w:bookmarkStart w:id="70" w:name="_Hlk24547974"/>
            <w:r w:rsidRPr="00C344C5">
              <w:rPr>
                <w:b w:val="0"/>
              </w:rPr>
              <w:t xml:space="preserve">Cruise Ship </w:t>
            </w:r>
          </w:p>
        </w:tc>
        <w:tc>
          <w:tcPr>
            <w:tcW w:w="982" w:type="dxa"/>
          </w:tcPr>
          <w:p w14:paraId="779074BF" w14:textId="6ECA02E3" w:rsidR="00537C94" w:rsidRPr="00C344C5" w:rsidRDefault="006E750B" w:rsidP="006E750B">
            <w:pPr>
              <w:jc w:val="left"/>
              <w:cnfStyle w:val="100000000000" w:firstRow="1" w:lastRow="0" w:firstColumn="0" w:lastColumn="0" w:oddVBand="0" w:evenVBand="0" w:oddHBand="0" w:evenHBand="0" w:firstRowFirstColumn="0" w:firstRowLastColumn="0" w:lastRowFirstColumn="0" w:lastRowLastColumn="0"/>
              <w:rPr>
                <w:b w:val="0"/>
              </w:rPr>
            </w:pPr>
            <w:r>
              <w:rPr>
                <w:b w:val="0"/>
              </w:rPr>
              <w:t xml:space="preserve">Max </w:t>
            </w:r>
            <w:r w:rsidR="00537C94" w:rsidRPr="00C344C5">
              <w:rPr>
                <w:b w:val="0"/>
              </w:rPr>
              <w:t>pax cap</w:t>
            </w:r>
            <w:r>
              <w:rPr>
                <w:b w:val="0"/>
              </w:rPr>
              <w:t>acity</w:t>
            </w:r>
          </w:p>
        </w:tc>
        <w:tc>
          <w:tcPr>
            <w:tcW w:w="670" w:type="dxa"/>
          </w:tcPr>
          <w:p w14:paraId="7BDBBFC4" w14:textId="77777777"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b w:val="0"/>
              </w:rPr>
            </w:pPr>
          </w:p>
        </w:tc>
        <w:tc>
          <w:tcPr>
            <w:tcW w:w="1610" w:type="dxa"/>
          </w:tcPr>
          <w:p w14:paraId="3858B020" w14:textId="77777777"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b w:val="0"/>
              </w:rPr>
            </w:pPr>
            <w:r w:rsidRPr="00C344C5">
              <w:rPr>
                <w:b w:val="0"/>
              </w:rPr>
              <w:t>Athens Tier 1</w:t>
            </w:r>
          </w:p>
          <w:p w14:paraId="3D698116" w14:textId="77777777"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b w:val="0"/>
              </w:rPr>
            </w:pPr>
            <w:r w:rsidRPr="00C344C5">
              <w:rPr>
                <w:b w:val="0"/>
              </w:rPr>
              <w:t>(250,000 SDR)</w:t>
            </w:r>
          </w:p>
        </w:tc>
        <w:tc>
          <w:tcPr>
            <w:tcW w:w="1791" w:type="dxa"/>
          </w:tcPr>
          <w:p w14:paraId="1389EB15" w14:textId="77777777"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b w:val="0"/>
              </w:rPr>
            </w:pPr>
            <w:r w:rsidRPr="00C344C5">
              <w:rPr>
                <w:b w:val="0"/>
              </w:rPr>
              <w:t>Athens Tier 2</w:t>
            </w:r>
          </w:p>
          <w:p w14:paraId="2D0C400C" w14:textId="77777777"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b w:val="0"/>
              </w:rPr>
            </w:pPr>
            <w:r w:rsidRPr="00C344C5">
              <w:rPr>
                <w:b w:val="0"/>
              </w:rPr>
              <w:t>(400,000 SDR)</w:t>
            </w:r>
          </w:p>
        </w:tc>
        <w:tc>
          <w:tcPr>
            <w:tcW w:w="1790" w:type="dxa"/>
          </w:tcPr>
          <w:p w14:paraId="4A01E7C6" w14:textId="77777777"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b w:val="0"/>
              </w:rPr>
            </w:pPr>
            <w:r w:rsidRPr="00C344C5">
              <w:rPr>
                <w:b w:val="0"/>
              </w:rPr>
              <w:t xml:space="preserve">LLMC </w:t>
            </w:r>
          </w:p>
          <w:p w14:paraId="4625617C" w14:textId="7B0FE0EE"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b w:val="0"/>
              </w:rPr>
            </w:pPr>
            <w:r w:rsidRPr="00C344C5">
              <w:rPr>
                <w:b w:val="0"/>
              </w:rPr>
              <w:t>(175,000 SDR)</w:t>
            </w:r>
          </w:p>
        </w:tc>
      </w:tr>
      <w:tr w:rsidR="00537C94" w14:paraId="06A3C613" w14:textId="77777777" w:rsidTr="002820A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786" w:type="dxa"/>
            <w:vMerge w:val="restart"/>
          </w:tcPr>
          <w:p w14:paraId="295A26DB" w14:textId="77777777" w:rsidR="00537C94" w:rsidRPr="00C344C5" w:rsidRDefault="00537C94" w:rsidP="0069386C">
            <w:pPr>
              <w:rPr>
                <w:b w:val="0"/>
              </w:rPr>
            </w:pPr>
            <w:r w:rsidRPr="00C344C5">
              <w:rPr>
                <w:b w:val="0"/>
              </w:rPr>
              <w:t>Ovation of the Seas</w:t>
            </w:r>
          </w:p>
        </w:tc>
        <w:tc>
          <w:tcPr>
            <w:tcW w:w="982" w:type="dxa"/>
            <w:vMerge w:val="restart"/>
          </w:tcPr>
          <w:p w14:paraId="02916E16"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4180</w:t>
            </w:r>
          </w:p>
        </w:tc>
        <w:tc>
          <w:tcPr>
            <w:tcW w:w="670" w:type="dxa"/>
          </w:tcPr>
          <w:p w14:paraId="20390342"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SDR</w:t>
            </w:r>
          </w:p>
        </w:tc>
        <w:tc>
          <w:tcPr>
            <w:tcW w:w="1610" w:type="dxa"/>
          </w:tcPr>
          <w:p w14:paraId="463EB679" w14:textId="77777777" w:rsidR="00537C94" w:rsidRPr="00EF6E13"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1</w:t>
            </w:r>
            <w:r>
              <w:rPr>
                <w:rFonts w:ascii="Calibri" w:hAnsi="Calibri" w:cs="Calibri"/>
                <w:color w:val="000000"/>
                <w:sz w:val="18"/>
                <w:szCs w:val="18"/>
              </w:rPr>
              <w:t>.</w:t>
            </w:r>
            <w:r w:rsidRPr="00EF6E13">
              <w:rPr>
                <w:rFonts w:ascii="Calibri" w:hAnsi="Calibri" w:cs="Calibri"/>
                <w:color w:val="000000"/>
                <w:sz w:val="18"/>
                <w:szCs w:val="18"/>
              </w:rPr>
              <w:t>045</w:t>
            </w:r>
            <w:r>
              <w:rPr>
                <w:rFonts w:ascii="Calibri" w:hAnsi="Calibri" w:cs="Calibri"/>
                <w:color w:val="000000"/>
                <w:sz w:val="18"/>
                <w:szCs w:val="18"/>
              </w:rPr>
              <w:t xml:space="preserve"> billion</w:t>
            </w:r>
          </w:p>
        </w:tc>
        <w:tc>
          <w:tcPr>
            <w:tcW w:w="1791" w:type="dxa"/>
          </w:tcPr>
          <w:p w14:paraId="6EEB12FA" w14:textId="77777777" w:rsidR="00537C94" w:rsidRPr="00EF6E13" w:rsidRDefault="00537C94" w:rsidP="0069386C">
            <w:pPr>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1</w:t>
            </w:r>
            <w:r>
              <w:rPr>
                <w:rFonts w:ascii="Calibri" w:hAnsi="Calibri" w:cs="Calibri"/>
                <w:color w:val="000000"/>
                <w:sz w:val="18"/>
                <w:szCs w:val="18"/>
              </w:rPr>
              <w:t>.672 billion</w:t>
            </w:r>
          </w:p>
        </w:tc>
        <w:tc>
          <w:tcPr>
            <w:tcW w:w="1790" w:type="dxa"/>
          </w:tcPr>
          <w:p w14:paraId="4B43E48D" w14:textId="77777777" w:rsidR="00537C94" w:rsidRPr="00EF6E13" w:rsidRDefault="00537C94" w:rsidP="0069386C">
            <w:pPr>
              <w:jc w:val="left"/>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731</w:t>
            </w:r>
            <w:r>
              <w:rPr>
                <w:rFonts w:ascii="Calibri" w:hAnsi="Calibri" w:cs="Calibri"/>
                <w:color w:val="000000"/>
                <w:sz w:val="18"/>
                <w:szCs w:val="18"/>
              </w:rPr>
              <w:t>.5 million</w:t>
            </w:r>
          </w:p>
        </w:tc>
      </w:tr>
      <w:tr w:rsidR="00537C94" w14:paraId="5AED0AF2" w14:textId="77777777" w:rsidTr="002820A9">
        <w:trPr>
          <w:trHeight w:val="380"/>
        </w:trPr>
        <w:tc>
          <w:tcPr>
            <w:cnfStyle w:val="001000000000" w:firstRow="0" w:lastRow="0" w:firstColumn="1" w:lastColumn="0" w:oddVBand="0" w:evenVBand="0" w:oddHBand="0" w:evenHBand="0" w:firstRowFirstColumn="0" w:firstRowLastColumn="0" w:lastRowFirstColumn="0" w:lastRowLastColumn="0"/>
            <w:tcW w:w="1786" w:type="dxa"/>
            <w:vMerge/>
          </w:tcPr>
          <w:p w14:paraId="53F27A01" w14:textId="77777777" w:rsidR="00537C94" w:rsidRPr="00C344C5" w:rsidRDefault="00537C94" w:rsidP="0069386C">
            <w:pPr>
              <w:rPr>
                <w:b w:val="0"/>
              </w:rPr>
            </w:pPr>
          </w:p>
        </w:tc>
        <w:tc>
          <w:tcPr>
            <w:tcW w:w="982" w:type="dxa"/>
            <w:vMerge/>
          </w:tcPr>
          <w:p w14:paraId="183F4D8F"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p>
        </w:tc>
        <w:tc>
          <w:tcPr>
            <w:tcW w:w="670" w:type="dxa"/>
          </w:tcPr>
          <w:p w14:paraId="4F8F2E94"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r>
              <w:t>AUD</w:t>
            </w:r>
          </w:p>
        </w:tc>
        <w:tc>
          <w:tcPr>
            <w:tcW w:w="1610" w:type="dxa"/>
          </w:tcPr>
          <w:p w14:paraId="42FAD67B" w14:textId="77777777" w:rsidR="00537C94" w:rsidRPr="00EF6E13"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6E13">
              <w:rPr>
                <w:rFonts w:ascii="Calibri" w:hAnsi="Calibri" w:cs="Calibri"/>
                <w:color w:val="000000"/>
                <w:sz w:val="18"/>
                <w:szCs w:val="18"/>
              </w:rPr>
              <w:t>2</w:t>
            </w:r>
            <w:r>
              <w:rPr>
                <w:rFonts w:ascii="Calibri" w:hAnsi="Calibri" w:cs="Calibri"/>
                <w:color w:val="000000"/>
                <w:sz w:val="18"/>
                <w:szCs w:val="18"/>
              </w:rPr>
              <w:t>.</w:t>
            </w:r>
            <w:r w:rsidRPr="00EF6E13">
              <w:rPr>
                <w:rFonts w:ascii="Calibri" w:hAnsi="Calibri" w:cs="Calibri"/>
                <w:color w:val="000000"/>
                <w:sz w:val="18"/>
                <w:szCs w:val="18"/>
              </w:rPr>
              <w:t>09</w:t>
            </w:r>
            <w:r>
              <w:rPr>
                <w:rFonts w:ascii="Calibri" w:hAnsi="Calibri" w:cs="Calibri"/>
                <w:color w:val="000000"/>
                <w:sz w:val="18"/>
                <w:szCs w:val="18"/>
              </w:rPr>
              <w:t>8 billion</w:t>
            </w:r>
          </w:p>
        </w:tc>
        <w:tc>
          <w:tcPr>
            <w:tcW w:w="1791" w:type="dxa"/>
          </w:tcPr>
          <w:p w14:paraId="2C030A0C" w14:textId="77777777" w:rsidR="00537C94" w:rsidRPr="00EF6E13" w:rsidRDefault="00537C94" w:rsidP="0069386C">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 </w:t>
            </w:r>
            <w:r w:rsidRPr="00EF6E13">
              <w:rPr>
                <w:rFonts w:ascii="Calibri" w:hAnsi="Calibri" w:cs="Calibri"/>
                <w:color w:val="000000"/>
                <w:sz w:val="18"/>
                <w:szCs w:val="18"/>
              </w:rPr>
              <w:t>3</w:t>
            </w:r>
            <w:r>
              <w:rPr>
                <w:rFonts w:ascii="Calibri" w:hAnsi="Calibri" w:cs="Calibri"/>
                <w:color w:val="000000"/>
                <w:sz w:val="18"/>
                <w:szCs w:val="18"/>
              </w:rPr>
              <w:t>.</w:t>
            </w:r>
            <w:r w:rsidRPr="00EF6E13">
              <w:rPr>
                <w:rFonts w:ascii="Calibri" w:hAnsi="Calibri" w:cs="Calibri"/>
                <w:color w:val="000000"/>
                <w:sz w:val="18"/>
                <w:szCs w:val="18"/>
              </w:rPr>
              <w:t>35</w:t>
            </w:r>
            <w:r>
              <w:rPr>
                <w:rFonts w:ascii="Calibri" w:hAnsi="Calibri" w:cs="Calibri"/>
                <w:color w:val="000000"/>
                <w:sz w:val="18"/>
                <w:szCs w:val="18"/>
              </w:rPr>
              <w:t>6 billion</w:t>
            </w:r>
          </w:p>
        </w:tc>
        <w:tc>
          <w:tcPr>
            <w:tcW w:w="1790" w:type="dxa"/>
          </w:tcPr>
          <w:p w14:paraId="0BA52E47" w14:textId="77777777" w:rsidR="00537C94" w:rsidRPr="00EF6E13" w:rsidRDefault="00537C94" w:rsidP="0069386C">
            <w:pPr>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 </w:t>
            </w:r>
            <w:r w:rsidRPr="00EF6E13">
              <w:rPr>
                <w:rFonts w:ascii="Calibri" w:hAnsi="Calibri" w:cs="Calibri"/>
                <w:color w:val="000000"/>
                <w:sz w:val="18"/>
                <w:szCs w:val="18"/>
              </w:rPr>
              <w:t>1</w:t>
            </w:r>
            <w:r>
              <w:rPr>
                <w:rFonts w:ascii="Calibri" w:hAnsi="Calibri" w:cs="Calibri"/>
                <w:color w:val="000000"/>
                <w:sz w:val="18"/>
                <w:szCs w:val="18"/>
              </w:rPr>
              <w:t>.</w:t>
            </w:r>
            <w:r w:rsidRPr="00EF6E13">
              <w:rPr>
                <w:rFonts w:ascii="Calibri" w:hAnsi="Calibri" w:cs="Calibri"/>
                <w:color w:val="000000"/>
                <w:sz w:val="18"/>
                <w:szCs w:val="18"/>
              </w:rPr>
              <w:t>468</w:t>
            </w:r>
            <w:r>
              <w:rPr>
                <w:rFonts w:ascii="Calibri" w:hAnsi="Calibri" w:cs="Calibri"/>
                <w:color w:val="000000"/>
                <w:sz w:val="18"/>
                <w:szCs w:val="18"/>
              </w:rPr>
              <w:t xml:space="preserve"> billion</w:t>
            </w:r>
          </w:p>
        </w:tc>
      </w:tr>
      <w:tr w:rsidR="00537C94" w14:paraId="0F149E74" w14:textId="77777777" w:rsidTr="002820A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786" w:type="dxa"/>
            <w:vMerge w:val="restart"/>
          </w:tcPr>
          <w:p w14:paraId="52C9C5BF" w14:textId="77777777" w:rsidR="00537C94" w:rsidRPr="00C344C5" w:rsidRDefault="00537C94" w:rsidP="0069386C">
            <w:pPr>
              <w:rPr>
                <w:b w:val="0"/>
              </w:rPr>
            </w:pPr>
            <w:r w:rsidRPr="00C344C5">
              <w:rPr>
                <w:b w:val="0"/>
              </w:rPr>
              <w:t>Queen Mary 2</w:t>
            </w:r>
          </w:p>
        </w:tc>
        <w:tc>
          <w:tcPr>
            <w:tcW w:w="982" w:type="dxa"/>
            <w:vMerge w:val="restart"/>
          </w:tcPr>
          <w:p w14:paraId="21B41671"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3271</w:t>
            </w:r>
          </w:p>
        </w:tc>
        <w:tc>
          <w:tcPr>
            <w:tcW w:w="670" w:type="dxa"/>
          </w:tcPr>
          <w:p w14:paraId="14CDAFAA"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SDR</w:t>
            </w:r>
          </w:p>
        </w:tc>
        <w:tc>
          <w:tcPr>
            <w:tcW w:w="1610" w:type="dxa"/>
          </w:tcPr>
          <w:p w14:paraId="31D8D298" w14:textId="77777777" w:rsidR="00537C94" w:rsidRPr="00EF6E13"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81</w:t>
            </w:r>
            <w:r>
              <w:rPr>
                <w:rFonts w:ascii="Calibri" w:hAnsi="Calibri" w:cs="Calibri"/>
                <w:color w:val="000000"/>
                <w:sz w:val="18"/>
                <w:szCs w:val="18"/>
              </w:rPr>
              <w:t>7.8 million</w:t>
            </w:r>
          </w:p>
        </w:tc>
        <w:tc>
          <w:tcPr>
            <w:tcW w:w="1791" w:type="dxa"/>
          </w:tcPr>
          <w:p w14:paraId="6613CFC8" w14:textId="77777777" w:rsidR="00537C94" w:rsidRPr="00EF6E13" w:rsidRDefault="00537C94" w:rsidP="0069386C">
            <w:pPr>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1</w:t>
            </w:r>
            <w:r>
              <w:rPr>
                <w:rFonts w:ascii="Calibri" w:hAnsi="Calibri" w:cs="Calibri"/>
                <w:color w:val="000000"/>
                <w:sz w:val="18"/>
                <w:szCs w:val="18"/>
              </w:rPr>
              <w:t>.308 billion</w:t>
            </w:r>
          </w:p>
        </w:tc>
        <w:tc>
          <w:tcPr>
            <w:tcW w:w="1790" w:type="dxa"/>
          </w:tcPr>
          <w:p w14:paraId="21171F33" w14:textId="77777777" w:rsidR="00537C94" w:rsidRPr="00EF6E13" w:rsidRDefault="00537C94" w:rsidP="0069386C">
            <w:pPr>
              <w:jc w:val="left"/>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572</w:t>
            </w:r>
            <w:r>
              <w:rPr>
                <w:rFonts w:ascii="Calibri" w:hAnsi="Calibri" w:cs="Calibri"/>
                <w:color w:val="000000"/>
                <w:sz w:val="18"/>
                <w:szCs w:val="18"/>
              </w:rPr>
              <w:t>.4 million</w:t>
            </w:r>
          </w:p>
        </w:tc>
      </w:tr>
      <w:tr w:rsidR="00537C94" w14:paraId="18C745F4" w14:textId="77777777" w:rsidTr="002820A9">
        <w:trPr>
          <w:trHeight w:val="403"/>
        </w:trPr>
        <w:tc>
          <w:tcPr>
            <w:cnfStyle w:val="001000000000" w:firstRow="0" w:lastRow="0" w:firstColumn="1" w:lastColumn="0" w:oddVBand="0" w:evenVBand="0" w:oddHBand="0" w:evenHBand="0" w:firstRowFirstColumn="0" w:firstRowLastColumn="0" w:lastRowFirstColumn="0" w:lastRowLastColumn="0"/>
            <w:tcW w:w="1786" w:type="dxa"/>
            <w:vMerge/>
          </w:tcPr>
          <w:p w14:paraId="250F8117" w14:textId="77777777" w:rsidR="00537C94" w:rsidRPr="00C344C5" w:rsidRDefault="00537C94" w:rsidP="0069386C">
            <w:pPr>
              <w:rPr>
                <w:b w:val="0"/>
              </w:rPr>
            </w:pPr>
          </w:p>
        </w:tc>
        <w:tc>
          <w:tcPr>
            <w:tcW w:w="982" w:type="dxa"/>
            <w:vMerge/>
          </w:tcPr>
          <w:p w14:paraId="5ED804A1"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p>
        </w:tc>
        <w:tc>
          <w:tcPr>
            <w:tcW w:w="670" w:type="dxa"/>
          </w:tcPr>
          <w:p w14:paraId="203673F3"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r>
              <w:t>AUD</w:t>
            </w:r>
          </w:p>
        </w:tc>
        <w:tc>
          <w:tcPr>
            <w:tcW w:w="1610" w:type="dxa"/>
          </w:tcPr>
          <w:p w14:paraId="640AF47C" w14:textId="77777777" w:rsidR="00537C94" w:rsidRPr="00EF6E13"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6E13">
              <w:rPr>
                <w:rFonts w:ascii="Calibri" w:hAnsi="Calibri" w:cs="Calibri"/>
                <w:color w:val="000000"/>
                <w:sz w:val="18"/>
                <w:szCs w:val="18"/>
              </w:rPr>
              <w:t>1</w:t>
            </w:r>
            <w:r>
              <w:rPr>
                <w:rFonts w:ascii="Calibri" w:hAnsi="Calibri" w:cs="Calibri"/>
                <w:color w:val="000000"/>
                <w:sz w:val="18"/>
                <w:szCs w:val="18"/>
              </w:rPr>
              <w:t>.6 billion</w:t>
            </w:r>
          </w:p>
        </w:tc>
        <w:tc>
          <w:tcPr>
            <w:tcW w:w="1791" w:type="dxa"/>
          </w:tcPr>
          <w:p w14:paraId="135236A1" w14:textId="77777777" w:rsidR="00537C94" w:rsidRPr="00EF6E13" w:rsidRDefault="00537C94" w:rsidP="0069386C">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 </w:t>
            </w:r>
            <w:r w:rsidRPr="00EF6E13">
              <w:rPr>
                <w:rFonts w:ascii="Calibri" w:hAnsi="Calibri" w:cs="Calibri"/>
                <w:color w:val="000000"/>
                <w:sz w:val="18"/>
                <w:szCs w:val="18"/>
              </w:rPr>
              <w:t xml:space="preserve"> 2</w:t>
            </w:r>
            <w:r>
              <w:rPr>
                <w:rFonts w:ascii="Calibri" w:hAnsi="Calibri" w:cs="Calibri"/>
                <w:color w:val="000000"/>
                <w:sz w:val="18"/>
                <w:szCs w:val="18"/>
              </w:rPr>
              <w:t>.</w:t>
            </w:r>
            <w:r w:rsidRPr="00EF6E13">
              <w:rPr>
                <w:rFonts w:ascii="Calibri" w:hAnsi="Calibri" w:cs="Calibri"/>
                <w:color w:val="000000"/>
                <w:sz w:val="18"/>
                <w:szCs w:val="18"/>
              </w:rPr>
              <w:t>62</w:t>
            </w:r>
            <w:r>
              <w:rPr>
                <w:rFonts w:ascii="Calibri" w:hAnsi="Calibri" w:cs="Calibri"/>
                <w:color w:val="000000"/>
                <w:sz w:val="18"/>
                <w:szCs w:val="18"/>
              </w:rPr>
              <w:t>6 billion</w:t>
            </w:r>
          </w:p>
        </w:tc>
        <w:tc>
          <w:tcPr>
            <w:tcW w:w="1790" w:type="dxa"/>
          </w:tcPr>
          <w:p w14:paraId="54068273" w14:textId="77777777" w:rsidR="00537C94" w:rsidRPr="00EF6E13" w:rsidRDefault="00537C94" w:rsidP="0069386C">
            <w:pPr>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 </w:t>
            </w:r>
            <w:r w:rsidRPr="00EF6E13">
              <w:rPr>
                <w:rFonts w:ascii="Calibri" w:hAnsi="Calibri" w:cs="Calibri"/>
                <w:color w:val="000000"/>
                <w:sz w:val="18"/>
                <w:szCs w:val="18"/>
              </w:rPr>
              <w:t xml:space="preserve"> 1</w:t>
            </w:r>
            <w:r>
              <w:rPr>
                <w:rFonts w:ascii="Calibri" w:hAnsi="Calibri" w:cs="Calibri"/>
                <w:color w:val="000000"/>
                <w:sz w:val="18"/>
                <w:szCs w:val="18"/>
              </w:rPr>
              <w:t>.</w:t>
            </w:r>
            <w:r w:rsidRPr="00EF6E13">
              <w:rPr>
                <w:rFonts w:ascii="Calibri" w:hAnsi="Calibri" w:cs="Calibri"/>
                <w:color w:val="000000"/>
                <w:sz w:val="18"/>
                <w:szCs w:val="18"/>
              </w:rPr>
              <w:t>14</w:t>
            </w:r>
            <w:r>
              <w:rPr>
                <w:rFonts w:ascii="Calibri" w:hAnsi="Calibri" w:cs="Calibri"/>
                <w:color w:val="000000"/>
                <w:sz w:val="18"/>
                <w:szCs w:val="18"/>
              </w:rPr>
              <w:t>9 billion</w:t>
            </w:r>
          </w:p>
        </w:tc>
      </w:tr>
      <w:tr w:rsidR="00537C94" w14:paraId="2DF5544A" w14:textId="77777777" w:rsidTr="002820A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786" w:type="dxa"/>
            <w:vMerge w:val="restart"/>
          </w:tcPr>
          <w:p w14:paraId="2FD362C1" w14:textId="77777777" w:rsidR="00537C94" w:rsidRPr="00C344C5" w:rsidRDefault="00537C94" w:rsidP="0069386C">
            <w:pPr>
              <w:rPr>
                <w:b w:val="0"/>
              </w:rPr>
            </w:pPr>
            <w:r w:rsidRPr="00C344C5">
              <w:rPr>
                <w:b w:val="0"/>
              </w:rPr>
              <w:t>Pacific Adventurer</w:t>
            </w:r>
          </w:p>
        </w:tc>
        <w:tc>
          <w:tcPr>
            <w:tcW w:w="982" w:type="dxa"/>
            <w:vMerge w:val="restart"/>
          </w:tcPr>
          <w:p w14:paraId="5B805A08"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2636</w:t>
            </w:r>
          </w:p>
        </w:tc>
        <w:tc>
          <w:tcPr>
            <w:tcW w:w="670" w:type="dxa"/>
          </w:tcPr>
          <w:p w14:paraId="660ACF87"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SDR</w:t>
            </w:r>
          </w:p>
        </w:tc>
        <w:tc>
          <w:tcPr>
            <w:tcW w:w="1610" w:type="dxa"/>
          </w:tcPr>
          <w:p w14:paraId="47C85A17" w14:textId="77777777" w:rsidR="00537C94" w:rsidRPr="00EF6E13"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659</w:t>
            </w:r>
            <w:r>
              <w:rPr>
                <w:rFonts w:ascii="Calibri" w:hAnsi="Calibri" w:cs="Calibri"/>
                <w:color w:val="000000"/>
                <w:sz w:val="18"/>
                <w:szCs w:val="18"/>
              </w:rPr>
              <w:t xml:space="preserve"> million</w:t>
            </w:r>
          </w:p>
        </w:tc>
        <w:tc>
          <w:tcPr>
            <w:tcW w:w="1791" w:type="dxa"/>
          </w:tcPr>
          <w:p w14:paraId="6C34FB58" w14:textId="77777777" w:rsidR="00537C94" w:rsidRPr="00EF6E13" w:rsidRDefault="00537C94" w:rsidP="0069386C">
            <w:pPr>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1</w:t>
            </w:r>
            <w:r>
              <w:rPr>
                <w:rFonts w:ascii="Calibri" w:hAnsi="Calibri" w:cs="Calibri"/>
                <w:color w:val="000000"/>
                <w:sz w:val="18"/>
                <w:szCs w:val="18"/>
              </w:rPr>
              <w:t>.</w:t>
            </w:r>
            <w:r w:rsidRPr="00EF6E13">
              <w:rPr>
                <w:rFonts w:ascii="Calibri" w:hAnsi="Calibri" w:cs="Calibri"/>
                <w:color w:val="000000"/>
                <w:sz w:val="18"/>
                <w:szCs w:val="18"/>
              </w:rPr>
              <w:t>054</w:t>
            </w:r>
            <w:r>
              <w:rPr>
                <w:rFonts w:ascii="Calibri" w:hAnsi="Calibri" w:cs="Calibri"/>
                <w:color w:val="000000"/>
                <w:sz w:val="18"/>
                <w:szCs w:val="18"/>
              </w:rPr>
              <w:t xml:space="preserve"> billion</w:t>
            </w:r>
          </w:p>
        </w:tc>
        <w:tc>
          <w:tcPr>
            <w:tcW w:w="1790" w:type="dxa"/>
          </w:tcPr>
          <w:p w14:paraId="479B5AC0" w14:textId="77777777" w:rsidR="00537C94" w:rsidRPr="00EF6E13" w:rsidRDefault="00537C94" w:rsidP="0069386C">
            <w:pPr>
              <w:jc w:val="left"/>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461</w:t>
            </w:r>
            <w:r>
              <w:rPr>
                <w:rFonts w:ascii="Calibri" w:hAnsi="Calibri" w:cs="Calibri"/>
                <w:color w:val="000000"/>
                <w:sz w:val="18"/>
                <w:szCs w:val="18"/>
              </w:rPr>
              <w:t>.3 million</w:t>
            </w:r>
          </w:p>
        </w:tc>
      </w:tr>
      <w:tr w:rsidR="00537C94" w14:paraId="5BF788C4" w14:textId="77777777" w:rsidTr="002820A9">
        <w:trPr>
          <w:trHeight w:val="403"/>
        </w:trPr>
        <w:tc>
          <w:tcPr>
            <w:cnfStyle w:val="001000000000" w:firstRow="0" w:lastRow="0" w:firstColumn="1" w:lastColumn="0" w:oddVBand="0" w:evenVBand="0" w:oddHBand="0" w:evenHBand="0" w:firstRowFirstColumn="0" w:firstRowLastColumn="0" w:lastRowFirstColumn="0" w:lastRowLastColumn="0"/>
            <w:tcW w:w="1786" w:type="dxa"/>
            <w:vMerge/>
          </w:tcPr>
          <w:p w14:paraId="37AF5ADF" w14:textId="77777777" w:rsidR="00537C94" w:rsidRPr="00C344C5" w:rsidRDefault="00537C94" w:rsidP="0069386C">
            <w:pPr>
              <w:rPr>
                <w:b w:val="0"/>
              </w:rPr>
            </w:pPr>
          </w:p>
        </w:tc>
        <w:tc>
          <w:tcPr>
            <w:tcW w:w="982" w:type="dxa"/>
            <w:vMerge/>
          </w:tcPr>
          <w:p w14:paraId="5D3DFB7F"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p>
        </w:tc>
        <w:tc>
          <w:tcPr>
            <w:tcW w:w="670" w:type="dxa"/>
          </w:tcPr>
          <w:p w14:paraId="2DE612DA"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r>
              <w:t>AUD</w:t>
            </w:r>
          </w:p>
        </w:tc>
        <w:tc>
          <w:tcPr>
            <w:tcW w:w="1610" w:type="dxa"/>
          </w:tcPr>
          <w:p w14:paraId="6E6DF542" w14:textId="77777777" w:rsidR="00537C94" w:rsidRPr="00EF6E13"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6E13">
              <w:rPr>
                <w:rFonts w:ascii="Calibri" w:hAnsi="Calibri" w:cs="Calibri"/>
                <w:color w:val="000000"/>
                <w:sz w:val="18"/>
                <w:szCs w:val="18"/>
              </w:rPr>
              <w:t>1</w:t>
            </w:r>
            <w:r>
              <w:rPr>
                <w:rFonts w:ascii="Calibri" w:hAnsi="Calibri" w:cs="Calibri"/>
                <w:color w:val="000000"/>
                <w:sz w:val="18"/>
                <w:szCs w:val="18"/>
              </w:rPr>
              <w:t>.322 billion</w:t>
            </w:r>
          </w:p>
        </w:tc>
        <w:tc>
          <w:tcPr>
            <w:tcW w:w="1791" w:type="dxa"/>
          </w:tcPr>
          <w:p w14:paraId="0B66CA6F" w14:textId="77777777" w:rsidR="00537C94" w:rsidRPr="00EF6E13" w:rsidRDefault="00537C94" w:rsidP="0069386C">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 </w:t>
            </w:r>
            <w:r w:rsidRPr="00EF6E13">
              <w:rPr>
                <w:rFonts w:ascii="Calibri" w:hAnsi="Calibri" w:cs="Calibri"/>
                <w:color w:val="000000"/>
                <w:sz w:val="18"/>
                <w:szCs w:val="18"/>
              </w:rPr>
              <w:t>2</w:t>
            </w:r>
            <w:r>
              <w:rPr>
                <w:rFonts w:ascii="Calibri" w:hAnsi="Calibri" w:cs="Calibri"/>
                <w:color w:val="000000"/>
                <w:sz w:val="18"/>
                <w:szCs w:val="18"/>
              </w:rPr>
              <w:t>.</w:t>
            </w:r>
            <w:r w:rsidRPr="00EF6E13">
              <w:rPr>
                <w:rFonts w:ascii="Calibri" w:hAnsi="Calibri" w:cs="Calibri"/>
                <w:color w:val="000000"/>
                <w:sz w:val="18"/>
                <w:szCs w:val="18"/>
              </w:rPr>
              <w:t>116</w:t>
            </w:r>
            <w:r>
              <w:rPr>
                <w:rFonts w:ascii="Calibri" w:hAnsi="Calibri" w:cs="Calibri"/>
                <w:color w:val="000000"/>
                <w:sz w:val="18"/>
                <w:szCs w:val="18"/>
              </w:rPr>
              <w:t xml:space="preserve"> billion</w:t>
            </w:r>
          </w:p>
        </w:tc>
        <w:tc>
          <w:tcPr>
            <w:tcW w:w="1790" w:type="dxa"/>
          </w:tcPr>
          <w:p w14:paraId="0170B5B5" w14:textId="77777777" w:rsidR="00537C94" w:rsidRPr="00EF6E13" w:rsidRDefault="00537C94" w:rsidP="0069386C">
            <w:pPr>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 </w:t>
            </w:r>
            <w:r w:rsidRPr="00EF6E13">
              <w:rPr>
                <w:rFonts w:ascii="Calibri" w:hAnsi="Calibri" w:cs="Calibri"/>
                <w:color w:val="000000"/>
                <w:sz w:val="18"/>
                <w:szCs w:val="18"/>
              </w:rPr>
              <w:t>92</w:t>
            </w:r>
            <w:r>
              <w:rPr>
                <w:rFonts w:ascii="Calibri" w:hAnsi="Calibri" w:cs="Calibri"/>
                <w:color w:val="000000"/>
                <w:sz w:val="18"/>
                <w:szCs w:val="18"/>
              </w:rPr>
              <w:t>6 million</w:t>
            </w:r>
          </w:p>
        </w:tc>
      </w:tr>
      <w:tr w:rsidR="00537C94" w14:paraId="4542EE70" w14:textId="77777777" w:rsidTr="002820A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786" w:type="dxa"/>
            <w:vMerge w:val="restart"/>
          </w:tcPr>
          <w:p w14:paraId="4246A0E5" w14:textId="77777777" w:rsidR="00537C94" w:rsidRPr="00C344C5" w:rsidRDefault="00537C94" w:rsidP="0069386C">
            <w:pPr>
              <w:rPr>
                <w:b w:val="0"/>
              </w:rPr>
            </w:pPr>
            <w:r w:rsidRPr="00C344C5">
              <w:rPr>
                <w:b w:val="0"/>
              </w:rPr>
              <w:t>Pacific Dawn</w:t>
            </w:r>
          </w:p>
        </w:tc>
        <w:tc>
          <w:tcPr>
            <w:tcW w:w="982" w:type="dxa"/>
            <w:vMerge w:val="restart"/>
          </w:tcPr>
          <w:p w14:paraId="2A974064"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1915</w:t>
            </w:r>
          </w:p>
        </w:tc>
        <w:tc>
          <w:tcPr>
            <w:tcW w:w="670" w:type="dxa"/>
          </w:tcPr>
          <w:p w14:paraId="078E15F2"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SDR</w:t>
            </w:r>
          </w:p>
        </w:tc>
        <w:tc>
          <w:tcPr>
            <w:tcW w:w="1610" w:type="dxa"/>
          </w:tcPr>
          <w:p w14:paraId="70ECA1AE" w14:textId="77777777" w:rsidR="00537C94" w:rsidRPr="00EF6E13"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478</w:t>
            </w:r>
            <w:r>
              <w:rPr>
                <w:rFonts w:ascii="Calibri" w:hAnsi="Calibri" w:cs="Calibri"/>
                <w:color w:val="000000"/>
                <w:sz w:val="18"/>
                <w:szCs w:val="18"/>
              </w:rPr>
              <w:t>.8 million</w:t>
            </w:r>
          </w:p>
        </w:tc>
        <w:tc>
          <w:tcPr>
            <w:tcW w:w="1791" w:type="dxa"/>
          </w:tcPr>
          <w:p w14:paraId="410375F7" w14:textId="77777777" w:rsidR="00537C94" w:rsidRPr="00EF6E13" w:rsidRDefault="00537C94" w:rsidP="0069386C">
            <w:pPr>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766</w:t>
            </w:r>
            <w:r>
              <w:rPr>
                <w:rFonts w:ascii="Calibri" w:hAnsi="Calibri" w:cs="Calibri"/>
                <w:color w:val="000000"/>
                <w:sz w:val="18"/>
                <w:szCs w:val="18"/>
              </w:rPr>
              <w:t xml:space="preserve"> million</w:t>
            </w:r>
          </w:p>
        </w:tc>
        <w:tc>
          <w:tcPr>
            <w:tcW w:w="1790" w:type="dxa"/>
          </w:tcPr>
          <w:p w14:paraId="3CD151FB" w14:textId="77777777" w:rsidR="00537C94" w:rsidRPr="00EF6E13" w:rsidRDefault="00537C94" w:rsidP="0069386C">
            <w:pPr>
              <w:jc w:val="left"/>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335</w:t>
            </w:r>
            <w:r>
              <w:rPr>
                <w:rFonts w:ascii="Calibri" w:hAnsi="Calibri" w:cs="Calibri"/>
                <w:color w:val="000000"/>
                <w:sz w:val="18"/>
                <w:szCs w:val="18"/>
              </w:rPr>
              <w:t>.1 million</w:t>
            </w:r>
          </w:p>
        </w:tc>
      </w:tr>
      <w:tr w:rsidR="00537C94" w14:paraId="43DA7424" w14:textId="77777777" w:rsidTr="002820A9">
        <w:trPr>
          <w:trHeight w:val="380"/>
        </w:trPr>
        <w:tc>
          <w:tcPr>
            <w:cnfStyle w:val="001000000000" w:firstRow="0" w:lastRow="0" w:firstColumn="1" w:lastColumn="0" w:oddVBand="0" w:evenVBand="0" w:oddHBand="0" w:evenHBand="0" w:firstRowFirstColumn="0" w:firstRowLastColumn="0" w:lastRowFirstColumn="0" w:lastRowLastColumn="0"/>
            <w:tcW w:w="1786" w:type="dxa"/>
            <w:vMerge/>
          </w:tcPr>
          <w:p w14:paraId="33C219E0" w14:textId="77777777" w:rsidR="00537C94" w:rsidRPr="00C344C5" w:rsidRDefault="00537C94" w:rsidP="0069386C">
            <w:pPr>
              <w:rPr>
                <w:b w:val="0"/>
              </w:rPr>
            </w:pPr>
          </w:p>
        </w:tc>
        <w:tc>
          <w:tcPr>
            <w:tcW w:w="982" w:type="dxa"/>
            <w:vMerge/>
          </w:tcPr>
          <w:p w14:paraId="38678263"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p>
        </w:tc>
        <w:tc>
          <w:tcPr>
            <w:tcW w:w="670" w:type="dxa"/>
          </w:tcPr>
          <w:p w14:paraId="7601EBE6"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r>
              <w:t>AUD</w:t>
            </w:r>
          </w:p>
        </w:tc>
        <w:tc>
          <w:tcPr>
            <w:tcW w:w="1610" w:type="dxa"/>
          </w:tcPr>
          <w:p w14:paraId="42C3D1E3" w14:textId="77777777" w:rsidR="00537C94" w:rsidRPr="00EF6E13"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6E13">
              <w:rPr>
                <w:rFonts w:ascii="Calibri" w:hAnsi="Calibri" w:cs="Calibri"/>
                <w:color w:val="000000"/>
                <w:sz w:val="18"/>
                <w:szCs w:val="18"/>
              </w:rPr>
              <w:t>96</w:t>
            </w:r>
            <w:r>
              <w:rPr>
                <w:rFonts w:ascii="Calibri" w:hAnsi="Calibri" w:cs="Calibri"/>
                <w:color w:val="000000"/>
                <w:sz w:val="18"/>
                <w:szCs w:val="18"/>
              </w:rPr>
              <w:t>1 million</w:t>
            </w:r>
          </w:p>
        </w:tc>
        <w:tc>
          <w:tcPr>
            <w:tcW w:w="1791" w:type="dxa"/>
          </w:tcPr>
          <w:p w14:paraId="6D57CAB4" w14:textId="50654C7A" w:rsidR="00537C94" w:rsidRPr="00EF6E13" w:rsidRDefault="00537C94" w:rsidP="0069386C">
            <w:pPr>
              <w:cnfStyle w:val="000000000000" w:firstRow="0" w:lastRow="0" w:firstColumn="0" w:lastColumn="0" w:oddVBand="0" w:evenVBand="0" w:oddHBand="0" w:evenHBand="0" w:firstRowFirstColumn="0" w:firstRowLastColumn="0" w:lastRowFirstColumn="0" w:lastRowLastColumn="0"/>
              <w:rPr>
                <w:sz w:val="18"/>
                <w:szCs w:val="18"/>
              </w:rPr>
            </w:pPr>
            <w:r w:rsidRPr="00EF6E13">
              <w:rPr>
                <w:rFonts w:ascii="Calibri" w:hAnsi="Calibri" w:cs="Calibri"/>
                <w:color w:val="000000"/>
                <w:sz w:val="18"/>
                <w:szCs w:val="18"/>
              </w:rPr>
              <w:t>1</w:t>
            </w:r>
            <w:r>
              <w:rPr>
                <w:rFonts w:ascii="Calibri" w:hAnsi="Calibri" w:cs="Calibri"/>
                <w:color w:val="000000"/>
                <w:sz w:val="18"/>
                <w:szCs w:val="18"/>
              </w:rPr>
              <w:t>.</w:t>
            </w:r>
            <w:r w:rsidRPr="00EF6E13">
              <w:rPr>
                <w:rFonts w:ascii="Calibri" w:hAnsi="Calibri" w:cs="Calibri"/>
                <w:color w:val="000000"/>
                <w:sz w:val="18"/>
                <w:szCs w:val="18"/>
              </w:rPr>
              <w:t>53</w:t>
            </w:r>
            <w:r>
              <w:rPr>
                <w:rFonts w:ascii="Calibri" w:hAnsi="Calibri" w:cs="Calibri"/>
                <w:color w:val="000000"/>
                <w:sz w:val="18"/>
                <w:szCs w:val="18"/>
              </w:rPr>
              <w:t>8 billion</w:t>
            </w:r>
          </w:p>
        </w:tc>
        <w:tc>
          <w:tcPr>
            <w:tcW w:w="1790" w:type="dxa"/>
          </w:tcPr>
          <w:p w14:paraId="5C08420A" w14:textId="77777777" w:rsidR="00537C94" w:rsidRPr="00EF6E13" w:rsidRDefault="00537C94" w:rsidP="0069386C">
            <w:pPr>
              <w:jc w:val="left"/>
              <w:cnfStyle w:val="000000000000" w:firstRow="0" w:lastRow="0" w:firstColumn="0" w:lastColumn="0" w:oddVBand="0" w:evenVBand="0" w:oddHBand="0" w:evenHBand="0" w:firstRowFirstColumn="0" w:firstRowLastColumn="0" w:lastRowFirstColumn="0" w:lastRowLastColumn="0"/>
              <w:rPr>
                <w:sz w:val="18"/>
                <w:szCs w:val="18"/>
              </w:rPr>
            </w:pPr>
            <w:r w:rsidRPr="00EF6E13">
              <w:rPr>
                <w:rFonts w:ascii="Calibri" w:hAnsi="Calibri" w:cs="Calibri"/>
                <w:color w:val="000000"/>
                <w:sz w:val="18"/>
                <w:szCs w:val="18"/>
              </w:rPr>
              <w:t xml:space="preserve"> 672</w:t>
            </w:r>
            <w:r>
              <w:rPr>
                <w:rFonts w:ascii="Calibri" w:hAnsi="Calibri" w:cs="Calibri"/>
                <w:color w:val="000000"/>
                <w:sz w:val="18"/>
                <w:szCs w:val="18"/>
              </w:rPr>
              <w:t>.7 million</w:t>
            </w:r>
          </w:p>
        </w:tc>
      </w:tr>
      <w:tr w:rsidR="00537C94" w14:paraId="3ECDDFCE" w14:textId="77777777" w:rsidTr="002820A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786" w:type="dxa"/>
            <w:vMerge w:val="restart"/>
          </w:tcPr>
          <w:p w14:paraId="2EA6623F" w14:textId="77777777" w:rsidR="00537C94" w:rsidRPr="00C344C5" w:rsidRDefault="00537C94" w:rsidP="0069386C">
            <w:pPr>
              <w:rPr>
                <w:b w:val="0"/>
              </w:rPr>
            </w:pPr>
            <w:r w:rsidRPr="00C344C5">
              <w:rPr>
                <w:b w:val="0"/>
              </w:rPr>
              <w:t>Pacific Aria</w:t>
            </w:r>
          </w:p>
        </w:tc>
        <w:tc>
          <w:tcPr>
            <w:tcW w:w="982" w:type="dxa"/>
            <w:vMerge w:val="restart"/>
          </w:tcPr>
          <w:p w14:paraId="4013C435"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1260</w:t>
            </w:r>
          </w:p>
        </w:tc>
        <w:tc>
          <w:tcPr>
            <w:tcW w:w="670" w:type="dxa"/>
          </w:tcPr>
          <w:p w14:paraId="515AFD5E"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SDR</w:t>
            </w:r>
          </w:p>
        </w:tc>
        <w:tc>
          <w:tcPr>
            <w:tcW w:w="1610" w:type="dxa"/>
          </w:tcPr>
          <w:p w14:paraId="2AB6F05E" w14:textId="77777777" w:rsidR="00537C94" w:rsidRPr="00EF6E13"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315</w:t>
            </w:r>
            <w:r>
              <w:rPr>
                <w:rFonts w:ascii="Calibri" w:hAnsi="Calibri" w:cs="Calibri"/>
                <w:color w:val="000000"/>
                <w:sz w:val="18"/>
                <w:szCs w:val="18"/>
              </w:rPr>
              <w:t xml:space="preserve"> million</w:t>
            </w:r>
          </w:p>
        </w:tc>
        <w:tc>
          <w:tcPr>
            <w:tcW w:w="1791" w:type="dxa"/>
          </w:tcPr>
          <w:p w14:paraId="47300B3B" w14:textId="77777777" w:rsidR="00537C94" w:rsidRPr="00EF6E13" w:rsidRDefault="00537C94" w:rsidP="0069386C">
            <w:pPr>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504</w:t>
            </w:r>
            <w:r>
              <w:rPr>
                <w:rFonts w:ascii="Calibri" w:hAnsi="Calibri" w:cs="Calibri"/>
                <w:color w:val="000000"/>
                <w:sz w:val="18"/>
                <w:szCs w:val="18"/>
              </w:rPr>
              <w:t xml:space="preserve"> million</w:t>
            </w:r>
          </w:p>
        </w:tc>
        <w:tc>
          <w:tcPr>
            <w:tcW w:w="1790" w:type="dxa"/>
          </w:tcPr>
          <w:p w14:paraId="192BC268" w14:textId="77777777" w:rsidR="00537C94" w:rsidRPr="00EF6E13" w:rsidRDefault="00537C94" w:rsidP="0069386C">
            <w:pPr>
              <w:jc w:val="left"/>
              <w:cnfStyle w:val="000000100000" w:firstRow="0" w:lastRow="0" w:firstColumn="0" w:lastColumn="0" w:oddVBand="0" w:evenVBand="0" w:oddHBand="1" w:evenHBand="0" w:firstRowFirstColumn="0" w:firstRowLastColumn="0" w:lastRowFirstColumn="0" w:lastRowLastColumn="0"/>
              <w:rPr>
                <w:sz w:val="18"/>
                <w:szCs w:val="18"/>
              </w:rPr>
            </w:pPr>
            <w:r w:rsidRPr="00EF6E13">
              <w:rPr>
                <w:rFonts w:ascii="Calibri" w:hAnsi="Calibri" w:cs="Calibri"/>
                <w:color w:val="000000"/>
                <w:sz w:val="18"/>
                <w:szCs w:val="18"/>
              </w:rPr>
              <w:t>220</w:t>
            </w:r>
            <w:r>
              <w:rPr>
                <w:rFonts w:ascii="Calibri" w:hAnsi="Calibri" w:cs="Calibri"/>
                <w:color w:val="000000"/>
                <w:sz w:val="18"/>
                <w:szCs w:val="18"/>
              </w:rPr>
              <w:t>.5 million</w:t>
            </w:r>
          </w:p>
        </w:tc>
      </w:tr>
      <w:tr w:rsidR="00537C94" w14:paraId="76A89A42" w14:textId="77777777" w:rsidTr="002820A9">
        <w:trPr>
          <w:trHeight w:val="403"/>
        </w:trPr>
        <w:tc>
          <w:tcPr>
            <w:cnfStyle w:val="001000000000" w:firstRow="0" w:lastRow="0" w:firstColumn="1" w:lastColumn="0" w:oddVBand="0" w:evenVBand="0" w:oddHBand="0" w:evenHBand="0" w:firstRowFirstColumn="0" w:firstRowLastColumn="0" w:lastRowFirstColumn="0" w:lastRowLastColumn="0"/>
            <w:tcW w:w="1786" w:type="dxa"/>
            <w:vMerge/>
          </w:tcPr>
          <w:p w14:paraId="7B0FBB5F" w14:textId="77777777" w:rsidR="00537C94" w:rsidRDefault="00537C94" w:rsidP="0069386C"/>
        </w:tc>
        <w:tc>
          <w:tcPr>
            <w:tcW w:w="982" w:type="dxa"/>
            <w:vMerge/>
          </w:tcPr>
          <w:p w14:paraId="25942E0A"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p>
        </w:tc>
        <w:tc>
          <w:tcPr>
            <w:tcW w:w="670" w:type="dxa"/>
          </w:tcPr>
          <w:p w14:paraId="40B6F94B"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r>
              <w:t>AUD</w:t>
            </w:r>
          </w:p>
        </w:tc>
        <w:tc>
          <w:tcPr>
            <w:tcW w:w="1610" w:type="dxa"/>
          </w:tcPr>
          <w:p w14:paraId="46868CE9" w14:textId="77777777" w:rsidR="00537C94" w:rsidRPr="00EF6E13"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6E13">
              <w:rPr>
                <w:rFonts w:ascii="Calibri" w:hAnsi="Calibri" w:cs="Calibri"/>
                <w:color w:val="000000"/>
                <w:sz w:val="18"/>
                <w:szCs w:val="18"/>
              </w:rPr>
              <w:t>632</w:t>
            </w:r>
            <w:r>
              <w:rPr>
                <w:rFonts w:ascii="Calibri" w:hAnsi="Calibri" w:cs="Calibri"/>
                <w:color w:val="000000"/>
                <w:sz w:val="18"/>
                <w:szCs w:val="18"/>
              </w:rPr>
              <w:t>.3 million</w:t>
            </w:r>
          </w:p>
        </w:tc>
        <w:tc>
          <w:tcPr>
            <w:tcW w:w="1791" w:type="dxa"/>
          </w:tcPr>
          <w:p w14:paraId="32D8983E" w14:textId="77777777" w:rsidR="00537C94" w:rsidRPr="00EF6E13" w:rsidRDefault="00537C94" w:rsidP="0069386C">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 </w:t>
            </w:r>
            <w:r w:rsidRPr="00EF6E13">
              <w:rPr>
                <w:rFonts w:ascii="Calibri" w:hAnsi="Calibri" w:cs="Calibri"/>
                <w:color w:val="000000"/>
                <w:sz w:val="18"/>
                <w:szCs w:val="18"/>
              </w:rPr>
              <w:t>1</w:t>
            </w:r>
            <w:r>
              <w:rPr>
                <w:rFonts w:ascii="Calibri" w:hAnsi="Calibri" w:cs="Calibri"/>
                <w:color w:val="000000"/>
                <w:sz w:val="18"/>
                <w:szCs w:val="18"/>
              </w:rPr>
              <w:t>.</w:t>
            </w:r>
            <w:r w:rsidRPr="00EF6E13">
              <w:rPr>
                <w:rFonts w:ascii="Calibri" w:hAnsi="Calibri" w:cs="Calibri"/>
                <w:color w:val="000000"/>
                <w:sz w:val="18"/>
                <w:szCs w:val="18"/>
              </w:rPr>
              <w:t>01</w:t>
            </w:r>
            <w:r>
              <w:rPr>
                <w:rFonts w:ascii="Calibri" w:hAnsi="Calibri" w:cs="Calibri"/>
                <w:color w:val="000000"/>
                <w:sz w:val="18"/>
                <w:szCs w:val="18"/>
              </w:rPr>
              <w:t>2 billion</w:t>
            </w:r>
          </w:p>
        </w:tc>
        <w:tc>
          <w:tcPr>
            <w:tcW w:w="1790" w:type="dxa"/>
          </w:tcPr>
          <w:p w14:paraId="3A5554F2" w14:textId="77777777" w:rsidR="00537C94" w:rsidRPr="00EF6E13" w:rsidRDefault="00537C94" w:rsidP="0069386C">
            <w:pPr>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 </w:t>
            </w:r>
            <w:r w:rsidRPr="00EF6E13">
              <w:rPr>
                <w:rFonts w:ascii="Calibri" w:hAnsi="Calibri" w:cs="Calibri"/>
                <w:color w:val="000000"/>
                <w:sz w:val="18"/>
                <w:szCs w:val="18"/>
              </w:rPr>
              <w:t>442</w:t>
            </w:r>
            <w:r>
              <w:rPr>
                <w:rFonts w:ascii="Calibri" w:hAnsi="Calibri" w:cs="Calibri"/>
                <w:color w:val="000000"/>
                <w:sz w:val="18"/>
                <w:szCs w:val="18"/>
              </w:rPr>
              <w:t>.6 million</w:t>
            </w:r>
          </w:p>
        </w:tc>
      </w:tr>
    </w:tbl>
    <w:bookmarkEnd w:id="70"/>
    <w:p w14:paraId="3D32C7B8" w14:textId="19F855A8" w:rsidR="00537C94" w:rsidRDefault="00537C94" w:rsidP="00537C94">
      <w:r w:rsidRPr="00BA2F6A">
        <w:rPr>
          <w:sz w:val="18"/>
          <w:szCs w:val="20"/>
        </w:rPr>
        <w:t>* AUD to Special Drawing Rights conversion on 13 Nov 2019 (1</w:t>
      </w:r>
      <w:r w:rsidR="004354A8">
        <w:rPr>
          <w:sz w:val="18"/>
          <w:szCs w:val="20"/>
        </w:rPr>
        <w:t xml:space="preserve"> </w:t>
      </w:r>
      <w:r>
        <w:rPr>
          <w:sz w:val="18"/>
          <w:szCs w:val="20"/>
        </w:rPr>
        <w:t>S</w:t>
      </w:r>
      <w:r w:rsidRPr="00BA2F6A">
        <w:rPr>
          <w:sz w:val="18"/>
          <w:szCs w:val="20"/>
        </w:rPr>
        <w:t xml:space="preserve">DR = 2.00724 AUD) </w:t>
      </w:r>
    </w:p>
    <w:p w14:paraId="0935BDD1" w14:textId="77777777" w:rsidR="002954F1" w:rsidRDefault="002954F1" w:rsidP="00554E02">
      <w:pPr>
        <w:pStyle w:val="Caption"/>
      </w:pPr>
      <w:bookmarkStart w:id="71" w:name="_Toc36560349"/>
    </w:p>
    <w:p w14:paraId="77950DBF" w14:textId="26D9B65C" w:rsidR="00554E02" w:rsidRPr="00027F78" w:rsidRDefault="00554E02" w:rsidP="00554E02">
      <w:pPr>
        <w:pStyle w:val="Caption"/>
        <w:rPr>
          <w:rFonts w:eastAsiaTheme="majorEastAsia"/>
          <w:i w:val="0"/>
          <w:u w:val="single"/>
        </w:rPr>
      </w:pPr>
      <w:r w:rsidRPr="00027F78">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2</w:t>
      </w:r>
      <w:r w:rsidR="00B435A7">
        <w:rPr>
          <w:noProof/>
        </w:rPr>
        <w:fldChar w:fldCharType="end"/>
      </w:r>
      <w:r w:rsidRPr="00027F78">
        <w:t>: Passenger Capacity based on Vessel Liability Insurance</w:t>
      </w:r>
      <w:bookmarkEnd w:id="71"/>
    </w:p>
    <w:tbl>
      <w:tblPr>
        <w:tblStyle w:val="GridTable6Colorful-Accent4"/>
        <w:tblW w:w="0" w:type="auto"/>
        <w:tblLook w:val="04A0" w:firstRow="1" w:lastRow="0" w:firstColumn="1" w:lastColumn="0" w:noHBand="0" w:noVBand="1"/>
      </w:tblPr>
      <w:tblGrid>
        <w:gridCol w:w="3272"/>
        <w:gridCol w:w="1636"/>
        <w:gridCol w:w="1799"/>
        <w:gridCol w:w="1963"/>
      </w:tblGrid>
      <w:tr w:rsidR="00537C94" w:rsidRPr="00C344C5" w14:paraId="44011FE2" w14:textId="77777777" w:rsidTr="002820A9">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3272" w:type="dxa"/>
          </w:tcPr>
          <w:p w14:paraId="7A2097D5" w14:textId="77777777" w:rsidR="00537C94" w:rsidRPr="00C344C5" w:rsidRDefault="00537C94" w:rsidP="0069386C">
            <w:pPr>
              <w:rPr>
                <w:b w:val="0"/>
                <w:sz w:val="18"/>
                <w:szCs w:val="18"/>
              </w:rPr>
            </w:pPr>
            <w:r w:rsidRPr="00C344C5">
              <w:rPr>
                <w:rFonts w:ascii="Calibri" w:hAnsi="Calibri" w:cs="Calibri"/>
                <w:b w:val="0"/>
                <w:color w:val="000000"/>
                <w:sz w:val="18"/>
                <w:szCs w:val="18"/>
              </w:rPr>
              <w:t>Passenger</w:t>
            </w:r>
            <w:r>
              <w:rPr>
                <w:rFonts w:ascii="Calibri" w:hAnsi="Calibri" w:cs="Calibri"/>
                <w:b w:val="0"/>
                <w:color w:val="000000"/>
                <w:sz w:val="18"/>
                <w:szCs w:val="18"/>
              </w:rPr>
              <w:t xml:space="preserve"> (pax) </w:t>
            </w:r>
            <w:r w:rsidRPr="00C344C5">
              <w:rPr>
                <w:rFonts w:ascii="Calibri" w:hAnsi="Calibri" w:cs="Calibri"/>
                <w:b w:val="0"/>
                <w:color w:val="000000"/>
                <w:sz w:val="18"/>
                <w:szCs w:val="18"/>
              </w:rPr>
              <w:t xml:space="preserve">capacity based on vessel liability insurance </w:t>
            </w:r>
          </w:p>
        </w:tc>
        <w:tc>
          <w:tcPr>
            <w:tcW w:w="1636" w:type="dxa"/>
          </w:tcPr>
          <w:p w14:paraId="4F6DB725" w14:textId="77777777"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18"/>
                <w:szCs w:val="18"/>
              </w:rPr>
            </w:pPr>
            <w:r w:rsidRPr="00C344C5">
              <w:rPr>
                <w:rFonts w:ascii="Calibri" w:hAnsi="Calibri" w:cs="Calibri"/>
                <w:b w:val="0"/>
                <w:color w:val="000000"/>
                <w:sz w:val="18"/>
                <w:szCs w:val="18"/>
              </w:rPr>
              <w:t xml:space="preserve">Athens Tier 1 </w:t>
            </w:r>
          </w:p>
          <w:p w14:paraId="3F17EE84" w14:textId="77777777"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b w:val="0"/>
                <w:sz w:val="18"/>
                <w:szCs w:val="18"/>
              </w:rPr>
            </w:pPr>
            <w:r w:rsidRPr="00C344C5">
              <w:rPr>
                <w:rFonts w:ascii="Calibri" w:hAnsi="Calibri" w:cs="Calibri"/>
                <w:b w:val="0"/>
                <w:color w:val="000000"/>
                <w:sz w:val="18"/>
                <w:szCs w:val="18"/>
              </w:rPr>
              <w:t>(250,000 SDR)</w:t>
            </w:r>
          </w:p>
        </w:tc>
        <w:tc>
          <w:tcPr>
            <w:tcW w:w="1799" w:type="dxa"/>
          </w:tcPr>
          <w:p w14:paraId="14262342" w14:textId="77777777"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18"/>
                <w:szCs w:val="18"/>
              </w:rPr>
            </w:pPr>
            <w:r w:rsidRPr="00C344C5">
              <w:rPr>
                <w:rFonts w:ascii="Calibri" w:hAnsi="Calibri" w:cs="Calibri"/>
                <w:b w:val="0"/>
                <w:color w:val="000000"/>
                <w:sz w:val="18"/>
                <w:szCs w:val="18"/>
              </w:rPr>
              <w:t xml:space="preserve">Athens Tier 2 </w:t>
            </w:r>
          </w:p>
          <w:p w14:paraId="162364A2" w14:textId="4D96D92A"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b w:val="0"/>
                <w:sz w:val="18"/>
                <w:szCs w:val="18"/>
              </w:rPr>
            </w:pPr>
            <w:r w:rsidRPr="00C344C5">
              <w:rPr>
                <w:rFonts w:ascii="Calibri" w:hAnsi="Calibri" w:cs="Calibri"/>
                <w:b w:val="0"/>
                <w:color w:val="000000"/>
                <w:sz w:val="18"/>
                <w:szCs w:val="18"/>
              </w:rPr>
              <w:t>(400,00</w:t>
            </w:r>
            <w:r w:rsidR="004354A8">
              <w:rPr>
                <w:rFonts w:ascii="Calibri" w:hAnsi="Calibri" w:cs="Calibri"/>
                <w:b w:val="0"/>
                <w:color w:val="000000"/>
                <w:sz w:val="18"/>
                <w:szCs w:val="18"/>
              </w:rPr>
              <w:t>0</w:t>
            </w:r>
            <w:r w:rsidRPr="00C344C5">
              <w:rPr>
                <w:rFonts w:ascii="Calibri" w:hAnsi="Calibri" w:cs="Calibri"/>
                <w:b w:val="0"/>
                <w:color w:val="000000"/>
                <w:sz w:val="18"/>
                <w:szCs w:val="18"/>
              </w:rPr>
              <w:t xml:space="preserve"> SDR)</w:t>
            </w:r>
          </w:p>
        </w:tc>
        <w:tc>
          <w:tcPr>
            <w:tcW w:w="1963" w:type="dxa"/>
          </w:tcPr>
          <w:p w14:paraId="66D86388" w14:textId="77777777"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18"/>
                <w:szCs w:val="18"/>
              </w:rPr>
            </w:pPr>
            <w:r w:rsidRPr="00C344C5">
              <w:rPr>
                <w:rFonts w:ascii="Calibri" w:hAnsi="Calibri" w:cs="Calibri"/>
                <w:b w:val="0"/>
                <w:color w:val="000000"/>
                <w:sz w:val="18"/>
                <w:szCs w:val="18"/>
              </w:rPr>
              <w:t xml:space="preserve">LLMC </w:t>
            </w:r>
          </w:p>
          <w:p w14:paraId="166F3997" w14:textId="77777777" w:rsidR="00537C94" w:rsidRPr="00C344C5" w:rsidRDefault="00537C94" w:rsidP="0069386C">
            <w:pPr>
              <w:cnfStyle w:val="100000000000" w:firstRow="1" w:lastRow="0" w:firstColumn="0" w:lastColumn="0" w:oddVBand="0" w:evenVBand="0" w:oddHBand="0" w:evenHBand="0" w:firstRowFirstColumn="0" w:firstRowLastColumn="0" w:lastRowFirstColumn="0" w:lastRowLastColumn="0"/>
              <w:rPr>
                <w:b w:val="0"/>
                <w:sz w:val="18"/>
                <w:szCs w:val="18"/>
              </w:rPr>
            </w:pPr>
            <w:r w:rsidRPr="00C344C5">
              <w:rPr>
                <w:rFonts w:ascii="Calibri" w:hAnsi="Calibri" w:cs="Calibri"/>
                <w:b w:val="0"/>
                <w:color w:val="000000"/>
                <w:sz w:val="18"/>
                <w:szCs w:val="18"/>
              </w:rPr>
              <w:t>(175,000 SDR)</w:t>
            </w:r>
          </w:p>
        </w:tc>
      </w:tr>
      <w:tr w:rsidR="00537C94" w14:paraId="7EBB8350" w14:textId="77777777" w:rsidTr="002820A9">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272" w:type="dxa"/>
          </w:tcPr>
          <w:p w14:paraId="7A310C9F" w14:textId="77777777" w:rsidR="00537C94" w:rsidRPr="00C344C5" w:rsidRDefault="00537C94" w:rsidP="0069386C">
            <w:pPr>
              <w:rPr>
                <w:b w:val="0"/>
                <w:sz w:val="18"/>
                <w:szCs w:val="18"/>
              </w:rPr>
            </w:pPr>
            <w:r w:rsidRPr="00C344C5">
              <w:rPr>
                <w:rFonts w:ascii="Calibri" w:hAnsi="Calibri" w:cs="Calibri"/>
                <w:b w:val="0"/>
                <w:color w:val="000000"/>
                <w:sz w:val="18"/>
                <w:szCs w:val="18"/>
              </w:rPr>
              <w:t>500 Million</w:t>
            </w:r>
            <w:r>
              <w:rPr>
                <w:rFonts w:ascii="Calibri" w:hAnsi="Calibri" w:cs="Calibri"/>
                <w:b w:val="0"/>
                <w:color w:val="000000"/>
                <w:sz w:val="18"/>
                <w:szCs w:val="18"/>
              </w:rPr>
              <w:t xml:space="preserve"> AUD</w:t>
            </w:r>
          </w:p>
        </w:tc>
        <w:tc>
          <w:tcPr>
            <w:tcW w:w="1636" w:type="dxa"/>
          </w:tcPr>
          <w:p w14:paraId="46BE22B4" w14:textId="77777777" w:rsidR="00537C94" w:rsidRPr="00D62F8A" w:rsidRDefault="00537C94" w:rsidP="0069386C">
            <w:pPr>
              <w:cnfStyle w:val="000000100000" w:firstRow="0" w:lastRow="0" w:firstColumn="0" w:lastColumn="0" w:oddVBand="0" w:evenVBand="0" w:oddHBand="1" w:evenHBand="0" w:firstRowFirstColumn="0" w:firstRowLastColumn="0" w:lastRowFirstColumn="0" w:lastRowLastColumn="0"/>
              <w:rPr>
                <w:sz w:val="18"/>
                <w:szCs w:val="18"/>
              </w:rPr>
            </w:pPr>
            <w:r w:rsidRPr="00D62F8A">
              <w:rPr>
                <w:rFonts w:ascii="Calibri" w:hAnsi="Calibri" w:cs="Calibri"/>
                <w:color w:val="000000"/>
                <w:sz w:val="18"/>
                <w:szCs w:val="18"/>
              </w:rPr>
              <w:t>996</w:t>
            </w:r>
            <w:r>
              <w:rPr>
                <w:rFonts w:ascii="Calibri" w:hAnsi="Calibri" w:cs="Calibri"/>
                <w:color w:val="000000"/>
                <w:sz w:val="18"/>
                <w:szCs w:val="18"/>
              </w:rPr>
              <w:t xml:space="preserve"> pax</w:t>
            </w:r>
          </w:p>
        </w:tc>
        <w:tc>
          <w:tcPr>
            <w:tcW w:w="1799" w:type="dxa"/>
          </w:tcPr>
          <w:p w14:paraId="07461F72" w14:textId="77777777" w:rsidR="00537C94" w:rsidRPr="00D62F8A" w:rsidRDefault="00537C94" w:rsidP="0069386C">
            <w:pPr>
              <w:cnfStyle w:val="000000100000" w:firstRow="0" w:lastRow="0" w:firstColumn="0" w:lastColumn="0" w:oddVBand="0" w:evenVBand="0" w:oddHBand="1" w:evenHBand="0" w:firstRowFirstColumn="0" w:firstRowLastColumn="0" w:lastRowFirstColumn="0" w:lastRowLastColumn="0"/>
              <w:rPr>
                <w:sz w:val="18"/>
                <w:szCs w:val="18"/>
              </w:rPr>
            </w:pPr>
            <w:r w:rsidRPr="00D62F8A">
              <w:rPr>
                <w:rFonts w:ascii="Calibri" w:hAnsi="Calibri" w:cs="Calibri"/>
                <w:color w:val="000000"/>
                <w:sz w:val="18"/>
                <w:szCs w:val="18"/>
              </w:rPr>
              <w:t>622</w:t>
            </w:r>
            <w:r>
              <w:rPr>
                <w:rFonts w:ascii="Calibri" w:hAnsi="Calibri" w:cs="Calibri"/>
                <w:color w:val="000000"/>
                <w:sz w:val="18"/>
                <w:szCs w:val="18"/>
              </w:rPr>
              <w:t xml:space="preserve"> pax</w:t>
            </w:r>
          </w:p>
        </w:tc>
        <w:tc>
          <w:tcPr>
            <w:tcW w:w="1963" w:type="dxa"/>
          </w:tcPr>
          <w:p w14:paraId="283119E7" w14:textId="77777777" w:rsidR="00537C94" w:rsidRPr="00D62F8A" w:rsidRDefault="00537C94" w:rsidP="0069386C">
            <w:pPr>
              <w:cnfStyle w:val="000000100000" w:firstRow="0" w:lastRow="0" w:firstColumn="0" w:lastColumn="0" w:oddVBand="0" w:evenVBand="0" w:oddHBand="1" w:evenHBand="0" w:firstRowFirstColumn="0" w:firstRowLastColumn="0" w:lastRowFirstColumn="0" w:lastRowLastColumn="0"/>
              <w:rPr>
                <w:sz w:val="18"/>
                <w:szCs w:val="18"/>
              </w:rPr>
            </w:pPr>
            <w:r w:rsidRPr="00D62F8A">
              <w:rPr>
                <w:rFonts w:ascii="Calibri" w:hAnsi="Calibri" w:cs="Calibri"/>
                <w:color w:val="000000"/>
                <w:sz w:val="18"/>
                <w:szCs w:val="18"/>
              </w:rPr>
              <w:t>1423</w:t>
            </w:r>
            <w:r>
              <w:rPr>
                <w:rFonts w:ascii="Calibri" w:hAnsi="Calibri" w:cs="Calibri"/>
                <w:color w:val="000000"/>
                <w:sz w:val="18"/>
                <w:szCs w:val="18"/>
              </w:rPr>
              <w:t xml:space="preserve"> pax</w:t>
            </w:r>
          </w:p>
        </w:tc>
      </w:tr>
      <w:tr w:rsidR="00537C94" w14:paraId="2629384A" w14:textId="77777777" w:rsidTr="002820A9">
        <w:trPr>
          <w:trHeight w:val="455"/>
        </w:trPr>
        <w:tc>
          <w:tcPr>
            <w:cnfStyle w:val="001000000000" w:firstRow="0" w:lastRow="0" w:firstColumn="1" w:lastColumn="0" w:oddVBand="0" w:evenVBand="0" w:oddHBand="0" w:evenHBand="0" w:firstRowFirstColumn="0" w:firstRowLastColumn="0" w:lastRowFirstColumn="0" w:lastRowLastColumn="0"/>
            <w:tcW w:w="3272" w:type="dxa"/>
          </w:tcPr>
          <w:p w14:paraId="7AA99071" w14:textId="318BB723" w:rsidR="00537C94" w:rsidRPr="00C344C5" w:rsidRDefault="00537C94" w:rsidP="00562088">
            <w:pPr>
              <w:rPr>
                <w:b w:val="0"/>
                <w:sz w:val="18"/>
                <w:szCs w:val="18"/>
              </w:rPr>
            </w:pPr>
            <w:r w:rsidRPr="00C344C5">
              <w:rPr>
                <w:rFonts w:ascii="Calibri" w:hAnsi="Calibri" w:cs="Calibri"/>
                <w:b w:val="0"/>
                <w:color w:val="000000"/>
                <w:sz w:val="18"/>
                <w:szCs w:val="18"/>
              </w:rPr>
              <w:t xml:space="preserve">2 </w:t>
            </w:r>
            <w:r w:rsidR="00562088">
              <w:rPr>
                <w:rFonts w:ascii="Calibri" w:hAnsi="Calibri" w:cs="Calibri"/>
                <w:b w:val="0"/>
                <w:color w:val="000000"/>
                <w:sz w:val="18"/>
                <w:szCs w:val="18"/>
              </w:rPr>
              <w:t>B</w:t>
            </w:r>
            <w:r w:rsidR="00562088" w:rsidRPr="00C344C5">
              <w:rPr>
                <w:rFonts w:ascii="Calibri" w:hAnsi="Calibri" w:cs="Calibri"/>
                <w:b w:val="0"/>
                <w:color w:val="000000"/>
                <w:sz w:val="18"/>
                <w:szCs w:val="18"/>
              </w:rPr>
              <w:t>illion</w:t>
            </w:r>
            <w:r w:rsidR="00562088">
              <w:rPr>
                <w:rFonts w:ascii="Calibri" w:hAnsi="Calibri" w:cs="Calibri"/>
                <w:b w:val="0"/>
                <w:color w:val="000000"/>
                <w:sz w:val="18"/>
                <w:szCs w:val="18"/>
              </w:rPr>
              <w:t xml:space="preserve"> </w:t>
            </w:r>
            <w:r>
              <w:rPr>
                <w:rFonts w:ascii="Calibri" w:hAnsi="Calibri" w:cs="Calibri"/>
                <w:b w:val="0"/>
                <w:color w:val="000000"/>
                <w:sz w:val="18"/>
                <w:szCs w:val="18"/>
              </w:rPr>
              <w:t>AUD</w:t>
            </w:r>
          </w:p>
        </w:tc>
        <w:tc>
          <w:tcPr>
            <w:tcW w:w="1636" w:type="dxa"/>
          </w:tcPr>
          <w:p w14:paraId="56172CF8" w14:textId="77777777" w:rsidR="00537C94" w:rsidRPr="00D62F8A" w:rsidRDefault="00537C94" w:rsidP="0069386C">
            <w:pPr>
              <w:cnfStyle w:val="000000000000" w:firstRow="0" w:lastRow="0" w:firstColumn="0" w:lastColumn="0" w:oddVBand="0" w:evenVBand="0" w:oddHBand="0" w:evenHBand="0" w:firstRowFirstColumn="0" w:firstRowLastColumn="0" w:lastRowFirstColumn="0" w:lastRowLastColumn="0"/>
              <w:rPr>
                <w:sz w:val="18"/>
                <w:szCs w:val="18"/>
              </w:rPr>
            </w:pPr>
            <w:r w:rsidRPr="00D62F8A">
              <w:rPr>
                <w:rFonts w:ascii="Calibri" w:hAnsi="Calibri" w:cs="Calibri"/>
                <w:color w:val="000000"/>
                <w:sz w:val="18"/>
                <w:szCs w:val="18"/>
              </w:rPr>
              <w:t>3985</w:t>
            </w:r>
            <w:r>
              <w:rPr>
                <w:rFonts w:ascii="Calibri" w:hAnsi="Calibri" w:cs="Calibri"/>
                <w:color w:val="000000"/>
                <w:sz w:val="18"/>
                <w:szCs w:val="18"/>
              </w:rPr>
              <w:t xml:space="preserve"> pax</w:t>
            </w:r>
          </w:p>
        </w:tc>
        <w:tc>
          <w:tcPr>
            <w:tcW w:w="1799" w:type="dxa"/>
          </w:tcPr>
          <w:p w14:paraId="522511EA" w14:textId="77777777" w:rsidR="00537C94" w:rsidRPr="00D62F8A" w:rsidRDefault="00537C94" w:rsidP="0069386C">
            <w:pPr>
              <w:cnfStyle w:val="000000000000" w:firstRow="0" w:lastRow="0" w:firstColumn="0" w:lastColumn="0" w:oddVBand="0" w:evenVBand="0" w:oddHBand="0" w:evenHBand="0" w:firstRowFirstColumn="0" w:firstRowLastColumn="0" w:lastRowFirstColumn="0" w:lastRowLastColumn="0"/>
              <w:rPr>
                <w:sz w:val="18"/>
                <w:szCs w:val="18"/>
              </w:rPr>
            </w:pPr>
            <w:r w:rsidRPr="00D62F8A">
              <w:rPr>
                <w:rFonts w:ascii="Calibri" w:hAnsi="Calibri" w:cs="Calibri"/>
                <w:color w:val="000000"/>
                <w:sz w:val="18"/>
                <w:szCs w:val="18"/>
              </w:rPr>
              <w:t>2490</w:t>
            </w:r>
            <w:r>
              <w:rPr>
                <w:rFonts w:ascii="Calibri" w:hAnsi="Calibri" w:cs="Calibri"/>
                <w:color w:val="000000"/>
                <w:sz w:val="18"/>
                <w:szCs w:val="18"/>
              </w:rPr>
              <w:t xml:space="preserve"> pax</w:t>
            </w:r>
          </w:p>
        </w:tc>
        <w:tc>
          <w:tcPr>
            <w:tcW w:w="1963" w:type="dxa"/>
          </w:tcPr>
          <w:p w14:paraId="732D2674" w14:textId="77777777" w:rsidR="00537C94" w:rsidRPr="00D62F8A" w:rsidRDefault="00537C94" w:rsidP="0069386C">
            <w:pPr>
              <w:cnfStyle w:val="000000000000" w:firstRow="0" w:lastRow="0" w:firstColumn="0" w:lastColumn="0" w:oddVBand="0" w:evenVBand="0" w:oddHBand="0" w:evenHBand="0" w:firstRowFirstColumn="0" w:firstRowLastColumn="0" w:lastRowFirstColumn="0" w:lastRowLastColumn="0"/>
              <w:rPr>
                <w:sz w:val="18"/>
                <w:szCs w:val="18"/>
              </w:rPr>
            </w:pPr>
            <w:r w:rsidRPr="00D62F8A">
              <w:rPr>
                <w:rFonts w:ascii="Calibri" w:hAnsi="Calibri" w:cs="Calibri"/>
                <w:color w:val="000000"/>
                <w:sz w:val="18"/>
                <w:szCs w:val="18"/>
              </w:rPr>
              <w:t>5693</w:t>
            </w:r>
            <w:r>
              <w:rPr>
                <w:rFonts w:ascii="Calibri" w:hAnsi="Calibri" w:cs="Calibri"/>
                <w:color w:val="000000"/>
                <w:sz w:val="18"/>
                <w:szCs w:val="18"/>
              </w:rPr>
              <w:t xml:space="preserve"> pax</w:t>
            </w:r>
          </w:p>
        </w:tc>
      </w:tr>
    </w:tbl>
    <w:p w14:paraId="27AF3240" w14:textId="57EE3C3D" w:rsidR="00537C94" w:rsidRPr="007077E9" w:rsidRDefault="00537C94" w:rsidP="00537C94">
      <w:pPr>
        <w:rPr>
          <w:sz w:val="18"/>
          <w:szCs w:val="20"/>
        </w:rPr>
      </w:pPr>
      <w:r w:rsidRPr="00BA2F6A">
        <w:rPr>
          <w:sz w:val="18"/>
          <w:szCs w:val="20"/>
        </w:rPr>
        <w:t>* AUD to Special Drawing Rights conversion on 13 Nov 2019 (1</w:t>
      </w:r>
      <w:r w:rsidR="004354A8">
        <w:rPr>
          <w:sz w:val="18"/>
          <w:szCs w:val="20"/>
        </w:rPr>
        <w:t xml:space="preserve"> </w:t>
      </w:r>
      <w:r>
        <w:rPr>
          <w:sz w:val="18"/>
          <w:szCs w:val="20"/>
        </w:rPr>
        <w:t>SDR</w:t>
      </w:r>
      <w:r w:rsidRPr="00BA2F6A">
        <w:rPr>
          <w:sz w:val="18"/>
          <w:szCs w:val="20"/>
        </w:rPr>
        <w:t xml:space="preserve"> = 2.00724 AUD) </w:t>
      </w:r>
    </w:p>
    <w:p w14:paraId="19910E1B" w14:textId="77777777" w:rsidR="002954F1" w:rsidRDefault="002954F1" w:rsidP="00554E02">
      <w:pPr>
        <w:pStyle w:val="Caption"/>
      </w:pPr>
      <w:bookmarkStart w:id="72" w:name="_Toc36560350"/>
    </w:p>
    <w:p w14:paraId="523B84FA" w14:textId="425031BE" w:rsidR="00554E02" w:rsidRPr="00027F78" w:rsidRDefault="00554E02" w:rsidP="00554E02">
      <w:pPr>
        <w:pStyle w:val="Caption"/>
      </w:pPr>
      <w:r w:rsidRPr="00027F78">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3</w:t>
      </w:r>
      <w:r w:rsidR="00B435A7">
        <w:rPr>
          <w:noProof/>
        </w:rPr>
        <w:fldChar w:fldCharType="end"/>
      </w:r>
      <w:r w:rsidRPr="00027F78">
        <w:t>: Liability limits for loss or damage to luggage and vehicles Scenarios</w:t>
      </w:r>
      <w:bookmarkEnd w:id="72"/>
    </w:p>
    <w:tbl>
      <w:tblPr>
        <w:tblStyle w:val="GridTable6Colorful-Accent4"/>
        <w:tblW w:w="0" w:type="auto"/>
        <w:tblLook w:val="04A0" w:firstRow="1" w:lastRow="0" w:firstColumn="1" w:lastColumn="0" w:noHBand="0" w:noVBand="1"/>
      </w:tblPr>
      <w:tblGrid>
        <w:gridCol w:w="1407"/>
        <w:gridCol w:w="1204"/>
        <w:gridCol w:w="672"/>
        <w:gridCol w:w="2591"/>
        <w:gridCol w:w="2774"/>
      </w:tblGrid>
      <w:tr w:rsidR="00537C94" w:rsidRPr="005E107E" w14:paraId="47215CB5" w14:textId="77777777" w:rsidTr="002820A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07" w:type="dxa"/>
          </w:tcPr>
          <w:p w14:paraId="134DABDC" w14:textId="77777777" w:rsidR="00537C94" w:rsidRPr="005E107E" w:rsidRDefault="00537C94" w:rsidP="0069386C">
            <w:pPr>
              <w:jc w:val="left"/>
              <w:rPr>
                <w:b w:val="0"/>
              </w:rPr>
            </w:pPr>
            <w:r w:rsidRPr="005E107E">
              <w:rPr>
                <w:b w:val="0"/>
              </w:rPr>
              <w:t xml:space="preserve">Cruise Ship </w:t>
            </w:r>
          </w:p>
        </w:tc>
        <w:tc>
          <w:tcPr>
            <w:tcW w:w="1204" w:type="dxa"/>
          </w:tcPr>
          <w:p w14:paraId="25C6E1ED" w14:textId="77777777" w:rsidR="00537C94" w:rsidRPr="005E107E" w:rsidRDefault="00537C94" w:rsidP="0069386C">
            <w:pPr>
              <w:jc w:val="left"/>
              <w:cnfStyle w:val="100000000000" w:firstRow="1" w:lastRow="0" w:firstColumn="0" w:lastColumn="0" w:oddVBand="0" w:evenVBand="0" w:oddHBand="0" w:evenHBand="0" w:firstRowFirstColumn="0" w:firstRowLastColumn="0" w:lastRowFirstColumn="0" w:lastRowLastColumn="0"/>
              <w:rPr>
                <w:b w:val="0"/>
              </w:rPr>
            </w:pPr>
            <w:r w:rsidRPr="005E107E">
              <w:rPr>
                <w:b w:val="0"/>
              </w:rPr>
              <w:t>Max pax capacity</w:t>
            </w:r>
          </w:p>
        </w:tc>
        <w:tc>
          <w:tcPr>
            <w:tcW w:w="672" w:type="dxa"/>
          </w:tcPr>
          <w:p w14:paraId="59D6141E" w14:textId="77777777" w:rsidR="00537C94" w:rsidRPr="005E107E" w:rsidRDefault="00537C94" w:rsidP="0069386C">
            <w:pPr>
              <w:cnfStyle w:val="100000000000" w:firstRow="1" w:lastRow="0" w:firstColumn="0" w:lastColumn="0" w:oddVBand="0" w:evenVBand="0" w:oddHBand="0" w:evenHBand="0" w:firstRowFirstColumn="0" w:firstRowLastColumn="0" w:lastRowFirstColumn="0" w:lastRowLastColumn="0"/>
              <w:rPr>
                <w:b w:val="0"/>
              </w:rPr>
            </w:pPr>
          </w:p>
        </w:tc>
        <w:tc>
          <w:tcPr>
            <w:tcW w:w="2591" w:type="dxa"/>
          </w:tcPr>
          <w:p w14:paraId="06DB3F44" w14:textId="0D86C472" w:rsidR="00537C94" w:rsidRPr="005E107E" w:rsidRDefault="00537C94" w:rsidP="0069386C">
            <w:pPr>
              <w:jc w:val="left"/>
              <w:cnfStyle w:val="100000000000" w:firstRow="1" w:lastRow="0" w:firstColumn="0" w:lastColumn="0" w:oddVBand="0" w:evenVBand="0" w:oddHBand="0" w:evenHBand="0" w:firstRowFirstColumn="0" w:firstRowLastColumn="0" w:lastRowFirstColumn="0" w:lastRowLastColumn="0"/>
              <w:rPr>
                <w:b w:val="0"/>
              </w:rPr>
            </w:pPr>
            <w:r w:rsidRPr="005E107E">
              <w:rPr>
                <w:b w:val="0"/>
              </w:rPr>
              <w:t>Loss or damage of cabin luggage</w:t>
            </w:r>
            <w:r w:rsidR="00C17270">
              <w:rPr>
                <w:b w:val="0"/>
                <w:bCs w:val="0"/>
              </w:rPr>
              <w:t xml:space="preserve"> </w:t>
            </w:r>
            <w:r w:rsidRPr="005E107E">
              <w:rPr>
                <w:b w:val="0"/>
              </w:rPr>
              <w:t>(2,250 SDR</w:t>
            </w:r>
            <w:r>
              <w:rPr>
                <w:b w:val="0"/>
              </w:rPr>
              <w:t>)</w:t>
            </w:r>
          </w:p>
        </w:tc>
        <w:tc>
          <w:tcPr>
            <w:tcW w:w="2774" w:type="dxa"/>
          </w:tcPr>
          <w:p w14:paraId="17CA4E0F" w14:textId="70732CB3" w:rsidR="00537C94" w:rsidRPr="005E107E" w:rsidRDefault="00537C94" w:rsidP="0069386C">
            <w:pPr>
              <w:jc w:val="left"/>
              <w:cnfStyle w:val="100000000000" w:firstRow="1" w:lastRow="0" w:firstColumn="0" w:lastColumn="0" w:oddVBand="0" w:evenVBand="0" w:oddHBand="0" w:evenHBand="0" w:firstRowFirstColumn="0" w:firstRowLastColumn="0" w:lastRowFirstColumn="0" w:lastRowLastColumn="0"/>
              <w:rPr>
                <w:b w:val="0"/>
              </w:rPr>
            </w:pPr>
            <w:r w:rsidRPr="005E107E">
              <w:rPr>
                <w:b w:val="0"/>
              </w:rPr>
              <w:t>Loss or damage to other luggage</w:t>
            </w:r>
            <w:r w:rsidR="00C17270">
              <w:rPr>
                <w:b w:val="0"/>
                <w:bCs w:val="0"/>
              </w:rPr>
              <w:t xml:space="preserve"> </w:t>
            </w:r>
            <w:r w:rsidRPr="005E107E">
              <w:rPr>
                <w:b w:val="0"/>
              </w:rPr>
              <w:t>(3,375 SDR)</w:t>
            </w:r>
          </w:p>
        </w:tc>
      </w:tr>
      <w:tr w:rsidR="00537C94" w14:paraId="55DAE02A" w14:textId="77777777" w:rsidTr="002820A9">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07" w:type="dxa"/>
            <w:vMerge w:val="restart"/>
          </w:tcPr>
          <w:p w14:paraId="65EE5BA0" w14:textId="77777777" w:rsidR="00537C94" w:rsidRPr="00C17270" w:rsidRDefault="00537C94" w:rsidP="0069386C">
            <w:pPr>
              <w:jc w:val="left"/>
              <w:rPr>
                <w:b w:val="0"/>
                <w:szCs w:val="22"/>
              </w:rPr>
            </w:pPr>
            <w:r w:rsidRPr="00C17270">
              <w:rPr>
                <w:b w:val="0"/>
                <w:szCs w:val="22"/>
              </w:rPr>
              <w:t>Ovation of the Seas</w:t>
            </w:r>
          </w:p>
        </w:tc>
        <w:tc>
          <w:tcPr>
            <w:tcW w:w="1204" w:type="dxa"/>
            <w:vMerge w:val="restart"/>
          </w:tcPr>
          <w:p w14:paraId="043DFB18"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4180</w:t>
            </w:r>
          </w:p>
        </w:tc>
        <w:tc>
          <w:tcPr>
            <w:tcW w:w="672" w:type="dxa"/>
          </w:tcPr>
          <w:p w14:paraId="58D685C2"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SDR</w:t>
            </w:r>
          </w:p>
        </w:tc>
        <w:tc>
          <w:tcPr>
            <w:tcW w:w="2591" w:type="dxa"/>
          </w:tcPr>
          <w:p w14:paraId="38D64C9A" w14:textId="77777777" w:rsidR="00537C94" w:rsidRPr="00C267D9"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267D9">
              <w:rPr>
                <w:rFonts w:ascii="Calibri" w:hAnsi="Calibri" w:cs="Calibri"/>
                <w:color w:val="000000"/>
                <w:sz w:val="18"/>
                <w:szCs w:val="18"/>
              </w:rPr>
              <w:t>9</w:t>
            </w:r>
            <w:r>
              <w:rPr>
                <w:rFonts w:ascii="Calibri" w:hAnsi="Calibri" w:cs="Calibri"/>
                <w:color w:val="000000"/>
                <w:sz w:val="18"/>
                <w:szCs w:val="18"/>
              </w:rPr>
              <w:t>.4 million</w:t>
            </w:r>
          </w:p>
        </w:tc>
        <w:tc>
          <w:tcPr>
            <w:tcW w:w="2774" w:type="dxa"/>
          </w:tcPr>
          <w:p w14:paraId="104583B8" w14:textId="77777777" w:rsidR="00537C94" w:rsidRPr="00C267D9"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267D9">
              <w:rPr>
                <w:rFonts w:ascii="Calibri" w:hAnsi="Calibri" w:cs="Calibri"/>
                <w:color w:val="000000"/>
                <w:sz w:val="18"/>
                <w:szCs w:val="18"/>
              </w:rPr>
              <w:t>14</w:t>
            </w:r>
            <w:r>
              <w:rPr>
                <w:rFonts w:ascii="Calibri" w:hAnsi="Calibri" w:cs="Calibri"/>
                <w:color w:val="000000"/>
                <w:sz w:val="18"/>
                <w:szCs w:val="18"/>
              </w:rPr>
              <w:t>.1 million</w:t>
            </w:r>
          </w:p>
        </w:tc>
      </w:tr>
      <w:tr w:rsidR="00537C94" w14:paraId="57409EE7" w14:textId="77777777" w:rsidTr="002820A9">
        <w:trPr>
          <w:trHeight w:val="404"/>
        </w:trPr>
        <w:tc>
          <w:tcPr>
            <w:cnfStyle w:val="001000000000" w:firstRow="0" w:lastRow="0" w:firstColumn="1" w:lastColumn="0" w:oddVBand="0" w:evenVBand="0" w:oddHBand="0" w:evenHBand="0" w:firstRowFirstColumn="0" w:firstRowLastColumn="0" w:lastRowFirstColumn="0" w:lastRowLastColumn="0"/>
            <w:tcW w:w="1407" w:type="dxa"/>
            <w:vMerge/>
          </w:tcPr>
          <w:p w14:paraId="48D69F8C" w14:textId="77777777" w:rsidR="00537C94" w:rsidRPr="00C17270" w:rsidRDefault="00537C94" w:rsidP="0069386C">
            <w:pPr>
              <w:jc w:val="left"/>
              <w:rPr>
                <w:b w:val="0"/>
                <w:szCs w:val="22"/>
              </w:rPr>
            </w:pPr>
          </w:p>
        </w:tc>
        <w:tc>
          <w:tcPr>
            <w:tcW w:w="1204" w:type="dxa"/>
            <w:vMerge/>
          </w:tcPr>
          <w:p w14:paraId="6CB39419"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p>
        </w:tc>
        <w:tc>
          <w:tcPr>
            <w:tcW w:w="672" w:type="dxa"/>
          </w:tcPr>
          <w:p w14:paraId="404585E8"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r>
              <w:t>AUD</w:t>
            </w:r>
          </w:p>
        </w:tc>
        <w:tc>
          <w:tcPr>
            <w:tcW w:w="2591" w:type="dxa"/>
          </w:tcPr>
          <w:p w14:paraId="462EF4D1" w14:textId="77777777" w:rsidR="00537C94" w:rsidRPr="00C267D9"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C267D9">
              <w:rPr>
                <w:rFonts w:ascii="Calibri" w:hAnsi="Calibri" w:cs="Calibri"/>
                <w:color w:val="000000"/>
                <w:sz w:val="18"/>
                <w:szCs w:val="18"/>
              </w:rPr>
              <w:t>18</w:t>
            </w:r>
            <w:r>
              <w:rPr>
                <w:rFonts w:ascii="Calibri" w:hAnsi="Calibri" w:cs="Calibri"/>
                <w:color w:val="000000"/>
                <w:sz w:val="18"/>
                <w:szCs w:val="18"/>
              </w:rPr>
              <w:t>.9 million</w:t>
            </w:r>
          </w:p>
        </w:tc>
        <w:tc>
          <w:tcPr>
            <w:tcW w:w="2774" w:type="dxa"/>
          </w:tcPr>
          <w:p w14:paraId="1272C01C" w14:textId="77777777" w:rsidR="00537C94" w:rsidRPr="00C267D9"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C267D9">
              <w:rPr>
                <w:rFonts w:ascii="Calibri" w:hAnsi="Calibri" w:cs="Calibri"/>
                <w:color w:val="000000"/>
                <w:sz w:val="18"/>
                <w:szCs w:val="18"/>
              </w:rPr>
              <w:t>28</w:t>
            </w:r>
            <w:r>
              <w:rPr>
                <w:rFonts w:ascii="Calibri" w:hAnsi="Calibri" w:cs="Calibri"/>
                <w:color w:val="000000"/>
                <w:sz w:val="18"/>
                <w:szCs w:val="18"/>
              </w:rPr>
              <w:t>.3 million</w:t>
            </w:r>
          </w:p>
        </w:tc>
      </w:tr>
      <w:tr w:rsidR="00537C94" w14:paraId="49AC878E" w14:textId="77777777" w:rsidTr="002820A9">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07" w:type="dxa"/>
            <w:vMerge w:val="restart"/>
          </w:tcPr>
          <w:p w14:paraId="651CEE9D" w14:textId="77777777" w:rsidR="00537C94" w:rsidRPr="00C17270" w:rsidRDefault="00537C94" w:rsidP="0069386C">
            <w:pPr>
              <w:jc w:val="left"/>
              <w:rPr>
                <w:b w:val="0"/>
                <w:szCs w:val="22"/>
              </w:rPr>
            </w:pPr>
            <w:r w:rsidRPr="00C17270">
              <w:rPr>
                <w:b w:val="0"/>
                <w:szCs w:val="22"/>
              </w:rPr>
              <w:t>Queen Mary 2</w:t>
            </w:r>
          </w:p>
        </w:tc>
        <w:tc>
          <w:tcPr>
            <w:tcW w:w="1204" w:type="dxa"/>
            <w:vMerge w:val="restart"/>
          </w:tcPr>
          <w:p w14:paraId="21FAF00D"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3271</w:t>
            </w:r>
          </w:p>
        </w:tc>
        <w:tc>
          <w:tcPr>
            <w:tcW w:w="672" w:type="dxa"/>
          </w:tcPr>
          <w:p w14:paraId="32D7F598"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SDR</w:t>
            </w:r>
          </w:p>
        </w:tc>
        <w:tc>
          <w:tcPr>
            <w:tcW w:w="2591" w:type="dxa"/>
          </w:tcPr>
          <w:p w14:paraId="21F59E04" w14:textId="77777777" w:rsidR="00537C94" w:rsidRPr="00C267D9"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7.4 million</w:t>
            </w:r>
          </w:p>
        </w:tc>
        <w:tc>
          <w:tcPr>
            <w:tcW w:w="2774" w:type="dxa"/>
          </w:tcPr>
          <w:p w14:paraId="66BBB21A" w14:textId="77777777" w:rsidR="00537C94" w:rsidRPr="00C267D9"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267D9">
              <w:rPr>
                <w:rFonts w:ascii="Calibri" w:hAnsi="Calibri" w:cs="Calibri"/>
                <w:color w:val="000000"/>
                <w:sz w:val="18"/>
                <w:szCs w:val="18"/>
              </w:rPr>
              <w:t>11</w:t>
            </w:r>
            <w:r>
              <w:rPr>
                <w:rFonts w:ascii="Calibri" w:hAnsi="Calibri" w:cs="Calibri"/>
                <w:color w:val="000000"/>
                <w:sz w:val="18"/>
                <w:szCs w:val="18"/>
              </w:rPr>
              <w:t>.04 million</w:t>
            </w:r>
          </w:p>
        </w:tc>
      </w:tr>
      <w:tr w:rsidR="00537C94" w14:paraId="007398DF" w14:textId="77777777" w:rsidTr="002820A9">
        <w:trPr>
          <w:trHeight w:val="381"/>
        </w:trPr>
        <w:tc>
          <w:tcPr>
            <w:cnfStyle w:val="001000000000" w:firstRow="0" w:lastRow="0" w:firstColumn="1" w:lastColumn="0" w:oddVBand="0" w:evenVBand="0" w:oddHBand="0" w:evenHBand="0" w:firstRowFirstColumn="0" w:firstRowLastColumn="0" w:lastRowFirstColumn="0" w:lastRowLastColumn="0"/>
            <w:tcW w:w="1407" w:type="dxa"/>
            <w:vMerge/>
          </w:tcPr>
          <w:p w14:paraId="7AD932F1" w14:textId="77777777" w:rsidR="00537C94" w:rsidRPr="00C17270" w:rsidRDefault="00537C94" w:rsidP="0069386C">
            <w:pPr>
              <w:jc w:val="left"/>
              <w:rPr>
                <w:b w:val="0"/>
                <w:szCs w:val="22"/>
              </w:rPr>
            </w:pPr>
          </w:p>
        </w:tc>
        <w:tc>
          <w:tcPr>
            <w:tcW w:w="1204" w:type="dxa"/>
            <w:vMerge/>
          </w:tcPr>
          <w:p w14:paraId="79843804"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p>
        </w:tc>
        <w:tc>
          <w:tcPr>
            <w:tcW w:w="672" w:type="dxa"/>
          </w:tcPr>
          <w:p w14:paraId="6065E404"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r>
              <w:t>AUD</w:t>
            </w:r>
          </w:p>
        </w:tc>
        <w:tc>
          <w:tcPr>
            <w:tcW w:w="2591" w:type="dxa"/>
          </w:tcPr>
          <w:p w14:paraId="3FE96351" w14:textId="77777777" w:rsidR="00537C94" w:rsidRPr="00C267D9"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C267D9">
              <w:rPr>
                <w:rFonts w:ascii="Calibri" w:hAnsi="Calibri" w:cs="Calibri"/>
                <w:color w:val="000000"/>
                <w:sz w:val="18"/>
                <w:szCs w:val="18"/>
              </w:rPr>
              <w:t>14</w:t>
            </w:r>
            <w:r>
              <w:rPr>
                <w:rFonts w:ascii="Calibri" w:hAnsi="Calibri" w:cs="Calibri"/>
                <w:color w:val="000000"/>
                <w:sz w:val="18"/>
                <w:szCs w:val="18"/>
              </w:rPr>
              <w:t>.8 million</w:t>
            </w:r>
          </w:p>
        </w:tc>
        <w:tc>
          <w:tcPr>
            <w:tcW w:w="2774" w:type="dxa"/>
          </w:tcPr>
          <w:p w14:paraId="7793E98C" w14:textId="77777777" w:rsidR="00537C94" w:rsidRPr="00C267D9"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C267D9">
              <w:rPr>
                <w:rFonts w:ascii="Calibri" w:hAnsi="Calibri" w:cs="Calibri"/>
                <w:color w:val="000000"/>
                <w:sz w:val="18"/>
                <w:szCs w:val="18"/>
              </w:rPr>
              <w:t>22</w:t>
            </w:r>
            <w:r>
              <w:rPr>
                <w:rFonts w:ascii="Calibri" w:hAnsi="Calibri" w:cs="Calibri"/>
                <w:color w:val="000000"/>
                <w:sz w:val="18"/>
                <w:szCs w:val="18"/>
              </w:rPr>
              <w:t>.2 million</w:t>
            </w:r>
          </w:p>
        </w:tc>
      </w:tr>
      <w:tr w:rsidR="00537C94" w14:paraId="1C478701" w14:textId="77777777" w:rsidTr="002820A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07" w:type="dxa"/>
            <w:vMerge w:val="restart"/>
          </w:tcPr>
          <w:p w14:paraId="6DBC63F9" w14:textId="77777777" w:rsidR="00537C94" w:rsidRPr="00C17270" w:rsidRDefault="00537C94" w:rsidP="0069386C">
            <w:pPr>
              <w:jc w:val="left"/>
              <w:rPr>
                <w:b w:val="0"/>
                <w:szCs w:val="22"/>
              </w:rPr>
            </w:pPr>
            <w:r w:rsidRPr="00C17270">
              <w:rPr>
                <w:b w:val="0"/>
                <w:szCs w:val="22"/>
              </w:rPr>
              <w:t>Pacific Adventurer</w:t>
            </w:r>
          </w:p>
        </w:tc>
        <w:tc>
          <w:tcPr>
            <w:tcW w:w="1204" w:type="dxa"/>
            <w:vMerge w:val="restart"/>
          </w:tcPr>
          <w:p w14:paraId="6F5433CD"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2636</w:t>
            </w:r>
          </w:p>
        </w:tc>
        <w:tc>
          <w:tcPr>
            <w:tcW w:w="672" w:type="dxa"/>
          </w:tcPr>
          <w:p w14:paraId="0C543DE1"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SDR</w:t>
            </w:r>
          </w:p>
        </w:tc>
        <w:tc>
          <w:tcPr>
            <w:tcW w:w="2591" w:type="dxa"/>
          </w:tcPr>
          <w:p w14:paraId="16D6A4B3" w14:textId="77777777" w:rsidR="00537C94" w:rsidRPr="00C267D9"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267D9">
              <w:rPr>
                <w:rFonts w:ascii="Calibri" w:hAnsi="Calibri" w:cs="Calibri"/>
                <w:color w:val="000000"/>
                <w:sz w:val="18"/>
                <w:szCs w:val="18"/>
              </w:rPr>
              <w:t>5</w:t>
            </w:r>
            <w:r>
              <w:rPr>
                <w:rFonts w:ascii="Calibri" w:hAnsi="Calibri" w:cs="Calibri"/>
                <w:color w:val="000000"/>
                <w:sz w:val="18"/>
                <w:szCs w:val="18"/>
              </w:rPr>
              <w:t>.9 million</w:t>
            </w:r>
          </w:p>
        </w:tc>
        <w:tc>
          <w:tcPr>
            <w:tcW w:w="2774" w:type="dxa"/>
          </w:tcPr>
          <w:p w14:paraId="43793733" w14:textId="77777777" w:rsidR="00537C94" w:rsidRPr="00C267D9"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267D9">
              <w:rPr>
                <w:rFonts w:ascii="Calibri" w:hAnsi="Calibri" w:cs="Calibri"/>
                <w:color w:val="000000"/>
                <w:sz w:val="18"/>
                <w:szCs w:val="18"/>
              </w:rPr>
              <w:t>8</w:t>
            </w:r>
            <w:r>
              <w:rPr>
                <w:rFonts w:ascii="Calibri" w:hAnsi="Calibri" w:cs="Calibri"/>
                <w:color w:val="000000"/>
                <w:sz w:val="18"/>
                <w:szCs w:val="18"/>
              </w:rPr>
              <w:t>.9 million</w:t>
            </w:r>
          </w:p>
        </w:tc>
      </w:tr>
      <w:tr w:rsidR="00537C94" w14:paraId="7B4D45BD" w14:textId="77777777" w:rsidTr="002820A9">
        <w:trPr>
          <w:trHeight w:val="381"/>
        </w:trPr>
        <w:tc>
          <w:tcPr>
            <w:cnfStyle w:val="001000000000" w:firstRow="0" w:lastRow="0" w:firstColumn="1" w:lastColumn="0" w:oddVBand="0" w:evenVBand="0" w:oddHBand="0" w:evenHBand="0" w:firstRowFirstColumn="0" w:firstRowLastColumn="0" w:lastRowFirstColumn="0" w:lastRowLastColumn="0"/>
            <w:tcW w:w="1407" w:type="dxa"/>
            <w:vMerge/>
          </w:tcPr>
          <w:p w14:paraId="7F130548" w14:textId="77777777" w:rsidR="00537C94" w:rsidRPr="00C17270" w:rsidRDefault="00537C94" w:rsidP="0069386C">
            <w:pPr>
              <w:jc w:val="left"/>
              <w:rPr>
                <w:b w:val="0"/>
                <w:szCs w:val="22"/>
              </w:rPr>
            </w:pPr>
          </w:p>
        </w:tc>
        <w:tc>
          <w:tcPr>
            <w:tcW w:w="1204" w:type="dxa"/>
            <w:vMerge/>
          </w:tcPr>
          <w:p w14:paraId="17BE85C8"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p>
        </w:tc>
        <w:tc>
          <w:tcPr>
            <w:tcW w:w="672" w:type="dxa"/>
          </w:tcPr>
          <w:p w14:paraId="031F0F6B"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r>
              <w:t>AUD</w:t>
            </w:r>
          </w:p>
        </w:tc>
        <w:tc>
          <w:tcPr>
            <w:tcW w:w="2591" w:type="dxa"/>
          </w:tcPr>
          <w:p w14:paraId="599F3377" w14:textId="77777777" w:rsidR="00537C94" w:rsidRPr="00C267D9"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C267D9">
              <w:rPr>
                <w:rFonts w:ascii="Calibri" w:hAnsi="Calibri" w:cs="Calibri"/>
                <w:color w:val="000000"/>
                <w:sz w:val="18"/>
                <w:szCs w:val="18"/>
              </w:rPr>
              <w:t>11</w:t>
            </w:r>
            <w:r>
              <w:rPr>
                <w:rFonts w:ascii="Calibri" w:hAnsi="Calibri" w:cs="Calibri"/>
                <w:color w:val="000000"/>
                <w:sz w:val="18"/>
                <w:szCs w:val="18"/>
              </w:rPr>
              <w:t>.9 million</w:t>
            </w:r>
          </w:p>
        </w:tc>
        <w:tc>
          <w:tcPr>
            <w:tcW w:w="2774" w:type="dxa"/>
          </w:tcPr>
          <w:p w14:paraId="4B8653E5" w14:textId="77777777" w:rsidR="00537C94" w:rsidRPr="00C267D9"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C267D9">
              <w:rPr>
                <w:rFonts w:ascii="Calibri" w:hAnsi="Calibri" w:cs="Calibri"/>
                <w:color w:val="000000"/>
                <w:sz w:val="18"/>
                <w:szCs w:val="18"/>
              </w:rPr>
              <w:t>17</w:t>
            </w:r>
            <w:r>
              <w:rPr>
                <w:rFonts w:ascii="Calibri" w:hAnsi="Calibri" w:cs="Calibri"/>
                <w:color w:val="000000"/>
                <w:sz w:val="18"/>
                <w:szCs w:val="18"/>
              </w:rPr>
              <w:t>.9 million</w:t>
            </w:r>
          </w:p>
        </w:tc>
      </w:tr>
      <w:tr w:rsidR="00537C94" w14:paraId="17B1F438" w14:textId="77777777" w:rsidTr="002820A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07" w:type="dxa"/>
            <w:vMerge w:val="restart"/>
          </w:tcPr>
          <w:p w14:paraId="5E7963C9" w14:textId="77777777" w:rsidR="00537C94" w:rsidRPr="00C17270" w:rsidRDefault="00537C94" w:rsidP="0069386C">
            <w:pPr>
              <w:jc w:val="left"/>
              <w:rPr>
                <w:b w:val="0"/>
                <w:szCs w:val="22"/>
              </w:rPr>
            </w:pPr>
            <w:r w:rsidRPr="00C17270">
              <w:rPr>
                <w:b w:val="0"/>
                <w:szCs w:val="22"/>
              </w:rPr>
              <w:t>Pacific Dawn</w:t>
            </w:r>
          </w:p>
        </w:tc>
        <w:tc>
          <w:tcPr>
            <w:tcW w:w="1204" w:type="dxa"/>
            <w:vMerge w:val="restart"/>
          </w:tcPr>
          <w:p w14:paraId="71F6073C"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1915</w:t>
            </w:r>
          </w:p>
        </w:tc>
        <w:tc>
          <w:tcPr>
            <w:tcW w:w="672" w:type="dxa"/>
          </w:tcPr>
          <w:p w14:paraId="0680743F"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SDR</w:t>
            </w:r>
          </w:p>
        </w:tc>
        <w:tc>
          <w:tcPr>
            <w:tcW w:w="2591" w:type="dxa"/>
          </w:tcPr>
          <w:p w14:paraId="08F85AA6" w14:textId="77777777" w:rsidR="00537C94" w:rsidRPr="00C267D9"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267D9">
              <w:rPr>
                <w:rFonts w:ascii="Calibri" w:hAnsi="Calibri" w:cs="Calibri"/>
                <w:color w:val="000000"/>
                <w:sz w:val="18"/>
                <w:szCs w:val="18"/>
              </w:rPr>
              <w:t>4</w:t>
            </w:r>
            <w:r>
              <w:rPr>
                <w:rFonts w:ascii="Calibri" w:hAnsi="Calibri" w:cs="Calibri"/>
                <w:color w:val="000000"/>
                <w:sz w:val="18"/>
                <w:szCs w:val="18"/>
              </w:rPr>
              <w:t>.3 million</w:t>
            </w:r>
          </w:p>
        </w:tc>
        <w:tc>
          <w:tcPr>
            <w:tcW w:w="2774" w:type="dxa"/>
          </w:tcPr>
          <w:p w14:paraId="3ABA49E7" w14:textId="77777777" w:rsidR="00537C94" w:rsidRPr="00C267D9"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267D9">
              <w:rPr>
                <w:rFonts w:ascii="Calibri" w:hAnsi="Calibri" w:cs="Calibri"/>
                <w:color w:val="000000"/>
                <w:sz w:val="18"/>
                <w:szCs w:val="18"/>
              </w:rPr>
              <w:t>6</w:t>
            </w:r>
            <w:r>
              <w:rPr>
                <w:rFonts w:ascii="Calibri" w:hAnsi="Calibri" w:cs="Calibri"/>
                <w:color w:val="000000"/>
                <w:sz w:val="18"/>
                <w:szCs w:val="18"/>
              </w:rPr>
              <w:t>.5 million</w:t>
            </w:r>
          </w:p>
        </w:tc>
      </w:tr>
      <w:tr w:rsidR="00537C94" w14:paraId="331EC595" w14:textId="77777777" w:rsidTr="002820A9">
        <w:trPr>
          <w:trHeight w:val="381"/>
        </w:trPr>
        <w:tc>
          <w:tcPr>
            <w:cnfStyle w:val="001000000000" w:firstRow="0" w:lastRow="0" w:firstColumn="1" w:lastColumn="0" w:oddVBand="0" w:evenVBand="0" w:oddHBand="0" w:evenHBand="0" w:firstRowFirstColumn="0" w:firstRowLastColumn="0" w:lastRowFirstColumn="0" w:lastRowLastColumn="0"/>
            <w:tcW w:w="1407" w:type="dxa"/>
            <w:vMerge/>
          </w:tcPr>
          <w:p w14:paraId="20F2BEE5" w14:textId="77777777" w:rsidR="00537C94" w:rsidRPr="00C17270" w:rsidRDefault="00537C94" w:rsidP="0069386C">
            <w:pPr>
              <w:jc w:val="left"/>
              <w:rPr>
                <w:b w:val="0"/>
                <w:szCs w:val="22"/>
              </w:rPr>
            </w:pPr>
          </w:p>
        </w:tc>
        <w:tc>
          <w:tcPr>
            <w:tcW w:w="1204" w:type="dxa"/>
            <w:vMerge/>
          </w:tcPr>
          <w:p w14:paraId="1B9213A9"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p>
        </w:tc>
        <w:tc>
          <w:tcPr>
            <w:tcW w:w="672" w:type="dxa"/>
          </w:tcPr>
          <w:p w14:paraId="4E090446"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r>
              <w:t>AUD</w:t>
            </w:r>
          </w:p>
        </w:tc>
        <w:tc>
          <w:tcPr>
            <w:tcW w:w="2591" w:type="dxa"/>
          </w:tcPr>
          <w:p w14:paraId="4AF5CF04" w14:textId="77777777" w:rsidR="00537C94" w:rsidRPr="00C267D9"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C267D9">
              <w:rPr>
                <w:rFonts w:ascii="Calibri" w:hAnsi="Calibri" w:cs="Calibri"/>
                <w:color w:val="000000"/>
                <w:sz w:val="18"/>
                <w:szCs w:val="18"/>
              </w:rPr>
              <w:t>8</w:t>
            </w:r>
            <w:r>
              <w:rPr>
                <w:rFonts w:ascii="Calibri" w:hAnsi="Calibri" w:cs="Calibri"/>
                <w:color w:val="000000"/>
                <w:sz w:val="18"/>
                <w:szCs w:val="18"/>
              </w:rPr>
              <w:t>.7 million</w:t>
            </w:r>
          </w:p>
        </w:tc>
        <w:tc>
          <w:tcPr>
            <w:tcW w:w="2774" w:type="dxa"/>
          </w:tcPr>
          <w:p w14:paraId="5313A145" w14:textId="77777777" w:rsidR="00537C94" w:rsidRPr="00C267D9"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13 million</w:t>
            </w:r>
          </w:p>
        </w:tc>
      </w:tr>
      <w:tr w:rsidR="00537C94" w14:paraId="3E43B4B6" w14:textId="77777777" w:rsidTr="002820A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07" w:type="dxa"/>
            <w:vMerge w:val="restart"/>
          </w:tcPr>
          <w:p w14:paraId="3E8EC616" w14:textId="77777777" w:rsidR="00537C94" w:rsidRPr="00C17270" w:rsidRDefault="00537C94" w:rsidP="0069386C">
            <w:pPr>
              <w:jc w:val="left"/>
              <w:rPr>
                <w:b w:val="0"/>
                <w:szCs w:val="22"/>
              </w:rPr>
            </w:pPr>
            <w:r w:rsidRPr="00C17270">
              <w:rPr>
                <w:b w:val="0"/>
                <w:szCs w:val="22"/>
              </w:rPr>
              <w:t>Pacific Aria</w:t>
            </w:r>
          </w:p>
        </w:tc>
        <w:tc>
          <w:tcPr>
            <w:tcW w:w="1204" w:type="dxa"/>
            <w:vMerge w:val="restart"/>
          </w:tcPr>
          <w:p w14:paraId="0652157C"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1260</w:t>
            </w:r>
          </w:p>
        </w:tc>
        <w:tc>
          <w:tcPr>
            <w:tcW w:w="672" w:type="dxa"/>
          </w:tcPr>
          <w:p w14:paraId="160EE135" w14:textId="77777777" w:rsidR="00537C94" w:rsidRDefault="00537C94" w:rsidP="0069386C">
            <w:pPr>
              <w:cnfStyle w:val="000000100000" w:firstRow="0" w:lastRow="0" w:firstColumn="0" w:lastColumn="0" w:oddVBand="0" w:evenVBand="0" w:oddHBand="1" w:evenHBand="0" w:firstRowFirstColumn="0" w:firstRowLastColumn="0" w:lastRowFirstColumn="0" w:lastRowLastColumn="0"/>
            </w:pPr>
            <w:r>
              <w:t>SDR</w:t>
            </w:r>
          </w:p>
        </w:tc>
        <w:tc>
          <w:tcPr>
            <w:tcW w:w="2591" w:type="dxa"/>
          </w:tcPr>
          <w:p w14:paraId="53E279B5" w14:textId="77777777" w:rsidR="00537C94" w:rsidRPr="00C267D9"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267D9">
              <w:rPr>
                <w:rFonts w:ascii="Calibri" w:hAnsi="Calibri" w:cs="Calibri"/>
                <w:color w:val="000000"/>
                <w:sz w:val="18"/>
                <w:szCs w:val="18"/>
              </w:rPr>
              <w:t>2</w:t>
            </w:r>
            <w:r>
              <w:rPr>
                <w:rFonts w:ascii="Calibri" w:hAnsi="Calibri" w:cs="Calibri"/>
                <w:color w:val="000000"/>
                <w:sz w:val="18"/>
                <w:szCs w:val="18"/>
              </w:rPr>
              <w:t>.8 million</w:t>
            </w:r>
          </w:p>
        </w:tc>
        <w:tc>
          <w:tcPr>
            <w:tcW w:w="2774" w:type="dxa"/>
          </w:tcPr>
          <w:p w14:paraId="3263EB39" w14:textId="77777777" w:rsidR="00537C94" w:rsidRPr="00C267D9" w:rsidRDefault="00537C94" w:rsidP="0069386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267D9">
              <w:rPr>
                <w:rFonts w:ascii="Calibri" w:hAnsi="Calibri" w:cs="Calibri"/>
                <w:color w:val="000000"/>
                <w:sz w:val="18"/>
                <w:szCs w:val="18"/>
              </w:rPr>
              <w:t>4</w:t>
            </w:r>
            <w:r>
              <w:rPr>
                <w:rFonts w:ascii="Calibri" w:hAnsi="Calibri" w:cs="Calibri"/>
                <w:color w:val="000000"/>
                <w:sz w:val="18"/>
                <w:szCs w:val="18"/>
              </w:rPr>
              <w:t>.3 million</w:t>
            </w:r>
          </w:p>
        </w:tc>
      </w:tr>
      <w:tr w:rsidR="00537C94" w14:paraId="45024256" w14:textId="77777777" w:rsidTr="002820A9">
        <w:trPr>
          <w:trHeight w:val="404"/>
        </w:trPr>
        <w:tc>
          <w:tcPr>
            <w:cnfStyle w:val="001000000000" w:firstRow="0" w:lastRow="0" w:firstColumn="1" w:lastColumn="0" w:oddVBand="0" w:evenVBand="0" w:oddHBand="0" w:evenHBand="0" w:firstRowFirstColumn="0" w:firstRowLastColumn="0" w:lastRowFirstColumn="0" w:lastRowLastColumn="0"/>
            <w:tcW w:w="1407" w:type="dxa"/>
            <w:vMerge/>
          </w:tcPr>
          <w:p w14:paraId="46787D23" w14:textId="77777777" w:rsidR="00537C94" w:rsidRPr="005E107E" w:rsidRDefault="00537C94" w:rsidP="0069386C">
            <w:pPr>
              <w:rPr>
                <w:b w:val="0"/>
              </w:rPr>
            </w:pPr>
          </w:p>
        </w:tc>
        <w:tc>
          <w:tcPr>
            <w:tcW w:w="1204" w:type="dxa"/>
            <w:vMerge/>
          </w:tcPr>
          <w:p w14:paraId="17658B72"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p>
        </w:tc>
        <w:tc>
          <w:tcPr>
            <w:tcW w:w="672" w:type="dxa"/>
          </w:tcPr>
          <w:p w14:paraId="2DA36530" w14:textId="77777777" w:rsidR="00537C94" w:rsidRDefault="00537C94" w:rsidP="0069386C">
            <w:pPr>
              <w:cnfStyle w:val="000000000000" w:firstRow="0" w:lastRow="0" w:firstColumn="0" w:lastColumn="0" w:oddVBand="0" w:evenVBand="0" w:oddHBand="0" w:evenHBand="0" w:firstRowFirstColumn="0" w:firstRowLastColumn="0" w:lastRowFirstColumn="0" w:lastRowLastColumn="0"/>
            </w:pPr>
            <w:r>
              <w:t>AUD</w:t>
            </w:r>
          </w:p>
        </w:tc>
        <w:tc>
          <w:tcPr>
            <w:tcW w:w="2591" w:type="dxa"/>
          </w:tcPr>
          <w:p w14:paraId="706DB4EE" w14:textId="77777777" w:rsidR="00537C94" w:rsidRPr="00C267D9"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C267D9">
              <w:rPr>
                <w:rFonts w:ascii="Calibri" w:hAnsi="Calibri" w:cs="Calibri"/>
                <w:color w:val="000000"/>
                <w:sz w:val="18"/>
                <w:szCs w:val="18"/>
              </w:rPr>
              <w:t>5</w:t>
            </w:r>
            <w:r>
              <w:rPr>
                <w:rFonts w:ascii="Calibri" w:hAnsi="Calibri" w:cs="Calibri"/>
                <w:color w:val="000000"/>
                <w:sz w:val="18"/>
                <w:szCs w:val="18"/>
              </w:rPr>
              <w:t>.7 million</w:t>
            </w:r>
          </w:p>
        </w:tc>
        <w:tc>
          <w:tcPr>
            <w:tcW w:w="2774" w:type="dxa"/>
          </w:tcPr>
          <w:p w14:paraId="3BC30E24" w14:textId="77777777" w:rsidR="00537C94" w:rsidRPr="00C267D9" w:rsidRDefault="00537C94" w:rsidP="006938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C267D9">
              <w:rPr>
                <w:rFonts w:ascii="Calibri" w:hAnsi="Calibri" w:cs="Calibri"/>
                <w:color w:val="000000"/>
                <w:sz w:val="18"/>
                <w:szCs w:val="18"/>
              </w:rPr>
              <w:t>8</w:t>
            </w:r>
            <w:r>
              <w:rPr>
                <w:rFonts w:ascii="Calibri" w:hAnsi="Calibri" w:cs="Calibri"/>
                <w:color w:val="000000"/>
                <w:sz w:val="18"/>
                <w:szCs w:val="18"/>
              </w:rPr>
              <w:t>.5 million</w:t>
            </w:r>
          </w:p>
        </w:tc>
      </w:tr>
    </w:tbl>
    <w:p w14:paraId="02B7AD1F" w14:textId="42A88799" w:rsidR="00537C94" w:rsidRPr="00BA2F6A" w:rsidRDefault="00537C94" w:rsidP="00537C94">
      <w:pPr>
        <w:rPr>
          <w:sz w:val="18"/>
          <w:szCs w:val="20"/>
        </w:rPr>
      </w:pPr>
      <w:r w:rsidRPr="00BA2F6A">
        <w:rPr>
          <w:sz w:val="18"/>
          <w:szCs w:val="20"/>
        </w:rPr>
        <w:t>* AUD to Special Drawing Rights conversion on 13 Nov 2019 (1</w:t>
      </w:r>
      <w:r w:rsidR="00562088">
        <w:rPr>
          <w:sz w:val="18"/>
          <w:szCs w:val="20"/>
        </w:rPr>
        <w:t xml:space="preserve"> </w:t>
      </w:r>
      <w:r>
        <w:rPr>
          <w:sz w:val="18"/>
          <w:szCs w:val="20"/>
        </w:rPr>
        <w:t>SDR</w:t>
      </w:r>
      <w:r w:rsidRPr="00BA2F6A">
        <w:rPr>
          <w:sz w:val="18"/>
          <w:szCs w:val="20"/>
        </w:rPr>
        <w:t xml:space="preserve"> = 2.00724 AUD)</w:t>
      </w:r>
    </w:p>
    <w:p w14:paraId="5B792380" w14:textId="77777777" w:rsidR="00537C94" w:rsidRDefault="00537C94" w:rsidP="00537C94">
      <w:pPr>
        <w:pStyle w:val="Heading2"/>
        <w:jc w:val="both"/>
      </w:pPr>
      <w:bookmarkStart w:id="73" w:name="_Toc34657069"/>
      <w:bookmarkStart w:id="74" w:name="_Toc44659919"/>
      <w:r>
        <w:t>Option 3b – Athens (Tier 1) limits with increased Athens upper limits (Tier 2)</w:t>
      </w:r>
      <w:bookmarkEnd w:id="73"/>
      <w:bookmarkEnd w:id="74"/>
      <w:r>
        <w:t xml:space="preserve"> </w:t>
      </w:r>
    </w:p>
    <w:p w14:paraId="5153C9E8" w14:textId="0EDCEFDA" w:rsidR="00537C94" w:rsidRDefault="00537C94" w:rsidP="00537C94">
      <w:pPr>
        <w:jc w:val="left"/>
      </w:pPr>
      <w:r>
        <w:t xml:space="preserve">If Australia were to accede to the Athens Convention, all claims for the recovery of damages for death and personal injury, as well as loss or damage to the passenger’s luggage, sustained during the course of international carriage, would be brought into alignment with other </w:t>
      </w:r>
      <w:r w:rsidR="00C03A51">
        <w:t>Parties</w:t>
      </w:r>
      <w:r>
        <w:t xml:space="preserve"> whilst also allowing Australia to implement its own definitions around the limitation of liability. For example, in respect of personal injury, Article 7 of the Athens Convention provides member states with some flexibility in stating that:</w:t>
      </w:r>
    </w:p>
    <w:p w14:paraId="1675A30C" w14:textId="56D7D2FD" w:rsidR="00537C94" w:rsidRPr="002A358B" w:rsidRDefault="00537C94" w:rsidP="00537C94">
      <w:pPr>
        <w:jc w:val="left"/>
        <w:rPr>
          <w:i/>
          <w:iCs/>
          <w:color w:val="3494BA" w:themeColor="accent1"/>
        </w:rPr>
      </w:pPr>
      <w:r w:rsidRPr="002A358B">
        <w:rPr>
          <w:i/>
          <w:iCs/>
          <w:color w:val="3494BA" w:themeColor="accent1"/>
        </w:rPr>
        <w:t>“A State Party may regulate by specific provisions of national law the limit of liability prescribed in paragraph 1</w:t>
      </w:r>
      <w:r w:rsidR="00C267A0">
        <w:rPr>
          <w:i/>
          <w:iCs/>
          <w:color w:val="3494BA" w:themeColor="accent1"/>
        </w:rPr>
        <w:t xml:space="preserve"> [</w:t>
      </w:r>
      <w:r w:rsidR="000E36E4">
        <w:rPr>
          <w:i/>
          <w:iCs/>
          <w:color w:val="3494BA" w:themeColor="accent1"/>
        </w:rPr>
        <w:t>400,000</w:t>
      </w:r>
      <w:r w:rsidR="004354A8">
        <w:rPr>
          <w:i/>
          <w:iCs/>
          <w:color w:val="3494BA" w:themeColor="accent1"/>
        </w:rPr>
        <w:t xml:space="preserve"> </w:t>
      </w:r>
      <w:r w:rsidR="000E36E4">
        <w:rPr>
          <w:i/>
          <w:iCs/>
          <w:color w:val="3494BA" w:themeColor="accent1"/>
        </w:rPr>
        <w:t>SDR]</w:t>
      </w:r>
      <w:r w:rsidRPr="002A358B">
        <w:rPr>
          <w:i/>
          <w:iCs/>
          <w:color w:val="3494BA" w:themeColor="accent1"/>
        </w:rPr>
        <w:t>, provided that the national limit of liability, if any, is not lower than that prescribed in paragraph</w:t>
      </w:r>
      <w:r w:rsidR="00BE20E7">
        <w:rPr>
          <w:i/>
          <w:iCs/>
          <w:color w:val="3494BA" w:themeColor="accent1"/>
        </w:rPr>
        <w:t> </w:t>
      </w:r>
      <w:r w:rsidRPr="002A358B">
        <w:rPr>
          <w:i/>
          <w:iCs/>
          <w:color w:val="3494BA" w:themeColor="accent1"/>
        </w:rPr>
        <w:t>1.”</w:t>
      </w:r>
    </w:p>
    <w:p w14:paraId="39FCCE10" w14:textId="12C2C5AA" w:rsidR="00537C94" w:rsidRDefault="00537C94" w:rsidP="00537C94">
      <w:pPr>
        <w:jc w:val="left"/>
      </w:pPr>
      <w:r>
        <w:t xml:space="preserve">This option would see the accession to Athens Tier 1 with increased Tier 2 limits (i.e. automatic </w:t>
      </w:r>
      <w:r w:rsidRPr="003C1ED0">
        <w:t>coverage of 250,000</w:t>
      </w:r>
      <w:r>
        <w:t xml:space="preserve"> SDR</w:t>
      </w:r>
      <w:r w:rsidRPr="003C1ED0">
        <w:t xml:space="preserve"> but if loss exceeds the limit then the carrier is liable to have </w:t>
      </w:r>
      <w:r w:rsidRPr="003C1ED0">
        <w:rPr>
          <w:b/>
          <w:bCs/>
          <w:u w:val="single"/>
        </w:rPr>
        <w:t>higher</w:t>
      </w:r>
      <w:r w:rsidRPr="003C1ED0">
        <w:t xml:space="preserve"> than 400,000</w:t>
      </w:r>
      <w:r>
        <w:t xml:space="preserve"> SDR</w:t>
      </w:r>
      <w:r w:rsidRPr="003C1ED0">
        <w:t xml:space="preserve"> (to be nominated or unlimited)</w:t>
      </w:r>
      <w:r>
        <w:t xml:space="preserve"> liability</w:t>
      </w:r>
      <w:r w:rsidRPr="003C1ED0">
        <w:t xml:space="preserve">. In response to the 2017 discussion paper, </w:t>
      </w:r>
      <w:r>
        <w:t xml:space="preserve">Professor </w:t>
      </w:r>
      <w:r w:rsidRPr="003C1ED0">
        <w:t>Nick Gaskell proposed a figure of 500,000</w:t>
      </w:r>
      <w:r>
        <w:t xml:space="preserve"> SDR</w:t>
      </w:r>
      <w:r w:rsidRPr="003C1ED0">
        <w:t xml:space="preserve">. Gaskell proposed that this would help ameliorate some of the drawbacks of options 3a (such as insufficient funds to cover damages from rare but significant incidents). It has also been suggested that an exception to the Athens Convention limits should be made in the event that the passenger has sustained a catastrophic injury, </w:t>
      </w:r>
      <w:r w:rsidR="002A4DE6">
        <w:t xml:space="preserve">providing for unlimited liability where negligence can be proven. </w:t>
      </w:r>
      <w:r>
        <w:t xml:space="preserve">However, consultation with the cruise industry suggested that it would be impossible for cruise companies to obtain unlimited insurance due to the existing insurance arrangements which is based on a collective P&amp;I group reinsurance mechanism (see section </w:t>
      </w:r>
      <w:r w:rsidR="007C3ADC">
        <w:t>1</w:t>
      </w:r>
      <w:r w:rsidR="005D2FF6">
        <w:t>0</w:t>
      </w:r>
      <w:r>
        <w:t xml:space="preserve">.3.2) and distribution of risk and relative predictability of claims.  </w:t>
      </w:r>
    </w:p>
    <w:p w14:paraId="327A1953" w14:textId="77777777" w:rsidR="00537C94" w:rsidRDefault="00537C94" w:rsidP="00537C94"/>
    <w:p w14:paraId="112A5302" w14:textId="77777777" w:rsidR="00537C94" w:rsidRPr="00F03F9D" w:rsidRDefault="00537C94" w:rsidP="00537C94">
      <w:pPr>
        <w:pStyle w:val="Heading3"/>
        <w:jc w:val="both"/>
        <w:rPr>
          <w:sz w:val="28"/>
          <w:szCs w:val="28"/>
        </w:rPr>
      </w:pPr>
      <w:bookmarkStart w:id="75" w:name="_Toc34657070"/>
      <w:bookmarkStart w:id="76" w:name="_Toc44659920"/>
      <w:r w:rsidRPr="00F03F9D">
        <w:rPr>
          <w:sz w:val="28"/>
          <w:szCs w:val="28"/>
        </w:rPr>
        <w:t>Summary</w:t>
      </w:r>
      <w:bookmarkEnd w:id="75"/>
      <w:bookmarkEnd w:id="76"/>
    </w:p>
    <w:p w14:paraId="01BA79CD" w14:textId="77777777" w:rsidR="00537C94" w:rsidRPr="009651BE" w:rsidRDefault="00537C94" w:rsidP="00537C94">
      <w:pPr>
        <w:rPr>
          <w:b/>
          <w:bCs/>
          <w:i/>
          <w:iCs/>
        </w:rPr>
      </w:pPr>
      <w:r w:rsidRPr="009651BE">
        <w:rPr>
          <w:b/>
          <w:bCs/>
          <w:i/>
          <w:iCs/>
        </w:rPr>
        <w:t>Benefits</w:t>
      </w:r>
    </w:p>
    <w:p w14:paraId="69DF661E" w14:textId="77155E46" w:rsidR="00537C94" w:rsidRDefault="00537C94" w:rsidP="00160A48">
      <w:pPr>
        <w:pStyle w:val="ListParagraph"/>
        <w:numPr>
          <w:ilvl w:val="0"/>
          <w:numId w:val="10"/>
        </w:numPr>
        <w:spacing w:line="264" w:lineRule="auto"/>
        <w:jc w:val="left"/>
      </w:pPr>
      <w:r>
        <w:t xml:space="preserve">For passengers, the burden to prove no fault lies with the carrier for </w:t>
      </w:r>
      <w:r w:rsidR="007060D1">
        <w:t>shipping</w:t>
      </w:r>
      <w:r>
        <w:t xml:space="preserve"> incidents. For </w:t>
      </w:r>
      <w:r w:rsidR="007060D1">
        <w:t>non</w:t>
      </w:r>
      <w:r w:rsidR="00BE20E7">
        <w:noBreakHyphen/>
      </w:r>
      <w:r w:rsidR="007060D1">
        <w:t>shipping</w:t>
      </w:r>
      <w:r>
        <w:t xml:space="preserve"> incidents, the claimant must prove the cruise operator was at fault. </w:t>
      </w:r>
    </w:p>
    <w:p w14:paraId="3A5D7307" w14:textId="77777777" w:rsidR="00537C94" w:rsidRDefault="00537C94" w:rsidP="00160A48">
      <w:pPr>
        <w:pStyle w:val="ListParagraph"/>
        <w:numPr>
          <w:ilvl w:val="0"/>
          <w:numId w:val="10"/>
        </w:numPr>
        <w:spacing w:line="264" w:lineRule="auto"/>
        <w:jc w:val="left"/>
      </w:pPr>
      <w:r>
        <w:t xml:space="preserve">For carriers and insurers, strict liability means maximum claims can be calculated and factored.  </w:t>
      </w:r>
    </w:p>
    <w:p w14:paraId="2E12B421" w14:textId="77777777" w:rsidR="00537C94" w:rsidRDefault="00537C94" w:rsidP="00160A48">
      <w:pPr>
        <w:pStyle w:val="ListParagraph"/>
        <w:numPr>
          <w:ilvl w:val="0"/>
          <w:numId w:val="10"/>
        </w:numPr>
        <w:spacing w:line="264" w:lineRule="auto"/>
        <w:jc w:val="left"/>
      </w:pPr>
      <w:r>
        <w:t xml:space="preserve">The Athens Convention Tier 1 limit of 250,000 SDR is comparable to the Montreal Convention compulsory insurance of 260,000 SDR, bringing alignment between air and sea international travel. </w:t>
      </w:r>
    </w:p>
    <w:p w14:paraId="1E950EA3" w14:textId="77777777" w:rsidR="00537C94" w:rsidRDefault="00537C94" w:rsidP="00160A48">
      <w:pPr>
        <w:pStyle w:val="ListParagraph"/>
        <w:numPr>
          <w:ilvl w:val="0"/>
          <w:numId w:val="10"/>
        </w:numPr>
        <w:spacing w:line="264" w:lineRule="auto"/>
        <w:jc w:val="left"/>
      </w:pPr>
      <w:r>
        <w:t xml:space="preserve">Athens upper limit of 400,000 SDR is comparable to Australia’s domestic air carriage per passenger limit under the Civil Aviation (Carrier’s Liability) Act 1959. </w:t>
      </w:r>
    </w:p>
    <w:p w14:paraId="7C9960C3" w14:textId="77777777" w:rsidR="00537C94" w:rsidRPr="009651BE" w:rsidRDefault="00537C94" w:rsidP="00537C94">
      <w:pPr>
        <w:rPr>
          <w:b/>
          <w:bCs/>
          <w:i/>
          <w:iCs/>
        </w:rPr>
      </w:pPr>
      <w:r w:rsidRPr="009651BE">
        <w:rPr>
          <w:b/>
          <w:bCs/>
          <w:i/>
          <w:iCs/>
        </w:rPr>
        <w:t>Constraints and Challenges</w:t>
      </w:r>
    </w:p>
    <w:p w14:paraId="232200EB" w14:textId="77777777" w:rsidR="00537C94" w:rsidRDefault="00537C94" w:rsidP="00160A48">
      <w:pPr>
        <w:pStyle w:val="ListParagraph"/>
        <w:numPr>
          <w:ilvl w:val="0"/>
          <w:numId w:val="11"/>
        </w:numPr>
        <w:spacing w:line="264" w:lineRule="auto"/>
        <w:jc w:val="left"/>
      </w:pPr>
      <w:r>
        <w:t>In certain circumstances 400,000 SDR per passenger may not be sufficient to cover full damages.</w:t>
      </w:r>
    </w:p>
    <w:p w14:paraId="6A89F662" w14:textId="77777777" w:rsidR="00537C94" w:rsidRDefault="00537C94" w:rsidP="00160A48">
      <w:pPr>
        <w:pStyle w:val="ListParagraph"/>
        <w:numPr>
          <w:ilvl w:val="0"/>
          <w:numId w:val="11"/>
        </w:numPr>
        <w:spacing w:line="264" w:lineRule="auto"/>
        <w:jc w:val="left"/>
      </w:pPr>
      <w:r>
        <w:t xml:space="preserve">There is currently no provision for consideration of unlimited liability for instances of rare, but catastrophic claims that would exceed 400,000 SDR in damages. </w:t>
      </w:r>
    </w:p>
    <w:p w14:paraId="49BE0496" w14:textId="697A5405" w:rsidR="00537C94" w:rsidRDefault="00537C94" w:rsidP="00160A48">
      <w:pPr>
        <w:pStyle w:val="ListParagraph"/>
        <w:numPr>
          <w:ilvl w:val="0"/>
          <w:numId w:val="11"/>
        </w:numPr>
        <w:spacing w:line="264" w:lineRule="auto"/>
        <w:jc w:val="left"/>
      </w:pPr>
      <w:r>
        <w:t xml:space="preserve">Higher </w:t>
      </w:r>
      <w:r w:rsidR="000E36E4">
        <w:t xml:space="preserve">liability </w:t>
      </w:r>
      <w:r>
        <w:t xml:space="preserve">requirements are likely to be met with higher insurance premiums which may be passed onto the consumer. </w:t>
      </w:r>
      <w:r w:rsidRPr="009843A3">
        <w:t xml:space="preserve">However, the impact of any such cost increases should be measured against the clear benefits that acceding to the Convention </w:t>
      </w:r>
      <w:r w:rsidR="004B41E8" w:rsidRPr="009843A3">
        <w:t>would</w:t>
      </w:r>
      <w:r w:rsidRPr="009843A3">
        <w:t xml:space="preserve"> deliver. Furthermore, given that cruise lines generally already carry insurance, and operate in a competitive and open market alongside alternative tourism operators, any changes to consumer pricing will remain subject to market forces.</w:t>
      </w:r>
      <w:r>
        <w:t xml:space="preserve"> </w:t>
      </w:r>
    </w:p>
    <w:p w14:paraId="19C2D96B" w14:textId="7C6CC332" w:rsidR="00537C94" w:rsidRDefault="00537C94" w:rsidP="00160A48">
      <w:pPr>
        <w:pStyle w:val="ListParagraph"/>
        <w:numPr>
          <w:ilvl w:val="0"/>
          <w:numId w:val="11"/>
        </w:numPr>
        <w:spacing w:line="264" w:lineRule="auto"/>
        <w:jc w:val="left"/>
      </w:pPr>
      <w:r>
        <w:t xml:space="preserve">The shift of the burden of proof from the claimant (status quo) to the cruise operator (under </w:t>
      </w:r>
      <w:r w:rsidR="000558A0">
        <w:t xml:space="preserve">the </w:t>
      </w:r>
      <w:r>
        <w:t>Athens</w:t>
      </w:r>
      <w:r w:rsidR="000558A0">
        <w:t xml:space="preserve"> Convention</w:t>
      </w:r>
      <w:r>
        <w:t xml:space="preserve">) may lead to a greater number of opportunist claims being brought against the cruise operator and greater time costs associated with managing the increase in claims. </w:t>
      </w:r>
    </w:p>
    <w:p w14:paraId="631B9910" w14:textId="77777777" w:rsidR="00537C94" w:rsidRDefault="00537C94" w:rsidP="00160A48">
      <w:pPr>
        <w:pStyle w:val="ListParagraph"/>
        <w:numPr>
          <w:ilvl w:val="0"/>
          <w:numId w:val="11"/>
        </w:numPr>
        <w:spacing w:line="264" w:lineRule="auto"/>
        <w:jc w:val="left"/>
      </w:pPr>
      <w:r>
        <w:t xml:space="preserve">Unlimited insurance is unlikely to be obtainable under existing insurance mechanisms. </w:t>
      </w:r>
    </w:p>
    <w:p w14:paraId="34CBE7AF" w14:textId="385B12BA" w:rsidR="00537C94" w:rsidRDefault="00537C94" w:rsidP="00160A48">
      <w:pPr>
        <w:pStyle w:val="ListParagraph"/>
        <w:numPr>
          <w:ilvl w:val="0"/>
          <w:numId w:val="11"/>
        </w:numPr>
        <w:spacing w:line="264" w:lineRule="auto"/>
        <w:jc w:val="left"/>
      </w:pPr>
      <w:r>
        <w:t>Legislative change would result in costs to the industry through the re-drafting of contracts, re</w:t>
      </w:r>
      <w:r w:rsidR="00BE20E7">
        <w:noBreakHyphen/>
      </w:r>
      <w:r>
        <w:t xml:space="preserve">training of legal teams, customer support and complaints staff and internal company policies. </w:t>
      </w:r>
    </w:p>
    <w:tbl>
      <w:tblPr>
        <w:tblStyle w:val="GridTable4-Accent6"/>
        <w:tblW w:w="0" w:type="auto"/>
        <w:tblLook w:val="04A0" w:firstRow="1" w:lastRow="0" w:firstColumn="1" w:lastColumn="0" w:noHBand="0" w:noVBand="1"/>
      </w:tblPr>
      <w:tblGrid>
        <w:gridCol w:w="9016"/>
      </w:tblGrid>
      <w:tr w:rsidR="00ED080C" w14:paraId="7B559A05" w14:textId="77777777" w:rsidTr="00387383">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016" w:type="dxa"/>
          </w:tcPr>
          <w:p w14:paraId="7D748D17" w14:textId="2BB6572E" w:rsidR="00ED080C" w:rsidRPr="00ED080C" w:rsidRDefault="00ED080C" w:rsidP="00ED080C">
            <w:pPr>
              <w:jc w:val="left"/>
              <w:rPr>
                <w:color w:val="FFFFFF" w:themeColor="background1"/>
                <w:sz w:val="24"/>
                <w:szCs w:val="24"/>
              </w:rPr>
            </w:pPr>
            <w:r w:rsidRPr="00ED080C">
              <w:rPr>
                <w:noProof/>
              </w:rPr>
              <w:drawing>
                <wp:anchor distT="0" distB="0" distL="114300" distR="114300" simplePos="0" relativeHeight="251658250" behindDoc="0" locked="0" layoutInCell="1" allowOverlap="1" wp14:anchorId="0B9D82C4" wp14:editId="7AAD9182">
                  <wp:simplePos x="0" y="0"/>
                  <wp:positionH relativeFrom="margin">
                    <wp:posOffset>5174615</wp:posOffset>
                  </wp:positionH>
                  <wp:positionV relativeFrom="paragraph">
                    <wp:posOffset>8255</wp:posOffset>
                  </wp:positionV>
                  <wp:extent cx="333375" cy="333375"/>
                  <wp:effectExtent l="0" t="0" r="0" b="9525"/>
                  <wp:wrapNone/>
                  <wp:docPr id="27" name="Graphic 27"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withgears.svg"/>
                          <pic:cNvPicPr/>
                        </pic:nvPicPr>
                        <pic:blipFill>
                          <a:blip r:embed="rId2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3"/>
                              </a:ext>
                            </a:extLst>
                          </a:blip>
                          <a:stretch>
                            <a:fillRect/>
                          </a:stretch>
                        </pic:blipFill>
                        <pic:spPr>
                          <a:xfrm>
                            <a:off x="0" y="0"/>
                            <a:ext cx="333375" cy="333375"/>
                          </a:xfrm>
                          <a:prstGeom prst="rect">
                            <a:avLst/>
                          </a:prstGeom>
                        </pic:spPr>
                      </pic:pic>
                    </a:graphicData>
                  </a:graphic>
                  <wp14:sizeRelH relativeFrom="page">
                    <wp14:pctWidth>0</wp14:pctWidth>
                  </wp14:sizeRelH>
                  <wp14:sizeRelV relativeFrom="page">
                    <wp14:pctHeight>0</wp14:pctHeight>
                  </wp14:sizeRelV>
                </wp:anchor>
              </w:drawing>
            </w:r>
            <w:r w:rsidRPr="00ED080C">
              <w:rPr>
                <w:color w:val="FFFFFF" w:themeColor="background1"/>
                <w:sz w:val="24"/>
                <w:szCs w:val="24"/>
              </w:rPr>
              <w:t>Key Points from Impact Analysis</w:t>
            </w:r>
          </w:p>
        </w:tc>
      </w:tr>
      <w:tr w:rsidR="00ED080C" w14:paraId="6A17E8AE" w14:textId="77777777" w:rsidTr="00387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C8175E7" w14:textId="7D89EF34" w:rsidR="00ED080C" w:rsidRPr="00ED080C" w:rsidRDefault="00ED080C" w:rsidP="00ED080C">
            <w:pPr>
              <w:jc w:val="left"/>
              <w:rPr>
                <w:b w:val="0"/>
                <w:bCs w:val="0"/>
              </w:rPr>
            </w:pPr>
            <w:r w:rsidRPr="00ED080C">
              <w:rPr>
                <w:b w:val="0"/>
                <w:bCs w:val="0"/>
              </w:rPr>
              <w:t xml:space="preserve">Under </w:t>
            </w:r>
            <w:r w:rsidR="0077480E">
              <w:rPr>
                <w:b w:val="0"/>
                <w:bCs w:val="0"/>
              </w:rPr>
              <w:t>O</w:t>
            </w:r>
            <w:r w:rsidRPr="00ED080C">
              <w:rPr>
                <w:b w:val="0"/>
                <w:bCs w:val="0"/>
              </w:rPr>
              <w:t xml:space="preserve">ption 3 it would become mandatory for a cruise company to take out </w:t>
            </w:r>
            <w:r w:rsidRPr="00ED080C">
              <w:t>insurance with a minimum cover limit</w:t>
            </w:r>
            <w:r w:rsidRPr="00ED080C">
              <w:rPr>
                <w:b w:val="0"/>
                <w:bCs w:val="0"/>
              </w:rPr>
              <w:t>. Currently, insurance is not mandatory, and no minimum limit is required. Companies which do not currently hold insurance (expected to be &lt;10% of the market</w:t>
            </w:r>
            <w:r w:rsidR="00C67939">
              <w:rPr>
                <w:b w:val="0"/>
                <w:bCs w:val="0"/>
              </w:rPr>
              <w:t>, see footnote 2</w:t>
            </w:r>
            <w:r w:rsidR="0077480E">
              <w:rPr>
                <w:b w:val="0"/>
                <w:bCs w:val="0"/>
              </w:rPr>
              <w:t>3</w:t>
            </w:r>
            <w:r w:rsidRPr="00ED080C">
              <w:rPr>
                <w:b w:val="0"/>
                <w:bCs w:val="0"/>
              </w:rPr>
              <w:t xml:space="preserve">) would be required to obtain it and those with insurance under the limit would need to increase their liability cover. </w:t>
            </w:r>
            <w:r w:rsidRPr="002409CA">
              <w:rPr>
                <w:b w:val="0"/>
                <w:bCs w:val="0"/>
              </w:rPr>
              <w:t xml:space="preserve">Options 3a and 3b differ in the minimum amount of liability </w:t>
            </w:r>
            <w:r w:rsidR="00E87BFE">
              <w:rPr>
                <w:b w:val="0"/>
                <w:bCs w:val="0"/>
              </w:rPr>
              <w:t xml:space="preserve">coverage </w:t>
            </w:r>
            <w:r w:rsidRPr="002409CA">
              <w:rPr>
                <w:b w:val="0"/>
                <w:bCs w:val="0"/>
              </w:rPr>
              <w:t>required.</w:t>
            </w:r>
            <w:r w:rsidRPr="00ED080C">
              <w:rPr>
                <w:b w:val="0"/>
                <w:bCs w:val="0"/>
              </w:rPr>
              <w:t xml:space="preserve"> It is expected these additional costs would ultimately be passed onto passengers or absorbed by the cruise company. The increase is not estimated to be large in relation to a cruise company’s operating costs, nor represent a large increase in the passenger fare price. As </w:t>
            </w:r>
            <w:r w:rsidR="0077480E">
              <w:rPr>
                <w:b w:val="0"/>
                <w:bCs w:val="0"/>
              </w:rPr>
              <w:t>O</w:t>
            </w:r>
            <w:r w:rsidRPr="00ED080C">
              <w:rPr>
                <w:b w:val="0"/>
                <w:bCs w:val="0"/>
              </w:rPr>
              <w:t xml:space="preserve">ption 3 follows Athens Convention, insurance companies would have more examples from other countries to provide accurate estimates and lawyers would have more information to advise claimants.  </w:t>
            </w:r>
          </w:p>
          <w:p w14:paraId="5D94D70A" w14:textId="27658010" w:rsidR="00ED080C" w:rsidRPr="00ED080C" w:rsidRDefault="00ED080C" w:rsidP="00ED080C">
            <w:pPr>
              <w:jc w:val="left"/>
              <w:rPr>
                <w:b w:val="0"/>
                <w:bCs w:val="0"/>
              </w:rPr>
            </w:pPr>
            <w:r w:rsidRPr="00ED080C">
              <w:rPr>
                <w:b w:val="0"/>
                <w:bCs w:val="0"/>
              </w:rPr>
              <w:t xml:space="preserve">In </w:t>
            </w:r>
            <w:r w:rsidR="0077480E">
              <w:rPr>
                <w:b w:val="0"/>
                <w:bCs w:val="0"/>
              </w:rPr>
              <w:t>O</w:t>
            </w:r>
            <w:r w:rsidRPr="00ED080C">
              <w:rPr>
                <w:b w:val="0"/>
                <w:bCs w:val="0"/>
              </w:rPr>
              <w:t xml:space="preserve">ption 3, the </w:t>
            </w:r>
            <w:r w:rsidRPr="00ED080C">
              <w:t>burden of proof</w:t>
            </w:r>
            <w:r w:rsidRPr="00ED080C">
              <w:rPr>
                <w:b w:val="0"/>
                <w:bCs w:val="0"/>
              </w:rPr>
              <w:t xml:space="preserve"> is shifted so that in an incident, the cruise company must demonstrate it was not negligent compared to the current state of a passenger needing to demonstrate negligence. This makes it easier for a passenger to lodge a claim and harder for a cruise company to gather evidence to reject a claim. This may result in more claims needing to be paid out, therefore increasing costs to cruise companies but benefiting passengers. </w:t>
            </w:r>
          </w:p>
          <w:p w14:paraId="320A7659" w14:textId="34B62D42" w:rsidR="00ED080C" w:rsidRPr="00ED080C" w:rsidRDefault="00ED080C" w:rsidP="00ED080C">
            <w:pPr>
              <w:jc w:val="left"/>
              <w:rPr>
                <w:b w:val="0"/>
                <w:bCs w:val="0"/>
              </w:rPr>
            </w:pPr>
            <w:r w:rsidRPr="00ED080C">
              <w:rPr>
                <w:b w:val="0"/>
                <w:bCs w:val="0"/>
              </w:rPr>
              <w:t xml:space="preserve">Under </w:t>
            </w:r>
            <w:r w:rsidR="0077480E">
              <w:rPr>
                <w:b w:val="0"/>
                <w:bCs w:val="0"/>
              </w:rPr>
              <w:t>O</w:t>
            </w:r>
            <w:r w:rsidRPr="00ED080C">
              <w:rPr>
                <w:b w:val="0"/>
                <w:bCs w:val="0"/>
              </w:rPr>
              <w:t xml:space="preserve">ption 3, the process for submitting a claim follows the Athens Convention and </w:t>
            </w:r>
            <w:r w:rsidRPr="00ED080C">
              <w:t>the upper limit a passenger can claim is increased.</w:t>
            </w:r>
            <w:r w:rsidRPr="00ED080C">
              <w:rPr>
                <w:b w:val="0"/>
                <w:bCs w:val="0"/>
              </w:rPr>
              <w:t xml:space="preserve"> </w:t>
            </w:r>
            <w:r w:rsidR="00932B89" w:rsidRPr="00F67D07">
              <w:rPr>
                <w:b w:val="0"/>
              </w:rPr>
              <w:t>The</w:t>
            </w:r>
            <w:r w:rsidR="00EA1D35" w:rsidRPr="00F67D07" w:rsidDel="00D047DB">
              <w:rPr>
                <w:b w:val="0"/>
              </w:rPr>
              <w:t xml:space="preserve"> </w:t>
            </w:r>
            <w:r w:rsidR="00585CF9" w:rsidRPr="00F67D07">
              <w:rPr>
                <w:b w:val="0"/>
              </w:rPr>
              <w:t>significance</w:t>
            </w:r>
            <w:r w:rsidR="00D047DB" w:rsidRPr="00F67D07">
              <w:rPr>
                <w:b w:val="0"/>
              </w:rPr>
              <w:t xml:space="preserve"> of this increase compared to individual Australian state</w:t>
            </w:r>
            <w:r w:rsidR="00E87BFE">
              <w:rPr>
                <w:b w:val="0"/>
              </w:rPr>
              <w:t xml:space="preserve"> / territory</w:t>
            </w:r>
            <w:r w:rsidR="00D047DB" w:rsidRPr="00F67D07">
              <w:rPr>
                <w:b w:val="0"/>
              </w:rPr>
              <w:t xml:space="preserve"> CLA</w:t>
            </w:r>
            <w:r w:rsidR="00585CF9" w:rsidRPr="00F67D07">
              <w:rPr>
                <w:b w:val="0"/>
              </w:rPr>
              <w:t xml:space="preserve"> limits varies, h</w:t>
            </w:r>
            <w:r w:rsidR="00932B89" w:rsidRPr="00F67D07">
              <w:rPr>
                <w:b w:val="0"/>
              </w:rPr>
              <w:t>owever for all states</w:t>
            </w:r>
            <w:r w:rsidR="00E87BFE">
              <w:rPr>
                <w:b w:val="0"/>
              </w:rPr>
              <w:t xml:space="preserve"> / territories</w:t>
            </w:r>
            <w:r w:rsidR="00932B89" w:rsidRPr="00F67D07">
              <w:rPr>
                <w:b w:val="0"/>
              </w:rPr>
              <w:t xml:space="preserve"> the Tier 2 Athens limits are higher than the current CLA caps in place.</w:t>
            </w:r>
            <w:r w:rsidR="00932B89">
              <w:rPr>
                <w:b w:val="0"/>
              </w:rPr>
              <w:t xml:space="preserve"> </w:t>
            </w:r>
          </w:p>
          <w:p w14:paraId="566AF465" w14:textId="1C7B0121" w:rsidR="00ED080C" w:rsidRPr="00ED080C" w:rsidRDefault="00FC5797" w:rsidP="00ED080C">
            <w:pPr>
              <w:jc w:val="left"/>
              <w:rPr>
                <w:b w:val="0"/>
                <w:bCs w:val="0"/>
              </w:rPr>
            </w:pPr>
            <w:r w:rsidRPr="00FC5797">
              <w:rPr>
                <w:b w:val="0"/>
                <w:bCs w:val="0"/>
              </w:rPr>
              <w:t xml:space="preserve">Currently, Australian passengers on international cruise ships who pursue a claim relating to injury or luggage, can be faced with an overly complex recourse which may be different depending on the carrier, residential location of the claimant, and location of the incident. Option </w:t>
            </w:r>
            <w:r>
              <w:rPr>
                <w:b w:val="0"/>
                <w:bCs w:val="0"/>
              </w:rPr>
              <w:t>3</w:t>
            </w:r>
            <w:r w:rsidRPr="00FC5797">
              <w:rPr>
                <w:b w:val="0"/>
                <w:bCs w:val="0"/>
              </w:rPr>
              <w:t xml:space="preserve"> provides uniformity</w:t>
            </w:r>
            <w:r w:rsidR="00ED080C" w:rsidRPr="00ED080C">
              <w:rPr>
                <w:b w:val="0"/>
                <w:bCs w:val="0"/>
              </w:rPr>
              <w:t xml:space="preserve"> in the </w:t>
            </w:r>
            <w:r w:rsidRPr="00FC5797">
              <w:rPr>
                <w:b w:val="0"/>
                <w:bCs w:val="0"/>
              </w:rPr>
              <w:t>claims process</w:t>
            </w:r>
            <w:r w:rsidR="00ED080C" w:rsidRPr="00ED080C">
              <w:rPr>
                <w:b w:val="0"/>
                <w:bCs w:val="0"/>
              </w:rPr>
              <w:t>,</w:t>
            </w:r>
            <w:r w:rsidR="00AF0FBA">
              <w:rPr>
                <w:b w:val="0"/>
                <w:bCs w:val="0"/>
              </w:rPr>
              <w:t xml:space="preserve"> to the extent the Athens Convention applies,</w:t>
            </w:r>
            <w:r w:rsidR="00ED080C" w:rsidRPr="00ED080C">
              <w:rPr>
                <w:b w:val="0"/>
                <w:bCs w:val="0"/>
              </w:rPr>
              <w:t xml:space="preserve"> providing equity to passengers and potentially increasing demand from a perceived easier claims system. </w:t>
            </w:r>
            <w:r>
              <w:rPr>
                <w:b w:val="0"/>
                <w:bCs w:val="0"/>
              </w:rPr>
              <w:t xml:space="preserve"> </w:t>
            </w:r>
          </w:p>
          <w:p w14:paraId="1E02BCF6" w14:textId="519A99B9" w:rsidR="00ED080C" w:rsidRDefault="00ED080C" w:rsidP="0077480E">
            <w:pPr>
              <w:jc w:val="left"/>
            </w:pPr>
            <w:r w:rsidRPr="00ED080C">
              <w:rPr>
                <w:b w:val="0"/>
                <w:bCs w:val="0"/>
              </w:rPr>
              <w:t xml:space="preserve">In summary, implementing </w:t>
            </w:r>
            <w:r w:rsidR="0077480E">
              <w:rPr>
                <w:b w:val="0"/>
                <w:bCs w:val="0"/>
              </w:rPr>
              <w:t>O</w:t>
            </w:r>
            <w:r w:rsidRPr="00ED080C">
              <w:rPr>
                <w:b w:val="0"/>
                <w:bCs w:val="0"/>
              </w:rPr>
              <w:t xml:space="preserve">ption 3 would likely increase costs for cruise companies which do not currently hold insurance or need to increase their liability amount and could lead to more claims being paid out. Passengers would benefit from an easier and consistent process to lodge a claim, and increased upper limits compared to currently. </w:t>
            </w:r>
          </w:p>
        </w:tc>
      </w:tr>
    </w:tbl>
    <w:p w14:paraId="0D83FB7F" w14:textId="015E7C01" w:rsidR="00537C94" w:rsidRDefault="00537C94" w:rsidP="00537C94"/>
    <w:p w14:paraId="0E40DEFD" w14:textId="23175F59" w:rsidR="006C1266" w:rsidRDefault="006C1266" w:rsidP="00537C94"/>
    <w:p w14:paraId="1B53DF3A" w14:textId="77777777" w:rsidR="00537C94" w:rsidRDefault="00537C94" w:rsidP="00537C94">
      <w:pPr>
        <w:pStyle w:val="Heading1"/>
        <w:jc w:val="both"/>
      </w:pPr>
      <w:bookmarkStart w:id="77" w:name="_Toc34657071"/>
      <w:bookmarkStart w:id="78" w:name="_Toc44659921"/>
      <w:r>
        <w:t xml:space="preserve">Option 4: </w:t>
      </w:r>
      <w:r w:rsidRPr="0068428F">
        <w:t>Option 2 or 3 and extend to “voyages to nowhere”</w:t>
      </w:r>
      <w:r>
        <w:t xml:space="preserve"> and smaller domestic operators</w:t>
      </w:r>
      <w:bookmarkEnd w:id="77"/>
      <w:bookmarkEnd w:id="78"/>
    </w:p>
    <w:p w14:paraId="7BA76E5C" w14:textId="64901881" w:rsidR="00537C94" w:rsidRDefault="00740EBB" w:rsidP="00537C94">
      <w:pPr>
        <w:jc w:val="left"/>
        <w:rPr>
          <w:szCs w:val="20"/>
        </w:rPr>
      </w:pPr>
      <w:r w:rsidRPr="00740EBB">
        <w:rPr>
          <w:szCs w:val="20"/>
        </w:rPr>
        <w:t>The Athens Convention applies to international carriage only and for vessels carrying greater than 12</w:t>
      </w:r>
      <w:r w:rsidR="0077480E">
        <w:rPr>
          <w:szCs w:val="20"/>
        </w:rPr>
        <w:t> </w:t>
      </w:r>
      <w:r w:rsidRPr="00740EBB">
        <w:rPr>
          <w:szCs w:val="20"/>
        </w:rPr>
        <w:t xml:space="preserve">passengers. If enacted in Australia, without additional regulatory application, it will only apply to carriage to or from an Australian port on a voyage that visits a foreign port. However, many international carriers such as Carnival, Royal Caribbean Line and Norwegian Cruise Line also carry passengers interstate (i.e., from one Australian state port to another Australian state port) and on intrastate voyages leaving and returning to the same port with no stops in between (known as ‘voyages to nowhere’ or ‘sampler cruises’). Demand for domestic cruising has grown substantially, with local cruisers growing by 23 per cent from 269,915 in 2015 to 332,979 in 2016 </w:t>
      </w:r>
      <w:r w:rsidR="00537C94">
        <w:rPr>
          <w:rStyle w:val="FootnoteReference"/>
          <w:szCs w:val="20"/>
        </w:rPr>
        <w:footnoteReference w:id="17"/>
      </w:r>
      <w:r w:rsidR="00537C94" w:rsidRPr="009A794D">
        <w:rPr>
          <w:szCs w:val="20"/>
        </w:rPr>
        <w:t>.</w:t>
      </w:r>
      <w:r w:rsidR="00B83BA6">
        <w:rPr>
          <w:szCs w:val="20"/>
        </w:rPr>
        <w:t xml:space="preserve"> </w:t>
      </w:r>
    </w:p>
    <w:p w14:paraId="6141CBC3" w14:textId="2DD215FB" w:rsidR="00537C94" w:rsidRDefault="00537C94" w:rsidP="00537C94">
      <w:pPr>
        <w:jc w:val="left"/>
        <w:rPr>
          <w:szCs w:val="20"/>
        </w:rPr>
      </w:pPr>
      <w:r>
        <w:rPr>
          <w:szCs w:val="20"/>
        </w:rPr>
        <w:t xml:space="preserve">Smaller passenger cruise vessels also operate in Northern Australia between Broome and Darwin offering multi-day cruise services to the Kimberley carrying between 12 and 120 passengers depending on the vessel. There are also some passenger and vehicle carrying ferries (both day and overnight trips) operating within Australia such as the Spirit of Tasmania, Kangaroo Island ferry and Moreton Island Ferries. Whilst the Athens Convention application is intended for international passengers, some member states such as the EU have adopted the </w:t>
      </w:r>
      <w:r w:rsidR="005614A8">
        <w:rPr>
          <w:szCs w:val="20"/>
        </w:rPr>
        <w:t xml:space="preserve">Convention </w:t>
      </w:r>
      <w:r>
        <w:rPr>
          <w:szCs w:val="20"/>
        </w:rPr>
        <w:t>for both international and domestic transport and have been satisfied with the solution which has intentionally been pro-consumer. The reasoning behind extending the Athens Convention to domestic carriage includes:</w:t>
      </w:r>
    </w:p>
    <w:p w14:paraId="3432D9EC" w14:textId="77777777" w:rsidR="00537C94" w:rsidRDefault="00537C94" w:rsidP="00160A48">
      <w:pPr>
        <w:pStyle w:val="ListParagraph"/>
        <w:numPr>
          <w:ilvl w:val="0"/>
          <w:numId w:val="9"/>
        </w:numPr>
        <w:spacing w:line="264" w:lineRule="auto"/>
        <w:jc w:val="left"/>
        <w:rPr>
          <w:szCs w:val="20"/>
        </w:rPr>
      </w:pPr>
      <w:r>
        <w:rPr>
          <w:szCs w:val="20"/>
        </w:rPr>
        <w:t xml:space="preserve">Passengers would be governed by the same regime regardless of whether they were transiting to and disembarking in Australia from a foreign port; or remaining on the ship and transiting between Australia Ports on a foreign flagged cruise ship; or embarking in Australia and transiting to another Australian Port. All passengers would have access to the same liability limits if negligence on the behalf of the ship were to occur impacting passengers and/or their luggage. </w:t>
      </w:r>
    </w:p>
    <w:p w14:paraId="1DDF03A9" w14:textId="178620D6" w:rsidR="00537C94" w:rsidRDefault="00537C94" w:rsidP="00160A48">
      <w:pPr>
        <w:pStyle w:val="ListParagraph"/>
        <w:numPr>
          <w:ilvl w:val="0"/>
          <w:numId w:val="9"/>
        </w:numPr>
        <w:spacing w:line="264" w:lineRule="auto"/>
        <w:jc w:val="left"/>
        <w:rPr>
          <w:szCs w:val="20"/>
        </w:rPr>
      </w:pPr>
      <w:r>
        <w:rPr>
          <w:szCs w:val="20"/>
        </w:rPr>
        <w:t xml:space="preserve">Ships that do not travel to international ports still carry similar maritime risk and are often operated by foreign carriers and in international waters. It would seem to be sensible for these voyages to be covered by </w:t>
      </w:r>
      <w:r w:rsidR="00215A83">
        <w:rPr>
          <w:szCs w:val="20"/>
        </w:rPr>
        <w:t xml:space="preserve">the </w:t>
      </w:r>
      <w:r>
        <w:rPr>
          <w:szCs w:val="20"/>
        </w:rPr>
        <w:t>Athens</w:t>
      </w:r>
      <w:r w:rsidR="00215A83">
        <w:rPr>
          <w:szCs w:val="20"/>
        </w:rPr>
        <w:t xml:space="preserve"> Convention</w:t>
      </w:r>
      <w:r>
        <w:rPr>
          <w:szCs w:val="20"/>
        </w:rPr>
        <w:t xml:space="preserve">. </w:t>
      </w:r>
    </w:p>
    <w:p w14:paraId="0F9C2478" w14:textId="77777777" w:rsidR="00537C94" w:rsidRDefault="00537C94" w:rsidP="00160A48">
      <w:pPr>
        <w:pStyle w:val="ListParagraph"/>
        <w:numPr>
          <w:ilvl w:val="0"/>
          <w:numId w:val="9"/>
        </w:numPr>
        <w:spacing w:line="264" w:lineRule="auto"/>
        <w:jc w:val="left"/>
        <w:rPr>
          <w:szCs w:val="20"/>
        </w:rPr>
      </w:pPr>
      <w:r>
        <w:rPr>
          <w:szCs w:val="20"/>
        </w:rPr>
        <w:t>Subject to any constitutional considerations, future amendments to the enabling Act could provide national adjustments for such voyages. In response to the 2017 discussion paper, Professors Lewins</w:t>
      </w:r>
      <w:r>
        <w:rPr>
          <w:rStyle w:val="FootnoteReference"/>
          <w:szCs w:val="20"/>
        </w:rPr>
        <w:footnoteReference w:id="18"/>
      </w:r>
      <w:r>
        <w:rPr>
          <w:szCs w:val="20"/>
        </w:rPr>
        <w:t xml:space="preserve"> and Gaskell</w:t>
      </w:r>
      <w:r>
        <w:rPr>
          <w:rStyle w:val="FootnoteReference"/>
          <w:szCs w:val="20"/>
        </w:rPr>
        <w:footnoteReference w:id="19"/>
      </w:r>
      <w:r>
        <w:rPr>
          <w:szCs w:val="20"/>
        </w:rPr>
        <w:t xml:space="preserve"> proposed that such amendments to allow for the inclusion of the ‘voyages to nowhere’ would include extension of the application to contracts of carriage performed by:</w:t>
      </w:r>
    </w:p>
    <w:p w14:paraId="742FBA4D" w14:textId="77777777" w:rsidR="00537C94" w:rsidRDefault="00537C94" w:rsidP="00160A48">
      <w:pPr>
        <w:pStyle w:val="ListParagraph"/>
        <w:numPr>
          <w:ilvl w:val="0"/>
          <w:numId w:val="12"/>
        </w:numPr>
        <w:spacing w:line="264" w:lineRule="auto"/>
        <w:ind w:left="1418"/>
        <w:jc w:val="left"/>
        <w:rPr>
          <w:szCs w:val="20"/>
        </w:rPr>
      </w:pPr>
      <w:r>
        <w:rPr>
          <w:szCs w:val="20"/>
        </w:rPr>
        <w:t>A foreign registered ship</w:t>
      </w:r>
    </w:p>
    <w:p w14:paraId="660B0A57" w14:textId="77777777" w:rsidR="00537C94" w:rsidRDefault="00537C94" w:rsidP="00160A48">
      <w:pPr>
        <w:pStyle w:val="ListParagraph"/>
        <w:numPr>
          <w:ilvl w:val="0"/>
          <w:numId w:val="12"/>
        </w:numPr>
        <w:spacing w:line="264" w:lineRule="auto"/>
        <w:ind w:left="1418"/>
        <w:jc w:val="left"/>
        <w:rPr>
          <w:szCs w:val="20"/>
        </w:rPr>
      </w:pPr>
      <w:r>
        <w:rPr>
          <w:szCs w:val="20"/>
        </w:rPr>
        <w:t>A ship with a passenger capacity of (X)</w:t>
      </w:r>
      <w:r w:rsidDel="00794712">
        <w:rPr>
          <w:szCs w:val="20"/>
        </w:rPr>
        <w:t xml:space="preserve"> </w:t>
      </w:r>
      <w:r>
        <w:rPr>
          <w:szCs w:val="20"/>
        </w:rPr>
        <w:t>- to be nominated</w:t>
      </w:r>
    </w:p>
    <w:p w14:paraId="50989AE0" w14:textId="77777777" w:rsidR="00537C94" w:rsidRPr="001B6DC4" w:rsidRDefault="00537C94" w:rsidP="00160A48">
      <w:pPr>
        <w:pStyle w:val="ListParagraph"/>
        <w:numPr>
          <w:ilvl w:val="0"/>
          <w:numId w:val="12"/>
        </w:numPr>
        <w:spacing w:line="264" w:lineRule="auto"/>
        <w:ind w:left="1418"/>
        <w:jc w:val="left"/>
        <w:rPr>
          <w:szCs w:val="20"/>
        </w:rPr>
      </w:pPr>
      <w:r>
        <w:rPr>
          <w:szCs w:val="20"/>
        </w:rPr>
        <w:t xml:space="preserve">Involving a voyage of at least one night’s duration </w:t>
      </w:r>
    </w:p>
    <w:p w14:paraId="097A531A" w14:textId="456013B7" w:rsidR="00537C94" w:rsidRDefault="00537C94" w:rsidP="00537C94">
      <w:pPr>
        <w:jc w:val="left"/>
        <w:rPr>
          <w:szCs w:val="20"/>
        </w:rPr>
      </w:pPr>
      <w:r>
        <w:rPr>
          <w:szCs w:val="20"/>
        </w:rPr>
        <w:t xml:space="preserve">Applying the Athens Convention to </w:t>
      </w:r>
      <w:r w:rsidR="00D721B5">
        <w:rPr>
          <w:szCs w:val="20"/>
        </w:rPr>
        <w:t xml:space="preserve">cruises </w:t>
      </w:r>
      <w:r>
        <w:rPr>
          <w:szCs w:val="20"/>
        </w:rPr>
        <w:t xml:space="preserve">operated by Australian flagged ships that solely operate within Australia by Australian companies may, however, not prove reasonable given low passenger numbers, and existing LLMC limits and ACL application deemed satisfactory. The constraints and challenges identified in </w:t>
      </w:r>
      <w:r w:rsidRPr="00855737">
        <w:rPr>
          <w:szCs w:val="20"/>
        </w:rPr>
        <w:t xml:space="preserve">section </w:t>
      </w:r>
      <w:r w:rsidR="00855737" w:rsidRPr="00855737">
        <w:rPr>
          <w:szCs w:val="20"/>
        </w:rPr>
        <w:t>4.5</w:t>
      </w:r>
      <w:r>
        <w:rPr>
          <w:szCs w:val="20"/>
        </w:rPr>
        <w:t xml:space="preserve"> may still </w:t>
      </w:r>
      <w:r w:rsidR="00C0504F">
        <w:rPr>
          <w:szCs w:val="20"/>
        </w:rPr>
        <w:t>apply</w:t>
      </w:r>
      <w:r>
        <w:rPr>
          <w:szCs w:val="20"/>
        </w:rPr>
        <w:t>. Having one single liability requirement regardless of voyage type might be considered favourable. To undertake a considered cost benefit analysis and comprehensive understanding of the impacts to the</w:t>
      </w:r>
      <w:r w:rsidR="00C0504F">
        <w:rPr>
          <w:szCs w:val="20"/>
        </w:rPr>
        <w:t xml:space="preserve"> smaller</w:t>
      </w:r>
      <w:r>
        <w:rPr>
          <w:szCs w:val="20"/>
        </w:rPr>
        <w:t xml:space="preserve"> domestic maritime passenger carrying fleet</w:t>
      </w:r>
      <w:r w:rsidRPr="00FC43E7">
        <w:rPr>
          <w:szCs w:val="20"/>
        </w:rPr>
        <w:t xml:space="preserve"> </w:t>
      </w:r>
      <w:r>
        <w:rPr>
          <w:szCs w:val="20"/>
        </w:rPr>
        <w:t>would require extensive consultation with these vessel operators and the co</w:t>
      </w:r>
      <w:r>
        <w:rPr>
          <w:szCs w:val="20"/>
        </w:rPr>
        <w:noBreakHyphen/>
        <w:t>operation of the states/</w:t>
      </w:r>
      <w:r w:rsidR="0083307A">
        <w:rPr>
          <w:szCs w:val="20"/>
        </w:rPr>
        <w:t>territories and</w:t>
      </w:r>
      <w:r>
        <w:rPr>
          <w:szCs w:val="20"/>
        </w:rPr>
        <w:t xml:space="preserve"> has been excluded from this current analysis. </w:t>
      </w:r>
    </w:p>
    <w:p w14:paraId="34D2CA1D" w14:textId="06BB0456" w:rsidR="00537C94" w:rsidRPr="00C972EC" w:rsidRDefault="00537C94" w:rsidP="00537C94">
      <w:pPr>
        <w:jc w:val="left"/>
        <w:rPr>
          <w:szCs w:val="20"/>
        </w:rPr>
      </w:pPr>
      <w:r>
        <w:rPr>
          <w:szCs w:val="20"/>
        </w:rPr>
        <w:t>Whilst the EU has applied the Athens Convention to its domestic passenger carrying fleet (such as ferries operating within and between member states), it has done so gradually to enable sufficient lead times for the industry to adjust to the increase in insurance requirements. In Australia, the Athens Convention could be enacted and applied to Australia’s international passenger carrying industry quite quickly (including the ‘voyages to nowhere’), and whilst there is clear benefit for compulsory passenger insurance amongst Australia’s passenger carrying domestic fleet, special consideration needs to be given to deal with state</w:t>
      </w:r>
      <w:r w:rsidR="00215A83">
        <w:rPr>
          <w:szCs w:val="20"/>
        </w:rPr>
        <w:t>/territory</w:t>
      </w:r>
      <w:r>
        <w:rPr>
          <w:szCs w:val="20"/>
        </w:rPr>
        <w:t xml:space="preserve"> consumer laws and the laws governing domestic commercial vessels.  </w:t>
      </w:r>
    </w:p>
    <w:p w14:paraId="15A080D2" w14:textId="77777777" w:rsidR="00537C94" w:rsidRDefault="00537C94" w:rsidP="00537C94">
      <w:pPr>
        <w:pStyle w:val="Heading2"/>
        <w:jc w:val="both"/>
      </w:pPr>
      <w:bookmarkStart w:id="79" w:name="_Toc31119166"/>
      <w:bookmarkStart w:id="80" w:name="_Toc34657072"/>
      <w:bookmarkStart w:id="81" w:name="_Toc44659922"/>
      <w:r>
        <w:t>Application to s</w:t>
      </w:r>
      <w:r w:rsidRPr="00314016">
        <w:t>maller operators to be canvas</w:t>
      </w:r>
      <w:r>
        <w:t>s</w:t>
      </w:r>
      <w:r w:rsidRPr="00314016">
        <w:t>ed</w:t>
      </w:r>
      <w:bookmarkEnd w:id="79"/>
      <w:bookmarkEnd w:id="80"/>
      <w:bookmarkEnd w:id="81"/>
    </w:p>
    <w:p w14:paraId="497ABA4D" w14:textId="29299DB1" w:rsidR="00537C94" w:rsidRDefault="00372BE9" w:rsidP="00537C94">
      <w:pPr>
        <w:jc w:val="left"/>
      </w:pPr>
      <w:r>
        <w:t xml:space="preserve">Australia has a unique market </w:t>
      </w:r>
      <w:r w:rsidR="005C1999">
        <w:t xml:space="preserve">for domestic coastal cruises as well as large passenger and vehicle ferries. </w:t>
      </w:r>
      <w:r w:rsidR="000F3F13">
        <w:t>The domestic coastal cruises industry</w:t>
      </w:r>
      <w:r w:rsidR="001977AE">
        <w:t xml:space="preserve"> predominantly operates in the Kimberley region, where cruises travel between Broome and Darwin, carrying between 12 to 120 passengers on multi night cruises</w:t>
      </w:r>
      <w:r w:rsidR="000F3F13">
        <w:t xml:space="preserve"> with the occasional international visit to Indonesia</w:t>
      </w:r>
      <w:r w:rsidR="001977AE">
        <w:t xml:space="preserve">. </w:t>
      </w:r>
      <w:r w:rsidR="00537C94">
        <w:t>Australia</w:t>
      </w:r>
      <w:r w:rsidR="00F70411">
        <w:t xml:space="preserve"> also</w:t>
      </w:r>
      <w:r w:rsidR="00537C94">
        <w:t xml:space="preserve"> has some large ferries transporting both passengers and vehicles from the mainland to </w:t>
      </w:r>
      <w:r w:rsidR="00914C88">
        <w:t>offshore</w:t>
      </w:r>
      <w:r w:rsidR="00537C94">
        <w:t xml:space="preserve"> islands such as Tasmania, Stradbroke Island, Moreton Island, and Kangaroo Island. The carrying capacity of these vessels range from 250 – 1400 passengers and 30-500 vehicles depending on the ship. Currently, carriage contracts, with the exception of Consumer Guarantees (under the ACL), exclude any liability for loss, death or personal injury incurred as a result of or in connection with the negligence of the operator or ship owner except in circumstances where a claim is brought against them, in which case the claims are limited to the amounts set out in the LLMC Act. Also, under Australian Law there is no mandatory requirement for a commercial vessel to have insurance for passengers and luggage, which is generally perceived as a business risk decision. </w:t>
      </w:r>
    </w:p>
    <w:p w14:paraId="0449F6CA" w14:textId="264613E1" w:rsidR="00537C94" w:rsidRDefault="00537C94" w:rsidP="00537C94">
      <w:pPr>
        <w:jc w:val="left"/>
      </w:pPr>
      <w:r>
        <w:t>As a matter of principle, Professors Gaskell and Lewins have argued that there is a need to provide greater uniformity in the carriage of passengers domestically by sea, especially given the variety of state laws and interstate voyages, the limitation of liability under the LLMC 1996 and absence of compulsory insurance schemes with direct action for domestic commercial vessels.  A review of the adequacy of the existing application of the Australian consumer law is required to fully evaluate impacts of applying the Athens Convention to the domestic sector.</w:t>
      </w:r>
    </w:p>
    <w:p w14:paraId="69756EE9" w14:textId="592CC81F" w:rsidR="00384943" w:rsidRDefault="00384943" w:rsidP="00537C94">
      <w:pPr>
        <w:jc w:val="left"/>
      </w:pPr>
    </w:p>
    <w:p w14:paraId="2606212F" w14:textId="5433CC55" w:rsidR="00384943" w:rsidRDefault="00384943" w:rsidP="00537C94">
      <w:pPr>
        <w:jc w:val="left"/>
      </w:pPr>
    </w:p>
    <w:p w14:paraId="6232C4EC" w14:textId="50B98F17" w:rsidR="00384943" w:rsidRDefault="00384943" w:rsidP="00537C94">
      <w:pPr>
        <w:jc w:val="left"/>
      </w:pPr>
    </w:p>
    <w:p w14:paraId="79B33AC5" w14:textId="6BE29A77" w:rsidR="00384943" w:rsidRDefault="00384943" w:rsidP="00537C94">
      <w:pPr>
        <w:jc w:val="left"/>
      </w:pPr>
    </w:p>
    <w:p w14:paraId="6F4CADA8" w14:textId="6BAEEB8F" w:rsidR="00384943" w:rsidRDefault="00384943" w:rsidP="00537C94">
      <w:pPr>
        <w:jc w:val="left"/>
      </w:pPr>
    </w:p>
    <w:p w14:paraId="308FAB96" w14:textId="12B65CDB" w:rsidR="00384943" w:rsidRDefault="00384943" w:rsidP="00537C94">
      <w:pPr>
        <w:jc w:val="left"/>
      </w:pPr>
    </w:p>
    <w:p w14:paraId="7914FC58" w14:textId="3521C46A" w:rsidR="00384943" w:rsidRDefault="00384943" w:rsidP="00537C94">
      <w:pPr>
        <w:jc w:val="left"/>
      </w:pPr>
    </w:p>
    <w:p w14:paraId="6B78E781" w14:textId="18562744" w:rsidR="00384943" w:rsidRDefault="00384943" w:rsidP="00537C94">
      <w:pPr>
        <w:jc w:val="left"/>
      </w:pPr>
    </w:p>
    <w:p w14:paraId="3C2D28A8" w14:textId="2B7D7D6A" w:rsidR="00384943" w:rsidRDefault="00384943" w:rsidP="00537C94">
      <w:pPr>
        <w:jc w:val="left"/>
      </w:pPr>
    </w:p>
    <w:p w14:paraId="084110D2" w14:textId="432EFC70" w:rsidR="00384943" w:rsidRDefault="00384943" w:rsidP="00537C94">
      <w:pPr>
        <w:jc w:val="left"/>
      </w:pPr>
    </w:p>
    <w:p w14:paraId="7C973EB5" w14:textId="514DA6C8" w:rsidR="00384943" w:rsidRDefault="00384943" w:rsidP="00537C94">
      <w:pPr>
        <w:jc w:val="left"/>
      </w:pPr>
    </w:p>
    <w:p w14:paraId="2B041868" w14:textId="572907C6" w:rsidR="00384943" w:rsidRDefault="00384943" w:rsidP="00537C94">
      <w:pPr>
        <w:jc w:val="left"/>
      </w:pPr>
    </w:p>
    <w:p w14:paraId="5C1C2765" w14:textId="3F20402F" w:rsidR="00384943" w:rsidRDefault="00384943" w:rsidP="00537C94">
      <w:pPr>
        <w:jc w:val="left"/>
      </w:pPr>
    </w:p>
    <w:p w14:paraId="534B1387" w14:textId="023914B0" w:rsidR="00384943" w:rsidRDefault="00384943" w:rsidP="00537C94">
      <w:pPr>
        <w:jc w:val="left"/>
      </w:pPr>
    </w:p>
    <w:p w14:paraId="62DB53F7" w14:textId="13311522" w:rsidR="00384943" w:rsidRDefault="00384943" w:rsidP="00537C94">
      <w:pPr>
        <w:jc w:val="left"/>
      </w:pPr>
    </w:p>
    <w:p w14:paraId="5D048122" w14:textId="10DACFA5" w:rsidR="00384943" w:rsidRDefault="00384943" w:rsidP="00537C94">
      <w:pPr>
        <w:jc w:val="left"/>
      </w:pPr>
    </w:p>
    <w:p w14:paraId="355C9BB3" w14:textId="3CCDE2B1" w:rsidR="00384943" w:rsidRDefault="00384943" w:rsidP="00537C94">
      <w:pPr>
        <w:jc w:val="left"/>
      </w:pPr>
    </w:p>
    <w:p w14:paraId="417E70C6" w14:textId="77777777" w:rsidR="00384943" w:rsidRDefault="00384943" w:rsidP="00537C94">
      <w:pPr>
        <w:jc w:val="left"/>
      </w:pPr>
    </w:p>
    <w:tbl>
      <w:tblPr>
        <w:tblStyle w:val="GridTable4-Accent6"/>
        <w:tblW w:w="0" w:type="auto"/>
        <w:tblLook w:val="04A0" w:firstRow="1" w:lastRow="0" w:firstColumn="1" w:lastColumn="0" w:noHBand="0" w:noVBand="1"/>
      </w:tblPr>
      <w:tblGrid>
        <w:gridCol w:w="9016"/>
      </w:tblGrid>
      <w:tr w:rsidR="00ED080C" w14:paraId="2D2FDF5D" w14:textId="77777777" w:rsidTr="00387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074336C" w14:textId="1FDC3B72" w:rsidR="00ED080C" w:rsidRPr="00387383" w:rsidRDefault="00ED080C" w:rsidP="00ED080C">
            <w:pPr>
              <w:jc w:val="left"/>
              <w:rPr>
                <w:color w:val="FFFFFF" w:themeColor="background1"/>
                <w:sz w:val="24"/>
                <w:szCs w:val="24"/>
              </w:rPr>
            </w:pPr>
            <w:r w:rsidRPr="00387383">
              <w:rPr>
                <w:noProof/>
              </w:rPr>
              <w:drawing>
                <wp:anchor distT="0" distB="0" distL="114300" distR="114300" simplePos="0" relativeHeight="251658251" behindDoc="0" locked="0" layoutInCell="1" allowOverlap="1" wp14:anchorId="6F915B76" wp14:editId="05E96350">
                  <wp:simplePos x="0" y="0"/>
                  <wp:positionH relativeFrom="margin">
                    <wp:posOffset>5140960</wp:posOffset>
                  </wp:positionH>
                  <wp:positionV relativeFrom="paragraph">
                    <wp:posOffset>13970</wp:posOffset>
                  </wp:positionV>
                  <wp:extent cx="400050" cy="400050"/>
                  <wp:effectExtent l="0" t="0" r="0" b="0"/>
                  <wp:wrapNone/>
                  <wp:docPr id="30" name="Graphic 30"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withgears.svg"/>
                          <pic:cNvPicPr/>
                        </pic:nvPicPr>
                        <pic:blipFill>
                          <a:blip r:embed="rId1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Pr="00387383">
              <w:rPr>
                <w:color w:val="FFFFFF" w:themeColor="background1"/>
                <w:sz w:val="24"/>
                <w:szCs w:val="24"/>
              </w:rPr>
              <w:t>Key Points from Impact Analysis</w:t>
            </w:r>
          </w:p>
          <w:p w14:paraId="4F4535DB" w14:textId="77777777" w:rsidR="00ED080C" w:rsidRDefault="00ED080C" w:rsidP="00537C94">
            <w:pPr>
              <w:jc w:val="left"/>
            </w:pPr>
          </w:p>
        </w:tc>
      </w:tr>
      <w:tr w:rsidR="00ED080C" w14:paraId="1C3A7DFD" w14:textId="77777777" w:rsidTr="00387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0A3B487" w14:textId="37C4FBA6" w:rsidR="00ED080C" w:rsidRPr="00ED080C" w:rsidRDefault="00ED080C" w:rsidP="00ED080C">
            <w:pPr>
              <w:jc w:val="left"/>
              <w:rPr>
                <w:b w:val="0"/>
                <w:bCs w:val="0"/>
              </w:rPr>
            </w:pPr>
            <w:r w:rsidRPr="00ED080C">
              <w:rPr>
                <w:b w:val="0"/>
                <w:bCs w:val="0"/>
              </w:rPr>
              <w:t xml:space="preserve">The impact of </w:t>
            </w:r>
            <w:r w:rsidR="00626F2A">
              <w:rPr>
                <w:b w:val="0"/>
                <w:bCs w:val="0"/>
              </w:rPr>
              <w:t>O</w:t>
            </w:r>
            <w:r w:rsidRPr="00ED080C">
              <w:rPr>
                <w:b w:val="0"/>
                <w:bCs w:val="0"/>
              </w:rPr>
              <w:t xml:space="preserve">ption 4 would differ depending on whether the set-up of </w:t>
            </w:r>
            <w:r w:rsidR="00626F2A">
              <w:rPr>
                <w:b w:val="0"/>
                <w:bCs w:val="0"/>
              </w:rPr>
              <w:t>O</w:t>
            </w:r>
            <w:r w:rsidRPr="00ED080C">
              <w:rPr>
                <w:b w:val="0"/>
                <w:bCs w:val="0"/>
              </w:rPr>
              <w:t xml:space="preserve">ption 2 or </w:t>
            </w:r>
            <w:r w:rsidR="00626F2A">
              <w:rPr>
                <w:b w:val="0"/>
                <w:bCs w:val="0"/>
              </w:rPr>
              <w:t>O</w:t>
            </w:r>
            <w:r w:rsidRPr="00ED080C">
              <w:rPr>
                <w:b w:val="0"/>
                <w:bCs w:val="0"/>
              </w:rPr>
              <w:t>ption 3 is used. Compared to the current baseline (</w:t>
            </w:r>
            <w:r w:rsidR="00626F2A">
              <w:rPr>
                <w:b w:val="0"/>
                <w:bCs w:val="0"/>
              </w:rPr>
              <w:t>O</w:t>
            </w:r>
            <w:r w:rsidRPr="00ED080C">
              <w:rPr>
                <w:b w:val="0"/>
                <w:bCs w:val="0"/>
              </w:rPr>
              <w:t xml:space="preserve">ption 1), </w:t>
            </w:r>
            <w:r w:rsidR="00626F2A">
              <w:rPr>
                <w:b w:val="0"/>
                <w:bCs w:val="0"/>
              </w:rPr>
              <w:t>O</w:t>
            </w:r>
            <w:r w:rsidRPr="00ED080C">
              <w:rPr>
                <w:b w:val="0"/>
                <w:bCs w:val="0"/>
              </w:rPr>
              <w:t xml:space="preserve">ption 4 would have the same impacts as either </w:t>
            </w:r>
            <w:r w:rsidR="00626F2A">
              <w:rPr>
                <w:b w:val="0"/>
                <w:bCs w:val="0"/>
              </w:rPr>
              <w:t>O</w:t>
            </w:r>
            <w:r w:rsidRPr="00ED080C">
              <w:rPr>
                <w:b w:val="0"/>
                <w:bCs w:val="0"/>
              </w:rPr>
              <w:t xml:space="preserve">ption 2 or </w:t>
            </w:r>
            <w:r w:rsidR="00626F2A">
              <w:rPr>
                <w:b w:val="0"/>
                <w:bCs w:val="0"/>
              </w:rPr>
              <w:t>O</w:t>
            </w:r>
            <w:r w:rsidRPr="00ED080C">
              <w:rPr>
                <w:b w:val="0"/>
                <w:bCs w:val="0"/>
              </w:rPr>
              <w:t xml:space="preserve">ption </w:t>
            </w:r>
            <w:r w:rsidR="00E319C3" w:rsidRPr="00ED080C">
              <w:rPr>
                <w:b w:val="0"/>
                <w:bCs w:val="0"/>
              </w:rPr>
              <w:t>3 but</w:t>
            </w:r>
            <w:r w:rsidRPr="00ED080C">
              <w:rPr>
                <w:b w:val="0"/>
                <w:bCs w:val="0"/>
              </w:rPr>
              <w:t xml:space="preserve"> applied to a larger number of vessels which operate voyages to nowhere</w:t>
            </w:r>
            <w:r w:rsidR="00794C11">
              <w:rPr>
                <w:b w:val="0"/>
                <w:bCs w:val="0"/>
              </w:rPr>
              <w:t xml:space="preserve"> or </w:t>
            </w:r>
            <w:r w:rsidR="00794C11" w:rsidRPr="00F67D07">
              <w:rPr>
                <w:b w:val="0"/>
              </w:rPr>
              <w:t>domestic voyages</w:t>
            </w:r>
            <w:r w:rsidRPr="00ED080C">
              <w:rPr>
                <w:b w:val="0"/>
                <w:bCs w:val="0"/>
              </w:rPr>
              <w:t xml:space="preserve">. This additional number is expected to be small as few cruise companies only operate voyages to nowhere, and as such would be required to be covered by the implemented option anyway. </w:t>
            </w:r>
          </w:p>
          <w:p w14:paraId="2351560B" w14:textId="22CFE03F" w:rsidR="00ED080C" w:rsidRPr="00ED080C" w:rsidRDefault="00ED080C" w:rsidP="00ED080C">
            <w:pPr>
              <w:jc w:val="left"/>
              <w:rPr>
                <w:b w:val="0"/>
                <w:bCs w:val="0"/>
              </w:rPr>
            </w:pPr>
            <w:r w:rsidRPr="00ED080C">
              <w:rPr>
                <w:b w:val="0"/>
                <w:bCs w:val="0"/>
              </w:rPr>
              <w:t xml:space="preserve">Under </w:t>
            </w:r>
            <w:r w:rsidR="00626F2A">
              <w:rPr>
                <w:b w:val="0"/>
                <w:bCs w:val="0"/>
              </w:rPr>
              <w:t>O</w:t>
            </w:r>
            <w:r w:rsidRPr="00ED080C">
              <w:rPr>
                <w:b w:val="0"/>
                <w:bCs w:val="0"/>
              </w:rPr>
              <w:t xml:space="preserve">ption 4 it would become mandatory for a cruise company to take out </w:t>
            </w:r>
            <w:r w:rsidRPr="00D47600">
              <w:t>insurance</w:t>
            </w:r>
            <w:r w:rsidRPr="00ED080C">
              <w:rPr>
                <w:b w:val="0"/>
                <w:bCs w:val="0"/>
              </w:rPr>
              <w:t xml:space="preserve"> and </w:t>
            </w:r>
            <w:r w:rsidRPr="00D47600">
              <w:t>could include a minimum cover limit</w:t>
            </w:r>
            <w:r w:rsidRPr="00ED080C">
              <w:rPr>
                <w:b w:val="0"/>
                <w:bCs w:val="0"/>
              </w:rPr>
              <w:t>. Currently, insurance is not mandatory, and no minimum limit is required. Companies which do not currently hold insurance (expected to be &lt;10% of the market</w:t>
            </w:r>
            <w:r w:rsidR="00C67939">
              <w:rPr>
                <w:b w:val="0"/>
                <w:bCs w:val="0"/>
              </w:rPr>
              <w:t xml:space="preserve">, </w:t>
            </w:r>
            <w:r w:rsidR="00562088" w:rsidRPr="00562088">
              <w:rPr>
                <w:b w:val="0"/>
                <w:bCs w:val="0"/>
              </w:rPr>
              <w:t>see footnote 2</w:t>
            </w:r>
            <w:r w:rsidR="00626F2A">
              <w:rPr>
                <w:b w:val="0"/>
                <w:bCs w:val="0"/>
              </w:rPr>
              <w:t>3</w:t>
            </w:r>
            <w:r w:rsidRPr="00ED080C">
              <w:rPr>
                <w:b w:val="0"/>
                <w:bCs w:val="0"/>
              </w:rPr>
              <w:t xml:space="preserve">) would be required to obtain it and, if applicable, those with insurance under the limit would need to increase their liability cover. It is expected these additional costs would ultimately be passed onto passengers or absorbed by the cruise company. The increase is not estimated to be large in relation to a cruise company’s operating costs, nor represent a large increase in the passenger fare price. As both variations of </w:t>
            </w:r>
            <w:r w:rsidR="00626F2A">
              <w:rPr>
                <w:b w:val="0"/>
                <w:bCs w:val="0"/>
              </w:rPr>
              <w:t>O</w:t>
            </w:r>
            <w:r w:rsidRPr="00ED080C">
              <w:rPr>
                <w:b w:val="0"/>
                <w:bCs w:val="0"/>
              </w:rPr>
              <w:t xml:space="preserve">ption 4 follow the Athens Convention, insurance companies would have more examples from other countries to provide accurate estimates and lawyers would have more information to advise claimants.  </w:t>
            </w:r>
          </w:p>
          <w:p w14:paraId="025EA3EA" w14:textId="4D944EC8" w:rsidR="00ED080C" w:rsidRPr="00ED080C" w:rsidRDefault="00ED080C" w:rsidP="00ED080C">
            <w:pPr>
              <w:jc w:val="left"/>
              <w:rPr>
                <w:b w:val="0"/>
                <w:bCs w:val="0"/>
              </w:rPr>
            </w:pPr>
            <w:r w:rsidRPr="00ED080C">
              <w:rPr>
                <w:b w:val="0"/>
                <w:bCs w:val="0"/>
              </w:rPr>
              <w:t xml:space="preserve">In both variations of </w:t>
            </w:r>
            <w:r w:rsidR="00626F2A">
              <w:rPr>
                <w:b w:val="0"/>
                <w:bCs w:val="0"/>
              </w:rPr>
              <w:t>O</w:t>
            </w:r>
            <w:r w:rsidRPr="00ED080C">
              <w:rPr>
                <w:b w:val="0"/>
                <w:bCs w:val="0"/>
              </w:rPr>
              <w:t xml:space="preserve">ption 4, the </w:t>
            </w:r>
            <w:r w:rsidRPr="00D47600">
              <w:t>burden of proof</w:t>
            </w:r>
            <w:r w:rsidRPr="00ED080C">
              <w:rPr>
                <w:b w:val="0"/>
                <w:bCs w:val="0"/>
              </w:rPr>
              <w:t xml:space="preserve"> is shifted so that in an incident, the cruise company must demonstrate it was not negligent compared to the current state of a passenger needing to demonstrate negligence. This makes it easier for a passenger to lodge a claim and harder for a cruise company to gather evidence to reject a claim. This may result in more claims needing to be paid out, therefore increasing costs to cruise companies but benefiting passengers. </w:t>
            </w:r>
          </w:p>
          <w:p w14:paraId="03C304AB" w14:textId="2E942F93" w:rsidR="00ED080C" w:rsidRPr="00ED080C" w:rsidRDefault="00ED080C" w:rsidP="00ED080C">
            <w:pPr>
              <w:jc w:val="left"/>
              <w:rPr>
                <w:b w:val="0"/>
                <w:bCs w:val="0"/>
              </w:rPr>
            </w:pPr>
            <w:r w:rsidRPr="00ED080C">
              <w:rPr>
                <w:b w:val="0"/>
                <w:bCs w:val="0"/>
              </w:rPr>
              <w:t xml:space="preserve">Under </w:t>
            </w:r>
            <w:r w:rsidR="00626F2A">
              <w:rPr>
                <w:b w:val="0"/>
                <w:bCs w:val="0"/>
              </w:rPr>
              <w:t>O</w:t>
            </w:r>
            <w:r w:rsidRPr="00ED080C">
              <w:rPr>
                <w:b w:val="0"/>
                <w:bCs w:val="0"/>
              </w:rPr>
              <w:t xml:space="preserve">ption 4, the process for submitting a claim follows the Athens Convention and, depending on the variant chosen the upper limit a claimant can receive could also increase.  Therefore, the effort involved in lodging a claim, the likelihood it is approved and potentially the upper limit to be received are all improved for the passenger. </w:t>
            </w:r>
          </w:p>
          <w:p w14:paraId="18F71680" w14:textId="11E125D4" w:rsidR="00ED080C" w:rsidRDefault="00FC5797" w:rsidP="00ED080C">
            <w:pPr>
              <w:jc w:val="left"/>
            </w:pPr>
            <w:r w:rsidRPr="00FC5797">
              <w:rPr>
                <w:b w:val="0"/>
                <w:bCs w:val="0"/>
              </w:rPr>
              <w:t xml:space="preserve">Currently, Australian passengers on international cruise ships who pursue a claim relating to injury or luggage, can be faced with an overly complex recourse which may be different depending on the carrier, residential location of the claimant, and location of the incident. Option </w:t>
            </w:r>
            <w:r w:rsidR="00680F72">
              <w:rPr>
                <w:b w:val="0"/>
                <w:bCs w:val="0"/>
              </w:rPr>
              <w:t>4</w:t>
            </w:r>
            <w:r w:rsidRPr="00FC5797">
              <w:rPr>
                <w:b w:val="0"/>
                <w:bCs w:val="0"/>
              </w:rPr>
              <w:t xml:space="preserve"> provides uniformity</w:t>
            </w:r>
            <w:r w:rsidR="00ED080C" w:rsidRPr="00ED080C">
              <w:rPr>
                <w:b w:val="0"/>
                <w:bCs w:val="0"/>
              </w:rPr>
              <w:t xml:space="preserve"> in the </w:t>
            </w:r>
            <w:r w:rsidRPr="00FC5797">
              <w:rPr>
                <w:b w:val="0"/>
                <w:bCs w:val="0"/>
              </w:rPr>
              <w:t>claims process</w:t>
            </w:r>
            <w:r w:rsidR="00ED080C" w:rsidRPr="00ED080C">
              <w:rPr>
                <w:b w:val="0"/>
                <w:bCs w:val="0"/>
              </w:rPr>
              <w:t xml:space="preserve">, providing equity to passengers and potentially increasing demand from a perceived easier claims system. </w:t>
            </w:r>
          </w:p>
          <w:p w14:paraId="2098AD3B" w14:textId="2B4B0622" w:rsidR="00ED080C" w:rsidRPr="00ED080C" w:rsidRDefault="00ED080C" w:rsidP="00626F2A">
            <w:pPr>
              <w:jc w:val="left"/>
              <w:rPr>
                <w:b w:val="0"/>
                <w:bCs w:val="0"/>
              </w:rPr>
            </w:pPr>
            <w:r w:rsidRPr="00ED080C">
              <w:rPr>
                <w:b w:val="0"/>
                <w:bCs w:val="0"/>
              </w:rPr>
              <w:t xml:space="preserve">In summary, implementing either variation of </w:t>
            </w:r>
            <w:r w:rsidR="00626F2A">
              <w:rPr>
                <w:b w:val="0"/>
                <w:bCs w:val="0"/>
              </w:rPr>
              <w:t>O</w:t>
            </w:r>
            <w:r w:rsidRPr="00ED080C">
              <w:rPr>
                <w:b w:val="0"/>
                <w:bCs w:val="0"/>
              </w:rPr>
              <w:t xml:space="preserve">ption 4 would likely increase costs for cruise companies which do not currently hold insurance (or hold a lower limit of insurance) and could lead to more claims being paid out. Passengers would benefit from an easier and consistent process to lodge a claim, and potentially from higher maximum limits they could receive.  </w:t>
            </w:r>
          </w:p>
        </w:tc>
      </w:tr>
    </w:tbl>
    <w:p w14:paraId="268795DE" w14:textId="340463E1" w:rsidR="006C1266" w:rsidRDefault="006C1266" w:rsidP="00537C94">
      <w:pPr>
        <w:jc w:val="left"/>
      </w:pPr>
    </w:p>
    <w:p w14:paraId="54B5D384" w14:textId="6B5FE23F" w:rsidR="006C1266" w:rsidRDefault="006C1266" w:rsidP="00537C94">
      <w:pPr>
        <w:jc w:val="left"/>
      </w:pPr>
    </w:p>
    <w:p w14:paraId="7CE2497B" w14:textId="0A37A025" w:rsidR="006C1266" w:rsidRDefault="006C1266" w:rsidP="00537C94">
      <w:pPr>
        <w:jc w:val="left"/>
      </w:pPr>
    </w:p>
    <w:p w14:paraId="153E5FDD" w14:textId="77777777" w:rsidR="00CA5A45" w:rsidRDefault="00CA5A45" w:rsidP="00CA5A45">
      <w:pPr>
        <w:pStyle w:val="Heading1"/>
        <w:jc w:val="both"/>
      </w:pPr>
      <w:bookmarkStart w:id="82" w:name="_Toc36452523"/>
      <w:bookmarkStart w:id="83" w:name="_Toc36452524"/>
      <w:bookmarkStart w:id="84" w:name="_Toc36452525"/>
      <w:bookmarkStart w:id="85" w:name="_Toc36452526"/>
      <w:bookmarkStart w:id="86" w:name="_Toc36452527"/>
      <w:bookmarkStart w:id="87" w:name="_Toc36452528"/>
      <w:bookmarkStart w:id="88" w:name="_Toc36452529"/>
      <w:bookmarkStart w:id="89" w:name="_Toc36452530"/>
      <w:bookmarkStart w:id="90" w:name="_Toc36452531"/>
      <w:bookmarkStart w:id="91" w:name="_Toc36452532"/>
      <w:bookmarkStart w:id="92" w:name="_Toc34657073"/>
      <w:bookmarkStart w:id="93" w:name="_Toc44659923"/>
      <w:bookmarkEnd w:id="82"/>
      <w:bookmarkEnd w:id="83"/>
      <w:bookmarkEnd w:id="84"/>
      <w:bookmarkEnd w:id="85"/>
      <w:bookmarkEnd w:id="86"/>
      <w:bookmarkEnd w:id="87"/>
      <w:bookmarkEnd w:id="88"/>
      <w:bookmarkEnd w:id="89"/>
      <w:bookmarkEnd w:id="90"/>
      <w:bookmarkEnd w:id="91"/>
      <w:r>
        <w:t>Expected Compliance costs</w:t>
      </w:r>
      <w:bookmarkEnd w:id="92"/>
      <w:bookmarkEnd w:id="93"/>
    </w:p>
    <w:p w14:paraId="14F055AA" w14:textId="49B401B2" w:rsidR="00CA5A45" w:rsidRPr="00231448" w:rsidRDefault="00CA5A45" w:rsidP="00CA5A45">
      <w:pPr>
        <w:pStyle w:val="Heading2"/>
        <w:jc w:val="both"/>
      </w:pPr>
      <w:bookmarkStart w:id="94" w:name="_Toc34657074"/>
      <w:bookmarkStart w:id="95" w:name="_Toc44659924"/>
      <w:r>
        <w:t>Regulatory Compliance</w:t>
      </w:r>
      <w:bookmarkEnd w:id="94"/>
      <w:bookmarkEnd w:id="95"/>
    </w:p>
    <w:p w14:paraId="63130CF5" w14:textId="65E4D352" w:rsidR="00CA5A45" w:rsidRPr="007C0747" w:rsidRDefault="00CA5A45" w:rsidP="00CA5A45">
      <w:pPr>
        <w:jc w:val="left"/>
      </w:pPr>
      <w:r w:rsidRPr="007C0747">
        <w:t xml:space="preserve">The Australian Maritime Safety Authority (AMSA) provided the following information to assist in </w:t>
      </w:r>
      <w:r w:rsidR="00701308">
        <w:t xml:space="preserve">the </w:t>
      </w:r>
      <w:r w:rsidRPr="007C0747">
        <w:t xml:space="preserve">development of a </w:t>
      </w:r>
      <w:r w:rsidR="008C076D">
        <w:t xml:space="preserve">regulation </w:t>
      </w:r>
      <w:r w:rsidRPr="007C0747">
        <w:t xml:space="preserve">impact statement addressing the implications of </w:t>
      </w:r>
      <w:r w:rsidR="00D96E4F" w:rsidRPr="007C0747">
        <w:t xml:space="preserve">Australia </w:t>
      </w:r>
      <w:r w:rsidR="00D96E4F">
        <w:t xml:space="preserve">acceding to </w:t>
      </w:r>
      <w:r w:rsidRPr="007C0747">
        <w:t xml:space="preserve">the Athens Convention </w:t>
      </w:r>
      <w:r w:rsidR="00370F63">
        <w:t xml:space="preserve">and </w:t>
      </w:r>
      <w:r w:rsidRPr="007C0747">
        <w:t>cost implications in relation to:</w:t>
      </w:r>
    </w:p>
    <w:p w14:paraId="6CE507AA" w14:textId="77777777" w:rsidR="00CA5A45" w:rsidRDefault="00CA5A45" w:rsidP="00160A48">
      <w:pPr>
        <w:pStyle w:val="ListParagraph"/>
        <w:numPr>
          <w:ilvl w:val="0"/>
          <w:numId w:val="14"/>
        </w:numPr>
        <w:rPr>
          <w:i/>
          <w:iCs/>
        </w:rPr>
      </w:pPr>
      <w:r w:rsidRPr="007C0747">
        <w:rPr>
          <w:i/>
          <w:iCs/>
        </w:rPr>
        <w:t xml:space="preserve">Australian flagged passenger vessels with overseas certification </w:t>
      </w:r>
    </w:p>
    <w:p w14:paraId="2963FDD8" w14:textId="77777777" w:rsidR="00CA5A45" w:rsidRDefault="00CA5A45" w:rsidP="00160A48">
      <w:pPr>
        <w:pStyle w:val="ListParagraph"/>
        <w:numPr>
          <w:ilvl w:val="0"/>
          <w:numId w:val="14"/>
        </w:numPr>
        <w:rPr>
          <w:i/>
          <w:iCs/>
        </w:rPr>
      </w:pPr>
      <w:r w:rsidRPr="007C0747">
        <w:rPr>
          <w:i/>
          <w:iCs/>
        </w:rPr>
        <w:t>foreign flagged passenger vessel</w:t>
      </w:r>
      <w:r>
        <w:rPr>
          <w:i/>
          <w:iCs/>
        </w:rPr>
        <w:t>s</w:t>
      </w:r>
    </w:p>
    <w:p w14:paraId="7C0E0F52" w14:textId="77777777" w:rsidR="00CA5A45" w:rsidRDefault="00CA5A45" w:rsidP="00160A48">
      <w:pPr>
        <w:pStyle w:val="ListParagraph"/>
        <w:numPr>
          <w:ilvl w:val="0"/>
          <w:numId w:val="14"/>
        </w:numPr>
        <w:rPr>
          <w:i/>
          <w:iCs/>
        </w:rPr>
      </w:pPr>
      <w:r w:rsidRPr="007C0747">
        <w:rPr>
          <w:i/>
          <w:iCs/>
        </w:rPr>
        <w:t>domestic commercial vessels (DCV) that may take more than 12 passengers on multiple night cruises</w:t>
      </w:r>
    </w:p>
    <w:p w14:paraId="426EC469" w14:textId="77777777" w:rsidR="00CA5A45" w:rsidRDefault="00CA5A45" w:rsidP="00CA5A45">
      <w:pPr>
        <w:pStyle w:val="ListParagraph"/>
        <w:rPr>
          <w:i/>
          <w:iCs/>
        </w:rPr>
      </w:pPr>
    </w:p>
    <w:p w14:paraId="2E71C14B" w14:textId="77777777" w:rsidR="00CA5A45" w:rsidRPr="003A3F44" w:rsidRDefault="00CA5A45" w:rsidP="00CA5A45">
      <w:pPr>
        <w:pStyle w:val="Heading3"/>
        <w:jc w:val="both"/>
      </w:pPr>
      <w:bookmarkStart w:id="96" w:name="_Toc34657075"/>
      <w:bookmarkStart w:id="97" w:name="_Toc44659925"/>
      <w:r w:rsidRPr="003A3F44">
        <w:t>Australian vessels certified to carry more than 12 passengers on overseas voyages</w:t>
      </w:r>
      <w:bookmarkEnd w:id="96"/>
      <w:bookmarkEnd w:id="97"/>
    </w:p>
    <w:p w14:paraId="7667346A" w14:textId="77777777" w:rsidR="00CA5A45" w:rsidRPr="00456AB1" w:rsidRDefault="00CA5A45" w:rsidP="00CA5A45">
      <w:r w:rsidRPr="00456AB1">
        <w:t>There are currently six such vessels operating under the Australian flag:</w:t>
      </w:r>
    </w:p>
    <w:p w14:paraId="7052B600" w14:textId="0DF3E638" w:rsidR="00CA5A45" w:rsidRPr="00456AB1" w:rsidRDefault="00CA5A45" w:rsidP="00160A48">
      <w:pPr>
        <w:pStyle w:val="ListParagraph"/>
        <w:numPr>
          <w:ilvl w:val="0"/>
          <w:numId w:val="15"/>
        </w:numPr>
      </w:pPr>
      <w:r w:rsidRPr="00456AB1">
        <w:t>three of these undertake overseas voyages</w:t>
      </w:r>
      <w:r w:rsidR="00C44699">
        <w:t>.</w:t>
      </w:r>
    </w:p>
    <w:p w14:paraId="301D02A1" w14:textId="77777777" w:rsidR="00CA5A45" w:rsidRPr="00456AB1" w:rsidRDefault="00CA5A45" w:rsidP="00160A48">
      <w:pPr>
        <w:pStyle w:val="ListParagraph"/>
        <w:numPr>
          <w:ilvl w:val="0"/>
          <w:numId w:val="15"/>
        </w:numPr>
        <w:jc w:val="left"/>
      </w:pPr>
      <w:r w:rsidRPr="00456AB1">
        <w:t>the remaining three operate domestically but carry the certification required to undertake overseas voyages (these include some of the ‘Kimberley/Broome’ vessels). These vessels hold certification as regulated Australian vessels (not DCV) but do not offer multiple night voyages. Th</w:t>
      </w:r>
      <w:r>
        <w:t>ese</w:t>
      </w:r>
      <w:r w:rsidRPr="00456AB1">
        <w:t xml:space="preserve"> include the overnight ferries with passenger accommodation that operate between Tasmania and Victoria (which are the only ferries with accommodation). </w:t>
      </w:r>
    </w:p>
    <w:p w14:paraId="63FAB23A" w14:textId="77777777" w:rsidR="00CA5A45" w:rsidRPr="00456AB1" w:rsidRDefault="00CA5A45" w:rsidP="00160A48">
      <w:pPr>
        <w:pStyle w:val="ListParagraph"/>
        <w:numPr>
          <w:ilvl w:val="0"/>
          <w:numId w:val="15"/>
        </w:numPr>
        <w:jc w:val="left"/>
      </w:pPr>
      <w:r w:rsidRPr="00456AB1">
        <w:t>AMSA understands that one further vessel which will undertake overseas voyages is under construction.</w:t>
      </w:r>
    </w:p>
    <w:p w14:paraId="23944FD0" w14:textId="77777777" w:rsidR="00CA5A45" w:rsidRPr="00383FD1" w:rsidRDefault="00CA5A45" w:rsidP="00CA5A45">
      <w:pPr>
        <w:pStyle w:val="Heading4"/>
        <w:jc w:val="left"/>
      </w:pPr>
      <w:r w:rsidRPr="00383FD1">
        <w:t>Costs to AMSA</w:t>
      </w:r>
    </w:p>
    <w:p w14:paraId="0BC691E4" w14:textId="07E57F6A" w:rsidR="00CA5A45" w:rsidRPr="00456AB1" w:rsidRDefault="00CA5A45" w:rsidP="00CA5A45">
      <w:pPr>
        <w:jc w:val="left"/>
      </w:pPr>
      <w:r w:rsidRPr="00456AB1">
        <w:t xml:space="preserve">These vessels operate as regulated Australian vessels under the </w:t>
      </w:r>
      <w:r w:rsidRPr="008850D6">
        <w:rPr>
          <w:i/>
        </w:rPr>
        <w:t>Navigation Act</w:t>
      </w:r>
      <w:r w:rsidRPr="00456AB1">
        <w:t xml:space="preserve"> 2012 and are subject to flag State control inspections by AMSA. </w:t>
      </w:r>
    </w:p>
    <w:p w14:paraId="5BD79B90" w14:textId="77777777" w:rsidR="00CA5A45" w:rsidRPr="00456AB1" w:rsidRDefault="00CA5A45" w:rsidP="00CA5A45">
      <w:pPr>
        <w:jc w:val="left"/>
      </w:pPr>
      <w:r w:rsidRPr="00456AB1">
        <w:t>AMSA would incur negligible additional compliance costs if these vessels became subject to Athens Convention requirements.</w:t>
      </w:r>
    </w:p>
    <w:p w14:paraId="7977C4F1" w14:textId="37E0D874" w:rsidR="00CA5A45" w:rsidRPr="00456AB1" w:rsidRDefault="00CA5A45" w:rsidP="00CA5A45">
      <w:pPr>
        <w:jc w:val="left"/>
      </w:pPr>
      <w:r w:rsidRPr="00456AB1">
        <w:t xml:space="preserve">There would be a </w:t>
      </w:r>
      <w:r w:rsidR="00914C88" w:rsidRPr="00456AB1">
        <w:t>small-time</w:t>
      </w:r>
      <w:r w:rsidRPr="00456AB1">
        <w:t xml:space="preserve"> cost to issue insurance certificates, which would be compensated on a cost recovery basis (see following).</w:t>
      </w:r>
    </w:p>
    <w:p w14:paraId="02CB4565" w14:textId="77777777" w:rsidR="00CA5A45" w:rsidRPr="00456AB1" w:rsidRDefault="00CA5A45" w:rsidP="00CA5A45">
      <w:pPr>
        <w:pStyle w:val="Heading4"/>
        <w:jc w:val="left"/>
      </w:pPr>
      <w:r w:rsidRPr="00456AB1">
        <w:t>Costs to operators</w:t>
      </w:r>
    </w:p>
    <w:p w14:paraId="4B31E046" w14:textId="7FACDB65" w:rsidR="00CA5A45" w:rsidRPr="00456AB1" w:rsidRDefault="00CA5A45" w:rsidP="00CA5A45">
      <w:pPr>
        <w:jc w:val="left"/>
      </w:pPr>
      <w:r w:rsidRPr="00456AB1">
        <w:t xml:space="preserve">The vessel operators would be required to carry specific passenger insurance, to the limits required by the Athens Convention. It is not known whether these vessels are currently insured for passenger liability, but </w:t>
      </w:r>
      <w:r w:rsidR="008120EE">
        <w:t xml:space="preserve">it is possible </w:t>
      </w:r>
      <w:r w:rsidRPr="00456AB1">
        <w:t>they would be as part of their professional and indemnity (P&amp;I) insurance. The current limits of that insurance are not known by AMSA.</w:t>
      </w:r>
    </w:p>
    <w:p w14:paraId="6674D5B2" w14:textId="41402D4E" w:rsidR="00CA5A45" w:rsidRPr="00456AB1" w:rsidRDefault="00CA5A45" w:rsidP="00FE56FC">
      <w:pPr>
        <w:jc w:val="left"/>
      </w:pPr>
      <w:r w:rsidRPr="00456AB1">
        <w:t>To comply with the Athens Convention</w:t>
      </w:r>
      <w:r w:rsidR="008120EE">
        <w:t xml:space="preserve">, </w:t>
      </w:r>
      <w:r w:rsidR="00AF0FBA">
        <w:t xml:space="preserve">Australia must </w:t>
      </w:r>
      <w:r w:rsidR="001B5F03">
        <w:t>ensure relevant</w:t>
      </w:r>
      <w:r w:rsidR="00C64567">
        <w:t xml:space="preserve"> </w:t>
      </w:r>
      <w:r w:rsidR="001B5F03">
        <w:t xml:space="preserve">Australian </w:t>
      </w:r>
      <w:r w:rsidR="00C64567">
        <w:t xml:space="preserve">flagged </w:t>
      </w:r>
      <w:r w:rsidR="00E41488">
        <w:t>ship</w:t>
      </w:r>
      <w:r w:rsidR="001B5F03">
        <w:t>s</w:t>
      </w:r>
      <w:r w:rsidR="00E41488">
        <w:t xml:space="preserve"> hold a </w:t>
      </w:r>
      <w:r w:rsidRPr="00456AB1">
        <w:t>certificat</w:t>
      </w:r>
      <w:r w:rsidR="00E41488">
        <w:t>e attesting that insurance or financial security to cover liability under the Athens Convention is in place.</w:t>
      </w:r>
      <w:r w:rsidR="00AF0FBA">
        <w:t xml:space="preserve"> This would likely involve certification</w:t>
      </w:r>
      <w:r w:rsidRPr="00456AB1">
        <w:t xml:space="preserve"> from AMSA to </w:t>
      </w:r>
      <w:r w:rsidR="00561B9A">
        <w:t>demonstrate</w:t>
      </w:r>
      <w:r w:rsidRPr="00456AB1">
        <w:t xml:space="preserve"> that they have the necessary insurance in place. </w:t>
      </w:r>
      <w:r w:rsidR="0050732F">
        <w:t xml:space="preserve">Based on other </w:t>
      </w:r>
      <w:r w:rsidR="008878B1">
        <w:t xml:space="preserve">similar regulatory </w:t>
      </w:r>
      <w:r w:rsidR="0050732F">
        <w:t>functions, it</w:t>
      </w:r>
      <w:r w:rsidR="0050732F" w:rsidRPr="00456AB1">
        <w:t xml:space="preserve"> </w:t>
      </w:r>
      <w:r w:rsidRPr="00456AB1">
        <w:t xml:space="preserve">would </w:t>
      </w:r>
      <w:r w:rsidR="0050732F">
        <w:t xml:space="preserve">likely </w:t>
      </w:r>
      <w:r w:rsidRPr="00456AB1">
        <w:t>require an application to AMSA and payment of a fee (currently $70) for issue of the certificate on an annual basis.</w:t>
      </w:r>
    </w:p>
    <w:p w14:paraId="2B36FD16" w14:textId="77777777" w:rsidR="00CA5A45" w:rsidRPr="00456AB1" w:rsidRDefault="00CA5A45" w:rsidP="00CA5A45">
      <w:r w:rsidRPr="00456AB1">
        <w:t>Owners would apply for the passenger insurance certificate at the same time as making applications for Bunker Insurance certificates because insurance is provided on an annual basis, and cover is for March-February each year.</w:t>
      </w:r>
    </w:p>
    <w:p w14:paraId="7797EC49" w14:textId="77777777" w:rsidR="00CA5A45" w:rsidRPr="00456AB1" w:rsidRDefault="00CA5A45" w:rsidP="00CA5A45"/>
    <w:p w14:paraId="1A50AEAC" w14:textId="77777777" w:rsidR="00CA5A45" w:rsidRPr="00456AB1" w:rsidRDefault="00CA5A45" w:rsidP="00CA5A45">
      <w:pPr>
        <w:pStyle w:val="Heading3"/>
        <w:jc w:val="both"/>
      </w:pPr>
      <w:bookmarkStart w:id="98" w:name="_Toc34657076"/>
      <w:bookmarkStart w:id="99" w:name="_Toc44659926"/>
      <w:r w:rsidRPr="00456AB1">
        <w:t>Foreign vessels carrying more than 12 passengers</w:t>
      </w:r>
      <w:bookmarkEnd w:id="98"/>
      <w:bookmarkEnd w:id="99"/>
    </w:p>
    <w:p w14:paraId="2449C398" w14:textId="787E7B06" w:rsidR="00CA5A45" w:rsidRPr="00456AB1" w:rsidRDefault="00CA5A45" w:rsidP="00CA5A45">
      <w:pPr>
        <w:jc w:val="left"/>
      </w:pPr>
      <w:r w:rsidRPr="00456AB1">
        <w:t xml:space="preserve">All </w:t>
      </w:r>
      <w:r w:rsidR="00914C88" w:rsidRPr="00456AB1">
        <w:t>foreign flagged</w:t>
      </w:r>
      <w:r w:rsidRPr="00456AB1">
        <w:t xml:space="preserve"> commercially operated vessels carrying more than 12 passengers on international voyages are classified as ‘passenger’ vessels for the purposes of international certification.</w:t>
      </w:r>
      <w:r>
        <w:t xml:space="preserve"> </w:t>
      </w:r>
      <w:r w:rsidRPr="00456AB1">
        <w:t>Recreational craft that carry more than 12 passengers (for example, private super yachts) are not captured by the international passenger certification regime.</w:t>
      </w:r>
    </w:p>
    <w:p w14:paraId="3CE16028" w14:textId="77777777" w:rsidR="00CA5A45" w:rsidRPr="00532C55" w:rsidRDefault="00CA5A45" w:rsidP="00CA5A45">
      <w:pPr>
        <w:pStyle w:val="Heading4"/>
        <w:jc w:val="left"/>
      </w:pPr>
      <w:r w:rsidRPr="00532C55">
        <w:t>Costs to AMSA</w:t>
      </w:r>
    </w:p>
    <w:p w14:paraId="2D32B261" w14:textId="7C0976D2" w:rsidR="00CA5A45" w:rsidRPr="00456AB1" w:rsidRDefault="00CA5A45" w:rsidP="00CA5A45">
      <w:pPr>
        <w:jc w:val="left"/>
      </w:pPr>
      <w:r w:rsidRPr="00456AB1">
        <w:t xml:space="preserve">All foreign vessels (commercial and recreational) visiting Australian ports can be subject to </w:t>
      </w:r>
      <w:r w:rsidR="00CD0D84">
        <w:t>P</w:t>
      </w:r>
      <w:r w:rsidRPr="00456AB1">
        <w:t>ort State</w:t>
      </w:r>
      <w:r w:rsidR="00CD0D84">
        <w:t xml:space="preserve"> C</w:t>
      </w:r>
      <w:r w:rsidRPr="00456AB1">
        <w:t>ontrol (PSC) inspection by AMSA to ensure they are meeting international requirements.</w:t>
      </w:r>
      <w:r>
        <w:t xml:space="preserve"> </w:t>
      </w:r>
      <w:r w:rsidRPr="00456AB1">
        <w:t xml:space="preserve">Which vessels AMSA inspects is determined by a risk profiling system used to calculate a risk factor for the probability of detention. </w:t>
      </w:r>
    </w:p>
    <w:p w14:paraId="0CF1F088" w14:textId="77777777" w:rsidR="00CA5A45" w:rsidRPr="00456AB1" w:rsidRDefault="00CA5A45" w:rsidP="00CA5A45">
      <w:pPr>
        <w:jc w:val="left"/>
      </w:pPr>
      <w:r w:rsidRPr="00456AB1">
        <w:t>In 2018 AMSA undertook 55 inspections on foreign vessels certified as passenger vessels. Two vessels were detained, giving a low detention rate of 3.60%.</w:t>
      </w:r>
    </w:p>
    <w:p w14:paraId="38A55B36" w14:textId="77777777" w:rsidR="00CA5A45" w:rsidRPr="00456AB1" w:rsidRDefault="00CA5A45" w:rsidP="00CA5A45">
      <w:pPr>
        <w:jc w:val="left"/>
      </w:pPr>
      <w:r w:rsidRPr="00456AB1">
        <w:t>All vessels subject to PSC have their full suite of certification checked. Across all PSC inspections (2922) only 1.3% of detainable deficiencies related to certificates and documentation</w:t>
      </w:r>
      <w:r>
        <w:rPr>
          <w:rStyle w:val="FootnoteReference"/>
        </w:rPr>
        <w:footnoteReference w:id="20"/>
      </w:r>
      <w:r w:rsidRPr="00456AB1">
        <w:t>.</w:t>
      </w:r>
    </w:p>
    <w:p w14:paraId="3AA8FD3C" w14:textId="77777777" w:rsidR="00CA5A45" w:rsidRPr="00456AB1" w:rsidRDefault="00CA5A45" w:rsidP="00CA5A45">
      <w:pPr>
        <w:jc w:val="left"/>
      </w:pPr>
      <w:r w:rsidRPr="00456AB1">
        <w:t>There would be no additional cost to AMSA in checking whether a vessel had a valid Passenger Insurance certificate during a PSC inspection.</w:t>
      </w:r>
    </w:p>
    <w:p w14:paraId="0007BFBE" w14:textId="77777777" w:rsidR="00CA5A45" w:rsidRPr="00532C55" w:rsidRDefault="00CA5A45" w:rsidP="00CA5A45">
      <w:pPr>
        <w:pStyle w:val="Heading4"/>
        <w:jc w:val="left"/>
      </w:pPr>
      <w:r w:rsidRPr="00532C55">
        <w:t>Costs to operators</w:t>
      </w:r>
    </w:p>
    <w:p w14:paraId="44538070" w14:textId="003300B0" w:rsidR="00CA5A45" w:rsidRPr="00456AB1" w:rsidRDefault="00CA5A45" w:rsidP="00CA5A45">
      <w:pPr>
        <w:jc w:val="left"/>
      </w:pPr>
      <w:r w:rsidRPr="00456AB1">
        <w:t xml:space="preserve">For foreign certified passenger vessels that are not flagged to a State </w:t>
      </w:r>
      <w:r w:rsidR="00CC3487">
        <w:t>P</w:t>
      </w:r>
      <w:r w:rsidRPr="00456AB1">
        <w:t xml:space="preserve">arty to the Athens Convention, or which do not already carry passengers in ports of States party to that Convention, there may be additional costs in obtaining valid passenger insurance, and there would be costs in obtaining a valid passenger insurance certificate from the administration of a State </w:t>
      </w:r>
      <w:r w:rsidR="00CC3487">
        <w:t>P</w:t>
      </w:r>
      <w:r w:rsidRPr="00456AB1">
        <w:t>arty. If AMSA were to be required to issue such certificates this would be done on a cost recovery basis in accordance with the AMSA cost recovery guidelines. Given the nature of the cruise industry, this scenario is not considered very likely.</w:t>
      </w:r>
    </w:p>
    <w:p w14:paraId="52732D2B" w14:textId="77777777" w:rsidR="00CA5A45" w:rsidRPr="00532C55" w:rsidRDefault="00CA5A45" w:rsidP="00CA5A45">
      <w:pPr>
        <w:pStyle w:val="Heading4"/>
        <w:jc w:val="left"/>
      </w:pPr>
      <w:r w:rsidRPr="00532C55">
        <w:t>Cruise to nowhere</w:t>
      </w:r>
    </w:p>
    <w:p w14:paraId="2798A1FD" w14:textId="77777777" w:rsidR="00CA5A45" w:rsidRPr="00456AB1" w:rsidRDefault="00CA5A45" w:rsidP="00CA5A45">
      <w:pPr>
        <w:jc w:val="left"/>
      </w:pPr>
      <w:r w:rsidRPr="00456AB1">
        <w:t>Any of the above vessels (Australian or foreign flagged) might conduct ‘voyage to nowhere’ cruises, and if so, no significant additional costs or compliance workload would arise.</w:t>
      </w:r>
    </w:p>
    <w:p w14:paraId="258B38CF" w14:textId="77777777" w:rsidR="00CA5A45" w:rsidRPr="00456AB1" w:rsidRDefault="00CA5A45" w:rsidP="00CA5A45"/>
    <w:p w14:paraId="690F2521" w14:textId="77777777" w:rsidR="00CA5A45" w:rsidRPr="00456AB1" w:rsidRDefault="00CA5A45" w:rsidP="00CA5A45">
      <w:pPr>
        <w:pStyle w:val="Heading3"/>
        <w:jc w:val="both"/>
      </w:pPr>
      <w:bookmarkStart w:id="100" w:name="_Toc34657077"/>
      <w:bookmarkStart w:id="101" w:name="_Toc44659927"/>
      <w:r w:rsidRPr="00456AB1">
        <w:t>DCV that may take more than 12 passengers on multiple night cruises</w:t>
      </w:r>
      <w:bookmarkEnd w:id="100"/>
      <w:bookmarkEnd w:id="101"/>
    </w:p>
    <w:p w14:paraId="05104B38" w14:textId="080F936D" w:rsidR="00CA5A45" w:rsidRPr="00456AB1" w:rsidRDefault="00CA5A45" w:rsidP="00CA5A45">
      <w:pPr>
        <w:jc w:val="left"/>
      </w:pPr>
      <w:r w:rsidRPr="00456AB1">
        <w:t>DCV’s are only certified to operate within Australia’s Exclusive Economic Zone (that is, within 200 nautical miles of the coast) unless an exception applies – not relevant for current purposes.</w:t>
      </w:r>
      <w:r>
        <w:t xml:space="preserve"> </w:t>
      </w:r>
      <w:r w:rsidRPr="00456AB1">
        <w:t>The data AMSA holds on the</w:t>
      </w:r>
      <w:r w:rsidRPr="00456AB1" w:rsidDel="00944418">
        <w:t xml:space="preserve"> </w:t>
      </w:r>
      <w:r w:rsidRPr="00456AB1">
        <w:t>D</w:t>
      </w:r>
      <w:r>
        <w:t>CV</w:t>
      </w:r>
      <w:r w:rsidRPr="00456AB1">
        <w:t xml:space="preserve"> fleet is </w:t>
      </w:r>
      <w:r>
        <w:t>currently incomplete, however,</w:t>
      </w:r>
      <w:r w:rsidR="00092F01">
        <w:t xml:space="preserve"> </w:t>
      </w:r>
      <w:r>
        <w:t>t</w:t>
      </w:r>
      <w:r w:rsidRPr="00456AB1">
        <w:t>he data shows there are about 1500 DCV with a vessel use category of ‘passenger vessel’ with berths – that is, a vessel that carries or is certified to carry more than 12 passengers and can provide accommodation. The data does not accurately record the number of berths on each of these vessels.</w:t>
      </w:r>
    </w:p>
    <w:p w14:paraId="07783E57" w14:textId="3CE5A0F4" w:rsidR="00CA5A45" w:rsidRPr="00456AB1" w:rsidRDefault="00CA5A45" w:rsidP="00CA5A45">
      <w:pPr>
        <w:jc w:val="left"/>
      </w:pPr>
      <w:r w:rsidRPr="00456AB1">
        <w:t>A Certificate of Operation applies to the use of DCV. The Certificate of Operation data does not record details such as the duration of overnight voyages.</w:t>
      </w:r>
      <w:r>
        <w:t xml:space="preserve"> </w:t>
      </w:r>
      <w:r w:rsidRPr="00456AB1">
        <w:t>Local intelligence suggests that there are a number of DCV passenger vessels with accommodation for more than 12 passengers that undertake multi-night cruises (other than on dive or fishing charters). These vessels, (of which there are approximately four) operate in the Kimberley and on the Murray River. Nevertheless, all the above vessels could undertake ‘cruise to nowhere’ depending on their current geographic area certification.</w:t>
      </w:r>
    </w:p>
    <w:p w14:paraId="2AFC32AC" w14:textId="77777777" w:rsidR="00CA5A45" w:rsidRPr="00456AB1" w:rsidRDefault="00CA5A45" w:rsidP="00CA5A45">
      <w:pPr>
        <w:pStyle w:val="Heading4"/>
        <w:jc w:val="left"/>
      </w:pPr>
      <w:r w:rsidRPr="00456AB1">
        <w:t xml:space="preserve">Costs to AMSA and to the operator </w:t>
      </w:r>
    </w:p>
    <w:p w14:paraId="2830CAA0" w14:textId="77777777" w:rsidR="00CA5A45" w:rsidRPr="00456AB1" w:rsidRDefault="00CA5A45" w:rsidP="00CA5A45">
      <w:pPr>
        <w:jc w:val="left"/>
      </w:pPr>
      <w:r w:rsidRPr="00456AB1">
        <w:t xml:space="preserve">Costs in relation to passenger insurance would be similar to those outlined above for other Australian flagged vessels. </w:t>
      </w:r>
    </w:p>
    <w:p w14:paraId="3589569B" w14:textId="4B266392" w:rsidR="00CA5A45" w:rsidRPr="00456AB1" w:rsidRDefault="00CA5A45" w:rsidP="00CA5A45">
      <w:pPr>
        <w:jc w:val="left"/>
      </w:pPr>
      <w:r w:rsidRPr="00456AB1">
        <w:t xml:space="preserve">One potential area that may increase costs for AMSA is in checking that the insurance presented meets Athens Convention requirements. This is because these vessels may not insure with the well-known, large, international group of P&amp;I insurers, who are familiar with international convention requirements, meaning that AMSA would need to undertake additional due diligence before certificates could be issued. Given the number of vessels involved, AMSA does not consider this </w:t>
      </w:r>
      <w:r w:rsidR="002954F1">
        <w:t xml:space="preserve">cost likely to be significant. </w:t>
      </w:r>
    </w:p>
    <w:p w14:paraId="70CC481B" w14:textId="77777777" w:rsidR="00CA5A45" w:rsidRPr="00532C55" w:rsidRDefault="00CA5A45" w:rsidP="00CA5A45">
      <w:pPr>
        <w:pStyle w:val="Heading4"/>
        <w:jc w:val="left"/>
      </w:pPr>
      <w:r w:rsidRPr="00532C55">
        <w:t>Costs of provision of incident data</w:t>
      </w:r>
    </w:p>
    <w:p w14:paraId="67F71ECE" w14:textId="3D5C32A2" w:rsidR="00CA5A45" w:rsidRPr="00456AB1" w:rsidRDefault="00CA5A45" w:rsidP="00CA5A45">
      <w:pPr>
        <w:jc w:val="left"/>
      </w:pPr>
      <w:r w:rsidRPr="00456AB1">
        <w:t xml:space="preserve">The above consideration relates to compliance and insurance costs arising from implementing the Athens Convention. In the past AMSA has identified the potential for </w:t>
      </w:r>
      <w:r w:rsidR="00561B9A">
        <w:t xml:space="preserve">further </w:t>
      </w:r>
      <w:r w:rsidRPr="00456AB1">
        <w:t>cost</w:t>
      </w:r>
      <w:r w:rsidR="00561B9A">
        <w:t>s</w:t>
      </w:r>
      <w:r w:rsidRPr="00456AB1">
        <w:t xml:space="preserve"> to arise – in relation to details of incidents. This is because a claim for compensation under the Athens Convention (in most cases) must arise from a ‘shipping incident’, which is defined in the Athens Convention as:</w:t>
      </w:r>
    </w:p>
    <w:p w14:paraId="0E65AD5D" w14:textId="77777777" w:rsidR="00CA5A45" w:rsidRDefault="00CA5A45" w:rsidP="00CA5A45">
      <w:r>
        <w:rPr>
          <w:noProof/>
        </w:rPr>
        <mc:AlternateContent>
          <mc:Choice Requires="wps">
            <w:drawing>
              <wp:anchor distT="118745" distB="118745" distL="114300" distR="114300" simplePos="0" relativeHeight="251658242" behindDoc="0" locked="0" layoutInCell="0" allowOverlap="1" wp14:anchorId="5BF535FB" wp14:editId="6DFFF3CD">
                <wp:simplePos x="0" y="0"/>
                <wp:positionH relativeFrom="column">
                  <wp:posOffset>381635</wp:posOffset>
                </wp:positionH>
                <wp:positionV relativeFrom="paragraph">
                  <wp:posOffset>90805</wp:posOffset>
                </wp:positionV>
                <wp:extent cx="4694555" cy="1626235"/>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555" cy="1626235"/>
                        </a:xfrm>
                        <a:prstGeom prst="rect">
                          <a:avLst/>
                        </a:prstGeom>
                        <a:noFill/>
                        <a:extLst>
                          <a:ext uri="{53640926-AAD7-44D8-BBD7-CCE9431645EC}">
                            <a14:shadowObscured xmlns:a14="http://schemas.microsoft.com/office/drawing/2010/main" val="1"/>
                          </a:ext>
                        </a:extLst>
                      </wps:spPr>
                      <wps:txbx>
                        <w:txbxContent>
                          <w:p w14:paraId="6AB6D238" w14:textId="77777777" w:rsidR="00EC194F" w:rsidRDefault="00EC194F" w:rsidP="00CA5A45">
                            <w:pPr>
                              <w:pBdr>
                                <w:left w:val="single" w:sz="12" w:space="9" w:color="3494BA" w:themeColor="accent1"/>
                              </w:pBdr>
                              <w:spacing w:after="0"/>
                            </w:pPr>
                          </w:p>
                          <w:p w14:paraId="02ABAC74" w14:textId="77777777" w:rsidR="00EC194F" w:rsidRPr="00801CB2" w:rsidRDefault="00EC194F" w:rsidP="00CA5A45">
                            <w:pPr>
                              <w:pBdr>
                                <w:left w:val="single" w:sz="12" w:space="9" w:color="3494BA" w:themeColor="accent1"/>
                              </w:pBdr>
                              <w:spacing w:after="0"/>
                              <w:rPr>
                                <w:i/>
                                <w:iCs/>
                                <w:color w:val="3494BA" w:themeColor="accent1"/>
                              </w:rPr>
                            </w:pPr>
                            <w:r w:rsidRPr="00801CB2">
                              <w:rPr>
                                <w:i/>
                                <w:iCs/>
                                <w:color w:val="3494BA" w:themeColor="accent1"/>
                              </w:rPr>
                              <w:t>‘shipwreck, capsizing, collision or stranding of the ship, explosion or fire in the ship, or defect in the ship’ (which itself is defined to mean ‘any malfunction or non-compliance with applicable safety regulations in respect of any part of the ship or its equipment when used for the escape, evacuation, embarkation or disembarkation of passengers, or when used for the propulsion, steering, safe navigation, mooring, arriving at or leaving berth or anchorage, or damage control after flooding, or when used for the launching of life saving appliances’)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BF535FB" id="Text Box 2" o:spid="_x0000_s1029" type="#_x0000_t202" style="position:absolute;left:0;text-align:left;margin-left:30.05pt;margin-top:7.15pt;width:369.65pt;height:128.05pt;z-index:251658242;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" o:allowincell="f" filled="f" stroked="f">
                <v:textbox>
                  <w:txbxContent>
                    <w:p w14:paraId="6AB6D238" w14:textId="77777777" w:rsidR="00EC194F" w:rsidRDefault="00EC194F" w:rsidP="00CA5A45">
                      <w:pPr>
                        <w:pBdr>
                          <w:left w:val="single" w:sz="12" w:space="9" w:color="3494BA" w:themeColor="accent1"/>
                        </w:pBdr>
                        <w:spacing w:after="0"/>
                      </w:pPr>
                    </w:p>
                    <w:p w14:paraId="02ABAC74" w14:textId="77777777" w:rsidR="00EC194F" w:rsidRPr="00801CB2" w:rsidRDefault="00EC194F" w:rsidP="00CA5A45">
                      <w:pPr>
                        <w:pBdr>
                          <w:left w:val="single" w:sz="12" w:space="9" w:color="3494BA" w:themeColor="accent1"/>
                        </w:pBdr>
                        <w:spacing w:after="0"/>
                        <w:rPr>
                          <w:i/>
                          <w:iCs/>
                          <w:color w:val="3494BA" w:themeColor="accent1"/>
                        </w:rPr>
                      </w:pPr>
                      <w:r w:rsidRPr="00801CB2">
                        <w:rPr>
                          <w:i/>
                          <w:iCs/>
                          <w:color w:val="3494BA" w:themeColor="accent1"/>
                        </w:rPr>
                        <w:t>‘shipwreck, capsizing, collision or stranding of the ship, explosion or fire in the ship, or defect in the ship’ (which itself is defined to mean ‘any malfunction or non-compliance with applicable safety regulations in respect of any part of the ship or its equipment when used for the escape, evacuation, embarkation or disembarkation of passengers, or when used for the propulsion, steering, safe navigation, mooring, arriving at or leaving berth or anchorage, or damage control after flooding, or when used for the launching of life saving appliances’)</w:t>
                      </w:r>
                    </w:p>
                  </w:txbxContent>
                </v:textbox>
                <w10:wrap type="square"/>
              </v:shape>
            </w:pict>
          </mc:Fallback>
        </mc:AlternateContent>
      </w:r>
    </w:p>
    <w:p w14:paraId="6DB88B2B" w14:textId="77777777" w:rsidR="00CA5A45" w:rsidRDefault="00CA5A45" w:rsidP="00CA5A45"/>
    <w:p w14:paraId="5BBFEE46" w14:textId="77777777" w:rsidR="00CA5A45" w:rsidRDefault="00CA5A45" w:rsidP="00CA5A45"/>
    <w:p w14:paraId="6D24E4CB" w14:textId="77777777" w:rsidR="00CA5A45" w:rsidRDefault="00CA5A45" w:rsidP="00CA5A45"/>
    <w:p w14:paraId="3B6A3921" w14:textId="77777777" w:rsidR="00CA5A45" w:rsidRDefault="00CA5A45" w:rsidP="00CA5A45"/>
    <w:p w14:paraId="751E8AB7" w14:textId="77777777" w:rsidR="00CA5A45" w:rsidRDefault="00CA5A45" w:rsidP="00CA5A45"/>
    <w:p w14:paraId="2FBC859E" w14:textId="77777777" w:rsidR="00CA5A45" w:rsidRDefault="00CA5A45" w:rsidP="00CA5A45"/>
    <w:p w14:paraId="6E5ED10B" w14:textId="77777777" w:rsidR="00CA5A45" w:rsidRPr="00456AB1" w:rsidRDefault="00CA5A45" w:rsidP="00CA5A45"/>
    <w:p w14:paraId="46867A3F" w14:textId="232E67F2" w:rsidR="00CA5A45" w:rsidRPr="00456AB1" w:rsidRDefault="00CA5A45" w:rsidP="00CA5A45">
      <w:pPr>
        <w:jc w:val="left"/>
      </w:pPr>
      <w:r w:rsidRPr="00456AB1">
        <w:t xml:space="preserve">It is therefore possible that AMSA will hold relevant information to ground the claim, so AMSA could see an increase in requests for documents or information to support such claims. These requests would most likely be treated as requests for information under the Freedom of Information Act 1982. As the information would be that of a party other than the applicant, third party consultation would be required. As AMSA cannot cost recover some expenses (for example, the first five hours of decision-making time) each such request </w:t>
      </w:r>
      <w:r w:rsidR="00561B9A">
        <w:t xml:space="preserve">would </w:t>
      </w:r>
      <w:r w:rsidRPr="00456AB1">
        <w:t>have an impact on AMSA’s resources. Nevertheless, incident data suggests that</w:t>
      </w:r>
      <w:r w:rsidR="005707C9">
        <w:t xml:space="preserve"> there are few</w:t>
      </w:r>
      <w:r w:rsidRPr="00456AB1">
        <w:t xml:space="preserve"> incidents on vessels certified for overseas voyages (both Australian and foreign flagged) that would fall within the above definition</w:t>
      </w:r>
      <w:r w:rsidR="005707C9">
        <w:t>.</w:t>
      </w:r>
    </w:p>
    <w:p w14:paraId="300CA86A" w14:textId="77777777" w:rsidR="00CA5A45" w:rsidRPr="00456AB1" w:rsidRDefault="00CA5A45" w:rsidP="00CA5A45"/>
    <w:p w14:paraId="70A5C911" w14:textId="77777777" w:rsidR="00CA5A45" w:rsidRPr="00456AB1" w:rsidRDefault="00CA5A45" w:rsidP="00CA5A45">
      <w:pPr>
        <w:pStyle w:val="Heading3"/>
        <w:jc w:val="both"/>
      </w:pPr>
      <w:bookmarkStart w:id="102" w:name="_Toc34657078"/>
      <w:bookmarkStart w:id="103" w:name="_Toc44659928"/>
      <w:r w:rsidRPr="00456AB1">
        <w:t>Conclusion</w:t>
      </w:r>
      <w:bookmarkEnd w:id="102"/>
      <w:bookmarkEnd w:id="103"/>
    </w:p>
    <w:p w14:paraId="231F73DC" w14:textId="46566456" w:rsidR="00CA5A45" w:rsidRPr="00456AB1" w:rsidRDefault="00CA5A45" w:rsidP="00CA5A45">
      <w:r w:rsidRPr="00456AB1">
        <w:t>Overall, AMSA’s view is that ratification of the Athens Convention would have little impact on its operations.</w:t>
      </w:r>
    </w:p>
    <w:p w14:paraId="08AC7AF1" w14:textId="77777777" w:rsidR="00CA5A45" w:rsidRPr="005C7948" w:rsidRDefault="00CA5A45" w:rsidP="00CA5A45"/>
    <w:p w14:paraId="40DFAC4A" w14:textId="77777777" w:rsidR="009E6060" w:rsidRPr="009E6060" w:rsidRDefault="009E6060" w:rsidP="009E6060">
      <w:pPr>
        <w:tabs>
          <w:tab w:val="left" w:pos="1300"/>
        </w:tabs>
      </w:pPr>
    </w:p>
    <w:p w14:paraId="4904137C" w14:textId="33EE3E96" w:rsidR="00E83AE3" w:rsidRDefault="002A2BC3" w:rsidP="00E83AE3">
      <w:pPr>
        <w:pStyle w:val="Heading1"/>
      </w:pPr>
      <w:bookmarkStart w:id="104" w:name="_Toc44659929"/>
      <w:r>
        <w:t>Consultation Process</w:t>
      </w:r>
      <w:bookmarkEnd w:id="104"/>
    </w:p>
    <w:p w14:paraId="73F48EB8" w14:textId="759AE533" w:rsidR="00D45C80" w:rsidRDefault="00D45C80" w:rsidP="00D45C80">
      <w:pPr>
        <w:jc w:val="left"/>
      </w:pPr>
      <w:r w:rsidRPr="00AD5244">
        <w:t xml:space="preserve">In the development of a </w:t>
      </w:r>
      <w:r w:rsidR="008C076D">
        <w:t xml:space="preserve">regulation </w:t>
      </w:r>
      <w:r>
        <w:t xml:space="preserve">impact statement, good practice dictates </w:t>
      </w:r>
      <w:r w:rsidRPr="00DC3B8B">
        <w:t>that appropriate consultation has been undertaken</w:t>
      </w:r>
      <w:r>
        <w:t xml:space="preserve"> with stakeholders that are likely to be impacted by the potential regulatory change under assessment. Consultation plays an important role in ensuring that every practical and viable policy alternative has been considered. As a result of the formal submissions in response to the publicly available 2017 </w:t>
      </w:r>
      <w:r w:rsidR="00C81700">
        <w:t xml:space="preserve">Discussion </w:t>
      </w:r>
      <w:r>
        <w:t xml:space="preserve">paper, the potential policy options were narrowed down to four for further in-depth, </w:t>
      </w:r>
      <w:r w:rsidRPr="00863310">
        <w:t>targeted</w:t>
      </w:r>
      <w:r>
        <w:t xml:space="preserve"> consultation and assessment. In this case, consultation is critical in helping the Department quantify the regulatory burden of proposed regulatory measures on impacted businesses, wider industry and the consumer. Consultation was conducted between 30 January and 3 March 2020 through a variety of channels including online survey, phone discussion, email and face to face meetings. </w:t>
      </w:r>
    </w:p>
    <w:p w14:paraId="5B8F1EDA" w14:textId="77777777" w:rsidR="00EE456E" w:rsidRDefault="00EE456E" w:rsidP="00EE456E">
      <w:pPr>
        <w:jc w:val="left"/>
      </w:pPr>
    </w:p>
    <w:p w14:paraId="1C9F6771" w14:textId="77777777" w:rsidR="00EE456E" w:rsidRDefault="00EE456E" w:rsidP="0031125A">
      <w:pPr>
        <w:jc w:val="center"/>
      </w:pPr>
      <w:r w:rsidRPr="00800FEF">
        <w:rPr>
          <w:noProof/>
        </w:rPr>
        <w:drawing>
          <wp:inline distT="0" distB="0" distL="0" distR="0" wp14:anchorId="5D02D177" wp14:editId="48DAD3CD">
            <wp:extent cx="4257675" cy="2906492"/>
            <wp:effectExtent l="0" t="0" r="0"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3348" cy="2917191"/>
                    </a:xfrm>
                    <a:prstGeom prst="rect">
                      <a:avLst/>
                    </a:prstGeom>
                  </pic:spPr>
                </pic:pic>
              </a:graphicData>
            </a:graphic>
          </wp:inline>
        </w:drawing>
      </w:r>
    </w:p>
    <w:p w14:paraId="7705510A" w14:textId="77777777" w:rsidR="00EE456E" w:rsidRDefault="00EE456E" w:rsidP="00EE456E">
      <w:pPr>
        <w:pStyle w:val="Heading3"/>
        <w:jc w:val="both"/>
      </w:pPr>
      <w:bookmarkStart w:id="105" w:name="_Toc34657049"/>
      <w:bookmarkStart w:id="106" w:name="_Toc44659930"/>
      <w:r>
        <w:t>Who we engaged with</w:t>
      </w:r>
      <w:bookmarkEnd w:id="105"/>
      <w:bookmarkEnd w:id="106"/>
    </w:p>
    <w:p w14:paraId="35E1B9BA" w14:textId="0A0B9FA8" w:rsidR="00EE456E" w:rsidRDefault="005C082A" w:rsidP="00EE456E">
      <w:pPr>
        <w:jc w:val="left"/>
      </w:pPr>
      <w:r>
        <w:t xml:space="preserve">The Department and </w:t>
      </w:r>
      <w:r w:rsidR="00EE456E">
        <w:t>NineSquared</w:t>
      </w:r>
      <w:r>
        <w:t xml:space="preserve"> collectively</w:t>
      </w:r>
      <w:r w:rsidR="00EE456E">
        <w:t xml:space="preserve"> contacted a total of </w:t>
      </w:r>
      <w:r w:rsidR="00692DDC">
        <w:t>5</w:t>
      </w:r>
      <w:r w:rsidR="005B7703">
        <w:t>4</w:t>
      </w:r>
      <w:r w:rsidR="00EE456E">
        <w:t xml:space="preserve"> stakeholders ranging across the cruise and maritime industry, legal sector, government, insurance and consumer groups</w:t>
      </w:r>
      <w:r w:rsidR="00692DDC">
        <w:t xml:space="preserve"> (Appendix </w:t>
      </w:r>
      <w:r w:rsidR="006E2DB3">
        <w:t>A</w:t>
      </w:r>
      <w:r w:rsidR="00692DDC">
        <w:t>)</w:t>
      </w:r>
      <w:r w:rsidR="00EE456E">
        <w:t xml:space="preserve">. </w:t>
      </w:r>
      <w:r w:rsidR="009B2DE0" w:rsidRPr="009B2DE0">
        <w:t xml:space="preserve">Of the </w:t>
      </w:r>
      <w:r w:rsidR="00692DDC">
        <w:t>5</w:t>
      </w:r>
      <w:r w:rsidR="005B7703">
        <w:t>4</w:t>
      </w:r>
      <w:r w:rsidR="009B2DE0" w:rsidRPr="009B2DE0">
        <w:t xml:space="preserve"> contacted, 2</w:t>
      </w:r>
      <w:r w:rsidR="005B7703">
        <w:t>4</w:t>
      </w:r>
      <w:r w:rsidR="00D45C80">
        <w:t xml:space="preserve"> agreed</w:t>
      </w:r>
      <w:r w:rsidR="009B2DE0" w:rsidRPr="009B2DE0">
        <w:t xml:space="preserve"> </w:t>
      </w:r>
      <w:r w:rsidR="00692DDC">
        <w:t xml:space="preserve">(Appendix </w:t>
      </w:r>
      <w:r w:rsidR="006E2DB3">
        <w:t>B</w:t>
      </w:r>
      <w:r w:rsidR="00692DDC">
        <w:t xml:space="preserve">) </w:t>
      </w:r>
      <w:r w:rsidR="009B2DE0" w:rsidRPr="009B2DE0">
        <w:t>to discuss the options and provide feedback for the options analysis and cost benefit analysis. Of th</w:t>
      </w:r>
      <w:r w:rsidR="006C730A">
        <w:t>ese</w:t>
      </w:r>
      <w:r w:rsidR="009B2DE0" w:rsidRPr="009B2DE0">
        <w:t xml:space="preserve"> 2</w:t>
      </w:r>
      <w:r w:rsidR="005B7703">
        <w:t>4</w:t>
      </w:r>
      <w:r w:rsidR="009B2DE0" w:rsidRPr="009B2DE0">
        <w:t xml:space="preserve">, the cruise industry represented </w:t>
      </w:r>
      <w:r w:rsidR="00A92FAB">
        <w:t>25</w:t>
      </w:r>
      <w:r w:rsidR="009B2DE0" w:rsidRPr="009B2DE0">
        <w:t>%</w:t>
      </w:r>
      <w:r w:rsidR="00A92FAB">
        <w:t>,</w:t>
      </w:r>
      <w:r w:rsidR="009B2DE0" w:rsidRPr="009B2DE0">
        <w:t xml:space="preserve"> government sector </w:t>
      </w:r>
      <w:r w:rsidR="00A92FAB">
        <w:t>42</w:t>
      </w:r>
      <w:r w:rsidR="009B2DE0" w:rsidRPr="009B2DE0">
        <w:t xml:space="preserve">%, legal sector at </w:t>
      </w:r>
      <w:r w:rsidR="00A92FAB">
        <w:t>17</w:t>
      </w:r>
      <w:r w:rsidR="009B2DE0" w:rsidRPr="009B2DE0">
        <w:t xml:space="preserve">%, insurance sector </w:t>
      </w:r>
      <w:r w:rsidR="00883B7F">
        <w:t>8</w:t>
      </w:r>
      <w:r w:rsidR="009B2DE0" w:rsidRPr="009B2DE0">
        <w:t>% and consumer groups</w:t>
      </w:r>
      <w:r w:rsidR="00883B7F">
        <w:t xml:space="preserve"> 8</w:t>
      </w:r>
      <w:r w:rsidR="009B2DE0" w:rsidRPr="009B2DE0">
        <w:t>%</w:t>
      </w:r>
      <w:r w:rsidR="006C730A">
        <w:t xml:space="preserve"> (figure 6)</w:t>
      </w:r>
      <w:r w:rsidR="009B2DE0" w:rsidRPr="009B2DE0">
        <w:t xml:space="preserve">. Consultation with those potentially impacted by regulatory changes provided important information on existing claims processes, insurance arrangements, and the interaction between the Australian Consumer Law (ACL) and State </w:t>
      </w:r>
      <w:r w:rsidR="00471466">
        <w:t xml:space="preserve">/ Territory </w:t>
      </w:r>
      <w:r w:rsidR="009B2DE0" w:rsidRPr="009B2DE0">
        <w:t>Civil Liability Acts (S</w:t>
      </w:r>
      <w:r w:rsidR="00471466">
        <w:t>T</w:t>
      </w:r>
      <w:r w:rsidR="009B2DE0" w:rsidRPr="009B2DE0">
        <w:t>CLAs).</w:t>
      </w:r>
    </w:p>
    <w:p w14:paraId="2B55BC21" w14:textId="77777777" w:rsidR="002954F1" w:rsidRDefault="00EE456E" w:rsidP="002954F1">
      <w:pPr>
        <w:jc w:val="left"/>
      </w:pPr>
      <w:r>
        <w:t>The core objectives of the stakeholder engagement were to:</w:t>
      </w:r>
    </w:p>
    <w:p w14:paraId="7D16C2EF" w14:textId="4D8BA924" w:rsidR="002954F1" w:rsidRDefault="00EE456E" w:rsidP="009D3300">
      <w:pPr>
        <w:pStyle w:val="ListParagraph"/>
        <w:numPr>
          <w:ilvl w:val="0"/>
          <w:numId w:val="30"/>
        </w:numPr>
        <w:jc w:val="left"/>
      </w:pPr>
      <w:r>
        <w:t>Thoroughly understand the current claims processes and identify existing challenges</w:t>
      </w:r>
      <w:r w:rsidR="00F91E49">
        <w:t>.</w:t>
      </w:r>
      <w:r w:rsidR="002954F1">
        <w:t xml:space="preserve"> </w:t>
      </w:r>
    </w:p>
    <w:p w14:paraId="0DE451CA" w14:textId="77777777" w:rsidR="009D3300" w:rsidRDefault="00EE456E" w:rsidP="009D3300">
      <w:pPr>
        <w:pStyle w:val="ListParagraph"/>
        <w:numPr>
          <w:ilvl w:val="0"/>
          <w:numId w:val="30"/>
        </w:numPr>
        <w:jc w:val="left"/>
      </w:pPr>
      <w:r>
        <w:t>Understand the existing insurance arrangements to predict how the Athens Protocol may impact insurance premiums</w:t>
      </w:r>
      <w:r w:rsidR="00F91E49">
        <w:t>.</w:t>
      </w:r>
    </w:p>
    <w:p w14:paraId="0741E492" w14:textId="77777777" w:rsidR="009D3300" w:rsidRDefault="00EE456E" w:rsidP="009D3300">
      <w:pPr>
        <w:pStyle w:val="ListParagraph"/>
        <w:numPr>
          <w:ilvl w:val="0"/>
          <w:numId w:val="30"/>
        </w:numPr>
        <w:jc w:val="left"/>
      </w:pPr>
      <w:r>
        <w:t>Obtain data to input into the Cost Benefit Analysis calculations</w:t>
      </w:r>
      <w:r w:rsidR="00F91E49">
        <w:t>.</w:t>
      </w:r>
    </w:p>
    <w:p w14:paraId="4BBCAD24" w14:textId="4D3FD4BA" w:rsidR="00EE456E" w:rsidRDefault="00EE456E" w:rsidP="009D3300">
      <w:pPr>
        <w:pStyle w:val="ListParagraph"/>
        <w:numPr>
          <w:ilvl w:val="0"/>
          <w:numId w:val="30"/>
        </w:numPr>
        <w:jc w:val="left"/>
      </w:pPr>
      <w:r>
        <w:t>Where data could not be obtained, understand the various impacts and benefits of each option for each stakeholder group</w:t>
      </w:r>
    </w:p>
    <w:p w14:paraId="204B1CB7" w14:textId="30035C0E" w:rsidR="00EE456E" w:rsidRDefault="0009190A" w:rsidP="0031125A">
      <w:pPr>
        <w:pStyle w:val="Caption"/>
        <w:jc w:val="center"/>
      </w:pPr>
      <w:r>
        <w:rPr>
          <w:noProof/>
        </w:rPr>
        <w:drawing>
          <wp:inline distT="0" distB="0" distL="0" distR="0" wp14:anchorId="0230D22F" wp14:editId="79307ABB">
            <wp:extent cx="5731510" cy="44170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417060"/>
                    </a:xfrm>
                    <a:prstGeom prst="rect">
                      <a:avLst/>
                    </a:prstGeom>
                  </pic:spPr>
                </pic:pic>
              </a:graphicData>
            </a:graphic>
          </wp:inline>
        </w:drawing>
      </w:r>
    </w:p>
    <w:p w14:paraId="7C995BC3" w14:textId="5257CE03" w:rsidR="00EE456E" w:rsidRDefault="00EE456E" w:rsidP="00EE456E">
      <w:pPr>
        <w:pStyle w:val="Caption"/>
        <w:jc w:val="left"/>
      </w:pPr>
      <w:bookmarkStart w:id="107" w:name="_Toc36555128"/>
      <w:bookmarkStart w:id="108" w:name="_Toc36567878"/>
      <w:r>
        <w:t xml:space="preserve">Figure </w:t>
      </w:r>
      <w:r w:rsidR="00B435A7">
        <w:rPr>
          <w:noProof/>
        </w:rPr>
        <w:fldChar w:fldCharType="begin"/>
      </w:r>
      <w:r w:rsidR="00B435A7">
        <w:rPr>
          <w:noProof/>
        </w:rPr>
        <w:instrText xml:space="preserve"> SEQ Figure \* ARABIC </w:instrText>
      </w:r>
      <w:r w:rsidR="00B435A7">
        <w:rPr>
          <w:noProof/>
        </w:rPr>
        <w:fldChar w:fldCharType="separate"/>
      </w:r>
      <w:r w:rsidR="005F3529">
        <w:rPr>
          <w:noProof/>
        </w:rPr>
        <w:t>6</w:t>
      </w:r>
      <w:r w:rsidR="00B435A7">
        <w:rPr>
          <w:noProof/>
        </w:rPr>
        <w:fldChar w:fldCharType="end"/>
      </w:r>
      <w:r w:rsidR="00E319C3">
        <w:rPr>
          <w:noProof/>
        </w:rPr>
        <w:t>:</w:t>
      </w:r>
      <w:r>
        <w:t xml:space="preserve"> </w:t>
      </w:r>
      <w:r w:rsidR="00697F41">
        <w:t>E</w:t>
      </w:r>
      <w:r>
        <w:t>ngagement statistics</w:t>
      </w:r>
      <w:bookmarkEnd w:id="107"/>
      <w:r w:rsidR="00697F41">
        <w:t xml:space="preserve"> for the development of </w:t>
      </w:r>
      <w:r w:rsidR="00FE1297">
        <w:t xml:space="preserve">the </w:t>
      </w:r>
      <w:r w:rsidR="008C7116">
        <w:t xml:space="preserve">Regulation </w:t>
      </w:r>
      <w:r w:rsidR="00FE1297">
        <w:t>Impact Statement</w:t>
      </w:r>
      <w:bookmarkEnd w:id="108"/>
    </w:p>
    <w:p w14:paraId="22624C64" w14:textId="77777777" w:rsidR="00EE456E" w:rsidRDefault="00EE456E" w:rsidP="00EE456E">
      <w:pPr>
        <w:pStyle w:val="Heading3"/>
        <w:jc w:val="both"/>
      </w:pPr>
      <w:bookmarkStart w:id="109" w:name="_Toc34657050"/>
      <w:bookmarkStart w:id="110" w:name="_Toc44659931"/>
      <w:r>
        <w:t>Responses received</w:t>
      </w:r>
      <w:bookmarkEnd w:id="109"/>
      <w:bookmarkEnd w:id="110"/>
    </w:p>
    <w:p w14:paraId="49D97AE6" w14:textId="21C905A0" w:rsidR="00A40DD4" w:rsidRDefault="00A40DD4" w:rsidP="00EE456E">
      <w:pPr>
        <w:jc w:val="left"/>
      </w:pPr>
      <w:r w:rsidRPr="00A40DD4">
        <w:t xml:space="preserve">Responses were received by email, phone, through the online survey and face to face which informed the options analysis and cost benefit analysis. We found </w:t>
      </w:r>
      <w:r w:rsidR="00B22CEE">
        <w:t xml:space="preserve">that </w:t>
      </w:r>
      <w:r w:rsidRPr="00A40DD4">
        <w:t xml:space="preserve">the most effective form of engagement was through email and teleconferences. Few stakeholders chose to take part in the online survey. This is likely due to the desire to engage in more broad discussions across the options which most stakeholders indicated were complex and required in depth consideration of how any change to existing regulations would have effect. </w:t>
      </w:r>
    </w:p>
    <w:p w14:paraId="575B1A0A" w14:textId="4A0881B4" w:rsidR="00EE456E" w:rsidRDefault="00EE456E" w:rsidP="00EE456E">
      <w:pPr>
        <w:jc w:val="left"/>
      </w:pPr>
      <w:r>
        <w:t xml:space="preserve">Individual responses are not identified in this analysis due to privacy policy requirements. </w:t>
      </w:r>
    </w:p>
    <w:p w14:paraId="38BB4D5C" w14:textId="3144189B" w:rsidR="00CC19BF" w:rsidRPr="00F03F9D" w:rsidRDefault="00CC19BF" w:rsidP="00CC19BF">
      <w:pPr>
        <w:pStyle w:val="Heading3"/>
      </w:pPr>
      <w:bookmarkStart w:id="111" w:name="_Toc44659932"/>
      <w:r w:rsidRPr="00F03F9D">
        <w:t>Summary of key views of respondents</w:t>
      </w:r>
      <w:bookmarkEnd w:id="111"/>
    </w:p>
    <w:p w14:paraId="09B4371B" w14:textId="533C4ED9" w:rsidR="008B005A" w:rsidRDefault="00CC19BF" w:rsidP="00CC19BF">
      <w:pPr>
        <w:jc w:val="left"/>
      </w:pPr>
      <w:r w:rsidRPr="00F03F9D">
        <w:t xml:space="preserve">Consultation provided an opportunity for stakeholders to contribute their views to the analysis of the options put forward by the Department and the development of the Regulation Impact Statement. Overall, there was </w:t>
      </w:r>
      <w:r w:rsidR="002C099C" w:rsidRPr="00F03F9D">
        <w:t>agreement</w:t>
      </w:r>
      <w:r w:rsidRPr="00F03F9D">
        <w:t xml:space="preserve"> amongst members of stakeholder groups regarding the existing protection afforded by the ACL and </w:t>
      </w:r>
      <w:r w:rsidR="00950721">
        <w:t>s</w:t>
      </w:r>
      <w:r w:rsidRPr="00F03F9D">
        <w:t>tate/territory CLAs to cruise ship passengers</w:t>
      </w:r>
      <w:r>
        <w:t xml:space="preserve">. </w:t>
      </w:r>
      <w:r w:rsidRPr="00EA01EA">
        <w:t>Whilst the cruise industry support the Australian Government in the final decision as to whether Australian accedes to the Athens Convention, they emphasised the importance</w:t>
      </w:r>
      <w:r w:rsidR="008B005A" w:rsidRPr="008B005A">
        <w:t xml:space="preserve"> </w:t>
      </w:r>
      <w:r w:rsidR="00C83E6B">
        <w:t>o</w:t>
      </w:r>
      <w:r w:rsidR="008B005A" w:rsidRPr="00EA01EA">
        <w:t>f a practical approach that considers current measures being undertaken by the cruise industry to provide protection to its passengers:</w:t>
      </w:r>
      <w:r w:rsidRPr="00EA01EA">
        <w:t xml:space="preserve"> </w:t>
      </w:r>
    </w:p>
    <w:p w14:paraId="3F1E076F" w14:textId="3C02DED0" w:rsidR="00C83E6B" w:rsidRDefault="00026F2F" w:rsidP="00CC19BF">
      <w:pPr>
        <w:jc w:val="left"/>
      </w:pPr>
      <w:r w:rsidRPr="00F03F9D">
        <w:rPr>
          <w:i/>
          <w:iCs/>
          <w:noProof/>
        </w:rPr>
        <mc:AlternateContent>
          <mc:Choice Requires="wps">
            <w:drawing>
              <wp:inline distT="0" distB="0" distL="0" distR="0" wp14:anchorId="2281BB8C" wp14:editId="66049F82">
                <wp:extent cx="5565600" cy="1378800"/>
                <wp:effectExtent l="0" t="0" r="0" b="0"/>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600" cy="137880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6E82D657" w14:textId="77777777" w:rsidR="00EC194F" w:rsidRDefault="00EC194F" w:rsidP="00CC19BF">
                            <w:pPr>
                              <w:pBdr>
                                <w:left w:val="single" w:sz="4" w:space="9" w:color="3494BA" w:themeColor="accent1"/>
                              </w:pBdr>
                              <w:jc w:val="left"/>
                              <w:rPr>
                                <w:i/>
                                <w:iCs/>
                                <w:color w:val="276E8B" w:themeColor="accent1" w:themeShade="BF"/>
                              </w:rPr>
                            </w:pPr>
                            <w:r>
                              <w:rPr>
                                <w:i/>
                                <w:iCs/>
                                <w:color w:val="276E8B" w:themeColor="accent1" w:themeShade="BF"/>
                              </w:rPr>
                              <w:t xml:space="preserve">We see no clear rationale for a liability regime which differentiates between Australian passengers on a domestic cruise and Australian passengers on an international cruise. For this reason, we apply the Australian passage contract incorporating the ACL to both domestic and international cruises marketed to Australian Consumers…. Ratification of the Athens Convention and determination of the most appropriate liability framework are ultimately matters for the Australian Government…. Carnival Australia encourages a practical consideration of the issues informed through this consultation. </w:t>
                            </w:r>
                          </w:p>
                          <w:p w14:paraId="2C65B53A" w14:textId="77777777" w:rsidR="00EC194F" w:rsidRDefault="00EC194F" w:rsidP="00CC19BF">
                            <w:pPr>
                              <w:pBdr>
                                <w:left w:val="single" w:sz="4" w:space="9" w:color="3494BA" w:themeColor="accent1"/>
                              </w:pBdr>
                              <w:jc w:val="left"/>
                              <w:rPr>
                                <w:i/>
                                <w:iCs/>
                                <w:color w:val="276E8B" w:themeColor="accent1" w:themeShade="BF"/>
                              </w:rPr>
                            </w:pPr>
                            <w:r w:rsidRPr="002D664A">
                              <w:rPr>
                                <w:i/>
                                <w:iCs/>
                                <w:color w:val="276E8B" w:themeColor="accent1" w:themeShade="BF"/>
                              </w:rPr>
                              <w:t>-</w:t>
                            </w:r>
                            <w:r>
                              <w:rPr>
                                <w:i/>
                                <w:iCs/>
                                <w:color w:val="276E8B" w:themeColor="accent1" w:themeShade="BF"/>
                              </w:rPr>
                              <w:t xml:space="preserve"> </w:t>
                            </w:r>
                            <w:r w:rsidRPr="002D664A">
                              <w:rPr>
                                <w:i/>
                                <w:iCs/>
                                <w:color w:val="276E8B" w:themeColor="accent1" w:themeShade="BF"/>
                              </w:rPr>
                              <w:t xml:space="preserve">Carnival Australia </w:t>
                            </w:r>
                          </w:p>
                          <w:p w14:paraId="54E64205" w14:textId="77777777" w:rsidR="00EC194F" w:rsidRDefault="00EC194F" w:rsidP="00CC19BF">
                            <w:pPr>
                              <w:pBdr>
                                <w:left w:val="single" w:sz="4" w:space="9" w:color="3494BA" w:themeColor="accent1"/>
                              </w:pBdr>
                              <w:jc w:val="left"/>
                              <w:rPr>
                                <w:i/>
                                <w:iCs/>
                                <w:color w:val="276E8B" w:themeColor="accent1" w:themeShade="BF"/>
                              </w:rPr>
                            </w:pPr>
                          </w:p>
                          <w:p w14:paraId="207F8C64" w14:textId="77777777" w:rsidR="00EC194F" w:rsidRPr="002D664A" w:rsidRDefault="00EC194F" w:rsidP="00CC19BF">
                            <w:pPr>
                              <w:pBdr>
                                <w:left w:val="single" w:sz="4" w:space="9" w:color="3494BA" w:themeColor="accent1"/>
                              </w:pBdr>
                              <w:jc w:val="left"/>
                              <w:rPr>
                                <w:i/>
                                <w:iCs/>
                                <w:color w:val="276E8B" w:themeColor="accent1" w:themeShade="BF"/>
                              </w:rPr>
                            </w:pPr>
                          </w:p>
                        </w:txbxContent>
                      </wps:txbx>
                      <wps:bodyPr rot="0" vert="horz" wrap="square" lIns="91440" tIns="91440" rIns="91440" bIns="91440" anchor="t" anchorCtr="0" upright="1">
                        <a:noAutofit/>
                      </wps:bodyPr>
                    </wps:wsp>
                  </a:graphicData>
                </a:graphic>
              </wp:inline>
            </w:drawing>
          </mc:Choice>
          <mc:Fallback>
            <w:pict>
              <v:rect w14:anchorId="2281BB8C" id="AutoShape 14" o:spid="_x0000_s1030" style="width:438.25pt;height:1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" filled="f" stroked="f" strokeweight="1.25pt">
                <v:textbox inset=",7.2pt,,7.2pt">
                  <w:txbxContent>
                    <w:p w14:paraId="6E82D657" w14:textId="77777777" w:rsidR="00EC194F" w:rsidRDefault="00EC194F" w:rsidP="00CC19BF">
                      <w:pPr>
                        <w:pBdr>
                          <w:left w:val="single" w:sz="4" w:space="9" w:color="3494BA" w:themeColor="accent1"/>
                        </w:pBdr>
                        <w:jc w:val="left"/>
                        <w:rPr>
                          <w:i/>
                          <w:iCs/>
                          <w:color w:val="276E8B" w:themeColor="accent1" w:themeShade="BF"/>
                        </w:rPr>
                      </w:pPr>
                      <w:r>
                        <w:rPr>
                          <w:i/>
                          <w:iCs/>
                          <w:color w:val="276E8B" w:themeColor="accent1" w:themeShade="BF"/>
                        </w:rPr>
                        <w:t xml:space="preserve">We see no clear rationale for a liability regime which differentiates between Australian passengers on a domestic cruise and Australian passengers on an international cruise. For this reason, we apply the Australian passage contract incorporating the ACL to both domestic and international cruises marketed to Australian Consumers…. Ratification of the Athens Convention and determination of the most appropriate liability framework are ultimately matters for the Australian Government…. Carnival Australia encourages a practical consideration of the issues informed through this consultation. </w:t>
                      </w:r>
                    </w:p>
                    <w:p w14:paraId="2C65B53A" w14:textId="77777777" w:rsidR="00EC194F" w:rsidRDefault="00EC194F" w:rsidP="00CC19BF">
                      <w:pPr>
                        <w:pBdr>
                          <w:left w:val="single" w:sz="4" w:space="9" w:color="3494BA" w:themeColor="accent1"/>
                        </w:pBdr>
                        <w:jc w:val="left"/>
                        <w:rPr>
                          <w:i/>
                          <w:iCs/>
                          <w:color w:val="276E8B" w:themeColor="accent1" w:themeShade="BF"/>
                        </w:rPr>
                      </w:pPr>
                      <w:r w:rsidRPr="002D664A">
                        <w:rPr>
                          <w:i/>
                          <w:iCs/>
                          <w:color w:val="276E8B" w:themeColor="accent1" w:themeShade="BF"/>
                        </w:rPr>
                        <w:t>-</w:t>
                      </w:r>
                      <w:r>
                        <w:rPr>
                          <w:i/>
                          <w:iCs/>
                          <w:color w:val="276E8B" w:themeColor="accent1" w:themeShade="BF"/>
                        </w:rPr>
                        <w:t xml:space="preserve"> </w:t>
                      </w:r>
                      <w:r w:rsidRPr="002D664A">
                        <w:rPr>
                          <w:i/>
                          <w:iCs/>
                          <w:color w:val="276E8B" w:themeColor="accent1" w:themeShade="BF"/>
                        </w:rPr>
                        <w:t xml:space="preserve">Carnival Australia </w:t>
                      </w:r>
                    </w:p>
                    <w:p w14:paraId="54E64205" w14:textId="77777777" w:rsidR="00EC194F" w:rsidRDefault="00EC194F" w:rsidP="00CC19BF">
                      <w:pPr>
                        <w:pBdr>
                          <w:left w:val="single" w:sz="4" w:space="9" w:color="3494BA" w:themeColor="accent1"/>
                        </w:pBdr>
                        <w:jc w:val="left"/>
                        <w:rPr>
                          <w:i/>
                          <w:iCs/>
                          <w:color w:val="276E8B" w:themeColor="accent1" w:themeShade="BF"/>
                        </w:rPr>
                      </w:pPr>
                    </w:p>
                    <w:p w14:paraId="207F8C64" w14:textId="77777777" w:rsidR="00EC194F" w:rsidRPr="002D664A" w:rsidRDefault="00EC194F" w:rsidP="00CC19BF">
                      <w:pPr>
                        <w:pBdr>
                          <w:left w:val="single" w:sz="4" w:space="9" w:color="3494BA" w:themeColor="accent1"/>
                        </w:pBdr>
                        <w:jc w:val="left"/>
                        <w:rPr>
                          <w:i/>
                          <w:iCs/>
                          <w:color w:val="276E8B" w:themeColor="accent1" w:themeShade="BF"/>
                        </w:rPr>
                      </w:pPr>
                    </w:p>
                  </w:txbxContent>
                </v:textbox>
                <w10:anchorlock/>
              </v:rect>
            </w:pict>
          </mc:Fallback>
        </mc:AlternateContent>
      </w:r>
    </w:p>
    <w:p w14:paraId="71208B86" w14:textId="5E214882" w:rsidR="00C83E6B" w:rsidRDefault="008A4F51" w:rsidP="00CC19BF">
      <w:pPr>
        <w:jc w:val="left"/>
      </w:pPr>
      <w:r w:rsidRPr="00BA58A1">
        <w:rPr>
          <w:i/>
          <w:iCs/>
          <w:noProof/>
        </w:rPr>
        <mc:AlternateContent>
          <mc:Choice Requires="wps">
            <w:drawing>
              <wp:inline distT="0" distB="0" distL="0" distR="0" wp14:anchorId="244764F3" wp14:editId="61F8792B">
                <wp:extent cx="5565600" cy="1080000"/>
                <wp:effectExtent l="0" t="0" r="0" b="0"/>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600" cy="108000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53550F83" w14:textId="77777777" w:rsidR="00EC194F" w:rsidRDefault="00EC194F" w:rsidP="008A4F51">
                            <w:pPr>
                              <w:pBdr>
                                <w:left w:val="single" w:sz="4" w:space="9" w:color="3494BA" w:themeColor="accent1"/>
                              </w:pBdr>
                              <w:jc w:val="left"/>
                              <w:rPr>
                                <w:i/>
                                <w:iCs/>
                                <w:color w:val="276E8B" w:themeColor="accent1" w:themeShade="BF"/>
                              </w:rPr>
                            </w:pPr>
                            <w:r>
                              <w:rPr>
                                <w:i/>
                                <w:iCs/>
                                <w:color w:val="276E8B" w:themeColor="accent1" w:themeShade="BF"/>
                              </w:rPr>
                              <w:t>We believe that a combination of Australia’s existing consumer protection laws together with the industry’s approach to passage conditions, insurance etc. do provide cruise ship passengers with effective protection/rights that are as effective as those enjoyed by landside vacationers…..and are designed to protect passengers from the negligence of the carrier in terms of personal loss or injury.</w:t>
                            </w:r>
                          </w:p>
                          <w:p w14:paraId="0140F673" w14:textId="77777777" w:rsidR="00EC194F" w:rsidRPr="002D664A" w:rsidRDefault="00EC194F" w:rsidP="008A4F51">
                            <w:pPr>
                              <w:pBdr>
                                <w:left w:val="single" w:sz="4" w:space="9" w:color="3494BA" w:themeColor="accent1"/>
                              </w:pBdr>
                              <w:jc w:val="left"/>
                              <w:rPr>
                                <w:i/>
                                <w:iCs/>
                                <w:color w:val="276E8B" w:themeColor="accent1" w:themeShade="BF"/>
                              </w:rPr>
                            </w:pPr>
                            <w:r w:rsidRPr="002D664A">
                              <w:rPr>
                                <w:i/>
                                <w:iCs/>
                                <w:color w:val="276E8B" w:themeColor="accent1" w:themeShade="BF"/>
                              </w:rPr>
                              <w:t>-</w:t>
                            </w:r>
                            <w:r>
                              <w:rPr>
                                <w:i/>
                                <w:iCs/>
                                <w:color w:val="276E8B" w:themeColor="accent1" w:themeShade="BF"/>
                              </w:rPr>
                              <w:t xml:space="preserve"> Royal Caribbean Cruises</w:t>
                            </w:r>
                            <w:r w:rsidRPr="002D664A">
                              <w:rPr>
                                <w:i/>
                                <w:iCs/>
                                <w:color w:val="276E8B" w:themeColor="accent1" w:themeShade="BF"/>
                              </w:rPr>
                              <w:t xml:space="preserve"> </w:t>
                            </w:r>
                          </w:p>
                          <w:p w14:paraId="343B55CC" w14:textId="77777777" w:rsidR="00EC194F" w:rsidRPr="002D664A" w:rsidRDefault="00EC194F" w:rsidP="008A4F51">
                            <w:pPr>
                              <w:pBdr>
                                <w:left w:val="single" w:sz="4" w:space="9" w:color="3494BA" w:themeColor="accent1"/>
                              </w:pBdr>
                              <w:jc w:val="left"/>
                              <w:rPr>
                                <w:i/>
                                <w:iCs/>
                                <w:color w:val="276E8B" w:themeColor="accent1" w:themeShade="BF"/>
                              </w:rPr>
                            </w:pPr>
                          </w:p>
                        </w:txbxContent>
                      </wps:txbx>
                      <wps:bodyPr rot="0" vert="horz" wrap="square" lIns="91440" tIns="91440" rIns="91440" bIns="91440" anchor="t" anchorCtr="0" upright="1">
                        <a:noAutofit/>
                      </wps:bodyPr>
                    </wps:wsp>
                  </a:graphicData>
                </a:graphic>
              </wp:inline>
            </w:drawing>
          </mc:Choice>
          <mc:Fallback>
            <w:pict>
              <v:rect w14:anchorId="244764F3" id="_x0000_s1031" style="width:438.25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" filled="f" stroked="f" strokeweight="1.25pt">
                <v:textbox inset=",7.2pt,,7.2pt">
                  <w:txbxContent>
                    <w:p w14:paraId="53550F83" w14:textId="77777777" w:rsidR="00EC194F" w:rsidRDefault="00EC194F" w:rsidP="008A4F51">
                      <w:pPr>
                        <w:pBdr>
                          <w:left w:val="single" w:sz="4" w:space="9" w:color="3494BA" w:themeColor="accent1"/>
                        </w:pBdr>
                        <w:jc w:val="left"/>
                        <w:rPr>
                          <w:i/>
                          <w:iCs/>
                          <w:color w:val="276E8B" w:themeColor="accent1" w:themeShade="BF"/>
                        </w:rPr>
                      </w:pPr>
                      <w:r>
                        <w:rPr>
                          <w:i/>
                          <w:iCs/>
                          <w:color w:val="276E8B" w:themeColor="accent1" w:themeShade="BF"/>
                        </w:rPr>
                        <w:t>We believe that a combination of Australia’s existing consumer protection laws together with the industry’s approach to passage conditions, insurance etc. do provide cruise ship passengers with effective protection/rights that are as effective as those enjoyed by landside vacationers…..and are designed to protect passengers from the negligence of the carrier in terms of personal loss or injury.</w:t>
                      </w:r>
                    </w:p>
                    <w:p w14:paraId="0140F673" w14:textId="77777777" w:rsidR="00EC194F" w:rsidRPr="002D664A" w:rsidRDefault="00EC194F" w:rsidP="008A4F51">
                      <w:pPr>
                        <w:pBdr>
                          <w:left w:val="single" w:sz="4" w:space="9" w:color="3494BA" w:themeColor="accent1"/>
                        </w:pBdr>
                        <w:jc w:val="left"/>
                        <w:rPr>
                          <w:i/>
                          <w:iCs/>
                          <w:color w:val="276E8B" w:themeColor="accent1" w:themeShade="BF"/>
                        </w:rPr>
                      </w:pPr>
                      <w:r w:rsidRPr="002D664A">
                        <w:rPr>
                          <w:i/>
                          <w:iCs/>
                          <w:color w:val="276E8B" w:themeColor="accent1" w:themeShade="BF"/>
                        </w:rPr>
                        <w:t>-</w:t>
                      </w:r>
                      <w:r>
                        <w:rPr>
                          <w:i/>
                          <w:iCs/>
                          <w:color w:val="276E8B" w:themeColor="accent1" w:themeShade="BF"/>
                        </w:rPr>
                        <w:t xml:space="preserve"> Royal Caribbean Cruises</w:t>
                      </w:r>
                      <w:r w:rsidRPr="002D664A">
                        <w:rPr>
                          <w:i/>
                          <w:iCs/>
                          <w:color w:val="276E8B" w:themeColor="accent1" w:themeShade="BF"/>
                        </w:rPr>
                        <w:t xml:space="preserve"> </w:t>
                      </w:r>
                    </w:p>
                    <w:p w14:paraId="343B55CC" w14:textId="77777777" w:rsidR="00EC194F" w:rsidRPr="002D664A" w:rsidRDefault="00EC194F" w:rsidP="008A4F51">
                      <w:pPr>
                        <w:pBdr>
                          <w:left w:val="single" w:sz="4" w:space="9" w:color="3494BA" w:themeColor="accent1"/>
                        </w:pBdr>
                        <w:jc w:val="left"/>
                        <w:rPr>
                          <w:i/>
                          <w:iCs/>
                          <w:color w:val="276E8B" w:themeColor="accent1" w:themeShade="BF"/>
                        </w:rPr>
                      </w:pPr>
                    </w:p>
                  </w:txbxContent>
                </v:textbox>
                <w10:anchorlock/>
              </v:rect>
            </w:pict>
          </mc:Fallback>
        </mc:AlternateContent>
      </w:r>
    </w:p>
    <w:p w14:paraId="5F06DB0B" w14:textId="77777777" w:rsidR="008A4F51" w:rsidRDefault="008A4F51" w:rsidP="00CC19BF">
      <w:pPr>
        <w:jc w:val="left"/>
      </w:pPr>
    </w:p>
    <w:p w14:paraId="29742FA4" w14:textId="3282CD33" w:rsidR="00CC19BF" w:rsidRDefault="00CC19BF" w:rsidP="00CC19BF">
      <w:pPr>
        <w:jc w:val="left"/>
      </w:pPr>
      <w:r w:rsidRPr="00BA58A1">
        <w:rPr>
          <w:i/>
          <w:iCs/>
          <w:noProof/>
        </w:rPr>
        <mc:AlternateContent>
          <mc:Choice Requires="wps">
            <w:drawing>
              <wp:anchor distT="0" distB="0" distL="457200" distR="118745" simplePos="0" relativeHeight="251661323" behindDoc="0" locked="0" layoutInCell="0" allowOverlap="1" wp14:anchorId="200E447E" wp14:editId="74F54FD2">
                <wp:simplePos x="0" y="0"/>
                <wp:positionH relativeFrom="margin">
                  <wp:posOffset>0</wp:posOffset>
                </wp:positionH>
                <wp:positionV relativeFrom="paragraph">
                  <wp:posOffset>1925188</wp:posOffset>
                </wp:positionV>
                <wp:extent cx="5588635" cy="939800"/>
                <wp:effectExtent l="0" t="0" r="0" b="0"/>
                <wp:wrapSquare wrapText="bothSides"/>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635" cy="939800"/>
                        </a:xfrm>
                        <a:prstGeom prst="rect">
                          <a:avLst/>
                        </a:prstGeom>
                        <a:noFill/>
                        <a:ln w="15875">
                          <a:noFill/>
                        </a:ln>
                        <a:effectLst/>
                      </wps:spPr>
                      <wps:txbx>
                        <w:txbxContent>
                          <w:p w14:paraId="02F2D811" w14:textId="77777777" w:rsidR="00EC194F" w:rsidRDefault="00EC194F" w:rsidP="00CC19BF">
                            <w:pPr>
                              <w:pBdr>
                                <w:left w:val="single" w:sz="4" w:space="9" w:color="3494BA" w:themeColor="accent1"/>
                              </w:pBdr>
                              <w:jc w:val="left"/>
                              <w:rPr>
                                <w:i/>
                                <w:iCs/>
                                <w:color w:val="276E8B" w:themeColor="accent1" w:themeShade="BF"/>
                              </w:rPr>
                            </w:pPr>
                            <w:r>
                              <w:rPr>
                                <w:i/>
                                <w:iCs/>
                                <w:color w:val="276E8B" w:themeColor="accent1" w:themeShade="BF"/>
                              </w:rPr>
                              <w:t xml:space="preserve">While ratification of the Athens Convention may present a useful codification of liability principles, its impact in practice is likely to be limited because of the comprehensive nature of the Australian Consumer Law. </w:t>
                            </w:r>
                          </w:p>
                          <w:p w14:paraId="3957ADC3" w14:textId="77777777" w:rsidR="00EC194F" w:rsidRPr="002D664A" w:rsidRDefault="00EC194F" w:rsidP="00CC19BF">
                            <w:pPr>
                              <w:pBdr>
                                <w:left w:val="single" w:sz="4" w:space="9" w:color="3494BA" w:themeColor="accent1"/>
                              </w:pBdr>
                              <w:jc w:val="left"/>
                              <w:rPr>
                                <w:i/>
                                <w:iCs/>
                                <w:color w:val="276E8B" w:themeColor="accent1" w:themeShade="BF"/>
                              </w:rPr>
                            </w:pPr>
                            <w:r w:rsidRPr="002D664A">
                              <w:rPr>
                                <w:i/>
                                <w:iCs/>
                                <w:color w:val="276E8B" w:themeColor="accent1" w:themeShade="BF"/>
                              </w:rPr>
                              <w:t>-</w:t>
                            </w:r>
                            <w:r>
                              <w:rPr>
                                <w:i/>
                                <w:iCs/>
                                <w:color w:val="276E8B" w:themeColor="accent1" w:themeShade="BF"/>
                              </w:rPr>
                              <w:t xml:space="preserve"> </w:t>
                            </w:r>
                            <w:r w:rsidRPr="002D664A">
                              <w:rPr>
                                <w:i/>
                                <w:iCs/>
                                <w:color w:val="276E8B" w:themeColor="accent1" w:themeShade="BF"/>
                              </w:rPr>
                              <w:t xml:space="preserve">Carnival Australia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0E447E" id="_x0000_s1032" style="position:absolute;margin-left:0;margin-top:151.6pt;width:440.05pt;height:74pt;z-index:251661323;visibility:visible;mso-wrap-style:square;mso-width-percent:0;mso-height-percent:0;mso-wrap-distance-left:36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" o:allowincell="f" filled="f" stroked="f" strokeweight="1.25pt">
                <v:textbox inset=",7.2pt,,7.2pt">
                  <w:txbxContent>
                    <w:p w14:paraId="02F2D811" w14:textId="77777777" w:rsidR="00EC194F" w:rsidRDefault="00EC194F" w:rsidP="00CC19BF">
                      <w:pPr>
                        <w:pBdr>
                          <w:left w:val="single" w:sz="4" w:space="9" w:color="3494BA" w:themeColor="accent1"/>
                        </w:pBdr>
                        <w:jc w:val="left"/>
                        <w:rPr>
                          <w:i/>
                          <w:iCs/>
                          <w:color w:val="276E8B" w:themeColor="accent1" w:themeShade="BF"/>
                        </w:rPr>
                      </w:pPr>
                      <w:r>
                        <w:rPr>
                          <w:i/>
                          <w:iCs/>
                          <w:color w:val="276E8B" w:themeColor="accent1" w:themeShade="BF"/>
                        </w:rPr>
                        <w:t xml:space="preserve">While ratification of the Athens Convention may present a useful codification of liability principles, its impact in practice is likely to be limited because of the comprehensive nature of the Australian Consumer Law. </w:t>
                      </w:r>
                    </w:p>
                    <w:p w14:paraId="3957ADC3" w14:textId="77777777" w:rsidR="00EC194F" w:rsidRPr="002D664A" w:rsidRDefault="00EC194F" w:rsidP="00CC19BF">
                      <w:pPr>
                        <w:pBdr>
                          <w:left w:val="single" w:sz="4" w:space="9" w:color="3494BA" w:themeColor="accent1"/>
                        </w:pBdr>
                        <w:jc w:val="left"/>
                        <w:rPr>
                          <w:i/>
                          <w:iCs/>
                          <w:color w:val="276E8B" w:themeColor="accent1" w:themeShade="BF"/>
                        </w:rPr>
                      </w:pPr>
                      <w:r w:rsidRPr="002D664A">
                        <w:rPr>
                          <w:i/>
                          <w:iCs/>
                          <w:color w:val="276E8B" w:themeColor="accent1" w:themeShade="BF"/>
                        </w:rPr>
                        <w:t>-</w:t>
                      </w:r>
                      <w:r>
                        <w:rPr>
                          <w:i/>
                          <w:iCs/>
                          <w:color w:val="276E8B" w:themeColor="accent1" w:themeShade="BF"/>
                        </w:rPr>
                        <w:t xml:space="preserve"> </w:t>
                      </w:r>
                      <w:r w:rsidRPr="002D664A">
                        <w:rPr>
                          <w:i/>
                          <w:iCs/>
                          <w:color w:val="276E8B" w:themeColor="accent1" w:themeShade="BF"/>
                        </w:rPr>
                        <w:t xml:space="preserve">Carnival Australia </w:t>
                      </w:r>
                    </w:p>
                  </w:txbxContent>
                </v:textbox>
                <w10:wrap type="square" anchorx="margin"/>
              </v:rect>
            </w:pict>
          </mc:Fallback>
        </mc:AlternateContent>
      </w:r>
      <w:r>
        <w:t>In other areas, views were shared across stakeholder groups where concern was raised about the interaction of the Athens Convention with the ACL and State and Territory Civil Liability Acts</w:t>
      </w:r>
      <w:r w:rsidR="007102E2">
        <w:t>,</w:t>
      </w:r>
      <w:r>
        <w:t xml:space="preserve"> where emphasis was placed on assessing the potential additional complexities to the claims process resulting from Australia’s accession to the Athens Convention in the Cost Benefit Analysis. </w:t>
      </w:r>
    </w:p>
    <w:p w14:paraId="69545EC6" w14:textId="6FBB5619" w:rsidR="00CC19BF" w:rsidRDefault="008A4F51" w:rsidP="00CC19BF">
      <w:pPr>
        <w:jc w:val="left"/>
      </w:pPr>
      <w:r w:rsidRPr="00BA58A1">
        <w:rPr>
          <w:i/>
          <w:iCs/>
          <w:noProof/>
        </w:rPr>
        <mc:AlternateContent>
          <mc:Choice Requires="wps">
            <w:drawing>
              <wp:inline distT="0" distB="0" distL="0" distR="0" wp14:anchorId="00E2F486" wp14:editId="4534C2B9">
                <wp:extent cx="5731510" cy="1113760"/>
                <wp:effectExtent l="0" t="0" r="0" b="0"/>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113760"/>
                        </a:xfrm>
                        <a:prstGeom prst="rect">
                          <a:avLst/>
                        </a:prstGeom>
                        <a:noFill/>
                        <a:ln w="15875">
                          <a:noFill/>
                        </a:ln>
                        <a:effectLst/>
                      </wps:spPr>
                      <wps:txbx>
                        <w:txbxContent>
                          <w:p w14:paraId="244193F7" w14:textId="77777777" w:rsidR="00EC194F" w:rsidRDefault="00EC194F" w:rsidP="008A4F51">
                            <w:pPr>
                              <w:pBdr>
                                <w:left w:val="single" w:sz="4" w:space="9" w:color="3494BA" w:themeColor="accent1"/>
                              </w:pBdr>
                              <w:jc w:val="left"/>
                              <w:rPr>
                                <w:i/>
                                <w:iCs/>
                                <w:color w:val="276E8B" w:themeColor="accent1" w:themeShade="BF"/>
                              </w:rPr>
                            </w:pPr>
                            <w:r w:rsidRPr="00921369">
                              <w:rPr>
                                <w:i/>
                                <w:iCs/>
                                <w:color w:val="276E8B" w:themeColor="accent1" w:themeShade="BF"/>
                              </w:rPr>
                              <w:t>In the context of any potential implementation of the Athens Convention by Australia, the interaction with both</w:t>
                            </w:r>
                            <w:r>
                              <w:rPr>
                                <w:i/>
                                <w:iCs/>
                                <w:color w:val="276E8B" w:themeColor="accent1" w:themeShade="BF"/>
                              </w:rPr>
                              <w:t xml:space="preserve"> </w:t>
                            </w:r>
                            <w:r w:rsidRPr="00921369">
                              <w:rPr>
                                <w:i/>
                                <w:iCs/>
                                <w:color w:val="276E8B" w:themeColor="accent1" w:themeShade="BF"/>
                              </w:rPr>
                              <w:t>the ACL and the CLAs must be carefully thought through so as not to add an extra layer of complexity to such</w:t>
                            </w:r>
                            <w:r>
                              <w:rPr>
                                <w:i/>
                                <w:iCs/>
                                <w:color w:val="276E8B" w:themeColor="accent1" w:themeShade="BF"/>
                              </w:rPr>
                              <w:t xml:space="preserve"> </w:t>
                            </w:r>
                            <w:r w:rsidRPr="00921369">
                              <w:rPr>
                                <w:i/>
                                <w:iCs/>
                                <w:color w:val="276E8B" w:themeColor="accent1" w:themeShade="BF"/>
                              </w:rPr>
                              <w:t>claims. The aim must be to substitute clarity and uniformity for the layers of complexity and uncertainty that are</w:t>
                            </w:r>
                            <w:r>
                              <w:rPr>
                                <w:i/>
                                <w:iCs/>
                                <w:color w:val="276E8B" w:themeColor="accent1" w:themeShade="BF"/>
                              </w:rPr>
                              <w:t xml:space="preserve"> </w:t>
                            </w:r>
                            <w:r w:rsidRPr="00921369">
                              <w:rPr>
                                <w:i/>
                                <w:iCs/>
                                <w:color w:val="276E8B" w:themeColor="accent1" w:themeShade="BF"/>
                              </w:rPr>
                              <w:t>hallmarks of the current position.</w:t>
                            </w:r>
                          </w:p>
                          <w:p w14:paraId="02D63BA8" w14:textId="77777777" w:rsidR="00EC194F" w:rsidRPr="00AF2F50" w:rsidRDefault="00EC194F" w:rsidP="008A4F51">
                            <w:pPr>
                              <w:pBdr>
                                <w:left w:val="single" w:sz="4" w:space="9" w:color="3494BA" w:themeColor="accent1"/>
                              </w:pBdr>
                              <w:jc w:val="left"/>
                              <w:rPr>
                                <w:i/>
                                <w:iCs/>
                                <w:color w:val="276E8B" w:themeColor="accent1" w:themeShade="BF"/>
                              </w:rPr>
                            </w:pPr>
                            <w:r w:rsidRPr="00AF2F50">
                              <w:rPr>
                                <w:i/>
                                <w:iCs/>
                                <w:color w:val="276E8B" w:themeColor="accent1" w:themeShade="BF"/>
                              </w:rPr>
                              <w:t>-</w:t>
                            </w:r>
                            <w:r>
                              <w:rPr>
                                <w:i/>
                                <w:iCs/>
                                <w:color w:val="276E8B" w:themeColor="accent1" w:themeShade="BF"/>
                              </w:rPr>
                              <w:t xml:space="preserve"> Professor Kate Lewins, Murdoch University School of Law</w:t>
                            </w:r>
                          </w:p>
                        </w:txbxContent>
                      </wps:txbx>
                      <wps:bodyPr rot="0" vert="horz" wrap="square" lIns="91440" tIns="91440" rIns="91440" bIns="91440" anchor="t" anchorCtr="0" upright="1">
                        <a:noAutofit/>
                      </wps:bodyPr>
                    </wps:wsp>
                  </a:graphicData>
                </a:graphic>
              </wp:inline>
            </w:drawing>
          </mc:Choice>
          <mc:Fallback>
            <w:pict>
              <v:rect w14:anchorId="00E2F486" id="_x0000_s1033" style="width:451.3pt;height:8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" filled="f" stroked="f" strokeweight="1.25pt">
                <v:textbox inset=",7.2pt,,7.2pt">
                  <w:txbxContent>
                    <w:p w14:paraId="244193F7" w14:textId="77777777" w:rsidR="00EC194F" w:rsidRDefault="00EC194F" w:rsidP="008A4F51">
                      <w:pPr>
                        <w:pBdr>
                          <w:left w:val="single" w:sz="4" w:space="9" w:color="3494BA" w:themeColor="accent1"/>
                        </w:pBdr>
                        <w:jc w:val="left"/>
                        <w:rPr>
                          <w:i/>
                          <w:iCs/>
                          <w:color w:val="276E8B" w:themeColor="accent1" w:themeShade="BF"/>
                        </w:rPr>
                      </w:pPr>
                      <w:r w:rsidRPr="00921369">
                        <w:rPr>
                          <w:i/>
                          <w:iCs/>
                          <w:color w:val="276E8B" w:themeColor="accent1" w:themeShade="BF"/>
                        </w:rPr>
                        <w:t>In the context of any potential implementation of the Athens Convention by Australia, the interaction with both</w:t>
                      </w:r>
                      <w:r>
                        <w:rPr>
                          <w:i/>
                          <w:iCs/>
                          <w:color w:val="276E8B" w:themeColor="accent1" w:themeShade="BF"/>
                        </w:rPr>
                        <w:t xml:space="preserve"> </w:t>
                      </w:r>
                      <w:r w:rsidRPr="00921369">
                        <w:rPr>
                          <w:i/>
                          <w:iCs/>
                          <w:color w:val="276E8B" w:themeColor="accent1" w:themeShade="BF"/>
                        </w:rPr>
                        <w:t>the ACL and the CLAs must be carefully thought through so as not to add an extra layer of complexity to such</w:t>
                      </w:r>
                      <w:r>
                        <w:rPr>
                          <w:i/>
                          <w:iCs/>
                          <w:color w:val="276E8B" w:themeColor="accent1" w:themeShade="BF"/>
                        </w:rPr>
                        <w:t xml:space="preserve"> </w:t>
                      </w:r>
                      <w:r w:rsidRPr="00921369">
                        <w:rPr>
                          <w:i/>
                          <w:iCs/>
                          <w:color w:val="276E8B" w:themeColor="accent1" w:themeShade="BF"/>
                        </w:rPr>
                        <w:t>claims. The aim must be to substitute clarity and uniformity for the layers of complexity and uncertainty that are</w:t>
                      </w:r>
                      <w:r>
                        <w:rPr>
                          <w:i/>
                          <w:iCs/>
                          <w:color w:val="276E8B" w:themeColor="accent1" w:themeShade="BF"/>
                        </w:rPr>
                        <w:t xml:space="preserve"> </w:t>
                      </w:r>
                      <w:r w:rsidRPr="00921369">
                        <w:rPr>
                          <w:i/>
                          <w:iCs/>
                          <w:color w:val="276E8B" w:themeColor="accent1" w:themeShade="BF"/>
                        </w:rPr>
                        <w:t>hallmarks of the current position.</w:t>
                      </w:r>
                    </w:p>
                    <w:p w14:paraId="02D63BA8" w14:textId="77777777" w:rsidR="00EC194F" w:rsidRPr="00AF2F50" w:rsidRDefault="00EC194F" w:rsidP="008A4F51">
                      <w:pPr>
                        <w:pBdr>
                          <w:left w:val="single" w:sz="4" w:space="9" w:color="3494BA" w:themeColor="accent1"/>
                        </w:pBdr>
                        <w:jc w:val="left"/>
                        <w:rPr>
                          <w:i/>
                          <w:iCs/>
                          <w:color w:val="276E8B" w:themeColor="accent1" w:themeShade="BF"/>
                        </w:rPr>
                      </w:pPr>
                      <w:r w:rsidRPr="00AF2F50">
                        <w:rPr>
                          <w:i/>
                          <w:iCs/>
                          <w:color w:val="276E8B" w:themeColor="accent1" w:themeShade="BF"/>
                        </w:rPr>
                        <w:t>-</w:t>
                      </w:r>
                      <w:r>
                        <w:rPr>
                          <w:i/>
                          <w:iCs/>
                          <w:color w:val="276E8B" w:themeColor="accent1" w:themeShade="BF"/>
                        </w:rPr>
                        <w:t xml:space="preserve"> Professor Kate Lewins, Murdoch University School of Law</w:t>
                      </w:r>
                    </w:p>
                  </w:txbxContent>
                </v:textbox>
                <w10:anchorlock/>
              </v:rect>
            </w:pict>
          </mc:Fallback>
        </mc:AlternateContent>
      </w:r>
    </w:p>
    <w:p w14:paraId="00D0183C" w14:textId="77777777" w:rsidR="008A4F51" w:rsidRDefault="008A4F51" w:rsidP="00CC19BF">
      <w:pPr>
        <w:jc w:val="left"/>
      </w:pPr>
    </w:p>
    <w:p w14:paraId="64C4B49C" w14:textId="05AE0A5C" w:rsidR="00CC19BF" w:rsidRDefault="00CC19BF" w:rsidP="00CC19BF">
      <w:pPr>
        <w:jc w:val="left"/>
      </w:pPr>
      <w:r>
        <w:t xml:space="preserve">However, whilst the cruise industry’s preference is to remain business as usual, the legal sector firmly support Australia’s accession to the Athens Convention to provide uniformity to the claims process, security of passenger protection, and </w:t>
      </w:r>
      <w:r w:rsidR="007102E2">
        <w:t xml:space="preserve">to </w:t>
      </w:r>
      <w:r>
        <w:t>ensure consistency with existing maritime treaties to which Australia is a party.</w:t>
      </w:r>
    </w:p>
    <w:p w14:paraId="724ABC26" w14:textId="635CFC47" w:rsidR="00CC19BF" w:rsidRPr="00B373A4" w:rsidRDefault="008A4F51" w:rsidP="00EE456E">
      <w:pPr>
        <w:jc w:val="left"/>
      </w:pPr>
      <w:r w:rsidRPr="00BA58A1">
        <w:rPr>
          <w:i/>
          <w:iCs/>
          <w:noProof/>
        </w:rPr>
        <mc:AlternateContent>
          <mc:Choice Requires="wps">
            <w:drawing>
              <wp:inline distT="0" distB="0" distL="0" distR="0" wp14:anchorId="014718D9" wp14:editId="38B75E03">
                <wp:extent cx="5731510" cy="1482070"/>
                <wp:effectExtent l="0" t="0" r="0" b="0"/>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482070"/>
                        </a:xfrm>
                        <a:prstGeom prst="rect">
                          <a:avLst/>
                        </a:prstGeom>
                        <a:noFill/>
                        <a:ln w="15875">
                          <a:noFill/>
                        </a:ln>
                        <a:effectLst/>
                      </wps:spPr>
                      <wps:txbx>
                        <w:txbxContent>
                          <w:p w14:paraId="28DD6F08" w14:textId="77777777" w:rsidR="00EC194F" w:rsidRDefault="00EC194F" w:rsidP="008A4F51">
                            <w:pPr>
                              <w:pBdr>
                                <w:left w:val="single" w:sz="4" w:space="9" w:color="3494BA" w:themeColor="accent1"/>
                              </w:pBdr>
                              <w:jc w:val="left"/>
                              <w:rPr>
                                <w:i/>
                                <w:iCs/>
                                <w:color w:val="276E8B" w:themeColor="accent1" w:themeShade="BF"/>
                              </w:rPr>
                            </w:pPr>
                            <w:r>
                              <w:rPr>
                                <w:i/>
                                <w:iCs/>
                                <w:color w:val="276E8B" w:themeColor="accent1" w:themeShade="BF"/>
                              </w:rPr>
                              <w:t>Australia was a long-term participant in the negotiations at the IMO for 2002 Protocol to the original Athens Convention 1974. Along with the UK, Australia played a leading role in negotiating this instrument that was part of a suite of IMO conventions dealing with liability for marine incidents. Australia is also party to most of those conventions, including pollution conventions such as the Civil Liability Convention 1992 and the Bunker Pollution Convention 2001. Accession would therefore be consistent with existing treaties to which Australia is Party.</w:t>
                            </w:r>
                          </w:p>
                          <w:p w14:paraId="51F94871" w14:textId="77777777" w:rsidR="00EC194F" w:rsidRPr="0000570B" w:rsidRDefault="00EC194F" w:rsidP="008A4F51">
                            <w:pPr>
                              <w:pBdr>
                                <w:left w:val="single" w:sz="4" w:space="9" w:color="3494BA" w:themeColor="accent1"/>
                              </w:pBdr>
                              <w:jc w:val="left"/>
                              <w:rPr>
                                <w:i/>
                                <w:iCs/>
                                <w:color w:val="276E8B" w:themeColor="accent1" w:themeShade="BF"/>
                              </w:rPr>
                            </w:pPr>
                            <w:r w:rsidRPr="0000570B">
                              <w:rPr>
                                <w:i/>
                                <w:iCs/>
                                <w:color w:val="276E8B" w:themeColor="accent1" w:themeShade="BF"/>
                              </w:rPr>
                              <w:t>-</w:t>
                            </w:r>
                            <w:r>
                              <w:rPr>
                                <w:i/>
                                <w:iCs/>
                                <w:color w:val="276E8B" w:themeColor="accent1" w:themeShade="BF"/>
                              </w:rPr>
                              <w:t xml:space="preserve"> Professor Nick Gaskell, School of Law, University of Queensland</w:t>
                            </w:r>
                          </w:p>
                        </w:txbxContent>
                      </wps:txbx>
                      <wps:bodyPr rot="0" vert="horz" wrap="square" lIns="91440" tIns="91440" rIns="91440" bIns="91440" anchor="t" anchorCtr="0" upright="1">
                        <a:noAutofit/>
                      </wps:bodyPr>
                    </wps:wsp>
                  </a:graphicData>
                </a:graphic>
              </wp:inline>
            </w:drawing>
          </mc:Choice>
          <mc:Fallback>
            <w:pict>
              <v:rect w14:anchorId="014718D9" id="_x0000_s1034" style="width:451.3pt;height:1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" filled="f" stroked="f" strokeweight="1.25pt">
                <v:textbox inset=",7.2pt,,7.2pt">
                  <w:txbxContent>
                    <w:p w14:paraId="28DD6F08" w14:textId="77777777" w:rsidR="00EC194F" w:rsidRDefault="00EC194F" w:rsidP="008A4F51">
                      <w:pPr>
                        <w:pBdr>
                          <w:left w:val="single" w:sz="4" w:space="9" w:color="3494BA" w:themeColor="accent1"/>
                        </w:pBdr>
                        <w:jc w:val="left"/>
                        <w:rPr>
                          <w:i/>
                          <w:iCs/>
                          <w:color w:val="276E8B" w:themeColor="accent1" w:themeShade="BF"/>
                        </w:rPr>
                      </w:pPr>
                      <w:r>
                        <w:rPr>
                          <w:i/>
                          <w:iCs/>
                          <w:color w:val="276E8B" w:themeColor="accent1" w:themeShade="BF"/>
                        </w:rPr>
                        <w:t>Australia was a long-term participant in the negotiations at the IMO for 2002 Protocol to the original Athens Convention 1974. Along with the UK, Australia played a leading role in negotiating this instrument that was part of a suite of IMO conventions dealing with liability for marine incidents. Australia is also party to most of those conventions, including pollution conventions such as the Civil Liability Convention 1992 and the Bunker Pollution Convention 2001. Accession would therefore be consistent with existing treaties to which Australia is Party.</w:t>
                      </w:r>
                    </w:p>
                    <w:p w14:paraId="51F94871" w14:textId="77777777" w:rsidR="00EC194F" w:rsidRPr="0000570B" w:rsidRDefault="00EC194F" w:rsidP="008A4F51">
                      <w:pPr>
                        <w:pBdr>
                          <w:left w:val="single" w:sz="4" w:space="9" w:color="3494BA" w:themeColor="accent1"/>
                        </w:pBdr>
                        <w:jc w:val="left"/>
                        <w:rPr>
                          <w:i/>
                          <w:iCs/>
                          <w:color w:val="276E8B" w:themeColor="accent1" w:themeShade="BF"/>
                        </w:rPr>
                      </w:pPr>
                      <w:r w:rsidRPr="0000570B">
                        <w:rPr>
                          <w:i/>
                          <w:iCs/>
                          <w:color w:val="276E8B" w:themeColor="accent1" w:themeShade="BF"/>
                        </w:rPr>
                        <w:t>-</w:t>
                      </w:r>
                      <w:r>
                        <w:rPr>
                          <w:i/>
                          <w:iCs/>
                          <w:color w:val="276E8B" w:themeColor="accent1" w:themeShade="BF"/>
                        </w:rPr>
                        <w:t xml:space="preserve"> Professor Nick Gaskell, School of Law, University of Queensland</w:t>
                      </w:r>
                    </w:p>
                  </w:txbxContent>
                </v:textbox>
                <w10:anchorlock/>
              </v:rect>
            </w:pict>
          </mc:Fallback>
        </mc:AlternateContent>
      </w:r>
    </w:p>
    <w:p w14:paraId="7593CB62" w14:textId="5BEB92A3" w:rsidR="003A768C" w:rsidRPr="003A768C" w:rsidRDefault="003A768C" w:rsidP="003A768C"/>
    <w:p w14:paraId="33852216" w14:textId="28263EAF" w:rsidR="002A2BC3" w:rsidRDefault="002A2BC3" w:rsidP="002A2BC3">
      <w:pPr>
        <w:pStyle w:val="Heading1"/>
      </w:pPr>
      <w:bookmarkStart w:id="112" w:name="_Toc44659933"/>
      <w:r>
        <w:t>Impact Analysis</w:t>
      </w:r>
      <w:bookmarkEnd w:id="112"/>
    </w:p>
    <w:p w14:paraId="44839C01" w14:textId="77777777" w:rsidR="00A72BB3" w:rsidRDefault="00A72BB3" w:rsidP="00A72BB3">
      <w:pPr>
        <w:jc w:val="left"/>
      </w:pPr>
      <w:r>
        <w:t>Cost benefit analysis is “a method of evaluation that attempts to estimate and compare the total benefits and costs of a particular policy proposal”</w:t>
      </w:r>
      <w:r>
        <w:rPr>
          <w:rStyle w:val="FootnoteReference"/>
        </w:rPr>
        <w:footnoteReference w:id="21"/>
      </w:r>
      <w:r>
        <w:t xml:space="preserve">. It is useful for informing decision makers of the potential impacts of each policy option and providing a way of comparing these impacts when they occur to different groups of people and across different time periods. The Government’s published cost benefit analysis guidelines also ensure that all policy proposals are evaluated using the same framework, providing consistency between decisions taken. Impacts are considered at the point in time when regulation has already been enacted and any necessary implementation costs have occurred. The cost of implementation is considered separately when deciding whether the benefits of end-state regulation would outweigh the cost of changes. </w:t>
      </w:r>
    </w:p>
    <w:p w14:paraId="0804B413" w14:textId="77777777" w:rsidR="00A72BB3" w:rsidRDefault="00A72BB3" w:rsidP="00A72BB3">
      <w:pPr>
        <w:jc w:val="left"/>
      </w:pPr>
      <w:r>
        <w:t xml:space="preserve">To understand the impacts of the options being considered the following steps were taken: </w:t>
      </w:r>
    </w:p>
    <w:p w14:paraId="377CEAFC" w14:textId="77777777" w:rsidR="00A72BB3" w:rsidRDefault="00A72BB3" w:rsidP="0031125A">
      <w:pPr>
        <w:jc w:val="center"/>
      </w:pPr>
      <w:r>
        <w:rPr>
          <w:noProof/>
        </w:rPr>
        <w:drawing>
          <wp:inline distT="0" distB="0" distL="0" distR="0" wp14:anchorId="2484270C" wp14:editId="7CDACA27">
            <wp:extent cx="5071731" cy="285732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662" cy="2866861"/>
                    </a:xfrm>
                    <a:prstGeom prst="rect">
                      <a:avLst/>
                    </a:prstGeom>
                  </pic:spPr>
                </pic:pic>
              </a:graphicData>
            </a:graphic>
          </wp:inline>
        </w:drawing>
      </w:r>
    </w:p>
    <w:p w14:paraId="4E4F9439" w14:textId="374CAA5D" w:rsidR="00A72BB3" w:rsidRDefault="00A72BB3" w:rsidP="00A72BB3">
      <w:pPr>
        <w:jc w:val="left"/>
      </w:pPr>
      <w:r>
        <w:t>Other countries have conducted similar assessments of the impacts of acceding to the Athens Convention. In 2012, the UK Government conducted an Impact Assessment (IA) of extending the Athens Convention to cover voyages which start and end their journey in the UK</w:t>
      </w:r>
      <w:r>
        <w:rPr>
          <w:rStyle w:val="FootnoteReference"/>
        </w:rPr>
        <w:footnoteReference w:id="22"/>
      </w:r>
      <w:r>
        <w:t xml:space="preserve">. Whilst under slightly different circumstances, this IA estimated a total Net Present Value (NPV) of £0.4m for the preferred option of applying the new regulations to passenger ships of EU Classes A and B only. This was based on quantifying the additional costs of certificates needed to prove compliance and the additional war and terrorism insurance that would be needed to ensure passengers were not worse off than the existing UK regulation. The benefits occurred due to these costs not occurring in the preferred option compared to the baseline, given that ships would need to be compliant with EU Regulation from a certain date. Other impacts were discussed but unable to be quantified due to a lack of evidence. </w:t>
      </w:r>
    </w:p>
    <w:p w14:paraId="5DF61DE8" w14:textId="1E4F822E" w:rsidR="00A72BB3" w:rsidRDefault="00A72BB3" w:rsidP="00A72BB3">
      <w:pPr>
        <w:jc w:val="left"/>
      </w:pPr>
      <w:r>
        <w:t>Following implementation, the UK Government also carried out a Post Implementation Review (PIR) in 2018</w:t>
      </w:r>
      <w:r>
        <w:rPr>
          <w:rStyle w:val="FootnoteReference"/>
        </w:rPr>
        <w:footnoteReference w:id="23"/>
      </w:r>
      <w:r>
        <w:t xml:space="preserve">. The response to consultation was minimal and informal discussions confirmed that industry had not found the new regulations overly burdensome. The new regulation was not considered to be contentious when it was introduced and given that most UK ships were already obliged to comply with the Athens Convention, the changes to liability limits for those operating UK voyages were minimal. All inspected ships were found to have adequate insurance and the Maritime Coastguard Agency did not receive any feedback that obtaining insurance had been arduous. No major incidents had occurred since the legislation was introduced, making it difficult to understand the full impact of the changes. The recommendation of the PIR was to continue with the current regulation that is applying Athens Convention to voyages within the UK on class A and B vessels. </w:t>
      </w:r>
    </w:p>
    <w:p w14:paraId="45E626E5" w14:textId="77777777" w:rsidR="00A72BB3" w:rsidRDefault="00A72BB3" w:rsidP="00A72BB3">
      <w:pPr>
        <w:pStyle w:val="Heading2"/>
        <w:jc w:val="both"/>
      </w:pPr>
      <w:bookmarkStart w:id="113" w:name="_Toc34657080"/>
      <w:bookmarkStart w:id="114" w:name="_Toc44659934"/>
      <w:r>
        <w:t>Identification of whose costs and benefits counts</w:t>
      </w:r>
      <w:bookmarkEnd w:id="113"/>
      <w:bookmarkEnd w:id="114"/>
    </w:p>
    <w:p w14:paraId="296F0253" w14:textId="77777777" w:rsidR="00A72BB3" w:rsidRDefault="00A72BB3" w:rsidP="00A72BB3">
      <w:r>
        <w:t xml:space="preserve">Changes in regulation relating to claims on cruise ships will impact on several user groups in different ways. A cost benefit analysis considers all of these user groups, with the final assessment based on a national impact. </w:t>
      </w:r>
    </w:p>
    <w:p w14:paraId="22B8E98B" w14:textId="77777777" w:rsidR="00A72BB3" w:rsidRDefault="00A72BB3" w:rsidP="00A72BB3">
      <w:r>
        <w:t xml:space="preserve">For this analysis, the relevant user groups who will be significantly impacted by a change in the regulation have been identified as: </w:t>
      </w:r>
    </w:p>
    <w:p w14:paraId="2AE44699" w14:textId="77777777" w:rsidR="00A72BB3" w:rsidRDefault="00A72BB3" w:rsidP="00160A48">
      <w:pPr>
        <w:pStyle w:val="ListParagraph"/>
        <w:numPr>
          <w:ilvl w:val="0"/>
          <w:numId w:val="16"/>
        </w:numPr>
      </w:pPr>
      <w:r>
        <w:t>Cruise companies</w:t>
      </w:r>
    </w:p>
    <w:p w14:paraId="127531E7" w14:textId="77777777" w:rsidR="00A72BB3" w:rsidRDefault="00A72BB3" w:rsidP="00160A48">
      <w:pPr>
        <w:pStyle w:val="ListParagraph"/>
        <w:numPr>
          <w:ilvl w:val="0"/>
          <w:numId w:val="16"/>
        </w:numPr>
      </w:pPr>
      <w:r>
        <w:t xml:space="preserve">Insurance companies </w:t>
      </w:r>
    </w:p>
    <w:p w14:paraId="350827FC" w14:textId="77777777" w:rsidR="00A72BB3" w:rsidRDefault="00A72BB3" w:rsidP="00160A48">
      <w:pPr>
        <w:pStyle w:val="ListParagraph"/>
        <w:numPr>
          <w:ilvl w:val="0"/>
          <w:numId w:val="16"/>
        </w:numPr>
      </w:pPr>
      <w:r>
        <w:t>Passengers</w:t>
      </w:r>
    </w:p>
    <w:p w14:paraId="14F2C9D0" w14:textId="77777777" w:rsidR="00A72BB3" w:rsidRDefault="00A72BB3" w:rsidP="00160A48">
      <w:pPr>
        <w:pStyle w:val="ListParagraph"/>
        <w:numPr>
          <w:ilvl w:val="0"/>
          <w:numId w:val="16"/>
        </w:numPr>
      </w:pPr>
      <w:r>
        <w:t>Government</w:t>
      </w:r>
    </w:p>
    <w:p w14:paraId="4134ED2E" w14:textId="77777777" w:rsidR="00A72BB3" w:rsidRPr="008A3E25" w:rsidRDefault="00A72BB3" w:rsidP="00A72BB3">
      <w:pPr>
        <w:jc w:val="left"/>
        <w:rPr>
          <w:color w:val="auto"/>
        </w:rPr>
      </w:pPr>
      <w:r>
        <w:t xml:space="preserve">Each of these groups has been invited to provide input into the options assessment. This was done through various stages of stakeholder </w:t>
      </w:r>
      <w:r w:rsidRPr="00786457">
        <w:rPr>
          <w:color w:val="auto"/>
        </w:rPr>
        <w:t xml:space="preserve">engagement as discussed earlier in this paper. </w:t>
      </w:r>
      <w:r w:rsidRPr="008A3E25">
        <w:rPr>
          <w:color w:val="auto"/>
        </w:rPr>
        <w:t xml:space="preserve">Their input has been valuable to informing the impact analysis conducted. </w:t>
      </w:r>
    </w:p>
    <w:p w14:paraId="267BD587" w14:textId="4FB602E8" w:rsidR="00A72BB3" w:rsidRDefault="00A72BB3" w:rsidP="00A72BB3">
      <w:pPr>
        <w:jc w:val="left"/>
      </w:pPr>
      <w:r>
        <w:t>The legal industry may also be impacted by changes to any legislation around passenger claims. Currently, lawyers support both passengers making claims and cruise companies who are on the receiving end of the lodged claims. For the cost benefit analysis, this group have not been separately considered. It is assumed that lawyers working on behalf of the passengers would continue to do so, but may incur some cost of training to understand the new legislation and potentially fewer hours of work per claim as there is expected to be less legal involvement needed in order to make a claim. If the legal support required to lodge a claim is reduced, the disbenefit to lawyers of less work would be offset by the benefit to passengers making a claim not needing to pay as much in legal fees. Lawyers working on behalf of cruise companies are assumed to be employed full</w:t>
      </w:r>
      <w:r w:rsidR="00871BCE">
        <w:noBreakHyphen/>
      </w:r>
      <w:r>
        <w:t xml:space="preserve">time by that company, and hence would be working on something else if not on passenger claims. There may be a change in the number of lawyers a cruise company requires, if the options lead to a significant change in the complexity or number of claims lodged. </w:t>
      </w:r>
    </w:p>
    <w:p w14:paraId="77BB7162" w14:textId="77777777" w:rsidR="00A72BB3" w:rsidRDefault="00A72BB3" w:rsidP="00A72BB3">
      <w:pPr>
        <w:jc w:val="left"/>
        <w:rPr>
          <w:color w:val="auto"/>
        </w:rPr>
      </w:pPr>
      <w:r>
        <w:rPr>
          <w:color w:val="auto"/>
        </w:rPr>
        <w:t xml:space="preserve">Many of the impacts that a change in legislation would lead to have a net neutral impact on society. This is because the additional costs or benefits are simply transferred between user groups so a benefit to one group would impose a similar cost to another group. This means many of the impacts would not affect a calculated NPV.  </w:t>
      </w:r>
    </w:p>
    <w:p w14:paraId="28754C9D" w14:textId="489B0A4F" w:rsidR="00A72BB3" w:rsidRDefault="00A72BB3" w:rsidP="0083307A">
      <w:pPr>
        <w:jc w:val="left"/>
        <w:rPr>
          <w:color w:val="auto"/>
        </w:rPr>
      </w:pPr>
      <w:r>
        <w:rPr>
          <w:color w:val="auto"/>
        </w:rPr>
        <w:t xml:space="preserve">The table below sets out the key costs and benefits identified for each user group. These are explained in more detail in </w:t>
      </w:r>
      <w:r w:rsidRPr="00DA7C61">
        <w:rPr>
          <w:color w:val="auto"/>
        </w:rPr>
        <w:t xml:space="preserve">the Impact Analysis (section </w:t>
      </w:r>
      <w:r w:rsidR="00CC2128">
        <w:rPr>
          <w:color w:val="auto"/>
        </w:rPr>
        <w:t>1</w:t>
      </w:r>
      <w:r w:rsidR="00EA35C1">
        <w:rPr>
          <w:color w:val="auto"/>
        </w:rPr>
        <w:t>0</w:t>
      </w:r>
      <w:r w:rsidRPr="00DA7C61">
        <w:rPr>
          <w:color w:val="auto"/>
        </w:rPr>
        <w:t xml:space="preserve">.3) below. </w:t>
      </w:r>
    </w:p>
    <w:p w14:paraId="3708E8CB" w14:textId="590F0ACD" w:rsidR="00A72BB3" w:rsidRPr="00CF755C" w:rsidRDefault="00A72BB3" w:rsidP="00027F78">
      <w:pPr>
        <w:pStyle w:val="Caption"/>
      </w:pPr>
      <w:bookmarkStart w:id="115" w:name="_Toc36560351"/>
      <w:r>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4</w:t>
      </w:r>
      <w:r w:rsidR="00B435A7">
        <w:rPr>
          <w:noProof/>
        </w:rPr>
        <w:fldChar w:fldCharType="end"/>
      </w:r>
      <w:r w:rsidR="00027F78">
        <w:t>:</w:t>
      </w:r>
      <w:r>
        <w:t xml:space="preserve"> </w:t>
      </w:r>
      <w:r w:rsidRPr="00CF755C">
        <w:t>Identified Costs and Benefits by User Group</w:t>
      </w:r>
      <w:bookmarkEnd w:id="115"/>
    </w:p>
    <w:tbl>
      <w:tblPr>
        <w:tblStyle w:val="GridTable4-Accent6"/>
        <w:tblW w:w="0" w:type="auto"/>
        <w:tblLook w:val="04A0" w:firstRow="1" w:lastRow="0" w:firstColumn="1" w:lastColumn="0" w:noHBand="0" w:noVBand="1"/>
      </w:tblPr>
      <w:tblGrid>
        <w:gridCol w:w="1993"/>
        <w:gridCol w:w="2283"/>
        <w:gridCol w:w="1997"/>
        <w:gridCol w:w="2712"/>
      </w:tblGrid>
      <w:tr w:rsidR="00A72BB3" w14:paraId="4DDAEF58" w14:textId="77777777" w:rsidTr="00F91E49">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993" w:type="dxa"/>
            <w:tcBorders>
              <w:top w:val="none" w:sz="0" w:space="0" w:color="auto"/>
              <w:left w:val="none" w:sz="0" w:space="0" w:color="auto"/>
              <w:bottom w:val="none" w:sz="0" w:space="0" w:color="auto"/>
              <w:right w:val="none" w:sz="0" w:space="0" w:color="auto"/>
            </w:tcBorders>
          </w:tcPr>
          <w:p w14:paraId="6BD791B4" w14:textId="77777777" w:rsidR="00A72BB3" w:rsidRPr="00433C09" w:rsidRDefault="00A72BB3" w:rsidP="0069386C">
            <w:pPr>
              <w:rPr>
                <w:b w:val="0"/>
                <w:color w:val="auto"/>
              </w:rPr>
            </w:pPr>
            <w:r w:rsidRPr="00433C09">
              <w:rPr>
                <w:b w:val="0"/>
                <w:color w:val="auto"/>
              </w:rPr>
              <w:t>User group</w:t>
            </w:r>
          </w:p>
        </w:tc>
        <w:tc>
          <w:tcPr>
            <w:tcW w:w="2283" w:type="dxa"/>
            <w:tcBorders>
              <w:top w:val="none" w:sz="0" w:space="0" w:color="auto"/>
              <w:left w:val="none" w:sz="0" w:space="0" w:color="auto"/>
              <w:bottom w:val="none" w:sz="0" w:space="0" w:color="auto"/>
              <w:right w:val="none" w:sz="0" w:space="0" w:color="auto"/>
            </w:tcBorders>
          </w:tcPr>
          <w:p w14:paraId="47FD9E0D" w14:textId="77777777" w:rsidR="00A72BB3" w:rsidRPr="00433C09" w:rsidRDefault="00A72BB3" w:rsidP="0069386C">
            <w:pPr>
              <w:cnfStyle w:val="100000000000" w:firstRow="1" w:lastRow="0" w:firstColumn="0" w:lastColumn="0" w:oddVBand="0" w:evenVBand="0" w:oddHBand="0" w:evenHBand="0" w:firstRowFirstColumn="0" w:firstRowLastColumn="0" w:lastRowFirstColumn="0" w:lastRowLastColumn="0"/>
              <w:rPr>
                <w:b w:val="0"/>
                <w:color w:val="auto"/>
              </w:rPr>
            </w:pPr>
            <w:r w:rsidRPr="00433C09">
              <w:rPr>
                <w:b w:val="0"/>
                <w:color w:val="auto"/>
              </w:rPr>
              <w:t>Identified benefits</w:t>
            </w:r>
          </w:p>
        </w:tc>
        <w:tc>
          <w:tcPr>
            <w:tcW w:w="1997" w:type="dxa"/>
            <w:tcBorders>
              <w:top w:val="none" w:sz="0" w:space="0" w:color="auto"/>
              <w:left w:val="none" w:sz="0" w:space="0" w:color="auto"/>
              <w:bottom w:val="none" w:sz="0" w:space="0" w:color="auto"/>
              <w:right w:val="none" w:sz="0" w:space="0" w:color="auto"/>
            </w:tcBorders>
          </w:tcPr>
          <w:p w14:paraId="67A535B5" w14:textId="77777777" w:rsidR="00A72BB3" w:rsidRPr="00433C09" w:rsidRDefault="00A72BB3" w:rsidP="0069386C">
            <w:pP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 xml:space="preserve">Neutral </w:t>
            </w:r>
          </w:p>
        </w:tc>
        <w:tc>
          <w:tcPr>
            <w:tcW w:w="2712" w:type="dxa"/>
            <w:tcBorders>
              <w:top w:val="none" w:sz="0" w:space="0" w:color="auto"/>
              <w:left w:val="none" w:sz="0" w:space="0" w:color="auto"/>
              <w:bottom w:val="none" w:sz="0" w:space="0" w:color="auto"/>
              <w:right w:val="none" w:sz="0" w:space="0" w:color="auto"/>
            </w:tcBorders>
          </w:tcPr>
          <w:p w14:paraId="480A4A8D" w14:textId="77777777" w:rsidR="00A72BB3" w:rsidRPr="00433C09" w:rsidRDefault="00A72BB3" w:rsidP="0069386C">
            <w:pPr>
              <w:cnfStyle w:val="100000000000" w:firstRow="1" w:lastRow="0" w:firstColumn="0" w:lastColumn="0" w:oddVBand="0" w:evenVBand="0" w:oddHBand="0" w:evenHBand="0" w:firstRowFirstColumn="0" w:firstRowLastColumn="0" w:lastRowFirstColumn="0" w:lastRowLastColumn="0"/>
              <w:rPr>
                <w:b w:val="0"/>
                <w:color w:val="auto"/>
              </w:rPr>
            </w:pPr>
            <w:r w:rsidRPr="00433C09">
              <w:rPr>
                <w:b w:val="0"/>
                <w:color w:val="auto"/>
              </w:rPr>
              <w:t>Identified costs</w:t>
            </w:r>
          </w:p>
        </w:tc>
      </w:tr>
      <w:tr w:rsidR="00A72BB3" w14:paraId="15A2621B" w14:textId="77777777" w:rsidTr="00F91E49">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993" w:type="dxa"/>
          </w:tcPr>
          <w:p w14:paraId="631CE0ED" w14:textId="77777777" w:rsidR="00A72BB3" w:rsidRDefault="00A72BB3" w:rsidP="0069386C">
            <w:pPr>
              <w:spacing w:after="0"/>
              <w:jc w:val="left"/>
              <w:rPr>
                <w:color w:val="auto"/>
              </w:rPr>
            </w:pPr>
            <w:r w:rsidRPr="00CE1502">
              <w:t>Cruise companies</w:t>
            </w:r>
          </w:p>
        </w:tc>
        <w:tc>
          <w:tcPr>
            <w:tcW w:w="2283" w:type="dxa"/>
          </w:tcPr>
          <w:p w14:paraId="65EDDBC2"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Number of passengers</w:t>
            </w:r>
          </w:p>
        </w:tc>
        <w:tc>
          <w:tcPr>
            <w:tcW w:w="1997" w:type="dxa"/>
          </w:tcPr>
          <w:p w14:paraId="71147E63"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Claim payments</w:t>
            </w:r>
          </w:p>
          <w:p w14:paraId="3A417ECC"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p>
        </w:tc>
        <w:tc>
          <w:tcPr>
            <w:tcW w:w="2712" w:type="dxa"/>
          </w:tcPr>
          <w:p w14:paraId="7DAA220F"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Compulsory insurance</w:t>
            </w:r>
          </w:p>
          <w:p w14:paraId="02E9A45F"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Insurance limits</w:t>
            </w:r>
          </w:p>
          <w:p w14:paraId="58537AFF"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Number of claims</w:t>
            </w:r>
          </w:p>
        </w:tc>
      </w:tr>
      <w:tr w:rsidR="00A72BB3" w14:paraId="16D76F72" w14:textId="77777777" w:rsidTr="00F91E49">
        <w:trPr>
          <w:trHeight w:val="284"/>
        </w:trPr>
        <w:tc>
          <w:tcPr>
            <w:cnfStyle w:val="001000000000" w:firstRow="0" w:lastRow="0" w:firstColumn="1" w:lastColumn="0" w:oddVBand="0" w:evenVBand="0" w:oddHBand="0" w:evenHBand="0" w:firstRowFirstColumn="0" w:firstRowLastColumn="0" w:lastRowFirstColumn="0" w:lastRowLastColumn="0"/>
            <w:tcW w:w="1993" w:type="dxa"/>
          </w:tcPr>
          <w:p w14:paraId="119A6BA5" w14:textId="77777777" w:rsidR="00A72BB3" w:rsidRDefault="00A72BB3" w:rsidP="0069386C">
            <w:pPr>
              <w:spacing w:after="0"/>
              <w:jc w:val="left"/>
              <w:rPr>
                <w:color w:val="auto"/>
              </w:rPr>
            </w:pPr>
            <w:r w:rsidRPr="00CE1502">
              <w:t xml:space="preserve">Insurance companies </w:t>
            </w:r>
          </w:p>
        </w:tc>
        <w:tc>
          <w:tcPr>
            <w:tcW w:w="2283" w:type="dxa"/>
          </w:tcPr>
          <w:p w14:paraId="6C205781" w14:textId="77777777" w:rsidR="00A72BB3" w:rsidRDefault="00A72BB3" w:rsidP="0069386C">
            <w:pPr>
              <w:spacing w:after="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International consistency</w:t>
            </w:r>
          </w:p>
        </w:tc>
        <w:tc>
          <w:tcPr>
            <w:tcW w:w="1997" w:type="dxa"/>
          </w:tcPr>
          <w:p w14:paraId="2FC9E367" w14:textId="77777777" w:rsidR="00A72BB3" w:rsidRDefault="00A72BB3" w:rsidP="0069386C">
            <w:pPr>
              <w:spacing w:after="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Turnover</w:t>
            </w:r>
          </w:p>
        </w:tc>
        <w:tc>
          <w:tcPr>
            <w:tcW w:w="2712" w:type="dxa"/>
          </w:tcPr>
          <w:p w14:paraId="6F25C3DA" w14:textId="77777777" w:rsidR="00A72BB3" w:rsidRDefault="00A72BB3" w:rsidP="0069386C">
            <w:pPr>
              <w:spacing w:after="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Passenger contact</w:t>
            </w:r>
          </w:p>
        </w:tc>
      </w:tr>
      <w:tr w:rsidR="00A72BB3" w14:paraId="040730D1" w14:textId="77777777" w:rsidTr="00F91E49">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993" w:type="dxa"/>
          </w:tcPr>
          <w:p w14:paraId="61DB1598" w14:textId="77777777" w:rsidR="00A72BB3" w:rsidRDefault="00A72BB3" w:rsidP="0069386C">
            <w:pPr>
              <w:spacing w:after="0"/>
              <w:jc w:val="left"/>
              <w:rPr>
                <w:color w:val="auto"/>
              </w:rPr>
            </w:pPr>
            <w:r w:rsidRPr="00CE1502">
              <w:t>Passengers</w:t>
            </w:r>
          </w:p>
        </w:tc>
        <w:tc>
          <w:tcPr>
            <w:tcW w:w="2283" w:type="dxa"/>
          </w:tcPr>
          <w:p w14:paraId="2CD8565D"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Effort of claiming</w:t>
            </w:r>
          </w:p>
          <w:p w14:paraId="02760814"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Security</w:t>
            </w:r>
          </w:p>
        </w:tc>
        <w:tc>
          <w:tcPr>
            <w:tcW w:w="1997" w:type="dxa"/>
          </w:tcPr>
          <w:p w14:paraId="05209606"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Amount able to claim</w:t>
            </w:r>
          </w:p>
          <w:p w14:paraId="4E2824D8"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p>
        </w:tc>
        <w:tc>
          <w:tcPr>
            <w:tcW w:w="2712" w:type="dxa"/>
          </w:tcPr>
          <w:p w14:paraId="751A59EF"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Fares</w:t>
            </w:r>
          </w:p>
          <w:p w14:paraId="0EF910D3" w14:textId="77777777" w:rsidR="00A72BB3" w:rsidRDefault="00A72BB3" w:rsidP="0069386C">
            <w:pPr>
              <w:spacing w:after="0"/>
              <w:jc w:val="left"/>
              <w:cnfStyle w:val="000000100000" w:firstRow="0" w:lastRow="0" w:firstColumn="0" w:lastColumn="0" w:oddVBand="0" w:evenVBand="0" w:oddHBand="1" w:evenHBand="0" w:firstRowFirstColumn="0" w:firstRowLastColumn="0" w:lastRowFirstColumn="0" w:lastRowLastColumn="0"/>
              <w:rPr>
                <w:color w:val="auto"/>
              </w:rPr>
            </w:pPr>
          </w:p>
        </w:tc>
      </w:tr>
      <w:tr w:rsidR="00A72BB3" w14:paraId="56C00337" w14:textId="77777777" w:rsidTr="00F91E49">
        <w:trPr>
          <w:trHeight w:val="266"/>
        </w:trPr>
        <w:tc>
          <w:tcPr>
            <w:cnfStyle w:val="001000000000" w:firstRow="0" w:lastRow="0" w:firstColumn="1" w:lastColumn="0" w:oddVBand="0" w:evenVBand="0" w:oddHBand="0" w:evenHBand="0" w:firstRowFirstColumn="0" w:firstRowLastColumn="0" w:lastRowFirstColumn="0" w:lastRowLastColumn="0"/>
            <w:tcW w:w="1993" w:type="dxa"/>
          </w:tcPr>
          <w:p w14:paraId="0115CD89" w14:textId="77777777" w:rsidR="00A72BB3" w:rsidRDefault="00A72BB3" w:rsidP="00206635">
            <w:pPr>
              <w:spacing w:after="0"/>
              <w:jc w:val="left"/>
              <w:rPr>
                <w:b w:val="0"/>
                <w:bCs w:val="0"/>
              </w:rPr>
            </w:pPr>
            <w:r w:rsidRPr="00CE1502">
              <w:t>Government</w:t>
            </w:r>
          </w:p>
          <w:p w14:paraId="22E88450" w14:textId="618331AE" w:rsidR="00A72BB3" w:rsidRDefault="00A72BB3" w:rsidP="0069386C">
            <w:pPr>
              <w:spacing w:after="0"/>
              <w:jc w:val="left"/>
              <w:rPr>
                <w:color w:val="auto"/>
              </w:rPr>
            </w:pPr>
          </w:p>
        </w:tc>
        <w:tc>
          <w:tcPr>
            <w:tcW w:w="2283" w:type="dxa"/>
          </w:tcPr>
          <w:p w14:paraId="4D28C85A" w14:textId="77777777" w:rsidR="00A72BB3" w:rsidRDefault="00A72BB3" w:rsidP="0069386C">
            <w:pPr>
              <w:spacing w:after="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International consistency</w:t>
            </w:r>
          </w:p>
        </w:tc>
        <w:tc>
          <w:tcPr>
            <w:tcW w:w="1997" w:type="dxa"/>
          </w:tcPr>
          <w:p w14:paraId="309B15FD" w14:textId="77777777" w:rsidR="00A72BB3" w:rsidRDefault="00A72BB3" w:rsidP="0069386C">
            <w:pPr>
              <w:spacing w:after="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Conflicting interests</w:t>
            </w:r>
          </w:p>
        </w:tc>
        <w:tc>
          <w:tcPr>
            <w:tcW w:w="2712" w:type="dxa"/>
          </w:tcPr>
          <w:p w14:paraId="48A756F6" w14:textId="77777777" w:rsidR="00A72BB3" w:rsidRDefault="00A72BB3" w:rsidP="0069386C">
            <w:pPr>
              <w:spacing w:after="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Cost of ongoing regulation</w:t>
            </w:r>
          </w:p>
        </w:tc>
      </w:tr>
    </w:tbl>
    <w:p w14:paraId="1F484BBE" w14:textId="77777777" w:rsidR="00A72BB3" w:rsidRPr="002F1893" w:rsidRDefault="00A72BB3" w:rsidP="00A72BB3">
      <w:pPr>
        <w:pStyle w:val="Heading2"/>
        <w:jc w:val="both"/>
      </w:pPr>
      <w:bookmarkStart w:id="116" w:name="_Toc34657081"/>
      <w:bookmarkStart w:id="117" w:name="_Toc44659935"/>
      <w:r>
        <w:t>Outline of impacts and measurement indicators</w:t>
      </w:r>
      <w:bookmarkEnd w:id="116"/>
      <w:bookmarkEnd w:id="117"/>
    </w:p>
    <w:p w14:paraId="338E8E0B" w14:textId="77777777" w:rsidR="00A72BB3" w:rsidRDefault="00A72BB3" w:rsidP="00A72BB3">
      <w:pPr>
        <w:jc w:val="left"/>
      </w:pPr>
      <w:r>
        <w:t xml:space="preserve">The impacts of changing the current legislation to one of the proposed options are wide ranging and diverse in terms of the user group impacted, scale of the impact and likelihood that it occurs. This cost benefit analysis considers all potential impacts but is only able to quantity some of them. This is due to a lack of evidence to inform the baseline, a robust estimate of what would happen under each option and the uncertainty over how different user groups will react to changes.  </w:t>
      </w:r>
    </w:p>
    <w:p w14:paraId="7EEC038D" w14:textId="72148515" w:rsidR="00A72BB3" w:rsidRDefault="00A72BB3" w:rsidP="00A72BB3">
      <w:pPr>
        <w:jc w:val="left"/>
      </w:pPr>
      <w:r>
        <w:t>Where possible, estimates have been calculated to provide some scale of the impacts. These are based on numerous assumptions and should be considered to be a high-level guide of what the impact could be. Analysis has been carried out for an individual case, or a specific scenario as explained in the discussion. It has not been possible, nor considered reliable, to scale these impacts to a national level or over time. This is due to a lack of evidence around how many cases currently arise, how many result in a successful payout, how much cruise companies currently pay in insurance, as well as other informati</w:t>
      </w:r>
      <w:r w:rsidR="00ED5BD5">
        <w:t xml:space="preserve">on about the current scenario. </w:t>
      </w:r>
      <w:r>
        <w:t xml:space="preserve">Instead, various scenarios have been provided for each situation to provide a broad view. </w:t>
      </w:r>
    </w:p>
    <w:p w14:paraId="3F5123F8" w14:textId="77777777" w:rsidR="00A72BB3" w:rsidRDefault="00A72BB3" w:rsidP="00A72BB3">
      <w:pPr>
        <w:pStyle w:val="Heading2"/>
        <w:jc w:val="both"/>
      </w:pPr>
      <w:bookmarkStart w:id="118" w:name="_Toc34657082"/>
      <w:bookmarkStart w:id="119" w:name="_Toc44659936"/>
      <w:r>
        <w:t>Impact Analysis</w:t>
      </w:r>
      <w:bookmarkEnd w:id="118"/>
      <w:bookmarkEnd w:id="119"/>
    </w:p>
    <w:p w14:paraId="26DDC2BA" w14:textId="5D86C588" w:rsidR="00A72BB3" w:rsidRDefault="00A72BB3" w:rsidP="00A72BB3">
      <w:pPr>
        <w:jc w:val="left"/>
      </w:pPr>
      <w:r>
        <w:t xml:space="preserve">The following sections discuss the impacts on each of the user groups identified as potentially being affected by changes in the current legislation. Where there may be differences between the options, these are also discussed. Impacts that are possible to quantify or have supporting evidence are also included. </w:t>
      </w:r>
    </w:p>
    <w:p w14:paraId="152E6C2C" w14:textId="77777777" w:rsidR="009054A7" w:rsidRDefault="009054A7" w:rsidP="009054A7">
      <w:pPr>
        <w:pStyle w:val="Heading3"/>
        <w:jc w:val="both"/>
      </w:pPr>
      <w:bookmarkStart w:id="120" w:name="_Toc34657083"/>
      <w:bookmarkStart w:id="121" w:name="_Toc44659937"/>
      <w:r>
        <w:t>Cruise companies</w:t>
      </w:r>
      <w:bookmarkEnd w:id="120"/>
      <w:bookmarkEnd w:id="121"/>
      <w:r>
        <w:t xml:space="preserve"> </w:t>
      </w:r>
    </w:p>
    <w:p w14:paraId="30F886B6" w14:textId="77777777" w:rsidR="009054A7" w:rsidRDefault="009054A7" w:rsidP="009054A7">
      <w:pPr>
        <w:jc w:val="left"/>
        <w:rPr>
          <w:b/>
          <w:bCs/>
        </w:rPr>
      </w:pPr>
      <w:r>
        <w:rPr>
          <w:b/>
          <w:bCs/>
        </w:rPr>
        <w:t xml:space="preserve">Compulsory insurance: </w:t>
      </w:r>
      <w:r>
        <w:t xml:space="preserve">Under current regulation and following the LLMC Protocol, it is not compulsory for a cruise company to have insurance against passengers claiming for injury, illness or death. Without insurance, a cruise company would still be required to payout if a passenger lodges a claim for damages. Therefore, a cruise company will only take out insurance if they expect the cost of paying insurance to be lower than the cost of paying the passenger claims that are lodged against them based on their own risk assessment. The Athens Convention stipulates cruise companies must have insurance. Therefore, options 2, 3 and 4 would require </w:t>
      </w:r>
      <w:r w:rsidRPr="009E6409">
        <w:rPr>
          <w:color w:val="auto"/>
        </w:rPr>
        <w:t xml:space="preserve">cruise companies which don’t currently hold insurance to obtain it. </w:t>
      </w:r>
      <w:r w:rsidRPr="00771CB8">
        <w:rPr>
          <w:color w:val="auto"/>
        </w:rPr>
        <w:t>An estimated &gt; 90%</w:t>
      </w:r>
      <w:r>
        <w:rPr>
          <w:rStyle w:val="FootnoteReference"/>
          <w:color w:val="auto"/>
        </w:rPr>
        <w:footnoteReference w:id="24"/>
      </w:r>
      <w:r w:rsidRPr="009E6409">
        <w:rPr>
          <w:color w:val="auto"/>
        </w:rPr>
        <w:t xml:space="preserve"> of </w:t>
      </w:r>
      <w:r w:rsidRPr="00771CB8">
        <w:rPr>
          <w:color w:val="auto"/>
        </w:rPr>
        <w:t xml:space="preserve">cruise </w:t>
      </w:r>
      <w:r>
        <w:t xml:space="preserve">companies already have insurance, so the impact is expected to be low as there would be no change to most cruise companies. </w:t>
      </w:r>
    </w:p>
    <w:p w14:paraId="4954CCD5" w14:textId="77777777" w:rsidR="009054A7" w:rsidRPr="00027FEB" w:rsidRDefault="009054A7" w:rsidP="009054A7">
      <w:pPr>
        <w:jc w:val="left"/>
        <w:rPr>
          <w:color w:val="auto"/>
        </w:rPr>
      </w:pPr>
      <w:r>
        <w:rPr>
          <w:b/>
          <w:bCs/>
        </w:rPr>
        <w:t>Insurance limits:</w:t>
      </w:r>
      <w:r>
        <w:t xml:space="preserve"> Currently legislation allows cruise companies to choose whether to take out insurance or not </w:t>
      </w:r>
      <w:r w:rsidRPr="00B93548">
        <w:rPr>
          <w:color w:val="auto"/>
        </w:rPr>
        <w:t xml:space="preserve">and the limit to which they are insured. </w:t>
      </w:r>
      <w:r w:rsidRPr="00477233">
        <w:rPr>
          <w:color w:val="auto"/>
        </w:rPr>
        <w:t xml:space="preserve">Under Athens Convention, cruise companies must be insured for a minimum of 250,000 SDR (equivalent to 524,052 AUD) x ship passenger capacity (see section 6). For cruise companies which do not currently have insurance up to that limit, this would incur additional operating costs. Similarly, the strict liability limit per passenger and potential to increase damages awarded through absolute liability may also increase the amount cruise companies pay for their </w:t>
      </w:r>
      <w:r w:rsidRPr="00027FEB">
        <w:rPr>
          <w:color w:val="auto"/>
        </w:rPr>
        <w:t xml:space="preserve">insurance. The insurance limits required vary by option. </w:t>
      </w:r>
    </w:p>
    <w:p w14:paraId="5542E39D" w14:textId="622EE0B3" w:rsidR="009054A7" w:rsidRDefault="009054A7" w:rsidP="009054A7">
      <w:pPr>
        <w:jc w:val="left"/>
      </w:pPr>
      <w:r w:rsidRPr="00027FEB">
        <w:rPr>
          <w:color w:val="auto"/>
        </w:rPr>
        <w:t xml:space="preserve">It is likely that the increased cost of insurance will ultimately be passed onto </w:t>
      </w:r>
      <w:r>
        <w:t>passengers on the cruises through higher fares, increased prices for services on board or a reduction in quality to reduce costs</w:t>
      </w:r>
      <w:r w:rsidRPr="000C2DBB">
        <w:rPr>
          <w:color w:val="auto"/>
        </w:rPr>
        <w:t>, such as fewer staff on the ship. One estimate suggests that insurance fees are approximately 3% of the operating costs and correspondingly 3% of the ticket price</w:t>
      </w:r>
      <w:r w:rsidRPr="000C2DBB">
        <w:rPr>
          <w:rStyle w:val="FootnoteReference"/>
          <w:color w:val="auto"/>
        </w:rPr>
        <w:footnoteReference w:id="25"/>
      </w:r>
      <w:r>
        <w:t xml:space="preserve">. If the increase in insurance premium was passed onto passengers through higher fares, it is likely that this would be a small increase relative to the total fare and cost of the cruise. Therefore, most </w:t>
      </w:r>
      <w:r w:rsidRPr="00027FEB">
        <w:rPr>
          <w:color w:val="auto"/>
        </w:rPr>
        <w:t>passengers would be able to absorb the extra fare and it would not affect their decision to take the cruise.</w:t>
      </w:r>
      <w:r>
        <w:rPr>
          <w:color w:val="auto"/>
        </w:rPr>
        <w:t xml:space="preserve"> </w:t>
      </w:r>
      <w:r w:rsidRPr="00027FEB">
        <w:rPr>
          <w:color w:val="auto"/>
        </w:rPr>
        <w:t>Alternatively</w:t>
      </w:r>
      <w:r>
        <w:rPr>
          <w:color w:val="auto"/>
        </w:rPr>
        <w:t>,</w:t>
      </w:r>
      <w:r w:rsidRPr="00027FEB">
        <w:rPr>
          <w:color w:val="auto"/>
        </w:rPr>
        <w:t xml:space="preserve"> cruise companies may absorb the cost internally to maintain market competitiveness which would incur a greater cost</w:t>
      </w:r>
      <w:r>
        <w:rPr>
          <w:color w:val="auto"/>
        </w:rPr>
        <w:t xml:space="preserve"> to the cruise company</w:t>
      </w:r>
      <w:r w:rsidRPr="00027FEB">
        <w:rPr>
          <w:color w:val="auto"/>
        </w:rPr>
        <w:t xml:space="preserve"> initially. </w:t>
      </w:r>
    </w:p>
    <w:p w14:paraId="0222EEE2" w14:textId="77777777" w:rsidR="009054A7" w:rsidRDefault="009054A7" w:rsidP="009054A7">
      <w:pPr>
        <w:jc w:val="left"/>
      </w:pPr>
      <w:r>
        <w:t xml:space="preserve">Most large cruise ships are profit </w:t>
      </w:r>
      <w:r w:rsidRPr="00634E1D">
        <w:rPr>
          <w:color w:val="auto"/>
        </w:rPr>
        <w:t>making with evidence suggesting the average profit margin is between 4 and 14%</w:t>
      </w:r>
      <w:r w:rsidRPr="00634E1D">
        <w:rPr>
          <w:rStyle w:val="FootnoteReference"/>
          <w:color w:val="auto"/>
        </w:rPr>
        <w:footnoteReference w:id="26"/>
      </w:r>
      <w:r w:rsidRPr="00634E1D">
        <w:rPr>
          <w:color w:val="auto"/>
        </w:rPr>
        <w:t>. Royal Caribbean finance reports show an average of 15% profit over the past five years and Carnival has reported approximately 14% margin on its current performance</w:t>
      </w:r>
      <w:r w:rsidRPr="00634E1D">
        <w:rPr>
          <w:rStyle w:val="FootnoteReference"/>
          <w:color w:val="auto"/>
        </w:rPr>
        <w:footnoteReference w:id="27"/>
      </w:r>
      <w:r w:rsidRPr="00634E1D">
        <w:rPr>
          <w:color w:val="auto"/>
        </w:rPr>
        <w:t xml:space="preserve">. Therefore, there may be some scope for cruise companies to </w:t>
      </w:r>
      <w:r>
        <w:t xml:space="preserve">absorb some of the higher cost of insurance and pass some of the cost onto consumers through higher fares. </w:t>
      </w:r>
    </w:p>
    <w:p w14:paraId="1132F659" w14:textId="0000FCFA" w:rsidR="009054A7" w:rsidRDefault="009054A7" w:rsidP="009054A7">
      <w:pPr>
        <w:jc w:val="left"/>
      </w:pPr>
      <w:r>
        <w:rPr>
          <w:b/>
          <w:bCs/>
        </w:rPr>
        <w:t xml:space="preserve">Amount paid in claims: </w:t>
      </w:r>
      <w:r w:rsidRPr="00FF7D41">
        <w:t>Current legislation</w:t>
      </w:r>
      <w:r>
        <w:t xml:space="preserve"> places a limit in the total amount a ship can be expected to pay for one incident as 175,000 SDR x ship capacity. If only one person is affected by the incident, they are entitled to receive up to that full amount. However, as claims pass through Australian Consumer Law to decide the amount awarded, this limit has never been reached. Under Athens Convention, the</w:t>
      </w:r>
      <w:r w:rsidR="00FF284B">
        <w:t xml:space="preserve"> strict liability</w:t>
      </w:r>
      <w:r>
        <w:t xml:space="preserve"> limit is set per passenger at 250,000 SDR</w:t>
      </w:r>
      <w:r w:rsidR="006A35EA">
        <w:t xml:space="preserve">. </w:t>
      </w:r>
      <w:r w:rsidR="004D48B0">
        <w:t>If the loss exceeds the 250,000 SDR the liability limit can increase to 400,000</w:t>
      </w:r>
      <w:r w:rsidR="00F93576">
        <w:t> </w:t>
      </w:r>
      <w:r w:rsidR="004D48B0">
        <w:t>SDR u</w:t>
      </w:r>
      <w:r w:rsidR="006A35EA">
        <w:t xml:space="preserve">nless the carrier can prove the incident occurred without the fault or neglect of the carrier. There is also </w:t>
      </w:r>
      <w:r w:rsidR="00AF0FBA">
        <w:t>an option for the upper limit of 400,00</w:t>
      </w:r>
      <w:r w:rsidR="00F93576">
        <w:t xml:space="preserve">0 </w:t>
      </w:r>
      <w:r w:rsidR="00AF0FBA">
        <w:t>SDR to be increased or removed by State Parties</w:t>
      </w:r>
      <w:r>
        <w:t xml:space="preserve">. Under some circumstances, this would reduce the maximum payout a cruise company can be expected to pay. </w:t>
      </w:r>
    </w:p>
    <w:p w14:paraId="6B21682F" w14:textId="7CF65993" w:rsidR="009054A7" w:rsidRDefault="009054A7" w:rsidP="009054A7">
      <w:pPr>
        <w:jc w:val="left"/>
      </w:pPr>
      <w:r>
        <w:t xml:space="preserve">The table below shows some example scenarios and how much a cruise company would be required to pay in SDR under each. Under some instances, the maximum amount the cruise company could be required to pay is higher under Athens Convention compared to current LLMC regulations, whilst under others it is the reverse. The cruise company would benefit from reduced maximum payments in the incident when there is one serious injury or death, and the passenger affected is currently entitled to compensation equal to the ship’s full liability. The cruise company would benefit from Athens limits if up to 350 passengers are involved in a Tier 1 incident or 219 in a Tier 2 incident, on a 500-passenger ship. If more causalities are involved, the cruise company would be better off with the lower limits currently in place under LLMC. Given that serious incidents involving multiple passengers are rare, it is likely that the cruise company would benefit from the per passenger limits set under Athens Convention. This is shown in Figure </w:t>
      </w:r>
      <w:r w:rsidR="0036463E">
        <w:t>7</w:t>
      </w:r>
      <w:r>
        <w:t xml:space="preserve"> which presents the maximum amount a cruise company could be expected to payout under different numbers of casualties. </w:t>
      </w:r>
    </w:p>
    <w:p w14:paraId="7BA6B839" w14:textId="27BB1E5F" w:rsidR="009054A7" w:rsidRDefault="009054A7" w:rsidP="009054A7">
      <w:pPr>
        <w:shd w:val="clear" w:color="auto" w:fill="FFFFFF" w:themeFill="background1"/>
        <w:jc w:val="left"/>
      </w:pPr>
      <w:r>
        <w:t xml:space="preserve">There are currently no limits on the amount an individual passenger can receive as under LLMC, only the upper limit of the amount a cruise company can be expected to payout is fixed. </w:t>
      </w:r>
      <w:r w:rsidR="004B0B7D">
        <w:t xml:space="preserve">Any limits would be determined by </w:t>
      </w:r>
      <w:r w:rsidR="00C7794F">
        <w:t xml:space="preserve">jurisdictional court determinations. </w:t>
      </w:r>
      <w:r>
        <w:t xml:space="preserve">Therefore, whilst differences in the maximum amount payable can be considered, it is difficult to assess the impact of </w:t>
      </w:r>
      <w:r w:rsidR="0099109C">
        <w:t xml:space="preserve">acceding </w:t>
      </w:r>
      <w:r>
        <w:t xml:space="preserve">to </w:t>
      </w:r>
      <w:r w:rsidR="008C076D">
        <w:t xml:space="preserve">the </w:t>
      </w:r>
      <w:r>
        <w:t xml:space="preserve">Athens </w:t>
      </w:r>
      <w:r w:rsidR="008C076D">
        <w:t xml:space="preserve">Convention </w:t>
      </w:r>
      <w:r>
        <w:t xml:space="preserve">without knowing the amounts currently awarded. </w:t>
      </w:r>
    </w:p>
    <w:p w14:paraId="197F47E9" w14:textId="4F231A0B" w:rsidR="009054A7" w:rsidRPr="00B803DF" w:rsidRDefault="009054A7" w:rsidP="00B803DF">
      <w:pPr>
        <w:shd w:val="clear" w:color="auto" w:fill="FFFFFF" w:themeFill="background1"/>
        <w:jc w:val="center"/>
        <w:rPr>
          <w:i/>
          <w:sz w:val="18"/>
        </w:rPr>
      </w:pPr>
      <w:r>
        <w:rPr>
          <w:noProof/>
        </w:rPr>
        <w:drawing>
          <wp:inline distT="0" distB="0" distL="0" distR="0" wp14:anchorId="5E33C80F" wp14:editId="6CF8F24D">
            <wp:extent cx="5581650" cy="2286000"/>
            <wp:effectExtent l="0" t="0" r="0" b="0"/>
            <wp:docPr id="23" name="Chart 23">
              <a:extLst xmlns:a="http://schemas.openxmlformats.org/drawingml/2006/main">
                <a:ext uri="{FF2B5EF4-FFF2-40B4-BE49-F238E27FC236}">
                  <a16:creationId xmlns:a16="http://schemas.microsoft.com/office/drawing/2014/main" id="{D194A3A2-3F95-4BDC-BF63-4E9E4CE50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123" w:name="_Toc36555129"/>
      <w:bookmarkStart w:id="124" w:name="_Toc36567879"/>
      <w:r w:rsidRPr="00B803DF">
        <w:rPr>
          <w:i/>
          <w:sz w:val="18"/>
        </w:rPr>
        <w:t xml:space="preserve">Figure </w:t>
      </w:r>
      <w:r w:rsidR="00B435A7" w:rsidRPr="00B803DF">
        <w:rPr>
          <w:i/>
          <w:noProof/>
          <w:sz w:val="18"/>
        </w:rPr>
        <w:fldChar w:fldCharType="begin"/>
      </w:r>
      <w:r w:rsidR="00B435A7" w:rsidRPr="00B803DF">
        <w:rPr>
          <w:i/>
          <w:noProof/>
          <w:sz w:val="18"/>
        </w:rPr>
        <w:instrText xml:space="preserve"> SEQ Figure \* ARABIC </w:instrText>
      </w:r>
      <w:r w:rsidR="00B435A7" w:rsidRPr="00B803DF">
        <w:rPr>
          <w:i/>
          <w:noProof/>
          <w:sz w:val="18"/>
        </w:rPr>
        <w:fldChar w:fldCharType="separate"/>
      </w:r>
      <w:r w:rsidR="005F3529" w:rsidRPr="00B803DF">
        <w:rPr>
          <w:i/>
          <w:noProof/>
          <w:sz w:val="18"/>
        </w:rPr>
        <w:t>7</w:t>
      </w:r>
      <w:r w:rsidR="00B435A7" w:rsidRPr="00B803DF">
        <w:rPr>
          <w:i/>
          <w:noProof/>
          <w:sz w:val="18"/>
        </w:rPr>
        <w:fldChar w:fldCharType="end"/>
      </w:r>
      <w:r w:rsidR="00E319C3" w:rsidRPr="00B803DF">
        <w:rPr>
          <w:i/>
          <w:noProof/>
          <w:sz w:val="18"/>
        </w:rPr>
        <w:t>:</w:t>
      </w:r>
      <w:r w:rsidRPr="00B803DF">
        <w:rPr>
          <w:i/>
          <w:sz w:val="18"/>
        </w:rPr>
        <w:t xml:space="preserve"> </w:t>
      </w:r>
      <w:r w:rsidR="004F7F0D" w:rsidRPr="00B803DF">
        <w:rPr>
          <w:i/>
          <w:sz w:val="18"/>
        </w:rPr>
        <w:t>M</w:t>
      </w:r>
      <w:r w:rsidRPr="00B803DF">
        <w:rPr>
          <w:i/>
          <w:sz w:val="18"/>
        </w:rPr>
        <w:t>aximum liability against a sliding scale of casualty numbers based on LLMC and Athens limits</w:t>
      </w:r>
      <w:bookmarkEnd w:id="123"/>
      <w:bookmarkEnd w:id="124"/>
    </w:p>
    <w:p w14:paraId="02F7B2C1" w14:textId="76ECA8EC" w:rsidR="009054A7" w:rsidRPr="00E22EB1" w:rsidRDefault="009054A7" w:rsidP="00027F78">
      <w:pPr>
        <w:pStyle w:val="Caption"/>
        <w:rPr>
          <w:b/>
        </w:rPr>
      </w:pPr>
      <w:bookmarkStart w:id="125" w:name="_Toc36560352"/>
      <w:r>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5</w:t>
      </w:r>
      <w:r w:rsidR="00B435A7">
        <w:rPr>
          <w:noProof/>
        </w:rPr>
        <w:fldChar w:fldCharType="end"/>
      </w:r>
      <w:r w:rsidR="00027F78">
        <w:t>:</w:t>
      </w:r>
      <w:r>
        <w:t xml:space="preserve"> </w:t>
      </w:r>
      <w:r w:rsidRPr="005B224E">
        <w:t>Maximum amount paid by cruise ship under different scenarios (SDR values)</w:t>
      </w:r>
      <w:bookmarkEnd w:id="125"/>
    </w:p>
    <w:tbl>
      <w:tblPr>
        <w:tblStyle w:val="GridTable1Light-Accent1"/>
        <w:tblW w:w="8789" w:type="dxa"/>
        <w:tblLayout w:type="fixed"/>
        <w:tblLook w:val="04A0" w:firstRow="1" w:lastRow="0" w:firstColumn="1" w:lastColumn="0" w:noHBand="0" w:noVBand="1"/>
      </w:tblPr>
      <w:tblGrid>
        <w:gridCol w:w="911"/>
        <w:gridCol w:w="1216"/>
        <w:gridCol w:w="1276"/>
        <w:gridCol w:w="1276"/>
        <w:gridCol w:w="1275"/>
        <w:gridCol w:w="1418"/>
        <w:gridCol w:w="1417"/>
      </w:tblGrid>
      <w:tr w:rsidR="009054A7" w:rsidRPr="000D3AED" w14:paraId="1D99C3AD" w14:textId="77777777" w:rsidTr="000702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gridSpan w:val="2"/>
            <w:hideMark/>
          </w:tcPr>
          <w:p w14:paraId="73915773" w14:textId="77777777" w:rsidR="009054A7" w:rsidRPr="00CB4501" w:rsidRDefault="009054A7" w:rsidP="0069386C">
            <w:pPr>
              <w:shd w:val="clear" w:color="auto" w:fill="FFFFFF" w:themeFill="background1"/>
              <w:jc w:val="center"/>
              <w:rPr>
                <w:b w:val="0"/>
                <w:bCs w:val="0"/>
              </w:rPr>
            </w:pPr>
            <w:r w:rsidRPr="00CB4501">
              <w:rPr>
                <w:b w:val="0"/>
                <w:bCs w:val="0"/>
              </w:rPr>
              <w:t>Scenario</w:t>
            </w:r>
          </w:p>
        </w:tc>
        <w:tc>
          <w:tcPr>
            <w:tcW w:w="1276" w:type="dxa"/>
            <w:hideMark/>
          </w:tcPr>
          <w:p w14:paraId="29D4BF9B" w14:textId="77777777" w:rsidR="009054A7" w:rsidRPr="00CB4501" w:rsidRDefault="009054A7" w:rsidP="0069386C">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b w:val="0"/>
                <w:bCs w:val="0"/>
              </w:rPr>
            </w:pPr>
            <w:r w:rsidRPr="00CB4501">
              <w:rPr>
                <w:b w:val="0"/>
                <w:bCs w:val="0"/>
              </w:rPr>
              <w:t>LLMC</w:t>
            </w:r>
          </w:p>
        </w:tc>
        <w:tc>
          <w:tcPr>
            <w:tcW w:w="2551" w:type="dxa"/>
            <w:gridSpan w:val="2"/>
            <w:hideMark/>
          </w:tcPr>
          <w:p w14:paraId="61C76C35" w14:textId="77777777" w:rsidR="009054A7" w:rsidRPr="00CB4501" w:rsidRDefault="009054A7" w:rsidP="0069386C">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b w:val="0"/>
                <w:bCs w:val="0"/>
              </w:rPr>
            </w:pPr>
            <w:r w:rsidRPr="00CB4501">
              <w:rPr>
                <w:b w:val="0"/>
                <w:bCs w:val="0"/>
              </w:rPr>
              <w:t>Athens</w:t>
            </w:r>
          </w:p>
        </w:tc>
        <w:tc>
          <w:tcPr>
            <w:tcW w:w="2835" w:type="dxa"/>
            <w:gridSpan w:val="2"/>
            <w:hideMark/>
          </w:tcPr>
          <w:p w14:paraId="3A8F115C" w14:textId="77777777" w:rsidR="009054A7" w:rsidRPr="00CB4501" w:rsidRDefault="009054A7" w:rsidP="0069386C">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b w:val="0"/>
                <w:bCs w:val="0"/>
              </w:rPr>
            </w:pPr>
            <w:r w:rsidRPr="00CB4501">
              <w:rPr>
                <w:b w:val="0"/>
                <w:bCs w:val="0"/>
              </w:rPr>
              <w:t>Difference</w:t>
            </w:r>
          </w:p>
        </w:tc>
      </w:tr>
      <w:tr w:rsidR="0031125A" w:rsidRPr="000D3AED" w14:paraId="547EE649" w14:textId="77777777" w:rsidTr="000702B5">
        <w:trPr>
          <w:trHeight w:val="790"/>
        </w:trPr>
        <w:tc>
          <w:tcPr>
            <w:cnfStyle w:val="001000000000" w:firstRow="0" w:lastRow="0" w:firstColumn="1" w:lastColumn="0" w:oddVBand="0" w:evenVBand="0" w:oddHBand="0" w:evenHBand="0" w:firstRowFirstColumn="0" w:firstRowLastColumn="0" w:lastRowFirstColumn="0" w:lastRowLastColumn="0"/>
            <w:tcW w:w="911" w:type="dxa"/>
            <w:hideMark/>
          </w:tcPr>
          <w:p w14:paraId="2EF481BD" w14:textId="77777777" w:rsidR="009054A7" w:rsidRPr="000702B5" w:rsidRDefault="009054A7" w:rsidP="0069386C">
            <w:pPr>
              <w:shd w:val="clear" w:color="auto" w:fill="FFFFFF" w:themeFill="background1"/>
              <w:rPr>
                <w:b w:val="0"/>
                <w:bCs w:val="0"/>
                <w:i/>
                <w:iCs/>
              </w:rPr>
            </w:pPr>
            <w:r w:rsidRPr="000702B5">
              <w:rPr>
                <w:b w:val="0"/>
                <w:bCs w:val="0"/>
                <w:i/>
                <w:iCs/>
              </w:rPr>
              <w:t>Ship size</w:t>
            </w:r>
          </w:p>
        </w:tc>
        <w:tc>
          <w:tcPr>
            <w:tcW w:w="1216" w:type="dxa"/>
            <w:hideMark/>
          </w:tcPr>
          <w:p w14:paraId="75220AD8" w14:textId="77777777" w:rsidR="009054A7" w:rsidRPr="000702B5" w:rsidRDefault="009054A7" w:rsidP="0069386C">
            <w:pPr>
              <w:shd w:val="clear" w:color="auto" w:fill="FFFFFF" w:themeFill="background1"/>
              <w:cnfStyle w:val="000000000000" w:firstRow="0" w:lastRow="0" w:firstColumn="0" w:lastColumn="0" w:oddVBand="0" w:evenVBand="0" w:oddHBand="0" w:evenHBand="0" w:firstRowFirstColumn="0" w:firstRowLastColumn="0" w:lastRowFirstColumn="0" w:lastRowLastColumn="0"/>
              <w:rPr>
                <w:b/>
                <w:bCs/>
                <w:i/>
                <w:iCs/>
              </w:rPr>
            </w:pPr>
            <w:r w:rsidRPr="000702B5">
              <w:rPr>
                <w:b/>
                <w:bCs/>
                <w:i/>
                <w:iCs/>
              </w:rPr>
              <w:t>Number claimants</w:t>
            </w:r>
          </w:p>
        </w:tc>
        <w:tc>
          <w:tcPr>
            <w:tcW w:w="1276" w:type="dxa"/>
            <w:hideMark/>
          </w:tcPr>
          <w:p w14:paraId="360702D8" w14:textId="77777777" w:rsidR="009054A7" w:rsidRPr="000702B5" w:rsidRDefault="009054A7" w:rsidP="0069386C">
            <w:pPr>
              <w:shd w:val="clear" w:color="auto" w:fill="FFFFFF" w:themeFill="background1"/>
              <w:cnfStyle w:val="000000000000" w:firstRow="0" w:lastRow="0" w:firstColumn="0" w:lastColumn="0" w:oddVBand="0" w:evenVBand="0" w:oddHBand="0" w:evenHBand="0" w:firstRowFirstColumn="0" w:firstRowLastColumn="0" w:lastRowFirstColumn="0" w:lastRowLastColumn="0"/>
              <w:rPr>
                <w:b/>
                <w:bCs/>
              </w:rPr>
            </w:pPr>
            <w:r w:rsidRPr="000702B5">
              <w:rPr>
                <w:b/>
                <w:bCs/>
              </w:rPr>
              <w:t>175,000 x ship capacity</w:t>
            </w:r>
          </w:p>
        </w:tc>
        <w:tc>
          <w:tcPr>
            <w:tcW w:w="1276" w:type="dxa"/>
            <w:hideMark/>
          </w:tcPr>
          <w:p w14:paraId="4604F468" w14:textId="77777777" w:rsidR="009054A7" w:rsidRPr="000702B5" w:rsidRDefault="009054A7" w:rsidP="0069386C">
            <w:pPr>
              <w:shd w:val="clear" w:color="auto" w:fill="FFFFFF" w:themeFill="background1"/>
              <w:cnfStyle w:val="000000000000" w:firstRow="0" w:lastRow="0" w:firstColumn="0" w:lastColumn="0" w:oddVBand="0" w:evenVBand="0" w:oddHBand="0" w:evenHBand="0" w:firstRowFirstColumn="0" w:firstRowLastColumn="0" w:lastRowFirstColumn="0" w:lastRowLastColumn="0"/>
              <w:rPr>
                <w:b/>
                <w:bCs/>
              </w:rPr>
            </w:pPr>
            <w:r w:rsidRPr="000702B5">
              <w:rPr>
                <w:b/>
                <w:bCs/>
              </w:rPr>
              <w:t xml:space="preserve">250,000 </w:t>
            </w:r>
          </w:p>
          <w:p w14:paraId="47210EC0" w14:textId="77777777" w:rsidR="009054A7" w:rsidRPr="000702B5" w:rsidRDefault="009054A7" w:rsidP="0069386C">
            <w:pPr>
              <w:shd w:val="clear" w:color="auto" w:fill="FFFFFF" w:themeFill="background1"/>
              <w:cnfStyle w:val="000000000000" w:firstRow="0" w:lastRow="0" w:firstColumn="0" w:lastColumn="0" w:oddVBand="0" w:evenVBand="0" w:oddHBand="0" w:evenHBand="0" w:firstRowFirstColumn="0" w:firstRowLastColumn="0" w:lastRowFirstColumn="0" w:lastRowLastColumn="0"/>
              <w:rPr>
                <w:b/>
                <w:bCs/>
              </w:rPr>
            </w:pPr>
            <w:r w:rsidRPr="000702B5">
              <w:rPr>
                <w:b/>
                <w:bCs/>
              </w:rPr>
              <w:t>Tier 1</w:t>
            </w:r>
          </w:p>
        </w:tc>
        <w:tc>
          <w:tcPr>
            <w:tcW w:w="1275" w:type="dxa"/>
            <w:hideMark/>
          </w:tcPr>
          <w:p w14:paraId="5A3FB4D7" w14:textId="77777777" w:rsidR="009054A7" w:rsidRPr="000702B5" w:rsidRDefault="009054A7" w:rsidP="0069386C">
            <w:pPr>
              <w:shd w:val="clear" w:color="auto" w:fill="FFFFFF" w:themeFill="background1"/>
              <w:cnfStyle w:val="000000000000" w:firstRow="0" w:lastRow="0" w:firstColumn="0" w:lastColumn="0" w:oddVBand="0" w:evenVBand="0" w:oddHBand="0" w:evenHBand="0" w:firstRowFirstColumn="0" w:firstRowLastColumn="0" w:lastRowFirstColumn="0" w:lastRowLastColumn="0"/>
              <w:rPr>
                <w:b/>
                <w:bCs/>
              </w:rPr>
            </w:pPr>
            <w:r w:rsidRPr="000702B5">
              <w:rPr>
                <w:b/>
                <w:bCs/>
              </w:rPr>
              <w:t xml:space="preserve">400,000 </w:t>
            </w:r>
          </w:p>
          <w:p w14:paraId="590974D2" w14:textId="77777777" w:rsidR="009054A7" w:rsidRPr="000702B5" w:rsidRDefault="009054A7" w:rsidP="0069386C">
            <w:pPr>
              <w:shd w:val="clear" w:color="auto" w:fill="FFFFFF" w:themeFill="background1"/>
              <w:cnfStyle w:val="000000000000" w:firstRow="0" w:lastRow="0" w:firstColumn="0" w:lastColumn="0" w:oddVBand="0" w:evenVBand="0" w:oddHBand="0" w:evenHBand="0" w:firstRowFirstColumn="0" w:firstRowLastColumn="0" w:lastRowFirstColumn="0" w:lastRowLastColumn="0"/>
              <w:rPr>
                <w:b/>
                <w:bCs/>
              </w:rPr>
            </w:pPr>
            <w:r w:rsidRPr="000702B5">
              <w:rPr>
                <w:b/>
                <w:bCs/>
              </w:rPr>
              <w:t>Tier 2</w:t>
            </w:r>
          </w:p>
        </w:tc>
        <w:tc>
          <w:tcPr>
            <w:tcW w:w="1418" w:type="dxa"/>
            <w:hideMark/>
          </w:tcPr>
          <w:p w14:paraId="5AD37886" w14:textId="77777777" w:rsidR="009054A7" w:rsidRPr="000702B5" w:rsidRDefault="009054A7" w:rsidP="0069386C">
            <w:pPr>
              <w:shd w:val="clear" w:color="auto" w:fill="FFFFFF" w:themeFill="background1"/>
              <w:cnfStyle w:val="000000000000" w:firstRow="0" w:lastRow="0" w:firstColumn="0" w:lastColumn="0" w:oddVBand="0" w:evenVBand="0" w:oddHBand="0" w:evenHBand="0" w:firstRowFirstColumn="0" w:firstRowLastColumn="0" w:lastRowFirstColumn="0" w:lastRowLastColumn="0"/>
              <w:rPr>
                <w:b/>
                <w:bCs/>
              </w:rPr>
            </w:pPr>
            <w:r w:rsidRPr="000702B5">
              <w:rPr>
                <w:b/>
                <w:bCs/>
              </w:rPr>
              <w:t>Tier 1</w:t>
            </w:r>
          </w:p>
        </w:tc>
        <w:tc>
          <w:tcPr>
            <w:tcW w:w="1417" w:type="dxa"/>
            <w:hideMark/>
          </w:tcPr>
          <w:p w14:paraId="7DC39D85" w14:textId="77777777" w:rsidR="009054A7" w:rsidRPr="000702B5" w:rsidRDefault="009054A7" w:rsidP="0069386C">
            <w:pPr>
              <w:shd w:val="clear" w:color="auto" w:fill="FFFFFF" w:themeFill="background1"/>
              <w:cnfStyle w:val="000000000000" w:firstRow="0" w:lastRow="0" w:firstColumn="0" w:lastColumn="0" w:oddVBand="0" w:evenVBand="0" w:oddHBand="0" w:evenHBand="0" w:firstRowFirstColumn="0" w:firstRowLastColumn="0" w:lastRowFirstColumn="0" w:lastRowLastColumn="0"/>
              <w:rPr>
                <w:b/>
                <w:bCs/>
              </w:rPr>
            </w:pPr>
            <w:r w:rsidRPr="000702B5">
              <w:rPr>
                <w:b/>
                <w:bCs/>
              </w:rPr>
              <w:t>Tier 2</w:t>
            </w:r>
          </w:p>
        </w:tc>
      </w:tr>
      <w:tr w:rsidR="0031125A" w:rsidRPr="000D3AED" w14:paraId="30D94862" w14:textId="77777777" w:rsidTr="000702B5">
        <w:trPr>
          <w:trHeight w:val="300"/>
        </w:trPr>
        <w:tc>
          <w:tcPr>
            <w:cnfStyle w:val="001000000000" w:firstRow="0" w:lastRow="0" w:firstColumn="1" w:lastColumn="0" w:oddVBand="0" w:evenVBand="0" w:oddHBand="0" w:evenHBand="0" w:firstRowFirstColumn="0" w:firstRowLastColumn="0" w:lastRowFirstColumn="0" w:lastRowLastColumn="0"/>
            <w:tcW w:w="911" w:type="dxa"/>
            <w:hideMark/>
          </w:tcPr>
          <w:p w14:paraId="235558CF" w14:textId="77777777" w:rsidR="009054A7" w:rsidRPr="000702B5" w:rsidRDefault="009054A7" w:rsidP="0069386C">
            <w:pPr>
              <w:shd w:val="clear" w:color="auto" w:fill="FFFFFF" w:themeFill="background1"/>
            </w:pPr>
            <w:r w:rsidRPr="000702B5">
              <w:t>500</w:t>
            </w:r>
          </w:p>
        </w:tc>
        <w:tc>
          <w:tcPr>
            <w:tcW w:w="1216" w:type="dxa"/>
            <w:hideMark/>
          </w:tcPr>
          <w:p w14:paraId="1C3CD252" w14:textId="77777777"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1 injury</w:t>
            </w:r>
          </w:p>
        </w:tc>
        <w:tc>
          <w:tcPr>
            <w:tcW w:w="1276" w:type="dxa"/>
            <w:hideMark/>
          </w:tcPr>
          <w:p w14:paraId="645D5473" w14:textId="6760C07A"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87,500,000</w:t>
            </w:r>
          </w:p>
        </w:tc>
        <w:tc>
          <w:tcPr>
            <w:tcW w:w="1276" w:type="dxa"/>
            <w:hideMark/>
          </w:tcPr>
          <w:p w14:paraId="6B7DB69C" w14:textId="706F4AAC"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250,000</w:t>
            </w:r>
          </w:p>
        </w:tc>
        <w:tc>
          <w:tcPr>
            <w:tcW w:w="1275" w:type="dxa"/>
            <w:hideMark/>
          </w:tcPr>
          <w:p w14:paraId="50D38205" w14:textId="78909607"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400,000</w:t>
            </w:r>
          </w:p>
        </w:tc>
        <w:tc>
          <w:tcPr>
            <w:tcW w:w="1418" w:type="dxa"/>
          </w:tcPr>
          <w:p w14:paraId="5D2FE3B0" w14:textId="5DD879F6"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  87,250,000</w:t>
            </w:r>
          </w:p>
        </w:tc>
        <w:tc>
          <w:tcPr>
            <w:tcW w:w="1417" w:type="dxa"/>
          </w:tcPr>
          <w:p w14:paraId="113ECA08" w14:textId="77777777"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-87,100,000</w:t>
            </w:r>
          </w:p>
        </w:tc>
      </w:tr>
      <w:tr w:rsidR="0031125A" w:rsidRPr="000D3AED" w14:paraId="03D5FA10" w14:textId="77777777" w:rsidTr="000702B5">
        <w:trPr>
          <w:trHeight w:val="300"/>
        </w:trPr>
        <w:tc>
          <w:tcPr>
            <w:cnfStyle w:val="001000000000" w:firstRow="0" w:lastRow="0" w:firstColumn="1" w:lastColumn="0" w:oddVBand="0" w:evenVBand="0" w:oddHBand="0" w:evenHBand="0" w:firstRowFirstColumn="0" w:firstRowLastColumn="0" w:lastRowFirstColumn="0" w:lastRowLastColumn="0"/>
            <w:tcW w:w="911" w:type="dxa"/>
          </w:tcPr>
          <w:p w14:paraId="1ABAA947" w14:textId="77777777" w:rsidR="009054A7" w:rsidRPr="000702B5" w:rsidRDefault="009054A7" w:rsidP="0069386C">
            <w:pPr>
              <w:shd w:val="clear" w:color="auto" w:fill="FFFFFF" w:themeFill="background1"/>
            </w:pPr>
            <w:r w:rsidRPr="000702B5">
              <w:t>500</w:t>
            </w:r>
          </w:p>
        </w:tc>
        <w:tc>
          <w:tcPr>
            <w:tcW w:w="1216" w:type="dxa"/>
          </w:tcPr>
          <w:p w14:paraId="05FCBBD3" w14:textId="77777777"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500 injuries</w:t>
            </w:r>
          </w:p>
        </w:tc>
        <w:tc>
          <w:tcPr>
            <w:tcW w:w="1276" w:type="dxa"/>
          </w:tcPr>
          <w:p w14:paraId="4BBE3584" w14:textId="252FB834"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87,500,000</w:t>
            </w:r>
          </w:p>
        </w:tc>
        <w:tc>
          <w:tcPr>
            <w:tcW w:w="1276" w:type="dxa"/>
          </w:tcPr>
          <w:p w14:paraId="5B17D4B4" w14:textId="33E04B2E"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125,000,000</w:t>
            </w:r>
          </w:p>
        </w:tc>
        <w:tc>
          <w:tcPr>
            <w:tcW w:w="1275" w:type="dxa"/>
          </w:tcPr>
          <w:p w14:paraId="3C47EFBB" w14:textId="262CE535"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200,000,000</w:t>
            </w:r>
          </w:p>
        </w:tc>
        <w:tc>
          <w:tcPr>
            <w:tcW w:w="1418" w:type="dxa"/>
          </w:tcPr>
          <w:p w14:paraId="2EC4B9D1" w14:textId="7F78C8C0"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37,500,000</w:t>
            </w:r>
          </w:p>
        </w:tc>
        <w:tc>
          <w:tcPr>
            <w:tcW w:w="1417" w:type="dxa"/>
          </w:tcPr>
          <w:p w14:paraId="4C195B72" w14:textId="277D6B5A"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112,500,000</w:t>
            </w:r>
          </w:p>
        </w:tc>
      </w:tr>
      <w:tr w:rsidR="0031125A" w:rsidRPr="000D3AED" w14:paraId="58B98ED4" w14:textId="77777777" w:rsidTr="000702B5">
        <w:trPr>
          <w:trHeight w:val="300"/>
        </w:trPr>
        <w:tc>
          <w:tcPr>
            <w:cnfStyle w:val="001000000000" w:firstRow="0" w:lastRow="0" w:firstColumn="1" w:lastColumn="0" w:oddVBand="0" w:evenVBand="0" w:oddHBand="0" w:evenHBand="0" w:firstRowFirstColumn="0" w:firstRowLastColumn="0" w:lastRowFirstColumn="0" w:lastRowLastColumn="0"/>
            <w:tcW w:w="911" w:type="dxa"/>
            <w:hideMark/>
          </w:tcPr>
          <w:p w14:paraId="42E6DC87" w14:textId="77777777" w:rsidR="009054A7" w:rsidRPr="000702B5" w:rsidRDefault="009054A7" w:rsidP="0069386C">
            <w:pPr>
              <w:shd w:val="clear" w:color="auto" w:fill="FFFFFF" w:themeFill="background1"/>
            </w:pPr>
            <w:r w:rsidRPr="000702B5">
              <w:t>500</w:t>
            </w:r>
          </w:p>
        </w:tc>
        <w:tc>
          <w:tcPr>
            <w:tcW w:w="1216" w:type="dxa"/>
            <w:hideMark/>
          </w:tcPr>
          <w:p w14:paraId="2DA70109" w14:textId="77777777"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1 death</w:t>
            </w:r>
          </w:p>
        </w:tc>
        <w:tc>
          <w:tcPr>
            <w:tcW w:w="1276" w:type="dxa"/>
            <w:hideMark/>
          </w:tcPr>
          <w:p w14:paraId="7ADF6F83" w14:textId="4A114466"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87,500,000</w:t>
            </w:r>
          </w:p>
        </w:tc>
        <w:tc>
          <w:tcPr>
            <w:tcW w:w="1276" w:type="dxa"/>
            <w:hideMark/>
          </w:tcPr>
          <w:p w14:paraId="68C5EC19" w14:textId="45B42FAA"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250,000</w:t>
            </w:r>
          </w:p>
        </w:tc>
        <w:tc>
          <w:tcPr>
            <w:tcW w:w="1275" w:type="dxa"/>
            <w:hideMark/>
          </w:tcPr>
          <w:p w14:paraId="0BFF7080" w14:textId="78D6010A"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400,000</w:t>
            </w:r>
          </w:p>
        </w:tc>
        <w:tc>
          <w:tcPr>
            <w:tcW w:w="1418" w:type="dxa"/>
            <w:hideMark/>
          </w:tcPr>
          <w:p w14:paraId="618B83D0" w14:textId="44F2C6BB"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  87,250,000</w:t>
            </w:r>
          </w:p>
        </w:tc>
        <w:tc>
          <w:tcPr>
            <w:tcW w:w="1417" w:type="dxa"/>
            <w:hideMark/>
          </w:tcPr>
          <w:p w14:paraId="404CADEF" w14:textId="30BED591"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  87,100,000</w:t>
            </w:r>
          </w:p>
        </w:tc>
      </w:tr>
      <w:tr w:rsidR="0031125A" w:rsidRPr="000D3AED" w14:paraId="4BF9C237" w14:textId="77777777" w:rsidTr="000702B5">
        <w:trPr>
          <w:trHeight w:val="90"/>
        </w:trPr>
        <w:tc>
          <w:tcPr>
            <w:cnfStyle w:val="001000000000" w:firstRow="0" w:lastRow="0" w:firstColumn="1" w:lastColumn="0" w:oddVBand="0" w:evenVBand="0" w:oddHBand="0" w:evenHBand="0" w:firstRowFirstColumn="0" w:firstRowLastColumn="0" w:lastRowFirstColumn="0" w:lastRowLastColumn="0"/>
            <w:tcW w:w="911" w:type="dxa"/>
            <w:hideMark/>
          </w:tcPr>
          <w:p w14:paraId="61A92F29" w14:textId="77777777" w:rsidR="009054A7" w:rsidRPr="000702B5" w:rsidRDefault="009054A7" w:rsidP="0069386C">
            <w:pPr>
              <w:shd w:val="clear" w:color="auto" w:fill="FFFFFF" w:themeFill="background1"/>
            </w:pPr>
            <w:r w:rsidRPr="000702B5">
              <w:t>500</w:t>
            </w:r>
          </w:p>
        </w:tc>
        <w:tc>
          <w:tcPr>
            <w:tcW w:w="1216" w:type="dxa"/>
            <w:hideMark/>
          </w:tcPr>
          <w:p w14:paraId="3283110F" w14:textId="77777777"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5 deaths</w:t>
            </w:r>
          </w:p>
        </w:tc>
        <w:tc>
          <w:tcPr>
            <w:tcW w:w="1276" w:type="dxa"/>
            <w:hideMark/>
          </w:tcPr>
          <w:p w14:paraId="69324C21" w14:textId="2AE44FF7"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87,500,000</w:t>
            </w:r>
          </w:p>
        </w:tc>
        <w:tc>
          <w:tcPr>
            <w:tcW w:w="1276" w:type="dxa"/>
            <w:hideMark/>
          </w:tcPr>
          <w:p w14:paraId="499F8C78" w14:textId="0DFC75BA"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1,250,000</w:t>
            </w:r>
          </w:p>
        </w:tc>
        <w:tc>
          <w:tcPr>
            <w:tcW w:w="1275" w:type="dxa"/>
            <w:hideMark/>
          </w:tcPr>
          <w:p w14:paraId="08DCA273" w14:textId="25F210A6"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2,000,000</w:t>
            </w:r>
          </w:p>
        </w:tc>
        <w:tc>
          <w:tcPr>
            <w:tcW w:w="1418" w:type="dxa"/>
            <w:hideMark/>
          </w:tcPr>
          <w:p w14:paraId="1350DADD" w14:textId="527568A6"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  86,250,000</w:t>
            </w:r>
          </w:p>
        </w:tc>
        <w:tc>
          <w:tcPr>
            <w:tcW w:w="1417" w:type="dxa"/>
            <w:hideMark/>
          </w:tcPr>
          <w:p w14:paraId="1FE915E5" w14:textId="7D3C98EB"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  85,500,000</w:t>
            </w:r>
          </w:p>
        </w:tc>
      </w:tr>
      <w:tr w:rsidR="0031125A" w:rsidRPr="000D3AED" w14:paraId="69893E03" w14:textId="77777777" w:rsidTr="000702B5">
        <w:trPr>
          <w:trHeight w:val="300"/>
        </w:trPr>
        <w:tc>
          <w:tcPr>
            <w:cnfStyle w:val="001000000000" w:firstRow="0" w:lastRow="0" w:firstColumn="1" w:lastColumn="0" w:oddVBand="0" w:evenVBand="0" w:oddHBand="0" w:evenHBand="0" w:firstRowFirstColumn="0" w:firstRowLastColumn="0" w:lastRowFirstColumn="0" w:lastRowLastColumn="0"/>
            <w:tcW w:w="911" w:type="dxa"/>
            <w:hideMark/>
          </w:tcPr>
          <w:p w14:paraId="479C9185" w14:textId="77777777" w:rsidR="009054A7" w:rsidRPr="000702B5" w:rsidRDefault="009054A7" w:rsidP="0069386C">
            <w:pPr>
              <w:shd w:val="clear" w:color="auto" w:fill="FFFFFF" w:themeFill="background1"/>
            </w:pPr>
            <w:r w:rsidRPr="000702B5">
              <w:t>1000</w:t>
            </w:r>
          </w:p>
        </w:tc>
        <w:tc>
          <w:tcPr>
            <w:tcW w:w="1216" w:type="dxa"/>
            <w:hideMark/>
          </w:tcPr>
          <w:p w14:paraId="5C87777A" w14:textId="77777777"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 xml:space="preserve">1 death </w:t>
            </w:r>
          </w:p>
        </w:tc>
        <w:tc>
          <w:tcPr>
            <w:tcW w:w="1276" w:type="dxa"/>
            <w:hideMark/>
          </w:tcPr>
          <w:p w14:paraId="53FF6D31" w14:textId="1CA4CBD7"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175,000,000</w:t>
            </w:r>
          </w:p>
        </w:tc>
        <w:tc>
          <w:tcPr>
            <w:tcW w:w="1276" w:type="dxa"/>
            <w:hideMark/>
          </w:tcPr>
          <w:p w14:paraId="090CE3E5" w14:textId="41C405DC"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250,000</w:t>
            </w:r>
          </w:p>
        </w:tc>
        <w:tc>
          <w:tcPr>
            <w:tcW w:w="1275" w:type="dxa"/>
            <w:hideMark/>
          </w:tcPr>
          <w:p w14:paraId="4E8F7BAB" w14:textId="5F9B8B6C"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400,000</w:t>
            </w:r>
          </w:p>
        </w:tc>
        <w:tc>
          <w:tcPr>
            <w:tcW w:w="1418" w:type="dxa"/>
            <w:hideMark/>
          </w:tcPr>
          <w:p w14:paraId="718820CA" w14:textId="6D408DC4"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pPr>
            <w:r w:rsidRPr="000702B5">
              <w:t>-174,750,000</w:t>
            </w:r>
          </w:p>
        </w:tc>
        <w:tc>
          <w:tcPr>
            <w:tcW w:w="1417" w:type="dxa"/>
            <w:hideMark/>
          </w:tcPr>
          <w:p w14:paraId="0E5EE524" w14:textId="608B88BE" w:rsidR="009054A7" w:rsidRPr="000702B5" w:rsidRDefault="009054A7" w:rsidP="0031125A">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rPr>
                <w:color w:val="auto"/>
              </w:rPr>
            </w:pPr>
            <w:r w:rsidRPr="000702B5">
              <w:t>-174,600,000</w:t>
            </w:r>
          </w:p>
        </w:tc>
      </w:tr>
    </w:tbl>
    <w:p w14:paraId="511CF22C" w14:textId="77777777" w:rsidR="009054A7" w:rsidRDefault="009054A7" w:rsidP="009054A7">
      <w:pPr>
        <w:shd w:val="clear" w:color="auto" w:fill="FFFFFF" w:themeFill="background1"/>
        <w:rPr>
          <w:color w:val="FF0000"/>
        </w:rPr>
      </w:pPr>
    </w:p>
    <w:p w14:paraId="5E837034" w14:textId="67FFDF33" w:rsidR="009054A7" w:rsidRDefault="009054A7" w:rsidP="009054A7">
      <w:pPr>
        <w:shd w:val="clear" w:color="auto" w:fill="FFFFFF" w:themeFill="background1"/>
        <w:jc w:val="left"/>
      </w:pPr>
      <w:r>
        <w:rPr>
          <w:b/>
          <w:bCs/>
        </w:rPr>
        <w:t xml:space="preserve">Number of claims: </w:t>
      </w:r>
      <w:r>
        <w:t xml:space="preserve">The current legislation requires passengers to demonstrate that a cruise company was negligent when making a claim. During stakeholder engagement, the cruise industry said relatively few claims are progressed through the full litigation process, as most claims (&gt;90%) can be agreed between the cruise company and passengers. They suggested that it is often easier for the cruise company to pay compensation than go through a drawn-out legal proceeding. </w:t>
      </w:r>
      <w:r w:rsidRPr="00E64B50">
        <w:rPr>
          <w:color w:val="auto"/>
        </w:rPr>
        <w:t xml:space="preserve">The </w:t>
      </w:r>
      <w:r>
        <w:rPr>
          <w:color w:val="auto"/>
        </w:rPr>
        <w:t xml:space="preserve">NSW </w:t>
      </w:r>
      <w:r w:rsidRPr="00E64B50">
        <w:rPr>
          <w:color w:val="auto"/>
        </w:rPr>
        <w:t>Fair Trading</w:t>
      </w:r>
      <w:r w:rsidRPr="00E64B50" w:rsidDel="00AE1F8E">
        <w:rPr>
          <w:color w:val="auto"/>
        </w:rPr>
        <w:t xml:space="preserve"> </w:t>
      </w:r>
      <w:r>
        <w:rPr>
          <w:color w:val="auto"/>
        </w:rPr>
        <w:t>Commission</w:t>
      </w:r>
      <w:r w:rsidRPr="00E64B50">
        <w:rPr>
          <w:color w:val="auto"/>
        </w:rPr>
        <w:t xml:space="preserve"> received only 1 claim in the </w:t>
      </w:r>
      <w:r>
        <w:t xml:space="preserve">last five years relating to passenger injury. </w:t>
      </w:r>
      <w:r w:rsidRPr="00452CF2">
        <w:rPr>
          <w:color w:val="auto"/>
        </w:rPr>
        <w:t xml:space="preserve">This supports the notion that there are relatively few claims which are currently brought against cruise companies pertaining to personal injury and/or unresolved through customer relations services internally. </w:t>
      </w:r>
    </w:p>
    <w:p w14:paraId="73745C25" w14:textId="0D8725EE" w:rsidR="009054A7" w:rsidRDefault="009054A7" w:rsidP="009054A7">
      <w:pPr>
        <w:jc w:val="left"/>
      </w:pPr>
      <w:r w:rsidRPr="00452CF2">
        <w:rPr>
          <w:color w:val="auto"/>
        </w:rPr>
        <w:t xml:space="preserve">Under Athens </w:t>
      </w:r>
      <w:r w:rsidR="009C1D94">
        <w:rPr>
          <w:color w:val="auto"/>
        </w:rPr>
        <w:t xml:space="preserve">protocol </w:t>
      </w:r>
      <w:r w:rsidRPr="00452CF2">
        <w:rPr>
          <w:color w:val="auto"/>
        </w:rPr>
        <w:t>the burden of proof is shifted so that when a claim is brought under Article 3 of the Athens Convention (i.e</w:t>
      </w:r>
      <w:r>
        <w:rPr>
          <w:color w:val="auto"/>
        </w:rPr>
        <w:t>.</w:t>
      </w:r>
      <w:r w:rsidRPr="00452CF2">
        <w:rPr>
          <w:color w:val="auto"/>
        </w:rPr>
        <w:t xml:space="preserve"> resulting from a shipping incident), the cruise company must demonstrate that they were not negligent. This makes it easier for a passenger to lodge a claim and may increase the number of claims brought against the cruise industry resulting in higher legal costs to the cruise industry either through appointment of legal </w:t>
      </w:r>
      <w:r>
        <w:rPr>
          <w:color w:val="auto"/>
        </w:rPr>
        <w:t>counsel</w:t>
      </w:r>
      <w:r w:rsidRPr="00452CF2">
        <w:rPr>
          <w:color w:val="auto"/>
        </w:rPr>
        <w:t xml:space="preserve"> or through internal legal teams. This could also result in more claims </w:t>
      </w:r>
      <w:r>
        <w:t>being paid out as the evidence needed to reject a claim is harder to gather. If a cruise company is required to pay out more passenger claims, their insurance premiums may increase. This could be passed onto passengers, pushing their fares up higher. Passengers may expect a higher quality service when they have paid a higher fare, and hence the number of claims may increase further. This process could become circular as insurance premiums increase to cover the additional claims being lodged</w:t>
      </w:r>
      <w:r w:rsidR="00122DDD">
        <w:t xml:space="preserve"> or </w:t>
      </w:r>
      <w:r w:rsidR="00552F15">
        <w:t xml:space="preserve">a determination of increased risk of </w:t>
      </w:r>
      <w:r w:rsidR="0093366C">
        <w:t xml:space="preserve">additional claims </w:t>
      </w:r>
      <w:r w:rsidR="002549CC">
        <w:t xml:space="preserve">may result in increased </w:t>
      </w:r>
      <w:r w:rsidR="0093366C">
        <w:t>premiums</w:t>
      </w:r>
      <w:r>
        <w:t xml:space="preserve">. Some cruise companies may struggle to cover the higher insurance costs, pushing them out of the industry. Fewer companies in the industry could have a negative impact on the market as there are fewer options for passengers and fares could increase. </w:t>
      </w:r>
      <w:r w:rsidR="007E5564">
        <w:t xml:space="preserve">However, </w:t>
      </w:r>
      <w:r w:rsidR="00161283">
        <w:t xml:space="preserve">other </w:t>
      </w:r>
      <w:r w:rsidR="00FB41BF">
        <w:t xml:space="preserve">external </w:t>
      </w:r>
      <w:r w:rsidR="00161283">
        <w:t xml:space="preserve">factors such as competition </w:t>
      </w:r>
      <w:r w:rsidR="008854FA">
        <w:t xml:space="preserve">and health of </w:t>
      </w:r>
      <w:r w:rsidR="00161283">
        <w:t>the insurance industry</w:t>
      </w:r>
      <w:r w:rsidR="00D129D8">
        <w:t xml:space="preserve"> and</w:t>
      </w:r>
      <w:r w:rsidR="00161283">
        <w:t xml:space="preserve"> </w:t>
      </w:r>
      <w:r w:rsidR="00FB41BF">
        <w:t>claims per financial year across the P</w:t>
      </w:r>
      <w:r w:rsidR="00AE1FE9">
        <w:t xml:space="preserve">&amp;I member group </w:t>
      </w:r>
      <w:r w:rsidR="000266F2">
        <w:t>may also impact insurance premiums</w:t>
      </w:r>
      <w:r w:rsidR="00D129D8">
        <w:t xml:space="preserve"> beyond</w:t>
      </w:r>
      <w:r w:rsidR="002B19E3">
        <w:t xml:space="preserve"> claim frequency. </w:t>
      </w:r>
    </w:p>
    <w:p w14:paraId="3DF1F868" w14:textId="71AEFC2F" w:rsidR="00A27994" w:rsidRDefault="00B803DF" w:rsidP="009054A7">
      <w:pPr>
        <w:jc w:val="left"/>
        <w:rPr>
          <w:b/>
          <w:bCs/>
        </w:rPr>
      </w:pPr>
      <w:r>
        <w:rPr>
          <w:b/>
          <w:bCs/>
          <w:noProof/>
        </w:rPr>
        <w:drawing>
          <wp:anchor distT="0" distB="0" distL="114300" distR="114300" simplePos="0" relativeHeight="251658243" behindDoc="1" locked="0" layoutInCell="1" allowOverlap="1" wp14:anchorId="14C4FDAA" wp14:editId="770941D0">
            <wp:simplePos x="0" y="0"/>
            <wp:positionH relativeFrom="margin">
              <wp:align>center</wp:align>
            </wp:positionH>
            <wp:positionV relativeFrom="paragraph">
              <wp:posOffset>951448</wp:posOffset>
            </wp:positionV>
            <wp:extent cx="914400" cy="914400"/>
            <wp:effectExtent l="0" t="0" r="0" b="0"/>
            <wp:wrapTight wrapText="bothSides">
              <wp:wrapPolygon edited="0">
                <wp:start x="4500" y="3150"/>
                <wp:lineTo x="1350" y="10800"/>
                <wp:lineTo x="0" y="12150"/>
                <wp:lineTo x="0" y="13050"/>
                <wp:lineTo x="450" y="17550"/>
                <wp:lineTo x="17550" y="17550"/>
                <wp:lineTo x="21150" y="13050"/>
                <wp:lineTo x="21150" y="11700"/>
                <wp:lineTo x="19350" y="10800"/>
                <wp:lineTo x="13500" y="6300"/>
                <wp:lineTo x="9000" y="3150"/>
                <wp:lineTo x="4500" y="315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84CDE31" wp14:editId="2E78A035">
            <wp:simplePos x="0" y="0"/>
            <wp:positionH relativeFrom="column">
              <wp:posOffset>457200</wp:posOffset>
            </wp:positionH>
            <wp:positionV relativeFrom="paragraph">
              <wp:posOffset>40640</wp:posOffset>
            </wp:positionV>
            <wp:extent cx="4592320" cy="2620010"/>
            <wp:effectExtent l="0" t="0" r="0" b="27940"/>
            <wp:wrapTopAndBottom/>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14:paraId="2BBE6BCA" w14:textId="73312F43" w:rsidR="009054A7" w:rsidRDefault="009054A7" w:rsidP="009054A7">
      <w:pPr>
        <w:jc w:val="left"/>
        <w:rPr>
          <w:color w:val="FF0000"/>
        </w:rPr>
      </w:pPr>
      <w:r>
        <w:rPr>
          <w:b/>
          <w:bCs/>
        </w:rPr>
        <w:t xml:space="preserve">Number of passengers: </w:t>
      </w:r>
      <w:r>
        <w:t xml:space="preserve">Current legislation differs depending on where the cruise ship is registered, where the passenger purchased their ticket, where the passenger is a resident and where the cruise ship is located when an incident occurs. This means that the same incident may impact multiple passengers, but their rights to claim </w:t>
      </w:r>
      <w:r w:rsidR="006E2576">
        <w:t>may</w:t>
      </w:r>
      <w:r>
        <w:t xml:space="preserve"> be different</w:t>
      </w:r>
      <w:r w:rsidR="006E2576">
        <w:t xml:space="preserve"> depending on</w:t>
      </w:r>
      <w:r w:rsidR="004D48B0">
        <w:t xml:space="preserve"> </w:t>
      </w:r>
      <w:r w:rsidR="00463218">
        <w:t>if they</w:t>
      </w:r>
      <w:r w:rsidR="004D48B0">
        <w:t xml:space="preserve"> meet the eligibility criteria for the Athens Convention</w:t>
      </w:r>
      <w:r>
        <w:t xml:space="preserve">. </w:t>
      </w:r>
    </w:p>
    <w:p w14:paraId="4339EA11" w14:textId="77777777" w:rsidR="009054A7" w:rsidRDefault="009054A7" w:rsidP="009054A7">
      <w:pPr>
        <w:rPr>
          <w:color w:val="FF0000"/>
        </w:rPr>
      </w:pPr>
      <w:r>
        <w:rPr>
          <w:noProof/>
          <w:color w:val="FF0000"/>
        </w:rPr>
        <w:drawing>
          <wp:inline distT="0" distB="0" distL="0" distR="0" wp14:anchorId="492F273C" wp14:editId="01F43102">
            <wp:extent cx="5200650" cy="1419367"/>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8E6CA46" w14:textId="03ACCD9B" w:rsidR="00A27994" w:rsidRDefault="009054A7" w:rsidP="009054A7">
      <w:pPr>
        <w:jc w:val="left"/>
        <w:rPr>
          <w:color w:val="auto"/>
        </w:rPr>
      </w:pPr>
      <w:r>
        <w:t xml:space="preserve">These two passengers could have the same injuries resulting from a shipping incident, on the same cruise ship but </w:t>
      </w:r>
      <w:r w:rsidRPr="002641CA">
        <w:rPr>
          <w:color w:val="auto"/>
        </w:rPr>
        <w:t xml:space="preserve">receive different compensation. </w:t>
      </w:r>
      <w:r w:rsidR="00975398" w:rsidRPr="00F67D07">
        <w:t>Similarly, Australian states impose different maximum limits which can be claimed. Therefore, two passengers claiming in different Australian states may be entitled to different amounts.</w:t>
      </w:r>
      <w:r w:rsidR="00975398">
        <w:t xml:space="preserve"> I</w:t>
      </w:r>
      <w:r w:rsidRPr="002641CA">
        <w:rPr>
          <w:color w:val="auto"/>
        </w:rPr>
        <w:t>t may be difficult for a passenger to understand their rights when an incident occurs as they are not consistent across countries</w:t>
      </w:r>
      <w:r>
        <w:rPr>
          <w:color w:val="auto"/>
        </w:rPr>
        <w:t>, a</w:t>
      </w:r>
      <w:r w:rsidRPr="002641CA">
        <w:rPr>
          <w:color w:val="auto"/>
        </w:rPr>
        <w:t xml:space="preserve">s discussed in section </w:t>
      </w:r>
      <w:r w:rsidR="005D2FF6">
        <w:rPr>
          <w:color w:val="auto"/>
        </w:rPr>
        <w:t>4.</w:t>
      </w:r>
      <w:r w:rsidR="00B03FDA">
        <w:rPr>
          <w:color w:val="auto"/>
        </w:rPr>
        <w:t>2</w:t>
      </w:r>
      <w:r w:rsidRPr="002641CA">
        <w:rPr>
          <w:color w:val="auto"/>
        </w:rPr>
        <w:t xml:space="preserve">.2 where lack of clarity exists around the coverage of passengers when injured outside of Australian waters and whether the CLA limitations apply. To some passengers, these effects may discourage them from taking part in a cruise. Therefore, acceding to </w:t>
      </w:r>
      <w:r w:rsidR="009C1D94">
        <w:rPr>
          <w:color w:val="auto"/>
        </w:rPr>
        <w:t xml:space="preserve">the </w:t>
      </w:r>
      <w:r w:rsidRPr="002641CA">
        <w:rPr>
          <w:color w:val="auto"/>
        </w:rPr>
        <w:t>Athens</w:t>
      </w:r>
      <w:r w:rsidR="009C1D94">
        <w:rPr>
          <w:color w:val="auto"/>
        </w:rPr>
        <w:t xml:space="preserve"> Convention 2002</w:t>
      </w:r>
      <w:r w:rsidRPr="002641CA">
        <w:rPr>
          <w:color w:val="auto"/>
        </w:rPr>
        <w:t xml:space="preserve"> which is more widespread internationally could increase demand for cruises. </w:t>
      </w:r>
    </w:p>
    <w:p w14:paraId="5896F80A" w14:textId="77777777" w:rsidR="009054A7" w:rsidRPr="002641CA" w:rsidRDefault="009054A7" w:rsidP="009054A7">
      <w:pPr>
        <w:pStyle w:val="Heading3"/>
        <w:jc w:val="both"/>
        <w:rPr>
          <w:color w:val="auto"/>
        </w:rPr>
      </w:pPr>
      <w:bookmarkStart w:id="126" w:name="_Toc34657084"/>
      <w:bookmarkStart w:id="127" w:name="_Toc44659938"/>
      <w:r w:rsidRPr="002641CA">
        <w:rPr>
          <w:color w:val="auto"/>
        </w:rPr>
        <w:t>Insurance companies</w:t>
      </w:r>
      <w:bookmarkEnd w:id="126"/>
      <w:bookmarkEnd w:id="127"/>
      <w:r w:rsidRPr="002641CA">
        <w:rPr>
          <w:color w:val="auto"/>
        </w:rPr>
        <w:t xml:space="preserve"> </w:t>
      </w:r>
    </w:p>
    <w:p w14:paraId="32B6742C" w14:textId="40E5C77B" w:rsidR="009054A7" w:rsidRDefault="009054A7" w:rsidP="009054A7">
      <w:pPr>
        <w:jc w:val="left"/>
      </w:pPr>
      <w:r w:rsidRPr="002641CA">
        <w:rPr>
          <w:b/>
          <w:color w:val="auto"/>
        </w:rPr>
        <w:t xml:space="preserve">Money flow: </w:t>
      </w:r>
      <w:r w:rsidRPr="002641CA">
        <w:rPr>
          <w:color w:val="auto"/>
        </w:rPr>
        <w:t xml:space="preserve">Insurance companies charge cruise companies based on the expected amount and value of claims they will have to pay out. This is estimated so that insurance companies cover their own costs and on average, the cost of any payouts made to cruise companies. Acceding to </w:t>
      </w:r>
      <w:r w:rsidR="009C1D94">
        <w:rPr>
          <w:color w:val="auto"/>
        </w:rPr>
        <w:t xml:space="preserve">the </w:t>
      </w:r>
      <w:r w:rsidRPr="002641CA">
        <w:rPr>
          <w:color w:val="auto"/>
        </w:rPr>
        <w:t xml:space="preserve">Athens </w:t>
      </w:r>
      <w:r w:rsidR="009C1D94">
        <w:rPr>
          <w:color w:val="auto"/>
        </w:rPr>
        <w:t xml:space="preserve">Convention 2002 </w:t>
      </w:r>
      <w:r w:rsidRPr="002641CA">
        <w:rPr>
          <w:color w:val="auto"/>
        </w:rPr>
        <w:t>may impact the way insurance companies asses</w:t>
      </w:r>
      <w:r>
        <w:rPr>
          <w:color w:val="auto"/>
        </w:rPr>
        <w:t>s</w:t>
      </w:r>
      <w:r w:rsidRPr="002641CA">
        <w:rPr>
          <w:color w:val="auto"/>
        </w:rPr>
        <w:t xml:space="preserve"> a cruise company’s risk i.e. shift in </w:t>
      </w:r>
      <w:r>
        <w:rPr>
          <w:color w:val="auto"/>
        </w:rPr>
        <w:t xml:space="preserve">the </w:t>
      </w:r>
      <w:r w:rsidRPr="002641CA">
        <w:rPr>
          <w:color w:val="auto"/>
        </w:rPr>
        <w:t xml:space="preserve">burden of proof from the consumer to the cruise line; greater number of passengers that can access strict liability limits; and a change in the number and value of payouts made. Insurance companies will estimate the new amount that they will need to charge cruise companies to ensure </w:t>
      </w:r>
      <w:r>
        <w:t xml:space="preserve">their costs are still covered. </w:t>
      </w:r>
    </w:p>
    <w:p w14:paraId="1C937BFA" w14:textId="77777777" w:rsidR="009054A7" w:rsidRDefault="009054A7" w:rsidP="009054A7">
      <w:pPr>
        <w:jc w:val="left"/>
      </w:pPr>
      <w:r>
        <w:t xml:space="preserve">Stakeholder engagement suggested that insurance companies would proportionally pass on any changes in liability limits by a fixed amount per additional $1m insured. This pass-on amount was expected to be between $300 and $500 per additional million. As a general example, this means that if a cruise ship is required to have insurance to cover liabilities up to $2bn, assuming they are currently only </w:t>
      </w:r>
      <w:r w:rsidRPr="00244D7D">
        <w:t>insure</w:t>
      </w:r>
      <w:r w:rsidRPr="00E22EB1">
        <w:t>d up to $</w:t>
      </w:r>
      <w:r w:rsidRPr="00F263E1">
        <w:t>200m</w:t>
      </w:r>
      <w:r w:rsidRPr="00244D7D">
        <w:t xml:space="preserve">, </w:t>
      </w:r>
      <w:r w:rsidRPr="00E22EB1">
        <w:t>insurance</w:t>
      </w:r>
      <w:r>
        <w:t xml:space="preserve"> costs could increase between $540,000 and $900,000.   Alternatively, the insurance company may charge a fixed proportion of the insurance increase. Given that the charges are passed onto cruise companies, each of options 2, 3 and 4 would have limited impact on the insurance company. </w:t>
      </w:r>
    </w:p>
    <w:p w14:paraId="6107DDF1" w14:textId="77777777" w:rsidR="009054A7" w:rsidRDefault="009054A7" w:rsidP="009054A7">
      <w:pPr>
        <w:jc w:val="left"/>
      </w:pPr>
      <w:r>
        <w:t xml:space="preserve">The following table shows the change in insurance premiums for a ship carrying 5000 passengers under each of the options. The insurance limits have been calculated based on the amount that the ship would be required to have in each option. It assumes ships currently have an insurance limit of $200 million, based on stakeholder engagement and presents payment amounts for an additional charge of $300 and $500 per additional million liability cover. This impact is also relevant for cruise companies who would be required to pay the additional charge. </w:t>
      </w:r>
    </w:p>
    <w:p w14:paraId="0458CE86" w14:textId="758A46B7" w:rsidR="007752B9" w:rsidRDefault="007752B9" w:rsidP="009054A7">
      <w:pPr>
        <w:jc w:val="left"/>
      </w:pPr>
      <w:r w:rsidRPr="00FA67E6">
        <w:t xml:space="preserve">In this calculation we have </w:t>
      </w:r>
      <w:r w:rsidR="00A370B3" w:rsidRPr="00FA67E6">
        <w:t>estimated the additional cost that insurance companies would pass onto cruise companies</w:t>
      </w:r>
      <w:r w:rsidR="000C4E10" w:rsidRPr="00FA67E6">
        <w:t xml:space="preserve"> to cover the increased liability limits</w:t>
      </w:r>
      <w:r w:rsidR="00C3432E" w:rsidRPr="00FA67E6">
        <w:t xml:space="preserve"> as a result of</w:t>
      </w:r>
      <w:r w:rsidR="00D60C1F" w:rsidRPr="00FA67E6">
        <w:t xml:space="preserve"> changing regulation</w:t>
      </w:r>
      <w:r w:rsidR="00A149CC" w:rsidRPr="00FA67E6">
        <w:t>s</w:t>
      </w:r>
      <w:r w:rsidR="00A370B3" w:rsidRPr="00FA67E6">
        <w:t xml:space="preserve">. However, we do not have a reliable estimate for how much cruise companies currently pay for their insurance. </w:t>
      </w:r>
      <w:r w:rsidR="000C4E10" w:rsidRPr="00FA67E6">
        <w:t xml:space="preserve">Therefore, </w:t>
      </w:r>
      <w:r w:rsidR="00311D3D" w:rsidRPr="00FA67E6">
        <w:t xml:space="preserve">these estimates are a guide and </w:t>
      </w:r>
      <w:r w:rsidR="00545F5E">
        <w:t>should not be interpreted</w:t>
      </w:r>
      <w:r w:rsidR="00311D3D" w:rsidRPr="00FA67E6">
        <w:t xml:space="preserve"> as a percentage increase on what cruise companies currently pay.</w:t>
      </w:r>
      <w:r w:rsidR="00311D3D">
        <w:t xml:space="preserve"> </w:t>
      </w:r>
    </w:p>
    <w:p w14:paraId="58C91613" w14:textId="47A3DB06" w:rsidR="00A27994" w:rsidRPr="00CD1AFF" w:rsidRDefault="009054A7" w:rsidP="009054A7">
      <w:pPr>
        <w:jc w:val="left"/>
        <w:rPr>
          <w:color w:val="auto"/>
        </w:rPr>
      </w:pPr>
      <w:r w:rsidRPr="00CE0FF7">
        <w:rPr>
          <w:color w:val="auto"/>
        </w:rPr>
        <w:t>(NB: calculations provide</w:t>
      </w:r>
      <w:r>
        <w:rPr>
          <w:color w:val="auto"/>
        </w:rPr>
        <w:t>d</w:t>
      </w:r>
      <w:r w:rsidRPr="00CE0FF7">
        <w:rPr>
          <w:color w:val="auto"/>
        </w:rPr>
        <w:t xml:space="preserve"> by Subject Matter Expert from Steadfast IRS and based on calculated max liabilities (SDR x passengers x $ conversion rate))</w:t>
      </w:r>
    </w:p>
    <w:p w14:paraId="212CEAC5" w14:textId="22455BA7" w:rsidR="009054A7" w:rsidRPr="00021AEA" w:rsidRDefault="009054A7" w:rsidP="00027F78">
      <w:pPr>
        <w:pStyle w:val="Caption"/>
        <w:rPr>
          <w:b/>
          <w:bCs/>
        </w:rPr>
      </w:pPr>
      <w:bookmarkStart w:id="128" w:name="_Toc36560353"/>
      <w:r>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6</w:t>
      </w:r>
      <w:r w:rsidR="00B435A7">
        <w:rPr>
          <w:noProof/>
        </w:rPr>
        <w:fldChar w:fldCharType="end"/>
      </w:r>
      <w:r w:rsidR="00027F78">
        <w:t>:</w:t>
      </w:r>
      <w:r>
        <w:t xml:space="preserve"> </w:t>
      </w:r>
      <w:r w:rsidRPr="00170637">
        <w:t>Change in liability limits and insurance costs (all values in AUD)</w:t>
      </w:r>
      <w:bookmarkEnd w:id="128"/>
    </w:p>
    <w:tbl>
      <w:tblPr>
        <w:tblStyle w:val="GridTable4-Accent6"/>
        <w:tblW w:w="8931" w:type="dxa"/>
        <w:tblLook w:val="04A0" w:firstRow="1" w:lastRow="0" w:firstColumn="1" w:lastColumn="0" w:noHBand="0" w:noVBand="1"/>
      </w:tblPr>
      <w:tblGrid>
        <w:gridCol w:w="1701"/>
        <w:gridCol w:w="1560"/>
        <w:gridCol w:w="1701"/>
        <w:gridCol w:w="1842"/>
        <w:gridCol w:w="2127"/>
      </w:tblGrid>
      <w:tr w:rsidR="009054A7" w14:paraId="3941148F" w14:textId="77777777" w:rsidTr="00EF5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33746A8" w14:textId="77777777" w:rsidR="009054A7" w:rsidRPr="00EF5A1D" w:rsidRDefault="009054A7" w:rsidP="0069386C">
            <w:pPr>
              <w:rPr>
                <w:b w:val="0"/>
                <w:color w:val="FFFFFF" w:themeColor="background1"/>
              </w:rPr>
            </w:pPr>
            <w:r w:rsidRPr="00EF5A1D">
              <w:rPr>
                <w:b w:val="0"/>
                <w:color w:val="FFFFFF" w:themeColor="background1"/>
              </w:rPr>
              <w:t>Option</w:t>
            </w:r>
          </w:p>
        </w:tc>
        <w:tc>
          <w:tcPr>
            <w:tcW w:w="1560" w:type="dxa"/>
          </w:tcPr>
          <w:p w14:paraId="0A9E72A0" w14:textId="77777777" w:rsidR="009054A7" w:rsidRPr="00EF5A1D" w:rsidRDefault="009054A7" w:rsidP="0069386C">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F5A1D">
              <w:rPr>
                <w:b w:val="0"/>
                <w:color w:val="FFFFFF" w:themeColor="background1"/>
              </w:rPr>
              <w:t>Insurance limits</w:t>
            </w:r>
          </w:p>
        </w:tc>
        <w:tc>
          <w:tcPr>
            <w:tcW w:w="1701" w:type="dxa"/>
          </w:tcPr>
          <w:p w14:paraId="7BA0248F" w14:textId="77777777" w:rsidR="009054A7" w:rsidRPr="00EF5A1D" w:rsidRDefault="009054A7" w:rsidP="0069386C">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F5A1D">
              <w:rPr>
                <w:b w:val="0"/>
                <w:color w:val="FFFFFF" w:themeColor="background1"/>
              </w:rPr>
              <w:t>Change in liability</w:t>
            </w:r>
          </w:p>
        </w:tc>
        <w:tc>
          <w:tcPr>
            <w:tcW w:w="1842" w:type="dxa"/>
          </w:tcPr>
          <w:p w14:paraId="49A78A3E" w14:textId="77777777" w:rsidR="009054A7" w:rsidRPr="00EF5A1D" w:rsidRDefault="009054A7" w:rsidP="0069386C">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F5A1D">
              <w:rPr>
                <w:b w:val="0"/>
                <w:color w:val="FFFFFF" w:themeColor="background1"/>
              </w:rPr>
              <w:t>$300 AUD</w:t>
            </w:r>
          </w:p>
        </w:tc>
        <w:tc>
          <w:tcPr>
            <w:tcW w:w="2127" w:type="dxa"/>
          </w:tcPr>
          <w:p w14:paraId="3B6F55F3" w14:textId="77777777" w:rsidR="009054A7" w:rsidRPr="00EF5A1D" w:rsidRDefault="009054A7" w:rsidP="0069386C">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F5A1D">
              <w:rPr>
                <w:b w:val="0"/>
                <w:color w:val="FFFFFF" w:themeColor="background1"/>
              </w:rPr>
              <w:t>$500 AUD</w:t>
            </w:r>
          </w:p>
        </w:tc>
      </w:tr>
      <w:tr w:rsidR="009054A7" w14:paraId="5E58C1B7" w14:textId="77777777" w:rsidTr="00EF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BE7E28" w14:textId="77777777" w:rsidR="009054A7" w:rsidRDefault="009054A7" w:rsidP="0069386C">
            <w:r>
              <w:t>1</w:t>
            </w:r>
          </w:p>
        </w:tc>
        <w:tc>
          <w:tcPr>
            <w:tcW w:w="1560" w:type="dxa"/>
          </w:tcPr>
          <w:p w14:paraId="76FA6D97"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$0.2bn</w:t>
            </w:r>
          </w:p>
        </w:tc>
        <w:tc>
          <w:tcPr>
            <w:tcW w:w="5670" w:type="dxa"/>
            <w:gridSpan w:val="3"/>
          </w:tcPr>
          <w:p w14:paraId="004B2861" w14:textId="77777777" w:rsidR="009054A7" w:rsidRDefault="009054A7" w:rsidP="0069386C">
            <w:pPr>
              <w:jc w:val="center"/>
              <w:cnfStyle w:val="000000100000" w:firstRow="0" w:lastRow="0" w:firstColumn="0" w:lastColumn="0" w:oddVBand="0" w:evenVBand="0" w:oddHBand="1" w:evenHBand="0" w:firstRowFirstColumn="0" w:firstRowLastColumn="0" w:lastRowFirstColumn="0" w:lastRowLastColumn="0"/>
            </w:pPr>
            <w:r>
              <w:t>Base case for comparison</w:t>
            </w:r>
          </w:p>
        </w:tc>
      </w:tr>
      <w:tr w:rsidR="009054A7" w14:paraId="46C96EC9" w14:textId="77777777" w:rsidTr="00EF5A1D">
        <w:tc>
          <w:tcPr>
            <w:cnfStyle w:val="001000000000" w:firstRow="0" w:lastRow="0" w:firstColumn="1" w:lastColumn="0" w:oddVBand="0" w:evenVBand="0" w:oddHBand="0" w:evenHBand="0" w:firstRowFirstColumn="0" w:firstRowLastColumn="0" w:lastRowFirstColumn="0" w:lastRowLastColumn="0"/>
            <w:tcW w:w="1701" w:type="dxa"/>
          </w:tcPr>
          <w:p w14:paraId="0E0C7755" w14:textId="77777777" w:rsidR="009054A7" w:rsidRDefault="009054A7" w:rsidP="0069386C">
            <w:r>
              <w:t>2</w:t>
            </w:r>
          </w:p>
        </w:tc>
        <w:tc>
          <w:tcPr>
            <w:tcW w:w="1560" w:type="dxa"/>
          </w:tcPr>
          <w:p w14:paraId="0F4A9E52"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$1.83bn</w:t>
            </w:r>
          </w:p>
        </w:tc>
        <w:tc>
          <w:tcPr>
            <w:tcW w:w="1701" w:type="dxa"/>
          </w:tcPr>
          <w:p w14:paraId="3CA86A3C"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$1.63bn</w:t>
            </w:r>
          </w:p>
        </w:tc>
        <w:tc>
          <w:tcPr>
            <w:tcW w:w="1842" w:type="dxa"/>
          </w:tcPr>
          <w:p w14:paraId="24004D5A"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$490,255</w:t>
            </w:r>
          </w:p>
        </w:tc>
        <w:tc>
          <w:tcPr>
            <w:tcW w:w="2127" w:type="dxa"/>
          </w:tcPr>
          <w:p w14:paraId="3AA42919"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$817,091</w:t>
            </w:r>
          </w:p>
        </w:tc>
      </w:tr>
      <w:tr w:rsidR="009054A7" w14:paraId="290C7518" w14:textId="77777777" w:rsidTr="00EF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ABF288" w14:textId="77777777" w:rsidR="009054A7" w:rsidRDefault="009054A7" w:rsidP="0069386C">
            <w:r>
              <w:t>3a – Tier 1</w:t>
            </w:r>
          </w:p>
        </w:tc>
        <w:tc>
          <w:tcPr>
            <w:tcW w:w="1560" w:type="dxa"/>
          </w:tcPr>
          <w:p w14:paraId="37841942"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$2.62bn</w:t>
            </w:r>
          </w:p>
        </w:tc>
        <w:tc>
          <w:tcPr>
            <w:tcW w:w="1701" w:type="dxa"/>
          </w:tcPr>
          <w:p w14:paraId="61C9C840"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$2.42bn</w:t>
            </w:r>
          </w:p>
        </w:tc>
        <w:tc>
          <w:tcPr>
            <w:tcW w:w="1842" w:type="dxa"/>
          </w:tcPr>
          <w:p w14:paraId="15141FD6"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$726,078</w:t>
            </w:r>
          </w:p>
        </w:tc>
        <w:tc>
          <w:tcPr>
            <w:tcW w:w="2127" w:type="dxa"/>
          </w:tcPr>
          <w:p w14:paraId="40160D63"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$1,210,130</w:t>
            </w:r>
          </w:p>
        </w:tc>
      </w:tr>
      <w:tr w:rsidR="009054A7" w14:paraId="37849D91" w14:textId="77777777" w:rsidTr="00EF5A1D">
        <w:tc>
          <w:tcPr>
            <w:cnfStyle w:val="001000000000" w:firstRow="0" w:lastRow="0" w:firstColumn="1" w:lastColumn="0" w:oddVBand="0" w:evenVBand="0" w:oddHBand="0" w:evenHBand="0" w:firstRowFirstColumn="0" w:firstRowLastColumn="0" w:lastRowFirstColumn="0" w:lastRowLastColumn="0"/>
            <w:tcW w:w="1701" w:type="dxa"/>
          </w:tcPr>
          <w:p w14:paraId="5DF4E34C" w14:textId="77777777" w:rsidR="009054A7" w:rsidRDefault="009054A7" w:rsidP="0069386C">
            <w:r>
              <w:t>3a – Tier 2</w:t>
            </w:r>
          </w:p>
        </w:tc>
        <w:tc>
          <w:tcPr>
            <w:tcW w:w="1560" w:type="dxa"/>
          </w:tcPr>
          <w:p w14:paraId="16C0C2B0"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$4.19bn</w:t>
            </w:r>
          </w:p>
        </w:tc>
        <w:tc>
          <w:tcPr>
            <w:tcW w:w="1701" w:type="dxa"/>
          </w:tcPr>
          <w:p w14:paraId="7BF998E0"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$3.99bn</w:t>
            </w:r>
          </w:p>
        </w:tc>
        <w:tc>
          <w:tcPr>
            <w:tcW w:w="1842" w:type="dxa"/>
          </w:tcPr>
          <w:p w14:paraId="316AB965"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$1,197,725</w:t>
            </w:r>
          </w:p>
        </w:tc>
        <w:tc>
          <w:tcPr>
            <w:tcW w:w="2127" w:type="dxa"/>
          </w:tcPr>
          <w:p w14:paraId="66572072"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$1,996,208</w:t>
            </w:r>
          </w:p>
        </w:tc>
      </w:tr>
      <w:tr w:rsidR="009054A7" w14:paraId="596A3318" w14:textId="77777777" w:rsidTr="00EF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59D8995" w14:textId="77777777" w:rsidR="009054A7" w:rsidRDefault="009054A7" w:rsidP="0069386C">
            <w:r>
              <w:t>3b – Tier 1</w:t>
            </w:r>
          </w:p>
        </w:tc>
        <w:tc>
          <w:tcPr>
            <w:tcW w:w="1560" w:type="dxa"/>
          </w:tcPr>
          <w:p w14:paraId="37B40507"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$2.62bn</w:t>
            </w:r>
          </w:p>
        </w:tc>
        <w:tc>
          <w:tcPr>
            <w:tcW w:w="1701" w:type="dxa"/>
          </w:tcPr>
          <w:p w14:paraId="1031A69A"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$2.42bn</w:t>
            </w:r>
          </w:p>
        </w:tc>
        <w:tc>
          <w:tcPr>
            <w:tcW w:w="1842" w:type="dxa"/>
          </w:tcPr>
          <w:p w14:paraId="5BD1193E"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$726,078</w:t>
            </w:r>
          </w:p>
        </w:tc>
        <w:tc>
          <w:tcPr>
            <w:tcW w:w="2127" w:type="dxa"/>
          </w:tcPr>
          <w:p w14:paraId="7FC23B4F"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$1,210,130</w:t>
            </w:r>
          </w:p>
        </w:tc>
      </w:tr>
      <w:tr w:rsidR="009054A7" w14:paraId="77AA2508" w14:textId="77777777" w:rsidTr="00EF5A1D">
        <w:tc>
          <w:tcPr>
            <w:cnfStyle w:val="001000000000" w:firstRow="0" w:lastRow="0" w:firstColumn="1" w:lastColumn="0" w:oddVBand="0" w:evenVBand="0" w:oddHBand="0" w:evenHBand="0" w:firstRowFirstColumn="0" w:firstRowLastColumn="0" w:lastRowFirstColumn="0" w:lastRowLastColumn="0"/>
            <w:tcW w:w="1701" w:type="dxa"/>
          </w:tcPr>
          <w:p w14:paraId="5A37010D" w14:textId="77777777" w:rsidR="009054A7" w:rsidRDefault="009054A7" w:rsidP="0069386C">
            <w:r>
              <w:t>3b – Tier 2</w:t>
            </w:r>
          </w:p>
        </w:tc>
        <w:tc>
          <w:tcPr>
            <w:tcW w:w="1560" w:type="dxa"/>
          </w:tcPr>
          <w:p w14:paraId="0B3027B1"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No limit</w:t>
            </w:r>
          </w:p>
        </w:tc>
        <w:tc>
          <w:tcPr>
            <w:tcW w:w="1701" w:type="dxa"/>
          </w:tcPr>
          <w:p w14:paraId="516F6E37"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Uncertain</w:t>
            </w:r>
          </w:p>
        </w:tc>
        <w:tc>
          <w:tcPr>
            <w:tcW w:w="1842" w:type="dxa"/>
          </w:tcPr>
          <w:p w14:paraId="3AE427AC"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174AB2">
              <w:t>Uncertain</w:t>
            </w:r>
          </w:p>
        </w:tc>
        <w:tc>
          <w:tcPr>
            <w:tcW w:w="2127" w:type="dxa"/>
          </w:tcPr>
          <w:p w14:paraId="5DD2B658"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174AB2">
              <w:t>Uncertain</w:t>
            </w:r>
          </w:p>
        </w:tc>
      </w:tr>
    </w:tbl>
    <w:p w14:paraId="555BA6A8" w14:textId="77777777" w:rsidR="009054A7" w:rsidRDefault="009054A7" w:rsidP="009054A7">
      <w:pPr>
        <w:rPr>
          <w:b/>
          <w:bCs/>
        </w:rPr>
      </w:pPr>
    </w:p>
    <w:p w14:paraId="38155386" w14:textId="01597DAD" w:rsidR="009054A7" w:rsidRPr="002641CA" w:rsidRDefault="009054A7" w:rsidP="009054A7">
      <w:pPr>
        <w:jc w:val="left"/>
        <w:rPr>
          <w:color w:val="auto"/>
        </w:rPr>
      </w:pPr>
      <w:r>
        <w:rPr>
          <w:b/>
          <w:bCs/>
        </w:rPr>
        <w:t xml:space="preserve">International consistency: </w:t>
      </w:r>
      <w:r w:rsidRPr="00FF403C">
        <w:t>Insurance companies currently insur</w:t>
      </w:r>
      <w:r>
        <w:t>e</w:t>
      </w:r>
      <w:r w:rsidRPr="00FF403C">
        <w:t xml:space="preserve"> cruise companies across </w:t>
      </w:r>
      <w:r>
        <w:t>t</w:t>
      </w:r>
      <w:r w:rsidRPr="00FF403C">
        <w:t xml:space="preserve">he globe which </w:t>
      </w:r>
      <w:r>
        <w:t xml:space="preserve">are each required to meet different criteria. There is an onus on insurance companies to understand multiple arrangements to help their clients be compliant. </w:t>
      </w:r>
      <w:r w:rsidR="009D000A">
        <w:t>Thirty one</w:t>
      </w:r>
      <w:r w:rsidR="00207144">
        <w:t xml:space="preserve"> countries are party to the Athens </w:t>
      </w:r>
      <w:r w:rsidR="00A2795C">
        <w:t>C</w:t>
      </w:r>
      <w:r w:rsidR="00207144">
        <w:t>onvention</w:t>
      </w:r>
      <w:r w:rsidR="00207144" w:rsidDel="00207144">
        <w:t xml:space="preserve"> </w:t>
      </w:r>
      <w:r>
        <w:t xml:space="preserve">already, and hence acceding to </w:t>
      </w:r>
      <w:r w:rsidR="00D56DD2">
        <w:t xml:space="preserve">the </w:t>
      </w:r>
      <w:r>
        <w:t>Athens</w:t>
      </w:r>
      <w:r w:rsidR="00D56DD2">
        <w:t xml:space="preserve"> Convention 2002</w:t>
      </w:r>
      <w:r>
        <w:t xml:space="preserve"> would help reduce the </w:t>
      </w:r>
      <w:r w:rsidRPr="002641CA">
        <w:rPr>
          <w:color w:val="auto"/>
        </w:rPr>
        <w:t xml:space="preserve">complexity on insurance companies to understand the different requirements (on the presumption that the liability limits aligned with these countries and were not adjusted). Given that </w:t>
      </w:r>
      <w:r>
        <w:rPr>
          <w:color w:val="auto"/>
        </w:rPr>
        <w:t>many</w:t>
      </w:r>
      <w:r w:rsidRPr="002641CA">
        <w:rPr>
          <w:color w:val="auto"/>
        </w:rPr>
        <w:t xml:space="preserve"> countries are already following the Athens Convention, there is a wider evidence base for insurance companies to draw from. This means they are likely to be able to provide more accurate estimates of expected number of claims and the amount that will need to be paid out. This benefits both insurance companies and cruise companies as there is more information available to accurately assess the costs</w:t>
      </w:r>
      <w:r>
        <w:rPr>
          <w:color w:val="auto"/>
        </w:rPr>
        <w:t xml:space="preserve"> and reduce uncertainty. </w:t>
      </w:r>
    </w:p>
    <w:p w14:paraId="25320303" w14:textId="54273FFA" w:rsidR="009054A7" w:rsidRPr="002641CA" w:rsidRDefault="009054A7" w:rsidP="009054A7">
      <w:pPr>
        <w:rPr>
          <w:color w:val="auto"/>
        </w:rPr>
      </w:pPr>
      <w:r w:rsidRPr="002641CA">
        <w:rPr>
          <w:b/>
          <w:color w:val="auto"/>
        </w:rPr>
        <w:t>Passenger contact:</w:t>
      </w:r>
      <w:r w:rsidRPr="002641CA">
        <w:rPr>
          <w:color w:val="auto"/>
        </w:rPr>
        <w:t xml:space="preserve"> Currently, when a claim is submitted the cruise company liaises with the passenger. If needed, the cruise company will then claim money back from their insurance provider to cover the cost of the payout if the sum is greater than the deductable. Under the Athens Convention, the passenger is entitled to claim directly from the insurance provider if the cruise company is unable to pay the awarded damage or fails to comply with court directives (i.e</w:t>
      </w:r>
      <w:r>
        <w:rPr>
          <w:color w:val="auto"/>
        </w:rPr>
        <w:t>.</w:t>
      </w:r>
      <w:r w:rsidRPr="002641CA">
        <w:rPr>
          <w:color w:val="auto"/>
        </w:rPr>
        <w:t xml:space="preserve"> is insolvent or attempts to avoid payment). </w:t>
      </w:r>
      <w:r>
        <w:rPr>
          <w:color w:val="auto"/>
        </w:rPr>
        <w:t xml:space="preserve">In these instances, the insurance company would need to be prepared and resourced to deal with the passenger involved. </w:t>
      </w:r>
    </w:p>
    <w:p w14:paraId="0AAA60EF" w14:textId="77777777" w:rsidR="009054A7" w:rsidRDefault="009054A7" w:rsidP="009054A7">
      <w:pPr>
        <w:pStyle w:val="Heading4"/>
      </w:pPr>
      <w:r>
        <w:t xml:space="preserve">Insurance industry </w:t>
      </w:r>
    </w:p>
    <w:p w14:paraId="4555784E" w14:textId="4EFD1BAC" w:rsidR="009054A7" w:rsidRDefault="009054A7" w:rsidP="009054A7">
      <w:pPr>
        <w:jc w:val="left"/>
      </w:pPr>
      <w:r w:rsidRPr="002641CA">
        <w:rPr>
          <w:color w:val="auto"/>
        </w:rPr>
        <w:t xml:space="preserve">Protection and Indemnity or better known as P &amp; I Clubs are a compilation of non-profit making organizations controlled by ship-owners and operators who </w:t>
      </w:r>
      <w:r w:rsidRPr="002E39D7">
        <w:t xml:space="preserve">communally contribute to certain </w:t>
      </w:r>
      <w:r w:rsidR="008B5E71" w:rsidRPr="002E39D7">
        <w:t>third-party</w:t>
      </w:r>
      <w:r w:rsidRPr="002E39D7">
        <w:t xml:space="preserve"> liability risks related to their business especially their maritime businesses.</w:t>
      </w:r>
      <w:r>
        <w:t xml:space="preserve"> Whether it is a container ship or a cruise ship, all ships require a high level of insurance cover to satisfy insurance requirements around the world. </w:t>
      </w:r>
      <w:r w:rsidR="001C0001">
        <w:t>To</w:t>
      </w:r>
      <w:r>
        <w:t xml:space="preserve"> provide this cover, the 13 P&amp;I clubs around the world that comprise the International Group have established a claims sharing agreement, underpinned by the world re-insurance markets that allows for each club to provide high level</w:t>
      </w:r>
      <w:r w:rsidR="007C67D7">
        <w:t>s</w:t>
      </w:r>
      <w:r>
        <w:t xml:space="preserve"> of insurance cover for each individual ship for each individual incident that occurs. This arrangement comprises three building blocks of cover</w:t>
      </w:r>
      <w:r>
        <w:rPr>
          <w:rStyle w:val="FootnoteReference"/>
        </w:rPr>
        <w:footnoteReference w:id="28"/>
      </w:r>
      <w:r>
        <w:t xml:space="preserve">. </w:t>
      </w:r>
    </w:p>
    <w:p w14:paraId="1F42FF3F" w14:textId="77777777" w:rsidR="009054A7" w:rsidRDefault="009054A7" w:rsidP="009054A7">
      <w:pPr>
        <w:jc w:val="left"/>
      </w:pPr>
      <w:r>
        <w:t xml:space="preserve">The </w:t>
      </w:r>
      <w:r w:rsidRPr="00A0121C">
        <w:rPr>
          <w:b/>
          <w:bCs/>
          <w:i/>
          <w:iCs/>
          <w:u w:val="single"/>
        </w:rPr>
        <w:t>first</w:t>
      </w:r>
      <w:r w:rsidRPr="00A0121C">
        <w:rPr>
          <w:b/>
          <w:i/>
          <w:u w:val="single"/>
        </w:rPr>
        <w:t xml:space="preserve"> block</w:t>
      </w:r>
      <w:r>
        <w:t xml:space="preserve"> comprises cover by the P&amp;I club that is insuring the ship where that club retains the first level of insurance on its own. For a claim for a single incident that exceeds the limit of the first block, the </w:t>
      </w:r>
      <w:r w:rsidRPr="00A0121C">
        <w:rPr>
          <w:b/>
          <w:i/>
          <w:u w:val="single"/>
        </w:rPr>
        <w:t>second block</w:t>
      </w:r>
      <w:r>
        <w:t xml:space="preserve"> provides a cost sharing system where each other 13 clubs share claims arising from maritime accidents involving the insured ships. This is referred to as the pooling arrangement.</w:t>
      </w:r>
    </w:p>
    <w:p w14:paraId="6846CC15" w14:textId="57FD7F79" w:rsidR="009054A7" w:rsidRPr="00E737F7" w:rsidRDefault="009054A7" w:rsidP="009054A7">
      <w:pPr>
        <w:jc w:val="left"/>
      </w:pPr>
      <w:r>
        <w:t>The</w:t>
      </w:r>
      <w:r w:rsidRPr="00A0121C">
        <w:rPr>
          <w:b/>
          <w:i/>
          <w:u w:val="single"/>
        </w:rPr>
        <w:t xml:space="preserve"> third block</w:t>
      </w:r>
      <w:r>
        <w:t xml:space="preserve"> that sits above block two extends the limit of insurance provided to ships by means of a collective purchase of high levels of reinsurance from the world’s reinsurance markets. This cover brings together over 80 reinsurances from around the world and includes 20 of the top 25 reinsurers across the globe. This insurance is purchased annually by the International Group on behalf of the 13 clubs and their ship owner members. It is obtained on advantageous terms due in part to the large volume of ships and various types, corresponding distribution of risk and relative predictability of claims. </w:t>
      </w:r>
    </w:p>
    <w:p w14:paraId="7F10244E" w14:textId="346DED1E" w:rsidR="009054A7" w:rsidRPr="00E737F7" w:rsidRDefault="009054A7" w:rsidP="009054A7">
      <w:pPr>
        <w:jc w:val="left"/>
      </w:pPr>
      <w:r>
        <w:t xml:space="preserve">With the three building blocks combined, ships are provided with the highest level of insurance cover available to ship owners worldwide. This can only be achieved through the 13 clubs collectively insuring. The </w:t>
      </w:r>
      <w:r w:rsidR="00A2795C">
        <w:t>20</w:t>
      </w:r>
      <w:r>
        <w:t xml:space="preserve">20/21 collective pool is 3.1 Billion USD (including the collective overspill). </w:t>
      </w:r>
    </w:p>
    <w:p w14:paraId="294DCD02" w14:textId="77777777" w:rsidR="009054A7" w:rsidRDefault="009054A7" w:rsidP="009054A7">
      <w:pPr>
        <w:pStyle w:val="Heading3"/>
        <w:jc w:val="both"/>
      </w:pPr>
      <w:bookmarkStart w:id="129" w:name="_Toc34657085"/>
      <w:bookmarkStart w:id="130" w:name="_Toc44659939"/>
      <w:r>
        <w:t>Passengers</w:t>
      </w:r>
      <w:bookmarkEnd w:id="129"/>
      <w:bookmarkEnd w:id="130"/>
      <w:r>
        <w:t xml:space="preserve"> </w:t>
      </w:r>
    </w:p>
    <w:p w14:paraId="28BE8531" w14:textId="2CF963D4" w:rsidR="009054A7" w:rsidRDefault="009054A7" w:rsidP="009054A7">
      <w:pPr>
        <w:jc w:val="left"/>
      </w:pPr>
      <w:r>
        <w:rPr>
          <w:b/>
          <w:bCs/>
        </w:rPr>
        <w:t xml:space="preserve">Change in fares: </w:t>
      </w:r>
      <w:r>
        <w:t xml:space="preserve">It is likely that any changes in insurance costs for a cruise company are ultimately passed onto passengers in the form of higher fares or other hidden charges, as discussed under the cruise company section </w:t>
      </w:r>
      <w:r w:rsidR="00BB7951">
        <w:t>10</w:t>
      </w:r>
      <w:r>
        <w:t>.3.1. This assumes that passengers travelling on cruises are not price sensitive. Evidence from the US cruise industry found that 81% of cruise passengers earned over $60,000 USD</w:t>
      </w:r>
      <w:r>
        <w:rPr>
          <w:rStyle w:val="FootnoteReference"/>
        </w:rPr>
        <w:footnoteReference w:id="29"/>
      </w:r>
      <w:r>
        <w:t xml:space="preserve">, approximately the median income in the US, suggesting most cruise passengers earn more than average. Additionally, the percentage change in fares arising from increased insurance premium is likely to be low as a total share of the fare. </w:t>
      </w:r>
    </w:p>
    <w:p w14:paraId="30087CDF" w14:textId="4949F350" w:rsidR="009054A7" w:rsidRDefault="009054A7" w:rsidP="009054A7">
      <w:pPr>
        <w:jc w:val="left"/>
      </w:pPr>
      <w:r>
        <w:t xml:space="preserve">The table below shows estimated fare increases from the higher insurance liability cover required under each option. This assumes a cruise ship carries 5000 passengers on an 8-day cruise. Fare increases are shown if the cost is borne just by one passage, or a larger cruise company may be able to share costs across multiple trips. In this instance, estimates are for an 8-day cruise, carrying 5000 passengers which operates 75% of the time (34 times a year). The insurance values relate to the additional amount cruise companies would be required to pay, as discussed earlier in section </w:t>
      </w:r>
      <w:r w:rsidR="00BB7951">
        <w:t>10</w:t>
      </w:r>
      <w:r>
        <w:t xml:space="preserve">.3.2. </w:t>
      </w:r>
    </w:p>
    <w:p w14:paraId="093F5E9E" w14:textId="319D4963" w:rsidR="00A27994" w:rsidRDefault="009054A7" w:rsidP="009054A7">
      <w:pPr>
        <w:jc w:val="left"/>
        <w:rPr>
          <w:color w:val="auto"/>
        </w:rPr>
      </w:pPr>
      <w:r w:rsidRPr="00CE0FF7">
        <w:rPr>
          <w:color w:val="auto"/>
        </w:rPr>
        <w:t>(NB: calculations provide</w:t>
      </w:r>
      <w:r>
        <w:rPr>
          <w:color w:val="auto"/>
        </w:rPr>
        <w:t>d</w:t>
      </w:r>
      <w:r w:rsidRPr="00CE0FF7">
        <w:rPr>
          <w:color w:val="auto"/>
        </w:rPr>
        <w:t xml:space="preserve"> by Subject Matter Expert from Steadfast IRS and based on calculated max liabilities (SDR x passengers x $ conversion rate))</w:t>
      </w:r>
    </w:p>
    <w:p w14:paraId="56245A0F" w14:textId="3A82C7AF" w:rsidR="009054A7" w:rsidRPr="00D96947" w:rsidRDefault="009054A7" w:rsidP="00027F78">
      <w:pPr>
        <w:pStyle w:val="Caption"/>
        <w:rPr>
          <w:b/>
          <w:bCs/>
        </w:rPr>
      </w:pPr>
      <w:bookmarkStart w:id="131" w:name="_Toc36560354"/>
      <w:r>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7</w:t>
      </w:r>
      <w:r w:rsidR="00B435A7">
        <w:rPr>
          <w:noProof/>
        </w:rPr>
        <w:fldChar w:fldCharType="end"/>
      </w:r>
      <w:r w:rsidR="00027F78">
        <w:t>:</w:t>
      </w:r>
      <w:r>
        <w:t xml:space="preserve"> </w:t>
      </w:r>
      <w:r w:rsidRPr="00764D1F">
        <w:t>Change in fares for passengers</w:t>
      </w:r>
      <w:bookmarkEnd w:id="131"/>
    </w:p>
    <w:tbl>
      <w:tblPr>
        <w:tblStyle w:val="GridTable4-Accent6"/>
        <w:tblW w:w="0" w:type="auto"/>
        <w:tblLook w:val="04A0" w:firstRow="1" w:lastRow="0" w:firstColumn="1" w:lastColumn="0" w:noHBand="0" w:noVBand="1"/>
      </w:tblPr>
      <w:tblGrid>
        <w:gridCol w:w="1585"/>
        <w:gridCol w:w="1585"/>
        <w:gridCol w:w="1787"/>
        <w:gridCol w:w="1842"/>
        <w:gridCol w:w="2127"/>
      </w:tblGrid>
      <w:tr w:rsidR="009054A7" w14:paraId="50C33E5E" w14:textId="77777777" w:rsidTr="00070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4B9FC931" w14:textId="77777777" w:rsidR="009054A7" w:rsidRPr="00EF5A1D" w:rsidRDefault="009054A7" w:rsidP="0069386C">
            <w:pPr>
              <w:rPr>
                <w:b w:val="0"/>
                <w:color w:val="FFFFFF" w:themeColor="background1"/>
              </w:rPr>
            </w:pPr>
            <w:r w:rsidRPr="00EF5A1D">
              <w:rPr>
                <w:b w:val="0"/>
                <w:color w:val="FFFFFF" w:themeColor="background1"/>
              </w:rPr>
              <w:t>Option</w:t>
            </w:r>
          </w:p>
        </w:tc>
        <w:tc>
          <w:tcPr>
            <w:tcW w:w="3372" w:type="dxa"/>
            <w:gridSpan w:val="2"/>
          </w:tcPr>
          <w:p w14:paraId="4BF62B2D" w14:textId="77777777" w:rsidR="009054A7" w:rsidRPr="00EF5A1D" w:rsidRDefault="009054A7" w:rsidP="0069386C">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F5A1D">
              <w:rPr>
                <w:b w:val="0"/>
                <w:color w:val="FFFFFF" w:themeColor="background1"/>
              </w:rPr>
              <w:t>Change in fare, one cruise</w:t>
            </w:r>
          </w:p>
        </w:tc>
        <w:tc>
          <w:tcPr>
            <w:tcW w:w="3969" w:type="dxa"/>
            <w:gridSpan w:val="2"/>
          </w:tcPr>
          <w:p w14:paraId="3DE3370A" w14:textId="77777777" w:rsidR="009054A7" w:rsidRPr="00EF5A1D" w:rsidRDefault="009054A7" w:rsidP="0069386C">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F5A1D">
              <w:rPr>
                <w:b w:val="0"/>
                <w:color w:val="FFFFFF" w:themeColor="background1"/>
              </w:rPr>
              <w:t>Change in fare, multiple cruises</w:t>
            </w:r>
          </w:p>
        </w:tc>
      </w:tr>
      <w:tr w:rsidR="009054A7" w14:paraId="4414E1E8" w14:textId="77777777" w:rsidTr="00070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6D3C7DC7" w14:textId="77777777" w:rsidR="009054A7" w:rsidRPr="00C80843" w:rsidRDefault="009054A7" w:rsidP="0069386C">
            <w:pPr>
              <w:rPr>
                <w:b w:val="0"/>
              </w:rPr>
            </w:pPr>
          </w:p>
        </w:tc>
        <w:tc>
          <w:tcPr>
            <w:tcW w:w="1585" w:type="dxa"/>
          </w:tcPr>
          <w:p w14:paraId="44B22F22" w14:textId="77777777" w:rsidR="009054A7" w:rsidRPr="00C80843" w:rsidRDefault="009054A7" w:rsidP="0069386C">
            <w:pPr>
              <w:cnfStyle w:val="000000100000" w:firstRow="0" w:lastRow="0" w:firstColumn="0" w:lastColumn="0" w:oddVBand="0" w:evenVBand="0" w:oddHBand="1" w:evenHBand="0" w:firstRowFirstColumn="0" w:firstRowLastColumn="0" w:lastRowFirstColumn="0" w:lastRowLastColumn="0"/>
              <w:rPr>
                <w:b/>
                <w:bCs/>
              </w:rPr>
            </w:pPr>
            <w:r w:rsidRPr="00C80843">
              <w:rPr>
                <w:b/>
                <w:bCs/>
              </w:rPr>
              <w:t>$300 insurance</w:t>
            </w:r>
          </w:p>
        </w:tc>
        <w:tc>
          <w:tcPr>
            <w:tcW w:w="1787" w:type="dxa"/>
          </w:tcPr>
          <w:p w14:paraId="02C6FE4D" w14:textId="77777777" w:rsidR="009054A7" w:rsidRPr="00C80843" w:rsidRDefault="009054A7" w:rsidP="0069386C">
            <w:pPr>
              <w:cnfStyle w:val="000000100000" w:firstRow="0" w:lastRow="0" w:firstColumn="0" w:lastColumn="0" w:oddVBand="0" w:evenVBand="0" w:oddHBand="1" w:evenHBand="0" w:firstRowFirstColumn="0" w:firstRowLastColumn="0" w:lastRowFirstColumn="0" w:lastRowLastColumn="0"/>
              <w:rPr>
                <w:b/>
                <w:bCs/>
              </w:rPr>
            </w:pPr>
            <w:r w:rsidRPr="00C80843">
              <w:rPr>
                <w:b/>
                <w:bCs/>
              </w:rPr>
              <w:t xml:space="preserve">$500 insurance </w:t>
            </w:r>
          </w:p>
        </w:tc>
        <w:tc>
          <w:tcPr>
            <w:tcW w:w="1842" w:type="dxa"/>
          </w:tcPr>
          <w:p w14:paraId="2716865F" w14:textId="77777777" w:rsidR="009054A7" w:rsidRPr="00C80843" w:rsidRDefault="009054A7" w:rsidP="0069386C">
            <w:pPr>
              <w:cnfStyle w:val="000000100000" w:firstRow="0" w:lastRow="0" w:firstColumn="0" w:lastColumn="0" w:oddVBand="0" w:evenVBand="0" w:oddHBand="1" w:evenHBand="0" w:firstRowFirstColumn="0" w:firstRowLastColumn="0" w:lastRowFirstColumn="0" w:lastRowLastColumn="0"/>
              <w:rPr>
                <w:b/>
                <w:bCs/>
              </w:rPr>
            </w:pPr>
            <w:r w:rsidRPr="00C80843">
              <w:rPr>
                <w:b/>
                <w:bCs/>
              </w:rPr>
              <w:t xml:space="preserve">$300 insurance </w:t>
            </w:r>
          </w:p>
        </w:tc>
        <w:tc>
          <w:tcPr>
            <w:tcW w:w="2127" w:type="dxa"/>
          </w:tcPr>
          <w:p w14:paraId="262DBF69" w14:textId="77777777" w:rsidR="009054A7" w:rsidRPr="00C80843" w:rsidRDefault="009054A7" w:rsidP="0069386C">
            <w:pPr>
              <w:cnfStyle w:val="000000100000" w:firstRow="0" w:lastRow="0" w:firstColumn="0" w:lastColumn="0" w:oddVBand="0" w:evenVBand="0" w:oddHBand="1" w:evenHBand="0" w:firstRowFirstColumn="0" w:firstRowLastColumn="0" w:lastRowFirstColumn="0" w:lastRowLastColumn="0"/>
              <w:rPr>
                <w:b/>
                <w:bCs/>
              </w:rPr>
            </w:pPr>
            <w:r w:rsidRPr="00C80843">
              <w:rPr>
                <w:b/>
                <w:bCs/>
              </w:rPr>
              <w:t>$500 insurance</w:t>
            </w:r>
          </w:p>
        </w:tc>
      </w:tr>
      <w:tr w:rsidR="009054A7" w14:paraId="756D397B" w14:textId="77777777" w:rsidTr="000702B5">
        <w:tc>
          <w:tcPr>
            <w:cnfStyle w:val="001000000000" w:firstRow="0" w:lastRow="0" w:firstColumn="1" w:lastColumn="0" w:oddVBand="0" w:evenVBand="0" w:oddHBand="0" w:evenHBand="0" w:firstRowFirstColumn="0" w:firstRowLastColumn="0" w:lastRowFirstColumn="0" w:lastRowLastColumn="0"/>
            <w:tcW w:w="1585" w:type="dxa"/>
          </w:tcPr>
          <w:p w14:paraId="702B550C" w14:textId="77777777" w:rsidR="009054A7" w:rsidRDefault="009054A7" w:rsidP="0069386C">
            <w:r>
              <w:t>2</w:t>
            </w:r>
          </w:p>
        </w:tc>
        <w:tc>
          <w:tcPr>
            <w:tcW w:w="1585" w:type="dxa"/>
          </w:tcPr>
          <w:p w14:paraId="496AB069"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 xml:space="preserve"> $               98.05 </w:t>
            </w:r>
          </w:p>
        </w:tc>
        <w:tc>
          <w:tcPr>
            <w:tcW w:w="1787" w:type="dxa"/>
          </w:tcPr>
          <w:p w14:paraId="1CFE7A26"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 xml:space="preserve"> $             163.42 </w:t>
            </w:r>
          </w:p>
        </w:tc>
        <w:tc>
          <w:tcPr>
            <w:tcW w:w="1842" w:type="dxa"/>
          </w:tcPr>
          <w:p w14:paraId="69A0BAA6"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 xml:space="preserve"> $           2.87 </w:t>
            </w:r>
          </w:p>
        </w:tc>
        <w:tc>
          <w:tcPr>
            <w:tcW w:w="2127" w:type="dxa"/>
          </w:tcPr>
          <w:p w14:paraId="56257102"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 xml:space="preserve"> $                   4.78 </w:t>
            </w:r>
          </w:p>
        </w:tc>
      </w:tr>
      <w:tr w:rsidR="009054A7" w14:paraId="2752BF12" w14:textId="77777777" w:rsidTr="00070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7A432921" w14:textId="77777777" w:rsidR="009054A7" w:rsidRDefault="009054A7" w:rsidP="0069386C">
            <w:r>
              <w:t>3a – Tier 1</w:t>
            </w:r>
          </w:p>
        </w:tc>
        <w:tc>
          <w:tcPr>
            <w:tcW w:w="1585" w:type="dxa"/>
          </w:tcPr>
          <w:p w14:paraId="7D8DC428"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rsidRPr="00C80843">
              <w:t xml:space="preserve"> $             145.22 </w:t>
            </w:r>
          </w:p>
        </w:tc>
        <w:tc>
          <w:tcPr>
            <w:tcW w:w="1787" w:type="dxa"/>
          </w:tcPr>
          <w:p w14:paraId="42AB2566"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rsidRPr="00C80843">
              <w:t xml:space="preserve"> $             242.03 </w:t>
            </w:r>
          </w:p>
        </w:tc>
        <w:tc>
          <w:tcPr>
            <w:tcW w:w="1842" w:type="dxa"/>
          </w:tcPr>
          <w:p w14:paraId="3AC67F10"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rsidRPr="00C80843">
              <w:t xml:space="preserve"> $           4.24 </w:t>
            </w:r>
          </w:p>
        </w:tc>
        <w:tc>
          <w:tcPr>
            <w:tcW w:w="2127" w:type="dxa"/>
          </w:tcPr>
          <w:p w14:paraId="6C056DD0"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rsidRPr="00C80843">
              <w:t xml:space="preserve"> $                   7.07 </w:t>
            </w:r>
          </w:p>
        </w:tc>
      </w:tr>
      <w:tr w:rsidR="009054A7" w14:paraId="6AD8B6A0" w14:textId="77777777" w:rsidTr="000702B5">
        <w:tc>
          <w:tcPr>
            <w:cnfStyle w:val="001000000000" w:firstRow="0" w:lastRow="0" w:firstColumn="1" w:lastColumn="0" w:oddVBand="0" w:evenVBand="0" w:oddHBand="0" w:evenHBand="0" w:firstRowFirstColumn="0" w:firstRowLastColumn="0" w:lastRowFirstColumn="0" w:lastRowLastColumn="0"/>
            <w:tcW w:w="1585" w:type="dxa"/>
          </w:tcPr>
          <w:p w14:paraId="2C78EEC8" w14:textId="77777777" w:rsidR="009054A7" w:rsidRDefault="009054A7" w:rsidP="0069386C">
            <w:r>
              <w:t>3a – Tier 2</w:t>
            </w:r>
          </w:p>
        </w:tc>
        <w:tc>
          <w:tcPr>
            <w:tcW w:w="1585" w:type="dxa"/>
          </w:tcPr>
          <w:p w14:paraId="366D2EF2"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 xml:space="preserve"> $             239.54 </w:t>
            </w:r>
          </w:p>
        </w:tc>
        <w:tc>
          <w:tcPr>
            <w:tcW w:w="1787" w:type="dxa"/>
          </w:tcPr>
          <w:p w14:paraId="15AECDE9"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 xml:space="preserve"> $             399.24 </w:t>
            </w:r>
          </w:p>
        </w:tc>
        <w:tc>
          <w:tcPr>
            <w:tcW w:w="1842" w:type="dxa"/>
          </w:tcPr>
          <w:p w14:paraId="6E1E2EDF"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 xml:space="preserve"> $           7.00 </w:t>
            </w:r>
          </w:p>
        </w:tc>
        <w:tc>
          <w:tcPr>
            <w:tcW w:w="2127" w:type="dxa"/>
          </w:tcPr>
          <w:p w14:paraId="16F908F1"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 xml:space="preserve"> $                 11.67 </w:t>
            </w:r>
          </w:p>
        </w:tc>
      </w:tr>
      <w:tr w:rsidR="009054A7" w14:paraId="109F73BA" w14:textId="77777777" w:rsidTr="00070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16E3175B" w14:textId="77777777" w:rsidR="009054A7" w:rsidRDefault="009054A7" w:rsidP="0069386C">
            <w:r>
              <w:t>3b – Tier 1</w:t>
            </w:r>
          </w:p>
        </w:tc>
        <w:tc>
          <w:tcPr>
            <w:tcW w:w="1585" w:type="dxa"/>
          </w:tcPr>
          <w:p w14:paraId="2103C205"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rsidRPr="00C80843">
              <w:t xml:space="preserve"> $             </w:t>
            </w:r>
            <w:r>
              <w:t>145.22</w:t>
            </w:r>
            <w:r w:rsidRPr="00C80843">
              <w:t xml:space="preserve"> </w:t>
            </w:r>
          </w:p>
        </w:tc>
        <w:tc>
          <w:tcPr>
            <w:tcW w:w="1787" w:type="dxa"/>
          </w:tcPr>
          <w:p w14:paraId="283709FE"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rsidRPr="00C80843">
              <w:t xml:space="preserve"> $             242.03 </w:t>
            </w:r>
          </w:p>
        </w:tc>
        <w:tc>
          <w:tcPr>
            <w:tcW w:w="1842" w:type="dxa"/>
          </w:tcPr>
          <w:p w14:paraId="62871662"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rsidRPr="00C80843">
              <w:t xml:space="preserve"> $           4.24 </w:t>
            </w:r>
          </w:p>
        </w:tc>
        <w:tc>
          <w:tcPr>
            <w:tcW w:w="2127" w:type="dxa"/>
          </w:tcPr>
          <w:p w14:paraId="7372A7E2"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rsidRPr="00C80843">
              <w:t xml:space="preserve"> $                   7.07 </w:t>
            </w:r>
          </w:p>
        </w:tc>
      </w:tr>
      <w:tr w:rsidR="009054A7" w14:paraId="398AE749" w14:textId="77777777" w:rsidTr="000702B5">
        <w:tc>
          <w:tcPr>
            <w:cnfStyle w:val="001000000000" w:firstRow="0" w:lastRow="0" w:firstColumn="1" w:lastColumn="0" w:oddVBand="0" w:evenVBand="0" w:oddHBand="0" w:evenHBand="0" w:firstRowFirstColumn="0" w:firstRowLastColumn="0" w:lastRowFirstColumn="0" w:lastRowLastColumn="0"/>
            <w:tcW w:w="1585" w:type="dxa"/>
          </w:tcPr>
          <w:p w14:paraId="50276C54" w14:textId="77777777" w:rsidR="009054A7" w:rsidRDefault="009054A7" w:rsidP="0069386C">
            <w:r>
              <w:t>3b – Tier 2</w:t>
            </w:r>
          </w:p>
        </w:tc>
        <w:tc>
          <w:tcPr>
            <w:tcW w:w="1585" w:type="dxa"/>
          </w:tcPr>
          <w:p w14:paraId="1373B07B"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Uncertain</w:t>
            </w:r>
          </w:p>
        </w:tc>
        <w:tc>
          <w:tcPr>
            <w:tcW w:w="1787" w:type="dxa"/>
          </w:tcPr>
          <w:p w14:paraId="5846099E"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 xml:space="preserve">Uncertain </w:t>
            </w:r>
          </w:p>
        </w:tc>
        <w:tc>
          <w:tcPr>
            <w:tcW w:w="1842" w:type="dxa"/>
          </w:tcPr>
          <w:p w14:paraId="11EBCF50"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 xml:space="preserve">Uncertain </w:t>
            </w:r>
          </w:p>
        </w:tc>
        <w:tc>
          <w:tcPr>
            <w:tcW w:w="2127" w:type="dxa"/>
          </w:tcPr>
          <w:p w14:paraId="1E7CEC88"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rsidRPr="00C80843">
              <w:t xml:space="preserve">Uncertain </w:t>
            </w:r>
          </w:p>
        </w:tc>
      </w:tr>
    </w:tbl>
    <w:p w14:paraId="20D7B91B" w14:textId="05F5126D" w:rsidR="009054A7" w:rsidRDefault="009054A7" w:rsidP="009054A7"/>
    <w:p w14:paraId="25D097F2" w14:textId="77777777" w:rsidR="00B97889" w:rsidRDefault="00B97889" w:rsidP="009054A7"/>
    <w:p w14:paraId="0339C515" w14:textId="2EEBCCF6" w:rsidR="00493E36" w:rsidRPr="00D76E5B" w:rsidRDefault="00027F78" w:rsidP="00027F78">
      <w:pPr>
        <w:pStyle w:val="Caption"/>
        <w:rPr>
          <w:b/>
          <w:bCs/>
        </w:rPr>
      </w:pPr>
      <w:bookmarkStart w:id="132" w:name="_Toc36560355"/>
      <w:r>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8</w:t>
      </w:r>
      <w:r w:rsidR="00B435A7">
        <w:rPr>
          <w:noProof/>
        </w:rPr>
        <w:fldChar w:fldCharType="end"/>
      </w:r>
      <w:r>
        <w:t xml:space="preserve">: </w:t>
      </w:r>
      <w:r w:rsidRPr="00033CEE">
        <w:t>% Change in fares for passengers*</w:t>
      </w:r>
      <w:bookmarkEnd w:id="132"/>
    </w:p>
    <w:tbl>
      <w:tblPr>
        <w:tblStyle w:val="GridTable4-Accent6"/>
        <w:tblW w:w="0" w:type="auto"/>
        <w:tblLook w:val="04A0" w:firstRow="1" w:lastRow="0" w:firstColumn="1" w:lastColumn="0" w:noHBand="0" w:noVBand="1"/>
      </w:tblPr>
      <w:tblGrid>
        <w:gridCol w:w="1585"/>
        <w:gridCol w:w="1585"/>
        <w:gridCol w:w="1787"/>
        <w:gridCol w:w="1842"/>
        <w:gridCol w:w="2127"/>
      </w:tblGrid>
      <w:tr w:rsidR="00493E36" w14:paraId="3EB6DF0C" w14:textId="77777777" w:rsidTr="00070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4A034BF7" w14:textId="77777777" w:rsidR="00493E36" w:rsidRPr="00EF5A1D" w:rsidRDefault="00493E36" w:rsidP="004406F5">
            <w:pPr>
              <w:rPr>
                <w:b w:val="0"/>
                <w:color w:val="FFFFFF" w:themeColor="background1"/>
              </w:rPr>
            </w:pPr>
            <w:r w:rsidRPr="00EF5A1D">
              <w:rPr>
                <w:b w:val="0"/>
                <w:color w:val="FFFFFF" w:themeColor="background1"/>
              </w:rPr>
              <w:t>Option</w:t>
            </w:r>
          </w:p>
        </w:tc>
        <w:tc>
          <w:tcPr>
            <w:tcW w:w="3372" w:type="dxa"/>
            <w:gridSpan w:val="2"/>
          </w:tcPr>
          <w:p w14:paraId="7B862EB3" w14:textId="662C4300" w:rsidR="00493E36" w:rsidRPr="00EF5A1D" w:rsidRDefault="000758E6" w:rsidP="004406F5">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b w:val="0"/>
                <w:color w:val="FFFFFF" w:themeColor="background1"/>
              </w:rPr>
              <w:t xml:space="preserve">% </w:t>
            </w:r>
            <w:r w:rsidR="00493E36" w:rsidRPr="00EF5A1D">
              <w:rPr>
                <w:b w:val="0"/>
                <w:color w:val="FFFFFF" w:themeColor="background1"/>
              </w:rPr>
              <w:t>Change in fare, one cruise</w:t>
            </w:r>
          </w:p>
        </w:tc>
        <w:tc>
          <w:tcPr>
            <w:tcW w:w="3969" w:type="dxa"/>
            <w:gridSpan w:val="2"/>
          </w:tcPr>
          <w:p w14:paraId="65BA7F69" w14:textId="663004E3" w:rsidR="00493E36" w:rsidRPr="00EF5A1D" w:rsidRDefault="000758E6" w:rsidP="004406F5">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b w:val="0"/>
                <w:color w:val="FFFFFF" w:themeColor="background1"/>
              </w:rPr>
              <w:t xml:space="preserve">% </w:t>
            </w:r>
            <w:r w:rsidR="000B1580">
              <w:rPr>
                <w:b w:val="0"/>
                <w:color w:val="FFFFFF" w:themeColor="background1"/>
              </w:rPr>
              <w:t>C</w:t>
            </w:r>
            <w:r w:rsidR="00493E36" w:rsidRPr="00EF5A1D">
              <w:rPr>
                <w:b w:val="0"/>
                <w:color w:val="FFFFFF" w:themeColor="background1"/>
              </w:rPr>
              <w:t>hange in fare, multiple cruises</w:t>
            </w:r>
          </w:p>
        </w:tc>
      </w:tr>
      <w:tr w:rsidR="00493E36" w14:paraId="6A112751" w14:textId="77777777" w:rsidTr="00070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0897AB86" w14:textId="77777777" w:rsidR="00493E36" w:rsidRPr="00C80843" w:rsidRDefault="00493E36" w:rsidP="004406F5">
            <w:pPr>
              <w:rPr>
                <w:b w:val="0"/>
              </w:rPr>
            </w:pPr>
          </w:p>
        </w:tc>
        <w:tc>
          <w:tcPr>
            <w:tcW w:w="1585" w:type="dxa"/>
          </w:tcPr>
          <w:p w14:paraId="3D9BF731" w14:textId="77777777" w:rsidR="00493E36" w:rsidRPr="00C80843" w:rsidRDefault="00493E36" w:rsidP="004406F5">
            <w:pPr>
              <w:cnfStyle w:val="000000100000" w:firstRow="0" w:lastRow="0" w:firstColumn="0" w:lastColumn="0" w:oddVBand="0" w:evenVBand="0" w:oddHBand="1" w:evenHBand="0" w:firstRowFirstColumn="0" w:firstRowLastColumn="0" w:lastRowFirstColumn="0" w:lastRowLastColumn="0"/>
              <w:rPr>
                <w:b/>
                <w:bCs/>
              </w:rPr>
            </w:pPr>
            <w:r w:rsidRPr="00C80843">
              <w:rPr>
                <w:b/>
                <w:bCs/>
              </w:rPr>
              <w:t>$300 insurance</w:t>
            </w:r>
          </w:p>
        </w:tc>
        <w:tc>
          <w:tcPr>
            <w:tcW w:w="1787" w:type="dxa"/>
          </w:tcPr>
          <w:p w14:paraId="2366DF88" w14:textId="77777777" w:rsidR="00493E36" w:rsidRPr="00C80843" w:rsidRDefault="00493E36" w:rsidP="004406F5">
            <w:pPr>
              <w:cnfStyle w:val="000000100000" w:firstRow="0" w:lastRow="0" w:firstColumn="0" w:lastColumn="0" w:oddVBand="0" w:evenVBand="0" w:oddHBand="1" w:evenHBand="0" w:firstRowFirstColumn="0" w:firstRowLastColumn="0" w:lastRowFirstColumn="0" w:lastRowLastColumn="0"/>
              <w:rPr>
                <w:b/>
                <w:bCs/>
              </w:rPr>
            </w:pPr>
            <w:r w:rsidRPr="00C80843">
              <w:rPr>
                <w:b/>
                <w:bCs/>
              </w:rPr>
              <w:t xml:space="preserve">$500 insurance </w:t>
            </w:r>
          </w:p>
        </w:tc>
        <w:tc>
          <w:tcPr>
            <w:tcW w:w="1842" w:type="dxa"/>
          </w:tcPr>
          <w:p w14:paraId="3C9A17E2" w14:textId="77777777" w:rsidR="00493E36" w:rsidRPr="00C80843" w:rsidRDefault="00493E36" w:rsidP="004406F5">
            <w:pPr>
              <w:cnfStyle w:val="000000100000" w:firstRow="0" w:lastRow="0" w:firstColumn="0" w:lastColumn="0" w:oddVBand="0" w:evenVBand="0" w:oddHBand="1" w:evenHBand="0" w:firstRowFirstColumn="0" w:firstRowLastColumn="0" w:lastRowFirstColumn="0" w:lastRowLastColumn="0"/>
              <w:rPr>
                <w:b/>
                <w:bCs/>
              </w:rPr>
            </w:pPr>
            <w:r w:rsidRPr="00C80843">
              <w:rPr>
                <w:b/>
                <w:bCs/>
              </w:rPr>
              <w:t xml:space="preserve">$300 insurance </w:t>
            </w:r>
          </w:p>
        </w:tc>
        <w:tc>
          <w:tcPr>
            <w:tcW w:w="2127" w:type="dxa"/>
          </w:tcPr>
          <w:p w14:paraId="7E930AC5" w14:textId="77777777" w:rsidR="00493E36" w:rsidRPr="00C80843" w:rsidRDefault="00493E36" w:rsidP="004406F5">
            <w:pPr>
              <w:cnfStyle w:val="000000100000" w:firstRow="0" w:lastRow="0" w:firstColumn="0" w:lastColumn="0" w:oddVBand="0" w:evenVBand="0" w:oddHBand="1" w:evenHBand="0" w:firstRowFirstColumn="0" w:firstRowLastColumn="0" w:lastRowFirstColumn="0" w:lastRowLastColumn="0"/>
              <w:rPr>
                <w:b/>
                <w:bCs/>
              </w:rPr>
            </w:pPr>
            <w:r w:rsidRPr="00C80843">
              <w:rPr>
                <w:b/>
                <w:bCs/>
              </w:rPr>
              <w:t>$500 insurance</w:t>
            </w:r>
          </w:p>
        </w:tc>
      </w:tr>
      <w:tr w:rsidR="00760092" w14:paraId="0312BC78" w14:textId="77777777" w:rsidTr="000702B5">
        <w:tc>
          <w:tcPr>
            <w:cnfStyle w:val="001000000000" w:firstRow="0" w:lastRow="0" w:firstColumn="1" w:lastColumn="0" w:oddVBand="0" w:evenVBand="0" w:oddHBand="0" w:evenHBand="0" w:firstRowFirstColumn="0" w:firstRowLastColumn="0" w:lastRowFirstColumn="0" w:lastRowLastColumn="0"/>
            <w:tcW w:w="1585" w:type="dxa"/>
          </w:tcPr>
          <w:p w14:paraId="2F1E4317" w14:textId="77777777" w:rsidR="00760092" w:rsidRDefault="00760092" w:rsidP="00760092">
            <w:r>
              <w:t>2</w:t>
            </w:r>
          </w:p>
        </w:tc>
        <w:tc>
          <w:tcPr>
            <w:tcW w:w="1585" w:type="dxa"/>
          </w:tcPr>
          <w:p w14:paraId="37009C14" w14:textId="3BCC707D" w:rsidR="00760092" w:rsidRDefault="00D8309D" w:rsidP="00760092">
            <w:pPr>
              <w:cnfStyle w:val="000000000000" w:firstRow="0" w:lastRow="0" w:firstColumn="0" w:lastColumn="0" w:oddVBand="0" w:evenVBand="0" w:oddHBand="0" w:evenHBand="0" w:firstRowFirstColumn="0" w:firstRowLastColumn="0" w:lastRowFirstColumn="0" w:lastRowLastColumn="0"/>
            </w:pPr>
            <w:r>
              <w:t>9</w:t>
            </w:r>
            <w:r w:rsidR="00760092" w:rsidRPr="00DB499C">
              <w:t>%</w:t>
            </w:r>
          </w:p>
        </w:tc>
        <w:tc>
          <w:tcPr>
            <w:tcW w:w="1787" w:type="dxa"/>
          </w:tcPr>
          <w:p w14:paraId="2D707320" w14:textId="5544DEBA" w:rsidR="00760092" w:rsidRDefault="00760092" w:rsidP="00760092">
            <w:pPr>
              <w:cnfStyle w:val="000000000000" w:firstRow="0" w:lastRow="0" w:firstColumn="0" w:lastColumn="0" w:oddVBand="0" w:evenVBand="0" w:oddHBand="0" w:evenHBand="0" w:firstRowFirstColumn="0" w:firstRowLastColumn="0" w:lastRowFirstColumn="0" w:lastRowLastColumn="0"/>
            </w:pPr>
            <w:r w:rsidRPr="00DB499C">
              <w:t>14.5%</w:t>
            </w:r>
          </w:p>
        </w:tc>
        <w:tc>
          <w:tcPr>
            <w:tcW w:w="1842" w:type="dxa"/>
          </w:tcPr>
          <w:p w14:paraId="4DFD4D85" w14:textId="5A3DC670" w:rsidR="00760092" w:rsidRDefault="00760092" w:rsidP="00760092">
            <w:pPr>
              <w:cnfStyle w:val="000000000000" w:firstRow="0" w:lastRow="0" w:firstColumn="0" w:lastColumn="0" w:oddVBand="0" w:evenVBand="0" w:oddHBand="0" w:evenHBand="0" w:firstRowFirstColumn="0" w:firstRowLastColumn="0" w:lastRowFirstColumn="0" w:lastRowLastColumn="0"/>
            </w:pPr>
            <w:r w:rsidRPr="00A134D4">
              <w:t>0.</w:t>
            </w:r>
            <w:r w:rsidR="003642ED">
              <w:t>5</w:t>
            </w:r>
            <w:r w:rsidRPr="00A134D4">
              <w:t>%</w:t>
            </w:r>
          </w:p>
        </w:tc>
        <w:tc>
          <w:tcPr>
            <w:tcW w:w="2127" w:type="dxa"/>
          </w:tcPr>
          <w:p w14:paraId="0993B851" w14:textId="165387A5" w:rsidR="00760092" w:rsidRDefault="00760092" w:rsidP="00760092">
            <w:pPr>
              <w:cnfStyle w:val="000000000000" w:firstRow="0" w:lastRow="0" w:firstColumn="0" w:lastColumn="0" w:oddVBand="0" w:evenVBand="0" w:oddHBand="0" w:evenHBand="0" w:firstRowFirstColumn="0" w:firstRowLastColumn="0" w:lastRowFirstColumn="0" w:lastRowLastColumn="0"/>
            </w:pPr>
            <w:r w:rsidRPr="00A134D4">
              <w:t>0.</w:t>
            </w:r>
            <w:r w:rsidR="003642ED">
              <w:t>5</w:t>
            </w:r>
            <w:r w:rsidRPr="00A134D4">
              <w:t>%</w:t>
            </w:r>
          </w:p>
        </w:tc>
      </w:tr>
      <w:tr w:rsidR="00760092" w14:paraId="126CB25F" w14:textId="77777777" w:rsidTr="00070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00D4EE30" w14:textId="77777777" w:rsidR="00760092" w:rsidRDefault="00760092" w:rsidP="00760092">
            <w:r>
              <w:t>3a – Tier 1</w:t>
            </w:r>
          </w:p>
        </w:tc>
        <w:tc>
          <w:tcPr>
            <w:tcW w:w="1585" w:type="dxa"/>
          </w:tcPr>
          <w:p w14:paraId="03C24976" w14:textId="79A9CFA0" w:rsidR="00760092" w:rsidRDefault="00760092" w:rsidP="00760092">
            <w:pPr>
              <w:cnfStyle w:val="000000100000" w:firstRow="0" w:lastRow="0" w:firstColumn="0" w:lastColumn="0" w:oddVBand="0" w:evenVBand="0" w:oddHBand="1" w:evenHBand="0" w:firstRowFirstColumn="0" w:firstRowLastColumn="0" w:lastRowFirstColumn="0" w:lastRowLastColumn="0"/>
            </w:pPr>
            <w:r w:rsidRPr="00DB499C">
              <w:t>1</w:t>
            </w:r>
            <w:r w:rsidR="00A134D4">
              <w:t>3</w:t>
            </w:r>
            <w:r w:rsidRPr="00DB499C">
              <w:t>%</w:t>
            </w:r>
          </w:p>
        </w:tc>
        <w:tc>
          <w:tcPr>
            <w:tcW w:w="1787" w:type="dxa"/>
          </w:tcPr>
          <w:p w14:paraId="4F88E9CF" w14:textId="42FCBDA5" w:rsidR="00760092" w:rsidRDefault="00760092" w:rsidP="00760092">
            <w:pPr>
              <w:cnfStyle w:val="000000100000" w:firstRow="0" w:lastRow="0" w:firstColumn="0" w:lastColumn="0" w:oddVBand="0" w:evenVBand="0" w:oddHBand="1" w:evenHBand="0" w:firstRowFirstColumn="0" w:firstRowLastColumn="0" w:lastRowFirstColumn="0" w:lastRowLastColumn="0"/>
            </w:pPr>
            <w:r w:rsidRPr="00DB499C">
              <w:t>21.</w:t>
            </w:r>
            <w:r w:rsidR="00D8309D">
              <w:t>5</w:t>
            </w:r>
            <w:r w:rsidRPr="00DB499C">
              <w:t>%</w:t>
            </w:r>
          </w:p>
        </w:tc>
        <w:tc>
          <w:tcPr>
            <w:tcW w:w="1842" w:type="dxa"/>
          </w:tcPr>
          <w:p w14:paraId="527E8EE2" w14:textId="0DCFB7FD" w:rsidR="00760092" w:rsidRDefault="00760092" w:rsidP="00760092">
            <w:pPr>
              <w:cnfStyle w:val="000000100000" w:firstRow="0" w:lastRow="0" w:firstColumn="0" w:lastColumn="0" w:oddVBand="0" w:evenVBand="0" w:oddHBand="1" w:evenHBand="0" w:firstRowFirstColumn="0" w:firstRowLastColumn="0" w:lastRowFirstColumn="0" w:lastRowLastColumn="0"/>
            </w:pPr>
            <w:r w:rsidRPr="00A134D4">
              <w:t>0.</w:t>
            </w:r>
            <w:r w:rsidR="003642ED">
              <w:t>5</w:t>
            </w:r>
            <w:r w:rsidRPr="00A134D4">
              <w:t>%</w:t>
            </w:r>
          </w:p>
        </w:tc>
        <w:tc>
          <w:tcPr>
            <w:tcW w:w="2127" w:type="dxa"/>
          </w:tcPr>
          <w:p w14:paraId="5C3C5A9A" w14:textId="7242E59C" w:rsidR="00760092" w:rsidRDefault="00760092" w:rsidP="00760092">
            <w:pPr>
              <w:cnfStyle w:val="000000100000" w:firstRow="0" w:lastRow="0" w:firstColumn="0" w:lastColumn="0" w:oddVBand="0" w:evenVBand="0" w:oddHBand="1" w:evenHBand="0" w:firstRowFirstColumn="0" w:firstRowLastColumn="0" w:lastRowFirstColumn="0" w:lastRowLastColumn="0"/>
            </w:pPr>
            <w:r w:rsidRPr="00A134D4">
              <w:t>0.</w:t>
            </w:r>
            <w:r w:rsidR="003642ED">
              <w:t>5</w:t>
            </w:r>
            <w:r w:rsidRPr="00A134D4">
              <w:t>%</w:t>
            </w:r>
          </w:p>
        </w:tc>
      </w:tr>
      <w:tr w:rsidR="00760092" w14:paraId="175BD347" w14:textId="77777777" w:rsidTr="000702B5">
        <w:tc>
          <w:tcPr>
            <w:cnfStyle w:val="001000000000" w:firstRow="0" w:lastRow="0" w:firstColumn="1" w:lastColumn="0" w:oddVBand="0" w:evenVBand="0" w:oddHBand="0" w:evenHBand="0" w:firstRowFirstColumn="0" w:firstRowLastColumn="0" w:lastRowFirstColumn="0" w:lastRowLastColumn="0"/>
            <w:tcW w:w="1585" w:type="dxa"/>
          </w:tcPr>
          <w:p w14:paraId="6F03939E" w14:textId="77777777" w:rsidR="00760092" w:rsidRDefault="00760092" w:rsidP="00760092">
            <w:r>
              <w:t>3a – Tier 2</w:t>
            </w:r>
          </w:p>
        </w:tc>
        <w:tc>
          <w:tcPr>
            <w:tcW w:w="1585" w:type="dxa"/>
          </w:tcPr>
          <w:p w14:paraId="7742FB92" w14:textId="2139D6D9" w:rsidR="00760092" w:rsidRDefault="00760092" w:rsidP="00760092">
            <w:pPr>
              <w:cnfStyle w:val="000000000000" w:firstRow="0" w:lastRow="0" w:firstColumn="0" w:lastColumn="0" w:oddVBand="0" w:evenVBand="0" w:oddHBand="0" w:evenHBand="0" w:firstRowFirstColumn="0" w:firstRowLastColumn="0" w:lastRowFirstColumn="0" w:lastRowLastColumn="0"/>
            </w:pPr>
            <w:r w:rsidRPr="00DB499C">
              <w:t>21.</w:t>
            </w:r>
            <w:r w:rsidR="00D8309D">
              <w:t>5</w:t>
            </w:r>
            <w:r w:rsidRPr="00DB499C">
              <w:t>%</w:t>
            </w:r>
          </w:p>
        </w:tc>
        <w:tc>
          <w:tcPr>
            <w:tcW w:w="1787" w:type="dxa"/>
          </w:tcPr>
          <w:p w14:paraId="5FBA14E3" w14:textId="3A0A706D" w:rsidR="00760092" w:rsidRDefault="00760092" w:rsidP="00760092">
            <w:pPr>
              <w:cnfStyle w:val="000000000000" w:firstRow="0" w:lastRow="0" w:firstColumn="0" w:lastColumn="0" w:oddVBand="0" w:evenVBand="0" w:oddHBand="0" w:evenHBand="0" w:firstRowFirstColumn="0" w:firstRowLastColumn="0" w:lastRowFirstColumn="0" w:lastRowLastColumn="0"/>
            </w:pPr>
            <w:r w:rsidRPr="00DB499C">
              <w:t>35.</w:t>
            </w:r>
            <w:r w:rsidR="00D8309D">
              <w:t>5</w:t>
            </w:r>
            <w:r w:rsidRPr="00DB499C">
              <w:t>%</w:t>
            </w:r>
          </w:p>
        </w:tc>
        <w:tc>
          <w:tcPr>
            <w:tcW w:w="1842" w:type="dxa"/>
          </w:tcPr>
          <w:p w14:paraId="00C02442" w14:textId="3DC17FD3" w:rsidR="00760092" w:rsidRDefault="00760092" w:rsidP="00760092">
            <w:pPr>
              <w:cnfStyle w:val="000000000000" w:firstRow="0" w:lastRow="0" w:firstColumn="0" w:lastColumn="0" w:oddVBand="0" w:evenVBand="0" w:oddHBand="0" w:evenHBand="0" w:firstRowFirstColumn="0" w:firstRowLastColumn="0" w:lastRowFirstColumn="0" w:lastRowLastColumn="0"/>
            </w:pPr>
            <w:r w:rsidRPr="00A134D4">
              <w:t>0.</w:t>
            </w:r>
            <w:r w:rsidR="003642ED">
              <w:t>5</w:t>
            </w:r>
            <w:r w:rsidRPr="00A134D4">
              <w:t>%</w:t>
            </w:r>
          </w:p>
        </w:tc>
        <w:tc>
          <w:tcPr>
            <w:tcW w:w="2127" w:type="dxa"/>
          </w:tcPr>
          <w:p w14:paraId="663B98A5" w14:textId="0B6F74F5" w:rsidR="00760092" w:rsidRDefault="00760092" w:rsidP="00760092">
            <w:pPr>
              <w:cnfStyle w:val="000000000000" w:firstRow="0" w:lastRow="0" w:firstColumn="0" w:lastColumn="0" w:oddVBand="0" w:evenVBand="0" w:oddHBand="0" w:evenHBand="0" w:firstRowFirstColumn="0" w:firstRowLastColumn="0" w:lastRowFirstColumn="0" w:lastRowLastColumn="0"/>
            </w:pPr>
            <w:r w:rsidRPr="00A134D4">
              <w:t>1%</w:t>
            </w:r>
          </w:p>
        </w:tc>
      </w:tr>
      <w:tr w:rsidR="00EF637A" w14:paraId="0FC3E4CD" w14:textId="77777777" w:rsidTr="00070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38C507DC" w14:textId="77777777" w:rsidR="00EF637A" w:rsidRDefault="00EF637A" w:rsidP="00EF637A">
            <w:r>
              <w:t>3b – Tier 1</w:t>
            </w:r>
          </w:p>
        </w:tc>
        <w:tc>
          <w:tcPr>
            <w:tcW w:w="1585" w:type="dxa"/>
          </w:tcPr>
          <w:p w14:paraId="79CB5E2E" w14:textId="07B56734" w:rsidR="00EF637A" w:rsidRDefault="00C93D26" w:rsidP="00EF637A">
            <w:pPr>
              <w:cnfStyle w:val="000000100000" w:firstRow="0" w:lastRow="0" w:firstColumn="0" w:lastColumn="0" w:oddVBand="0" w:evenVBand="0" w:oddHBand="1" w:evenHBand="0" w:firstRowFirstColumn="0" w:firstRowLastColumn="0" w:lastRowFirstColumn="0" w:lastRowLastColumn="0"/>
            </w:pPr>
            <w:r>
              <w:t>1</w:t>
            </w:r>
            <w:r w:rsidR="00D8309D">
              <w:t>3</w:t>
            </w:r>
            <w:r>
              <w:t>%</w:t>
            </w:r>
          </w:p>
        </w:tc>
        <w:tc>
          <w:tcPr>
            <w:tcW w:w="1787" w:type="dxa"/>
          </w:tcPr>
          <w:p w14:paraId="09E9140F" w14:textId="6A57D248" w:rsidR="00EF637A" w:rsidRDefault="008F5236" w:rsidP="00EF637A">
            <w:pPr>
              <w:cnfStyle w:val="000000100000" w:firstRow="0" w:lastRow="0" w:firstColumn="0" w:lastColumn="0" w:oddVBand="0" w:evenVBand="0" w:oddHBand="1" w:evenHBand="0" w:firstRowFirstColumn="0" w:firstRowLastColumn="0" w:lastRowFirstColumn="0" w:lastRowLastColumn="0"/>
            </w:pPr>
            <w:r>
              <w:t>21.</w:t>
            </w:r>
            <w:r w:rsidR="00D8309D">
              <w:t>5</w:t>
            </w:r>
            <w:r>
              <w:t>%</w:t>
            </w:r>
          </w:p>
        </w:tc>
        <w:tc>
          <w:tcPr>
            <w:tcW w:w="1842" w:type="dxa"/>
          </w:tcPr>
          <w:p w14:paraId="4DB334FA" w14:textId="2A431F6A" w:rsidR="00EF637A" w:rsidRDefault="00760092" w:rsidP="00EF637A">
            <w:pPr>
              <w:cnfStyle w:val="000000100000" w:firstRow="0" w:lastRow="0" w:firstColumn="0" w:lastColumn="0" w:oddVBand="0" w:evenVBand="0" w:oddHBand="1" w:evenHBand="0" w:firstRowFirstColumn="0" w:firstRowLastColumn="0" w:lastRowFirstColumn="0" w:lastRowLastColumn="0"/>
            </w:pPr>
            <w:r>
              <w:t>0.</w:t>
            </w:r>
            <w:r w:rsidR="003642ED">
              <w:t>5</w:t>
            </w:r>
            <w:r>
              <w:t>%</w:t>
            </w:r>
          </w:p>
        </w:tc>
        <w:tc>
          <w:tcPr>
            <w:tcW w:w="2127" w:type="dxa"/>
          </w:tcPr>
          <w:p w14:paraId="6F043721" w14:textId="0AE31A59" w:rsidR="00EF637A" w:rsidRDefault="00760092" w:rsidP="00EF637A">
            <w:pPr>
              <w:cnfStyle w:val="000000100000" w:firstRow="0" w:lastRow="0" w:firstColumn="0" w:lastColumn="0" w:oddVBand="0" w:evenVBand="0" w:oddHBand="1" w:evenHBand="0" w:firstRowFirstColumn="0" w:firstRowLastColumn="0" w:lastRowFirstColumn="0" w:lastRowLastColumn="0"/>
            </w:pPr>
            <w:r>
              <w:t>0</w:t>
            </w:r>
            <w:r w:rsidR="003642ED">
              <w:t>.5</w:t>
            </w:r>
            <w:r>
              <w:t>%</w:t>
            </w:r>
          </w:p>
        </w:tc>
      </w:tr>
      <w:tr w:rsidR="00493E36" w14:paraId="1C7433A4" w14:textId="77777777" w:rsidTr="000702B5">
        <w:tc>
          <w:tcPr>
            <w:cnfStyle w:val="001000000000" w:firstRow="0" w:lastRow="0" w:firstColumn="1" w:lastColumn="0" w:oddVBand="0" w:evenVBand="0" w:oddHBand="0" w:evenHBand="0" w:firstRowFirstColumn="0" w:firstRowLastColumn="0" w:lastRowFirstColumn="0" w:lastRowLastColumn="0"/>
            <w:tcW w:w="1585" w:type="dxa"/>
          </w:tcPr>
          <w:p w14:paraId="692D5108" w14:textId="77777777" w:rsidR="00493E36" w:rsidRDefault="00493E36" w:rsidP="004406F5">
            <w:r>
              <w:t>3b – Tier 2</w:t>
            </w:r>
          </w:p>
        </w:tc>
        <w:tc>
          <w:tcPr>
            <w:tcW w:w="1585" w:type="dxa"/>
          </w:tcPr>
          <w:p w14:paraId="0A8A8177" w14:textId="77777777" w:rsidR="00493E36" w:rsidRDefault="00493E36" w:rsidP="004406F5">
            <w:pPr>
              <w:cnfStyle w:val="000000000000" w:firstRow="0" w:lastRow="0" w:firstColumn="0" w:lastColumn="0" w:oddVBand="0" w:evenVBand="0" w:oddHBand="0" w:evenHBand="0" w:firstRowFirstColumn="0" w:firstRowLastColumn="0" w:lastRowFirstColumn="0" w:lastRowLastColumn="0"/>
            </w:pPr>
            <w:r w:rsidRPr="00C80843">
              <w:t>Uncertain</w:t>
            </w:r>
          </w:p>
        </w:tc>
        <w:tc>
          <w:tcPr>
            <w:tcW w:w="1787" w:type="dxa"/>
          </w:tcPr>
          <w:p w14:paraId="7E9578BC" w14:textId="77777777" w:rsidR="00493E36" w:rsidRDefault="00493E36" w:rsidP="004406F5">
            <w:pPr>
              <w:cnfStyle w:val="000000000000" w:firstRow="0" w:lastRow="0" w:firstColumn="0" w:lastColumn="0" w:oddVBand="0" w:evenVBand="0" w:oddHBand="0" w:evenHBand="0" w:firstRowFirstColumn="0" w:firstRowLastColumn="0" w:lastRowFirstColumn="0" w:lastRowLastColumn="0"/>
            </w:pPr>
            <w:r w:rsidRPr="00C80843">
              <w:t xml:space="preserve">Uncertain </w:t>
            </w:r>
          </w:p>
        </w:tc>
        <w:tc>
          <w:tcPr>
            <w:tcW w:w="1842" w:type="dxa"/>
          </w:tcPr>
          <w:p w14:paraId="4745C194" w14:textId="77777777" w:rsidR="00493E36" w:rsidRDefault="00493E36" w:rsidP="004406F5">
            <w:pPr>
              <w:cnfStyle w:val="000000000000" w:firstRow="0" w:lastRow="0" w:firstColumn="0" w:lastColumn="0" w:oddVBand="0" w:evenVBand="0" w:oddHBand="0" w:evenHBand="0" w:firstRowFirstColumn="0" w:firstRowLastColumn="0" w:lastRowFirstColumn="0" w:lastRowLastColumn="0"/>
            </w:pPr>
            <w:r w:rsidRPr="00C80843">
              <w:t xml:space="preserve">Uncertain </w:t>
            </w:r>
          </w:p>
        </w:tc>
        <w:tc>
          <w:tcPr>
            <w:tcW w:w="2127" w:type="dxa"/>
          </w:tcPr>
          <w:p w14:paraId="5A201937" w14:textId="77777777" w:rsidR="00493E36" w:rsidRDefault="00493E36" w:rsidP="004406F5">
            <w:pPr>
              <w:cnfStyle w:val="000000000000" w:firstRow="0" w:lastRow="0" w:firstColumn="0" w:lastColumn="0" w:oddVBand="0" w:evenVBand="0" w:oddHBand="0" w:evenHBand="0" w:firstRowFirstColumn="0" w:firstRowLastColumn="0" w:lastRowFirstColumn="0" w:lastRowLastColumn="0"/>
            </w:pPr>
            <w:r w:rsidRPr="00C80843">
              <w:t xml:space="preserve">Uncertain </w:t>
            </w:r>
          </w:p>
        </w:tc>
      </w:tr>
    </w:tbl>
    <w:p w14:paraId="73D83F5A" w14:textId="3684C061" w:rsidR="00493E36" w:rsidRDefault="00122F81" w:rsidP="00122F81">
      <w:r>
        <w:t>*Values shown are rounded to the nearest 0.5%</w:t>
      </w:r>
    </w:p>
    <w:p w14:paraId="0EE515A1" w14:textId="77777777" w:rsidR="009054A7" w:rsidRDefault="009054A7" w:rsidP="009054A7">
      <w:pPr>
        <w:jc w:val="left"/>
        <w:rPr>
          <w:color w:val="auto"/>
        </w:rPr>
      </w:pPr>
      <w:r>
        <w:t>The average fare for an 8-day cruise is $1,120</w:t>
      </w:r>
      <w:r>
        <w:rPr>
          <w:rStyle w:val="FootnoteReference"/>
        </w:rPr>
        <w:footnoteReference w:id="30"/>
      </w:r>
      <w:r>
        <w:t xml:space="preserve">. The increases shown above range from 9% to 36% of the total fare when the cost is paid by only one cruise, or 0.26% to 1.04% when shared between multiple cruises. The more voyages a ship does per year, the more the cost will be able to be shared between passengers, placing a lower impact on the fare increase.  </w:t>
      </w:r>
      <w:r w:rsidRPr="003977BB">
        <w:rPr>
          <w:color w:val="auto"/>
        </w:rPr>
        <w:t xml:space="preserve">It is unlikely that a cruise ship will only do one trip per year so we would expect the costs to be closer to the multiple trips option than the one cruise only option. </w:t>
      </w:r>
      <w:r w:rsidRPr="009E43B3">
        <w:rPr>
          <w:color w:val="auto"/>
        </w:rPr>
        <w:t>Whilst this is a disbenefit to passengers</w:t>
      </w:r>
      <w:r w:rsidRPr="0060630A">
        <w:rPr>
          <w:color w:val="auto"/>
        </w:rPr>
        <w:t xml:space="preserve">, it is relatively small in comparison to the total cost of their cruise. </w:t>
      </w:r>
    </w:p>
    <w:p w14:paraId="057B8CA5" w14:textId="77777777" w:rsidR="009054A7" w:rsidRPr="003258C0" w:rsidRDefault="009054A7" w:rsidP="009054A7">
      <w:pPr>
        <w:jc w:val="left"/>
      </w:pPr>
      <w:r>
        <w:t xml:space="preserve">In the event that a passenger has an incident and needs to lodge a claim, there are several differences between the current regulation and the options presented where Australia would accede to Athens. These affect the effort and ability to make a claim, the potential payout a claimant would receive and the likelihood that compensation is paid. </w:t>
      </w:r>
    </w:p>
    <w:p w14:paraId="6FCF5088" w14:textId="1D10ACC5" w:rsidR="009054A7" w:rsidRDefault="009054A7" w:rsidP="009054A7">
      <w:pPr>
        <w:jc w:val="left"/>
      </w:pPr>
      <w:r>
        <w:rPr>
          <w:b/>
          <w:bCs/>
        </w:rPr>
        <w:t xml:space="preserve">Effort of claiming: </w:t>
      </w:r>
      <w:r>
        <w:t xml:space="preserve">One of the main differences between current legislation and the Athens Convention is where the burden of proof falls. Under </w:t>
      </w:r>
      <w:r w:rsidR="004B1556">
        <w:t xml:space="preserve">the </w:t>
      </w:r>
      <w:r>
        <w:t xml:space="preserve">current LLMC Protocol, the passenger making a claim must prove that the cruise company where the incident occurred was at fault and/or negligent. In contrast, under the Athens Convention </w:t>
      </w:r>
      <w:r w:rsidR="00DA7D01">
        <w:t xml:space="preserve">2002 </w:t>
      </w:r>
      <w:r>
        <w:t xml:space="preserve">the burden of proof falls to the cruise company to demonstrate that they were not negligent. This means that the effort required by a passenger to submit a claim would be lower. </w:t>
      </w:r>
    </w:p>
    <w:p w14:paraId="78CDED1E" w14:textId="4C5F3484" w:rsidR="009054A7" w:rsidRDefault="009054A7" w:rsidP="009054A7">
      <w:pPr>
        <w:jc w:val="left"/>
        <w:rPr>
          <w:color w:val="auto"/>
        </w:rPr>
      </w:pPr>
      <w:r>
        <w:t xml:space="preserve">One scenario is to assume that it would </w:t>
      </w:r>
      <w:r w:rsidRPr="003977BB">
        <w:rPr>
          <w:color w:val="auto"/>
        </w:rPr>
        <w:t xml:space="preserve">take approximately 5 days of effort from </w:t>
      </w:r>
      <w:r>
        <w:rPr>
          <w:color w:val="auto"/>
        </w:rPr>
        <w:t>an</w:t>
      </w:r>
      <w:r w:rsidRPr="003977BB">
        <w:rPr>
          <w:color w:val="auto"/>
        </w:rPr>
        <w:t xml:space="preserve"> individual </w:t>
      </w:r>
      <w:r>
        <w:rPr>
          <w:color w:val="auto"/>
        </w:rPr>
        <w:t xml:space="preserve">to </w:t>
      </w:r>
      <w:r w:rsidRPr="003977BB">
        <w:rPr>
          <w:color w:val="auto"/>
        </w:rPr>
        <w:t>submit a claim under the current set-up. This includes time to gather evidence</w:t>
      </w:r>
      <w:r>
        <w:t xml:space="preserve">, </w:t>
      </w:r>
      <w:r w:rsidRPr="000C35AF">
        <w:rPr>
          <w:color w:val="auto"/>
        </w:rPr>
        <w:t>meet with lawyers, prepare any paperwork and potentially attend court hearings. Assuming average weekly earnings of $1</w:t>
      </w:r>
      <w:r>
        <w:rPr>
          <w:color w:val="auto"/>
        </w:rPr>
        <w:t>,</w:t>
      </w:r>
      <w:r w:rsidRPr="000C35AF">
        <w:rPr>
          <w:color w:val="auto"/>
        </w:rPr>
        <w:t>659</w:t>
      </w:r>
      <w:r w:rsidRPr="000C35AF">
        <w:rPr>
          <w:rStyle w:val="FootnoteReference"/>
          <w:color w:val="auto"/>
        </w:rPr>
        <w:footnoteReference w:id="31"/>
      </w:r>
      <w:r w:rsidRPr="000C35AF">
        <w:rPr>
          <w:color w:val="auto"/>
        </w:rPr>
        <w:t xml:space="preserve">, this is approximately the cost to the individual in lost earnings just to place the claim. Under </w:t>
      </w:r>
      <w:r w:rsidR="004B1556">
        <w:rPr>
          <w:color w:val="auto"/>
        </w:rPr>
        <w:t xml:space="preserve">the </w:t>
      </w:r>
      <w:r w:rsidRPr="000C35AF">
        <w:rPr>
          <w:color w:val="auto"/>
        </w:rPr>
        <w:t>Athens Convention, the effort required from an individual to place a claim may be lower (for ship</w:t>
      </w:r>
      <w:r w:rsidR="00207144">
        <w:rPr>
          <w:color w:val="auto"/>
        </w:rPr>
        <w:t>ping</w:t>
      </w:r>
      <w:r w:rsidRPr="000C35AF">
        <w:rPr>
          <w:color w:val="auto"/>
        </w:rPr>
        <w:t xml:space="preserve"> incidents) as the burden of proof lies with the cruise company. The passenger </w:t>
      </w:r>
      <w:r w:rsidR="00BB3866">
        <w:rPr>
          <w:color w:val="auto"/>
        </w:rPr>
        <w:t>can also</w:t>
      </w:r>
      <w:r w:rsidRPr="000C35AF">
        <w:rPr>
          <w:color w:val="auto"/>
        </w:rPr>
        <w:t xml:space="preserve"> place their claim directly with the insurance company if the company is unable to produce payment for damages. As an estimate, this could reduce the cost of making a claim to 2 days effort, or $664 in lost earnings, therefore giving </w:t>
      </w:r>
      <w:r>
        <w:rPr>
          <w:color w:val="auto"/>
        </w:rPr>
        <w:t xml:space="preserve">a </w:t>
      </w:r>
      <w:r w:rsidRPr="000C35AF">
        <w:rPr>
          <w:color w:val="auto"/>
        </w:rPr>
        <w:t xml:space="preserve">$995 benefit to the passenger per claim made. </w:t>
      </w:r>
    </w:p>
    <w:p w14:paraId="72BF7C92" w14:textId="4E6DFACA" w:rsidR="009054A7" w:rsidRPr="00655BFF" w:rsidRDefault="00CD25BE" w:rsidP="00CD25BE">
      <w:pPr>
        <w:pStyle w:val="Caption"/>
        <w:rPr>
          <w:b/>
          <w:bCs/>
        </w:rPr>
      </w:pPr>
      <w:bookmarkStart w:id="133" w:name="_Toc36560356"/>
      <w:r>
        <w:t xml:space="preserve">Table </w:t>
      </w:r>
      <w:r w:rsidR="00B435A7">
        <w:rPr>
          <w:noProof/>
        </w:rPr>
        <w:fldChar w:fldCharType="begin"/>
      </w:r>
      <w:r w:rsidR="00B435A7">
        <w:rPr>
          <w:noProof/>
        </w:rPr>
        <w:instrText xml:space="preserve"> SEQ Table \* ARABIC </w:instrText>
      </w:r>
      <w:r w:rsidR="00B435A7">
        <w:rPr>
          <w:noProof/>
        </w:rPr>
        <w:fldChar w:fldCharType="separate"/>
      </w:r>
      <w:r>
        <w:rPr>
          <w:noProof/>
        </w:rPr>
        <w:t>9</w:t>
      </w:r>
      <w:r w:rsidR="00B435A7">
        <w:rPr>
          <w:noProof/>
        </w:rPr>
        <w:fldChar w:fldCharType="end"/>
      </w:r>
      <w:r>
        <w:t>:</w:t>
      </w:r>
      <w:r w:rsidR="009054A7">
        <w:t xml:space="preserve"> </w:t>
      </w:r>
      <w:r w:rsidR="009054A7" w:rsidRPr="004D1FB2">
        <w:t>Example Lost Earnings in Submitting a Claim</w:t>
      </w:r>
      <w:bookmarkEnd w:id="133"/>
    </w:p>
    <w:tbl>
      <w:tblPr>
        <w:tblStyle w:val="GridTable4-Accent6"/>
        <w:tblW w:w="0" w:type="auto"/>
        <w:tblLook w:val="04A0" w:firstRow="1" w:lastRow="0" w:firstColumn="1" w:lastColumn="0" w:noHBand="0" w:noVBand="1"/>
      </w:tblPr>
      <w:tblGrid>
        <w:gridCol w:w="960"/>
        <w:gridCol w:w="1460"/>
        <w:gridCol w:w="1900"/>
      </w:tblGrid>
      <w:tr w:rsidR="009054A7" w:rsidRPr="004637DF" w14:paraId="103603D5" w14:textId="77777777" w:rsidTr="0028616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1AE5E6" w14:textId="77777777" w:rsidR="009054A7" w:rsidRPr="004637DF" w:rsidRDefault="009054A7" w:rsidP="0069386C"/>
        </w:tc>
        <w:tc>
          <w:tcPr>
            <w:tcW w:w="1460" w:type="dxa"/>
            <w:noWrap/>
            <w:hideMark/>
          </w:tcPr>
          <w:p w14:paraId="1DF281F2" w14:textId="77777777" w:rsidR="009054A7" w:rsidRPr="00286164" w:rsidRDefault="009054A7" w:rsidP="0069386C">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86164">
              <w:rPr>
                <w:b w:val="0"/>
                <w:color w:val="FFFFFF" w:themeColor="background1"/>
              </w:rPr>
              <w:t>Lost workdays</w:t>
            </w:r>
          </w:p>
        </w:tc>
        <w:tc>
          <w:tcPr>
            <w:tcW w:w="1900" w:type="dxa"/>
            <w:noWrap/>
            <w:hideMark/>
          </w:tcPr>
          <w:p w14:paraId="7B6FEF23" w14:textId="77777777" w:rsidR="009054A7" w:rsidRPr="00286164" w:rsidRDefault="009054A7" w:rsidP="0069386C">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86164">
              <w:rPr>
                <w:b w:val="0"/>
                <w:color w:val="FFFFFF" w:themeColor="background1"/>
              </w:rPr>
              <w:t>Lost earnings</w:t>
            </w:r>
          </w:p>
        </w:tc>
      </w:tr>
      <w:tr w:rsidR="009054A7" w:rsidRPr="004637DF" w14:paraId="7DBCBA62" w14:textId="77777777" w:rsidTr="00286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3DCE6F" w14:textId="77777777" w:rsidR="009054A7" w:rsidRPr="004637DF" w:rsidRDefault="009054A7" w:rsidP="0069386C">
            <w:r w:rsidRPr="004637DF">
              <w:t>LLMC</w:t>
            </w:r>
          </w:p>
        </w:tc>
        <w:tc>
          <w:tcPr>
            <w:tcW w:w="1460" w:type="dxa"/>
            <w:noWrap/>
            <w:hideMark/>
          </w:tcPr>
          <w:p w14:paraId="752539CF" w14:textId="77777777" w:rsidR="009054A7" w:rsidRPr="004637DF" w:rsidRDefault="009054A7" w:rsidP="0069386C">
            <w:pPr>
              <w:cnfStyle w:val="000000100000" w:firstRow="0" w:lastRow="0" w:firstColumn="0" w:lastColumn="0" w:oddVBand="0" w:evenVBand="0" w:oddHBand="1" w:evenHBand="0" w:firstRowFirstColumn="0" w:firstRowLastColumn="0" w:lastRowFirstColumn="0" w:lastRowLastColumn="0"/>
            </w:pPr>
            <w:r w:rsidRPr="004637DF">
              <w:t>5</w:t>
            </w:r>
          </w:p>
        </w:tc>
        <w:tc>
          <w:tcPr>
            <w:tcW w:w="1900" w:type="dxa"/>
            <w:noWrap/>
            <w:hideMark/>
          </w:tcPr>
          <w:p w14:paraId="3027B0F7" w14:textId="77777777" w:rsidR="009054A7" w:rsidRPr="004637DF" w:rsidRDefault="009054A7" w:rsidP="0069386C">
            <w:pPr>
              <w:cnfStyle w:val="000000100000" w:firstRow="0" w:lastRow="0" w:firstColumn="0" w:lastColumn="0" w:oddVBand="0" w:evenVBand="0" w:oddHBand="1" w:evenHBand="0" w:firstRowFirstColumn="0" w:firstRowLastColumn="0" w:lastRowFirstColumn="0" w:lastRowLastColumn="0"/>
            </w:pPr>
            <w:r w:rsidRPr="004637DF">
              <w:t xml:space="preserve"> $                1,659 </w:t>
            </w:r>
          </w:p>
        </w:tc>
      </w:tr>
      <w:tr w:rsidR="009054A7" w:rsidRPr="004637DF" w14:paraId="25235637" w14:textId="77777777" w:rsidTr="00286164">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474CD1" w14:textId="77777777" w:rsidR="009054A7" w:rsidRPr="004637DF" w:rsidRDefault="009054A7" w:rsidP="0069386C">
            <w:r w:rsidRPr="004637DF">
              <w:t>Athens</w:t>
            </w:r>
          </w:p>
        </w:tc>
        <w:tc>
          <w:tcPr>
            <w:tcW w:w="1460" w:type="dxa"/>
            <w:noWrap/>
            <w:hideMark/>
          </w:tcPr>
          <w:p w14:paraId="665ADAA5" w14:textId="77777777" w:rsidR="009054A7" w:rsidRPr="004637DF" w:rsidRDefault="009054A7" w:rsidP="0069386C">
            <w:pPr>
              <w:cnfStyle w:val="000000000000" w:firstRow="0" w:lastRow="0" w:firstColumn="0" w:lastColumn="0" w:oddVBand="0" w:evenVBand="0" w:oddHBand="0" w:evenHBand="0" w:firstRowFirstColumn="0" w:firstRowLastColumn="0" w:lastRowFirstColumn="0" w:lastRowLastColumn="0"/>
            </w:pPr>
            <w:r w:rsidRPr="004637DF">
              <w:t>2</w:t>
            </w:r>
          </w:p>
        </w:tc>
        <w:tc>
          <w:tcPr>
            <w:tcW w:w="1900" w:type="dxa"/>
            <w:noWrap/>
            <w:hideMark/>
          </w:tcPr>
          <w:p w14:paraId="4682DB49" w14:textId="77777777" w:rsidR="009054A7" w:rsidRPr="004637DF" w:rsidRDefault="009054A7" w:rsidP="0069386C">
            <w:pPr>
              <w:cnfStyle w:val="000000000000" w:firstRow="0" w:lastRow="0" w:firstColumn="0" w:lastColumn="0" w:oddVBand="0" w:evenVBand="0" w:oddHBand="0" w:evenHBand="0" w:firstRowFirstColumn="0" w:firstRowLastColumn="0" w:lastRowFirstColumn="0" w:lastRowLastColumn="0"/>
            </w:pPr>
            <w:r w:rsidRPr="004637DF">
              <w:t xml:space="preserve"> $                    66</w:t>
            </w:r>
            <w:r>
              <w:t>4</w:t>
            </w:r>
            <w:r w:rsidRPr="004637DF">
              <w:t xml:space="preserve"> </w:t>
            </w:r>
          </w:p>
        </w:tc>
      </w:tr>
    </w:tbl>
    <w:p w14:paraId="57AF3586" w14:textId="77777777" w:rsidR="009054A7" w:rsidRDefault="009054A7" w:rsidP="009054A7"/>
    <w:p w14:paraId="77A542B3" w14:textId="77777777" w:rsidR="009054A7" w:rsidRDefault="009054A7" w:rsidP="009054A7">
      <w:pPr>
        <w:jc w:val="left"/>
      </w:pPr>
      <w:r>
        <w:t>Under Athens, passengers have longer to bring a claim to court compared to the current legislation, which differs by cruise company but is typically only one year.</w:t>
      </w:r>
      <w:r w:rsidRPr="00BB2FDE">
        <w:rPr>
          <w:color w:val="FF0000"/>
        </w:rPr>
        <w:t xml:space="preserve"> </w:t>
      </w:r>
      <w:r>
        <w:t xml:space="preserve">This allows more time for the passenger to see the effects of the incident and may mean a claim which previously would have been out of the timeframe, is now able to be brought to court. Some injuries may also develop over time, so a longer time period would allow them to also be lodged as a claim. This would benefit some passengers who previously were unable to make a claim due to missing the deadline to lodge it. </w:t>
      </w:r>
    </w:p>
    <w:p w14:paraId="19FCB1E2" w14:textId="73C91906" w:rsidR="009054A7" w:rsidRDefault="009054A7" w:rsidP="009054A7">
      <w:pPr>
        <w:jc w:val="left"/>
      </w:pPr>
      <w:r>
        <w:t xml:space="preserve">Another change in the effort required for a passenger to submit a claim is where they are able to lodge that </w:t>
      </w:r>
      <w:r w:rsidRPr="008761DC">
        <w:rPr>
          <w:color w:val="auto"/>
        </w:rPr>
        <w:t>claim. Currently, complexities lie in where a passenger can bring a claim depending on the contract of passage. Under the Athens Convention</w:t>
      </w:r>
      <w:r w:rsidR="00DA7D01">
        <w:rPr>
          <w:color w:val="auto"/>
        </w:rPr>
        <w:t xml:space="preserve"> 2002</w:t>
      </w:r>
      <w:r w:rsidRPr="008761DC">
        <w:rPr>
          <w:color w:val="auto"/>
        </w:rPr>
        <w:t>, the passenger can choose</w:t>
      </w:r>
      <w:r w:rsidR="003C4807">
        <w:rPr>
          <w:color w:val="auto"/>
        </w:rPr>
        <w:t xml:space="preserve"> from certain defined options</w:t>
      </w:r>
      <w:r w:rsidRPr="008761DC">
        <w:rPr>
          <w:color w:val="auto"/>
        </w:rPr>
        <w:t xml:space="preserve"> </w:t>
      </w:r>
      <w:r w:rsidR="00AC00C0">
        <w:rPr>
          <w:color w:val="auto"/>
        </w:rPr>
        <w:t xml:space="preserve">as to </w:t>
      </w:r>
      <w:r w:rsidRPr="008761DC">
        <w:rPr>
          <w:color w:val="auto"/>
        </w:rPr>
        <w:t>where to lodge their claim</w:t>
      </w:r>
      <w:r w:rsidR="000E7D99">
        <w:t>,</w:t>
      </w:r>
      <w:r w:rsidR="007E6D7C">
        <w:t xml:space="preserve"> but the court chosen must be in a State Party to the Athens Convention 2002</w:t>
      </w:r>
      <w:r w:rsidR="00102B68">
        <w:rPr>
          <w:rStyle w:val="FootnoteReference"/>
        </w:rPr>
        <w:footnoteReference w:id="32"/>
      </w:r>
      <w:r w:rsidRPr="008761DC">
        <w:rPr>
          <w:color w:val="auto"/>
        </w:rPr>
        <w:t xml:space="preserve">. </w:t>
      </w:r>
      <w:r>
        <w:t xml:space="preserve">For Australian citizens, this would provide the option of lodging a claim in their home country and home state where they are likely to be more familiar with the legal system, language and general ways of conducting business. In stressful circumstances, such as having to claim for an injury </w:t>
      </w:r>
      <w:r w:rsidR="00164B4B">
        <w:t xml:space="preserve">suffered / sustained </w:t>
      </w:r>
      <w:r>
        <w:t xml:space="preserve">on holiday, this could bring significant benefit to passengers. Consultation with the legal industry suggested some claims brought to them are difficult to progress as they require engaging with countries who may operate under different regulations and hence leave the passenger relatively unprotected. </w:t>
      </w:r>
    </w:p>
    <w:p w14:paraId="5FAE7275" w14:textId="4089B14B" w:rsidR="009054A7" w:rsidRDefault="009054A7" w:rsidP="009054A7">
      <w:pPr>
        <w:jc w:val="left"/>
      </w:pPr>
      <w:r>
        <w:rPr>
          <w:b/>
          <w:bCs/>
        </w:rPr>
        <w:t xml:space="preserve">Amount of successful claim: </w:t>
      </w:r>
      <w:r w:rsidRPr="004D3918">
        <w:t>Under the different</w:t>
      </w:r>
      <w:r>
        <w:t xml:space="preserve"> options presented, there are different maximum limits for how much a passenger can claim. Currently, compensation claims are also assessed in line with Australian Consumer Law. Therefore, it is unlikely that claims are awarded the full maximum amount. Acceding to Athens would not affect the use of Australian Consumer Law in deciding compensation amounts, unless it was separately decided that this would be beneficial</w:t>
      </w:r>
      <w:r w:rsidR="00A46920">
        <w:t>, ensuring compliance with article 7</w:t>
      </w:r>
      <w:r>
        <w:t xml:space="preserve">.  </w:t>
      </w:r>
    </w:p>
    <w:p w14:paraId="4269DA48" w14:textId="09B44AB6" w:rsidR="009054A7" w:rsidRPr="00E51F9B" w:rsidRDefault="009054A7" w:rsidP="00E60E42">
      <w:pPr>
        <w:pStyle w:val="Caption"/>
        <w:keepLines/>
        <w:rPr>
          <w:b/>
          <w:bCs/>
        </w:rPr>
      </w:pPr>
      <w:bookmarkStart w:id="134" w:name="_Toc36560357"/>
      <w:r w:rsidDel="006041D2">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10</w:t>
      </w:r>
      <w:r w:rsidR="00B435A7">
        <w:rPr>
          <w:noProof/>
        </w:rPr>
        <w:fldChar w:fldCharType="end"/>
      </w:r>
      <w:r w:rsidR="00CD25BE">
        <w:t>:</w:t>
      </w:r>
      <w:r>
        <w:t xml:space="preserve"> </w:t>
      </w:r>
      <w:r w:rsidRPr="004A3AA6">
        <w:t>Upper Limit of Claims</w:t>
      </w:r>
      <w:bookmarkEnd w:id="134"/>
    </w:p>
    <w:tbl>
      <w:tblPr>
        <w:tblStyle w:val="GridTable4-Accent6"/>
        <w:tblW w:w="9067" w:type="dxa"/>
        <w:tblLook w:val="04A0" w:firstRow="1" w:lastRow="0" w:firstColumn="1" w:lastColumn="0" w:noHBand="0" w:noVBand="1"/>
      </w:tblPr>
      <w:tblGrid>
        <w:gridCol w:w="2200"/>
        <w:gridCol w:w="1461"/>
        <w:gridCol w:w="1552"/>
        <w:gridCol w:w="1870"/>
        <w:gridCol w:w="1984"/>
      </w:tblGrid>
      <w:tr w:rsidR="009054A7" w14:paraId="584769C5" w14:textId="77777777" w:rsidTr="00C45BE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00" w:type="dxa"/>
          </w:tcPr>
          <w:p w14:paraId="71E7C595" w14:textId="77777777" w:rsidR="009054A7" w:rsidRDefault="009054A7" w:rsidP="00E60E42">
            <w:pPr>
              <w:keepNext/>
              <w:keepLines/>
            </w:pPr>
          </w:p>
        </w:tc>
        <w:tc>
          <w:tcPr>
            <w:tcW w:w="1461" w:type="dxa"/>
          </w:tcPr>
          <w:p w14:paraId="6393E5A1" w14:textId="77777777" w:rsidR="009054A7" w:rsidRPr="00286164" w:rsidRDefault="009054A7" w:rsidP="007F2CAF">
            <w:pPr>
              <w:keepNext/>
              <w:keepLines/>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86164">
              <w:rPr>
                <w:b w:val="0"/>
                <w:color w:val="FFFFFF" w:themeColor="background1"/>
              </w:rPr>
              <w:t>Option 1 (status quo)</w:t>
            </w:r>
          </w:p>
        </w:tc>
        <w:tc>
          <w:tcPr>
            <w:tcW w:w="1552" w:type="dxa"/>
          </w:tcPr>
          <w:p w14:paraId="3BDD3F1C" w14:textId="77777777" w:rsidR="009054A7" w:rsidRPr="00286164" w:rsidRDefault="009054A7" w:rsidP="00E60E42">
            <w:pPr>
              <w:keepNext/>
              <w:keepLines/>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86164">
              <w:rPr>
                <w:b w:val="0"/>
                <w:color w:val="FFFFFF" w:themeColor="background1"/>
              </w:rPr>
              <w:t>Option 2</w:t>
            </w:r>
          </w:p>
        </w:tc>
        <w:tc>
          <w:tcPr>
            <w:tcW w:w="1870" w:type="dxa"/>
          </w:tcPr>
          <w:p w14:paraId="31CAE50C" w14:textId="77777777" w:rsidR="009054A7" w:rsidRPr="00286164" w:rsidRDefault="009054A7" w:rsidP="00E60E42">
            <w:pPr>
              <w:keepNext/>
              <w:keepLines/>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86164">
              <w:rPr>
                <w:b w:val="0"/>
                <w:color w:val="FFFFFF" w:themeColor="background1"/>
              </w:rPr>
              <w:t>Option 3</w:t>
            </w:r>
          </w:p>
        </w:tc>
        <w:tc>
          <w:tcPr>
            <w:tcW w:w="1984" w:type="dxa"/>
          </w:tcPr>
          <w:p w14:paraId="4FC1C8F6" w14:textId="77777777" w:rsidR="009054A7" w:rsidRPr="00286164" w:rsidRDefault="009054A7" w:rsidP="00E60E42">
            <w:pPr>
              <w:keepNext/>
              <w:keepLines/>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86164">
              <w:rPr>
                <w:b w:val="0"/>
                <w:color w:val="FFFFFF" w:themeColor="background1"/>
              </w:rPr>
              <w:t>Option 4</w:t>
            </w:r>
          </w:p>
        </w:tc>
      </w:tr>
      <w:tr w:rsidR="009054A7" w14:paraId="0D4E95EA" w14:textId="77777777" w:rsidTr="00C45B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00" w:type="dxa"/>
          </w:tcPr>
          <w:p w14:paraId="46B193B1" w14:textId="77777777" w:rsidR="009054A7" w:rsidRPr="00596F78" w:rsidRDefault="009054A7" w:rsidP="00E60E42">
            <w:pPr>
              <w:keepNext/>
              <w:keepLines/>
              <w:rPr>
                <w:b w:val="0"/>
              </w:rPr>
            </w:pPr>
            <w:r w:rsidRPr="00596F78">
              <w:rPr>
                <w:b w:val="0"/>
              </w:rPr>
              <w:t>Maximum claim</w:t>
            </w:r>
          </w:p>
        </w:tc>
        <w:tc>
          <w:tcPr>
            <w:tcW w:w="1461" w:type="dxa"/>
          </w:tcPr>
          <w:p w14:paraId="257BC113" w14:textId="77777777" w:rsidR="009054A7" w:rsidRDefault="009054A7" w:rsidP="00E60E42">
            <w:pPr>
              <w:keepNext/>
              <w:keepLines/>
              <w:cnfStyle w:val="000000100000" w:firstRow="0" w:lastRow="0" w:firstColumn="0" w:lastColumn="0" w:oddVBand="0" w:evenVBand="0" w:oddHBand="1" w:evenHBand="0" w:firstRowFirstColumn="0" w:firstRowLastColumn="0" w:lastRowFirstColumn="0" w:lastRowLastColumn="0"/>
            </w:pPr>
            <w:r>
              <w:t>175,000 SDR x ship capacity (split between claimants)</w:t>
            </w:r>
          </w:p>
        </w:tc>
        <w:tc>
          <w:tcPr>
            <w:tcW w:w="1552" w:type="dxa"/>
          </w:tcPr>
          <w:p w14:paraId="17AAAC3A" w14:textId="77777777" w:rsidR="009054A7" w:rsidRDefault="009054A7" w:rsidP="00E60E42">
            <w:pPr>
              <w:keepNext/>
              <w:keepLines/>
              <w:cnfStyle w:val="000000100000" w:firstRow="0" w:lastRow="0" w:firstColumn="0" w:lastColumn="0" w:oddVBand="0" w:evenVBand="0" w:oddHBand="1" w:evenHBand="0" w:firstRowFirstColumn="0" w:firstRowLastColumn="0" w:lastRowFirstColumn="0" w:lastRowLastColumn="0"/>
            </w:pPr>
            <w:r>
              <w:t>175,000 SDR x ship capacity (split between claimants)</w:t>
            </w:r>
          </w:p>
        </w:tc>
        <w:tc>
          <w:tcPr>
            <w:tcW w:w="1870" w:type="dxa"/>
          </w:tcPr>
          <w:p w14:paraId="099DFB00" w14:textId="77777777" w:rsidR="009054A7" w:rsidRPr="00596F78" w:rsidRDefault="009054A7" w:rsidP="00E60E42">
            <w:pPr>
              <w:keepNext/>
              <w:keepLines/>
              <w:cnfStyle w:val="000000100000" w:firstRow="0" w:lastRow="0" w:firstColumn="0" w:lastColumn="0" w:oddVBand="0" w:evenVBand="0" w:oddHBand="1" w:evenHBand="0" w:firstRowFirstColumn="0" w:firstRowLastColumn="0" w:lastRowFirstColumn="0" w:lastRowLastColumn="0"/>
              <w:rPr>
                <w:i/>
                <w:iCs/>
              </w:rPr>
            </w:pPr>
            <w:r>
              <w:t xml:space="preserve">250,000 SDR per passenger </w:t>
            </w:r>
            <w:r>
              <w:rPr>
                <w:i/>
                <w:iCs/>
              </w:rPr>
              <w:t>or</w:t>
            </w:r>
          </w:p>
          <w:p w14:paraId="0CB2DEE2" w14:textId="77777777" w:rsidR="009054A7" w:rsidRDefault="009054A7" w:rsidP="00E60E42">
            <w:pPr>
              <w:keepNext/>
              <w:keepLines/>
              <w:cnfStyle w:val="000000100000" w:firstRow="0" w:lastRow="0" w:firstColumn="0" w:lastColumn="0" w:oddVBand="0" w:evenVBand="0" w:oddHBand="1" w:evenHBand="0" w:firstRowFirstColumn="0" w:firstRowLastColumn="0" w:lastRowFirstColumn="0" w:lastRowLastColumn="0"/>
            </w:pPr>
            <w:r>
              <w:t>400,000 SDR per passenger (negligence)</w:t>
            </w:r>
          </w:p>
        </w:tc>
        <w:tc>
          <w:tcPr>
            <w:tcW w:w="1984" w:type="dxa"/>
          </w:tcPr>
          <w:p w14:paraId="451D3A33" w14:textId="77777777" w:rsidR="009054A7" w:rsidRDefault="009054A7" w:rsidP="00E60E42">
            <w:pPr>
              <w:keepNext/>
              <w:keepLines/>
              <w:cnfStyle w:val="000000100000" w:firstRow="0" w:lastRow="0" w:firstColumn="0" w:lastColumn="0" w:oddVBand="0" w:evenVBand="0" w:oddHBand="1" w:evenHBand="0" w:firstRowFirstColumn="0" w:firstRowLastColumn="0" w:lastRowFirstColumn="0" w:lastRowLastColumn="0"/>
            </w:pPr>
            <w:r>
              <w:t>Same as option 2 or option 3</w:t>
            </w:r>
          </w:p>
        </w:tc>
      </w:tr>
      <w:tr w:rsidR="009054A7" w14:paraId="1F77036E" w14:textId="77777777" w:rsidTr="00C45BE3">
        <w:trPr>
          <w:cantSplit/>
        </w:trPr>
        <w:tc>
          <w:tcPr>
            <w:cnfStyle w:val="001000000000" w:firstRow="0" w:lastRow="0" w:firstColumn="1" w:lastColumn="0" w:oddVBand="0" w:evenVBand="0" w:oddHBand="0" w:evenHBand="0" w:firstRowFirstColumn="0" w:firstRowLastColumn="0" w:lastRowFirstColumn="0" w:lastRowLastColumn="0"/>
            <w:tcW w:w="2200" w:type="dxa"/>
          </w:tcPr>
          <w:p w14:paraId="1AD9EE41" w14:textId="77777777" w:rsidR="009054A7" w:rsidRPr="00596F78" w:rsidRDefault="009054A7" w:rsidP="00AF5EEA">
            <w:pPr>
              <w:keepLines/>
              <w:rPr>
                <w:b w:val="0"/>
              </w:rPr>
            </w:pPr>
            <w:r w:rsidRPr="00596F78">
              <w:rPr>
                <w:b w:val="0"/>
              </w:rPr>
              <w:t>Difference to status quo</w:t>
            </w:r>
          </w:p>
        </w:tc>
        <w:tc>
          <w:tcPr>
            <w:tcW w:w="1461" w:type="dxa"/>
          </w:tcPr>
          <w:p w14:paraId="3595E897" w14:textId="77777777" w:rsidR="009054A7" w:rsidRDefault="009054A7" w:rsidP="00AF5EEA">
            <w:pPr>
              <w:keepLines/>
              <w:cnfStyle w:val="000000000000" w:firstRow="0" w:lastRow="0" w:firstColumn="0" w:lastColumn="0" w:oddVBand="0" w:evenVBand="0" w:oddHBand="0" w:evenHBand="0" w:firstRowFirstColumn="0" w:firstRowLastColumn="0" w:lastRowFirstColumn="0" w:lastRowLastColumn="0"/>
            </w:pPr>
            <w:r>
              <w:t>N/A</w:t>
            </w:r>
          </w:p>
        </w:tc>
        <w:tc>
          <w:tcPr>
            <w:tcW w:w="1552" w:type="dxa"/>
          </w:tcPr>
          <w:p w14:paraId="5308AC71" w14:textId="77777777" w:rsidR="009054A7" w:rsidRDefault="009054A7" w:rsidP="00AF5EEA">
            <w:pPr>
              <w:keepLines/>
              <w:cnfStyle w:val="000000000000" w:firstRow="0" w:lastRow="0" w:firstColumn="0" w:lastColumn="0" w:oddVBand="0" w:evenVBand="0" w:oddHBand="0" w:evenHBand="0" w:firstRowFirstColumn="0" w:firstRowLastColumn="0" w:lastRowFirstColumn="0" w:lastRowLastColumn="0"/>
            </w:pPr>
            <w:r>
              <w:t>Same limits apply</w:t>
            </w:r>
          </w:p>
        </w:tc>
        <w:tc>
          <w:tcPr>
            <w:tcW w:w="1870" w:type="dxa"/>
          </w:tcPr>
          <w:p w14:paraId="0ECC3EC0" w14:textId="77777777" w:rsidR="009054A7" w:rsidRPr="00596F78" w:rsidRDefault="009054A7" w:rsidP="00AF5EEA">
            <w:pPr>
              <w:keepLines/>
              <w:cnfStyle w:val="000000000000" w:firstRow="0" w:lastRow="0" w:firstColumn="0" w:lastColumn="0" w:oddVBand="0" w:evenVBand="0" w:oddHBand="0" w:evenHBand="0" w:firstRowFirstColumn="0" w:firstRowLastColumn="0" w:lastRowFirstColumn="0" w:lastRowLastColumn="0"/>
              <w:rPr>
                <w:i/>
                <w:iCs/>
              </w:rPr>
            </w:pPr>
            <w:r>
              <w:t>75,000 SDR per passenger</w:t>
            </w:r>
            <w:r>
              <w:rPr>
                <w:rStyle w:val="FootnoteReference"/>
              </w:rPr>
              <w:footnoteReference w:id="33"/>
            </w:r>
            <w:r>
              <w:t xml:space="preserve"> </w:t>
            </w:r>
            <w:r>
              <w:rPr>
                <w:i/>
                <w:iCs/>
              </w:rPr>
              <w:t>or</w:t>
            </w:r>
          </w:p>
          <w:p w14:paraId="4C8FFB1B" w14:textId="77777777" w:rsidR="009054A7" w:rsidRDefault="009054A7" w:rsidP="00AF5EEA">
            <w:pPr>
              <w:keepLines/>
              <w:cnfStyle w:val="000000000000" w:firstRow="0" w:lastRow="0" w:firstColumn="0" w:lastColumn="0" w:oddVBand="0" w:evenVBand="0" w:oddHBand="0" w:evenHBand="0" w:firstRowFirstColumn="0" w:firstRowLastColumn="0" w:lastRowFirstColumn="0" w:lastRowLastColumn="0"/>
            </w:pPr>
            <w:r>
              <w:t>Potentially negative</w:t>
            </w:r>
          </w:p>
        </w:tc>
        <w:tc>
          <w:tcPr>
            <w:tcW w:w="1984" w:type="dxa"/>
          </w:tcPr>
          <w:p w14:paraId="4AA10CDB" w14:textId="77777777" w:rsidR="009054A7" w:rsidRDefault="009054A7" w:rsidP="00AF5EEA">
            <w:pPr>
              <w:keepLines/>
              <w:cnfStyle w:val="000000000000" w:firstRow="0" w:lastRow="0" w:firstColumn="0" w:lastColumn="0" w:oddVBand="0" w:evenVBand="0" w:oddHBand="0" w:evenHBand="0" w:firstRowFirstColumn="0" w:firstRowLastColumn="0" w:lastRowFirstColumn="0" w:lastRowLastColumn="0"/>
            </w:pPr>
            <w:r>
              <w:t>Dependent on option chosen</w:t>
            </w:r>
          </w:p>
        </w:tc>
      </w:tr>
    </w:tbl>
    <w:p w14:paraId="52FB0322" w14:textId="77777777" w:rsidR="00E60E42" w:rsidRDefault="00E60E42" w:rsidP="009054A7">
      <w:pPr>
        <w:jc w:val="left"/>
      </w:pPr>
    </w:p>
    <w:p w14:paraId="1945BDC2" w14:textId="79842E7D" w:rsidR="009054A7" w:rsidRDefault="009054A7" w:rsidP="009054A7">
      <w:pPr>
        <w:jc w:val="left"/>
      </w:pPr>
      <w:r>
        <w:t>The current LLMC limits are set at 175,000 SDR x ship capacity</w:t>
      </w:r>
      <w:r w:rsidDel="00FC6ADB">
        <w:t xml:space="preserve"> </w:t>
      </w:r>
      <w:r>
        <w:t>and an individual can access</w:t>
      </w:r>
      <w:r w:rsidDel="00FC6ADB">
        <w:t xml:space="preserve"> </w:t>
      </w:r>
      <w:r>
        <w:t>the full ship liability in serious incidents. If there is only one claimant, this could allow the individual to access up to 175,000 SDR multiplied by the ship’s capacity. However, if there are multiple claims on the same ship, this limit is shared among the claimants. One benefit to passengers of</w:t>
      </w:r>
      <w:r w:rsidDel="00494333">
        <w:t xml:space="preserve"> </w:t>
      </w:r>
      <w:r>
        <w:t xml:space="preserve">acceding to </w:t>
      </w:r>
      <w:r w:rsidR="00DA7D01">
        <w:t xml:space="preserve">the </w:t>
      </w:r>
      <w:r>
        <w:t xml:space="preserve">Athens </w:t>
      </w:r>
      <w:r w:rsidR="00DA7D01">
        <w:t xml:space="preserve">Convention </w:t>
      </w:r>
      <w:r>
        <w:t xml:space="preserve">would be to remove the link between their compensation claim maximum limit and the number of people affected by the incident. This would allow claims to be assessed on how much damage the incident has caused the individual, and not rely on how many other people have also been affected in awarding the payout. </w:t>
      </w:r>
    </w:p>
    <w:p w14:paraId="76CA3B90" w14:textId="0F2474DA" w:rsidR="009054A7" w:rsidRPr="00F60DE4" w:rsidRDefault="009054A7" w:rsidP="003144BA">
      <w:pPr>
        <w:pStyle w:val="CommentText"/>
        <w:rPr>
          <w:color w:val="FF0000"/>
        </w:rPr>
      </w:pPr>
      <w:r>
        <w:t>The table below shows the maximum payout which could be awarded in different circumstances. It shows that the passenger would benefit from a higher payout under Athens Convention in incidents when there is a non-serious injury or there are numerous passengers claiming. However, when the incident is more serious or causes death, Athens</w:t>
      </w:r>
      <w:r w:rsidR="00B879FC">
        <w:t xml:space="preserve"> does not permit an</w:t>
      </w:r>
      <w:r>
        <w:t xml:space="preserve"> individual access to the full ship’s liability and therefore as a maximum limit, the passenger would be worse off under Athens compared to currently</w:t>
      </w:r>
      <w:r w:rsidR="001F7943">
        <w:t xml:space="preserve">. </w:t>
      </w:r>
      <w:r>
        <w:t xml:space="preserve">This difference is smaller when more people are affected as the Athens limit is per person and not reliant on the number of other people impacted. </w:t>
      </w:r>
      <w:r w:rsidRPr="006F56A3">
        <w:rPr>
          <w:color w:val="FF0000"/>
        </w:rPr>
        <w:t xml:space="preserve"> </w:t>
      </w:r>
    </w:p>
    <w:p w14:paraId="475C02C4" w14:textId="762E91C5" w:rsidR="009054A7" w:rsidRPr="00FF1A05" w:rsidRDefault="009054A7" w:rsidP="00CD25BE">
      <w:pPr>
        <w:pStyle w:val="Caption"/>
        <w:rPr>
          <w:b/>
          <w:bCs/>
        </w:rPr>
      </w:pPr>
      <w:bookmarkStart w:id="135" w:name="_Toc36560358"/>
      <w:r>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11</w:t>
      </w:r>
      <w:r w:rsidR="00B435A7">
        <w:rPr>
          <w:noProof/>
        </w:rPr>
        <w:fldChar w:fldCharType="end"/>
      </w:r>
      <w:r w:rsidR="00CD25BE">
        <w:t>:</w:t>
      </w:r>
      <w:r>
        <w:t xml:space="preserve"> </w:t>
      </w:r>
      <w:r w:rsidRPr="00865EE3">
        <w:t>Maximum amount awarded to individual passenger under different scenarios (SDR values)</w:t>
      </w:r>
      <w:bookmarkEnd w:id="135"/>
    </w:p>
    <w:tbl>
      <w:tblPr>
        <w:tblStyle w:val="GridTable4-Accent6"/>
        <w:tblW w:w="8784" w:type="dxa"/>
        <w:tblLook w:val="04A0" w:firstRow="1" w:lastRow="0" w:firstColumn="1" w:lastColumn="0" w:noHBand="0" w:noVBand="1"/>
      </w:tblPr>
      <w:tblGrid>
        <w:gridCol w:w="693"/>
        <w:gridCol w:w="1023"/>
        <w:gridCol w:w="1563"/>
        <w:gridCol w:w="1094"/>
        <w:gridCol w:w="1292"/>
        <w:gridCol w:w="1418"/>
        <w:gridCol w:w="1701"/>
      </w:tblGrid>
      <w:tr w:rsidR="009054A7" w:rsidRPr="002E7757" w14:paraId="1A7A6084" w14:textId="77777777" w:rsidTr="006419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E2F1FF" w14:textId="77777777" w:rsidR="009054A7" w:rsidRPr="00641912" w:rsidRDefault="009054A7" w:rsidP="0069386C">
            <w:pPr>
              <w:rPr>
                <w:b w:val="0"/>
                <w:color w:val="FFFFFF" w:themeColor="background1"/>
              </w:rPr>
            </w:pPr>
            <w:r w:rsidRPr="00641912">
              <w:rPr>
                <w:b w:val="0"/>
                <w:color w:val="FFFFFF" w:themeColor="background1"/>
              </w:rPr>
              <w:t>Scenario</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6A807B" w14:textId="77777777" w:rsidR="009054A7" w:rsidRPr="00641912" w:rsidRDefault="009054A7" w:rsidP="0069386C">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41912">
              <w:rPr>
                <w:b w:val="0"/>
                <w:color w:val="FFFFFF" w:themeColor="background1"/>
              </w:rPr>
              <w:t>LLMC</w:t>
            </w:r>
          </w:p>
        </w:tc>
        <w:tc>
          <w:tcPr>
            <w:tcW w:w="23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CFB50C" w14:textId="77777777" w:rsidR="009054A7" w:rsidRPr="00641912" w:rsidRDefault="009054A7" w:rsidP="0069386C">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41912">
              <w:rPr>
                <w:b w:val="0"/>
                <w:color w:val="FFFFFF" w:themeColor="background1"/>
              </w:rPr>
              <w:t>Athens</w:t>
            </w:r>
          </w:p>
        </w:tc>
        <w:tc>
          <w:tcPr>
            <w:tcW w:w="31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612FFA" w14:textId="77777777" w:rsidR="009054A7" w:rsidRPr="00641912" w:rsidRDefault="009054A7" w:rsidP="0069386C">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41912">
              <w:rPr>
                <w:b w:val="0"/>
                <w:color w:val="FFFFFF" w:themeColor="background1"/>
              </w:rPr>
              <w:t>Difference</w:t>
            </w:r>
          </w:p>
        </w:tc>
      </w:tr>
      <w:tr w:rsidR="009054A7" w:rsidRPr="002E7757" w14:paraId="5523969B" w14:textId="77777777" w:rsidTr="00641912">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FFFFFF" w:themeColor="background1"/>
            </w:tcBorders>
            <w:hideMark/>
          </w:tcPr>
          <w:p w14:paraId="63D56CF6" w14:textId="77777777" w:rsidR="009054A7" w:rsidRPr="00F91E49" w:rsidRDefault="009054A7" w:rsidP="0069386C">
            <w:pPr>
              <w:rPr>
                <w:b w:val="0"/>
                <w:i/>
                <w:sz w:val="18"/>
                <w:szCs w:val="20"/>
              </w:rPr>
            </w:pPr>
            <w:r w:rsidRPr="00F91E49">
              <w:rPr>
                <w:b w:val="0"/>
                <w:i/>
                <w:sz w:val="18"/>
                <w:szCs w:val="20"/>
              </w:rPr>
              <w:t>Ship size</w:t>
            </w:r>
          </w:p>
        </w:tc>
        <w:tc>
          <w:tcPr>
            <w:tcW w:w="1023" w:type="dxa"/>
            <w:tcBorders>
              <w:top w:val="single" w:sz="4" w:space="0" w:color="FFFFFF" w:themeColor="background1"/>
            </w:tcBorders>
            <w:hideMark/>
          </w:tcPr>
          <w:p w14:paraId="0DC1FE60"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b/>
                <w:i/>
                <w:sz w:val="18"/>
                <w:szCs w:val="20"/>
              </w:rPr>
            </w:pPr>
            <w:r w:rsidRPr="00F91E49">
              <w:rPr>
                <w:b/>
                <w:i/>
                <w:sz w:val="18"/>
                <w:szCs w:val="20"/>
              </w:rPr>
              <w:t>Number claimants</w:t>
            </w:r>
          </w:p>
        </w:tc>
        <w:tc>
          <w:tcPr>
            <w:tcW w:w="1563" w:type="dxa"/>
            <w:tcBorders>
              <w:top w:val="single" w:sz="4" w:space="0" w:color="FFFFFF" w:themeColor="background1"/>
            </w:tcBorders>
            <w:hideMark/>
          </w:tcPr>
          <w:p w14:paraId="664856A7" w14:textId="1C6A17DD"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b/>
                <w:sz w:val="18"/>
                <w:szCs w:val="20"/>
              </w:rPr>
            </w:pPr>
            <w:r w:rsidRPr="00F91E49">
              <w:rPr>
                <w:b/>
                <w:sz w:val="18"/>
                <w:szCs w:val="20"/>
              </w:rPr>
              <w:t>175,000 x ship capacity (serious)</w:t>
            </w:r>
          </w:p>
        </w:tc>
        <w:tc>
          <w:tcPr>
            <w:tcW w:w="1094" w:type="dxa"/>
            <w:tcBorders>
              <w:top w:val="single" w:sz="4" w:space="0" w:color="FFFFFF" w:themeColor="background1"/>
            </w:tcBorders>
            <w:hideMark/>
          </w:tcPr>
          <w:p w14:paraId="00314433"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b/>
                <w:sz w:val="18"/>
                <w:szCs w:val="20"/>
              </w:rPr>
            </w:pPr>
            <w:r w:rsidRPr="00F91E49">
              <w:rPr>
                <w:b/>
                <w:sz w:val="18"/>
                <w:szCs w:val="20"/>
              </w:rPr>
              <w:t>250,000 Tier 1</w:t>
            </w:r>
          </w:p>
        </w:tc>
        <w:tc>
          <w:tcPr>
            <w:tcW w:w="1292" w:type="dxa"/>
            <w:tcBorders>
              <w:top w:val="single" w:sz="4" w:space="0" w:color="FFFFFF" w:themeColor="background1"/>
            </w:tcBorders>
            <w:hideMark/>
          </w:tcPr>
          <w:p w14:paraId="7D1211D8"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b/>
                <w:sz w:val="18"/>
                <w:szCs w:val="20"/>
              </w:rPr>
            </w:pPr>
            <w:r w:rsidRPr="00F91E49">
              <w:rPr>
                <w:b/>
                <w:sz w:val="18"/>
                <w:szCs w:val="20"/>
              </w:rPr>
              <w:t>400,000 Tier 2</w:t>
            </w:r>
          </w:p>
        </w:tc>
        <w:tc>
          <w:tcPr>
            <w:tcW w:w="1418" w:type="dxa"/>
            <w:tcBorders>
              <w:top w:val="single" w:sz="4" w:space="0" w:color="FFFFFF" w:themeColor="background1"/>
            </w:tcBorders>
            <w:hideMark/>
          </w:tcPr>
          <w:p w14:paraId="394389F3"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b/>
                <w:sz w:val="18"/>
                <w:szCs w:val="20"/>
              </w:rPr>
            </w:pPr>
            <w:r w:rsidRPr="00F91E49">
              <w:rPr>
                <w:b/>
                <w:sz w:val="18"/>
                <w:szCs w:val="20"/>
              </w:rPr>
              <w:t>Tier 1</w:t>
            </w:r>
          </w:p>
        </w:tc>
        <w:tc>
          <w:tcPr>
            <w:tcW w:w="1701" w:type="dxa"/>
            <w:tcBorders>
              <w:top w:val="single" w:sz="4" w:space="0" w:color="FFFFFF" w:themeColor="background1"/>
            </w:tcBorders>
            <w:hideMark/>
          </w:tcPr>
          <w:p w14:paraId="6F100884"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b/>
                <w:sz w:val="18"/>
                <w:szCs w:val="20"/>
              </w:rPr>
            </w:pPr>
            <w:r w:rsidRPr="00F91E49">
              <w:rPr>
                <w:b/>
                <w:sz w:val="18"/>
                <w:szCs w:val="20"/>
              </w:rPr>
              <w:t>Tier 2</w:t>
            </w:r>
          </w:p>
        </w:tc>
      </w:tr>
      <w:tr w:rsidR="009054A7" w:rsidRPr="002E7757" w14:paraId="4E678E71" w14:textId="77777777" w:rsidTr="00641912">
        <w:trPr>
          <w:trHeight w:val="300"/>
        </w:trPr>
        <w:tc>
          <w:tcPr>
            <w:cnfStyle w:val="001000000000" w:firstRow="0" w:lastRow="0" w:firstColumn="1" w:lastColumn="0" w:oddVBand="0" w:evenVBand="0" w:oddHBand="0" w:evenHBand="0" w:firstRowFirstColumn="0" w:firstRowLastColumn="0" w:lastRowFirstColumn="0" w:lastRowLastColumn="0"/>
            <w:tcW w:w="693" w:type="dxa"/>
            <w:hideMark/>
          </w:tcPr>
          <w:p w14:paraId="51558C74" w14:textId="77777777" w:rsidR="009054A7" w:rsidRPr="00F91E49" w:rsidRDefault="009054A7" w:rsidP="0069386C">
            <w:pPr>
              <w:rPr>
                <w:sz w:val="18"/>
                <w:szCs w:val="20"/>
              </w:rPr>
            </w:pPr>
            <w:r w:rsidRPr="00F91E49">
              <w:rPr>
                <w:sz w:val="18"/>
                <w:szCs w:val="20"/>
              </w:rPr>
              <w:t>500</w:t>
            </w:r>
          </w:p>
        </w:tc>
        <w:tc>
          <w:tcPr>
            <w:tcW w:w="1023" w:type="dxa"/>
            <w:hideMark/>
          </w:tcPr>
          <w:p w14:paraId="59FA174E"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1 injury</w:t>
            </w:r>
          </w:p>
        </w:tc>
        <w:tc>
          <w:tcPr>
            <w:tcW w:w="1563" w:type="dxa"/>
            <w:hideMark/>
          </w:tcPr>
          <w:p w14:paraId="6A5CEB04"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87,500,000</w:t>
            </w:r>
            <w:r w:rsidRPr="00F91E49" w:rsidDel="00D07186">
              <w:rPr>
                <w:sz w:val="18"/>
                <w:szCs w:val="20"/>
              </w:rPr>
              <w:t xml:space="preserve">      </w:t>
            </w:r>
            <w:r w:rsidRPr="00F91E49">
              <w:rPr>
                <w:sz w:val="18"/>
                <w:szCs w:val="20"/>
              </w:rPr>
              <w:t xml:space="preserve">                           </w:t>
            </w:r>
          </w:p>
        </w:tc>
        <w:tc>
          <w:tcPr>
            <w:tcW w:w="1094" w:type="dxa"/>
            <w:hideMark/>
          </w:tcPr>
          <w:p w14:paraId="09B0F6F0"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                      250,000 </w:t>
            </w:r>
          </w:p>
        </w:tc>
        <w:tc>
          <w:tcPr>
            <w:tcW w:w="1292" w:type="dxa"/>
            <w:hideMark/>
          </w:tcPr>
          <w:p w14:paraId="64FDF9AD"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              400,000 </w:t>
            </w:r>
          </w:p>
        </w:tc>
        <w:tc>
          <w:tcPr>
            <w:tcW w:w="1418" w:type="dxa"/>
            <w:hideMark/>
          </w:tcPr>
          <w:p w14:paraId="7E604D4B"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  87,250,000 </w:t>
            </w:r>
          </w:p>
        </w:tc>
        <w:tc>
          <w:tcPr>
            <w:tcW w:w="1701" w:type="dxa"/>
            <w:hideMark/>
          </w:tcPr>
          <w:p w14:paraId="4F822238"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-87,100,</w:t>
            </w:r>
            <w:r w:rsidRPr="00F91E49" w:rsidDel="00DF07F3">
              <w:rPr>
                <w:sz w:val="18"/>
                <w:szCs w:val="20"/>
              </w:rPr>
              <w:t>000</w:t>
            </w:r>
          </w:p>
        </w:tc>
      </w:tr>
      <w:tr w:rsidR="009054A7" w:rsidRPr="002E7757" w14:paraId="16701D11" w14:textId="77777777" w:rsidTr="00641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3" w:type="dxa"/>
          </w:tcPr>
          <w:p w14:paraId="75D0658E" w14:textId="77777777" w:rsidR="009054A7" w:rsidRPr="00F91E49" w:rsidRDefault="009054A7" w:rsidP="0069386C">
            <w:pPr>
              <w:rPr>
                <w:sz w:val="18"/>
                <w:szCs w:val="20"/>
              </w:rPr>
            </w:pPr>
            <w:r w:rsidRPr="00F91E49">
              <w:rPr>
                <w:sz w:val="18"/>
                <w:szCs w:val="20"/>
              </w:rPr>
              <w:t>500</w:t>
            </w:r>
          </w:p>
        </w:tc>
        <w:tc>
          <w:tcPr>
            <w:tcW w:w="1023" w:type="dxa"/>
          </w:tcPr>
          <w:p w14:paraId="56D4F6FD"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500 injuries</w:t>
            </w:r>
          </w:p>
        </w:tc>
        <w:tc>
          <w:tcPr>
            <w:tcW w:w="1563" w:type="dxa"/>
          </w:tcPr>
          <w:p w14:paraId="4314323C"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 xml:space="preserve">                                        175,000 </w:t>
            </w:r>
          </w:p>
        </w:tc>
        <w:tc>
          <w:tcPr>
            <w:tcW w:w="1094" w:type="dxa"/>
          </w:tcPr>
          <w:p w14:paraId="78D7F7F8"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 xml:space="preserve">                      250,000 </w:t>
            </w:r>
          </w:p>
        </w:tc>
        <w:tc>
          <w:tcPr>
            <w:tcW w:w="1292" w:type="dxa"/>
          </w:tcPr>
          <w:p w14:paraId="1050CC93"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 xml:space="preserve">              400,000 </w:t>
            </w:r>
          </w:p>
        </w:tc>
        <w:tc>
          <w:tcPr>
            <w:tcW w:w="1418" w:type="dxa"/>
          </w:tcPr>
          <w:p w14:paraId="06C4D10A"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 xml:space="preserve">          75,000 </w:t>
            </w:r>
          </w:p>
        </w:tc>
        <w:tc>
          <w:tcPr>
            <w:tcW w:w="1701" w:type="dxa"/>
          </w:tcPr>
          <w:p w14:paraId="4794117F"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225,000</w:t>
            </w:r>
          </w:p>
        </w:tc>
      </w:tr>
      <w:tr w:rsidR="009054A7" w:rsidRPr="002E7757" w14:paraId="7649E1A4" w14:textId="77777777" w:rsidTr="00641912">
        <w:trPr>
          <w:trHeight w:val="300"/>
        </w:trPr>
        <w:tc>
          <w:tcPr>
            <w:cnfStyle w:val="001000000000" w:firstRow="0" w:lastRow="0" w:firstColumn="1" w:lastColumn="0" w:oddVBand="0" w:evenVBand="0" w:oddHBand="0" w:evenHBand="0" w:firstRowFirstColumn="0" w:firstRowLastColumn="0" w:lastRowFirstColumn="0" w:lastRowLastColumn="0"/>
            <w:tcW w:w="693" w:type="dxa"/>
            <w:hideMark/>
          </w:tcPr>
          <w:p w14:paraId="6617C62D" w14:textId="77777777" w:rsidR="009054A7" w:rsidRPr="00F91E49" w:rsidRDefault="009054A7" w:rsidP="0069386C">
            <w:pPr>
              <w:rPr>
                <w:sz w:val="18"/>
                <w:szCs w:val="20"/>
              </w:rPr>
            </w:pPr>
            <w:r w:rsidRPr="00F91E49">
              <w:rPr>
                <w:sz w:val="18"/>
                <w:szCs w:val="20"/>
              </w:rPr>
              <w:t>500</w:t>
            </w:r>
          </w:p>
        </w:tc>
        <w:tc>
          <w:tcPr>
            <w:tcW w:w="1023" w:type="dxa"/>
            <w:hideMark/>
          </w:tcPr>
          <w:p w14:paraId="391AA49C"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1 death</w:t>
            </w:r>
          </w:p>
        </w:tc>
        <w:tc>
          <w:tcPr>
            <w:tcW w:w="1563" w:type="dxa"/>
            <w:hideMark/>
          </w:tcPr>
          <w:p w14:paraId="4E29BC9A"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                                   87,500,000 </w:t>
            </w:r>
          </w:p>
        </w:tc>
        <w:tc>
          <w:tcPr>
            <w:tcW w:w="1094" w:type="dxa"/>
            <w:hideMark/>
          </w:tcPr>
          <w:p w14:paraId="3235482C"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                      250,000 </w:t>
            </w:r>
          </w:p>
        </w:tc>
        <w:tc>
          <w:tcPr>
            <w:tcW w:w="1292" w:type="dxa"/>
            <w:hideMark/>
          </w:tcPr>
          <w:p w14:paraId="411E8CDC"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              400,000 </w:t>
            </w:r>
          </w:p>
        </w:tc>
        <w:tc>
          <w:tcPr>
            <w:tcW w:w="1418" w:type="dxa"/>
            <w:hideMark/>
          </w:tcPr>
          <w:p w14:paraId="4C0EBBB2"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  87,250,000 </w:t>
            </w:r>
          </w:p>
        </w:tc>
        <w:tc>
          <w:tcPr>
            <w:tcW w:w="1701" w:type="dxa"/>
            <w:hideMark/>
          </w:tcPr>
          <w:p w14:paraId="6C438B74"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-87,100,000</w:t>
            </w:r>
          </w:p>
        </w:tc>
      </w:tr>
      <w:tr w:rsidR="009054A7" w:rsidRPr="002E7757" w14:paraId="4FD3C109" w14:textId="77777777" w:rsidTr="00641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3" w:type="dxa"/>
            <w:hideMark/>
          </w:tcPr>
          <w:p w14:paraId="0B623E34" w14:textId="77777777" w:rsidR="009054A7" w:rsidRPr="00F91E49" w:rsidRDefault="009054A7" w:rsidP="0069386C">
            <w:pPr>
              <w:rPr>
                <w:sz w:val="18"/>
                <w:szCs w:val="20"/>
              </w:rPr>
            </w:pPr>
            <w:r w:rsidRPr="00F91E49">
              <w:rPr>
                <w:sz w:val="18"/>
                <w:szCs w:val="20"/>
              </w:rPr>
              <w:t>500</w:t>
            </w:r>
          </w:p>
        </w:tc>
        <w:tc>
          <w:tcPr>
            <w:tcW w:w="1023" w:type="dxa"/>
            <w:hideMark/>
          </w:tcPr>
          <w:p w14:paraId="52F8FA7A"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5 deaths</w:t>
            </w:r>
          </w:p>
        </w:tc>
        <w:tc>
          <w:tcPr>
            <w:tcW w:w="1563" w:type="dxa"/>
            <w:hideMark/>
          </w:tcPr>
          <w:p w14:paraId="34ADECE4"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 xml:space="preserve">                                   17,500,000 </w:t>
            </w:r>
          </w:p>
        </w:tc>
        <w:tc>
          <w:tcPr>
            <w:tcW w:w="1094" w:type="dxa"/>
            <w:hideMark/>
          </w:tcPr>
          <w:p w14:paraId="0F65C71D"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 xml:space="preserve">                      250,000 </w:t>
            </w:r>
          </w:p>
        </w:tc>
        <w:tc>
          <w:tcPr>
            <w:tcW w:w="1292" w:type="dxa"/>
            <w:hideMark/>
          </w:tcPr>
          <w:p w14:paraId="4E9466AC"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 xml:space="preserve">              400,000 </w:t>
            </w:r>
          </w:p>
        </w:tc>
        <w:tc>
          <w:tcPr>
            <w:tcW w:w="1418" w:type="dxa"/>
            <w:hideMark/>
          </w:tcPr>
          <w:p w14:paraId="2E33A4BC"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 xml:space="preserve">-  17,250,000 </w:t>
            </w:r>
          </w:p>
        </w:tc>
        <w:tc>
          <w:tcPr>
            <w:tcW w:w="1701" w:type="dxa"/>
            <w:hideMark/>
          </w:tcPr>
          <w:p w14:paraId="0E438862" w14:textId="77777777" w:rsidR="009054A7" w:rsidRPr="00F91E49" w:rsidRDefault="009054A7" w:rsidP="0069386C">
            <w:pPr>
              <w:cnfStyle w:val="000000100000" w:firstRow="0" w:lastRow="0" w:firstColumn="0" w:lastColumn="0" w:oddVBand="0" w:evenVBand="0" w:oddHBand="1" w:evenHBand="0" w:firstRowFirstColumn="0" w:firstRowLastColumn="0" w:lastRowFirstColumn="0" w:lastRowLastColumn="0"/>
              <w:rPr>
                <w:sz w:val="18"/>
                <w:szCs w:val="20"/>
              </w:rPr>
            </w:pPr>
            <w:r w:rsidRPr="00F91E49">
              <w:rPr>
                <w:sz w:val="18"/>
                <w:szCs w:val="20"/>
              </w:rPr>
              <w:t>-17,100,000</w:t>
            </w:r>
          </w:p>
        </w:tc>
      </w:tr>
      <w:tr w:rsidR="009054A7" w:rsidRPr="002E7757" w14:paraId="1E36634C" w14:textId="77777777" w:rsidTr="00641912">
        <w:trPr>
          <w:trHeight w:val="300"/>
        </w:trPr>
        <w:tc>
          <w:tcPr>
            <w:cnfStyle w:val="001000000000" w:firstRow="0" w:lastRow="0" w:firstColumn="1" w:lastColumn="0" w:oddVBand="0" w:evenVBand="0" w:oddHBand="0" w:evenHBand="0" w:firstRowFirstColumn="0" w:firstRowLastColumn="0" w:lastRowFirstColumn="0" w:lastRowLastColumn="0"/>
            <w:tcW w:w="693" w:type="dxa"/>
            <w:hideMark/>
          </w:tcPr>
          <w:p w14:paraId="09A16145" w14:textId="77777777" w:rsidR="009054A7" w:rsidRPr="00F91E49" w:rsidRDefault="009054A7" w:rsidP="0069386C">
            <w:pPr>
              <w:rPr>
                <w:sz w:val="18"/>
                <w:szCs w:val="20"/>
              </w:rPr>
            </w:pPr>
            <w:r w:rsidRPr="00F91E49">
              <w:rPr>
                <w:sz w:val="18"/>
                <w:szCs w:val="20"/>
              </w:rPr>
              <w:t>1000</w:t>
            </w:r>
          </w:p>
        </w:tc>
        <w:tc>
          <w:tcPr>
            <w:tcW w:w="1023" w:type="dxa"/>
            <w:hideMark/>
          </w:tcPr>
          <w:p w14:paraId="0F1D563B"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1 death </w:t>
            </w:r>
          </w:p>
        </w:tc>
        <w:tc>
          <w:tcPr>
            <w:tcW w:w="1563" w:type="dxa"/>
            <w:hideMark/>
          </w:tcPr>
          <w:p w14:paraId="7381D7D1"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                                 175,000,000 </w:t>
            </w:r>
          </w:p>
        </w:tc>
        <w:tc>
          <w:tcPr>
            <w:tcW w:w="1094" w:type="dxa"/>
            <w:hideMark/>
          </w:tcPr>
          <w:p w14:paraId="57416A94"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                      250,000 </w:t>
            </w:r>
          </w:p>
        </w:tc>
        <w:tc>
          <w:tcPr>
            <w:tcW w:w="1292" w:type="dxa"/>
            <w:hideMark/>
          </w:tcPr>
          <w:p w14:paraId="03A2A123"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              400,000 </w:t>
            </w:r>
          </w:p>
        </w:tc>
        <w:tc>
          <w:tcPr>
            <w:tcW w:w="1418" w:type="dxa"/>
            <w:hideMark/>
          </w:tcPr>
          <w:p w14:paraId="110C6860"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 xml:space="preserve">-174,750,000 </w:t>
            </w:r>
          </w:p>
        </w:tc>
        <w:tc>
          <w:tcPr>
            <w:tcW w:w="1701" w:type="dxa"/>
            <w:hideMark/>
          </w:tcPr>
          <w:p w14:paraId="240CE83E" w14:textId="77777777" w:rsidR="009054A7" w:rsidRPr="00F91E49" w:rsidRDefault="009054A7" w:rsidP="0069386C">
            <w:pPr>
              <w:cnfStyle w:val="000000000000" w:firstRow="0" w:lastRow="0" w:firstColumn="0" w:lastColumn="0" w:oddVBand="0" w:evenVBand="0" w:oddHBand="0" w:evenHBand="0" w:firstRowFirstColumn="0" w:firstRowLastColumn="0" w:lastRowFirstColumn="0" w:lastRowLastColumn="0"/>
              <w:rPr>
                <w:sz w:val="18"/>
                <w:szCs w:val="20"/>
              </w:rPr>
            </w:pPr>
            <w:r w:rsidRPr="00F91E49">
              <w:rPr>
                <w:sz w:val="18"/>
                <w:szCs w:val="20"/>
              </w:rPr>
              <w:t>-174,600,000</w:t>
            </w:r>
          </w:p>
        </w:tc>
      </w:tr>
    </w:tbl>
    <w:p w14:paraId="278C2D1B" w14:textId="77777777" w:rsidR="009054A7" w:rsidRPr="00007A84" w:rsidRDefault="009054A7" w:rsidP="009054A7"/>
    <w:p w14:paraId="0F7B18E3" w14:textId="6DE07BC8" w:rsidR="009054A7" w:rsidRDefault="009054A7" w:rsidP="009054A7">
      <w:pPr>
        <w:jc w:val="left"/>
      </w:pPr>
      <w:r>
        <w:rPr>
          <w:b/>
          <w:bCs/>
        </w:rPr>
        <w:t xml:space="preserve">Security: </w:t>
      </w:r>
      <w:r>
        <w:t>There are small benefits to passengers from knowing that there is standard regulation across numerous countries. This may be a particular benefit to passengers who are travelling on an international cruise ship or have purchased their ticket abroad</w:t>
      </w:r>
      <w:r w:rsidR="002B5016">
        <w:t xml:space="preserve">. </w:t>
      </w:r>
      <w:r w:rsidR="00E26CFF">
        <w:t>Some passengers may also derive benefit from an equality perspective</w:t>
      </w:r>
      <w:r w:rsidR="00D767B6">
        <w:t>,</w:t>
      </w:r>
      <w:r w:rsidR="008110D8">
        <w:t xml:space="preserve"> </w:t>
      </w:r>
      <w:r w:rsidR="00E26CFF">
        <w:t>knowing passengers</w:t>
      </w:r>
      <w:r w:rsidR="004248A0">
        <w:t xml:space="preserve"> covered by the Athens Convention</w:t>
      </w:r>
      <w:r w:rsidR="00E26CFF">
        <w:t xml:space="preserve"> will be treated the same in the case of an incident, compared to current legislation which could allow for differences between passengers</w:t>
      </w:r>
    </w:p>
    <w:p w14:paraId="007665FB" w14:textId="77777777" w:rsidR="009054A7" w:rsidRDefault="009054A7" w:rsidP="009054A7">
      <w:pPr>
        <w:pStyle w:val="Heading3"/>
      </w:pPr>
      <w:bookmarkStart w:id="136" w:name="_Toc34657086"/>
      <w:bookmarkStart w:id="137" w:name="_Toc44659940"/>
      <w:r>
        <w:t>Government</w:t>
      </w:r>
      <w:bookmarkEnd w:id="136"/>
      <w:bookmarkEnd w:id="137"/>
      <w:r>
        <w:t xml:space="preserve"> </w:t>
      </w:r>
    </w:p>
    <w:p w14:paraId="5932F36C" w14:textId="1B150154" w:rsidR="009054A7" w:rsidRDefault="009054A7" w:rsidP="009054A7">
      <w:pPr>
        <w:jc w:val="left"/>
      </w:pPr>
      <w:r>
        <w:rPr>
          <w:b/>
          <w:bCs/>
        </w:rPr>
        <w:t xml:space="preserve">Cost of ongoing regulation: </w:t>
      </w:r>
      <w:r>
        <w:t xml:space="preserve">The Government will be impacted by any changes in the cost of ongoing enforcement </w:t>
      </w:r>
      <w:r w:rsidR="007C67D7">
        <w:t>and subsequent maintenance of regulation</w:t>
      </w:r>
      <w:r>
        <w:t xml:space="preserve">. Currently, regulations are enforced </w:t>
      </w:r>
      <w:r w:rsidR="00922DBF">
        <w:t xml:space="preserve">on a risk assessment basis </w:t>
      </w:r>
      <w:r>
        <w:t>as it is believed that most cruise ships follow regulations as it is in their commercial interests to do so. Some of the requirements of the Athens Convention, such as stated insurance limits, may not align with the commercial interests of the cruise company and will therefore need some enforcement from the Government or another public body. This could place an ongoing cost which is not currently required. Consultation with the Australian Maritime Safety Authority (section 8) indicated however,</w:t>
      </w:r>
      <w:r w:rsidRPr="00456AB1">
        <w:t xml:space="preserve"> that</w:t>
      </w:r>
      <w:r>
        <w:t xml:space="preserve"> due to existing compliance regimes that the</w:t>
      </w:r>
      <w:r w:rsidRPr="00456AB1">
        <w:t xml:space="preserve"> ratification of the Athens Convention would </w:t>
      </w:r>
      <w:r>
        <w:t>impose</w:t>
      </w:r>
      <w:r w:rsidRPr="00456AB1">
        <w:t xml:space="preserve"> little </w:t>
      </w:r>
      <w:r>
        <w:t xml:space="preserve">additional </w:t>
      </w:r>
      <w:r w:rsidRPr="00456AB1">
        <w:t xml:space="preserve">regulatory </w:t>
      </w:r>
      <w:r>
        <w:t>cost</w:t>
      </w:r>
      <w:r w:rsidRPr="00456AB1">
        <w:t xml:space="preserve"> on its operations.</w:t>
      </w:r>
    </w:p>
    <w:p w14:paraId="12B15AA4" w14:textId="15005328" w:rsidR="009054A7" w:rsidRPr="00692407" w:rsidRDefault="009054A7" w:rsidP="009054A7">
      <w:pPr>
        <w:jc w:val="left"/>
      </w:pPr>
      <w:r>
        <w:t xml:space="preserve">The UK Government requires ships to obtain a certificate from the Secretary of State which shows their compliance. This costs £31 for the shipping companies to obtain. The Australian Government could consider a similar approach to cover the costs of regulation. </w:t>
      </w:r>
    </w:p>
    <w:p w14:paraId="38EF13CE" w14:textId="77777777" w:rsidR="009054A7" w:rsidRDefault="009054A7" w:rsidP="009054A7">
      <w:pPr>
        <w:jc w:val="left"/>
      </w:pPr>
      <w:r>
        <w:rPr>
          <w:b/>
          <w:bCs/>
        </w:rPr>
        <w:t xml:space="preserve">Conflicting interests: </w:t>
      </w:r>
      <w:r>
        <w:t xml:space="preserve">The Government should consider the net impact on society. Many of the impacts discussed in this assessment have been benefits to one user group but impose a similar cost on another group. Therefore, the overall impact is likely to be small. However, when deciding on an option the Government may wish to protect the interest of one group over another. This could be for many reasons, for example protecting passenger’s rights by ensuring they are well protected in the event of a claim; or supporting cruise companies to help maintain jobs in the industry during a difficult time. Some of the interests may not align, and hence the Government should weigh up the overall impact. They may also wish to consider disadvantaged groups, such as how low-income households may be affected or smaller cruise companies.  </w:t>
      </w:r>
    </w:p>
    <w:p w14:paraId="46D79197" w14:textId="77777777" w:rsidR="009054A7" w:rsidRPr="006F5F70" w:rsidRDefault="009054A7" w:rsidP="009054A7">
      <w:pPr>
        <w:jc w:val="left"/>
      </w:pPr>
      <w:r>
        <w:rPr>
          <w:b/>
          <w:bCs/>
        </w:rPr>
        <w:t xml:space="preserve">International Consistency: </w:t>
      </w:r>
      <w:r>
        <w:t xml:space="preserve">The Government may derive some benefit from their regulations being in line with other countries. This could make discussion over cases occurring internationally easier, as well as being able to draw on previous experiences to implement regulation.   </w:t>
      </w:r>
    </w:p>
    <w:p w14:paraId="56F919D5" w14:textId="77777777" w:rsidR="009054A7" w:rsidRDefault="009054A7" w:rsidP="009054A7">
      <w:pPr>
        <w:pStyle w:val="Heading2"/>
        <w:jc w:val="both"/>
      </w:pPr>
      <w:bookmarkStart w:id="138" w:name="_Toc34657087"/>
      <w:bookmarkStart w:id="139" w:name="_Toc44659941"/>
      <w:r>
        <w:t>Luggage Compensation</w:t>
      </w:r>
      <w:bookmarkEnd w:id="138"/>
      <w:bookmarkEnd w:id="139"/>
    </w:p>
    <w:p w14:paraId="2D60E143" w14:textId="2AF1BE92" w:rsidR="009054A7" w:rsidRDefault="009054A7" w:rsidP="009054A7">
      <w:pPr>
        <w:jc w:val="left"/>
      </w:pPr>
      <w:r>
        <w:t xml:space="preserve">The current regulations under </w:t>
      </w:r>
      <w:r w:rsidR="000F2027">
        <w:t xml:space="preserve">the </w:t>
      </w:r>
      <w:r>
        <w:t>LLMC do not provide any cover for damage or loss of luggage. Stakeholder engagement confirmed that most passengers would take out private travel insurance or be covered under the contract signed with the individual cruise company before participating in their cruise. Under the Athens Convention, passengers are entitled to claim up to a certain limit for loss or damage to their cabin luggage or vehicles whilst on the cruise. Acceding to Athens would provide the option to passengers of whether they wish to claim direct</w:t>
      </w:r>
      <w:r w:rsidR="000F2027">
        <w:t>ly through</w:t>
      </w:r>
      <w:r>
        <w:t xml:space="preserve"> the cruise company using the Athens Convention limits, or if they prefer to claim through their travel insurance provider. It is likely that the travel insurance provider would </w:t>
      </w:r>
      <w:r w:rsidR="00991D95">
        <w:t xml:space="preserve">either direct the claimant to the cruise company or their insurer in the first instance or </w:t>
      </w:r>
      <w:r>
        <w:t>claim the cost back from the cruise company</w:t>
      </w:r>
      <w:r w:rsidR="00991D95">
        <w:t xml:space="preserve"> directly</w:t>
      </w:r>
      <w:r>
        <w:t xml:space="preserve">, and therefore ultimately it is the cruise company which pays out. The impacts of this change are expected to be minimal for two reasons. </w:t>
      </w:r>
      <w:r w:rsidR="00503E70">
        <w:t>Firstly, a</w:t>
      </w:r>
      <w:r>
        <w:t xml:space="preserve">s set out above, the cruise company will ultimately pay for any loss or damages, and hence there is limited change to them if the passenger claims through the travel insurance provider or through the Athens Convention. Secondly, in most cases the amount a passenger could claim through their travel insurance would be similar to the limits set under Athens. Given the option, passengers would likely continue to claim under their travel insurance as it is a more familiar and quicker process. Some passengers may decide travel insurance is no longer worthwhile. However, this is likely to be a small number of passengers as travel insurance covers risks much broader than luggage and is often mandated by cruise companies. </w:t>
      </w:r>
    </w:p>
    <w:p w14:paraId="78AE9BDB" w14:textId="77777777" w:rsidR="009054A7" w:rsidRDefault="009054A7" w:rsidP="009054A7">
      <w:pPr>
        <w:pStyle w:val="Heading2"/>
        <w:jc w:val="both"/>
      </w:pPr>
      <w:bookmarkStart w:id="140" w:name="_Toc34657088"/>
      <w:bookmarkStart w:id="141" w:name="_Toc44659942"/>
      <w:r>
        <w:t>Cost of Implementation</w:t>
      </w:r>
      <w:bookmarkEnd w:id="140"/>
      <w:bookmarkEnd w:id="141"/>
    </w:p>
    <w:p w14:paraId="5D9E1C90" w14:textId="77777777" w:rsidR="009054A7" w:rsidRDefault="009054A7" w:rsidP="009054A7">
      <w:pPr>
        <w:jc w:val="left"/>
      </w:pPr>
      <w:r>
        <w:t xml:space="preserve">The impacts have been considered in this cost benefit analysis assuming that any change in regulation has already occurred, the industry has had time to adapt and the new regulation is well embedded. This is to ensure that impacts are considered in their end state and the effort involved to make any changes does not influence the assessment of whether the policy change is a good idea or not.  </w:t>
      </w:r>
    </w:p>
    <w:p w14:paraId="15BAB1D5" w14:textId="77777777" w:rsidR="009054A7" w:rsidRDefault="009054A7" w:rsidP="009054A7">
      <w:pPr>
        <w:jc w:val="left"/>
      </w:pPr>
      <w:r>
        <w:t xml:space="preserve">However, when making a recommendation it is also important to consider what would be required to implement any changes. Any changes to legislation should be outweighed by the anticipated benefits. Otherwise, the cost of changing legislation would place an unnecessary burden on industry. </w:t>
      </w:r>
    </w:p>
    <w:p w14:paraId="3644F2F9" w14:textId="77777777" w:rsidR="009054A7" w:rsidRDefault="009054A7" w:rsidP="009054A7">
      <w:pPr>
        <w:jc w:val="left"/>
      </w:pPr>
      <w:r>
        <w:t xml:space="preserve">Impacts to consider include: </w:t>
      </w:r>
    </w:p>
    <w:p w14:paraId="0E2A15F3" w14:textId="77777777" w:rsidR="009054A7" w:rsidRDefault="009054A7" w:rsidP="00160A48">
      <w:pPr>
        <w:pStyle w:val="ListParagraph"/>
        <w:numPr>
          <w:ilvl w:val="0"/>
          <w:numId w:val="17"/>
        </w:numPr>
        <w:jc w:val="left"/>
      </w:pPr>
      <w:r>
        <w:t>Cost to the government of agreeing new legislation, updating regulation and ensuring initial compliance</w:t>
      </w:r>
    </w:p>
    <w:p w14:paraId="7F98B66F" w14:textId="77777777" w:rsidR="009054A7" w:rsidRDefault="009054A7" w:rsidP="00160A48">
      <w:pPr>
        <w:pStyle w:val="ListParagraph"/>
        <w:numPr>
          <w:ilvl w:val="0"/>
          <w:numId w:val="17"/>
        </w:numPr>
        <w:jc w:val="left"/>
      </w:pPr>
      <w:r>
        <w:t>Cost to legal industry, cruise companies and insurance providers of understanding changes, training staff and where necessary writing new contracts</w:t>
      </w:r>
    </w:p>
    <w:p w14:paraId="209BB224" w14:textId="77777777" w:rsidR="009054A7" w:rsidRDefault="009054A7" w:rsidP="00160A48">
      <w:pPr>
        <w:pStyle w:val="ListParagraph"/>
        <w:numPr>
          <w:ilvl w:val="0"/>
          <w:numId w:val="17"/>
        </w:numPr>
        <w:jc w:val="left"/>
      </w:pPr>
      <w:r>
        <w:t xml:space="preserve">Cost to passengers, both financial and on well-being, of any changes in their rights </w:t>
      </w:r>
    </w:p>
    <w:p w14:paraId="100DE5A0" w14:textId="77777777" w:rsidR="009054A7" w:rsidRDefault="009054A7" w:rsidP="00160A48">
      <w:pPr>
        <w:pStyle w:val="ListParagraph"/>
        <w:numPr>
          <w:ilvl w:val="0"/>
          <w:numId w:val="17"/>
        </w:numPr>
        <w:jc w:val="left"/>
      </w:pPr>
      <w:r>
        <w:t>Uncertainty during any changeover period and potential costs which could arise as a result</w:t>
      </w:r>
    </w:p>
    <w:p w14:paraId="002ED6BD" w14:textId="77777777" w:rsidR="009054A7" w:rsidRPr="00F263E1" w:rsidRDefault="009054A7" w:rsidP="009054A7">
      <w:pPr>
        <w:pStyle w:val="ListParagraph"/>
        <w:jc w:val="left"/>
        <w:rPr>
          <w:color w:val="auto"/>
        </w:rPr>
      </w:pPr>
    </w:p>
    <w:p w14:paraId="1FF0B933" w14:textId="008774AC" w:rsidR="009054A7" w:rsidRPr="00F263E1" w:rsidRDefault="009054A7" w:rsidP="009054A7">
      <w:pPr>
        <w:jc w:val="left"/>
        <w:rPr>
          <w:color w:val="auto"/>
        </w:rPr>
      </w:pPr>
      <w:r>
        <w:rPr>
          <w:color w:val="auto"/>
        </w:rPr>
        <w:t xml:space="preserve">Stakeholder engagement suggested </w:t>
      </w:r>
      <w:r w:rsidR="00262E63">
        <w:rPr>
          <w:color w:val="auto"/>
        </w:rPr>
        <w:t xml:space="preserve">that </w:t>
      </w:r>
      <w:r>
        <w:rPr>
          <w:color w:val="auto"/>
        </w:rPr>
        <w:t xml:space="preserve">the cost for cruise companies of implementation could be significant. They highlighted that there would be a need for legal involvement to re-write existing contract templates, as well as time and cost associated with training their in-house legal teams in the new regulations. Other staff may also need to be retrained so that they can correctly inform passengers of their rights in the case that an incident occurs during a cruise. Whilst unable to provide an estimate within the timeframes, these costs are estimated to be high. </w:t>
      </w:r>
    </w:p>
    <w:p w14:paraId="70FD9744" w14:textId="77777777" w:rsidR="009054A7" w:rsidRDefault="009054A7" w:rsidP="009054A7">
      <w:pPr>
        <w:pStyle w:val="Heading2"/>
        <w:jc w:val="both"/>
      </w:pPr>
      <w:bookmarkStart w:id="142" w:name="_Toc34657089"/>
      <w:bookmarkStart w:id="143" w:name="_Toc44659943"/>
      <w:r>
        <w:t>Summary of Impacts Identified</w:t>
      </w:r>
      <w:bookmarkEnd w:id="142"/>
      <w:bookmarkEnd w:id="143"/>
    </w:p>
    <w:p w14:paraId="4BA10DB4" w14:textId="2571C6E1" w:rsidR="009054A7" w:rsidRDefault="009054A7" w:rsidP="009054A7">
      <w:pPr>
        <w:jc w:val="left"/>
      </w:pPr>
      <w:r>
        <w:t xml:space="preserve">The impacts </w:t>
      </w:r>
      <w:r w:rsidR="0024619C">
        <w:t xml:space="preserve">on the </w:t>
      </w:r>
      <w:r>
        <w:t xml:space="preserve">following </w:t>
      </w:r>
      <w:r w:rsidR="0024619C">
        <w:t>page</w:t>
      </w:r>
      <w:r>
        <w:t xml:space="preserve"> have been assessed using a seven-point scale from large beneficial to large adverse. When assessing the scale of an impact, the issues discussed above have been </w:t>
      </w:r>
      <w:r w:rsidR="001C0001">
        <w:t>considered</w:t>
      </w:r>
      <w:r>
        <w:t xml:space="preserve"> and a judgement made based on the size of the impact, the likelihood it occurs and any other factors which may be relevant. The table presents the scale for a comparison of acceding to </w:t>
      </w:r>
      <w:r w:rsidR="00711F60">
        <w:t xml:space="preserve">the </w:t>
      </w:r>
      <w:r>
        <w:t xml:space="preserve">Athens </w:t>
      </w:r>
      <w:r w:rsidR="00711F60">
        <w:t xml:space="preserve">Convention </w:t>
      </w:r>
      <w:r>
        <w:t xml:space="preserve">compared to the current baseline of LLMC protocol. Differences between the identified options are discussed afterwards. </w:t>
      </w:r>
    </w:p>
    <w:p w14:paraId="55059FFD" w14:textId="77777777" w:rsidR="00A27994" w:rsidRDefault="00A27994" w:rsidP="009054A7">
      <w:pPr>
        <w:jc w:val="left"/>
      </w:pPr>
    </w:p>
    <w:p w14:paraId="7C9791EC" w14:textId="5AB2A3DF" w:rsidR="009054A7" w:rsidRPr="00407965" w:rsidRDefault="009054A7" w:rsidP="00CD25BE">
      <w:pPr>
        <w:pStyle w:val="Caption"/>
        <w:rPr>
          <w:b/>
          <w:bCs/>
        </w:rPr>
      </w:pPr>
      <w:bookmarkStart w:id="144" w:name="_Toc36560359"/>
      <w:r>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12</w:t>
      </w:r>
      <w:r w:rsidR="00B435A7">
        <w:rPr>
          <w:noProof/>
        </w:rPr>
        <w:fldChar w:fldCharType="end"/>
      </w:r>
      <w:r w:rsidR="00CD25BE">
        <w:t>:</w:t>
      </w:r>
      <w:r>
        <w:t xml:space="preserve"> </w:t>
      </w:r>
      <w:r w:rsidRPr="00980378">
        <w:t>Assessment of the Impacts identified:</w:t>
      </w:r>
      <w:bookmarkEnd w:id="144"/>
    </w:p>
    <w:tbl>
      <w:tblPr>
        <w:tblStyle w:val="PlainTable2"/>
        <w:tblW w:w="9026" w:type="dxa"/>
        <w:tblLook w:val="04A0" w:firstRow="1" w:lastRow="0" w:firstColumn="1" w:lastColumn="0" w:noHBand="0" w:noVBand="1"/>
      </w:tblPr>
      <w:tblGrid>
        <w:gridCol w:w="993"/>
        <w:gridCol w:w="1690"/>
        <w:gridCol w:w="1570"/>
        <w:gridCol w:w="283"/>
        <w:gridCol w:w="4490"/>
      </w:tblGrid>
      <w:tr w:rsidR="009054A7" w14:paraId="50B298FF" w14:textId="77777777" w:rsidTr="008C7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DC5FB46" w14:textId="77777777" w:rsidR="009054A7" w:rsidRPr="00027286" w:rsidRDefault="009054A7" w:rsidP="0069386C">
            <w:r w:rsidRPr="00027286">
              <w:t>User group</w:t>
            </w:r>
          </w:p>
        </w:tc>
        <w:tc>
          <w:tcPr>
            <w:tcW w:w="1690" w:type="dxa"/>
          </w:tcPr>
          <w:p w14:paraId="0F45A60B" w14:textId="77777777" w:rsidR="009054A7" w:rsidRPr="00027286" w:rsidRDefault="009054A7" w:rsidP="0069386C">
            <w:pPr>
              <w:cnfStyle w:val="100000000000" w:firstRow="1" w:lastRow="0" w:firstColumn="0" w:lastColumn="0" w:oddVBand="0" w:evenVBand="0" w:oddHBand="0" w:evenHBand="0" w:firstRowFirstColumn="0" w:firstRowLastColumn="0" w:lastRowFirstColumn="0" w:lastRowLastColumn="0"/>
            </w:pPr>
            <w:r w:rsidRPr="00027286">
              <w:t>Impact</w:t>
            </w:r>
          </w:p>
        </w:tc>
        <w:tc>
          <w:tcPr>
            <w:tcW w:w="1570" w:type="dxa"/>
          </w:tcPr>
          <w:p w14:paraId="7DFF9FE7" w14:textId="77777777" w:rsidR="00276735" w:rsidRPr="00027286" w:rsidRDefault="00276735" w:rsidP="00206635">
            <w:pPr>
              <w:cnfStyle w:val="100000000000" w:firstRow="1" w:lastRow="0" w:firstColumn="0" w:lastColumn="0" w:oddVBand="0" w:evenVBand="0" w:oddHBand="0" w:evenHBand="0" w:firstRowFirstColumn="0" w:firstRowLastColumn="0" w:lastRowFirstColumn="0" w:lastRowLastColumn="0"/>
            </w:pPr>
            <w:r w:rsidRPr="00027286">
              <w:t>Scale</w:t>
            </w:r>
          </w:p>
        </w:tc>
        <w:tc>
          <w:tcPr>
            <w:tcW w:w="283" w:type="dxa"/>
          </w:tcPr>
          <w:p w14:paraId="7073A537" w14:textId="51372D53" w:rsidR="00276735" w:rsidRPr="00027286" w:rsidRDefault="00276735" w:rsidP="00206635">
            <w:pPr>
              <w:cnfStyle w:val="100000000000" w:firstRow="1" w:lastRow="0" w:firstColumn="0" w:lastColumn="0" w:oddVBand="0" w:evenVBand="0" w:oddHBand="0" w:evenHBand="0" w:firstRowFirstColumn="0" w:firstRowLastColumn="0" w:lastRowFirstColumn="0" w:lastRowLastColumn="0"/>
            </w:pPr>
          </w:p>
        </w:tc>
        <w:tc>
          <w:tcPr>
            <w:tcW w:w="4490" w:type="dxa"/>
          </w:tcPr>
          <w:p w14:paraId="52A64BB1" w14:textId="77777777" w:rsidR="009054A7" w:rsidRPr="00027286" w:rsidRDefault="009054A7" w:rsidP="0069386C">
            <w:pPr>
              <w:cnfStyle w:val="100000000000" w:firstRow="1" w:lastRow="0" w:firstColumn="0" w:lastColumn="0" w:oddVBand="0" w:evenVBand="0" w:oddHBand="0" w:evenHBand="0" w:firstRowFirstColumn="0" w:firstRowLastColumn="0" w:lastRowFirstColumn="0" w:lastRowLastColumn="0"/>
            </w:pPr>
            <w:r w:rsidRPr="00027286">
              <w:t>Explanation</w:t>
            </w:r>
          </w:p>
        </w:tc>
      </w:tr>
      <w:tr w:rsidR="009054A7" w14:paraId="4B94B4E5" w14:textId="77777777" w:rsidTr="008C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extDirection w:val="btLr"/>
          </w:tcPr>
          <w:p w14:paraId="6EA4445A" w14:textId="77777777" w:rsidR="009054A7" w:rsidRPr="00651D2D" w:rsidRDefault="009054A7" w:rsidP="00651D2D">
            <w:pPr>
              <w:ind w:left="113" w:right="113"/>
              <w:jc w:val="center"/>
              <w:rPr>
                <w:sz w:val="32"/>
                <w:szCs w:val="32"/>
              </w:rPr>
            </w:pPr>
            <w:r w:rsidRPr="00651D2D">
              <w:rPr>
                <w:sz w:val="32"/>
                <w:szCs w:val="32"/>
              </w:rPr>
              <w:t>Cruise companies</w:t>
            </w:r>
          </w:p>
        </w:tc>
        <w:tc>
          <w:tcPr>
            <w:tcW w:w="1690" w:type="dxa"/>
          </w:tcPr>
          <w:p w14:paraId="2EDF291B" w14:textId="77777777" w:rsidR="009054A7" w:rsidRDefault="009054A7" w:rsidP="0069386C">
            <w:pPr>
              <w:jc w:val="left"/>
              <w:cnfStyle w:val="000000100000" w:firstRow="0" w:lastRow="0" w:firstColumn="0" w:lastColumn="0" w:oddVBand="0" w:evenVBand="0" w:oddHBand="1" w:evenHBand="0" w:firstRowFirstColumn="0" w:firstRowLastColumn="0" w:lastRowFirstColumn="0" w:lastRowLastColumn="0"/>
            </w:pPr>
            <w:r>
              <w:t>Insurance – compulsory and change in limits</w:t>
            </w:r>
          </w:p>
        </w:tc>
        <w:tc>
          <w:tcPr>
            <w:tcW w:w="1570" w:type="dxa"/>
          </w:tcPr>
          <w:p w14:paraId="4238C6C0"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Slight adverse</w:t>
            </w:r>
          </w:p>
        </w:tc>
        <w:tc>
          <w:tcPr>
            <w:tcW w:w="283" w:type="dxa"/>
            <w:shd w:val="clear" w:color="auto" w:fill="FFBC79"/>
          </w:tcPr>
          <w:p w14:paraId="4863A901" w14:textId="77777777" w:rsidR="00276735" w:rsidRDefault="00276735" w:rsidP="00206635">
            <w:pPr>
              <w:cnfStyle w:val="000000100000" w:firstRow="0" w:lastRow="0" w:firstColumn="0" w:lastColumn="0" w:oddVBand="0" w:evenVBand="0" w:oddHBand="1" w:evenHBand="0" w:firstRowFirstColumn="0" w:firstRowLastColumn="0" w:lastRowFirstColumn="0" w:lastRowLastColumn="0"/>
            </w:pPr>
          </w:p>
        </w:tc>
        <w:tc>
          <w:tcPr>
            <w:tcW w:w="4490" w:type="dxa"/>
          </w:tcPr>
          <w:p w14:paraId="172D9AB4"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 xml:space="preserve">&gt;90% companies already have insurance. Small cost on those that don’t, likely to be passed onto consumers. </w:t>
            </w:r>
          </w:p>
        </w:tc>
      </w:tr>
      <w:tr w:rsidR="009054A7" w14:paraId="78F2E705" w14:textId="77777777" w:rsidTr="008C7EB2">
        <w:tc>
          <w:tcPr>
            <w:cnfStyle w:val="001000000000" w:firstRow="0" w:lastRow="0" w:firstColumn="1" w:lastColumn="0" w:oddVBand="0" w:evenVBand="0" w:oddHBand="0" w:evenHBand="0" w:firstRowFirstColumn="0" w:firstRowLastColumn="0" w:lastRowFirstColumn="0" w:lastRowLastColumn="0"/>
            <w:tcW w:w="993" w:type="dxa"/>
            <w:vMerge/>
            <w:tcBorders>
              <w:top w:val="single" w:sz="4" w:space="0" w:color="7F7F7F" w:themeColor="text1" w:themeTint="80"/>
              <w:bottom w:val="single" w:sz="4" w:space="0" w:color="7F7F7F" w:themeColor="text1" w:themeTint="80"/>
            </w:tcBorders>
          </w:tcPr>
          <w:p w14:paraId="22EC964D" w14:textId="77777777" w:rsidR="009054A7" w:rsidRDefault="009054A7" w:rsidP="0069386C"/>
        </w:tc>
        <w:tc>
          <w:tcPr>
            <w:tcW w:w="1690" w:type="dxa"/>
            <w:tcBorders>
              <w:top w:val="single" w:sz="4" w:space="0" w:color="7F7F7F" w:themeColor="text1" w:themeTint="80"/>
              <w:bottom w:val="single" w:sz="4" w:space="0" w:color="7F7F7F" w:themeColor="text1" w:themeTint="80"/>
            </w:tcBorders>
          </w:tcPr>
          <w:p w14:paraId="694ECB08" w14:textId="77777777" w:rsidR="009054A7" w:rsidRDefault="009054A7" w:rsidP="0069386C">
            <w:pPr>
              <w:jc w:val="left"/>
              <w:cnfStyle w:val="000000000000" w:firstRow="0" w:lastRow="0" w:firstColumn="0" w:lastColumn="0" w:oddVBand="0" w:evenVBand="0" w:oddHBand="0" w:evenHBand="0" w:firstRowFirstColumn="0" w:firstRowLastColumn="0" w:lastRowFirstColumn="0" w:lastRowLastColumn="0"/>
            </w:pPr>
            <w:r>
              <w:t>Amount paid in claims</w:t>
            </w:r>
          </w:p>
        </w:tc>
        <w:tc>
          <w:tcPr>
            <w:tcW w:w="1570" w:type="dxa"/>
            <w:tcBorders>
              <w:top w:val="single" w:sz="4" w:space="0" w:color="7F7F7F" w:themeColor="text1" w:themeTint="80"/>
              <w:bottom w:val="single" w:sz="4" w:space="0" w:color="7F7F7F" w:themeColor="text1" w:themeTint="80"/>
            </w:tcBorders>
          </w:tcPr>
          <w:p w14:paraId="0ECFE18D"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Slight adverse</w:t>
            </w:r>
          </w:p>
        </w:tc>
        <w:tc>
          <w:tcPr>
            <w:tcW w:w="283" w:type="dxa"/>
            <w:tcBorders>
              <w:top w:val="single" w:sz="4" w:space="0" w:color="7F7F7F" w:themeColor="text1" w:themeTint="80"/>
              <w:bottom w:val="single" w:sz="4" w:space="0" w:color="7F7F7F" w:themeColor="text1" w:themeTint="80"/>
            </w:tcBorders>
            <w:shd w:val="clear" w:color="auto" w:fill="FFBC79"/>
          </w:tcPr>
          <w:p w14:paraId="4D46F392" w14:textId="77777777" w:rsidR="00276735" w:rsidRDefault="00276735" w:rsidP="00206635">
            <w:pPr>
              <w:cnfStyle w:val="000000000000" w:firstRow="0" w:lastRow="0" w:firstColumn="0" w:lastColumn="0" w:oddVBand="0" w:evenVBand="0" w:oddHBand="0" w:evenHBand="0" w:firstRowFirstColumn="0" w:firstRowLastColumn="0" w:lastRowFirstColumn="0" w:lastRowLastColumn="0"/>
            </w:pPr>
          </w:p>
        </w:tc>
        <w:tc>
          <w:tcPr>
            <w:tcW w:w="4490" w:type="dxa"/>
            <w:tcBorders>
              <w:top w:val="single" w:sz="4" w:space="0" w:color="7F7F7F" w:themeColor="text1" w:themeTint="80"/>
              <w:bottom w:val="single" w:sz="4" w:space="0" w:color="7F7F7F" w:themeColor="text1" w:themeTint="80"/>
            </w:tcBorders>
          </w:tcPr>
          <w:p w14:paraId="580CAA6C"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 xml:space="preserve">Australian Consumer Law will continue to set limits for payment amounts. Unlikely that limits will be reached in most cases. Payouts could increase in some instances.  </w:t>
            </w:r>
          </w:p>
        </w:tc>
      </w:tr>
      <w:tr w:rsidR="009054A7" w14:paraId="7D79B5F9" w14:textId="77777777" w:rsidTr="008C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Pr>
          <w:p w14:paraId="19959957" w14:textId="77777777" w:rsidR="009054A7" w:rsidRDefault="009054A7" w:rsidP="0069386C"/>
        </w:tc>
        <w:tc>
          <w:tcPr>
            <w:tcW w:w="1690" w:type="dxa"/>
          </w:tcPr>
          <w:p w14:paraId="1B284F16" w14:textId="77777777" w:rsidR="009054A7" w:rsidRDefault="009054A7" w:rsidP="0069386C">
            <w:pPr>
              <w:jc w:val="left"/>
              <w:cnfStyle w:val="000000100000" w:firstRow="0" w:lastRow="0" w:firstColumn="0" w:lastColumn="0" w:oddVBand="0" w:evenVBand="0" w:oddHBand="1" w:evenHBand="0" w:firstRowFirstColumn="0" w:firstRowLastColumn="0" w:lastRowFirstColumn="0" w:lastRowLastColumn="0"/>
            </w:pPr>
            <w:r>
              <w:t>Number of claims</w:t>
            </w:r>
          </w:p>
        </w:tc>
        <w:tc>
          <w:tcPr>
            <w:tcW w:w="1570" w:type="dxa"/>
          </w:tcPr>
          <w:p w14:paraId="746EC679"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Moderate adverse</w:t>
            </w:r>
          </w:p>
        </w:tc>
        <w:tc>
          <w:tcPr>
            <w:tcW w:w="283" w:type="dxa"/>
            <w:shd w:val="clear" w:color="auto" w:fill="C00000"/>
          </w:tcPr>
          <w:p w14:paraId="48E36884" w14:textId="77777777" w:rsidR="00276735" w:rsidRDefault="00276735" w:rsidP="00206635">
            <w:pPr>
              <w:cnfStyle w:val="000000100000" w:firstRow="0" w:lastRow="0" w:firstColumn="0" w:lastColumn="0" w:oddVBand="0" w:evenVBand="0" w:oddHBand="1" w:evenHBand="0" w:firstRowFirstColumn="0" w:firstRowLastColumn="0" w:lastRowFirstColumn="0" w:lastRowLastColumn="0"/>
            </w:pPr>
          </w:p>
        </w:tc>
        <w:tc>
          <w:tcPr>
            <w:tcW w:w="4490" w:type="dxa"/>
          </w:tcPr>
          <w:p w14:paraId="58C0F4BC"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 xml:space="preserve">Likely increase in claims from passengers could reduce ability to settle out of court. Balanced by increases in insurance premiums passed back to consumers. </w:t>
            </w:r>
          </w:p>
        </w:tc>
      </w:tr>
      <w:tr w:rsidR="009054A7" w14:paraId="15D776A1" w14:textId="77777777" w:rsidTr="008C7EB2">
        <w:tc>
          <w:tcPr>
            <w:cnfStyle w:val="001000000000" w:firstRow="0" w:lastRow="0" w:firstColumn="1" w:lastColumn="0" w:oddVBand="0" w:evenVBand="0" w:oddHBand="0" w:evenHBand="0" w:firstRowFirstColumn="0" w:firstRowLastColumn="0" w:lastRowFirstColumn="0" w:lastRowLastColumn="0"/>
            <w:tcW w:w="993" w:type="dxa"/>
            <w:vMerge/>
            <w:tcBorders>
              <w:top w:val="single" w:sz="4" w:space="0" w:color="7F7F7F" w:themeColor="text1" w:themeTint="80"/>
              <w:bottom w:val="single" w:sz="12" w:space="0" w:color="000000" w:themeColor="text1"/>
            </w:tcBorders>
          </w:tcPr>
          <w:p w14:paraId="4146FDF4" w14:textId="77777777" w:rsidR="009054A7" w:rsidRDefault="009054A7" w:rsidP="0069386C"/>
        </w:tc>
        <w:tc>
          <w:tcPr>
            <w:tcW w:w="1690" w:type="dxa"/>
            <w:tcBorders>
              <w:top w:val="single" w:sz="4" w:space="0" w:color="7F7F7F" w:themeColor="text1" w:themeTint="80"/>
              <w:bottom w:val="single" w:sz="12" w:space="0" w:color="000000" w:themeColor="text1"/>
            </w:tcBorders>
          </w:tcPr>
          <w:p w14:paraId="5B895414" w14:textId="77777777" w:rsidR="009054A7" w:rsidRDefault="009054A7" w:rsidP="0069386C">
            <w:pPr>
              <w:jc w:val="left"/>
              <w:cnfStyle w:val="000000000000" w:firstRow="0" w:lastRow="0" w:firstColumn="0" w:lastColumn="0" w:oddVBand="0" w:evenVBand="0" w:oddHBand="0" w:evenHBand="0" w:firstRowFirstColumn="0" w:firstRowLastColumn="0" w:lastRowFirstColumn="0" w:lastRowLastColumn="0"/>
            </w:pPr>
            <w:r>
              <w:t>Number of passengers</w:t>
            </w:r>
          </w:p>
        </w:tc>
        <w:tc>
          <w:tcPr>
            <w:tcW w:w="1570" w:type="dxa"/>
            <w:tcBorders>
              <w:top w:val="single" w:sz="4" w:space="0" w:color="7F7F7F" w:themeColor="text1" w:themeTint="80"/>
              <w:bottom w:val="single" w:sz="12" w:space="0" w:color="000000" w:themeColor="text1"/>
            </w:tcBorders>
          </w:tcPr>
          <w:p w14:paraId="3E6B6652"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Slight beneficial</w:t>
            </w:r>
          </w:p>
        </w:tc>
        <w:tc>
          <w:tcPr>
            <w:tcW w:w="283" w:type="dxa"/>
            <w:tcBorders>
              <w:top w:val="single" w:sz="4" w:space="0" w:color="7F7F7F" w:themeColor="text1" w:themeTint="80"/>
              <w:bottom w:val="single" w:sz="12" w:space="0" w:color="000000" w:themeColor="text1"/>
            </w:tcBorders>
            <w:shd w:val="clear" w:color="auto" w:fill="ACD7CA" w:themeFill="accent3" w:themeFillTint="99"/>
          </w:tcPr>
          <w:p w14:paraId="196C8AA2" w14:textId="77777777" w:rsidR="00276735" w:rsidRDefault="00276735" w:rsidP="00206635">
            <w:pPr>
              <w:cnfStyle w:val="000000000000" w:firstRow="0" w:lastRow="0" w:firstColumn="0" w:lastColumn="0" w:oddVBand="0" w:evenVBand="0" w:oddHBand="0" w:evenHBand="0" w:firstRowFirstColumn="0" w:firstRowLastColumn="0" w:lastRowFirstColumn="0" w:lastRowLastColumn="0"/>
            </w:pPr>
          </w:p>
        </w:tc>
        <w:tc>
          <w:tcPr>
            <w:tcW w:w="4490" w:type="dxa"/>
            <w:tcBorders>
              <w:top w:val="single" w:sz="4" w:space="0" w:color="7F7F7F" w:themeColor="text1" w:themeTint="80"/>
              <w:bottom w:val="single" w:sz="12" w:space="0" w:color="000000" w:themeColor="text1"/>
            </w:tcBorders>
          </w:tcPr>
          <w:p w14:paraId="39413693"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 xml:space="preserve">Reduced uncertainty of claims, equity between passengers and perceived improvement in safety could increase demand for cruises. </w:t>
            </w:r>
          </w:p>
        </w:tc>
      </w:tr>
      <w:tr w:rsidR="009054A7" w14:paraId="0B823B2A" w14:textId="77777777" w:rsidTr="008C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12" w:space="0" w:color="000000" w:themeColor="text1"/>
            </w:tcBorders>
            <w:textDirection w:val="btLr"/>
          </w:tcPr>
          <w:p w14:paraId="05EEAE12" w14:textId="77777777" w:rsidR="009054A7" w:rsidRPr="00651D2D" w:rsidRDefault="009054A7" w:rsidP="00651D2D">
            <w:pPr>
              <w:ind w:left="113" w:right="113"/>
              <w:jc w:val="center"/>
              <w:rPr>
                <w:sz w:val="28"/>
                <w:szCs w:val="28"/>
              </w:rPr>
            </w:pPr>
            <w:r w:rsidRPr="00651D2D">
              <w:rPr>
                <w:sz w:val="28"/>
                <w:szCs w:val="28"/>
              </w:rPr>
              <w:t>Insurance companies</w:t>
            </w:r>
          </w:p>
        </w:tc>
        <w:tc>
          <w:tcPr>
            <w:tcW w:w="1690" w:type="dxa"/>
            <w:tcBorders>
              <w:top w:val="single" w:sz="12" w:space="0" w:color="000000" w:themeColor="text1"/>
            </w:tcBorders>
          </w:tcPr>
          <w:p w14:paraId="3098A921" w14:textId="77777777" w:rsidR="009054A7" w:rsidRDefault="009054A7" w:rsidP="0069386C">
            <w:pPr>
              <w:jc w:val="left"/>
              <w:cnfStyle w:val="000000100000" w:firstRow="0" w:lastRow="0" w:firstColumn="0" w:lastColumn="0" w:oddVBand="0" w:evenVBand="0" w:oddHBand="1" w:evenHBand="0" w:firstRowFirstColumn="0" w:firstRowLastColumn="0" w:lastRowFirstColumn="0" w:lastRowLastColumn="0"/>
            </w:pPr>
            <w:r>
              <w:t>Money flow</w:t>
            </w:r>
          </w:p>
        </w:tc>
        <w:tc>
          <w:tcPr>
            <w:tcW w:w="1570" w:type="dxa"/>
            <w:tcBorders>
              <w:top w:val="single" w:sz="12" w:space="0" w:color="000000" w:themeColor="text1"/>
            </w:tcBorders>
          </w:tcPr>
          <w:p w14:paraId="6B9D207E"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Neutral</w:t>
            </w:r>
          </w:p>
        </w:tc>
        <w:tc>
          <w:tcPr>
            <w:tcW w:w="283" w:type="dxa"/>
            <w:tcBorders>
              <w:top w:val="single" w:sz="12" w:space="0" w:color="000000" w:themeColor="text1"/>
            </w:tcBorders>
            <w:shd w:val="clear" w:color="auto" w:fill="FFFFC5"/>
          </w:tcPr>
          <w:p w14:paraId="0ED246B3" w14:textId="77777777" w:rsidR="00276735" w:rsidRDefault="00276735" w:rsidP="00206635">
            <w:pPr>
              <w:cnfStyle w:val="000000100000" w:firstRow="0" w:lastRow="0" w:firstColumn="0" w:lastColumn="0" w:oddVBand="0" w:evenVBand="0" w:oddHBand="1" w:evenHBand="0" w:firstRowFirstColumn="0" w:firstRowLastColumn="0" w:lastRowFirstColumn="0" w:lastRowLastColumn="0"/>
            </w:pPr>
          </w:p>
        </w:tc>
        <w:tc>
          <w:tcPr>
            <w:tcW w:w="4490" w:type="dxa"/>
            <w:tcBorders>
              <w:top w:val="single" w:sz="12" w:space="0" w:color="000000" w:themeColor="text1"/>
            </w:tcBorders>
          </w:tcPr>
          <w:p w14:paraId="05F462E2" w14:textId="53C32087" w:rsidR="009054A7" w:rsidRDefault="009054A7" w:rsidP="0069386C">
            <w:pPr>
              <w:cnfStyle w:val="000000100000" w:firstRow="0" w:lastRow="0" w:firstColumn="0" w:lastColumn="0" w:oddVBand="0" w:evenVBand="0" w:oddHBand="1" w:evenHBand="0" w:firstRowFirstColumn="0" w:firstRowLastColumn="0" w:lastRowFirstColumn="0" w:lastRowLastColumn="0"/>
            </w:pPr>
            <w:r>
              <w:t>Likely to receive higher payments from cruise companies but also have to payout more</w:t>
            </w:r>
            <w:r w:rsidR="00681DF2">
              <w:t xml:space="preserve"> claims</w:t>
            </w:r>
            <w:r>
              <w:t xml:space="preserve">. </w:t>
            </w:r>
          </w:p>
        </w:tc>
      </w:tr>
      <w:tr w:rsidR="009054A7" w14:paraId="228D5990" w14:textId="77777777" w:rsidTr="008C7EB2">
        <w:tc>
          <w:tcPr>
            <w:cnfStyle w:val="001000000000" w:firstRow="0" w:lastRow="0" w:firstColumn="1" w:lastColumn="0" w:oddVBand="0" w:evenVBand="0" w:oddHBand="0" w:evenHBand="0" w:firstRowFirstColumn="0" w:firstRowLastColumn="0" w:lastRowFirstColumn="0" w:lastRowLastColumn="0"/>
            <w:tcW w:w="993" w:type="dxa"/>
            <w:vMerge/>
            <w:tcBorders>
              <w:top w:val="single" w:sz="4" w:space="0" w:color="7F7F7F" w:themeColor="text1" w:themeTint="80"/>
              <w:bottom w:val="single" w:sz="4" w:space="0" w:color="7F7F7F" w:themeColor="text1" w:themeTint="80"/>
            </w:tcBorders>
          </w:tcPr>
          <w:p w14:paraId="1E24838A" w14:textId="77777777" w:rsidR="009054A7" w:rsidRPr="00651D2D" w:rsidRDefault="009054A7" w:rsidP="0069386C">
            <w:pPr>
              <w:rPr>
                <w:sz w:val="28"/>
                <w:szCs w:val="28"/>
              </w:rPr>
            </w:pPr>
          </w:p>
        </w:tc>
        <w:tc>
          <w:tcPr>
            <w:tcW w:w="1690" w:type="dxa"/>
            <w:tcBorders>
              <w:top w:val="single" w:sz="4" w:space="0" w:color="7F7F7F" w:themeColor="text1" w:themeTint="80"/>
              <w:bottom w:val="single" w:sz="4" w:space="0" w:color="7F7F7F" w:themeColor="text1" w:themeTint="80"/>
            </w:tcBorders>
          </w:tcPr>
          <w:p w14:paraId="79D71155" w14:textId="77777777" w:rsidR="009054A7" w:rsidRDefault="009054A7" w:rsidP="0069386C">
            <w:pPr>
              <w:jc w:val="left"/>
              <w:cnfStyle w:val="000000000000" w:firstRow="0" w:lastRow="0" w:firstColumn="0" w:lastColumn="0" w:oddVBand="0" w:evenVBand="0" w:oddHBand="0" w:evenHBand="0" w:firstRowFirstColumn="0" w:firstRowLastColumn="0" w:lastRowFirstColumn="0" w:lastRowLastColumn="0"/>
            </w:pPr>
            <w:r>
              <w:t xml:space="preserve">International consistency </w:t>
            </w:r>
          </w:p>
        </w:tc>
        <w:tc>
          <w:tcPr>
            <w:tcW w:w="1570" w:type="dxa"/>
            <w:tcBorders>
              <w:top w:val="single" w:sz="4" w:space="0" w:color="7F7F7F" w:themeColor="text1" w:themeTint="80"/>
              <w:bottom w:val="single" w:sz="4" w:space="0" w:color="7F7F7F" w:themeColor="text1" w:themeTint="80"/>
            </w:tcBorders>
          </w:tcPr>
          <w:p w14:paraId="4AC0DFAA"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 xml:space="preserve">Slight beneficial </w:t>
            </w:r>
          </w:p>
        </w:tc>
        <w:tc>
          <w:tcPr>
            <w:tcW w:w="283" w:type="dxa"/>
            <w:tcBorders>
              <w:top w:val="single" w:sz="4" w:space="0" w:color="7F7F7F" w:themeColor="text1" w:themeTint="80"/>
              <w:bottom w:val="single" w:sz="4" w:space="0" w:color="7F7F7F" w:themeColor="text1" w:themeTint="80"/>
            </w:tcBorders>
            <w:shd w:val="clear" w:color="auto" w:fill="ACD7CA" w:themeFill="accent3" w:themeFillTint="99"/>
          </w:tcPr>
          <w:p w14:paraId="146BF121" w14:textId="77777777" w:rsidR="00276735" w:rsidRDefault="00276735" w:rsidP="00206635">
            <w:pPr>
              <w:cnfStyle w:val="000000000000" w:firstRow="0" w:lastRow="0" w:firstColumn="0" w:lastColumn="0" w:oddVBand="0" w:evenVBand="0" w:oddHBand="0" w:evenHBand="0" w:firstRowFirstColumn="0" w:firstRowLastColumn="0" w:lastRowFirstColumn="0" w:lastRowLastColumn="0"/>
            </w:pPr>
          </w:p>
        </w:tc>
        <w:tc>
          <w:tcPr>
            <w:tcW w:w="4490" w:type="dxa"/>
            <w:tcBorders>
              <w:top w:val="single" w:sz="4" w:space="0" w:color="7F7F7F" w:themeColor="text1" w:themeTint="80"/>
              <w:bottom w:val="single" w:sz="4" w:space="0" w:color="7F7F7F" w:themeColor="text1" w:themeTint="80"/>
            </w:tcBorders>
          </w:tcPr>
          <w:p w14:paraId="64516B46"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 xml:space="preserve">More experiences to draw from make it easier to estimate insurance premiums. More consistency reduces costs of specific training. </w:t>
            </w:r>
          </w:p>
        </w:tc>
      </w:tr>
      <w:tr w:rsidR="009054A7" w14:paraId="29FFD7B1" w14:textId="77777777" w:rsidTr="008C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Borders>
              <w:bottom w:val="single" w:sz="12" w:space="0" w:color="000000" w:themeColor="text1"/>
            </w:tcBorders>
          </w:tcPr>
          <w:p w14:paraId="23B1A9D4" w14:textId="77777777" w:rsidR="009054A7" w:rsidRPr="00651D2D" w:rsidRDefault="009054A7" w:rsidP="0069386C">
            <w:pPr>
              <w:rPr>
                <w:sz w:val="28"/>
                <w:szCs w:val="28"/>
              </w:rPr>
            </w:pPr>
          </w:p>
        </w:tc>
        <w:tc>
          <w:tcPr>
            <w:tcW w:w="1690" w:type="dxa"/>
            <w:tcBorders>
              <w:bottom w:val="single" w:sz="12" w:space="0" w:color="000000" w:themeColor="text1"/>
            </w:tcBorders>
          </w:tcPr>
          <w:p w14:paraId="71CCEC8D" w14:textId="77777777" w:rsidR="009054A7" w:rsidRDefault="009054A7" w:rsidP="0069386C">
            <w:pPr>
              <w:jc w:val="left"/>
              <w:cnfStyle w:val="000000100000" w:firstRow="0" w:lastRow="0" w:firstColumn="0" w:lastColumn="0" w:oddVBand="0" w:evenVBand="0" w:oddHBand="1" w:evenHBand="0" w:firstRowFirstColumn="0" w:firstRowLastColumn="0" w:lastRowFirstColumn="0" w:lastRowLastColumn="0"/>
            </w:pPr>
            <w:r>
              <w:t>Passenger contact</w:t>
            </w:r>
          </w:p>
        </w:tc>
        <w:tc>
          <w:tcPr>
            <w:tcW w:w="1570" w:type="dxa"/>
            <w:tcBorders>
              <w:bottom w:val="single" w:sz="12" w:space="0" w:color="000000" w:themeColor="text1"/>
            </w:tcBorders>
          </w:tcPr>
          <w:p w14:paraId="5D9BC273"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Slight adverse</w:t>
            </w:r>
          </w:p>
        </w:tc>
        <w:tc>
          <w:tcPr>
            <w:tcW w:w="283" w:type="dxa"/>
            <w:tcBorders>
              <w:bottom w:val="single" w:sz="12" w:space="0" w:color="000000" w:themeColor="text1"/>
            </w:tcBorders>
            <w:shd w:val="clear" w:color="auto" w:fill="FFBC79"/>
          </w:tcPr>
          <w:p w14:paraId="15E09398" w14:textId="77777777" w:rsidR="00276735" w:rsidRDefault="00276735" w:rsidP="00206635">
            <w:pPr>
              <w:cnfStyle w:val="000000100000" w:firstRow="0" w:lastRow="0" w:firstColumn="0" w:lastColumn="0" w:oddVBand="0" w:evenVBand="0" w:oddHBand="1" w:evenHBand="0" w:firstRowFirstColumn="0" w:firstRowLastColumn="0" w:lastRowFirstColumn="0" w:lastRowLastColumn="0"/>
            </w:pPr>
          </w:p>
        </w:tc>
        <w:tc>
          <w:tcPr>
            <w:tcW w:w="4490" w:type="dxa"/>
            <w:tcBorders>
              <w:bottom w:val="single" w:sz="12" w:space="0" w:color="000000" w:themeColor="text1"/>
            </w:tcBorders>
          </w:tcPr>
          <w:p w14:paraId="3B7F9EE7"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 xml:space="preserve">Insurance company may be required to liaise with passenger in incidents where cruise company cannot pay. </w:t>
            </w:r>
          </w:p>
        </w:tc>
      </w:tr>
      <w:tr w:rsidR="009054A7" w14:paraId="39978E2F" w14:textId="77777777" w:rsidTr="008C7EB2">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12" w:space="0" w:color="000000" w:themeColor="text1"/>
              <w:bottom w:val="single" w:sz="4" w:space="0" w:color="7F7F7F" w:themeColor="text1" w:themeTint="80"/>
            </w:tcBorders>
            <w:textDirection w:val="btLr"/>
          </w:tcPr>
          <w:p w14:paraId="5702579F" w14:textId="77777777" w:rsidR="009054A7" w:rsidRPr="00651D2D" w:rsidRDefault="009054A7" w:rsidP="00651D2D">
            <w:pPr>
              <w:ind w:left="113" w:right="113"/>
              <w:jc w:val="center"/>
              <w:rPr>
                <w:sz w:val="28"/>
                <w:szCs w:val="28"/>
              </w:rPr>
            </w:pPr>
            <w:r w:rsidRPr="00651D2D">
              <w:rPr>
                <w:sz w:val="28"/>
                <w:szCs w:val="28"/>
              </w:rPr>
              <w:t>Passengers</w:t>
            </w:r>
          </w:p>
        </w:tc>
        <w:tc>
          <w:tcPr>
            <w:tcW w:w="1690" w:type="dxa"/>
            <w:tcBorders>
              <w:top w:val="single" w:sz="12" w:space="0" w:color="000000" w:themeColor="text1"/>
              <w:bottom w:val="single" w:sz="4" w:space="0" w:color="7F7F7F" w:themeColor="text1" w:themeTint="80"/>
            </w:tcBorders>
          </w:tcPr>
          <w:p w14:paraId="0FE8630E" w14:textId="77777777" w:rsidR="009054A7" w:rsidRDefault="009054A7" w:rsidP="0069386C">
            <w:pPr>
              <w:jc w:val="left"/>
              <w:cnfStyle w:val="000000000000" w:firstRow="0" w:lastRow="0" w:firstColumn="0" w:lastColumn="0" w:oddVBand="0" w:evenVBand="0" w:oddHBand="0" w:evenHBand="0" w:firstRowFirstColumn="0" w:firstRowLastColumn="0" w:lastRowFirstColumn="0" w:lastRowLastColumn="0"/>
            </w:pPr>
            <w:r>
              <w:t>Change in fares</w:t>
            </w:r>
          </w:p>
        </w:tc>
        <w:tc>
          <w:tcPr>
            <w:tcW w:w="1570" w:type="dxa"/>
            <w:tcBorders>
              <w:top w:val="single" w:sz="12" w:space="0" w:color="000000" w:themeColor="text1"/>
              <w:bottom w:val="single" w:sz="4" w:space="0" w:color="7F7F7F" w:themeColor="text1" w:themeTint="80"/>
            </w:tcBorders>
          </w:tcPr>
          <w:p w14:paraId="612CBFF7"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Moderate adverse</w:t>
            </w:r>
          </w:p>
        </w:tc>
        <w:tc>
          <w:tcPr>
            <w:tcW w:w="283" w:type="dxa"/>
            <w:tcBorders>
              <w:top w:val="single" w:sz="12" w:space="0" w:color="000000" w:themeColor="text1"/>
              <w:bottom w:val="single" w:sz="4" w:space="0" w:color="7F7F7F" w:themeColor="text1" w:themeTint="80"/>
            </w:tcBorders>
            <w:shd w:val="clear" w:color="auto" w:fill="C00000"/>
          </w:tcPr>
          <w:p w14:paraId="741D8FB5" w14:textId="77777777" w:rsidR="00276735" w:rsidRDefault="00276735" w:rsidP="00206635">
            <w:pPr>
              <w:cnfStyle w:val="000000000000" w:firstRow="0" w:lastRow="0" w:firstColumn="0" w:lastColumn="0" w:oddVBand="0" w:evenVBand="0" w:oddHBand="0" w:evenHBand="0" w:firstRowFirstColumn="0" w:firstRowLastColumn="0" w:lastRowFirstColumn="0" w:lastRowLastColumn="0"/>
            </w:pPr>
          </w:p>
        </w:tc>
        <w:tc>
          <w:tcPr>
            <w:tcW w:w="4490" w:type="dxa"/>
            <w:tcBorders>
              <w:top w:val="single" w:sz="12" w:space="0" w:color="000000" w:themeColor="text1"/>
              <w:bottom w:val="single" w:sz="4" w:space="0" w:color="7F7F7F" w:themeColor="text1" w:themeTint="80"/>
            </w:tcBorders>
          </w:tcPr>
          <w:p w14:paraId="0CCD4332"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 xml:space="preserve">Higher insurance costs and premiums may be passed on through higher fares. </w:t>
            </w:r>
          </w:p>
        </w:tc>
      </w:tr>
      <w:tr w:rsidR="009054A7" w14:paraId="680AFBA6" w14:textId="77777777" w:rsidTr="008C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Pr>
          <w:p w14:paraId="063683AF" w14:textId="77777777" w:rsidR="009054A7" w:rsidRPr="00651D2D" w:rsidRDefault="009054A7" w:rsidP="0069386C">
            <w:pPr>
              <w:rPr>
                <w:sz w:val="28"/>
                <w:szCs w:val="28"/>
              </w:rPr>
            </w:pPr>
          </w:p>
        </w:tc>
        <w:tc>
          <w:tcPr>
            <w:tcW w:w="1690" w:type="dxa"/>
          </w:tcPr>
          <w:p w14:paraId="7466858C" w14:textId="77777777" w:rsidR="009054A7" w:rsidRDefault="009054A7" w:rsidP="0069386C">
            <w:pPr>
              <w:jc w:val="left"/>
              <w:cnfStyle w:val="000000100000" w:firstRow="0" w:lastRow="0" w:firstColumn="0" w:lastColumn="0" w:oddVBand="0" w:evenVBand="0" w:oddHBand="1" w:evenHBand="0" w:firstRowFirstColumn="0" w:firstRowLastColumn="0" w:lastRowFirstColumn="0" w:lastRowLastColumn="0"/>
            </w:pPr>
            <w:r>
              <w:t>Effort of claiming</w:t>
            </w:r>
          </w:p>
        </w:tc>
        <w:tc>
          <w:tcPr>
            <w:tcW w:w="1570" w:type="dxa"/>
          </w:tcPr>
          <w:p w14:paraId="1C1E35CF"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Large beneficial</w:t>
            </w:r>
          </w:p>
        </w:tc>
        <w:tc>
          <w:tcPr>
            <w:tcW w:w="283" w:type="dxa"/>
            <w:shd w:val="clear" w:color="auto" w:fill="265F65" w:themeFill="accent2" w:themeFillShade="80"/>
          </w:tcPr>
          <w:p w14:paraId="18D19354" w14:textId="77777777" w:rsidR="00276735" w:rsidRDefault="00276735" w:rsidP="00206635">
            <w:pPr>
              <w:cnfStyle w:val="000000100000" w:firstRow="0" w:lastRow="0" w:firstColumn="0" w:lastColumn="0" w:oddVBand="0" w:evenVBand="0" w:oddHBand="1" w:evenHBand="0" w:firstRowFirstColumn="0" w:firstRowLastColumn="0" w:lastRowFirstColumn="0" w:lastRowLastColumn="0"/>
            </w:pPr>
          </w:p>
        </w:tc>
        <w:tc>
          <w:tcPr>
            <w:tcW w:w="4490" w:type="dxa"/>
          </w:tcPr>
          <w:p w14:paraId="4E031A0B" w14:textId="1728BA96" w:rsidR="009054A7" w:rsidRDefault="009054A7" w:rsidP="00262E63">
            <w:pPr>
              <w:cnfStyle w:val="000000100000" w:firstRow="0" w:lastRow="0" w:firstColumn="0" w:lastColumn="0" w:oddVBand="0" w:evenVBand="0" w:oddHBand="1" w:evenHBand="0" w:firstRowFirstColumn="0" w:firstRowLastColumn="0" w:lastRowFirstColumn="0" w:lastRowLastColumn="0"/>
            </w:pPr>
            <w:r>
              <w:t xml:space="preserve">Burden of proof shifts to cruise company, longer timeframe to lodge claim and more consistent framework internationally reduces effort required </w:t>
            </w:r>
            <w:r w:rsidR="00262E63">
              <w:t>by</w:t>
            </w:r>
            <w:r>
              <w:t xml:space="preserve"> passengers to make a claim. </w:t>
            </w:r>
          </w:p>
        </w:tc>
      </w:tr>
      <w:tr w:rsidR="009054A7" w14:paraId="7ADF3D03" w14:textId="77777777" w:rsidTr="008C7EB2">
        <w:tc>
          <w:tcPr>
            <w:cnfStyle w:val="001000000000" w:firstRow="0" w:lastRow="0" w:firstColumn="1" w:lastColumn="0" w:oddVBand="0" w:evenVBand="0" w:oddHBand="0" w:evenHBand="0" w:firstRowFirstColumn="0" w:firstRowLastColumn="0" w:lastRowFirstColumn="0" w:lastRowLastColumn="0"/>
            <w:tcW w:w="993" w:type="dxa"/>
            <w:vMerge/>
            <w:tcBorders>
              <w:top w:val="single" w:sz="4" w:space="0" w:color="7F7F7F" w:themeColor="text1" w:themeTint="80"/>
              <w:bottom w:val="single" w:sz="4" w:space="0" w:color="7F7F7F" w:themeColor="text1" w:themeTint="80"/>
            </w:tcBorders>
          </w:tcPr>
          <w:p w14:paraId="0864FF7A" w14:textId="77777777" w:rsidR="009054A7" w:rsidRPr="00651D2D" w:rsidRDefault="009054A7" w:rsidP="0069386C">
            <w:pPr>
              <w:rPr>
                <w:sz w:val="28"/>
                <w:szCs w:val="28"/>
              </w:rPr>
            </w:pPr>
          </w:p>
        </w:tc>
        <w:tc>
          <w:tcPr>
            <w:tcW w:w="1690" w:type="dxa"/>
            <w:tcBorders>
              <w:top w:val="single" w:sz="4" w:space="0" w:color="7F7F7F" w:themeColor="text1" w:themeTint="80"/>
              <w:bottom w:val="single" w:sz="4" w:space="0" w:color="7F7F7F" w:themeColor="text1" w:themeTint="80"/>
            </w:tcBorders>
          </w:tcPr>
          <w:p w14:paraId="25A99B93" w14:textId="77777777" w:rsidR="009054A7" w:rsidRDefault="009054A7" w:rsidP="0069386C">
            <w:pPr>
              <w:jc w:val="left"/>
              <w:cnfStyle w:val="000000000000" w:firstRow="0" w:lastRow="0" w:firstColumn="0" w:lastColumn="0" w:oddVBand="0" w:evenVBand="0" w:oddHBand="0" w:evenHBand="0" w:firstRowFirstColumn="0" w:firstRowLastColumn="0" w:lastRowFirstColumn="0" w:lastRowLastColumn="0"/>
            </w:pPr>
            <w:r>
              <w:t>Amount available for claim</w:t>
            </w:r>
          </w:p>
        </w:tc>
        <w:tc>
          <w:tcPr>
            <w:tcW w:w="1570" w:type="dxa"/>
            <w:tcBorders>
              <w:top w:val="single" w:sz="4" w:space="0" w:color="7F7F7F" w:themeColor="text1" w:themeTint="80"/>
              <w:bottom w:val="single" w:sz="4" w:space="0" w:color="7F7F7F" w:themeColor="text1" w:themeTint="80"/>
            </w:tcBorders>
          </w:tcPr>
          <w:p w14:paraId="76C22F57"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Slight beneficial</w:t>
            </w:r>
          </w:p>
        </w:tc>
        <w:tc>
          <w:tcPr>
            <w:tcW w:w="283" w:type="dxa"/>
            <w:tcBorders>
              <w:top w:val="single" w:sz="4" w:space="0" w:color="7F7F7F" w:themeColor="text1" w:themeTint="80"/>
              <w:bottom w:val="single" w:sz="4" w:space="0" w:color="7F7F7F" w:themeColor="text1" w:themeTint="80"/>
            </w:tcBorders>
            <w:shd w:val="clear" w:color="auto" w:fill="ACD7CA" w:themeFill="accent3" w:themeFillTint="99"/>
          </w:tcPr>
          <w:p w14:paraId="2BCB436B" w14:textId="77777777" w:rsidR="00276735" w:rsidRDefault="00276735" w:rsidP="00206635">
            <w:pPr>
              <w:cnfStyle w:val="000000000000" w:firstRow="0" w:lastRow="0" w:firstColumn="0" w:lastColumn="0" w:oddVBand="0" w:evenVBand="0" w:oddHBand="0" w:evenHBand="0" w:firstRowFirstColumn="0" w:firstRowLastColumn="0" w:lastRowFirstColumn="0" w:lastRowLastColumn="0"/>
            </w:pPr>
          </w:p>
        </w:tc>
        <w:tc>
          <w:tcPr>
            <w:tcW w:w="4490" w:type="dxa"/>
            <w:tcBorders>
              <w:top w:val="single" w:sz="4" w:space="0" w:color="7F7F7F" w:themeColor="text1" w:themeTint="80"/>
              <w:bottom w:val="single" w:sz="4" w:space="0" w:color="7F7F7F" w:themeColor="text1" w:themeTint="80"/>
            </w:tcBorders>
          </w:tcPr>
          <w:p w14:paraId="129F0DC0"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 xml:space="preserve">Australian Consumer Law will continue to set limits for payment amounts. Unlikely that limits will be reached. In some cases, payouts may increase. </w:t>
            </w:r>
          </w:p>
        </w:tc>
      </w:tr>
      <w:tr w:rsidR="009054A7" w14:paraId="246A4FA3" w14:textId="77777777" w:rsidTr="008C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Borders>
              <w:bottom w:val="single" w:sz="12" w:space="0" w:color="000000" w:themeColor="text1"/>
            </w:tcBorders>
          </w:tcPr>
          <w:p w14:paraId="61349A1E" w14:textId="77777777" w:rsidR="009054A7" w:rsidRPr="00651D2D" w:rsidRDefault="009054A7" w:rsidP="0069386C">
            <w:pPr>
              <w:rPr>
                <w:sz w:val="28"/>
                <w:szCs w:val="28"/>
              </w:rPr>
            </w:pPr>
          </w:p>
        </w:tc>
        <w:tc>
          <w:tcPr>
            <w:tcW w:w="1690" w:type="dxa"/>
            <w:tcBorders>
              <w:bottom w:val="single" w:sz="12" w:space="0" w:color="000000" w:themeColor="text1"/>
            </w:tcBorders>
          </w:tcPr>
          <w:p w14:paraId="3A095ED2" w14:textId="77777777" w:rsidR="009054A7" w:rsidRDefault="009054A7" w:rsidP="0069386C">
            <w:pPr>
              <w:jc w:val="left"/>
              <w:cnfStyle w:val="000000100000" w:firstRow="0" w:lastRow="0" w:firstColumn="0" w:lastColumn="0" w:oddVBand="0" w:evenVBand="0" w:oddHBand="1" w:evenHBand="0" w:firstRowFirstColumn="0" w:firstRowLastColumn="0" w:lastRowFirstColumn="0" w:lastRowLastColumn="0"/>
            </w:pPr>
            <w:r>
              <w:t xml:space="preserve">Security </w:t>
            </w:r>
          </w:p>
        </w:tc>
        <w:tc>
          <w:tcPr>
            <w:tcW w:w="1570" w:type="dxa"/>
            <w:tcBorders>
              <w:bottom w:val="single" w:sz="12" w:space="0" w:color="000000" w:themeColor="text1"/>
            </w:tcBorders>
          </w:tcPr>
          <w:p w14:paraId="148763AD"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Moderate beneficial</w:t>
            </w:r>
          </w:p>
        </w:tc>
        <w:tc>
          <w:tcPr>
            <w:tcW w:w="283" w:type="dxa"/>
            <w:tcBorders>
              <w:bottom w:val="single" w:sz="12" w:space="0" w:color="000000" w:themeColor="text1"/>
            </w:tcBorders>
            <w:shd w:val="clear" w:color="auto" w:fill="398E98" w:themeFill="accent2" w:themeFillShade="BF"/>
          </w:tcPr>
          <w:p w14:paraId="5D5FE617" w14:textId="77777777" w:rsidR="00276735" w:rsidRDefault="00276735" w:rsidP="00206635">
            <w:pPr>
              <w:cnfStyle w:val="000000100000" w:firstRow="0" w:lastRow="0" w:firstColumn="0" w:lastColumn="0" w:oddVBand="0" w:evenVBand="0" w:oddHBand="1" w:evenHBand="0" w:firstRowFirstColumn="0" w:firstRowLastColumn="0" w:lastRowFirstColumn="0" w:lastRowLastColumn="0"/>
            </w:pPr>
          </w:p>
        </w:tc>
        <w:tc>
          <w:tcPr>
            <w:tcW w:w="4490" w:type="dxa"/>
            <w:tcBorders>
              <w:bottom w:val="single" w:sz="12" w:space="0" w:color="000000" w:themeColor="text1"/>
            </w:tcBorders>
          </w:tcPr>
          <w:p w14:paraId="29079EF8"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 xml:space="preserve">Equal treatment between passengers and more certainty over rights internationally may increase feeling of security for passengers. </w:t>
            </w:r>
          </w:p>
        </w:tc>
      </w:tr>
      <w:tr w:rsidR="009054A7" w14:paraId="24EAAEFA" w14:textId="77777777" w:rsidTr="008C7EB2">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12" w:space="0" w:color="000000" w:themeColor="text1"/>
            </w:tcBorders>
            <w:textDirection w:val="btLr"/>
          </w:tcPr>
          <w:p w14:paraId="1D7DD4E4" w14:textId="77777777" w:rsidR="009054A7" w:rsidRPr="00651D2D" w:rsidRDefault="009054A7" w:rsidP="00651D2D">
            <w:pPr>
              <w:ind w:left="113" w:right="113"/>
              <w:jc w:val="center"/>
              <w:rPr>
                <w:sz w:val="28"/>
                <w:szCs w:val="28"/>
              </w:rPr>
            </w:pPr>
            <w:r w:rsidRPr="00651D2D">
              <w:rPr>
                <w:sz w:val="28"/>
                <w:szCs w:val="28"/>
              </w:rPr>
              <w:t>Government</w:t>
            </w:r>
          </w:p>
        </w:tc>
        <w:tc>
          <w:tcPr>
            <w:tcW w:w="1690" w:type="dxa"/>
            <w:tcBorders>
              <w:top w:val="single" w:sz="12" w:space="0" w:color="000000" w:themeColor="text1"/>
              <w:bottom w:val="single" w:sz="4" w:space="0" w:color="auto"/>
            </w:tcBorders>
          </w:tcPr>
          <w:p w14:paraId="7F5CFCE6" w14:textId="77777777" w:rsidR="009054A7" w:rsidRDefault="009054A7" w:rsidP="0069386C">
            <w:pPr>
              <w:jc w:val="left"/>
              <w:cnfStyle w:val="000000000000" w:firstRow="0" w:lastRow="0" w:firstColumn="0" w:lastColumn="0" w:oddVBand="0" w:evenVBand="0" w:oddHBand="0" w:evenHBand="0" w:firstRowFirstColumn="0" w:firstRowLastColumn="0" w:lastRowFirstColumn="0" w:lastRowLastColumn="0"/>
            </w:pPr>
            <w:r>
              <w:t>Cost of ongoing regulation</w:t>
            </w:r>
          </w:p>
        </w:tc>
        <w:tc>
          <w:tcPr>
            <w:tcW w:w="1570" w:type="dxa"/>
            <w:tcBorders>
              <w:top w:val="single" w:sz="12" w:space="0" w:color="000000" w:themeColor="text1"/>
              <w:bottom w:val="single" w:sz="4" w:space="0" w:color="auto"/>
            </w:tcBorders>
          </w:tcPr>
          <w:p w14:paraId="2D5F0E19"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Slight adverse</w:t>
            </w:r>
          </w:p>
        </w:tc>
        <w:tc>
          <w:tcPr>
            <w:tcW w:w="283" w:type="dxa"/>
            <w:tcBorders>
              <w:top w:val="single" w:sz="12" w:space="0" w:color="000000" w:themeColor="text1"/>
              <w:bottom w:val="single" w:sz="4" w:space="0" w:color="auto"/>
            </w:tcBorders>
            <w:shd w:val="clear" w:color="auto" w:fill="FFBC79"/>
          </w:tcPr>
          <w:p w14:paraId="32A22C92" w14:textId="77777777" w:rsidR="00276735" w:rsidRDefault="00276735" w:rsidP="00206635">
            <w:pPr>
              <w:cnfStyle w:val="000000000000" w:firstRow="0" w:lastRow="0" w:firstColumn="0" w:lastColumn="0" w:oddVBand="0" w:evenVBand="0" w:oddHBand="0" w:evenHBand="0" w:firstRowFirstColumn="0" w:firstRowLastColumn="0" w:lastRowFirstColumn="0" w:lastRowLastColumn="0"/>
            </w:pPr>
          </w:p>
        </w:tc>
        <w:tc>
          <w:tcPr>
            <w:tcW w:w="4490" w:type="dxa"/>
            <w:tcBorders>
              <w:top w:val="single" w:sz="12" w:space="0" w:color="000000" w:themeColor="text1"/>
              <w:bottom w:val="single" w:sz="4" w:space="0" w:color="auto"/>
            </w:tcBorders>
          </w:tcPr>
          <w:p w14:paraId="32ACA961"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 xml:space="preserve">Increased cost of ensuring cruise companies are compliant with regulation. </w:t>
            </w:r>
          </w:p>
        </w:tc>
      </w:tr>
      <w:tr w:rsidR="009054A7" w14:paraId="496C51DD" w14:textId="77777777" w:rsidTr="008C7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Pr>
          <w:p w14:paraId="5A478443" w14:textId="77777777" w:rsidR="009054A7" w:rsidRDefault="009054A7" w:rsidP="0069386C"/>
        </w:tc>
        <w:tc>
          <w:tcPr>
            <w:tcW w:w="1690" w:type="dxa"/>
            <w:tcBorders>
              <w:top w:val="single" w:sz="4" w:space="0" w:color="auto"/>
              <w:bottom w:val="single" w:sz="4" w:space="0" w:color="auto"/>
            </w:tcBorders>
          </w:tcPr>
          <w:p w14:paraId="04A9D735" w14:textId="77777777" w:rsidR="009054A7" w:rsidRDefault="009054A7" w:rsidP="0069386C">
            <w:pPr>
              <w:jc w:val="left"/>
              <w:cnfStyle w:val="000000100000" w:firstRow="0" w:lastRow="0" w:firstColumn="0" w:lastColumn="0" w:oddVBand="0" w:evenVBand="0" w:oddHBand="1" w:evenHBand="0" w:firstRowFirstColumn="0" w:firstRowLastColumn="0" w:lastRowFirstColumn="0" w:lastRowLastColumn="0"/>
            </w:pPr>
            <w:r>
              <w:t xml:space="preserve">Conflicting interests </w:t>
            </w:r>
          </w:p>
        </w:tc>
        <w:tc>
          <w:tcPr>
            <w:tcW w:w="1570" w:type="dxa"/>
            <w:tcBorders>
              <w:top w:val="single" w:sz="4" w:space="0" w:color="auto"/>
              <w:bottom w:val="single" w:sz="4" w:space="0" w:color="auto"/>
            </w:tcBorders>
          </w:tcPr>
          <w:p w14:paraId="02B1D011"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Neutral</w:t>
            </w:r>
          </w:p>
        </w:tc>
        <w:tc>
          <w:tcPr>
            <w:tcW w:w="283" w:type="dxa"/>
            <w:tcBorders>
              <w:top w:val="single" w:sz="4" w:space="0" w:color="auto"/>
              <w:bottom w:val="single" w:sz="4" w:space="0" w:color="auto"/>
            </w:tcBorders>
            <w:shd w:val="clear" w:color="auto" w:fill="FFFFC5"/>
          </w:tcPr>
          <w:p w14:paraId="0CAF6D68" w14:textId="77777777" w:rsidR="00276735" w:rsidRDefault="00276735" w:rsidP="00206635">
            <w:pPr>
              <w:cnfStyle w:val="000000100000" w:firstRow="0" w:lastRow="0" w:firstColumn="0" w:lastColumn="0" w:oddVBand="0" w:evenVBand="0" w:oddHBand="1" w:evenHBand="0" w:firstRowFirstColumn="0" w:firstRowLastColumn="0" w:lastRowFirstColumn="0" w:lastRowLastColumn="0"/>
            </w:pPr>
          </w:p>
        </w:tc>
        <w:tc>
          <w:tcPr>
            <w:tcW w:w="4490" w:type="dxa"/>
            <w:tcBorders>
              <w:top w:val="single" w:sz="4" w:space="0" w:color="auto"/>
              <w:bottom w:val="nil"/>
            </w:tcBorders>
          </w:tcPr>
          <w:p w14:paraId="7A87DE69" w14:textId="77777777" w:rsidR="009054A7" w:rsidRDefault="009054A7" w:rsidP="0069386C">
            <w:pPr>
              <w:cnfStyle w:val="000000100000" w:firstRow="0" w:lastRow="0" w:firstColumn="0" w:lastColumn="0" w:oddVBand="0" w:evenVBand="0" w:oddHBand="1" w:evenHBand="0" w:firstRowFirstColumn="0" w:firstRowLastColumn="0" w:lastRowFirstColumn="0" w:lastRowLastColumn="0"/>
            </w:pPr>
            <w:r>
              <w:t xml:space="preserve">Choice over how to support different user groups. </w:t>
            </w:r>
          </w:p>
        </w:tc>
      </w:tr>
      <w:tr w:rsidR="009054A7" w14:paraId="1B6B2444" w14:textId="77777777" w:rsidTr="008C7EB2">
        <w:tc>
          <w:tcPr>
            <w:cnfStyle w:val="001000000000" w:firstRow="0" w:lastRow="0" w:firstColumn="1" w:lastColumn="0" w:oddVBand="0" w:evenVBand="0" w:oddHBand="0" w:evenHBand="0" w:firstRowFirstColumn="0" w:firstRowLastColumn="0" w:lastRowFirstColumn="0" w:lastRowLastColumn="0"/>
            <w:tcW w:w="993" w:type="dxa"/>
            <w:vMerge/>
          </w:tcPr>
          <w:p w14:paraId="5B8D7575" w14:textId="77777777" w:rsidR="009054A7" w:rsidRDefault="009054A7" w:rsidP="0069386C"/>
        </w:tc>
        <w:tc>
          <w:tcPr>
            <w:tcW w:w="1690" w:type="dxa"/>
            <w:tcBorders>
              <w:top w:val="single" w:sz="4" w:space="0" w:color="auto"/>
            </w:tcBorders>
          </w:tcPr>
          <w:p w14:paraId="5CDFF21A" w14:textId="77777777" w:rsidR="009054A7" w:rsidRDefault="009054A7" w:rsidP="0069386C">
            <w:pPr>
              <w:jc w:val="left"/>
              <w:cnfStyle w:val="000000000000" w:firstRow="0" w:lastRow="0" w:firstColumn="0" w:lastColumn="0" w:oddVBand="0" w:evenVBand="0" w:oddHBand="0" w:evenHBand="0" w:firstRowFirstColumn="0" w:firstRowLastColumn="0" w:lastRowFirstColumn="0" w:lastRowLastColumn="0"/>
            </w:pPr>
            <w:r>
              <w:t>International consistency</w:t>
            </w:r>
          </w:p>
        </w:tc>
        <w:tc>
          <w:tcPr>
            <w:tcW w:w="1570" w:type="dxa"/>
            <w:tcBorders>
              <w:top w:val="single" w:sz="4" w:space="0" w:color="auto"/>
              <w:bottom w:val="single" w:sz="4" w:space="0" w:color="auto"/>
            </w:tcBorders>
          </w:tcPr>
          <w:p w14:paraId="1657BF2B"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Slight beneficial</w:t>
            </w:r>
          </w:p>
        </w:tc>
        <w:tc>
          <w:tcPr>
            <w:tcW w:w="283" w:type="dxa"/>
            <w:tcBorders>
              <w:top w:val="single" w:sz="4" w:space="0" w:color="auto"/>
            </w:tcBorders>
            <w:shd w:val="clear" w:color="auto" w:fill="ACD7CA" w:themeFill="accent3" w:themeFillTint="99"/>
          </w:tcPr>
          <w:p w14:paraId="4626CA77" w14:textId="77777777" w:rsidR="00276735" w:rsidRDefault="00276735" w:rsidP="00206635">
            <w:pPr>
              <w:cnfStyle w:val="000000000000" w:firstRow="0" w:lastRow="0" w:firstColumn="0" w:lastColumn="0" w:oddVBand="0" w:evenVBand="0" w:oddHBand="0" w:evenHBand="0" w:firstRowFirstColumn="0" w:firstRowLastColumn="0" w:lastRowFirstColumn="0" w:lastRowLastColumn="0"/>
            </w:pPr>
          </w:p>
        </w:tc>
        <w:tc>
          <w:tcPr>
            <w:tcW w:w="4490" w:type="dxa"/>
            <w:tcBorders>
              <w:top w:val="nil"/>
            </w:tcBorders>
          </w:tcPr>
          <w:p w14:paraId="3F4D816E" w14:textId="77777777" w:rsidR="009054A7" w:rsidRDefault="009054A7" w:rsidP="0069386C">
            <w:pPr>
              <w:cnfStyle w:val="000000000000" w:firstRow="0" w:lastRow="0" w:firstColumn="0" w:lastColumn="0" w:oddVBand="0" w:evenVBand="0" w:oddHBand="0" w:evenHBand="0" w:firstRowFirstColumn="0" w:firstRowLastColumn="0" w:lastRowFirstColumn="0" w:lastRowLastColumn="0"/>
            </w:pPr>
            <w:r>
              <w:t xml:space="preserve">Industry support for international consistency. </w:t>
            </w:r>
          </w:p>
        </w:tc>
      </w:tr>
    </w:tbl>
    <w:p w14:paraId="785B0D3B" w14:textId="5EB15C9F" w:rsidR="009054A7" w:rsidRDefault="00424EF8" w:rsidP="009054A7">
      <w:r>
        <w:rPr>
          <w:noProof/>
        </w:rPr>
        <mc:AlternateContent>
          <mc:Choice Requires="wps">
            <w:drawing>
              <wp:anchor distT="0" distB="0" distL="114300" distR="114300" simplePos="0" relativeHeight="251658248" behindDoc="0" locked="0" layoutInCell="1" allowOverlap="1" wp14:anchorId="553B2331" wp14:editId="79DEA5A7">
                <wp:simplePos x="0" y="0"/>
                <wp:positionH relativeFrom="column">
                  <wp:posOffset>38100</wp:posOffset>
                </wp:positionH>
                <wp:positionV relativeFrom="paragraph">
                  <wp:posOffset>211455</wp:posOffset>
                </wp:positionV>
                <wp:extent cx="6019800" cy="228600"/>
                <wp:effectExtent l="0" t="0" r="0" b="0"/>
                <wp:wrapNone/>
                <wp:docPr id="35" name="Rectangle 35"/>
                <wp:cNvGraphicFramePr/>
                <a:graphic xmlns:a="http://schemas.openxmlformats.org/drawingml/2006/main">
                  <a:graphicData uri="http://schemas.microsoft.com/office/word/2010/wordprocessingShape">
                    <wps:wsp>
                      <wps:cNvSpPr/>
                      <wps:spPr>
                        <a:xfrm>
                          <a:off x="0" y="0"/>
                          <a:ext cx="601980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D3499" w14:textId="0408351F" w:rsidR="00EC194F" w:rsidRPr="002F4FB7" w:rsidRDefault="00EC194F" w:rsidP="00424EF8">
                            <w:pPr>
                              <w:jc w:val="left"/>
                              <w:rPr>
                                <w:sz w:val="16"/>
                                <w:szCs w:val="18"/>
                              </w:rPr>
                            </w:pPr>
                            <w:r w:rsidRPr="002F4FB7">
                              <w:rPr>
                                <w:sz w:val="16"/>
                                <w:szCs w:val="18"/>
                              </w:rPr>
                              <w:t>Large Adverse</w:t>
                            </w:r>
                            <w:r w:rsidRPr="002F4FB7">
                              <w:rPr>
                                <w:sz w:val="16"/>
                                <w:szCs w:val="18"/>
                              </w:rPr>
                              <w:tab/>
                            </w:r>
                            <w:r w:rsidRPr="002F4FB7">
                              <w:rPr>
                                <w:sz w:val="16"/>
                                <w:szCs w:val="18"/>
                              </w:rPr>
                              <w:tab/>
                            </w:r>
                            <w:r w:rsidRPr="002F4FB7">
                              <w:rPr>
                                <w:sz w:val="16"/>
                                <w:szCs w:val="18"/>
                              </w:rPr>
                              <w:tab/>
                            </w:r>
                            <w:r w:rsidRPr="002F4FB7">
                              <w:rPr>
                                <w:sz w:val="16"/>
                                <w:szCs w:val="18"/>
                              </w:rPr>
                              <w:tab/>
                              <w:t xml:space="preserve">      Neutral</w:t>
                            </w:r>
                            <w:r w:rsidRPr="002F4FB7">
                              <w:rPr>
                                <w:sz w:val="16"/>
                                <w:szCs w:val="18"/>
                              </w:rPr>
                              <w:tab/>
                            </w:r>
                            <w:r w:rsidRPr="002F4FB7">
                              <w:rPr>
                                <w:sz w:val="16"/>
                                <w:szCs w:val="18"/>
                              </w:rPr>
                              <w:tab/>
                            </w:r>
                            <w:r w:rsidRPr="002F4FB7">
                              <w:rPr>
                                <w:sz w:val="16"/>
                                <w:szCs w:val="18"/>
                              </w:rPr>
                              <w:tab/>
                            </w:r>
                            <w:r w:rsidRPr="002F4FB7">
                              <w:rPr>
                                <w:sz w:val="16"/>
                                <w:szCs w:val="18"/>
                              </w:rPr>
                              <w:tab/>
                            </w:r>
                            <w:r>
                              <w:rPr>
                                <w:sz w:val="16"/>
                                <w:szCs w:val="18"/>
                              </w:rPr>
                              <w:t xml:space="preserve">                    </w:t>
                            </w:r>
                            <w:r w:rsidRPr="002F4FB7">
                              <w:rPr>
                                <w:sz w:val="16"/>
                                <w:szCs w:val="18"/>
                              </w:rPr>
                              <w:tab/>
                              <w:t>Large Beneficial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B2331" id="Rectangle 35" o:spid="_x0000_s1035" style="position:absolute;left:0;text-align:left;margin-left:3pt;margin-top:16.65pt;width:474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" filled="f" stroked="f" strokeweight="1pt">
                <v:textbox>
                  <w:txbxContent>
                    <w:p w14:paraId="5FAD3499" w14:textId="0408351F" w:rsidR="00EC194F" w:rsidRPr="002F4FB7" w:rsidRDefault="00EC194F" w:rsidP="00424EF8">
                      <w:pPr>
                        <w:jc w:val="left"/>
                        <w:rPr>
                          <w:sz w:val="16"/>
                          <w:szCs w:val="18"/>
                        </w:rPr>
                      </w:pPr>
                      <w:r w:rsidRPr="002F4FB7">
                        <w:rPr>
                          <w:sz w:val="16"/>
                          <w:szCs w:val="18"/>
                        </w:rPr>
                        <w:t>Large Adverse</w:t>
                      </w:r>
                      <w:r w:rsidRPr="002F4FB7">
                        <w:rPr>
                          <w:sz w:val="16"/>
                          <w:szCs w:val="18"/>
                        </w:rPr>
                        <w:tab/>
                      </w:r>
                      <w:r w:rsidRPr="002F4FB7">
                        <w:rPr>
                          <w:sz w:val="16"/>
                          <w:szCs w:val="18"/>
                        </w:rPr>
                        <w:tab/>
                      </w:r>
                      <w:r w:rsidRPr="002F4FB7">
                        <w:rPr>
                          <w:sz w:val="16"/>
                          <w:szCs w:val="18"/>
                        </w:rPr>
                        <w:tab/>
                      </w:r>
                      <w:r w:rsidRPr="002F4FB7">
                        <w:rPr>
                          <w:sz w:val="16"/>
                          <w:szCs w:val="18"/>
                        </w:rPr>
                        <w:tab/>
                        <w:t xml:space="preserve">      Neutral</w:t>
                      </w:r>
                      <w:r w:rsidRPr="002F4FB7">
                        <w:rPr>
                          <w:sz w:val="16"/>
                          <w:szCs w:val="18"/>
                        </w:rPr>
                        <w:tab/>
                      </w:r>
                      <w:r w:rsidRPr="002F4FB7">
                        <w:rPr>
                          <w:sz w:val="16"/>
                          <w:szCs w:val="18"/>
                        </w:rPr>
                        <w:tab/>
                      </w:r>
                      <w:r w:rsidRPr="002F4FB7">
                        <w:rPr>
                          <w:sz w:val="16"/>
                          <w:szCs w:val="18"/>
                        </w:rPr>
                        <w:tab/>
                      </w:r>
                      <w:r w:rsidRPr="002F4FB7">
                        <w:rPr>
                          <w:sz w:val="16"/>
                          <w:szCs w:val="18"/>
                        </w:rPr>
                        <w:tab/>
                      </w:r>
                      <w:r>
                        <w:rPr>
                          <w:sz w:val="16"/>
                          <w:szCs w:val="18"/>
                        </w:rPr>
                        <w:t xml:space="preserve">                    </w:t>
                      </w:r>
                      <w:r w:rsidRPr="002F4FB7">
                        <w:rPr>
                          <w:sz w:val="16"/>
                          <w:szCs w:val="18"/>
                        </w:rPr>
                        <w:tab/>
                        <w:t>Large Beneficial</w:t>
                      </w:r>
                    </w:p>
                  </w:txbxContent>
                </v:textbox>
              </v:rect>
            </w:pict>
          </mc:Fallback>
        </mc:AlternateContent>
      </w:r>
      <w:r w:rsidR="009D0FCD">
        <w:rPr>
          <w:noProof/>
        </w:rPr>
        <mc:AlternateContent>
          <mc:Choice Requires="wps">
            <w:drawing>
              <wp:anchor distT="0" distB="0" distL="114300" distR="114300" simplePos="0" relativeHeight="251658247" behindDoc="0" locked="0" layoutInCell="1" allowOverlap="1" wp14:anchorId="6D91DB50" wp14:editId="701BAC1E">
                <wp:simplePos x="0" y="0"/>
                <wp:positionH relativeFrom="column">
                  <wp:posOffset>38100</wp:posOffset>
                </wp:positionH>
                <wp:positionV relativeFrom="paragraph">
                  <wp:posOffset>87629</wp:posOffset>
                </wp:positionV>
                <wp:extent cx="5810250" cy="123825"/>
                <wp:effectExtent l="0" t="0" r="0" b="9525"/>
                <wp:wrapNone/>
                <wp:docPr id="34" name="Rectangle 34"/>
                <wp:cNvGraphicFramePr/>
                <a:graphic xmlns:a="http://schemas.openxmlformats.org/drawingml/2006/main">
                  <a:graphicData uri="http://schemas.microsoft.com/office/word/2010/wordprocessingShape">
                    <wps:wsp>
                      <wps:cNvSpPr/>
                      <wps:spPr>
                        <a:xfrm rot="10800000">
                          <a:off x="0" y="0"/>
                          <a:ext cx="5810250" cy="123825"/>
                        </a:xfrm>
                        <a:prstGeom prst="rect">
                          <a:avLst/>
                        </a:prstGeom>
                        <a:gradFill flip="none" rotWithShape="1">
                          <a:gsLst>
                            <a:gs pos="0">
                              <a:srgbClr val="820000"/>
                            </a:gs>
                            <a:gs pos="43000">
                              <a:srgbClr val="F9D7A4"/>
                            </a:gs>
                            <a:gs pos="28000">
                              <a:srgbClr val="FF5757"/>
                            </a:gs>
                            <a:gs pos="13000">
                              <a:srgbClr val="C00000"/>
                            </a:gs>
                            <a:gs pos="87000">
                              <a:schemeClr val="accent3">
                                <a:lumMod val="75000"/>
                              </a:schemeClr>
                            </a:gs>
                            <a:gs pos="74000">
                              <a:schemeClr val="accent3">
                                <a:lumMod val="60000"/>
                                <a:lumOff val="40000"/>
                              </a:schemeClr>
                            </a:gs>
                            <a:gs pos="58000">
                              <a:srgbClr val="FFFFC5"/>
                            </a:gs>
                            <a:gs pos="100000">
                              <a:schemeClr val="accent3">
                                <a:lumMod val="50000"/>
                              </a:schemeClr>
                            </a:gs>
                          </a:gsLst>
                          <a:lin ang="102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A179310" id="Rectangle 34" o:spid="_x0000_s1026" style="position:absolute;margin-left:3pt;margin-top:6.9pt;width:457.5pt;height:9.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" fillcolor="#820000" stroked="f" strokeweight="1pt">
                <v:fill color2="#316756 [1606]" rotate="t" angle="280" colors="0 #820000;8520f #c00000;18350f #ff5757;28180f #f9d7a4;38011f #ffffc5;48497f #acd7ca;57016f #4a9b82;1 #316857" focus="100%" type="gradient">
                  <o:fill v:ext="view" type="gradientUnscaled"/>
                </v:fill>
              </v:rect>
            </w:pict>
          </mc:Fallback>
        </mc:AlternateContent>
      </w:r>
    </w:p>
    <w:p w14:paraId="58178A0B" w14:textId="77777777" w:rsidR="009054A7" w:rsidRDefault="009054A7" w:rsidP="00B451D0">
      <w:pPr>
        <w:pStyle w:val="Heading2"/>
        <w:spacing w:before="600"/>
        <w:ind w:left="578" w:hanging="578"/>
        <w:jc w:val="both"/>
      </w:pPr>
      <w:bookmarkStart w:id="145" w:name="_Toc34657090"/>
      <w:bookmarkStart w:id="146" w:name="_Toc44659944"/>
      <w:r>
        <w:t>Options discussion</w:t>
      </w:r>
      <w:bookmarkEnd w:id="145"/>
      <w:bookmarkEnd w:id="146"/>
    </w:p>
    <w:p w14:paraId="1A179A58" w14:textId="43700370" w:rsidR="009054A7" w:rsidRDefault="009054A7" w:rsidP="009054A7">
      <w:r>
        <w:t>For most of the impacts discussed, the main differences occur between the current status quo (</w:t>
      </w:r>
      <w:r w:rsidR="00CA6B38">
        <w:t>O</w:t>
      </w:r>
      <w:r>
        <w:t xml:space="preserve">ption 1) and the options which involve </w:t>
      </w:r>
      <w:r w:rsidR="007C67D7">
        <w:t xml:space="preserve">acceding </w:t>
      </w:r>
      <w:r>
        <w:t>to Athens (</w:t>
      </w:r>
      <w:r w:rsidR="00CA6B38">
        <w:t>O</w:t>
      </w:r>
      <w:r>
        <w:t>ption</w:t>
      </w:r>
      <w:r w:rsidR="0031506D">
        <w:t>s</w:t>
      </w:r>
      <w:r>
        <w:t xml:space="preserve"> </w:t>
      </w:r>
      <w:r w:rsidR="00F75DF9">
        <w:t xml:space="preserve">2, </w:t>
      </w:r>
      <w:r>
        <w:t xml:space="preserve">3a, 3b and potentially </w:t>
      </w:r>
      <w:r w:rsidR="00CA6B38">
        <w:t>O</w:t>
      </w:r>
      <w:r>
        <w:t xml:space="preserve">ption 4). The table below shows for which options the impacts are applicable and a brief explanation. </w:t>
      </w:r>
    </w:p>
    <w:p w14:paraId="1688ED59" w14:textId="0B701A8C" w:rsidR="009054A7" w:rsidRPr="00FE45A6" w:rsidRDefault="009054A7" w:rsidP="00CD25BE">
      <w:pPr>
        <w:pStyle w:val="Caption"/>
        <w:rPr>
          <w:b/>
          <w:bCs/>
        </w:rPr>
      </w:pPr>
      <w:bookmarkStart w:id="147" w:name="_Toc36560360"/>
      <w:r>
        <w:t xml:space="preserve">Table </w:t>
      </w:r>
      <w:r w:rsidR="00B435A7">
        <w:rPr>
          <w:noProof/>
        </w:rPr>
        <w:fldChar w:fldCharType="begin"/>
      </w:r>
      <w:r w:rsidR="00B435A7">
        <w:rPr>
          <w:noProof/>
        </w:rPr>
        <w:instrText xml:space="preserve"> SEQ Table \* ARABIC </w:instrText>
      </w:r>
      <w:r w:rsidR="00B435A7">
        <w:rPr>
          <w:noProof/>
        </w:rPr>
        <w:fldChar w:fldCharType="separate"/>
      </w:r>
      <w:r w:rsidR="00CD25BE">
        <w:rPr>
          <w:noProof/>
        </w:rPr>
        <w:t>13</w:t>
      </w:r>
      <w:r w:rsidR="00B435A7">
        <w:rPr>
          <w:noProof/>
        </w:rPr>
        <w:fldChar w:fldCharType="end"/>
      </w:r>
      <w:r w:rsidR="00CD25BE">
        <w:t>:</w:t>
      </w:r>
      <w:r>
        <w:t xml:space="preserve"> </w:t>
      </w:r>
      <w:r w:rsidRPr="00883E52">
        <w:t>Discussion of differences between options</w:t>
      </w:r>
      <w:bookmarkEnd w:id="147"/>
    </w:p>
    <w:tbl>
      <w:tblPr>
        <w:tblStyle w:val="TableGrid"/>
        <w:tblW w:w="9067" w:type="dxa"/>
        <w:tblLook w:val="04A0" w:firstRow="1" w:lastRow="0" w:firstColumn="1" w:lastColumn="0" w:noHBand="0" w:noVBand="1"/>
      </w:tblPr>
      <w:tblGrid>
        <w:gridCol w:w="1393"/>
        <w:gridCol w:w="1653"/>
        <w:gridCol w:w="445"/>
        <w:gridCol w:w="406"/>
        <w:gridCol w:w="417"/>
        <w:gridCol w:w="4753"/>
      </w:tblGrid>
      <w:tr w:rsidR="009054A7" w14:paraId="73B58691" w14:textId="77777777" w:rsidTr="00A27994">
        <w:tc>
          <w:tcPr>
            <w:tcW w:w="1393" w:type="dxa"/>
            <w:vMerge w:val="restart"/>
            <w:vAlign w:val="center"/>
          </w:tcPr>
          <w:p w14:paraId="1E063ED5" w14:textId="77777777" w:rsidR="009054A7" w:rsidRPr="00E06837" w:rsidRDefault="009054A7" w:rsidP="0069386C">
            <w:pPr>
              <w:jc w:val="center"/>
              <w:rPr>
                <w:b/>
                <w:bCs/>
              </w:rPr>
            </w:pPr>
            <w:r w:rsidRPr="00E06837">
              <w:rPr>
                <w:b/>
                <w:bCs/>
              </w:rPr>
              <w:t>User group</w:t>
            </w:r>
          </w:p>
        </w:tc>
        <w:tc>
          <w:tcPr>
            <w:tcW w:w="1653" w:type="dxa"/>
            <w:vMerge w:val="restart"/>
            <w:vAlign w:val="center"/>
          </w:tcPr>
          <w:p w14:paraId="70A54080" w14:textId="77777777" w:rsidR="009054A7" w:rsidRPr="00E06837" w:rsidRDefault="009054A7" w:rsidP="0069386C">
            <w:pPr>
              <w:jc w:val="center"/>
              <w:rPr>
                <w:b/>
                <w:bCs/>
              </w:rPr>
            </w:pPr>
            <w:r w:rsidRPr="00E06837">
              <w:rPr>
                <w:b/>
                <w:bCs/>
              </w:rPr>
              <w:t>Impact</w:t>
            </w:r>
          </w:p>
        </w:tc>
        <w:tc>
          <w:tcPr>
            <w:tcW w:w="1268" w:type="dxa"/>
            <w:gridSpan w:val="3"/>
            <w:vAlign w:val="center"/>
          </w:tcPr>
          <w:p w14:paraId="0EA86783" w14:textId="77777777" w:rsidR="009054A7" w:rsidRDefault="009054A7" w:rsidP="0069386C">
            <w:pPr>
              <w:jc w:val="center"/>
              <w:rPr>
                <w:b/>
                <w:bCs/>
              </w:rPr>
            </w:pPr>
            <w:r>
              <w:rPr>
                <w:b/>
                <w:bCs/>
              </w:rPr>
              <w:t>Option</w:t>
            </w:r>
          </w:p>
        </w:tc>
        <w:tc>
          <w:tcPr>
            <w:tcW w:w="4753" w:type="dxa"/>
            <w:vMerge w:val="restart"/>
            <w:vAlign w:val="center"/>
          </w:tcPr>
          <w:p w14:paraId="6D97CD8D" w14:textId="77777777" w:rsidR="009054A7" w:rsidRDefault="009054A7" w:rsidP="0069386C">
            <w:pPr>
              <w:jc w:val="center"/>
              <w:rPr>
                <w:b/>
                <w:bCs/>
              </w:rPr>
            </w:pPr>
            <w:r>
              <w:rPr>
                <w:b/>
                <w:bCs/>
              </w:rPr>
              <w:t>Discussion</w:t>
            </w:r>
          </w:p>
        </w:tc>
      </w:tr>
      <w:tr w:rsidR="009054A7" w14:paraId="1FF19E17" w14:textId="77777777" w:rsidTr="00A27994">
        <w:tc>
          <w:tcPr>
            <w:tcW w:w="1393" w:type="dxa"/>
            <w:vMerge/>
          </w:tcPr>
          <w:p w14:paraId="15F85BB2" w14:textId="77777777" w:rsidR="009054A7" w:rsidRPr="00E06837" w:rsidRDefault="009054A7" w:rsidP="0069386C">
            <w:pPr>
              <w:rPr>
                <w:b/>
                <w:bCs/>
              </w:rPr>
            </w:pPr>
          </w:p>
        </w:tc>
        <w:tc>
          <w:tcPr>
            <w:tcW w:w="1653" w:type="dxa"/>
            <w:vMerge/>
          </w:tcPr>
          <w:p w14:paraId="73E2683E" w14:textId="77777777" w:rsidR="009054A7" w:rsidRPr="00E06837" w:rsidRDefault="009054A7" w:rsidP="0069386C">
            <w:pPr>
              <w:rPr>
                <w:b/>
                <w:bCs/>
              </w:rPr>
            </w:pPr>
          </w:p>
        </w:tc>
        <w:tc>
          <w:tcPr>
            <w:tcW w:w="445" w:type="dxa"/>
          </w:tcPr>
          <w:p w14:paraId="4FC615A6" w14:textId="77777777" w:rsidR="009054A7" w:rsidRPr="00E06837" w:rsidRDefault="009054A7" w:rsidP="0069386C">
            <w:pPr>
              <w:rPr>
                <w:b/>
                <w:bCs/>
              </w:rPr>
            </w:pPr>
            <w:r>
              <w:rPr>
                <w:b/>
                <w:bCs/>
              </w:rPr>
              <w:t>2</w:t>
            </w:r>
          </w:p>
        </w:tc>
        <w:tc>
          <w:tcPr>
            <w:tcW w:w="406" w:type="dxa"/>
          </w:tcPr>
          <w:p w14:paraId="7D395658" w14:textId="77777777" w:rsidR="009054A7" w:rsidRPr="00E06837" w:rsidRDefault="009054A7" w:rsidP="0069386C">
            <w:pPr>
              <w:rPr>
                <w:b/>
                <w:bCs/>
              </w:rPr>
            </w:pPr>
            <w:r>
              <w:rPr>
                <w:b/>
                <w:bCs/>
              </w:rPr>
              <w:t>3</w:t>
            </w:r>
          </w:p>
        </w:tc>
        <w:tc>
          <w:tcPr>
            <w:tcW w:w="417" w:type="dxa"/>
          </w:tcPr>
          <w:p w14:paraId="1BB27465" w14:textId="77777777" w:rsidR="009054A7" w:rsidRDefault="009054A7" w:rsidP="0069386C">
            <w:pPr>
              <w:rPr>
                <w:b/>
                <w:bCs/>
              </w:rPr>
            </w:pPr>
            <w:r>
              <w:rPr>
                <w:b/>
                <w:bCs/>
              </w:rPr>
              <w:t>4</w:t>
            </w:r>
          </w:p>
        </w:tc>
        <w:tc>
          <w:tcPr>
            <w:tcW w:w="4753" w:type="dxa"/>
            <w:vMerge/>
          </w:tcPr>
          <w:p w14:paraId="2827F513" w14:textId="77777777" w:rsidR="009054A7" w:rsidRDefault="009054A7" w:rsidP="0069386C">
            <w:pPr>
              <w:rPr>
                <w:b/>
                <w:bCs/>
              </w:rPr>
            </w:pPr>
          </w:p>
        </w:tc>
      </w:tr>
      <w:tr w:rsidR="009054A7" w14:paraId="1F895738" w14:textId="77777777" w:rsidTr="00A27994">
        <w:tc>
          <w:tcPr>
            <w:tcW w:w="1393" w:type="dxa"/>
            <w:vMerge w:val="restart"/>
            <w:vAlign w:val="center"/>
          </w:tcPr>
          <w:p w14:paraId="134A9713" w14:textId="77777777" w:rsidR="009054A7" w:rsidRDefault="009054A7" w:rsidP="0069386C">
            <w:pPr>
              <w:jc w:val="center"/>
            </w:pPr>
            <w:r>
              <w:t>Cruise companies</w:t>
            </w:r>
          </w:p>
        </w:tc>
        <w:tc>
          <w:tcPr>
            <w:tcW w:w="1653" w:type="dxa"/>
          </w:tcPr>
          <w:p w14:paraId="2F9268A7" w14:textId="77777777" w:rsidR="009054A7" w:rsidRDefault="009054A7" w:rsidP="008C4E9B">
            <w:pPr>
              <w:jc w:val="left"/>
            </w:pPr>
            <w:r>
              <w:t xml:space="preserve">Insurance compulsory </w:t>
            </w:r>
          </w:p>
        </w:tc>
        <w:tc>
          <w:tcPr>
            <w:tcW w:w="445" w:type="dxa"/>
            <w:vAlign w:val="center"/>
          </w:tcPr>
          <w:p w14:paraId="1EC5A3B7" w14:textId="77777777" w:rsidR="009054A7" w:rsidRDefault="009054A7" w:rsidP="0069386C">
            <w:pPr>
              <w:jc w:val="center"/>
            </w:pPr>
            <w:r>
              <w:t>Y</w:t>
            </w:r>
          </w:p>
        </w:tc>
        <w:tc>
          <w:tcPr>
            <w:tcW w:w="406" w:type="dxa"/>
            <w:vAlign w:val="center"/>
          </w:tcPr>
          <w:p w14:paraId="1F265D2D" w14:textId="77777777" w:rsidR="009054A7" w:rsidRDefault="009054A7" w:rsidP="0069386C">
            <w:pPr>
              <w:jc w:val="center"/>
            </w:pPr>
            <w:r>
              <w:t>Y</w:t>
            </w:r>
          </w:p>
        </w:tc>
        <w:tc>
          <w:tcPr>
            <w:tcW w:w="417" w:type="dxa"/>
            <w:vAlign w:val="center"/>
          </w:tcPr>
          <w:p w14:paraId="1DD15BF2" w14:textId="77777777" w:rsidR="009054A7" w:rsidRDefault="009054A7" w:rsidP="0069386C">
            <w:pPr>
              <w:jc w:val="center"/>
            </w:pPr>
            <w:r>
              <w:t>Y</w:t>
            </w:r>
          </w:p>
        </w:tc>
        <w:tc>
          <w:tcPr>
            <w:tcW w:w="4753" w:type="dxa"/>
          </w:tcPr>
          <w:p w14:paraId="03C1092B" w14:textId="77777777" w:rsidR="009054A7" w:rsidRDefault="009054A7" w:rsidP="0069386C">
            <w:r>
              <w:t>All options would mandate insurance</w:t>
            </w:r>
          </w:p>
        </w:tc>
      </w:tr>
      <w:tr w:rsidR="009054A7" w14:paraId="08A63735" w14:textId="77777777" w:rsidTr="00A27994">
        <w:tc>
          <w:tcPr>
            <w:tcW w:w="1393" w:type="dxa"/>
            <w:vMerge/>
            <w:vAlign w:val="center"/>
          </w:tcPr>
          <w:p w14:paraId="72E3B357" w14:textId="77777777" w:rsidR="009054A7" w:rsidRDefault="009054A7" w:rsidP="0069386C">
            <w:pPr>
              <w:jc w:val="center"/>
            </w:pPr>
          </w:p>
        </w:tc>
        <w:tc>
          <w:tcPr>
            <w:tcW w:w="1653" w:type="dxa"/>
          </w:tcPr>
          <w:p w14:paraId="2464130F" w14:textId="77777777" w:rsidR="009054A7" w:rsidRDefault="009054A7" w:rsidP="008C4E9B">
            <w:pPr>
              <w:jc w:val="left"/>
            </w:pPr>
            <w:r>
              <w:t>Change in limits</w:t>
            </w:r>
          </w:p>
        </w:tc>
        <w:tc>
          <w:tcPr>
            <w:tcW w:w="445" w:type="dxa"/>
            <w:vAlign w:val="center"/>
          </w:tcPr>
          <w:p w14:paraId="2E3BE311" w14:textId="77777777" w:rsidR="009054A7" w:rsidRPr="00F47135" w:rsidRDefault="009054A7" w:rsidP="0069386C">
            <w:pPr>
              <w:jc w:val="center"/>
              <w:rPr>
                <w:b/>
                <w:bCs/>
              </w:rPr>
            </w:pPr>
            <w:r w:rsidRPr="00F47135">
              <w:rPr>
                <w:b/>
                <w:bCs/>
              </w:rPr>
              <w:t>N</w:t>
            </w:r>
          </w:p>
        </w:tc>
        <w:tc>
          <w:tcPr>
            <w:tcW w:w="406" w:type="dxa"/>
            <w:vAlign w:val="center"/>
          </w:tcPr>
          <w:p w14:paraId="4A82DAFE" w14:textId="77777777" w:rsidR="009054A7" w:rsidRDefault="009054A7" w:rsidP="0069386C">
            <w:pPr>
              <w:jc w:val="center"/>
            </w:pPr>
            <w:r>
              <w:t>Y</w:t>
            </w:r>
          </w:p>
        </w:tc>
        <w:tc>
          <w:tcPr>
            <w:tcW w:w="417" w:type="dxa"/>
            <w:vAlign w:val="center"/>
          </w:tcPr>
          <w:p w14:paraId="1918179F" w14:textId="77777777" w:rsidR="009054A7" w:rsidRDefault="009054A7" w:rsidP="0069386C">
            <w:pPr>
              <w:jc w:val="center"/>
            </w:pPr>
            <w:r>
              <w:t>?</w:t>
            </w:r>
          </w:p>
        </w:tc>
        <w:tc>
          <w:tcPr>
            <w:tcW w:w="4753" w:type="dxa"/>
          </w:tcPr>
          <w:p w14:paraId="4C4EDDF7" w14:textId="77777777" w:rsidR="009054A7" w:rsidRDefault="009054A7" w:rsidP="0069386C">
            <w:r>
              <w:t xml:space="preserve">Option 2 retains current limits, other options change. </w:t>
            </w:r>
          </w:p>
        </w:tc>
      </w:tr>
      <w:tr w:rsidR="009054A7" w14:paraId="1EB131AF" w14:textId="77777777" w:rsidTr="00A27994">
        <w:tc>
          <w:tcPr>
            <w:tcW w:w="1393" w:type="dxa"/>
            <w:vMerge/>
          </w:tcPr>
          <w:p w14:paraId="6BA0A400" w14:textId="77777777" w:rsidR="009054A7" w:rsidRDefault="009054A7" w:rsidP="0069386C"/>
        </w:tc>
        <w:tc>
          <w:tcPr>
            <w:tcW w:w="1653" w:type="dxa"/>
          </w:tcPr>
          <w:p w14:paraId="0CC0733D" w14:textId="77777777" w:rsidR="009054A7" w:rsidRDefault="009054A7" w:rsidP="008C4E9B">
            <w:pPr>
              <w:jc w:val="left"/>
            </w:pPr>
            <w:r>
              <w:t>Amount paid in claims</w:t>
            </w:r>
          </w:p>
        </w:tc>
        <w:tc>
          <w:tcPr>
            <w:tcW w:w="445" w:type="dxa"/>
            <w:vAlign w:val="center"/>
          </w:tcPr>
          <w:p w14:paraId="4E11998A" w14:textId="77777777" w:rsidR="009054A7" w:rsidRPr="00F47135" w:rsidRDefault="009054A7" w:rsidP="0069386C">
            <w:pPr>
              <w:jc w:val="center"/>
              <w:rPr>
                <w:b/>
                <w:bCs/>
              </w:rPr>
            </w:pPr>
            <w:r w:rsidRPr="00F47135">
              <w:rPr>
                <w:b/>
                <w:bCs/>
              </w:rPr>
              <w:t>N</w:t>
            </w:r>
          </w:p>
        </w:tc>
        <w:tc>
          <w:tcPr>
            <w:tcW w:w="406" w:type="dxa"/>
            <w:vAlign w:val="center"/>
          </w:tcPr>
          <w:p w14:paraId="143C2DAF" w14:textId="77777777" w:rsidR="009054A7" w:rsidRDefault="009054A7" w:rsidP="0069386C">
            <w:pPr>
              <w:jc w:val="center"/>
            </w:pPr>
            <w:r>
              <w:t>Y</w:t>
            </w:r>
          </w:p>
        </w:tc>
        <w:tc>
          <w:tcPr>
            <w:tcW w:w="417" w:type="dxa"/>
            <w:vAlign w:val="center"/>
          </w:tcPr>
          <w:p w14:paraId="63B1514A" w14:textId="77777777" w:rsidR="009054A7" w:rsidRDefault="009054A7" w:rsidP="0069386C">
            <w:pPr>
              <w:jc w:val="center"/>
            </w:pPr>
            <w:r>
              <w:t>?</w:t>
            </w:r>
          </w:p>
        </w:tc>
        <w:tc>
          <w:tcPr>
            <w:tcW w:w="4753" w:type="dxa"/>
          </w:tcPr>
          <w:p w14:paraId="24885EFF" w14:textId="77777777" w:rsidR="009054A7" w:rsidRDefault="009054A7" w:rsidP="0069386C">
            <w:r>
              <w:t>Related to change in limits</w:t>
            </w:r>
          </w:p>
        </w:tc>
      </w:tr>
      <w:tr w:rsidR="009054A7" w14:paraId="115E1057" w14:textId="77777777" w:rsidTr="00A27994">
        <w:tc>
          <w:tcPr>
            <w:tcW w:w="1393" w:type="dxa"/>
            <w:vMerge/>
          </w:tcPr>
          <w:p w14:paraId="0ECBC046" w14:textId="77777777" w:rsidR="009054A7" w:rsidRDefault="009054A7" w:rsidP="0069386C"/>
        </w:tc>
        <w:tc>
          <w:tcPr>
            <w:tcW w:w="1653" w:type="dxa"/>
          </w:tcPr>
          <w:p w14:paraId="399BEBA9" w14:textId="77777777" w:rsidR="009054A7" w:rsidRDefault="009054A7" w:rsidP="008C4E9B">
            <w:pPr>
              <w:jc w:val="left"/>
            </w:pPr>
            <w:r>
              <w:t>Number of claims</w:t>
            </w:r>
          </w:p>
        </w:tc>
        <w:tc>
          <w:tcPr>
            <w:tcW w:w="445" w:type="dxa"/>
            <w:vAlign w:val="center"/>
          </w:tcPr>
          <w:p w14:paraId="2DAC8F02" w14:textId="77777777" w:rsidR="009054A7" w:rsidRDefault="009054A7" w:rsidP="0069386C">
            <w:pPr>
              <w:jc w:val="center"/>
            </w:pPr>
            <w:r>
              <w:t>Y</w:t>
            </w:r>
          </w:p>
        </w:tc>
        <w:tc>
          <w:tcPr>
            <w:tcW w:w="406" w:type="dxa"/>
            <w:vAlign w:val="center"/>
          </w:tcPr>
          <w:p w14:paraId="4FF706AF" w14:textId="77777777" w:rsidR="009054A7" w:rsidRDefault="009054A7" w:rsidP="0069386C">
            <w:pPr>
              <w:jc w:val="center"/>
            </w:pPr>
            <w:r>
              <w:t>Y</w:t>
            </w:r>
          </w:p>
        </w:tc>
        <w:tc>
          <w:tcPr>
            <w:tcW w:w="417" w:type="dxa"/>
            <w:vAlign w:val="center"/>
          </w:tcPr>
          <w:p w14:paraId="52C841F0" w14:textId="77777777" w:rsidR="009054A7" w:rsidRDefault="009054A7" w:rsidP="0069386C">
            <w:pPr>
              <w:jc w:val="center"/>
            </w:pPr>
            <w:r>
              <w:t>Y</w:t>
            </w:r>
          </w:p>
        </w:tc>
        <w:tc>
          <w:tcPr>
            <w:tcW w:w="4753" w:type="dxa"/>
          </w:tcPr>
          <w:p w14:paraId="67967046" w14:textId="77777777" w:rsidR="009054A7" w:rsidRDefault="009054A7" w:rsidP="0069386C">
            <w:r>
              <w:t>Change in burden of proof under all options.</w:t>
            </w:r>
          </w:p>
        </w:tc>
      </w:tr>
      <w:tr w:rsidR="009054A7" w14:paraId="74CDCCC2" w14:textId="77777777" w:rsidTr="00A27994">
        <w:tc>
          <w:tcPr>
            <w:tcW w:w="1393" w:type="dxa"/>
            <w:vMerge/>
          </w:tcPr>
          <w:p w14:paraId="60A58417" w14:textId="77777777" w:rsidR="009054A7" w:rsidRDefault="009054A7" w:rsidP="0069386C"/>
        </w:tc>
        <w:tc>
          <w:tcPr>
            <w:tcW w:w="1653" w:type="dxa"/>
          </w:tcPr>
          <w:p w14:paraId="48C93FD2" w14:textId="77777777" w:rsidR="009054A7" w:rsidRDefault="009054A7" w:rsidP="008C4E9B">
            <w:pPr>
              <w:jc w:val="left"/>
            </w:pPr>
            <w:r>
              <w:t>Number of passengers</w:t>
            </w:r>
          </w:p>
        </w:tc>
        <w:tc>
          <w:tcPr>
            <w:tcW w:w="445" w:type="dxa"/>
            <w:vAlign w:val="center"/>
          </w:tcPr>
          <w:p w14:paraId="6BA2307B" w14:textId="77777777" w:rsidR="009054A7" w:rsidRDefault="009054A7" w:rsidP="0069386C">
            <w:pPr>
              <w:jc w:val="center"/>
            </w:pPr>
            <w:r>
              <w:t>Y</w:t>
            </w:r>
          </w:p>
        </w:tc>
        <w:tc>
          <w:tcPr>
            <w:tcW w:w="406" w:type="dxa"/>
            <w:vAlign w:val="center"/>
          </w:tcPr>
          <w:p w14:paraId="482ACCAE" w14:textId="77777777" w:rsidR="009054A7" w:rsidRDefault="009054A7" w:rsidP="0069386C">
            <w:pPr>
              <w:jc w:val="center"/>
            </w:pPr>
            <w:r>
              <w:t>Y</w:t>
            </w:r>
          </w:p>
        </w:tc>
        <w:tc>
          <w:tcPr>
            <w:tcW w:w="417" w:type="dxa"/>
            <w:vAlign w:val="center"/>
          </w:tcPr>
          <w:p w14:paraId="2CFAFB90" w14:textId="77777777" w:rsidR="009054A7" w:rsidRDefault="009054A7" w:rsidP="0069386C">
            <w:pPr>
              <w:jc w:val="center"/>
            </w:pPr>
            <w:r>
              <w:t>Y</w:t>
            </w:r>
          </w:p>
        </w:tc>
        <w:tc>
          <w:tcPr>
            <w:tcW w:w="4753" w:type="dxa"/>
          </w:tcPr>
          <w:p w14:paraId="3391A0AD" w14:textId="77777777" w:rsidR="009054A7" w:rsidRDefault="009054A7" w:rsidP="0069386C">
            <w:r>
              <w:t xml:space="preserve">Potentially some impact on demand for all options. </w:t>
            </w:r>
          </w:p>
        </w:tc>
      </w:tr>
      <w:tr w:rsidR="009054A7" w14:paraId="0DD4B274" w14:textId="77777777" w:rsidTr="00A27994">
        <w:tc>
          <w:tcPr>
            <w:tcW w:w="1393" w:type="dxa"/>
            <w:vMerge w:val="restart"/>
            <w:vAlign w:val="center"/>
          </w:tcPr>
          <w:p w14:paraId="16352C5C" w14:textId="77777777" w:rsidR="009054A7" w:rsidRDefault="009054A7" w:rsidP="0069386C">
            <w:pPr>
              <w:jc w:val="center"/>
            </w:pPr>
            <w:r>
              <w:t>Insurance companies</w:t>
            </w:r>
          </w:p>
        </w:tc>
        <w:tc>
          <w:tcPr>
            <w:tcW w:w="1653" w:type="dxa"/>
          </w:tcPr>
          <w:p w14:paraId="10F37EE5" w14:textId="77777777" w:rsidR="009054A7" w:rsidRDefault="009054A7" w:rsidP="008C4E9B">
            <w:pPr>
              <w:jc w:val="left"/>
            </w:pPr>
            <w:r>
              <w:t>Money flow</w:t>
            </w:r>
          </w:p>
        </w:tc>
        <w:tc>
          <w:tcPr>
            <w:tcW w:w="445" w:type="dxa"/>
            <w:vAlign w:val="center"/>
          </w:tcPr>
          <w:p w14:paraId="6857D6E1" w14:textId="77777777" w:rsidR="009054A7" w:rsidRPr="00F47135" w:rsidRDefault="009054A7" w:rsidP="0069386C">
            <w:pPr>
              <w:jc w:val="center"/>
              <w:rPr>
                <w:b/>
                <w:bCs/>
              </w:rPr>
            </w:pPr>
            <w:r w:rsidRPr="00F47135">
              <w:rPr>
                <w:b/>
                <w:bCs/>
              </w:rPr>
              <w:t>N</w:t>
            </w:r>
          </w:p>
        </w:tc>
        <w:tc>
          <w:tcPr>
            <w:tcW w:w="406" w:type="dxa"/>
            <w:vAlign w:val="center"/>
          </w:tcPr>
          <w:p w14:paraId="0CDB5EB7" w14:textId="77777777" w:rsidR="009054A7" w:rsidRDefault="009054A7" w:rsidP="0069386C">
            <w:pPr>
              <w:jc w:val="center"/>
            </w:pPr>
            <w:r>
              <w:t>Y</w:t>
            </w:r>
          </w:p>
        </w:tc>
        <w:tc>
          <w:tcPr>
            <w:tcW w:w="417" w:type="dxa"/>
            <w:vAlign w:val="center"/>
          </w:tcPr>
          <w:p w14:paraId="56CD5850" w14:textId="77777777" w:rsidR="009054A7" w:rsidRDefault="009054A7" w:rsidP="0069386C">
            <w:pPr>
              <w:jc w:val="center"/>
            </w:pPr>
            <w:r>
              <w:t>?</w:t>
            </w:r>
          </w:p>
        </w:tc>
        <w:tc>
          <w:tcPr>
            <w:tcW w:w="4753" w:type="dxa"/>
          </w:tcPr>
          <w:p w14:paraId="1EC1D9FE" w14:textId="77777777" w:rsidR="009054A7" w:rsidRDefault="009054A7" w:rsidP="0069386C">
            <w:r>
              <w:t>Related to change in limits</w:t>
            </w:r>
          </w:p>
        </w:tc>
      </w:tr>
      <w:tr w:rsidR="009054A7" w14:paraId="4984A5C8" w14:textId="77777777" w:rsidTr="00A27994">
        <w:tc>
          <w:tcPr>
            <w:tcW w:w="1393" w:type="dxa"/>
            <w:vMerge/>
          </w:tcPr>
          <w:p w14:paraId="33CEC310" w14:textId="77777777" w:rsidR="009054A7" w:rsidRDefault="009054A7" w:rsidP="0069386C"/>
        </w:tc>
        <w:tc>
          <w:tcPr>
            <w:tcW w:w="1653" w:type="dxa"/>
          </w:tcPr>
          <w:p w14:paraId="1E1E1C20" w14:textId="77777777" w:rsidR="009054A7" w:rsidRDefault="009054A7" w:rsidP="008C4E9B">
            <w:pPr>
              <w:jc w:val="left"/>
            </w:pPr>
            <w:r>
              <w:t xml:space="preserve">International consistency </w:t>
            </w:r>
          </w:p>
        </w:tc>
        <w:tc>
          <w:tcPr>
            <w:tcW w:w="445" w:type="dxa"/>
            <w:vAlign w:val="center"/>
          </w:tcPr>
          <w:p w14:paraId="0429ACE7" w14:textId="77777777" w:rsidR="009054A7" w:rsidRDefault="009054A7" w:rsidP="0069386C">
            <w:pPr>
              <w:jc w:val="center"/>
            </w:pPr>
            <w:r>
              <w:t>?</w:t>
            </w:r>
          </w:p>
        </w:tc>
        <w:tc>
          <w:tcPr>
            <w:tcW w:w="406" w:type="dxa"/>
            <w:vAlign w:val="center"/>
          </w:tcPr>
          <w:p w14:paraId="4DDAD303" w14:textId="77777777" w:rsidR="009054A7" w:rsidRDefault="009054A7" w:rsidP="0069386C">
            <w:pPr>
              <w:jc w:val="center"/>
            </w:pPr>
            <w:r>
              <w:t>Y</w:t>
            </w:r>
          </w:p>
        </w:tc>
        <w:tc>
          <w:tcPr>
            <w:tcW w:w="417" w:type="dxa"/>
            <w:vAlign w:val="center"/>
          </w:tcPr>
          <w:p w14:paraId="5EDE03AA" w14:textId="77777777" w:rsidR="009054A7" w:rsidRDefault="009054A7" w:rsidP="0069386C">
            <w:pPr>
              <w:jc w:val="center"/>
            </w:pPr>
            <w:r>
              <w:t>?</w:t>
            </w:r>
          </w:p>
        </w:tc>
        <w:tc>
          <w:tcPr>
            <w:tcW w:w="4753" w:type="dxa"/>
          </w:tcPr>
          <w:p w14:paraId="063F67FA" w14:textId="40E384B4" w:rsidR="009054A7" w:rsidRDefault="009054A7" w:rsidP="00CA6B38">
            <w:r>
              <w:t xml:space="preserve">Some consistency from </w:t>
            </w:r>
            <w:r w:rsidR="0099109C">
              <w:t xml:space="preserve">acceding </w:t>
            </w:r>
            <w:r>
              <w:t xml:space="preserve">to Athens, but different limits in </w:t>
            </w:r>
            <w:r w:rsidR="00CA6B38">
              <w:t>O</w:t>
            </w:r>
            <w:r>
              <w:t xml:space="preserve">ption 2. </w:t>
            </w:r>
          </w:p>
        </w:tc>
      </w:tr>
      <w:tr w:rsidR="009054A7" w14:paraId="10C0C7CC" w14:textId="77777777" w:rsidTr="00A27994">
        <w:tc>
          <w:tcPr>
            <w:tcW w:w="1393" w:type="dxa"/>
            <w:vMerge/>
          </w:tcPr>
          <w:p w14:paraId="00D8B9D5" w14:textId="77777777" w:rsidR="009054A7" w:rsidRDefault="009054A7" w:rsidP="0069386C"/>
        </w:tc>
        <w:tc>
          <w:tcPr>
            <w:tcW w:w="1653" w:type="dxa"/>
          </w:tcPr>
          <w:p w14:paraId="155DE17F" w14:textId="77777777" w:rsidR="009054A7" w:rsidRDefault="009054A7" w:rsidP="008C4E9B">
            <w:pPr>
              <w:jc w:val="left"/>
            </w:pPr>
            <w:r>
              <w:t>Passenger contact</w:t>
            </w:r>
          </w:p>
        </w:tc>
        <w:tc>
          <w:tcPr>
            <w:tcW w:w="445" w:type="dxa"/>
            <w:vAlign w:val="center"/>
          </w:tcPr>
          <w:p w14:paraId="4DA072B2" w14:textId="77777777" w:rsidR="009054A7" w:rsidRDefault="009054A7" w:rsidP="0069386C">
            <w:pPr>
              <w:jc w:val="center"/>
            </w:pPr>
            <w:r>
              <w:t>Y</w:t>
            </w:r>
          </w:p>
        </w:tc>
        <w:tc>
          <w:tcPr>
            <w:tcW w:w="406" w:type="dxa"/>
            <w:vAlign w:val="center"/>
          </w:tcPr>
          <w:p w14:paraId="1F5CE66D" w14:textId="77777777" w:rsidR="009054A7" w:rsidRDefault="009054A7" w:rsidP="0069386C">
            <w:pPr>
              <w:jc w:val="center"/>
            </w:pPr>
            <w:r>
              <w:t>Y</w:t>
            </w:r>
          </w:p>
        </w:tc>
        <w:tc>
          <w:tcPr>
            <w:tcW w:w="417" w:type="dxa"/>
            <w:vAlign w:val="center"/>
          </w:tcPr>
          <w:p w14:paraId="4A00B7F7" w14:textId="77777777" w:rsidR="009054A7" w:rsidRDefault="009054A7" w:rsidP="0069386C">
            <w:pPr>
              <w:jc w:val="center"/>
            </w:pPr>
            <w:r>
              <w:t>Y</w:t>
            </w:r>
          </w:p>
        </w:tc>
        <w:tc>
          <w:tcPr>
            <w:tcW w:w="4753" w:type="dxa"/>
          </w:tcPr>
          <w:p w14:paraId="189E6CCE" w14:textId="4A44FC2D" w:rsidR="009054A7" w:rsidRDefault="009054A7" w:rsidP="007C67D7">
            <w:r>
              <w:t xml:space="preserve">All options </w:t>
            </w:r>
            <w:r w:rsidR="007C67D7">
              <w:t xml:space="preserve">acceding </w:t>
            </w:r>
            <w:r>
              <w:t xml:space="preserve">to Athens could change contact with passengers. </w:t>
            </w:r>
          </w:p>
        </w:tc>
      </w:tr>
      <w:tr w:rsidR="009054A7" w14:paraId="2F1805A9" w14:textId="77777777" w:rsidTr="00A27994">
        <w:tc>
          <w:tcPr>
            <w:tcW w:w="1393" w:type="dxa"/>
            <w:vMerge w:val="restart"/>
            <w:vAlign w:val="center"/>
          </w:tcPr>
          <w:p w14:paraId="4EBD8FFC" w14:textId="77777777" w:rsidR="009054A7" w:rsidRDefault="009054A7" w:rsidP="0069386C">
            <w:pPr>
              <w:jc w:val="center"/>
            </w:pPr>
            <w:r>
              <w:t>Passengers</w:t>
            </w:r>
          </w:p>
        </w:tc>
        <w:tc>
          <w:tcPr>
            <w:tcW w:w="1653" w:type="dxa"/>
          </w:tcPr>
          <w:p w14:paraId="59499D33" w14:textId="77777777" w:rsidR="009054A7" w:rsidRDefault="009054A7" w:rsidP="008C4E9B">
            <w:pPr>
              <w:jc w:val="left"/>
            </w:pPr>
            <w:r>
              <w:t>Change in fares</w:t>
            </w:r>
          </w:p>
        </w:tc>
        <w:tc>
          <w:tcPr>
            <w:tcW w:w="445" w:type="dxa"/>
            <w:vAlign w:val="center"/>
          </w:tcPr>
          <w:p w14:paraId="78208185" w14:textId="77777777" w:rsidR="009054A7" w:rsidRPr="00F47135" w:rsidRDefault="009054A7" w:rsidP="0069386C">
            <w:pPr>
              <w:jc w:val="center"/>
              <w:rPr>
                <w:b/>
                <w:bCs/>
              </w:rPr>
            </w:pPr>
            <w:r w:rsidRPr="00F47135">
              <w:rPr>
                <w:b/>
                <w:bCs/>
              </w:rPr>
              <w:t>N</w:t>
            </w:r>
          </w:p>
        </w:tc>
        <w:tc>
          <w:tcPr>
            <w:tcW w:w="406" w:type="dxa"/>
            <w:vAlign w:val="center"/>
          </w:tcPr>
          <w:p w14:paraId="1215BCE9" w14:textId="77777777" w:rsidR="009054A7" w:rsidRDefault="009054A7" w:rsidP="0069386C">
            <w:pPr>
              <w:jc w:val="center"/>
            </w:pPr>
            <w:r>
              <w:t>Y</w:t>
            </w:r>
          </w:p>
        </w:tc>
        <w:tc>
          <w:tcPr>
            <w:tcW w:w="417" w:type="dxa"/>
            <w:vAlign w:val="center"/>
          </w:tcPr>
          <w:p w14:paraId="66FCF834" w14:textId="77777777" w:rsidR="009054A7" w:rsidRDefault="009054A7" w:rsidP="0069386C">
            <w:pPr>
              <w:jc w:val="center"/>
            </w:pPr>
            <w:r>
              <w:t>?</w:t>
            </w:r>
          </w:p>
        </w:tc>
        <w:tc>
          <w:tcPr>
            <w:tcW w:w="4753" w:type="dxa"/>
          </w:tcPr>
          <w:p w14:paraId="11CAE0A0" w14:textId="77777777" w:rsidR="009054A7" w:rsidRDefault="009054A7" w:rsidP="0069386C">
            <w:r>
              <w:t>Related to change in limits</w:t>
            </w:r>
          </w:p>
        </w:tc>
      </w:tr>
      <w:tr w:rsidR="009054A7" w14:paraId="059E3745" w14:textId="77777777" w:rsidTr="00A27994">
        <w:tc>
          <w:tcPr>
            <w:tcW w:w="1393" w:type="dxa"/>
            <w:vMerge/>
          </w:tcPr>
          <w:p w14:paraId="479DEC53" w14:textId="77777777" w:rsidR="009054A7" w:rsidRDefault="009054A7" w:rsidP="0069386C"/>
        </w:tc>
        <w:tc>
          <w:tcPr>
            <w:tcW w:w="1653" w:type="dxa"/>
          </w:tcPr>
          <w:p w14:paraId="10801461" w14:textId="77777777" w:rsidR="009054A7" w:rsidRDefault="009054A7" w:rsidP="008C4E9B">
            <w:pPr>
              <w:jc w:val="left"/>
            </w:pPr>
            <w:r>
              <w:t>Effort of claiming</w:t>
            </w:r>
          </w:p>
        </w:tc>
        <w:tc>
          <w:tcPr>
            <w:tcW w:w="445" w:type="dxa"/>
            <w:vAlign w:val="center"/>
          </w:tcPr>
          <w:p w14:paraId="1C9A9A1E" w14:textId="77777777" w:rsidR="009054A7" w:rsidRDefault="009054A7" w:rsidP="0069386C">
            <w:pPr>
              <w:jc w:val="center"/>
            </w:pPr>
            <w:r>
              <w:t>Y</w:t>
            </w:r>
          </w:p>
        </w:tc>
        <w:tc>
          <w:tcPr>
            <w:tcW w:w="406" w:type="dxa"/>
            <w:vAlign w:val="center"/>
          </w:tcPr>
          <w:p w14:paraId="7217324F" w14:textId="77777777" w:rsidR="009054A7" w:rsidRDefault="009054A7" w:rsidP="0069386C">
            <w:pPr>
              <w:jc w:val="center"/>
            </w:pPr>
            <w:r>
              <w:t>Y</w:t>
            </w:r>
          </w:p>
        </w:tc>
        <w:tc>
          <w:tcPr>
            <w:tcW w:w="417" w:type="dxa"/>
            <w:vAlign w:val="center"/>
          </w:tcPr>
          <w:p w14:paraId="7EF1F07D" w14:textId="77777777" w:rsidR="009054A7" w:rsidRDefault="009054A7" w:rsidP="0069386C">
            <w:pPr>
              <w:jc w:val="center"/>
            </w:pPr>
            <w:r>
              <w:t>Y</w:t>
            </w:r>
          </w:p>
        </w:tc>
        <w:tc>
          <w:tcPr>
            <w:tcW w:w="4753" w:type="dxa"/>
          </w:tcPr>
          <w:p w14:paraId="22A3EBEA" w14:textId="77777777" w:rsidR="009054A7" w:rsidRDefault="009054A7" w:rsidP="0069386C">
            <w:r>
              <w:t xml:space="preserve">Acceding to Athens would change effort required by passengers to make a claim. </w:t>
            </w:r>
          </w:p>
        </w:tc>
      </w:tr>
      <w:tr w:rsidR="0003641B" w14:paraId="10C6CBB1" w14:textId="77777777" w:rsidTr="00A27994">
        <w:tc>
          <w:tcPr>
            <w:tcW w:w="1393" w:type="dxa"/>
            <w:vMerge/>
          </w:tcPr>
          <w:p w14:paraId="2BDD750E" w14:textId="77777777" w:rsidR="0003641B" w:rsidRDefault="0003641B" w:rsidP="0069386C"/>
        </w:tc>
        <w:tc>
          <w:tcPr>
            <w:tcW w:w="1653" w:type="dxa"/>
          </w:tcPr>
          <w:p w14:paraId="69E057AD" w14:textId="1C5DE647" w:rsidR="0003641B" w:rsidRDefault="0003641B" w:rsidP="008C4E9B">
            <w:pPr>
              <w:jc w:val="left"/>
            </w:pPr>
            <w:r>
              <w:t>Ability to claim in Australia</w:t>
            </w:r>
          </w:p>
        </w:tc>
        <w:tc>
          <w:tcPr>
            <w:tcW w:w="445" w:type="dxa"/>
            <w:vAlign w:val="center"/>
          </w:tcPr>
          <w:p w14:paraId="5E906D86" w14:textId="49EF4670" w:rsidR="0003641B" w:rsidRDefault="005312A9" w:rsidP="0069386C">
            <w:pPr>
              <w:jc w:val="center"/>
            </w:pPr>
            <w:r>
              <w:t>Y</w:t>
            </w:r>
          </w:p>
        </w:tc>
        <w:tc>
          <w:tcPr>
            <w:tcW w:w="406" w:type="dxa"/>
            <w:vAlign w:val="center"/>
          </w:tcPr>
          <w:p w14:paraId="65C69A2D" w14:textId="24019227" w:rsidR="0003641B" w:rsidRDefault="005312A9" w:rsidP="0069386C">
            <w:pPr>
              <w:jc w:val="center"/>
            </w:pPr>
            <w:r>
              <w:t>Y</w:t>
            </w:r>
          </w:p>
        </w:tc>
        <w:tc>
          <w:tcPr>
            <w:tcW w:w="417" w:type="dxa"/>
            <w:vAlign w:val="center"/>
          </w:tcPr>
          <w:p w14:paraId="0F158ACA" w14:textId="6B50A35A" w:rsidR="0003641B" w:rsidRDefault="005312A9" w:rsidP="0069386C">
            <w:pPr>
              <w:jc w:val="center"/>
            </w:pPr>
            <w:r>
              <w:t>Y</w:t>
            </w:r>
          </w:p>
        </w:tc>
        <w:tc>
          <w:tcPr>
            <w:tcW w:w="4753" w:type="dxa"/>
          </w:tcPr>
          <w:p w14:paraId="487A2413" w14:textId="3A41D164" w:rsidR="0003641B" w:rsidRDefault="007D2E8C" w:rsidP="0069386C">
            <w:r>
              <w:t>Ac</w:t>
            </w:r>
            <w:r w:rsidR="00946DEB">
              <w:t>ceding to Athens would</w:t>
            </w:r>
            <w:r w:rsidR="002A4667">
              <w:t xml:space="preserve"> ensure court cases could be heard in Australia. </w:t>
            </w:r>
          </w:p>
        </w:tc>
      </w:tr>
      <w:tr w:rsidR="009054A7" w14:paraId="0D4FF81E" w14:textId="77777777" w:rsidTr="00A27994">
        <w:tc>
          <w:tcPr>
            <w:tcW w:w="1393" w:type="dxa"/>
            <w:vMerge/>
          </w:tcPr>
          <w:p w14:paraId="21BAFB94" w14:textId="77777777" w:rsidR="009054A7" w:rsidRDefault="009054A7" w:rsidP="0069386C"/>
        </w:tc>
        <w:tc>
          <w:tcPr>
            <w:tcW w:w="1653" w:type="dxa"/>
          </w:tcPr>
          <w:p w14:paraId="1D52285F" w14:textId="77777777" w:rsidR="009054A7" w:rsidRDefault="009054A7" w:rsidP="008C4E9B">
            <w:pPr>
              <w:jc w:val="left"/>
            </w:pPr>
            <w:r>
              <w:t>Amount available for claim</w:t>
            </w:r>
          </w:p>
        </w:tc>
        <w:tc>
          <w:tcPr>
            <w:tcW w:w="445" w:type="dxa"/>
            <w:vAlign w:val="center"/>
          </w:tcPr>
          <w:p w14:paraId="73E3828D" w14:textId="77777777" w:rsidR="009054A7" w:rsidRPr="00F47135" w:rsidRDefault="009054A7" w:rsidP="0069386C">
            <w:pPr>
              <w:jc w:val="center"/>
              <w:rPr>
                <w:b/>
                <w:bCs/>
              </w:rPr>
            </w:pPr>
            <w:r w:rsidRPr="00F47135">
              <w:rPr>
                <w:b/>
                <w:bCs/>
              </w:rPr>
              <w:t>N</w:t>
            </w:r>
          </w:p>
        </w:tc>
        <w:tc>
          <w:tcPr>
            <w:tcW w:w="406" w:type="dxa"/>
            <w:vAlign w:val="center"/>
          </w:tcPr>
          <w:p w14:paraId="7A144458" w14:textId="77777777" w:rsidR="009054A7" w:rsidRDefault="009054A7" w:rsidP="0069386C">
            <w:pPr>
              <w:jc w:val="center"/>
            </w:pPr>
            <w:r>
              <w:t>Y</w:t>
            </w:r>
          </w:p>
        </w:tc>
        <w:tc>
          <w:tcPr>
            <w:tcW w:w="417" w:type="dxa"/>
            <w:vAlign w:val="center"/>
          </w:tcPr>
          <w:p w14:paraId="768EDE2C" w14:textId="77777777" w:rsidR="009054A7" w:rsidRDefault="009054A7" w:rsidP="0069386C">
            <w:pPr>
              <w:jc w:val="center"/>
            </w:pPr>
            <w:r>
              <w:t>?</w:t>
            </w:r>
          </w:p>
        </w:tc>
        <w:tc>
          <w:tcPr>
            <w:tcW w:w="4753" w:type="dxa"/>
          </w:tcPr>
          <w:p w14:paraId="61EE4813" w14:textId="77777777" w:rsidR="009054A7" w:rsidRDefault="009054A7" w:rsidP="0069386C">
            <w:r>
              <w:t xml:space="preserve">Related to limits as defined by each option. </w:t>
            </w:r>
          </w:p>
        </w:tc>
      </w:tr>
      <w:tr w:rsidR="009054A7" w14:paraId="52FE8AD9" w14:textId="77777777" w:rsidTr="00A27994">
        <w:tc>
          <w:tcPr>
            <w:tcW w:w="1393" w:type="dxa"/>
            <w:vMerge/>
          </w:tcPr>
          <w:p w14:paraId="4FEE4A00" w14:textId="77777777" w:rsidR="009054A7" w:rsidRDefault="009054A7" w:rsidP="0069386C"/>
        </w:tc>
        <w:tc>
          <w:tcPr>
            <w:tcW w:w="1653" w:type="dxa"/>
          </w:tcPr>
          <w:p w14:paraId="0399B733" w14:textId="77777777" w:rsidR="009054A7" w:rsidRDefault="009054A7" w:rsidP="008C4E9B">
            <w:pPr>
              <w:jc w:val="left"/>
            </w:pPr>
            <w:r>
              <w:t xml:space="preserve">Security </w:t>
            </w:r>
          </w:p>
        </w:tc>
        <w:tc>
          <w:tcPr>
            <w:tcW w:w="445" w:type="dxa"/>
            <w:vAlign w:val="center"/>
          </w:tcPr>
          <w:p w14:paraId="3B15C0CC" w14:textId="77777777" w:rsidR="009054A7" w:rsidRDefault="009054A7" w:rsidP="0069386C">
            <w:pPr>
              <w:jc w:val="center"/>
            </w:pPr>
            <w:r>
              <w:t>Y</w:t>
            </w:r>
          </w:p>
        </w:tc>
        <w:tc>
          <w:tcPr>
            <w:tcW w:w="406" w:type="dxa"/>
            <w:vAlign w:val="center"/>
          </w:tcPr>
          <w:p w14:paraId="4C921E76" w14:textId="77777777" w:rsidR="009054A7" w:rsidRDefault="009054A7" w:rsidP="0069386C">
            <w:pPr>
              <w:jc w:val="center"/>
            </w:pPr>
            <w:r>
              <w:t>Y</w:t>
            </w:r>
          </w:p>
        </w:tc>
        <w:tc>
          <w:tcPr>
            <w:tcW w:w="417" w:type="dxa"/>
            <w:vAlign w:val="center"/>
          </w:tcPr>
          <w:p w14:paraId="1CA7723B" w14:textId="77777777" w:rsidR="009054A7" w:rsidRDefault="009054A7" w:rsidP="0069386C">
            <w:pPr>
              <w:jc w:val="center"/>
            </w:pPr>
            <w:r>
              <w:t>Y</w:t>
            </w:r>
          </w:p>
        </w:tc>
        <w:tc>
          <w:tcPr>
            <w:tcW w:w="4753" w:type="dxa"/>
          </w:tcPr>
          <w:p w14:paraId="5ED60159" w14:textId="53FFB2CD" w:rsidR="009054A7" w:rsidRDefault="009054A7" w:rsidP="0069386C">
            <w:r>
              <w:t xml:space="preserve">All options would benefit passengers feeling of security. </w:t>
            </w:r>
          </w:p>
        </w:tc>
      </w:tr>
      <w:tr w:rsidR="009054A7" w14:paraId="417C658D" w14:textId="77777777" w:rsidTr="00A27994">
        <w:tc>
          <w:tcPr>
            <w:tcW w:w="1393" w:type="dxa"/>
            <w:vMerge w:val="restart"/>
            <w:vAlign w:val="center"/>
          </w:tcPr>
          <w:p w14:paraId="0A2186AB" w14:textId="77777777" w:rsidR="009054A7" w:rsidRDefault="009054A7" w:rsidP="0069386C">
            <w:pPr>
              <w:jc w:val="center"/>
            </w:pPr>
            <w:r>
              <w:t>Government</w:t>
            </w:r>
          </w:p>
        </w:tc>
        <w:tc>
          <w:tcPr>
            <w:tcW w:w="1653" w:type="dxa"/>
          </w:tcPr>
          <w:p w14:paraId="43380DCF" w14:textId="77777777" w:rsidR="009054A7" w:rsidRDefault="009054A7" w:rsidP="008C4E9B">
            <w:pPr>
              <w:jc w:val="left"/>
            </w:pPr>
            <w:r>
              <w:t>Cost of ongoing regulation</w:t>
            </w:r>
          </w:p>
        </w:tc>
        <w:tc>
          <w:tcPr>
            <w:tcW w:w="445" w:type="dxa"/>
            <w:vAlign w:val="center"/>
          </w:tcPr>
          <w:p w14:paraId="5876A72C" w14:textId="77777777" w:rsidR="009054A7" w:rsidRDefault="009054A7" w:rsidP="0069386C">
            <w:pPr>
              <w:jc w:val="center"/>
            </w:pPr>
            <w:r>
              <w:t>Y</w:t>
            </w:r>
          </w:p>
        </w:tc>
        <w:tc>
          <w:tcPr>
            <w:tcW w:w="406" w:type="dxa"/>
            <w:vAlign w:val="center"/>
          </w:tcPr>
          <w:p w14:paraId="5AF82F2E" w14:textId="77777777" w:rsidR="009054A7" w:rsidRDefault="009054A7" w:rsidP="0069386C">
            <w:pPr>
              <w:jc w:val="center"/>
            </w:pPr>
            <w:r>
              <w:t>Y</w:t>
            </w:r>
          </w:p>
        </w:tc>
        <w:tc>
          <w:tcPr>
            <w:tcW w:w="417" w:type="dxa"/>
            <w:vAlign w:val="center"/>
          </w:tcPr>
          <w:p w14:paraId="7E36DCA3" w14:textId="77777777" w:rsidR="009054A7" w:rsidRDefault="009054A7" w:rsidP="0069386C">
            <w:pPr>
              <w:jc w:val="center"/>
            </w:pPr>
            <w:r>
              <w:t>Y</w:t>
            </w:r>
          </w:p>
        </w:tc>
        <w:tc>
          <w:tcPr>
            <w:tcW w:w="4753" w:type="dxa"/>
          </w:tcPr>
          <w:p w14:paraId="19BB4CC2" w14:textId="77777777" w:rsidR="009054A7" w:rsidRDefault="009054A7" w:rsidP="0069386C">
            <w:r>
              <w:t xml:space="preserve">Would require checking compliance with mandatory insurance. </w:t>
            </w:r>
          </w:p>
        </w:tc>
      </w:tr>
      <w:tr w:rsidR="009054A7" w14:paraId="3C54AE8C" w14:textId="77777777" w:rsidTr="00A27994">
        <w:tc>
          <w:tcPr>
            <w:tcW w:w="1393" w:type="dxa"/>
            <w:vMerge/>
          </w:tcPr>
          <w:p w14:paraId="5C50991A" w14:textId="77777777" w:rsidR="009054A7" w:rsidRDefault="009054A7" w:rsidP="0069386C"/>
        </w:tc>
        <w:tc>
          <w:tcPr>
            <w:tcW w:w="1653" w:type="dxa"/>
          </w:tcPr>
          <w:p w14:paraId="1B0E7435" w14:textId="77777777" w:rsidR="009054A7" w:rsidRDefault="009054A7" w:rsidP="008C4E9B">
            <w:pPr>
              <w:jc w:val="left"/>
            </w:pPr>
            <w:r>
              <w:t xml:space="preserve">Conflicting interests </w:t>
            </w:r>
          </w:p>
        </w:tc>
        <w:tc>
          <w:tcPr>
            <w:tcW w:w="445" w:type="dxa"/>
            <w:vAlign w:val="center"/>
          </w:tcPr>
          <w:p w14:paraId="148CCF1A" w14:textId="77777777" w:rsidR="009054A7" w:rsidRDefault="009054A7" w:rsidP="0069386C">
            <w:pPr>
              <w:jc w:val="center"/>
            </w:pPr>
            <w:r>
              <w:t>Y</w:t>
            </w:r>
          </w:p>
        </w:tc>
        <w:tc>
          <w:tcPr>
            <w:tcW w:w="406" w:type="dxa"/>
            <w:vAlign w:val="center"/>
          </w:tcPr>
          <w:p w14:paraId="78F1D49C" w14:textId="77777777" w:rsidR="009054A7" w:rsidRDefault="009054A7" w:rsidP="0069386C">
            <w:pPr>
              <w:jc w:val="center"/>
            </w:pPr>
            <w:r>
              <w:t>Y</w:t>
            </w:r>
          </w:p>
        </w:tc>
        <w:tc>
          <w:tcPr>
            <w:tcW w:w="417" w:type="dxa"/>
            <w:vAlign w:val="center"/>
          </w:tcPr>
          <w:p w14:paraId="70765F67" w14:textId="77777777" w:rsidR="009054A7" w:rsidRDefault="009054A7" w:rsidP="0069386C">
            <w:pPr>
              <w:jc w:val="center"/>
            </w:pPr>
            <w:r>
              <w:t>Y</w:t>
            </w:r>
          </w:p>
        </w:tc>
        <w:tc>
          <w:tcPr>
            <w:tcW w:w="4753" w:type="dxa"/>
          </w:tcPr>
          <w:p w14:paraId="0836E0A4" w14:textId="77777777" w:rsidR="009054A7" w:rsidRDefault="009054A7" w:rsidP="0069386C">
            <w:r>
              <w:t xml:space="preserve">All options would require considering the interest of each user group. </w:t>
            </w:r>
          </w:p>
        </w:tc>
      </w:tr>
    </w:tbl>
    <w:p w14:paraId="17B908D4" w14:textId="77777777" w:rsidR="009054A7" w:rsidRDefault="009054A7" w:rsidP="009054A7"/>
    <w:p w14:paraId="309469EF" w14:textId="7E585D5C" w:rsidR="009054A7" w:rsidRDefault="009054A7" w:rsidP="009054A7">
      <w:pPr>
        <w:jc w:val="left"/>
      </w:pPr>
      <w:r>
        <w:t xml:space="preserve">In general, the impacts are related to whether the liability limits change or not, and the difference in how a claim is lodged. Some impacts are therefore not relevant to </w:t>
      </w:r>
      <w:r w:rsidR="00CA6B38">
        <w:t>O</w:t>
      </w:r>
      <w:r>
        <w:t xml:space="preserve">ption 2 as the limits stay the same as the status quo and acceding to Athens only changes how a claim is lodged and mandates insurance cover.    </w:t>
      </w:r>
    </w:p>
    <w:p w14:paraId="48B0C326" w14:textId="1DA9E20F" w:rsidR="009054A7" w:rsidRDefault="009054A7" w:rsidP="009054A7">
      <w:pPr>
        <w:jc w:val="left"/>
      </w:pPr>
      <w:r>
        <w:t xml:space="preserve">Option 3 also has two variations, one where there is no maximum upper limit in the case that damages are extremely high. This would affect the scale of the impact, but not change the impacts which are relevant. Given that Australian Consumer Law is used to determine how much compensation is awarded, the limits are rarely reached. There is unlikely to be significant difference between the variations of </w:t>
      </w:r>
      <w:r w:rsidR="00CA6B38">
        <w:t>O</w:t>
      </w:r>
      <w:r>
        <w:t xml:space="preserve">ption 3. </w:t>
      </w:r>
    </w:p>
    <w:p w14:paraId="5E3F7BF7" w14:textId="70C5DA64" w:rsidR="00A72BB3" w:rsidRPr="00A72BB3" w:rsidRDefault="009054A7" w:rsidP="002F4FB7">
      <w:pPr>
        <w:jc w:val="left"/>
      </w:pPr>
      <w:r>
        <w:t xml:space="preserve">Option 4 considers extending the range of cover to also include voyages to nowhere, using either </w:t>
      </w:r>
      <w:r w:rsidR="00CA6B38">
        <w:t>O</w:t>
      </w:r>
      <w:r>
        <w:t xml:space="preserve">ption 2 or 3. As such, the impacts of this option depend on whether </w:t>
      </w:r>
      <w:r w:rsidR="00CA6B38">
        <w:t>O</w:t>
      </w:r>
      <w:r>
        <w:t xml:space="preserve">ption 2 or </w:t>
      </w:r>
      <w:r w:rsidR="00CA6B38">
        <w:t>O</w:t>
      </w:r>
      <w:r>
        <w:t xml:space="preserve">ption 3 is selected for implementation. The scale of impacts could be larger, given that more vessels would be impacted. However, stakeholder engagement suggests that most cruise companies operating voyages to nowhere also operate internationally. Therefore, the vessel would already be required to be covered under international protocols. </w:t>
      </w:r>
    </w:p>
    <w:p w14:paraId="3728E0DE" w14:textId="48F1C011" w:rsidR="002A2BC3" w:rsidRDefault="002A2BC3" w:rsidP="002A2BC3">
      <w:pPr>
        <w:pStyle w:val="Heading1"/>
      </w:pPr>
      <w:bookmarkStart w:id="148" w:name="_Toc44659945"/>
      <w:r>
        <w:t>Key findings</w:t>
      </w:r>
      <w:r w:rsidR="00956B1A">
        <w:t xml:space="preserve"> </w:t>
      </w:r>
      <w:r w:rsidR="009D14E5">
        <w:t>and recommendation</w:t>
      </w:r>
      <w:bookmarkEnd w:id="148"/>
      <w:r w:rsidR="009D14E5">
        <w:t xml:space="preserve"> </w:t>
      </w:r>
    </w:p>
    <w:p w14:paraId="60A7DDA9" w14:textId="77777777" w:rsidR="009A416F" w:rsidRDefault="009A416F" w:rsidP="009A416F">
      <w:pPr>
        <w:pStyle w:val="Heading2"/>
      </w:pPr>
      <w:bookmarkStart w:id="149" w:name="_Toc44659946"/>
      <w:r>
        <w:t>Key findings</w:t>
      </w:r>
      <w:bookmarkEnd w:id="149"/>
    </w:p>
    <w:p w14:paraId="50B761A1" w14:textId="77777777" w:rsidR="003E281D" w:rsidRDefault="003E281D" w:rsidP="008D00B0">
      <w:pPr>
        <w:pStyle w:val="Heading4"/>
      </w:pPr>
      <w:r>
        <w:t>Existing protection</w:t>
      </w:r>
    </w:p>
    <w:p w14:paraId="262930E3" w14:textId="77777777" w:rsidR="00B4658D" w:rsidRDefault="00B4658D" w:rsidP="0025435D">
      <w:pPr>
        <w:jc w:val="left"/>
      </w:pPr>
      <w:r>
        <w:t>Evidence suggests that there</w:t>
      </w:r>
      <w:r w:rsidRPr="00CA02B4">
        <w:t xml:space="preserve"> is extensive protection of consumer/passenger rights in Australia already. </w:t>
      </w:r>
      <w:r w:rsidRPr="00E85BEE">
        <w:t>Where the Australian Consumer Law (ACL) applies, carriers are bound by a statutory guarantee to exercise due care and skill in the carriage of their passengers. Under the same law, carriers are also obliged to ensure that services should be reasonably expected to achieve the result made known to the consumer, and the services must be reasonably fit for purpose.</w:t>
      </w:r>
    </w:p>
    <w:p w14:paraId="15452E50" w14:textId="115B85AA" w:rsidR="00B4658D" w:rsidRDefault="00B4658D" w:rsidP="0025435D">
      <w:pPr>
        <w:jc w:val="left"/>
      </w:pPr>
      <w:r>
        <w:t xml:space="preserve">Statistics relating to the number of consumer complaints received in NSW relating to cruise voyages demonstrate an overall steady decrease over the last five years and </w:t>
      </w:r>
      <w:r w:rsidR="00B75E54">
        <w:t xml:space="preserve">a </w:t>
      </w:r>
      <w:r>
        <w:t xml:space="preserve">high proportion of ‘hotel’ type claims as opposed to injury or </w:t>
      </w:r>
      <w:r w:rsidR="008B1384">
        <w:t xml:space="preserve">luggage </w:t>
      </w:r>
      <w:r w:rsidR="00EF753C">
        <w:t>claims</w:t>
      </w:r>
      <w:r>
        <w:t xml:space="preserve">. Whilst these statistics do not include claims resolved directly with the carrier, or those settled through litigation, they indicate the low frequency of unresolved injury claims over a five-year period. Engagement with the cruise industry further supported the adequacy of and compliance with the existing framework under the ACL and management of most claims through internal complaint management and resolution processes. </w:t>
      </w:r>
    </w:p>
    <w:p w14:paraId="36590B10" w14:textId="79B043EF" w:rsidR="00172F1C" w:rsidRDefault="00B4658D" w:rsidP="0025435D">
      <w:pPr>
        <w:jc w:val="left"/>
      </w:pPr>
      <w:r>
        <w:t>Whilst under the existing framework, there is no compulsory requirement for passenger and luggage liability insurance, all cruise industry stakeholders engaged held insurance and conveyed the unlikelihood that any commercial passenger carrying vessels operating in Australia were not insured due to the value of the as</w:t>
      </w:r>
      <w:r w:rsidR="00C356EB">
        <w:t xml:space="preserve">sets attached to the business. </w:t>
      </w:r>
    </w:p>
    <w:p w14:paraId="25A54DB4" w14:textId="428D65BF" w:rsidR="008D00B0" w:rsidRDefault="00826F39" w:rsidP="0025435D">
      <w:pPr>
        <w:pStyle w:val="Heading4"/>
        <w:jc w:val="left"/>
      </w:pPr>
      <w:r>
        <w:t>J</w:t>
      </w:r>
      <w:r w:rsidR="008D00B0">
        <w:t>urisdictional inconsistencies</w:t>
      </w:r>
    </w:p>
    <w:p w14:paraId="735330F6" w14:textId="42C424B1" w:rsidR="00534C24" w:rsidRDefault="00534C24" w:rsidP="0025435D">
      <w:pPr>
        <w:jc w:val="left"/>
      </w:pPr>
      <w:r>
        <w:t xml:space="preserve">There is </w:t>
      </w:r>
      <w:r w:rsidRPr="00CA02B4">
        <w:t xml:space="preserve">some inconsistency </w:t>
      </w:r>
      <w:r w:rsidR="00541468">
        <w:t>in</w:t>
      </w:r>
      <w:r w:rsidRPr="00CA02B4">
        <w:t xml:space="preserve"> recourse</w:t>
      </w:r>
      <w:r w:rsidR="00541468">
        <w:t>s available to passengers</w:t>
      </w:r>
      <w:r w:rsidRPr="00CA02B4">
        <w:t xml:space="preserve"> depending </w:t>
      </w:r>
      <w:r w:rsidR="00B85B03">
        <w:t xml:space="preserve">in </w:t>
      </w:r>
      <w:r>
        <w:t xml:space="preserve">what state </w:t>
      </w:r>
      <w:r w:rsidR="00F75DF9">
        <w:t xml:space="preserve">/ territory </w:t>
      </w:r>
      <w:r>
        <w:t xml:space="preserve">the consumer lives or where the claim must be brought (which may be stipulated in the contract of carriage). The </w:t>
      </w:r>
      <w:r w:rsidR="007A74E2">
        <w:t>different S</w:t>
      </w:r>
      <w:r>
        <w:t xml:space="preserve">tate </w:t>
      </w:r>
      <w:r w:rsidR="00F75DF9">
        <w:t>/</w:t>
      </w:r>
      <w:r w:rsidR="0099109C">
        <w:t xml:space="preserve"> </w:t>
      </w:r>
      <w:r w:rsidR="00F75DF9">
        <w:t xml:space="preserve">Territory </w:t>
      </w:r>
      <w:r>
        <w:t xml:space="preserve">Civil Liability Acts </w:t>
      </w:r>
      <w:r w:rsidRPr="00BE7CB7">
        <w:t xml:space="preserve">seek to minimise the quantum of claims awarded </w:t>
      </w:r>
      <w:r w:rsidR="00F9603B" w:rsidRPr="00BE7CB7">
        <w:t>if</w:t>
      </w:r>
      <w:r w:rsidRPr="00BE7CB7">
        <w:t xml:space="preserve"> a defendant is found liable. In most States, plaintiff’s damages are subject to a threshold and a cap for financial and non</w:t>
      </w:r>
      <w:r w:rsidR="00FF255E">
        <w:noBreakHyphen/>
      </w:r>
      <w:r w:rsidRPr="00BE7CB7">
        <w:t xml:space="preserve">financial losses.  </w:t>
      </w:r>
      <w:r>
        <w:t xml:space="preserve">There is significant variability between the states which can make it challenging for passengers to understand the likely success of a claim in even the most straight forward of passenger liability claims. This can often lead to ‘forum shopping’ (if a venue is not pre-determined in the contract) and added complexity for both the passenger and the Carrier. </w:t>
      </w:r>
    </w:p>
    <w:p w14:paraId="598A54B0" w14:textId="108AD447" w:rsidR="00534C24" w:rsidRDefault="00534C24" w:rsidP="0025435D">
      <w:pPr>
        <w:jc w:val="left"/>
      </w:pPr>
      <w:r>
        <w:t>Lack of clarity exists around the coverage of passengers when injured outside of Australian waters and whether the CLA limitations apply. Some CLAs are silent as to extraterritorial application, the intent to apply state CLA beyond the state and the interaction of ‘recreational activities’ under the ACL.</w:t>
      </w:r>
    </w:p>
    <w:p w14:paraId="2ADFBF94" w14:textId="01F26D36" w:rsidR="00534C24" w:rsidRDefault="00534C24" w:rsidP="0025435D">
      <w:pPr>
        <w:jc w:val="left"/>
      </w:pPr>
      <w:r>
        <w:t xml:space="preserve">The aim of the Athens Convention is to provide clarity and uniformity to </w:t>
      </w:r>
      <w:r w:rsidR="00074AAB">
        <w:t>the</w:t>
      </w:r>
      <w:r>
        <w:t xml:space="preserve"> claims process by allocating </w:t>
      </w:r>
      <w:r w:rsidR="00B75E54">
        <w:t xml:space="preserve">the </w:t>
      </w:r>
      <w:r>
        <w:t xml:space="preserve">burden of proof to the carrier, stipulating strict liability limits to ensure coverage and ensuring all passengers have access to the same avenues of recourse. However, to ensure complete uniformity is afforded to all passengers, legislation enacting the Athens Convention would need to be explicit as to how damages would be awarded under the regime (i.e. through one CLA, all CLAs, </w:t>
      </w:r>
      <w:r w:rsidR="00F85CAE">
        <w:t>A</w:t>
      </w:r>
      <w:r>
        <w:t xml:space="preserve">CCC). </w:t>
      </w:r>
    </w:p>
    <w:p w14:paraId="0B44EBBF" w14:textId="1E933886" w:rsidR="00DE4D6F" w:rsidRDefault="00DE4D6F" w:rsidP="00DE4D6F">
      <w:pPr>
        <w:pStyle w:val="CommentText"/>
      </w:pPr>
      <w:r>
        <w:t xml:space="preserve">Furthermore, Australia’s accession to the Athens Convention may </w:t>
      </w:r>
      <w:r w:rsidR="004F4749">
        <w:t xml:space="preserve">benefit </w:t>
      </w:r>
      <w:r>
        <w:t xml:space="preserve">Australian courts in applying </w:t>
      </w:r>
      <w:r w:rsidRPr="009769B6">
        <w:t xml:space="preserve">judgements due to their ability </w:t>
      </w:r>
      <w:r w:rsidR="004F4749" w:rsidRPr="009769B6">
        <w:t>to draw</w:t>
      </w:r>
      <w:r w:rsidRPr="009769B6">
        <w:t xml:space="preserve"> on the experiences and judgements of overseas jurisdictions that are</w:t>
      </w:r>
      <w:r>
        <w:t xml:space="preserve"> considered under the auspices of the Athens Convention.</w:t>
      </w:r>
    </w:p>
    <w:p w14:paraId="596C020A" w14:textId="77777777" w:rsidR="00455052" w:rsidRDefault="00455052" w:rsidP="0025435D">
      <w:pPr>
        <w:pStyle w:val="Heading4"/>
        <w:jc w:val="left"/>
      </w:pPr>
      <w:r>
        <w:t>Catastrophic event recourse</w:t>
      </w:r>
    </w:p>
    <w:p w14:paraId="54594CED" w14:textId="7E0679BA" w:rsidR="009A416F" w:rsidRPr="00F03F9D" w:rsidRDefault="00455052" w:rsidP="0025435D">
      <w:pPr>
        <w:jc w:val="left"/>
      </w:pPr>
      <w:r>
        <w:t xml:space="preserve">Under the existing </w:t>
      </w:r>
      <w:r w:rsidRPr="00F03F9D">
        <w:t xml:space="preserve">framework, there </w:t>
      </w:r>
      <w:r w:rsidR="003A1A79" w:rsidRPr="00F03F9D">
        <w:t>is</w:t>
      </w:r>
      <w:r w:rsidRPr="00F03F9D">
        <w:t xml:space="preserve"> some potential inconsistency in treatment of some Australian passengers in </w:t>
      </w:r>
      <w:r w:rsidRPr="00F03F9D">
        <w:rPr>
          <w:color w:val="auto"/>
        </w:rPr>
        <w:t xml:space="preserve">a narrow range of circumstances (particularly rare catastrophic events) compared to passengers </w:t>
      </w:r>
      <w:r w:rsidR="00E626E9" w:rsidRPr="00F03F9D">
        <w:rPr>
          <w:color w:val="auto"/>
        </w:rPr>
        <w:t xml:space="preserve">from </w:t>
      </w:r>
      <w:r w:rsidR="00E74EB0" w:rsidRPr="00F03F9D">
        <w:rPr>
          <w:color w:val="auto"/>
        </w:rPr>
        <w:t>nations which are Party to the Athens 2002 Protocol</w:t>
      </w:r>
      <w:r w:rsidRPr="00F03F9D">
        <w:rPr>
          <w:color w:val="auto"/>
        </w:rPr>
        <w:t>.  For example,</w:t>
      </w:r>
      <w:r w:rsidR="00452049" w:rsidRPr="00F03F9D">
        <w:rPr>
          <w:color w:val="auto"/>
        </w:rPr>
        <w:t xml:space="preserve"> </w:t>
      </w:r>
      <w:r w:rsidRPr="00F03F9D">
        <w:rPr>
          <w:color w:val="auto"/>
        </w:rPr>
        <w:t>an EU or UK resident</w:t>
      </w:r>
      <w:r w:rsidR="003D3D86" w:rsidRPr="00F03F9D">
        <w:rPr>
          <w:color w:val="auto"/>
        </w:rPr>
        <w:t xml:space="preserve"> who entered into a contract of carriage in their home State</w:t>
      </w:r>
      <w:r w:rsidR="00FD5AEA" w:rsidRPr="00F03F9D">
        <w:rPr>
          <w:color w:val="auto"/>
        </w:rPr>
        <w:t xml:space="preserve"> (and </w:t>
      </w:r>
      <w:r w:rsidR="007C3482" w:rsidRPr="00F03F9D">
        <w:rPr>
          <w:color w:val="auto"/>
        </w:rPr>
        <w:t>therefore protected by the Athens Convention under Article 2</w:t>
      </w:r>
      <w:r w:rsidR="006853AD" w:rsidRPr="00F03F9D">
        <w:rPr>
          <w:color w:val="auto"/>
        </w:rPr>
        <w:t>(</w:t>
      </w:r>
      <w:r w:rsidR="001C4EE4" w:rsidRPr="00F03F9D">
        <w:rPr>
          <w:color w:val="auto"/>
        </w:rPr>
        <w:t>1</w:t>
      </w:r>
      <w:r w:rsidR="006853AD" w:rsidRPr="00F03F9D">
        <w:rPr>
          <w:color w:val="auto"/>
        </w:rPr>
        <w:t>)(</w:t>
      </w:r>
      <w:r w:rsidR="007C3482" w:rsidRPr="00F03F9D">
        <w:rPr>
          <w:color w:val="auto"/>
        </w:rPr>
        <w:t>b))</w:t>
      </w:r>
      <w:r w:rsidR="003D3D86" w:rsidRPr="00F03F9D">
        <w:rPr>
          <w:color w:val="auto"/>
        </w:rPr>
        <w:t xml:space="preserve">, travelling </w:t>
      </w:r>
      <w:r w:rsidRPr="00F03F9D">
        <w:rPr>
          <w:color w:val="auto"/>
        </w:rPr>
        <w:t xml:space="preserve">on a cruise ship departing from an Australian port </w:t>
      </w:r>
      <w:r w:rsidR="00B55712">
        <w:rPr>
          <w:color w:val="auto"/>
        </w:rPr>
        <w:t>may be</w:t>
      </w:r>
      <w:r w:rsidR="00B55712" w:rsidRPr="00F03F9D">
        <w:rPr>
          <w:color w:val="auto"/>
        </w:rPr>
        <w:t xml:space="preserve"> </w:t>
      </w:r>
      <w:r w:rsidRPr="00F03F9D">
        <w:rPr>
          <w:color w:val="auto"/>
        </w:rPr>
        <w:t>afforded greater</w:t>
      </w:r>
      <w:r w:rsidR="00F46DD6" w:rsidRPr="00F03F9D">
        <w:rPr>
          <w:color w:val="auto"/>
        </w:rPr>
        <w:t xml:space="preserve"> protection </w:t>
      </w:r>
      <w:r w:rsidR="00F6494B" w:rsidRPr="00F03F9D">
        <w:rPr>
          <w:color w:val="auto"/>
        </w:rPr>
        <w:t xml:space="preserve">and potential </w:t>
      </w:r>
      <w:r w:rsidR="00310364" w:rsidRPr="00F03F9D">
        <w:rPr>
          <w:color w:val="auto"/>
        </w:rPr>
        <w:t>compensation</w:t>
      </w:r>
      <w:r w:rsidR="009769B6" w:rsidRPr="00F03F9D">
        <w:rPr>
          <w:color w:val="auto"/>
        </w:rPr>
        <w:t xml:space="preserve"> in the case </w:t>
      </w:r>
      <w:r w:rsidR="009769B6" w:rsidRPr="00F03F9D">
        <w:t xml:space="preserve">of loss, injury or death than an Australian resident in a neighbouring cabin on the same cruise. </w:t>
      </w:r>
      <w:r w:rsidRPr="00F03F9D">
        <w:t>Whilst this is important for fairness and equity, it is also of importance during catastrophic incidents</w:t>
      </w:r>
      <w:r w:rsidR="00597A0A" w:rsidRPr="00F03F9D">
        <w:t xml:space="preserve"> where a high number of passengers are affected</w:t>
      </w:r>
      <w:r w:rsidR="00873FDF" w:rsidRPr="00F03F9D">
        <w:t xml:space="preserve"> and liability limits may differ between passengers</w:t>
      </w:r>
      <w:r w:rsidR="00597A0A" w:rsidRPr="00F03F9D">
        <w:t xml:space="preserve">. </w:t>
      </w:r>
    </w:p>
    <w:p w14:paraId="4D53318E" w14:textId="77777777" w:rsidR="001C1293" w:rsidRPr="00F03F9D" w:rsidRDefault="001C1293" w:rsidP="001C1293">
      <w:pPr>
        <w:pStyle w:val="Heading4"/>
      </w:pPr>
      <w:r w:rsidRPr="00F03F9D">
        <w:t>Alignment with the aviation industry</w:t>
      </w:r>
    </w:p>
    <w:p w14:paraId="65932A7B" w14:textId="65A4AF5A" w:rsidR="00455052" w:rsidRPr="00F03F9D" w:rsidRDefault="001C1293" w:rsidP="0025435D">
      <w:pPr>
        <w:jc w:val="left"/>
      </w:pPr>
      <w:r w:rsidRPr="00F03F9D">
        <w:t>Under the existing framework, the rights of cruise passengers appear inconsistent with the rights of aviation passengers under the Montreal Convention (1999) for air carrier liability. Accession to</w:t>
      </w:r>
      <w:r w:rsidR="007F18E3" w:rsidRPr="00F03F9D">
        <w:t xml:space="preserve"> the</w:t>
      </w:r>
      <w:r w:rsidRPr="00F03F9D">
        <w:t xml:space="preserve"> Athens Convention 2002 could contribute to consistency of international agreements and promote international conformity, </w:t>
      </w:r>
      <w:r w:rsidR="00687114" w:rsidRPr="00F03F9D">
        <w:t>like</w:t>
      </w:r>
      <w:r w:rsidRPr="00F03F9D">
        <w:t xml:space="preserve"> the Montreal Convention. Simply put, an Australian traveling internationally by air or sea</w:t>
      </w:r>
      <w:r w:rsidR="00182346" w:rsidRPr="00F03F9D">
        <w:t>, where captured by the Athens Convention,</w:t>
      </w:r>
      <w:r w:rsidRPr="00F03F9D">
        <w:t xml:space="preserve"> could be assured </w:t>
      </w:r>
      <w:r w:rsidR="00C53DA1" w:rsidRPr="00F03F9D">
        <w:t xml:space="preserve">a uniform process and </w:t>
      </w:r>
      <w:r w:rsidRPr="00F03F9D">
        <w:t>coverage to a similar value for personal injury, regardless of the</w:t>
      </w:r>
      <w:r w:rsidR="003C7670" w:rsidRPr="00F03F9D">
        <w:t>ir</w:t>
      </w:r>
      <w:r w:rsidRPr="00F03F9D">
        <w:t xml:space="preserve"> mode of travel. </w:t>
      </w:r>
    </w:p>
    <w:p w14:paraId="3AF47239" w14:textId="77777777" w:rsidR="00172F1C" w:rsidRPr="00F03F9D" w:rsidRDefault="00172F1C" w:rsidP="0025435D">
      <w:pPr>
        <w:pStyle w:val="Heading4"/>
        <w:jc w:val="left"/>
      </w:pPr>
      <w:r w:rsidRPr="00F03F9D">
        <w:t>Overall impact assessment</w:t>
      </w:r>
    </w:p>
    <w:p w14:paraId="4E70BF1A" w14:textId="71EAC84A" w:rsidR="00C55584" w:rsidRPr="00F03F9D" w:rsidRDefault="00F931F7" w:rsidP="0025435D">
      <w:pPr>
        <w:jc w:val="left"/>
      </w:pPr>
      <w:r w:rsidRPr="00F03F9D">
        <w:t xml:space="preserve">The Impact Assessment indicates that overall, Australia’s accession to the Athens Convention (either option 2 or 3) presents moderate passenger benefits, a minor disadvantage to the cruise industry and a neutral impact to the insurance industry and Australian Government.  </w:t>
      </w:r>
    </w:p>
    <w:p w14:paraId="2629BB1F" w14:textId="4FFC9C73" w:rsidR="009A416F" w:rsidRPr="00F03F9D" w:rsidRDefault="009A416F" w:rsidP="0025435D">
      <w:pPr>
        <w:pStyle w:val="Heading2"/>
      </w:pPr>
      <w:bookmarkStart w:id="150" w:name="_Toc44659947"/>
      <w:r w:rsidRPr="00F03F9D">
        <w:t>Recommendation</w:t>
      </w:r>
      <w:bookmarkEnd w:id="150"/>
    </w:p>
    <w:p w14:paraId="5D312732" w14:textId="37936EBA" w:rsidR="00AE5084" w:rsidRPr="00F03F9D" w:rsidRDefault="00793E77" w:rsidP="0025435D">
      <w:pPr>
        <w:spacing w:after="0"/>
        <w:jc w:val="left"/>
        <w:rPr>
          <w:rFonts w:eastAsia="Times New Roman"/>
          <w:color w:val="auto"/>
          <w:szCs w:val="20"/>
        </w:rPr>
      </w:pPr>
      <w:r w:rsidRPr="00F03F9D">
        <w:rPr>
          <w:rFonts w:eastAsia="Times New Roman"/>
          <w:color w:val="auto"/>
          <w:szCs w:val="20"/>
        </w:rPr>
        <w:t>Whilst there a</w:t>
      </w:r>
      <w:r w:rsidR="009F79CA" w:rsidRPr="00F03F9D">
        <w:rPr>
          <w:rFonts w:eastAsia="Times New Roman"/>
          <w:color w:val="auto"/>
          <w:szCs w:val="20"/>
        </w:rPr>
        <w:t>re</w:t>
      </w:r>
      <w:r w:rsidRPr="00F03F9D">
        <w:rPr>
          <w:rFonts w:eastAsia="Times New Roman"/>
          <w:color w:val="auto"/>
          <w:szCs w:val="20"/>
        </w:rPr>
        <w:t xml:space="preserve"> </w:t>
      </w:r>
      <w:r w:rsidR="00445C83" w:rsidRPr="00F03F9D">
        <w:rPr>
          <w:rFonts w:eastAsia="Times New Roman"/>
          <w:color w:val="auto"/>
          <w:szCs w:val="20"/>
        </w:rPr>
        <w:t>benefits to passengers</w:t>
      </w:r>
      <w:r w:rsidR="009F79CA" w:rsidRPr="00F03F9D">
        <w:rPr>
          <w:rFonts w:eastAsia="Times New Roman"/>
          <w:color w:val="auto"/>
          <w:szCs w:val="20"/>
        </w:rPr>
        <w:t xml:space="preserve"> </w:t>
      </w:r>
      <w:r w:rsidR="005E30DB" w:rsidRPr="00F03F9D">
        <w:rPr>
          <w:rFonts w:eastAsia="Times New Roman"/>
          <w:color w:val="auto"/>
          <w:szCs w:val="20"/>
        </w:rPr>
        <w:t xml:space="preserve">if Australia were to accede to </w:t>
      </w:r>
      <w:r w:rsidR="007F18E3" w:rsidRPr="00F03F9D">
        <w:rPr>
          <w:rFonts w:eastAsia="Times New Roman"/>
          <w:color w:val="auto"/>
          <w:szCs w:val="20"/>
        </w:rPr>
        <w:t xml:space="preserve">the </w:t>
      </w:r>
      <w:r w:rsidR="005E30DB" w:rsidRPr="00F03F9D">
        <w:rPr>
          <w:rFonts w:eastAsia="Times New Roman"/>
          <w:color w:val="auto"/>
          <w:szCs w:val="20"/>
        </w:rPr>
        <w:t>Athens</w:t>
      </w:r>
      <w:r w:rsidR="007F18E3" w:rsidRPr="00F03F9D">
        <w:rPr>
          <w:rFonts w:eastAsia="Times New Roman"/>
          <w:color w:val="auto"/>
          <w:szCs w:val="20"/>
        </w:rPr>
        <w:t xml:space="preserve"> Convention 2002</w:t>
      </w:r>
      <w:r w:rsidR="005E30DB" w:rsidRPr="00F03F9D">
        <w:rPr>
          <w:rFonts w:eastAsia="Times New Roman"/>
          <w:color w:val="auto"/>
          <w:szCs w:val="20"/>
        </w:rPr>
        <w:t xml:space="preserve">, </w:t>
      </w:r>
      <w:r w:rsidR="00DA6521" w:rsidRPr="00F03F9D">
        <w:rPr>
          <w:rFonts w:eastAsia="Times New Roman"/>
          <w:color w:val="auto"/>
          <w:szCs w:val="20"/>
        </w:rPr>
        <w:t>there is no strong or urgent case for government action.</w:t>
      </w:r>
      <w:r w:rsidRPr="00F03F9D">
        <w:rPr>
          <w:rFonts w:eastAsia="Times New Roman"/>
          <w:color w:val="auto"/>
          <w:szCs w:val="20"/>
        </w:rPr>
        <w:t xml:space="preserve"> </w:t>
      </w:r>
      <w:r w:rsidR="00801A79" w:rsidRPr="00F03F9D">
        <w:rPr>
          <w:rFonts w:eastAsia="Times New Roman"/>
          <w:color w:val="auto"/>
          <w:szCs w:val="20"/>
        </w:rPr>
        <w:t xml:space="preserve">The moderate benefits </w:t>
      </w:r>
      <w:r w:rsidR="00F8316E" w:rsidRPr="00F03F9D">
        <w:rPr>
          <w:rFonts w:eastAsia="Times New Roman"/>
          <w:color w:val="auto"/>
          <w:szCs w:val="20"/>
        </w:rPr>
        <w:t xml:space="preserve">likely to passengers could be outweighed by the regulatory burden imposed on the cruise industry </w:t>
      </w:r>
      <w:r w:rsidR="005D6E13" w:rsidRPr="00F03F9D">
        <w:rPr>
          <w:rFonts w:eastAsia="Times New Roman"/>
          <w:color w:val="auto"/>
          <w:szCs w:val="20"/>
        </w:rPr>
        <w:t>in addition to the</w:t>
      </w:r>
      <w:r w:rsidR="00C11567" w:rsidRPr="00F03F9D">
        <w:rPr>
          <w:rFonts w:eastAsia="Times New Roman"/>
          <w:color w:val="auto"/>
          <w:szCs w:val="20"/>
        </w:rPr>
        <w:t xml:space="preserve"> requirement to review the application of the ACL and S</w:t>
      </w:r>
      <w:r w:rsidR="00471466" w:rsidRPr="00F03F9D">
        <w:rPr>
          <w:rFonts w:eastAsia="Times New Roman"/>
          <w:color w:val="auto"/>
          <w:szCs w:val="20"/>
        </w:rPr>
        <w:t>T</w:t>
      </w:r>
      <w:r w:rsidR="00C11567" w:rsidRPr="00F03F9D">
        <w:rPr>
          <w:rFonts w:eastAsia="Times New Roman"/>
          <w:color w:val="auto"/>
          <w:szCs w:val="20"/>
        </w:rPr>
        <w:t xml:space="preserve">CLAs </w:t>
      </w:r>
      <w:r w:rsidR="00E96512" w:rsidRPr="00F03F9D">
        <w:rPr>
          <w:rFonts w:eastAsia="Times New Roman"/>
          <w:color w:val="auto"/>
          <w:szCs w:val="20"/>
        </w:rPr>
        <w:t xml:space="preserve">when drafting </w:t>
      </w:r>
      <w:r w:rsidR="004F1B61" w:rsidRPr="00F03F9D">
        <w:rPr>
          <w:rFonts w:eastAsia="Times New Roman"/>
          <w:color w:val="auto"/>
          <w:szCs w:val="20"/>
        </w:rPr>
        <w:t xml:space="preserve">enacting legislation to ensure uniformity is achieved. </w:t>
      </w:r>
    </w:p>
    <w:p w14:paraId="4765668A" w14:textId="77777777" w:rsidR="006E21FD" w:rsidRPr="00F03F9D" w:rsidRDefault="006E21FD" w:rsidP="0025435D">
      <w:pPr>
        <w:spacing w:after="0"/>
        <w:jc w:val="left"/>
        <w:rPr>
          <w:rFonts w:eastAsia="Times New Roman"/>
          <w:color w:val="auto"/>
          <w:szCs w:val="20"/>
        </w:rPr>
      </w:pPr>
    </w:p>
    <w:p w14:paraId="4A9D9569" w14:textId="76D03FB8" w:rsidR="00A8784F" w:rsidRPr="00F03F9D" w:rsidRDefault="006D01C1" w:rsidP="00A8784F">
      <w:pPr>
        <w:spacing w:after="0"/>
        <w:jc w:val="left"/>
      </w:pPr>
      <w:r w:rsidRPr="00F03F9D">
        <w:rPr>
          <w:rFonts w:eastAsia="Times New Roman"/>
          <w:color w:val="auto"/>
          <w:szCs w:val="20"/>
        </w:rPr>
        <w:t xml:space="preserve">These conclusions </w:t>
      </w:r>
      <w:r w:rsidR="00AE5084" w:rsidRPr="00F03F9D">
        <w:rPr>
          <w:rFonts w:eastAsia="Times New Roman"/>
          <w:color w:val="auto"/>
          <w:szCs w:val="20"/>
        </w:rPr>
        <w:t xml:space="preserve">were reached based on analysis of data and stakeholder consultations undertaken up to February 2020, before the impacts of the COVID-19 pandemic were felt. </w:t>
      </w:r>
      <w:r w:rsidR="00AE5084" w:rsidRPr="00F03F9D">
        <w:t>I</w:t>
      </w:r>
      <w:r w:rsidR="007501B1" w:rsidRPr="00F03F9D">
        <w:t xml:space="preserve">t is clear that cruise </w:t>
      </w:r>
      <w:r w:rsidR="003B2868" w:rsidRPr="00F03F9D">
        <w:t>companies, and the cruise industry itself,</w:t>
      </w:r>
      <w:r w:rsidR="007501B1" w:rsidRPr="00F03F9D">
        <w:t xml:space="preserve"> </w:t>
      </w:r>
      <w:r w:rsidR="004F1B61" w:rsidRPr="00F03F9D">
        <w:t xml:space="preserve">will </w:t>
      </w:r>
      <w:r w:rsidR="007501B1" w:rsidRPr="00F03F9D">
        <w:t>be significantly affected by the COVID</w:t>
      </w:r>
      <w:r w:rsidR="0099109C" w:rsidRPr="00F03F9D">
        <w:noBreakHyphen/>
      </w:r>
      <w:r w:rsidR="007501B1" w:rsidRPr="00F03F9D">
        <w:t>19 crisis</w:t>
      </w:r>
      <w:r w:rsidR="00574331" w:rsidRPr="00F03F9D">
        <w:t>. The</w:t>
      </w:r>
      <w:r w:rsidR="007501B1" w:rsidRPr="00F03F9D">
        <w:t xml:space="preserve"> implications for financial security, safety compliance, insurance and passenger willingness to travel are still to become clear</w:t>
      </w:r>
      <w:r w:rsidR="00D82A14" w:rsidRPr="00F03F9D">
        <w:t>, and the effects of any additional regulation may be felt more heavily by the industry.</w:t>
      </w:r>
    </w:p>
    <w:p w14:paraId="4A6C9D12" w14:textId="77777777" w:rsidR="00A05077" w:rsidRPr="00F03F9D" w:rsidRDefault="00A05077" w:rsidP="00A8784F">
      <w:pPr>
        <w:spacing w:after="0"/>
        <w:jc w:val="left"/>
        <w:rPr>
          <w:rFonts w:eastAsia="Times New Roman"/>
          <w:color w:val="auto"/>
          <w:szCs w:val="20"/>
        </w:rPr>
      </w:pPr>
    </w:p>
    <w:p w14:paraId="4C1FBFB1" w14:textId="79434F8C" w:rsidR="00A8784F" w:rsidRPr="00F03F9D" w:rsidRDefault="00A8784F" w:rsidP="00A8784F">
      <w:pPr>
        <w:jc w:val="left"/>
        <w:rPr>
          <w:szCs w:val="20"/>
        </w:rPr>
      </w:pPr>
      <w:r w:rsidRPr="00F03F9D">
        <w:rPr>
          <w:szCs w:val="20"/>
        </w:rPr>
        <w:t xml:space="preserve">During the finalisation of this RIS, it is clear that there is some significant legal action underway regarding the liability of cruise ships. Three cases have the potential to shed light on the ease by which a complainant can take a case against a cruise ship company, and the results of these complaints. The first is a case considered by the High Court of Australia regarding compensation for disappointment in a cruise. The second is a class action being prepared against Royal Caribbean regarding the multiple fatalities during an excursion on White Island. The third is a class action being prepared against Carnival Australia regarding the operation of the Ruby Princess and its relationship to COVID-19 infections. </w:t>
      </w:r>
    </w:p>
    <w:p w14:paraId="3537F59F" w14:textId="263AD6F4" w:rsidR="00434844" w:rsidRPr="00434844" w:rsidRDefault="00A8784F" w:rsidP="006E21FD">
      <w:pPr>
        <w:jc w:val="left"/>
        <w:rPr>
          <w:rFonts w:eastAsia="Times New Roman"/>
          <w:color w:val="auto"/>
          <w:szCs w:val="20"/>
        </w:rPr>
      </w:pPr>
      <w:r w:rsidRPr="00F03F9D">
        <w:rPr>
          <w:szCs w:val="20"/>
        </w:rPr>
        <w:t xml:space="preserve">Given the changing circumstances, the current legal action, and the lack of an urgent case for </w:t>
      </w:r>
      <w:r w:rsidR="007F7B50" w:rsidRPr="00F03F9D">
        <w:rPr>
          <w:szCs w:val="20"/>
        </w:rPr>
        <w:t>action, it is recommended that the government consider deferring action until the implications are clearer.</w:t>
      </w:r>
      <w:r w:rsidR="007F7B50">
        <w:rPr>
          <w:szCs w:val="20"/>
        </w:rPr>
        <w:t xml:space="preserve"> </w:t>
      </w:r>
    </w:p>
    <w:p w14:paraId="6DFD8515" w14:textId="77777777" w:rsidR="00063446" w:rsidRDefault="00063446" w:rsidP="00063446">
      <w:r>
        <w:t>The recommendation is therefore Option 1, to remain with the status quo.</w:t>
      </w:r>
    </w:p>
    <w:p w14:paraId="587AD038" w14:textId="31E76766" w:rsidR="00434844" w:rsidRPr="00DA6521" w:rsidRDefault="00063446" w:rsidP="00063446">
      <w:r>
        <w:t>For any future reconsideration of acceding to the Athens Convention, the preferred options would be ranked Option 3b, Option 3a and Option 2. In addition, the application of Option 4, to include ‘voyages to nowhere’ and smaller domestic operators should be seriously considered as part of all the ranked options. This ranking reflects the potential benefits and coverage for claimants whilst remaining acceptable to industry. It would be advisable that the costings undertaken for this statement be reassessed as part of any future reconsideration.</w:t>
      </w:r>
    </w:p>
    <w:p w14:paraId="64893407" w14:textId="6793D55C" w:rsidR="00B86EC4" w:rsidRDefault="00D60D6F" w:rsidP="00B86EC4">
      <w:pPr>
        <w:pStyle w:val="Heading1"/>
      </w:pPr>
      <w:bookmarkStart w:id="151" w:name="_Toc44659948"/>
      <w:r>
        <w:t xml:space="preserve">Implementation </w:t>
      </w:r>
      <w:r w:rsidR="00972B45">
        <w:t xml:space="preserve">and Evaluation </w:t>
      </w:r>
      <w:r>
        <w:t>Considerations</w:t>
      </w:r>
      <w:bookmarkEnd w:id="151"/>
    </w:p>
    <w:p w14:paraId="185E7AC6" w14:textId="77777777" w:rsidR="00C744BE" w:rsidRDefault="00C744BE" w:rsidP="00C744BE">
      <w:pPr>
        <w:pStyle w:val="Heading2"/>
        <w:jc w:val="both"/>
      </w:pPr>
      <w:bookmarkStart w:id="152" w:name="_Toc34657092"/>
      <w:bookmarkStart w:id="153" w:name="_Toc44659949"/>
      <w:r>
        <w:t>Australian Law (ACL/CLA interactions)</w:t>
      </w:r>
      <w:bookmarkEnd w:id="152"/>
      <w:bookmarkEnd w:id="153"/>
    </w:p>
    <w:p w14:paraId="7B98B96B" w14:textId="5AA9CF7C" w:rsidR="00C744BE" w:rsidRDefault="00C744BE" w:rsidP="00C744BE">
      <w:pPr>
        <w:spacing w:after="160" w:line="259" w:lineRule="auto"/>
        <w:jc w:val="left"/>
      </w:pPr>
      <w:r>
        <w:t>In the context of any potential implementation of the Athens Convention by Australia, the interaction with both the ACL and the CLAs must be carefully thought through so as not to add an extra layer of complexity to such claims. The aim should be to substitute clarity and uniformity for the layers of complexity and uncertainty that are hallmarks of the current position. Legal academics have suggested that Australia would be best served by one uniform system of jurisdiction, liability and quantum for passenger personal injuries and death claims</w:t>
      </w:r>
      <w:r>
        <w:rPr>
          <w:rStyle w:val="FootnoteReference"/>
        </w:rPr>
        <w:footnoteReference w:id="34"/>
      </w:r>
      <w:r>
        <w:t>, and that there should be no more than one limitation regime operational at any one time. The Athens Convention would provide that regime; however</w:t>
      </w:r>
      <w:r w:rsidR="002F4FB7">
        <w:t>,</w:t>
      </w:r>
      <w:r>
        <w:t xml:space="preserve"> it leaves the assessment of damages to the court in a particular jurisdiction to determine. </w:t>
      </w:r>
      <w:r w:rsidR="00604CF3">
        <w:t>The</w:t>
      </w:r>
      <w:r>
        <w:t xml:space="preserve"> legal sector </w:t>
      </w:r>
      <w:r w:rsidR="000B06F9">
        <w:t>has</w:t>
      </w:r>
      <w:r w:rsidR="00604CF3">
        <w:t xml:space="preserve"> </w:t>
      </w:r>
      <w:r>
        <w:t>argue</w:t>
      </w:r>
      <w:r w:rsidR="00604CF3">
        <w:t>d</w:t>
      </w:r>
      <w:r>
        <w:t xml:space="preserve"> that any enacting legislation would need to be explicit about whether personal injury damages awarded under any Athens regime will be assessed at common law; or according to CLA, or according to the CCA. </w:t>
      </w:r>
    </w:p>
    <w:p w14:paraId="2D0E469E" w14:textId="1AA38197" w:rsidR="00C744BE" w:rsidRDefault="00C744BE" w:rsidP="00C744BE">
      <w:pPr>
        <w:spacing w:after="160" w:line="259" w:lineRule="auto"/>
        <w:jc w:val="left"/>
      </w:pPr>
      <w:r>
        <w:t xml:space="preserve">Further, it is important to note that if Australia were to accede to </w:t>
      </w:r>
      <w:r w:rsidR="007F18E3">
        <w:t xml:space="preserve">the </w:t>
      </w:r>
      <w:r>
        <w:t>Athens</w:t>
      </w:r>
      <w:r w:rsidR="007F18E3">
        <w:t xml:space="preserve"> Convention 2002</w:t>
      </w:r>
      <w:r>
        <w:t xml:space="preserve"> and capped damages under the Athens regime itself, other quantum limits should not be applied i.e. to prevent claims being subject to various caps under different legislative instruments such as the LLMC 1989 (the carriers general right to limitation). </w:t>
      </w:r>
    </w:p>
    <w:p w14:paraId="17B7E1E9" w14:textId="77777777" w:rsidR="00C744BE" w:rsidRPr="00EE49DC" w:rsidRDefault="00C744BE" w:rsidP="00C744BE">
      <w:pPr>
        <w:pStyle w:val="Heading2"/>
        <w:jc w:val="both"/>
      </w:pPr>
      <w:bookmarkStart w:id="154" w:name="_Toc34657093"/>
      <w:bookmarkStart w:id="155" w:name="_Toc44659950"/>
      <w:r w:rsidRPr="00EE49DC">
        <w:t>International Convention</w:t>
      </w:r>
      <w:r>
        <w:t>s</w:t>
      </w:r>
      <w:bookmarkEnd w:id="154"/>
      <w:bookmarkEnd w:id="155"/>
      <w:r w:rsidRPr="00EE49DC">
        <w:t xml:space="preserve">  </w:t>
      </w:r>
    </w:p>
    <w:p w14:paraId="04625834" w14:textId="5D9CF9BE" w:rsidR="00C744BE" w:rsidRPr="00F03F9D" w:rsidRDefault="00C744BE" w:rsidP="00C744BE">
      <w:pPr>
        <w:spacing w:after="160" w:line="259" w:lineRule="auto"/>
        <w:jc w:val="left"/>
      </w:pPr>
      <w:r>
        <w:t xml:space="preserve">The external affairs power in the Australian Constitution allows the Commonwealth Government to make laws which implement a treaty or international instrument. For example, the </w:t>
      </w:r>
      <w:r w:rsidRPr="001F143A">
        <w:rPr>
          <w:i/>
          <w:iCs/>
        </w:rPr>
        <w:t>Racial Discrimination Act</w:t>
      </w:r>
      <w:r>
        <w:t xml:space="preserve"> 1975 implements in Australia </w:t>
      </w:r>
      <w:r w:rsidRPr="00F03F9D">
        <w:t xml:space="preserve">the United Nations Convention on the Elimination </w:t>
      </w:r>
      <w:r w:rsidR="00CB1B9D" w:rsidRPr="00F03F9D">
        <w:t xml:space="preserve">of </w:t>
      </w:r>
      <w:r w:rsidRPr="00F03F9D">
        <w:t xml:space="preserve">all forms of Racial Discrimination, and applies these laws uniformly across Australia, overriding state and territory legislation to the extent of any inconsistency. </w:t>
      </w:r>
    </w:p>
    <w:p w14:paraId="4BDE6AFA" w14:textId="4AB322A0" w:rsidR="00C744BE" w:rsidRPr="00F03F9D" w:rsidRDefault="00C744BE" w:rsidP="0083307A">
      <w:pPr>
        <w:jc w:val="left"/>
      </w:pPr>
      <w:r w:rsidRPr="00F03F9D">
        <w:t xml:space="preserve">Accession </w:t>
      </w:r>
      <w:r w:rsidR="000544A0" w:rsidRPr="00F03F9D">
        <w:t xml:space="preserve">to </w:t>
      </w:r>
      <w:r w:rsidRPr="00F03F9D">
        <w:t xml:space="preserve">the Athens Convention would </w:t>
      </w:r>
      <w:r w:rsidR="00871A7D">
        <w:t>likely</w:t>
      </w:r>
      <w:r w:rsidR="003D0931">
        <w:t xml:space="preserve"> </w:t>
      </w:r>
      <w:r w:rsidR="000A7A94" w:rsidRPr="00F03F9D">
        <w:t>require</w:t>
      </w:r>
      <w:r w:rsidRPr="00F03F9D">
        <w:t xml:space="preserve"> the </w:t>
      </w:r>
      <w:r w:rsidR="004456D6">
        <w:t>Australian</w:t>
      </w:r>
      <w:r w:rsidR="004456D6" w:rsidRPr="00F03F9D">
        <w:t xml:space="preserve"> </w:t>
      </w:r>
      <w:r w:rsidRPr="00F03F9D">
        <w:t xml:space="preserve">Government to </w:t>
      </w:r>
      <w:r w:rsidR="004456D6">
        <w:t>implement</w:t>
      </w:r>
      <w:r w:rsidR="00871A7D">
        <w:t xml:space="preserve"> new </w:t>
      </w:r>
      <w:r w:rsidR="002704CD" w:rsidRPr="00F03F9D">
        <w:t xml:space="preserve">domestic </w:t>
      </w:r>
      <w:r w:rsidRPr="00F03F9D">
        <w:t xml:space="preserve">laws to </w:t>
      </w:r>
      <w:r w:rsidR="00FC509D">
        <w:t>meet</w:t>
      </w:r>
      <w:r w:rsidRPr="00F03F9D">
        <w:t xml:space="preserve"> Australia’s obligations</w:t>
      </w:r>
      <w:r w:rsidR="00FC509D">
        <w:t xml:space="preserve">. </w:t>
      </w:r>
      <w:r w:rsidR="008A0790">
        <w:t>The intention is to provide</w:t>
      </w:r>
      <w:r w:rsidR="008D58FB">
        <w:t xml:space="preserve"> </w:t>
      </w:r>
      <w:r w:rsidRPr="00F03F9D">
        <w:t xml:space="preserve">consistency in the </w:t>
      </w:r>
      <w:r w:rsidR="0080615B">
        <w:t>c</w:t>
      </w:r>
      <w:r w:rsidRPr="00F03F9D">
        <w:t xml:space="preserve">ivil </w:t>
      </w:r>
      <w:r w:rsidR="0080615B">
        <w:t>l</w:t>
      </w:r>
      <w:r w:rsidRPr="00F03F9D">
        <w:t>iability regimes, at least as they apply to shipping incidents covered by the Athens Convention. However</w:t>
      </w:r>
      <w:r w:rsidR="002F4FB7" w:rsidRPr="00F03F9D">
        <w:t>,</w:t>
      </w:r>
      <w:r w:rsidRPr="00F03F9D">
        <w:t xml:space="preserve"> it is doubtful that accession to the </w:t>
      </w:r>
      <w:r w:rsidR="005614A8" w:rsidRPr="00F03F9D">
        <w:t xml:space="preserve">Convention </w:t>
      </w:r>
      <w:r w:rsidRPr="00F03F9D">
        <w:t xml:space="preserve">would provide additional power to the Commonwealth beyond its constitutional power to regulate commerce, which is already the basis of the Australian </w:t>
      </w:r>
      <w:r w:rsidR="005850ED" w:rsidRPr="00F03F9D">
        <w:t>C</w:t>
      </w:r>
      <w:r w:rsidRPr="00F03F9D">
        <w:t xml:space="preserve">onsumer </w:t>
      </w:r>
      <w:r w:rsidR="005850ED" w:rsidRPr="00F03F9D">
        <w:t>L</w:t>
      </w:r>
      <w:r w:rsidRPr="00F03F9D">
        <w:t xml:space="preserve">aw. The differing state and territory Civil Liability Acts continue despite </w:t>
      </w:r>
      <w:r w:rsidR="00993827" w:rsidRPr="00F03F9D">
        <w:t>there</w:t>
      </w:r>
      <w:r w:rsidRPr="00F03F9D">
        <w:t xml:space="preserve"> arguably being power to bring them into conformity if desired.</w:t>
      </w:r>
    </w:p>
    <w:p w14:paraId="2D9DC36A" w14:textId="4FAB89F8" w:rsidR="00C744BE" w:rsidRPr="00F03F9D" w:rsidRDefault="00972B45" w:rsidP="00972B45">
      <w:pPr>
        <w:pStyle w:val="Heading2"/>
      </w:pPr>
      <w:bookmarkStart w:id="156" w:name="_Toc44659951"/>
      <w:r w:rsidRPr="00F03F9D">
        <w:t>Evaluation</w:t>
      </w:r>
      <w:bookmarkEnd w:id="156"/>
    </w:p>
    <w:p w14:paraId="7DC6BBD5" w14:textId="660DA264" w:rsidR="005634BF" w:rsidRDefault="00DB2424" w:rsidP="005634BF">
      <w:r>
        <w:t xml:space="preserve">Having identified that neither the benefits nor disbenefits of accession to the treaty are significant, it is difficult to provide clear KPIs for easy evaluation of government action. The circumstances where benefits to passengers are clearest are in the event of a catastrophe with major loss of life, which thankfully is a very rare occurrence. Normal KPIs of </w:t>
      </w:r>
      <w:r w:rsidR="000B5B12" w:rsidRPr="000B5B12">
        <w:t>cruise industry</w:t>
      </w:r>
      <w:r w:rsidR="000B5B12">
        <w:t xml:space="preserve"> financial status, </w:t>
      </w:r>
      <w:r w:rsidR="00BC1626">
        <w:t xml:space="preserve">such as </w:t>
      </w:r>
      <w:r w:rsidR="000B5B12">
        <w:t xml:space="preserve">change in prices </w:t>
      </w:r>
      <w:r w:rsidR="00BC1626">
        <w:t xml:space="preserve">and the </w:t>
      </w:r>
      <w:r w:rsidR="000B5B12" w:rsidRPr="000B5B12">
        <w:t>number of claims</w:t>
      </w:r>
      <w:r w:rsidR="000B5B12">
        <w:t xml:space="preserve"> are all affected by more factors than accession to this </w:t>
      </w:r>
      <w:r w:rsidR="005614A8">
        <w:t>Convention</w:t>
      </w:r>
      <w:r w:rsidR="000B5B12">
        <w:t xml:space="preserve">. </w:t>
      </w:r>
    </w:p>
    <w:p w14:paraId="47EA6C9B" w14:textId="73E6F59E" w:rsidR="002D56A2" w:rsidRDefault="000B5B12" w:rsidP="002A2BC3">
      <w:r>
        <w:t xml:space="preserve">As with the post-impact evaluation review conducted by the United Kingdom, a qualitative survey of cruise companies and passenger representatives several years after any accession may be the best </w:t>
      </w:r>
      <w:r w:rsidR="00365E28">
        <w:t xml:space="preserve">evaluation approach. </w:t>
      </w:r>
      <w:r w:rsidR="008331A5">
        <w:t xml:space="preserve">In the event of non-accession, it may be that the case for accession might be reviewed in several </w:t>
      </w:r>
      <w:r w:rsidR="00BB675F">
        <w:t>years’ time, to look at changed industry circumstances</w:t>
      </w:r>
      <w:r w:rsidR="00BC1626">
        <w:t xml:space="preserve"> and perspectives</w:t>
      </w:r>
      <w:r w:rsidR="00BB675F">
        <w:t>.</w:t>
      </w:r>
    </w:p>
    <w:p w14:paraId="6C55B17A" w14:textId="153C4525" w:rsidR="002D56A2" w:rsidRDefault="002D56A2" w:rsidP="002D56A2">
      <w:pPr>
        <w:pStyle w:val="Heading1"/>
      </w:pPr>
      <w:bookmarkStart w:id="157" w:name="_Toc44659952"/>
      <w:r>
        <w:t xml:space="preserve">Appendix </w:t>
      </w:r>
      <w:r w:rsidR="00883B7F">
        <w:t>A</w:t>
      </w:r>
      <w:r>
        <w:t>: List of Stakeholders contacted</w:t>
      </w:r>
      <w:bookmarkEnd w:id="157"/>
    </w:p>
    <w:p w14:paraId="62B54537" w14:textId="77777777" w:rsidR="00C6470A" w:rsidRDefault="00C6470A" w:rsidP="002D56A2">
      <w:pPr>
        <w:rPr>
          <w:b/>
          <w:bCs/>
        </w:rPr>
        <w:sectPr w:rsidR="00C6470A" w:rsidSect="0031125A">
          <w:headerReference w:type="default" r:id="rId39"/>
          <w:footerReference w:type="default" r:id="rId40"/>
          <w:pgSz w:w="11906" w:h="16838"/>
          <w:pgMar w:top="1440" w:right="1440" w:bottom="1276" w:left="1440" w:header="709" w:footer="709" w:gutter="0"/>
          <w:cols w:space="708"/>
          <w:docGrid w:linePitch="360"/>
        </w:sectPr>
      </w:pPr>
    </w:p>
    <w:p w14:paraId="62886043" w14:textId="7F07A0EB" w:rsidR="002D56A2" w:rsidRPr="00C6470A" w:rsidRDefault="002D56A2" w:rsidP="00D869E2">
      <w:pPr>
        <w:spacing w:line="192" w:lineRule="auto"/>
        <w:rPr>
          <w:b/>
          <w:bCs/>
          <w:u w:val="single"/>
        </w:rPr>
      </w:pPr>
      <w:r w:rsidRPr="00C6470A">
        <w:rPr>
          <w:b/>
          <w:bCs/>
          <w:u w:val="single"/>
        </w:rPr>
        <w:t>Government</w:t>
      </w:r>
    </w:p>
    <w:p w14:paraId="2D9C930E" w14:textId="77777777" w:rsidR="00132440" w:rsidRDefault="00132440" w:rsidP="00D869E2">
      <w:pPr>
        <w:spacing w:line="192" w:lineRule="auto"/>
      </w:pPr>
      <w:r>
        <w:t>Australian Maritime Safety Authority</w:t>
      </w:r>
    </w:p>
    <w:p w14:paraId="6AC23CDA" w14:textId="77777777" w:rsidR="00132440" w:rsidRDefault="00132440" w:rsidP="00D869E2">
      <w:pPr>
        <w:spacing w:line="192" w:lineRule="auto"/>
      </w:pPr>
      <w:r>
        <w:t>Australian Competition and Consumer Commission</w:t>
      </w:r>
    </w:p>
    <w:p w14:paraId="38A55CF3" w14:textId="77777777" w:rsidR="00132440" w:rsidRDefault="00132440" w:rsidP="00D869E2">
      <w:pPr>
        <w:spacing w:line="192" w:lineRule="auto"/>
      </w:pPr>
      <w:r>
        <w:t>Department of the Treasury</w:t>
      </w:r>
    </w:p>
    <w:p w14:paraId="3AEBA361" w14:textId="77777777" w:rsidR="00132440" w:rsidRDefault="00132440" w:rsidP="00D869E2">
      <w:pPr>
        <w:spacing w:line="192" w:lineRule="auto"/>
      </w:pPr>
      <w:r>
        <w:t>Department of Home Affairs</w:t>
      </w:r>
    </w:p>
    <w:p w14:paraId="7CE7968D" w14:textId="77777777" w:rsidR="00132440" w:rsidRDefault="00132440" w:rsidP="00D869E2">
      <w:pPr>
        <w:spacing w:line="192" w:lineRule="auto"/>
      </w:pPr>
      <w:r>
        <w:t>Department of Health</w:t>
      </w:r>
    </w:p>
    <w:p w14:paraId="5B87A904" w14:textId="77777777" w:rsidR="00132440" w:rsidRDefault="00132440" w:rsidP="00D869E2">
      <w:pPr>
        <w:spacing w:line="192" w:lineRule="auto"/>
      </w:pPr>
      <w:r>
        <w:t>NSW Fair Trading</w:t>
      </w:r>
    </w:p>
    <w:p w14:paraId="7677B759" w14:textId="0A8F0456" w:rsidR="00FE1BC6" w:rsidRDefault="00132440" w:rsidP="00D869E2">
      <w:pPr>
        <w:spacing w:line="192" w:lineRule="auto"/>
      </w:pPr>
      <w:r>
        <w:t>Destination NSW</w:t>
      </w:r>
    </w:p>
    <w:p w14:paraId="2BA604BA" w14:textId="5EAABF8F" w:rsidR="00132440" w:rsidRDefault="00132440" w:rsidP="00D869E2">
      <w:pPr>
        <w:spacing w:line="192" w:lineRule="auto"/>
      </w:pPr>
      <w:r>
        <w:t>Ports Australia</w:t>
      </w:r>
    </w:p>
    <w:p w14:paraId="4198A4C4" w14:textId="77777777" w:rsidR="002D6BD9" w:rsidRDefault="002D6BD9" w:rsidP="000E039F">
      <w:pPr>
        <w:spacing w:line="192" w:lineRule="auto"/>
        <w:jc w:val="left"/>
      </w:pPr>
      <w:r>
        <w:t>Queensland Department of Innovation, Tourism Industry Development and the Commonwealth Games</w:t>
      </w:r>
    </w:p>
    <w:p w14:paraId="17F5D43D" w14:textId="77777777" w:rsidR="002D6BD9" w:rsidRDefault="002D6BD9" w:rsidP="00D869E2">
      <w:pPr>
        <w:spacing w:line="192" w:lineRule="auto"/>
      </w:pPr>
      <w:r>
        <w:t>Queensland Tourism Industry Council</w:t>
      </w:r>
    </w:p>
    <w:p w14:paraId="5783C786" w14:textId="4C92B8C4" w:rsidR="00132440" w:rsidRDefault="002D6BD9" w:rsidP="00D869E2">
      <w:pPr>
        <w:spacing w:line="192" w:lineRule="auto"/>
      </w:pPr>
      <w:r>
        <w:t>South Australian Tourism Commission</w:t>
      </w:r>
    </w:p>
    <w:p w14:paraId="33C72353" w14:textId="7308CCB6" w:rsidR="00AA38B2" w:rsidRDefault="00AA38B2" w:rsidP="00D869E2">
      <w:pPr>
        <w:spacing w:line="192" w:lineRule="auto"/>
      </w:pPr>
      <w:r w:rsidRPr="00AA38B2">
        <w:t>Australian Chamber of Commerce and Industry</w:t>
      </w:r>
    </w:p>
    <w:p w14:paraId="2DF7A37D" w14:textId="4BBE6850" w:rsidR="004B36CD" w:rsidRDefault="004B36CD" w:rsidP="00D869E2">
      <w:pPr>
        <w:spacing w:line="192" w:lineRule="auto"/>
      </w:pPr>
      <w:r>
        <w:t>Department of Prime Minister and Cabinet</w:t>
      </w:r>
    </w:p>
    <w:p w14:paraId="54DFDCDA" w14:textId="56E62292" w:rsidR="004B36CD" w:rsidRDefault="004B36CD" w:rsidP="00D869E2">
      <w:pPr>
        <w:spacing w:line="192" w:lineRule="auto"/>
      </w:pPr>
      <w:r>
        <w:t>The Office of Best Practice Regulation</w:t>
      </w:r>
    </w:p>
    <w:p w14:paraId="33A269BD" w14:textId="09773C2A" w:rsidR="004B36CD" w:rsidRDefault="004B36CD" w:rsidP="00D869E2">
      <w:pPr>
        <w:spacing w:line="192" w:lineRule="auto"/>
      </w:pPr>
      <w:r w:rsidRPr="004B36CD">
        <w:t>Department of Foreign Affairs and Trade</w:t>
      </w:r>
    </w:p>
    <w:p w14:paraId="3E4BD586" w14:textId="339F9226" w:rsidR="004B36CD" w:rsidRDefault="004B36CD" w:rsidP="00D869E2">
      <w:pPr>
        <w:spacing w:line="192" w:lineRule="auto"/>
      </w:pPr>
      <w:r>
        <w:t>Attorney</w:t>
      </w:r>
      <w:r>
        <w:noBreakHyphen/>
        <w:t>General’s Department</w:t>
      </w:r>
    </w:p>
    <w:p w14:paraId="7C8F0F08" w14:textId="17CC3686" w:rsidR="008125DC" w:rsidRDefault="008125DC" w:rsidP="00D869E2">
      <w:pPr>
        <w:spacing w:line="192" w:lineRule="auto"/>
      </w:pPr>
    </w:p>
    <w:p w14:paraId="105467BB" w14:textId="7609FC06" w:rsidR="002D6BD9" w:rsidRPr="00C6470A" w:rsidRDefault="0059363C" w:rsidP="00D869E2">
      <w:pPr>
        <w:spacing w:line="192" w:lineRule="auto"/>
        <w:rPr>
          <w:b/>
          <w:bCs/>
          <w:u w:val="single"/>
        </w:rPr>
      </w:pPr>
      <w:r>
        <w:rPr>
          <w:b/>
          <w:bCs/>
          <w:u w:val="single"/>
        </w:rPr>
        <w:t>C</w:t>
      </w:r>
      <w:r w:rsidR="009E62D4" w:rsidRPr="00C6470A">
        <w:rPr>
          <w:b/>
          <w:bCs/>
          <w:u w:val="single"/>
        </w:rPr>
        <w:t>onsumer groups</w:t>
      </w:r>
    </w:p>
    <w:p w14:paraId="10799A78" w14:textId="77777777" w:rsidR="004027BE" w:rsidRDefault="004027BE" w:rsidP="00D869E2">
      <w:pPr>
        <w:spacing w:line="192" w:lineRule="auto"/>
      </w:pPr>
      <w:r>
        <w:t>Advance Cairns</w:t>
      </w:r>
    </w:p>
    <w:p w14:paraId="2427B71A" w14:textId="77777777" w:rsidR="004027BE" w:rsidRDefault="004027BE" w:rsidP="00D869E2">
      <w:pPr>
        <w:spacing w:line="192" w:lineRule="auto"/>
      </w:pPr>
      <w:r>
        <w:t xml:space="preserve">Australia Pacific Touring (APT) </w:t>
      </w:r>
    </w:p>
    <w:p w14:paraId="22A81B31" w14:textId="77777777" w:rsidR="004027BE" w:rsidRDefault="004027BE" w:rsidP="00D869E2">
      <w:pPr>
        <w:spacing w:line="192" w:lineRule="auto"/>
      </w:pPr>
      <w:r>
        <w:t xml:space="preserve">Tourism Northern Territory </w:t>
      </w:r>
    </w:p>
    <w:p w14:paraId="2627E9DD" w14:textId="77777777" w:rsidR="004027BE" w:rsidRDefault="004027BE" w:rsidP="00D869E2">
      <w:pPr>
        <w:spacing w:line="192" w:lineRule="auto"/>
      </w:pPr>
      <w:r>
        <w:t xml:space="preserve">Tourism Tasmania </w:t>
      </w:r>
    </w:p>
    <w:p w14:paraId="64438C90" w14:textId="77777777" w:rsidR="004027BE" w:rsidRDefault="004027BE" w:rsidP="00D869E2">
      <w:pPr>
        <w:spacing w:line="192" w:lineRule="auto"/>
      </w:pPr>
      <w:r>
        <w:t>Tourism Top End</w:t>
      </w:r>
    </w:p>
    <w:p w14:paraId="0E7462E2" w14:textId="77777777" w:rsidR="004027BE" w:rsidRDefault="004027BE" w:rsidP="00D869E2">
      <w:pPr>
        <w:spacing w:line="192" w:lineRule="auto"/>
      </w:pPr>
      <w:r>
        <w:t>Tourism Western Australia</w:t>
      </w:r>
    </w:p>
    <w:p w14:paraId="2202212A" w14:textId="77777777" w:rsidR="004027BE" w:rsidRDefault="004027BE" w:rsidP="00D869E2">
      <w:pPr>
        <w:spacing w:line="192" w:lineRule="auto"/>
      </w:pPr>
      <w:r>
        <w:t xml:space="preserve">Visit Victoria </w:t>
      </w:r>
    </w:p>
    <w:p w14:paraId="46BF106A" w14:textId="77777777" w:rsidR="004027BE" w:rsidRDefault="004027BE" w:rsidP="00D869E2">
      <w:pPr>
        <w:spacing w:line="192" w:lineRule="auto"/>
      </w:pPr>
      <w:r>
        <w:t>Destination NSW</w:t>
      </w:r>
    </w:p>
    <w:p w14:paraId="44D095F6" w14:textId="25B9E5DF" w:rsidR="002D6BD9" w:rsidRDefault="004027BE" w:rsidP="00D869E2">
      <w:pPr>
        <w:spacing w:line="192" w:lineRule="auto"/>
      </w:pPr>
      <w:r>
        <w:t>Choice</w:t>
      </w:r>
    </w:p>
    <w:p w14:paraId="67B45C39" w14:textId="77777777" w:rsidR="009F44DA" w:rsidRDefault="009F44DA" w:rsidP="00D869E2">
      <w:pPr>
        <w:spacing w:line="192" w:lineRule="auto"/>
      </w:pPr>
      <w:r w:rsidRPr="009F44DA">
        <w:t>Tourism &amp; Transport Forum</w:t>
      </w:r>
    </w:p>
    <w:p w14:paraId="46CD7E3C" w14:textId="6E7A3F1D" w:rsidR="004027BE" w:rsidRDefault="004027BE" w:rsidP="00D869E2">
      <w:pPr>
        <w:spacing w:line="192" w:lineRule="auto"/>
      </w:pPr>
    </w:p>
    <w:p w14:paraId="4E300B64" w14:textId="0BC3056D" w:rsidR="00D869E2" w:rsidRDefault="00D869E2" w:rsidP="00D869E2">
      <w:pPr>
        <w:spacing w:line="192" w:lineRule="auto"/>
        <w:rPr>
          <w:b/>
          <w:bCs/>
          <w:u w:val="single"/>
        </w:rPr>
      </w:pPr>
    </w:p>
    <w:p w14:paraId="53B3E2B0" w14:textId="77777777" w:rsidR="000E039F" w:rsidRDefault="000E039F" w:rsidP="00D869E2">
      <w:pPr>
        <w:spacing w:line="192" w:lineRule="auto"/>
        <w:rPr>
          <w:b/>
          <w:bCs/>
          <w:u w:val="single"/>
        </w:rPr>
      </w:pPr>
    </w:p>
    <w:p w14:paraId="24CEDB30" w14:textId="77777777" w:rsidR="00D869E2" w:rsidRDefault="00D869E2" w:rsidP="00D869E2">
      <w:pPr>
        <w:spacing w:line="192" w:lineRule="auto"/>
        <w:rPr>
          <w:b/>
          <w:bCs/>
          <w:u w:val="single"/>
        </w:rPr>
      </w:pPr>
    </w:p>
    <w:p w14:paraId="685D898C" w14:textId="77777777" w:rsidR="00D869E2" w:rsidRDefault="00D869E2" w:rsidP="00D869E2">
      <w:pPr>
        <w:spacing w:line="192" w:lineRule="auto"/>
        <w:rPr>
          <w:b/>
          <w:bCs/>
          <w:u w:val="single"/>
        </w:rPr>
      </w:pPr>
    </w:p>
    <w:p w14:paraId="4685CF7C" w14:textId="2EBB73FD" w:rsidR="001C2C2C" w:rsidRPr="001C2C2C" w:rsidRDefault="001C2C2C" w:rsidP="00D869E2">
      <w:pPr>
        <w:spacing w:line="192" w:lineRule="auto"/>
        <w:rPr>
          <w:b/>
          <w:bCs/>
          <w:u w:val="single"/>
        </w:rPr>
      </w:pPr>
      <w:r w:rsidRPr="001C2C2C">
        <w:rPr>
          <w:b/>
          <w:bCs/>
          <w:u w:val="single"/>
        </w:rPr>
        <w:t>Insurance Industry</w:t>
      </w:r>
    </w:p>
    <w:p w14:paraId="1675AC61" w14:textId="77777777" w:rsidR="001C2C2C" w:rsidRDefault="001C2C2C" w:rsidP="00D869E2">
      <w:pPr>
        <w:spacing w:line="192" w:lineRule="auto"/>
      </w:pPr>
      <w:r>
        <w:t>Steadfast Pty Ltd.</w:t>
      </w:r>
    </w:p>
    <w:p w14:paraId="3B62C108" w14:textId="77777777" w:rsidR="001C2C2C" w:rsidRDefault="001C2C2C" w:rsidP="00D869E2">
      <w:pPr>
        <w:spacing w:line="192" w:lineRule="auto"/>
      </w:pPr>
      <w:r>
        <w:t>International Group of P&amp;I Clubs</w:t>
      </w:r>
    </w:p>
    <w:p w14:paraId="569427CC" w14:textId="6772BB7D" w:rsidR="001C2C2C" w:rsidRDefault="001C2C2C" w:rsidP="00D869E2">
      <w:pPr>
        <w:spacing w:line="192" w:lineRule="auto"/>
      </w:pPr>
      <w:r>
        <w:t>Navigators</w:t>
      </w:r>
    </w:p>
    <w:p w14:paraId="378F9F60" w14:textId="77777777" w:rsidR="00D869E2" w:rsidRDefault="00D869E2" w:rsidP="00D869E2">
      <w:pPr>
        <w:spacing w:line="192" w:lineRule="auto"/>
      </w:pPr>
    </w:p>
    <w:p w14:paraId="4E6C9256" w14:textId="3CF554B3" w:rsidR="004027BE" w:rsidRPr="00C6470A" w:rsidRDefault="004027BE" w:rsidP="00D869E2">
      <w:pPr>
        <w:spacing w:line="192" w:lineRule="auto"/>
        <w:rPr>
          <w:b/>
          <w:bCs/>
          <w:u w:val="single"/>
        </w:rPr>
      </w:pPr>
      <w:r w:rsidRPr="00C6470A">
        <w:rPr>
          <w:b/>
          <w:bCs/>
          <w:u w:val="single"/>
        </w:rPr>
        <w:t>Cruising</w:t>
      </w:r>
      <w:r w:rsidR="005F3ED5">
        <w:rPr>
          <w:b/>
          <w:bCs/>
          <w:u w:val="single"/>
        </w:rPr>
        <w:t xml:space="preserve"> and maritime</w:t>
      </w:r>
      <w:r w:rsidRPr="00C6470A">
        <w:rPr>
          <w:b/>
          <w:bCs/>
          <w:u w:val="single"/>
        </w:rPr>
        <w:t xml:space="preserve"> Industry</w:t>
      </w:r>
    </w:p>
    <w:p w14:paraId="6BB24007" w14:textId="77777777" w:rsidR="000F63B5" w:rsidRDefault="000F63B5" w:rsidP="00D869E2">
      <w:pPr>
        <w:spacing w:line="192" w:lineRule="auto"/>
      </w:pPr>
      <w:r>
        <w:t>Australian Cruise Association</w:t>
      </w:r>
    </w:p>
    <w:p w14:paraId="304F4E3F" w14:textId="77777777" w:rsidR="000F63B5" w:rsidRDefault="000F63B5" w:rsidP="00D869E2">
      <w:pPr>
        <w:spacing w:line="192" w:lineRule="auto"/>
      </w:pPr>
      <w:r>
        <w:t xml:space="preserve">Carnival Australia </w:t>
      </w:r>
    </w:p>
    <w:p w14:paraId="6D798A8B" w14:textId="77777777" w:rsidR="000F63B5" w:rsidRDefault="000F63B5" w:rsidP="00D869E2">
      <w:pPr>
        <w:spacing w:line="192" w:lineRule="auto"/>
      </w:pPr>
      <w:r>
        <w:t>Cruise Lines International Association Australasia</w:t>
      </w:r>
    </w:p>
    <w:p w14:paraId="6AC4F785" w14:textId="77777777" w:rsidR="000F63B5" w:rsidRDefault="000F63B5" w:rsidP="00D869E2">
      <w:pPr>
        <w:spacing w:line="192" w:lineRule="auto"/>
      </w:pPr>
      <w:r>
        <w:t xml:space="preserve">Crystal Cruises </w:t>
      </w:r>
    </w:p>
    <w:p w14:paraId="2158A16E" w14:textId="77777777" w:rsidR="000F63B5" w:rsidRDefault="000F63B5" w:rsidP="00D869E2">
      <w:pPr>
        <w:spacing w:line="192" w:lineRule="auto"/>
      </w:pPr>
      <w:r>
        <w:t>Norwegian Cruise Line</w:t>
      </w:r>
    </w:p>
    <w:p w14:paraId="6035B307" w14:textId="77777777" w:rsidR="000F63B5" w:rsidRDefault="000F63B5" w:rsidP="00D869E2">
      <w:pPr>
        <w:spacing w:line="192" w:lineRule="auto"/>
      </w:pPr>
      <w:r>
        <w:t>Ponant Yacht Cruises and Expeditions</w:t>
      </w:r>
    </w:p>
    <w:p w14:paraId="07220AFC" w14:textId="77777777" w:rsidR="000F63B5" w:rsidRDefault="000F63B5" w:rsidP="00D869E2">
      <w:pPr>
        <w:spacing w:line="192" w:lineRule="auto"/>
      </w:pPr>
      <w:r>
        <w:t>Royal Caribbean Cruise Lines</w:t>
      </w:r>
    </w:p>
    <w:p w14:paraId="400C0731" w14:textId="77777777" w:rsidR="000F63B5" w:rsidRDefault="000F63B5" w:rsidP="00D869E2">
      <w:pPr>
        <w:spacing w:line="192" w:lineRule="auto"/>
      </w:pPr>
      <w:r>
        <w:t>Seabourn Cruises</w:t>
      </w:r>
    </w:p>
    <w:p w14:paraId="287CABA2" w14:textId="77777777" w:rsidR="000F63B5" w:rsidRDefault="000F63B5" w:rsidP="00D869E2">
      <w:pPr>
        <w:spacing w:line="192" w:lineRule="auto"/>
      </w:pPr>
      <w:r>
        <w:t>Silversea Cruises</w:t>
      </w:r>
    </w:p>
    <w:p w14:paraId="51D12E9B" w14:textId="77777777" w:rsidR="000F63B5" w:rsidRDefault="000F63B5" w:rsidP="00D869E2">
      <w:pPr>
        <w:spacing w:line="192" w:lineRule="auto"/>
      </w:pPr>
      <w:r>
        <w:t>Viking Cruises</w:t>
      </w:r>
    </w:p>
    <w:p w14:paraId="60F5D875" w14:textId="77777777" w:rsidR="000F63B5" w:rsidRDefault="000F63B5" w:rsidP="00D869E2">
      <w:pPr>
        <w:spacing w:line="192" w:lineRule="auto"/>
      </w:pPr>
      <w:r>
        <w:t xml:space="preserve">Coral Expeditions </w:t>
      </w:r>
    </w:p>
    <w:p w14:paraId="527DECC6" w14:textId="77777777" w:rsidR="000F63B5" w:rsidRDefault="000F63B5" w:rsidP="00D869E2">
      <w:pPr>
        <w:spacing w:line="192" w:lineRule="auto"/>
      </w:pPr>
      <w:r>
        <w:t>Kimberly Expeditions</w:t>
      </w:r>
    </w:p>
    <w:p w14:paraId="43F153D4" w14:textId="77777777" w:rsidR="000F63B5" w:rsidRDefault="000F63B5" w:rsidP="00D869E2">
      <w:pPr>
        <w:spacing w:line="192" w:lineRule="auto"/>
      </w:pPr>
      <w:r>
        <w:t>Kimberly Quest</w:t>
      </w:r>
    </w:p>
    <w:p w14:paraId="16B3E681" w14:textId="1C29B513" w:rsidR="004027BE" w:rsidRDefault="000F63B5" w:rsidP="00D869E2">
      <w:pPr>
        <w:spacing w:line="192" w:lineRule="auto"/>
      </w:pPr>
      <w:r>
        <w:t>North Star Cruises Australia</w:t>
      </w:r>
    </w:p>
    <w:p w14:paraId="077B7E8F" w14:textId="77777777" w:rsidR="005F3ED5" w:rsidRDefault="005F3ED5" w:rsidP="00D869E2">
      <w:pPr>
        <w:spacing w:line="192" w:lineRule="auto"/>
      </w:pPr>
      <w:r>
        <w:t>Australian Peak Shippers Association</w:t>
      </w:r>
    </w:p>
    <w:p w14:paraId="27B2E721" w14:textId="77777777" w:rsidR="005F3ED5" w:rsidRDefault="005F3ED5" w:rsidP="00D869E2">
      <w:pPr>
        <w:spacing w:line="192" w:lineRule="auto"/>
      </w:pPr>
      <w:r>
        <w:t>Maritime Industry Australia Ltd</w:t>
      </w:r>
    </w:p>
    <w:p w14:paraId="2A96E256" w14:textId="77777777" w:rsidR="005F3ED5" w:rsidRDefault="005F3ED5" w:rsidP="00D869E2">
      <w:pPr>
        <w:spacing w:line="192" w:lineRule="auto"/>
      </w:pPr>
      <w:r>
        <w:t>Shipping Australia</w:t>
      </w:r>
    </w:p>
    <w:p w14:paraId="7975BD74" w14:textId="77777777" w:rsidR="005F3ED5" w:rsidRDefault="005F3ED5" w:rsidP="00D869E2">
      <w:pPr>
        <w:spacing w:line="192" w:lineRule="auto"/>
      </w:pPr>
      <w:r>
        <w:t>Superyacht Australia</w:t>
      </w:r>
    </w:p>
    <w:p w14:paraId="2650F093" w14:textId="0A29F167" w:rsidR="008125DC" w:rsidRDefault="008125DC" w:rsidP="00D869E2">
      <w:pPr>
        <w:spacing w:line="192" w:lineRule="auto"/>
      </w:pPr>
    </w:p>
    <w:p w14:paraId="061EA02A" w14:textId="30A49E61" w:rsidR="008125DC" w:rsidRPr="00C6470A" w:rsidRDefault="000F63B5" w:rsidP="00D869E2">
      <w:pPr>
        <w:spacing w:line="192" w:lineRule="auto"/>
        <w:rPr>
          <w:b/>
          <w:bCs/>
          <w:u w:val="single"/>
        </w:rPr>
      </w:pPr>
      <w:r w:rsidRPr="00C6470A">
        <w:rPr>
          <w:b/>
          <w:bCs/>
          <w:u w:val="single"/>
        </w:rPr>
        <w:t>Legal sector</w:t>
      </w:r>
    </w:p>
    <w:p w14:paraId="670B4A50" w14:textId="5D7FBB9D" w:rsidR="00A774F3" w:rsidRDefault="00A774F3" w:rsidP="00D869E2">
      <w:pPr>
        <w:spacing w:line="192" w:lineRule="auto"/>
      </w:pPr>
      <w:r>
        <w:t xml:space="preserve">Australian Maritime and Transport </w:t>
      </w:r>
      <w:r w:rsidR="00C6470A">
        <w:t>Arbitration</w:t>
      </w:r>
      <w:r>
        <w:t xml:space="preserve"> Commission</w:t>
      </w:r>
    </w:p>
    <w:p w14:paraId="372EDCB8" w14:textId="77777777" w:rsidR="00A774F3" w:rsidRDefault="00A774F3" w:rsidP="00D869E2">
      <w:pPr>
        <w:spacing w:line="192" w:lineRule="auto"/>
      </w:pPr>
      <w:r>
        <w:t>Somerville legal</w:t>
      </w:r>
    </w:p>
    <w:p w14:paraId="1BD649C6" w14:textId="77777777" w:rsidR="00A774F3" w:rsidRDefault="00A774F3" w:rsidP="00D869E2">
      <w:pPr>
        <w:spacing w:line="192" w:lineRule="auto"/>
      </w:pPr>
      <w:r>
        <w:t>Stacks Goud Kamp</w:t>
      </w:r>
    </w:p>
    <w:p w14:paraId="06D8FCFC" w14:textId="77777777" w:rsidR="00A774F3" w:rsidRDefault="00A774F3" w:rsidP="00D869E2">
      <w:pPr>
        <w:spacing w:line="192" w:lineRule="auto"/>
      </w:pPr>
      <w:r>
        <w:t xml:space="preserve">Murdoch University </w:t>
      </w:r>
    </w:p>
    <w:p w14:paraId="4D6E1109" w14:textId="77777777" w:rsidR="00A774F3" w:rsidRDefault="00A774F3" w:rsidP="00D869E2">
      <w:pPr>
        <w:spacing w:line="192" w:lineRule="auto"/>
      </w:pPr>
      <w:r>
        <w:t>The Maritime Law Association of Australia and New Zealand</w:t>
      </w:r>
    </w:p>
    <w:p w14:paraId="365CC269" w14:textId="3CAAD0F5" w:rsidR="000F63B5" w:rsidRDefault="00A774F3" w:rsidP="00D869E2">
      <w:pPr>
        <w:spacing w:line="192" w:lineRule="auto"/>
      </w:pPr>
      <w:r>
        <w:t>The University of Queensland</w:t>
      </w:r>
    </w:p>
    <w:p w14:paraId="001F0B91" w14:textId="2C9FBEEC" w:rsidR="006C7A61" w:rsidRDefault="006C7A61" w:rsidP="00D869E2">
      <w:pPr>
        <w:spacing w:line="192" w:lineRule="auto"/>
      </w:pPr>
      <w:r w:rsidRPr="006C7A61">
        <w:t>Australian Lawyers Association</w:t>
      </w:r>
    </w:p>
    <w:p w14:paraId="076C3DA7" w14:textId="7C614462" w:rsidR="006C7A61" w:rsidRPr="00CD4475" w:rsidRDefault="006C7A61" w:rsidP="00A774F3">
      <w:pPr>
        <w:rPr>
          <w:b/>
          <w:bCs/>
        </w:rPr>
      </w:pPr>
    </w:p>
    <w:p w14:paraId="642D3ED2" w14:textId="77777777" w:rsidR="00C6470A" w:rsidRDefault="00C6470A" w:rsidP="002A2BC3">
      <w:pPr>
        <w:sectPr w:rsidR="00C6470A" w:rsidSect="00C6470A">
          <w:type w:val="continuous"/>
          <w:pgSz w:w="11906" w:h="16838"/>
          <w:pgMar w:top="1440" w:right="1440" w:bottom="1276" w:left="1440" w:header="709" w:footer="709" w:gutter="0"/>
          <w:cols w:num="2" w:space="708"/>
          <w:docGrid w:linePitch="360"/>
        </w:sectPr>
      </w:pPr>
    </w:p>
    <w:p w14:paraId="0AE0DBA4" w14:textId="5F2D33E8" w:rsidR="008125DC" w:rsidRDefault="008125DC" w:rsidP="002A2BC3"/>
    <w:p w14:paraId="7AEF741E" w14:textId="77777777" w:rsidR="00883B7F" w:rsidRDefault="00883B7F" w:rsidP="00883B7F">
      <w:pPr>
        <w:pStyle w:val="Heading1"/>
      </w:pPr>
      <w:bookmarkStart w:id="158" w:name="_Toc44659953"/>
      <w:r>
        <w:t>Appendix B: Stakeholder representatives engaged</w:t>
      </w:r>
      <w:bookmarkEnd w:id="158"/>
    </w:p>
    <w:p w14:paraId="4F46A9EB" w14:textId="77777777" w:rsidR="00883B7F" w:rsidRPr="000E039F" w:rsidRDefault="00883B7F" w:rsidP="00883B7F">
      <w:pPr>
        <w:rPr>
          <w:b/>
          <w:bCs/>
          <w:u w:val="single"/>
        </w:rPr>
      </w:pPr>
      <w:r w:rsidRPr="000E039F">
        <w:rPr>
          <w:b/>
          <w:bCs/>
          <w:u w:val="single"/>
        </w:rPr>
        <w:t>Government</w:t>
      </w:r>
    </w:p>
    <w:p w14:paraId="64F1827F" w14:textId="77777777" w:rsidR="00883B7F" w:rsidRDefault="00883B7F" w:rsidP="00883B7F">
      <w:r>
        <w:t>The Department of Prime Minister and Cabinet</w:t>
      </w:r>
    </w:p>
    <w:p w14:paraId="20283215" w14:textId="77777777" w:rsidR="00883B7F" w:rsidRDefault="00883B7F" w:rsidP="00883B7F">
      <w:r>
        <w:t>The Office of Best Practice Regulation</w:t>
      </w:r>
    </w:p>
    <w:p w14:paraId="41161157" w14:textId="77777777" w:rsidR="00883B7F" w:rsidRDefault="00883B7F" w:rsidP="00883B7F">
      <w:r>
        <w:t>The Attorney</w:t>
      </w:r>
      <w:r>
        <w:noBreakHyphen/>
        <w:t>General’s Department</w:t>
      </w:r>
    </w:p>
    <w:p w14:paraId="06A41BEA" w14:textId="77777777" w:rsidR="00883B7F" w:rsidRDefault="00883B7F" w:rsidP="00883B7F">
      <w:r>
        <w:t>Department of Foreign Affairs and Trade</w:t>
      </w:r>
    </w:p>
    <w:p w14:paraId="60CF834C" w14:textId="77777777" w:rsidR="00883B7F" w:rsidRDefault="00883B7F" w:rsidP="00883B7F">
      <w:r>
        <w:t>Department of the Treasury</w:t>
      </w:r>
    </w:p>
    <w:p w14:paraId="13ECE9A8" w14:textId="77777777" w:rsidR="00883B7F" w:rsidRDefault="00883B7F" w:rsidP="00883B7F">
      <w:r>
        <w:t>Department of Home Affairs</w:t>
      </w:r>
    </w:p>
    <w:p w14:paraId="02CC8CDB" w14:textId="77777777" w:rsidR="00883B7F" w:rsidRDefault="00883B7F" w:rsidP="00883B7F">
      <w:r>
        <w:t>Department of Health</w:t>
      </w:r>
    </w:p>
    <w:p w14:paraId="7C445139" w14:textId="77777777" w:rsidR="00883B7F" w:rsidRDefault="00883B7F" w:rsidP="00883B7F">
      <w:r>
        <w:t>Australian Maritime Safety Authority</w:t>
      </w:r>
    </w:p>
    <w:p w14:paraId="63ECE33B" w14:textId="77777777" w:rsidR="00883B7F" w:rsidRDefault="00883B7F" w:rsidP="00883B7F">
      <w:r>
        <w:t>Australian Competition and Consumer Commission</w:t>
      </w:r>
    </w:p>
    <w:p w14:paraId="11D63204" w14:textId="77777777" w:rsidR="00883B7F" w:rsidRDefault="00883B7F" w:rsidP="00883B7F">
      <w:r>
        <w:t>NSW Fair Trading</w:t>
      </w:r>
    </w:p>
    <w:p w14:paraId="6149864A" w14:textId="77777777" w:rsidR="00883B7F" w:rsidRDefault="00883B7F" w:rsidP="00883B7F"/>
    <w:p w14:paraId="5CB19F9F" w14:textId="77777777" w:rsidR="00883B7F" w:rsidRPr="000E039F" w:rsidRDefault="00883B7F" w:rsidP="00883B7F">
      <w:pPr>
        <w:rPr>
          <w:b/>
          <w:bCs/>
          <w:u w:val="single"/>
        </w:rPr>
      </w:pPr>
      <w:r w:rsidRPr="000E039F">
        <w:rPr>
          <w:b/>
          <w:bCs/>
          <w:u w:val="single"/>
        </w:rPr>
        <w:t>Cruise and Maritime Industry</w:t>
      </w:r>
    </w:p>
    <w:p w14:paraId="25456F54" w14:textId="77777777" w:rsidR="00883B7F" w:rsidRDefault="00883B7F" w:rsidP="00883B7F">
      <w:r>
        <w:t xml:space="preserve">Marine Industry Australia (MIAL) </w:t>
      </w:r>
    </w:p>
    <w:p w14:paraId="73CCB7D0" w14:textId="77777777" w:rsidR="00883B7F" w:rsidRDefault="00883B7F" w:rsidP="00883B7F">
      <w:r>
        <w:t>Carnival Cruise Line</w:t>
      </w:r>
    </w:p>
    <w:p w14:paraId="0FB49FA6" w14:textId="77777777" w:rsidR="00883B7F" w:rsidRDefault="00883B7F" w:rsidP="00883B7F">
      <w:r>
        <w:t>Royal Caribbean International</w:t>
      </w:r>
    </w:p>
    <w:p w14:paraId="1F5D6B2A" w14:textId="77777777" w:rsidR="00883B7F" w:rsidRDefault="00883B7F" w:rsidP="00883B7F">
      <w:r>
        <w:t>CLIA – Cruise Lines International Association Australasia</w:t>
      </w:r>
    </w:p>
    <w:p w14:paraId="5DE4E526" w14:textId="77777777" w:rsidR="00883B7F" w:rsidRDefault="00883B7F" w:rsidP="00883B7F">
      <w:r>
        <w:t>Superyacht Australia</w:t>
      </w:r>
    </w:p>
    <w:p w14:paraId="3137DA2B" w14:textId="77777777" w:rsidR="00883B7F" w:rsidRDefault="00883B7F" w:rsidP="00883B7F">
      <w:r>
        <w:t>Anonymous cruise company</w:t>
      </w:r>
    </w:p>
    <w:p w14:paraId="46B964A9" w14:textId="77777777" w:rsidR="00883B7F" w:rsidRPr="000E039F" w:rsidRDefault="00883B7F" w:rsidP="00883B7F">
      <w:pPr>
        <w:rPr>
          <w:u w:val="single"/>
        </w:rPr>
      </w:pPr>
    </w:p>
    <w:p w14:paraId="51577458" w14:textId="77777777" w:rsidR="00883B7F" w:rsidRPr="000E039F" w:rsidRDefault="00883B7F" w:rsidP="00883B7F">
      <w:pPr>
        <w:rPr>
          <w:b/>
          <w:bCs/>
          <w:u w:val="single"/>
        </w:rPr>
      </w:pPr>
      <w:r w:rsidRPr="000E039F">
        <w:rPr>
          <w:b/>
          <w:bCs/>
          <w:u w:val="single"/>
        </w:rPr>
        <w:t>Consumer Groups</w:t>
      </w:r>
    </w:p>
    <w:p w14:paraId="231742B7" w14:textId="77777777" w:rsidR="00883B7F" w:rsidRDefault="00883B7F" w:rsidP="00883B7F">
      <w:r>
        <w:t>Tourism and Transport Forum Australia</w:t>
      </w:r>
    </w:p>
    <w:p w14:paraId="4E672BCA" w14:textId="77777777" w:rsidR="00883B7F" w:rsidRDefault="00883B7F" w:rsidP="00883B7F">
      <w:r>
        <w:t>Destination NSW</w:t>
      </w:r>
    </w:p>
    <w:p w14:paraId="6707BEE5" w14:textId="77777777" w:rsidR="00883B7F" w:rsidRDefault="00883B7F" w:rsidP="00883B7F"/>
    <w:p w14:paraId="2F334137" w14:textId="77777777" w:rsidR="00883B7F" w:rsidRPr="000E039F" w:rsidRDefault="00883B7F" w:rsidP="00883B7F">
      <w:pPr>
        <w:rPr>
          <w:b/>
          <w:bCs/>
          <w:u w:val="single"/>
        </w:rPr>
      </w:pPr>
      <w:r w:rsidRPr="000E039F">
        <w:rPr>
          <w:b/>
          <w:bCs/>
          <w:u w:val="single"/>
        </w:rPr>
        <w:t>Legal Sector</w:t>
      </w:r>
    </w:p>
    <w:p w14:paraId="5C59B5A4" w14:textId="77777777" w:rsidR="00883B7F" w:rsidRDefault="00883B7F" w:rsidP="00883B7F">
      <w:r>
        <w:t>The Maritime Law Association of Australia and New Zealand</w:t>
      </w:r>
    </w:p>
    <w:p w14:paraId="789A4C89" w14:textId="77777777" w:rsidR="00883B7F" w:rsidRDefault="00883B7F" w:rsidP="00883B7F">
      <w:r>
        <w:t>Professor Kate Lewins - Murdoch University</w:t>
      </w:r>
    </w:p>
    <w:p w14:paraId="52771C8E" w14:textId="77777777" w:rsidR="00883B7F" w:rsidRDefault="00883B7F" w:rsidP="00883B7F">
      <w:r>
        <w:t>Professor Nick Gaskell – University of Queensland</w:t>
      </w:r>
    </w:p>
    <w:p w14:paraId="3E8F45EF" w14:textId="77777777" w:rsidR="00883B7F" w:rsidRDefault="00883B7F" w:rsidP="00883B7F">
      <w:r>
        <w:t>Stacks GoudKamp Personal Injury Lawyers</w:t>
      </w:r>
    </w:p>
    <w:p w14:paraId="197AAD34" w14:textId="77777777" w:rsidR="00883B7F" w:rsidRDefault="00883B7F" w:rsidP="00883B7F"/>
    <w:p w14:paraId="12537365" w14:textId="77777777" w:rsidR="00883B7F" w:rsidRPr="000E039F" w:rsidRDefault="00883B7F" w:rsidP="00883B7F">
      <w:pPr>
        <w:rPr>
          <w:b/>
          <w:bCs/>
          <w:u w:val="single"/>
        </w:rPr>
      </w:pPr>
      <w:r w:rsidRPr="000E039F">
        <w:rPr>
          <w:b/>
          <w:bCs/>
          <w:u w:val="single"/>
        </w:rPr>
        <w:t>Insurance</w:t>
      </w:r>
    </w:p>
    <w:p w14:paraId="267E9274" w14:textId="77777777" w:rsidR="00883B7F" w:rsidRDefault="00883B7F" w:rsidP="00883B7F">
      <w:r>
        <w:t>Steadfast Pty Ltd.</w:t>
      </w:r>
    </w:p>
    <w:p w14:paraId="60C53EC9" w14:textId="77777777" w:rsidR="00883B7F" w:rsidRDefault="00883B7F" w:rsidP="00883B7F">
      <w:r>
        <w:t>International Group for P&amp;I</w:t>
      </w:r>
    </w:p>
    <w:p w14:paraId="61DC9D5D" w14:textId="7257D7E7" w:rsidR="003771EA" w:rsidRPr="003771EA" w:rsidRDefault="003771EA" w:rsidP="00BB675F">
      <w:pPr>
        <w:pStyle w:val="Heading3"/>
        <w:numPr>
          <w:ilvl w:val="0"/>
          <w:numId w:val="0"/>
        </w:numPr>
      </w:pPr>
    </w:p>
    <w:p w14:paraId="69A329CC" w14:textId="079CA2F1" w:rsidR="00C318A5" w:rsidRDefault="00AD67F6" w:rsidP="009D6C9D">
      <w:pPr>
        <w:pStyle w:val="Heading1"/>
      </w:pPr>
      <w:bookmarkStart w:id="159" w:name="_Toc44659954"/>
      <w:r>
        <w:t xml:space="preserve">Appendix </w:t>
      </w:r>
      <w:r w:rsidR="002D56A2">
        <w:t>C</w:t>
      </w:r>
      <w:r w:rsidR="00003F9C">
        <w:t>:</w:t>
      </w:r>
      <w:r>
        <w:t xml:space="preserve"> </w:t>
      </w:r>
      <w:r w:rsidR="00C7357C">
        <w:t xml:space="preserve"> </w:t>
      </w:r>
      <w:r w:rsidR="006E340C">
        <w:t>Athens Convention S</w:t>
      </w:r>
      <w:r w:rsidR="00003F9C">
        <w:t>tate Parties</w:t>
      </w:r>
      <w:bookmarkEnd w:id="159"/>
    </w:p>
    <w:p w14:paraId="6EE65AF8" w14:textId="77777777" w:rsidR="009D6C9D" w:rsidRDefault="009D6C9D" w:rsidP="00AE7B69">
      <w:pPr>
        <w:autoSpaceDE w:val="0"/>
        <w:autoSpaceDN w:val="0"/>
        <w:adjustRightInd w:val="0"/>
        <w:snapToGrid w:val="0"/>
        <w:spacing w:after="0"/>
        <w:jc w:val="center"/>
        <w:rPr>
          <w:rFonts w:eastAsia="Times New Roman"/>
          <w:b/>
          <w:color w:val="000000"/>
          <w:sz w:val="28"/>
          <w:szCs w:val="28"/>
          <w:lang w:val="x-none"/>
        </w:rPr>
      </w:pPr>
      <w:r w:rsidRPr="00EE5E86">
        <w:rPr>
          <w:rFonts w:eastAsia="Times New Roman"/>
          <w:b/>
          <w:color w:val="000000"/>
          <w:sz w:val="28"/>
          <w:szCs w:val="28"/>
          <w:lang w:val="x-none"/>
        </w:rPr>
        <w:t>ATHENS CONVENTION RELATING TO THE CARRIAGE OF PASSENGERS</w:t>
      </w:r>
      <w:r>
        <w:rPr>
          <w:rFonts w:eastAsia="Times New Roman"/>
          <w:b/>
          <w:color w:val="000000"/>
          <w:sz w:val="28"/>
          <w:szCs w:val="28"/>
          <w:lang w:val="x-none"/>
        </w:rPr>
        <w:t xml:space="preserve"> AND THEIR LUGGAGE BY SEA</w:t>
      </w:r>
    </w:p>
    <w:p w14:paraId="163CD841" w14:textId="77777777" w:rsidR="009D6C9D" w:rsidRDefault="009D6C9D" w:rsidP="00AE7B69">
      <w:pPr>
        <w:autoSpaceDE w:val="0"/>
        <w:autoSpaceDN w:val="0"/>
        <w:adjustRightInd w:val="0"/>
        <w:snapToGrid w:val="0"/>
        <w:spacing w:after="0"/>
        <w:jc w:val="center"/>
        <w:rPr>
          <w:rFonts w:eastAsia="Times New Roman"/>
          <w:b/>
          <w:color w:val="000000"/>
          <w:sz w:val="28"/>
          <w:szCs w:val="28"/>
          <w:lang w:val="en-US"/>
        </w:rPr>
      </w:pPr>
      <w:r>
        <w:rPr>
          <w:rFonts w:eastAsia="Times New Roman"/>
          <w:b/>
          <w:color w:val="000000"/>
          <w:sz w:val="28"/>
          <w:szCs w:val="28"/>
          <w:lang w:val="en-US"/>
        </w:rPr>
        <w:t>1974</w:t>
      </w:r>
    </w:p>
    <w:p w14:paraId="3740E857" w14:textId="39AF4E74" w:rsidR="009D6C9D" w:rsidRPr="00B70CA2" w:rsidRDefault="009D6C9D" w:rsidP="00AE7B69">
      <w:pPr>
        <w:autoSpaceDE w:val="0"/>
        <w:autoSpaceDN w:val="0"/>
        <w:adjustRightInd w:val="0"/>
        <w:snapToGrid w:val="0"/>
        <w:spacing w:after="0"/>
        <w:jc w:val="center"/>
        <w:rPr>
          <w:rFonts w:eastAsia="Times New Roman"/>
          <w:b/>
          <w:color w:val="000000"/>
          <w:sz w:val="16"/>
          <w:szCs w:val="16"/>
          <w:lang w:val="en-US"/>
        </w:rPr>
      </w:pPr>
      <w:r>
        <w:rPr>
          <w:rFonts w:eastAsia="Times New Roman"/>
          <w:b/>
          <w:color w:val="000000"/>
          <w:sz w:val="28"/>
          <w:szCs w:val="28"/>
          <w:lang w:val="en-US"/>
        </w:rPr>
        <w:t>PROTOCOL 1976</w:t>
      </w:r>
      <w:r>
        <w:rPr>
          <w:rFonts w:eastAsia="Times New Roman"/>
          <w:b/>
          <w:color w:val="000000"/>
          <w:sz w:val="28"/>
          <w:szCs w:val="28"/>
          <w:lang w:val="en-US"/>
        </w:rPr>
        <w:br/>
        <w:t>PROTOCOL 1990</w:t>
      </w:r>
      <w:r>
        <w:rPr>
          <w:rFonts w:eastAsia="Times New Roman"/>
          <w:b/>
          <w:color w:val="000000"/>
          <w:sz w:val="28"/>
          <w:szCs w:val="28"/>
          <w:lang w:val="en-US"/>
        </w:rPr>
        <w:br/>
        <w:t>PROTOCOL 2002</w:t>
      </w:r>
      <w:r w:rsidR="00860EFA">
        <w:rPr>
          <w:rFonts w:eastAsia="Times New Roman"/>
          <w:b/>
          <w:color w:val="000000"/>
          <w:sz w:val="28"/>
          <w:szCs w:val="28"/>
          <w:lang w:val="en-US"/>
        </w:rPr>
        <w:br/>
      </w:r>
      <w:r w:rsidR="00860EFA">
        <w:rPr>
          <w:rFonts w:eastAsia="Times New Roman"/>
          <w:b/>
          <w:color w:val="000000"/>
          <w:sz w:val="16"/>
          <w:szCs w:val="16"/>
          <w:lang w:val="en-US"/>
        </w:rPr>
        <w:t>(as at November 2019)</w:t>
      </w:r>
    </w:p>
    <w:p w14:paraId="501E2A52" w14:textId="77777777" w:rsidR="009D6C9D" w:rsidRPr="00EE5E86" w:rsidRDefault="009D6C9D" w:rsidP="009D6C9D">
      <w:pPr>
        <w:autoSpaceDE w:val="0"/>
        <w:autoSpaceDN w:val="0"/>
        <w:adjustRightInd w:val="0"/>
        <w:snapToGrid w:val="0"/>
        <w:spacing w:after="0"/>
        <w:rPr>
          <w:rFonts w:eastAsia="Times New Roman"/>
          <w:color w:val="000000"/>
          <w:sz w:val="24"/>
          <w:szCs w:val="24"/>
          <w:lang w:val="x-none"/>
        </w:rPr>
      </w:pPr>
    </w:p>
    <w:p w14:paraId="304A6807" w14:textId="77777777" w:rsidR="009D6C9D" w:rsidRPr="00EE5E86" w:rsidRDefault="009D6C9D" w:rsidP="009D6C9D">
      <w:pPr>
        <w:autoSpaceDE w:val="0"/>
        <w:autoSpaceDN w:val="0"/>
        <w:adjustRightInd w:val="0"/>
        <w:snapToGrid w:val="0"/>
        <w:spacing w:after="0"/>
        <w:rPr>
          <w:rFonts w:eastAsia="Times New Roman"/>
          <w:color w:val="000000"/>
          <w:sz w:val="24"/>
          <w:szCs w:val="24"/>
          <w:lang w:val="x-none"/>
        </w:rPr>
      </w:pPr>
    </w:p>
    <w:tbl>
      <w:tblPr>
        <w:tblStyle w:val="TableGrid"/>
        <w:tblW w:w="9639" w:type="dxa"/>
        <w:jc w:val="center"/>
        <w:tblLook w:val="04A0" w:firstRow="1" w:lastRow="0" w:firstColumn="1" w:lastColumn="0" w:noHBand="0" w:noVBand="1"/>
      </w:tblPr>
      <w:tblGrid>
        <w:gridCol w:w="460"/>
        <w:gridCol w:w="1966"/>
        <w:gridCol w:w="1416"/>
        <w:gridCol w:w="460"/>
        <w:gridCol w:w="1416"/>
        <w:gridCol w:w="460"/>
        <w:gridCol w:w="1481"/>
        <w:gridCol w:w="1335"/>
        <w:gridCol w:w="645"/>
      </w:tblGrid>
      <w:tr w:rsidR="00AE7B69" w:rsidRPr="00AE7B69" w14:paraId="1598B2E1" w14:textId="77777777" w:rsidTr="00160A48">
        <w:trPr>
          <w:jc w:val="center"/>
        </w:trPr>
        <w:tc>
          <w:tcPr>
            <w:tcW w:w="460" w:type="dxa"/>
            <w:tcBorders>
              <w:bottom w:val="single" w:sz="4" w:space="0" w:color="auto"/>
            </w:tcBorders>
          </w:tcPr>
          <w:p w14:paraId="34B5EFE6" w14:textId="77777777" w:rsidR="00AE7B69" w:rsidRPr="00AE7B69" w:rsidRDefault="00AE7B69" w:rsidP="0069386C">
            <w:pPr>
              <w:rPr>
                <w:b/>
                <w:szCs w:val="20"/>
              </w:rPr>
            </w:pPr>
          </w:p>
        </w:tc>
        <w:tc>
          <w:tcPr>
            <w:tcW w:w="1966" w:type="dxa"/>
            <w:tcBorders>
              <w:bottom w:val="single" w:sz="4" w:space="0" w:color="auto"/>
            </w:tcBorders>
          </w:tcPr>
          <w:p w14:paraId="42C11436" w14:textId="77777777" w:rsidR="00AE7B69" w:rsidRPr="00AE7B69" w:rsidRDefault="00AE7B69" w:rsidP="0069386C">
            <w:pPr>
              <w:rPr>
                <w:b/>
                <w:szCs w:val="20"/>
              </w:rPr>
            </w:pPr>
            <w:r w:rsidRPr="00AE7B69">
              <w:rPr>
                <w:b/>
                <w:szCs w:val="20"/>
              </w:rPr>
              <w:t>COUNTRY</w:t>
            </w:r>
          </w:p>
        </w:tc>
        <w:tc>
          <w:tcPr>
            <w:tcW w:w="1416" w:type="dxa"/>
            <w:tcBorders>
              <w:bottom w:val="single" w:sz="4" w:space="0" w:color="auto"/>
            </w:tcBorders>
          </w:tcPr>
          <w:p w14:paraId="0431244D" w14:textId="77777777" w:rsidR="00AE7B69" w:rsidRPr="00AE7B69" w:rsidRDefault="00AE7B69" w:rsidP="0069386C">
            <w:pPr>
              <w:jc w:val="center"/>
              <w:rPr>
                <w:b/>
                <w:szCs w:val="20"/>
              </w:rPr>
            </w:pPr>
            <w:r w:rsidRPr="00AE7B69">
              <w:rPr>
                <w:b/>
                <w:szCs w:val="20"/>
              </w:rPr>
              <w:t>PAL 1974</w:t>
            </w:r>
          </w:p>
        </w:tc>
        <w:tc>
          <w:tcPr>
            <w:tcW w:w="460" w:type="dxa"/>
            <w:tcBorders>
              <w:bottom w:val="single" w:sz="4" w:space="0" w:color="auto"/>
            </w:tcBorders>
          </w:tcPr>
          <w:p w14:paraId="6C4A58CA" w14:textId="77777777" w:rsidR="00AE7B69" w:rsidRPr="00AE7B69" w:rsidRDefault="00AE7B69" w:rsidP="0069386C">
            <w:pPr>
              <w:jc w:val="center"/>
              <w:rPr>
                <w:b/>
                <w:szCs w:val="20"/>
              </w:rPr>
            </w:pPr>
          </w:p>
        </w:tc>
        <w:tc>
          <w:tcPr>
            <w:tcW w:w="1416" w:type="dxa"/>
            <w:tcBorders>
              <w:bottom w:val="single" w:sz="4" w:space="0" w:color="auto"/>
            </w:tcBorders>
          </w:tcPr>
          <w:p w14:paraId="7B3D2DC6" w14:textId="77777777" w:rsidR="00AE7B69" w:rsidRPr="00AE7B69" w:rsidRDefault="00AE7B69" w:rsidP="0069386C">
            <w:pPr>
              <w:jc w:val="center"/>
              <w:rPr>
                <w:b/>
                <w:szCs w:val="20"/>
              </w:rPr>
            </w:pPr>
            <w:r w:rsidRPr="00AE7B69">
              <w:rPr>
                <w:b/>
                <w:szCs w:val="20"/>
              </w:rPr>
              <w:t>PAL PROT 1976</w:t>
            </w:r>
          </w:p>
        </w:tc>
        <w:tc>
          <w:tcPr>
            <w:tcW w:w="460" w:type="dxa"/>
            <w:tcBorders>
              <w:bottom w:val="single" w:sz="4" w:space="0" w:color="auto"/>
            </w:tcBorders>
            <w:shd w:val="clear" w:color="auto" w:fill="auto"/>
          </w:tcPr>
          <w:p w14:paraId="7511F073" w14:textId="77777777" w:rsidR="00AE7B69" w:rsidRPr="00AE7B69" w:rsidRDefault="00AE7B69" w:rsidP="0069386C">
            <w:pPr>
              <w:jc w:val="center"/>
              <w:rPr>
                <w:b/>
                <w:szCs w:val="20"/>
              </w:rPr>
            </w:pPr>
          </w:p>
        </w:tc>
        <w:tc>
          <w:tcPr>
            <w:tcW w:w="1481" w:type="dxa"/>
            <w:tcBorders>
              <w:bottom w:val="single" w:sz="4" w:space="0" w:color="auto"/>
            </w:tcBorders>
            <w:shd w:val="clear" w:color="auto" w:fill="E4E7E8" w:themeFill="accent4" w:themeFillTint="33"/>
          </w:tcPr>
          <w:p w14:paraId="4C425ECB" w14:textId="77777777" w:rsidR="00AE7B69" w:rsidRPr="00AE7B69" w:rsidRDefault="00AE7B69" w:rsidP="0069386C">
            <w:pPr>
              <w:jc w:val="center"/>
              <w:rPr>
                <w:b/>
                <w:szCs w:val="20"/>
              </w:rPr>
            </w:pPr>
            <w:r w:rsidRPr="00AE7B69">
              <w:rPr>
                <w:b/>
                <w:szCs w:val="20"/>
              </w:rPr>
              <w:t>PAL PROT 1990</w:t>
            </w:r>
          </w:p>
          <w:p w14:paraId="293B64B2" w14:textId="77777777" w:rsidR="00AE7B69" w:rsidRPr="00AE7B69" w:rsidRDefault="00AE7B69" w:rsidP="0069386C">
            <w:pPr>
              <w:jc w:val="center"/>
              <w:rPr>
                <w:b/>
                <w:szCs w:val="20"/>
              </w:rPr>
            </w:pPr>
            <w:r w:rsidRPr="00AE7B69">
              <w:rPr>
                <w:b/>
                <w:szCs w:val="20"/>
              </w:rPr>
              <w:t>(Not in force)</w:t>
            </w:r>
          </w:p>
        </w:tc>
        <w:tc>
          <w:tcPr>
            <w:tcW w:w="1335" w:type="dxa"/>
            <w:tcBorders>
              <w:bottom w:val="single" w:sz="4" w:space="0" w:color="auto"/>
            </w:tcBorders>
          </w:tcPr>
          <w:p w14:paraId="6692B70F" w14:textId="77777777" w:rsidR="00AE7B69" w:rsidRPr="00AE7B69" w:rsidRDefault="00AE7B69" w:rsidP="0069386C">
            <w:pPr>
              <w:jc w:val="center"/>
              <w:rPr>
                <w:b/>
                <w:szCs w:val="20"/>
              </w:rPr>
            </w:pPr>
            <w:r w:rsidRPr="00AE7B69">
              <w:rPr>
                <w:b/>
                <w:szCs w:val="20"/>
              </w:rPr>
              <w:t>PAL PROT 2002</w:t>
            </w:r>
          </w:p>
        </w:tc>
        <w:tc>
          <w:tcPr>
            <w:tcW w:w="645" w:type="dxa"/>
            <w:tcBorders>
              <w:bottom w:val="single" w:sz="4" w:space="0" w:color="auto"/>
            </w:tcBorders>
          </w:tcPr>
          <w:p w14:paraId="2585B5B5" w14:textId="77777777" w:rsidR="00AE7B69" w:rsidRPr="00AE7B69" w:rsidRDefault="00AE7B69" w:rsidP="0069386C">
            <w:pPr>
              <w:jc w:val="center"/>
              <w:rPr>
                <w:b/>
                <w:szCs w:val="20"/>
              </w:rPr>
            </w:pPr>
          </w:p>
        </w:tc>
      </w:tr>
      <w:tr w:rsidR="00AE7B69" w:rsidRPr="00AE7B69" w14:paraId="4C43B570" w14:textId="77777777" w:rsidTr="00160A48">
        <w:trPr>
          <w:jc w:val="center"/>
        </w:trPr>
        <w:tc>
          <w:tcPr>
            <w:tcW w:w="460" w:type="dxa"/>
            <w:shd w:val="clear" w:color="auto" w:fill="D4EAF3" w:themeFill="accent1" w:themeFillTint="33"/>
          </w:tcPr>
          <w:p w14:paraId="1E131837" w14:textId="77777777" w:rsidR="00AE7B69" w:rsidRPr="00AE7B69" w:rsidRDefault="00AE7B69" w:rsidP="0069386C">
            <w:pPr>
              <w:rPr>
                <w:b/>
                <w:szCs w:val="20"/>
              </w:rPr>
            </w:pPr>
          </w:p>
        </w:tc>
        <w:tc>
          <w:tcPr>
            <w:tcW w:w="1966" w:type="dxa"/>
            <w:shd w:val="clear" w:color="auto" w:fill="D4EAF3" w:themeFill="accent1" w:themeFillTint="33"/>
          </w:tcPr>
          <w:p w14:paraId="5D94AB7A" w14:textId="77777777" w:rsidR="00AE7B69" w:rsidRPr="00AE7B69" w:rsidRDefault="00AE7B69" w:rsidP="0069386C">
            <w:pPr>
              <w:rPr>
                <w:b/>
                <w:szCs w:val="20"/>
              </w:rPr>
            </w:pPr>
          </w:p>
        </w:tc>
        <w:tc>
          <w:tcPr>
            <w:tcW w:w="1416" w:type="dxa"/>
            <w:shd w:val="clear" w:color="auto" w:fill="D4EAF3" w:themeFill="accent1" w:themeFillTint="33"/>
          </w:tcPr>
          <w:p w14:paraId="2B835BAF" w14:textId="77777777" w:rsidR="00AE7B69" w:rsidRPr="00AE7B69" w:rsidRDefault="00AE7B69" w:rsidP="0069386C">
            <w:pPr>
              <w:jc w:val="center"/>
              <w:rPr>
                <w:szCs w:val="20"/>
              </w:rPr>
            </w:pPr>
          </w:p>
        </w:tc>
        <w:tc>
          <w:tcPr>
            <w:tcW w:w="460" w:type="dxa"/>
            <w:shd w:val="clear" w:color="auto" w:fill="D4EAF3" w:themeFill="accent1" w:themeFillTint="33"/>
          </w:tcPr>
          <w:p w14:paraId="696125C8" w14:textId="77777777" w:rsidR="00AE7B69" w:rsidRPr="00AE7B69" w:rsidRDefault="00AE7B69" w:rsidP="0069386C">
            <w:pPr>
              <w:jc w:val="center"/>
              <w:rPr>
                <w:szCs w:val="20"/>
              </w:rPr>
            </w:pPr>
          </w:p>
        </w:tc>
        <w:tc>
          <w:tcPr>
            <w:tcW w:w="1416" w:type="dxa"/>
            <w:shd w:val="clear" w:color="auto" w:fill="D4EAF3" w:themeFill="accent1" w:themeFillTint="33"/>
          </w:tcPr>
          <w:p w14:paraId="4EF3685C" w14:textId="77777777" w:rsidR="00AE7B69" w:rsidRPr="00AE7B69" w:rsidRDefault="00AE7B69" w:rsidP="0069386C">
            <w:pPr>
              <w:jc w:val="center"/>
              <w:rPr>
                <w:szCs w:val="20"/>
              </w:rPr>
            </w:pPr>
          </w:p>
        </w:tc>
        <w:tc>
          <w:tcPr>
            <w:tcW w:w="460" w:type="dxa"/>
            <w:shd w:val="clear" w:color="auto" w:fill="D4EAF3" w:themeFill="accent1" w:themeFillTint="33"/>
          </w:tcPr>
          <w:p w14:paraId="6AF7712E" w14:textId="77777777" w:rsidR="00AE7B69" w:rsidRPr="00AE7B69" w:rsidRDefault="00AE7B69" w:rsidP="0069386C">
            <w:pPr>
              <w:jc w:val="center"/>
              <w:rPr>
                <w:szCs w:val="20"/>
              </w:rPr>
            </w:pPr>
          </w:p>
        </w:tc>
        <w:tc>
          <w:tcPr>
            <w:tcW w:w="1481" w:type="dxa"/>
            <w:shd w:val="clear" w:color="auto" w:fill="D4EAF3" w:themeFill="accent1" w:themeFillTint="33"/>
          </w:tcPr>
          <w:p w14:paraId="31BDD0CC" w14:textId="77777777" w:rsidR="00AE7B69" w:rsidRPr="00AE7B69" w:rsidRDefault="00AE7B69" w:rsidP="0069386C">
            <w:pPr>
              <w:jc w:val="center"/>
              <w:rPr>
                <w:szCs w:val="20"/>
              </w:rPr>
            </w:pPr>
          </w:p>
        </w:tc>
        <w:tc>
          <w:tcPr>
            <w:tcW w:w="1335" w:type="dxa"/>
            <w:shd w:val="clear" w:color="auto" w:fill="D4EAF3" w:themeFill="accent1" w:themeFillTint="33"/>
          </w:tcPr>
          <w:p w14:paraId="59FFE8EA" w14:textId="77777777" w:rsidR="00AE7B69" w:rsidRPr="00AE7B69" w:rsidRDefault="00AE7B69" w:rsidP="0069386C">
            <w:pPr>
              <w:jc w:val="center"/>
              <w:rPr>
                <w:szCs w:val="20"/>
              </w:rPr>
            </w:pPr>
          </w:p>
        </w:tc>
        <w:tc>
          <w:tcPr>
            <w:tcW w:w="645" w:type="dxa"/>
            <w:shd w:val="clear" w:color="auto" w:fill="D4EAF3" w:themeFill="accent1" w:themeFillTint="33"/>
          </w:tcPr>
          <w:p w14:paraId="49974BCC" w14:textId="77777777" w:rsidR="00AE7B69" w:rsidRPr="00AE7B69" w:rsidRDefault="00AE7B69" w:rsidP="0069386C">
            <w:pPr>
              <w:jc w:val="center"/>
              <w:rPr>
                <w:szCs w:val="20"/>
              </w:rPr>
            </w:pPr>
          </w:p>
        </w:tc>
      </w:tr>
      <w:tr w:rsidR="00AE7B69" w:rsidRPr="00AE7B69" w14:paraId="05089E3D" w14:textId="77777777" w:rsidTr="00160A48">
        <w:trPr>
          <w:jc w:val="center"/>
        </w:trPr>
        <w:tc>
          <w:tcPr>
            <w:tcW w:w="460" w:type="dxa"/>
          </w:tcPr>
          <w:p w14:paraId="5C946BD8" w14:textId="77777777" w:rsidR="00AE7B69" w:rsidRPr="00AE7B69" w:rsidRDefault="00AE7B69" w:rsidP="0069386C">
            <w:pPr>
              <w:jc w:val="center"/>
              <w:rPr>
                <w:b/>
                <w:szCs w:val="20"/>
              </w:rPr>
            </w:pPr>
            <w:r w:rsidRPr="00AE7B69">
              <w:rPr>
                <w:b/>
                <w:szCs w:val="20"/>
              </w:rPr>
              <w:t>1</w:t>
            </w:r>
          </w:p>
        </w:tc>
        <w:tc>
          <w:tcPr>
            <w:tcW w:w="1966" w:type="dxa"/>
          </w:tcPr>
          <w:p w14:paraId="44FA155C" w14:textId="45386266" w:rsidR="00AE7B69" w:rsidRPr="00AE7B69" w:rsidRDefault="00621A62" w:rsidP="00EE2AE6">
            <w:pPr>
              <w:jc w:val="left"/>
              <w:rPr>
                <w:b/>
                <w:szCs w:val="20"/>
              </w:rPr>
            </w:pPr>
            <w:r>
              <w:rPr>
                <w:b/>
                <w:szCs w:val="20"/>
              </w:rPr>
              <w:t xml:space="preserve">Republic of </w:t>
            </w:r>
            <w:r w:rsidR="00AE7B69" w:rsidRPr="00AE7B69">
              <w:rPr>
                <w:b/>
                <w:szCs w:val="20"/>
              </w:rPr>
              <w:t>Albania</w:t>
            </w:r>
          </w:p>
        </w:tc>
        <w:tc>
          <w:tcPr>
            <w:tcW w:w="1416" w:type="dxa"/>
          </w:tcPr>
          <w:p w14:paraId="491246BC" w14:textId="77777777" w:rsidR="00AE7B69" w:rsidRPr="00AE7B69" w:rsidRDefault="00AE7B69" w:rsidP="0069386C">
            <w:pPr>
              <w:jc w:val="center"/>
              <w:rPr>
                <w:szCs w:val="20"/>
              </w:rPr>
            </w:pPr>
            <w:r w:rsidRPr="00AE7B69">
              <w:rPr>
                <w:szCs w:val="20"/>
              </w:rPr>
              <w:t>Denounced</w:t>
            </w:r>
          </w:p>
        </w:tc>
        <w:tc>
          <w:tcPr>
            <w:tcW w:w="460" w:type="dxa"/>
          </w:tcPr>
          <w:p w14:paraId="5D306BBE" w14:textId="77777777" w:rsidR="00AE7B69" w:rsidRPr="00AE7B69" w:rsidRDefault="00AE7B69" w:rsidP="0069386C">
            <w:pPr>
              <w:jc w:val="center"/>
              <w:rPr>
                <w:szCs w:val="20"/>
              </w:rPr>
            </w:pPr>
          </w:p>
        </w:tc>
        <w:tc>
          <w:tcPr>
            <w:tcW w:w="1416" w:type="dxa"/>
          </w:tcPr>
          <w:p w14:paraId="25A242E0" w14:textId="77777777" w:rsidR="00AE7B69" w:rsidRPr="00AE7B69" w:rsidRDefault="00AE7B69" w:rsidP="0069386C">
            <w:pPr>
              <w:jc w:val="center"/>
              <w:rPr>
                <w:szCs w:val="20"/>
              </w:rPr>
            </w:pPr>
            <w:r w:rsidRPr="00AE7B69">
              <w:rPr>
                <w:szCs w:val="20"/>
              </w:rPr>
              <w:t>Denounced</w:t>
            </w:r>
          </w:p>
        </w:tc>
        <w:tc>
          <w:tcPr>
            <w:tcW w:w="460" w:type="dxa"/>
            <w:shd w:val="clear" w:color="auto" w:fill="auto"/>
          </w:tcPr>
          <w:p w14:paraId="5CEC3F99" w14:textId="77777777" w:rsidR="00AE7B69" w:rsidRPr="00AE7B69" w:rsidRDefault="00AE7B69" w:rsidP="0069386C">
            <w:pPr>
              <w:jc w:val="center"/>
              <w:rPr>
                <w:szCs w:val="20"/>
              </w:rPr>
            </w:pPr>
          </w:p>
        </w:tc>
        <w:tc>
          <w:tcPr>
            <w:tcW w:w="1481" w:type="dxa"/>
            <w:shd w:val="clear" w:color="auto" w:fill="E4E7E8" w:themeFill="accent4" w:themeFillTint="33"/>
          </w:tcPr>
          <w:p w14:paraId="6E50C192" w14:textId="77777777" w:rsidR="00AE7B69" w:rsidRPr="00AE7B69" w:rsidRDefault="00AE7B69" w:rsidP="0069386C">
            <w:pPr>
              <w:jc w:val="center"/>
              <w:rPr>
                <w:szCs w:val="20"/>
              </w:rPr>
            </w:pPr>
            <w:r w:rsidRPr="00AE7B69">
              <w:rPr>
                <w:szCs w:val="20"/>
              </w:rPr>
              <w:t>Denounced</w:t>
            </w:r>
          </w:p>
        </w:tc>
        <w:tc>
          <w:tcPr>
            <w:tcW w:w="1335" w:type="dxa"/>
            <w:shd w:val="clear" w:color="auto" w:fill="D0E6F6" w:themeFill="accent6" w:themeFillTint="33"/>
          </w:tcPr>
          <w:p w14:paraId="2B1EFAF2"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5E8DE7F6" w14:textId="77777777" w:rsidR="00AE7B69" w:rsidRPr="00AE7B69" w:rsidRDefault="00AE7B69" w:rsidP="0069386C">
            <w:pPr>
              <w:jc w:val="center"/>
              <w:rPr>
                <w:szCs w:val="20"/>
              </w:rPr>
            </w:pPr>
            <w:r w:rsidRPr="00AE7B69">
              <w:rPr>
                <w:szCs w:val="20"/>
              </w:rPr>
              <w:t>1</w:t>
            </w:r>
          </w:p>
        </w:tc>
      </w:tr>
      <w:tr w:rsidR="00AE7B69" w:rsidRPr="00AE7B69" w14:paraId="340273FE" w14:textId="77777777" w:rsidTr="00160A48">
        <w:trPr>
          <w:jc w:val="center"/>
        </w:trPr>
        <w:tc>
          <w:tcPr>
            <w:tcW w:w="460" w:type="dxa"/>
          </w:tcPr>
          <w:p w14:paraId="36AB43C8" w14:textId="77777777" w:rsidR="00AE7B69" w:rsidRPr="00AE7B69" w:rsidRDefault="00AE7B69" w:rsidP="0069386C">
            <w:pPr>
              <w:jc w:val="center"/>
              <w:rPr>
                <w:b/>
                <w:szCs w:val="20"/>
              </w:rPr>
            </w:pPr>
            <w:r w:rsidRPr="00AE7B69">
              <w:rPr>
                <w:b/>
                <w:szCs w:val="20"/>
              </w:rPr>
              <w:t>2</w:t>
            </w:r>
          </w:p>
        </w:tc>
        <w:tc>
          <w:tcPr>
            <w:tcW w:w="1966" w:type="dxa"/>
          </w:tcPr>
          <w:p w14:paraId="63541D48" w14:textId="6D08C690" w:rsidR="00AE7B69" w:rsidRPr="00AE7B69" w:rsidRDefault="00AE7B69" w:rsidP="00EE2AE6">
            <w:pPr>
              <w:jc w:val="left"/>
              <w:rPr>
                <w:b/>
                <w:szCs w:val="20"/>
              </w:rPr>
            </w:pPr>
            <w:r w:rsidRPr="00AE7B69">
              <w:rPr>
                <w:b/>
                <w:szCs w:val="20"/>
              </w:rPr>
              <w:t>Argentine</w:t>
            </w:r>
            <w:r w:rsidR="00D76199">
              <w:rPr>
                <w:b/>
                <w:szCs w:val="20"/>
              </w:rPr>
              <w:t xml:space="preserve"> Republic</w:t>
            </w:r>
          </w:p>
        </w:tc>
        <w:tc>
          <w:tcPr>
            <w:tcW w:w="1416" w:type="dxa"/>
            <w:shd w:val="clear" w:color="auto" w:fill="D0E6F6" w:themeFill="accent6" w:themeFillTint="33"/>
          </w:tcPr>
          <w:p w14:paraId="2CF433E4"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2F777869" w14:textId="77777777" w:rsidR="00AE7B69" w:rsidRPr="00AE7B69" w:rsidRDefault="00AE7B69" w:rsidP="0069386C">
            <w:pPr>
              <w:jc w:val="center"/>
              <w:rPr>
                <w:szCs w:val="20"/>
              </w:rPr>
            </w:pPr>
            <w:r w:rsidRPr="00AE7B69">
              <w:rPr>
                <w:szCs w:val="20"/>
              </w:rPr>
              <w:t>1</w:t>
            </w:r>
          </w:p>
        </w:tc>
        <w:tc>
          <w:tcPr>
            <w:tcW w:w="1416" w:type="dxa"/>
            <w:shd w:val="clear" w:color="auto" w:fill="D0E6F6" w:themeFill="accent6" w:themeFillTint="33"/>
          </w:tcPr>
          <w:p w14:paraId="15533208"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33B3273C" w14:textId="77777777" w:rsidR="00AE7B69" w:rsidRPr="00AE7B69" w:rsidRDefault="00AE7B69" w:rsidP="0069386C">
            <w:pPr>
              <w:jc w:val="center"/>
              <w:rPr>
                <w:szCs w:val="20"/>
              </w:rPr>
            </w:pPr>
            <w:r w:rsidRPr="00AE7B69">
              <w:rPr>
                <w:szCs w:val="20"/>
              </w:rPr>
              <w:t>1</w:t>
            </w:r>
          </w:p>
        </w:tc>
        <w:tc>
          <w:tcPr>
            <w:tcW w:w="1481" w:type="dxa"/>
            <w:shd w:val="clear" w:color="auto" w:fill="E4E7E8" w:themeFill="accent4" w:themeFillTint="33"/>
          </w:tcPr>
          <w:p w14:paraId="7AF509D3" w14:textId="77777777" w:rsidR="00AE7B69" w:rsidRPr="00AE7B69" w:rsidRDefault="00AE7B69" w:rsidP="0069386C">
            <w:pPr>
              <w:jc w:val="center"/>
              <w:rPr>
                <w:szCs w:val="20"/>
              </w:rPr>
            </w:pPr>
          </w:p>
        </w:tc>
        <w:tc>
          <w:tcPr>
            <w:tcW w:w="1335" w:type="dxa"/>
            <w:shd w:val="clear" w:color="auto" w:fill="F2F2F2" w:themeFill="background1" w:themeFillShade="F2"/>
          </w:tcPr>
          <w:p w14:paraId="2586EC79" w14:textId="77777777" w:rsidR="00AE7B69" w:rsidRPr="00AE7B69" w:rsidRDefault="00AE7B69" w:rsidP="0069386C">
            <w:pPr>
              <w:jc w:val="center"/>
              <w:rPr>
                <w:szCs w:val="20"/>
              </w:rPr>
            </w:pPr>
          </w:p>
        </w:tc>
        <w:tc>
          <w:tcPr>
            <w:tcW w:w="645" w:type="dxa"/>
            <w:shd w:val="clear" w:color="auto" w:fill="F2F2F2" w:themeFill="background1" w:themeFillShade="F2"/>
          </w:tcPr>
          <w:p w14:paraId="442AAB82" w14:textId="77777777" w:rsidR="00AE7B69" w:rsidRPr="00AE7B69" w:rsidRDefault="00AE7B69" w:rsidP="0069386C">
            <w:pPr>
              <w:jc w:val="center"/>
              <w:rPr>
                <w:szCs w:val="20"/>
              </w:rPr>
            </w:pPr>
          </w:p>
        </w:tc>
      </w:tr>
      <w:tr w:rsidR="00AE7B69" w:rsidRPr="00AE7B69" w14:paraId="6ACA6FF5" w14:textId="77777777" w:rsidTr="00160A48">
        <w:trPr>
          <w:jc w:val="center"/>
        </w:trPr>
        <w:tc>
          <w:tcPr>
            <w:tcW w:w="460" w:type="dxa"/>
          </w:tcPr>
          <w:p w14:paraId="5D28A1FA" w14:textId="77777777" w:rsidR="00AE7B69" w:rsidRPr="00AE7B69" w:rsidRDefault="00AE7B69" w:rsidP="0069386C">
            <w:pPr>
              <w:jc w:val="center"/>
              <w:rPr>
                <w:b/>
                <w:szCs w:val="20"/>
              </w:rPr>
            </w:pPr>
            <w:r w:rsidRPr="00AE7B69">
              <w:rPr>
                <w:b/>
                <w:szCs w:val="20"/>
              </w:rPr>
              <w:t>3</w:t>
            </w:r>
          </w:p>
        </w:tc>
        <w:tc>
          <w:tcPr>
            <w:tcW w:w="1966" w:type="dxa"/>
          </w:tcPr>
          <w:p w14:paraId="7ADAD154" w14:textId="088301CD" w:rsidR="00AE7B69" w:rsidRPr="00AE7B69" w:rsidRDefault="00D76199" w:rsidP="00EE2AE6">
            <w:pPr>
              <w:jc w:val="left"/>
              <w:rPr>
                <w:b/>
                <w:szCs w:val="20"/>
              </w:rPr>
            </w:pPr>
            <w:r>
              <w:rPr>
                <w:b/>
                <w:szCs w:val="20"/>
              </w:rPr>
              <w:t xml:space="preserve">Commonwealth of the </w:t>
            </w:r>
            <w:r w:rsidR="00AE7B69" w:rsidRPr="00AE7B69">
              <w:rPr>
                <w:b/>
                <w:szCs w:val="20"/>
              </w:rPr>
              <w:t>Bahamas</w:t>
            </w:r>
          </w:p>
        </w:tc>
        <w:tc>
          <w:tcPr>
            <w:tcW w:w="1416" w:type="dxa"/>
            <w:shd w:val="clear" w:color="auto" w:fill="D0E6F6" w:themeFill="accent6" w:themeFillTint="33"/>
          </w:tcPr>
          <w:p w14:paraId="379D77BB"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2F071049" w14:textId="77777777" w:rsidR="00AE7B69" w:rsidRPr="00AE7B69" w:rsidRDefault="00AE7B69" w:rsidP="0069386C">
            <w:pPr>
              <w:jc w:val="center"/>
              <w:rPr>
                <w:szCs w:val="20"/>
              </w:rPr>
            </w:pPr>
            <w:r w:rsidRPr="00AE7B69">
              <w:rPr>
                <w:szCs w:val="20"/>
              </w:rPr>
              <w:t>2</w:t>
            </w:r>
          </w:p>
        </w:tc>
        <w:tc>
          <w:tcPr>
            <w:tcW w:w="1416" w:type="dxa"/>
            <w:shd w:val="clear" w:color="auto" w:fill="D0E6F6" w:themeFill="accent6" w:themeFillTint="33"/>
          </w:tcPr>
          <w:p w14:paraId="3D0881B5"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0A64D7A5" w14:textId="77777777" w:rsidR="00AE7B69" w:rsidRPr="00AE7B69" w:rsidRDefault="00AE7B69" w:rsidP="0069386C">
            <w:pPr>
              <w:jc w:val="center"/>
              <w:rPr>
                <w:szCs w:val="20"/>
              </w:rPr>
            </w:pPr>
            <w:r w:rsidRPr="00AE7B69">
              <w:rPr>
                <w:szCs w:val="20"/>
              </w:rPr>
              <w:t>2</w:t>
            </w:r>
          </w:p>
        </w:tc>
        <w:tc>
          <w:tcPr>
            <w:tcW w:w="1481" w:type="dxa"/>
            <w:shd w:val="clear" w:color="auto" w:fill="E4E7E8" w:themeFill="accent4" w:themeFillTint="33"/>
          </w:tcPr>
          <w:p w14:paraId="59B19514" w14:textId="77777777" w:rsidR="00AE7B69" w:rsidRPr="00AE7B69" w:rsidRDefault="00AE7B69" w:rsidP="0069386C">
            <w:pPr>
              <w:jc w:val="center"/>
              <w:rPr>
                <w:szCs w:val="20"/>
              </w:rPr>
            </w:pPr>
          </w:p>
        </w:tc>
        <w:tc>
          <w:tcPr>
            <w:tcW w:w="1335" w:type="dxa"/>
            <w:shd w:val="clear" w:color="auto" w:fill="F2F2F2" w:themeFill="background1" w:themeFillShade="F2"/>
          </w:tcPr>
          <w:p w14:paraId="0CB10CB1" w14:textId="77777777" w:rsidR="00AE7B69" w:rsidRPr="00AE7B69" w:rsidRDefault="00AE7B69" w:rsidP="0069386C">
            <w:pPr>
              <w:jc w:val="center"/>
              <w:rPr>
                <w:szCs w:val="20"/>
              </w:rPr>
            </w:pPr>
          </w:p>
        </w:tc>
        <w:tc>
          <w:tcPr>
            <w:tcW w:w="645" w:type="dxa"/>
            <w:shd w:val="clear" w:color="auto" w:fill="F2F2F2" w:themeFill="background1" w:themeFillShade="F2"/>
          </w:tcPr>
          <w:p w14:paraId="7F408F67" w14:textId="77777777" w:rsidR="00AE7B69" w:rsidRPr="00AE7B69" w:rsidRDefault="00AE7B69" w:rsidP="0069386C">
            <w:pPr>
              <w:jc w:val="center"/>
              <w:rPr>
                <w:szCs w:val="20"/>
              </w:rPr>
            </w:pPr>
          </w:p>
        </w:tc>
      </w:tr>
      <w:tr w:rsidR="00AE7B69" w:rsidRPr="00AE7B69" w14:paraId="0921F07B" w14:textId="77777777" w:rsidTr="00EE2AE6">
        <w:trPr>
          <w:jc w:val="center"/>
        </w:trPr>
        <w:tc>
          <w:tcPr>
            <w:tcW w:w="460" w:type="dxa"/>
          </w:tcPr>
          <w:p w14:paraId="7335E87C" w14:textId="77777777" w:rsidR="00AE7B69" w:rsidRPr="00AE7B69" w:rsidRDefault="00AE7B69" w:rsidP="0069386C">
            <w:pPr>
              <w:jc w:val="center"/>
              <w:rPr>
                <w:b/>
                <w:szCs w:val="20"/>
              </w:rPr>
            </w:pPr>
            <w:r w:rsidRPr="00AE7B69">
              <w:rPr>
                <w:b/>
                <w:szCs w:val="20"/>
              </w:rPr>
              <w:t>4</w:t>
            </w:r>
          </w:p>
        </w:tc>
        <w:tc>
          <w:tcPr>
            <w:tcW w:w="1966" w:type="dxa"/>
          </w:tcPr>
          <w:p w14:paraId="7624DF32" w14:textId="77777777" w:rsidR="00AE7B69" w:rsidRPr="00AE7B69" w:rsidRDefault="00AE7B69" w:rsidP="00EE2AE6">
            <w:pPr>
              <w:jc w:val="left"/>
              <w:rPr>
                <w:b/>
                <w:szCs w:val="20"/>
              </w:rPr>
            </w:pPr>
            <w:r w:rsidRPr="00AE7B69">
              <w:rPr>
                <w:b/>
                <w:szCs w:val="20"/>
              </w:rPr>
              <w:t>Barbados</w:t>
            </w:r>
          </w:p>
        </w:tc>
        <w:tc>
          <w:tcPr>
            <w:tcW w:w="1416" w:type="dxa"/>
            <w:shd w:val="clear" w:color="auto" w:fill="D0E6F6" w:themeFill="accent6" w:themeFillTint="33"/>
          </w:tcPr>
          <w:p w14:paraId="7F936EA1" w14:textId="0310F5EA" w:rsidR="00AE7B69" w:rsidRPr="00AE7B69" w:rsidRDefault="002D5456" w:rsidP="0069386C">
            <w:pPr>
              <w:jc w:val="center"/>
              <w:rPr>
                <w:szCs w:val="20"/>
              </w:rPr>
            </w:pPr>
            <w:r>
              <w:rPr>
                <w:szCs w:val="20"/>
              </w:rPr>
              <w:t>Y</w:t>
            </w:r>
          </w:p>
        </w:tc>
        <w:tc>
          <w:tcPr>
            <w:tcW w:w="460" w:type="dxa"/>
            <w:shd w:val="clear" w:color="auto" w:fill="D0E6F6" w:themeFill="accent6" w:themeFillTint="33"/>
          </w:tcPr>
          <w:p w14:paraId="5608253A" w14:textId="07559E4F" w:rsidR="00AE7B69" w:rsidRPr="00AE7B69" w:rsidRDefault="002D5456" w:rsidP="0069386C">
            <w:pPr>
              <w:jc w:val="center"/>
              <w:rPr>
                <w:szCs w:val="20"/>
              </w:rPr>
            </w:pPr>
            <w:r>
              <w:rPr>
                <w:szCs w:val="20"/>
              </w:rPr>
              <w:t>3</w:t>
            </w:r>
          </w:p>
        </w:tc>
        <w:tc>
          <w:tcPr>
            <w:tcW w:w="1416" w:type="dxa"/>
            <w:shd w:val="clear" w:color="auto" w:fill="D0E6F6" w:themeFill="accent6" w:themeFillTint="33"/>
          </w:tcPr>
          <w:p w14:paraId="1188FCF6"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4F5D2981" w14:textId="77777777" w:rsidR="00AE7B69" w:rsidRPr="00AE7B69" w:rsidRDefault="00AE7B69" w:rsidP="0069386C">
            <w:pPr>
              <w:jc w:val="center"/>
              <w:rPr>
                <w:szCs w:val="20"/>
              </w:rPr>
            </w:pPr>
            <w:r w:rsidRPr="00AE7B69">
              <w:rPr>
                <w:szCs w:val="20"/>
              </w:rPr>
              <w:t>3</w:t>
            </w:r>
          </w:p>
        </w:tc>
        <w:tc>
          <w:tcPr>
            <w:tcW w:w="1481" w:type="dxa"/>
            <w:shd w:val="clear" w:color="auto" w:fill="E4E7E8" w:themeFill="accent4" w:themeFillTint="33"/>
          </w:tcPr>
          <w:p w14:paraId="440E2649" w14:textId="77777777" w:rsidR="00AE7B69" w:rsidRPr="00AE7B69" w:rsidRDefault="00AE7B69" w:rsidP="0069386C">
            <w:pPr>
              <w:jc w:val="center"/>
              <w:rPr>
                <w:szCs w:val="20"/>
              </w:rPr>
            </w:pPr>
          </w:p>
        </w:tc>
        <w:tc>
          <w:tcPr>
            <w:tcW w:w="1335" w:type="dxa"/>
            <w:shd w:val="clear" w:color="auto" w:fill="F2F2F2" w:themeFill="background1" w:themeFillShade="F2"/>
          </w:tcPr>
          <w:p w14:paraId="6DDF91FD" w14:textId="77777777" w:rsidR="00AE7B69" w:rsidRPr="00AE7B69" w:rsidRDefault="00AE7B69" w:rsidP="0069386C">
            <w:pPr>
              <w:jc w:val="center"/>
              <w:rPr>
                <w:szCs w:val="20"/>
              </w:rPr>
            </w:pPr>
          </w:p>
        </w:tc>
        <w:tc>
          <w:tcPr>
            <w:tcW w:w="645" w:type="dxa"/>
            <w:shd w:val="clear" w:color="auto" w:fill="F2F2F2" w:themeFill="background1" w:themeFillShade="F2"/>
          </w:tcPr>
          <w:p w14:paraId="34F07E16" w14:textId="77777777" w:rsidR="00AE7B69" w:rsidRPr="00AE7B69" w:rsidRDefault="00AE7B69" w:rsidP="0069386C">
            <w:pPr>
              <w:jc w:val="center"/>
              <w:rPr>
                <w:szCs w:val="20"/>
              </w:rPr>
            </w:pPr>
          </w:p>
        </w:tc>
      </w:tr>
      <w:tr w:rsidR="00AE7B69" w:rsidRPr="00AE7B69" w14:paraId="615F6F81" w14:textId="77777777" w:rsidTr="00160A48">
        <w:trPr>
          <w:jc w:val="center"/>
        </w:trPr>
        <w:tc>
          <w:tcPr>
            <w:tcW w:w="460" w:type="dxa"/>
          </w:tcPr>
          <w:p w14:paraId="76135408" w14:textId="77777777" w:rsidR="00AE7B69" w:rsidRPr="00AE7B69" w:rsidRDefault="00AE7B69" w:rsidP="0069386C">
            <w:pPr>
              <w:jc w:val="center"/>
              <w:rPr>
                <w:b/>
                <w:szCs w:val="20"/>
              </w:rPr>
            </w:pPr>
            <w:r w:rsidRPr="00AE7B69">
              <w:rPr>
                <w:b/>
                <w:szCs w:val="20"/>
              </w:rPr>
              <w:t>5</w:t>
            </w:r>
          </w:p>
        </w:tc>
        <w:tc>
          <w:tcPr>
            <w:tcW w:w="1966" w:type="dxa"/>
          </w:tcPr>
          <w:p w14:paraId="5E8B9D55" w14:textId="237C5072" w:rsidR="00AE7B69" w:rsidRPr="00AE7B69" w:rsidRDefault="00621A62" w:rsidP="00EE2AE6">
            <w:pPr>
              <w:jc w:val="left"/>
              <w:rPr>
                <w:b/>
                <w:szCs w:val="20"/>
              </w:rPr>
            </w:pPr>
            <w:r>
              <w:rPr>
                <w:b/>
                <w:szCs w:val="20"/>
              </w:rPr>
              <w:t xml:space="preserve">Kingdom of </w:t>
            </w:r>
            <w:r w:rsidR="00AE7B69" w:rsidRPr="00AE7B69">
              <w:rPr>
                <w:b/>
                <w:szCs w:val="20"/>
              </w:rPr>
              <w:t>Belgium</w:t>
            </w:r>
          </w:p>
        </w:tc>
        <w:tc>
          <w:tcPr>
            <w:tcW w:w="1416" w:type="dxa"/>
          </w:tcPr>
          <w:p w14:paraId="2D1FAB69" w14:textId="77777777" w:rsidR="00AE7B69" w:rsidRPr="00AE7B69" w:rsidRDefault="00AE7B69" w:rsidP="0069386C">
            <w:pPr>
              <w:jc w:val="center"/>
              <w:rPr>
                <w:szCs w:val="20"/>
              </w:rPr>
            </w:pPr>
            <w:r w:rsidRPr="00AE7B69">
              <w:rPr>
                <w:szCs w:val="20"/>
              </w:rPr>
              <w:t>Denounced</w:t>
            </w:r>
          </w:p>
        </w:tc>
        <w:tc>
          <w:tcPr>
            <w:tcW w:w="460" w:type="dxa"/>
          </w:tcPr>
          <w:p w14:paraId="32FF9358" w14:textId="77777777" w:rsidR="00AE7B69" w:rsidRPr="00AE7B69" w:rsidRDefault="00AE7B69" w:rsidP="0069386C">
            <w:pPr>
              <w:jc w:val="center"/>
              <w:rPr>
                <w:szCs w:val="20"/>
              </w:rPr>
            </w:pPr>
          </w:p>
        </w:tc>
        <w:tc>
          <w:tcPr>
            <w:tcW w:w="1416" w:type="dxa"/>
          </w:tcPr>
          <w:p w14:paraId="11C4534A" w14:textId="77777777" w:rsidR="00AE7B69" w:rsidRPr="00AE7B69" w:rsidRDefault="00AE7B69" w:rsidP="0069386C">
            <w:pPr>
              <w:jc w:val="center"/>
              <w:rPr>
                <w:szCs w:val="20"/>
              </w:rPr>
            </w:pPr>
            <w:r w:rsidRPr="00AE7B69">
              <w:rPr>
                <w:szCs w:val="20"/>
              </w:rPr>
              <w:t>Denounced</w:t>
            </w:r>
          </w:p>
        </w:tc>
        <w:tc>
          <w:tcPr>
            <w:tcW w:w="460" w:type="dxa"/>
            <w:shd w:val="clear" w:color="auto" w:fill="auto"/>
          </w:tcPr>
          <w:p w14:paraId="33BBF9D4" w14:textId="77777777" w:rsidR="00AE7B69" w:rsidRPr="00AE7B69" w:rsidRDefault="00AE7B69" w:rsidP="0069386C">
            <w:pPr>
              <w:jc w:val="center"/>
              <w:rPr>
                <w:szCs w:val="20"/>
              </w:rPr>
            </w:pPr>
          </w:p>
        </w:tc>
        <w:tc>
          <w:tcPr>
            <w:tcW w:w="1481" w:type="dxa"/>
            <w:shd w:val="clear" w:color="auto" w:fill="E4E7E8" w:themeFill="accent4" w:themeFillTint="33"/>
          </w:tcPr>
          <w:p w14:paraId="4D6BF97B" w14:textId="77777777" w:rsidR="00AE7B69" w:rsidRPr="00AE7B69" w:rsidRDefault="00AE7B69" w:rsidP="0069386C">
            <w:pPr>
              <w:jc w:val="center"/>
              <w:rPr>
                <w:szCs w:val="20"/>
              </w:rPr>
            </w:pPr>
          </w:p>
        </w:tc>
        <w:tc>
          <w:tcPr>
            <w:tcW w:w="1335" w:type="dxa"/>
            <w:shd w:val="clear" w:color="auto" w:fill="D0E6F6" w:themeFill="accent6" w:themeFillTint="33"/>
          </w:tcPr>
          <w:p w14:paraId="424EB7C1"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60EC394F" w14:textId="77777777" w:rsidR="00AE7B69" w:rsidRPr="00AE7B69" w:rsidRDefault="00AE7B69" w:rsidP="0069386C">
            <w:pPr>
              <w:jc w:val="center"/>
              <w:rPr>
                <w:szCs w:val="20"/>
              </w:rPr>
            </w:pPr>
            <w:r w:rsidRPr="00AE7B69">
              <w:rPr>
                <w:szCs w:val="20"/>
              </w:rPr>
              <w:t>2</w:t>
            </w:r>
          </w:p>
        </w:tc>
      </w:tr>
      <w:tr w:rsidR="00AE7B69" w:rsidRPr="00AE7B69" w14:paraId="22D7EC69" w14:textId="77777777" w:rsidTr="00160A48">
        <w:trPr>
          <w:jc w:val="center"/>
        </w:trPr>
        <w:tc>
          <w:tcPr>
            <w:tcW w:w="460" w:type="dxa"/>
          </w:tcPr>
          <w:p w14:paraId="25457F9B" w14:textId="77777777" w:rsidR="00AE7B69" w:rsidRPr="00AE7B69" w:rsidRDefault="00AE7B69" w:rsidP="0069386C">
            <w:pPr>
              <w:jc w:val="center"/>
              <w:rPr>
                <w:b/>
                <w:szCs w:val="20"/>
              </w:rPr>
            </w:pPr>
            <w:r w:rsidRPr="00AE7B69">
              <w:rPr>
                <w:b/>
                <w:szCs w:val="20"/>
              </w:rPr>
              <w:t>6</w:t>
            </w:r>
          </w:p>
        </w:tc>
        <w:tc>
          <w:tcPr>
            <w:tcW w:w="1966" w:type="dxa"/>
          </w:tcPr>
          <w:p w14:paraId="763D2BAE" w14:textId="77777777" w:rsidR="00AE7B69" w:rsidRPr="00AE7B69" w:rsidRDefault="00AE7B69" w:rsidP="00EE2AE6">
            <w:pPr>
              <w:jc w:val="left"/>
              <w:rPr>
                <w:b/>
                <w:szCs w:val="20"/>
              </w:rPr>
            </w:pPr>
            <w:r w:rsidRPr="00AE7B69">
              <w:rPr>
                <w:b/>
                <w:szCs w:val="20"/>
              </w:rPr>
              <w:t>Belize</w:t>
            </w:r>
          </w:p>
        </w:tc>
        <w:tc>
          <w:tcPr>
            <w:tcW w:w="1416" w:type="dxa"/>
          </w:tcPr>
          <w:p w14:paraId="23C1B244" w14:textId="77777777" w:rsidR="00AE7B69" w:rsidRPr="00AE7B69" w:rsidRDefault="00AE7B69" w:rsidP="0069386C">
            <w:pPr>
              <w:jc w:val="center"/>
              <w:rPr>
                <w:szCs w:val="20"/>
              </w:rPr>
            </w:pPr>
            <w:r w:rsidRPr="00AE7B69">
              <w:rPr>
                <w:szCs w:val="20"/>
              </w:rPr>
              <w:t>Denounced</w:t>
            </w:r>
          </w:p>
        </w:tc>
        <w:tc>
          <w:tcPr>
            <w:tcW w:w="460" w:type="dxa"/>
            <w:shd w:val="clear" w:color="auto" w:fill="F2F2F2" w:themeFill="background1" w:themeFillShade="F2"/>
          </w:tcPr>
          <w:p w14:paraId="58E09E83" w14:textId="77777777" w:rsidR="00AE7B69" w:rsidRPr="00AE7B69" w:rsidRDefault="00AE7B69" w:rsidP="0069386C">
            <w:pPr>
              <w:jc w:val="center"/>
              <w:rPr>
                <w:szCs w:val="20"/>
              </w:rPr>
            </w:pPr>
          </w:p>
        </w:tc>
        <w:tc>
          <w:tcPr>
            <w:tcW w:w="1416" w:type="dxa"/>
            <w:shd w:val="clear" w:color="auto" w:fill="F2F2F2" w:themeFill="background1" w:themeFillShade="F2"/>
          </w:tcPr>
          <w:p w14:paraId="3C2DF031" w14:textId="77777777" w:rsidR="00AE7B69" w:rsidRPr="00AE7B69" w:rsidRDefault="00AE7B69" w:rsidP="0069386C">
            <w:pPr>
              <w:jc w:val="center"/>
              <w:rPr>
                <w:szCs w:val="20"/>
              </w:rPr>
            </w:pPr>
          </w:p>
        </w:tc>
        <w:tc>
          <w:tcPr>
            <w:tcW w:w="460" w:type="dxa"/>
            <w:shd w:val="clear" w:color="auto" w:fill="F2F2F2" w:themeFill="background1" w:themeFillShade="F2"/>
          </w:tcPr>
          <w:p w14:paraId="49645128" w14:textId="77777777" w:rsidR="00AE7B69" w:rsidRPr="00AE7B69" w:rsidRDefault="00AE7B69" w:rsidP="0069386C">
            <w:pPr>
              <w:jc w:val="center"/>
              <w:rPr>
                <w:szCs w:val="20"/>
              </w:rPr>
            </w:pPr>
          </w:p>
        </w:tc>
        <w:tc>
          <w:tcPr>
            <w:tcW w:w="1481" w:type="dxa"/>
            <w:shd w:val="clear" w:color="auto" w:fill="E4E7E8" w:themeFill="accent4" w:themeFillTint="33"/>
          </w:tcPr>
          <w:p w14:paraId="288A3EB4" w14:textId="77777777" w:rsidR="00AE7B69" w:rsidRPr="00AE7B69" w:rsidRDefault="00AE7B69" w:rsidP="0069386C">
            <w:pPr>
              <w:jc w:val="center"/>
              <w:rPr>
                <w:szCs w:val="20"/>
              </w:rPr>
            </w:pPr>
          </w:p>
        </w:tc>
        <w:tc>
          <w:tcPr>
            <w:tcW w:w="1335" w:type="dxa"/>
            <w:shd w:val="clear" w:color="auto" w:fill="D0E6F6" w:themeFill="accent6" w:themeFillTint="33"/>
          </w:tcPr>
          <w:p w14:paraId="5A944AB1"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06025733" w14:textId="77777777" w:rsidR="00AE7B69" w:rsidRPr="00AE7B69" w:rsidRDefault="00AE7B69" w:rsidP="0069386C">
            <w:pPr>
              <w:jc w:val="center"/>
              <w:rPr>
                <w:szCs w:val="20"/>
              </w:rPr>
            </w:pPr>
            <w:r w:rsidRPr="00AE7B69">
              <w:rPr>
                <w:szCs w:val="20"/>
              </w:rPr>
              <w:t>3</w:t>
            </w:r>
          </w:p>
        </w:tc>
      </w:tr>
      <w:tr w:rsidR="00AE7B69" w:rsidRPr="00AE7B69" w14:paraId="7137939C" w14:textId="77777777" w:rsidTr="00160A48">
        <w:trPr>
          <w:jc w:val="center"/>
        </w:trPr>
        <w:tc>
          <w:tcPr>
            <w:tcW w:w="460" w:type="dxa"/>
          </w:tcPr>
          <w:p w14:paraId="50954A6A" w14:textId="77777777" w:rsidR="00AE7B69" w:rsidRPr="00AE7B69" w:rsidRDefault="00AE7B69" w:rsidP="0069386C">
            <w:pPr>
              <w:jc w:val="center"/>
              <w:rPr>
                <w:b/>
                <w:szCs w:val="20"/>
              </w:rPr>
            </w:pPr>
            <w:r w:rsidRPr="00AE7B69">
              <w:rPr>
                <w:b/>
                <w:szCs w:val="20"/>
              </w:rPr>
              <w:t>7</w:t>
            </w:r>
          </w:p>
        </w:tc>
        <w:tc>
          <w:tcPr>
            <w:tcW w:w="1966" w:type="dxa"/>
          </w:tcPr>
          <w:p w14:paraId="0A54AF49" w14:textId="569BDC88" w:rsidR="00AE7B69" w:rsidRPr="00AE7B69" w:rsidRDefault="00621A62" w:rsidP="00EE2AE6">
            <w:pPr>
              <w:jc w:val="left"/>
              <w:rPr>
                <w:b/>
                <w:szCs w:val="20"/>
              </w:rPr>
            </w:pPr>
            <w:r>
              <w:rPr>
                <w:b/>
                <w:szCs w:val="20"/>
              </w:rPr>
              <w:t xml:space="preserve">Republic of </w:t>
            </w:r>
            <w:r w:rsidR="00AE7B69" w:rsidRPr="00AE7B69">
              <w:rPr>
                <w:b/>
                <w:szCs w:val="20"/>
              </w:rPr>
              <w:t>Bulgaria</w:t>
            </w:r>
          </w:p>
        </w:tc>
        <w:tc>
          <w:tcPr>
            <w:tcW w:w="1416" w:type="dxa"/>
            <w:shd w:val="clear" w:color="auto" w:fill="F2F2F2" w:themeFill="background1" w:themeFillShade="F2"/>
          </w:tcPr>
          <w:p w14:paraId="6DD530C6" w14:textId="77777777" w:rsidR="00AE7B69" w:rsidRPr="00AE7B69" w:rsidRDefault="00AE7B69" w:rsidP="0069386C">
            <w:pPr>
              <w:jc w:val="center"/>
              <w:rPr>
                <w:szCs w:val="20"/>
              </w:rPr>
            </w:pPr>
          </w:p>
        </w:tc>
        <w:tc>
          <w:tcPr>
            <w:tcW w:w="460" w:type="dxa"/>
            <w:shd w:val="clear" w:color="auto" w:fill="F2F2F2" w:themeFill="background1" w:themeFillShade="F2"/>
          </w:tcPr>
          <w:p w14:paraId="26BD110B" w14:textId="77777777" w:rsidR="00AE7B69" w:rsidRPr="00AE7B69" w:rsidRDefault="00AE7B69" w:rsidP="0069386C">
            <w:pPr>
              <w:jc w:val="center"/>
              <w:rPr>
                <w:szCs w:val="20"/>
              </w:rPr>
            </w:pPr>
          </w:p>
        </w:tc>
        <w:tc>
          <w:tcPr>
            <w:tcW w:w="1416" w:type="dxa"/>
            <w:shd w:val="clear" w:color="auto" w:fill="F2F2F2" w:themeFill="background1" w:themeFillShade="F2"/>
          </w:tcPr>
          <w:p w14:paraId="3E43A93D" w14:textId="77777777" w:rsidR="00AE7B69" w:rsidRPr="00AE7B69" w:rsidRDefault="00AE7B69" w:rsidP="0069386C">
            <w:pPr>
              <w:jc w:val="center"/>
              <w:rPr>
                <w:szCs w:val="20"/>
              </w:rPr>
            </w:pPr>
          </w:p>
        </w:tc>
        <w:tc>
          <w:tcPr>
            <w:tcW w:w="460" w:type="dxa"/>
            <w:shd w:val="clear" w:color="auto" w:fill="F2F2F2" w:themeFill="background1" w:themeFillShade="F2"/>
          </w:tcPr>
          <w:p w14:paraId="44C0659F" w14:textId="77777777" w:rsidR="00AE7B69" w:rsidRPr="00AE7B69" w:rsidRDefault="00AE7B69" w:rsidP="0069386C">
            <w:pPr>
              <w:jc w:val="center"/>
              <w:rPr>
                <w:szCs w:val="20"/>
              </w:rPr>
            </w:pPr>
          </w:p>
        </w:tc>
        <w:tc>
          <w:tcPr>
            <w:tcW w:w="1481" w:type="dxa"/>
            <w:shd w:val="clear" w:color="auto" w:fill="E4E7E8" w:themeFill="accent4" w:themeFillTint="33"/>
          </w:tcPr>
          <w:p w14:paraId="24076426" w14:textId="77777777" w:rsidR="00AE7B69" w:rsidRPr="00AE7B69" w:rsidRDefault="00AE7B69" w:rsidP="0069386C">
            <w:pPr>
              <w:jc w:val="center"/>
              <w:rPr>
                <w:szCs w:val="20"/>
              </w:rPr>
            </w:pPr>
          </w:p>
        </w:tc>
        <w:tc>
          <w:tcPr>
            <w:tcW w:w="1335" w:type="dxa"/>
            <w:shd w:val="clear" w:color="auto" w:fill="D0E6F6" w:themeFill="accent6" w:themeFillTint="33"/>
          </w:tcPr>
          <w:p w14:paraId="4A99C20C"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07B621B3" w14:textId="77777777" w:rsidR="00AE7B69" w:rsidRPr="00AE7B69" w:rsidRDefault="00AE7B69" w:rsidP="0069386C">
            <w:pPr>
              <w:jc w:val="center"/>
              <w:rPr>
                <w:szCs w:val="20"/>
              </w:rPr>
            </w:pPr>
            <w:r w:rsidRPr="00AE7B69">
              <w:rPr>
                <w:szCs w:val="20"/>
              </w:rPr>
              <w:t>4</w:t>
            </w:r>
          </w:p>
        </w:tc>
      </w:tr>
      <w:tr w:rsidR="00AE7B69" w:rsidRPr="00AE7B69" w14:paraId="1474C0F2" w14:textId="77777777" w:rsidTr="00160A48">
        <w:trPr>
          <w:jc w:val="center"/>
        </w:trPr>
        <w:tc>
          <w:tcPr>
            <w:tcW w:w="460" w:type="dxa"/>
          </w:tcPr>
          <w:p w14:paraId="7C26C1BA" w14:textId="77777777" w:rsidR="00AE7B69" w:rsidRPr="00AE7B69" w:rsidRDefault="00AE7B69" w:rsidP="0069386C">
            <w:pPr>
              <w:jc w:val="center"/>
              <w:rPr>
                <w:b/>
                <w:szCs w:val="20"/>
              </w:rPr>
            </w:pPr>
            <w:r w:rsidRPr="00AE7B69">
              <w:rPr>
                <w:b/>
                <w:szCs w:val="20"/>
              </w:rPr>
              <w:t>8</w:t>
            </w:r>
          </w:p>
        </w:tc>
        <w:tc>
          <w:tcPr>
            <w:tcW w:w="1966" w:type="dxa"/>
          </w:tcPr>
          <w:p w14:paraId="75E2F8B9" w14:textId="6DD17923" w:rsidR="00AE7B69" w:rsidRPr="00AE7B69" w:rsidRDefault="00D76199" w:rsidP="00EE2AE6">
            <w:pPr>
              <w:jc w:val="left"/>
              <w:rPr>
                <w:b/>
                <w:szCs w:val="20"/>
              </w:rPr>
            </w:pPr>
            <w:r>
              <w:rPr>
                <w:b/>
                <w:szCs w:val="20"/>
              </w:rPr>
              <w:t xml:space="preserve">People’s Republic of </w:t>
            </w:r>
            <w:r w:rsidR="00AE7B69" w:rsidRPr="00AE7B69">
              <w:rPr>
                <w:b/>
                <w:szCs w:val="20"/>
              </w:rPr>
              <w:t>China</w:t>
            </w:r>
          </w:p>
        </w:tc>
        <w:tc>
          <w:tcPr>
            <w:tcW w:w="1416" w:type="dxa"/>
            <w:shd w:val="clear" w:color="auto" w:fill="D0E6F6" w:themeFill="accent6" w:themeFillTint="33"/>
          </w:tcPr>
          <w:p w14:paraId="1F6CD0AA" w14:textId="77777777" w:rsidR="00AE7B69" w:rsidRPr="00AE7B69" w:rsidRDefault="00AE7B69" w:rsidP="0069386C">
            <w:pPr>
              <w:jc w:val="center"/>
              <w:rPr>
                <w:szCs w:val="20"/>
              </w:rPr>
            </w:pPr>
            <w:r w:rsidRPr="00AE7B69">
              <w:rPr>
                <w:szCs w:val="20"/>
              </w:rPr>
              <w:t>Y</w:t>
            </w:r>
            <w:r w:rsidRPr="00AE7B69">
              <w:rPr>
                <w:rStyle w:val="FootnoteReference"/>
                <w:b/>
                <w:szCs w:val="20"/>
              </w:rPr>
              <w:footnoteReference w:id="35"/>
            </w:r>
          </w:p>
        </w:tc>
        <w:tc>
          <w:tcPr>
            <w:tcW w:w="460" w:type="dxa"/>
            <w:shd w:val="clear" w:color="auto" w:fill="D0E6F6" w:themeFill="accent6" w:themeFillTint="33"/>
          </w:tcPr>
          <w:p w14:paraId="2C8DBC30" w14:textId="6FB85EAC" w:rsidR="00AE7B69" w:rsidRPr="00AE7B69" w:rsidRDefault="002B5214" w:rsidP="0069386C">
            <w:pPr>
              <w:jc w:val="center"/>
              <w:rPr>
                <w:szCs w:val="20"/>
              </w:rPr>
            </w:pPr>
            <w:r>
              <w:rPr>
                <w:szCs w:val="20"/>
              </w:rPr>
              <w:t>4</w:t>
            </w:r>
          </w:p>
        </w:tc>
        <w:tc>
          <w:tcPr>
            <w:tcW w:w="1416" w:type="dxa"/>
            <w:shd w:val="clear" w:color="auto" w:fill="D0E6F6" w:themeFill="accent6" w:themeFillTint="33"/>
          </w:tcPr>
          <w:p w14:paraId="54793A47" w14:textId="77777777" w:rsidR="00AE7B69" w:rsidRPr="00AE7B69" w:rsidRDefault="00AE7B69" w:rsidP="0069386C">
            <w:pPr>
              <w:jc w:val="center"/>
              <w:rPr>
                <w:szCs w:val="20"/>
              </w:rPr>
            </w:pPr>
            <w:r w:rsidRPr="00AE7B69">
              <w:rPr>
                <w:szCs w:val="20"/>
              </w:rPr>
              <w:t>Y</w:t>
            </w:r>
            <w:r w:rsidRPr="00AE7B69">
              <w:rPr>
                <w:rStyle w:val="FootnoteReference"/>
                <w:b/>
                <w:szCs w:val="20"/>
              </w:rPr>
              <w:footnoteReference w:id="36"/>
            </w:r>
          </w:p>
        </w:tc>
        <w:tc>
          <w:tcPr>
            <w:tcW w:w="460" w:type="dxa"/>
            <w:shd w:val="clear" w:color="auto" w:fill="D0E6F6" w:themeFill="accent6" w:themeFillTint="33"/>
          </w:tcPr>
          <w:p w14:paraId="49BDA283" w14:textId="77777777" w:rsidR="00AE7B69" w:rsidRPr="00AE7B69" w:rsidRDefault="00AE7B69" w:rsidP="0069386C">
            <w:pPr>
              <w:jc w:val="center"/>
              <w:rPr>
                <w:szCs w:val="20"/>
              </w:rPr>
            </w:pPr>
            <w:r w:rsidRPr="00AE7B69">
              <w:rPr>
                <w:szCs w:val="20"/>
              </w:rPr>
              <w:t>4</w:t>
            </w:r>
          </w:p>
        </w:tc>
        <w:tc>
          <w:tcPr>
            <w:tcW w:w="1481" w:type="dxa"/>
            <w:shd w:val="clear" w:color="auto" w:fill="E4E7E8" w:themeFill="accent4" w:themeFillTint="33"/>
          </w:tcPr>
          <w:p w14:paraId="0B106AF0" w14:textId="77777777" w:rsidR="00AE7B69" w:rsidRPr="00AE7B69" w:rsidRDefault="00AE7B69" w:rsidP="0069386C">
            <w:pPr>
              <w:jc w:val="center"/>
              <w:rPr>
                <w:szCs w:val="20"/>
              </w:rPr>
            </w:pPr>
          </w:p>
        </w:tc>
        <w:tc>
          <w:tcPr>
            <w:tcW w:w="1335" w:type="dxa"/>
            <w:shd w:val="clear" w:color="auto" w:fill="F2F2F2" w:themeFill="background1" w:themeFillShade="F2"/>
          </w:tcPr>
          <w:p w14:paraId="0FE32985" w14:textId="77777777" w:rsidR="00AE7B69" w:rsidRPr="00AE7B69" w:rsidRDefault="00AE7B69" w:rsidP="0069386C">
            <w:pPr>
              <w:jc w:val="center"/>
              <w:rPr>
                <w:szCs w:val="20"/>
              </w:rPr>
            </w:pPr>
          </w:p>
        </w:tc>
        <w:tc>
          <w:tcPr>
            <w:tcW w:w="645" w:type="dxa"/>
            <w:shd w:val="clear" w:color="auto" w:fill="F2F2F2" w:themeFill="background1" w:themeFillShade="F2"/>
          </w:tcPr>
          <w:p w14:paraId="18BC8CDD" w14:textId="77777777" w:rsidR="00AE7B69" w:rsidRPr="00AE7B69" w:rsidRDefault="00AE7B69" w:rsidP="0069386C">
            <w:pPr>
              <w:jc w:val="center"/>
              <w:rPr>
                <w:szCs w:val="20"/>
              </w:rPr>
            </w:pPr>
          </w:p>
        </w:tc>
      </w:tr>
      <w:tr w:rsidR="00AE7B69" w:rsidRPr="00AE7B69" w14:paraId="2DA4F3AA" w14:textId="77777777" w:rsidTr="00160A48">
        <w:trPr>
          <w:jc w:val="center"/>
        </w:trPr>
        <w:tc>
          <w:tcPr>
            <w:tcW w:w="460" w:type="dxa"/>
          </w:tcPr>
          <w:p w14:paraId="5E1AC267" w14:textId="77777777" w:rsidR="00AE7B69" w:rsidRPr="00AE7B69" w:rsidRDefault="00AE7B69" w:rsidP="0069386C">
            <w:pPr>
              <w:jc w:val="center"/>
              <w:rPr>
                <w:b/>
                <w:szCs w:val="20"/>
              </w:rPr>
            </w:pPr>
            <w:r w:rsidRPr="00AE7B69">
              <w:rPr>
                <w:b/>
                <w:szCs w:val="20"/>
              </w:rPr>
              <w:t>9</w:t>
            </w:r>
          </w:p>
        </w:tc>
        <w:tc>
          <w:tcPr>
            <w:tcW w:w="1966" w:type="dxa"/>
          </w:tcPr>
          <w:p w14:paraId="43A0D5FD" w14:textId="77777777" w:rsidR="00AE7B69" w:rsidRPr="00AE7B69" w:rsidRDefault="00AE7B69" w:rsidP="00EE2AE6">
            <w:pPr>
              <w:jc w:val="left"/>
              <w:rPr>
                <w:b/>
                <w:szCs w:val="20"/>
              </w:rPr>
            </w:pPr>
            <w:r w:rsidRPr="00AE7B69">
              <w:rPr>
                <w:b/>
                <w:szCs w:val="20"/>
              </w:rPr>
              <w:t>Congo</w:t>
            </w:r>
          </w:p>
        </w:tc>
        <w:tc>
          <w:tcPr>
            <w:tcW w:w="1416" w:type="dxa"/>
            <w:shd w:val="clear" w:color="auto" w:fill="D0E6F6" w:themeFill="accent6" w:themeFillTint="33"/>
          </w:tcPr>
          <w:p w14:paraId="0C3E2C52"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4836FE5C" w14:textId="0F14F2C2" w:rsidR="00AE7B69" w:rsidRPr="00AE7B69" w:rsidRDefault="002B5214" w:rsidP="0069386C">
            <w:pPr>
              <w:jc w:val="center"/>
              <w:rPr>
                <w:szCs w:val="20"/>
              </w:rPr>
            </w:pPr>
            <w:r>
              <w:rPr>
                <w:szCs w:val="20"/>
              </w:rPr>
              <w:t>5</w:t>
            </w:r>
          </w:p>
        </w:tc>
        <w:tc>
          <w:tcPr>
            <w:tcW w:w="1416" w:type="dxa"/>
            <w:shd w:val="clear" w:color="auto" w:fill="F2F2F2" w:themeFill="background1" w:themeFillShade="F2"/>
          </w:tcPr>
          <w:p w14:paraId="00C8EE96" w14:textId="77777777" w:rsidR="00AE7B69" w:rsidRPr="00AE7B69" w:rsidRDefault="00AE7B69" w:rsidP="0069386C">
            <w:pPr>
              <w:jc w:val="center"/>
              <w:rPr>
                <w:szCs w:val="20"/>
              </w:rPr>
            </w:pPr>
          </w:p>
        </w:tc>
        <w:tc>
          <w:tcPr>
            <w:tcW w:w="460" w:type="dxa"/>
            <w:shd w:val="clear" w:color="auto" w:fill="F2F2F2" w:themeFill="background1" w:themeFillShade="F2"/>
          </w:tcPr>
          <w:p w14:paraId="377597D5" w14:textId="77777777" w:rsidR="00AE7B69" w:rsidRPr="00AE7B69" w:rsidRDefault="00AE7B69" w:rsidP="0069386C">
            <w:pPr>
              <w:jc w:val="center"/>
              <w:rPr>
                <w:szCs w:val="20"/>
              </w:rPr>
            </w:pPr>
          </w:p>
        </w:tc>
        <w:tc>
          <w:tcPr>
            <w:tcW w:w="1481" w:type="dxa"/>
            <w:shd w:val="clear" w:color="auto" w:fill="E4E7E8" w:themeFill="accent4" w:themeFillTint="33"/>
          </w:tcPr>
          <w:p w14:paraId="354E87B8" w14:textId="77777777" w:rsidR="00AE7B69" w:rsidRPr="00AE7B69" w:rsidRDefault="00AE7B69" w:rsidP="0069386C">
            <w:pPr>
              <w:jc w:val="center"/>
              <w:rPr>
                <w:szCs w:val="20"/>
              </w:rPr>
            </w:pPr>
          </w:p>
        </w:tc>
        <w:tc>
          <w:tcPr>
            <w:tcW w:w="1335" w:type="dxa"/>
            <w:shd w:val="clear" w:color="auto" w:fill="F2F2F2" w:themeFill="background1" w:themeFillShade="F2"/>
          </w:tcPr>
          <w:p w14:paraId="20B96BC5" w14:textId="77777777" w:rsidR="00AE7B69" w:rsidRPr="00AE7B69" w:rsidRDefault="00AE7B69" w:rsidP="0069386C">
            <w:pPr>
              <w:jc w:val="center"/>
              <w:rPr>
                <w:szCs w:val="20"/>
              </w:rPr>
            </w:pPr>
          </w:p>
        </w:tc>
        <w:tc>
          <w:tcPr>
            <w:tcW w:w="645" w:type="dxa"/>
            <w:shd w:val="clear" w:color="auto" w:fill="F2F2F2" w:themeFill="background1" w:themeFillShade="F2"/>
          </w:tcPr>
          <w:p w14:paraId="04683AD0" w14:textId="77777777" w:rsidR="00AE7B69" w:rsidRPr="00AE7B69" w:rsidRDefault="00AE7B69" w:rsidP="0069386C">
            <w:pPr>
              <w:jc w:val="center"/>
              <w:rPr>
                <w:szCs w:val="20"/>
              </w:rPr>
            </w:pPr>
          </w:p>
        </w:tc>
      </w:tr>
      <w:tr w:rsidR="00AE7B69" w:rsidRPr="00AE7B69" w14:paraId="460BD127" w14:textId="77777777" w:rsidTr="00160A48">
        <w:trPr>
          <w:jc w:val="center"/>
        </w:trPr>
        <w:tc>
          <w:tcPr>
            <w:tcW w:w="460" w:type="dxa"/>
          </w:tcPr>
          <w:p w14:paraId="2C2479C8" w14:textId="77777777" w:rsidR="00AE7B69" w:rsidRPr="00AE7B69" w:rsidRDefault="00AE7B69" w:rsidP="0069386C">
            <w:pPr>
              <w:jc w:val="center"/>
              <w:rPr>
                <w:b/>
                <w:szCs w:val="20"/>
              </w:rPr>
            </w:pPr>
            <w:r w:rsidRPr="00AE7B69">
              <w:rPr>
                <w:b/>
                <w:szCs w:val="20"/>
              </w:rPr>
              <w:t>10</w:t>
            </w:r>
          </w:p>
        </w:tc>
        <w:tc>
          <w:tcPr>
            <w:tcW w:w="1966" w:type="dxa"/>
          </w:tcPr>
          <w:p w14:paraId="0E60A9E7" w14:textId="6614EFED" w:rsidR="00AE7B69" w:rsidRPr="00AE7B69" w:rsidRDefault="00621A62" w:rsidP="00EE2AE6">
            <w:pPr>
              <w:jc w:val="left"/>
              <w:rPr>
                <w:b/>
                <w:szCs w:val="20"/>
              </w:rPr>
            </w:pPr>
            <w:r w:rsidRPr="00621A62">
              <w:rPr>
                <w:b/>
                <w:szCs w:val="20"/>
              </w:rPr>
              <w:t xml:space="preserve">Republic of </w:t>
            </w:r>
            <w:r w:rsidR="00AE7B69" w:rsidRPr="00AE7B69">
              <w:rPr>
                <w:b/>
                <w:szCs w:val="20"/>
              </w:rPr>
              <w:t>Croatia</w:t>
            </w:r>
          </w:p>
        </w:tc>
        <w:tc>
          <w:tcPr>
            <w:tcW w:w="1416" w:type="dxa"/>
          </w:tcPr>
          <w:p w14:paraId="2D62B7E5" w14:textId="77777777" w:rsidR="00AE7B69" w:rsidRPr="00AE7B69" w:rsidRDefault="00AE7B69" w:rsidP="0069386C">
            <w:pPr>
              <w:jc w:val="center"/>
              <w:rPr>
                <w:szCs w:val="20"/>
              </w:rPr>
            </w:pPr>
            <w:r w:rsidRPr="00AE7B69">
              <w:rPr>
                <w:szCs w:val="20"/>
              </w:rPr>
              <w:t>Denounced</w:t>
            </w:r>
          </w:p>
        </w:tc>
        <w:tc>
          <w:tcPr>
            <w:tcW w:w="460" w:type="dxa"/>
          </w:tcPr>
          <w:p w14:paraId="3F358FC7" w14:textId="77777777" w:rsidR="00AE7B69" w:rsidRPr="00AE7B69" w:rsidRDefault="00AE7B69" w:rsidP="0069386C">
            <w:pPr>
              <w:jc w:val="center"/>
              <w:rPr>
                <w:szCs w:val="20"/>
              </w:rPr>
            </w:pPr>
          </w:p>
        </w:tc>
        <w:tc>
          <w:tcPr>
            <w:tcW w:w="1416" w:type="dxa"/>
          </w:tcPr>
          <w:p w14:paraId="04D998FE" w14:textId="77777777" w:rsidR="00AE7B69" w:rsidRPr="00AE7B69" w:rsidRDefault="00AE7B69" w:rsidP="0069386C">
            <w:pPr>
              <w:jc w:val="center"/>
              <w:rPr>
                <w:szCs w:val="20"/>
              </w:rPr>
            </w:pPr>
            <w:r w:rsidRPr="00AE7B69">
              <w:rPr>
                <w:szCs w:val="20"/>
              </w:rPr>
              <w:t>Denounced</w:t>
            </w:r>
          </w:p>
        </w:tc>
        <w:tc>
          <w:tcPr>
            <w:tcW w:w="460" w:type="dxa"/>
            <w:shd w:val="clear" w:color="auto" w:fill="auto"/>
          </w:tcPr>
          <w:p w14:paraId="2ACEF7A1" w14:textId="77777777" w:rsidR="00AE7B69" w:rsidRPr="00AE7B69" w:rsidRDefault="00AE7B69" w:rsidP="0069386C">
            <w:pPr>
              <w:jc w:val="center"/>
              <w:rPr>
                <w:szCs w:val="20"/>
              </w:rPr>
            </w:pPr>
          </w:p>
        </w:tc>
        <w:tc>
          <w:tcPr>
            <w:tcW w:w="1481" w:type="dxa"/>
            <w:shd w:val="clear" w:color="auto" w:fill="E4E7E8" w:themeFill="accent4" w:themeFillTint="33"/>
          </w:tcPr>
          <w:p w14:paraId="60FEAD88" w14:textId="77777777" w:rsidR="00AE7B69" w:rsidRPr="00AE7B69" w:rsidRDefault="00AE7B69" w:rsidP="0069386C">
            <w:pPr>
              <w:jc w:val="center"/>
              <w:rPr>
                <w:szCs w:val="20"/>
              </w:rPr>
            </w:pPr>
            <w:r w:rsidRPr="00AE7B69">
              <w:rPr>
                <w:szCs w:val="20"/>
              </w:rPr>
              <w:t>Denounced</w:t>
            </w:r>
          </w:p>
        </w:tc>
        <w:tc>
          <w:tcPr>
            <w:tcW w:w="1335" w:type="dxa"/>
            <w:shd w:val="clear" w:color="auto" w:fill="D0E6F6" w:themeFill="accent6" w:themeFillTint="33"/>
          </w:tcPr>
          <w:p w14:paraId="255436A4"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2AC0EB33" w14:textId="77777777" w:rsidR="00AE7B69" w:rsidRPr="00AE7B69" w:rsidRDefault="00AE7B69" w:rsidP="0069386C">
            <w:pPr>
              <w:jc w:val="center"/>
              <w:rPr>
                <w:szCs w:val="20"/>
              </w:rPr>
            </w:pPr>
            <w:r w:rsidRPr="00AE7B69">
              <w:rPr>
                <w:szCs w:val="20"/>
              </w:rPr>
              <w:t>5</w:t>
            </w:r>
          </w:p>
        </w:tc>
      </w:tr>
      <w:tr w:rsidR="00AE7B69" w:rsidRPr="00AE7B69" w14:paraId="06BFA465" w14:textId="77777777" w:rsidTr="00160A48">
        <w:trPr>
          <w:jc w:val="center"/>
        </w:trPr>
        <w:tc>
          <w:tcPr>
            <w:tcW w:w="460" w:type="dxa"/>
          </w:tcPr>
          <w:p w14:paraId="4E63A5E6" w14:textId="77777777" w:rsidR="00AE7B69" w:rsidRPr="00AE7B69" w:rsidRDefault="00AE7B69" w:rsidP="0069386C">
            <w:pPr>
              <w:jc w:val="center"/>
              <w:rPr>
                <w:b/>
                <w:szCs w:val="20"/>
              </w:rPr>
            </w:pPr>
            <w:r w:rsidRPr="00AE7B69">
              <w:rPr>
                <w:b/>
                <w:szCs w:val="20"/>
              </w:rPr>
              <w:t>11</w:t>
            </w:r>
          </w:p>
        </w:tc>
        <w:tc>
          <w:tcPr>
            <w:tcW w:w="1966" w:type="dxa"/>
          </w:tcPr>
          <w:p w14:paraId="5FE05580" w14:textId="049EDC78" w:rsidR="00AE7B69" w:rsidRPr="00AE7B69" w:rsidRDefault="00621A62" w:rsidP="00EE2AE6">
            <w:pPr>
              <w:jc w:val="left"/>
              <w:rPr>
                <w:b/>
                <w:szCs w:val="20"/>
              </w:rPr>
            </w:pPr>
            <w:r>
              <w:rPr>
                <w:b/>
                <w:szCs w:val="20"/>
              </w:rPr>
              <w:t xml:space="preserve">Kingdom of </w:t>
            </w:r>
            <w:r w:rsidR="00AE7B69" w:rsidRPr="00AE7B69">
              <w:rPr>
                <w:b/>
                <w:szCs w:val="20"/>
              </w:rPr>
              <w:t>Denmark</w:t>
            </w:r>
          </w:p>
        </w:tc>
        <w:tc>
          <w:tcPr>
            <w:tcW w:w="1416" w:type="dxa"/>
            <w:shd w:val="clear" w:color="auto" w:fill="F2F2F2" w:themeFill="background1" w:themeFillShade="F2"/>
          </w:tcPr>
          <w:p w14:paraId="3C3CED63" w14:textId="77777777" w:rsidR="00AE7B69" w:rsidRPr="00AE7B69" w:rsidRDefault="00AE7B69" w:rsidP="0069386C">
            <w:pPr>
              <w:jc w:val="center"/>
              <w:rPr>
                <w:szCs w:val="20"/>
              </w:rPr>
            </w:pPr>
          </w:p>
        </w:tc>
        <w:tc>
          <w:tcPr>
            <w:tcW w:w="460" w:type="dxa"/>
            <w:shd w:val="clear" w:color="auto" w:fill="F2F2F2" w:themeFill="background1" w:themeFillShade="F2"/>
          </w:tcPr>
          <w:p w14:paraId="086BB94C" w14:textId="77777777" w:rsidR="00AE7B69" w:rsidRPr="00AE7B69" w:rsidRDefault="00AE7B69" w:rsidP="0069386C">
            <w:pPr>
              <w:jc w:val="center"/>
              <w:rPr>
                <w:szCs w:val="20"/>
              </w:rPr>
            </w:pPr>
          </w:p>
        </w:tc>
        <w:tc>
          <w:tcPr>
            <w:tcW w:w="1416" w:type="dxa"/>
            <w:shd w:val="clear" w:color="auto" w:fill="F2F2F2" w:themeFill="background1" w:themeFillShade="F2"/>
          </w:tcPr>
          <w:p w14:paraId="27B05348" w14:textId="77777777" w:rsidR="00AE7B69" w:rsidRPr="00AE7B69" w:rsidRDefault="00AE7B69" w:rsidP="0069386C">
            <w:pPr>
              <w:jc w:val="center"/>
              <w:rPr>
                <w:szCs w:val="20"/>
              </w:rPr>
            </w:pPr>
          </w:p>
        </w:tc>
        <w:tc>
          <w:tcPr>
            <w:tcW w:w="460" w:type="dxa"/>
            <w:shd w:val="clear" w:color="auto" w:fill="F2F2F2" w:themeFill="background1" w:themeFillShade="F2"/>
          </w:tcPr>
          <w:p w14:paraId="3277AD40" w14:textId="77777777" w:rsidR="00AE7B69" w:rsidRPr="00AE7B69" w:rsidRDefault="00AE7B69" w:rsidP="0069386C">
            <w:pPr>
              <w:jc w:val="center"/>
              <w:rPr>
                <w:szCs w:val="20"/>
              </w:rPr>
            </w:pPr>
          </w:p>
        </w:tc>
        <w:tc>
          <w:tcPr>
            <w:tcW w:w="1481" w:type="dxa"/>
            <w:shd w:val="clear" w:color="auto" w:fill="E4E7E8" w:themeFill="accent4" w:themeFillTint="33"/>
          </w:tcPr>
          <w:p w14:paraId="343E3DA7" w14:textId="77777777" w:rsidR="00AE7B69" w:rsidRPr="00AE7B69" w:rsidRDefault="00AE7B69" w:rsidP="0069386C">
            <w:pPr>
              <w:jc w:val="center"/>
              <w:rPr>
                <w:szCs w:val="20"/>
              </w:rPr>
            </w:pPr>
          </w:p>
        </w:tc>
        <w:tc>
          <w:tcPr>
            <w:tcW w:w="1335" w:type="dxa"/>
            <w:shd w:val="clear" w:color="auto" w:fill="D0E6F6" w:themeFill="accent6" w:themeFillTint="33"/>
          </w:tcPr>
          <w:p w14:paraId="52CFFB7F"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0FF00A16" w14:textId="77777777" w:rsidR="00AE7B69" w:rsidRPr="00AE7B69" w:rsidRDefault="00AE7B69" w:rsidP="0069386C">
            <w:pPr>
              <w:jc w:val="center"/>
              <w:rPr>
                <w:szCs w:val="20"/>
              </w:rPr>
            </w:pPr>
            <w:r w:rsidRPr="00AE7B69">
              <w:rPr>
                <w:szCs w:val="20"/>
              </w:rPr>
              <w:t>6</w:t>
            </w:r>
          </w:p>
        </w:tc>
      </w:tr>
      <w:tr w:rsidR="00AE7B69" w:rsidRPr="00AE7B69" w14:paraId="36FAD3ED" w14:textId="77777777" w:rsidTr="00160A48">
        <w:trPr>
          <w:jc w:val="center"/>
        </w:trPr>
        <w:tc>
          <w:tcPr>
            <w:tcW w:w="460" w:type="dxa"/>
          </w:tcPr>
          <w:p w14:paraId="0112653A" w14:textId="77777777" w:rsidR="00AE7B69" w:rsidRPr="00AE7B69" w:rsidRDefault="00AE7B69" w:rsidP="0069386C">
            <w:pPr>
              <w:jc w:val="center"/>
              <w:rPr>
                <w:b/>
                <w:szCs w:val="20"/>
              </w:rPr>
            </w:pPr>
            <w:r w:rsidRPr="00AE7B69">
              <w:rPr>
                <w:b/>
                <w:szCs w:val="20"/>
              </w:rPr>
              <w:t>12</w:t>
            </w:r>
          </w:p>
        </w:tc>
        <w:tc>
          <w:tcPr>
            <w:tcW w:w="1966" w:type="dxa"/>
          </w:tcPr>
          <w:p w14:paraId="39C20DD4" w14:textId="54FC76DC" w:rsidR="00AE7B69" w:rsidRPr="00AE7B69" w:rsidRDefault="00D76199" w:rsidP="00EE2AE6">
            <w:pPr>
              <w:jc w:val="left"/>
              <w:rPr>
                <w:b/>
                <w:szCs w:val="20"/>
              </w:rPr>
            </w:pPr>
            <w:r>
              <w:rPr>
                <w:b/>
                <w:szCs w:val="20"/>
              </w:rPr>
              <w:t xml:space="preserve">Commonwealth of </w:t>
            </w:r>
            <w:r w:rsidR="00AE7B69" w:rsidRPr="00AE7B69">
              <w:rPr>
                <w:b/>
                <w:szCs w:val="20"/>
              </w:rPr>
              <w:t>Dominica</w:t>
            </w:r>
          </w:p>
        </w:tc>
        <w:tc>
          <w:tcPr>
            <w:tcW w:w="1416" w:type="dxa"/>
            <w:shd w:val="clear" w:color="auto" w:fill="D0E6F6" w:themeFill="accent6" w:themeFillTint="33"/>
          </w:tcPr>
          <w:p w14:paraId="64995ADA"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6A3F4485" w14:textId="31B1C323" w:rsidR="00AE7B69" w:rsidRPr="00AE7B69" w:rsidRDefault="002B5214" w:rsidP="0069386C">
            <w:pPr>
              <w:jc w:val="center"/>
              <w:rPr>
                <w:szCs w:val="20"/>
              </w:rPr>
            </w:pPr>
            <w:r>
              <w:rPr>
                <w:szCs w:val="20"/>
              </w:rPr>
              <w:t>6</w:t>
            </w:r>
          </w:p>
        </w:tc>
        <w:tc>
          <w:tcPr>
            <w:tcW w:w="1416" w:type="dxa"/>
            <w:shd w:val="clear" w:color="auto" w:fill="D0E6F6" w:themeFill="accent6" w:themeFillTint="33"/>
          </w:tcPr>
          <w:p w14:paraId="18348EAA"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3351DC43" w14:textId="77777777" w:rsidR="00AE7B69" w:rsidRPr="00AE7B69" w:rsidRDefault="00AE7B69" w:rsidP="0069386C">
            <w:pPr>
              <w:jc w:val="center"/>
              <w:rPr>
                <w:szCs w:val="20"/>
              </w:rPr>
            </w:pPr>
            <w:r w:rsidRPr="00AE7B69">
              <w:rPr>
                <w:szCs w:val="20"/>
              </w:rPr>
              <w:t>5</w:t>
            </w:r>
          </w:p>
        </w:tc>
        <w:tc>
          <w:tcPr>
            <w:tcW w:w="1481" w:type="dxa"/>
            <w:shd w:val="clear" w:color="auto" w:fill="E4E7E8" w:themeFill="accent4" w:themeFillTint="33"/>
          </w:tcPr>
          <w:p w14:paraId="667BBB46" w14:textId="77777777" w:rsidR="00AE7B69" w:rsidRPr="00AE7B69" w:rsidRDefault="00AE7B69" w:rsidP="0069386C">
            <w:pPr>
              <w:jc w:val="center"/>
              <w:rPr>
                <w:szCs w:val="20"/>
              </w:rPr>
            </w:pPr>
          </w:p>
        </w:tc>
        <w:tc>
          <w:tcPr>
            <w:tcW w:w="1335" w:type="dxa"/>
            <w:shd w:val="clear" w:color="auto" w:fill="F2F2F2" w:themeFill="background1" w:themeFillShade="F2"/>
          </w:tcPr>
          <w:p w14:paraId="33CC4A77" w14:textId="77777777" w:rsidR="00AE7B69" w:rsidRPr="00AE7B69" w:rsidRDefault="00AE7B69" w:rsidP="0069386C">
            <w:pPr>
              <w:jc w:val="center"/>
              <w:rPr>
                <w:szCs w:val="20"/>
              </w:rPr>
            </w:pPr>
          </w:p>
        </w:tc>
        <w:tc>
          <w:tcPr>
            <w:tcW w:w="645" w:type="dxa"/>
            <w:shd w:val="clear" w:color="auto" w:fill="F2F2F2" w:themeFill="background1" w:themeFillShade="F2"/>
          </w:tcPr>
          <w:p w14:paraId="3F518F7F" w14:textId="77777777" w:rsidR="00AE7B69" w:rsidRPr="00AE7B69" w:rsidRDefault="00AE7B69" w:rsidP="0069386C">
            <w:pPr>
              <w:jc w:val="center"/>
              <w:rPr>
                <w:szCs w:val="20"/>
              </w:rPr>
            </w:pPr>
          </w:p>
        </w:tc>
      </w:tr>
      <w:tr w:rsidR="00AE7B69" w:rsidRPr="00AE7B69" w14:paraId="45DED881" w14:textId="77777777" w:rsidTr="00160A48">
        <w:trPr>
          <w:jc w:val="center"/>
        </w:trPr>
        <w:tc>
          <w:tcPr>
            <w:tcW w:w="460" w:type="dxa"/>
          </w:tcPr>
          <w:p w14:paraId="4FA10E4D" w14:textId="77777777" w:rsidR="00AE7B69" w:rsidRPr="00AE7B69" w:rsidRDefault="00AE7B69" w:rsidP="0069386C">
            <w:pPr>
              <w:jc w:val="center"/>
              <w:rPr>
                <w:b/>
                <w:szCs w:val="20"/>
              </w:rPr>
            </w:pPr>
            <w:r w:rsidRPr="00AE7B69">
              <w:rPr>
                <w:b/>
                <w:szCs w:val="20"/>
              </w:rPr>
              <w:t>13</w:t>
            </w:r>
          </w:p>
        </w:tc>
        <w:tc>
          <w:tcPr>
            <w:tcW w:w="1966" w:type="dxa"/>
          </w:tcPr>
          <w:p w14:paraId="70AE8CB1" w14:textId="30E5BE13" w:rsidR="00AE7B69" w:rsidRPr="00AE7B69" w:rsidRDefault="00D76199" w:rsidP="00EE2AE6">
            <w:pPr>
              <w:jc w:val="left"/>
              <w:rPr>
                <w:b/>
                <w:szCs w:val="20"/>
              </w:rPr>
            </w:pPr>
            <w:r>
              <w:rPr>
                <w:b/>
                <w:szCs w:val="20"/>
              </w:rPr>
              <w:t xml:space="preserve">Arab Republic of </w:t>
            </w:r>
            <w:r w:rsidR="00AE7B69" w:rsidRPr="00AE7B69">
              <w:rPr>
                <w:b/>
                <w:szCs w:val="20"/>
              </w:rPr>
              <w:t>Egypt</w:t>
            </w:r>
          </w:p>
        </w:tc>
        <w:tc>
          <w:tcPr>
            <w:tcW w:w="1416" w:type="dxa"/>
            <w:shd w:val="clear" w:color="auto" w:fill="D0E6F6" w:themeFill="accent6" w:themeFillTint="33"/>
          </w:tcPr>
          <w:p w14:paraId="735851A4"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1E40FDC9" w14:textId="0B97D435" w:rsidR="00AE7B69" w:rsidRPr="00AE7B69" w:rsidRDefault="002B5214" w:rsidP="0069386C">
            <w:pPr>
              <w:jc w:val="center"/>
              <w:rPr>
                <w:szCs w:val="20"/>
              </w:rPr>
            </w:pPr>
            <w:r>
              <w:rPr>
                <w:szCs w:val="20"/>
              </w:rPr>
              <w:t>7</w:t>
            </w:r>
          </w:p>
        </w:tc>
        <w:tc>
          <w:tcPr>
            <w:tcW w:w="1416" w:type="dxa"/>
            <w:shd w:val="clear" w:color="auto" w:fill="F2F2F2" w:themeFill="background1" w:themeFillShade="F2"/>
          </w:tcPr>
          <w:p w14:paraId="3E54CF94" w14:textId="77777777" w:rsidR="00AE7B69" w:rsidRPr="00AE7B69" w:rsidRDefault="00AE7B69" w:rsidP="0069386C">
            <w:pPr>
              <w:jc w:val="center"/>
              <w:rPr>
                <w:szCs w:val="20"/>
              </w:rPr>
            </w:pPr>
          </w:p>
        </w:tc>
        <w:tc>
          <w:tcPr>
            <w:tcW w:w="460" w:type="dxa"/>
            <w:shd w:val="clear" w:color="auto" w:fill="F2F2F2" w:themeFill="background1" w:themeFillShade="F2"/>
          </w:tcPr>
          <w:p w14:paraId="56AC2626" w14:textId="77777777" w:rsidR="00AE7B69" w:rsidRPr="00AE7B69" w:rsidRDefault="00AE7B69" w:rsidP="0069386C">
            <w:pPr>
              <w:jc w:val="center"/>
              <w:rPr>
                <w:szCs w:val="20"/>
              </w:rPr>
            </w:pPr>
          </w:p>
        </w:tc>
        <w:tc>
          <w:tcPr>
            <w:tcW w:w="1481" w:type="dxa"/>
            <w:shd w:val="clear" w:color="auto" w:fill="E4E7E8" w:themeFill="accent4" w:themeFillTint="33"/>
          </w:tcPr>
          <w:p w14:paraId="2540614A" w14:textId="77777777" w:rsidR="00AE7B69" w:rsidRPr="00AE7B69" w:rsidRDefault="00AE7B69" w:rsidP="0069386C">
            <w:pPr>
              <w:jc w:val="center"/>
              <w:rPr>
                <w:szCs w:val="20"/>
              </w:rPr>
            </w:pPr>
            <w:r w:rsidRPr="00AE7B69">
              <w:rPr>
                <w:szCs w:val="20"/>
              </w:rPr>
              <w:t>Y</w:t>
            </w:r>
          </w:p>
        </w:tc>
        <w:tc>
          <w:tcPr>
            <w:tcW w:w="1335" w:type="dxa"/>
            <w:shd w:val="clear" w:color="auto" w:fill="F2F2F2" w:themeFill="background1" w:themeFillShade="F2"/>
          </w:tcPr>
          <w:p w14:paraId="31E1136C" w14:textId="77777777" w:rsidR="00AE7B69" w:rsidRPr="00AE7B69" w:rsidRDefault="00AE7B69" w:rsidP="0069386C">
            <w:pPr>
              <w:jc w:val="center"/>
              <w:rPr>
                <w:szCs w:val="20"/>
              </w:rPr>
            </w:pPr>
          </w:p>
        </w:tc>
        <w:tc>
          <w:tcPr>
            <w:tcW w:w="645" w:type="dxa"/>
            <w:shd w:val="clear" w:color="auto" w:fill="F2F2F2" w:themeFill="background1" w:themeFillShade="F2"/>
          </w:tcPr>
          <w:p w14:paraId="22B2F146" w14:textId="77777777" w:rsidR="00AE7B69" w:rsidRPr="00AE7B69" w:rsidRDefault="00AE7B69" w:rsidP="0069386C">
            <w:pPr>
              <w:jc w:val="center"/>
              <w:rPr>
                <w:szCs w:val="20"/>
              </w:rPr>
            </w:pPr>
          </w:p>
        </w:tc>
      </w:tr>
      <w:tr w:rsidR="00AE7B69" w:rsidRPr="00AE7B69" w14:paraId="0F1029C3" w14:textId="77777777" w:rsidTr="00160A48">
        <w:trPr>
          <w:jc w:val="center"/>
        </w:trPr>
        <w:tc>
          <w:tcPr>
            <w:tcW w:w="460" w:type="dxa"/>
          </w:tcPr>
          <w:p w14:paraId="1124B10C" w14:textId="77777777" w:rsidR="00AE7B69" w:rsidRPr="00AE7B69" w:rsidRDefault="00AE7B69" w:rsidP="0069386C">
            <w:pPr>
              <w:jc w:val="center"/>
              <w:rPr>
                <w:b/>
                <w:szCs w:val="20"/>
              </w:rPr>
            </w:pPr>
            <w:r w:rsidRPr="00AE7B69">
              <w:rPr>
                <w:b/>
                <w:szCs w:val="20"/>
              </w:rPr>
              <w:t>14</w:t>
            </w:r>
          </w:p>
        </w:tc>
        <w:tc>
          <w:tcPr>
            <w:tcW w:w="1966" w:type="dxa"/>
          </w:tcPr>
          <w:p w14:paraId="47A8C737" w14:textId="6C0881A1" w:rsidR="00AE7B69" w:rsidRPr="00AE7B69" w:rsidRDefault="00621A62" w:rsidP="00EE2AE6">
            <w:pPr>
              <w:jc w:val="left"/>
              <w:rPr>
                <w:b/>
                <w:szCs w:val="20"/>
              </w:rPr>
            </w:pPr>
            <w:r w:rsidRPr="00621A62">
              <w:rPr>
                <w:b/>
                <w:szCs w:val="20"/>
              </w:rPr>
              <w:t xml:space="preserve">Republic of </w:t>
            </w:r>
            <w:r w:rsidR="00AE7B69" w:rsidRPr="00AE7B69">
              <w:rPr>
                <w:b/>
                <w:szCs w:val="20"/>
              </w:rPr>
              <w:t>Finland</w:t>
            </w:r>
          </w:p>
        </w:tc>
        <w:tc>
          <w:tcPr>
            <w:tcW w:w="1416" w:type="dxa"/>
            <w:shd w:val="clear" w:color="auto" w:fill="F2F2F2" w:themeFill="background1" w:themeFillShade="F2"/>
          </w:tcPr>
          <w:p w14:paraId="30EF691D" w14:textId="77777777" w:rsidR="00AE7B69" w:rsidRPr="00AE7B69" w:rsidRDefault="00AE7B69" w:rsidP="0069386C">
            <w:pPr>
              <w:jc w:val="center"/>
              <w:rPr>
                <w:szCs w:val="20"/>
              </w:rPr>
            </w:pPr>
          </w:p>
        </w:tc>
        <w:tc>
          <w:tcPr>
            <w:tcW w:w="460" w:type="dxa"/>
            <w:shd w:val="clear" w:color="auto" w:fill="F2F2F2" w:themeFill="background1" w:themeFillShade="F2"/>
          </w:tcPr>
          <w:p w14:paraId="6BA05918" w14:textId="77777777" w:rsidR="00AE7B69" w:rsidRPr="00AE7B69" w:rsidRDefault="00AE7B69" w:rsidP="0069386C">
            <w:pPr>
              <w:jc w:val="center"/>
              <w:rPr>
                <w:szCs w:val="20"/>
              </w:rPr>
            </w:pPr>
          </w:p>
        </w:tc>
        <w:tc>
          <w:tcPr>
            <w:tcW w:w="1416" w:type="dxa"/>
            <w:shd w:val="clear" w:color="auto" w:fill="F2F2F2" w:themeFill="background1" w:themeFillShade="F2"/>
          </w:tcPr>
          <w:p w14:paraId="0186EC94" w14:textId="77777777" w:rsidR="00AE7B69" w:rsidRPr="00AE7B69" w:rsidRDefault="00AE7B69" w:rsidP="0069386C">
            <w:pPr>
              <w:jc w:val="center"/>
              <w:rPr>
                <w:szCs w:val="20"/>
              </w:rPr>
            </w:pPr>
          </w:p>
        </w:tc>
        <w:tc>
          <w:tcPr>
            <w:tcW w:w="460" w:type="dxa"/>
            <w:shd w:val="clear" w:color="auto" w:fill="F2F2F2" w:themeFill="background1" w:themeFillShade="F2"/>
          </w:tcPr>
          <w:p w14:paraId="302E8ACF" w14:textId="77777777" w:rsidR="00AE7B69" w:rsidRPr="00AE7B69" w:rsidRDefault="00AE7B69" w:rsidP="0069386C">
            <w:pPr>
              <w:jc w:val="center"/>
              <w:rPr>
                <w:szCs w:val="20"/>
              </w:rPr>
            </w:pPr>
          </w:p>
        </w:tc>
        <w:tc>
          <w:tcPr>
            <w:tcW w:w="1481" w:type="dxa"/>
            <w:shd w:val="clear" w:color="auto" w:fill="E4E7E8" w:themeFill="accent4" w:themeFillTint="33"/>
          </w:tcPr>
          <w:p w14:paraId="04900504" w14:textId="77777777" w:rsidR="00AE7B69" w:rsidRPr="00AE7B69" w:rsidRDefault="00AE7B69" w:rsidP="0069386C">
            <w:pPr>
              <w:jc w:val="center"/>
              <w:rPr>
                <w:szCs w:val="20"/>
              </w:rPr>
            </w:pPr>
          </w:p>
        </w:tc>
        <w:tc>
          <w:tcPr>
            <w:tcW w:w="1335" w:type="dxa"/>
            <w:shd w:val="clear" w:color="auto" w:fill="D0E6F6" w:themeFill="accent6" w:themeFillTint="33"/>
          </w:tcPr>
          <w:p w14:paraId="241D12F4"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0A6CE815" w14:textId="77777777" w:rsidR="00AE7B69" w:rsidRPr="00AE7B69" w:rsidRDefault="00AE7B69" w:rsidP="0069386C">
            <w:pPr>
              <w:jc w:val="center"/>
              <w:rPr>
                <w:szCs w:val="20"/>
              </w:rPr>
            </w:pPr>
            <w:r w:rsidRPr="00AE7B69">
              <w:rPr>
                <w:szCs w:val="20"/>
              </w:rPr>
              <w:t>7</w:t>
            </w:r>
          </w:p>
        </w:tc>
      </w:tr>
      <w:tr w:rsidR="00AE7B69" w:rsidRPr="00AE7B69" w14:paraId="2EF7AB82" w14:textId="77777777" w:rsidTr="00160A48">
        <w:trPr>
          <w:jc w:val="center"/>
        </w:trPr>
        <w:tc>
          <w:tcPr>
            <w:tcW w:w="460" w:type="dxa"/>
          </w:tcPr>
          <w:p w14:paraId="7A1EDB8A" w14:textId="77777777" w:rsidR="00AE7B69" w:rsidRPr="00AE7B69" w:rsidRDefault="00AE7B69" w:rsidP="0069386C">
            <w:pPr>
              <w:jc w:val="center"/>
              <w:rPr>
                <w:b/>
                <w:szCs w:val="20"/>
              </w:rPr>
            </w:pPr>
            <w:r w:rsidRPr="00AE7B69">
              <w:rPr>
                <w:b/>
                <w:szCs w:val="20"/>
              </w:rPr>
              <w:t>15</w:t>
            </w:r>
          </w:p>
        </w:tc>
        <w:tc>
          <w:tcPr>
            <w:tcW w:w="1966" w:type="dxa"/>
          </w:tcPr>
          <w:p w14:paraId="0CD94073" w14:textId="5AB4BB76" w:rsidR="00AE7B69" w:rsidRPr="00AE7B69" w:rsidRDefault="00621A62" w:rsidP="00EE2AE6">
            <w:pPr>
              <w:jc w:val="left"/>
              <w:rPr>
                <w:b/>
                <w:szCs w:val="20"/>
              </w:rPr>
            </w:pPr>
            <w:r>
              <w:rPr>
                <w:b/>
                <w:szCs w:val="20"/>
              </w:rPr>
              <w:t>French Republic</w:t>
            </w:r>
          </w:p>
        </w:tc>
        <w:tc>
          <w:tcPr>
            <w:tcW w:w="1416" w:type="dxa"/>
            <w:shd w:val="clear" w:color="auto" w:fill="F2F2F2" w:themeFill="background1" w:themeFillShade="F2"/>
          </w:tcPr>
          <w:p w14:paraId="058A28AA" w14:textId="77777777" w:rsidR="00AE7B69" w:rsidRPr="00AE7B69" w:rsidRDefault="00AE7B69" w:rsidP="0069386C">
            <w:pPr>
              <w:jc w:val="center"/>
              <w:rPr>
                <w:szCs w:val="20"/>
              </w:rPr>
            </w:pPr>
          </w:p>
        </w:tc>
        <w:tc>
          <w:tcPr>
            <w:tcW w:w="460" w:type="dxa"/>
            <w:shd w:val="clear" w:color="auto" w:fill="F2F2F2" w:themeFill="background1" w:themeFillShade="F2"/>
          </w:tcPr>
          <w:p w14:paraId="2046ADAB" w14:textId="77777777" w:rsidR="00AE7B69" w:rsidRPr="00AE7B69" w:rsidRDefault="00AE7B69" w:rsidP="0069386C">
            <w:pPr>
              <w:jc w:val="center"/>
              <w:rPr>
                <w:szCs w:val="20"/>
              </w:rPr>
            </w:pPr>
          </w:p>
        </w:tc>
        <w:tc>
          <w:tcPr>
            <w:tcW w:w="1416" w:type="dxa"/>
            <w:shd w:val="clear" w:color="auto" w:fill="F2F2F2" w:themeFill="background1" w:themeFillShade="F2"/>
          </w:tcPr>
          <w:p w14:paraId="52813D88" w14:textId="77777777" w:rsidR="00AE7B69" w:rsidRPr="00AE7B69" w:rsidRDefault="00AE7B69" w:rsidP="0069386C">
            <w:pPr>
              <w:jc w:val="center"/>
              <w:rPr>
                <w:szCs w:val="20"/>
              </w:rPr>
            </w:pPr>
          </w:p>
        </w:tc>
        <w:tc>
          <w:tcPr>
            <w:tcW w:w="460" w:type="dxa"/>
            <w:shd w:val="clear" w:color="auto" w:fill="F2F2F2" w:themeFill="background1" w:themeFillShade="F2"/>
          </w:tcPr>
          <w:p w14:paraId="43225E07" w14:textId="77777777" w:rsidR="00AE7B69" w:rsidRPr="00AE7B69" w:rsidRDefault="00AE7B69" w:rsidP="0069386C">
            <w:pPr>
              <w:jc w:val="center"/>
              <w:rPr>
                <w:szCs w:val="20"/>
              </w:rPr>
            </w:pPr>
          </w:p>
        </w:tc>
        <w:tc>
          <w:tcPr>
            <w:tcW w:w="1481" w:type="dxa"/>
            <w:shd w:val="clear" w:color="auto" w:fill="E4E7E8" w:themeFill="accent4" w:themeFillTint="33"/>
          </w:tcPr>
          <w:p w14:paraId="187E014C" w14:textId="77777777" w:rsidR="00AE7B69" w:rsidRPr="00AE7B69" w:rsidRDefault="00AE7B69" w:rsidP="0069386C">
            <w:pPr>
              <w:jc w:val="center"/>
              <w:rPr>
                <w:szCs w:val="20"/>
              </w:rPr>
            </w:pPr>
          </w:p>
        </w:tc>
        <w:tc>
          <w:tcPr>
            <w:tcW w:w="1335" w:type="dxa"/>
            <w:shd w:val="clear" w:color="auto" w:fill="D0E6F6" w:themeFill="accent6" w:themeFillTint="33"/>
          </w:tcPr>
          <w:p w14:paraId="3504706A"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06596801" w14:textId="77777777" w:rsidR="00AE7B69" w:rsidRPr="00AE7B69" w:rsidRDefault="00AE7B69" w:rsidP="0069386C">
            <w:pPr>
              <w:jc w:val="center"/>
              <w:rPr>
                <w:szCs w:val="20"/>
              </w:rPr>
            </w:pPr>
            <w:r w:rsidRPr="00AE7B69">
              <w:rPr>
                <w:szCs w:val="20"/>
              </w:rPr>
              <w:t>8</w:t>
            </w:r>
          </w:p>
        </w:tc>
      </w:tr>
      <w:tr w:rsidR="00AE7B69" w:rsidRPr="00AE7B69" w14:paraId="4E7AF4A8" w14:textId="77777777" w:rsidTr="00160A48">
        <w:trPr>
          <w:jc w:val="center"/>
        </w:trPr>
        <w:tc>
          <w:tcPr>
            <w:tcW w:w="460" w:type="dxa"/>
          </w:tcPr>
          <w:p w14:paraId="6E7B5617" w14:textId="77777777" w:rsidR="00AE7B69" w:rsidRPr="00AE7B69" w:rsidRDefault="00AE7B69" w:rsidP="0069386C">
            <w:pPr>
              <w:jc w:val="center"/>
              <w:rPr>
                <w:b/>
                <w:szCs w:val="20"/>
              </w:rPr>
            </w:pPr>
            <w:r w:rsidRPr="00AE7B69">
              <w:rPr>
                <w:b/>
                <w:szCs w:val="20"/>
              </w:rPr>
              <w:t>16</w:t>
            </w:r>
          </w:p>
        </w:tc>
        <w:tc>
          <w:tcPr>
            <w:tcW w:w="1966" w:type="dxa"/>
          </w:tcPr>
          <w:p w14:paraId="0CA2B595" w14:textId="06A58E30" w:rsidR="00AE7B69" w:rsidRPr="00AE7B69" w:rsidRDefault="002A4B05" w:rsidP="00EE2AE6">
            <w:pPr>
              <w:jc w:val="left"/>
              <w:rPr>
                <w:b/>
                <w:szCs w:val="20"/>
              </w:rPr>
            </w:pPr>
            <w:r>
              <w:rPr>
                <w:b/>
                <w:szCs w:val="20"/>
              </w:rPr>
              <w:t xml:space="preserve">Republic of Equatorial </w:t>
            </w:r>
            <w:r w:rsidR="00AE7B69" w:rsidRPr="00AE7B69">
              <w:rPr>
                <w:b/>
                <w:szCs w:val="20"/>
              </w:rPr>
              <w:t>Guinea</w:t>
            </w:r>
          </w:p>
        </w:tc>
        <w:tc>
          <w:tcPr>
            <w:tcW w:w="1416" w:type="dxa"/>
            <w:shd w:val="clear" w:color="auto" w:fill="D0E6F6" w:themeFill="accent6" w:themeFillTint="33"/>
          </w:tcPr>
          <w:p w14:paraId="591CC71B"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400F3691" w14:textId="62887F46" w:rsidR="00AE7B69" w:rsidRPr="00AE7B69" w:rsidRDefault="002B5214" w:rsidP="0069386C">
            <w:pPr>
              <w:jc w:val="center"/>
              <w:rPr>
                <w:szCs w:val="20"/>
              </w:rPr>
            </w:pPr>
            <w:r>
              <w:rPr>
                <w:szCs w:val="20"/>
              </w:rPr>
              <w:t>8</w:t>
            </w:r>
          </w:p>
        </w:tc>
        <w:tc>
          <w:tcPr>
            <w:tcW w:w="1416" w:type="dxa"/>
            <w:shd w:val="clear" w:color="auto" w:fill="F2F2F2" w:themeFill="background1" w:themeFillShade="F2"/>
          </w:tcPr>
          <w:p w14:paraId="22AD37C3" w14:textId="77777777" w:rsidR="00AE7B69" w:rsidRPr="00AE7B69" w:rsidRDefault="00AE7B69" w:rsidP="0069386C">
            <w:pPr>
              <w:jc w:val="center"/>
              <w:rPr>
                <w:szCs w:val="20"/>
              </w:rPr>
            </w:pPr>
          </w:p>
        </w:tc>
        <w:tc>
          <w:tcPr>
            <w:tcW w:w="460" w:type="dxa"/>
            <w:shd w:val="clear" w:color="auto" w:fill="F2F2F2" w:themeFill="background1" w:themeFillShade="F2"/>
          </w:tcPr>
          <w:p w14:paraId="6A40FA92" w14:textId="77777777" w:rsidR="00AE7B69" w:rsidRPr="00AE7B69" w:rsidRDefault="00AE7B69" w:rsidP="0069386C">
            <w:pPr>
              <w:jc w:val="center"/>
              <w:rPr>
                <w:szCs w:val="20"/>
              </w:rPr>
            </w:pPr>
          </w:p>
        </w:tc>
        <w:tc>
          <w:tcPr>
            <w:tcW w:w="1481" w:type="dxa"/>
            <w:shd w:val="clear" w:color="auto" w:fill="E4E7E8" w:themeFill="accent4" w:themeFillTint="33"/>
          </w:tcPr>
          <w:p w14:paraId="59D99EDC" w14:textId="77777777" w:rsidR="00AE7B69" w:rsidRPr="00AE7B69" w:rsidRDefault="00AE7B69" w:rsidP="0069386C">
            <w:pPr>
              <w:jc w:val="center"/>
              <w:rPr>
                <w:szCs w:val="20"/>
              </w:rPr>
            </w:pPr>
          </w:p>
        </w:tc>
        <w:tc>
          <w:tcPr>
            <w:tcW w:w="1335" w:type="dxa"/>
            <w:shd w:val="clear" w:color="auto" w:fill="F2F2F2" w:themeFill="background1" w:themeFillShade="F2"/>
          </w:tcPr>
          <w:p w14:paraId="0CB04660" w14:textId="77777777" w:rsidR="00AE7B69" w:rsidRPr="00AE7B69" w:rsidRDefault="00AE7B69" w:rsidP="0069386C">
            <w:pPr>
              <w:jc w:val="center"/>
              <w:rPr>
                <w:szCs w:val="20"/>
              </w:rPr>
            </w:pPr>
          </w:p>
        </w:tc>
        <w:tc>
          <w:tcPr>
            <w:tcW w:w="645" w:type="dxa"/>
            <w:shd w:val="clear" w:color="auto" w:fill="F2F2F2" w:themeFill="background1" w:themeFillShade="F2"/>
          </w:tcPr>
          <w:p w14:paraId="61888C4B" w14:textId="77777777" w:rsidR="00AE7B69" w:rsidRPr="00AE7B69" w:rsidRDefault="00AE7B69" w:rsidP="0069386C">
            <w:pPr>
              <w:jc w:val="center"/>
              <w:rPr>
                <w:szCs w:val="20"/>
              </w:rPr>
            </w:pPr>
          </w:p>
        </w:tc>
      </w:tr>
      <w:tr w:rsidR="00AE7B69" w:rsidRPr="00AE7B69" w14:paraId="08152DFE" w14:textId="77777777" w:rsidTr="00160A48">
        <w:trPr>
          <w:jc w:val="center"/>
        </w:trPr>
        <w:tc>
          <w:tcPr>
            <w:tcW w:w="460" w:type="dxa"/>
          </w:tcPr>
          <w:p w14:paraId="5E08C1F2" w14:textId="77777777" w:rsidR="00AE7B69" w:rsidRPr="00AE7B69" w:rsidRDefault="00AE7B69" w:rsidP="0069386C">
            <w:pPr>
              <w:jc w:val="center"/>
              <w:rPr>
                <w:b/>
                <w:szCs w:val="20"/>
              </w:rPr>
            </w:pPr>
            <w:r w:rsidRPr="00AE7B69">
              <w:rPr>
                <w:b/>
                <w:szCs w:val="20"/>
              </w:rPr>
              <w:t>17</w:t>
            </w:r>
          </w:p>
        </w:tc>
        <w:tc>
          <w:tcPr>
            <w:tcW w:w="1966" w:type="dxa"/>
          </w:tcPr>
          <w:p w14:paraId="110556DB" w14:textId="320EDFA5" w:rsidR="00AE7B69" w:rsidRPr="00AE7B69" w:rsidRDefault="00D76199" w:rsidP="00EE2AE6">
            <w:pPr>
              <w:jc w:val="left"/>
              <w:rPr>
                <w:b/>
                <w:szCs w:val="20"/>
              </w:rPr>
            </w:pPr>
            <w:r>
              <w:rPr>
                <w:b/>
                <w:szCs w:val="20"/>
              </w:rPr>
              <w:t xml:space="preserve">Republic of </w:t>
            </w:r>
            <w:r w:rsidR="00AE7B69" w:rsidRPr="00AE7B69">
              <w:rPr>
                <w:b/>
                <w:szCs w:val="20"/>
              </w:rPr>
              <w:t>Estonia</w:t>
            </w:r>
          </w:p>
        </w:tc>
        <w:tc>
          <w:tcPr>
            <w:tcW w:w="1416" w:type="dxa"/>
            <w:shd w:val="clear" w:color="auto" w:fill="D0E6F6" w:themeFill="accent6" w:themeFillTint="33"/>
          </w:tcPr>
          <w:p w14:paraId="14E1BF4A"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33744869" w14:textId="29877F5E" w:rsidR="00AE7B69" w:rsidRPr="00AE7B69" w:rsidRDefault="002B5214" w:rsidP="0069386C">
            <w:pPr>
              <w:jc w:val="center"/>
              <w:rPr>
                <w:szCs w:val="20"/>
              </w:rPr>
            </w:pPr>
            <w:r>
              <w:rPr>
                <w:szCs w:val="20"/>
              </w:rPr>
              <w:t>9</w:t>
            </w:r>
          </w:p>
        </w:tc>
        <w:tc>
          <w:tcPr>
            <w:tcW w:w="1416" w:type="dxa"/>
            <w:shd w:val="clear" w:color="auto" w:fill="D0E6F6" w:themeFill="accent6" w:themeFillTint="33"/>
          </w:tcPr>
          <w:p w14:paraId="0F0AA569"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267868A4" w14:textId="77777777" w:rsidR="00AE7B69" w:rsidRPr="00AE7B69" w:rsidRDefault="00AE7B69" w:rsidP="0069386C">
            <w:pPr>
              <w:jc w:val="center"/>
              <w:rPr>
                <w:szCs w:val="20"/>
              </w:rPr>
            </w:pPr>
            <w:r w:rsidRPr="00AE7B69">
              <w:rPr>
                <w:szCs w:val="20"/>
              </w:rPr>
              <w:t>6</w:t>
            </w:r>
          </w:p>
        </w:tc>
        <w:tc>
          <w:tcPr>
            <w:tcW w:w="1481" w:type="dxa"/>
            <w:shd w:val="clear" w:color="auto" w:fill="E4E7E8" w:themeFill="accent4" w:themeFillTint="33"/>
          </w:tcPr>
          <w:p w14:paraId="74531798" w14:textId="77777777" w:rsidR="00AE7B69" w:rsidRPr="00AE7B69" w:rsidRDefault="00AE7B69" w:rsidP="0069386C">
            <w:pPr>
              <w:jc w:val="center"/>
              <w:rPr>
                <w:szCs w:val="20"/>
              </w:rPr>
            </w:pPr>
          </w:p>
        </w:tc>
        <w:tc>
          <w:tcPr>
            <w:tcW w:w="1335" w:type="dxa"/>
            <w:shd w:val="clear" w:color="auto" w:fill="F2F2F2" w:themeFill="background1" w:themeFillShade="F2"/>
          </w:tcPr>
          <w:p w14:paraId="32BD0F04" w14:textId="77777777" w:rsidR="00AE7B69" w:rsidRPr="00AE7B69" w:rsidRDefault="00AE7B69" w:rsidP="0069386C">
            <w:pPr>
              <w:jc w:val="center"/>
              <w:rPr>
                <w:szCs w:val="20"/>
              </w:rPr>
            </w:pPr>
          </w:p>
        </w:tc>
        <w:tc>
          <w:tcPr>
            <w:tcW w:w="645" w:type="dxa"/>
            <w:shd w:val="clear" w:color="auto" w:fill="F2F2F2" w:themeFill="background1" w:themeFillShade="F2"/>
          </w:tcPr>
          <w:p w14:paraId="19F5DC67" w14:textId="77777777" w:rsidR="00AE7B69" w:rsidRPr="00AE7B69" w:rsidRDefault="00AE7B69" w:rsidP="0069386C">
            <w:pPr>
              <w:jc w:val="center"/>
              <w:rPr>
                <w:szCs w:val="20"/>
              </w:rPr>
            </w:pPr>
          </w:p>
        </w:tc>
      </w:tr>
      <w:tr w:rsidR="00AE7B69" w:rsidRPr="00AE7B69" w14:paraId="419F0F50" w14:textId="77777777" w:rsidTr="00160A48">
        <w:trPr>
          <w:jc w:val="center"/>
        </w:trPr>
        <w:tc>
          <w:tcPr>
            <w:tcW w:w="460" w:type="dxa"/>
          </w:tcPr>
          <w:p w14:paraId="2F922332" w14:textId="77777777" w:rsidR="00AE7B69" w:rsidRPr="00AE7B69" w:rsidRDefault="00AE7B69" w:rsidP="0069386C">
            <w:pPr>
              <w:jc w:val="center"/>
              <w:rPr>
                <w:b/>
                <w:szCs w:val="20"/>
              </w:rPr>
            </w:pPr>
            <w:r w:rsidRPr="00AE7B69">
              <w:rPr>
                <w:b/>
                <w:szCs w:val="20"/>
              </w:rPr>
              <w:t>18</w:t>
            </w:r>
          </w:p>
        </w:tc>
        <w:tc>
          <w:tcPr>
            <w:tcW w:w="1966" w:type="dxa"/>
          </w:tcPr>
          <w:p w14:paraId="145CF84E" w14:textId="77777777" w:rsidR="00AE7B69" w:rsidRPr="00AE7B69" w:rsidRDefault="00AE7B69" w:rsidP="00EE2AE6">
            <w:pPr>
              <w:jc w:val="left"/>
              <w:rPr>
                <w:b/>
                <w:szCs w:val="20"/>
              </w:rPr>
            </w:pPr>
            <w:r w:rsidRPr="00AE7B69">
              <w:rPr>
                <w:b/>
                <w:szCs w:val="20"/>
              </w:rPr>
              <w:t>Georgia</w:t>
            </w:r>
          </w:p>
        </w:tc>
        <w:tc>
          <w:tcPr>
            <w:tcW w:w="1416" w:type="dxa"/>
          </w:tcPr>
          <w:p w14:paraId="4DAE7238" w14:textId="77777777" w:rsidR="00AE7B69" w:rsidRPr="00AE7B69" w:rsidRDefault="00AE7B69" w:rsidP="0069386C">
            <w:pPr>
              <w:jc w:val="center"/>
              <w:rPr>
                <w:szCs w:val="20"/>
              </w:rPr>
            </w:pPr>
            <w:r w:rsidRPr="00AE7B69">
              <w:rPr>
                <w:szCs w:val="20"/>
              </w:rPr>
              <w:t>Denounced</w:t>
            </w:r>
          </w:p>
        </w:tc>
        <w:tc>
          <w:tcPr>
            <w:tcW w:w="460" w:type="dxa"/>
          </w:tcPr>
          <w:p w14:paraId="3860BCCA" w14:textId="77777777" w:rsidR="00AE7B69" w:rsidRPr="00AE7B69" w:rsidRDefault="00AE7B69" w:rsidP="0069386C">
            <w:pPr>
              <w:jc w:val="center"/>
              <w:rPr>
                <w:szCs w:val="20"/>
              </w:rPr>
            </w:pPr>
          </w:p>
        </w:tc>
        <w:tc>
          <w:tcPr>
            <w:tcW w:w="1416" w:type="dxa"/>
          </w:tcPr>
          <w:p w14:paraId="7237612E" w14:textId="77777777" w:rsidR="00AE7B69" w:rsidRPr="00AE7B69" w:rsidRDefault="00AE7B69" w:rsidP="0069386C">
            <w:pPr>
              <w:jc w:val="center"/>
              <w:rPr>
                <w:szCs w:val="20"/>
              </w:rPr>
            </w:pPr>
            <w:r w:rsidRPr="00AE7B69">
              <w:rPr>
                <w:szCs w:val="20"/>
              </w:rPr>
              <w:t>Denounced</w:t>
            </w:r>
          </w:p>
        </w:tc>
        <w:tc>
          <w:tcPr>
            <w:tcW w:w="460" w:type="dxa"/>
            <w:shd w:val="clear" w:color="auto" w:fill="auto"/>
          </w:tcPr>
          <w:p w14:paraId="51980CB5" w14:textId="77777777" w:rsidR="00AE7B69" w:rsidRPr="00AE7B69" w:rsidRDefault="00AE7B69" w:rsidP="0069386C">
            <w:pPr>
              <w:jc w:val="center"/>
              <w:rPr>
                <w:szCs w:val="20"/>
              </w:rPr>
            </w:pPr>
          </w:p>
        </w:tc>
        <w:tc>
          <w:tcPr>
            <w:tcW w:w="1481" w:type="dxa"/>
            <w:shd w:val="clear" w:color="auto" w:fill="E4E7E8" w:themeFill="accent4" w:themeFillTint="33"/>
          </w:tcPr>
          <w:p w14:paraId="512C6447" w14:textId="77777777" w:rsidR="00AE7B69" w:rsidRPr="00AE7B69" w:rsidRDefault="00AE7B69" w:rsidP="0069386C">
            <w:pPr>
              <w:jc w:val="center"/>
              <w:rPr>
                <w:szCs w:val="20"/>
              </w:rPr>
            </w:pPr>
          </w:p>
        </w:tc>
        <w:tc>
          <w:tcPr>
            <w:tcW w:w="1335" w:type="dxa"/>
            <w:shd w:val="clear" w:color="auto" w:fill="D0E6F6" w:themeFill="accent6" w:themeFillTint="33"/>
          </w:tcPr>
          <w:p w14:paraId="2F0FE08B"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0F260BCA" w14:textId="77777777" w:rsidR="00AE7B69" w:rsidRPr="00AE7B69" w:rsidRDefault="00AE7B69" w:rsidP="0069386C">
            <w:pPr>
              <w:jc w:val="center"/>
              <w:rPr>
                <w:szCs w:val="20"/>
              </w:rPr>
            </w:pPr>
            <w:r w:rsidRPr="00AE7B69">
              <w:rPr>
                <w:szCs w:val="20"/>
              </w:rPr>
              <w:t>9</w:t>
            </w:r>
          </w:p>
        </w:tc>
      </w:tr>
      <w:tr w:rsidR="00AE7B69" w:rsidRPr="00AE7B69" w14:paraId="08849B12" w14:textId="77777777" w:rsidTr="00160A48">
        <w:trPr>
          <w:jc w:val="center"/>
        </w:trPr>
        <w:tc>
          <w:tcPr>
            <w:tcW w:w="460" w:type="dxa"/>
          </w:tcPr>
          <w:p w14:paraId="0E1B3C1E" w14:textId="77777777" w:rsidR="00AE7B69" w:rsidRPr="00AE7B69" w:rsidRDefault="00AE7B69" w:rsidP="0069386C">
            <w:pPr>
              <w:jc w:val="center"/>
              <w:rPr>
                <w:b/>
                <w:szCs w:val="20"/>
              </w:rPr>
            </w:pPr>
            <w:r w:rsidRPr="00AE7B69">
              <w:rPr>
                <w:b/>
                <w:szCs w:val="20"/>
              </w:rPr>
              <w:t>19</w:t>
            </w:r>
          </w:p>
        </w:tc>
        <w:tc>
          <w:tcPr>
            <w:tcW w:w="1966" w:type="dxa"/>
          </w:tcPr>
          <w:p w14:paraId="45DE0C63" w14:textId="77777777" w:rsidR="00AE7B69" w:rsidRPr="00AE7B69" w:rsidRDefault="00AE7B69" w:rsidP="00EE2AE6">
            <w:pPr>
              <w:jc w:val="left"/>
              <w:rPr>
                <w:b/>
                <w:szCs w:val="20"/>
              </w:rPr>
            </w:pPr>
            <w:r w:rsidRPr="00AE7B69">
              <w:rPr>
                <w:b/>
                <w:szCs w:val="20"/>
              </w:rPr>
              <w:t>Hellenic Republic</w:t>
            </w:r>
          </w:p>
        </w:tc>
        <w:tc>
          <w:tcPr>
            <w:tcW w:w="1416" w:type="dxa"/>
          </w:tcPr>
          <w:p w14:paraId="728E025C" w14:textId="77777777" w:rsidR="00AE7B69" w:rsidRPr="00AE7B69" w:rsidRDefault="00AE7B69" w:rsidP="0069386C">
            <w:pPr>
              <w:jc w:val="center"/>
              <w:rPr>
                <w:szCs w:val="20"/>
              </w:rPr>
            </w:pPr>
            <w:r w:rsidRPr="00AE7B69">
              <w:rPr>
                <w:szCs w:val="20"/>
              </w:rPr>
              <w:t>Denounced</w:t>
            </w:r>
          </w:p>
        </w:tc>
        <w:tc>
          <w:tcPr>
            <w:tcW w:w="460" w:type="dxa"/>
          </w:tcPr>
          <w:p w14:paraId="4CFD7FCD" w14:textId="77777777" w:rsidR="00AE7B69" w:rsidRPr="00AE7B69" w:rsidRDefault="00AE7B69" w:rsidP="0069386C">
            <w:pPr>
              <w:jc w:val="center"/>
              <w:rPr>
                <w:szCs w:val="20"/>
              </w:rPr>
            </w:pPr>
          </w:p>
        </w:tc>
        <w:tc>
          <w:tcPr>
            <w:tcW w:w="1416" w:type="dxa"/>
          </w:tcPr>
          <w:p w14:paraId="341CC965" w14:textId="77777777" w:rsidR="00AE7B69" w:rsidRPr="00AE7B69" w:rsidRDefault="00AE7B69" w:rsidP="0069386C">
            <w:pPr>
              <w:jc w:val="center"/>
              <w:rPr>
                <w:szCs w:val="20"/>
              </w:rPr>
            </w:pPr>
            <w:r w:rsidRPr="00AE7B69">
              <w:rPr>
                <w:szCs w:val="20"/>
              </w:rPr>
              <w:t>Denounced</w:t>
            </w:r>
          </w:p>
        </w:tc>
        <w:tc>
          <w:tcPr>
            <w:tcW w:w="460" w:type="dxa"/>
            <w:shd w:val="clear" w:color="auto" w:fill="auto"/>
          </w:tcPr>
          <w:p w14:paraId="4F66ED13" w14:textId="77777777" w:rsidR="00AE7B69" w:rsidRPr="00AE7B69" w:rsidRDefault="00AE7B69" w:rsidP="0069386C">
            <w:pPr>
              <w:jc w:val="center"/>
              <w:rPr>
                <w:szCs w:val="20"/>
              </w:rPr>
            </w:pPr>
          </w:p>
        </w:tc>
        <w:tc>
          <w:tcPr>
            <w:tcW w:w="1481" w:type="dxa"/>
            <w:shd w:val="clear" w:color="auto" w:fill="E4E7E8" w:themeFill="accent4" w:themeFillTint="33"/>
          </w:tcPr>
          <w:p w14:paraId="3AA1D362" w14:textId="77777777" w:rsidR="00AE7B69" w:rsidRPr="00AE7B69" w:rsidRDefault="00AE7B69" w:rsidP="0069386C">
            <w:pPr>
              <w:jc w:val="center"/>
              <w:rPr>
                <w:szCs w:val="20"/>
              </w:rPr>
            </w:pPr>
          </w:p>
        </w:tc>
        <w:tc>
          <w:tcPr>
            <w:tcW w:w="1335" w:type="dxa"/>
            <w:shd w:val="clear" w:color="auto" w:fill="D0E6F6" w:themeFill="accent6" w:themeFillTint="33"/>
          </w:tcPr>
          <w:p w14:paraId="6D373C80"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7B18FBE6" w14:textId="77777777" w:rsidR="00AE7B69" w:rsidRPr="00AE7B69" w:rsidRDefault="00AE7B69" w:rsidP="0069386C">
            <w:pPr>
              <w:jc w:val="center"/>
              <w:rPr>
                <w:szCs w:val="20"/>
              </w:rPr>
            </w:pPr>
            <w:r w:rsidRPr="00AE7B69">
              <w:rPr>
                <w:szCs w:val="20"/>
              </w:rPr>
              <w:t>10</w:t>
            </w:r>
          </w:p>
        </w:tc>
      </w:tr>
      <w:tr w:rsidR="00AE7B69" w:rsidRPr="00AE7B69" w14:paraId="322C2614" w14:textId="77777777" w:rsidTr="00160A48">
        <w:trPr>
          <w:jc w:val="center"/>
        </w:trPr>
        <w:tc>
          <w:tcPr>
            <w:tcW w:w="460" w:type="dxa"/>
          </w:tcPr>
          <w:p w14:paraId="623DC665" w14:textId="77777777" w:rsidR="00AE7B69" w:rsidRPr="00AE7B69" w:rsidRDefault="00AE7B69" w:rsidP="0069386C">
            <w:pPr>
              <w:jc w:val="center"/>
              <w:rPr>
                <w:b/>
                <w:szCs w:val="20"/>
              </w:rPr>
            </w:pPr>
            <w:r w:rsidRPr="00AE7B69">
              <w:rPr>
                <w:b/>
                <w:szCs w:val="20"/>
              </w:rPr>
              <w:t>20</w:t>
            </w:r>
          </w:p>
        </w:tc>
        <w:tc>
          <w:tcPr>
            <w:tcW w:w="1966" w:type="dxa"/>
          </w:tcPr>
          <w:p w14:paraId="76F10E1E" w14:textId="74F21B87" w:rsidR="00AE7B69" w:rsidRPr="00AE7B69" w:rsidRDefault="002A4B05" w:rsidP="00EE2AE6">
            <w:pPr>
              <w:jc w:val="left"/>
              <w:rPr>
                <w:b/>
                <w:szCs w:val="20"/>
              </w:rPr>
            </w:pPr>
            <w:r>
              <w:rPr>
                <w:b/>
                <w:szCs w:val="20"/>
              </w:rPr>
              <w:t>Co</w:t>
            </w:r>
            <w:r>
              <w:rPr>
                <w:b/>
                <w:szCs w:val="20"/>
              </w:rPr>
              <w:noBreakHyphen/>
              <w:t xml:space="preserve">operative Republic of </w:t>
            </w:r>
            <w:r w:rsidR="00AE7B69" w:rsidRPr="00AE7B69">
              <w:rPr>
                <w:b/>
                <w:szCs w:val="20"/>
              </w:rPr>
              <w:t>Guyana</w:t>
            </w:r>
          </w:p>
        </w:tc>
        <w:tc>
          <w:tcPr>
            <w:tcW w:w="1416" w:type="dxa"/>
            <w:shd w:val="clear" w:color="auto" w:fill="D0E6F6" w:themeFill="accent6" w:themeFillTint="33"/>
          </w:tcPr>
          <w:p w14:paraId="18B797A7"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564193CB" w14:textId="4E2DF1F2" w:rsidR="00AE7B69" w:rsidRPr="00AE7B69" w:rsidRDefault="002B5214" w:rsidP="0069386C">
            <w:pPr>
              <w:jc w:val="center"/>
              <w:rPr>
                <w:szCs w:val="20"/>
              </w:rPr>
            </w:pPr>
            <w:r>
              <w:rPr>
                <w:szCs w:val="20"/>
              </w:rPr>
              <w:t>10</w:t>
            </w:r>
          </w:p>
        </w:tc>
        <w:tc>
          <w:tcPr>
            <w:tcW w:w="1416" w:type="dxa"/>
            <w:shd w:val="clear" w:color="auto" w:fill="F2F2F2" w:themeFill="background1" w:themeFillShade="F2"/>
          </w:tcPr>
          <w:p w14:paraId="2CCFC071" w14:textId="77777777" w:rsidR="00AE7B69" w:rsidRPr="00AE7B69" w:rsidRDefault="00AE7B69" w:rsidP="0069386C">
            <w:pPr>
              <w:jc w:val="center"/>
              <w:rPr>
                <w:szCs w:val="20"/>
              </w:rPr>
            </w:pPr>
          </w:p>
        </w:tc>
        <w:tc>
          <w:tcPr>
            <w:tcW w:w="460" w:type="dxa"/>
            <w:shd w:val="clear" w:color="auto" w:fill="F2F2F2" w:themeFill="background1" w:themeFillShade="F2"/>
          </w:tcPr>
          <w:p w14:paraId="391685E5" w14:textId="77777777" w:rsidR="00AE7B69" w:rsidRPr="00AE7B69" w:rsidRDefault="00AE7B69" w:rsidP="0069386C">
            <w:pPr>
              <w:jc w:val="center"/>
              <w:rPr>
                <w:szCs w:val="20"/>
              </w:rPr>
            </w:pPr>
          </w:p>
        </w:tc>
        <w:tc>
          <w:tcPr>
            <w:tcW w:w="1481" w:type="dxa"/>
            <w:shd w:val="clear" w:color="auto" w:fill="E4E7E8" w:themeFill="accent4" w:themeFillTint="33"/>
          </w:tcPr>
          <w:p w14:paraId="301B69AD" w14:textId="77777777" w:rsidR="00AE7B69" w:rsidRPr="00AE7B69" w:rsidRDefault="00AE7B69" w:rsidP="0069386C">
            <w:pPr>
              <w:jc w:val="center"/>
              <w:rPr>
                <w:szCs w:val="20"/>
              </w:rPr>
            </w:pPr>
          </w:p>
        </w:tc>
        <w:tc>
          <w:tcPr>
            <w:tcW w:w="1335" w:type="dxa"/>
            <w:shd w:val="clear" w:color="auto" w:fill="F2F2F2" w:themeFill="background1" w:themeFillShade="F2"/>
          </w:tcPr>
          <w:p w14:paraId="26B1D044" w14:textId="77777777" w:rsidR="00AE7B69" w:rsidRPr="00AE7B69" w:rsidRDefault="00AE7B69" w:rsidP="0069386C">
            <w:pPr>
              <w:jc w:val="center"/>
              <w:rPr>
                <w:szCs w:val="20"/>
              </w:rPr>
            </w:pPr>
          </w:p>
        </w:tc>
        <w:tc>
          <w:tcPr>
            <w:tcW w:w="645" w:type="dxa"/>
            <w:shd w:val="clear" w:color="auto" w:fill="F2F2F2" w:themeFill="background1" w:themeFillShade="F2"/>
          </w:tcPr>
          <w:p w14:paraId="0E8F7FF2" w14:textId="77777777" w:rsidR="00AE7B69" w:rsidRPr="00AE7B69" w:rsidRDefault="00AE7B69" w:rsidP="0069386C">
            <w:pPr>
              <w:jc w:val="center"/>
              <w:rPr>
                <w:szCs w:val="20"/>
              </w:rPr>
            </w:pPr>
          </w:p>
        </w:tc>
      </w:tr>
      <w:tr w:rsidR="00AE7B69" w:rsidRPr="00AE7B69" w14:paraId="587146CF" w14:textId="77777777" w:rsidTr="00160A48">
        <w:trPr>
          <w:jc w:val="center"/>
        </w:trPr>
        <w:tc>
          <w:tcPr>
            <w:tcW w:w="460" w:type="dxa"/>
          </w:tcPr>
          <w:p w14:paraId="62BDABD3" w14:textId="77777777" w:rsidR="00AE7B69" w:rsidRPr="00AE7B69" w:rsidRDefault="00AE7B69" w:rsidP="0069386C">
            <w:pPr>
              <w:jc w:val="center"/>
              <w:rPr>
                <w:b/>
                <w:szCs w:val="20"/>
              </w:rPr>
            </w:pPr>
            <w:r w:rsidRPr="00AE7B69">
              <w:rPr>
                <w:b/>
                <w:szCs w:val="20"/>
              </w:rPr>
              <w:t>21</w:t>
            </w:r>
          </w:p>
        </w:tc>
        <w:tc>
          <w:tcPr>
            <w:tcW w:w="1966" w:type="dxa"/>
          </w:tcPr>
          <w:p w14:paraId="2175A056" w14:textId="77777777" w:rsidR="00AE7B69" w:rsidRPr="00AE7B69" w:rsidRDefault="00AE7B69" w:rsidP="00EE2AE6">
            <w:pPr>
              <w:jc w:val="left"/>
              <w:rPr>
                <w:b/>
                <w:szCs w:val="20"/>
              </w:rPr>
            </w:pPr>
            <w:r w:rsidRPr="00AE7B69">
              <w:rPr>
                <w:b/>
                <w:szCs w:val="20"/>
              </w:rPr>
              <w:t>Ireland</w:t>
            </w:r>
          </w:p>
        </w:tc>
        <w:tc>
          <w:tcPr>
            <w:tcW w:w="1416" w:type="dxa"/>
          </w:tcPr>
          <w:p w14:paraId="3894BF30" w14:textId="77777777" w:rsidR="00AE7B69" w:rsidRPr="00AE7B69" w:rsidRDefault="00AE7B69" w:rsidP="0069386C">
            <w:pPr>
              <w:jc w:val="center"/>
              <w:rPr>
                <w:szCs w:val="20"/>
              </w:rPr>
            </w:pPr>
            <w:r w:rsidRPr="00AE7B69">
              <w:rPr>
                <w:szCs w:val="20"/>
              </w:rPr>
              <w:t>Denounced</w:t>
            </w:r>
          </w:p>
        </w:tc>
        <w:tc>
          <w:tcPr>
            <w:tcW w:w="460" w:type="dxa"/>
          </w:tcPr>
          <w:p w14:paraId="3D7753E7" w14:textId="77777777" w:rsidR="00AE7B69" w:rsidRPr="00AE7B69" w:rsidRDefault="00AE7B69" w:rsidP="0069386C">
            <w:pPr>
              <w:jc w:val="center"/>
              <w:rPr>
                <w:szCs w:val="20"/>
              </w:rPr>
            </w:pPr>
          </w:p>
        </w:tc>
        <w:tc>
          <w:tcPr>
            <w:tcW w:w="1416" w:type="dxa"/>
          </w:tcPr>
          <w:p w14:paraId="25DA98FD" w14:textId="77777777" w:rsidR="00AE7B69" w:rsidRPr="00AE7B69" w:rsidRDefault="00AE7B69" w:rsidP="0069386C">
            <w:pPr>
              <w:jc w:val="center"/>
              <w:rPr>
                <w:szCs w:val="20"/>
              </w:rPr>
            </w:pPr>
            <w:r w:rsidRPr="00AE7B69">
              <w:rPr>
                <w:szCs w:val="20"/>
              </w:rPr>
              <w:t>Denounced</w:t>
            </w:r>
          </w:p>
        </w:tc>
        <w:tc>
          <w:tcPr>
            <w:tcW w:w="460" w:type="dxa"/>
            <w:shd w:val="clear" w:color="auto" w:fill="auto"/>
          </w:tcPr>
          <w:p w14:paraId="4E2BF41B" w14:textId="77777777" w:rsidR="00AE7B69" w:rsidRPr="00AE7B69" w:rsidRDefault="00AE7B69" w:rsidP="0069386C">
            <w:pPr>
              <w:jc w:val="center"/>
              <w:rPr>
                <w:szCs w:val="20"/>
              </w:rPr>
            </w:pPr>
          </w:p>
        </w:tc>
        <w:tc>
          <w:tcPr>
            <w:tcW w:w="1481" w:type="dxa"/>
            <w:shd w:val="clear" w:color="auto" w:fill="E4E7E8" w:themeFill="accent4" w:themeFillTint="33"/>
          </w:tcPr>
          <w:p w14:paraId="0740939E" w14:textId="77777777" w:rsidR="00AE7B69" w:rsidRPr="00AE7B69" w:rsidRDefault="00AE7B69" w:rsidP="0069386C">
            <w:pPr>
              <w:jc w:val="center"/>
              <w:rPr>
                <w:szCs w:val="20"/>
              </w:rPr>
            </w:pPr>
          </w:p>
        </w:tc>
        <w:tc>
          <w:tcPr>
            <w:tcW w:w="1335" w:type="dxa"/>
            <w:shd w:val="clear" w:color="auto" w:fill="D0E6F6" w:themeFill="accent6" w:themeFillTint="33"/>
          </w:tcPr>
          <w:p w14:paraId="536BC5C6"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688F31AA" w14:textId="77777777" w:rsidR="00AE7B69" w:rsidRPr="00AE7B69" w:rsidRDefault="00AE7B69" w:rsidP="0069386C">
            <w:pPr>
              <w:jc w:val="center"/>
              <w:rPr>
                <w:szCs w:val="20"/>
              </w:rPr>
            </w:pPr>
            <w:r w:rsidRPr="00AE7B69">
              <w:rPr>
                <w:szCs w:val="20"/>
              </w:rPr>
              <w:t>11</w:t>
            </w:r>
          </w:p>
        </w:tc>
      </w:tr>
      <w:tr w:rsidR="00AE7B69" w:rsidRPr="00AE7B69" w14:paraId="571E35B9" w14:textId="77777777" w:rsidTr="00160A48">
        <w:trPr>
          <w:jc w:val="center"/>
        </w:trPr>
        <w:tc>
          <w:tcPr>
            <w:tcW w:w="460" w:type="dxa"/>
          </w:tcPr>
          <w:p w14:paraId="0CB65D4D" w14:textId="77777777" w:rsidR="00AE7B69" w:rsidRPr="00AE7B69" w:rsidRDefault="00AE7B69" w:rsidP="0069386C">
            <w:pPr>
              <w:jc w:val="center"/>
              <w:rPr>
                <w:b/>
                <w:szCs w:val="20"/>
              </w:rPr>
            </w:pPr>
            <w:r w:rsidRPr="00AE7B69">
              <w:rPr>
                <w:b/>
                <w:szCs w:val="20"/>
              </w:rPr>
              <w:t>22</w:t>
            </w:r>
          </w:p>
        </w:tc>
        <w:tc>
          <w:tcPr>
            <w:tcW w:w="1966" w:type="dxa"/>
          </w:tcPr>
          <w:p w14:paraId="4B260E3E" w14:textId="729F927A" w:rsidR="00AE7B69" w:rsidRPr="00AE7B69" w:rsidRDefault="002A4B05" w:rsidP="00EE2AE6">
            <w:pPr>
              <w:jc w:val="left"/>
              <w:rPr>
                <w:b/>
                <w:szCs w:val="20"/>
              </w:rPr>
            </w:pPr>
            <w:r>
              <w:rPr>
                <w:b/>
                <w:szCs w:val="20"/>
              </w:rPr>
              <w:t xml:space="preserve">Hashemite Kingdom of </w:t>
            </w:r>
            <w:r w:rsidR="00AE7B69" w:rsidRPr="00AE7B69">
              <w:rPr>
                <w:b/>
                <w:szCs w:val="20"/>
              </w:rPr>
              <w:t>Jordan</w:t>
            </w:r>
          </w:p>
        </w:tc>
        <w:tc>
          <w:tcPr>
            <w:tcW w:w="1416" w:type="dxa"/>
            <w:shd w:val="clear" w:color="auto" w:fill="D0E6F6" w:themeFill="accent6" w:themeFillTint="33"/>
          </w:tcPr>
          <w:p w14:paraId="0DFD2E01"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44DA88CC" w14:textId="53A79E9D" w:rsidR="00AE7B69" w:rsidRPr="00AE7B69" w:rsidRDefault="002B5214" w:rsidP="002B5214">
            <w:pPr>
              <w:jc w:val="center"/>
              <w:rPr>
                <w:szCs w:val="20"/>
              </w:rPr>
            </w:pPr>
            <w:r w:rsidRPr="00AE7B69">
              <w:rPr>
                <w:szCs w:val="20"/>
              </w:rPr>
              <w:t>1</w:t>
            </w:r>
            <w:r>
              <w:rPr>
                <w:szCs w:val="20"/>
              </w:rPr>
              <w:t>1</w:t>
            </w:r>
          </w:p>
        </w:tc>
        <w:tc>
          <w:tcPr>
            <w:tcW w:w="1416" w:type="dxa"/>
            <w:shd w:val="clear" w:color="auto" w:fill="F2F2F2" w:themeFill="background1" w:themeFillShade="F2"/>
          </w:tcPr>
          <w:p w14:paraId="0EBEC8F0" w14:textId="77777777" w:rsidR="00AE7B69" w:rsidRPr="00AE7B69" w:rsidRDefault="00AE7B69" w:rsidP="0069386C">
            <w:pPr>
              <w:jc w:val="center"/>
              <w:rPr>
                <w:szCs w:val="20"/>
              </w:rPr>
            </w:pPr>
          </w:p>
        </w:tc>
        <w:tc>
          <w:tcPr>
            <w:tcW w:w="460" w:type="dxa"/>
            <w:shd w:val="clear" w:color="auto" w:fill="F2F2F2" w:themeFill="background1" w:themeFillShade="F2"/>
          </w:tcPr>
          <w:p w14:paraId="482F55F6" w14:textId="77777777" w:rsidR="00AE7B69" w:rsidRPr="00AE7B69" w:rsidRDefault="00AE7B69" w:rsidP="0069386C">
            <w:pPr>
              <w:jc w:val="center"/>
              <w:rPr>
                <w:szCs w:val="20"/>
              </w:rPr>
            </w:pPr>
          </w:p>
        </w:tc>
        <w:tc>
          <w:tcPr>
            <w:tcW w:w="1481" w:type="dxa"/>
            <w:shd w:val="clear" w:color="auto" w:fill="E4E7E8" w:themeFill="accent4" w:themeFillTint="33"/>
          </w:tcPr>
          <w:p w14:paraId="5B018FBD" w14:textId="77777777" w:rsidR="00AE7B69" w:rsidRPr="00AE7B69" w:rsidRDefault="00AE7B69" w:rsidP="0069386C">
            <w:pPr>
              <w:jc w:val="center"/>
              <w:rPr>
                <w:szCs w:val="20"/>
              </w:rPr>
            </w:pPr>
          </w:p>
        </w:tc>
        <w:tc>
          <w:tcPr>
            <w:tcW w:w="1335" w:type="dxa"/>
            <w:shd w:val="clear" w:color="auto" w:fill="F2F2F2" w:themeFill="background1" w:themeFillShade="F2"/>
          </w:tcPr>
          <w:p w14:paraId="65F4298A" w14:textId="77777777" w:rsidR="00AE7B69" w:rsidRPr="00AE7B69" w:rsidRDefault="00AE7B69" w:rsidP="0069386C">
            <w:pPr>
              <w:jc w:val="center"/>
              <w:rPr>
                <w:szCs w:val="20"/>
              </w:rPr>
            </w:pPr>
          </w:p>
        </w:tc>
        <w:tc>
          <w:tcPr>
            <w:tcW w:w="645" w:type="dxa"/>
            <w:shd w:val="clear" w:color="auto" w:fill="F2F2F2" w:themeFill="background1" w:themeFillShade="F2"/>
          </w:tcPr>
          <w:p w14:paraId="62EA71D7" w14:textId="77777777" w:rsidR="00AE7B69" w:rsidRPr="00AE7B69" w:rsidRDefault="00AE7B69" w:rsidP="0069386C">
            <w:pPr>
              <w:jc w:val="center"/>
              <w:rPr>
                <w:szCs w:val="20"/>
              </w:rPr>
            </w:pPr>
          </w:p>
        </w:tc>
      </w:tr>
      <w:tr w:rsidR="00AE7B69" w:rsidRPr="00AE7B69" w14:paraId="1A0763F7" w14:textId="77777777" w:rsidTr="00160A48">
        <w:trPr>
          <w:jc w:val="center"/>
        </w:trPr>
        <w:tc>
          <w:tcPr>
            <w:tcW w:w="460" w:type="dxa"/>
          </w:tcPr>
          <w:p w14:paraId="3CFFD445" w14:textId="77777777" w:rsidR="00AE7B69" w:rsidRPr="00AE7B69" w:rsidRDefault="00AE7B69" w:rsidP="0069386C">
            <w:pPr>
              <w:jc w:val="center"/>
              <w:rPr>
                <w:b/>
                <w:szCs w:val="20"/>
              </w:rPr>
            </w:pPr>
            <w:r w:rsidRPr="00AE7B69">
              <w:rPr>
                <w:b/>
                <w:szCs w:val="20"/>
              </w:rPr>
              <w:t>23</w:t>
            </w:r>
          </w:p>
        </w:tc>
        <w:tc>
          <w:tcPr>
            <w:tcW w:w="1966" w:type="dxa"/>
          </w:tcPr>
          <w:p w14:paraId="3D7F41A5" w14:textId="4329C27E" w:rsidR="00AE7B69" w:rsidRPr="00AE7B69" w:rsidRDefault="00621A62" w:rsidP="00EE2AE6">
            <w:pPr>
              <w:jc w:val="left"/>
              <w:rPr>
                <w:b/>
                <w:szCs w:val="20"/>
              </w:rPr>
            </w:pPr>
            <w:r w:rsidRPr="00621A62">
              <w:rPr>
                <w:b/>
                <w:szCs w:val="20"/>
              </w:rPr>
              <w:t xml:space="preserve">Republic of </w:t>
            </w:r>
            <w:r w:rsidR="00AE7B69" w:rsidRPr="00AE7B69">
              <w:rPr>
                <w:b/>
                <w:szCs w:val="20"/>
              </w:rPr>
              <w:t>Latvia</w:t>
            </w:r>
          </w:p>
        </w:tc>
        <w:tc>
          <w:tcPr>
            <w:tcW w:w="1416" w:type="dxa"/>
          </w:tcPr>
          <w:p w14:paraId="560623F7" w14:textId="77777777" w:rsidR="00AE7B69" w:rsidRPr="00AE7B69" w:rsidRDefault="00AE7B69" w:rsidP="0069386C">
            <w:pPr>
              <w:jc w:val="center"/>
              <w:rPr>
                <w:szCs w:val="20"/>
              </w:rPr>
            </w:pPr>
            <w:r w:rsidRPr="00AE7B69">
              <w:rPr>
                <w:szCs w:val="20"/>
              </w:rPr>
              <w:t>Denounced</w:t>
            </w:r>
          </w:p>
        </w:tc>
        <w:tc>
          <w:tcPr>
            <w:tcW w:w="460" w:type="dxa"/>
          </w:tcPr>
          <w:p w14:paraId="449EB071" w14:textId="77777777" w:rsidR="00AE7B69" w:rsidRPr="00AE7B69" w:rsidRDefault="00AE7B69" w:rsidP="0069386C">
            <w:pPr>
              <w:jc w:val="center"/>
              <w:rPr>
                <w:szCs w:val="20"/>
              </w:rPr>
            </w:pPr>
          </w:p>
        </w:tc>
        <w:tc>
          <w:tcPr>
            <w:tcW w:w="1416" w:type="dxa"/>
          </w:tcPr>
          <w:p w14:paraId="16E3C69B" w14:textId="77777777" w:rsidR="00AE7B69" w:rsidRPr="00AE7B69" w:rsidRDefault="00AE7B69" w:rsidP="0069386C">
            <w:pPr>
              <w:jc w:val="center"/>
              <w:rPr>
                <w:szCs w:val="20"/>
              </w:rPr>
            </w:pPr>
            <w:r w:rsidRPr="00AE7B69">
              <w:rPr>
                <w:szCs w:val="20"/>
              </w:rPr>
              <w:t>Denounced</w:t>
            </w:r>
          </w:p>
        </w:tc>
        <w:tc>
          <w:tcPr>
            <w:tcW w:w="460" w:type="dxa"/>
            <w:shd w:val="clear" w:color="auto" w:fill="auto"/>
          </w:tcPr>
          <w:p w14:paraId="3B46DCD5" w14:textId="77777777" w:rsidR="00AE7B69" w:rsidRPr="00AE7B69" w:rsidRDefault="00AE7B69" w:rsidP="0069386C">
            <w:pPr>
              <w:jc w:val="center"/>
              <w:rPr>
                <w:szCs w:val="20"/>
              </w:rPr>
            </w:pPr>
          </w:p>
        </w:tc>
        <w:tc>
          <w:tcPr>
            <w:tcW w:w="1481" w:type="dxa"/>
            <w:shd w:val="clear" w:color="auto" w:fill="E4E7E8" w:themeFill="accent4" w:themeFillTint="33"/>
          </w:tcPr>
          <w:p w14:paraId="2892BDE2" w14:textId="77777777" w:rsidR="00AE7B69" w:rsidRPr="00AE7B69" w:rsidRDefault="00AE7B69" w:rsidP="0069386C">
            <w:pPr>
              <w:jc w:val="center"/>
              <w:rPr>
                <w:szCs w:val="20"/>
              </w:rPr>
            </w:pPr>
          </w:p>
        </w:tc>
        <w:tc>
          <w:tcPr>
            <w:tcW w:w="1335" w:type="dxa"/>
            <w:shd w:val="clear" w:color="auto" w:fill="D0E6F6" w:themeFill="accent6" w:themeFillTint="33"/>
          </w:tcPr>
          <w:p w14:paraId="208B4D29"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1B1BF15E" w14:textId="77777777" w:rsidR="00AE7B69" w:rsidRPr="00AE7B69" w:rsidRDefault="00AE7B69" w:rsidP="0069386C">
            <w:pPr>
              <w:jc w:val="center"/>
              <w:rPr>
                <w:szCs w:val="20"/>
              </w:rPr>
            </w:pPr>
            <w:r w:rsidRPr="00AE7B69">
              <w:rPr>
                <w:szCs w:val="20"/>
              </w:rPr>
              <w:t>12</w:t>
            </w:r>
          </w:p>
        </w:tc>
      </w:tr>
      <w:tr w:rsidR="00AE7B69" w:rsidRPr="00AE7B69" w14:paraId="1193958F" w14:textId="77777777" w:rsidTr="00160A48">
        <w:trPr>
          <w:jc w:val="center"/>
        </w:trPr>
        <w:tc>
          <w:tcPr>
            <w:tcW w:w="460" w:type="dxa"/>
          </w:tcPr>
          <w:p w14:paraId="2892B2C7" w14:textId="77777777" w:rsidR="00AE7B69" w:rsidRPr="00AE7B69" w:rsidRDefault="00AE7B69" w:rsidP="0069386C">
            <w:pPr>
              <w:jc w:val="center"/>
              <w:rPr>
                <w:b/>
                <w:szCs w:val="20"/>
              </w:rPr>
            </w:pPr>
            <w:r w:rsidRPr="00AE7B69">
              <w:rPr>
                <w:b/>
                <w:szCs w:val="20"/>
              </w:rPr>
              <w:t>24</w:t>
            </w:r>
          </w:p>
        </w:tc>
        <w:tc>
          <w:tcPr>
            <w:tcW w:w="1966" w:type="dxa"/>
          </w:tcPr>
          <w:p w14:paraId="1EE1510A" w14:textId="52A1F760" w:rsidR="00AE7B69" w:rsidRPr="00AE7B69" w:rsidRDefault="00D76199" w:rsidP="00EE2AE6">
            <w:pPr>
              <w:jc w:val="left"/>
              <w:rPr>
                <w:b/>
                <w:szCs w:val="20"/>
              </w:rPr>
            </w:pPr>
            <w:r>
              <w:rPr>
                <w:b/>
                <w:szCs w:val="20"/>
              </w:rPr>
              <w:t xml:space="preserve">Republic of </w:t>
            </w:r>
            <w:r w:rsidR="00AE7B69" w:rsidRPr="00AE7B69">
              <w:rPr>
                <w:b/>
                <w:szCs w:val="20"/>
              </w:rPr>
              <w:t>Liberia</w:t>
            </w:r>
          </w:p>
        </w:tc>
        <w:tc>
          <w:tcPr>
            <w:tcW w:w="1416" w:type="dxa"/>
            <w:shd w:val="clear" w:color="auto" w:fill="D0E6F6" w:themeFill="accent6" w:themeFillTint="33"/>
          </w:tcPr>
          <w:p w14:paraId="44EEB0D1"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14022702" w14:textId="607CD4BC" w:rsidR="00AE7B69" w:rsidRPr="00AE7B69" w:rsidRDefault="002B5214" w:rsidP="002B5214">
            <w:pPr>
              <w:jc w:val="center"/>
              <w:rPr>
                <w:szCs w:val="20"/>
              </w:rPr>
            </w:pPr>
            <w:r w:rsidRPr="00AE7B69">
              <w:rPr>
                <w:szCs w:val="20"/>
              </w:rPr>
              <w:t>1</w:t>
            </w:r>
            <w:r>
              <w:rPr>
                <w:szCs w:val="20"/>
              </w:rPr>
              <w:t>2</w:t>
            </w:r>
          </w:p>
        </w:tc>
        <w:tc>
          <w:tcPr>
            <w:tcW w:w="1416" w:type="dxa"/>
            <w:shd w:val="clear" w:color="auto" w:fill="D0E6F6" w:themeFill="accent6" w:themeFillTint="33"/>
          </w:tcPr>
          <w:p w14:paraId="319F2C7A"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427A195D" w14:textId="77777777" w:rsidR="00AE7B69" w:rsidRPr="00AE7B69" w:rsidRDefault="00AE7B69" w:rsidP="0069386C">
            <w:pPr>
              <w:jc w:val="center"/>
              <w:rPr>
                <w:szCs w:val="20"/>
              </w:rPr>
            </w:pPr>
            <w:r w:rsidRPr="00AE7B69">
              <w:rPr>
                <w:szCs w:val="20"/>
              </w:rPr>
              <w:t>7</w:t>
            </w:r>
          </w:p>
        </w:tc>
        <w:tc>
          <w:tcPr>
            <w:tcW w:w="1481" w:type="dxa"/>
            <w:shd w:val="clear" w:color="auto" w:fill="E4E7E8" w:themeFill="accent4" w:themeFillTint="33"/>
          </w:tcPr>
          <w:p w14:paraId="612BE4D7" w14:textId="77777777" w:rsidR="00AE7B69" w:rsidRPr="00AE7B69" w:rsidRDefault="00AE7B69" w:rsidP="0069386C">
            <w:pPr>
              <w:jc w:val="center"/>
              <w:rPr>
                <w:szCs w:val="20"/>
              </w:rPr>
            </w:pPr>
          </w:p>
        </w:tc>
        <w:tc>
          <w:tcPr>
            <w:tcW w:w="1335" w:type="dxa"/>
            <w:shd w:val="clear" w:color="auto" w:fill="F2F2F2" w:themeFill="background1" w:themeFillShade="F2"/>
          </w:tcPr>
          <w:p w14:paraId="6BF7070F" w14:textId="77777777" w:rsidR="00AE7B69" w:rsidRPr="00AE7B69" w:rsidRDefault="00AE7B69" w:rsidP="0069386C">
            <w:pPr>
              <w:jc w:val="center"/>
              <w:rPr>
                <w:szCs w:val="20"/>
              </w:rPr>
            </w:pPr>
          </w:p>
        </w:tc>
        <w:tc>
          <w:tcPr>
            <w:tcW w:w="645" w:type="dxa"/>
            <w:shd w:val="clear" w:color="auto" w:fill="F2F2F2" w:themeFill="background1" w:themeFillShade="F2"/>
          </w:tcPr>
          <w:p w14:paraId="7ED6CD6C" w14:textId="77777777" w:rsidR="00AE7B69" w:rsidRPr="00AE7B69" w:rsidRDefault="00AE7B69" w:rsidP="0069386C">
            <w:pPr>
              <w:jc w:val="center"/>
              <w:rPr>
                <w:szCs w:val="20"/>
              </w:rPr>
            </w:pPr>
          </w:p>
        </w:tc>
      </w:tr>
      <w:tr w:rsidR="00AE7B69" w:rsidRPr="00AE7B69" w14:paraId="55FA9FDB" w14:textId="77777777" w:rsidTr="00160A48">
        <w:trPr>
          <w:jc w:val="center"/>
        </w:trPr>
        <w:tc>
          <w:tcPr>
            <w:tcW w:w="460" w:type="dxa"/>
          </w:tcPr>
          <w:p w14:paraId="65DD4306" w14:textId="77777777" w:rsidR="00AE7B69" w:rsidRPr="00AE7B69" w:rsidRDefault="00AE7B69" w:rsidP="0069386C">
            <w:pPr>
              <w:jc w:val="center"/>
              <w:rPr>
                <w:b/>
                <w:szCs w:val="20"/>
              </w:rPr>
            </w:pPr>
            <w:r w:rsidRPr="00AE7B69">
              <w:rPr>
                <w:b/>
                <w:szCs w:val="20"/>
              </w:rPr>
              <w:t>25</w:t>
            </w:r>
          </w:p>
        </w:tc>
        <w:tc>
          <w:tcPr>
            <w:tcW w:w="1966" w:type="dxa"/>
          </w:tcPr>
          <w:p w14:paraId="7461203B" w14:textId="65326842" w:rsidR="00AE7B69" w:rsidRPr="00AE7B69" w:rsidRDefault="00D76199" w:rsidP="00EE2AE6">
            <w:pPr>
              <w:jc w:val="left"/>
              <w:rPr>
                <w:b/>
                <w:szCs w:val="20"/>
              </w:rPr>
            </w:pPr>
            <w:r>
              <w:rPr>
                <w:b/>
                <w:szCs w:val="20"/>
              </w:rPr>
              <w:t xml:space="preserve">State of </w:t>
            </w:r>
            <w:r w:rsidR="00AE7B69" w:rsidRPr="00AE7B69">
              <w:rPr>
                <w:b/>
                <w:szCs w:val="20"/>
              </w:rPr>
              <w:t>Libya</w:t>
            </w:r>
          </w:p>
        </w:tc>
        <w:tc>
          <w:tcPr>
            <w:tcW w:w="1416" w:type="dxa"/>
            <w:shd w:val="clear" w:color="auto" w:fill="D0E6F6" w:themeFill="accent6" w:themeFillTint="33"/>
          </w:tcPr>
          <w:p w14:paraId="4D1E7C95"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259E316E" w14:textId="2FFA191F" w:rsidR="00AE7B69" w:rsidRPr="00AE7B69" w:rsidRDefault="002B5214" w:rsidP="002B5214">
            <w:pPr>
              <w:jc w:val="center"/>
              <w:rPr>
                <w:szCs w:val="20"/>
              </w:rPr>
            </w:pPr>
            <w:r w:rsidRPr="00AE7B69">
              <w:rPr>
                <w:szCs w:val="20"/>
              </w:rPr>
              <w:t>1</w:t>
            </w:r>
            <w:r>
              <w:rPr>
                <w:szCs w:val="20"/>
              </w:rPr>
              <w:t>3</w:t>
            </w:r>
          </w:p>
        </w:tc>
        <w:tc>
          <w:tcPr>
            <w:tcW w:w="1416" w:type="dxa"/>
            <w:shd w:val="clear" w:color="auto" w:fill="D0E6F6" w:themeFill="accent6" w:themeFillTint="33"/>
          </w:tcPr>
          <w:p w14:paraId="40DAFF82"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2C89010F" w14:textId="77777777" w:rsidR="00AE7B69" w:rsidRPr="00AE7B69" w:rsidRDefault="00AE7B69" w:rsidP="0069386C">
            <w:pPr>
              <w:jc w:val="center"/>
              <w:rPr>
                <w:szCs w:val="20"/>
              </w:rPr>
            </w:pPr>
            <w:r w:rsidRPr="00AE7B69">
              <w:rPr>
                <w:szCs w:val="20"/>
              </w:rPr>
              <w:t>8</w:t>
            </w:r>
          </w:p>
        </w:tc>
        <w:tc>
          <w:tcPr>
            <w:tcW w:w="1481" w:type="dxa"/>
            <w:shd w:val="clear" w:color="auto" w:fill="E4E7E8" w:themeFill="accent4" w:themeFillTint="33"/>
          </w:tcPr>
          <w:p w14:paraId="1EFA6655" w14:textId="77777777" w:rsidR="00AE7B69" w:rsidRPr="00AE7B69" w:rsidRDefault="00AE7B69" w:rsidP="0069386C">
            <w:pPr>
              <w:jc w:val="center"/>
              <w:rPr>
                <w:szCs w:val="20"/>
              </w:rPr>
            </w:pPr>
          </w:p>
        </w:tc>
        <w:tc>
          <w:tcPr>
            <w:tcW w:w="1335" w:type="dxa"/>
            <w:shd w:val="clear" w:color="auto" w:fill="F2F2F2" w:themeFill="background1" w:themeFillShade="F2"/>
          </w:tcPr>
          <w:p w14:paraId="0734821B" w14:textId="77777777" w:rsidR="00AE7B69" w:rsidRPr="00AE7B69" w:rsidRDefault="00AE7B69" w:rsidP="0069386C">
            <w:pPr>
              <w:jc w:val="center"/>
              <w:rPr>
                <w:szCs w:val="20"/>
              </w:rPr>
            </w:pPr>
          </w:p>
        </w:tc>
        <w:tc>
          <w:tcPr>
            <w:tcW w:w="645" w:type="dxa"/>
            <w:shd w:val="clear" w:color="auto" w:fill="F2F2F2" w:themeFill="background1" w:themeFillShade="F2"/>
          </w:tcPr>
          <w:p w14:paraId="046FF445" w14:textId="77777777" w:rsidR="00AE7B69" w:rsidRPr="00AE7B69" w:rsidRDefault="00AE7B69" w:rsidP="0069386C">
            <w:pPr>
              <w:jc w:val="center"/>
              <w:rPr>
                <w:szCs w:val="20"/>
              </w:rPr>
            </w:pPr>
          </w:p>
        </w:tc>
      </w:tr>
      <w:tr w:rsidR="00AE7B69" w:rsidRPr="00AE7B69" w14:paraId="105AADA6" w14:textId="77777777" w:rsidTr="00160A48">
        <w:trPr>
          <w:jc w:val="center"/>
        </w:trPr>
        <w:tc>
          <w:tcPr>
            <w:tcW w:w="460" w:type="dxa"/>
          </w:tcPr>
          <w:p w14:paraId="0AD37585" w14:textId="77777777" w:rsidR="00AE7B69" w:rsidRPr="00AE7B69" w:rsidRDefault="00AE7B69" w:rsidP="0069386C">
            <w:pPr>
              <w:jc w:val="center"/>
              <w:rPr>
                <w:b/>
                <w:szCs w:val="20"/>
              </w:rPr>
            </w:pPr>
            <w:r w:rsidRPr="00AE7B69">
              <w:rPr>
                <w:b/>
                <w:szCs w:val="20"/>
              </w:rPr>
              <w:t>26</w:t>
            </w:r>
          </w:p>
        </w:tc>
        <w:tc>
          <w:tcPr>
            <w:tcW w:w="1966" w:type="dxa"/>
          </w:tcPr>
          <w:p w14:paraId="6D502470" w14:textId="17F38587" w:rsidR="00AE7B69" w:rsidRPr="00AE7B69" w:rsidRDefault="00621A62" w:rsidP="00EE2AE6">
            <w:pPr>
              <w:jc w:val="left"/>
              <w:rPr>
                <w:b/>
                <w:szCs w:val="20"/>
              </w:rPr>
            </w:pPr>
            <w:r w:rsidRPr="00621A62">
              <w:rPr>
                <w:b/>
                <w:szCs w:val="20"/>
              </w:rPr>
              <w:t xml:space="preserve">Republic of </w:t>
            </w:r>
            <w:r w:rsidR="00AE7B69" w:rsidRPr="00AE7B69">
              <w:rPr>
                <w:b/>
                <w:szCs w:val="20"/>
              </w:rPr>
              <w:t>Lithuania</w:t>
            </w:r>
          </w:p>
        </w:tc>
        <w:tc>
          <w:tcPr>
            <w:tcW w:w="1416" w:type="dxa"/>
            <w:shd w:val="clear" w:color="auto" w:fill="F2F2F2" w:themeFill="background1" w:themeFillShade="F2"/>
          </w:tcPr>
          <w:p w14:paraId="3692D493" w14:textId="77777777" w:rsidR="00AE7B69" w:rsidRPr="00AE7B69" w:rsidRDefault="00AE7B69" w:rsidP="0069386C">
            <w:pPr>
              <w:jc w:val="center"/>
              <w:rPr>
                <w:szCs w:val="20"/>
              </w:rPr>
            </w:pPr>
          </w:p>
        </w:tc>
        <w:tc>
          <w:tcPr>
            <w:tcW w:w="460" w:type="dxa"/>
            <w:shd w:val="clear" w:color="auto" w:fill="F2F2F2" w:themeFill="background1" w:themeFillShade="F2"/>
          </w:tcPr>
          <w:p w14:paraId="39F1D6DB" w14:textId="77777777" w:rsidR="00AE7B69" w:rsidRPr="00AE7B69" w:rsidRDefault="00AE7B69" w:rsidP="0069386C">
            <w:pPr>
              <w:jc w:val="center"/>
              <w:rPr>
                <w:szCs w:val="20"/>
              </w:rPr>
            </w:pPr>
          </w:p>
        </w:tc>
        <w:tc>
          <w:tcPr>
            <w:tcW w:w="1416" w:type="dxa"/>
            <w:shd w:val="clear" w:color="auto" w:fill="F2F2F2" w:themeFill="background1" w:themeFillShade="F2"/>
          </w:tcPr>
          <w:p w14:paraId="0DCC6607" w14:textId="77777777" w:rsidR="00AE7B69" w:rsidRPr="00AE7B69" w:rsidRDefault="00AE7B69" w:rsidP="0069386C">
            <w:pPr>
              <w:jc w:val="center"/>
              <w:rPr>
                <w:szCs w:val="20"/>
              </w:rPr>
            </w:pPr>
          </w:p>
        </w:tc>
        <w:tc>
          <w:tcPr>
            <w:tcW w:w="460" w:type="dxa"/>
            <w:shd w:val="clear" w:color="auto" w:fill="F2F2F2" w:themeFill="background1" w:themeFillShade="F2"/>
          </w:tcPr>
          <w:p w14:paraId="7572E58B" w14:textId="77777777" w:rsidR="00AE7B69" w:rsidRPr="00AE7B69" w:rsidRDefault="00AE7B69" w:rsidP="0069386C">
            <w:pPr>
              <w:jc w:val="center"/>
              <w:rPr>
                <w:szCs w:val="20"/>
              </w:rPr>
            </w:pPr>
          </w:p>
        </w:tc>
        <w:tc>
          <w:tcPr>
            <w:tcW w:w="1481" w:type="dxa"/>
            <w:shd w:val="clear" w:color="auto" w:fill="E4E7E8" w:themeFill="accent4" w:themeFillTint="33"/>
          </w:tcPr>
          <w:p w14:paraId="53DCFEE1" w14:textId="77777777" w:rsidR="00AE7B69" w:rsidRPr="00AE7B69" w:rsidRDefault="00AE7B69" w:rsidP="0069386C">
            <w:pPr>
              <w:jc w:val="center"/>
              <w:rPr>
                <w:szCs w:val="20"/>
              </w:rPr>
            </w:pPr>
          </w:p>
        </w:tc>
        <w:tc>
          <w:tcPr>
            <w:tcW w:w="1335" w:type="dxa"/>
            <w:shd w:val="clear" w:color="auto" w:fill="D0E6F6" w:themeFill="accent6" w:themeFillTint="33"/>
          </w:tcPr>
          <w:p w14:paraId="602AE177"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6818895D" w14:textId="77777777" w:rsidR="00AE7B69" w:rsidRPr="00AE7B69" w:rsidRDefault="00AE7B69" w:rsidP="0069386C">
            <w:pPr>
              <w:jc w:val="center"/>
              <w:rPr>
                <w:szCs w:val="20"/>
              </w:rPr>
            </w:pPr>
            <w:r w:rsidRPr="00AE7B69">
              <w:rPr>
                <w:szCs w:val="20"/>
              </w:rPr>
              <w:t>13</w:t>
            </w:r>
          </w:p>
        </w:tc>
      </w:tr>
      <w:tr w:rsidR="00AE7B69" w:rsidRPr="00AE7B69" w14:paraId="15160A80" w14:textId="77777777" w:rsidTr="00160A48">
        <w:trPr>
          <w:jc w:val="center"/>
        </w:trPr>
        <w:tc>
          <w:tcPr>
            <w:tcW w:w="460" w:type="dxa"/>
          </w:tcPr>
          <w:p w14:paraId="01C46C43" w14:textId="77777777" w:rsidR="00AE7B69" w:rsidRPr="00AE7B69" w:rsidRDefault="00AE7B69" w:rsidP="0069386C">
            <w:pPr>
              <w:jc w:val="center"/>
              <w:rPr>
                <w:b/>
                <w:szCs w:val="20"/>
              </w:rPr>
            </w:pPr>
            <w:r w:rsidRPr="00AE7B69">
              <w:rPr>
                <w:b/>
                <w:szCs w:val="20"/>
              </w:rPr>
              <w:t>27</w:t>
            </w:r>
          </w:p>
        </w:tc>
        <w:tc>
          <w:tcPr>
            <w:tcW w:w="1966" w:type="dxa"/>
          </w:tcPr>
          <w:p w14:paraId="6779E73B" w14:textId="5FBE2852" w:rsidR="00AE7B69" w:rsidRPr="00AE7B69" w:rsidRDefault="00D76199" w:rsidP="00EE2AE6">
            <w:pPr>
              <w:jc w:val="left"/>
              <w:rPr>
                <w:b/>
                <w:szCs w:val="20"/>
              </w:rPr>
            </w:pPr>
            <w:r>
              <w:rPr>
                <w:b/>
                <w:szCs w:val="20"/>
              </w:rPr>
              <w:t xml:space="preserve">Grand Duchy of </w:t>
            </w:r>
            <w:r w:rsidR="00AE7B69" w:rsidRPr="00AE7B69">
              <w:rPr>
                <w:b/>
                <w:szCs w:val="20"/>
              </w:rPr>
              <w:t>Luxembourg</w:t>
            </w:r>
          </w:p>
        </w:tc>
        <w:tc>
          <w:tcPr>
            <w:tcW w:w="1416" w:type="dxa"/>
            <w:shd w:val="clear" w:color="auto" w:fill="D0E6F6" w:themeFill="accent6" w:themeFillTint="33"/>
          </w:tcPr>
          <w:p w14:paraId="4AA8B8AC"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45C18117" w14:textId="28A29886" w:rsidR="00AE7B69" w:rsidRPr="00AE7B69" w:rsidRDefault="002B5214" w:rsidP="002B5214">
            <w:pPr>
              <w:jc w:val="center"/>
              <w:rPr>
                <w:szCs w:val="20"/>
              </w:rPr>
            </w:pPr>
            <w:r w:rsidRPr="00AE7B69">
              <w:rPr>
                <w:szCs w:val="20"/>
              </w:rPr>
              <w:t>1</w:t>
            </w:r>
            <w:r>
              <w:rPr>
                <w:szCs w:val="20"/>
              </w:rPr>
              <w:t>4</w:t>
            </w:r>
          </w:p>
        </w:tc>
        <w:tc>
          <w:tcPr>
            <w:tcW w:w="1416" w:type="dxa"/>
            <w:shd w:val="clear" w:color="auto" w:fill="D0E6F6" w:themeFill="accent6" w:themeFillTint="33"/>
          </w:tcPr>
          <w:p w14:paraId="2B822AB2"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3BACB240" w14:textId="77777777" w:rsidR="00AE7B69" w:rsidRPr="00AE7B69" w:rsidRDefault="00AE7B69" w:rsidP="0069386C">
            <w:pPr>
              <w:jc w:val="center"/>
              <w:rPr>
                <w:szCs w:val="20"/>
              </w:rPr>
            </w:pPr>
            <w:r w:rsidRPr="00AE7B69">
              <w:rPr>
                <w:szCs w:val="20"/>
              </w:rPr>
              <w:t>9</w:t>
            </w:r>
          </w:p>
        </w:tc>
        <w:tc>
          <w:tcPr>
            <w:tcW w:w="1481" w:type="dxa"/>
            <w:shd w:val="clear" w:color="auto" w:fill="E4E7E8" w:themeFill="accent4" w:themeFillTint="33"/>
          </w:tcPr>
          <w:p w14:paraId="6B3F14F1" w14:textId="77777777" w:rsidR="00AE7B69" w:rsidRPr="00AE7B69" w:rsidRDefault="00AE7B69" w:rsidP="0069386C">
            <w:pPr>
              <w:jc w:val="center"/>
              <w:rPr>
                <w:szCs w:val="20"/>
              </w:rPr>
            </w:pPr>
            <w:r w:rsidRPr="00AE7B69">
              <w:rPr>
                <w:szCs w:val="20"/>
              </w:rPr>
              <w:t>Y</w:t>
            </w:r>
          </w:p>
        </w:tc>
        <w:tc>
          <w:tcPr>
            <w:tcW w:w="1335" w:type="dxa"/>
            <w:shd w:val="clear" w:color="auto" w:fill="F2F2F2" w:themeFill="background1" w:themeFillShade="F2"/>
          </w:tcPr>
          <w:p w14:paraId="6E135DA1" w14:textId="77777777" w:rsidR="00AE7B69" w:rsidRPr="00AE7B69" w:rsidRDefault="00AE7B69" w:rsidP="0069386C">
            <w:pPr>
              <w:jc w:val="center"/>
              <w:rPr>
                <w:szCs w:val="20"/>
              </w:rPr>
            </w:pPr>
          </w:p>
        </w:tc>
        <w:tc>
          <w:tcPr>
            <w:tcW w:w="645" w:type="dxa"/>
            <w:shd w:val="clear" w:color="auto" w:fill="F2F2F2" w:themeFill="background1" w:themeFillShade="F2"/>
          </w:tcPr>
          <w:p w14:paraId="77FBE1E5" w14:textId="77777777" w:rsidR="00AE7B69" w:rsidRPr="00AE7B69" w:rsidRDefault="00AE7B69" w:rsidP="0069386C">
            <w:pPr>
              <w:jc w:val="center"/>
              <w:rPr>
                <w:szCs w:val="20"/>
              </w:rPr>
            </w:pPr>
          </w:p>
        </w:tc>
      </w:tr>
      <w:tr w:rsidR="00AE7B69" w:rsidRPr="00AE7B69" w14:paraId="59D3A093" w14:textId="77777777" w:rsidTr="00160A48">
        <w:trPr>
          <w:jc w:val="center"/>
        </w:trPr>
        <w:tc>
          <w:tcPr>
            <w:tcW w:w="460" w:type="dxa"/>
          </w:tcPr>
          <w:p w14:paraId="099D912B" w14:textId="77777777" w:rsidR="00AE7B69" w:rsidRPr="00AE7B69" w:rsidRDefault="00AE7B69" w:rsidP="0069386C">
            <w:pPr>
              <w:jc w:val="center"/>
              <w:rPr>
                <w:b/>
                <w:szCs w:val="20"/>
              </w:rPr>
            </w:pPr>
            <w:r w:rsidRPr="00AE7B69">
              <w:rPr>
                <w:b/>
                <w:szCs w:val="20"/>
              </w:rPr>
              <w:t>28</w:t>
            </w:r>
          </w:p>
        </w:tc>
        <w:tc>
          <w:tcPr>
            <w:tcW w:w="1966" w:type="dxa"/>
          </w:tcPr>
          <w:p w14:paraId="7CD6C8BA" w14:textId="7DACC101" w:rsidR="00AE7B69" w:rsidRPr="00AE7B69" w:rsidRDefault="00621A62" w:rsidP="00EE2AE6">
            <w:pPr>
              <w:jc w:val="left"/>
              <w:rPr>
                <w:b/>
                <w:szCs w:val="20"/>
              </w:rPr>
            </w:pPr>
            <w:r>
              <w:rPr>
                <w:b/>
                <w:szCs w:val="20"/>
              </w:rPr>
              <w:t xml:space="preserve">Republic </w:t>
            </w:r>
            <w:r w:rsidRPr="00621A62">
              <w:rPr>
                <w:b/>
                <w:szCs w:val="20"/>
              </w:rPr>
              <w:t xml:space="preserve">of </w:t>
            </w:r>
            <w:r w:rsidR="00AE7B69" w:rsidRPr="00AE7B69">
              <w:rPr>
                <w:b/>
                <w:szCs w:val="20"/>
              </w:rPr>
              <w:t>Madagascar</w:t>
            </w:r>
          </w:p>
        </w:tc>
        <w:tc>
          <w:tcPr>
            <w:tcW w:w="1416" w:type="dxa"/>
            <w:shd w:val="clear" w:color="auto" w:fill="F2F2F2" w:themeFill="background1" w:themeFillShade="F2"/>
          </w:tcPr>
          <w:p w14:paraId="56DF8AEB" w14:textId="77777777" w:rsidR="00AE7B69" w:rsidRPr="00AE7B69" w:rsidRDefault="00AE7B69" w:rsidP="0069386C">
            <w:pPr>
              <w:jc w:val="center"/>
              <w:rPr>
                <w:szCs w:val="20"/>
              </w:rPr>
            </w:pPr>
          </w:p>
        </w:tc>
        <w:tc>
          <w:tcPr>
            <w:tcW w:w="460" w:type="dxa"/>
            <w:shd w:val="clear" w:color="auto" w:fill="F2F2F2" w:themeFill="background1" w:themeFillShade="F2"/>
          </w:tcPr>
          <w:p w14:paraId="58E1433E" w14:textId="77777777" w:rsidR="00AE7B69" w:rsidRPr="00AE7B69" w:rsidRDefault="00AE7B69" w:rsidP="0069386C">
            <w:pPr>
              <w:jc w:val="center"/>
              <w:rPr>
                <w:szCs w:val="20"/>
              </w:rPr>
            </w:pPr>
          </w:p>
        </w:tc>
        <w:tc>
          <w:tcPr>
            <w:tcW w:w="1416" w:type="dxa"/>
            <w:shd w:val="clear" w:color="auto" w:fill="F2F2F2" w:themeFill="background1" w:themeFillShade="F2"/>
          </w:tcPr>
          <w:p w14:paraId="54DD949D" w14:textId="77777777" w:rsidR="00AE7B69" w:rsidRPr="00AE7B69" w:rsidRDefault="00AE7B69" w:rsidP="0069386C">
            <w:pPr>
              <w:jc w:val="center"/>
              <w:rPr>
                <w:szCs w:val="20"/>
              </w:rPr>
            </w:pPr>
          </w:p>
        </w:tc>
        <w:tc>
          <w:tcPr>
            <w:tcW w:w="460" w:type="dxa"/>
            <w:shd w:val="clear" w:color="auto" w:fill="F2F2F2" w:themeFill="background1" w:themeFillShade="F2"/>
          </w:tcPr>
          <w:p w14:paraId="539B24E0" w14:textId="77777777" w:rsidR="00AE7B69" w:rsidRPr="00AE7B69" w:rsidRDefault="00AE7B69" w:rsidP="0069386C">
            <w:pPr>
              <w:jc w:val="center"/>
              <w:rPr>
                <w:szCs w:val="20"/>
              </w:rPr>
            </w:pPr>
          </w:p>
        </w:tc>
        <w:tc>
          <w:tcPr>
            <w:tcW w:w="1481" w:type="dxa"/>
            <w:shd w:val="clear" w:color="auto" w:fill="E4E7E8" w:themeFill="accent4" w:themeFillTint="33"/>
          </w:tcPr>
          <w:p w14:paraId="01E2770D" w14:textId="77777777" w:rsidR="00AE7B69" w:rsidRPr="00AE7B69" w:rsidRDefault="00AE7B69" w:rsidP="0069386C">
            <w:pPr>
              <w:jc w:val="center"/>
              <w:rPr>
                <w:szCs w:val="20"/>
              </w:rPr>
            </w:pPr>
          </w:p>
        </w:tc>
        <w:tc>
          <w:tcPr>
            <w:tcW w:w="1335" w:type="dxa"/>
            <w:shd w:val="clear" w:color="auto" w:fill="D0E6F6" w:themeFill="accent6" w:themeFillTint="33"/>
          </w:tcPr>
          <w:p w14:paraId="67FDE0BF"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11A3F3FB" w14:textId="77777777" w:rsidR="00AE7B69" w:rsidRPr="00AE7B69" w:rsidRDefault="00AE7B69" w:rsidP="0069386C">
            <w:pPr>
              <w:jc w:val="center"/>
              <w:rPr>
                <w:szCs w:val="20"/>
              </w:rPr>
            </w:pPr>
            <w:r w:rsidRPr="00AE7B69">
              <w:rPr>
                <w:szCs w:val="20"/>
              </w:rPr>
              <w:t>14</w:t>
            </w:r>
          </w:p>
        </w:tc>
      </w:tr>
      <w:tr w:rsidR="00AE7B69" w:rsidRPr="00AE7B69" w14:paraId="219849F6" w14:textId="77777777" w:rsidTr="00160A48">
        <w:trPr>
          <w:jc w:val="center"/>
        </w:trPr>
        <w:tc>
          <w:tcPr>
            <w:tcW w:w="460" w:type="dxa"/>
          </w:tcPr>
          <w:p w14:paraId="26C410AE" w14:textId="77777777" w:rsidR="00AE7B69" w:rsidRPr="00AE7B69" w:rsidRDefault="00AE7B69" w:rsidP="0069386C">
            <w:pPr>
              <w:jc w:val="center"/>
              <w:rPr>
                <w:b/>
                <w:szCs w:val="20"/>
              </w:rPr>
            </w:pPr>
            <w:r w:rsidRPr="00AE7B69">
              <w:rPr>
                <w:b/>
                <w:szCs w:val="20"/>
              </w:rPr>
              <w:t>29</w:t>
            </w:r>
          </w:p>
        </w:tc>
        <w:tc>
          <w:tcPr>
            <w:tcW w:w="1966" w:type="dxa"/>
          </w:tcPr>
          <w:p w14:paraId="4AC09E8E" w14:textId="06222989" w:rsidR="00AE7B69" w:rsidRPr="00AE7B69" w:rsidRDefault="002A4B05" w:rsidP="00EE2AE6">
            <w:pPr>
              <w:jc w:val="left"/>
              <w:rPr>
                <w:b/>
                <w:szCs w:val="20"/>
              </w:rPr>
            </w:pPr>
            <w:r>
              <w:rPr>
                <w:b/>
                <w:szCs w:val="20"/>
              </w:rPr>
              <w:t xml:space="preserve">Republic of </w:t>
            </w:r>
            <w:r w:rsidR="00AE7B69" w:rsidRPr="00AE7B69">
              <w:rPr>
                <w:b/>
                <w:szCs w:val="20"/>
              </w:rPr>
              <w:t>Malawi</w:t>
            </w:r>
          </w:p>
        </w:tc>
        <w:tc>
          <w:tcPr>
            <w:tcW w:w="1416" w:type="dxa"/>
            <w:shd w:val="clear" w:color="auto" w:fill="D0E6F6" w:themeFill="accent6" w:themeFillTint="33"/>
          </w:tcPr>
          <w:p w14:paraId="5A8F8207"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4E7C3B95" w14:textId="00C2137E" w:rsidR="00AE7B69" w:rsidRPr="00AE7B69" w:rsidRDefault="002B5214" w:rsidP="002B5214">
            <w:pPr>
              <w:jc w:val="center"/>
              <w:rPr>
                <w:szCs w:val="20"/>
              </w:rPr>
            </w:pPr>
            <w:r w:rsidRPr="00AE7B69">
              <w:rPr>
                <w:szCs w:val="20"/>
              </w:rPr>
              <w:t>1</w:t>
            </w:r>
            <w:r>
              <w:rPr>
                <w:szCs w:val="20"/>
              </w:rPr>
              <w:t>5</w:t>
            </w:r>
          </w:p>
        </w:tc>
        <w:tc>
          <w:tcPr>
            <w:tcW w:w="1416" w:type="dxa"/>
            <w:shd w:val="clear" w:color="auto" w:fill="F2F2F2" w:themeFill="background1" w:themeFillShade="F2"/>
          </w:tcPr>
          <w:p w14:paraId="0F069255" w14:textId="77777777" w:rsidR="00AE7B69" w:rsidRPr="00AE7B69" w:rsidRDefault="00AE7B69" w:rsidP="0069386C">
            <w:pPr>
              <w:jc w:val="center"/>
              <w:rPr>
                <w:szCs w:val="20"/>
              </w:rPr>
            </w:pPr>
          </w:p>
        </w:tc>
        <w:tc>
          <w:tcPr>
            <w:tcW w:w="460" w:type="dxa"/>
            <w:shd w:val="clear" w:color="auto" w:fill="F2F2F2" w:themeFill="background1" w:themeFillShade="F2"/>
          </w:tcPr>
          <w:p w14:paraId="0A287A22" w14:textId="77777777" w:rsidR="00AE7B69" w:rsidRPr="00AE7B69" w:rsidRDefault="00AE7B69" w:rsidP="0069386C">
            <w:pPr>
              <w:jc w:val="center"/>
              <w:rPr>
                <w:szCs w:val="20"/>
              </w:rPr>
            </w:pPr>
          </w:p>
        </w:tc>
        <w:tc>
          <w:tcPr>
            <w:tcW w:w="1481" w:type="dxa"/>
            <w:shd w:val="clear" w:color="auto" w:fill="E4E7E8" w:themeFill="accent4" w:themeFillTint="33"/>
          </w:tcPr>
          <w:p w14:paraId="4DE2271E" w14:textId="77777777" w:rsidR="00AE7B69" w:rsidRPr="00AE7B69" w:rsidRDefault="00AE7B69" w:rsidP="0069386C">
            <w:pPr>
              <w:jc w:val="center"/>
              <w:rPr>
                <w:szCs w:val="20"/>
              </w:rPr>
            </w:pPr>
          </w:p>
        </w:tc>
        <w:tc>
          <w:tcPr>
            <w:tcW w:w="1335" w:type="dxa"/>
            <w:shd w:val="clear" w:color="auto" w:fill="F2F2F2" w:themeFill="background1" w:themeFillShade="F2"/>
          </w:tcPr>
          <w:p w14:paraId="78038FA6" w14:textId="77777777" w:rsidR="00AE7B69" w:rsidRPr="00AE7B69" w:rsidRDefault="00AE7B69" w:rsidP="0069386C">
            <w:pPr>
              <w:jc w:val="center"/>
              <w:rPr>
                <w:szCs w:val="20"/>
              </w:rPr>
            </w:pPr>
          </w:p>
        </w:tc>
        <w:tc>
          <w:tcPr>
            <w:tcW w:w="645" w:type="dxa"/>
            <w:shd w:val="clear" w:color="auto" w:fill="F2F2F2" w:themeFill="background1" w:themeFillShade="F2"/>
          </w:tcPr>
          <w:p w14:paraId="3BAAC6C5" w14:textId="77777777" w:rsidR="00AE7B69" w:rsidRPr="00AE7B69" w:rsidRDefault="00AE7B69" w:rsidP="0069386C">
            <w:pPr>
              <w:jc w:val="center"/>
              <w:rPr>
                <w:szCs w:val="20"/>
              </w:rPr>
            </w:pPr>
          </w:p>
        </w:tc>
      </w:tr>
      <w:tr w:rsidR="00AE7B69" w:rsidRPr="00AE7B69" w14:paraId="781DA414" w14:textId="77777777" w:rsidTr="00160A48">
        <w:trPr>
          <w:jc w:val="center"/>
        </w:trPr>
        <w:tc>
          <w:tcPr>
            <w:tcW w:w="460" w:type="dxa"/>
          </w:tcPr>
          <w:p w14:paraId="6A5A2666" w14:textId="77777777" w:rsidR="00AE7B69" w:rsidRPr="00AE7B69" w:rsidRDefault="00AE7B69" w:rsidP="0069386C">
            <w:pPr>
              <w:jc w:val="center"/>
              <w:rPr>
                <w:b/>
                <w:szCs w:val="20"/>
              </w:rPr>
            </w:pPr>
            <w:r w:rsidRPr="00AE7B69">
              <w:rPr>
                <w:b/>
                <w:szCs w:val="20"/>
              </w:rPr>
              <w:t>30</w:t>
            </w:r>
          </w:p>
        </w:tc>
        <w:tc>
          <w:tcPr>
            <w:tcW w:w="1966" w:type="dxa"/>
          </w:tcPr>
          <w:p w14:paraId="1F801490" w14:textId="5FCD8499" w:rsidR="00AE7B69" w:rsidRPr="00AE7B69" w:rsidRDefault="00621A62" w:rsidP="00EE2AE6">
            <w:pPr>
              <w:jc w:val="left"/>
              <w:rPr>
                <w:b/>
                <w:szCs w:val="20"/>
              </w:rPr>
            </w:pPr>
            <w:r w:rsidRPr="00621A62">
              <w:rPr>
                <w:b/>
                <w:szCs w:val="20"/>
              </w:rPr>
              <w:t xml:space="preserve">Republic of </w:t>
            </w:r>
            <w:r w:rsidR="00AE7B69" w:rsidRPr="00AE7B69">
              <w:rPr>
                <w:b/>
                <w:szCs w:val="20"/>
              </w:rPr>
              <w:t>Malta</w:t>
            </w:r>
          </w:p>
        </w:tc>
        <w:tc>
          <w:tcPr>
            <w:tcW w:w="1416" w:type="dxa"/>
            <w:shd w:val="clear" w:color="auto" w:fill="F2F2F2" w:themeFill="background1" w:themeFillShade="F2"/>
          </w:tcPr>
          <w:p w14:paraId="0FA1954F" w14:textId="77777777" w:rsidR="00AE7B69" w:rsidRPr="00AE7B69" w:rsidRDefault="00AE7B69" w:rsidP="0069386C">
            <w:pPr>
              <w:jc w:val="center"/>
              <w:rPr>
                <w:szCs w:val="20"/>
              </w:rPr>
            </w:pPr>
          </w:p>
        </w:tc>
        <w:tc>
          <w:tcPr>
            <w:tcW w:w="460" w:type="dxa"/>
            <w:shd w:val="clear" w:color="auto" w:fill="F2F2F2" w:themeFill="background1" w:themeFillShade="F2"/>
          </w:tcPr>
          <w:p w14:paraId="44E9A5A1" w14:textId="77777777" w:rsidR="00AE7B69" w:rsidRPr="00AE7B69" w:rsidRDefault="00AE7B69" w:rsidP="0069386C">
            <w:pPr>
              <w:jc w:val="center"/>
              <w:rPr>
                <w:szCs w:val="20"/>
              </w:rPr>
            </w:pPr>
          </w:p>
        </w:tc>
        <w:tc>
          <w:tcPr>
            <w:tcW w:w="1416" w:type="dxa"/>
            <w:shd w:val="clear" w:color="auto" w:fill="F2F2F2" w:themeFill="background1" w:themeFillShade="F2"/>
          </w:tcPr>
          <w:p w14:paraId="5283F897" w14:textId="77777777" w:rsidR="00AE7B69" w:rsidRPr="00AE7B69" w:rsidRDefault="00AE7B69" w:rsidP="0069386C">
            <w:pPr>
              <w:jc w:val="center"/>
              <w:rPr>
                <w:szCs w:val="20"/>
              </w:rPr>
            </w:pPr>
          </w:p>
        </w:tc>
        <w:tc>
          <w:tcPr>
            <w:tcW w:w="460" w:type="dxa"/>
            <w:shd w:val="clear" w:color="auto" w:fill="F2F2F2" w:themeFill="background1" w:themeFillShade="F2"/>
          </w:tcPr>
          <w:p w14:paraId="2BE4904C" w14:textId="77777777" w:rsidR="00AE7B69" w:rsidRPr="00AE7B69" w:rsidRDefault="00AE7B69" w:rsidP="0069386C">
            <w:pPr>
              <w:jc w:val="center"/>
              <w:rPr>
                <w:szCs w:val="20"/>
              </w:rPr>
            </w:pPr>
          </w:p>
        </w:tc>
        <w:tc>
          <w:tcPr>
            <w:tcW w:w="1481" w:type="dxa"/>
            <w:shd w:val="clear" w:color="auto" w:fill="E4E7E8" w:themeFill="accent4" w:themeFillTint="33"/>
          </w:tcPr>
          <w:p w14:paraId="7A808C79" w14:textId="77777777" w:rsidR="00AE7B69" w:rsidRPr="00AE7B69" w:rsidRDefault="00AE7B69" w:rsidP="0069386C">
            <w:pPr>
              <w:jc w:val="center"/>
              <w:rPr>
                <w:szCs w:val="20"/>
              </w:rPr>
            </w:pPr>
          </w:p>
        </w:tc>
        <w:tc>
          <w:tcPr>
            <w:tcW w:w="1335" w:type="dxa"/>
            <w:shd w:val="clear" w:color="auto" w:fill="D0E6F6" w:themeFill="accent6" w:themeFillTint="33"/>
          </w:tcPr>
          <w:p w14:paraId="3099E822"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1B6B22AA" w14:textId="77777777" w:rsidR="00AE7B69" w:rsidRPr="00AE7B69" w:rsidRDefault="00AE7B69" w:rsidP="0069386C">
            <w:pPr>
              <w:jc w:val="center"/>
              <w:rPr>
                <w:szCs w:val="20"/>
              </w:rPr>
            </w:pPr>
            <w:r w:rsidRPr="00AE7B69">
              <w:rPr>
                <w:szCs w:val="20"/>
              </w:rPr>
              <w:t>15</w:t>
            </w:r>
          </w:p>
        </w:tc>
      </w:tr>
      <w:tr w:rsidR="00AE7B69" w:rsidRPr="00AE7B69" w14:paraId="2CB9BA84" w14:textId="77777777" w:rsidTr="00160A48">
        <w:trPr>
          <w:jc w:val="center"/>
        </w:trPr>
        <w:tc>
          <w:tcPr>
            <w:tcW w:w="460" w:type="dxa"/>
          </w:tcPr>
          <w:p w14:paraId="242C88AE" w14:textId="77777777" w:rsidR="00AE7B69" w:rsidRPr="00AE7B69" w:rsidRDefault="00AE7B69" w:rsidP="0069386C">
            <w:pPr>
              <w:jc w:val="center"/>
              <w:rPr>
                <w:b/>
                <w:szCs w:val="20"/>
              </w:rPr>
            </w:pPr>
            <w:r w:rsidRPr="00AE7B69">
              <w:rPr>
                <w:b/>
                <w:szCs w:val="20"/>
              </w:rPr>
              <w:t>31</w:t>
            </w:r>
          </w:p>
        </w:tc>
        <w:tc>
          <w:tcPr>
            <w:tcW w:w="1966" w:type="dxa"/>
          </w:tcPr>
          <w:p w14:paraId="5B8446F6" w14:textId="0D7B8F5C" w:rsidR="00AE7B69" w:rsidRPr="00AE7B69" w:rsidRDefault="00621A62" w:rsidP="00EE2AE6">
            <w:pPr>
              <w:jc w:val="left"/>
              <w:rPr>
                <w:b/>
                <w:szCs w:val="20"/>
              </w:rPr>
            </w:pPr>
            <w:r w:rsidRPr="00621A62">
              <w:rPr>
                <w:b/>
                <w:szCs w:val="20"/>
              </w:rPr>
              <w:t xml:space="preserve">Republic of </w:t>
            </w:r>
            <w:r>
              <w:rPr>
                <w:b/>
                <w:szCs w:val="20"/>
              </w:rPr>
              <w:t xml:space="preserve">the </w:t>
            </w:r>
            <w:r w:rsidR="00AE7B69" w:rsidRPr="00AE7B69">
              <w:rPr>
                <w:b/>
                <w:szCs w:val="20"/>
              </w:rPr>
              <w:t>Marshall Islands</w:t>
            </w:r>
          </w:p>
        </w:tc>
        <w:tc>
          <w:tcPr>
            <w:tcW w:w="1416" w:type="dxa"/>
          </w:tcPr>
          <w:p w14:paraId="7CA33DB4" w14:textId="77777777" w:rsidR="00AE7B69" w:rsidRPr="00AE7B69" w:rsidRDefault="00AE7B69" w:rsidP="0069386C">
            <w:pPr>
              <w:jc w:val="center"/>
              <w:rPr>
                <w:szCs w:val="20"/>
              </w:rPr>
            </w:pPr>
            <w:r w:rsidRPr="00AE7B69">
              <w:rPr>
                <w:szCs w:val="20"/>
              </w:rPr>
              <w:t>Denounced</w:t>
            </w:r>
          </w:p>
        </w:tc>
        <w:tc>
          <w:tcPr>
            <w:tcW w:w="460" w:type="dxa"/>
          </w:tcPr>
          <w:p w14:paraId="1D8329A3" w14:textId="77777777" w:rsidR="00AE7B69" w:rsidRPr="00AE7B69" w:rsidRDefault="00AE7B69" w:rsidP="0069386C">
            <w:pPr>
              <w:jc w:val="center"/>
              <w:rPr>
                <w:szCs w:val="20"/>
              </w:rPr>
            </w:pPr>
          </w:p>
        </w:tc>
        <w:tc>
          <w:tcPr>
            <w:tcW w:w="1416" w:type="dxa"/>
          </w:tcPr>
          <w:p w14:paraId="4BE126CF" w14:textId="77777777" w:rsidR="00AE7B69" w:rsidRPr="00AE7B69" w:rsidRDefault="00AE7B69" w:rsidP="0069386C">
            <w:pPr>
              <w:jc w:val="center"/>
              <w:rPr>
                <w:szCs w:val="20"/>
              </w:rPr>
            </w:pPr>
            <w:r w:rsidRPr="00AE7B69">
              <w:rPr>
                <w:szCs w:val="20"/>
              </w:rPr>
              <w:t>Denounced</w:t>
            </w:r>
          </w:p>
        </w:tc>
        <w:tc>
          <w:tcPr>
            <w:tcW w:w="460" w:type="dxa"/>
            <w:shd w:val="clear" w:color="auto" w:fill="auto"/>
          </w:tcPr>
          <w:p w14:paraId="179AAFD0" w14:textId="77777777" w:rsidR="00AE7B69" w:rsidRPr="00AE7B69" w:rsidRDefault="00AE7B69" w:rsidP="0069386C">
            <w:pPr>
              <w:jc w:val="center"/>
              <w:rPr>
                <w:szCs w:val="20"/>
              </w:rPr>
            </w:pPr>
          </w:p>
        </w:tc>
        <w:tc>
          <w:tcPr>
            <w:tcW w:w="1481" w:type="dxa"/>
            <w:shd w:val="clear" w:color="auto" w:fill="E4E7E8" w:themeFill="accent4" w:themeFillTint="33"/>
          </w:tcPr>
          <w:p w14:paraId="24578586" w14:textId="77777777" w:rsidR="00AE7B69" w:rsidRPr="00AE7B69" w:rsidRDefault="00AE7B69" w:rsidP="0069386C">
            <w:pPr>
              <w:jc w:val="center"/>
              <w:rPr>
                <w:szCs w:val="20"/>
              </w:rPr>
            </w:pPr>
          </w:p>
        </w:tc>
        <w:tc>
          <w:tcPr>
            <w:tcW w:w="1335" w:type="dxa"/>
            <w:shd w:val="clear" w:color="auto" w:fill="D0E6F6" w:themeFill="accent6" w:themeFillTint="33"/>
          </w:tcPr>
          <w:p w14:paraId="4CAA19AE"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34A8044C" w14:textId="77777777" w:rsidR="00AE7B69" w:rsidRPr="00AE7B69" w:rsidRDefault="00AE7B69" w:rsidP="0069386C">
            <w:pPr>
              <w:jc w:val="center"/>
              <w:rPr>
                <w:szCs w:val="20"/>
              </w:rPr>
            </w:pPr>
            <w:r w:rsidRPr="00AE7B69">
              <w:rPr>
                <w:szCs w:val="20"/>
              </w:rPr>
              <w:t>16</w:t>
            </w:r>
          </w:p>
        </w:tc>
      </w:tr>
      <w:tr w:rsidR="00AE7B69" w:rsidRPr="00AE7B69" w14:paraId="25FC974D" w14:textId="77777777" w:rsidTr="00160A48">
        <w:trPr>
          <w:jc w:val="center"/>
        </w:trPr>
        <w:tc>
          <w:tcPr>
            <w:tcW w:w="460" w:type="dxa"/>
          </w:tcPr>
          <w:p w14:paraId="6C352ACC" w14:textId="77777777" w:rsidR="00AE7B69" w:rsidRPr="00AE7B69" w:rsidRDefault="00AE7B69" w:rsidP="0069386C">
            <w:pPr>
              <w:jc w:val="center"/>
              <w:rPr>
                <w:b/>
                <w:szCs w:val="20"/>
              </w:rPr>
            </w:pPr>
            <w:r w:rsidRPr="00AE7B69">
              <w:rPr>
                <w:b/>
                <w:szCs w:val="20"/>
              </w:rPr>
              <w:t>32</w:t>
            </w:r>
          </w:p>
        </w:tc>
        <w:tc>
          <w:tcPr>
            <w:tcW w:w="1966" w:type="dxa"/>
          </w:tcPr>
          <w:p w14:paraId="4EB7D3F0" w14:textId="77777777" w:rsidR="00AE7B69" w:rsidRPr="00AE7B69" w:rsidRDefault="00AE7B69" w:rsidP="00EE2AE6">
            <w:pPr>
              <w:jc w:val="left"/>
              <w:rPr>
                <w:b/>
                <w:szCs w:val="20"/>
              </w:rPr>
            </w:pPr>
            <w:r w:rsidRPr="00AE7B69">
              <w:rPr>
                <w:b/>
                <w:szCs w:val="20"/>
              </w:rPr>
              <w:t>Montenegro</w:t>
            </w:r>
          </w:p>
        </w:tc>
        <w:tc>
          <w:tcPr>
            <w:tcW w:w="1416" w:type="dxa"/>
            <w:shd w:val="clear" w:color="auto" w:fill="F2F2F2" w:themeFill="background1" w:themeFillShade="F2"/>
          </w:tcPr>
          <w:p w14:paraId="7D4A7387" w14:textId="77777777" w:rsidR="00AE7B69" w:rsidRPr="00AE7B69" w:rsidRDefault="00AE7B69" w:rsidP="0069386C">
            <w:pPr>
              <w:jc w:val="center"/>
              <w:rPr>
                <w:szCs w:val="20"/>
              </w:rPr>
            </w:pPr>
          </w:p>
        </w:tc>
        <w:tc>
          <w:tcPr>
            <w:tcW w:w="460" w:type="dxa"/>
            <w:shd w:val="clear" w:color="auto" w:fill="F2F2F2" w:themeFill="background1" w:themeFillShade="F2"/>
          </w:tcPr>
          <w:p w14:paraId="2C3EFDFA" w14:textId="77777777" w:rsidR="00AE7B69" w:rsidRPr="00AE7B69" w:rsidRDefault="00AE7B69" w:rsidP="0069386C">
            <w:pPr>
              <w:jc w:val="center"/>
              <w:rPr>
                <w:szCs w:val="20"/>
              </w:rPr>
            </w:pPr>
          </w:p>
        </w:tc>
        <w:tc>
          <w:tcPr>
            <w:tcW w:w="1416" w:type="dxa"/>
            <w:shd w:val="clear" w:color="auto" w:fill="F2F2F2" w:themeFill="background1" w:themeFillShade="F2"/>
          </w:tcPr>
          <w:p w14:paraId="07A22415" w14:textId="77777777" w:rsidR="00AE7B69" w:rsidRPr="00AE7B69" w:rsidRDefault="00AE7B69" w:rsidP="0069386C">
            <w:pPr>
              <w:jc w:val="center"/>
              <w:rPr>
                <w:szCs w:val="20"/>
              </w:rPr>
            </w:pPr>
          </w:p>
        </w:tc>
        <w:tc>
          <w:tcPr>
            <w:tcW w:w="460" w:type="dxa"/>
            <w:shd w:val="clear" w:color="auto" w:fill="F2F2F2" w:themeFill="background1" w:themeFillShade="F2"/>
          </w:tcPr>
          <w:p w14:paraId="724EFF4F" w14:textId="77777777" w:rsidR="00AE7B69" w:rsidRPr="00AE7B69" w:rsidRDefault="00AE7B69" w:rsidP="0069386C">
            <w:pPr>
              <w:jc w:val="center"/>
              <w:rPr>
                <w:szCs w:val="20"/>
              </w:rPr>
            </w:pPr>
          </w:p>
        </w:tc>
        <w:tc>
          <w:tcPr>
            <w:tcW w:w="1481" w:type="dxa"/>
            <w:shd w:val="clear" w:color="auto" w:fill="E4E7E8" w:themeFill="accent4" w:themeFillTint="33"/>
          </w:tcPr>
          <w:p w14:paraId="5BA5770E" w14:textId="77777777" w:rsidR="00AE7B69" w:rsidRPr="00AE7B69" w:rsidRDefault="00AE7B69" w:rsidP="0069386C">
            <w:pPr>
              <w:jc w:val="center"/>
              <w:rPr>
                <w:szCs w:val="20"/>
              </w:rPr>
            </w:pPr>
          </w:p>
        </w:tc>
        <w:tc>
          <w:tcPr>
            <w:tcW w:w="1335" w:type="dxa"/>
            <w:shd w:val="clear" w:color="auto" w:fill="D0E6F6" w:themeFill="accent6" w:themeFillTint="33"/>
          </w:tcPr>
          <w:p w14:paraId="75D52993"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0DA8F646" w14:textId="77777777" w:rsidR="00AE7B69" w:rsidRPr="00AE7B69" w:rsidRDefault="00AE7B69" w:rsidP="0069386C">
            <w:pPr>
              <w:jc w:val="center"/>
              <w:rPr>
                <w:szCs w:val="20"/>
              </w:rPr>
            </w:pPr>
            <w:r w:rsidRPr="00AE7B69">
              <w:rPr>
                <w:szCs w:val="20"/>
              </w:rPr>
              <w:t>17</w:t>
            </w:r>
          </w:p>
        </w:tc>
      </w:tr>
      <w:tr w:rsidR="00AE7B69" w:rsidRPr="00AE7B69" w14:paraId="4D7D5396" w14:textId="77777777" w:rsidTr="00160A48">
        <w:trPr>
          <w:jc w:val="center"/>
        </w:trPr>
        <w:tc>
          <w:tcPr>
            <w:tcW w:w="460" w:type="dxa"/>
          </w:tcPr>
          <w:p w14:paraId="66451D77" w14:textId="77777777" w:rsidR="00AE7B69" w:rsidRPr="00AE7B69" w:rsidRDefault="00AE7B69" w:rsidP="0069386C">
            <w:pPr>
              <w:jc w:val="center"/>
              <w:rPr>
                <w:b/>
                <w:szCs w:val="20"/>
              </w:rPr>
            </w:pPr>
            <w:r w:rsidRPr="00AE7B69">
              <w:rPr>
                <w:b/>
                <w:szCs w:val="20"/>
              </w:rPr>
              <w:t>33</w:t>
            </w:r>
          </w:p>
        </w:tc>
        <w:tc>
          <w:tcPr>
            <w:tcW w:w="1966" w:type="dxa"/>
          </w:tcPr>
          <w:p w14:paraId="04885CCA" w14:textId="15018CAD" w:rsidR="00AE7B69" w:rsidRPr="00AE7B69" w:rsidRDefault="00621A62" w:rsidP="00EE2AE6">
            <w:pPr>
              <w:jc w:val="left"/>
              <w:rPr>
                <w:b/>
                <w:szCs w:val="20"/>
              </w:rPr>
            </w:pPr>
            <w:r>
              <w:rPr>
                <w:b/>
                <w:szCs w:val="20"/>
              </w:rPr>
              <w:t xml:space="preserve">Kingdom of the </w:t>
            </w:r>
            <w:r w:rsidR="00AE7B69" w:rsidRPr="00AE7B69">
              <w:rPr>
                <w:b/>
                <w:szCs w:val="20"/>
              </w:rPr>
              <w:t>Netherlands</w:t>
            </w:r>
          </w:p>
        </w:tc>
        <w:tc>
          <w:tcPr>
            <w:tcW w:w="1416" w:type="dxa"/>
            <w:shd w:val="clear" w:color="auto" w:fill="F2F2F2" w:themeFill="background1" w:themeFillShade="F2"/>
          </w:tcPr>
          <w:p w14:paraId="7E5C5CD6" w14:textId="77777777" w:rsidR="00AE7B69" w:rsidRPr="00AE7B69" w:rsidRDefault="00AE7B69" w:rsidP="0069386C">
            <w:pPr>
              <w:jc w:val="center"/>
              <w:rPr>
                <w:szCs w:val="20"/>
              </w:rPr>
            </w:pPr>
          </w:p>
        </w:tc>
        <w:tc>
          <w:tcPr>
            <w:tcW w:w="460" w:type="dxa"/>
            <w:shd w:val="clear" w:color="auto" w:fill="F2F2F2" w:themeFill="background1" w:themeFillShade="F2"/>
          </w:tcPr>
          <w:p w14:paraId="38628B6F" w14:textId="77777777" w:rsidR="00AE7B69" w:rsidRPr="00AE7B69" w:rsidRDefault="00AE7B69" w:rsidP="0069386C">
            <w:pPr>
              <w:jc w:val="center"/>
              <w:rPr>
                <w:szCs w:val="20"/>
              </w:rPr>
            </w:pPr>
          </w:p>
        </w:tc>
        <w:tc>
          <w:tcPr>
            <w:tcW w:w="1416" w:type="dxa"/>
            <w:shd w:val="clear" w:color="auto" w:fill="F2F2F2" w:themeFill="background1" w:themeFillShade="F2"/>
          </w:tcPr>
          <w:p w14:paraId="378BE762" w14:textId="77777777" w:rsidR="00AE7B69" w:rsidRPr="00AE7B69" w:rsidRDefault="00AE7B69" w:rsidP="0069386C">
            <w:pPr>
              <w:jc w:val="center"/>
              <w:rPr>
                <w:szCs w:val="20"/>
              </w:rPr>
            </w:pPr>
          </w:p>
        </w:tc>
        <w:tc>
          <w:tcPr>
            <w:tcW w:w="460" w:type="dxa"/>
            <w:shd w:val="clear" w:color="auto" w:fill="F2F2F2" w:themeFill="background1" w:themeFillShade="F2"/>
          </w:tcPr>
          <w:p w14:paraId="0D386E13" w14:textId="77777777" w:rsidR="00AE7B69" w:rsidRPr="00AE7B69" w:rsidRDefault="00AE7B69" w:rsidP="0069386C">
            <w:pPr>
              <w:jc w:val="center"/>
              <w:rPr>
                <w:szCs w:val="20"/>
              </w:rPr>
            </w:pPr>
          </w:p>
        </w:tc>
        <w:tc>
          <w:tcPr>
            <w:tcW w:w="1481" w:type="dxa"/>
            <w:shd w:val="clear" w:color="auto" w:fill="E4E7E8" w:themeFill="accent4" w:themeFillTint="33"/>
          </w:tcPr>
          <w:p w14:paraId="48E38FB7" w14:textId="77777777" w:rsidR="00AE7B69" w:rsidRPr="00AE7B69" w:rsidRDefault="00AE7B69" w:rsidP="0069386C">
            <w:pPr>
              <w:jc w:val="center"/>
              <w:rPr>
                <w:szCs w:val="20"/>
              </w:rPr>
            </w:pPr>
          </w:p>
        </w:tc>
        <w:tc>
          <w:tcPr>
            <w:tcW w:w="1335" w:type="dxa"/>
            <w:shd w:val="clear" w:color="auto" w:fill="D0E6F6" w:themeFill="accent6" w:themeFillTint="33"/>
          </w:tcPr>
          <w:p w14:paraId="5D0D3DE3"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600C2892" w14:textId="77777777" w:rsidR="00AE7B69" w:rsidRPr="00AE7B69" w:rsidRDefault="00AE7B69" w:rsidP="0069386C">
            <w:pPr>
              <w:jc w:val="center"/>
              <w:rPr>
                <w:szCs w:val="20"/>
              </w:rPr>
            </w:pPr>
            <w:r w:rsidRPr="00AE7B69">
              <w:rPr>
                <w:szCs w:val="20"/>
              </w:rPr>
              <w:t>18</w:t>
            </w:r>
          </w:p>
        </w:tc>
      </w:tr>
      <w:tr w:rsidR="00AE7B69" w:rsidRPr="00AE7B69" w14:paraId="1076F0A4" w14:textId="77777777" w:rsidTr="00160A48">
        <w:trPr>
          <w:jc w:val="center"/>
        </w:trPr>
        <w:tc>
          <w:tcPr>
            <w:tcW w:w="460" w:type="dxa"/>
          </w:tcPr>
          <w:p w14:paraId="5BFC8692" w14:textId="77777777" w:rsidR="00AE7B69" w:rsidRPr="00AE7B69" w:rsidRDefault="00AE7B69" w:rsidP="0069386C">
            <w:pPr>
              <w:jc w:val="center"/>
              <w:rPr>
                <w:b/>
                <w:szCs w:val="20"/>
              </w:rPr>
            </w:pPr>
            <w:r w:rsidRPr="00AE7B69">
              <w:rPr>
                <w:b/>
                <w:szCs w:val="20"/>
              </w:rPr>
              <w:t>34</w:t>
            </w:r>
          </w:p>
        </w:tc>
        <w:tc>
          <w:tcPr>
            <w:tcW w:w="1966" w:type="dxa"/>
          </w:tcPr>
          <w:p w14:paraId="01C36A28" w14:textId="78F937D8" w:rsidR="00AE7B69" w:rsidRPr="00AE7B69" w:rsidRDefault="002A4B05" w:rsidP="00EE2AE6">
            <w:pPr>
              <w:jc w:val="left"/>
              <w:rPr>
                <w:b/>
                <w:szCs w:val="20"/>
              </w:rPr>
            </w:pPr>
            <w:r>
              <w:rPr>
                <w:b/>
                <w:szCs w:val="20"/>
              </w:rPr>
              <w:t xml:space="preserve">Federal Republic of </w:t>
            </w:r>
            <w:r w:rsidR="00AE7B69" w:rsidRPr="00AE7B69">
              <w:rPr>
                <w:b/>
                <w:szCs w:val="20"/>
              </w:rPr>
              <w:t>Nigeria</w:t>
            </w:r>
          </w:p>
        </w:tc>
        <w:tc>
          <w:tcPr>
            <w:tcW w:w="1416" w:type="dxa"/>
            <w:shd w:val="clear" w:color="auto" w:fill="D0E6F6" w:themeFill="accent6" w:themeFillTint="33"/>
          </w:tcPr>
          <w:p w14:paraId="40CC2F36"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743C0AAD" w14:textId="30726ED7" w:rsidR="00AE7B69" w:rsidRPr="00AE7B69" w:rsidRDefault="002B5214" w:rsidP="002B5214">
            <w:pPr>
              <w:jc w:val="center"/>
              <w:rPr>
                <w:szCs w:val="20"/>
              </w:rPr>
            </w:pPr>
            <w:r w:rsidRPr="00AE7B69">
              <w:rPr>
                <w:szCs w:val="20"/>
              </w:rPr>
              <w:t>1</w:t>
            </w:r>
            <w:r>
              <w:rPr>
                <w:szCs w:val="20"/>
              </w:rPr>
              <w:t>6</w:t>
            </w:r>
          </w:p>
        </w:tc>
        <w:tc>
          <w:tcPr>
            <w:tcW w:w="1416" w:type="dxa"/>
            <w:shd w:val="clear" w:color="auto" w:fill="F2F2F2" w:themeFill="background1" w:themeFillShade="F2"/>
          </w:tcPr>
          <w:p w14:paraId="3E727A72" w14:textId="77777777" w:rsidR="00AE7B69" w:rsidRPr="00AE7B69" w:rsidRDefault="00AE7B69" w:rsidP="0069386C">
            <w:pPr>
              <w:jc w:val="center"/>
              <w:rPr>
                <w:szCs w:val="20"/>
              </w:rPr>
            </w:pPr>
          </w:p>
        </w:tc>
        <w:tc>
          <w:tcPr>
            <w:tcW w:w="460" w:type="dxa"/>
            <w:shd w:val="clear" w:color="auto" w:fill="F2F2F2" w:themeFill="background1" w:themeFillShade="F2"/>
          </w:tcPr>
          <w:p w14:paraId="48D03AF5" w14:textId="77777777" w:rsidR="00AE7B69" w:rsidRPr="00AE7B69" w:rsidRDefault="00AE7B69" w:rsidP="0069386C">
            <w:pPr>
              <w:jc w:val="center"/>
              <w:rPr>
                <w:szCs w:val="20"/>
              </w:rPr>
            </w:pPr>
          </w:p>
        </w:tc>
        <w:tc>
          <w:tcPr>
            <w:tcW w:w="1481" w:type="dxa"/>
            <w:shd w:val="clear" w:color="auto" w:fill="E4E7E8" w:themeFill="accent4" w:themeFillTint="33"/>
          </w:tcPr>
          <w:p w14:paraId="7772B725" w14:textId="77777777" w:rsidR="00AE7B69" w:rsidRPr="00AE7B69" w:rsidRDefault="00AE7B69" w:rsidP="0069386C">
            <w:pPr>
              <w:jc w:val="center"/>
              <w:rPr>
                <w:szCs w:val="20"/>
              </w:rPr>
            </w:pPr>
          </w:p>
        </w:tc>
        <w:tc>
          <w:tcPr>
            <w:tcW w:w="1335" w:type="dxa"/>
            <w:shd w:val="clear" w:color="auto" w:fill="F2F2F2" w:themeFill="background1" w:themeFillShade="F2"/>
          </w:tcPr>
          <w:p w14:paraId="06E90719" w14:textId="77777777" w:rsidR="00AE7B69" w:rsidRPr="00AE7B69" w:rsidRDefault="00AE7B69" w:rsidP="0069386C">
            <w:pPr>
              <w:jc w:val="center"/>
              <w:rPr>
                <w:szCs w:val="20"/>
              </w:rPr>
            </w:pPr>
          </w:p>
        </w:tc>
        <w:tc>
          <w:tcPr>
            <w:tcW w:w="645" w:type="dxa"/>
            <w:shd w:val="clear" w:color="auto" w:fill="F2F2F2" w:themeFill="background1" w:themeFillShade="F2"/>
          </w:tcPr>
          <w:p w14:paraId="34C1F8EA" w14:textId="77777777" w:rsidR="00AE7B69" w:rsidRPr="00AE7B69" w:rsidRDefault="00AE7B69" w:rsidP="0069386C">
            <w:pPr>
              <w:jc w:val="center"/>
              <w:rPr>
                <w:szCs w:val="20"/>
              </w:rPr>
            </w:pPr>
          </w:p>
        </w:tc>
      </w:tr>
      <w:tr w:rsidR="00AE7B69" w:rsidRPr="00AE7B69" w14:paraId="2F41F459" w14:textId="77777777" w:rsidTr="00160A48">
        <w:trPr>
          <w:jc w:val="center"/>
        </w:trPr>
        <w:tc>
          <w:tcPr>
            <w:tcW w:w="460" w:type="dxa"/>
          </w:tcPr>
          <w:p w14:paraId="3DFA8FEE" w14:textId="77777777" w:rsidR="00AE7B69" w:rsidRPr="00AE7B69" w:rsidRDefault="00AE7B69" w:rsidP="0069386C">
            <w:pPr>
              <w:jc w:val="center"/>
              <w:rPr>
                <w:b/>
                <w:szCs w:val="20"/>
              </w:rPr>
            </w:pPr>
            <w:r w:rsidRPr="00AE7B69">
              <w:rPr>
                <w:b/>
                <w:szCs w:val="20"/>
              </w:rPr>
              <w:t>35</w:t>
            </w:r>
          </w:p>
        </w:tc>
        <w:tc>
          <w:tcPr>
            <w:tcW w:w="1966" w:type="dxa"/>
          </w:tcPr>
          <w:p w14:paraId="50707AD2" w14:textId="013EABA2" w:rsidR="00AE7B69" w:rsidRPr="00AE7B69" w:rsidRDefault="00621A62" w:rsidP="00EE2AE6">
            <w:pPr>
              <w:jc w:val="left"/>
              <w:rPr>
                <w:b/>
                <w:szCs w:val="20"/>
              </w:rPr>
            </w:pPr>
            <w:r>
              <w:rPr>
                <w:b/>
                <w:szCs w:val="20"/>
              </w:rPr>
              <w:t xml:space="preserve">Kingdom of </w:t>
            </w:r>
            <w:r w:rsidR="00AE7B69" w:rsidRPr="00AE7B69">
              <w:rPr>
                <w:b/>
                <w:szCs w:val="20"/>
              </w:rPr>
              <w:t>Norway</w:t>
            </w:r>
          </w:p>
        </w:tc>
        <w:tc>
          <w:tcPr>
            <w:tcW w:w="1416" w:type="dxa"/>
            <w:shd w:val="clear" w:color="auto" w:fill="F2F2F2" w:themeFill="background1" w:themeFillShade="F2"/>
          </w:tcPr>
          <w:p w14:paraId="0624B092" w14:textId="77777777" w:rsidR="00AE7B69" w:rsidRPr="00AE7B69" w:rsidRDefault="00AE7B69" w:rsidP="0069386C">
            <w:pPr>
              <w:jc w:val="center"/>
              <w:rPr>
                <w:szCs w:val="20"/>
              </w:rPr>
            </w:pPr>
          </w:p>
        </w:tc>
        <w:tc>
          <w:tcPr>
            <w:tcW w:w="460" w:type="dxa"/>
            <w:shd w:val="clear" w:color="auto" w:fill="F2F2F2" w:themeFill="background1" w:themeFillShade="F2"/>
          </w:tcPr>
          <w:p w14:paraId="48968231" w14:textId="77777777" w:rsidR="00AE7B69" w:rsidRPr="00AE7B69" w:rsidRDefault="00AE7B69" w:rsidP="0069386C">
            <w:pPr>
              <w:jc w:val="center"/>
              <w:rPr>
                <w:szCs w:val="20"/>
              </w:rPr>
            </w:pPr>
          </w:p>
        </w:tc>
        <w:tc>
          <w:tcPr>
            <w:tcW w:w="1416" w:type="dxa"/>
            <w:shd w:val="clear" w:color="auto" w:fill="F2F2F2" w:themeFill="background1" w:themeFillShade="F2"/>
          </w:tcPr>
          <w:p w14:paraId="510D71A2" w14:textId="77777777" w:rsidR="00AE7B69" w:rsidRPr="00AE7B69" w:rsidRDefault="00AE7B69" w:rsidP="0069386C">
            <w:pPr>
              <w:jc w:val="center"/>
              <w:rPr>
                <w:szCs w:val="20"/>
              </w:rPr>
            </w:pPr>
          </w:p>
        </w:tc>
        <w:tc>
          <w:tcPr>
            <w:tcW w:w="460" w:type="dxa"/>
            <w:shd w:val="clear" w:color="auto" w:fill="F2F2F2" w:themeFill="background1" w:themeFillShade="F2"/>
          </w:tcPr>
          <w:p w14:paraId="0BCD39E8" w14:textId="77777777" w:rsidR="00AE7B69" w:rsidRPr="00AE7B69" w:rsidRDefault="00AE7B69" w:rsidP="0069386C">
            <w:pPr>
              <w:jc w:val="center"/>
              <w:rPr>
                <w:szCs w:val="20"/>
              </w:rPr>
            </w:pPr>
          </w:p>
        </w:tc>
        <w:tc>
          <w:tcPr>
            <w:tcW w:w="1481" w:type="dxa"/>
            <w:shd w:val="clear" w:color="auto" w:fill="E4E7E8" w:themeFill="accent4" w:themeFillTint="33"/>
          </w:tcPr>
          <w:p w14:paraId="5B333BE4" w14:textId="77777777" w:rsidR="00AE7B69" w:rsidRPr="00AE7B69" w:rsidRDefault="00AE7B69" w:rsidP="0069386C">
            <w:pPr>
              <w:jc w:val="center"/>
              <w:rPr>
                <w:szCs w:val="20"/>
              </w:rPr>
            </w:pPr>
          </w:p>
        </w:tc>
        <w:tc>
          <w:tcPr>
            <w:tcW w:w="1335" w:type="dxa"/>
            <w:shd w:val="clear" w:color="auto" w:fill="D0E6F6" w:themeFill="accent6" w:themeFillTint="33"/>
          </w:tcPr>
          <w:p w14:paraId="578D8606"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6B5B791B" w14:textId="77777777" w:rsidR="00AE7B69" w:rsidRPr="00AE7B69" w:rsidRDefault="00AE7B69" w:rsidP="0069386C">
            <w:pPr>
              <w:jc w:val="center"/>
              <w:rPr>
                <w:szCs w:val="20"/>
              </w:rPr>
            </w:pPr>
            <w:r w:rsidRPr="00AE7B69">
              <w:rPr>
                <w:szCs w:val="20"/>
              </w:rPr>
              <w:t>19</w:t>
            </w:r>
          </w:p>
        </w:tc>
      </w:tr>
      <w:tr w:rsidR="00AE7B69" w:rsidRPr="00AE7B69" w14:paraId="0B4564FC" w14:textId="77777777" w:rsidTr="00160A48">
        <w:trPr>
          <w:jc w:val="center"/>
        </w:trPr>
        <w:tc>
          <w:tcPr>
            <w:tcW w:w="460" w:type="dxa"/>
          </w:tcPr>
          <w:p w14:paraId="1047D7C5" w14:textId="77777777" w:rsidR="00AE7B69" w:rsidRPr="00AE7B69" w:rsidRDefault="00AE7B69" w:rsidP="0069386C">
            <w:pPr>
              <w:jc w:val="center"/>
              <w:rPr>
                <w:b/>
                <w:szCs w:val="20"/>
              </w:rPr>
            </w:pPr>
            <w:r w:rsidRPr="00AE7B69">
              <w:rPr>
                <w:b/>
                <w:szCs w:val="20"/>
              </w:rPr>
              <w:t>36</w:t>
            </w:r>
          </w:p>
        </w:tc>
        <w:tc>
          <w:tcPr>
            <w:tcW w:w="1966" w:type="dxa"/>
          </w:tcPr>
          <w:p w14:paraId="2F2D6773" w14:textId="7F173682" w:rsidR="00AE7B69" w:rsidRPr="00AE7B69" w:rsidRDefault="00621A62" w:rsidP="00EE2AE6">
            <w:pPr>
              <w:jc w:val="left"/>
              <w:rPr>
                <w:b/>
                <w:szCs w:val="20"/>
              </w:rPr>
            </w:pPr>
            <w:r w:rsidRPr="00621A62">
              <w:rPr>
                <w:b/>
                <w:szCs w:val="20"/>
              </w:rPr>
              <w:t xml:space="preserve">Republic of </w:t>
            </w:r>
            <w:r w:rsidR="00AE7B69" w:rsidRPr="00AE7B69">
              <w:rPr>
                <w:b/>
                <w:szCs w:val="20"/>
              </w:rPr>
              <w:t>Palau</w:t>
            </w:r>
          </w:p>
        </w:tc>
        <w:tc>
          <w:tcPr>
            <w:tcW w:w="1416" w:type="dxa"/>
            <w:shd w:val="clear" w:color="auto" w:fill="F2F2F2" w:themeFill="background1" w:themeFillShade="F2"/>
          </w:tcPr>
          <w:p w14:paraId="7BE67A2B" w14:textId="77777777" w:rsidR="00AE7B69" w:rsidRPr="00AE7B69" w:rsidRDefault="00AE7B69" w:rsidP="0069386C">
            <w:pPr>
              <w:jc w:val="center"/>
              <w:rPr>
                <w:szCs w:val="20"/>
              </w:rPr>
            </w:pPr>
          </w:p>
        </w:tc>
        <w:tc>
          <w:tcPr>
            <w:tcW w:w="460" w:type="dxa"/>
            <w:shd w:val="clear" w:color="auto" w:fill="F2F2F2" w:themeFill="background1" w:themeFillShade="F2"/>
          </w:tcPr>
          <w:p w14:paraId="53E9CA31" w14:textId="77777777" w:rsidR="00AE7B69" w:rsidRPr="00AE7B69" w:rsidRDefault="00AE7B69" w:rsidP="0069386C">
            <w:pPr>
              <w:jc w:val="center"/>
              <w:rPr>
                <w:szCs w:val="20"/>
              </w:rPr>
            </w:pPr>
          </w:p>
        </w:tc>
        <w:tc>
          <w:tcPr>
            <w:tcW w:w="1416" w:type="dxa"/>
            <w:shd w:val="clear" w:color="auto" w:fill="F2F2F2" w:themeFill="background1" w:themeFillShade="F2"/>
          </w:tcPr>
          <w:p w14:paraId="4AFE9C55" w14:textId="77777777" w:rsidR="00AE7B69" w:rsidRPr="00AE7B69" w:rsidRDefault="00AE7B69" w:rsidP="0069386C">
            <w:pPr>
              <w:jc w:val="center"/>
              <w:rPr>
                <w:szCs w:val="20"/>
              </w:rPr>
            </w:pPr>
          </w:p>
        </w:tc>
        <w:tc>
          <w:tcPr>
            <w:tcW w:w="460" w:type="dxa"/>
            <w:shd w:val="clear" w:color="auto" w:fill="F2F2F2" w:themeFill="background1" w:themeFillShade="F2"/>
          </w:tcPr>
          <w:p w14:paraId="24C03D40" w14:textId="77777777" w:rsidR="00AE7B69" w:rsidRPr="00AE7B69" w:rsidRDefault="00AE7B69" w:rsidP="0069386C">
            <w:pPr>
              <w:jc w:val="center"/>
              <w:rPr>
                <w:szCs w:val="20"/>
              </w:rPr>
            </w:pPr>
          </w:p>
        </w:tc>
        <w:tc>
          <w:tcPr>
            <w:tcW w:w="1481" w:type="dxa"/>
            <w:shd w:val="clear" w:color="auto" w:fill="E4E7E8" w:themeFill="accent4" w:themeFillTint="33"/>
          </w:tcPr>
          <w:p w14:paraId="7DFA87F4" w14:textId="77777777" w:rsidR="00AE7B69" w:rsidRPr="00AE7B69" w:rsidRDefault="00AE7B69" w:rsidP="0069386C">
            <w:pPr>
              <w:jc w:val="center"/>
              <w:rPr>
                <w:szCs w:val="20"/>
              </w:rPr>
            </w:pPr>
          </w:p>
        </w:tc>
        <w:tc>
          <w:tcPr>
            <w:tcW w:w="1335" w:type="dxa"/>
            <w:shd w:val="clear" w:color="auto" w:fill="D0E6F6" w:themeFill="accent6" w:themeFillTint="33"/>
          </w:tcPr>
          <w:p w14:paraId="0F3E9554"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6EF36A64" w14:textId="77777777" w:rsidR="00AE7B69" w:rsidRPr="00AE7B69" w:rsidRDefault="00AE7B69" w:rsidP="0069386C">
            <w:pPr>
              <w:jc w:val="center"/>
              <w:rPr>
                <w:szCs w:val="20"/>
              </w:rPr>
            </w:pPr>
            <w:r w:rsidRPr="00AE7B69">
              <w:rPr>
                <w:szCs w:val="20"/>
              </w:rPr>
              <w:t>20</w:t>
            </w:r>
          </w:p>
        </w:tc>
      </w:tr>
      <w:tr w:rsidR="00AE7B69" w:rsidRPr="00AE7B69" w14:paraId="327A1089" w14:textId="77777777" w:rsidTr="00160A48">
        <w:trPr>
          <w:jc w:val="center"/>
        </w:trPr>
        <w:tc>
          <w:tcPr>
            <w:tcW w:w="460" w:type="dxa"/>
          </w:tcPr>
          <w:p w14:paraId="003FC555" w14:textId="77777777" w:rsidR="00AE7B69" w:rsidRPr="00AE7B69" w:rsidRDefault="00AE7B69" w:rsidP="0069386C">
            <w:pPr>
              <w:jc w:val="center"/>
              <w:rPr>
                <w:b/>
                <w:szCs w:val="20"/>
              </w:rPr>
            </w:pPr>
            <w:r w:rsidRPr="00AE7B69">
              <w:rPr>
                <w:b/>
                <w:szCs w:val="20"/>
              </w:rPr>
              <w:t>37</w:t>
            </w:r>
          </w:p>
        </w:tc>
        <w:tc>
          <w:tcPr>
            <w:tcW w:w="1966" w:type="dxa"/>
          </w:tcPr>
          <w:p w14:paraId="298200AF" w14:textId="4D68E3B1" w:rsidR="00AE7B69" w:rsidRPr="00AE7B69" w:rsidRDefault="00621A62" w:rsidP="00EE2AE6">
            <w:pPr>
              <w:jc w:val="left"/>
              <w:rPr>
                <w:b/>
                <w:szCs w:val="20"/>
              </w:rPr>
            </w:pPr>
            <w:r w:rsidRPr="00621A62">
              <w:rPr>
                <w:b/>
                <w:szCs w:val="20"/>
              </w:rPr>
              <w:t xml:space="preserve">Republic of </w:t>
            </w:r>
            <w:r w:rsidR="00AE7B69" w:rsidRPr="00AE7B69">
              <w:rPr>
                <w:b/>
                <w:szCs w:val="20"/>
              </w:rPr>
              <w:t>Panama</w:t>
            </w:r>
          </w:p>
        </w:tc>
        <w:tc>
          <w:tcPr>
            <w:tcW w:w="1416" w:type="dxa"/>
            <w:shd w:val="clear" w:color="auto" w:fill="F2F2F2" w:themeFill="background1" w:themeFillShade="F2"/>
          </w:tcPr>
          <w:p w14:paraId="7B60F2E4" w14:textId="77777777" w:rsidR="00AE7B69" w:rsidRPr="00AE7B69" w:rsidRDefault="00AE7B69" w:rsidP="0069386C">
            <w:pPr>
              <w:jc w:val="center"/>
              <w:rPr>
                <w:szCs w:val="20"/>
              </w:rPr>
            </w:pPr>
          </w:p>
        </w:tc>
        <w:tc>
          <w:tcPr>
            <w:tcW w:w="460" w:type="dxa"/>
            <w:shd w:val="clear" w:color="auto" w:fill="F2F2F2" w:themeFill="background1" w:themeFillShade="F2"/>
          </w:tcPr>
          <w:p w14:paraId="515321B1" w14:textId="77777777" w:rsidR="00AE7B69" w:rsidRPr="00AE7B69" w:rsidRDefault="00AE7B69" w:rsidP="0069386C">
            <w:pPr>
              <w:jc w:val="center"/>
              <w:rPr>
                <w:szCs w:val="20"/>
              </w:rPr>
            </w:pPr>
          </w:p>
        </w:tc>
        <w:tc>
          <w:tcPr>
            <w:tcW w:w="1416" w:type="dxa"/>
            <w:shd w:val="clear" w:color="auto" w:fill="F2F2F2" w:themeFill="background1" w:themeFillShade="F2"/>
          </w:tcPr>
          <w:p w14:paraId="7D406FB8" w14:textId="77777777" w:rsidR="00AE7B69" w:rsidRPr="00AE7B69" w:rsidRDefault="00AE7B69" w:rsidP="0069386C">
            <w:pPr>
              <w:jc w:val="center"/>
              <w:rPr>
                <w:szCs w:val="20"/>
              </w:rPr>
            </w:pPr>
          </w:p>
        </w:tc>
        <w:tc>
          <w:tcPr>
            <w:tcW w:w="460" w:type="dxa"/>
            <w:shd w:val="clear" w:color="auto" w:fill="F2F2F2" w:themeFill="background1" w:themeFillShade="F2"/>
          </w:tcPr>
          <w:p w14:paraId="2C0ADFAE" w14:textId="77777777" w:rsidR="00AE7B69" w:rsidRPr="00AE7B69" w:rsidRDefault="00AE7B69" w:rsidP="0069386C">
            <w:pPr>
              <w:jc w:val="center"/>
              <w:rPr>
                <w:szCs w:val="20"/>
              </w:rPr>
            </w:pPr>
          </w:p>
        </w:tc>
        <w:tc>
          <w:tcPr>
            <w:tcW w:w="1481" w:type="dxa"/>
            <w:shd w:val="clear" w:color="auto" w:fill="E4E7E8" w:themeFill="accent4" w:themeFillTint="33"/>
          </w:tcPr>
          <w:p w14:paraId="3833D72D" w14:textId="77777777" w:rsidR="00AE7B69" w:rsidRPr="00AE7B69" w:rsidRDefault="00AE7B69" w:rsidP="0069386C">
            <w:pPr>
              <w:jc w:val="center"/>
              <w:rPr>
                <w:szCs w:val="20"/>
              </w:rPr>
            </w:pPr>
          </w:p>
        </w:tc>
        <w:tc>
          <w:tcPr>
            <w:tcW w:w="1335" w:type="dxa"/>
            <w:shd w:val="clear" w:color="auto" w:fill="D0E6F6" w:themeFill="accent6" w:themeFillTint="33"/>
          </w:tcPr>
          <w:p w14:paraId="37D29F55"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26374C62" w14:textId="77777777" w:rsidR="00AE7B69" w:rsidRPr="00AE7B69" w:rsidRDefault="00AE7B69" w:rsidP="0069386C">
            <w:pPr>
              <w:jc w:val="center"/>
              <w:rPr>
                <w:szCs w:val="20"/>
              </w:rPr>
            </w:pPr>
            <w:r w:rsidRPr="00AE7B69">
              <w:rPr>
                <w:szCs w:val="20"/>
              </w:rPr>
              <w:t>21</w:t>
            </w:r>
          </w:p>
        </w:tc>
      </w:tr>
      <w:tr w:rsidR="00AE7B69" w:rsidRPr="00AE7B69" w14:paraId="4B68E878" w14:textId="77777777" w:rsidTr="00160A48">
        <w:trPr>
          <w:jc w:val="center"/>
        </w:trPr>
        <w:tc>
          <w:tcPr>
            <w:tcW w:w="460" w:type="dxa"/>
          </w:tcPr>
          <w:p w14:paraId="0FD935CF" w14:textId="77777777" w:rsidR="00AE7B69" w:rsidRPr="00AE7B69" w:rsidRDefault="00AE7B69" w:rsidP="0069386C">
            <w:pPr>
              <w:jc w:val="center"/>
              <w:rPr>
                <w:b/>
                <w:szCs w:val="20"/>
              </w:rPr>
            </w:pPr>
            <w:r w:rsidRPr="00AE7B69">
              <w:rPr>
                <w:b/>
                <w:szCs w:val="20"/>
              </w:rPr>
              <w:t>38</w:t>
            </w:r>
          </w:p>
        </w:tc>
        <w:tc>
          <w:tcPr>
            <w:tcW w:w="1966" w:type="dxa"/>
          </w:tcPr>
          <w:p w14:paraId="1AF1F81B" w14:textId="4C57CF07" w:rsidR="00AE7B69" w:rsidRPr="00AE7B69" w:rsidRDefault="00D76199" w:rsidP="00EE2AE6">
            <w:pPr>
              <w:jc w:val="left"/>
              <w:rPr>
                <w:b/>
                <w:szCs w:val="20"/>
              </w:rPr>
            </w:pPr>
            <w:r>
              <w:rPr>
                <w:b/>
                <w:szCs w:val="20"/>
              </w:rPr>
              <w:t xml:space="preserve">Republic of </w:t>
            </w:r>
            <w:r w:rsidR="00AE7B69" w:rsidRPr="00AE7B69">
              <w:rPr>
                <w:b/>
                <w:szCs w:val="20"/>
              </w:rPr>
              <w:t>Poland</w:t>
            </w:r>
          </w:p>
        </w:tc>
        <w:tc>
          <w:tcPr>
            <w:tcW w:w="1416" w:type="dxa"/>
            <w:shd w:val="clear" w:color="auto" w:fill="D0E6F6" w:themeFill="accent6" w:themeFillTint="33"/>
          </w:tcPr>
          <w:p w14:paraId="4FC7D63C"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40729F01" w14:textId="3112EC13" w:rsidR="00AE7B69" w:rsidRPr="00AE7B69" w:rsidRDefault="002B5214" w:rsidP="002B5214">
            <w:pPr>
              <w:jc w:val="center"/>
              <w:rPr>
                <w:szCs w:val="20"/>
              </w:rPr>
            </w:pPr>
            <w:r w:rsidRPr="00AE7B69">
              <w:rPr>
                <w:szCs w:val="20"/>
              </w:rPr>
              <w:t>1</w:t>
            </w:r>
            <w:r>
              <w:rPr>
                <w:szCs w:val="20"/>
              </w:rPr>
              <w:t>7</w:t>
            </w:r>
          </w:p>
        </w:tc>
        <w:tc>
          <w:tcPr>
            <w:tcW w:w="1416" w:type="dxa"/>
            <w:shd w:val="clear" w:color="auto" w:fill="D0E6F6" w:themeFill="accent6" w:themeFillTint="33"/>
          </w:tcPr>
          <w:p w14:paraId="084AAFBA"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34441530" w14:textId="77777777" w:rsidR="00AE7B69" w:rsidRPr="00AE7B69" w:rsidRDefault="00AE7B69" w:rsidP="0069386C">
            <w:pPr>
              <w:jc w:val="center"/>
              <w:rPr>
                <w:szCs w:val="20"/>
              </w:rPr>
            </w:pPr>
            <w:r w:rsidRPr="00AE7B69">
              <w:rPr>
                <w:szCs w:val="20"/>
              </w:rPr>
              <w:t>10</w:t>
            </w:r>
          </w:p>
        </w:tc>
        <w:tc>
          <w:tcPr>
            <w:tcW w:w="1481" w:type="dxa"/>
            <w:shd w:val="clear" w:color="auto" w:fill="E4E7E8" w:themeFill="accent4" w:themeFillTint="33"/>
          </w:tcPr>
          <w:p w14:paraId="32EDA921" w14:textId="77777777" w:rsidR="00AE7B69" w:rsidRPr="00AE7B69" w:rsidRDefault="00AE7B69" w:rsidP="0069386C">
            <w:pPr>
              <w:jc w:val="center"/>
              <w:rPr>
                <w:szCs w:val="20"/>
              </w:rPr>
            </w:pPr>
          </w:p>
        </w:tc>
        <w:tc>
          <w:tcPr>
            <w:tcW w:w="1335" w:type="dxa"/>
            <w:shd w:val="clear" w:color="auto" w:fill="F2F2F2" w:themeFill="background1" w:themeFillShade="F2"/>
          </w:tcPr>
          <w:p w14:paraId="627E36E5" w14:textId="77777777" w:rsidR="00AE7B69" w:rsidRPr="00AE7B69" w:rsidRDefault="00AE7B69" w:rsidP="0069386C">
            <w:pPr>
              <w:jc w:val="center"/>
              <w:rPr>
                <w:szCs w:val="20"/>
              </w:rPr>
            </w:pPr>
          </w:p>
        </w:tc>
        <w:tc>
          <w:tcPr>
            <w:tcW w:w="645" w:type="dxa"/>
            <w:shd w:val="clear" w:color="auto" w:fill="F2F2F2" w:themeFill="background1" w:themeFillShade="F2"/>
          </w:tcPr>
          <w:p w14:paraId="1F0CDC37" w14:textId="77777777" w:rsidR="00AE7B69" w:rsidRPr="00AE7B69" w:rsidRDefault="00AE7B69" w:rsidP="0069386C">
            <w:pPr>
              <w:jc w:val="center"/>
              <w:rPr>
                <w:szCs w:val="20"/>
              </w:rPr>
            </w:pPr>
          </w:p>
        </w:tc>
      </w:tr>
      <w:tr w:rsidR="00AE7B69" w:rsidRPr="00AE7B69" w14:paraId="77D60A8A" w14:textId="77777777" w:rsidTr="00160A48">
        <w:trPr>
          <w:jc w:val="center"/>
        </w:trPr>
        <w:tc>
          <w:tcPr>
            <w:tcW w:w="460" w:type="dxa"/>
          </w:tcPr>
          <w:p w14:paraId="12AB302B" w14:textId="77777777" w:rsidR="00AE7B69" w:rsidRPr="00AE7B69" w:rsidRDefault="00AE7B69" w:rsidP="0069386C">
            <w:pPr>
              <w:jc w:val="center"/>
              <w:rPr>
                <w:b/>
                <w:szCs w:val="20"/>
              </w:rPr>
            </w:pPr>
            <w:r w:rsidRPr="00AE7B69">
              <w:rPr>
                <w:b/>
                <w:szCs w:val="20"/>
              </w:rPr>
              <w:t>39</w:t>
            </w:r>
          </w:p>
        </w:tc>
        <w:tc>
          <w:tcPr>
            <w:tcW w:w="1966" w:type="dxa"/>
          </w:tcPr>
          <w:p w14:paraId="4C639CAA" w14:textId="3DF75C32" w:rsidR="00AE7B69" w:rsidRPr="00AE7B69" w:rsidRDefault="00B06DB2" w:rsidP="00EE2AE6">
            <w:pPr>
              <w:jc w:val="left"/>
              <w:rPr>
                <w:b/>
                <w:szCs w:val="20"/>
              </w:rPr>
            </w:pPr>
            <w:r w:rsidRPr="00AE7B69">
              <w:rPr>
                <w:b/>
                <w:szCs w:val="20"/>
              </w:rPr>
              <w:t>Portug</w:t>
            </w:r>
            <w:r>
              <w:rPr>
                <w:b/>
                <w:szCs w:val="20"/>
              </w:rPr>
              <w:t>uese Republic</w:t>
            </w:r>
          </w:p>
        </w:tc>
        <w:tc>
          <w:tcPr>
            <w:tcW w:w="1416" w:type="dxa"/>
            <w:shd w:val="clear" w:color="auto" w:fill="F2F2F2" w:themeFill="background1" w:themeFillShade="F2"/>
          </w:tcPr>
          <w:p w14:paraId="247E04B2" w14:textId="77777777" w:rsidR="00AE7B69" w:rsidRPr="00AE7B69" w:rsidRDefault="00AE7B69" w:rsidP="0069386C">
            <w:pPr>
              <w:jc w:val="center"/>
              <w:rPr>
                <w:szCs w:val="20"/>
              </w:rPr>
            </w:pPr>
          </w:p>
        </w:tc>
        <w:tc>
          <w:tcPr>
            <w:tcW w:w="460" w:type="dxa"/>
            <w:shd w:val="clear" w:color="auto" w:fill="F2F2F2" w:themeFill="background1" w:themeFillShade="F2"/>
          </w:tcPr>
          <w:p w14:paraId="1186D976" w14:textId="77777777" w:rsidR="00AE7B69" w:rsidRPr="00AE7B69" w:rsidRDefault="00AE7B69" w:rsidP="0069386C">
            <w:pPr>
              <w:jc w:val="center"/>
              <w:rPr>
                <w:szCs w:val="20"/>
              </w:rPr>
            </w:pPr>
          </w:p>
        </w:tc>
        <w:tc>
          <w:tcPr>
            <w:tcW w:w="1416" w:type="dxa"/>
            <w:shd w:val="clear" w:color="auto" w:fill="F2F2F2" w:themeFill="background1" w:themeFillShade="F2"/>
          </w:tcPr>
          <w:p w14:paraId="7D515190" w14:textId="77777777" w:rsidR="00AE7B69" w:rsidRPr="00AE7B69" w:rsidRDefault="00AE7B69" w:rsidP="0069386C">
            <w:pPr>
              <w:jc w:val="center"/>
              <w:rPr>
                <w:szCs w:val="20"/>
              </w:rPr>
            </w:pPr>
          </w:p>
        </w:tc>
        <w:tc>
          <w:tcPr>
            <w:tcW w:w="460" w:type="dxa"/>
            <w:shd w:val="clear" w:color="auto" w:fill="F2F2F2" w:themeFill="background1" w:themeFillShade="F2"/>
          </w:tcPr>
          <w:p w14:paraId="33B30F61" w14:textId="77777777" w:rsidR="00AE7B69" w:rsidRPr="00AE7B69" w:rsidRDefault="00AE7B69" w:rsidP="0069386C">
            <w:pPr>
              <w:jc w:val="center"/>
              <w:rPr>
                <w:szCs w:val="20"/>
              </w:rPr>
            </w:pPr>
          </w:p>
        </w:tc>
        <w:tc>
          <w:tcPr>
            <w:tcW w:w="1481" w:type="dxa"/>
            <w:shd w:val="clear" w:color="auto" w:fill="E4E7E8" w:themeFill="accent4" w:themeFillTint="33"/>
          </w:tcPr>
          <w:p w14:paraId="7761BEB2" w14:textId="77777777" w:rsidR="00AE7B69" w:rsidRPr="00AE7B69" w:rsidRDefault="00AE7B69" w:rsidP="0069386C">
            <w:pPr>
              <w:jc w:val="center"/>
              <w:rPr>
                <w:szCs w:val="20"/>
              </w:rPr>
            </w:pPr>
          </w:p>
        </w:tc>
        <w:tc>
          <w:tcPr>
            <w:tcW w:w="1335" w:type="dxa"/>
            <w:shd w:val="clear" w:color="auto" w:fill="D0E6F6" w:themeFill="accent6" w:themeFillTint="33"/>
          </w:tcPr>
          <w:p w14:paraId="7BDDB749"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03CD58D8" w14:textId="77777777" w:rsidR="00AE7B69" w:rsidRPr="00AE7B69" w:rsidRDefault="00AE7B69" w:rsidP="0069386C">
            <w:pPr>
              <w:jc w:val="center"/>
              <w:rPr>
                <w:szCs w:val="20"/>
              </w:rPr>
            </w:pPr>
            <w:r w:rsidRPr="00AE7B69">
              <w:rPr>
                <w:szCs w:val="20"/>
              </w:rPr>
              <w:t>22</w:t>
            </w:r>
          </w:p>
        </w:tc>
      </w:tr>
      <w:tr w:rsidR="00AE7B69" w:rsidRPr="00AE7B69" w14:paraId="022EF8F2" w14:textId="77777777" w:rsidTr="00160A48">
        <w:trPr>
          <w:jc w:val="center"/>
        </w:trPr>
        <w:tc>
          <w:tcPr>
            <w:tcW w:w="460" w:type="dxa"/>
          </w:tcPr>
          <w:p w14:paraId="695F598D" w14:textId="77777777" w:rsidR="00AE7B69" w:rsidRPr="00AE7B69" w:rsidRDefault="00AE7B69" w:rsidP="0069386C">
            <w:pPr>
              <w:jc w:val="center"/>
              <w:rPr>
                <w:b/>
                <w:szCs w:val="20"/>
              </w:rPr>
            </w:pPr>
            <w:r w:rsidRPr="00AE7B69">
              <w:rPr>
                <w:b/>
                <w:szCs w:val="20"/>
              </w:rPr>
              <w:t>40</w:t>
            </w:r>
          </w:p>
        </w:tc>
        <w:tc>
          <w:tcPr>
            <w:tcW w:w="1966" w:type="dxa"/>
          </w:tcPr>
          <w:p w14:paraId="09FB5529" w14:textId="77777777" w:rsidR="00AE7B69" w:rsidRPr="00AE7B69" w:rsidRDefault="00AE7B69" w:rsidP="00EE2AE6">
            <w:pPr>
              <w:jc w:val="left"/>
              <w:rPr>
                <w:b/>
                <w:szCs w:val="20"/>
              </w:rPr>
            </w:pPr>
            <w:r w:rsidRPr="00AE7B69">
              <w:rPr>
                <w:b/>
                <w:szCs w:val="20"/>
              </w:rPr>
              <w:t>Romania</w:t>
            </w:r>
          </w:p>
        </w:tc>
        <w:tc>
          <w:tcPr>
            <w:tcW w:w="1416" w:type="dxa"/>
            <w:shd w:val="clear" w:color="auto" w:fill="F2F2F2" w:themeFill="background1" w:themeFillShade="F2"/>
          </w:tcPr>
          <w:p w14:paraId="09FEBEB2" w14:textId="77777777" w:rsidR="00AE7B69" w:rsidRPr="00AE7B69" w:rsidRDefault="00AE7B69" w:rsidP="0069386C">
            <w:pPr>
              <w:jc w:val="center"/>
              <w:rPr>
                <w:szCs w:val="20"/>
              </w:rPr>
            </w:pPr>
          </w:p>
        </w:tc>
        <w:tc>
          <w:tcPr>
            <w:tcW w:w="460" w:type="dxa"/>
            <w:shd w:val="clear" w:color="auto" w:fill="F2F2F2" w:themeFill="background1" w:themeFillShade="F2"/>
          </w:tcPr>
          <w:p w14:paraId="0CE65A01" w14:textId="77777777" w:rsidR="00AE7B69" w:rsidRPr="00AE7B69" w:rsidRDefault="00AE7B69" w:rsidP="0069386C">
            <w:pPr>
              <w:jc w:val="center"/>
              <w:rPr>
                <w:szCs w:val="20"/>
              </w:rPr>
            </w:pPr>
          </w:p>
        </w:tc>
        <w:tc>
          <w:tcPr>
            <w:tcW w:w="1416" w:type="dxa"/>
            <w:shd w:val="clear" w:color="auto" w:fill="F2F2F2" w:themeFill="background1" w:themeFillShade="F2"/>
          </w:tcPr>
          <w:p w14:paraId="7C1799B3" w14:textId="77777777" w:rsidR="00AE7B69" w:rsidRPr="00AE7B69" w:rsidRDefault="00AE7B69" w:rsidP="0069386C">
            <w:pPr>
              <w:jc w:val="center"/>
              <w:rPr>
                <w:szCs w:val="20"/>
              </w:rPr>
            </w:pPr>
          </w:p>
        </w:tc>
        <w:tc>
          <w:tcPr>
            <w:tcW w:w="460" w:type="dxa"/>
            <w:shd w:val="clear" w:color="auto" w:fill="F2F2F2" w:themeFill="background1" w:themeFillShade="F2"/>
          </w:tcPr>
          <w:p w14:paraId="307050DA" w14:textId="77777777" w:rsidR="00AE7B69" w:rsidRPr="00AE7B69" w:rsidRDefault="00AE7B69" w:rsidP="0069386C">
            <w:pPr>
              <w:jc w:val="center"/>
              <w:rPr>
                <w:szCs w:val="20"/>
              </w:rPr>
            </w:pPr>
          </w:p>
        </w:tc>
        <w:tc>
          <w:tcPr>
            <w:tcW w:w="1481" w:type="dxa"/>
            <w:shd w:val="clear" w:color="auto" w:fill="E4E7E8" w:themeFill="accent4" w:themeFillTint="33"/>
          </w:tcPr>
          <w:p w14:paraId="5FDA9987" w14:textId="77777777" w:rsidR="00AE7B69" w:rsidRPr="00AE7B69" w:rsidRDefault="00AE7B69" w:rsidP="0069386C">
            <w:pPr>
              <w:jc w:val="center"/>
              <w:rPr>
                <w:szCs w:val="20"/>
              </w:rPr>
            </w:pPr>
          </w:p>
        </w:tc>
        <w:tc>
          <w:tcPr>
            <w:tcW w:w="1335" w:type="dxa"/>
            <w:shd w:val="clear" w:color="auto" w:fill="D0E6F6" w:themeFill="accent6" w:themeFillTint="33"/>
          </w:tcPr>
          <w:p w14:paraId="6040C42E"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2FB30762" w14:textId="77777777" w:rsidR="00AE7B69" w:rsidRPr="00AE7B69" w:rsidRDefault="00AE7B69" w:rsidP="0069386C">
            <w:pPr>
              <w:jc w:val="center"/>
              <w:rPr>
                <w:szCs w:val="20"/>
              </w:rPr>
            </w:pPr>
            <w:r w:rsidRPr="00AE7B69">
              <w:rPr>
                <w:szCs w:val="20"/>
              </w:rPr>
              <w:t>23</w:t>
            </w:r>
          </w:p>
        </w:tc>
      </w:tr>
      <w:tr w:rsidR="00AE7B69" w:rsidRPr="00AE7B69" w14:paraId="30EE0687" w14:textId="77777777" w:rsidTr="00160A48">
        <w:trPr>
          <w:jc w:val="center"/>
        </w:trPr>
        <w:tc>
          <w:tcPr>
            <w:tcW w:w="460" w:type="dxa"/>
          </w:tcPr>
          <w:p w14:paraId="5F11142F" w14:textId="77777777" w:rsidR="00AE7B69" w:rsidRPr="00AE7B69" w:rsidRDefault="00AE7B69" w:rsidP="0069386C">
            <w:pPr>
              <w:jc w:val="center"/>
              <w:rPr>
                <w:b/>
                <w:szCs w:val="20"/>
              </w:rPr>
            </w:pPr>
            <w:r w:rsidRPr="00AE7B69">
              <w:rPr>
                <w:b/>
                <w:szCs w:val="20"/>
              </w:rPr>
              <w:t>41</w:t>
            </w:r>
          </w:p>
        </w:tc>
        <w:tc>
          <w:tcPr>
            <w:tcW w:w="1966" w:type="dxa"/>
          </w:tcPr>
          <w:p w14:paraId="2D4038BA" w14:textId="488197DE" w:rsidR="00AE7B69" w:rsidRPr="00AE7B69" w:rsidRDefault="00AE7B69" w:rsidP="00EE2AE6">
            <w:pPr>
              <w:jc w:val="left"/>
              <w:rPr>
                <w:b/>
                <w:szCs w:val="20"/>
              </w:rPr>
            </w:pPr>
            <w:r w:rsidRPr="00AE7B69">
              <w:rPr>
                <w:b/>
                <w:szCs w:val="20"/>
              </w:rPr>
              <w:t>Russia</w:t>
            </w:r>
            <w:r w:rsidR="00D76199">
              <w:rPr>
                <w:b/>
                <w:szCs w:val="20"/>
              </w:rPr>
              <w:t>n Federation</w:t>
            </w:r>
          </w:p>
        </w:tc>
        <w:tc>
          <w:tcPr>
            <w:tcW w:w="1416" w:type="dxa"/>
          </w:tcPr>
          <w:p w14:paraId="13CD0666" w14:textId="77777777" w:rsidR="00AE7B69" w:rsidRPr="00AE7B69" w:rsidRDefault="00AE7B69" w:rsidP="0069386C">
            <w:pPr>
              <w:jc w:val="center"/>
              <w:rPr>
                <w:szCs w:val="20"/>
              </w:rPr>
            </w:pPr>
            <w:r w:rsidRPr="00AE7B69">
              <w:rPr>
                <w:szCs w:val="20"/>
              </w:rPr>
              <w:t>Denounced</w:t>
            </w:r>
          </w:p>
        </w:tc>
        <w:tc>
          <w:tcPr>
            <w:tcW w:w="460" w:type="dxa"/>
          </w:tcPr>
          <w:p w14:paraId="3B7B2DD4" w14:textId="77777777" w:rsidR="00AE7B69" w:rsidRPr="00AE7B69" w:rsidRDefault="00AE7B69" w:rsidP="0069386C">
            <w:pPr>
              <w:jc w:val="center"/>
              <w:rPr>
                <w:szCs w:val="20"/>
              </w:rPr>
            </w:pPr>
          </w:p>
        </w:tc>
        <w:tc>
          <w:tcPr>
            <w:tcW w:w="1416" w:type="dxa"/>
          </w:tcPr>
          <w:p w14:paraId="7F99EF62" w14:textId="77777777" w:rsidR="00AE7B69" w:rsidRPr="00AE7B69" w:rsidRDefault="00AE7B69" w:rsidP="0069386C">
            <w:pPr>
              <w:jc w:val="center"/>
              <w:rPr>
                <w:szCs w:val="20"/>
              </w:rPr>
            </w:pPr>
            <w:r w:rsidRPr="00AE7B69">
              <w:rPr>
                <w:szCs w:val="20"/>
              </w:rPr>
              <w:t>Denounced</w:t>
            </w:r>
          </w:p>
        </w:tc>
        <w:tc>
          <w:tcPr>
            <w:tcW w:w="460" w:type="dxa"/>
            <w:shd w:val="clear" w:color="auto" w:fill="auto"/>
          </w:tcPr>
          <w:p w14:paraId="4F818CD8" w14:textId="77777777" w:rsidR="00AE7B69" w:rsidRPr="00AE7B69" w:rsidRDefault="00AE7B69" w:rsidP="0069386C">
            <w:pPr>
              <w:jc w:val="center"/>
              <w:rPr>
                <w:szCs w:val="20"/>
              </w:rPr>
            </w:pPr>
          </w:p>
        </w:tc>
        <w:tc>
          <w:tcPr>
            <w:tcW w:w="1481" w:type="dxa"/>
            <w:shd w:val="clear" w:color="auto" w:fill="E4E7E8" w:themeFill="accent4" w:themeFillTint="33"/>
          </w:tcPr>
          <w:p w14:paraId="38051941" w14:textId="77777777" w:rsidR="00AE7B69" w:rsidRPr="00AE7B69" w:rsidRDefault="00AE7B69" w:rsidP="0069386C">
            <w:pPr>
              <w:jc w:val="center"/>
              <w:rPr>
                <w:szCs w:val="20"/>
              </w:rPr>
            </w:pPr>
          </w:p>
        </w:tc>
        <w:tc>
          <w:tcPr>
            <w:tcW w:w="1335" w:type="dxa"/>
            <w:shd w:val="clear" w:color="auto" w:fill="D0E6F6" w:themeFill="accent6" w:themeFillTint="33"/>
          </w:tcPr>
          <w:p w14:paraId="36A6A3D6"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31E81EB0" w14:textId="77777777" w:rsidR="00AE7B69" w:rsidRPr="00AE7B69" w:rsidRDefault="00AE7B69" w:rsidP="0069386C">
            <w:pPr>
              <w:jc w:val="center"/>
              <w:rPr>
                <w:szCs w:val="20"/>
              </w:rPr>
            </w:pPr>
            <w:r w:rsidRPr="00AE7B69">
              <w:rPr>
                <w:szCs w:val="20"/>
              </w:rPr>
              <w:t>24</w:t>
            </w:r>
          </w:p>
        </w:tc>
      </w:tr>
      <w:tr w:rsidR="00AE7B69" w:rsidRPr="00AE7B69" w14:paraId="313418C9" w14:textId="77777777" w:rsidTr="00160A48">
        <w:trPr>
          <w:jc w:val="center"/>
        </w:trPr>
        <w:tc>
          <w:tcPr>
            <w:tcW w:w="460" w:type="dxa"/>
          </w:tcPr>
          <w:p w14:paraId="367D328C" w14:textId="77777777" w:rsidR="00AE7B69" w:rsidRPr="00AE7B69" w:rsidRDefault="00AE7B69" w:rsidP="0069386C">
            <w:pPr>
              <w:jc w:val="center"/>
              <w:rPr>
                <w:b/>
                <w:szCs w:val="20"/>
              </w:rPr>
            </w:pPr>
            <w:r w:rsidRPr="00AE7B69">
              <w:rPr>
                <w:b/>
                <w:szCs w:val="20"/>
              </w:rPr>
              <w:t>42</w:t>
            </w:r>
          </w:p>
        </w:tc>
        <w:tc>
          <w:tcPr>
            <w:tcW w:w="1966" w:type="dxa"/>
          </w:tcPr>
          <w:p w14:paraId="7C0905F7" w14:textId="77777777" w:rsidR="00AE7B69" w:rsidRPr="00AE7B69" w:rsidRDefault="00AE7B69" w:rsidP="00EE2AE6">
            <w:pPr>
              <w:jc w:val="left"/>
              <w:rPr>
                <w:b/>
                <w:szCs w:val="20"/>
              </w:rPr>
            </w:pPr>
            <w:r w:rsidRPr="00AE7B69">
              <w:rPr>
                <w:b/>
                <w:szCs w:val="20"/>
              </w:rPr>
              <w:t>Saint Kitts and Nevis</w:t>
            </w:r>
          </w:p>
        </w:tc>
        <w:tc>
          <w:tcPr>
            <w:tcW w:w="1416" w:type="dxa"/>
            <w:shd w:val="clear" w:color="auto" w:fill="FFFF00"/>
          </w:tcPr>
          <w:p w14:paraId="0136BE29" w14:textId="1EA2ED4B" w:rsidR="00AE7B69" w:rsidRPr="00AE7B69" w:rsidRDefault="00AE7B69" w:rsidP="0069386C">
            <w:pPr>
              <w:jc w:val="center"/>
              <w:rPr>
                <w:szCs w:val="20"/>
              </w:rPr>
            </w:pPr>
            <w:r w:rsidRPr="00AE7B69">
              <w:rPr>
                <w:szCs w:val="20"/>
              </w:rPr>
              <w:t>Y</w:t>
            </w:r>
            <w:r w:rsidR="00F60A36">
              <w:rPr>
                <w:rStyle w:val="FootnoteReference"/>
                <w:szCs w:val="20"/>
              </w:rPr>
              <w:footnoteReference w:id="37"/>
            </w:r>
          </w:p>
        </w:tc>
        <w:tc>
          <w:tcPr>
            <w:tcW w:w="460" w:type="dxa"/>
            <w:shd w:val="clear" w:color="auto" w:fill="FFFF00"/>
          </w:tcPr>
          <w:p w14:paraId="2C29CDE3" w14:textId="5598D0B4" w:rsidR="00AE7B69" w:rsidRPr="00AE7B69" w:rsidRDefault="002B5214" w:rsidP="002B5214">
            <w:pPr>
              <w:jc w:val="center"/>
              <w:rPr>
                <w:szCs w:val="20"/>
              </w:rPr>
            </w:pPr>
            <w:r w:rsidRPr="00AE7B69">
              <w:rPr>
                <w:szCs w:val="20"/>
              </w:rPr>
              <w:t>1</w:t>
            </w:r>
            <w:r>
              <w:rPr>
                <w:szCs w:val="20"/>
              </w:rPr>
              <w:t>8</w:t>
            </w:r>
          </w:p>
        </w:tc>
        <w:tc>
          <w:tcPr>
            <w:tcW w:w="1416" w:type="dxa"/>
            <w:shd w:val="clear" w:color="auto" w:fill="F2F2F2" w:themeFill="background1" w:themeFillShade="F2"/>
          </w:tcPr>
          <w:p w14:paraId="5ACC50A3" w14:textId="77777777" w:rsidR="00AE7B69" w:rsidRPr="00AE7B69" w:rsidRDefault="00AE7B69" w:rsidP="0069386C">
            <w:pPr>
              <w:jc w:val="center"/>
              <w:rPr>
                <w:szCs w:val="20"/>
              </w:rPr>
            </w:pPr>
          </w:p>
        </w:tc>
        <w:tc>
          <w:tcPr>
            <w:tcW w:w="460" w:type="dxa"/>
            <w:shd w:val="clear" w:color="auto" w:fill="F2F2F2" w:themeFill="background1" w:themeFillShade="F2"/>
          </w:tcPr>
          <w:p w14:paraId="6B3E5404" w14:textId="77777777" w:rsidR="00AE7B69" w:rsidRPr="00AE7B69" w:rsidRDefault="00AE7B69" w:rsidP="0069386C">
            <w:pPr>
              <w:jc w:val="center"/>
              <w:rPr>
                <w:szCs w:val="20"/>
              </w:rPr>
            </w:pPr>
          </w:p>
        </w:tc>
        <w:tc>
          <w:tcPr>
            <w:tcW w:w="1481" w:type="dxa"/>
            <w:shd w:val="clear" w:color="auto" w:fill="E4E7E8" w:themeFill="accent4" w:themeFillTint="33"/>
          </w:tcPr>
          <w:p w14:paraId="512A1B08" w14:textId="77777777" w:rsidR="00AE7B69" w:rsidRPr="00AE7B69" w:rsidRDefault="00AE7B69" w:rsidP="0069386C">
            <w:pPr>
              <w:jc w:val="center"/>
              <w:rPr>
                <w:szCs w:val="20"/>
              </w:rPr>
            </w:pPr>
          </w:p>
        </w:tc>
        <w:tc>
          <w:tcPr>
            <w:tcW w:w="1335" w:type="dxa"/>
            <w:shd w:val="clear" w:color="auto" w:fill="58B6C0" w:themeFill="accent2"/>
          </w:tcPr>
          <w:p w14:paraId="575BEC3A" w14:textId="77777777" w:rsidR="00AE7B69" w:rsidRPr="00AE7B69" w:rsidRDefault="00AE7B69" w:rsidP="0069386C">
            <w:pPr>
              <w:jc w:val="center"/>
              <w:rPr>
                <w:szCs w:val="20"/>
              </w:rPr>
            </w:pPr>
            <w:r w:rsidRPr="00AE7B69">
              <w:rPr>
                <w:szCs w:val="20"/>
              </w:rPr>
              <w:t>Denounced</w:t>
            </w:r>
          </w:p>
        </w:tc>
        <w:tc>
          <w:tcPr>
            <w:tcW w:w="645" w:type="dxa"/>
            <w:shd w:val="clear" w:color="auto" w:fill="58B6C0" w:themeFill="accent2"/>
          </w:tcPr>
          <w:p w14:paraId="7C82639A" w14:textId="77777777" w:rsidR="00AE7B69" w:rsidRPr="00AE7B69" w:rsidRDefault="00AE7B69" w:rsidP="0069386C">
            <w:pPr>
              <w:jc w:val="center"/>
              <w:rPr>
                <w:szCs w:val="20"/>
              </w:rPr>
            </w:pPr>
          </w:p>
        </w:tc>
      </w:tr>
      <w:tr w:rsidR="00AE7B69" w:rsidRPr="00AE7B69" w14:paraId="4321BA41" w14:textId="77777777" w:rsidTr="00160A48">
        <w:trPr>
          <w:jc w:val="center"/>
        </w:trPr>
        <w:tc>
          <w:tcPr>
            <w:tcW w:w="460" w:type="dxa"/>
          </w:tcPr>
          <w:p w14:paraId="36A7AB04" w14:textId="77777777" w:rsidR="00AE7B69" w:rsidRPr="00AE7B69" w:rsidRDefault="00AE7B69" w:rsidP="0069386C">
            <w:pPr>
              <w:jc w:val="center"/>
              <w:rPr>
                <w:b/>
                <w:szCs w:val="20"/>
              </w:rPr>
            </w:pPr>
            <w:r w:rsidRPr="00AE7B69">
              <w:rPr>
                <w:b/>
                <w:szCs w:val="20"/>
              </w:rPr>
              <w:t>43</w:t>
            </w:r>
          </w:p>
        </w:tc>
        <w:tc>
          <w:tcPr>
            <w:tcW w:w="1966" w:type="dxa"/>
          </w:tcPr>
          <w:p w14:paraId="595883AE" w14:textId="62CDFE03" w:rsidR="00AE7B69" w:rsidRPr="00AE7B69" w:rsidRDefault="00D76199" w:rsidP="00EE2AE6">
            <w:pPr>
              <w:jc w:val="left"/>
              <w:rPr>
                <w:b/>
                <w:szCs w:val="20"/>
              </w:rPr>
            </w:pPr>
            <w:r>
              <w:rPr>
                <w:b/>
                <w:szCs w:val="20"/>
              </w:rPr>
              <w:t xml:space="preserve">Kingdom of </w:t>
            </w:r>
            <w:r w:rsidR="00AE7B69" w:rsidRPr="00AE7B69">
              <w:rPr>
                <w:b/>
                <w:szCs w:val="20"/>
              </w:rPr>
              <w:t>Saudi Arabia</w:t>
            </w:r>
          </w:p>
        </w:tc>
        <w:tc>
          <w:tcPr>
            <w:tcW w:w="1416" w:type="dxa"/>
            <w:shd w:val="clear" w:color="auto" w:fill="D0E6F6" w:themeFill="accent6" w:themeFillTint="33"/>
          </w:tcPr>
          <w:p w14:paraId="33C09223"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7DB32014" w14:textId="628B6626" w:rsidR="00AE7B69" w:rsidRPr="00AE7B69" w:rsidRDefault="002B5214" w:rsidP="002B5214">
            <w:pPr>
              <w:jc w:val="center"/>
              <w:rPr>
                <w:szCs w:val="20"/>
              </w:rPr>
            </w:pPr>
            <w:r w:rsidRPr="00AE7B69">
              <w:rPr>
                <w:szCs w:val="20"/>
              </w:rPr>
              <w:t>1</w:t>
            </w:r>
            <w:r>
              <w:rPr>
                <w:szCs w:val="20"/>
              </w:rPr>
              <w:t>9</w:t>
            </w:r>
          </w:p>
        </w:tc>
        <w:tc>
          <w:tcPr>
            <w:tcW w:w="1416" w:type="dxa"/>
            <w:shd w:val="clear" w:color="auto" w:fill="D0E6F6" w:themeFill="accent6" w:themeFillTint="33"/>
          </w:tcPr>
          <w:p w14:paraId="5BE29786"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1EDBDE0D" w14:textId="77777777" w:rsidR="00AE7B69" w:rsidRPr="00AE7B69" w:rsidRDefault="00AE7B69" w:rsidP="0069386C">
            <w:pPr>
              <w:jc w:val="center"/>
              <w:rPr>
                <w:szCs w:val="20"/>
              </w:rPr>
            </w:pPr>
            <w:r w:rsidRPr="00AE7B69">
              <w:rPr>
                <w:szCs w:val="20"/>
              </w:rPr>
              <w:t>11</w:t>
            </w:r>
          </w:p>
        </w:tc>
        <w:tc>
          <w:tcPr>
            <w:tcW w:w="1481" w:type="dxa"/>
            <w:shd w:val="clear" w:color="auto" w:fill="E4E7E8" w:themeFill="accent4" w:themeFillTint="33"/>
          </w:tcPr>
          <w:p w14:paraId="73E2618D" w14:textId="77777777" w:rsidR="00AE7B69" w:rsidRPr="00AE7B69" w:rsidRDefault="00AE7B69" w:rsidP="0069386C">
            <w:pPr>
              <w:jc w:val="center"/>
              <w:rPr>
                <w:szCs w:val="20"/>
              </w:rPr>
            </w:pPr>
          </w:p>
        </w:tc>
        <w:tc>
          <w:tcPr>
            <w:tcW w:w="1335" w:type="dxa"/>
            <w:shd w:val="clear" w:color="auto" w:fill="F2F2F2" w:themeFill="background1" w:themeFillShade="F2"/>
          </w:tcPr>
          <w:p w14:paraId="4EC54D57" w14:textId="77777777" w:rsidR="00AE7B69" w:rsidRPr="00AE7B69" w:rsidRDefault="00AE7B69" w:rsidP="0069386C">
            <w:pPr>
              <w:jc w:val="center"/>
              <w:rPr>
                <w:szCs w:val="20"/>
              </w:rPr>
            </w:pPr>
          </w:p>
        </w:tc>
        <w:tc>
          <w:tcPr>
            <w:tcW w:w="645" w:type="dxa"/>
            <w:shd w:val="clear" w:color="auto" w:fill="F2F2F2" w:themeFill="background1" w:themeFillShade="F2"/>
          </w:tcPr>
          <w:p w14:paraId="0234EAD6" w14:textId="77777777" w:rsidR="00AE7B69" w:rsidRPr="00AE7B69" w:rsidRDefault="00AE7B69" w:rsidP="0069386C">
            <w:pPr>
              <w:jc w:val="center"/>
              <w:rPr>
                <w:szCs w:val="20"/>
              </w:rPr>
            </w:pPr>
          </w:p>
        </w:tc>
      </w:tr>
      <w:tr w:rsidR="00AE7B69" w:rsidRPr="00AE7B69" w14:paraId="4BA20357" w14:textId="77777777" w:rsidTr="00160A48">
        <w:trPr>
          <w:jc w:val="center"/>
        </w:trPr>
        <w:tc>
          <w:tcPr>
            <w:tcW w:w="460" w:type="dxa"/>
          </w:tcPr>
          <w:p w14:paraId="7FF33763" w14:textId="77777777" w:rsidR="00AE7B69" w:rsidRPr="00AE7B69" w:rsidRDefault="00AE7B69" w:rsidP="0069386C">
            <w:pPr>
              <w:jc w:val="center"/>
              <w:rPr>
                <w:b/>
                <w:szCs w:val="20"/>
              </w:rPr>
            </w:pPr>
            <w:r w:rsidRPr="00AE7B69">
              <w:rPr>
                <w:b/>
                <w:szCs w:val="20"/>
              </w:rPr>
              <w:t>44</w:t>
            </w:r>
          </w:p>
        </w:tc>
        <w:tc>
          <w:tcPr>
            <w:tcW w:w="1966" w:type="dxa"/>
          </w:tcPr>
          <w:p w14:paraId="30A0D7C3" w14:textId="634D4B91" w:rsidR="00AE7B69" w:rsidRPr="00AE7B69" w:rsidRDefault="002A4B05" w:rsidP="00EE2AE6">
            <w:pPr>
              <w:jc w:val="left"/>
              <w:rPr>
                <w:b/>
                <w:szCs w:val="20"/>
              </w:rPr>
            </w:pPr>
            <w:r>
              <w:rPr>
                <w:b/>
                <w:szCs w:val="20"/>
              </w:rPr>
              <w:t xml:space="preserve">Republic of </w:t>
            </w:r>
            <w:r w:rsidR="00AE7B69" w:rsidRPr="00AE7B69">
              <w:rPr>
                <w:b/>
                <w:szCs w:val="20"/>
              </w:rPr>
              <w:t>Serbia</w:t>
            </w:r>
          </w:p>
        </w:tc>
        <w:tc>
          <w:tcPr>
            <w:tcW w:w="1416" w:type="dxa"/>
          </w:tcPr>
          <w:p w14:paraId="258224FD" w14:textId="77777777" w:rsidR="00AE7B69" w:rsidRPr="00AE7B69" w:rsidRDefault="00AE7B69" w:rsidP="0069386C">
            <w:pPr>
              <w:jc w:val="center"/>
              <w:rPr>
                <w:szCs w:val="20"/>
              </w:rPr>
            </w:pPr>
            <w:r w:rsidRPr="00AE7B69">
              <w:rPr>
                <w:szCs w:val="20"/>
              </w:rPr>
              <w:t>Denounced</w:t>
            </w:r>
          </w:p>
        </w:tc>
        <w:tc>
          <w:tcPr>
            <w:tcW w:w="460" w:type="dxa"/>
            <w:shd w:val="clear" w:color="auto" w:fill="F2F2F2" w:themeFill="background1" w:themeFillShade="F2"/>
          </w:tcPr>
          <w:p w14:paraId="0CD1CCE3" w14:textId="77777777" w:rsidR="00AE7B69" w:rsidRPr="00AE7B69" w:rsidRDefault="00AE7B69" w:rsidP="0069386C">
            <w:pPr>
              <w:jc w:val="center"/>
              <w:rPr>
                <w:szCs w:val="20"/>
              </w:rPr>
            </w:pPr>
          </w:p>
        </w:tc>
        <w:tc>
          <w:tcPr>
            <w:tcW w:w="1416" w:type="dxa"/>
            <w:shd w:val="clear" w:color="auto" w:fill="F2F2F2" w:themeFill="background1" w:themeFillShade="F2"/>
          </w:tcPr>
          <w:p w14:paraId="67ADE52C" w14:textId="77777777" w:rsidR="00AE7B69" w:rsidRPr="00AE7B69" w:rsidRDefault="00AE7B69" w:rsidP="0069386C">
            <w:pPr>
              <w:jc w:val="center"/>
              <w:rPr>
                <w:szCs w:val="20"/>
              </w:rPr>
            </w:pPr>
          </w:p>
        </w:tc>
        <w:tc>
          <w:tcPr>
            <w:tcW w:w="460" w:type="dxa"/>
            <w:shd w:val="clear" w:color="auto" w:fill="F2F2F2" w:themeFill="background1" w:themeFillShade="F2"/>
          </w:tcPr>
          <w:p w14:paraId="153DB87B" w14:textId="77777777" w:rsidR="00AE7B69" w:rsidRPr="00AE7B69" w:rsidRDefault="00AE7B69" w:rsidP="0069386C">
            <w:pPr>
              <w:jc w:val="center"/>
              <w:rPr>
                <w:szCs w:val="20"/>
              </w:rPr>
            </w:pPr>
          </w:p>
        </w:tc>
        <w:tc>
          <w:tcPr>
            <w:tcW w:w="1481" w:type="dxa"/>
            <w:shd w:val="clear" w:color="auto" w:fill="E4E7E8" w:themeFill="accent4" w:themeFillTint="33"/>
          </w:tcPr>
          <w:p w14:paraId="7BDB04F2" w14:textId="77777777" w:rsidR="00AE7B69" w:rsidRPr="00AE7B69" w:rsidRDefault="00AE7B69" w:rsidP="0069386C">
            <w:pPr>
              <w:jc w:val="center"/>
              <w:rPr>
                <w:szCs w:val="20"/>
              </w:rPr>
            </w:pPr>
          </w:p>
        </w:tc>
        <w:tc>
          <w:tcPr>
            <w:tcW w:w="1335" w:type="dxa"/>
            <w:shd w:val="clear" w:color="auto" w:fill="D0E6F6" w:themeFill="accent6" w:themeFillTint="33"/>
          </w:tcPr>
          <w:p w14:paraId="1C59B5F2"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38A5CC79" w14:textId="77777777" w:rsidR="00AE7B69" w:rsidRPr="00AE7B69" w:rsidRDefault="00AE7B69" w:rsidP="0069386C">
            <w:pPr>
              <w:jc w:val="center"/>
              <w:rPr>
                <w:szCs w:val="20"/>
              </w:rPr>
            </w:pPr>
            <w:r w:rsidRPr="00AE7B69">
              <w:rPr>
                <w:szCs w:val="20"/>
              </w:rPr>
              <w:t>25</w:t>
            </w:r>
          </w:p>
        </w:tc>
      </w:tr>
      <w:tr w:rsidR="00AE7B69" w:rsidRPr="00AE7B69" w14:paraId="545A30B9" w14:textId="77777777" w:rsidTr="00160A48">
        <w:trPr>
          <w:jc w:val="center"/>
        </w:trPr>
        <w:tc>
          <w:tcPr>
            <w:tcW w:w="460" w:type="dxa"/>
          </w:tcPr>
          <w:p w14:paraId="21670217" w14:textId="77777777" w:rsidR="00AE7B69" w:rsidRPr="00AE7B69" w:rsidRDefault="00AE7B69" w:rsidP="0069386C">
            <w:pPr>
              <w:jc w:val="center"/>
              <w:rPr>
                <w:b/>
                <w:szCs w:val="20"/>
              </w:rPr>
            </w:pPr>
            <w:r w:rsidRPr="00AE7B69">
              <w:rPr>
                <w:b/>
                <w:szCs w:val="20"/>
              </w:rPr>
              <w:t>45</w:t>
            </w:r>
          </w:p>
        </w:tc>
        <w:tc>
          <w:tcPr>
            <w:tcW w:w="1966" w:type="dxa"/>
          </w:tcPr>
          <w:p w14:paraId="07C7EBE6" w14:textId="18DABB10" w:rsidR="00AE7B69" w:rsidRPr="00AE7B69" w:rsidRDefault="00D76199" w:rsidP="00EE2AE6">
            <w:pPr>
              <w:jc w:val="left"/>
              <w:rPr>
                <w:b/>
                <w:szCs w:val="20"/>
              </w:rPr>
            </w:pPr>
            <w:r w:rsidRPr="00AE7B69">
              <w:rPr>
                <w:b/>
                <w:szCs w:val="20"/>
              </w:rPr>
              <w:t>Slovak</w:t>
            </w:r>
            <w:r>
              <w:rPr>
                <w:b/>
                <w:szCs w:val="20"/>
              </w:rPr>
              <w:t xml:space="preserve"> Republic</w:t>
            </w:r>
          </w:p>
        </w:tc>
        <w:tc>
          <w:tcPr>
            <w:tcW w:w="1416" w:type="dxa"/>
            <w:shd w:val="clear" w:color="auto" w:fill="F2F2F2" w:themeFill="background1" w:themeFillShade="F2"/>
          </w:tcPr>
          <w:p w14:paraId="1BB18B3B" w14:textId="77777777" w:rsidR="00AE7B69" w:rsidRPr="00AE7B69" w:rsidRDefault="00AE7B69" w:rsidP="0069386C">
            <w:pPr>
              <w:jc w:val="center"/>
              <w:rPr>
                <w:szCs w:val="20"/>
              </w:rPr>
            </w:pPr>
          </w:p>
        </w:tc>
        <w:tc>
          <w:tcPr>
            <w:tcW w:w="460" w:type="dxa"/>
            <w:shd w:val="clear" w:color="auto" w:fill="F2F2F2" w:themeFill="background1" w:themeFillShade="F2"/>
          </w:tcPr>
          <w:p w14:paraId="05372483" w14:textId="77777777" w:rsidR="00AE7B69" w:rsidRPr="00AE7B69" w:rsidRDefault="00AE7B69" w:rsidP="0069386C">
            <w:pPr>
              <w:jc w:val="center"/>
              <w:rPr>
                <w:szCs w:val="20"/>
              </w:rPr>
            </w:pPr>
          </w:p>
        </w:tc>
        <w:tc>
          <w:tcPr>
            <w:tcW w:w="1416" w:type="dxa"/>
            <w:shd w:val="clear" w:color="auto" w:fill="F2F2F2" w:themeFill="background1" w:themeFillShade="F2"/>
          </w:tcPr>
          <w:p w14:paraId="2F807368" w14:textId="77777777" w:rsidR="00AE7B69" w:rsidRPr="00AE7B69" w:rsidRDefault="00AE7B69" w:rsidP="0069386C">
            <w:pPr>
              <w:jc w:val="center"/>
              <w:rPr>
                <w:szCs w:val="20"/>
              </w:rPr>
            </w:pPr>
          </w:p>
        </w:tc>
        <w:tc>
          <w:tcPr>
            <w:tcW w:w="460" w:type="dxa"/>
            <w:shd w:val="clear" w:color="auto" w:fill="F2F2F2" w:themeFill="background1" w:themeFillShade="F2"/>
          </w:tcPr>
          <w:p w14:paraId="6DD83100" w14:textId="77777777" w:rsidR="00AE7B69" w:rsidRPr="00AE7B69" w:rsidRDefault="00AE7B69" w:rsidP="0069386C">
            <w:pPr>
              <w:jc w:val="center"/>
              <w:rPr>
                <w:szCs w:val="20"/>
              </w:rPr>
            </w:pPr>
          </w:p>
        </w:tc>
        <w:tc>
          <w:tcPr>
            <w:tcW w:w="1481" w:type="dxa"/>
            <w:shd w:val="clear" w:color="auto" w:fill="E4E7E8" w:themeFill="accent4" w:themeFillTint="33"/>
          </w:tcPr>
          <w:p w14:paraId="19DCAD23" w14:textId="77777777" w:rsidR="00AE7B69" w:rsidRPr="00AE7B69" w:rsidRDefault="00AE7B69" w:rsidP="0069386C">
            <w:pPr>
              <w:jc w:val="center"/>
              <w:rPr>
                <w:szCs w:val="20"/>
              </w:rPr>
            </w:pPr>
          </w:p>
        </w:tc>
        <w:tc>
          <w:tcPr>
            <w:tcW w:w="1335" w:type="dxa"/>
            <w:shd w:val="clear" w:color="auto" w:fill="D0E6F6" w:themeFill="accent6" w:themeFillTint="33"/>
          </w:tcPr>
          <w:p w14:paraId="41EACCFD"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67C6E55E" w14:textId="77777777" w:rsidR="00AE7B69" w:rsidRPr="00AE7B69" w:rsidRDefault="00AE7B69" w:rsidP="0069386C">
            <w:pPr>
              <w:jc w:val="center"/>
              <w:rPr>
                <w:szCs w:val="20"/>
              </w:rPr>
            </w:pPr>
            <w:r w:rsidRPr="00AE7B69">
              <w:rPr>
                <w:szCs w:val="20"/>
              </w:rPr>
              <w:t>26</w:t>
            </w:r>
          </w:p>
        </w:tc>
      </w:tr>
      <w:tr w:rsidR="00AE7B69" w:rsidRPr="00AE7B69" w14:paraId="1C41FCE6" w14:textId="77777777" w:rsidTr="00160A48">
        <w:trPr>
          <w:jc w:val="center"/>
        </w:trPr>
        <w:tc>
          <w:tcPr>
            <w:tcW w:w="460" w:type="dxa"/>
          </w:tcPr>
          <w:p w14:paraId="230C006D" w14:textId="77777777" w:rsidR="00AE7B69" w:rsidRPr="00AE7B69" w:rsidRDefault="00AE7B69" w:rsidP="0069386C">
            <w:pPr>
              <w:jc w:val="center"/>
              <w:rPr>
                <w:b/>
                <w:szCs w:val="20"/>
              </w:rPr>
            </w:pPr>
            <w:r w:rsidRPr="00AE7B69">
              <w:rPr>
                <w:b/>
                <w:szCs w:val="20"/>
              </w:rPr>
              <w:t>46</w:t>
            </w:r>
          </w:p>
        </w:tc>
        <w:tc>
          <w:tcPr>
            <w:tcW w:w="1966" w:type="dxa"/>
          </w:tcPr>
          <w:p w14:paraId="1E79198F" w14:textId="51D629F2" w:rsidR="00AE7B69" w:rsidRPr="00AE7B69" w:rsidRDefault="00621A62" w:rsidP="00EE2AE6">
            <w:pPr>
              <w:jc w:val="left"/>
              <w:rPr>
                <w:b/>
                <w:szCs w:val="20"/>
              </w:rPr>
            </w:pPr>
            <w:r w:rsidRPr="00621A62">
              <w:rPr>
                <w:b/>
                <w:szCs w:val="20"/>
              </w:rPr>
              <w:t xml:space="preserve">Republic of </w:t>
            </w:r>
            <w:r w:rsidR="00AE7B69" w:rsidRPr="00AE7B69">
              <w:rPr>
                <w:b/>
                <w:szCs w:val="20"/>
              </w:rPr>
              <w:t>Slovenia</w:t>
            </w:r>
          </w:p>
        </w:tc>
        <w:tc>
          <w:tcPr>
            <w:tcW w:w="1416" w:type="dxa"/>
            <w:shd w:val="clear" w:color="auto" w:fill="F2F2F2" w:themeFill="background1" w:themeFillShade="F2"/>
          </w:tcPr>
          <w:p w14:paraId="26D65320" w14:textId="77777777" w:rsidR="00AE7B69" w:rsidRPr="00AE7B69" w:rsidRDefault="00AE7B69" w:rsidP="0069386C">
            <w:pPr>
              <w:jc w:val="center"/>
              <w:rPr>
                <w:szCs w:val="20"/>
              </w:rPr>
            </w:pPr>
          </w:p>
        </w:tc>
        <w:tc>
          <w:tcPr>
            <w:tcW w:w="460" w:type="dxa"/>
            <w:shd w:val="clear" w:color="auto" w:fill="F2F2F2" w:themeFill="background1" w:themeFillShade="F2"/>
          </w:tcPr>
          <w:p w14:paraId="073FB3BE" w14:textId="77777777" w:rsidR="00AE7B69" w:rsidRPr="00AE7B69" w:rsidRDefault="00AE7B69" w:rsidP="0069386C">
            <w:pPr>
              <w:jc w:val="center"/>
              <w:rPr>
                <w:szCs w:val="20"/>
              </w:rPr>
            </w:pPr>
          </w:p>
        </w:tc>
        <w:tc>
          <w:tcPr>
            <w:tcW w:w="1416" w:type="dxa"/>
            <w:shd w:val="clear" w:color="auto" w:fill="F2F2F2" w:themeFill="background1" w:themeFillShade="F2"/>
          </w:tcPr>
          <w:p w14:paraId="31DF2D95" w14:textId="77777777" w:rsidR="00AE7B69" w:rsidRPr="00AE7B69" w:rsidRDefault="00AE7B69" w:rsidP="0069386C">
            <w:pPr>
              <w:jc w:val="center"/>
              <w:rPr>
                <w:szCs w:val="20"/>
              </w:rPr>
            </w:pPr>
          </w:p>
        </w:tc>
        <w:tc>
          <w:tcPr>
            <w:tcW w:w="460" w:type="dxa"/>
            <w:shd w:val="clear" w:color="auto" w:fill="F2F2F2" w:themeFill="background1" w:themeFillShade="F2"/>
          </w:tcPr>
          <w:p w14:paraId="59E47163" w14:textId="77777777" w:rsidR="00AE7B69" w:rsidRPr="00AE7B69" w:rsidRDefault="00AE7B69" w:rsidP="0069386C">
            <w:pPr>
              <w:jc w:val="center"/>
              <w:rPr>
                <w:szCs w:val="20"/>
              </w:rPr>
            </w:pPr>
          </w:p>
        </w:tc>
        <w:tc>
          <w:tcPr>
            <w:tcW w:w="1481" w:type="dxa"/>
            <w:shd w:val="clear" w:color="auto" w:fill="E4E7E8" w:themeFill="accent4" w:themeFillTint="33"/>
          </w:tcPr>
          <w:p w14:paraId="2BDECF03" w14:textId="77777777" w:rsidR="00AE7B69" w:rsidRPr="00AE7B69" w:rsidRDefault="00AE7B69" w:rsidP="0069386C">
            <w:pPr>
              <w:jc w:val="center"/>
              <w:rPr>
                <w:szCs w:val="20"/>
              </w:rPr>
            </w:pPr>
          </w:p>
        </w:tc>
        <w:tc>
          <w:tcPr>
            <w:tcW w:w="1335" w:type="dxa"/>
            <w:shd w:val="clear" w:color="auto" w:fill="D0E6F6" w:themeFill="accent6" w:themeFillTint="33"/>
          </w:tcPr>
          <w:p w14:paraId="1DB87D16"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49A3640C" w14:textId="77777777" w:rsidR="00AE7B69" w:rsidRPr="00AE7B69" w:rsidRDefault="00AE7B69" w:rsidP="0069386C">
            <w:pPr>
              <w:jc w:val="center"/>
              <w:rPr>
                <w:szCs w:val="20"/>
              </w:rPr>
            </w:pPr>
            <w:r w:rsidRPr="00AE7B69">
              <w:rPr>
                <w:szCs w:val="20"/>
              </w:rPr>
              <w:t>27</w:t>
            </w:r>
          </w:p>
        </w:tc>
      </w:tr>
      <w:tr w:rsidR="00AE7B69" w:rsidRPr="00AE7B69" w14:paraId="7BDA8725" w14:textId="77777777" w:rsidTr="00160A48">
        <w:trPr>
          <w:jc w:val="center"/>
        </w:trPr>
        <w:tc>
          <w:tcPr>
            <w:tcW w:w="460" w:type="dxa"/>
          </w:tcPr>
          <w:p w14:paraId="2A8FC38C" w14:textId="77777777" w:rsidR="00AE7B69" w:rsidRPr="00AE7B69" w:rsidRDefault="00AE7B69" w:rsidP="0069386C">
            <w:pPr>
              <w:jc w:val="center"/>
              <w:rPr>
                <w:b/>
                <w:szCs w:val="20"/>
              </w:rPr>
            </w:pPr>
            <w:r w:rsidRPr="00AE7B69">
              <w:rPr>
                <w:b/>
                <w:szCs w:val="20"/>
              </w:rPr>
              <w:t>47</w:t>
            </w:r>
          </w:p>
        </w:tc>
        <w:tc>
          <w:tcPr>
            <w:tcW w:w="1966" w:type="dxa"/>
          </w:tcPr>
          <w:p w14:paraId="684D89FB" w14:textId="1ACAC1D2" w:rsidR="00AE7B69" w:rsidRPr="00AE7B69" w:rsidRDefault="00D76199" w:rsidP="00EE2AE6">
            <w:pPr>
              <w:jc w:val="left"/>
              <w:rPr>
                <w:b/>
                <w:szCs w:val="20"/>
              </w:rPr>
            </w:pPr>
            <w:r>
              <w:rPr>
                <w:b/>
                <w:szCs w:val="20"/>
              </w:rPr>
              <w:t xml:space="preserve">Kingdom of </w:t>
            </w:r>
            <w:r w:rsidR="00AE7B69" w:rsidRPr="00AE7B69">
              <w:rPr>
                <w:b/>
                <w:szCs w:val="20"/>
              </w:rPr>
              <w:t>Spain</w:t>
            </w:r>
          </w:p>
        </w:tc>
        <w:tc>
          <w:tcPr>
            <w:tcW w:w="1416" w:type="dxa"/>
          </w:tcPr>
          <w:p w14:paraId="01B33DE6" w14:textId="77777777" w:rsidR="00AE7B69" w:rsidRPr="00AE7B69" w:rsidRDefault="00AE7B69" w:rsidP="0069386C">
            <w:pPr>
              <w:jc w:val="center"/>
              <w:rPr>
                <w:szCs w:val="20"/>
              </w:rPr>
            </w:pPr>
            <w:r w:rsidRPr="00AE7B69">
              <w:rPr>
                <w:szCs w:val="20"/>
              </w:rPr>
              <w:t>Denounced</w:t>
            </w:r>
          </w:p>
        </w:tc>
        <w:tc>
          <w:tcPr>
            <w:tcW w:w="460" w:type="dxa"/>
          </w:tcPr>
          <w:p w14:paraId="545A609E" w14:textId="77777777" w:rsidR="00AE7B69" w:rsidRPr="00AE7B69" w:rsidRDefault="00AE7B69" w:rsidP="0069386C">
            <w:pPr>
              <w:jc w:val="center"/>
              <w:rPr>
                <w:szCs w:val="20"/>
              </w:rPr>
            </w:pPr>
          </w:p>
        </w:tc>
        <w:tc>
          <w:tcPr>
            <w:tcW w:w="1416" w:type="dxa"/>
          </w:tcPr>
          <w:p w14:paraId="2A3972DB" w14:textId="77777777" w:rsidR="00AE7B69" w:rsidRPr="00AE7B69" w:rsidRDefault="00AE7B69" w:rsidP="0069386C">
            <w:pPr>
              <w:jc w:val="center"/>
              <w:rPr>
                <w:szCs w:val="20"/>
              </w:rPr>
            </w:pPr>
            <w:r w:rsidRPr="00AE7B69">
              <w:rPr>
                <w:szCs w:val="20"/>
              </w:rPr>
              <w:t>Denounced</w:t>
            </w:r>
          </w:p>
        </w:tc>
        <w:tc>
          <w:tcPr>
            <w:tcW w:w="460" w:type="dxa"/>
            <w:shd w:val="clear" w:color="auto" w:fill="auto"/>
          </w:tcPr>
          <w:p w14:paraId="78F803C9" w14:textId="77777777" w:rsidR="00AE7B69" w:rsidRPr="00AE7B69" w:rsidRDefault="00AE7B69" w:rsidP="0069386C">
            <w:pPr>
              <w:jc w:val="center"/>
              <w:rPr>
                <w:szCs w:val="20"/>
              </w:rPr>
            </w:pPr>
          </w:p>
        </w:tc>
        <w:tc>
          <w:tcPr>
            <w:tcW w:w="1481" w:type="dxa"/>
            <w:shd w:val="clear" w:color="auto" w:fill="E4E7E8" w:themeFill="accent4" w:themeFillTint="33"/>
          </w:tcPr>
          <w:p w14:paraId="5DB63A1E" w14:textId="77777777" w:rsidR="00AE7B69" w:rsidRPr="00AE7B69" w:rsidRDefault="00AE7B69" w:rsidP="0069386C">
            <w:pPr>
              <w:jc w:val="center"/>
              <w:rPr>
                <w:szCs w:val="20"/>
              </w:rPr>
            </w:pPr>
            <w:r w:rsidRPr="00AE7B69">
              <w:rPr>
                <w:szCs w:val="20"/>
              </w:rPr>
              <w:t>Denounced</w:t>
            </w:r>
          </w:p>
        </w:tc>
        <w:tc>
          <w:tcPr>
            <w:tcW w:w="1335" w:type="dxa"/>
            <w:shd w:val="clear" w:color="auto" w:fill="D0E6F6" w:themeFill="accent6" w:themeFillTint="33"/>
          </w:tcPr>
          <w:p w14:paraId="32E073BB"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67C496D0" w14:textId="77777777" w:rsidR="00AE7B69" w:rsidRPr="00AE7B69" w:rsidRDefault="00AE7B69" w:rsidP="0069386C">
            <w:pPr>
              <w:jc w:val="center"/>
              <w:rPr>
                <w:szCs w:val="20"/>
              </w:rPr>
            </w:pPr>
            <w:r w:rsidRPr="00AE7B69">
              <w:rPr>
                <w:szCs w:val="20"/>
              </w:rPr>
              <w:t>28</w:t>
            </w:r>
          </w:p>
        </w:tc>
      </w:tr>
      <w:tr w:rsidR="00AE7B69" w:rsidRPr="00AE7B69" w14:paraId="5856D7B3" w14:textId="77777777" w:rsidTr="00160A48">
        <w:trPr>
          <w:jc w:val="center"/>
        </w:trPr>
        <w:tc>
          <w:tcPr>
            <w:tcW w:w="460" w:type="dxa"/>
          </w:tcPr>
          <w:p w14:paraId="097F91A1" w14:textId="77777777" w:rsidR="00AE7B69" w:rsidRPr="00AE7B69" w:rsidRDefault="00AE7B69" w:rsidP="0069386C">
            <w:pPr>
              <w:jc w:val="center"/>
              <w:rPr>
                <w:b/>
                <w:szCs w:val="20"/>
              </w:rPr>
            </w:pPr>
            <w:r w:rsidRPr="00AE7B69">
              <w:rPr>
                <w:b/>
                <w:szCs w:val="20"/>
              </w:rPr>
              <w:t>48</w:t>
            </w:r>
          </w:p>
        </w:tc>
        <w:tc>
          <w:tcPr>
            <w:tcW w:w="1966" w:type="dxa"/>
          </w:tcPr>
          <w:p w14:paraId="7E027246" w14:textId="05C031B3" w:rsidR="00AE7B69" w:rsidRPr="00AE7B69" w:rsidRDefault="00D76199" w:rsidP="00EE2AE6">
            <w:pPr>
              <w:jc w:val="left"/>
              <w:rPr>
                <w:b/>
                <w:szCs w:val="20"/>
              </w:rPr>
            </w:pPr>
            <w:r>
              <w:rPr>
                <w:b/>
                <w:szCs w:val="20"/>
              </w:rPr>
              <w:t xml:space="preserve">Kingdom of </w:t>
            </w:r>
            <w:r w:rsidR="00AE7B69" w:rsidRPr="00AE7B69">
              <w:rPr>
                <w:b/>
                <w:szCs w:val="20"/>
              </w:rPr>
              <w:t>Sweden</w:t>
            </w:r>
          </w:p>
        </w:tc>
        <w:tc>
          <w:tcPr>
            <w:tcW w:w="1416" w:type="dxa"/>
            <w:shd w:val="clear" w:color="auto" w:fill="F2F2F2" w:themeFill="background1" w:themeFillShade="F2"/>
          </w:tcPr>
          <w:p w14:paraId="3EE6EEC0" w14:textId="77777777" w:rsidR="00AE7B69" w:rsidRPr="00AE7B69" w:rsidRDefault="00AE7B69" w:rsidP="0069386C">
            <w:pPr>
              <w:jc w:val="center"/>
              <w:rPr>
                <w:szCs w:val="20"/>
              </w:rPr>
            </w:pPr>
          </w:p>
        </w:tc>
        <w:tc>
          <w:tcPr>
            <w:tcW w:w="460" w:type="dxa"/>
            <w:shd w:val="clear" w:color="auto" w:fill="F2F2F2" w:themeFill="background1" w:themeFillShade="F2"/>
          </w:tcPr>
          <w:p w14:paraId="3C621763" w14:textId="77777777" w:rsidR="00AE7B69" w:rsidRPr="00AE7B69" w:rsidRDefault="00AE7B69" w:rsidP="0069386C">
            <w:pPr>
              <w:jc w:val="center"/>
              <w:rPr>
                <w:szCs w:val="20"/>
              </w:rPr>
            </w:pPr>
          </w:p>
        </w:tc>
        <w:tc>
          <w:tcPr>
            <w:tcW w:w="1416" w:type="dxa"/>
            <w:shd w:val="clear" w:color="auto" w:fill="F2F2F2" w:themeFill="background1" w:themeFillShade="F2"/>
          </w:tcPr>
          <w:p w14:paraId="1A28106D" w14:textId="77777777" w:rsidR="00AE7B69" w:rsidRPr="00AE7B69" w:rsidRDefault="00AE7B69" w:rsidP="0069386C">
            <w:pPr>
              <w:jc w:val="center"/>
              <w:rPr>
                <w:szCs w:val="20"/>
              </w:rPr>
            </w:pPr>
          </w:p>
        </w:tc>
        <w:tc>
          <w:tcPr>
            <w:tcW w:w="460" w:type="dxa"/>
            <w:shd w:val="clear" w:color="auto" w:fill="F2F2F2" w:themeFill="background1" w:themeFillShade="F2"/>
          </w:tcPr>
          <w:p w14:paraId="0E0AE8D0" w14:textId="77777777" w:rsidR="00AE7B69" w:rsidRPr="00AE7B69" w:rsidRDefault="00AE7B69" w:rsidP="0069386C">
            <w:pPr>
              <w:jc w:val="center"/>
              <w:rPr>
                <w:szCs w:val="20"/>
              </w:rPr>
            </w:pPr>
          </w:p>
        </w:tc>
        <w:tc>
          <w:tcPr>
            <w:tcW w:w="1481" w:type="dxa"/>
            <w:shd w:val="clear" w:color="auto" w:fill="E4E7E8" w:themeFill="accent4" w:themeFillTint="33"/>
          </w:tcPr>
          <w:p w14:paraId="5392246A" w14:textId="77777777" w:rsidR="00AE7B69" w:rsidRPr="00AE7B69" w:rsidRDefault="00AE7B69" w:rsidP="0069386C">
            <w:pPr>
              <w:jc w:val="center"/>
              <w:rPr>
                <w:szCs w:val="20"/>
              </w:rPr>
            </w:pPr>
          </w:p>
        </w:tc>
        <w:tc>
          <w:tcPr>
            <w:tcW w:w="1335" w:type="dxa"/>
            <w:shd w:val="clear" w:color="auto" w:fill="D0E6F6" w:themeFill="accent6" w:themeFillTint="33"/>
          </w:tcPr>
          <w:p w14:paraId="288BE0D5"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193D1B8E" w14:textId="77777777" w:rsidR="00AE7B69" w:rsidRPr="00AE7B69" w:rsidRDefault="00AE7B69" w:rsidP="0069386C">
            <w:pPr>
              <w:jc w:val="center"/>
              <w:rPr>
                <w:szCs w:val="20"/>
              </w:rPr>
            </w:pPr>
            <w:r w:rsidRPr="00AE7B69">
              <w:rPr>
                <w:szCs w:val="20"/>
              </w:rPr>
              <w:t>29</w:t>
            </w:r>
          </w:p>
        </w:tc>
      </w:tr>
      <w:tr w:rsidR="00AE7B69" w:rsidRPr="00AE7B69" w14:paraId="7D21EDC1" w14:textId="77777777" w:rsidTr="00160A48">
        <w:trPr>
          <w:jc w:val="center"/>
        </w:trPr>
        <w:tc>
          <w:tcPr>
            <w:tcW w:w="460" w:type="dxa"/>
          </w:tcPr>
          <w:p w14:paraId="169DC1F3" w14:textId="77777777" w:rsidR="00AE7B69" w:rsidRPr="00AE7B69" w:rsidRDefault="00AE7B69" w:rsidP="0069386C">
            <w:pPr>
              <w:jc w:val="center"/>
              <w:rPr>
                <w:b/>
                <w:szCs w:val="20"/>
              </w:rPr>
            </w:pPr>
            <w:r w:rsidRPr="00AE7B69">
              <w:rPr>
                <w:b/>
                <w:szCs w:val="20"/>
              </w:rPr>
              <w:t>49</w:t>
            </w:r>
          </w:p>
        </w:tc>
        <w:tc>
          <w:tcPr>
            <w:tcW w:w="1966" w:type="dxa"/>
          </w:tcPr>
          <w:p w14:paraId="3D264B8A" w14:textId="1A4726F0" w:rsidR="00AE7B69" w:rsidRPr="00AE7B69" w:rsidRDefault="00D76199" w:rsidP="00EE2AE6">
            <w:pPr>
              <w:jc w:val="left"/>
              <w:rPr>
                <w:b/>
                <w:szCs w:val="20"/>
              </w:rPr>
            </w:pPr>
            <w:r>
              <w:rPr>
                <w:b/>
                <w:szCs w:val="20"/>
              </w:rPr>
              <w:t>Swiss Confederation</w:t>
            </w:r>
          </w:p>
        </w:tc>
        <w:tc>
          <w:tcPr>
            <w:tcW w:w="1416" w:type="dxa"/>
            <w:shd w:val="clear" w:color="auto" w:fill="D0E6F6" w:themeFill="accent6" w:themeFillTint="33"/>
          </w:tcPr>
          <w:p w14:paraId="012CB2D2"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2AD4D2EB" w14:textId="36AD7BA9" w:rsidR="00AE7B69" w:rsidRPr="00AE7B69" w:rsidRDefault="002B5214" w:rsidP="0069386C">
            <w:pPr>
              <w:jc w:val="center"/>
              <w:rPr>
                <w:szCs w:val="20"/>
              </w:rPr>
            </w:pPr>
            <w:r>
              <w:rPr>
                <w:szCs w:val="20"/>
              </w:rPr>
              <w:t>20</w:t>
            </w:r>
          </w:p>
        </w:tc>
        <w:tc>
          <w:tcPr>
            <w:tcW w:w="1416" w:type="dxa"/>
            <w:shd w:val="clear" w:color="auto" w:fill="D0E6F6" w:themeFill="accent6" w:themeFillTint="33"/>
          </w:tcPr>
          <w:p w14:paraId="41AC56CA"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0B8A6B6D" w14:textId="77777777" w:rsidR="00AE7B69" w:rsidRPr="00AE7B69" w:rsidRDefault="00AE7B69" w:rsidP="0069386C">
            <w:pPr>
              <w:jc w:val="center"/>
              <w:rPr>
                <w:szCs w:val="20"/>
              </w:rPr>
            </w:pPr>
            <w:r w:rsidRPr="00AE7B69">
              <w:rPr>
                <w:szCs w:val="20"/>
              </w:rPr>
              <w:t>12</w:t>
            </w:r>
          </w:p>
        </w:tc>
        <w:tc>
          <w:tcPr>
            <w:tcW w:w="1481" w:type="dxa"/>
            <w:shd w:val="clear" w:color="auto" w:fill="E4E7E8" w:themeFill="accent4" w:themeFillTint="33"/>
          </w:tcPr>
          <w:p w14:paraId="5847DCE8" w14:textId="77777777" w:rsidR="00AE7B69" w:rsidRPr="00AE7B69" w:rsidRDefault="00AE7B69" w:rsidP="0069386C">
            <w:pPr>
              <w:jc w:val="center"/>
              <w:rPr>
                <w:szCs w:val="20"/>
              </w:rPr>
            </w:pPr>
          </w:p>
        </w:tc>
        <w:tc>
          <w:tcPr>
            <w:tcW w:w="1335" w:type="dxa"/>
            <w:shd w:val="clear" w:color="auto" w:fill="F2F2F2" w:themeFill="background1" w:themeFillShade="F2"/>
          </w:tcPr>
          <w:p w14:paraId="57F2A5D8" w14:textId="77777777" w:rsidR="00AE7B69" w:rsidRPr="00AE7B69" w:rsidRDefault="00AE7B69" w:rsidP="0069386C">
            <w:pPr>
              <w:jc w:val="center"/>
              <w:rPr>
                <w:szCs w:val="20"/>
              </w:rPr>
            </w:pPr>
          </w:p>
        </w:tc>
        <w:tc>
          <w:tcPr>
            <w:tcW w:w="645" w:type="dxa"/>
            <w:shd w:val="clear" w:color="auto" w:fill="F2F2F2" w:themeFill="background1" w:themeFillShade="F2"/>
          </w:tcPr>
          <w:p w14:paraId="12D12916" w14:textId="77777777" w:rsidR="00AE7B69" w:rsidRPr="00AE7B69" w:rsidRDefault="00AE7B69" w:rsidP="0069386C">
            <w:pPr>
              <w:jc w:val="center"/>
              <w:rPr>
                <w:szCs w:val="20"/>
              </w:rPr>
            </w:pPr>
          </w:p>
        </w:tc>
      </w:tr>
      <w:tr w:rsidR="00AE7B69" w:rsidRPr="00AE7B69" w14:paraId="69D66A73" w14:textId="77777777" w:rsidTr="00160A48">
        <w:trPr>
          <w:jc w:val="center"/>
        </w:trPr>
        <w:tc>
          <w:tcPr>
            <w:tcW w:w="460" w:type="dxa"/>
          </w:tcPr>
          <w:p w14:paraId="19AB113B" w14:textId="77777777" w:rsidR="00AE7B69" w:rsidRPr="00AE7B69" w:rsidRDefault="00AE7B69" w:rsidP="0069386C">
            <w:pPr>
              <w:jc w:val="center"/>
              <w:rPr>
                <w:b/>
                <w:szCs w:val="20"/>
              </w:rPr>
            </w:pPr>
            <w:r w:rsidRPr="00AE7B69">
              <w:rPr>
                <w:b/>
                <w:szCs w:val="20"/>
              </w:rPr>
              <w:t>50</w:t>
            </w:r>
          </w:p>
        </w:tc>
        <w:tc>
          <w:tcPr>
            <w:tcW w:w="1966" w:type="dxa"/>
          </w:tcPr>
          <w:p w14:paraId="52C0D1AF" w14:textId="1F17D4E2" w:rsidR="00AE7B69" w:rsidRPr="00AE7B69" w:rsidRDefault="00AE7B69" w:rsidP="00EE2AE6">
            <w:pPr>
              <w:jc w:val="left"/>
              <w:rPr>
                <w:b/>
                <w:szCs w:val="20"/>
              </w:rPr>
            </w:pPr>
            <w:r w:rsidRPr="00AE7B69">
              <w:rPr>
                <w:b/>
                <w:szCs w:val="20"/>
              </w:rPr>
              <w:t>Syria</w:t>
            </w:r>
            <w:r w:rsidR="00D76199">
              <w:rPr>
                <w:b/>
                <w:szCs w:val="20"/>
              </w:rPr>
              <w:t>n Arab Republic</w:t>
            </w:r>
          </w:p>
        </w:tc>
        <w:tc>
          <w:tcPr>
            <w:tcW w:w="1416" w:type="dxa"/>
            <w:shd w:val="clear" w:color="auto" w:fill="F2F2F2" w:themeFill="background1" w:themeFillShade="F2"/>
          </w:tcPr>
          <w:p w14:paraId="4A390AD4" w14:textId="77777777" w:rsidR="00AE7B69" w:rsidRPr="00AE7B69" w:rsidRDefault="00AE7B69" w:rsidP="0069386C">
            <w:pPr>
              <w:jc w:val="center"/>
              <w:rPr>
                <w:szCs w:val="20"/>
              </w:rPr>
            </w:pPr>
          </w:p>
        </w:tc>
        <w:tc>
          <w:tcPr>
            <w:tcW w:w="460" w:type="dxa"/>
            <w:shd w:val="clear" w:color="auto" w:fill="F2F2F2" w:themeFill="background1" w:themeFillShade="F2"/>
          </w:tcPr>
          <w:p w14:paraId="09614235" w14:textId="77777777" w:rsidR="00AE7B69" w:rsidRPr="00AE7B69" w:rsidRDefault="00AE7B69" w:rsidP="0069386C">
            <w:pPr>
              <w:jc w:val="center"/>
              <w:rPr>
                <w:szCs w:val="20"/>
              </w:rPr>
            </w:pPr>
          </w:p>
        </w:tc>
        <w:tc>
          <w:tcPr>
            <w:tcW w:w="1416" w:type="dxa"/>
            <w:shd w:val="clear" w:color="auto" w:fill="F2F2F2" w:themeFill="background1" w:themeFillShade="F2"/>
          </w:tcPr>
          <w:p w14:paraId="7335A0E6" w14:textId="77777777" w:rsidR="00AE7B69" w:rsidRPr="00AE7B69" w:rsidRDefault="00AE7B69" w:rsidP="0069386C">
            <w:pPr>
              <w:jc w:val="center"/>
              <w:rPr>
                <w:szCs w:val="20"/>
              </w:rPr>
            </w:pPr>
          </w:p>
        </w:tc>
        <w:tc>
          <w:tcPr>
            <w:tcW w:w="460" w:type="dxa"/>
            <w:shd w:val="clear" w:color="auto" w:fill="F2F2F2" w:themeFill="background1" w:themeFillShade="F2"/>
          </w:tcPr>
          <w:p w14:paraId="6B6A99DA" w14:textId="77777777" w:rsidR="00AE7B69" w:rsidRPr="00AE7B69" w:rsidRDefault="00AE7B69" w:rsidP="0069386C">
            <w:pPr>
              <w:jc w:val="center"/>
              <w:rPr>
                <w:szCs w:val="20"/>
              </w:rPr>
            </w:pPr>
          </w:p>
        </w:tc>
        <w:tc>
          <w:tcPr>
            <w:tcW w:w="1481" w:type="dxa"/>
            <w:shd w:val="clear" w:color="auto" w:fill="E4E7E8" w:themeFill="accent4" w:themeFillTint="33"/>
          </w:tcPr>
          <w:p w14:paraId="739D3B99" w14:textId="77777777" w:rsidR="00AE7B69" w:rsidRPr="00AE7B69" w:rsidRDefault="00AE7B69" w:rsidP="0069386C">
            <w:pPr>
              <w:jc w:val="center"/>
              <w:rPr>
                <w:szCs w:val="20"/>
              </w:rPr>
            </w:pPr>
          </w:p>
        </w:tc>
        <w:tc>
          <w:tcPr>
            <w:tcW w:w="1335" w:type="dxa"/>
            <w:shd w:val="clear" w:color="auto" w:fill="D0E6F6" w:themeFill="accent6" w:themeFillTint="33"/>
          </w:tcPr>
          <w:p w14:paraId="72046313" w14:textId="77777777" w:rsidR="00AE7B69" w:rsidRPr="00AE7B69" w:rsidRDefault="00AE7B69" w:rsidP="0069386C">
            <w:pPr>
              <w:jc w:val="center"/>
              <w:rPr>
                <w:szCs w:val="20"/>
              </w:rPr>
            </w:pPr>
            <w:r w:rsidRPr="00AE7B69">
              <w:rPr>
                <w:szCs w:val="20"/>
              </w:rPr>
              <w:t>Y</w:t>
            </w:r>
          </w:p>
        </w:tc>
        <w:tc>
          <w:tcPr>
            <w:tcW w:w="645" w:type="dxa"/>
            <w:shd w:val="clear" w:color="auto" w:fill="D0E6F6" w:themeFill="accent6" w:themeFillTint="33"/>
          </w:tcPr>
          <w:p w14:paraId="2D59D1E8" w14:textId="77777777" w:rsidR="00AE7B69" w:rsidRPr="00AE7B69" w:rsidRDefault="00AE7B69" w:rsidP="0069386C">
            <w:pPr>
              <w:jc w:val="center"/>
              <w:rPr>
                <w:szCs w:val="20"/>
              </w:rPr>
            </w:pPr>
            <w:r w:rsidRPr="00AE7B69">
              <w:rPr>
                <w:szCs w:val="20"/>
              </w:rPr>
              <w:t>30</w:t>
            </w:r>
          </w:p>
        </w:tc>
      </w:tr>
      <w:tr w:rsidR="00AE7B69" w:rsidRPr="00AE7B69" w14:paraId="78E9BF7B" w14:textId="77777777" w:rsidTr="00160A48">
        <w:trPr>
          <w:jc w:val="center"/>
        </w:trPr>
        <w:tc>
          <w:tcPr>
            <w:tcW w:w="460" w:type="dxa"/>
          </w:tcPr>
          <w:p w14:paraId="61BEAE51" w14:textId="77777777" w:rsidR="00AE7B69" w:rsidRPr="00AE7B69" w:rsidRDefault="00AE7B69" w:rsidP="0069386C">
            <w:pPr>
              <w:jc w:val="center"/>
              <w:rPr>
                <w:b/>
                <w:szCs w:val="20"/>
              </w:rPr>
            </w:pPr>
            <w:r w:rsidRPr="00AE7B69">
              <w:rPr>
                <w:b/>
                <w:szCs w:val="20"/>
              </w:rPr>
              <w:t>51</w:t>
            </w:r>
          </w:p>
        </w:tc>
        <w:tc>
          <w:tcPr>
            <w:tcW w:w="1966" w:type="dxa"/>
          </w:tcPr>
          <w:p w14:paraId="6B3252E2" w14:textId="73EBBE03" w:rsidR="00AE7B69" w:rsidRPr="00AE7B69" w:rsidRDefault="00D76199" w:rsidP="00EE2AE6">
            <w:pPr>
              <w:jc w:val="left"/>
              <w:rPr>
                <w:b/>
                <w:szCs w:val="20"/>
              </w:rPr>
            </w:pPr>
            <w:r>
              <w:rPr>
                <w:b/>
                <w:szCs w:val="20"/>
              </w:rPr>
              <w:t xml:space="preserve">Kingdom of </w:t>
            </w:r>
            <w:r w:rsidR="00AE7B69" w:rsidRPr="00AE7B69">
              <w:rPr>
                <w:b/>
                <w:szCs w:val="20"/>
              </w:rPr>
              <w:t>Tonga</w:t>
            </w:r>
          </w:p>
        </w:tc>
        <w:tc>
          <w:tcPr>
            <w:tcW w:w="1416" w:type="dxa"/>
            <w:shd w:val="clear" w:color="auto" w:fill="D0E6F6" w:themeFill="accent6" w:themeFillTint="33"/>
          </w:tcPr>
          <w:p w14:paraId="04A292CE"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6BE68F1F" w14:textId="386DDE42" w:rsidR="00AE7B69" w:rsidRPr="00AE7B69" w:rsidRDefault="002B5214" w:rsidP="002B5214">
            <w:pPr>
              <w:jc w:val="center"/>
              <w:rPr>
                <w:szCs w:val="20"/>
              </w:rPr>
            </w:pPr>
            <w:r w:rsidRPr="00AE7B69">
              <w:rPr>
                <w:szCs w:val="20"/>
              </w:rPr>
              <w:t>2</w:t>
            </w:r>
            <w:r>
              <w:rPr>
                <w:szCs w:val="20"/>
              </w:rPr>
              <w:t>1</w:t>
            </w:r>
          </w:p>
        </w:tc>
        <w:tc>
          <w:tcPr>
            <w:tcW w:w="1416" w:type="dxa"/>
            <w:shd w:val="clear" w:color="auto" w:fill="D0E6F6" w:themeFill="accent6" w:themeFillTint="33"/>
          </w:tcPr>
          <w:p w14:paraId="070D9180"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2E938B15" w14:textId="77777777" w:rsidR="00AE7B69" w:rsidRPr="00AE7B69" w:rsidRDefault="00AE7B69" w:rsidP="0069386C">
            <w:pPr>
              <w:jc w:val="center"/>
              <w:rPr>
                <w:szCs w:val="20"/>
              </w:rPr>
            </w:pPr>
            <w:r w:rsidRPr="00AE7B69">
              <w:rPr>
                <w:szCs w:val="20"/>
              </w:rPr>
              <w:t>13</w:t>
            </w:r>
          </w:p>
        </w:tc>
        <w:tc>
          <w:tcPr>
            <w:tcW w:w="1481" w:type="dxa"/>
            <w:shd w:val="clear" w:color="auto" w:fill="E4E7E8" w:themeFill="accent4" w:themeFillTint="33"/>
          </w:tcPr>
          <w:p w14:paraId="6D4B6537" w14:textId="77777777" w:rsidR="00AE7B69" w:rsidRPr="00AE7B69" w:rsidRDefault="00AE7B69" w:rsidP="0069386C">
            <w:pPr>
              <w:jc w:val="center"/>
              <w:rPr>
                <w:szCs w:val="20"/>
              </w:rPr>
            </w:pPr>
            <w:r w:rsidRPr="00AE7B69">
              <w:rPr>
                <w:szCs w:val="20"/>
              </w:rPr>
              <w:t>Y</w:t>
            </w:r>
          </w:p>
        </w:tc>
        <w:tc>
          <w:tcPr>
            <w:tcW w:w="1335" w:type="dxa"/>
            <w:shd w:val="clear" w:color="auto" w:fill="F2F2F2" w:themeFill="background1" w:themeFillShade="F2"/>
          </w:tcPr>
          <w:p w14:paraId="0076DEDA" w14:textId="77777777" w:rsidR="00AE7B69" w:rsidRPr="00AE7B69" w:rsidRDefault="00AE7B69" w:rsidP="0069386C">
            <w:pPr>
              <w:jc w:val="center"/>
              <w:rPr>
                <w:szCs w:val="20"/>
              </w:rPr>
            </w:pPr>
          </w:p>
        </w:tc>
        <w:tc>
          <w:tcPr>
            <w:tcW w:w="645" w:type="dxa"/>
            <w:shd w:val="clear" w:color="auto" w:fill="F2F2F2" w:themeFill="background1" w:themeFillShade="F2"/>
          </w:tcPr>
          <w:p w14:paraId="6B500C03" w14:textId="77777777" w:rsidR="00AE7B69" w:rsidRPr="00AE7B69" w:rsidRDefault="00AE7B69" w:rsidP="0069386C">
            <w:pPr>
              <w:jc w:val="center"/>
              <w:rPr>
                <w:szCs w:val="20"/>
              </w:rPr>
            </w:pPr>
          </w:p>
        </w:tc>
      </w:tr>
      <w:tr w:rsidR="00AE7B69" w:rsidRPr="00AE7B69" w14:paraId="7E5ABB0C" w14:textId="77777777" w:rsidTr="00160A48">
        <w:trPr>
          <w:jc w:val="center"/>
        </w:trPr>
        <w:tc>
          <w:tcPr>
            <w:tcW w:w="460" w:type="dxa"/>
          </w:tcPr>
          <w:p w14:paraId="3A63C8BF" w14:textId="77777777" w:rsidR="00AE7B69" w:rsidRPr="00AE7B69" w:rsidRDefault="00AE7B69" w:rsidP="0069386C">
            <w:pPr>
              <w:jc w:val="center"/>
              <w:rPr>
                <w:b/>
                <w:szCs w:val="20"/>
              </w:rPr>
            </w:pPr>
            <w:r w:rsidRPr="00AE7B69">
              <w:rPr>
                <w:b/>
                <w:szCs w:val="20"/>
              </w:rPr>
              <w:t>52</w:t>
            </w:r>
          </w:p>
        </w:tc>
        <w:tc>
          <w:tcPr>
            <w:tcW w:w="1966" w:type="dxa"/>
          </w:tcPr>
          <w:p w14:paraId="211912FE" w14:textId="77777777" w:rsidR="00AE7B69" w:rsidRPr="00AE7B69" w:rsidRDefault="00AE7B69" w:rsidP="00EE2AE6">
            <w:pPr>
              <w:jc w:val="left"/>
              <w:rPr>
                <w:b/>
                <w:szCs w:val="20"/>
              </w:rPr>
            </w:pPr>
            <w:r w:rsidRPr="00AE7B69">
              <w:rPr>
                <w:b/>
                <w:szCs w:val="20"/>
              </w:rPr>
              <w:t>Ukraine</w:t>
            </w:r>
          </w:p>
        </w:tc>
        <w:tc>
          <w:tcPr>
            <w:tcW w:w="1416" w:type="dxa"/>
            <w:shd w:val="clear" w:color="auto" w:fill="D0E6F6" w:themeFill="accent6" w:themeFillTint="33"/>
          </w:tcPr>
          <w:p w14:paraId="59FA5850"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741ADE2F" w14:textId="69F457FA" w:rsidR="00AE7B69" w:rsidRPr="00AE7B69" w:rsidRDefault="002B5214" w:rsidP="002B5214">
            <w:pPr>
              <w:jc w:val="center"/>
              <w:rPr>
                <w:szCs w:val="20"/>
              </w:rPr>
            </w:pPr>
            <w:r w:rsidRPr="00AE7B69">
              <w:rPr>
                <w:szCs w:val="20"/>
              </w:rPr>
              <w:t>2</w:t>
            </w:r>
            <w:r>
              <w:rPr>
                <w:szCs w:val="20"/>
              </w:rPr>
              <w:t>2</w:t>
            </w:r>
          </w:p>
        </w:tc>
        <w:tc>
          <w:tcPr>
            <w:tcW w:w="1416" w:type="dxa"/>
            <w:shd w:val="clear" w:color="auto" w:fill="D0E6F6" w:themeFill="accent6" w:themeFillTint="33"/>
          </w:tcPr>
          <w:p w14:paraId="45CAAB35"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0B16ED18" w14:textId="77777777" w:rsidR="00AE7B69" w:rsidRPr="00AE7B69" w:rsidRDefault="00AE7B69" w:rsidP="0069386C">
            <w:pPr>
              <w:jc w:val="center"/>
              <w:rPr>
                <w:szCs w:val="20"/>
              </w:rPr>
            </w:pPr>
            <w:r w:rsidRPr="00AE7B69">
              <w:rPr>
                <w:szCs w:val="20"/>
              </w:rPr>
              <w:t>14</w:t>
            </w:r>
          </w:p>
        </w:tc>
        <w:tc>
          <w:tcPr>
            <w:tcW w:w="1481" w:type="dxa"/>
            <w:shd w:val="clear" w:color="auto" w:fill="E4E7E8" w:themeFill="accent4" w:themeFillTint="33"/>
          </w:tcPr>
          <w:p w14:paraId="09926739" w14:textId="77777777" w:rsidR="00AE7B69" w:rsidRPr="00AE7B69" w:rsidRDefault="00AE7B69" w:rsidP="0069386C">
            <w:pPr>
              <w:jc w:val="center"/>
              <w:rPr>
                <w:szCs w:val="20"/>
              </w:rPr>
            </w:pPr>
          </w:p>
        </w:tc>
        <w:tc>
          <w:tcPr>
            <w:tcW w:w="1335" w:type="dxa"/>
            <w:shd w:val="clear" w:color="auto" w:fill="F2F2F2" w:themeFill="background1" w:themeFillShade="F2"/>
          </w:tcPr>
          <w:p w14:paraId="508E9D58" w14:textId="77777777" w:rsidR="00AE7B69" w:rsidRPr="00AE7B69" w:rsidRDefault="00AE7B69" w:rsidP="0069386C">
            <w:pPr>
              <w:jc w:val="center"/>
              <w:rPr>
                <w:szCs w:val="20"/>
              </w:rPr>
            </w:pPr>
          </w:p>
        </w:tc>
        <w:tc>
          <w:tcPr>
            <w:tcW w:w="645" w:type="dxa"/>
            <w:shd w:val="clear" w:color="auto" w:fill="F2F2F2" w:themeFill="background1" w:themeFillShade="F2"/>
          </w:tcPr>
          <w:p w14:paraId="0A37162F" w14:textId="77777777" w:rsidR="00AE7B69" w:rsidRPr="00AE7B69" w:rsidRDefault="00AE7B69" w:rsidP="0069386C">
            <w:pPr>
              <w:jc w:val="center"/>
              <w:rPr>
                <w:szCs w:val="20"/>
              </w:rPr>
            </w:pPr>
          </w:p>
        </w:tc>
      </w:tr>
      <w:tr w:rsidR="00AE7B69" w:rsidRPr="00AE7B69" w14:paraId="0E2AAA6B" w14:textId="77777777" w:rsidTr="00160A48">
        <w:trPr>
          <w:jc w:val="center"/>
        </w:trPr>
        <w:tc>
          <w:tcPr>
            <w:tcW w:w="460" w:type="dxa"/>
          </w:tcPr>
          <w:p w14:paraId="79C6C17A" w14:textId="77777777" w:rsidR="00AE7B69" w:rsidRPr="00AE7B69" w:rsidRDefault="00AE7B69" w:rsidP="0069386C">
            <w:pPr>
              <w:jc w:val="center"/>
              <w:rPr>
                <w:b/>
                <w:szCs w:val="20"/>
              </w:rPr>
            </w:pPr>
            <w:r w:rsidRPr="00AE7B69">
              <w:rPr>
                <w:b/>
                <w:szCs w:val="20"/>
              </w:rPr>
              <w:t>53</w:t>
            </w:r>
          </w:p>
        </w:tc>
        <w:tc>
          <w:tcPr>
            <w:tcW w:w="1966" w:type="dxa"/>
          </w:tcPr>
          <w:p w14:paraId="58F96AEB" w14:textId="54533105" w:rsidR="00AE7B69" w:rsidRPr="00AE7B69" w:rsidRDefault="00AE7B69" w:rsidP="00EE2AE6">
            <w:pPr>
              <w:jc w:val="left"/>
              <w:rPr>
                <w:b/>
                <w:szCs w:val="20"/>
              </w:rPr>
            </w:pPr>
            <w:r w:rsidRPr="00AE7B69">
              <w:rPr>
                <w:b/>
                <w:szCs w:val="20"/>
              </w:rPr>
              <w:t>United Kingdom</w:t>
            </w:r>
            <w:r w:rsidR="00D76199">
              <w:rPr>
                <w:b/>
                <w:szCs w:val="20"/>
              </w:rPr>
              <w:t xml:space="preserve"> of Great Britain and Northern Ireland</w:t>
            </w:r>
          </w:p>
        </w:tc>
        <w:tc>
          <w:tcPr>
            <w:tcW w:w="1416" w:type="dxa"/>
          </w:tcPr>
          <w:p w14:paraId="73878E1D" w14:textId="77777777" w:rsidR="00AE7B69" w:rsidRPr="00AE7B69" w:rsidRDefault="00AE7B69" w:rsidP="0069386C">
            <w:pPr>
              <w:jc w:val="center"/>
              <w:rPr>
                <w:szCs w:val="20"/>
              </w:rPr>
            </w:pPr>
            <w:r w:rsidRPr="00AE7B69">
              <w:rPr>
                <w:szCs w:val="20"/>
              </w:rPr>
              <w:t>Denounced</w:t>
            </w:r>
            <w:r w:rsidRPr="00AE7B69">
              <w:rPr>
                <w:rStyle w:val="FootnoteReference"/>
                <w:b/>
                <w:szCs w:val="20"/>
              </w:rPr>
              <w:footnoteReference w:id="38"/>
            </w:r>
          </w:p>
        </w:tc>
        <w:tc>
          <w:tcPr>
            <w:tcW w:w="460" w:type="dxa"/>
          </w:tcPr>
          <w:p w14:paraId="3263D916" w14:textId="77777777" w:rsidR="00AE7B69" w:rsidRPr="00AE7B69" w:rsidRDefault="00AE7B69" w:rsidP="0069386C">
            <w:pPr>
              <w:jc w:val="center"/>
              <w:rPr>
                <w:szCs w:val="20"/>
              </w:rPr>
            </w:pPr>
          </w:p>
        </w:tc>
        <w:tc>
          <w:tcPr>
            <w:tcW w:w="1416" w:type="dxa"/>
          </w:tcPr>
          <w:p w14:paraId="3B8BDFDC" w14:textId="77777777" w:rsidR="00AE7B69" w:rsidRPr="00AE7B69" w:rsidRDefault="00AE7B69" w:rsidP="0069386C">
            <w:pPr>
              <w:jc w:val="center"/>
              <w:rPr>
                <w:szCs w:val="20"/>
              </w:rPr>
            </w:pPr>
            <w:r w:rsidRPr="00AE7B69">
              <w:rPr>
                <w:szCs w:val="20"/>
              </w:rPr>
              <w:t>Denounced</w:t>
            </w:r>
            <w:r w:rsidRPr="00AE7B69">
              <w:rPr>
                <w:rStyle w:val="FootnoteReference"/>
                <w:b/>
                <w:szCs w:val="20"/>
              </w:rPr>
              <w:footnoteReference w:id="39"/>
            </w:r>
          </w:p>
        </w:tc>
        <w:tc>
          <w:tcPr>
            <w:tcW w:w="460" w:type="dxa"/>
            <w:shd w:val="clear" w:color="auto" w:fill="auto"/>
          </w:tcPr>
          <w:p w14:paraId="0017BD9D" w14:textId="77777777" w:rsidR="00AE7B69" w:rsidRPr="00AE7B69" w:rsidRDefault="00AE7B69" w:rsidP="0069386C">
            <w:pPr>
              <w:jc w:val="center"/>
              <w:rPr>
                <w:szCs w:val="20"/>
              </w:rPr>
            </w:pPr>
          </w:p>
        </w:tc>
        <w:tc>
          <w:tcPr>
            <w:tcW w:w="1481" w:type="dxa"/>
            <w:shd w:val="clear" w:color="auto" w:fill="E4E7E8" w:themeFill="accent4" w:themeFillTint="33"/>
          </w:tcPr>
          <w:p w14:paraId="29D1D67A" w14:textId="77777777" w:rsidR="00AE7B69" w:rsidRPr="00AE7B69" w:rsidRDefault="00AE7B69" w:rsidP="0069386C">
            <w:pPr>
              <w:jc w:val="center"/>
              <w:rPr>
                <w:szCs w:val="20"/>
              </w:rPr>
            </w:pPr>
          </w:p>
        </w:tc>
        <w:tc>
          <w:tcPr>
            <w:tcW w:w="1335" w:type="dxa"/>
            <w:shd w:val="clear" w:color="auto" w:fill="D0E6F6" w:themeFill="accent6" w:themeFillTint="33"/>
          </w:tcPr>
          <w:p w14:paraId="721DC0C3" w14:textId="77777777" w:rsidR="00AE7B69" w:rsidRPr="00AE7B69" w:rsidRDefault="00AE7B69" w:rsidP="0069386C">
            <w:pPr>
              <w:jc w:val="center"/>
              <w:rPr>
                <w:szCs w:val="20"/>
              </w:rPr>
            </w:pPr>
            <w:r w:rsidRPr="00AE7B69">
              <w:rPr>
                <w:szCs w:val="20"/>
              </w:rPr>
              <w:t>Y</w:t>
            </w:r>
            <w:r w:rsidRPr="00AE7B69">
              <w:rPr>
                <w:rStyle w:val="FootnoteReference"/>
                <w:szCs w:val="20"/>
              </w:rPr>
              <w:footnoteReference w:id="40"/>
            </w:r>
          </w:p>
        </w:tc>
        <w:tc>
          <w:tcPr>
            <w:tcW w:w="645" w:type="dxa"/>
            <w:shd w:val="clear" w:color="auto" w:fill="D0E6F6" w:themeFill="accent6" w:themeFillTint="33"/>
          </w:tcPr>
          <w:p w14:paraId="7A78FA63" w14:textId="77777777" w:rsidR="00AE7B69" w:rsidRPr="00AE7B69" w:rsidRDefault="00AE7B69" w:rsidP="0069386C">
            <w:pPr>
              <w:jc w:val="center"/>
              <w:rPr>
                <w:szCs w:val="20"/>
              </w:rPr>
            </w:pPr>
            <w:r w:rsidRPr="00AE7B69">
              <w:rPr>
                <w:szCs w:val="20"/>
              </w:rPr>
              <w:t>31</w:t>
            </w:r>
          </w:p>
        </w:tc>
      </w:tr>
      <w:tr w:rsidR="00AE7B69" w:rsidRPr="00AE7B69" w14:paraId="7C310FDF" w14:textId="77777777" w:rsidTr="00160A48">
        <w:trPr>
          <w:jc w:val="center"/>
        </w:trPr>
        <w:tc>
          <w:tcPr>
            <w:tcW w:w="460" w:type="dxa"/>
          </w:tcPr>
          <w:p w14:paraId="15D8877E" w14:textId="77777777" w:rsidR="00AE7B69" w:rsidRPr="00AE7B69" w:rsidRDefault="00AE7B69" w:rsidP="0069386C">
            <w:pPr>
              <w:jc w:val="center"/>
              <w:rPr>
                <w:b/>
                <w:szCs w:val="20"/>
              </w:rPr>
            </w:pPr>
            <w:r w:rsidRPr="00AE7B69">
              <w:rPr>
                <w:b/>
                <w:szCs w:val="20"/>
              </w:rPr>
              <w:t>54</w:t>
            </w:r>
          </w:p>
        </w:tc>
        <w:tc>
          <w:tcPr>
            <w:tcW w:w="1966" w:type="dxa"/>
          </w:tcPr>
          <w:p w14:paraId="2ED29E3A" w14:textId="236E66E8" w:rsidR="00AE7B69" w:rsidRPr="00AE7B69" w:rsidRDefault="00D76199" w:rsidP="00EE2AE6">
            <w:pPr>
              <w:jc w:val="left"/>
              <w:rPr>
                <w:b/>
                <w:szCs w:val="20"/>
              </w:rPr>
            </w:pPr>
            <w:r>
              <w:rPr>
                <w:b/>
                <w:szCs w:val="20"/>
              </w:rPr>
              <w:t xml:space="preserve">Republic of </w:t>
            </w:r>
            <w:r w:rsidR="00AE7B69" w:rsidRPr="00AE7B69">
              <w:rPr>
                <w:b/>
                <w:szCs w:val="20"/>
              </w:rPr>
              <w:t>Vanuatu</w:t>
            </w:r>
          </w:p>
        </w:tc>
        <w:tc>
          <w:tcPr>
            <w:tcW w:w="1416" w:type="dxa"/>
            <w:shd w:val="clear" w:color="auto" w:fill="D0E6F6" w:themeFill="accent6" w:themeFillTint="33"/>
          </w:tcPr>
          <w:p w14:paraId="610CEC69"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47D67413" w14:textId="5DDFEF08" w:rsidR="00AE7B69" w:rsidRPr="00AE7B69" w:rsidRDefault="002B5214" w:rsidP="002B5214">
            <w:pPr>
              <w:jc w:val="center"/>
              <w:rPr>
                <w:szCs w:val="20"/>
              </w:rPr>
            </w:pPr>
            <w:r w:rsidRPr="00AE7B69">
              <w:rPr>
                <w:szCs w:val="20"/>
              </w:rPr>
              <w:t>2</w:t>
            </w:r>
            <w:r>
              <w:rPr>
                <w:szCs w:val="20"/>
              </w:rPr>
              <w:t>3</w:t>
            </w:r>
          </w:p>
        </w:tc>
        <w:tc>
          <w:tcPr>
            <w:tcW w:w="1416" w:type="dxa"/>
            <w:shd w:val="clear" w:color="auto" w:fill="D0E6F6" w:themeFill="accent6" w:themeFillTint="33"/>
          </w:tcPr>
          <w:p w14:paraId="092FE761" w14:textId="77777777" w:rsidR="00AE7B69" w:rsidRPr="00AE7B69" w:rsidRDefault="00AE7B69" w:rsidP="0069386C">
            <w:pPr>
              <w:jc w:val="center"/>
              <w:rPr>
                <w:szCs w:val="20"/>
              </w:rPr>
            </w:pPr>
            <w:r w:rsidRPr="00AE7B69">
              <w:rPr>
                <w:szCs w:val="20"/>
              </w:rPr>
              <w:t>Y</w:t>
            </w:r>
          </w:p>
        </w:tc>
        <w:tc>
          <w:tcPr>
            <w:tcW w:w="460" w:type="dxa"/>
            <w:shd w:val="clear" w:color="auto" w:fill="D0E6F6" w:themeFill="accent6" w:themeFillTint="33"/>
          </w:tcPr>
          <w:p w14:paraId="0DCC2BFD" w14:textId="77777777" w:rsidR="00AE7B69" w:rsidRPr="00AE7B69" w:rsidRDefault="00AE7B69" w:rsidP="0069386C">
            <w:pPr>
              <w:jc w:val="center"/>
              <w:rPr>
                <w:szCs w:val="20"/>
              </w:rPr>
            </w:pPr>
            <w:r w:rsidRPr="00AE7B69">
              <w:rPr>
                <w:szCs w:val="20"/>
              </w:rPr>
              <w:t>15</w:t>
            </w:r>
          </w:p>
        </w:tc>
        <w:tc>
          <w:tcPr>
            <w:tcW w:w="1481" w:type="dxa"/>
            <w:shd w:val="clear" w:color="auto" w:fill="E4E7E8" w:themeFill="accent4" w:themeFillTint="33"/>
          </w:tcPr>
          <w:p w14:paraId="6CC041C7" w14:textId="77777777" w:rsidR="00AE7B69" w:rsidRPr="00AE7B69" w:rsidRDefault="00AE7B69" w:rsidP="0069386C">
            <w:pPr>
              <w:jc w:val="center"/>
              <w:rPr>
                <w:szCs w:val="20"/>
              </w:rPr>
            </w:pPr>
          </w:p>
        </w:tc>
        <w:tc>
          <w:tcPr>
            <w:tcW w:w="1335" w:type="dxa"/>
            <w:shd w:val="clear" w:color="auto" w:fill="F2F2F2" w:themeFill="background1" w:themeFillShade="F2"/>
          </w:tcPr>
          <w:p w14:paraId="26A86A54" w14:textId="77777777" w:rsidR="00AE7B69" w:rsidRPr="00AE7B69" w:rsidRDefault="00AE7B69" w:rsidP="0069386C">
            <w:pPr>
              <w:jc w:val="center"/>
              <w:rPr>
                <w:szCs w:val="20"/>
              </w:rPr>
            </w:pPr>
          </w:p>
        </w:tc>
        <w:tc>
          <w:tcPr>
            <w:tcW w:w="645" w:type="dxa"/>
            <w:shd w:val="clear" w:color="auto" w:fill="F2F2F2" w:themeFill="background1" w:themeFillShade="F2"/>
          </w:tcPr>
          <w:p w14:paraId="2603D5E2" w14:textId="77777777" w:rsidR="00AE7B69" w:rsidRPr="00AE7B69" w:rsidRDefault="00AE7B69" w:rsidP="0069386C">
            <w:pPr>
              <w:jc w:val="center"/>
              <w:rPr>
                <w:szCs w:val="20"/>
              </w:rPr>
            </w:pPr>
          </w:p>
        </w:tc>
      </w:tr>
      <w:tr w:rsidR="00AE7B69" w:rsidRPr="00AE7B69" w14:paraId="0C505E44" w14:textId="77777777" w:rsidTr="00160A48">
        <w:trPr>
          <w:jc w:val="center"/>
        </w:trPr>
        <w:tc>
          <w:tcPr>
            <w:tcW w:w="460" w:type="dxa"/>
            <w:tcBorders>
              <w:bottom w:val="single" w:sz="4" w:space="0" w:color="auto"/>
            </w:tcBorders>
          </w:tcPr>
          <w:p w14:paraId="013AD6E0" w14:textId="77777777" w:rsidR="00AE7B69" w:rsidRPr="00AE7B69" w:rsidRDefault="00AE7B69" w:rsidP="0069386C">
            <w:pPr>
              <w:jc w:val="center"/>
              <w:rPr>
                <w:b/>
                <w:szCs w:val="20"/>
              </w:rPr>
            </w:pPr>
            <w:r w:rsidRPr="00AE7B69">
              <w:rPr>
                <w:b/>
                <w:szCs w:val="20"/>
              </w:rPr>
              <w:t>55</w:t>
            </w:r>
          </w:p>
        </w:tc>
        <w:tc>
          <w:tcPr>
            <w:tcW w:w="1966" w:type="dxa"/>
            <w:tcBorders>
              <w:bottom w:val="single" w:sz="4" w:space="0" w:color="auto"/>
            </w:tcBorders>
          </w:tcPr>
          <w:p w14:paraId="49520267" w14:textId="3C0AD667" w:rsidR="00AE7B69" w:rsidRPr="00AE7B69" w:rsidRDefault="00D76199" w:rsidP="00EE2AE6">
            <w:pPr>
              <w:jc w:val="left"/>
              <w:rPr>
                <w:b/>
                <w:szCs w:val="20"/>
              </w:rPr>
            </w:pPr>
            <w:r>
              <w:rPr>
                <w:b/>
                <w:szCs w:val="20"/>
              </w:rPr>
              <w:t xml:space="preserve">Republic of </w:t>
            </w:r>
            <w:r w:rsidR="00AE7B69" w:rsidRPr="00AE7B69">
              <w:rPr>
                <w:b/>
                <w:szCs w:val="20"/>
              </w:rPr>
              <w:t>Yemen</w:t>
            </w:r>
          </w:p>
        </w:tc>
        <w:tc>
          <w:tcPr>
            <w:tcW w:w="1416" w:type="dxa"/>
            <w:tcBorders>
              <w:bottom w:val="single" w:sz="4" w:space="0" w:color="auto"/>
            </w:tcBorders>
            <w:shd w:val="clear" w:color="auto" w:fill="D0E6F6" w:themeFill="accent6" w:themeFillTint="33"/>
          </w:tcPr>
          <w:p w14:paraId="6A32F7A4" w14:textId="77777777" w:rsidR="00AE7B69" w:rsidRPr="00AE7B69" w:rsidRDefault="00AE7B69" w:rsidP="0069386C">
            <w:pPr>
              <w:jc w:val="center"/>
              <w:rPr>
                <w:szCs w:val="20"/>
              </w:rPr>
            </w:pPr>
            <w:r w:rsidRPr="00AE7B69">
              <w:rPr>
                <w:szCs w:val="20"/>
              </w:rPr>
              <w:t>Y</w:t>
            </w:r>
          </w:p>
        </w:tc>
        <w:tc>
          <w:tcPr>
            <w:tcW w:w="460" w:type="dxa"/>
            <w:tcBorders>
              <w:bottom w:val="single" w:sz="4" w:space="0" w:color="auto"/>
            </w:tcBorders>
            <w:shd w:val="clear" w:color="auto" w:fill="D0E6F6" w:themeFill="accent6" w:themeFillTint="33"/>
          </w:tcPr>
          <w:p w14:paraId="40534C29" w14:textId="72E1DE3E" w:rsidR="00AE7B69" w:rsidRPr="00AE7B69" w:rsidRDefault="002B5214" w:rsidP="002B5214">
            <w:pPr>
              <w:jc w:val="center"/>
              <w:rPr>
                <w:szCs w:val="20"/>
              </w:rPr>
            </w:pPr>
            <w:r w:rsidRPr="00AE7B69">
              <w:rPr>
                <w:szCs w:val="20"/>
              </w:rPr>
              <w:t>2</w:t>
            </w:r>
            <w:r>
              <w:rPr>
                <w:szCs w:val="20"/>
              </w:rPr>
              <w:t>4</w:t>
            </w:r>
          </w:p>
        </w:tc>
        <w:tc>
          <w:tcPr>
            <w:tcW w:w="1416" w:type="dxa"/>
            <w:tcBorders>
              <w:bottom w:val="single" w:sz="4" w:space="0" w:color="auto"/>
            </w:tcBorders>
            <w:shd w:val="clear" w:color="auto" w:fill="D0E6F6" w:themeFill="accent6" w:themeFillTint="33"/>
          </w:tcPr>
          <w:p w14:paraId="569D84DA" w14:textId="77777777" w:rsidR="00AE7B69" w:rsidRPr="00AE7B69" w:rsidRDefault="00AE7B69" w:rsidP="0069386C">
            <w:pPr>
              <w:jc w:val="center"/>
              <w:rPr>
                <w:szCs w:val="20"/>
              </w:rPr>
            </w:pPr>
            <w:r w:rsidRPr="00AE7B69">
              <w:rPr>
                <w:szCs w:val="20"/>
              </w:rPr>
              <w:t>Y</w:t>
            </w:r>
          </w:p>
        </w:tc>
        <w:tc>
          <w:tcPr>
            <w:tcW w:w="460" w:type="dxa"/>
            <w:tcBorders>
              <w:bottom w:val="single" w:sz="4" w:space="0" w:color="auto"/>
            </w:tcBorders>
            <w:shd w:val="clear" w:color="auto" w:fill="D0E6F6" w:themeFill="accent6" w:themeFillTint="33"/>
          </w:tcPr>
          <w:p w14:paraId="73FE95BB" w14:textId="77777777" w:rsidR="00AE7B69" w:rsidRPr="00AE7B69" w:rsidRDefault="00AE7B69" w:rsidP="0069386C">
            <w:pPr>
              <w:jc w:val="center"/>
              <w:rPr>
                <w:szCs w:val="20"/>
              </w:rPr>
            </w:pPr>
            <w:r w:rsidRPr="00AE7B69">
              <w:rPr>
                <w:szCs w:val="20"/>
              </w:rPr>
              <w:t>16</w:t>
            </w:r>
          </w:p>
        </w:tc>
        <w:tc>
          <w:tcPr>
            <w:tcW w:w="1481" w:type="dxa"/>
            <w:tcBorders>
              <w:bottom w:val="single" w:sz="4" w:space="0" w:color="auto"/>
            </w:tcBorders>
            <w:shd w:val="clear" w:color="auto" w:fill="E4E7E8" w:themeFill="accent4" w:themeFillTint="33"/>
          </w:tcPr>
          <w:p w14:paraId="08C30E6A" w14:textId="77777777" w:rsidR="00AE7B69" w:rsidRPr="00AE7B69" w:rsidRDefault="00AE7B69" w:rsidP="0069386C">
            <w:pPr>
              <w:jc w:val="center"/>
              <w:rPr>
                <w:szCs w:val="20"/>
              </w:rPr>
            </w:pPr>
          </w:p>
        </w:tc>
        <w:tc>
          <w:tcPr>
            <w:tcW w:w="1335" w:type="dxa"/>
            <w:tcBorders>
              <w:bottom w:val="single" w:sz="4" w:space="0" w:color="auto"/>
            </w:tcBorders>
            <w:shd w:val="clear" w:color="auto" w:fill="F2F2F2" w:themeFill="background1" w:themeFillShade="F2"/>
          </w:tcPr>
          <w:p w14:paraId="3E0CA624" w14:textId="77777777" w:rsidR="00AE7B69" w:rsidRPr="00AE7B69" w:rsidRDefault="00AE7B69" w:rsidP="0069386C">
            <w:pPr>
              <w:jc w:val="center"/>
              <w:rPr>
                <w:szCs w:val="20"/>
              </w:rPr>
            </w:pPr>
          </w:p>
        </w:tc>
        <w:tc>
          <w:tcPr>
            <w:tcW w:w="645" w:type="dxa"/>
            <w:tcBorders>
              <w:bottom w:val="single" w:sz="4" w:space="0" w:color="auto"/>
            </w:tcBorders>
            <w:shd w:val="clear" w:color="auto" w:fill="F2F2F2" w:themeFill="background1" w:themeFillShade="F2"/>
          </w:tcPr>
          <w:p w14:paraId="064E7E4F" w14:textId="77777777" w:rsidR="00AE7B69" w:rsidRPr="00AE7B69" w:rsidRDefault="00AE7B69" w:rsidP="0069386C">
            <w:pPr>
              <w:jc w:val="center"/>
              <w:rPr>
                <w:szCs w:val="20"/>
              </w:rPr>
            </w:pPr>
          </w:p>
        </w:tc>
      </w:tr>
      <w:tr w:rsidR="00AE7B69" w:rsidRPr="00AE7B69" w14:paraId="1279B3EE" w14:textId="77777777" w:rsidTr="00160A48">
        <w:trPr>
          <w:jc w:val="center"/>
        </w:trPr>
        <w:tc>
          <w:tcPr>
            <w:tcW w:w="460" w:type="dxa"/>
            <w:shd w:val="clear" w:color="auto" w:fill="D4EAF3" w:themeFill="accent1" w:themeFillTint="33"/>
          </w:tcPr>
          <w:p w14:paraId="023D07B6" w14:textId="77777777" w:rsidR="00AE7B69" w:rsidRPr="00AE7B69" w:rsidRDefault="00AE7B69" w:rsidP="0069386C">
            <w:pPr>
              <w:jc w:val="center"/>
              <w:rPr>
                <w:b/>
                <w:szCs w:val="20"/>
              </w:rPr>
            </w:pPr>
          </w:p>
        </w:tc>
        <w:tc>
          <w:tcPr>
            <w:tcW w:w="1966" w:type="dxa"/>
            <w:shd w:val="clear" w:color="auto" w:fill="D4EAF3" w:themeFill="accent1" w:themeFillTint="33"/>
          </w:tcPr>
          <w:p w14:paraId="7A5D7CA6" w14:textId="77777777" w:rsidR="00AE7B69" w:rsidRPr="00AE7B69" w:rsidRDefault="00AE7B69" w:rsidP="0069386C">
            <w:pPr>
              <w:rPr>
                <w:b/>
                <w:szCs w:val="20"/>
              </w:rPr>
            </w:pPr>
          </w:p>
        </w:tc>
        <w:tc>
          <w:tcPr>
            <w:tcW w:w="1416" w:type="dxa"/>
            <w:shd w:val="clear" w:color="auto" w:fill="D4EAF3" w:themeFill="accent1" w:themeFillTint="33"/>
          </w:tcPr>
          <w:p w14:paraId="6F83DA99" w14:textId="77777777" w:rsidR="00AE7B69" w:rsidRPr="00AE7B69" w:rsidRDefault="00AE7B69" w:rsidP="0069386C">
            <w:pPr>
              <w:jc w:val="center"/>
              <w:rPr>
                <w:szCs w:val="20"/>
              </w:rPr>
            </w:pPr>
          </w:p>
        </w:tc>
        <w:tc>
          <w:tcPr>
            <w:tcW w:w="460" w:type="dxa"/>
            <w:shd w:val="clear" w:color="auto" w:fill="D4EAF3" w:themeFill="accent1" w:themeFillTint="33"/>
          </w:tcPr>
          <w:p w14:paraId="30661EE3" w14:textId="77777777" w:rsidR="00AE7B69" w:rsidRPr="00AE7B69" w:rsidRDefault="00AE7B69" w:rsidP="0069386C">
            <w:pPr>
              <w:jc w:val="center"/>
              <w:rPr>
                <w:szCs w:val="20"/>
              </w:rPr>
            </w:pPr>
          </w:p>
        </w:tc>
        <w:tc>
          <w:tcPr>
            <w:tcW w:w="1416" w:type="dxa"/>
            <w:shd w:val="clear" w:color="auto" w:fill="D4EAF3" w:themeFill="accent1" w:themeFillTint="33"/>
          </w:tcPr>
          <w:p w14:paraId="58BBB551" w14:textId="77777777" w:rsidR="00AE7B69" w:rsidRPr="00AE7B69" w:rsidRDefault="00AE7B69" w:rsidP="0069386C">
            <w:pPr>
              <w:jc w:val="center"/>
              <w:rPr>
                <w:szCs w:val="20"/>
              </w:rPr>
            </w:pPr>
          </w:p>
        </w:tc>
        <w:tc>
          <w:tcPr>
            <w:tcW w:w="460" w:type="dxa"/>
            <w:shd w:val="clear" w:color="auto" w:fill="D4EAF3" w:themeFill="accent1" w:themeFillTint="33"/>
          </w:tcPr>
          <w:p w14:paraId="3427CFE0" w14:textId="77777777" w:rsidR="00AE7B69" w:rsidRPr="00AE7B69" w:rsidRDefault="00AE7B69" w:rsidP="0069386C">
            <w:pPr>
              <w:jc w:val="center"/>
              <w:rPr>
                <w:szCs w:val="20"/>
              </w:rPr>
            </w:pPr>
          </w:p>
        </w:tc>
        <w:tc>
          <w:tcPr>
            <w:tcW w:w="1481" w:type="dxa"/>
            <w:shd w:val="clear" w:color="auto" w:fill="D4EAF3" w:themeFill="accent1" w:themeFillTint="33"/>
          </w:tcPr>
          <w:p w14:paraId="765E89FB" w14:textId="77777777" w:rsidR="00AE7B69" w:rsidRPr="00AE7B69" w:rsidRDefault="00AE7B69" w:rsidP="0069386C">
            <w:pPr>
              <w:jc w:val="center"/>
              <w:rPr>
                <w:szCs w:val="20"/>
              </w:rPr>
            </w:pPr>
          </w:p>
        </w:tc>
        <w:tc>
          <w:tcPr>
            <w:tcW w:w="1335" w:type="dxa"/>
            <w:shd w:val="clear" w:color="auto" w:fill="D4EAF3" w:themeFill="accent1" w:themeFillTint="33"/>
          </w:tcPr>
          <w:p w14:paraId="23E05893" w14:textId="77777777" w:rsidR="00AE7B69" w:rsidRPr="00AE7B69" w:rsidRDefault="00AE7B69" w:rsidP="0069386C">
            <w:pPr>
              <w:jc w:val="center"/>
              <w:rPr>
                <w:szCs w:val="20"/>
              </w:rPr>
            </w:pPr>
          </w:p>
        </w:tc>
        <w:tc>
          <w:tcPr>
            <w:tcW w:w="645" w:type="dxa"/>
            <w:shd w:val="clear" w:color="auto" w:fill="D4EAF3" w:themeFill="accent1" w:themeFillTint="33"/>
          </w:tcPr>
          <w:p w14:paraId="70B2B293" w14:textId="77777777" w:rsidR="00AE7B69" w:rsidRPr="00AE7B69" w:rsidRDefault="00AE7B69" w:rsidP="0069386C">
            <w:pPr>
              <w:jc w:val="center"/>
              <w:rPr>
                <w:szCs w:val="20"/>
              </w:rPr>
            </w:pPr>
          </w:p>
        </w:tc>
      </w:tr>
      <w:tr w:rsidR="00AE7B69" w:rsidRPr="00AE7B69" w14:paraId="3C1AA48D" w14:textId="77777777" w:rsidTr="00160A48">
        <w:trPr>
          <w:jc w:val="center"/>
        </w:trPr>
        <w:tc>
          <w:tcPr>
            <w:tcW w:w="460" w:type="dxa"/>
          </w:tcPr>
          <w:p w14:paraId="61F8751F" w14:textId="77777777" w:rsidR="00AE7B69" w:rsidRPr="00AE7B69" w:rsidRDefault="00AE7B69" w:rsidP="0069386C">
            <w:pPr>
              <w:jc w:val="center"/>
              <w:rPr>
                <w:b/>
                <w:szCs w:val="20"/>
              </w:rPr>
            </w:pPr>
          </w:p>
        </w:tc>
        <w:tc>
          <w:tcPr>
            <w:tcW w:w="1966" w:type="dxa"/>
          </w:tcPr>
          <w:p w14:paraId="13B200EE" w14:textId="77777777" w:rsidR="00AE7B69" w:rsidRPr="00AE7B69" w:rsidRDefault="00AE7B69" w:rsidP="0069386C">
            <w:pPr>
              <w:rPr>
                <w:b/>
                <w:szCs w:val="20"/>
              </w:rPr>
            </w:pPr>
            <w:r w:rsidRPr="00AE7B69">
              <w:rPr>
                <w:b/>
                <w:szCs w:val="20"/>
              </w:rPr>
              <w:t>TOTAL</w:t>
            </w:r>
          </w:p>
        </w:tc>
        <w:tc>
          <w:tcPr>
            <w:tcW w:w="1416" w:type="dxa"/>
          </w:tcPr>
          <w:p w14:paraId="2EDA55B2" w14:textId="77777777" w:rsidR="00AE7B69" w:rsidRPr="00AE7B69" w:rsidRDefault="00AE7B69" w:rsidP="0069386C">
            <w:pPr>
              <w:jc w:val="center"/>
              <w:rPr>
                <w:b/>
                <w:szCs w:val="20"/>
              </w:rPr>
            </w:pPr>
          </w:p>
        </w:tc>
        <w:tc>
          <w:tcPr>
            <w:tcW w:w="460" w:type="dxa"/>
          </w:tcPr>
          <w:p w14:paraId="09166017" w14:textId="5E17F6A5" w:rsidR="00AE7B69" w:rsidRPr="00AE7B69" w:rsidRDefault="002B5214" w:rsidP="002B5214">
            <w:pPr>
              <w:jc w:val="center"/>
              <w:rPr>
                <w:b/>
                <w:szCs w:val="20"/>
              </w:rPr>
            </w:pPr>
            <w:r w:rsidRPr="00AE7B69">
              <w:rPr>
                <w:b/>
                <w:szCs w:val="20"/>
              </w:rPr>
              <w:t>2</w:t>
            </w:r>
            <w:r>
              <w:rPr>
                <w:b/>
                <w:szCs w:val="20"/>
              </w:rPr>
              <w:t>4</w:t>
            </w:r>
          </w:p>
        </w:tc>
        <w:tc>
          <w:tcPr>
            <w:tcW w:w="1416" w:type="dxa"/>
          </w:tcPr>
          <w:p w14:paraId="3A70FE57" w14:textId="77777777" w:rsidR="00AE7B69" w:rsidRPr="00AE7B69" w:rsidRDefault="00AE7B69" w:rsidP="0069386C">
            <w:pPr>
              <w:jc w:val="center"/>
              <w:rPr>
                <w:b/>
                <w:szCs w:val="20"/>
              </w:rPr>
            </w:pPr>
          </w:p>
        </w:tc>
        <w:tc>
          <w:tcPr>
            <w:tcW w:w="460" w:type="dxa"/>
            <w:shd w:val="clear" w:color="auto" w:fill="auto"/>
          </w:tcPr>
          <w:p w14:paraId="1BDA1AFC" w14:textId="77777777" w:rsidR="00AE7B69" w:rsidRPr="00AE7B69" w:rsidRDefault="00AE7B69" w:rsidP="0069386C">
            <w:pPr>
              <w:jc w:val="center"/>
              <w:rPr>
                <w:b/>
                <w:szCs w:val="20"/>
              </w:rPr>
            </w:pPr>
            <w:r w:rsidRPr="00AE7B69">
              <w:rPr>
                <w:b/>
                <w:szCs w:val="20"/>
              </w:rPr>
              <w:t>16</w:t>
            </w:r>
          </w:p>
        </w:tc>
        <w:tc>
          <w:tcPr>
            <w:tcW w:w="1481" w:type="dxa"/>
            <w:shd w:val="clear" w:color="auto" w:fill="auto"/>
          </w:tcPr>
          <w:p w14:paraId="194A050C" w14:textId="77777777" w:rsidR="00AE7B69" w:rsidRPr="00AE7B69" w:rsidRDefault="00AE7B69" w:rsidP="0069386C">
            <w:pPr>
              <w:jc w:val="center"/>
              <w:rPr>
                <w:b/>
                <w:szCs w:val="20"/>
              </w:rPr>
            </w:pPr>
          </w:p>
        </w:tc>
        <w:tc>
          <w:tcPr>
            <w:tcW w:w="1335" w:type="dxa"/>
          </w:tcPr>
          <w:p w14:paraId="47B06C7C" w14:textId="77777777" w:rsidR="00AE7B69" w:rsidRPr="00AE7B69" w:rsidRDefault="00AE7B69" w:rsidP="0069386C">
            <w:pPr>
              <w:jc w:val="center"/>
              <w:rPr>
                <w:b/>
                <w:szCs w:val="20"/>
              </w:rPr>
            </w:pPr>
          </w:p>
        </w:tc>
        <w:tc>
          <w:tcPr>
            <w:tcW w:w="645" w:type="dxa"/>
          </w:tcPr>
          <w:p w14:paraId="563EA3B1" w14:textId="77777777" w:rsidR="00AE7B69" w:rsidRPr="00AE7B69" w:rsidRDefault="00AE7B69" w:rsidP="0069386C">
            <w:pPr>
              <w:jc w:val="center"/>
              <w:rPr>
                <w:b/>
                <w:szCs w:val="20"/>
              </w:rPr>
            </w:pPr>
            <w:r w:rsidRPr="00AE7B69">
              <w:rPr>
                <w:b/>
                <w:szCs w:val="20"/>
              </w:rPr>
              <w:t>31</w:t>
            </w:r>
          </w:p>
        </w:tc>
      </w:tr>
    </w:tbl>
    <w:p w14:paraId="31859F06" w14:textId="77777777" w:rsidR="009D6C9D" w:rsidRDefault="009D6C9D" w:rsidP="009D6C9D">
      <w:pPr>
        <w:rPr>
          <w:sz w:val="24"/>
          <w:szCs w:val="24"/>
        </w:rPr>
      </w:pPr>
    </w:p>
    <w:p w14:paraId="75DC9520" w14:textId="77777777" w:rsidR="009D6C9D" w:rsidRPr="00991EEA" w:rsidRDefault="009D6C9D" w:rsidP="009D6C9D">
      <w:pPr>
        <w:rPr>
          <w:sz w:val="24"/>
          <w:szCs w:val="24"/>
        </w:rPr>
      </w:pPr>
    </w:p>
    <w:p w14:paraId="1687B2E3" w14:textId="77777777" w:rsidR="009D6C9D" w:rsidRPr="009D6C9D" w:rsidRDefault="009D6C9D" w:rsidP="009D6C9D"/>
    <w:p w14:paraId="484CDBAF" w14:textId="77777777" w:rsidR="00D273F6" w:rsidRPr="00D273F6" w:rsidRDefault="00D273F6" w:rsidP="00D273F6"/>
    <w:p w14:paraId="47949D9E" w14:textId="77777777" w:rsidR="007B3AE0" w:rsidRDefault="007B3AE0" w:rsidP="007B3AE0"/>
    <w:p w14:paraId="2B6F9675" w14:textId="77777777" w:rsidR="007B3AE0" w:rsidRDefault="007B3AE0" w:rsidP="007B3AE0"/>
    <w:p w14:paraId="744F3F95" w14:textId="77777777" w:rsidR="00D0759D" w:rsidRDefault="00D0759D" w:rsidP="007B3AE0"/>
    <w:p w14:paraId="441C2258" w14:textId="77777777" w:rsidR="00D0759D" w:rsidRDefault="00D0759D" w:rsidP="007B3AE0"/>
    <w:p w14:paraId="6CFFBB30" w14:textId="77777777" w:rsidR="00D0759D" w:rsidRDefault="00D0759D" w:rsidP="007B3AE0"/>
    <w:p w14:paraId="57E7A1E8" w14:textId="77777777" w:rsidR="00D0759D" w:rsidRDefault="00D0759D" w:rsidP="007B3AE0"/>
    <w:p w14:paraId="3524480F" w14:textId="77777777" w:rsidR="00D0759D" w:rsidRDefault="00D0759D" w:rsidP="007B3AE0"/>
    <w:p w14:paraId="68F139EA" w14:textId="77777777" w:rsidR="00D0759D" w:rsidRDefault="00D0759D" w:rsidP="007B3AE0"/>
    <w:p w14:paraId="1DA3844C" w14:textId="77777777" w:rsidR="00D0759D" w:rsidRDefault="00D0759D" w:rsidP="007B3AE0"/>
    <w:p w14:paraId="02334419" w14:textId="77777777" w:rsidR="00D0759D" w:rsidRDefault="00D0759D" w:rsidP="007B3AE0"/>
    <w:p w14:paraId="2E0F298F" w14:textId="77777777" w:rsidR="00D0759D" w:rsidRDefault="00D0759D" w:rsidP="007B3AE0"/>
    <w:p w14:paraId="7E2124EA" w14:textId="77777777" w:rsidR="00D0759D" w:rsidRDefault="00D0759D" w:rsidP="007B3AE0"/>
    <w:p w14:paraId="79C5A92B" w14:textId="77777777" w:rsidR="00D0759D" w:rsidRDefault="00D0759D" w:rsidP="007B3AE0"/>
    <w:p w14:paraId="765ABE90" w14:textId="77777777" w:rsidR="00D0759D" w:rsidRDefault="00D0759D" w:rsidP="007B3AE0"/>
    <w:p w14:paraId="46F9A298" w14:textId="77777777" w:rsidR="00D0759D" w:rsidRDefault="00D0759D" w:rsidP="007B3AE0"/>
    <w:p w14:paraId="23EB725C" w14:textId="03C0C911" w:rsidR="00D0759D" w:rsidRPr="007B3AE0" w:rsidRDefault="00D0759D" w:rsidP="00D0759D">
      <w:pPr>
        <w:pStyle w:val="Heading1"/>
      </w:pPr>
      <w:bookmarkStart w:id="160" w:name="_Toc44659955"/>
      <w:r>
        <w:t>Appendix D: Options Analysis for Consultation</w:t>
      </w:r>
      <w:bookmarkEnd w:id="160"/>
    </w:p>
    <w:sectPr w:rsidR="00D0759D" w:rsidRPr="007B3AE0" w:rsidSect="00C6470A">
      <w:type w:val="continuous"/>
      <w:pgSz w:w="11906" w:h="1683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6CDCD" w14:textId="77777777" w:rsidR="00EC194F" w:rsidRDefault="00EC194F" w:rsidP="00800F17">
      <w:r>
        <w:separator/>
      </w:r>
    </w:p>
  </w:endnote>
  <w:endnote w:type="continuationSeparator" w:id="0">
    <w:p w14:paraId="50E36503" w14:textId="77777777" w:rsidR="00EC194F" w:rsidRDefault="00EC194F" w:rsidP="00800F17">
      <w:r>
        <w:continuationSeparator/>
      </w:r>
    </w:p>
  </w:endnote>
  <w:endnote w:type="continuationNotice" w:id="1">
    <w:p w14:paraId="29458FAB" w14:textId="77777777" w:rsidR="00EC194F" w:rsidRDefault="00EC19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Cond">
    <w:altName w:val="Calibr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19813" w14:textId="3483E4D2" w:rsidR="00EC194F" w:rsidRDefault="00EC194F" w:rsidP="00EB764C">
    <w:pPr>
      <w:pStyle w:val="NoSpacing"/>
      <w:pBdr>
        <w:top w:val="single" w:sz="4" w:space="1" w:color="auto"/>
      </w:pBdr>
      <w:tabs>
        <w:tab w:val="right" w:pos="8931"/>
      </w:tabs>
      <w:spacing w:before="120"/>
      <w:rPr>
        <w:sz w:val="18"/>
      </w:rPr>
    </w:pPr>
    <w:r>
      <w:rPr>
        <w:sz w:val="18"/>
      </w:rPr>
      <w:t xml:space="preserve">Regulation </w:t>
    </w:r>
    <w:r w:rsidRPr="00CF7CAD">
      <w:rPr>
        <w:sz w:val="18"/>
      </w:rPr>
      <w:t xml:space="preserve">Impact Statement: Australia’s Accession </w:t>
    </w:r>
    <w:r>
      <w:rPr>
        <w:sz w:val="18"/>
      </w:rPr>
      <w:t>to</w:t>
    </w:r>
    <w:r w:rsidRPr="00CF7CAD">
      <w:rPr>
        <w:sz w:val="18"/>
      </w:rPr>
      <w:t xml:space="preserve"> the </w:t>
    </w:r>
    <w:r>
      <w:rPr>
        <w:sz w:val="18"/>
      </w:rPr>
      <w:tab/>
    </w:r>
    <w:r w:rsidRPr="008B41C4">
      <w:rPr>
        <w:color w:val="000000" w:themeColor="text1"/>
        <w:sz w:val="18"/>
      </w:rPr>
      <w:t xml:space="preserve">Page </w:t>
    </w:r>
    <w:r w:rsidRPr="008B41C4">
      <w:rPr>
        <w:b/>
        <w:bCs/>
        <w:color w:val="000000" w:themeColor="text1"/>
        <w:sz w:val="18"/>
      </w:rPr>
      <w:fldChar w:fldCharType="begin"/>
    </w:r>
    <w:r w:rsidRPr="008B41C4">
      <w:rPr>
        <w:b/>
        <w:bCs/>
        <w:color w:val="000000" w:themeColor="text1"/>
        <w:sz w:val="18"/>
      </w:rPr>
      <w:instrText xml:space="preserve"> PAGE  \* Arabic  \* MERGEFORMAT </w:instrText>
    </w:r>
    <w:r w:rsidRPr="008B41C4">
      <w:rPr>
        <w:b/>
        <w:bCs/>
        <w:color w:val="000000" w:themeColor="text1"/>
        <w:sz w:val="18"/>
      </w:rPr>
      <w:fldChar w:fldCharType="separate"/>
    </w:r>
    <w:r w:rsidR="007E0114" w:rsidRPr="007E0114">
      <w:rPr>
        <w:b/>
        <w:bCs/>
        <w:noProof/>
        <w:sz w:val="18"/>
      </w:rPr>
      <w:t>11</w:t>
    </w:r>
    <w:r w:rsidRPr="008B41C4">
      <w:rPr>
        <w:b/>
        <w:bCs/>
        <w:color w:val="000000" w:themeColor="text1"/>
        <w:sz w:val="18"/>
      </w:rPr>
      <w:fldChar w:fldCharType="end"/>
    </w:r>
    <w:r w:rsidRPr="008B41C4">
      <w:rPr>
        <w:color w:val="000000" w:themeColor="text1"/>
        <w:sz w:val="18"/>
      </w:rPr>
      <w:t xml:space="preserve"> of </w:t>
    </w:r>
    <w:r w:rsidRPr="008B41C4">
      <w:rPr>
        <w:b/>
        <w:bCs/>
        <w:color w:val="000000" w:themeColor="text1"/>
        <w:sz w:val="18"/>
      </w:rPr>
      <w:fldChar w:fldCharType="begin"/>
    </w:r>
    <w:r w:rsidRPr="008B41C4">
      <w:rPr>
        <w:b/>
        <w:bCs/>
        <w:color w:val="000000" w:themeColor="text1"/>
        <w:sz w:val="18"/>
      </w:rPr>
      <w:instrText xml:space="preserve"> NUMPAGES  \* Arabic  \* MERGEFORMAT </w:instrText>
    </w:r>
    <w:r w:rsidRPr="008B41C4">
      <w:rPr>
        <w:b/>
        <w:bCs/>
        <w:color w:val="000000" w:themeColor="text1"/>
        <w:sz w:val="18"/>
      </w:rPr>
      <w:fldChar w:fldCharType="separate"/>
    </w:r>
    <w:r w:rsidR="007E0114" w:rsidRPr="007E0114">
      <w:rPr>
        <w:b/>
        <w:bCs/>
        <w:noProof/>
        <w:sz w:val="18"/>
      </w:rPr>
      <w:t>66</w:t>
    </w:r>
    <w:r w:rsidRPr="008B41C4">
      <w:rPr>
        <w:b/>
        <w:bCs/>
        <w:color w:val="000000" w:themeColor="text1"/>
        <w:sz w:val="18"/>
      </w:rPr>
      <w:fldChar w:fldCharType="end"/>
    </w:r>
  </w:p>
  <w:p w14:paraId="5C1EC0F1" w14:textId="1699AEBF" w:rsidR="00EC194F" w:rsidRDefault="00EC194F" w:rsidP="005F3DC8">
    <w:pPr>
      <w:pStyle w:val="NoSpacing"/>
      <w:pBdr>
        <w:top w:val="single" w:sz="4" w:space="1" w:color="auto"/>
      </w:pBdr>
      <w:tabs>
        <w:tab w:val="right" w:pos="8931"/>
      </w:tabs>
      <w:rPr>
        <w:sz w:val="18"/>
      </w:rPr>
    </w:pPr>
    <w:r w:rsidRPr="00CF7CAD">
      <w:rPr>
        <w:sz w:val="18"/>
      </w:rPr>
      <w:t>Athens Convention (2002 Protocol)</w:t>
    </w:r>
  </w:p>
  <w:p w14:paraId="632E8759" w14:textId="2589588F" w:rsidR="00EC194F" w:rsidRDefault="00EC194F" w:rsidP="005F3DC8">
    <w:pPr>
      <w:pStyle w:val="NoSpacing"/>
      <w:pBdr>
        <w:top w:val="single" w:sz="4" w:space="1" w:color="auto"/>
      </w:pBdr>
      <w:tabs>
        <w:tab w:val="right" w:pos="8931"/>
      </w:tabs>
      <w:rPr>
        <w:sz w:val="18"/>
      </w:rPr>
    </w:pPr>
    <w:r>
      <w:rPr>
        <w:sz w:val="18"/>
      </w:rPr>
      <w:t xml:space="preserve">July 2020 </w:t>
    </w:r>
    <w:r>
      <w:rPr>
        <w:sz w:val="18"/>
      </w:rPr>
      <w:tab/>
    </w:r>
  </w:p>
  <w:p w14:paraId="23C3DDB5" w14:textId="77777777" w:rsidR="00EC194F" w:rsidRDefault="00EC194F">
    <w:pPr>
      <w:pStyle w:val="NoSpacing"/>
      <w:pBdr>
        <w:top w:val="single" w:sz="4" w:space="1" w:color="auto"/>
      </w:pBdr>
      <w:tabs>
        <w:tab w:val="right" w:pos="765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CE23F" w14:textId="77777777" w:rsidR="00EC194F" w:rsidRDefault="00EC194F" w:rsidP="00800F17">
      <w:bookmarkStart w:id="0" w:name="_Hlk485976009"/>
      <w:bookmarkEnd w:id="0"/>
      <w:r>
        <w:separator/>
      </w:r>
    </w:p>
  </w:footnote>
  <w:footnote w:type="continuationSeparator" w:id="0">
    <w:p w14:paraId="5D6E88CE" w14:textId="77777777" w:rsidR="00EC194F" w:rsidRDefault="00EC194F" w:rsidP="00800F17">
      <w:r>
        <w:continuationSeparator/>
      </w:r>
    </w:p>
  </w:footnote>
  <w:footnote w:type="continuationNotice" w:id="1">
    <w:p w14:paraId="68945B78" w14:textId="77777777" w:rsidR="00EC194F" w:rsidRDefault="00EC194F">
      <w:pPr>
        <w:spacing w:after="0"/>
      </w:pPr>
    </w:p>
  </w:footnote>
  <w:footnote w:id="2">
    <w:p w14:paraId="7800FD5A" w14:textId="77FC39E1" w:rsidR="00EC194F" w:rsidRDefault="00EC194F">
      <w:pPr>
        <w:pStyle w:val="FootnoteText"/>
      </w:pPr>
      <w:r>
        <w:rPr>
          <w:rStyle w:val="FootnoteReference"/>
        </w:rPr>
        <w:footnoteRef/>
      </w:r>
      <w:r>
        <w:t xml:space="preserve"> </w:t>
      </w:r>
      <w:r w:rsidRPr="00B86744">
        <w:t>Cruise Lines International Association Australasia – Cruise Tourism’s Contribution to the Australian Economy 2016-17, p 3.</w:t>
      </w:r>
    </w:p>
  </w:footnote>
  <w:footnote w:id="3">
    <w:p w14:paraId="09E4FC40" w14:textId="71C4E920" w:rsidR="00EC194F" w:rsidRDefault="00EC194F" w:rsidP="006A09A5">
      <w:pPr>
        <w:pStyle w:val="FootnoteText"/>
        <w:jc w:val="left"/>
      </w:pPr>
      <w:r>
        <w:rPr>
          <w:rStyle w:val="FootnoteReference"/>
        </w:rPr>
        <w:footnoteRef/>
      </w:r>
      <w:r>
        <w:t xml:space="preserve"> Carriage of passengers and their luggage by sea (2017) </w:t>
      </w:r>
      <w:r w:rsidRPr="0019520B">
        <w:t>Department of Infrastructure and Regional Development</w:t>
      </w:r>
      <w:r>
        <w:t xml:space="preserve"> </w:t>
      </w:r>
      <w:hyperlink r:id="rId1" w:history="1">
        <w:r w:rsidRPr="003377A9">
          <w:rPr>
            <w:rStyle w:val="Hyperlink"/>
          </w:rPr>
          <w:t>https://www.infrastructure.gov.au/maritime/business/liability/files/athens_convention_discussion_paper.pdf</w:t>
        </w:r>
      </w:hyperlink>
      <w:r>
        <w:t xml:space="preserve"> </w:t>
      </w:r>
    </w:p>
  </w:footnote>
  <w:footnote w:id="4">
    <w:p w14:paraId="74F6917B" w14:textId="3EA57BC1" w:rsidR="00EC194F" w:rsidRDefault="00EC194F" w:rsidP="00647072">
      <w:pPr>
        <w:pStyle w:val="FootnoteText"/>
        <w:jc w:val="left"/>
      </w:pPr>
      <w:r>
        <w:rPr>
          <w:rStyle w:val="FootnoteReference"/>
        </w:rPr>
        <w:footnoteRef/>
      </w:r>
      <w:r w:rsidRPr="00647072">
        <w:t xml:space="preserve">Carriage of passengers and their luggage by sea (2017) Department of Infrastructure and Regional Development </w:t>
      </w:r>
      <w:hyperlink r:id="rId2" w:history="1">
        <w:r w:rsidRPr="00825913">
          <w:rPr>
            <w:rStyle w:val="Hyperlink"/>
          </w:rPr>
          <w:t>https://www.infrastructure.gov.au/maritime/business/liability/files/athens_convention_discussion_paper.pdf</w:t>
        </w:r>
      </w:hyperlink>
      <w:r>
        <w:t xml:space="preserve"> </w:t>
      </w:r>
    </w:p>
  </w:footnote>
  <w:footnote w:id="5">
    <w:p w14:paraId="405C3383" w14:textId="365F121E" w:rsidR="00EC194F" w:rsidRPr="007C457A" w:rsidRDefault="00EC194F">
      <w:pPr>
        <w:pStyle w:val="FootnoteText"/>
        <w:rPr>
          <w:color w:val="auto"/>
        </w:rPr>
      </w:pPr>
      <w:r w:rsidRPr="007C457A">
        <w:rPr>
          <w:rStyle w:val="FootnoteReference"/>
          <w:color w:val="auto"/>
        </w:rPr>
        <w:footnoteRef/>
      </w:r>
      <w:hyperlink r:id="rId3" w:history="1">
        <w:r w:rsidRPr="00825913">
          <w:rPr>
            <w:rStyle w:val="Hyperlink"/>
          </w:rPr>
          <w:t>http://www.mondaq.com/australia/marine-shipping/927820/high-court-appeal-class-action-decision-to-benefit-passengers-of-cruise-ship</w:t>
        </w:r>
      </w:hyperlink>
      <w:r>
        <w:rPr>
          <w:color w:val="auto"/>
        </w:rPr>
        <w:t xml:space="preserve">   </w:t>
      </w:r>
      <w:r w:rsidRPr="007C457A">
        <w:rPr>
          <w:color w:val="auto"/>
        </w:rPr>
        <w:t xml:space="preserve"> </w:t>
      </w:r>
      <w:r>
        <w:rPr>
          <w:color w:val="auto"/>
        </w:rPr>
        <w:t xml:space="preserve"> </w:t>
      </w:r>
    </w:p>
  </w:footnote>
  <w:footnote w:id="6">
    <w:p w14:paraId="71643D23" w14:textId="2BF3F160" w:rsidR="00EC194F" w:rsidRPr="007C457A" w:rsidRDefault="00EC194F" w:rsidP="007C457A">
      <w:pPr>
        <w:spacing w:after="0"/>
        <w:jc w:val="left"/>
        <w:rPr>
          <w:rFonts w:ascii="Calibri" w:eastAsia="Times New Roman" w:hAnsi="Calibri" w:cs="Calibri"/>
          <w:color w:val="auto"/>
          <w:szCs w:val="20"/>
        </w:rPr>
      </w:pPr>
      <w:r w:rsidRPr="007C457A">
        <w:rPr>
          <w:rStyle w:val="FootnoteReference"/>
          <w:color w:val="auto"/>
          <w:szCs w:val="20"/>
        </w:rPr>
        <w:footnoteRef/>
      </w:r>
      <w:r w:rsidRPr="007C457A">
        <w:rPr>
          <w:color w:val="auto"/>
          <w:szCs w:val="20"/>
        </w:rPr>
        <w:t xml:space="preserve"> </w:t>
      </w:r>
      <w:hyperlink r:id="rId4" w:history="1">
        <w:r w:rsidRPr="00825913">
          <w:rPr>
            <w:rStyle w:val="Hyperlink"/>
            <w:rFonts w:ascii="Calibri" w:hAnsi="Calibri" w:cs="Calibri"/>
            <w:szCs w:val="20"/>
          </w:rPr>
          <w:t>https://www.abc.net.au/news/2020-04-27/new-zealand-white-island-volcano-disaster-four-corners/12150706?nw=0</w:t>
        </w:r>
      </w:hyperlink>
      <w:r>
        <w:rPr>
          <w:rFonts w:ascii="Calibri" w:hAnsi="Calibri" w:cs="Calibri"/>
          <w:color w:val="auto"/>
          <w:szCs w:val="20"/>
        </w:rPr>
        <w:t xml:space="preserve">  </w:t>
      </w:r>
    </w:p>
  </w:footnote>
  <w:footnote w:id="7">
    <w:p w14:paraId="07F44DD6" w14:textId="798CC477" w:rsidR="00EC194F" w:rsidRPr="007C457A" w:rsidRDefault="00EC194F" w:rsidP="007C457A">
      <w:pPr>
        <w:spacing w:after="0"/>
        <w:jc w:val="left"/>
        <w:rPr>
          <w:rFonts w:ascii="Calibri" w:eastAsia="Times New Roman" w:hAnsi="Calibri" w:cs="Calibri"/>
          <w:color w:val="auto"/>
          <w:szCs w:val="20"/>
        </w:rPr>
      </w:pPr>
      <w:r w:rsidRPr="007C457A">
        <w:rPr>
          <w:rStyle w:val="FootnoteReference"/>
          <w:color w:val="auto"/>
          <w:szCs w:val="20"/>
        </w:rPr>
        <w:footnoteRef/>
      </w:r>
      <w:r w:rsidRPr="007C457A">
        <w:rPr>
          <w:color w:val="auto"/>
          <w:szCs w:val="20"/>
        </w:rPr>
        <w:t xml:space="preserve"> </w:t>
      </w:r>
      <w:hyperlink r:id="rId5" w:history="1">
        <w:r w:rsidRPr="00825913">
          <w:rPr>
            <w:rStyle w:val="Hyperlink"/>
            <w:rFonts w:ascii="Calibri" w:hAnsi="Calibri" w:cs="Calibri"/>
            <w:szCs w:val="20"/>
          </w:rPr>
          <w:t>https://www.shine.com.au/service/class-actions/ruby-princess-coronavirus-claim</w:t>
        </w:r>
      </w:hyperlink>
      <w:r>
        <w:rPr>
          <w:rFonts w:ascii="Calibri" w:hAnsi="Calibri" w:cs="Calibri"/>
          <w:color w:val="auto"/>
          <w:szCs w:val="20"/>
        </w:rPr>
        <w:t xml:space="preserve"> </w:t>
      </w:r>
    </w:p>
    <w:p w14:paraId="2E498ECC" w14:textId="425ACFE7" w:rsidR="00EC194F" w:rsidRDefault="00EC194F">
      <w:pPr>
        <w:pStyle w:val="FootnoteText"/>
      </w:pPr>
    </w:p>
  </w:footnote>
  <w:footnote w:id="8">
    <w:p w14:paraId="289B268A" w14:textId="042D05E1" w:rsidR="00EC194F" w:rsidRDefault="00EC194F">
      <w:pPr>
        <w:pStyle w:val="FootnoteText"/>
      </w:pPr>
      <w:r>
        <w:rPr>
          <w:rStyle w:val="FootnoteReference"/>
        </w:rPr>
        <w:footnoteRef/>
      </w:r>
      <w:r>
        <w:t xml:space="preserve"> Athens Protocol 2002, Article 3, 5(a) </w:t>
      </w:r>
      <w:r w:rsidRPr="005427F3">
        <w:t>"shipping incident" means shipwreck, capsizing, collision or stranding of the ship, explosion or fire in the ship, or defect in the ship</w:t>
      </w:r>
      <w:r>
        <w:t>.</w:t>
      </w:r>
    </w:p>
  </w:footnote>
  <w:footnote w:id="9">
    <w:p w14:paraId="5791C548" w14:textId="77777777" w:rsidR="00EC194F" w:rsidRDefault="00EC194F" w:rsidP="00C13277">
      <w:pPr>
        <w:pStyle w:val="FootnoteText"/>
        <w:jc w:val="left"/>
      </w:pPr>
      <w:r>
        <w:rPr>
          <w:rStyle w:val="FootnoteReference"/>
        </w:rPr>
        <w:footnoteRef/>
      </w:r>
      <w:r>
        <w:t xml:space="preserve"> International Maritime Organisation – status of conventions </w:t>
      </w:r>
      <w:hyperlink r:id="rId6" w:history="1">
        <w:r w:rsidRPr="00CC49E1">
          <w:rPr>
            <w:rStyle w:val="Hyperlink"/>
            <w:color w:val="auto"/>
          </w:rPr>
          <w:t>http://www.imo.org/en/About/Conventions/StatusOfConventions/Pages/Default.aspx</w:t>
        </w:r>
      </w:hyperlink>
      <w:r w:rsidRPr="00CC49E1">
        <w:rPr>
          <w:color w:val="auto"/>
        </w:rPr>
        <w:t xml:space="preserve"> </w:t>
      </w:r>
    </w:p>
  </w:footnote>
  <w:footnote w:id="10">
    <w:p w14:paraId="501C4998" w14:textId="77777777" w:rsidR="00EC194F" w:rsidRDefault="00EC194F" w:rsidP="00C13277">
      <w:pPr>
        <w:pStyle w:val="FootnoteText"/>
      </w:pPr>
      <w:r>
        <w:rPr>
          <w:rStyle w:val="FootnoteReference"/>
        </w:rPr>
        <w:footnoteRef/>
      </w:r>
      <w:r>
        <w:t xml:space="preserve"> Australian Cruise Association 2018/19 Annual Report</w:t>
      </w:r>
    </w:p>
  </w:footnote>
  <w:footnote w:id="11">
    <w:p w14:paraId="68401BCA" w14:textId="6237124A" w:rsidR="00EC194F" w:rsidRDefault="00EC194F" w:rsidP="00C13277">
      <w:pPr>
        <w:pStyle w:val="FootnoteText"/>
      </w:pPr>
      <w:r>
        <w:rPr>
          <w:rStyle w:val="FootnoteReference"/>
        </w:rPr>
        <w:footnoteRef/>
      </w:r>
      <w:r>
        <w:t xml:space="preserve"> Protection and indemnity claims would include those claims which would fall under the Athens Convention passenger liability limits i.e. for damages relating to passenger injury and luggage. </w:t>
      </w:r>
    </w:p>
  </w:footnote>
  <w:footnote w:id="12">
    <w:p w14:paraId="545A3892" w14:textId="77777777" w:rsidR="00EC194F" w:rsidRDefault="00EC194F" w:rsidP="00CD0C61">
      <w:pPr>
        <w:pStyle w:val="FootnoteText"/>
        <w:jc w:val="left"/>
      </w:pPr>
      <w:r>
        <w:rPr>
          <w:rStyle w:val="FootnoteReference"/>
        </w:rPr>
        <w:footnoteRef/>
      </w:r>
      <w:r>
        <w:t xml:space="preserve"> Civil Aviation Legislation Amendment (1999 Montreal Convention and Other Measures) Bill 2008. Federal register of </w:t>
      </w:r>
      <w:r w:rsidRPr="00CC49E1">
        <w:rPr>
          <w:color w:val="auto"/>
        </w:rPr>
        <w:t xml:space="preserve">Legislation. </w:t>
      </w:r>
      <w:hyperlink r:id="rId7" w:history="1">
        <w:r w:rsidRPr="00CC49E1">
          <w:rPr>
            <w:rStyle w:val="Hyperlink"/>
            <w:color w:val="auto"/>
          </w:rPr>
          <w:t>https://www.legislation.gov.au/Details/C2008B00098/Explanatory%20Memorandum/Text</w:t>
        </w:r>
      </w:hyperlink>
      <w:r w:rsidRPr="00CC49E1">
        <w:rPr>
          <w:color w:val="auto"/>
        </w:rPr>
        <w:t xml:space="preserve"> </w:t>
      </w:r>
    </w:p>
  </w:footnote>
  <w:footnote w:id="13">
    <w:p w14:paraId="6721FCD5" w14:textId="77777777" w:rsidR="00EC194F" w:rsidRDefault="00EC194F" w:rsidP="003E6830">
      <w:pPr>
        <w:pStyle w:val="FootnoteText"/>
      </w:pPr>
      <w:r>
        <w:rPr>
          <w:rStyle w:val="FootnoteReference"/>
        </w:rPr>
        <w:footnoteRef/>
      </w:r>
      <w:r>
        <w:t xml:space="preserve"> Lewins, K. (2018) Cruise Ship Passengers and Australian Law: Known Problems and Some New Answers. </w:t>
      </w:r>
      <w:r w:rsidRPr="00641150">
        <w:t>Australian &amp; New Zealand Maritime Law Journal, 32 (2). pp. 1-16.</w:t>
      </w:r>
    </w:p>
  </w:footnote>
  <w:footnote w:id="14">
    <w:p w14:paraId="1DED6719" w14:textId="77777777" w:rsidR="00EC194F" w:rsidRDefault="00EC194F" w:rsidP="003E6830">
      <w:pPr>
        <w:pStyle w:val="FootnoteText"/>
      </w:pPr>
      <w:r>
        <w:rPr>
          <w:rStyle w:val="FootnoteReference"/>
        </w:rPr>
        <w:footnoteRef/>
      </w:r>
      <w:r>
        <w:t xml:space="preserve"> Scenic Tours Pty Ltd vs Moore (2018) NSWCA 238. </w:t>
      </w:r>
    </w:p>
  </w:footnote>
  <w:footnote w:id="15">
    <w:p w14:paraId="3798FD41" w14:textId="77777777" w:rsidR="00EC194F" w:rsidRDefault="00EC194F" w:rsidP="003E6830">
      <w:pPr>
        <w:pStyle w:val="FootnoteText"/>
      </w:pPr>
      <w:r>
        <w:rPr>
          <w:rStyle w:val="FootnoteReference"/>
        </w:rPr>
        <w:footnoteRef/>
      </w:r>
      <w:r>
        <w:t xml:space="preserve"> Complaints received by NSW Fair Trading in relation to “Cruise” 2015-2020. Data supplied to NineSquared Pty Ltd. for consideration in drafting the Options Analysis for Australia’s Accession to the Athens Convention (2002).  </w:t>
      </w:r>
    </w:p>
  </w:footnote>
  <w:footnote w:id="16">
    <w:p w14:paraId="5AC79D4E" w14:textId="77777777" w:rsidR="00EC194F" w:rsidRDefault="00EC194F" w:rsidP="00537C94">
      <w:pPr>
        <w:pStyle w:val="FootnoteText"/>
        <w:jc w:val="left"/>
      </w:pPr>
      <w:r w:rsidRPr="009827F7">
        <w:rPr>
          <w:rStyle w:val="FootnoteReference"/>
          <w:color w:val="auto"/>
        </w:rPr>
        <w:footnoteRef/>
      </w:r>
      <w:r w:rsidRPr="009827F7">
        <w:rPr>
          <w:color w:val="auto"/>
        </w:rPr>
        <w:t xml:space="preserve"> Civil Aviation Carriers’ Liability discussion paper (July 2018) Department of Infrastructure, Regional Development and Cities. </w:t>
      </w:r>
      <w:hyperlink r:id="rId8" w:history="1">
        <w:r w:rsidRPr="009827F7">
          <w:rPr>
            <w:rStyle w:val="Hyperlink"/>
            <w:color w:val="auto"/>
          </w:rPr>
          <w:t>https://www.infrastructure.gov.au/aviation/international/files/civil_aviation_carriers_liability_discussion_paper.pdf</w:t>
        </w:r>
      </w:hyperlink>
      <w:r w:rsidRPr="009827F7">
        <w:rPr>
          <w:color w:val="auto"/>
        </w:rPr>
        <w:t xml:space="preserve"> </w:t>
      </w:r>
    </w:p>
  </w:footnote>
  <w:footnote w:id="17">
    <w:p w14:paraId="36EAAC5A" w14:textId="77777777" w:rsidR="00EC194F" w:rsidRDefault="00EC194F" w:rsidP="00537C94">
      <w:pPr>
        <w:pStyle w:val="FootnoteText"/>
        <w:jc w:val="left"/>
      </w:pPr>
      <w:r>
        <w:rPr>
          <w:rStyle w:val="FootnoteReference"/>
        </w:rPr>
        <w:footnoteRef/>
      </w:r>
      <w:r>
        <w:t xml:space="preserve"> Australian Cruise Association 2018/19 Annual Report</w:t>
      </w:r>
    </w:p>
  </w:footnote>
  <w:footnote w:id="18">
    <w:p w14:paraId="63E2CB90" w14:textId="77777777" w:rsidR="00EC194F" w:rsidRDefault="00EC194F" w:rsidP="00537C94">
      <w:pPr>
        <w:pStyle w:val="FootnoteText"/>
        <w:jc w:val="left"/>
      </w:pPr>
      <w:r>
        <w:rPr>
          <w:rStyle w:val="FootnoteReference"/>
        </w:rPr>
        <w:footnoteRef/>
      </w:r>
      <w:r>
        <w:t xml:space="preserve"> Professor Nick Gaskell Response to the Athens Convention 2002 Consultation, University of Queensland, School of Law</w:t>
      </w:r>
    </w:p>
  </w:footnote>
  <w:footnote w:id="19">
    <w:p w14:paraId="0EA84F79" w14:textId="77777777" w:rsidR="00EC194F" w:rsidRDefault="00EC194F" w:rsidP="00537C94">
      <w:pPr>
        <w:pStyle w:val="FootnoteText"/>
        <w:jc w:val="left"/>
      </w:pPr>
      <w:r>
        <w:rPr>
          <w:rStyle w:val="FootnoteReference"/>
        </w:rPr>
        <w:footnoteRef/>
      </w:r>
      <w:r>
        <w:t xml:space="preserve"> Professor Kate Lewins Response to the Athens Convention 2002 Consultation, Murdoch University School of Law </w:t>
      </w:r>
    </w:p>
  </w:footnote>
  <w:footnote w:id="20">
    <w:p w14:paraId="44F8DEB5" w14:textId="77777777" w:rsidR="00EC194F" w:rsidRDefault="00EC194F" w:rsidP="00CA5A45">
      <w:pPr>
        <w:pStyle w:val="FootnoteText"/>
        <w:jc w:val="left"/>
      </w:pPr>
      <w:r w:rsidRPr="001E4095">
        <w:rPr>
          <w:rStyle w:val="FootnoteReference"/>
          <w:color w:val="auto"/>
        </w:rPr>
        <w:footnoteRef/>
      </w:r>
      <w:r w:rsidRPr="001E4095">
        <w:rPr>
          <w:color w:val="auto"/>
        </w:rPr>
        <w:t xml:space="preserve"> Port State control report 2018. Australian Maritime Safety Authority. </w:t>
      </w:r>
      <w:hyperlink r:id="rId9" w:history="1">
        <w:r w:rsidRPr="001E4095">
          <w:rPr>
            <w:rStyle w:val="Hyperlink"/>
            <w:color w:val="auto"/>
            <w:u w:val="none"/>
          </w:rPr>
          <w:t>https://www.amsa.gov.au/vessels-operators/port-state-control/port-state-control-report-2018</w:t>
        </w:r>
      </w:hyperlink>
    </w:p>
  </w:footnote>
  <w:footnote w:id="21">
    <w:p w14:paraId="708A2F5A" w14:textId="77777777" w:rsidR="00EC194F" w:rsidRPr="00344C85" w:rsidRDefault="00EC194F" w:rsidP="00B803DF">
      <w:pPr>
        <w:pStyle w:val="FootnoteText"/>
        <w:rPr>
          <w:color w:val="auto"/>
        </w:rPr>
      </w:pPr>
      <w:r w:rsidRPr="00344C85">
        <w:rPr>
          <w:rStyle w:val="FootnoteReference"/>
          <w:color w:val="auto"/>
        </w:rPr>
        <w:footnoteRef/>
      </w:r>
      <w:r w:rsidRPr="00344C85">
        <w:rPr>
          <w:color w:val="auto"/>
        </w:rPr>
        <w:t xml:space="preserve"> </w:t>
      </w:r>
      <w:hyperlink r:id="rId10" w:history="1">
        <w:r w:rsidRPr="00B803DF">
          <w:rPr>
            <w:rStyle w:val="Hyperlink"/>
          </w:rPr>
          <w:t>https://www.pmc.gov.au/sites/default/files/publications/006-Cost-benefit-analysis.pdf</w:t>
        </w:r>
      </w:hyperlink>
      <w:r w:rsidRPr="00344C85">
        <w:rPr>
          <w:color w:val="auto"/>
        </w:rPr>
        <w:t xml:space="preserve"> </w:t>
      </w:r>
    </w:p>
  </w:footnote>
  <w:footnote w:id="22">
    <w:p w14:paraId="00479333" w14:textId="7E03CFA2" w:rsidR="00EC194F" w:rsidRPr="00344C85" w:rsidRDefault="00EC194F" w:rsidP="00A72BB3">
      <w:pPr>
        <w:pStyle w:val="FootnoteText"/>
        <w:rPr>
          <w:color w:val="auto"/>
          <w:lang w:val="en-US"/>
        </w:rPr>
      </w:pPr>
      <w:r w:rsidRPr="00344C85">
        <w:rPr>
          <w:rStyle w:val="FootnoteReference"/>
          <w:color w:val="auto"/>
        </w:rPr>
        <w:footnoteRef/>
      </w:r>
      <w:r w:rsidRPr="00344C85">
        <w:rPr>
          <w:color w:val="auto"/>
        </w:rPr>
        <w:t xml:space="preserve"> </w:t>
      </w:r>
      <w:r>
        <w:rPr>
          <w:rStyle w:val="Hyperlink"/>
        </w:rPr>
        <w:t xml:space="preserve"> </w:t>
      </w:r>
      <w:hyperlink r:id="rId11" w:history="1">
        <w:r w:rsidRPr="00123B2F">
          <w:rPr>
            <w:rStyle w:val="Hyperlink"/>
          </w:rPr>
          <w:t>https://assets.publishing.service.gov.uk/government/uploads/system/uploads/attachment_data/file/2725/ annex-c-regulatory-ia.pdf</w:t>
        </w:r>
      </w:hyperlink>
      <w:r>
        <w:rPr>
          <w:rStyle w:val="Hyperlink"/>
          <w:color w:val="auto"/>
          <w:u w:val="none"/>
        </w:rPr>
        <w:t xml:space="preserve"> </w:t>
      </w:r>
    </w:p>
  </w:footnote>
  <w:footnote w:id="23">
    <w:p w14:paraId="54E6B69C" w14:textId="576320BB" w:rsidR="00EC194F" w:rsidRPr="006E325F" w:rsidRDefault="00EC194F" w:rsidP="00A72BB3">
      <w:pPr>
        <w:pStyle w:val="FootnoteText"/>
        <w:rPr>
          <w:lang w:val="en-US"/>
        </w:rPr>
      </w:pPr>
      <w:r w:rsidRPr="00344C85">
        <w:rPr>
          <w:rStyle w:val="FootnoteReference"/>
          <w:color w:val="auto"/>
        </w:rPr>
        <w:footnoteRef/>
      </w:r>
      <w:r w:rsidRPr="00344C85">
        <w:rPr>
          <w:color w:val="auto"/>
        </w:rPr>
        <w:t xml:space="preserve"> </w:t>
      </w:r>
      <w:hyperlink r:id="rId12" w:history="1">
        <w:r w:rsidRPr="00B803DF">
          <w:rPr>
            <w:rStyle w:val="Hyperlink"/>
          </w:rPr>
          <w:t>http://www.legislation.gov.uk/uksi/2012/3152/pdfs/uksiod_20123152_en.pdf</w:t>
        </w:r>
      </w:hyperlink>
      <w:r>
        <w:rPr>
          <w:rStyle w:val="Hyperlink"/>
          <w:color w:val="auto"/>
          <w:u w:val="none"/>
        </w:rPr>
        <w:t xml:space="preserve"> </w:t>
      </w:r>
    </w:p>
  </w:footnote>
  <w:footnote w:id="24">
    <w:p w14:paraId="671FD64A" w14:textId="77777777" w:rsidR="00EC194F" w:rsidRDefault="00EC194F" w:rsidP="009054A7">
      <w:pPr>
        <w:pStyle w:val="FootnoteText"/>
      </w:pPr>
      <w:bookmarkStart w:id="122" w:name="FN20"/>
      <w:r>
        <w:rPr>
          <w:rStyle w:val="FootnoteReference"/>
        </w:rPr>
        <w:footnoteRef/>
      </w:r>
      <w:bookmarkEnd w:id="122"/>
      <w:r>
        <w:t xml:space="preserve"> This assumes that all large cruise lines carry P&amp;I insurance based on feedback obtained through consultation. We have allowed for a 10% margin to ensure a conservative assessment for the impacts assessment, however we are not aware of any cruise ship without relevant insurance.  </w:t>
      </w:r>
    </w:p>
  </w:footnote>
  <w:footnote w:id="25">
    <w:p w14:paraId="4B6CB6E3" w14:textId="77777777" w:rsidR="00EC194F" w:rsidRPr="000C2DBB" w:rsidRDefault="00EC194F" w:rsidP="009054A7">
      <w:pPr>
        <w:pStyle w:val="FootnoteText"/>
        <w:rPr>
          <w:lang w:val="en-US"/>
        </w:rPr>
      </w:pPr>
      <w:r>
        <w:rPr>
          <w:rStyle w:val="FootnoteReference"/>
        </w:rPr>
        <w:footnoteRef/>
      </w:r>
      <w:r>
        <w:t xml:space="preserve"> </w:t>
      </w:r>
      <w:r>
        <w:rPr>
          <w:lang w:val="en-US"/>
        </w:rPr>
        <w:t xml:space="preserve">Response to survey carried out by NineSquared as part of stakeholder engagement. </w:t>
      </w:r>
    </w:p>
  </w:footnote>
  <w:footnote w:id="26">
    <w:p w14:paraId="24B112C9" w14:textId="77777777" w:rsidR="00EC194F" w:rsidRPr="005135C4" w:rsidRDefault="00EC194F" w:rsidP="009054A7">
      <w:pPr>
        <w:pStyle w:val="FootnoteText"/>
        <w:rPr>
          <w:lang w:val="en-US"/>
        </w:rPr>
      </w:pPr>
      <w:r>
        <w:rPr>
          <w:rStyle w:val="FootnoteReference"/>
        </w:rPr>
        <w:footnoteRef/>
      </w:r>
      <w:r>
        <w:t xml:space="preserve"> </w:t>
      </w:r>
      <w:hyperlink r:id="rId13" w:history="1">
        <w:r>
          <w:rPr>
            <w:rStyle w:val="Hyperlink"/>
          </w:rPr>
          <w:t>https://www.jeremykisner.com/cruise-ship-industry/</w:t>
        </w:r>
      </w:hyperlink>
    </w:p>
  </w:footnote>
  <w:footnote w:id="27">
    <w:p w14:paraId="382A6736" w14:textId="77777777" w:rsidR="00EC194F" w:rsidRPr="00F7231C" w:rsidRDefault="00EC194F" w:rsidP="009054A7">
      <w:pPr>
        <w:pStyle w:val="FootnoteText"/>
        <w:rPr>
          <w:lang w:val="en-US"/>
        </w:rPr>
      </w:pPr>
      <w:r>
        <w:rPr>
          <w:rStyle w:val="FootnoteReference"/>
        </w:rPr>
        <w:footnoteRef/>
      </w:r>
      <w:r>
        <w:t xml:space="preserve"> </w:t>
      </w:r>
      <w:hyperlink r:id="rId14" w:history="1">
        <w:r>
          <w:rPr>
            <w:rStyle w:val="Hyperlink"/>
          </w:rPr>
          <w:t>https://www.marketwatch.com/investing/stock/ccl/profile</w:t>
        </w:r>
      </w:hyperlink>
    </w:p>
  </w:footnote>
  <w:footnote w:id="28">
    <w:p w14:paraId="4DC65350" w14:textId="77777777" w:rsidR="00EC194F" w:rsidRDefault="00EC194F" w:rsidP="009054A7">
      <w:pPr>
        <w:pStyle w:val="FootnoteText"/>
      </w:pPr>
      <w:r>
        <w:rPr>
          <w:rStyle w:val="FootnoteReference"/>
        </w:rPr>
        <w:footnoteRef/>
      </w:r>
      <w:r>
        <w:t xml:space="preserve"> International Group for P&amp;I insurance. </w:t>
      </w:r>
      <w:hyperlink r:id="rId15" w:history="1">
        <w:r w:rsidRPr="000263D2">
          <w:rPr>
            <w:rStyle w:val="Hyperlink"/>
            <w:color w:val="auto"/>
            <w:u w:val="none"/>
          </w:rPr>
          <w:t>https://www.igpandi.org/reinsurance</w:t>
        </w:r>
      </w:hyperlink>
    </w:p>
  </w:footnote>
  <w:footnote w:id="29">
    <w:p w14:paraId="4C7715F4" w14:textId="77777777" w:rsidR="00EC194F" w:rsidRPr="00037229" w:rsidRDefault="00EC194F" w:rsidP="009054A7">
      <w:pPr>
        <w:pStyle w:val="FootnoteText"/>
        <w:rPr>
          <w:lang w:val="en-US"/>
        </w:rPr>
      </w:pPr>
      <w:r>
        <w:rPr>
          <w:rStyle w:val="FootnoteReference"/>
        </w:rPr>
        <w:footnoteRef/>
      </w:r>
      <w:r>
        <w:t xml:space="preserve"> </w:t>
      </w:r>
      <w:hyperlink r:id="rId16" w:history="1">
        <w:r>
          <w:rPr>
            <w:rStyle w:val="Hyperlink"/>
          </w:rPr>
          <w:t>https://cruisemarketwatch.com/market/</w:t>
        </w:r>
      </w:hyperlink>
    </w:p>
  </w:footnote>
  <w:footnote w:id="30">
    <w:p w14:paraId="0F920F14" w14:textId="77777777" w:rsidR="00EC194F" w:rsidRPr="00173672" w:rsidRDefault="00EC194F" w:rsidP="009054A7">
      <w:pPr>
        <w:pStyle w:val="FootnoteText"/>
        <w:rPr>
          <w:lang w:val="en-US"/>
        </w:rPr>
      </w:pPr>
      <w:r>
        <w:rPr>
          <w:rStyle w:val="FootnoteReference"/>
        </w:rPr>
        <w:footnoteRef/>
      </w:r>
      <w:r>
        <w:t xml:space="preserve"> </w:t>
      </w:r>
      <w:hyperlink r:id="rId17" w:history="1">
        <w:r w:rsidRPr="009D14E5">
          <w:rPr>
            <w:rStyle w:val="Hyperlink"/>
            <w:color w:val="000000" w:themeColor="text1"/>
            <w:u w:val="none"/>
          </w:rPr>
          <w:t>https://www.escape.com.au/experiences/cruises/how-much-does-cruising-cost-a-guide-for-every-cruise-budget/news-story/c6911bc1724e8384cd1fac5b581c831e</w:t>
        </w:r>
      </w:hyperlink>
      <w:r>
        <w:t xml:space="preserve"> </w:t>
      </w:r>
    </w:p>
  </w:footnote>
  <w:footnote w:id="31">
    <w:p w14:paraId="71593925" w14:textId="77777777" w:rsidR="00EC194F" w:rsidRDefault="00EC194F" w:rsidP="009054A7">
      <w:pPr>
        <w:pStyle w:val="FootnoteText"/>
        <w:rPr>
          <w:lang w:val="en-US"/>
        </w:rPr>
      </w:pPr>
      <w:r>
        <w:rPr>
          <w:rStyle w:val="FootnoteReference"/>
        </w:rPr>
        <w:footnoteRef/>
      </w:r>
      <w:r>
        <w:t xml:space="preserve"> </w:t>
      </w:r>
      <w:r>
        <w:rPr>
          <w:lang w:val="en-US"/>
        </w:rPr>
        <w:t xml:space="preserve">November 2019 ABS release, </w:t>
      </w:r>
    </w:p>
    <w:p w14:paraId="06F23A34" w14:textId="77777777" w:rsidR="00EC194F" w:rsidRPr="001655E5" w:rsidRDefault="00EC194F" w:rsidP="009054A7">
      <w:pPr>
        <w:pStyle w:val="FootnoteText"/>
        <w:rPr>
          <w:lang w:val="en-US"/>
        </w:rPr>
      </w:pPr>
      <w:hyperlink r:id="rId18" w:history="1">
        <w:r w:rsidRPr="009D14E5">
          <w:rPr>
            <w:rStyle w:val="Hyperlink"/>
            <w:color w:val="000000" w:themeColor="text1"/>
            <w:u w:val="none"/>
            <w:lang w:val="en-US"/>
          </w:rPr>
          <w:t>https://www.abs.gov.au/ausstats/abs@.nsf/lookup/6302.0Media%20Release0Nov%202019</w:t>
        </w:r>
      </w:hyperlink>
      <w:r>
        <w:rPr>
          <w:lang w:val="en-US"/>
        </w:rPr>
        <w:t xml:space="preserve"> </w:t>
      </w:r>
    </w:p>
  </w:footnote>
  <w:footnote w:id="32">
    <w:p w14:paraId="58EBBA96" w14:textId="234D1BE4" w:rsidR="00EC194F" w:rsidRDefault="00EC194F">
      <w:pPr>
        <w:pStyle w:val="FootnoteText"/>
      </w:pPr>
      <w:r>
        <w:rPr>
          <w:rStyle w:val="FootnoteReference"/>
        </w:rPr>
        <w:footnoteRef/>
      </w:r>
      <w:r>
        <w:t xml:space="preserve"> Article 17, 1(c) </w:t>
      </w:r>
      <w:r w:rsidRPr="00575EAE">
        <w:t>“the Court of the State of the domicile or permanent residence of the claimant, if the defendant has a place of business and is subject to jurisdiction in that State”</w:t>
      </w:r>
    </w:p>
  </w:footnote>
  <w:footnote w:id="33">
    <w:p w14:paraId="15AF96D0" w14:textId="77777777" w:rsidR="00EC194F" w:rsidRPr="00F263E1" w:rsidRDefault="00EC194F" w:rsidP="009054A7">
      <w:pPr>
        <w:pStyle w:val="FootnoteText"/>
        <w:rPr>
          <w:lang w:val="en-US"/>
        </w:rPr>
      </w:pPr>
      <w:r>
        <w:rPr>
          <w:rStyle w:val="FootnoteReference"/>
        </w:rPr>
        <w:footnoteRef/>
      </w:r>
      <w:r>
        <w:t xml:space="preserve"> </w:t>
      </w:r>
      <w:r>
        <w:rPr>
          <w:lang w:val="en-US"/>
        </w:rPr>
        <w:t xml:space="preserve">This difference would occur if all passengers were impacted and received an equal share of the cruise ship’s maximum liability under LLMC. </w:t>
      </w:r>
    </w:p>
  </w:footnote>
  <w:footnote w:id="34">
    <w:p w14:paraId="2EBAD97B" w14:textId="520B6D80" w:rsidR="00EC194F" w:rsidRDefault="00EC194F" w:rsidP="00C744BE">
      <w:pPr>
        <w:pStyle w:val="FootnoteText"/>
      </w:pPr>
      <w:r>
        <w:rPr>
          <w:rStyle w:val="FootnoteReference"/>
        </w:rPr>
        <w:footnoteRef/>
      </w:r>
      <w:r>
        <w:t xml:space="preserve"> Lewins, K. (2018) Cruise Ship Passengers and Australian Law: Known Problems and Some New Answers. </w:t>
      </w:r>
      <w:r w:rsidRPr="00641150">
        <w:t>Australian &amp; New Zealand Maritime Law Journal, 32 (2). pp. 1-16.</w:t>
      </w:r>
    </w:p>
  </w:footnote>
  <w:footnote w:id="35">
    <w:p w14:paraId="65279A99" w14:textId="77777777" w:rsidR="00EC194F" w:rsidRPr="00A20A6C" w:rsidRDefault="00EC194F" w:rsidP="00AE7B69">
      <w:pPr>
        <w:pStyle w:val="FootnoteText"/>
        <w:rPr>
          <w:lang w:val="en-US"/>
        </w:rPr>
      </w:pPr>
      <w:r>
        <w:rPr>
          <w:rStyle w:val="FootnoteReference"/>
        </w:rPr>
        <w:footnoteRef/>
      </w:r>
      <w:r>
        <w:t xml:space="preserve"> </w:t>
      </w:r>
      <w:r w:rsidRPr="00A20A6C">
        <w:rPr>
          <w:sz w:val="16"/>
          <w:szCs w:val="16"/>
          <w:lang w:val="en-US"/>
        </w:rPr>
        <w:t>Extended to Hong Kong and to Macao</w:t>
      </w:r>
    </w:p>
  </w:footnote>
  <w:footnote w:id="36">
    <w:p w14:paraId="3B62D692" w14:textId="77777777" w:rsidR="00EC194F" w:rsidRPr="00A20A6C" w:rsidRDefault="00EC194F" w:rsidP="00AE7B69">
      <w:pPr>
        <w:pStyle w:val="FootnoteText"/>
        <w:rPr>
          <w:lang w:val="en-US"/>
        </w:rPr>
      </w:pPr>
      <w:r>
        <w:rPr>
          <w:rStyle w:val="FootnoteReference"/>
        </w:rPr>
        <w:footnoteRef/>
      </w:r>
      <w:r>
        <w:t xml:space="preserve"> </w:t>
      </w:r>
      <w:r w:rsidRPr="00A20A6C">
        <w:rPr>
          <w:sz w:val="16"/>
          <w:szCs w:val="16"/>
          <w:lang w:val="en-US"/>
        </w:rPr>
        <w:t>Extended to Hong Kong and to Macao</w:t>
      </w:r>
    </w:p>
  </w:footnote>
  <w:footnote w:id="37">
    <w:p w14:paraId="6B760752" w14:textId="5A0CA43C" w:rsidR="00EC194F" w:rsidRDefault="00EC194F">
      <w:pPr>
        <w:pStyle w:val="FootnoteText"/>
      </w:pPr>
      <w:r>
        <w:rPr>
          <w:rStyle w:val="FootnoteReference"/>
        </w:rPr>
        <w:footnoteRef/>
      </w:r>
      <w:r>
        <w:t xml:space="preserve"> It is unclear as to the status of Saint Kitts and Nevis in relation to the 1974 Athens Convention </w:t>
      </w:r>
    </w:p>
  </w:footnote>
  <w:footnote w:id="38">
    <w:p w14:paraId="59CE6399" w14:textId="77777777" w:rsidR="00EC194F" w:rsidRPr="00647072" w:rsidRDefault="00EC194F" w:rsidP="00AE7B69">
      <w:pPr>
        <w:pStyle w:val="FootnoteText"/>
        <w:rPr>
          <w:lang w:val="en-US"/>
        </w:rPr>
      </w:pPr>
      <w:r w:rsidRPr="00647072">
        <w:rPr>
          <w:rStyle w:val="FootnoteReference"/>
        </w:rPr>
        <w:footnoteRef/>
      </w:r>
      <w:r w:rsidRPr="00647072">
        <w:t xml:space="preserve"> </w:t>
      </w:r>
      <w:r w:rsidRPr="00647072">
        <w:rPr>
          <w:lang w:val="en-US"/>
        </w:rPr>
        <w:t>Extended to Bermuda, Virgin Islands, Cayman Islands, Falk Islands, Gibraltar (denounced), Isle of Man, Jersey, Montserrat, Pitcairn, &amp; St Helena</w:t>
      </w:r>
    </w:p>
  </w:footnote>
  <w:footnote w:id="39">
    <w:p w14:paraId="5DCFC623" w14:textId="77777777" w:rsidR="00EC194F" w:rsidRPr="00647072" w:rsidRDefault="00EC194F" w:rsidP="00AE7B69">
      <w:pPr>
        <w:pStyle w:val="FootnoteText"/>
        <w:rPr>
          <w:lang w:val="en-US"/>
        </w:rPr>
      </w:pPr>
      <w:r w:rsidRPr="00647072">
        <w:rPr>
          <w:rStyle w:val="FootnoteReference"/>
        </w:rPr>
        <w:footnoteRef/>
      </w:r>
      <w:r w:rsidRPr="00647072">
        <w:t xml:space="preserve"> </w:t>
      </w:r>
      <w:r w:rsidRPr="00647072">
        <w:rPr>
          <w:lang w:val="en-US"/>
        </w:rPr>
        <w:t>Extended to Bermuda, Virgin Islands, Cayman Islands, Falk Islands, Gibraltar (denounced), Isle of Man, Jersey, Montserrat, Pitcairn, &amp; St Helena</w:t>
      </w:r>
    </w:p>
  </w:footnote>
  <w:footnote w:id="40">
    <w:p w14:paraId="06F11997" w14:textId="77777777" w:rsidR="00EC194F" w:rsidRPr="006F444D" w:rsidRDefault="00EC194F" w:rsidP="00AE7B69">
      <w:pPr>
        <w:pStyle w:val="FootnoteText"/>
        <w:rPr>
          <w:lang w:val="en-US"/>
        </w:rPr>
      </w:pPr>
      <w:r w:rsidRPr="00647072">
        <w:rPr>
          <w:rStyle w:val="FootnoteReference"/>
        </w:rPr>
        <w:footnoteRef/>
      </w:r>
      <w:r w:rsidRPr="00647072">
        <w:t xml:space="preserve"> </w:t>
      </w:r>
      <w:r w:rsidRPr="00647072">
        <w:rPr>
          <w:lang w:val="en-US"/>
        </w:rPr>
        <w:t>Extended to Gibraltar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ABFAB" w14:textId="77777777" w:rsidR="00EC194F" w:rsidRDefault="00EC194F" w:rsidP="00800F17">
    <w:pPr>
      <w:pStyle w:val="Header"/>
    </w:pPr>
  </w:p>
  <w:p w14:paraId="1FB7F8D6" w14:textId="77777777" w:rsidR="00EC194F" w:rsidRDefault="00EC194F" w:rsidP="00800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554"/>
    <w:multiLevelType w:val="hybridMultilevel"/>
    <w:tmpl w:val="DEA2917C"/>
    <w:lvl w:ilvl="0" w:tplc="00843C2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28675C8"/>
    <w:multiLevelType w:val="hybridMultilevel"/>
    <w:tmpl w:val="D78A8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747060"/>
    <w:multiLevelType w:val="hybridMultilevel"/>
    <w:tmpl w:val="D152E034"/>
    <w:lvl w:ilvl="0" w:tplc="44DADE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1C4A58"/>
    <w:multiLevelType w:val="hybridMultilevel"/>
    <w:tmpl w:val="37B813E8"/>
    <w:lvl w:ilvl="0" w:tplc="6C60294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55A648F"/>
    <w:multiLevelType w:val="hybridMultilevel"/>
    <w:tmpl w:val="036A60F6"/>
    <w:lvl w:ilvl="0" w:tplc="6944E392">
      <w:numFmt w:val="bullet"/>
      <w:lvlText w:val="-"/>
      <w:lvlJc w:val="left"/>
      <w:pPr>
        <w:ind w:left="1800" w:hanging="360"/>
      </w:pPr>
      <w:rPr>
        <w:rFonts w:ascii="Calibri" w:eastAsia="Calibri"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1C2569CF"/>
    <w:multiLevelType w:val="hybridMultilevel"/>
    <w:tmpl w:val="7B561F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97451A"/>
    <w:multiLevelType w:val="hybridMultilevel"/>
    <w:tmpl w:val="5B7E7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E52B54"/>
    <w:multiLevelType w:val="hybridMultilevel"/>
    <w:tmpl w:val="98349AB6"/>
    <w:lvl w:ilvl="0" w:tplc="C3C4C51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AFD359A"/>
    <w:multiLevelType w:val="hybridMultilevel"/>
    <w:tmpl w:val="63763D5E"/>
    <w:lvl w:ilvl="0" w:tplc="0C208C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BE73C08"/>
    <w:multiLevelType w:val="hybridMultilevel"/>
    <w:tmpl w:val="44888CA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C335A6"/>
    <w:multiLevelType w:val="multilevel"/>
    <w:tmpl w:val="56C2AB9E"/>
    <w:name w:val="Report Template List"/>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E5A458D"/>
    <w:multiLevelType w:val="hybridMultilevel"/>
    <w:tmpl w:val="C9DC7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52704B"/>
    <w:multiLevelType w:val="hybridMultilevel"/>
    <w:tmpl w:val="C302C542"/>
    <w:lvl w:ilvl="0" w:tplc="A81010F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11E4FCE"/>
    <w:multiLevelType w:val="hybridMultilevel"/>
    <w:tmpl w:val="B7C8EF5C"/>
    <w:lvl w:ilvl="0" w:tplc="24A29FF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1965D6D"/>
    <w:multiLevelType w:val="hybridMultilevel"/>
    <w:tmpl w:val="D9FE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FC134E"/>
    <w:multiLevelType w:val="hybridMultilevel"/>
    <w:tmpl w:val="815E5124"/>
    <w:lvl w:ilvl="0" w:tplc="3140F47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7D74CED"/>
    <w:multiLevelType w:val="hybridMultilevel"/>
    <w:tmpl w:val="CBE25732"/>
    <w:lvl w:ilvl="0" w:tplc="13CE184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F54E58"/>
    <w:multiLevelType w:val="hybridMultilevel"/>
    <w:tmpl w:val="4294A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D65C44"/>
    <w:multiLevelType w:val="hybridMultilevel"/>
    <w:tmpl w:val="6A34D1AC"/>
    <w:lvl w:ilvl="0" w:tplc="E588591E">
      <w:numFmt w:val="bullet"/>
      <w:lvlText w:val="-"/>
      <w:lvlJc w:val="left"/>
      <w:pPr>
        <w:ind w:left="410" w:hanging="360"/>
      </w:pPr>
      <w:rPr>
        <w:rFonts w:ascii="Calibri" w:eastAsia="Calibri" w:hAnsi="Calibri" w:cs="Calibri" w:hint="default"/>
        <w:i/>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cs="Wingdings" w:hint="default"/>
      </w:rPr>
    </w:lvl>
    <w:lvl w:ilvl="3" w:tplc="0C090001" w:tentative="1">
      <w:start w:val="1"/>
      <w:numFmt w:val="bullet"/>
      <w:lvlText w:val=""/>
      <w:lvlJc w:val="left"/>
      <w:pPr>
        <w:ind w:left="2570" w:hanging="360"/>
      </w:pPr>
      <w:rPr>
        <w:rFonts w:ascii="Symbol" w:hAnsi="Symbol" w:cs="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cs="Wingdings" w:hint="default"/>
      </w:rPr>
    </w:lvl>
    <w:lvl w:ilvl="6" w:tplc="0C090001" w:tentative="1">
      <w:start w:val="1"/>
      <w:numFmt w:val="bullet"/>
      <w:lvlText w:val=""/>
      <w:lvlJc w:val="left"/>
      <w:pPr>
        <w:ind w:left="4730" w:hanging="360"/>
      </w:pPr>
      <w:rPr>
        <w:rFonts w:ascii="Symbol" w:hAnsi="Symbol" w:cs="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cs="Wingdings" w:hint="default"/>
      </w:rPr>
    </w:lvl>
  </w:abstractNum>
  <w:abstractNum w:abstractNumId="19" w15:restartNumberingAfterBreak="0">
    <w:nsid w:val="58D41542"/>
    <w:multiLevelType w:val="hybridMultilevel"/>
    <w:tmpl w:val="DD3A93FE"/>
    <w:lvl w:ilvl="0" w:tplc="DABE5748">
      <w:start w:val="1029"/>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92114EC"/>
    <w:multiLevelType w:val="hybridMultilevel"/>
    <w:tmpl w:val="00AE9028"/>
    <w:lvl w:ilvl="0" w:tplc="D98C7932">
      <w:start w:val="1"/>
      <w:numFmt w:val="upperLetter"/>
      <w:pStyle w:val="Appendix"/>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E7235B"/>
    <w:multiLevelType w:val="hybridMultilevel"/>
    <w:tmpl w:val="04766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6C6570"/>
    <w:multiLevelType w:val="hybridMultilevel"/>
    <w:tmpl w:val="785CC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6B2D64"/>
    <w:multiLevelType w:val="hybridMultilevel"/>
    <w:tmpl w:val="A5901C7E"/>
    <w:lvl w:ilvl="0" w:tplc="13CE184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760D5C"/>
    <w:multiLevelType w:val="hybridMultilevel"/>
    <w:tmpl w:val="6DF4C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90419A"/>
    <w:multiLevelType w:val="hybridMultilevel"/>
    <w:tmpl w:val="ADFAE0AC"/>
    <w:lvl w:ilvl="0" w:tplc="13CE184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B37366"/>
    <w:multiLevelType w:val="hybridMultilevel"/>
    <w:tmpl w:val="D94CE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116ABB"/>
    <w:multiLevelType w:val="hybridMultilevel"/>
    <w:tmpl w:val="B756DA1A"/>
    <w:lvl w:ilvl="0" w:tplc="3280BEF0">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A85AAB"/>
    <w:multiLevelType w:val="hybridMultilevel"/>
    <w:tmpl w:val="375C5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6"/>
  </w:num>
  <w:num w:numId="4">
    <w:abstractNumId w:val="25"/>
  </w:num>
  <w:num w:numId="5">
    <w:abstractNumId w:val="27"/>
  </w:num>
  <w:num w:numId="6">
    <w:abstractNumId w:val="19"/>
  </w:num>
  <w:num w:numId="7">
    <w:abstractNumId w:val="17"/>
  </w:num>
  <w:num w:numId="8">
    <w:abstractNumId w:val="4"/>
  </w:num>
  <w:num w:numId="9">
    <w:abstractNumId w:val="26"/>
  </w:num>
  <w:num w:numId="10">
    <w:abstractNumId w:val="23"/>
  </w:num>
  <w:num w:numId="11">
    <w:abstractNumId w:val="16"/>
  </w:num>
  <w:num w:numId="12">
    <w:abstractNumId w:val="8"/>
  </w:num>
  <w:num w:numId="13">
    <w:abstractNumId w:val="14"/>
  </w:num>
  <w:num w:numId="14">
    <w:abstractNumId w:val="28"/>
  </w:num>
  <w:num w:numId="15">
    <w:abstractNumId w:val="11"/>
  </w:num>
  <w:num w:numId="16">
    <w:abstractNumId w:val="5"/>
  </w:num>
  <w:num w:numId="17">
    <w:abstractNumId w:val="24"/>
  </w:num>
  <w:num w:numId="18">
    <w:abstractNumId w:val="22"/>
  </w:num>
  <w:num w:numId="19">
    <w:abstractNumId w:val="1"/>
  </w:num>
  <w:num w:numId="20">
    <w:abstractNumId w:val="9"/>
  </w:num>
  <w:num w:numId="21">
    <w:abstractNumId w:val="18"/>
  </w:num>
  <w:num w:numId="22">
    <w:abstractNumId w:val="3"/>
  </w:num>
  <w:num w:numId="23">
    <w:abstractNumId w:val="0"/>
  </w:num>
  <w:num w:numId="24">
    <w:abstractNumId w:val="7"/>
  </w:num>
  <w:num w:numId="25">
    <w:abstractNumId w:val="15"/>
  </w:num>
  <w:num w:numId="26">
    <w:abstractNumId w:val="12"/>
  </w:num>
  <w:num w:numId="27">
    <w:abstractNumId w:val="13"/>
  </w:num>
  <w:num w:numId="28">
    <w:abstractNumId w:val="2"/>
  </w:num>
  <w:num w:numId="29">
    <w:abstractNumId w:val="10"/>
  </w:num>
  <w:num w:numId="30">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0N7MwMDEwNjCzMDZX0lEKTi0uzszPAykwqgUANKzZzywAAAA="/>
  </w:docVars>
  <w:rsids>
    <w:rsidRoot w:val="00222F9B"/>
    <w:rsid w:val="0000044F"/>
    <w:rsid w:val="000015F4"/>
    <w:rsid w:val="00002F4C"/>
    <w:rsid w:val="00003643"/>
    <w:rsid w:val="000036A9"/>
    <w:rsid w:val="00003F9C"/>
    <w:rsid w:val="000056D5"/>
    <w:rsid w:val="0000570B"/>
    <w:rsid w:val="000058DD"/>
    <w:rsid w:val="00006CCC"/>
    <w:rsid w:val="00006F36"/>
    <w:rsid w:val="0000733A"/>
    <w:rsid w:val="00007836"/>
    <w:rsid w:val="000078AA"/>
    <w:rsid w:val="00011CE4"/>
    <w:rsid w:val="000139FF"/>
    <w:rsid w:val="00015D02"/>
    <w:rsid w:val="00015D2A"/>
    <w:rsid w:val="00016322"/>
    <w:rsid w:val="0001645D"/>
    <w:rsid w:val="0001653F"/>
    <w:rsid w:val="00020018"/>
    <w:rsid w:val="00020444"/>
    <w:rsid w:val="00021468"/>
    <w:rsid w:val="000219FB"/>
    <w:rsid w:val="00023A42"/>
    <w:rsid w:val="00024A25"/>
    <w:rsid w:val="00025CFD"/>
    <w:rsid w:val="000266F2"/>
    <w:rsid w:val="000268D7"/>
    <w:rsid w:val="00026927"/>
    <w:rsid w:val="00026F2F"/>
    <w:rsid w:val="00027286"/>
    <w:rsid w:val="00027F78"/>
    <w:rsid w:val="0003050F"/>
    <w:rsid w:val="00030FE4"/>
    <w:rsid w:val="000321FC"/>
    <w:rsid w:val="00032E51"/>
    <w:rsid w:val="00033B3C"/>
    <w:rsid w:val="0003541B"/>
    <w:rsid w:val="000355C3"/>
    <w:rsid w:val="000357A5"/>
    <w:rsid w:val="00036307"/>
    <w:rsid w:val="0003641B"/>
    <w:rsid w:val="0004038B"/>
    <w:rsid w:val="00042F3E"/>
    <w:rsid w:val="00043642"/>
    <w:rsid w:val="00044B89"/>
    <w:rsid w:val="00045ADE"/>
    <w:rsid w:val="0004600F"/>
    <w:rsid w:val="00046E69"/>
    <w:rsid w:val="000473E1"/>
    <w:rsid w:val="00047CDF"/>
    <w:rsid w:val="000515BD"/>
    <w:rsid w:val="00051C4B"/>
    <w:rsid w:val="000530AC"/>
    <w:rsid w:val="00054071"/>
    <w:rsid w:val="000544A0"/>
    <w:rsid w:val="00054504"/>
    <w:rsid w:val="00055313"/>
    <w:rsid w:val="0005541D"/>
    <w:rsid w:val="00055575"/>
    <w:rsid w:val="000558A0"/>
    <w:rsid w:val="000578AC"/>
    <w:rsid w:val="00060386"/>
    <w:rsid w:val="00060EA6"/>
    <w:rsid w:val="00061BFE"/>
    <w:rsid w:val="00061ED8"/>
    <w:rsid w:val="00062388"/>
    <w:rsid w:val="00062D13"/>
    <w:rsid w:val="00063446"/>
    <w:rsid w:val="00064D4A"/>
    <w:rsid w:val="000656B0"/>
    <w:rsid w:val="00066344"/>
    <w:rsid w:val="000701C3"/>
    <w:rsid w:val="000702B5"/>
    <w:rsid w:val="00070723"/>
    <w:rsid w:val="00070F49"/>
    <w:rsid w:val="000744F2"/>
    <w:rsid w:val="00074AAB"/>
    <w:rsid w:val="000758E6"/>
    <w:rsid w:val="0007593C"/>
    <w:rsid w:val="00080F72"/>
    <w:rsid w:val="00081EF0"/>
    <w:rsid w:val="00087755"/>
    <w:rsid w:val="00087EAE"/>
    <w:rsid w:val="000901CA"/>
    <w:rsid w:val="000908C2"/>
    <w:rsid w:val="00091819"/>
    <w:rsid w:val="0009190A"/>
    <w:rsid w:val="000919B1"/>
    <w:rsid w:val="00091BD4"/>
    <w:rsid w:val="00092191"/>
    <w:rsid w:val="0009256E"/>
    <w:rsid w:val="00092960"/>
    <w:rsid w:val="00092F01"/>
    <w:rsid w:val="00092F21"/>
    <w:rsid w:val="000931B1"/>
    <w:rsid w:val="00093BCB"/>
    <w:rsid w:val="00093FA4"/>
    <w:rsid w:val="00094043"/>
    <w:rsid w:val="000954AB"/>
    <w:rsid w:val="000959C6"/>
    <w:rsid w:val="00095A43"/>
    <w:rsid w:val="00096472"/>
    <w:rsid w:val="00096BDA"/>
    <w:rsid w:val="00096BF5"/>
    <w:rsid w:val="000A0589"/>
    <w:rsid w:val="000A0862"/>
    <w:rsid w:val="000A0AEE"/>
    <w:rsid w:val="000A2557"/>
    <w:rsid w:val="000A4BE8"/>
    <w:rsid w:val="000A508D"/>
    <w:rsid w:val="000A61D4"/>
    <w:rsid w:val="000A7115"/>
    <w:rsid w:val="000A7595"/>
    <w:rsid w:val="000A78B6"/>
    <w:rsid w:val="000A7A94"/>
    <w:rsid w:val="000B06F9"/>
    <w:rsid w:val="000B1580"/>
    <w:rsid w:val="000B1C90"/>
    <w:rsid w:val="000B34CF"/>
    <w:rsid w:val="000B4774"/>
    <w:rsid w:val="000B4A93"/>
    <w:rsid w:val="000B4EE3"/>
    <w:rsid w:val="000B510E"/>
    <w:rsid w:val="000B55FC"/>
    <w:rsid w:val="000B5B12"/>
    <w:rsid w:val="000B6A48"/>
    <w:rsid w:val="000B7068"/>
    <w:rsid w:val="000B7E27"/>
    <w:rsid w:val="000C12F1"/>
    <w:rsid w:val="000C263E"/>
    <w:rsid w:val="000C2A89"/>
    <w:rsid w:val="000C3098"/>
    <w:rsid w:val="000C30A9"/>
    <w:rsid w:val="000C3236"/>
    <w:rsid w:val="000C4E10"/>
    <w:rsid w:val="000C4F2D"/>
    <w:rsid w:val="000C552C"/>
    <w:rsid w:val="000C7C48"/>
    <w:rsid w:val="000D19F1"/>
    <w:rsid w:val="000D2A65"/>
    <w:rsid w:val="000D5EFD"/>
    <w:rsid w:val="000D5FAD"/>
    <w:rsid w:val="000D61F4"/>
    <w:rsid w:val="000D6708"/>
    <w:rsid w:val="000D7048"/>
    <w:rsid w:val="000D79EB"/>
    <w:rsid w:val="000D7F50"/>
    <w:rsid w:val="000E039F"/>
    <w:rsid w:val="000E14DD"/>
    <w:rsid w:val="000E36E4"/>
    <w:rsid w:val="000E3F60"/>
    <w:rsid w:val="000E4084"/>
    <w:rsid w:val="000E49A0"/>
    <w:rsid w:val="000E4A6B"/>
    <w:rsid w:val="000E4C32"/>
    <w:rsid w:val="000E5E05"/>
    <w:rsid w:val="000E79B8"/>
    <w:rsid w:val="000E7D99"/>
    <w:rsid w:val="000F140D"/>
    <w:rsid w:val="000F1AAC"/>
    <w:rsid w:val="000F2027"/>
    <w:rsid w:val="000F2EFC"/>
    <w:rsid w:val="000F3F13"/>
    <w:rsid w:val="000F455D"/>
    <w:rsid w:val="000F519A"/>
    <w:rsid w:val="000F57A0"/>
    <w:rsid w:val="000F581A"/>
    <w:rsid w:val="000F58B5"/>
    <w:rsid w:val="000F63B5"/>
    <w:rsid w:val="000F6544"/>
    <w:rsid w:val="000F6884"/>
    <w:rsid w:val="000F7A92"/>
    <w:rsid w:val="001010A3"/>
    <w:rsid w:val="00101565"/>
    <w:rsid w:val="00101B77"/>
    <w:rsid w:val="00102B68"/>
    <w:rsid w:val="001041EC"/>
    <w:rsid w:val="00105499"/>
    <w:rsid w:val="00106BE7"/>
    <w:rsid w:val="00107D19"/>
    <w:rsid w:val="00110E94"/>
    <w:rsid w:val="00111A79"/>
    <w:rsid w:val="001135DC"/>
    <w:rsid w:val="00113BF5"/>
    <w:rsid w:val="00113DFD"/>
    <w:rsid w:val="00113FCD"/>
    <w:rsid w:val="00117831"/>
    <w:rsid w:val="001201FC"/>
    <w:rsid w:val="00120FCA"/>
    <w:rsid w:val="00121045"/>
    <w:rsid w:val="001210D1"/>
    <w:rsid w:val="001219A2"/>
    <w:rsid w:val="00122DDD"/>
    <w:rsid w:val="00122F81"/>
    <w:rsid w:val="00123A27"/>
    <w:rsid w:val="00127640"/>
    <w:rsid w:val="0013104B"/>
    <w:rsid w:val="00131E5F"/>
    <w:rsid w:val="00131F97"/>
    <w:rsid w:val="001320B5"/>
    <w:rsid w:val="001323A9"/>
    <w:rsid w:val="00132440"/>
    <w:rsid w:val="001325CA"/>
    <w:rsid w:val="001327D1"/>
    <w:rsid w:val="0013745D"/>
    <w:rsid w:val="00137869"/>
    <w:rsid w:val="00140806"/>
    <w:rsid w:val="00140A39"/>
    <w:rsid w:val="001414C1"/>
    <w:rsid w:val="0014179D"/>
    <w:rsid w:val="00143106"/>
    <w:rsid w:val="00144032"/>
    <w:rsid w:val="001444FA"/>
    <w:rsid w:val="00145D60"/>
    <w:rsid w:val="00146728"/>
    <w:rsid w:val="00147BF1"/>
    <w:rsid w:val="00147CA8"/>
    <w:rsid w:val="00151910"/>
    <w:rsid w:val="00152051"/>
    <w:rsid w:val="0015255F"/>
    <w:rsid w:val="00155075"/>
    <w:rsid w:val="00155CD5"/>
    <w:rsid w:val="001572BE"/>
    <w:rsid w:val="00160A48"/>
    <w:rsid w:val="00161283"/>
    <w:rsid w:val="0016284E"/>
    <w:rsid w:val="00163673"/>
    <w:rsid w:val="001643F7"/>
    <w:rsid w:val="00164B4B"/>
    <w:rsid w:val="00164BBC"/>
    <w:rsid w:val="00165C6F"/>
    <w:rsid w:val="0016633F"/>
    <w:rsid w:val="00166BCB"/>
    <w:rsid w:val="001678AF"/>
    <w:rsid w:val="00170213"/>
    <w:rsid w:val="001705BE"/>
    <w:rsid w:val="00172F1C"/>
    <w:rsid w:val="001736AD"/>
    <w:rsid w:val="00173A8A"/>
    <w:rsid w:val="00174516"/>
    <w:rsid w:val="00175033"/>
    <w:rsid w:val="00175190"/>
    <w:rsid w:val="001762F1"/>
    <w:rsid w:val="0017691F"/>
    <w:rsid w:val="00177A73"/>
    <w:rsid w:val="00181380"/>
    <w:rsid w:val="00182346"/>
    <w:rsid w:val="00182C3E"/>
    <w:rsid w:val="0018302D"/>
    <w:rsid w:val="0018544C"/>
    <w:rsid w:val="0018547D"/>
    <w:rsid w:val="001924AD"/>
    <w:rsid w:val="001924FD"/>
    <w:rsid w:val="0019286E"/>
    <w:rsid w:val="00192D63"/>
    <w:rsid w:val="001931BF"/>
    <w:rsid w:val="00193220"/>
    <w:rsid w:val="0019404C"/>
    <w:rsid w:val="0019429B"/>
    <w:rsid w:val="00194CBF"/>
    <w:rsid w:val="0019520B"/>
    <w:rsid w:val="00195650"/>
    <w:rsid w:val="00195CC3"/>
    <w:rsid w:val="001965B1"/>
    <w:rsid w:val="00196FFD"/>
    <w:rsid w:val="001977AE"/>
    <w:rsid w:val="00197E74"/>
    <w:rsid w:val="001A0D3D"/>
    <w:rsid w:val="001A449A"/>
    <w:rsid w:val="001A6466"/>
    <w:rsid w:val="001A7606"/>
    <w:rsid w:val="001B1B9D"/>
    <w:rsid w:val="001B29B8"/>
    <w:rsid w:val="001B3250"/>
    <w:rsid w:val="001B4A60"/>
    <w:rsid w:val="001B5F03"/>
    <w:rsid w:val="001B6678"/>
    <w:rsid w:val="001B73ED"/>
    <w:rsid w:val="001B75BE"/>
    <w:rsid w:val="001C0001"/>
    <w:rsid w:val="001C0798"/>
    <w:rsid w:val="001C1293"/>
    <w:rsid w:val="001C1382"/>
    <w:rsid w:val="001C1BA5"/>
    <w:rsid w:val="001C2C2C"/>
    <w:rsid w:val="001C2CB1"/>
    <w:rsid w:val="001C32ED"/>
    <w:rsid w:val="001C390D"/>
    <w:rsid w:val="001C45FD"/>
    <w:rsid w:val="001C4671"/>
    <w:rsid w:val="001C4EE4"/>
    <w:rsid w:val="001C5682"/>
    <w:rsid w:val="001C5845"/>
    <w:rsid w:val="001C597A"/>
    <w:rsid w:val="001C64E8"/>
    <w:rsid w:val="001C6A96"/>
    <w:rsid w:val="001C7FE3"/>
    <w:rsid w:val="001D00B3"/>
    <w:rsid w:val="001D109B"/>
    <w:rsid w:val="001D1446"/>
    <w:rsid w:val="001D1727"/>
    <w:rsid w:val="001D19BE"/>
    <w:rsid w:val="001D2654"/>
    <w:rsid w:val="001D37D5"/>
    <w:rsid w:val="001E395F"/>
    <w:rsid w:val="001E425F"/>
    <w:rsid w:val="001E46B9"/>
    <w:rsid w:val="001F00F0"/>
    <w:rsid w:val="001F0CE7"/>
    <w:rsid w:val="001F1446"/>
    <w:rsid w:val="001F190D"/>
    <w:rsid w:val="001F2836"/>
    <w:rsid w:val="001F4123"/>
    <w:rsid w:val="001F434E"/>
    <w:rsid w:val="001F731B"/>
    <w:rsid w:val="001F7893"/>
    <w:rsid w:val="001F7943"/>
    <w:rsid w:val="002004FE"/>
    <w:rsid w:val="00203149"/>
    <w:rsid w:val="00203552"/>
    <w:rsid w:val="00204013"/>
    <w:rsid w:val="00204154"/>
    <w:rsid w:val="0020517B"/>
    <w:rsid w:val="00205324"/>
    <w:rsid w:val="00205CA0"/>
    <w:rsid w:val="0020607A"/>
    <w:rsid w:val="00206635"/>
    <w:rsid w:val="00207144"/>
    <w:rsid w:val="00211909"/>
    <w:rsid w:val="00212240"/>
    <w:rsid w:val="002151F7"/>
    <w:rsid w:val="00215862"/>
    <w:rsid w:val="00215A83"/>
    <w:rsid w:val="002178D5"/>
    <w:rsid w:val="00217D3F"/>
    <w:rsid w:val="00217E16"/>
    <w:rsid w:val="0022105C"/>
    <w:rsid w:val="002218E7"/>
    <w:rsid w:val="00221EDD"/>
    <w:rsid w:val="00222F9B"/>
    <w:rsid w:val="002230B7"/>
    <w:rsid w:val="002241DB"/>
    <w:rsid w:val="002304D6"/>
    <w:rsid w:val="00231A15"/>
    <w:rsid w:val="00231FAA"/>
    <w:rsid w:val="002327CB"/>
    <w:rsid w:val="00232C6C"/>
    <w:rsid w:val="00233780"/>
    <w:rsid w:val="00235E89"/>
    <w:rsid w:val="00236368"/>
    <w:rsid w:val="00236B12"/>
    <w:rsid w:val="00237316"/>
    <w:rsid w:val="0023743F"/>
    <w:rsid w:val="002409CA"/>
    <w:rsid w:val="00240C4D"/>
    <w:rsid w:val="00240D28"/>
    <w:rsid w:val="00241A88"/>
    <w:rsid w:val="00242E7B"/>
    <w:rsid w:val="002435BC"/>
    <w:rsid w:val="002460BA"/>
    <w:rsid w:val="0024619C"/>
    <w:rsid w:val="002500CA"/>
    <w:rsid w:val="00250569"/>
    <w:rsid w:val="0025336F"/>
    <w:rsid w:val="002535C6"/>
    <w:rsid w:val="0025400F"/>
    <w:rsid w:val="0025435D"/>
    <w:rsid w:val="002549CC"/>
    <w:rsid w:val="00254BF1"/>
    <w:rsid w:val="002550F3"/>
    <w:rsid w:val="00255DC4"/>
    <w:rsid w:val="0025795E"/>
    <w:rsid w:val="00260908"/>
    <w:rsid w:val="00262E63"/>
    <w:rsid w:val="00262EFA"/>
    <w:rsid w:val="00263575"/>
    <w:rsid w:val="00263D57"/>
    <w:rsid w:val="00263DE9"/>
    <w:rsid w:val="00265138"/>
    <w:rsid w:val="0026629F"/>
    <w:rsid w:val="00266C10"/>
    <w:rsid w:val="002704CD"/>
    <w:rsid w:val="0027269B"/>
    <w:rsid w:val="00273179"/>
    <w:rsid w:val="00273C48"/>
    <w:rsid w:val="00276122"/>
    <w:rsid w:val="00276735"/>
    <w:rsid w:val="00276D8C"/>
    <w:rsid w:val="002802EE"/>
    <w:rsid w:val="00281726"/>
    <w:rsid w:val="002820A9"/>
    <w:rsid w:val="0028242C"/>
    <w:rsid w:val="00282B82"/>
    <w:rsid w:val="00282D9C"/>
    <w:rsid w:val="002830B7"/>
    <w:rsid w:val="002830CE"/>
    <w:rsid w:val="00283E8D"/>
    <w:rsid w:val="0028499A"/>
    <w:rsid w:val="0028565B"/>
    <w:rsid w:val="00285E8E"/>
    <w:rsid w:val="00286164"/>
    <w:rsid w:val="00286944"/>
    <w:rsid w:val="00286F37"/>
    <w:rsid w:val="0028722D"/>
    <w:rsid w:val="0028790C"/>
    <w:rsid w:val="00287C7E"/>
    <w:rsid w:val="0029168D"/>
    <w:rsid w:val="0029268B"/>
    <w:rsid w:val="0029271F"/>
    <w:rsid w:val="0029536F"/>
    <w:rsid w:val="002954F1"/>
    <w:rsid w:val="00295A23"/>
    <w:rsid w:val="00295D74"/>
    <w:rsid w:val="00296172"/>
    <w:rsid w:val="0029701F"/>
    <w:rsid w:val="002A11E2"/>
    <w:rsid w:val="002A2BC3"/>
    <w:rsid w:val="002A4667"/>
    <w:rsid w:val="002A484F"/>
    <w:rsid w:val="002A4980"/>
    <w:rsid w:val="002A49C4"/>
    <w:rsid w:val="002A4A95"/>
    <w:rsid w:val="002A4B05"/>
    <w:rsid w:val="002A4DE6"/>
    <w:rsid w:val="002A5D33"/>
    <w:rsid w:val="002A6539"/>
    <w:rsid w:val="002A6E1A"/>
    <w:rsid w:val="002A6FDB"/>
    <w:rsid w:val="002A7B5A"/>
    <w:rsid w:val="002B0AB1"/>
    <w:rsid w:val="002B19E3"/>
    <w:rsid w:val="002B27A8"/>
    <w:rsid w:val="002B3CA5"/>
    <w:rsid w:val="002B4C6C"/>
    <w:rsid w:val="002B5016"/>
    <w:rsid w:val="002B5214"/>
    <w:rsid w:val="002B5304"/>
    <w:rsid w:val="002B552A"/>
    <w:rsid w:val="002B68A1"/>
    <w:rsid w:val="002B6A6A"/>
    <w:rsid w:val="002B7C2C"/>
    <w:rsid w:val="002C099C"/>
    <w:rsid w:val="002C1B92"/>
    <w:rsid w:val="002C4B1F"/>
    <w:rsid w:val="002C5193"/>
    <w:rsid w:val="002C69A4"/>
    <w:rsid w:val="002D0651"/>
    <w:rsid w:val="002D2598"/>
    <w:rsid w:val="002D2A81"/>
    <w:rsid w:val="002D34DE"/>
    <w:rsid w:val="002D3DDA"/>
    <w:rsid w:val="002D4205"/>
    <w:rsid w:val="002D448B"/>
    <w:rsid w:val="002D4F85"/>
    <w:rsid w:val="002D5456"/>
    <w:rsid w:val="002D56A2"/>
    <w:rsid w:val="002D56D3"/>
    <w:rsid w:val="002D664A"/>
    <w:rsid w:val="002D66E6"/>
    <w:rsid w:val="002D6A79"/>
    <w:rsid w:val="002D6BD9"/>
    <w:rsid w:val="002D75DC"/>
    <w:rsid w:val="002E0150"/>
    <w:rsid w:val="002E0254"/>
    <w:rsid w:val="002E03FD"/>
    <w:rsid w:val="002E06C2"/>
    <w:rsid w:val="002E119B"/>
    <w:rsid w:val="002E1ECE"/>
    <w:rsid w:val="002E53DB"/>
    <w:rsid w:val="002E5911"/>
    <w:rsid w:val="002E74B5"/>
    <w:rsid w:val="002F1B20"/>
    <w:rsid w:val="002F2576"/>
    <w:rsid w:val="002F30BD"/>
    <w:rsid w:val="002F4FB7"/>
    <w:rsid w:val="002F55B1"/>
    <w:rsid w:val="002F57C9"/>
    <w:rsid w:val="002F594F"/>
    <w:rsid w:val="002F7638"/>
    <w:rsid w:val="002F7929"/>
    <w:rsid w:val="002F7A69"/>
    <w:rsid w:val="00301266"/>
    <w:rsid w:val="003024A8"/>
    <w:rsid w:val="0030272B"/>
    <w:rsid w:val="00302E0B"/>
    <w:rsid w:val="003031E4"/>
    <w:rsid w:val="00303348"/>
    <w:rsid w:val="00303A3E"/>
    <w:rsid w:val="00304C2E"/>
    <w:rsid w:val="003058DF"/>
    <w:rsid w:val="00307A26"/>
    <w:rsid w:val="00307B84"/>
    <w:rsid w:val="00310364"/>
    <w:rsid w:val="0031125A"/>
    <w:rsid w:val="00311292"/>
    <w:rsid w:val="00311D3D"/>
    <w:rsid w:val="00312FD3"/>
    <w:rsid w:val="003144BA"/>
    <w:rsid w:val="00314931"/>
    <w:rsid w:val="00315055"/>
    <w:rsid w:val="0031506D"/>
    <w:rsid w:val="00316273"/>
    <w:rsid w:val="00316849"/>
    <w:rsid w:val="00317370"/>
    <w:rsid w:val="00321697"/>
    <w:rsid w:val="00322D17"/>
    <w:rsid w:val="0032381E"/>
    <w:rsid w:val="00323D97"/>
    <w:rsid w:val="0032591D"/>
    <w:rsid w:val="00327ED3"/>
    <w:rsid w:val="0033000F"/>
    <w:rsid w:val="00331C6A"/>
    <w:rsid w:val="00332927"/>
    <w:rsid w:val="00332FEC"/>
    <w:rsid w:val="00333860"/>
    <w:rsid w:val="00333BEE"/>
    <w:rsid w:val="00333E44"/>
    <w:rsid w:val="0033465E"/>
    <w:rsid w:val="003352E7"/>
    <w:rsid w:val="00335D93"/>
    <w:rsid w:val="00335E09"/>
    <w:rsid w:val="00335ED9"/>
    <w:rsid w:val="00337330"/>
    <w:rsid w:val="00340020"/>
    <w:rsid w:val="00344333"/>
    <w:rsid w:val="00344C34"/>
    <w:rsid w:val="00345549"/>
    <w:rsid w:val="00346ED7"/>
    <w:rsid w:val="00353B67"/>
    <w:rsid w:val="0035422A"/>
    <w:rsid w:val="00354AF9"/>
    <w:rsid w:val="00354D91"/>
    <w:rsid w:val="00355061"/>
    <w:rsid w:val="00355ABA"/>
    <w:rsid w:val="00356CCC"/>
    <w:rsid w:val="00363C0B"/>
    <w:rsid w:val="003642ED"/>
    <w:rsid w:val="0036463E"/>
    <w:rsid w:val="00365E28"/>
    <w:rsid w:val="0036666E"/>
    <w:rsid w:val="00366CA2"/>
    <w:rsid w:val="003701D9"/>
    <w:rsid w:val="00370F63"/>
    <w:rsid w:val="003713AB"/>
    <w:rsid w:val="0037252E"/>
    <w:rsid w:val="00372A22"/>
    <w:rsid w:val="00372BE9"/>
    <w:rsid w:val="00372ECE"/>
    <w:rsid w:val="00373445"/>
    <w:rsid w:val="003767D9"/>
    <w:rsid w:val="003771EA"/>
    <w:rsid w:val="00380070"/>
    <w:rsid w:val="00380B7A"/>
    <w:rsid w:val="00383DA0"/>
    <w:rsid w:val="00384620"/>
    <w:rsid w:val="00384943"/>
    <w:rsid w:val="00386F7A"/>
    <w:rsid w:val="00387383"/>
    <w:rsid w:val="003879D5"/>
    <w:rsid w:val="0039147A"/>
    <w:rsid w:val="00391775"/>
    <w:rsid w:val="00393447"/>
    <w:rsid w:val="00393548"/>
    <w:rsid w:val="003937B2"/>
    <w:rsid w:val="00394027"/>
    <w:rsid w:val="00394369"/>
    <w:rsid w:val="003954F9"/>
    <w:rsid w:val="00397DB2"/>
    <w:rsid w:val="00397DE2"/>
    <w:rsid w:val="003A0073"/>
    <w:rsid w:val="003A1214"/>
    <w:rsid w:val="003A125D"/>
    <w:rsid w:val="003A1A79"/>
    <w:rsid w:val="003A1F57"/>
    <w:rsid w:val="003A21A4"/>
    <w:rsid w:val="003A299B"/>
    <w:rsid w:val="003A2F4F"/>
    <w:rsid w:val="003A5FE2"/>
    <w:rsid w:val="003A6539"/>
    <w:rsid w:val="003A768C"/>
    <w:rsid w:val="003B0497"/>
    <w:rsid w:val="003B1B13"/>
    <w:rsid w:val="003B26AA"/>
    <w:rsid w:val="003B2868"/>
    <w:rsid w:val="003B395A"/>
    <w:rsid w:val="003B3B5B"/>
    <w:rsid w:val="003B5D75"/>
    <w:rsid w:val="003C021D"/>
    <w:rsid w:val="003C27BB"/>
    <w:rsid w:val="003C3E8E"/>
    <w:rsid w:val="003C4807"/>
    <w:rsid w:val="003C568A"/>
    <w:rsid w:val="003C75A0"/>
    <w:rsid w:val="003C75CA"/>
    <w:rsid w:val="003C7670"/>
    <w:rsid w:val="003D0931"/>
    <w:rsid w:val="003D0DFF"/>
    <w:rsid w:val="003D104F"/>
    <w:rsid w:val="003D1FB5"/>
    <w:rsid w:val="003D21CD"/>
    <w:rsid w:val="003D27CC"/>
    <w:rsid w:val="003D3D86"/>
    <w:rsid w:val="003D4379"/>
    <w:rsid w:val="003D48FE"/>
    <w:rsid w:val="003D49CB"/>
    <w:rsid w:val="003D4A6A"/>
    <w:rsid w:val="003D5187"/>
    <w:rsid w:val="003E0F5F"/>
    <w:rsid w:val="003E1168"/>
    <w:rsid w:val="003E178C"/>
    <w:rsid w:val="003E281D"/>
    <w:rsid w:val="003E31CE"/>
    <w:rsid w:val="003E3721"/>
    <w:rsid w:val="003E4C67"/>
    <w:rsid w:val="003E61B2"/>
    <w:rsid w:val="003E6203"/>
    <w:rsid w:val="003E6830"/>
    <w:rsid w:val="003E75B7"/>
    <w:rsid w:val="003F0FED"/>
    <w:rsid w:val="003F243C"/>
    <w:rsid w:val="003F2E9A"/>
    <w:rsid w:val="003F3ED4"/>
    <w:rsid w:val="003F3F72"/>
    <w:rsid w:val="003F53B0"/>
    <w:rsid w:val="003F6073"/>
    <w:rsid w:val="003F61C9"/>
    <w:rsid w:val="003F7C6E"/>
    <w:rsid w:val="003F7DDB"/>
    <w:rsid w:val="0040084C"/>
    <w:rsid w:val="004020F0"/>
    <w:rsid w:val="004027BE"/>
    <w:rsid w:val="0040282F"/>
    <w:rsid w:val="00402E9B"/>
    <w:rsid w:val="00403A84"/>
    <w:rsid w:val="00404482"/>
    <w:rsid w:val="004044A1"/>
    <w:rsid w:val="004049B9"/>
    <w:rsid w:val="00404BD5"/>
    <w:rsid w:val="004074C4"/>
    <w:rsid w:val="0041122D"/>
    <w:rsid w:val="00412127"/>
    <w:rsid w:val="0041382F"/>
    <w:rsid w:val="00414103"/>
    <w:rsid w:val="00414F10"/>
    <w:rsid w:val="0041674C"/>
    <w:rsid w:val="00417C84"/>
    <w:rsid w:val="00420C58"/>
    <w:rsid w:val="00420C67"/>
    <w:rsid w:val="004223C4"/>
    <w:rsid w:val="004228C1"/>
    <w:rsid w:val="004248A0"/>
    <w:rsid w:val="00424EF8"/>
    <w:rsid w:val="004252DC"/>
    <w:rsid w:val="004255DF"/>
    <w:rsid w:val="004259A6"/>
    <w:rsid w:val="00426223"/>
    <w:rsid w:val="004266A9"/>
    <w:rsid w:val="004267DB"/>
    <w:rsid w:val="004275DB"/>
    <w:rsid w:val="00430991"/>
    <w:rsid w:val="00430B8E"/>
    <w:rsid w:val="00431F01"/>
    <w:rsid w:val="00431F29"/>
    <w:rsid w:val="00432077"/>
    <w:rsid w:val="00432D8F"/>
    <w:rsid w:val="00433895"/>
    <w:rsid w:val="00434844"/>
    <w:rsid w:val="004354A8"/>
    <w:rsid w:val="004356DF"/>
    <w:rsid w:val="0043625E"/>
    <w:rsid w:val="004362C4"/>
    <w:rsid w:val="00436FEA"/>
    <w:rsid w:val="004401A6"/>
    <w:rsid w:val="004406F5"/>
    <w:rsid w:val="0044113F"/>
    <w:rsid w:val="00442076"/>
    <w:rsid w:val="0044207F"/>
    <w:rsid w:val="004420F4"/>
    <w:rsid w:val="0044428E"/>
    <w:rsid w:val="00444DE9"/>
    <w:rsid w:val="004456D6"/>
    <w:rsid w:val="00445C83"/>
    <w:rsid w:val="004467D7"/>
    <w:rsid w:val="0045181A"/>
    <w:rsid w:val="00452049"/>
    <w:rsid w:val="00452620"/>
    <w:rsid w:val="00453425"/>
    <w:rsid w:val="00453DDB"/>
    <w:rsid w:val="00453E6F"/>
    <w:rsid w:val="00453FAD"/>
    <w:rsid w:val="00455052"/>
    <w:rsid w:val="0045508A"/>
    <w:rsid w:val="004560AF"/>
    <w:rsid w:val="004572D4"/>
    <w:rsid w:val="004611E0"/>
    <w:rsid w:val="00461FFE"/>
    <w:rsid w:val="004625B7"/>
    <w:rsid w:val="00463218"/>
    <w:rsid w:val="00463CFA"/>
    <w:rsid w:val="004647A4"/>
    <w:rsid w:val="004647A6"/>
    <w:rsid w:val="00465516"/>
    <w:rsid w:val="004664D5"/>
    <w:rsid w:val="0046699E"/>
    <w:rsid w:val="00467CA8"/>
    <w:rsid w:val="00471466"/>
    <w:rsid w:val="00471C70"/>
    <w:rsid w:val="004722E2"/>
    <w:rsid w:val="004735FD"/>
    <w:rsid w:val="00477D8D"/>
    <w:rsid w:val="00481BCF"/>
    <w:rsid w:val="00481E5A"/>
    <w:rsid w:val="004831D4"/>
    <w:rsid w:val="00483B2B"/>
    <w:rsid w:val="00484017"/>
    <w:rsid w:val="00484401"/>
    <w:rsid w:val="004845B2"/>
    <w:rsid w:val="00484641"/>
    <w:rsid w:val="004846C0"/>
    <w:rsid w:val="0048483D"/>
    <w:rsid w:val="00484D8A"/>
    <w:rsid w:val="00485971"/>
    <w:rsid w:val="00485C18"/>
    <w:rsid w:val="0048636B"/>
    <w:rsid w:val="00487367"/>
    <w:rsid w:val="00487C54"/>
    <w:rsid w:val="00487CEC"/>
    <w:rsid w:val="00487ED9"/>
    <w:rsid w:val="00490DCC"/>
    <w:rsid w:val="004912DA"/>
    <w:rsid w:val="0049148D"/>
    <w:rsid w:val="0049238D"/>
    <w:rsid w:val="00492859"/>
    <w:rsid w:val="00493E36"/>
    <w:rsid w:val="00494BDE"/>
    <w:rsid w:val="00497B76"/>
    <w:rsid w:val="00497D38"/>
    <w:rsid w:val="004A0129"/>
    <w:rsid w:val="004A05BE"/>
    <w:rsid w:val="004A118E"/>
    <w:rsid w:val="004A15B8"/>
    <w:rsid w:val="004A3D63"/>
    <w:rsid w:val="004A53BA"/>
    <w:rsid w:val="004A6D3E"/>
    <w:rsid w:val="004A7142"/>
    <w:rsid w:val="004A7153"/>
    <w:rsid w:val="004B0B7D"/>
    <w:rsid w:val="004B1265"/>
    <w:rsid w:val="004B1556"/>
    <w:rsid w:val="004B36CD"/>
    <w:rsid w:val="004B41E8"/>
    <w:rsid w:val="004B47F6"/>
    <w:rsid w:val="004B506A"/>
    <w:rsid w:val="004B515E"/>
    <w:rsid w:val="004B6EFB"/>
    <w:rsid w:val="004B731B"/>
    <w:rsid w:val="004B7A8C"/>
    <w:rsid w:val="004C027B"/>
    <w:rsid w:val="004C0A97"/>
    <w:rsid w:val="004C1057"/>
    <w:rsid w:val="004C1100"/>
    <w:rsid w:val="004C110B"/>
    <w:rsid w:val="004C2278"/>
    <w:rsid w:val="004C4200"/>
    <w:rsid w:val="004C43DC"/>
    <w:rsid w:val="004C5130"/>
    <w:rsid w:val="004C5BD6"/>
    <w:rsid w:val="004C7A86"/>
    <w:rsid w:val="004D3CA3"/>
    <w:rsid w:val="004D471E"/>
    <w:rsid w:val="004D48B0"/>
    <w:rsid w:val="004D65AE"/>
    <w:rsid w:val="004D737F"/>
    <w:rsid w:val="004D73EC"/>
    <w:rsid w:val="004D782E"/>
    <w:rsid w:val="004E0404"/>
    <w:rsid w:val="004E0A70"/>
    <w:rsid w:val="004E23A3"/>
    <w:rsid w:val="004E3AEF"/>
    <w:rsid w:val="004E3C34"/>
    <w:rsid w:val="004E52C5"/>
    <w:rsid w:val="004E5F77"/>
    <w:rsid w:val="004F0524"/>
    <w:rsid w:val="004F0DD5"/>
    <w:rsid w:val="004F15FE"/>
    <w:rsid w:val="004F1B61"/>
    <w:rsid w:val="004F1DA0"/>
    <w:rsid w:val="004F214B"/>
    <w:rsid w:val="004F23CF"/>
    <w:rsid w:val="004F2872"/>
    <w:rsid w:val="004F352E"/>
    <w:rsid w:val="004F4749"/>
    <w:rsid w:val="004F5612"/>
    <w:rsid w:val="004F7A04"/>
    <w:rsid w:val="004F7F0D"/>
    <w:rsid w:val="005005E2"/>
    <w:rsid w:val="00500D1C"/>
    <w:rsid w:val="0050111A"/>
    <w:rsid w:val="005021A4"/>
    <w:rsid w:val="00503E70"/>
    <w:rsid w:val="0050422D"/>
    <w:rsid w:val="00506244"/>
    <w:rsid w:val="00506F9F"/>
    <w:rsid w:val="0050732F"/>
    <w:rsid w:val="005078B9"/>
    <w:rsid w:val="0051045A"/>
    <w:rsid w:val="00510780"/>
    <w:rsid w:val="00510E72"/>
    <w:rsid w:val="00511124"/>
    <w:rsid w:val="0051119F"/>
    <w:rsid w:val="00511672"/>
    <w:rsid w:val="005127E6"/>
    <w:rsid w:val="00513D1E"/>
    <w:rsid w:val="005157C7"/>
    <w:rsid w:val="005162AB"/>
    <w:rsid w:val="00517B29"/>
    <w:rsid w:val="005218C0"/>
    <w:rsid w:val="00522B48"/>
    <w:rsid w:val="00522C2C"/>
    <w:rsid w:val="00523807"/>
    <w:rsid w:val="00523F33"/>
    <w:rsid w:val="0052444E"/>
    <w:rsid w:val="005244FE"/>
    <w:rsid w:val="00524BB2"/>
    <w:rsid w:val="00525EEB"/>
    <w:rsid w:val="00526987"/>
    <w:rsid w:val="00526FA3"/>
    <w:rsid w:val="00526FE3"/>
    <w:rsid w:val="0053019D"/>
    <w:rsid w:val="005306D1"/>
    <w:rsid w:val="005312A9"/>
    <w:rsid w:val="005312BF"/>
    <w:rsid w:val="00531B27"/>
    <w:rsid w:val="005329DA"/>
    <w:rsid w:val="00533D47"/>
    <w:rsid w:val="00534515"/>
    <w:rsid w:val="00534AD7"/>
    <w:rsid w:val="00534C24"/>
    <w:rsid w:val="00535970"/>
    <w:rsid w:val="00535FB2"/>
    <w:rsid w:val="005362C3"/>
    <w:rsid w:val="00537C94"/>
    <w:rsid w:val="00537EFE"/>
    <w:rsid w:val="00540271"/>
    <w:rsid w:val="00541468"/>
    <w:rsid w:val="005427F3"/>
    <w:rsid w:val="00543E4F"/>
    <w:rsid w:val="005447EF"/>
    <w:rsid w:val="005453A8"/>
    <w:rsid w:val="00545680"/>
    <w:rsid w:val="00545F5E"/>
    <w:rsid w:val="00546073"/>
    <w:rsid w:val="005466DD"/>
    <w:rsid w:val="00546B7E"/>
    <w:rsid w:val="00550E2F"/>
    <w:rsid w:val="00551597"/>
    <w:rsid w:val="00552A30"/>
    <w:rsid w:val="00552F15"/>
    <w:rsid w:val="00553921"/>
    <w:rsid w:val="00554E02"/>
    <w:rsid w:val="005556DF"/>
    <w:rsid w:val="005569B6"/>
    <w:rsid w:val="00557B91"/>
    <w:rsid w:val="00557E16"/>
    <w:rsid w:val="005614A8"/>
    <w:rsid w:val="00561502"/>
    <w:rsid w:val="00561B9A"/>
    <w:rsid w:val="00562088"/>
    <w:rsid w:val="00563434"/>
    <w:rsid w:val="005634BF"/>
    <w:rsid w:val="005634DD"/>
    <w:rsid w:val="00563C2B"/>
    <w:rsid w:val="00563F3B"/>
    <w:rsid w:val="00564394"/>
    <w:rsid w:val="00566091"/>
    <w:rsid w:val="0056617A"/>
    <w:rsid w:val="005663E1"/>
    <w:rsid w:val="00567000"/>
    <w:rsid w:val="005707C9"/>
    <w:rsid w:val="005712D6"/>
    <w:rsid w:val="00571415"/>
    <w:rsid w:val="00571606"/>
    <w:rsid w:val="0057185A"/>
    <w:rsid w:val="00571B43"/>
    <w:rsid w:val="00571D04"/>
    <w:rsid w:val="005735C9"/>
    <w:rsid w:val="0057396E"/>
    <w:rsid w:val="00573BC7"/>
    <w:rsid w:val="00574331"/>
    <w:rsid w:val="00574688"/>
    <w:rsid w:val="00574C5F"/>
    <w:rsid w:val="00575078"/>
    <w:rsid w:val="00575EAE"/>
    <w:rsid w:val="00576618"/>
    <w:rsid w:val="00577759"/>
    <w:rsid w:val="00577E83"/>
    <w:rsid w:val="00577FE8"/>
    <w:rsid w:val="00582326"/>
    <w:rsid w:val="00583144"/>
    <w:rsid w:val="00583938"/>
    <w:rsid w:val="00583AF7"/>
    <w:rsid w:val="00583C45"/>
    <w:rsid w:val="00583FDF"/>
    <w:rsid w:val="00584FC1"/>
    <w:rsid w:val="005850ED"/>
    <w:rsid w:val="00585CF9"/>
    <w:rsid w:val="005863EF"/>
    <w:rsid w:val="00587778"/>
    <w:rsid w:val="0059076A"/>
    <w:rsid w:val="00590CE8"/>
    <w:rsid w:val="00590DE3"/>
    <w:rsid w:val="00592386"/>
    <w:rsid w:val="0059281C"/>
    <w:rsid w:val="0059363C"/>
    <w:rsid w:val="00593885"/>
    <w:rsid w:val="00593CD6"/>
    <w:rsid w:val="00597A0A"/>
    <w:rsid w:val="005A0B9A"/>
    <w:rsid w:val="005A15E7"/>
    <w:rsid w:val="005A18C0"/>
    <w:rsid w:val="005A3CC5"/>
    <w:rsid w:val="005A633B"/>
    <w:rsid w:val="005B465A"/>
    <w:rsid w:val="005B5870"/>
    <w:rsid w:val="005B5BE5"/>
    <w:rsid w:val="005B6BD0"/>
    <w:rsid w:val="005B7703"/>
    <w:rsid w:val="005C082A"/>
    <w:rsid w:val="005C0BD6"/>
    <w:rsid w:val="005C1999"/>
    <w:rsid w:val="005C25AC"/>
    <w:rsid w:val="005C379D"/>
    <w:rsid w:val="005C4FC2"/>
    <w:rsid w:val="005C534F"/>
    <w:rsid w:val="005C567C"/>
    <w:rsid w:val="005C5E3D"/>
    <w:rsid w:val="005C6F22"/>
    <w:rsid w:val="005C765F"/>
    <w:rsid w:val="005D1493"/>
    <w:rsid w:val="005D235C"/>
    <w:rsid w:val="005D2FF6"/>
    <w:rsid w:val="005D4817"/>
    <w:rsid w:val="005D5320"/>
    <w:rsid w:val="005D538D"/>
    <w:rsid w:val="005D6E13"/>
    <w:rsid w:val="005E0221"/>
    <w:rsid w:val="005E0AB1"/>
    <w:rsid w:val="005E0E92"/>
    <w:rsid w:val="005E1378"/>
    <w:rsid w:val="005E1B47"/>
    <w:rsid w:val="005E27CA"/>
    <w:rsid w:val="005E30DB"/>
    <w:rsid w:val="005E4364"/>
    <w:rsid w:val="005E44B0"/>
    <w:rsid w:val="005E48E4"/>
    <w:rsid w:val="005E576D"/>
    <w:rsid w:val="005E6222"/>
    <w:rsid w:val="005E66F2"/>
    <w:rsid w:val="005E6C38"/>
    <w:rsid w:val="005E73FF"/>
    <w:rsid w:val="005E7519"/>
    <w:rsid w:val="005F150D"/>
    <w:rsid w:val="005F259B"/>
    <w:rsid w:val="005F3529"/>
    <w:rsid w:val="005F3A2E"/>
    <w:rsid w:val="005F3DC8"/>
    <w:rsid w:val="005F3ED5"/>
    <w:rsid w:val="005F573D"/>
    <w:rsid w:val="005F62E0"/>
    <w:rsid w:val="005F6607"/>
    <w:rsid w:val="005F74D7"/>
    <w:rsid w:val="006006BB"/>
    <w:rsid w:val="00600926"/>
    <w:rsid w:val="0060173F"/>
    <w:rsid w:val="00603263"/>
    <w:rsid w:val="00604CF3"/>
    <w:rsid w:val="00611A2E"/>
    <w:rsid w:val="0061202D"/>
    <w:rsid w:val="006122B5"/>
    <w:rsid w:val="00613609"/>
    <w:rsid w:val="00614F21"/>
    <w:rsid w:val="00620E44"/>
    <w:rsid w:val="006219B4"/>
    <w:rsid w:val="00621A62"/>
    <w:rsid w:val="00622816"/>
    <w:rsid w:val="00626F2A"/>
    <w:rsid w:val="0062725B"/>
    <w:rsid w:val="00630D9E"/>
    <w:rsid w:val="006310A4"/>
    <w:rsid w:val="00633166"/>
    <w:rsid w:val="0063422F"/>
    <w:rsid w:val="006374D3"/>
    <w:rsid w:val="006405EE"/>
    <w:rsid w:val="00641912"/>
    <w:rsid w:val="00642C2A"/>
    <w:rsid w:val="00644A57"/>
    <w:rsid w:val="00645DCA"/>
    <w:rsid w:val="00646470"/>
    <w:rsid w:val="0064668E"/>
    <w:rsid w:val="00647072"/>
    <w:rsid w:val="006470A2"/>
    <w:rsid w:val="00647BA5"/>
    <w:rsid w:val="00650202"/>
    <w:rsid w:val="00650C35"/>
    <w:rsid w:val="0065179E"/>
    <w:rsid w:val="00651D2D"/>
    <w:rsid w:val="00651F0E"/>
    <w:rsid w:val="00652602"/>
    <w:rsid w:val="006535A3"/>
    <w:rsid w:val="00653C7D"/>
    <w:rsid w:val="0065449B"/>
    <w:rsid w:val="00656622"/>
    <w:rsid w:val="006567D5"/>
    <w:rsid w:val="00656CD0"/>
    <w:rsid w:val="00656D67"/>
    <w:rsid w:val="0065753F"/>
    <w:rsid w:val="0065779B"/>
    <w:rsid w:val="00657A18"/>
    <w:rsid w:val="00660A29"/>
    <w:rsid w:val="0066148F"/>
    <w:rsid w:val="00661597"/>
    <w:rsid w:val="00661C90"/>
    <w:rsid w:val="0066221B"/>
    <w:rsid w:val="00662987"/>
    <w:rsid w:val="0066445B"/>
    <w:rsid w:val="00664759"/>
    <w:rsid w:val="006648DE"/>
    <w:rsid w:val="0066715A"/>
    <w:rsid w:val="0067092E"/>
    <w:rsid w:val="00670C71"/>
    <w:rsid w:val="00673449"/>
    <w:rsid w:val="00673557"/>
    <w:rsid w:val="00673F09"/>
    <w:rsid w:val="00676225"/>
    <w:rsid w:val="00677BA7"/>
    <w:rsid w:val="00680152"/>
    <w:rsid w:val="00680F72"/>
    <w:rsid w:val="00681DF2"/>
    <w:rsid w:val="006825F3"/>
    <w:rsid w:val="006837CA"/>
    <w:rsid w:val="006853AD"/>
    <w:rsid w:val="00687114"/>
    <w:rsid w:val="00687296"/>
    <w:rsid w:val="006912E0"/>
    <w:rsid w:val="00692DDC"/>
    <w:rsid w:val="00693655"/>
    <w:rsid w:val="006936D5"/>
    <w:rsid w:val="0069386C"/>
    <w:rsid w:val="00693CA6"/>
    <w:rsid w:val="0069587C"/>
    <w:rsid w:val="00695B25"/>
    <w:rsid w:val="006968D2"/>
    <w:rsid w:val="00696EEF"/>
    <w:rsid w:val="006972A9"/>
    <w:rsid w:val="00697885"/>
    <w:rsid w:val="00697C60"/>
    <w:rsid w:val="00697F41"/>
    <w:rsid w:val="006A09A5"/>
    <w:rsid w:val="006A09E1"/>
    <w:rsid w:val="006A1C83"/>
    <w:rsid w:val="006A35EA"/>
    <w:rsid w:val="006A527C"/>
    <w:rsid w:val="006A5B14"/>
    <w:rsid w:val="006A747D"/>
    <w:rsid w:val="006B119C"/>
    <w:rsid w:val="006B15A3"/>
    <w:rsid w:val="006B1D64"/>
    <w:rsid w:val="006B1F78"/>
    <w:rsid w:val="006B2DF5"/>
    <w:rsid w:val="006B43B2"/>
    <w:rsid w:val="006B4740"/>
    <w:rsid w:val="006B474D"/>
    <w:rsid w:val="006B4D87"/>
    <w:rsid w:val="006B632E"/>
    <w:rsid w:val="006B6C07"/>
    <w:rsid w:val="006B7520"/>
    <w:rsid w:val="006B76D1"/>
    <w:rsid w:val="006C1266"/>
    <w:rsid w:val="006C1806"/>
    <w:rsid w:val="006C19F7"/>
    <w:rsid w:val="006C31E6"/>
    <w:rsid w:val="006C4834"/>
    <w:rsid w:val="006C48CF"/>
    <w:rsid w:val="006C5E85"/>
    <w:rsid w:val="006C65C3"/>
    <w:rsid w:val="006C727D"/>
    <w:rsid w:val="006C730A"/>
    <w:rsid w:val="006C7524"/>
    <w:rsid w:val="006C7A61"/>
    <w:rsid w:val="006D01C1"/>
    <w:rsid w:val="006D4843"/>
    <w:rsid w:val="006D6BF2"/>
    <w:rsid w:val="006D7351"/>
    <w:rsid w:val="006E020F"/>
    <w:rsid w:val="006E1200"/>
    <w:rsid w:val="006E1D94"/>
    <w:rsid w:val="006E21FD"/>
    <w:rsid w:val="006E24F0"/>
    <w:rsid w:val="006E2576"/>
    <w:rsid w:val="006E2DB3"/>
    <w:rsid w:val="006E340C"/>
    <w:rsid w:val="006E4728"/>
    <w:rsid w:val="006E74F9"/>
    <w:rsid w:val="006E750B"/>
    <w:rsid w:val="006F00E9"/>
    <w:rsid w:val="006F29A1"/>
    <w:rsid w:val="006F3C35"/>
    <w:rsid w:val="006F3CE9"/>
    <w:rsid w:val="006F3EA2"/>
    <w:rsid w:val="006F6B2E"/>
    <w:rsid w:val="006F7A11"/>
    <w:rsid w:val="006F7B9E"/>
    <w:rsid w:val="0070084A"/>
    <w:rsid w:val="00700F7B"/>
    <w:rsid w:val="00701308"/>
    <w:rsid w:val="0070224B"/>
    <w:rsid w:val="00702FCF"/>
    <w:rsid w:val="00703976"/>
    <w:rsid w:val="0070410F"/>
    <w:rsid w:val="007042AC"/>
    <w:rsid w:val="00704870"/>
    <w:rsid w:val="007055DD"/>
    <w:rsid w:val="00705D8F"/>
    <w:rsid w:val="00705FC3"/>
    <w:rsid w:val="007060D1"/>
    <w:rsid w:val="007077E9"/>
    <w:rsid w:val="00707CDA"/>
    <w:rsid w:val="00710070"/>
    <w:rsid w:val="007102E2"/>
    <w:rsid w:val="00711F60"/>
    <w:rsid w:val="007146EC"/>
    <w:rsid w:val="00716394"/>
    <w:rsid w:val="00720665"/>
    <w:rsid w:val="00720F80"/>
    <w:rsid w:val="00721414"/>
    <w:rsid w:val="00721718"/>
    <w:rsid w:val="00721D13"/>
    <w:rsid w:val="00721E8D"/>
    <w:rsid w:val="007224B0"/>
    <w:rsid w:val="00722E24"/>
    <w:rsid w:val="007243B4"/>
    <w:rsid w:val="007264ED"/>
    <w:rsid w:val="0072657B"/>
    <w:rsid w:val="00727232"/>
    <w:rsid w:val="00730884"/>
    <w:rsid w:val="00730FB8"/>
    <w:rsid w:val="00731A8F"/>
    <w:rsid w:val="0073405A"/>
    <w:rsid w:val="00734549"/>
    <w:rsid w:val="00734A09"/>
    <w:rsid w:val="007370D3"/>
    <w:rsid w:val="00740EBB"/>
    <w:rsid w:val="007414F9"/>
    <w:rsid w:val="00745C71"/>
    <w:rsid w:val="007501B1"/>
    <w:rsid w:val="00753797"/>
    <w:rsid w:val="00757248"/>
    <w:rsid w:val="00757515"/>
    <w:rsid w:val="00757A55"/>
    <w:rsid w:val="00757B37"/>
    <w:rsid w:val="00760092"/>
    <w:rsid w:val="007607CB"/>
    <w:rsid w:val="00762672"/>
    <w:rsid w:val="007637F6"/>
    <w:rsid w:val="00763E15"/>
    <w:rsid w:val="00764AE3"/>
    <w:rsid w:val="00764FD4"/>
    <w:rsid w:val="007664A8"/>
    <w:rsid w:val="00766A4F"/>
    <w:rsid w:val="00766C79"/>
    <w:rsid w:val="00767C02"/>
    <w:rsid w:val="007703C9"/>
    <w:rsid w:val="00771844"/>
    <w:rsid w:val="007721D1"/>
    <w:rsid w:val="0077240D"/>
    <w:rsid w:val="00772CDA"/>
    <w:rsid w:val="0077352C"/>
    <w:rsid w:val="0077480E"/>
    <w:rsid w:val="007752B9"/>
    <w:rsid w:val="0078019B"/>
    <w:rsid w:val="00781440"/>
    <w:rsid w:val="00783875"/>
    <w:rsid w:val="00784D20"/>
    <w:rsid w:val="00786000"/>
    <w:rsid w:val="0078645E"/>
    <w:rsid w:val="0078646A"/>
    <w:rsid w:val="00786582"/>
    <w:rsid w:val="00786FC6"/>
    <w:rsid w:val="007871E9"/>
    <w:rsid w:val="007877B5"/>
    <w:rsid w:val="00790350"/>
    <w:rsid w:val="00790806"/>
    <w:rsid w:val="00791277"/>
    <w:rsid w:val="00792D1E"/>
    <w:rsid w:val="00793077"/>
    <w:rsid w:val="00793D66"/>
    <w:rsid w:val="00793E77"/>
    <w:rsid w:val="0079432B"/>
    <w:rsid w:val="00794B1E"/>
    <w:rsid w:val="00794C11"/>
    <w:rsid w:val="00794FBC"/>
    <w:rsid w:val="007952F6"/>
    <w:rsid w:val="00795BC8"/>
    <w:rsid w:val="00795EFC"/>
    <w:rsid w:val="007A0DA7"/>
    <w:rsid w:val="007A1D08"/>
    <w:rsid w:val="007A1D48"/>
    <w:rsid w:val="007A3AF0"/>
    <w:rsid w:val="007A3C04"/>
    <w:rsid w:val="007A4CD2"/>
    <w:rsid w:val="007A55E5"/>
    <w:rsid w:val="007A74E2"/>
    <w:rsid w:val="007B3AE0"/>
    <w:rsid w:val="007B3DD7"/>
    <w:rsid w:val="007B4CFF"/>
    <w:rsid w:val="007B4EF4"/>
    <w:rsid w:val="007B57B0"/>
    <w:rsid w:val="007B6903"/>
    <w:rsid w:val="007B7934"/>
    <w:rsid w:val="007C0AB0"/>
    <w:rsid w:val="007C2A3D"/>
    <w:rsid w:val="007C3482"/>
    <w:rsid w:val="007C3ADC"/>
    <w:rsid w:val="007C3E55"/>
    <w:rsid w:val="007C457A"/>
    <w:rsid w:val="007C6216"/>
    <w:rsid w:val="007C67D7"/>
    <w:rsid w:val="007C6DA9"/>
    <w:rsid w:val="007C6EE7"/>
    <w:rsid w:val="007C7AD3"/>
    <w:rsid w:val="007D05F5"/>
    <w:rsid w:val="007D0D9F"/>
    <w:rsid w:val="007D0E5B"/>
    <w:rsid w:val="007D18A8"/>
    <w:rsid w:val="007D28BB"/>
    <w:rsid w:val="007D2E8C"/>
    <w:rsid w:val="007D3951"/>
    <w:rsid w:val="007D3E7F"/>
    <w:rsid w:val="007D3FAD"/>
    <w:rsid w:val="007D43CC"/>
    <w:rsid w:val="007D4860"/>
    <w:rsid w:val="007D5594"/>
    <w:rsid w:val="007E0114"/>
    <w:rsid w:val="007E020B"/>
    <w:rsid w:val="007E104C"/>
    <w:rsid w:val="007E1FEF"/>
    <w:rsid w:val="007E2816"/>
    <w:rsid w:val="007E3DD5"/>
    <w:rsid w:val="007E4F99"/>
    <w:rsid w:val="007E5564"/>
    <w:rsid w:val="007E651C"/>
    <w:rsid w:val="007E6D7C"/>
    <w:rsid w:val="007E73B7"/>
    <w:rsid w:val="007F18E3"/>
    <w:rsid w:val="007F1DFC"/>
    <w:rsid w:val="007F2CAF"/>
    <w:rsid w:val="007F2DCB"/>
    <w:rsid w:val="007F3F4B"/>
    <w:rsid w:val="007F4398"/>
    <w:rsid w:val="007F4797"/>
    <w:rsid w:val="007F4ABC"/>
    <w:rsid w:val="007F63EB"/>
    <w:rsid w:val="007F6DC1"/>
    <w:rsid w:val="007F7B50"/>
    <w:rsid w:val="00800795"/>
    <w:rsid w:val="00800F17"/>
    <w:rsid w:val="00801098"/>
    <w:rsid w:val="00801232"/>
    <w:rsid w:val="00801A79"/>
    <w:rsid w:val="00802B69"/>
    <w:rsid w:val="00803392"/>
    <w:rsid w:val="0080374B"/>
    <w:rsid w:val="00803A5B"/>
    <w:rsid w:val="00805025"/>
    <w:rsid w:val="0080615B"/>
    <w:rsid w:val="0080638B"/>
    <w:rsid w:val="008066D4"/>
    <w:rsid w:val="00807880"/>
    <w:rsid w:val="0081099A"/>
    <w:rsid w:val="008110D8"/>
    <w:rsid w:val="008120EE"/>
    <w:rsid w:val="008125DC"/>
    <w:rsid w:val="0081433A"/>
    <w:rsid w:val="00815743"/>
    <w:rsid w:val="008157A1"/>
    <w:rsid w:val="00815F7D"/>
    <w:rsid w:val="00816023"/>
    <w:rsid w:val="00817115"/>
    <w:rsid w:val="0082036E"/>
    <w:rsid w:val="00820F49"/>
    <w:rsid w:val="00821350"/>
    <w:rsid w:val="00821483"/>
    <w:rsid w:val="00823072"/>
    <w:rsid w:val="00823481"/>
    <w:rsid w:val="00823F49"/>
    <w:rsid w:val="00824EE6"/>
    <w:rsid w:val="00825073"/>
    <w:rsid w:val="00826F39"/>
    <w:rsid w:val="00827426"/>
    <w:rsid w:val="00827518"/>
    <w:rsid w:val="00827977"/>
    <w:rsid w:val="00830B4F"/>
    <w:rsid w:val="00830D4B"/>
    <w:rsid w:val="0083108E"/>
    <w:rsid w:val="0083307A"/>
    <w:rsid w:val="008331A5"/>
    <w:rsid w:val="008341C5"/>
    <w:rsid w:val="00834A50"/>
    <w:rsid w:val="00835589"/>
    <w:rsid w:val="0083572F"/>
    <w:rsid w:val="00837B16"/>
    <w:rsid w:val="008401E0"/>
    <w:rsid w:val="0084028A"/>
    <w:rsid w:val="00840E00"/>
    <w:rsid w:val="008418D2"/>
    <w:rsid w:val="00841999"/>
    <w:rsid w:val="00841EBB"/>
    <w:rsid w:val="00842CA1"/>
    <w:rsid w:val="00842F01"/>
    <w:rsid w:val="0084311F"/>
    <w:rsid w:val="00844108"/>
    <w:rsid w:val="00844B1D"/>
    <w:rsid w:val="00844F8E"/>
    <w:rsid w:val="00846DA4"/>
    <w:rsid w:val="00847F64"/>
    <w:rsid w:val="008502F2"/>
    <w:rsid w:val="00850983"/>
    <w:rsid w:val="00852A67"/>
    <w:rsid w:val="0085456F"/>
    <w:rsid w:val="00855737"/>
    <w:rsid w:val="0085747E"/>
    <w:rsid w:val="00860EFA"/>
    <w:rsid w:val="00861165"/>
    <w:rsid w:val="0086191C"/>
    <w:rsid w:val="008626A4"/>
    <w:rsid w:val="00863FD2"/>
    <w:rsid w:val="008641DC"/>
    <w:rsid w:val="008651AD"/>
    <w:rsid w:val="00866173"/>
    <w:rsid w:val="00866752"/>
    <w:rsid w:val="00867070"/>
    <w:rsid w:val="00870193"/>
    <w:rsid w:val="00871A7D"/>
    <w:rsid w:val="00871BCE"/>
    <w:rsid w:val="0087255A"/>
    <w:rsid w:val="00873FDF"/>
    <w:rsid w:val="008753FE"/>
    <w:rsid w:val="008812DB"/>
    <w:rsid w:val="00881485"/>
    <w:rsid w:val="00881508"/>
    <w:rsid w:val="00881B9C"/>
    <w:rsid w:val="008833C9"/>
    <w:rsid w:val="00883B7F"/>
    <w:rsid w:val="00883EE4"/>
    <w:rsid w:val="00883F65"/>
    <w:rsid w:val="008854FA"/>
    <w:rsid w:val="008869CF"/>
    <w:rsid w:val="00886ACE"/>
    <w:rsid w:val="008878B1"/>
    <w:rsid w:val="00887C6A"/>
    <w:rsid w:val="00891E77"/>
    <w:rsid w:val="008928E4"/>
    <w:rsid w:val="00892D97"/>
    <w:rsid w:val="00894B9C"/>
    <w:rsid w:val="00894DEA"/>
    <w:rsid w:val="00897344"/>
    <w:rsid w:val="008A04A2"/>
    <w:rsid w:val="008A0790"/>
    <w:rsid w:val="008A1B8B"/>
    <w:rsid w:val="008A2D25"/>
    <w:rsid w:val="008A4F51"/>
    <w:rsid w:val="008A55E1"/>
    <w:rsid w:val="008A57FA"/>
    <w:rsid w:val="008A7E71"/>
    <w:rsid w:val="008B005A"/>
    <w:rsid w:val="008B0D95"/>
    <w:rsid w:val="008B1384"/>
    <w:rsid w:val="008B17E5"/>
    <w:rsid w:val="008B194C"/>
    <w:rsid w:val="008B1EF1"/>
    <w:rsid w:val="008B2685"/>
    <w:rsid w:val="008B26CF"/>
    <w:rsid w:val="008B41C4"/>
    <w:rsid w:val="008B4EA3"/>
    <w:rsid w:val="008B5C60"/>
    <w:rsid w:val="008B5E71"/>
    <w:rsid w:val="008B5F8B"/>
    <w:rsid w:val="008B619A"/>
    <w:rsid w:val="008B6A19"/>
    <w:rsid w:val="008B7E73"/>
    <w:rsid w:val="008C076D"/>
    <w:rsid w:val="008C1845"/>
    <w:rsid w:val="008C235E"/>
    <w:rsid w:val="008C39E0"/>
    <w:rsid w:val="008C4403"/>
    <w:rsid w:val="008C44E4"/>
    <w:rsid w:val="008C4D84"/>
    <w:rsid w:val="008C4E3A"/>
    <w:rsid w:val="008C4E9B"/>
    <w:rsid w:val="008C7116"/>
    <w:rsid w:val="008C7EB2"/>
    <w:rsid w:val="008D00B0"/>
    <w:rsid w:val="008D00BF"/>
    <w:rsid w:val="008D0C4F"/>
    <w:rsid w:val="008D1623"/>
    <w:rsid w:val="008D1965"/>
    <w:rsid w:val="008D1CAD"/>
    <w:rsid w:val="008D27B7"/>
    <w:rsid w:val="008D2C1D"/>
    <w:rsid w:val="008D307D"/>
    <w:rsid w:val="008D4102"/>
    <w:rsid w:val="008D46F2"/>
    <w:rsid w:val="008D4C2F"/>
    <w:rsid w:val="008D53E8"/>
    <w:rsid w:val="008D58FB"/>
    <w:rsid w:val="008D5965"/>
    <w:rsid w:val="008D73EE"/>
    <w:rsid w:val="008E1236"/>
    <w:rsid w:val="008E28C7"/>
    <w:rsid w:val="008E4670"/>
    <w:rsid w:val="008E755F"/>
    <w:rsid w:val="008E7E9C"/>
    <w:rsid w:val="008F5236"/>
    <w:rsid w:val="008F539D"/>
    <w:rsid w:val="008F5B80"/>
    <w:rsid w:val="008F5FD8"/>
    <w:rsid w:val="008F6B12"/>
    <w:rsid w:val="008F7BD0"/>
    <w:rsid w:val="0090105E"/>
    <w:rsid w:val="009022E7"/>
    <w:rsid w:val="00902401"/>
    <w:rsid w:val="009029D9"/>
    <w:rsid w:val="009035C9"/>
    <w:rsid w:val="009041AF"/>
    <w:rsid w:val="0090442B"/>
    <w:rsid w:val="009045B3"/>
    <w:rsid w:val="00904624"/>
    <w:rsid w:val="009049F1"/>
    <w:rsid w:val="009053FF"/>
    <w:rsid w:val="009054A7"/>
    <w:rsid w:val="00905A23"/>
    <w:rsid w:val="009106FA"/>
    <w:rsid w:val="00912AFF"/>
    <w:rsid w:val="00913B7C"/>
    <w:rsid w:val="00914C88"/>
    <w:rsid w:val="009205A4"/>
    <w:rsid w:val="00920CF8"/>
    <w:rsid w:val="009210F6"/>
    <w:rsid w:val="00921369"/>
    <w:rsid w:val="0092140F"/>
    <w:rsid w:val="00922411"/>
    <w:rsid w:val="00922DBF"/>
    <w:rsid w:val="00923E04"/>
    <w:rsid w:val="00924150"/>
    <w:rsid w:val="009249CB"/>
    <w:rsid w:val="00926D57"/>
    <w:rsid w:val="00931F2B"/>
    <w:rsid w:val="0093205C"/>
    <w:rsid w:val="00932103"/>
    <w:rsid w:val="00932B89"/>
    <w:rsid w:val="0093366C"/>
    <w:rsid w:val="0093637E"/>
    <w:rsid w:val="00936B5A"/>
    <w:rsid w:val="00937493"/>
    <w:rsid w:val="00937EE3"/>
    <w:rsid w:val="00940776"/>
    <w:rsid w:val="00941D36"/>
    <w:rsid w:val="00942B89"/>
    <w:rsid w:val="009439DB"/>
    <w:rsid w:val="009463B3"/>
    <w:rsid w:val="00946DEB"/>
    <w:rsid w:val="009470F7"/>
    <w:rsid w:val="00950721"/>
    <w:rsid w:val="00951E76"/>
    <w:rsid w:val="00952004"/>
    <w:rsid w:val="00952C37"/>
    <w:rsid w:val="009531F6"/>
    <w:rsid w:val="009538C0"/>
    <w:rsid w:val="00954861"/>
    <w:rsid w:val="00954CEA"/>
    <w:rsid w:val="00955017"/>
    <w:rsid w:val="009550EA"/>
    <w:rsid w:val="00955BFF"/>
    <w:rsid w:val="00955CEE"/>
    <w:rsid w:val="00956B1A"/>
    <w:rsid w:val="00957FE7"/>
    <w:rsid w:val="0096128F"/>
    <w:rsid w:val="00962721"/>
    <w:rsid w:val="009638C0"/>
    <w:rsid w:val="00965AFD"/>
    <w:rsid w:val="009678AC"/>
    <w:rsid w:val="009679E5"/>
    <w:rsid w:val="0097097C"/>
    <w:rsid w:val="00970C39"/>
    <w:rsid w:val="009727BB"/>
    <w:rsid w:val="00972B45"/>
    <w:rsid w:val="0097396C"/>
    <w:rsid w:val="0097413F"/>
    <w:rsid w:val="00975312"/>
    <w:rsid w:val="00975398"/>
    <w:rsid w:val="009763AA"/>
    <w:rsid w:val="009767E6"/>
    <w:rsid w:val="009769B6"/>
    <w:rsid w:val="00981493"/>
    <w:rsid w:val="00981A78"/>
    <w:rsid w:val="00983255"/>
    <w:rsid w:val="00983DD9"/>
    <w:rsid w:val="00985784"/>
    <w:rsid w:val="00985AFE"/>
    <w:rsid w:val="009879C4"/>
    <w:rsid w:val="0099109C"/>
    <w:rsid w:val="00991D95"/>
    <w:rsid w:val="00992582"/>
    <w:rsid w:val="00993493"/>
    <w:rsid w:val="00993827"/>
    <w:rsid w:val="00996294"/>
    <w:rsid w:val="00996819"/>
    <w:rsid w:val="00997748"/>
    <w:rsid w:val="009A12B5"/>
    <w:rsid w:val="009A1D1C"/>
    <w:rsid w:val="009A3B3F"/>
    <w:rsid w:val="009A3E61"/>
    <w:rsid w:val="009A416F"/>
    <w:rsid w:val="009A57B0"/>
    <w:rsid w:val="009A686F"/>
    <w:rsid w:val="009A712F"/>
    <w:rsid w:val="009A716E"/>
    <w:rsid w:val="009A7525"/>
    <w:rsid w:val="009A79F9"/>
    <w:rsid w:val="009B0EA5"/>
    <w:rsid w:val="009B2DE0"/>
    <w:rsid w:val="009B4082"/>
    <w:rsid w:val="009B4F31"/>
    <w:rsid w:val="009B686D"/>
    <w:rsid w:val="009B7050"/>
    <w:rsid w:val="009B7665"/>
    <w:rsid w:val="009B7ED9"/>
    <w:rsid w:val="009C11FF"/>
    <w:rsid w:val="009C1CEE"/>
    <w:rsid w:val="009C1D94"/>
    <w:rsid w:val="009C2E7F"/>
    <w:rsid w:val="009C2F62"/>
    <w:rsid w:val="009C358A"/>
    <w:rsid w:val="009D000A"/>
    <w:rsid w:val="009D0FCD"/>
    <w:rsid w:val="009D14E5"/>
    <w:rsid w:val="009D2A5E"/>
    <w:rsid w:val="009D3135"/>
    <w:rsid w:val="009D3300"/>
    <w:rsid w:val="009D3D07"/>
    <w:rsid w:val="009D4927"/>
    <w:rsid w:val="009D546D"/>
    <w:rsid w:val="009D6530"/>
    <w:rsid w:val="009D6C9D"/>
    <w:rsid w:val="009D72A5"/>
    <w:rsid w:val="009D73D2"/>
    <w:rsid w:val="009D7DE1"/>
    <w:rsid w:val="009D7FBB"/>
    <w:rsid w:val="009E054D"/>
    <w:rsid w:val="009E0DA1"/>
    <w:rsid w:val="009E0E64"/>
    <w:rsid w:val="009E189C"/>
    <w:rsid w:val="009E1D43"/>
    <w:rsid w:val="009E2059"/>
    <w:rsid w:val="009E26CA"/>
    <w:rsid w:val="009E3A1D"/>
    <w:rsid w:val="009E3E51"/>
    <w:rsid w:val="009E4495"/>
    <w:rsid w:val="009E6060"/>
    <w:rsid w:val="009E62D4"/>
    <w:rsid w:val="009E6FD3"/>
    <w:rsid w:val="009E7B78"/>
    <w:rsid w:val="009F121A"/>
    <w:rsid w:val="009F1286"/>
    <w:rsid w:val="009F1DBE"/>
    <w:rsid w:val="009F2E49"/>
    <w:rsid w:val="009F370D"/>
    <w:rsid w:val="009F3B91"/>
    <w:rsid w:val="009F44DA"/>
    <w:rsid w:val="009F4C62"/>
    <w:rsid w:val="009F5CCA"/>
    <w:rsid w:val="009F628E"/>
    <w:rsid w:val="009F7351"/>
    <w:rsid w:val="009F79CA"/>
    <w:rsid w:val="00A00065"/>
    <w:rsid w:val="00A03983"/>
    <w:rsid w:val="00A03D9B"/>
    <w:rsid w:val="00A04362"/>
    <w:rsid w:val="00A05077"/>
    <w:rsid w:val="00A053EC"/>
    <w:rsid w:val="00A05878"/>
    <w:rsid w:val="00A06004"/>
    <w:rsid w:val="00A063B4"/>
    <w:rsid w:val="00A06FD3"/>
    <w:rsid w:val="00A07A21"/>
    <w:rsid w:val="00A109D8"/>
    <w:rsid w:val="00A12672"/>
    <w:rsid w:val="00A134D4"/>
    <w:rsid w:val="00A1487F"/>
    <w:rsid w:val="00A149B1"/>
    <w:rsid w:val="00A149CC"/>
    <w:rsid w:val="00A15185"/>
    <w:rsid w:val="00A152DE"/>
    <w:rsid w:val="00A1749B"/>
    <w:rsid w:val="00A20C3B"/>
    <w:rsid w:val="00A216EF"/>
    <w:rsid w:val="00A21883"/>
    <w:rsid w:val="00A22C77"/>
    <w:rsid w:val="00A22CB8"/>
    <w:rsid w:val="00A22EA1"/>
    <w:rsid w:val="00A2346F"/>
    <w:rsid w:val="00A24ADD"/>
    <w:rsid w:val="00A25156"/>
    <w:rsid w:val="00A258E3"/>
    <w:rsid w:val="00A2795C"/>
    <w:rsid w:val="00A27994"/>
    <w:rsid w:val="00A300B0"/>
    <w:rsid w:val="00A301AE"/>
    <w:rsid w:val="00A301C3"/>
    <w:rsid w:val="00A301D6"/>
    <w:rsid w:val="00A30A46"/>
    <w:rsid w:val="00A311B4"/>
    <w:rsid w:val="00A33811"/>
    <w:rsid w:val="00A33E0E"/>
    <w:rsid w:val="00A34725"/>
    <w:rsid w:val="00A34BE7"/>
    <w:rsid w:val="00A34E0D"/>
    <w:rsid w:val="00A35C01"/>
    <w:rsid w:val="00A370B3"/>
    <w:rsid w:val="00A374BA"/>
    <w:rsid w:val="00A40286"/>
    <w:rsid w:val="00A40DD4"/>
    <w:rsid w:val="00A4105D"/>
    <w:rsid w:val="00A41456"/>
    <w:rsid w:val="00A41B43"/>
    <w:rsid w:val="00A426FA"/>
    <w:rsid w:val="00A4484B"/>
    <w:rsid w:val="00A44A83"/>
    <w:rsid w:val="00A4634A"/>
    <w:rsid w:val="00A46920"/>
    <w:rsid w:val="00A5152B"/>
    <w:rsid w:val="00A5173F"/>
    <w:rsid w:val="00A51994"/>
    <w:rsid w:val="00A51AD3"/>
    <w:rsid w:val="00A5239C"/>
    <w:rsid w:val="00A52B52"/>
    <w:rsid w:val="00A53433"/>
    <w:rsid w:val="00A534CD"/>
    <w:rsid w:val="00A53DB1"/>
    <w:rsid w:val="00A5405D"/>
    <w:rsid w:val="00A54133"/>
    <w:rsid w:val="00A55B4E"/>
    <w:rsid w:val="00A56B8F"/>
    <w:rsid w:val="00A57529"/>
    <w:rsid w:val="00A605BE"/>
    <w:rsid w:val="00A608C3"/>
    <w:rsid w:val="00A60A3F"/>
    <w:rsid w:val="00A60A94"/>
    <w:rsid w:val="00A62678"/>
    <w:rsid w:val="00A644FE"/>
    <w:rsid w:val="00A67D99"/>
    <w:rsid w:val="00A72BB3"/>
    <w:rsid w:val="00A730BB"/>
    <w:rsid w:val="00A74814"/>
    <w:rsid w:val="00A75447"/>
    <w:rsid w:val="00A774F3"/>
    <w:rsid w:val="00A77A13"/>
    <w:rsid w:val="00A77A1E"/>
    <w:rsid w:val="00A81B0A"/>
    <w:rsid w:val="00A820D3"/>
    <w:rsid w:val="00A84C59"/>
    <w:rsid w:val="00A85F85"/>
    <w:rsid w:val="00A86DB3"/>
    <w:rsid w:val="00A8784F"/>
    <w:rsid w:val="00A92ABC"/>
    <w:rsid w:val="00A92FAB"/>
    <w:rsid w:val="00A93396"/>
    <w:rsid w:val="00A93C36"/>
    <w:rsid w:val="00A9628C"/>
    <w:rsid w:val="00A96360"/>
    <w:rsid w:val="00A966A5"/>
    <w:rsid w:val="00A977A6"/>
    <w:rsid w:val="00A97C5C"/>
    <w:rsid w:val="00AA006D"/>
    <w:rsid w:val="00AA38B2"/>
    <w:rsid w:val="00AA4776"/>
    <w:rsid w:val="00AA4BDB"/>
    <w:rsid w:val="00AA57DB"/>
    <w:rsid w:val="00AA6519"/>
    <w:rsid w:val="00AA6BC7"/>
    <w:rsid w:val="00AA6D52"/>
    <w:rsid w:val="00AB02CD"/>
    <w:rsid w:val="00AB2410"/>
    <w:rsid w:val="00AB3706"/>
    <w:rsid w:val="00AB3E40"/>
    <w:rsid w:val="00AB7F03"/>
    <w:rsid w:val="00AC00C0"/>
    <w:rsid w:val="00AC01A3"/>
    <w:rsid w:val="00AC1B4C"/>
    <w:rsid w:val="00AC2C3B"/>
    <w:rsid w:val="00AC36E0"/>
    <w:rsid w:val="00AC3C22"/>
    <w:rsid w:val="00AC5D90"/>
    <w:rsid w:val="00AC5E18"/>
    <w:rsid w:val="00AC5ED4"/>
    <w:rsid w:val="00AC6467"/>
    <w:rsid w:val="00AC7CF5"/>
    <w:rsid w:val="00AC7FB5"/>
    <w:rsid w:val="00AD0101"/>
    <w:rsid w:val="00AD03EA"/>
    <w:rsid w:val="00AD2A53"/>
    <w:rsid w:val="00AD2BCA"/>
    <w:rsid w:val="00AD4A66"/>
    <w:rsid w:val="00AD6497"/>
    <w:rsid w:val="00AD67F6"/>
    <w:rsid w:val="00AE15F3"/>
    <w:rsid w:val="00AE1FE9"/>
    <w:rsid w:val="00AE3626"/>
    <w:rsid w:val="00AE377D"/>
    <w:rsid w:val="00AE4AC3"/>
    <w:rsid w:val="00AE5084"/>
    <w:rsid w:val="00AE7909"/>
    <w:rsid w:val="00AE7B69"/>
    <w:rsid w:val="00AF02F2"/>
    <w:rsid w:val="00AF093E"/>
    <w:rsid w:val="00AF0E3A"/>
    <w:rsid w:val="00AF0FBA"/>
    <w:rsid w:val="00AF2F50"/>
    <w:rsid w:val="00AF4980"/>
    <w:rsid w:val="00AF5EEA"/>
    <w:rsid w:val="00AF6347"/>
    <w:rsid w:val="00AF7AF4"/>
    <w:rsid w:val="00B00489"/>
    <w:rsid w:val="00B0076E"/>
    <w:rsid w:val="00B0176D"/>
    <w:rsid w:val="00B02445"/>
    <w:rsid w:val="00B03FDA"/>
    <w:rsid w:val="00B05CD4"/>
    <w:rsid w:val="00B06DB2"/>
    <w:rsid w:val="00B07C65"/>
    <w:rsid w:val="00B12690"/>
    <w:rsid w:val="00B13315"/>
    <w:rsid w:val="00B148B9"/>
    <w:rsid w:val="00B1592A"/>
    <w:rsid w:val="00B175D5"/>
    <w:rsid w:val="00B21E1B"/>
    <w:rsid w:val="00B22AA3"/>
    <w:rsid w:val="00B22CEE"/>
    <w:rsid w:val="00B22EE1"/>
    <w:rsid w:val="00B23FD0"/>
    <w:rsid w:val="00B245FD"/>
    <w:rsid w:val="00B249CF"/>
    <w:rsid w:val="00B2689A"/>
    <w:rsid w:val="00B325B5"/>
    <w:rsid w:val="00B333E3"/>
    <w:rsid w:val="00B33E77"/>
    <w:rsid w:val="00B34699"/>
    <w:rsid w:val="00B357A2"/>
    <w:rsid w:val="00B35FB3"/>
    <w:rsid w:val="00B36F36"/>
    <w:rsid w:val="00B40CEE"/>
    <w:rsid w:val="00B4110A"/>
    <w:rsid w:val="00B41CAC"/>
    <w:rsid w:val="00B4252F"/>
    <w:rsid w:val="00B433CC"/>
    <w:rsid w:val="00B435A7"/>
    <w:rsid w:val="00B444AC"/>
    <w:rsid w:val="00B451D0"/>
    <w:rsid w:val="00B45C95"/>
    <w:rsid w:val="00B464FA"/>
    <w:rsid w:val="00B4658D"/>
    <w:rsid w:val="00B50305"/>
    <w:rsid w:val="00B50DD3"/>
    <w:rsid w:val="00B538D7"/>
    <w:rsid w:val="00B55712"/>
    <w:rsid w:val="00B55C86"/>
    <w:rsid w:val="00B56341"/>
    <w:rsid w:val="00B567AE"/>
    <w:rsid w:val="00B62161"/>
    <w:rsid w:val="00B62F83"/>
    <w:rsid w:val="00B63B4D"/>
    <w:rsid w:val="00B63CAD"/>
    <w:rsid w:val="00B65278"/>
    <w:rsid w:val="00B667A1"/>
    <w:rsid w:val="00B70CA2"/>
    <w:rsid w:val="00B7157C"/>
    <w:rsid w:val="00B727F6"/>
    <w:rsid w:val="00B7416C"/>
    <w:rsid w:val="00B74C73"/>
    <w:rsid w:val="00B75E54"/>
    <w:rsid w:val="00B7627D"/>
    <w:rsid w:val="00B7647E"/>
    <w:rsid w:val="00B76707"/>
    <w:rsid w:val="00B77124"/>
    <w:rsid w:val="00B803DF"/>
    <w:rsid w:val="00B80EC7"/>
    <w:rsid w:val="00B82258"/>
    <w:rsid w:val="00B8258F"/>
    <w:rsid w:val="00B8287F"/>
    <w:rsid w:val="00B828FB"/>
    <w:rsid w:val="00B830CF"/>
    <w:rsid w:val="00B83BA6"/>
    <w:rsid w:val="00B83D2E"/>
    <w:rsid w:val="00B84E1F"/>
    <w:rsid w:val="00B85066"/>
    <w:rsid w:val="00B85723"/>
    <w:rsid w:val="00B8587E"/>
    <w:rsid w:val="00B85B03"/>
    <w:rsid w:val="00B86744"/>
    <w:rsid w:val="00B86BEF"/>
    <w:rsid w:val="00B86EC4"/>
    <w:rsid w:val="00B870A9"/>
    <w:rsid w:val="00B879FC"/>
    <w:rsid w:val="00B87DAE"/>
    <w:rsid w:val="00B900C9"/>
    <w:rsid w:val="00B9363E"/>
    <w:rsid w:val="00B93D28"/>
    <w:rsid w:val="00B94CEB"/>
    <w:rsid w:val="00B95ADE"/>
    <w:rsid w:val="00B95D1C"/>
    <w:rsid w:val="00B95D2C"/>
    <w:rsid w:val="00B97889"/>
    <w:rsid w:val="00B97F55"/>
    <w:rsid w:val="00BA0AF5"/>
    <w:rsid w:val="00BA16DD"/>
    <w:rsid w:val="00BA1A6A"/>
    <w:rsid w:val="00BA1BB9"/>
    <w:rsid w:val="00BA2B77"/>
    <w:rsid w:val="00BA514C"/>
    <w:rsid w:val="00BA6892"/>
    <w:rsid w:val="00BB106E"/>
    <w:rsid w:val="00BB35C6"/>
    <w:rsid w:val="00BB3866"/>
    <w:rsid w:val="00BB6603"/>
    <w:rsid w:val="00BB6623"/>
    <w:rsid w:val="00BB675F"/>
    <w:rsid w:val="00BB68DF"/>
    <w:rsid w:val="00BB6B4B"/>
    <w:rsid w:val="00BB74D1"/>
    <w:rsid w:val="00BB7951"/>
    <w:rsid w:val="00BC1626"/>
    <w:rsid w:val="00BC3C38"/>
    <w:rsid w:val="00BC4155"/>
    <w:rsid w:val="00BC5050"/>
    <w:rsid w:val="00BC57E6"/>
    <w:rsid w:val="00BC6CB5"/>
    <w:rsid w:val="00BD315E"/>
    <w:rsid w:val="00BD31A8"/>
    <w:rsid w:val="00BD4965"/>
    <w:rsid w:val="00BD5FA5"/>
    <w:rsid w:val="00BD65B3"/>
    <w:rsid w:val="00BE11A6"/>
    <w:rsid w:val="00BE1940"/>
    <w:rsid w:val="00BE1D09"/>
    <w:rsid w:val="00BE20E7"/>
    <w:rsid w:val="00BE2EB0"/>
    <w:rsid w:val="00BE3591"/>
    <w:rsid w:val="00BE50DC"/>
    <w:rsid w:val="00BE5BFB"/>
    <w:rsid w:val="00BE5FFE"/>
    <w:rsid w:val="00BF05BF"/>
    <w:rsid w:val="00BF2CCE"/>
    <w:rsid w:val="00BF5A94"/>
    <w:rsid w:val="00BF5CCA"/>
    <w:rsid w:val="00BF647B"/>
    <w:rsid w:val="00BF73B7"/>
    <w:rsid w:val="00C0075A"/>
    <w:rsid w:val="00C03720"/>
    <w:rsid w:val="00C03A51"/>
    <w:rsid w:val="00C040C0"/>
    <w:rsid w:val="00C04FF7"/>
    <w:rsid w:val="00C0504F"/>
    <w:rsid w:val="00C06110"/>
    <w:rsid w:val="00C0793C"/>
    <w:rsid w:val="00C10ACC"/>
    <w:rsid w:val="00C10B72"/>
    <w:rsid w:val="00C10F73"/>
    <w:rsid w:val="00C110E6"/>
    <w:rsid w:val="00C11170"/>
    <w:rsid w:val="00C11567"/>
    <w:rsid w:val="00C13277"/>
    <w:rsid w:val="00C13BC1"/>
    <w:rsid w:val="00C16C0D"/>
    <w:rsid w:val="00C17270"/>
    <w:rsid w:val="00C2033D"/>
    <w:rsid w:val="00C20709"/>
    <w:rsid w:val="00C20883"/>
    <w:rsid w:val="00C20B54"/>
    <w:rsid w:val="00C20EF3"/>
    <w:rsid w:val="00C210FB"/>
    <w:rsid w:val="00C21D2A"/>
    <w:rsid w:val="00C2331E"/>
    <w:rsid w:val="00C2379A"/>
    <w:rsid w:val="00C26679"/>
    <w:rsid w:val="00C267A0"/>
    <w:rsid w:val="00C2685F"/>
    <w:rsid w:val="00C27842"/>
    <w:rsid w:val="00C30D22"/>
    <w:rsid w:val="00C318A5"/>
    <w:rsid w:val="00C3274B"/>
    <w:rsid w:val="00C3432E"/>
    <w:rsid w:val="00C353AF"/>
    <w:rsid w:val="00C356EB"/>
    <w:rsid w:val="00C35D21"/>
    <w:rsid w:val="00C4178E"/>
    <w:rsid w:val="00C41F85"/>
    <w:rsid w:val="00C4216F"/>
    <w:rsid w:val="00C424D2"/>
    <w:rsid w:val="00C43553"/>
    <w:rsid w:val="00C438F6"/>
    <w:rsid w:val="00C44699"/>
    <w:rsid w:val="00C45AEA"/>
    <w:rsid w:val="00C45BE3"/>
    <w:rsid w:val="00C47134"/>
    <w:rsid w:val="00C4777D"/>
    <w:rsid w:val="00C51C95"/>
    <w:rsid w:val="00C5349C"/>
    <w:rsid w:val="00C53DA1"/>
    <w:rsid w:val="00C5552F"/>
    <w:rsid w:val="00C55584"/>
    <w:rsid w:val="00C556FA"/>
    <w:rsid w:val="00C55ABC"/>
    <w:rsid w:val="00C56D5E"/>
    <w:rsid w:val="00C572FE"/>
    <w:rsid w:val="00C574CA"/>
    <w:rsid w:val="00C60DDE"/>
    <w:rsid w:val="00C6125B"/>
    <w:rsid w:val="00C628F5"/>
    <w:rsid w:val="00C6443C"/>
    <w:rsid w:val="00C64560"/>
    <w:rsid w:val="00C64567"/>
    <w:rsid w:val="00C6470A"/>
    <w:rsid w:val="00C64E62"/>
    <w:rsid w:val="00C655BA"/>
    <w:rsid w:val="00C66AAE"/>
    <w:rsid w:val="00C67939"/>
    <w:rsid w:val="00C67ACC"/>
    <w:rsid w:val="00C70073"/>
    <w:rsid w:val="00C7015E"/>
    <w:rsid w:val="00C70845"/>
    <w:rsid w:val="00C7123E"/>
    <w:rsid w:val="00C718CA"/>
    <w:rsid w:val="00C7225D"/>
    <w:rsid w:val="00C73539"/>
    <w:rsid w:val="00C7357C"/>
    <w:rsid w:val="00C744BE"/>
    <w:rsid w:val="00C75A1D"/>
    <w:rsid w:val="00C75D28"/>
    <w:rsid w:val="00C7649A"/>
    <w:rsid w:val="00C7794F"/>
    <w:rsid w:val="00C77CD9"/>
    <w:rsid w:val="00C77D11"/>
    <w:rsid w:val="00C81700"/>
    <w:rsid w:val="00C83E6B"/>
    <w:rsid w:val="00C85398"/>
    <w:rsid w:val="00C8553E"/>
    <w:rsid w:val="00C863B2"/>
    <w:rsid w:val="00C877A4"/>
    <w:rsid w:val="00C87A98"/>
    <w:rsid w:val="00C90D59"/>
    <w:rsid w:val="00C91887"/>
    <w:rsid w:val="00C93D26"/>
    <w:rsid w:val="00C949F1"/>
    <w:rsid w:val="00C94E57"/>
    <w:rsid w:val="00C95963"/>
    <w:rsid w:val="00C963AF"/>
    <w:rsid w:val="00C96D8B"/>
    <w:rsid w:val="00C975D4"/>
    <w:rsid w:val="00C97D45"/>
    <w:rsid w:val="00CA02B4"/>
    <w:rsid w:val="00CA269A"/>
    <w:rsid w:val="00CA2893"/>
    <w:rsid w:val="00CA2A5E"/>
    <w:rsid w:val="00CA33CD"/>
    <w:rsid w:val="00CA3509"/>
    <w:rsid w:val="00CA392D"/>
    <w:rsid w:val="00CA46F2"/>
    <w:rsid w:val="00CA5A45"/>
    <w:rsid w:val="00CA65E0"/>
    <w:rsid w:val="00CA6B38"/>
    <w:rsid w:val="00CA7A14"/>
    <w:rsid w:val="00CB0C82"/>
    <w:rsid w:val="00CB0E90"/>
    <w:rsid w:val="00CB19EE"/>
    <w:rsid w:val="00CB1B9D"/>
    <w:rsid w:val="00CB4820"/>
    <w:rsid w:val="00CB529B"/>
    <w:rsid w:val="00CB5303"/>
    <w:rsid w:val="00CB5A4D"/>
    <w:rsid w:val="00CB5D4D"/>
    <w:rsid w:val="00CB7EE3"/>
    <w:rsid w:val="00CC0D10"/>
    <w:rsid w:val="00CC19BF"/>
    <w:rsid w:val="00CC2092"/>
    <w:rsid w:val="00CC2128"/>
    <w:rsid w:val="00CC31E2"/>
    <w:rsid w:val="00CC31F4"/>
    <w:rsid w:val="00CC3487"/>
    <w:rsid w:val="00CC350A"/>
    <w:rsid w:val="00CC4174"/>
    <w:rsid w:val="00CC4F62"/>
    <w:rsid w:val="00CD0C61"/>
    <w:rsid w:val="00CD0D84"/>
    <w:rsid w:val="00CD1AFF"/>
    <w:rsid w:val="00CD1C70"/>
    <w:rsid w:val="00CD256A"/>
    <w:rsid w:val="00CD25BE"/>
    <w:rsid w:val="00CD4085"/>
    <w:rsid w:val="00CD4475"/>
    <w:rsid w:val="00CD5DDC"/>
    <w:rsid w:val="00CD61B7"/>
    <w:rsid w:val="00CD6C0B"/>
    <w:rsid w:val="00CD6F92"/>
    <w:rsid w:val="00CE131F"/>
    <w:rsid w:val="00CE1E15"/>
    <w:rsid w:val="00CE43AA"/>
    <w:rsid w:val="00CE64A0"/>
    <w:rsid w:val="00CF025E"/>
    <w:rsid w:val="00CF03C3"/>
    <w:rsid w:val="00CF0965"/>
    <w:rsid w:val="00CF0DB5"/>
    <w:rsid w:val="00CF2726"/>
    <w:rsid w:val="00CF495E"/>
    <w:rsid w:val="00CF54BA"/>
    <w:rsid w:val="00CF755C"/>
    <w:rsid w:val="00CF7CAD"/>
    <w:rsid w:val="00D018A4"/>
    <w:rsid w:val="00D02A3D"/>
    <w:rsid w:val="00D02A88"/>
    <w:rsid w:val="00D047DB"/>
    <w:rsid w:val="00D0515C"/>
    <w:rsid w:val="00D05868"/>
    <w:rsid w:val="00D0618F"/>
    <w:rsid w:val="00D07019"/>
    <w:rsid w:val="00D0759D"/>
    <w:rsid w:val="00D1190F"/>
    <w:rsid w:val="00D11F34"/>
    <w:rsid w:val="00D120A9"/>
    <w:rsid w:val="00D129AA"/>
    <w:rsid w:val="00D129D8"/>
    <w:rsid w:val="00D13300"/>
    <w:rsid w:val="00D136C9"/>
    <w:rsid w:val="00D14CE3"/>
    <w:rsid w:val="00D15E9F"/>
    <w:rsid w:val="00D16E7A"/>
    <w:rsid w:val="00D2033B"/>
    <w:rsid w:val="00D20379"/>
    <w:rsid w:val="00D207DD"/>
    <w:rsid w:val="00D25DD3"/>
    <w:rsid w:val="00D2652B"/>
    <w:rsid w:val="00D26CA3"/>
    <w:rsid w:val="00D270D9"/>
    <w:rsid w:val="00D273F6"/>
    <w:rsid w:val="00D27D55"/>
    <w:rsid w:val="00D27EE5"/>
    <w:rsid w:val="00D31D3A"/>
    <w:rsid w:val="00D31E61"/>
    <w:rsid w:val="00D3215E"/>
    <w:rsid w:val="00D33364"/>
    <w:rsid w:val="00D33DF2"/>
    <w:rsid w:val="00D34B2E"/>
    <w:rsid w:val="00D3572D"/>
    <w:rsid w:val="00D35DC9"/>
    <w:rsid w:val="00D36413"/>
    <w:rsid w:val="00D36AF3"/>
    <w:rsid w:val="00D37396"/>
    <w:rsid w:val="00D37618"/>
    <w:rsid w:val="00D40BCB"/>
    <w:rsid w:val="00D411CB"/>
    <w:rsid w:val="00D421EA"/>
    <w:rsid w:val="00D433E5"/>
    <w:rsid w:val="00D43631"/>
    <w:rsid w:val="00D43C47"/>
    <w:rsid w:val="00D44349"/>
    <w:rsid w:val="00D44E96"/>
    <w:rsid w:val="00D45603"/>
    <w:rsid w:val="00D45C80"/>
    <w:rsid w:val="00D45E64"/>
    <w:rsid w:val="00D463EB"/>
    <w:rsid w:val="00D469D3"/>
    <w:rsid w:val="00D47072"/>
    <w:rsid w:val="00D475F4"/>
    <w:rsid w:val="00D47600"/>
    <w:rsid w:val="00D4783A"/>
    <w:rsid w:val="00D529BD"/>
    <w:rsid w:val="00D5309E"/>
    <w:rsid w:val="00D55424"/>
    <w:rsid w:val="00D555C5"/>
    <w:rsid w:val="00D56DD2"/>
    <w:rsid w:val="00D57440"/>
    <w:rsid w:val="00D607EF"/>
    <w:rsid w:val="00D60C1F"/>
    <w:rsid w:val="00D60D6F"/>
    <w:rsid w:val="00D6169E"/>
    <w:rsid w:val="00D62981"/>
    <w:rsid w:val="00D62D8A"/>
    <w:rsid w:val="00D63636"/>
    <w:rsid w:val="00D639C9"/>
    <w:rsid w:val="00D652DF"/>
    <w:rsid w:val="00D6664B"/>
    <w:rsid w:val="00D66978"/>
    <w:rsid w:val="00D67D5E"/>
    <w:rsid w:val="00D70A45"/>
    <w:rsid w:val="00D7198A"/>
    <w:rsid w:val="00D721B5"/>
    <w:rsid w:val="00D73E09"/>
    <w:rsid w:val="00D74C17"/>
    <w:rsid w:val="00D74D61"/>
    <w:rsid w:val="00D74D6D"/>
    <w:rsid w:val="00D74FF3"/>
    <w:rsid w:val="00D76199"/>
    <w:rsid w:val="00D767B6"/>
    <w:rsid w:val="00D76E5B"/>
    <w:rsid w:val="00D80275"/>
    <w:rsid w:val="00D80AE3"/>
    <w:rsid w:val="00D80F74"/>
    <w:rsid w:val="00D82149"/>
    <w:rsid w:val="00D82A14"/>
    <w:rsid w:val="00D8309D"/>
    <w:rsid w:val="00D83699"/>
    <w:rsid w:val="00D844DB"/>
    <w:rsid w:val="00D846C9"/>
    <w:rsid w:val="00D85392"/>
    <w:rsid w:val="00D85406"/>
    <w:rsid w:val="00D86489"/>
    <w:rsid w:val="00D869E2"/>
    <w:rsid w:val="00D86D0C"/>
    <w:rsid w:val="00D872B2"/>
    <w:rsid w:val="00D9018B"/>
    <w:rsid w:val="00D9241E"/>
    <w:rsid w:val="00D9572B"/>
    <w:rsid w:val="00D96E4F"/>
    <w:rsid w:val="00D972D3"/>
    <w:rsid w:val="00D97D10"/>
    <w:rsid w:val="00DA0E4D"/>
    <w:rsid w:val="00DA2811"/>
    <w:rsid w:val="00DA6521"/>
    <w:rsid w:val="00DA7823"/>
    <w:rsid w:val="00DA7D01"/>
    <w:rsid w:val="00DB0DAD"/>
    <w:rsid w:val="00DB0DC1"/>
    <w:rsid w:val="00DB2424"/>
    <w:rsid w:val="00DB499C"/>
    <w:rsid w:val="00DB4AA1"/>
    <w:rsid w:val="00DB61C5"/>
    <w:rsid w:val="00DB763F"/>
    <w:rsid w:val="00DC22B0"/>
    <w:rsid w:val="00DC3BAF"/>
    <w:rsid w:val="00DC46ED"/>
    <w:rsid w:val="00DC6850"/>
    <w:rsid w:val="00DC6966"/>
    <w:rsid w:val="00DC7B1F"/>
    <w:rsid w:val="00DD19D5"/>
    <w:rsid w:val="00DD20F1"/>
    <w:rsid w:val="00DD4DCB"/>
    <w:rsid w:val="00DD61E2"/>
    <w:rsid w:val="00DD7428"/>
    <w:rsid w:val="00DE0C55"/>
    <w:rsid w:val="00DE0EEC"/>
    <w:rsid w:val="00DE24B4"/>
    <w:rsid w:val="00DE30E4"/>
    <w:rsid w:val="00DE3C4B"/>
    <w:rsid w:val="00DE4304"/>
    <w:rsid w:val="00DE4D6F"/>
    <w:rsid w:val="00DE5A91"/>
    <w:rsid w:val="00DE67C3"/>
    <w:rsid w:val="00DE7B47"/>
    <w:rsid w:val="00DF0CA7"/>
    <w:rsid w:val="00DF3E60"/>
    <w:rsid w:val="00DF501F"/>
    <w:rsid w:val="00DF5277"/>
    <w:rsid w:val="00DF6330"/>
    <w:rsid w:val="00DF7A2E"/>
    <w:rsid w:val="00DF7CB2"/>
    <w:rsid w:val="00E0190E"/>
    <w:rsid w:val="00E01D5D"/>
    <w:rsid w:val="00E02559"/>
    <w:rsid w:val="00E031DD"/>
    <w:rsid w:val="00E0369A"/>
    <w:rsid w:val="00E03B45"/>
    <w:rsid w:val="00E04769"/>
    <w:rsid w:val="00E05C94"/>
    <w:rsid w:val="00E0630B"/>
    <w:rsid w:val="00E07761"/>
    <w:rsid w:val="00E102A4"/>
    <w:rsid w:val="00E12D70"/>
    <w:rsid w:val="00E14734"/>
    <w:rsid w:val="00E14951"/>
    <w:rsid w:val="00E14E7F"/>
    <w:rsid w:val="00E16D9F"/>
    <w:rsid w:val="00E210FD"/>
    <w:rsid w:val="00E21278"/>
    <w:rsid w:val="00E21912"/>
    <w:rsid w:val="00E21922"/>
    <w:rsid w:val="00E22C0D"/>
    <w:rsid w:val="00E2309A"/>
    <w:rsid w:val="00E23497"/>
    <w:rsid w:val="00E238AD"/>
    <w:rsid w:val="00E23C4F"/>
    <w:rsid w:val="00E26996"/>
    <w:rsid w:val="00E26CFF"/>
    <w:rsid w:val="00E304CD"/>
    <w:rsid w:val="00E3053B"/>
    <w:rsid w:val="00E30EC4"/>
    <w:rsid w:val="00E319C3"/>
    <w:rsid w:val="00E361B4"/>
    <w:rsid w:val="00E364CA"/>
    <w:rsid w:val="00E41257"/>
    <w:rsid w:val="00E41488"/>
    <w:rsid w:val="00E43493"/>
    <w:rsid w:val="00E43B92"/>
    <w:rsid w:val="00E45347"/>
    <w:rsid w:val="00E477E3"/>
    <w:rsid w:val="00E506DB"/>
    <w:rsid w:val="00E50FEB"/>
    <w:rsid w:val="00E5297A"/>
    <w:rsid w:val="00E52C0D"/>
    <w:rsid w:val="00E531F7"/>
    <w:rsid w:val="00E54F48"/>
    <w:rsid w:val="00E55296"/>
    <w:rsid w:val="00E56BDA"/>
    <w:rsid w:val="00E57093"/>
    <w:rsid w:val="00E57ECB"/>
    <w:rsid w:val="00E60250"/>
    <w:rsid w:val="00E60E42"/>
    <w:rsid w:val="00E60F15"/>
    <w:rsid w:val="00E616B9"/>
    <w:rsid w:val="00E626E9"/>
    <w:rsid w:val="00E62C5D"/>
    <w:rsid w:val="00E633A3"/>
    <w:rsid w:val="00E63BC1"/>
    <w:rsid w:val="00E654F7"/>
    <w:rsid w:val="00E66806"/>
    <w:rsid w:val="00E67595"/>
    <w:rsid w:val="00E70C80"/>
    <w:rsid w:val="00E70E59"/>
    <w:rsid w:val="00E71C5B"/>
    <w:rsid w:val="00E728B8"/>
    <w:rsid w:val="00E728F2"/>
    <w:rsid w:val="00E732FE"/>
    <w:rsid w:val="00E74EB0"/>
    <w:rsid w:val="00E77551"/>
    <w:rsid w:val="00E77F67"/>
    <w:rsid w:val="00E82138"/>
    <w:rsid w:val="00E83130"/>
    <w:rsid w:val="00E83AE3"/>
    <w:rsid w:val="00E83AE6"/>
    <w:rsid w:val="00E83E06"/>
    <w:rsid w:val="00E841BA"/>
    <w:rsid w:val="00E84BA5"/>
    <w:rsid w:val="00E86470"/>
    <w:rsid w:val="00E86818"/>
    <w:rsid w:val="00E86F9E"/>
    <w:rsid w:val="00E87BFE"/>
    <w:rsid w:val="00E903D3"/>
    <w:rsid w:val="00E91A6C"/>
    <w:rsid w:val="00E922A0"/>
    <w:rsid w:val="00E943D6"/>
    <w:rsid w:val="00E94B26"/>
    <w:rsid w:val="00E9572B"/>
    <w:rsid w:val="00E95DD2"/>
    <w:rsid w:val="00E96512"/>
    <w:rsid w:val="00EA01EA"/>
    <w:rsid w:val="00EA07C3"/>
    <w:rsid w:val="00EA1237"/>
    <w:rsid w:val="00EA1D35"/>
    <w:rsid w:val="00EA1FEE"/>
    <w:rsid w:val="00EA25B1"/>
    <w:rsid w:val="00EA26F1"/>
    <w:rsid w:val="00EA2724"/>
    <w:rsid w:val="00EA35C1"/>
    <w:rsid w:val="00EA456A"/>
    <w:rsid w:val="00EA6F39"/>
    <w:rsid w:val="00EA7276"/>
    <w:rsid w:val="00EB0CDD"/>
    <w:rsid w:val="00EB1023"/>
    <w:rsid w:val="00EB12E7"/>
    <w:rsid w:val="00EB30E8"/>
    <w:rsid w:val="00EB31AE"/>
    <w:rsid w:val="00EB3665"/>
    <w:rsid w:val="00EB45D8"/>
    <w:rsid w:val="00EB46CF"/>
    <w:rsid w:val="00EB52FE"/>
    <w:rsid w:val="00EB5EA6"/>
    <w:rsid w:val="00EB6505"/>
    <w:rsid w:val="00EB652A"/>
    <w:rsid w:val="00EB719E"/>
    <w:rsid w:val="00EB764C"/>
    <w:rsid w:val="00EC0D17"/>
    <w:rsid w:val="00EC1087"/>
    <w:rsid w:val="00EC126E"/>
    <w:rsid w:val="00EC1868"/>
    <w:rsid w:val="00EC194F"/>
    <w:rsid w:val="00EC1ADB"/>
    <w:rsid w:val="00EC2D52"/>
    <w:rsid w:val="00EC46BA"/>
    <w:rsid w:val="00EC4A25"/>
    <w:rsid w:val="00EC5765"/>
    <w:rsid w:val="00EC7555"/>
    <w:rsid w:val="00EC7F9A"/>
    <w:rsid w:val="00ED0429"/>
    <w:rsid w:val="00ED080C"/>
    <w:rsid w:val="00ED15BE"/>
    <w:rsid w:val="00ED2AFD"/>
    <w:rsid w:val="00ED34A0"/>
    <w:rsid w:val="00ED41EB"/>
    <w:rsid w:val="00ED4494"/>
    <w:rsid w:val="00ED5BD5"/>
    <w:rsid w:val="00EE2445"/>
    <w:rsid w:val="00EE286A"/>
    <w:rsid w:val="00EE2AE6"/>
    <w:rsid w:val="00EE3365"/>
    <w:rsid w:val="00EE3AE7"/>
    <w:rsid w:val="00EE4224"/>
    <w:rsid w:val="00EE456E"/>
    <w:rsid w:val="00EE5E82"/>
    <w:rsid w:val="00EE7DDB"/>
    <w:rsid w:val="00EF0268"/>
    <w:rsid w:val="00EF0719"/>
    <w:rsid w:val="00EF124C"/>
    <w:rsid w:val="00EF1796"/>
    <w:rsid w:val="00EF26ED"/>
    <w:rsid w:val="00EF3390"/>
    <w:rsid w:val="00EF3D90"/>
    <w:rsid w:val="00EF40C4"/>
    <w:rsid w:val="00EF4531"/>
    <w:rsid w:val="00EF4AC6"/>
    <w:rsid w:val="00EF5A1D"/>
    <w:rsid w:val="00EF637A"/>
    <w:rsid w:val="00EF753C"/>
    <w:rsid w:val="00F010B3"/>
    <w:rsid w:val="00F02489"/>
    <w:rsid w:val="00F02565"/>
    <w:rsid w:val="00F0398C"/>
    <w:rsid w:val="00F03F9D"/>
    <w:rsid w:val="00F048DB"/>
    <w:rsid w:val="00F04A87"/>
    <w:rsid w:val="00F050BB"/>
    <w:rsid w:val="00F0611D"/>
    <w:rsid w:val="00F062E6"/>
    <w:rsid w:val="00F06E58"/>
    <w:rsid w:val="00F07BDF"/>
    <w:rsid w:val="00F07E77"/>
    <w:rsid w:val="00F111C8"/>
    <w:rsid w:val="00F13570"/>
    <w:rsid w:val="00F14A47"/>
    <w:rsid w:val="00F17469"/>
    <w:rsid w:val="00F217C1"/>
    <w:rsid w:val="00F21BFD"/>
    <w:rsid w:val="00F224E4"/>
    <w:rsid w:val="00F230D9"/>
    <w:rsid w:val="00F25112"/>
    <w:rsid w:val="00F257B1"/>
    <w:rsid w:val="00F261B6"/>
    <w:rsid w:val="00F267C8"/>
    <w:rsid w:val="00F2680C"/>
    <w:rsid w:val="00F26EC6"/>
    <w:rsid w:val="00F277C7"/>
    <w:rsid w:val="00F303B8"/>
    <w:rsid w:val="00F30CD5"/>
    <w:rsid w:val="00F32707"/>
    <w:rsid w:val="00F332A4"/>
    <w:rsid w:val="00F34433"/>
    <w:rsid w:val="00F3764B"/>
    <w:rsid w:val="00F40F46"/>
    <w:rsid w:val="00F42029"/>
    <w:rsid w:val="00F427B1"/>
    <w:rsid w:val="00F43721"/>
    <w:rsid w:val="00F4394D"/>
    <w:rsid w:val="00F43B70"/>
    <w:rsid w:val="00F43EB3"/>
    <w:rsid w:val="00F443B3"/>
    <w:rsid w:val="00F44617"/>
    <w:rsid w:val="00F4584E"/>
    <w:rsid w:val="00F45E83"/>
    <w:rsid w:val="00F4659C"/>
    <w:rsid w:val="00F46DD6"/>
    <w:rsid w:val="00F47135"/>
    <w:rsid w:val="00F47F6A"/>
    <w:rsid w:val="00F5014A"/>
    <w:rsid w:val="00F503C2"/>
    <w:rsid w:val="00F50F21"/>
    <w:rsid w:val="00F5138E"/>
    <w:rsid w:val="00F516A1"/>
    <w:rsid w:val="00F51870"/>
    <w:rsid w:val="00F52E9A"/>
    <w:rsid w:val="00F53C8B"/>
    <w:rsid w:val="00F54635"/>
    <w:rsid w:val="00F5634C"/>
    <w:rsid w:val="00F569E2"/>
    <w:rsid w:val="00F57C4F"/>
    <w:rsid w:val="00F60182"/>
    <w:rsid w:val="00F60A36"/>
    <w:rsid w:val="00F60CBF"/>
    <w:rsid w:val="00F61D1F"/>
    <w:rsid w:val="00F62622"/>
    <w:rsid w:val="00F628DA"/>
    <w:rsid w:val="00F6494B"/>
    <w:rsid w:val="00F6686B"/>
    <w:rsid w:val="00F67D07"/>
    <w:rsid w:val="00F67F43"/>
    <w:rsid w:val="00F701ED"/>
    <w:rsid w:val="00F70411"/>
    <w:rsid w:val="00F70818"/>
    <w:rsid w:val="00F72595"/>
    <w:rsid w:val="00F72A81"/>
    <w:rsid w:val="00F75DF9"/>
    <w:rsid w:val="00F76F10"/>
    <w:rsid w:val="00F775E1"/>
    <w:rsid w:val="00F776E0"/>
    <w:rsid w:val="00F80A16"/>
    <w:rsid w:val="00F81421"/>
    <w:rsid w:val="00F8316E"/>
    <w:rsid w:val="00F837DA"/>
    <w:rsid w:val="00F84F61"/>
    <w:rsid w:val="00F85CAE"/>
    <w:rsid w:val="00F85E8D"/>
    <w:rsid w:val="00F86E06"/>
    <w:rsid w:val="00F9049D"/>
    <w:rsid w:val="00F91A2F"/>
    <w:rsid w:val="00F91E49"/>
    <w:rsid w:val="00F931F7"/>
    <w:rsid w:val="00F93576"/>
    <w:rsid w:val="00F936B0"/>
    <w:rsid w:val="00F9380C"/>
    <w:rsid w:val="00F94868"/>
    <w:rsid w:val="00F94992"/>
    <w:rsid w:val="00F95F20"/>
    <w:rsid w:val="00F9603B"/>
    <w:rsid w:val="00F965FE"/>
    <w:rsid w:val="00F96F48"/>
    <w:rsid w:val="00FA0F35"/>
    <w:rsid w:val="00FA370B"/>
    <w:rsid w:val="00FA51D2"/>
    <w:rsid w:val="00FA67E6"/>
    <w:rsid w:val="00FA6CB5"/>
    <w:rsid w:val="00FA7331"/>
    <w:rsid w:val="00FA7B2B"/>
    <w:rsid w:val="00FB28F8"/>
    <w:rsid w:val="00FB3AE5"/>
    <w:rsid w:val="00FB41BF"/>
    <w:rsid w:val="00FB5BF5"/>
    <w:rsid w:val="00FB5FDA"/>
    <w:rsid w:val="00FC1B6A"/>
    <w:rsid w:val="00FC1CD8"/>
    <w:rsid w:val="00FC509D"/>
    <w:rsid w:val="00FC5797"/>
    <w:rsid w:val="00FD02EE"/>
    <w:rsid w:val="00FD1019"/>
    <w:rsid w:val="00FD10A4"/>
    <w:rsid w:val="00FD12B4"/>
    <w:rsid w:val="00FD25CC"/>
    <w:rsid w:val="00FD270A"/>
    <w:rsid w:val="00FD3044"/>
    <w:rsid w:val="00FD47D3"/>
    <w:rsid w:val="00FD5AEA"/>
    <w:rsid w:val="00FD66E5"/>
    <w:rsid w:val="00FD6931"/>
    <w:rsid w:val="00FD6DCC"/>
    <w:rsid w:val="00FD6F6F"/>
    <w:rsid w:val="00FD7D8A"/>
    <w:rsid w:val="00FD7F33"/>
    <w:rsid w:val="00FE0B91"/>
    <w:rsid w:val="00FE1297"/>
    <w:rsid w:val="00FE1BC6"/>
    <w:rsid w:val="00FE311C"/>
    <w:rsid w:val="00FE3A8C"/>
    <w:rsid w:val="00FE55F4"/>
    <w:rsid w:val="00FE56FC"/>
    <w:rsid w:val="00FF0508"/>
    <w:rsid w:val="00FF0D94"/>
    <w:rsid w:val="00FF17D9"/>
    <w:rsid w:val="00FF1B9B"/>
    <w:rsid w:val="00FF255E"/>
    <w:rsid w:val="00FF26E2"/>
    <w:rsid w:val="00FF284B"/>
    <w:rsid w:val="00FF5146"/>
    <w:rsid w:val="00FF6DE0"/>
    <w:rsid w:val="00FF74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488D9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AE0"/>
    <w:pPr>
      <w:spacing w:after="120" w:line="240" w:lineRule="auto"/>
      <w:jc w:val="both"/>
    </w:pPr>
    <w:rPr>
      <w:rFonts w:eastAsia="Calibri" w:cstheme="minorHAnsi"/>
      <w:color w:val="000000" w:themeColor="text1"/>
      <w:sz w:val="20"/>
      <w:szCs w:val="21"/>
      <w:lang w:eastAsia="en-AU"/>
    </w:rPr>
  </w:style>
  <w:style w:type="paragraph" w:styleId="Heading1">
    <w:name w:val="heading 1"/>
    <w:basedOn w:val="Normal"/>
    <w:next w:val="Normal"/>
    <w:link w:val="Heading1Char"/>
    <w:autoRedefine/>
    <w:uiPriority w:val="9"/>
    <w:qFormat/>
    <w:rsid w:val="00D018A4"/>
    <w:pPr>
      <w:keepNext/>
      <w:keepLines/>
      <w:pageBreakBefore/>
      <w:numPr>
        <w:numId w:val="2"/>
      </w:numPr>
      <w:spacing w:after="600"/>
      <w:jc w:val="left"/>
      <w:outlineLvl w:val="0"/>
    </w:pPr>
    <w:rPr>
      <w:rFonts w:ascii="Franklin Gothic Demi Cond" w:eastAsiaTheme="majorEastAsia" w:hAnsi="Franklin Gothic Demi Cond" w:cstheme="majorBidi"/>
      <w:sz w:val="36"/>
      <w:szCs w:val="32"/>
    </w:rPr>
  </w:style>
  <w:style w:type="paragraph" w:styleId="Heading2">
    <w:name w:val="heading 2"/>
    <w:basedOn w:val="Heading1"/>
    <w:next w:val="Normal"/>
    <w:link w:val="Heading2Char"/>
    <w:uiPriority w:val="9"/>
    <w:unhideWhenUsed/>
    <w:qFormat/>
    <w:rsid w:val="00170213"/>
    <w:pPr>
      <w:pageBreakBefore w:val="0"/>
      <w:numPr>
        <w:ilvl w:val="1"/>
      </w:numPr>
      <w:spacing w:before="360" w:after="240"/>
      <w:outlineLvl w:val="1"/>
    </w:pPr>
    <w:rPr>
      <w:rFonts w:eastAsia="Times New Roman"/>
      <w:sz w:val="28"/>
      <w:szCs w:val="26"/>
    </w:rPr>
  </w:style>
  <w:style w:type="paragraph" w:styleId="Heading3">
    <w:name w:val="heading 3"/>
    <w:basedOn w:val="Heading2"/>
    <w:next w:val="Normal"/>
    <w:link w:val="Heading3Char"/>
    <w:uiPriority w:val="9"/>
    <w:unhideWhenUsed/>
    <w:qFormat/>
    <w:rsid w:val="00170213"/>
    <w:pPr>
      <w:numPr>
        <w:ilvl w:val="2"/>
      </w:numPr>
      <w:spacing w:before="120" w:after="160"/>
      <w:outlineLvl w:val="2"/>
    </w:pPr>
    <w:rPr>
      <w:rFonts w:eastAsiaTheme="majorEastAsia"/>
      <w:sz w:val="24"/>
      <w:szCs w:val="24"/>
    </w:rPr>
  </w:style>
  <w:style w:type="paragraph" w:styleId="Heading4">
    <w:name w:val="heading 4"/>
    <w:basedOn w:val="Normal"/>
    <w:next w:val="Normal"/>
    <w:link w:val="Heading4Char"/>
    <w:autoRedefine/>
    <w:uiPriority w:val="9"/>
    <w:unhideWhenUsed/>
    <w:qFormat/>
    <w:rsid w:val="00700F7B"/>
    <w:pPr>
      <w:keepNext/>
      <w:keepLines/>
      <w:spacing w:before="40"/>
      <w:outlineLvl w:val="3"/>
    </w:pPr>
    <w:rPr>
      <w:rFonts w:eastAsiaTheme="majorEastAsia"/>
      <w:b/>
      <w:i/>
      <w:iCs/>
    </w:rPr>
  </w:style>
  <w:style w:type="paragraph" w:styleId="Heading5">
    <w:name w:val="heading 5"/>
    <w:basedOn w:val="Normal"/>
    <w:next w:val="Normal"/>
    <w:link w:val="Heading5Char"/>
    <w:uiPriority w:val="9"/>
    <w:semiHidden/>
    <w:unhideWhenUsed/>
    <w:qFormat/>
    <w:rsid w:val="000C4F2D"/>
    <w:pPr>
      <w:keepNext/>
      <w:keepLines/>
      <w:numPr>
        <w:ilvl w:val="4"/>
        <w:numId w:val="2"/>
      </w:numPr>
      <w:spacing w:before="40" w:after="0"/>
      <w:outlineLvl w:val="4"/>
    </w:pPr>
    <w:rPr>
      <w:rFonts w:asciiTheme="majorHAnsi" w:eastAsiaTheme="majorEastAsia" w:hAnsiTheme="majorHAnsi" w:cstheme="majorBidi"/>
      <w:color w:val="276E8B" w:themeColor="accent1" w:themeShade="BF"/>
    </w:rPr>
  </w:style>
  <w:style w:type="paragraph" w:styleId="Heading6">
    <w:name w:val="heading 6"/>
    <w:basedOn w:val="Normal"/>
    <w:next w:val="Normal"/>
    <w:link w:val="Heading6Char"/>
    <w:uiPriority w:val="9"/>
    <w:semiHidden/>
    <w:unhideWhenUsed/>
    <w:qFormat/>
    <w:rsid w:val="000C4F2D"/>
    <w:pPr>
      <w:keepNext/>
      <w:keepLines/>
      <w:numPr>
        <w:ilvl w:val="5"/>
        <w:numId w:val="2"/>
      </w:numPr>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semiHidden/>
    <w:unhideWhenUsed/>
    <w:qFormat/>
    <w:rsid w:val="000C4F2D"/>
    <w:pPr>
      <w:keepNext/>
      <w:keepLines/>
      <w:numPr>
        <w:ilvl w:val="6"/>
        <w:numId w:val="2"/>
      </w:numPr>
      <w:spacing w:before="40" w:after="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9"/>
    <w:semiHidden/>
    <w:unhideWhenUsed/>
    <w:qFormat/>
    <w:rsid w:val="000C4F2D"/>
    <w:pPr>
      <w:keepNext/>
      <w:keepLines/>
      <w:numPr>
        <w:ilvl w:val="7"/>
        <w:numId w:val="2"/>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0C4F2D"/>
    <w:pPr>
      <w:keepNext/>
      <w:keepLines/>
      <w:numPr>
        <w:ilvl w:val="8"/>
        <w:numId w:val="2"/>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B27"/>
    <w:pPr>
      <w:tabs>
        <w:tab w:val="center" w:pos="4513"/>
        <w:tab w:val="right" w:pos="9026"/>
      </w:tabs>
      <w:spacing w:after="0"/>
    </w:pPr>
  </w:style>
  <w:style w:type="character" w:customStyle="1" w:styleId="HeaderChar">
    <w:name w:val="Header Char"/>
    <w:basedOn w:val="DefaultParagraphFont"/>
    <w:link w:val="Header"/>
    <w:uiPriority w:val="99"/>
    <w:rsid w:val="00531B27"/>
  </w:style>
  <w:style w:type="paragraph" w:styleId="Footer">
    <w:name w:val="footer"/>
    <w:basedOn w:val="Normal"/>
    <w:link w:val="FooterChar"/>
    <w:uiPriority w:val="99"/>
    <w:unhideWhenUsed/>
    <w:rsid w:val="00531B27"/>
    <w:pPr>
      <w:tabs>
        <w:tab w:val="center" w:pos="4513"/>
        <w:tab w:val="right" w:pos="9026"/>
      </w:tabs>
      <w:spacing w:after="0"/>
    </w:pPr>
  </w:style>
  <w:style w:type="character" w:customStyle="1" w:styleId="FooterChar">
    <w:name w:val="Footer Char"/>
    <w:basedOn w:val="DefaultParagraphFont"/>
    <w:link w:val="Footer"/>
    <w:uiPriority w:val="99"/>
    <w:rsid w:val="00531B27"/>
  </w:style>
  <w:style w:type="paragraph" w:customStyle="1" w:styleId="Non-numberedheading1">
    <w:name w:val="Non-numbered heading 1"/>
    <w:basedOn w:val="Normal"/>
    <w:link w:val="Non-numberedheading1Char"/>
    <w:rsid w:val="001041EC"/>
    <w:pPr>
      <w:tabs>
        <w:tab w:val="left" w:pos="1830"/>
      </w:tabs>
    </w:pPr>
    <w:rPr>
      <w:rFonts w:ascii="Franklin Gothic Demi Cond" w:hAnsi="Franklin Gothic Demi Cond"/>
      <w:kern w:val="28"/>
      <w:sz w:val="40"/>
    </w:rPr>
  </w:style>
  <w:style w:type="paragraph" w:styleId="NormalWeb">
    <w:name w:val="Normal (Web)"/>
    <w:basedOn w:val="Normal"/>
    <w:uiPriority w:val="99"/>
    <w:semiHidden/>
    <w:unhideWhenUsed/>
    <w:rsid w:val="001041EC"/>
    <w:pPr>
      <w:spacing w:before="100" w:beforeAutospacing="1" w:after="100" w:afterAutospacing="1"/>
    </w:pPr>
    <w:rPr>
      <w:rFonts w:ascii="Times New Roman" w:eastAsia="Times New Roman" w:hAnsi="Times New Roman" w:cs="Times New Roman"/>
      <w:szCs w:val="24"/>
    </w:rPr>
  </w:style>
  <w:style w:type="character" w:customStyle="1" w:styleId="Non-numberedheading1Char">
    <w:name w:val="Non-numbered heading 1 Char"/>
    <w:basedOn w:val="DefaultParagraphFont"/>
    <w:link w:val="Non-numberedheading1"/>
    <w:rsid w:val="001041EC"/>
    <w:rPr>
      <w:rFonts w:ascii="Franklin Gothic Demi Cond" w:hAnsi="Franklin Gothic Demi Cond"/>
      <w:kern w:val="28"/>
      <w:sz w:val="40"/>
    </w:rPr>
  </w:style>
  <w:style w:type="character" w:styleId="Hyperlink">
    <w:name w:val="Hyperlink"/>
    <w:basedOn w:val="DefaultParagraphFont"/>
    <w:uiPriority w:val="99"/>
    <w:unhideWhenUsed/>
    <w:rsid w:val="001041EC"/>
    <w:rPr>
      <w:color w:val="0000FF"/>
      <w:u w:val="single"/>
    </w:rPr>
  </w:style>
  <w:style w:type="paragraph" w:styleId="Title">
    <w:name w:val="Title"/>
    <w:basedOn w:val="Normal"/>
    <w:next w:val="Normal"/>
    <w:link w:val="TitleChar"/>
    <w:uiPriority w:val="10"/>
    <w:qFormat/>
    <w:rsid w:val="00020444"/>
    <w:rPr>
      <w:rFonts w:ascii="Franklin Gothic Demi Cond" w:hAnsi="Franklin Gothic Demi Cond"/>
      <w:sz w:val="56"/>
      <w:szCs w:val="56"/>
    </w:rPr>
  </w:style>
  <w:style w:type="character" w:customStyle="1" w:styleId="TitleChar">
    <w:name w:val="Title Char"/>
    <w:basedOn w:val="DefaultParagraphFont"/>
    <w:link w:val="Title"/>
    <w:uiPriority w:val="10"/>
    <w:rsid w:val="00020444"/>
    <w:rPr>
      <w:rFonts w:ascii="Franklin Gothic Demi Cond" w:eastAsia="Calibri" w:hAnsi="Franklin Gothic Demi Cond" w:cstheme="minorHAnsi"/>
      <w:color w:val="000000"/>
      <w:sz w:val="56"/>
      <w:szCs w:val="56"/>
      <w:lang w:val="en-GB" w:eastAsia="en-AU"/>
    </w:rPr>
  </w:style>
  <w:style w:type="paragraph" w:customStyle="1" w:styleId="Titleclient">
    <w:name w:val="Title client"/>
    <w:basedOn w:val="Normal"/>
    <w:link w:val="TitleclientChar"/>
    <w:rsid w:val="00020444"/>
  </w:style>
  <w:style w:type="character" w:customStyle="1" w:styleId="Heading1Char">
    <w:name w:val="Heading 1 Char"/>
    <w:basedOn w:val="DefaultParagraphFont"/>
    <w:link w:val="Heading1"/>
    <w:uiPriority w:val="9"/>
    <w:rsid w:val="00D018A4"/>
    <w:rPr>
      <w:rFonts w:ascii="Franklin Gothic Demi Cond" w:eastAsiaTheme="majorEastAsia" w:hAnsi="Franklin Gothic Demi Cond" w:cstheme="majorBidi"/>
      <w:color w:val="000000" w:themeColor="text1"/>
      <w:sz w:val="36"/>
      <w:szCs w:val="32"/>
      <w:lang w:eastAsia="en-AU"/>
    </w:rPr>
  </w:style>
  <w:style w:type="character" w:customStyle="1" w:styleId="TitleclientChar">
    <w:name w:val="Title client Char"/>
    <w:basedOn w:val="DefaultParagraphFont"/>
    <w:link w:val="Titleclient"/>
    <w:rsid w:val="00020444"/>
    <w:rPr>
      <w:rFonts w:eastAsia="Calibri" w:cstheme="minorHAnsi"/>
      <w:color w:val="000000"/>
      <w:sz w:val="18"/>
      <w:szCs w:val="16"/>
      <w:lang w:val="en-GB" w:eastAsia="en-AU"/>
    </w:rPr>
  </w:style>
  <w:style w:type="paragraph" w:styleId="TOCHeading">
    <w:name w:val="TOC Heading"/>
    <w:basedOn w:val="Heading1"/>
    <w:next w:val="Normal"/>
    <w:uiPriority w:val="39"/>
    <w:unhideWhenUsed/>
    <w:qFormat/>
    <w:rsid w:val="00E031DD"/>
    <w:pPr>
      <w:numPr>
        <w:numId w:val="0"/>
      </w:numPr>
      <w:spacing w:line="259" w:lineRule="auto"/>
      <w:outlineLvl w:val="9"/>
    </w:pPr>
    <w:rPr>
      <w:lang w:val="en-US" w:eastAsia="en-US"/>
    </w:rPr>
  </w:style>
  <w:style w:type="paragraph" w:styleId="ListParagraph">
    <w:name w:val="List Paragraph"/>
    <w:basedOn w:val="Normal"/>
    <w:uiPriority w:val="34"/>
    <w:qFormat/>
    <w:rsid w:val="00E031DD"/>
    <w:pPr>
      <w:ind w:left="720"/>
      <w:contextualSpacing/>
    </w:pPr>
  </w:style>
  <w:style w:type="character" w:customStyle="1" w:styleId="Heading2Char">
    <w:name w:val="Heading 2 Char"/>
    <w:basedOn w:val="DefaultParagraphFont"/>
    <w:link w:val="Heading2"/>
    <w:uiPriority w:val="9"/>
    <w:rsid w:val="00170213"/>
    <w:rPr>
      <w:rFonts w:ascii="Franklin Gothic Demi Cond" w:eastAsia="Times New Roman" w:hAnsi="Franklin Gothic Demi Cond" w:cstheme="majorBidi"/>
      <w:color w:val="000000" w:themeColor="text1"/>
      <w:sz w:val="28"/>
      <w:szCs w:val="26"/>
      <w:lang w:eastAsia="en-AU"/>
    </w:rPr>
  </w:style>
  <w:style w:type="character" w:customStyle="1" w:styleId="Heading3Char">
    <w:name w:val="Heading 3 Char"/>
    <w:basedOn w:val="DefaultParagraphFont"/>
    <w:link w:val="Heading3"/>
    <w:uiPriority w:val="9"/>
    <w:rsid w:val="00170213"/>
    <w:rPr>
      <w:rFonts w:ascii="Franklin Gothic Demi Cond" w:eastAsiaTheme="majorEastAsia" w:hAnsi="Franklin Gothic Demi Cond" w:cstheme="majorBidi"/>
      <w:color w:val="000000" w:themeColor="text1"/>
      <w:sz w:val="24"/>
      <w:szCs w:val="24"/>
      <w:lang w:eastAsia="en-AU"/>
    </w:rPr>
  </w:style>
  <w:style w:type="paragraph" w:customStyle="1" w:styleId="Sectionparastart">
    <w:name w:val="Section para start"/>
    <w:basedOn w:val="Normal"/>
    <w:link w:val="SectionparastartChar"/>
    <w:rsid w:val="0084028A"/>
    <w:rPr>
      <w:sz w:val="26"/>
      <w:szCs w:val="26"/>
    </w:rPr>
  </w:style>
  <w:style w:type="paragraph" w:styleId="TOC1">
    <w:name w:val="toc 1"/>
    <w:basedOn w:val="Normal"/>
    <w:next w:val="Normal"/>
    <w:autoRedefine/>
    <w:uiPriority w:val="39"/>
    <w:unhideWhenUsed/>
    <w:rsid w:val="0084028A"/>
    <w:pPr>
      <w:spacing w:after="100"/>
    </w:pPr>
  </w:style>
  <w:style w:type="character" w:customStyle="1" w:styleId="SectionparastartChar">
    <w:name w:val="Section para start Char"/>
    <w:basedOn w:val="DefaultParagraphFont"/>
    <w:link w:val="Sectionparastart"/>
    <w:rsid w:val="0084028A"/>
    <w:rPr>
      <w:rFonts w:eastAsia="Calibri" w:cstheme="minorHAnsi"/>
      <w:color w:val="000000" w:themeColor="text1"/>
      <w:sz w:val="26"/>
      <w:szCs w:val="26"/>
      <w:lang w:val="en" w:eastAsia="en-AU"/>
    </w:rPr>
  </w:style>
  <w:style w:type="paragraph" w:styleId="TOC2">
    <w:name w:val="toc 2"/>
    <w:basedOn w:val="Normal"/>
    <w:next w:val="Normal"/>
    <w:autoRedefine/>
    <w:uiPriority w:val="39"/>
    <w:unhideWhenUsed/>
    <w:rsid w:val="0084028A"/>
    <w:pPr>
      <w:spacing w:after="100"/>
      <w:ind w:left="210"/>
    </w:pPr>
  </w:style>
  <w:style w:type="paragraph" w:styleId="TOC3">
    <w:name w:val="toc 3"/>
    <w:basedOn w:val="Normal"/>
    <w:next w:val="Normal"/>
    <w:autoRedefine/>
    <w:uiPriority w:val="39"/>
    <w:unhideWhenUsed/>
    <w:rsid w:val="0084028A"/>
    <w:pPr>
      <w:spacing w:after="100"/>
      <w:ind w:left="420"/>
    </w:pPr>
  </w:style>
  <w:style w:type="paragraph" w:styleId="Caption">
    <w:name w:val="caption"/>
    <w:basedOn w:val="Normal"/>
    <w:next w:val="Normal"/>
    <w:uiPriority w:val="35"/>
    <w:unhideWhenUsed/>
    <w:qFormat/>
    <w:rsid w:val="00276D8C"/>
    <w:pPr>
      <w:keepNext/>
      <w:spacing w:after="200"/>
    </w:pPr>
    <w:rPr>
      <w:i/>
      <w:iCs/>
      <w:color w:val="auto"/>
      <w:sz w:val="18"/>
      <w:szCs w:val="18"/>
    </w:rPr>
  </w:style>
  <w:style w:type="paragraph" w:styleId="FootnoteText">
    <w:name w:val="footnote text"/>
    <w:basedOn w:val="Normal"/>
    <w:link w:val="FootnoteTextChar"/>
    <w:uiPriority w:val="99"/>
    <w:semiHidden/>
    <w:unhideWhenUsed/>
    <w:rsid w:val="009463B3"/>
    <w:pPr>
      <w:spacing w:after="0"/>
    </w:pPr>
    <w:rPr>
      <w:szCs w:val="20"/>
    </w:rPr>
  </w:style>
  <w:style w:type="character" w:customStyle="1" w:styleId="FootnoteTextChar">
    <w:name w:val="Footnote Text Char"/>
    <w:basedOn w:val="DefaultParagraphFont"/>
    <w:link w:val="FootnoteText"/>
    <w:uiPriority w:val="99"/>
    <w:semiHidden/>
    <w:rsid w:val="009463B3"/>
    <w:rPr>
      <w:rFonts w:eastAsia="Calibri" w:cstheme="minorHAnsi"/>
      <w:color w:val="000000" w:themeColor="text1"/>
      <w:sz w:val="20"/>
      <w:szCs w:val="20"/>
      <w:lang w:val="en" w:eastAsia="en-AU"/>
    </w:rPr>
  </w:style>
  <w:style w:type="character" w:styleId="FootnoteReference">
    <w:name w:val="footnote reference"/>
    <w:basedOn w:val="DefaultParagraphFont"/>
    <w:uiPriority w:val="99"/>
    <w:semiHidden/>
    <w:unhideWhenUsed/>
    <w:rsid w:val="009463B3"/>
    <w:rPr>
      <w:vertAlign w:val="superscript"/>
    </w:rPr>
  </w:style>
  <w:style w:type="table" w:styleId="TableGrid">
    <w:name w:val="Table Grid"/>
    <w:basedOn w:val="TableNormal"/>
    <w:uiPriority w:val="39"/>
    <w:rsid w:val="005F6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52F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2FE"/>
    <w:rPr>
      <w:rFonts w:ascii="Segoe UI" w:eastAsia="Calibri" w:hAnsi="Segoe UI" w:cs="Segoe UI"/>
      <w:color w:val="000000" w:themeColor="text1"/>
      <w:sz w:val="18"/>
      <w:szCs w:val="18"/>
      <w:lang w:val="en" w:eastAsia="en-AU"/>
    </w:rPr>
  </w:style>
  <w:style w:type="paragraph" w:customStyle="1" w:styleId="Source">
    <w:name w:val="Source"/>
    <w:basedOn w:val="Normal"/>
    <w:link w:val="SourceChar"/>
    <w:rsid w:val="000B7E27"/>
    <w:rPr>
      <w:i/>
      <w:sz w:val="18"/>
    </w:rPr>
  </w:style>
  <w:style w:type="paragraph" w:styleId="Bibliography">
    <w:name w:val="Bibliography"/>
    <w:basedOn w:val="Normal"/>
    <w:next w:val="Normal"/>
    <w:uiPriority w:val="37"/>
    <w:unhideWhenUsed/>
    <w:rsid w:val="000B7E27"/>
  </w:style>
  <w:style w:type="character" w:customStyle="1" w:styleId="SourceChar">
    <w:name w:val="Source Char"/>
    <w:basedOn w:val="DefaultParagraphFont"/>
    <w:link w:val="Source"/>
    <w:rsid w:val="000B7E27"/>
    <w:rPr>
      <w:rFonts w:eastAsia="Calibri" w:cstheme="minorHAnsi"/>
      <w:i/>
      <w:color w:val="000000" w:themeColor="text1"/>
      <w:sz w:val="18"/>
      <w:szCs w:val="21"/>
      <w:lang w:val="en" w:eastAsia="en-AU"/>
    </w:rPr>
  </w:style>
  <w:style w:type="character" w:customStyle="1" w:styleId="Heading4Char">
    <w:name w:val="Heading 4 Char"/>
    <w:basedOn w:val="DefaultParagraphFont"/>
    <w:link w:val="Heading4"/>
    <w:uiPriority w:val="9"/>
    <w:rsid w:val="00700F7B"/>
    <w:rPr>
      <w:rFonts w:eastAsiaTheme="majorEastAsia" w:cstheme="minorHAnsi"/>
      <w:b/>
      <w:i/>
      <w:iCs/>
      <w:color w:val="000000" w:themeColor="text1"/>
      <w:sz w:val="24"/>
      <w:szCs w:val="21"/>
      <w:lang w:eastAsia="en-AU"/>
    </w:rPr>
  </w:style>
  <w:style w:type="paragraph" w:styleId="NoSpacing">
    <w:name w:val="No Spacing"/>
    <w:link w:val="NoSpacingChar"/>
    <w:uiPriority w:val="1"/>
    <w:qFormat/>
    <w:rsid w:val="008B41C4"/>
    <w:pPr>
      <w:spacing w:after="0" w:line="240" w:lineRule="auto"/>
    </w:pPr>
    <w:rPr>
      <w:sz w:val="21"/>
      <w:szCs w:val="21"/>
    </w:rPr>
  </w:style>
  <w:style w:type="character" w:customStyle="1" w:styleId="UnresolvedMention1">
    <w:name w:val="Unresolved Mention1"/>
    <w:basedOn w:val="DefaultParagraphFont"/>
    <w:uiPriority w:val="99"/>
    <w:semiHidden/>
    <w:unhideWhenUsed/>
    <w:rsid w:val="008B41C4"/>
    <w:rPr>
      <w:color w:val="808080"/>
      <w:shd w:val="clear" w:color="auto" w:fill="E6E6E6"/>
    </w:rPr>
  </w:style>
  <w:style w:type="character" w:customStyle="1" w:styleId="Heading5Char">
    <w:name w:val="Heading 5 Char"/>
    <w:basedOn w:val="DefaultParagraphFont"/>
    <w:link w:val="Heading5"/>
    <w:uiPriority w:val="9"/>
    <w:semiHidden/>
    <w:rsid w:val="000C4F2D"/>
    <w:rPr>
      <w:rFonts w:asciiTheme="majorHAnsi" w:eastAsiaTheme="majorEastAsia" w:hAnsiTheme="majorHAnsi" w:cstheme="majorBidi"/>
      <w:color w:val="276E8B" w:themeColor="accent1" w:themeShade="BF"/>
      <w:sz w:val="20"/>
      <w:szCs w:val="21"/>
      <w:lang w:eastAsia="en-AU"/>
    </w:rPr>
  </w:style>
  <w:style w:type="character" w:customStyle="1" w:styleId="Heading6Char">
    <w:name w:val="Heading 6 Char"/>
    <w:basedOn w:val="DefaultParagraphFont"/>
    <w:link w:val="Heading6"/>
    <w:uiPriority w:val="9"/>
    <w:semiHidden/>
    <w:rsid w:val="000C4F2D"/>
    <w:rPr>
      <w:rFonts w:asciiTheme="majorHAnsi" w:eastAsiaTheme="majorEastAsia" w:hAnsiTheme="majorHAnsi" w:cstheme="majorBidi"/>
      <w:color w:val="1A495C" w:themeColor="accent1" w:themeShade="7F"/>
      <w:sz w:val="20"/>
      <w:szCs w:val="21"/>
      <w:lang w:eastAsia="en-AU"/>
    </w:rPr>
  </w:style>
  <w:style w:type="character" w:customStyle="1" w:styleId="Heading7Char">
    <w:name w:val="Heading 7 Char"/>
    <w:basedOn w:val="DefaultParagraphFont"/>
    <w:link w:val="Heading7"/>
    <w:uiPriority w:val="9"/>
    <w:semiHidden/>
    <w:rsid w:val="000C4F2D"/>
    <w:rPr>
      <w:rFonts w:asciiTheme="majorHAnsi" w:eastAsiaTheme="majorEastAsia" w:hAnsiTheme="majorHAnsi" w:cstheme="majorBidi"/>
      <w:i/>
      <w:iCs/>
      <w:color w:val="1A495C" w:themeColor="accent1" w:themeShade="7F"/>
      <w:sz w:val="20"/>
      <w:szCs w:val="21"/>
      <w:lang w:eastAsia="en-AU"/>
    </w:rPr>
  </w:style>
  <w:style w:type="character" w:customStyle="1" w:styleId="Heading8Char">
    <w:name w:val="Heading 8 Char"/>
    <w:basedOn w:val="DefaultParagraphFont"/>
    <w:link w:val="Heading8"/>
    <w:uiPriority w:val="9"/>
    <w:semiHidden/>
    <w:rsid w:val="000C4F2D"/>
    <w:rPr>
      <w:rFonts w:asciiTheme="majorHAnsi" w:eastAsiaTheme="majorEastAsia" w:hAnsiTheme="majorHAnsi" w:cstheme="majorBidi"/>
      <w:color w:val="272727" w:themeColor="text1" w:themeTint="D8"/>
      <w:sz w:val="20"/>
      <w:szCs w:val="21"/>
      <w:lang w:eastAsia="en-AU"/>
    </w:rPr>
  </w:style>
  <w:style w:type="character" w:customStyle="1" w:styleId="Heading9Char">
    <w:name w:val="Heading 9 Char"/>
    <w:basedOn w:val="DefaultParagraphFont"/>
    <w:link w:val="Heading9"/>
    <w:uiPriority w:val="9"/>
    <w:semiHidden/>
    <w:rsid w:val="000C4F2D"/>
    <w:rPr>
      <w:rFonts w:asciiTheme="majorHAnsi" w:eastAsiaTheme="majorEastAsia" w:hAnsiTheme="majorHAnsi" w:cstheme="majorBidi"/>
      <w:i/>
      <w:iCs/>
      <w:color w:val="272727" w:themeColor="text1" w:themeTint="D8"/>
      <w:sz w:val="20"/>
      <w:szCs w:val="21"/>
      <w:lang w:eastAsia="en-AU"/>
    </w:rPr>
  </w:style>
  <w:style w:type="paragraph" w:customStyle="1" w:styleId="Appendix">
    <w:name w:val="Appendix"/>
    <w:basedOn w:val="Non-numberedheading1"/>
    <w:link w:val="AppendixChar"/>
    <w:qFormat/>
    <w:rsid w:val="00800F17"/>
    <w:pPr>
      <w:numPr>
        <w:numId w:val="1"/>
      </w:numPr>
      <w:ind w:left="426" w:hanging="426"/>
    </w:pPr>
  </w:style>
  <w:style w:type="character" w:styleId="BookTitle">
    <w:name w:val="Book Title"/>
    <w:basedOn w:val="DefaultParagraphFont"/>
    <w:uiPriority w:val="33"/>
    <w:qFormat/>
    <w:rsid w:val="00700F7B"/>
    <w:rPr>
      <w:b/>
      <w:bCs/>
      <w:i/>
      <w:iCs/>
      <w:spacing w:val="5"/>
    </w:rPr>
  </w:style>
  <w:style w:type="character" w:customStyle="1" w:styleId="AppendixChar">
    <w:name w:val="Appendix Char"/>
    <w:basedOn w:val="Non-numberedheading1Char"/>
    <w:link w:val="Appendix"/>
    <w:rsid w:val="00800F17"/>
    <w:rPr>
      <w:rFonts w:ascii="Franklin Gothic Demi Cond" w:eastAsia="Calibri" w:hAnsi="Franklin Gothic Demi Cond" w:cstheme="minorHAnsi"/>
      <w:color w:val="000000" w:themeColor="text1"/>
      <w:kern w:val="28"/>
      <w:sz w:val="40"/>
      <w:szCs w:val="21"/>
      <w:lang w:eastAsia="en-AU"/>
    </w:rPr>
  </w:style>
  <w:style w:type="character" w:styleId="Emphasis">
    <w:name w:val="Emphasis"/>
    <w:uiPriority w:val="20"/>
    <w:qFormat/>
    <w:rsid w:val="00800F17"/>
    <w:rPr>
      <w:sz w:val="26"/>
      <w:szCs w:val="26"/>
    </w:rPr>
  </w:style>
  <w:style w:type="paragraph" w:customStyle="1" w:styleId="Tabletext">
    <w:name w:val="Table text"/>
    <w:basedOn w:val="Normal"/>
    <w:link w:val="TabletextChar"/>
    <w:qFormat/>
    <w:rsid w:val="00800F17"/>
    <w:pPr>
      <w:spacing w:before="60" w:after="60"/>
    </w:pPr>
    <w:rPr>
      <w:sz w:val="18"/>
    </w:rPr>
  </w:style>
  <w:style w:type="paragraph" w:customStyle="1" w:styleId="Sourcefont">
    <w:name w:val="Source font"/>
    <w:basedOn w:val="Source"/>
    <w:link w:val="SourcefontChar"/>
    <w:qFormat/>
    <w:rsid w:val="00800F17"/>
    <w:pPr>
      <w:spacing w:before="40"/>
    </w:pPr>
    <w:rPr>
      <w:sz w:val="16"/>
    </w:rPr>
  </w:style>
  <w:style w:type="character" w:customStyle="1" w:styleId="TabletextChar">
    <w:name w:val="Table text Char"/>
    <w:basedOn w:val="DefaultParagraphFont"/>
    <w:link w:val="Tabletext"/>
    <w:rsid w:val="00800F17"/>
    <w:rPr>
      <w:rFonts w:eastAsia="Calibri" w:cstheme="minorHAnsi"/>
      <w:color w:val="000000" w:themeColor="text1"/>
      <w:sz w:val="18"/>
      <w:szCs w:val="21"/>
      <w:lang w:eastAsia="en-AU"/>
    </w:rPr>
  </w:style>
  <w:style w:type="paragraph" w:customStyle="1" w:styleId="Tableheading">
    <w:name w:val="Table heading"/>
    <w:basedOn w:val="Normal"/>
    <w:link w:val="TableheadingChar"/>
    <w:qFormat/>
    <w:rsid w:val="00800F17"/>
    <w:rPr>
      <w:color w:val="FFFFFF" w:themeColor="background1"/>
    </w:rPr>
  </w:style>
  <w:style w:type="character" w:customStyle="1" w:styleId="SourcefontChar">
    <w:name w:val="Source font Char"/>
    <w:basedOn w:val="SourceChar"/>
    <w:link w:val="Sourcefont"/>
    <w:rsid w:val="00800F17"/>
    <w:rPr>
      <w:rFonts w:eastAsia="Calibri" w:cstheme="minorHAnsi"/>
      <w:i/>
      <w:color w:val="000000" w:themeColor="text1"/>
      <w:sz w:val="16"/>
      <w:szCs w:val="21"/>
      <w:lang w:val="en" w:eastAsia="en-AU"/>
    </w:rPr>
  </w:style>
  <w:style w:type="character" w:customStyle="1" w:styleId="TableheadingChar">
    <w:name w:val="Table heading Char"/>
    <w:basedOn w:val="DefaultParagraphFont"/>
    <w:link w:val="Tableheading"/>
    <w:rsid w:val="00800F17"/>
    <w:rPr>
      <w:rFonts w:eastAsia="Calibri" w:cstheme="minorHAnsi"/>
      <w:color w:val="FFFFFF" w:themeColor="background1"/>
      <w:sz w:val="20"/>
      <w:szCs w:val="21"/>
      <w:lang w:eastAsia="en-AU"/>
    </w:rPr>
  </w:style>
  <w:style w:type="paragraph" w:customStyle="1" w:styleId="Smallnormal">
    <w:name w:val="Small normal"/>
    <w:basedOn w:val="Tabletext"/>
    <w:link w:val="SmallnormalChar"/>
    <w:qFormat/>
    <w:rsid w:val="00BE5BFB"/>
  </w:style>
  <w:style w:type="character" w:customStyle="1" w:styleId="NoSpacingChar">
    <w:name w:val="No Spacing Char"/>
    <w:basedOn w:val="DefaultParagraphFont"/>
    <w:link w:val="NoSpacing"/>
    <w:uiPriority w:val="1"/>
    <w:rsid w:val="00985AFE"/>
    <w:rPr>
      <w:sz w:val="21"/>
      <w:szCs w:val="21"/>
    </w:rPr>
  </w:style>
  <w:style w:type="character" w:customStyle="1" w:styleId="SmallnormalChar">
    <w:name w:val="Small normal Char"/>
    <w:basedOn w:val="TabletextChar"/>
    <w:link w:val="Smallnormal"/>
    <w:rsid w:val="00BE5BFB"/>
    <w:rPr>
      <w:rFonts w:eastAsia="Calibri" w:cstheme="minorHAnsi"/>
      <w:color w:val="000000" w:themeColor="text1"/>
      <w:sz w:val="18"/>
      <w:szCs w:val="21"/>
      <w:lang w:eastAsia="en-AU"/>
    </w:rPr>
  </w:style>
  <w:style w:type="paragraph" w:styleId="TableofFigures">
    <w:name w:val="table of figures"/>
    <w:basedOn w:val="Normal"/>
    <w:next w:val="Normal"/>
    <w:uiPriority w:val="99"/>
    <w:unhideWhenUsed/>
    <w:rsid w:val="00647BA5"/>
    <w:pPr>
      <w:spacing w:after="0"/>
    </w:pPr>
  </w:style>
  <w:style w:type="table" w:styleId="PlainTable3">
    <w:name w:val="Plain Table 3"/>
    <w:basedOn w:val="TableNormal"/>
    <w:uiPriority w:val="43"/>
    <w:rsid w:val="008725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extrun">
    <w:name w:val="textrun"/>
    <w:basedOn w:val="DefaultParagraphFont"/>
    <w:rsid w:val="003E6830"/>
  </w:style>
  <w:style w:type="character" w:customStyle="1" w:styleId="normaltextrun">
    <w:name w:val="normaltextrun"/>
    <w:basedOn w:val="DefaultParagraphFont"/>
    <w:rsid w:val="003E6830"/>
  </w:style>
  <w:style w:type="character" w:customStyle="1" w:styleId="eop">
    <w:name w:val="eop"/>
    <w:basedOn w:val="DefaultParagraphFont"/>
    <w:rsid w:val="003E6830"/>
  </w:style>
  <w:style w:type="character" w:customStyle="1" w:styleId="UnresolvedMention10">
    <w:name w:val="Unresolved Mention1"/>
    <w:basedOn w:val="DefaultParagraphFont"/>
    <w:uiPriority w:val="99"/>
    <w:semiHidden/>
    <w:unhideWhenUsed/>
    <w:rsid w:val="009054A7"/>
    <w:rPr>
      <w:color w:val="808080"/>
      <w:shd w:val="clear" w:color="auto" w:fill="E6E6E6"/>
    </w:rPr>
  </w:style>
  <w:style w:type="character" w:styleId="CommentReference">
    <w:name w:val="annotation reference"/>
    <w:basedOn w:val="DefaultParagraphFont"/>
    <w:uiPriority w:val="99"/>
    <w:semiHidden/>
    <w:unhideWhenUsed/>
    <w:rsid w:val="009054A7"/>
    <w:rPr>
      <w:sz w:val="16"/>
      <w:szCs w:val="16"/>
    </w:rPr>
  </w:style>
  <w:style w:type="paragraph" w:styleId="CommentText">
    <w:name w:val="annotation text"/>
    <w:basedOn w:val="Normal"/>
    <w:link w:val="CommentTextChar"/>
    <w:uiPriority w:val="99"/>
    <w:unhideWhenUsed/>
    <w:rsid w:val="009054A7"/>
    <w:rPr>
      <w:szCs w:val="20"/>
    </w:rPr>
  </w:style>
  <w:style w:type="character" w:customStyle="1" w:styleId="CommentTextChar">
    <w:name w:val="Comment Text Char"/>
    <w:basedOn w:val="DefaultParagraphFont"/>
    <w:link w:val="CommentText"/>
    <w:uiPriority w:val="99"/>
    <w:rsid w:val="009054A7"/>
    <w:rPr>
      <w:rFonts w:eastAsia="Calibri" w:cstheme="minorHAnsi"/>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9054A7"/>
    <w:rPr>
      <w:b/>
      <w:bCs/>
    </w:rPr>
  </w:style>
  <w:style w:type="character" w:customStyle="1" w:styleId="CommentSubjectChar">
    <w:name w:val="Comment Subject Char"/>
    <w:basedOn w:val="CommentTextChar"/>
    <w:link w:val="CommentSubject"/>
    <w:uiPriority w:val="99"/>
    <w:semiHidden/>
    <w:rsid w:val="009054A7"/>
    <w:rPr>
      <w:rFonts w:eastAsia="Calibri" w:cstheme="minorHAnsi"/>
      <w:b/>
      <w:bCs/>
      <w:color w:val="000000" w:themeColor="text1"/>
      <w:sz w:val="20"/>
      <w:szCs w:val="20"/>
      <w:lang w:eastAsia="en-AU"/>
    </w:rPr>
  </w:style>
  <w:style w:type="table" w:styleId="PlainTable1">
    <w:name w:val="Plain Table 1"/>
    <w:basedOn w:val="TableNormal"/>
    <w:uiPriority w:val="41"/>
    <w:rsid w:val="009054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9054A7"/>
    <w:rPr>
      <w:color w:val="9F6715" w:themeColor="followedHyperlink"/>
      <w:u w:val="single"/>
    </w:rPr>
  </w:style>
  <w:style w:type="character" w:customStyle="1" w:styleId="UnresolvedMention2">
    <w:name w:val="Unresolved Mention2"/>
    <w:basedOn w:val="DefaultParagraphFont"/>
    <w:uiPriority w:val="99"/>
    <w:semiHidden/>
    <w:unhideWhenUsed/>
    <w:rsid w:val="009054A7"/>
    <w:rPr>
      <w:color w:val="605E5C"/>
      <w:shd w:val="clear" w:color="auto" w:fill="E1DFDD"/>
    </w:rPr>
  </w:style>
  <w:style w:type="paragraph" w:styleId="EndnoteText">
    <w:name w:val="endnote text"/>
    <w:basedOn w:val="Normal"/>
    <w:link w:val="EndnoteTextChar"/>
    <w:uiPriority w:val="99"/>
    <w:semiHidden/>
    <w:unhideWhenUsed/>
    <w:rsid w:val="009054A7"/>
    <w:pPr>
      <w:spacing w:after="0"/>
    </w:pPr>
    <w:rPr>
      <w:szCs w:val="20"/>
    </w:rPr>
  </w:style>
  <w:style w:type="character" w:customStyle="1" w:styleId="EndnoteTextChar">
    <w:name w:val="Endnote Text Char"/>
    <w:basedOn w:val="DefaultParagraphFont"/>
    <w:link w:val="EndnoteText"/>
    <w:uiPriority w:val="99"/>
    <w:semiHidden/>
    <w:rsid w:val="009054A7"/>
    <w:rPr>
      <w:rFonts w:eastAsia="Calibri" w:cstheme="minorHAnsi"/>
      <w:color w:val="000000" w:themeColor="text1"/>
      <w:sz w:val="20"/>
      <w:szCs w:val="20"/>
      <w:lang w:eastAsia="en-AU"/>
    </w:rPr>
  </w:style>
  <w:style w:type="character" w:styleId="EndnoteReference">
    <w:name w:val="endnote reference"/>
    <w:basedOn w:val="DefaultParagraphFont"/>
    <w:uiPriority w:val="99"/>
    <w:semiHidden/>
    <w:unhideWhenUsed/>
    <w:rsid w:val="009054A7"/>
    <w:rPr>
      <w:vertAlign w:val="superscript"/>
    </w:rPr>
  </w:style>
  <w:style w:type="paragraph" w:styleId="Revision">
    <w:name w:val="Revision"/>
    <w:hidden/>
    <w:uiPriority w:val="99"/>
    <w:semiHidden/>
    <w:rsid w:val="009054A7"/>
    <w:pPr>
      <w:spacing w:after="0" w:line="240" w:lineRule="auto"/>
    </w:pPr>
    <w:rPr>
      <w:rFonts w:eastAsia="Calibri" w:cstheme="minorHAnsi"/>
      <w:color w:val="000000" w:themeColor="text1"/>
      <w:sz w:val="20"/>
      <w:szCs w:val="21"/>
      <w:lang w:eastAsia="en-AU"/>
    </w:rPr>
  </w:style>
  <w:style w:type="paragraph" w:customStyle="1" w:styleId="paragraph">
    <w:name w:val="paragraph"/>
    <w:basedOn w:val="Normal"/>
    <w:rsid w:val="009054A7"/>
    <w:pPr>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advancedproofingissue">
    <w:name w:val="advancedproofingissue"/>
    <w:basedOn w:val="DefaultParagraphFont"/>
    <w:rsid w:val="009054A7"/>
  </w:style>
  <w:style w:type="table" w:styleId="GridTable4-Accent6">
    <w:name w:val="Grid Table 4 Accent 6"/>
    <w:basedOn w:val="TableNormal"/>
    <w:uiPriority w:val="49"/>
    <w:rsid w:val="002E03FD"/>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1Light-Accent6">
    <w:name w:val="List Table 1 Light Accent 6"/>
    <w:basedOn w:val="TableNormal"/>
    <w:uiPriority w:val="46"/>
    <w:rsid w:val="005F3529"/>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2">
    <w:name w:val="List Table 2"/>
    <w:basedOn w:val="TableNormal"/>
    <w:uiPriority w:val="47"/>
    <w:rsid w:val="005F352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5F352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5F3529"/>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6Colorful-Accent4">
    <w:name w:val="List Table 6 Colorful Accent 4"/>
    <w:basedOn w:val="TableNormal"/>
    <w:uiPriority w:val="51"/>
    <w:rsid w:val="005F3529"/>
    <w:pPr>
      <w:spacing w:after="0" w:line="240" w:lineRule="auto"/>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6Colorful-Accent6">
    <w:name w:val="List Table 6 Colorful Accent 6"/>
    <w:basedOn w:val="TableNormal"/>
    <w:uiPriority w:val="51"/>
    <w:rsid w:val="005F3529"/>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4-Accent1">
    <w:name w:val="List Table 4 Accent 1"/>
    <w:basedOn w:val="TableNormal"/>
    <w:uiPriority w:val="49"/>
    <w:rsid w:val="00A85F85"/>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4-Accent1">
    <w:name w:val="Grid Table 4 Accent 1"/>
    <w:basedOn w:val="TableNormal"/>
    <w:uiPriority w:val="49"/>
    <w:rsid w:val="00A85F85"/>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5Dark-Accent5">
    <w:name w:val="Grid Table 5 Dark Accent 5"/>
    <w:basedOn w:val="TableNormal"/>
    <w:uiPriority w:val="50"/>
    <w:rsid w:val="00A85F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GridTable1Light-Accent6">
    <w:name w:val="Grid Table 1 Light Accent 6"/>
    <w:basedOn w:val="TableNormal"/>
    <w:uiPriority w:val="46"/>
    <w:rsid w:val="005F3529"/>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C172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ridTable6Colorful-Accent4">
    <w:name w:val="Grid Table 6 Colorful Accent 4"/>
    <w:basedOn w:val="TableNormal"/>
    <w:uiPriority w:val="51"/>
    <w:rsid w:val="005F352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4-Accent2">
    <w:name w:val="Grid Table 4 Accent 2"/>
    <w:basedOn w:val="TableNormal"/>
    <w:uiPriority w:val="49"/>
    <w:rsid w:val="00ED080C"/>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4-Accent6">
    <w:name w:val="List Table 4 Accent 6"/>
    <w:basedOn w:val="TableNormal"/>
    <w:uiPriority w:val="49"/>
    <w:rsid w:val="00F4584E"/>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3-Accent6">
    <w:name w:val="List Table 3 Accent 6"/>
    <w:basedOn w:val="TableNormal"/>
    <w:uiPriority w:val="48"/>
    <w:rsid w:val="00641912"/>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ListTable4-Accent4">
    <w:name w:val="List Table 4 Accent 4"/>
    <w:basedOn w:val="TableNormal"/>
    <w:uiPriority w:val="49"/>
    <w:rsid w:val="00641912"/>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PlainTable2">
    <w:name w:val="Plain Table 2"/>
    <w:basedOn w:val="TableNormal"/>
    <w:uiPriority w:val="42"/>
    <w:rsid w:val="00B41C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4">
    <w:name w:val="Grid Table 1 Light Accent 4"/>
    <w:basedOn w:val="TableNormal"/>
    <w:uiPriority w:val="46"/>
    <w:rsid w:val="002B3CA5"/>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B3C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854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0702B5"/>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1Light-Accent1">
    <w:name w:val="Grid Table 1 Light Accent 1"/>
    <w:basedOn w:val="TableNormal"/>
    <w:uiPriority w:val="46"/>
    <w:rsid w:val="000702B5"/>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403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75290">
      <w:bodyDiv w:val="1"/>
      <w:marLeft w:val="0"/>
      <w:marRight w:val="0"/>
      <w:marTop w:val="0"/>
      <w:marBottom w:val="0"/>
      <w:divBdr>
        <w:top w:val="none" w:sz="0" w:space="0" w:color="auto"/>
        <w:left w:val="none" w:sz="0" w:space="0" w:color="auto"/>
        <w:bottom w:val="none" w:sz="0" w:space="0" w:color="auto"/>
        <w:right w:val="none" w:sz="0" w:space="0" w:color="auto"/>
      </w:divBdr>
    </w:div>
    <w:div w:id="410928781">
      <w:bodyDiv w:val="1"/>
      <w:marLeft w:val="0"/>
      <w:marRight w:val="0"/>
      <w:marTop w:val="0"/>
      <w:marBottom w:val="0"/>
      <w:divBdr>
        <w:top w:val="none" w:sz="0" w:space="0" w:color="auto"/>
        <w:left w:val="none" w:sz="0" w:space="0" w:color="auto"/>
        <w:bottom w:val="none" w:sz="0" w:space="0" w:color="auto"/>
        <w:right w:val="none" w:sz="0" w:space="0" w:color="auto"/>
      </w:divBdr>
    </w:div>
    <w:div w:id="628826570">
      <w:bodyDiv w:val="1"/>
      <w:marLeft w:val="0"/>
      <w:marRight w:val="0"/>
      <w:marTop w:val="0"/>
      <w:marBottom w:val="0"/>
      <w:divBdr>
        <w:top w:val="none" w:sz="0" w:space="0" w:color="auto"/>
        <w:left w:val="none" w:sz="0" w:space="0" w:color="auto"/>
        <w:bottom w:val="none" w:sz="0" w:space="0" w:color="auto"/>
        <w:right w:val="none" w:sz="0" w:space="0" w:color="auto"/>
      </w:divBdr>
    </w:div>
    <w:div w:id="646208385">
      <w:bodyDiv w:val="1"/>
      <w:marLeft w:val="0"/>
      <w:marRight w:val="0"/>
      <w:marTop w:val="0"/>
      <w:marBottom w:val="0"/>
      <w:divBdr>
        <w:top w:val="none" w:sz="0" w:space="0" w:color="auto"/>
        <w:left w:val="none" w:sz="0" w:space="0" w:color="auto"/>
        <w:bottom w:val="none" w:sz="0" w:space="0" w:color="auto"/>
        <w:right w:val="none" w:sz="0" w:space="0" w:color="auto"/>
      </w:divBdr>
      <w:divsChild>
        <w:div w:id="757753300">
          <w:marLeft w:val="0"/>
          <w:marRight w:val="0"/>
          <w:marTop w:val="0"/>
          <w:marBottom w:val="0"/>
          <w:divBdr>
            <w:top w:val="none" w:sz="0" w:space="0" w:color="auto"/>
            <w:left w:val="none" w:sz="0" w:space="0" w:color="auto"/>
            <w:bottom w:val="none" w:sz="0" w:space="0" w:color="auto"/>
            <w:right w:val="none" w:sz="0" w:space="0" w:color="auto"/>
          </w:divBdr>
        </w:div>
      </w:divsChild>
    </w:div>
    <w:div w:id="767509203">
      <w:bodyDiv w:val="1"/>
      <w:marLeft w:val="0"/>
      <w:marRight w:val="0"/>
      <w:marTop w:val="0"/>
      <w:marBottom w:val="0"/>
      <w:divBdr>
        <w:top w:val="none" w:sz="0" w:space="0" w:color="auto"/>
        <w:left w:val="none" w:sz="0" w:space="0" w:color="auto"/>
        <w:bottom w:val="none" w:sz="0" w:space="0" w:color="auto"/>
        <w:right w:val="none" w:sz="0" w:space="0" w:color="auto"/>
      </w:divBdr>
      <w:divsChild>
        <w:div w:id="2130314261">
          <w:marLeft w:val="0"/>
          <w:marRight w:val="0"/>
          <w:marTop w:val="0"/>
          <w:marBottom w:val="0"/>
          <w:divBdr>
            <w:top w:val="none" w:sz="0" w:space="0" w:color="auto"/>
            <w:left w:val="none" w:sz="0" w:space="0" w:color="auto"/>
            <w:bottom w:val="none" w:sz="0" w:space="0" w:color="auto"/>
            <w:right w:val="none" w:sz="0" w:space="0" w:color="auto"/>
          </w:divBdr>
        </w:div>
      </w:divsChild>
    </w:div>
    <w:div w:id="937443344">
      <w:bodyDiv w:val="1"/>
      <w:marLeft w:val="0"/>
      <w:marRight w:val="0"/>
      <w:marTop w:val="0"/>
      <w:marBottom w:val="0"/>
      <w:divBdr>
        <w:top w:val="none" w:sz="0" w:space="0" w:color="auto"/>
        <w:left w:val="none" w:sz="0" w:space="0" w:color="auto"/>
        <w:bottom w:val="none" w:sz="0" w:space="0" w:color="auto"/>
        <w:right w:val="none" w:sz="0" w:space="0" w:color="auto"/>
      </w:divBdr>
      <w:divsChild>
        <w:div w:id="1586378964">
          <w:marLeft w:val="0"/>
          <w:marRight w:val="0"/>
          <w:marTop w:val="0"/>
          <w:marBottom w:val="0"/>
          <w:divBdr>
            <w:top w:val="none" w:sz="0" w:space="0" w:color="auto"/>
            <w:left w:val="none" w:sz="0" w:space="0" w:color="auto"/>
            <w:bottom w:val="none" w:sz="0" w:space="0" w:color="auto"/>
            <w:right w:val="none" w:sz="0" w:space="0" w:color="auto"/>
          </w:divBdr>
        </w:div>
      </w:divsChild>
    </w:div>
    <w:div w:id="1046830241">
      <w:bodyDiv w:val="1"/>
      <w:marLeft w:val="0"/>
      <w:marRight w:val="0"/>
      <w:marTop w:val="0"/>
      <w:marBottom w:val="0"/>
      <w:divBdr>
        <w:top w:val="none" w:sz="0" w:space="0" w:color="auto"/>
        <w:left w:val="none" w:sz="0" w:space="0" w:color="auto"/>
        <w:bottom w:val="none" w:sz="0" w:space="0" w:color="auto"/>
        <w:right w:val="none" w:sz="0" w:space="0" w:color="auto"/>
      </w:divBdr>
      <w:divsChild>
        <w:div w:id="184949099">
          <w:marLeft w:val="0"/>
          <w:marRight w:val="0"/>
          <w:marTop w:val="0"/>
          <w:marBottom w:val="0"/>
          <w:divBdr>
            <w:top w:val="none" w:sz="0" w:space="0" w:color="auto"/>
            <w:left w:val="none" w:sz="0" w:space="0" w:color="auto"/>
            <w:bottom w:val="none" w:sz="0" w:space="0" w:color="auto"/>
            <w:right w:val="none" w:sz="0" w:space="0" w:color="auto"/>
          </w:divBdr>
        </w:div>
      </w:divsChild>
    </w:div>
    <w:div w:id="1119451684">
      <w:bodyDiv w:val="1"/>
      <w:marLeft w:val="0"/>
      <w:marRight w:val="0"/>
      <w:marTop w:val="0"/>
      <w:marBottom w:val="0"/>
      <w:divBdr>
        <w:top w:val="none" w:sz="0" w:space="0" w:color="auto"/>
        <w:left w:val="none" w:sz="0" w:space="0" w:color="auto"/>
        <w:bottom w:val="none" w:sz="0" w:space="0" w:color="auto"/>
        <w:right w:val="none" w:sz="0" w:space="0" w:color="auto"/>
      </w:divBdr>
      <w:divsChild>
        <w:div w:id="1668442822">
          <w:marLeft w:val="0"/>
          <w:marRight w:val="0"/>
          <w:marTop w:val="0"/>
          <w:marBottom w:val="0"/>
          <w:divBdr>
            <w:top w:val="none" w:sz="0" w:space="0" w:color="auto"/>
            <w:left w:val="none" w:sz="0" w:space="0" w:color="auto"/>
            <w:bottom w:val="none" w:sz="0" w:space="0" w:color="auto"/>
            <w:right w:val="none" w:sz="0" w:space="0" w:color="auto"/>
          </w:divBdr>
        </w:div>
      </w:divsChild>
    </w:div>
    <w:div w:id="1482580556">
      <w:bodyDiv w:val="1"/>
      <w:marLeft w:val="0"/>
      <w:marRight w:val="0"/>
      <w:marTop w:val="0"/>
      <w:marBottom w:val="0"/>
      <w:divBdr>
        <w:top w:val="none" w:sz="0" w:space="0" w:color="auto"/>
        <w:left w:val="none" w:sz="0" w:space="0" w:color="auto"/>
        <w:bottom w:val="none" w:sz="0" w:space="0" w:color="auto"/>
        <w:right w:val="none" w:sz="0" w:space="0" w:color="auto"/>
      </w:divBdr>
    </w:div>
    <w:div w:id="1676496348">
      <w:bodyDiv w:val="1"/>
      <w:marLeft w:val="0"/>
      <w:marRight w:val="0"/>
      <w:marTop w:val="0"/>
      <w:marBottom w:val="0"/>
      <w:divBdr>
        <w:top w:val="none" w:sz="0" w:space="0" w:color="auto"/>
        <w:left w:val="none" w:sz="0" w:space="0" w:color="auto"/>
        <w:bottom w:val="none" w:sz="0" w:space="0" w:color="auto"/>
        <w:right w:val="none" w:sz="0" w:space="0" w:color="auto"/>
      </w:divBdr>
    </w:div>
    <w:div w:id="1885168475">
      <w:bodyDiv w:val="1"/>
      <w:marLeft w:val="0"/>
      <w:marRight w:val="0"/>
      <w:marTop w:val="0"/>
      <w:marBottom w:val="0"/>
      <w:divBdr>
        <w:top w:val="none" w:sz="0" w:space="0" w:color="auto"/>
        <w:left w:val="none" w:sz="0" w:space="0" w:color="auto"/>
        <w:bottom w:val="none" w:sz="0" w:space="0" w:color="auto"/>
        <w:right w:val="none" w:sz="0" w:space="0" w:color="auto"/>
      </w:divBdr>
    </w:div>
    <w:div w:id="203970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9.svg"/><Relationship Id="rId34" Type="http://schemas.openxmlformats.org/officeDocument/2006/relationships/diagramData" Target="diagrams/data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diagramData" Target="diagrams/data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svg"/><Relationship Id="rId28" Type="http://schemas.openxmlformats.org/officeDocument/2006/relationships/image" Target="media/image13.png"/><Relationship Id="rId36" Type="http://schemas.openxmlformats.org/officeDocument/2006/relationships/diagramQuickStyle" Target="diagrams/quickStyle2.xml"/><Relationship Id="rId10" Type="http://schemas.openxmlformats.org/officeDocument/2006/relationships/image" Target="media/image3.png"/><Relationship Id="rId31" Type="http://schemas.openxmlformats.org/officeDocument/2006/relationships/diagramQuickStyle" Target="diagrams/quickStyle1.xm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1.pn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8" Type="http://schemas.openxmlformats.org/officeDocument/2006/relationships/hyperlink" Target="https://www.infrastructure.gov.au/aviation/international/files/civil_aviation_carriers_liability_discussion_paper.pdf" TargetMode="External"/><Relationship Id="rId13" Type="http://schemas.openxmlformats.org/officeDocument/2006/relationships/hyperlink" Target="https://www.jeremykisner.com/cruise-ship-industry/" TargetMode="External"/><Relationship Id="rId18" Type="http://schemas.openxmlformats.org/officeDocument/2006/relationships/hyperlink" Target="https://www.abs.gov.au/ausstats/abs@.nsf/lookup/6302.0Media%20Release0Nov%202019" TargetMode="External"/><Relationship Id="rId3" Type="http://schemas.openxmlformats.org/officeDocument/2006/relationships/hyperlink" Target="http://www.mondaq.com/australia/marine-shipping/927820/high-court-appeal-class-action-decision-to-benefit-passengers-of-cruise-ship" TargetMode="External"/><Relationship Id="rId7" Type="http://schemas.openxmlformats.org/officeDocument/2006/relationships/hyperlink" Target="https://www.legislation.gov.au/Details/C2008B00098/Explanatory%20Memorandum/Text" TargetMode="External"/><Relationship Id="rId12" Type="http://schemas.openxmlformats.org/officeDocument/2006/relationships/hyperlink" Target="http://www.legislation.gov.uk/uksi/2012/3152/pdfs/uksiod_20123152_en.pdf" TargetMode="External"/><Relationship Id="rId17" Type="http://schemas.openxmlformats.org/officeDocument/2006/relationships/hyperlink" Target="https://www.escape.com.au/experiences/cruises/how-much-does-cruising-cost-a-guide-for-every-cruise-budget/news-story/c6911bc1724e8384cd1fac5b581c831e" TargetMode="External"/><Relationship Id="rId2" Type="http://schemas.openxmlformats.org/officeDocument/2006/relationships/hyperlink" Target="https://www.infrastructure.gov.au/maritime/business/liability/files/athens_convention_discussion_paper.pdf" TargetMode="External"/><Relationship Id="rId16" Type="http://schemas.openxmlformats.org/officeDocument/2006/relationships/hyperlink" Target="https://cruisemarketwatch.com/market/" TargetMode="External"/><Relationship Id="rId1" Type="http://schemas.openxmlformats.org/officeDocument/2006/relationships/hyperlink" Target="https://www.infrastructure.gov.au/maritime/business/liability/files/athens_convention_discussion_paper.pdf" TargetMode="External"/><Relationship Id="rId6" Type="http://schemas.openxmlformats.org/officeDocument/2006/relationships/hyperlink" Target="http://www.imo.org/en/About/Conventions/StatusOfConventions/Pages/Default.aspx" TargetMode="External"/><Relationship Id="rId11" Type="http://schemas.openxmlformats.org/officeDocument/2006/relationships/hyperlink" Target="https://assets.publishing.service.gov.uk/government/uploads/system/uploads/attachment_data/file/2725/%20annex-c-regulatory-ia.pdf" TargetMode="External"/><Relationship Id="rId5" Type="http://schemas.openxmlformats.org/officeDocument/2006/relationships/hyperlink" Target="https://www.shine.com.au/service/class-actions/ruby-princess-coronavirus-claim" TargetMode="External"/><Relationship Id="rId15" Type="http://schemas.openxmlformats.org/officeDocument/2006/relationships/hyperlink" Target="https://www.igpandi.org/reinsurance" TargetMode="External"/><Relationship Id="rId10" Type="http://schemas.openxmlformats.org/officeDocument/2006/relationships/hyperlink" Target="https://www.pmc.gov.au/sites/default/files/publications/006-Cost-benefit-analysis.pdf" TargetMode="External"/><Relationship Id="rId4" Type="http://schemas.openxmlformats.org/officeDocument/2006/relationships/hyperlink" Target="https://www.abc.net.au/news/2020-04-27/new-zealand-white-island-volcano-disaster-four-corners/12150706?nw=0" TargetMode="External"/><Relationship Id="rId9" Type="http://schemas.openxmlformats.org/officeDocument/2006/relationships/hyperlink" Target="https://www.amsa.gov.au/vessels-operators/port-state-control/port-state-control-report-2018" TargetMode="External"/><Relationship Id="rId14" Type="http://schemas.openxmlformats.org/officeDocument/2006/relationships/hyperlink" Target="https://www.marketwatch.com/investing/stock/ccl/profil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7277037171874"/>
          <c:y val="0.12471131639722864"/>
          <c:w val="0.85495499535046204"/>
          <c:h val="0.57712234828640463"/>
        </c:manualLayout>
      </c:layout>
      <c:lineChart>
        <c:grouping val="standard"/>
        <c:varyColors val="0"/>
        <c:ser>
          <c:idx val="0"/>
          <c:order val="0"/>
          <c:tx>
            <c:strRef>
              <c:f>Sheet1!$A$19</c:f>
              <c:strCache>
                <c:ptCount val="1"/>
                <c:pt idx="0">
                  <c:v>LLMC (500 pax)</c:v>
                </c:pt>
              </c:strCache>
            </c:strRef>
          </c:tx>
          <c:spPr>
            <a:ln w="28575" cap="rnd">
              <a:solidFill>
                <a:schemeClr val="accent1">
                  <a:lumMod val="60000"/>
                  <a:lumOff val="40000"/>
                </a:schemeClr>
              </a:solidFill>
              <a:round/>
            </a:ln>
            <a:effectLst/>
          </c:spPr>
          <c:marker>
            <c:symbol val="none"/>
          </c:marker>
          <c:cat>
            <c:numRef>
              <c:f>Sheet1!$B$3:$H$3</c:f>
              <c:numCache>
                <c:formatCode>General</c:formatCode>
                <c:ptCount val="7"/>
                <c:pt idx="0">
                  <c:v>10</c:v>
                </c:pt>
                <c:pt idx="1">
                  <c:v>50</c:v>
                </c:pt>
                <c:pt idx="2">
                  <c:v>100</c:v>
                </c:pt>
                <c:pt idx="3">
                  <c:v>250</c:v>
                </c:pt>
                <c:pt idx="4">
                  <c:v>500</c:v>
                </c:pt>
                <c:pt idx="5">
                  <c:v>750</c:v>
                </c:pt>
                <c:pt idx="6">
                  <c:v>1000</c:v>
                </c:pt>
              </c:numCache>
            </c:numRef>
          </c:cat>
          <c:val>
            <c:numRef>
              <c:f>Sheet1!$B$19:$H$19</c:f>
              <c:numCache>
                <c:formatCode>General</c:formatCode>
                <c:ptCount val="7"/>
                <c:pt idx="0">
                  <c:v>875</c:v>
                </c:pt>
                <c:pt idx="1">
                  <c:v>875</c:v>
                </c:pt>
                <c:pt idx="2">
                  <c:v>875</c:v>
                </c:pt>
                <c:pt idx="3">
                  <c:v>875</c:v>
                </c:pt>
                <c:pt idx="4">
                  <c:v>875</c:v>
                </c:pt>
                <c:pt idx="5">
                  <c:v>875</c:v>
                </c:pt>
                <c:pt idx="6">
                  <c:v>875</c:v>
                </c:pt>
              </c:numCache>
            </c:numRef>
          </c:val>
          <c:smooth val="0"/>
          <c:extLst>
            <c:ext xmlns:c16="http://schemas.microsoft.com/office/drawing/2014/chart" uri="{C3380CC4-5D6E-409C-BE32-E72D297353CC}">
              <c16:uniqueId val="{00000000-6A5D-4D2B-ABBB-AB7B29BEEEE3}"/>
            </c:ext>
          </c:extLst>
        </c:ser>
        <c:ser>
          <c:idx val="1"/>
          <c:order val="1"/>
          <c:tx>
            <c:strRef>
              <c:f>Sheet1!$A$20</c:f>
              <c:strCache>
                <c:ptCount val="1"/>
                <c:pt idx="0">
                  <c:v>LLMC (1000 pax)</c:v>
                </c:pt>
              </c:strCache>
            </c:strRef>
          </c:tx>
          <c:spPr>
            <a:ln w="28575" cap="rnd">
              <a:solidFill>
                <a:srgbClr val="366525"/>
              </a:solidFill>
              <a:round/>
            </a:ln>
            <a:effectLst/>
          </c:spPr>
          <c:marker>
            <c:symbol val="none"/>
          </c:marker>
          <c:cat>
            <c:numRef>
              <c:f>Sheet1!$B$3:$H$3</c:f>
              <c:numCache>
                <c:formatCode>General</c:formatCode>
                <c:ptCount val="7"/>
                <c:pt idx="0">
                  <c:v>10</c:v>
                </c:pt>
                <c:pt idx="1">
                  <c:v>50</c:v>
                </c:pt>
                <c:pt idx="2">
                  <c:v>100</c:v>
                </c:pt>
                <c:pt idx="3">
                  <c:v>250</c:v>
                </c:pt>
                <c:pt idx="4">
                  <c:v>500</c:v>
                </c:pt>
                <c:pt idx="5">
                  <c:v>750</c:v>
                </c:pt>
                <c:pt idx="6">
                  <c:v>1000</c:v>
                </c:pt>
              </c:numCache>
            </c:numRef>
          </c:cat>
          <c:val>
            <c:numRef>
              <c:f>Sheet1!$B$20:$H$20</c:f>
              <c:numCache>
                <c:formatCode>General</c:formatCode>
                <c:ptCount val="7"/>
                <c:pt idx="0" formatCode="#,##0">
                  <c:v>1750</c:v>
                </c:pt>
                <c:pt idx="1">
                  <c:v>1750</c:v>
                </c:pt>
                <c:pt idx="2">
                  <c:v>1750</c:v>
                </c:pt>
                <c:pt idx="3">
                  <c:v>1750</c:v>
                </c:pt>
                <c:pt idx="4">
                  <c:v>1750</c:v>
                </c:pt>
                <c:pt idx="5">
                  <c:v>1750</c:v>
                </c:pt>
                <c:pt idx="6">
                  <c:v>1750</c:v>
                </c:pt>
              </c:numCache>
            </c:numRef>
          </c:val>
          <c:smooth val="0"/>
          <c:extLst>
            <c:ext xmlns:c16="http://schemas.microsoft.com/office/drawing/2014/chart" uri="{C3380CC4-5D6E-409C-BE32-E72D297353CC}">
              <c16:uniqueId val="{00000001-6A5D-4D2B-ABBB-AB7B29BEEEE3}"/>
            </c:ext>
          </c:extLst>
        </c:ser>
        <c:ser>
          <c:idx val="2"/>
          <c:order val="2"/>
          <c:tx>
            <c:strRef>
              <c:f>Sheet1!$A$21</c:f>
              <c:strCache>
                <c:ptCount val="1"/>
                <c:pt idx="0">
                  <c:v>Athens Tier 1</c:v>
                </c:pt>
              </c:strCache>
            </c:strRef>
          </c:tx>
          <c:spPr>
            <a:ln w="28575" cap="rnd">
              <a:solidFill>
                <a:srgbClr val="6177F9"/>
              </a:solidFill>
              <a:round/>
            </a:ln>
            <a:effectLst/>
          </c:spPr>
          <c:marker>
            <c:symbol val="none"/>
          </c:marker>
          <c:cat>
            <c:numRef>
              <c:f>Sheet1!$B$3:$H$3</c:f>
              <c:numCache>
                <c:formatCode>General</c:formatCode>
                <c:ptCount val="7"/>
                <c:pt idx="0">
                  <c:v>10</c:v>
                </c:pt>
                <c:pt idx="1">
                  <c:v>50</c:v>
                </c:pt>
                <c:pt idx="2">
                  <c:v>100</c:v>
                </c:pt>
                <c:pt idx="3">
                  <c:v>250</c:v>
                </c:pt>
                <c:pt idx="4">
                  <c:v>500</c:v>
                </c:pt>
                <c:pt idx="5">
                  <c:v>750</c:v>
                </c:pt>
                <c:pt idx="6">
                  <c:v>1000</c:v>
                </c:pt>
              </c:numCache>
            </c:numRef>
          </c:cat>
          <c:val>
            <c:numRef>
              <c:f>Sheet1!$B$21:$H$21</c:f>
              <c:numCache>
                <c:formatCode>General</c:formatCode>
                <c:ptCount val="7"/>
                <c:pt idx="0">
                  <c:v>25</c:v>
                </c:pt>
                <c:pt idx="1">
                  <c:v>125</c:v>
                </c:pt>
                <c:pt idx="2">
                  <c:v>250</c:v>
                </c:pt>
                <c:pt idx="3">
                  <c:v>625</c:v>
                </c:pt>
                <c:pt idx="4">
                  <c:v>1250</c:v>
                </c:pt>
                <c:pt idx="5">
                  <c:v>1875</c:v>
                </c:pt>
                <c:pt idx="6">
                  <c:v>2500</c:v>
                </c:pt>
              </c:numCache>
            </c:numRef>
          </c:val>
          <c:smooth val="0"/>
          <c:extLst>
            <c:ext xmlns:c16="http://schemas.microsoft.com/office/drawing/2014/chart" uri="{C3380CC4-5D6E-409C-BE32-E72D297353CC}">
              <c16:uniqueId val="{00000002-6A5D-4D2B-ABBB-AB7B29BEEEE3}"/>
            </c:ext>
          </c:extLst>
        </c:ser>
        <c:ser>
          <c:idx val="3"/>
          <c:order val="3"/>
          <c:tx>
            <c:strRef>
              <c:f>Sheet1!$A$22</c:f>
              <c:strCache>
                <c:ptCount val="1"/>
                <c:pt idx="0">
                  <c:v>Athens Tier 2</c:v>
                </c:pt>
              </c:strCache>
            </c:strRef>
          </c:tx>
          <c:spPr>
            <a:ln w="28575" cap="rnd">
              <a:solidFill>
                <a:srgbClr val="003E6C"/>
              </a:solidFill>
              <a:round/>
            </a:ln>
            <a:effectLst/>
          </c:spPr>
          <c:marker>
            <c:symbol val="none"/>
          </c:marker>
          <c:cat>
            <c:numRef>
              <c:f>Sheet1!$B$3:$H$3</c:f>
              <c:numCache>
                <c:formatCode>General</c:formatCode>
                <c:ptCount val="7"/>
                <c:pt idx="0">
                  <c:v>10</c:v>
                </c:pt>
                <c:pt idx="1">
                  <c:v>50</c:v>
                </c:pt>
                <c:pt idx="2">
                  <c:v>100</c:v>
                </c:pt>
                <c:pt idx="3">
                  <c:v>250</c:v>
                </c:pt>
                <c:pt idx="4">
                  <c:v>500</c:v>
                </c:pt>
                <c:pt idx="5">
                  <c:v>750</c:v>
                </c:pt>
                <c:pt idx="6">
                  <c:v>1000</c:v>
                </c:pt>
              </c:numCache>
            </c:numRef>
          </c:cat>
          <c:val>
            <c:numRef>
              <c:f>Sheet1!$B$22:$H$22</c:f>
              <c:numCache>
                <c:formatCode>General</c:formatCode>
                <c:ptCount val="7"/>
                <c:pt idx="0">
                  <c:v>40</c:v>
                </c:pt>
                <c:pt idx="1">
                  <c:v>200</c:v>
                </c:pt>
                <c:pt idx="2">
                  <c:v>400</c:v>
                </c:pt>
                <c:pt idx="3">
                  <c:v>1000</c:v>
                </c:pt>
                <c:pt idx="4">
                  <c:v>2000</c:v>
                </c:pt>
                <c:pt idx="5">
                  <c:v>3000</c:v>
                </c:pt>
                <c:pt idx="6">
                  <c:v>4000</c:v>
                </c:pt>
              </c:numCache>
            </c:numRef>
          </c:val>
          <c:smooth val="0"/>
          <c:extLst>
            <c:ext xmlns:c16="http://schemas.microsoft.com/office/drawing/2014/chart" uri="{C3380CC4-5D6E-409C-BE32-E72D297353CC}">
              <c16:uniqueId val="{00000003-6A5D-4D2B-ABBB-AB7B29BEEEE3}"/>
            </c:ext>
          </c:extLst>
        </c:ser>
        <c:dLbls>
          <c:showLegendKey val="0"/>
          <c:showVal val="0"/>
          <c:showCatName val="0"/>
          <c:showSerName val="0"/>
          <c:showPercent val="0"/>
          <c:showBubbleSize val="0"/>
        </c:dLbls>
        <c:smooth val="0"/>
        <c:axId val="746579736"/>
        <c:axId val="746576992"/>
      </c:lineChart>
      <c:catAx>
        <c:axId val="746579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Casualty 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46576992"/>
        <c:crosses val="autoZero"/>
        <c:auto val="1"/>
        <c:lblAlgn val="ctr"/>
        <c:lblOffset val="100"/>
        <c:noMultiLvlLbl val="0"/>
      </c:catAx>
      <c:valAx>
        <c:axId val="746576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SDR x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46579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459234-9EAE-4A3A-989A-81C49578FA90}" type="doc">
      <dgm:prSet loTypeId="urn:microsoft.com/office/officeart/2005/8/layout/cycle2" loCatId="cycle" qsTypeId="urn:microsoft.com/office/officeart/2005/8/quickstyle/simple1" qsCatId="simple" csTypeId="urn:microsoft.com/office/officeart/2005/8/colors/accent6_4" csCatId="accent6" phldr="1"/>
      <dgm:spPr/>
      <dgm:t>
        <a:bodyPr/>
        <a:lstStyle/>
        <a:p>
          <a:endParaRPr lang="en-AU"/>
        </a:p>
      </dgm:t>
    </dgm:pt>
    <dgm:pt modelId="{36332380-DF8F-4BFB-965E-D99C176E16B2}">
      <dgm:prSet phldrT="[Text]"/>
      <dgm:spPr/>
      <dgm:t>
        <a:bodyPr/>
        <a:lstStyle/>
        <a:p>
          <a:pPr algn="ctr"/>
          <a:r>
            <a:rPr lang="en-AU"/>
            <a:t>Increase in insurance premium </a:t>
          </a:r>
        </a:p>
      </dgm:t>
    </dgm:pt>
    <dgm:pt modelId="{CAB9FD35-745F-40A9-BFB2-9E457D5486E9}" type="parTrans" cxnId="{BF157B99-B43A-4C16-9525-3F4ED664DFAC}">
      <dgm:prSet/>
      <dgm:spPr/>
      <dgm:t>
        <a:bodyPr/>
        <a:lstStyle/>
        <a:p>
          <a:pPr algn="ctr"/>
          <a:endParaRPr lang="en-AU"/>
        </a:p>
      </dgm:t>
    </dgm:pt>
    <dgm:pt modelId="{CBE8DF38-2BB6-450B-A4F1-3E676EBBD377}" type="sibTrans" cxnId="{BF157B99-B43A-4C16-9525-3F4ED664DFAC}">
      <dgm:prSet/>
      <dgm:spPr/>
      <dgm:t>
        <a:bodyPr/>
        <a:lstStyle/>
        <a:p>
          <a:pPr algn="ctr"/>
          <a:endParaRPr lang="en-AU"/>
        </a:p>
      </dgm:t>
    </dgm:pt>
    <dgm:pt modelId="{7AF4A3D5-CDBB-4D10-98F8-1CEBCD07CE19}">
      <dgm:prSet phldrT="[Text]"/>
      <dgm:spPr/>
      <dgm:t>
        <a:bodyPr/>
        <a:lstStyle/>
        <a:p>
          <a:pPr algn="ctr"/>
          <a:r>
            <a:rPr lang="en-AU"/>
            <a:t>Cruise companies increase fares</a:t>
          </a:r>
        </a:p>
      </dgm:t>
    </dgm:pt>
    <dgm:pt modelId="{21D73EC6-E598-4E44-8273-CC7FF082BA64}" type="parTrans" cxnId="{BF1B5137-5E9E-4744-8BC3-146ABECE95B7}">
      <dgm:prSet/>
      <dgm:spPr/>
      <dgm:t>
        <a:bodyPr/>
        <a:lstStyle/>
        <a:p>
          <a:pPr algn="ctr"/>
          <a:endParaRPr lang="en-AU"/>
        </a:p>
      </dgm:t>
    </dgm:pt>
    <dgm:pt modelId="{C385ED1D-28AF-49B4-B2BF-1520A085614F}" type="sibTrans" cxnId="{BF1B5137-5E9E-4744-8BC3-146ABECE95B7}">
      <dgm:prSet/>
      <dgm:spPr/>
      <dgm:t>
        <a:bodyPr/>
        <a:lstStyle/>
        <a:p>
          <a:pPr algn="ctr"/>
          <a:endParaRPr lang="en-AU"/>
        </a:p>
      </dgm:t>
    </dgm:pt>
    <dgm:pt modelId="{2D1FFC9D-BE74-4C11-B65C-E0C292B58705}">
      <dgm:prSet phldrT="[Text]"/>
      <dgm:spPr/>
      <dgm:t>
        <a:bodyPr/>
        <a:lstStyle/>
        <a:p>
          <a:pPr algn="ctr"/>
          <a:r>
            <a:rPr lang="en-AU"/>
            <a:t>Passengers expect better service. </a:t>
          </a:r>
        </a:p>
      </dgm:t>
    </dgm:pt>
    <dgm:pt modelId="{2239E477-3B9A-43CC-9F7D-8EF5AEE38616}" type="parTrans" cxnId="{FC36FFF9-0B79-44F5-888E-F100A1D8ED7D}">
      <dgm:prSet/>
      <dgm:spPr/>
      <dgm:t>
        <a:bodyPr/>
        <a:lstStyle/>
        <a:p>
          <a:pPr algn="ctr"/>
          <a:endParaRPr lang="en-AU"/>
        </a:p>
      </dgm:t>
    </dgm:pt>
    <dgm:pt modelId="{53317149-655B-4A82-95EF-025AD7FC88C6}" type="sibTrans" cxnId="{FC36FFF9-0B79-44F5-888E-F100A1D8ED7D}">
      <dgm:prSet/>
      <dgm:spPr/>
      <dgm:t>
        <a:bodyPr/>
        <a:lstStyle/>
        <a:p>
          <a:pPr algn="ctr"/>
          <a:endParaRPr lang="en-AU"/>
        </a:p>
      </dgm:t>
    </dgm:pt>
    <dgm:pt modelId="{AFA1DA92-0852-479A-87E5-DA041B6051AE}">
      <dgm:prSet phldrT="[Text]"/>
      <dgm:spPr/>
      <dgm:t>
        <a:bodyPr/>
        <a:lstStyle/>
        <a:p>
          <a:pPr algn="ctr"/>
          <a:r>
            <a:rPr lang="en-AU"/>
            <a:t>More claims are lodged as easier to claim</a:t>
          </a:r>
        </a:p>
      </dgm:t>
    </dgm:pt>
    <dgm:pt modelId="{CA832447-4F45-4873-9122-29292E2A68E0}" type="parTrans" cxnId="{8D1D1D4D-3FC9-48D4-9FA0-07B2162046AB}">
      <dgm:prSet/>
      <dgm:spPr/>
      <dgm:t>
        <a:bodyPr/>
        <a:lstStyle/>
        <a:p>
          <a:pPr algn="ctr"/>
          <a:endParaRPr lang="en-AU"/>
        </a:p>
      </dgm:t>
    </dgm:pt>
    <dgm:pt modelId="{4F82222E-3AC5-406C-A42B-D1F9696BAEEE}" type="sibTrans" cxnId="{8D1D1D4D-3FC9-48D4-9FA0-07B2162046AB}">
      <dgm:prSet/>
      <dgm:spPr/>
      <dgm:t>
        <a:bodyPr/>
        <a:lstStyle/>
        <a:p>
          <a:pPr algn="ctr"/>
          <a:endParaRPr lang="en-AU"/>
        </a:p>
      </dgm:t>
    </dgm:pt>
    <dgm:pt modelId="{6391E930-2F41-4FBA-BD8A-ABA6B2769C5C}">
      <dgm:prSet phldrT="[Text]"/>
      <dgm:spPr/>
      <dgm:t>
        <a:bodyPr/>
        <a:lstStyle/>
        <a:p>
          <a:pPr algn="ctr"/>
          <a:r>
            <a:rPr lang="en-AU"/>
            <a:t>More claims paid out</a:t>
          </a:r>
        </a:p>
      </dgm:t>
    </dgm:pt>
    <dgm:pt modelId="{B1019E63-8BF4-4441-B274-9F8FEC30F3EE}" type="parTrans" cxnId="{1D0ED926-9BA7-4890-A089-D8323DE36C33}">
      <dgm:prSet/>
      <dgm:spPr/>
      <dgm:t>
        <a:bodyPr/>
        <a:lstStyle/>
        <a:p>
          <a:pPr algn="ctr"/>
          <a:endParaRPr lang="en-AU"/>
        </a:p>
      </dgm:t>
    </dgm:pt>
    <dgm:pt modelId="{E0B3E74D-6FD5-41F5-AEAF-A97537A5D9D7}" type="sibTrans" cxnId="{1D0ED926-9BA7-4890-A089-D8323DE36C33}">
      <dgm:prSet/>
      <dgm:spPr/>
      <dgm:t>
        <a:bodyPr/>
        <a:lstStyle/>
        <a:p>
          <a:pPr algn="ctr"/>
          <a:endParaRPr lang="en-AU"/>
        </a:p>
      </dgm:t>
    </dgm:pt>
    <dgm:pt modelId="{5FA94A6B-7E29-4D6D-9569-6C30FADDEC75}" type="pres">
      <dgm:prSet presAssocID="{83459234-9EAE-4A3A-989A-81C49578FA90}" presName="cycle" presStyleCnt="0">
        <dgm:presLayoutVars>
          <dgm:dir/>
          <dgm:resizeHandles val="exact"/>
        </dgm:presLayoutVars>
      </dgm:prSet>
      <dgm:spPr/>
      <dgm:t>
        <a:bodyPr/>
        <a:lstStyle/>
        <a:p>
          <a:endParaRPr lang="en-US"/>
        </a:p>
      </dgm:t>
    </dgm:pt>
    <dgm:pt modelId="{5D8CAA87-F7AB-402D-8B4C-D5D5CD285D14}" type="pres">
      <dgm:prSet presAssocID="{36332380-DF8F-4BFB-965E-D99C176E16B2}" presName="node" presStyleLbl="node1" presStyleIdx="0" presStyleCnt="5">
        <dgm:presLayoutVars>
          <dgm:bulletEnabled val="1"/>
        </dgm:presLayoutVars>
      </dgm:prSet>
      <dgm:spPr/>
      <dgm:t>
        <a:bodyPr/>
        <a:lstStyle/>
        <a:p>
          <a:endParaRPr lang="en-US"/>
        </a:p>
      </dgm:t>
    </dgm:pt>
    <dgm:pt modelId="{E33685B4-E5F0-4201-BCD7-4636C4C6CA23}" type="pres">
      <dgm:prSet presAssocID="{CBE8DF38-2BB6-450B-A4F1-3E676EBBD377}" presName="sibTrans" presStyleLbl="sibTrans2D1" presStyleIdx="0" presStyleCnt="5"/>
      <dgm:spPr/>
      <dgm:t>
        <a:bodyPr/>
        <a:lstStyle/>
        <a:p>
          <a:endParaRPr lang="en-US"/>
        </a:p>
      </dgm:t>
    </dgm:pt>
    <dgm:pt modelId="{197FF739-E5B8-4B20-A0A1-21848EE99283}" type="pres">
      <dgm:prSet presAssocID="{CBE8DF38-2BB6-450B-A4F1-3E676EBBD377}" presName="connectorText" presStyleLbl="sibTrans2D1" presStyleIdx="0" presStyleCnt="5"/>
      <dgm:spPr/>
      <dgm:t>
        <a:bodyPr/>
        <a:lstStyle/>
        <a:p>
          <a:endParaRPr lang="en-US"/>
        </a:p>
      </dgm:t>
    </dgm:pt>
    <dgm:pt modelId="{8DCEC7D9-4393-4122-A660-0F45E68B2165}" type="pres">
      <dgm:prSet presAssocID="{7AF4A3D5-CDBB-4D10-98F8-1CEBCD07CE19}" presName="node" presStyleLbl="node1" presStyleIdx="1" presStyleCnt="5">
        <dgm:presLayoutVars>
          <dgm:bulletEnabled val="1"/>
        </dgm:presLayoutVars>
      </dgm:prSet>
      <dgm:spPr/>
      <dgm:t>
        <a:bodyPr/>
        <a:lstStyle/>
        <a:p>
          <a:endParaRPr lang="en-US"/>
        </a:p>
      </dgm:t>
    </dgm:pt>
    <dgm:pt modelId="{9685EAE0-480D-49D6-91A7-46A173B0264D}" type="pres">
      <dgm:prSet presAssocID="{C385ED1D-28AF-49B4-B2BF-1520A085614F}" presName="sibTrans" presStyleLbl="sibTrans2D1" presStyleIdx="1" presStyleCnt="5"/>
      <dgm:spPr/>
      <dgm:t>
        <a:bodyPr/>
        <a:lstStyle/>
        <a:p>
          <a:endParaRPr lang="en-US"/>
        </a:p>
      </dgm:t>
    </dgm:pt>
    <dgm:pt modelId="{D2ED27C8-211A-4DAC-8733-2983C48DC650}" type="pres">
      <dgm:prSet presAssocID="{C385ED1D-28AF-49B4-B2BF-1520A085614F}" presName="connectorText" presStyleLbl="sibTrans2D1" presStyleIdx="1" presStyleCnt="5"/>
      <dgm:spPr/>
      <dgm:t>
        <a:bodyPr/>
        <a:lstStyle/>
        <a:p>
          <a:endParaRPr lang="en-US"/>
        </a:p>
      </dgm:t>
    </dgm:pt>
    <dgm:pt modelId="{BD11E887-08D6-4B67-9AE5-B17CE405F7D8}" type="pres">
      <dgm:prSet presAssocID="{2D1FFC9D-BE74-4C11-B65C-E0C292B58705}" presName="node" presStyleLbl="node1" presStyleIdx="2" presStyleCnt="5">
        <dgm:presLayoutVars>
          <dgm:bulletEnabled val="1"/>
        </dgm:presLayoutVars>
      </dgm:prSet>
      <dgm:spPr/>
      <dgm:t>
        <a:bodyPr/>
        <a:lstStyle/>
        <a:p>
          <a:endParaRPr lang="en-US"/>
        </a:p>
      </dgm:t>
    </dgm:pt>
    <dgm:pt modelId="{974CD30F-4057-421D-98A2-95500E394389}" type="pres">
      <dgm:prSet presAssocID="{53317149-655B-4A82-95EF-025AD7FC88C6}" presName="sibTrans" presStyleLbl="sibTrans2D1" presStyleIdx="2" presStyleCnt="5"/>
      <dgm:spPr/>
      <dgm:t>
        <a:bodyPr/>
        <a:lstStyle/>
        <a:p>
          <a:endParaRPr lang="en-US"/>
        </a:p>
      </dgm:t>
    </dgm:pt>
    <dgm:pt modelId="{37460D0B-BB8E-47EB-8BF7-0F28780ED5FD}" type="pres">
      <dgm:prSet presAssocID="{53317149-655B-4A82-95EF-025AD7FC88C6}" presName="connectorText" presStyleLbl="sibTrans2D1" presStyleIdx="2" presStyleCnt="5"/>
      <dgm:spPr/>
      <dgm:t>
        <a:bodyPr/>
        <a:lstStyle/>
        <a:p>
          <a:endParaRPr lang="en-US"/>
        </a:p>
      </dgm:t>
    </dgm:pt>
    <dgm:pt modelId="{19B64B22-8C21-4D6E-BB7B-B7B24C142D8E}" type="pres">
      <dgm:prSet presAssocID="{AFA1DA92-0852-479A-87E5-DA041B6051AE}" presName="node" presStyleLbl="node1" presStyleIdx="3" presStyleCnt="5">
        <dgm:presLayoutVars>
          <dgm:bulletEnabled val="1"/>
        </dgm:presLayoutVars>
      </dgm:prSet>
      <dgm:spPr/>
      <dgm:t>
        <a:bodyPr/>
        <a:lstStyle/>
        <a:p>
          <a:endParaRPr lang="en-US"/>
        </a:p>
      </dgm:t>
    </dgm:pt>
    <dgm:pt modelId="{B3D8E503-4696-473C-8AF9-12C0DA0A01CA}" type="pres">
      <dgm:prSet presAssocID="{4F82222E-3AC5-406C-A42B-D1F9696BAEEE}" presName="sibTrans" presStyleLbl="sibTrans2D1" presStyleIdx="3" presStyleCnt="5"/>
      <dgm:spPr/>
      <dgm:t>
        <a:bodyPr/>
        <a:lstStyle/>
        <a:p>
          <a:endParaRPr lang="en-US"/>
        </a:p>
      </dgm:t>
    </dgm:pt>
    <dgm:pt modelId="{6F89BD95-993F-43ED-9273-61A08CC1832D}" type="pres">
      <dgm:prSet presAssocID="{4F82222E-3AC5-406C-A42B-D1F9696BAEEE}" presName="connectorText" presStyleLbl="sibTrans2D1" presStyleIdx="3" presStyleCnt="5"/>
      <dgm:spPr/>
      <dgm:t>
        <a:bodyPr/>
        <a:lstStyle/>
        <a:p>
          <a:endParaRPr lang="en-US"/>
        </a:p>
      </dgm:t>
    </dgm:pt>
    <dgm:pt modelId="{4E4D2A57-68D0-45C1-999C-0BD045EB1607}" type="pres">
      <dgm:prSet presAssocID="{6391E930-2F41-4FBA-BD8A-ABA6B2769C5C}" presName="node" presStyleLbl="node1" presStyleIdx="4" presStyleCnt="5">
        <dgm:presLayoutVars>
          <dgm:bulletEnabled val="1"/>
        </dgm:presLayoutVars>
      </dgm:prSet>
      <dgm:spPr/>
      <dgm:t>
        <a:bodyPr/>
        <a:lstStyle/>
        <a:p>
          <a:endParaRPr lang="en-US"/>
        </a:p>
      </dgm:t>
    </dgm:pt>
    <dgm:pt modelId="{FCB52A7A-0885-467C-A39D-9F87C0E535B7}" type="pres">
      <dgm:prSet presAssocID="{E0B3E74D-6FD5-41F5-AEAF-A97537A5D9D7}" presName="sibTrans" presStyleLbl="sibTrans2D1" presStyleIdx="4" presStyleCnt="5"/>
      <dgm:spPr/>
      <dgm:t>
        <a:bodyPr/>
        <a:lstStyle/>
        <a:p>
          <a:endParaRPr lang="en-US"/>
        </a:p>
      </dgm:t>
    </dgm:pt>
    <dgm:pt modelId="{F829D118-ABBC-44EB-8117-C6D33064CBD5}" type="pres">
      <dgm:prSet presAssocID="{E0B3E74D-6FD5-41F5-AEAF-A97537A5D9D7}" presName="connectorText" presStyleLbl="sibTrans2D1" presStyleIdx="4" presStyleCnt="5"/>
      <dgm:spPr/>
      <dgm:t>
        <a:bodyPr/>
        <a:lstStyle/>
        <a:p>
          <a:endParaRPr lang="en-US"/>
        </a:p>
      </dgm:t>
    </dgm:pt>
  </dgm:ptLst>
  <dgm:cxnLst>
    <dgm:cxn modelId="{F5A4C2E8-97E2-4A98-A22E-992B05EC9433}" type="presOf" srcId="{CBE8DF38-2BB6-450B-A4F1-3E676EBBD377}" destId="{197FF739-E5B8-4B20-A0A1-21848EE99283}" srcOrd="1" destOrd="0" presId="urn:microsoft.com/office/officeart/2005/8/layout/cycle2"/>
    <dgm:cxn modelId="{FC36FFF9-0B79-44F5-888E-F100A1D8ED7D}" srcId="{83459234-9EAE-4A3A-989A-81C49578FA90}" destId="{2D1FFC9D-BE74-4C11-B65C-E0C292B58705}" srcOrd="2" destOrd="0" parTransId="{2239E477-3B9A-43CC-9F7D-8EF5AEE38616}" sibTransId="{53317149-655B-4A82-95EF-025AD7FC88C6}"/>
    <dgm:cxn modelId="{BF157B99-B43A-4C16-9525-3F4ED664DFAC}" srcId="{83459234-9EAE-4A3A-989A-81C49578FA90}" destId="{36332380-DF8F-4BFB-965E-D99C176E16B2}" srcOrd="0" destOrd="0" parTransId="{CAB9FD35-745F-40A9-BFB2-9E457D5486E9}" sibTransId="{CBE8DF38-2BB6-450B-A4F1-3E676EBBD377}"/>
    <dgm:cxn modelId="{E172EC98-9C0B-4CBD-BBBD-3B9EAD7111F1}" type="presOf" srcId="{4F82222E-3AC5-406C-A42B-D1F9696BAEEE}" destId="{B3D8E503-4696-473C-8AF9-12C0DA0A01CA}" srcOrd="0" destOrd="0" presId="urn:microsoft.com/office/officeart/2005/8/layout/cycle2"/>
    <dgm:cxn modelId="{93B8AAC4-249D-42AD-ACCC-23E72932B383}" type="presOf" srcId="{7AF4A3D5-CDBB-4D10-98F8-1CEBCD07CE19}" destId="{8DCEC7D9-4393-4122-A660-0F45E68B2165}" srcOrd="0" destOrd="0" presId="urn:microsoft.com/office/officeart/2005/8/layout/cycle2"/>
    <dgm:cxn modelId="{BF1B5137-5E9E-4744-8BC3-146ABECE95B7}" srcId="{83459234-9EAE-4A3A-989A-81C49578FA90}" destId="{7AF4A3D5-CDBB-4D10-98F8-1CEBCD07CE19}" srcOrd="1" destOrd="0" parTransId="{21D73EC6-E598-4E44-8273-CC7FF082BA64}" sibTransId="{C385ED1D-28AF-49B4-B2BF-1520A085614F}"/>
    <dgm:cxn modelId="{3BF9FA56-9448-46B5-AE55-31DA94B76F13}" type="presOf" srcId="{C385ED1D-28AF-49B4-B2BF-1520A085614F}" destId="{D2ED27C8-211A-4DAC-8733-2983C48DC650}" srcOrd="1" destOrd="0" presId="urn:microsoft.com/office/officeart/2005/8/layout/cycle2"/>
    <dgm:cxn modelId="{CB5B3E4D-0CEA-4968-B749-2C4CC4E0CA8B}" type="presOf" srcId="{AFA1DA92-0852-479A-87E5-DA041B6051AE}" destId="{19B64B22-8C21-4D6E-BB7B-B7B24C142D8E}" srcOrd="0" destOrd="0" presId="urn:microsoft.com/office/officeart/2005/8/layout/cycle2"/>
    <dgm:cxn modelId="{800B6D96-DADB-4AC4-92AA-DF1C1D243059}" type="presOf" srcId="{53317149-655B-4A82-95EF-025AD7FC88C6}" destId="{974CD30F-4057-421D-98A2-95500E394389}" srcOrd="0" destOrd="0" presId="urn:microsoft.com/office/officeart/2005/8/layout/cycle2"/>
    <dgm:cxn modelId="{12A702EE-DD11-4F39-8862-FD8E90C04799}" type="presOf" srcId="{53317149-655B-4A82-95EF-025AD7FC88C6}" destId="{37460D0B-BB8E-47EB-8BF7-0F28780ED5FD}" srcOrd="1" destOrd="0" presId="urn:microsoft.com/office/officeart/2005/8/layout/cycle2"/>
    <dgm:cxn modelId="{5DE2A46E-6CE6-47C5-8824-A25D2A0F7E13}" type="presOf" srcId="{83459234-9EAE-4A3A-989A-81C49578FA90}" destId="{5FA94A6B-7E29-4D6D-9569-6C30FADDEC75}" srcOrd="0" destOrd="0" presId="urn:microsoft.com/office/officeart/2005/8/layout/cycle2"/>
    <dgm:cxn modelId="{D4FD918F-39D2-438B-BB3A-5E3E563DB647}" type="presOf" srcId="{CBE8DF38-2BB6-450B-A4F1-3E676EBBD377}" destId="{E33685B4-E5F0-4201-BCD7-4636C4C6CA23}" srcOrd="0" destOrd="0" presId="urn:microsoft.com/office/officeart/2005/8/layout/cycle2"/>
    <dgm:cxn modelId="{1D0ED926-9BA7-4890-A089-D8323DE36C33}" srcId="{83459234-9EAE-4A3A-989A-81C49578FA90}" destId="{6391E930-2F41-4FBA-BD8A-ABA6B2769C5C}" srcOrd="4" destOrd="0" parTransId="{B1019E63-8BF4-4441-B274-9F8FEC30F3EE}" sibTransId="{E0B3E74D-6FD5-41F5-AEAF-A97537A5D9D7}"/>
    <dgm:cxn modelId="{F3AD6921-4B39-4DEE-A8BF-19D7DEFEB423}" type="presOf" srcId="{E0B3E74D-6FD5-41F5-AEAF-A97537A5D9D7}" destId="{FCB52A7A-0885-467C-A39D-9F87C0E535B7}" srcOrd="0" destOrd="0" presId="urn:microsoft.com/office/officeart/2005/8/layout/cycle2"/>
    <dgm:cxn modelId="{6CEC9D35-C7A5-46E8-98E8-DD66130D4DFA}" type="presOf" srcId="{2D1FFC9D-BE74-4C11-B65C-E0C292B58705}" destId="{BD11E887-08D6-4B67-9AE5-B17CE405F7D8}" srcOrd="0" destOrd="0" presId="urn:microsoft.com/office/officeart/2005/8/layout/cycle2"/>
    <dgm:cxn modelId="{34E6AEE1-9C99-4192-86AD-599960339DF4}" type="presOf" srcId="{6391E930-2F41-4FBA-BD8A-ABA6B2769C5C}" destId="{4E4D2A57-68D0-45C1-999C-0BD045EB1607}" srcOrd="0" destOrd="0" presId="urn:microsoft.com/office/officeart/2005/8/layout/cycle2"/>
    <dgm:cxn modelId="{05AC7790-293C-4574-B667-2898CAD940CB}" type="presOf" srcId="{4F82222E-3AC5-406C-A42B-D1F9696BAEEE}" destId="{6F89BD95-993F-43ED-9273-61A08CC1832D}" srcOrd="1" destOrd="0" presId="urn:microsoft.com/office/officeart/2005/8/layout/cycle2"/>
    <dgm:cxn modelId="{277E319F-8D7B-444B-8DFA-2915EEA982D3}" type="presOf" srcId="{36332380-DF8F-4BFB-965E-D99C176E16B2}" destId="{5D8CAA87-F7AB-402D-8B4C-D5D5CD285D14}" srcOrd="0" destOrd="0" presId="urn:microsoft.com/office/officeart/2005/8/layout/cycle2"/>
    <dgm:cxn modelId="{8D1D1D4D-3FC9-48D4-9FA0-07B2162046AB}" srcId="{83459234-9EAE-4A3A-989A-81C49578FA90}" destId="{AFA1DA92-0852-479A-87E5-DA041B6051AE}" srcOrd="3" destOrd="0" parTransId="{CA832447-4F45-4873-9122-29292E2A68E0}" sibTransId="{4F82222E-3AC5-406C-A42B-D1F9696BAEEE}"/>
    <dgm:cxn modelId="{BE5102D1-5A28-409D-84E7-7FD3F6CCBBE8}" type="presOf" srcId="{E0B3E74D-6FD5-41F5-AEAF-A97537A5D9D7}" destId="{F829D118-ABBC-44EB-8117-C6D33064CBD5}" srcOrd="1" destOrd="0" presId="urn:microsoft.com/office/officeart/2005/8/layout/cycle2"/>
    <dgm:cxn modelId="{DFB8F4CA-B1E9-4FAD-AF63-A918D66EA390}" type="presOf" srcId="{C385ED1D-28AF-49B4-B2BF-1520A085614F}" destId="{9685EAE0-480D-49D6-91A7-46A173B0264D}" srcOrd="0" destOrd="0" presId="urn:microsoft.com/office/officeart/2005/8/layout/cycle2"/>
    <dgm:cxn modelId="{48A5DE40-3F1F-49FC-8022-DDF88DFA9A66}" type="presParOf" srcId="{5FA94A6B-7E29-4D6D-9569-6C30FADDEC75}" destId="{5D8CAA87-F7AB-402D-8B4C-D5D5CD285D14}" srcOrd="0" destOrd="0" presId="urn:microsoft.com/office/officeart/2005/8/layout/cycle2"/>
    <dgm:cxn modelId="{6C119C49-B638-41AB-9E38-6BF3D39FB4A3}" type="presParOf" srcId="{5FA94A6B-7E29-4D6D-9569-6C30FADDEC75}" destId="{E33685B4-E5F0-4201-BCD7-4636C4C6CA23}" srcOrd="1" destOrd="0" presId="urn:microsoft.com/office/officeart/2005/8/layout/cycle2"/>
    <dgm:cxn modelId="{487B2874-FBEE-40BF-B335-F08796059653}" type="presParOf" srcId="{E33685B4-E5F0-4201-BCD7-4636C4C6CA23}" destId="{197FF739-E5B8-4B20-A0A1-21848EE99283}" srcOrd="0" destOrd="0" presId="urn:microsoft.com/office/officeart/2005/8/layout/cycle2"/>
    <dgm:cxn modelId="{F4B513CF-91A3-4FB8-BE17-4C916D0F834C}" type="presParOf" srcId="{5FA94A6B-7E29-4D6D-9569-6C30FADDEC75}" destId="{8DCEC7D9-4393-4122-A660-0F45E68B2165}" srcOrd="2" destOrd="0" presId="urn:microsoft.com/office/officeart/2005/8/layout/cycle2"/>
    <dgm:cxn modelId="{35900ADA-78A1-4E38-BE24-9CFD891B878A}" type="presParOf" srcId="{5FA94A6B-7E29-4D6D-9569-6C30FADDEC75}" destId="{9685EAE0-480D-49D6-91A7-46A173B0264D}" srcOrd="3" destOrd="0" presId="urn:microsoft.com/office/officeart/2005/8/layout/cycle2"/>
    <dgm:cxn modelId="{6CEBF22A-8E1C-458B-BD3F-DD33E32290B1}" type="presParOf" srcId="{9685EAE0-480D-49D6-91A7-46A173B0264D}" destId="{D2ED27C8-211A-4DAC-8733-2983C48DC650}" srcOrd="0" destOrd="0" presId="urn:microsoft.com/office/officeart/2005/8/layout/cycle2"/>
    <dgm:cxn modelId="{B7EF2BFD-8DB8-4E7A-AA1B-5761D7E25419}" type="presParOf" srcId="{5FA94A6B-7E29-4D6D-9569-6C30FADDEC75}" destId="{BD11E887-08D6-4B67-9AE5-B17CE405F7D8}" srcOrd="4" destOrd="0" presId="urn:microsoft.com/office/officeart/2005/8/layout/cycle2"/>
    <dgm:cxn modelId="{20953424-78ED-44B9-A810-7DC2EC3F6D54}" type="presParOf" srcId="{5FA94A6B-7E29-4D6D-9569-6C30FADDEC75}" destId="{974CD30F-4057-421D-98A2-95500E394389}" srcOrd="5" destOrd="0" presId="urn:microsoft.com/office/officeart/2005/8/layout/cycle2"/>
    <dgm:cxn modelId="{EEBE4FD4-94B0-4475-8497-FBA4AAF02E42}" type="presParOf" srcId="{974CD30F-4057-421D-98A2-95500E394389}" destId="{37460D0B-BB8E-47EB-8BF7-0F28780ED5FD}" srcOrd="0" destOrd="0" presId="urn:microsoft.com/office/officeart/2005/8/layout/cycle2"/>
    <dgm:cxn modelId="{E0777870-9097-4FBC-B30C-67E0F5069197}" type="presParOf" srcId="{5FA94A6B-7E29-4D6D-9569-6C30FADDEC75}" destId="{19B64B22-8C21-4D6E-BB7B-B7B24C142D8E}" srcOrd="6" destOrd="0" presId="urn:microsoft.com/office/officeart/2005/8/layout/cycle2"/>
    <dgm:cxn modelId="{6E067F83-034E-44E1-8A86-173233563DCE}" type="presParOf" srcId="{5FA94A6B-7E29-4D6D-9569-6C30FADDEC75}" destId="{B3D8E503-4696-473C-8AF9-12C0DA0A01CA}" srcOrd="7" destOrd="0" presId="urn:microsoft.com/office/officeart/2005/8/layout/cycle2"/>
    <dgm:cxn modelId="{30A8C455-09CF-46B6-B0D6-7AD688113EBD}" type="presParOf" srcId="{B3D8E503-4696-473C-8AF9-12C0DA0A01CA}" destId="{6F89BD95-993F-43ED-9273-61A08CC1832D}" srcOrd="0" destOrd="0" presId="urn:microsoft.com/office/officeart/2005/8/layout/cycle2"/>
    <dgm:cxn modelId="{93106813-9B5B-4226-8119-C1D5059D1E24}" type="presParOf" srcId="{5FA94A6B-7E29-4D6D-9569-6C30FADDEC75}" destId="{4E4D2A57-68D0-45C1-999C-0BD045EB1607}" srcOrd="8" destOrd="0" presId="urn:microsoft.com/office/officeart/2005/8/layout/cycle2"/>
    <dgm:cxn modelId="{A0DFD386-2095-46C8-90D9-B099A083355D}" type="presParOf" srcId="{5FA94A6B-7E29-4D6D-9569-6C30FADDEC75}" destId="{FCB52A7A-0885-467C-A39D-9F87C0E535B7}" srcOrd="9" destOrd="0" presId="urn:microsoft.com/office/officeart/2005/8/layout/cycle2"/>
    <dgm:cxn modelId="{6349FCAD-38F4-4DDC-B746-F010942C74C0}" type="presParOf" srcId="{FCB52A7A-0885-467C-A39D-9F87C0E535B7}" destId="{F829D118-ABBC-44EB-8117-C6D33064CBD5}"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85410B-C85F-4E75-B555-F606794A7782}" type="doc">
      <dgm:prSet loTypeId="urn:microsoft.com/office/officeart/2005/8/layout/hierarchy2" loCatId="hierarchy" qsTypeId="urn:microsoft.com/office/officeart/2005/8/quickstyle/simple4" qsCatId="simple" csTypeId="urn:microsoft.com/office/officeart/2005/8/colors/accent6_3" csCatId="accent6" phldr="1"/>
      <dgm:spPr/>
      <dgm:t>
        <a:bodyPr/>
        <a:lstStyle/>
        <a:p>
          <a:endParaRPr lang="en-AU"/>
        </a:p>
      </dgm:t>
    </dgm:pt>
    <dgm:pt modelId="{E3E84076-F2D4-4A07-B7D7-743018AE33F6}">
      <dgm:prSet phldrT="[Text]"/>
      <dgm:spPr/>
      <dgm:t>
        <a:bodyPr/>
        <a:lstStyle/>
        <a:p>
          <a:r>
            <a:rPr lang="en-AU"/>
            <a:t>Two passengers injured in same incident</a:t>
          </a:r>
        </a:p>
      </dgm:t>
    </dgm:pt>
    <dgm:pt modelId="{550ABA1A-0409-4AF8-BA27-B62244D4A83E}" type="parTrans" cxnId="{999EB6B4-BE50-4B9C-866F-D12162D303E5}">
      <dgm:prSet/>
      <dgm:spPr/>
      <dgm:t>
        <a:bodyPr/>
        <a:lstStyle/>
        <a:p>
          <a:endParaRPr lang="en-AU"/>
        </a:p>
      </dgm:t>
    </dgm:pt>
    <dgm:pt modelId="{89FDA456-BEB2-4D57-95E5-3B2B1206C72D}" type="sibTrans" cxnId="{999EB6B4-BE50-4B9C-866F-D12162D303E5}">
      <dgm:prSet/>
      <dgm:spPr/>
      <dgm:t>
        <a:bodyPr/>
        <a:lstStyle/>
        <a:p>
          <a:endParaRPr lang="en-AU"/>
        </a:p>
      </dgm:t>
    </dgm:pt>
    <dgm:pt modelId="{8B78FD5B-0CEE-491A-8C51-4BFD38E5DE2A}">
      <dgm:prSet phldrT="[Text]"/>
      <dgm:spPr/>
      <dgm:t>
        <a:bodyPr/>
        <a:lstStyle/>
        <a:p>
          <a:r>
            <a:rPr lang="en-AU"/>
            <a:t>Passenger eligible for Athens</a:t>
          </a:r>
        </a:p>
      </dgm:t>
    </dgm:pt>
    <dgm:pt modelId="{F616F820-6B5D-45DA-9859-41E72E6EAF77}" type="parTrans" cxnId="{2CB3FA51-BB0A-46FC-B991-30A773CD8ECB}">
      <dgm:prSet/>
      <dgm:spPr/>
      <dgm:t>
        <a:bodyPr/>
        <a:lstStyle/>
        <a:p>
          <a:endParaRPr lang="en-AU"/>
        </a:p>
      </dgm:t>
    </dgm:pt>
    <dgm:pt modelId="{4E47883F-5851-4D65-B070-380D08027DD7}" type="sibTrans" cxnId="{2CB3FA51-BB0A-46FC-B991-30A773CD8ECB}">
      <dgm:prSet/>
      <dgm:spPr/>
      <dgm:t>
        <a:bodyPr/>
        <a:lstStyle/>
        <a:p>
          <a:endParaRPr lang="en-AU"/>
        </a:p>
      </dgm:t>
    </dgm:pt>
    <dgm:pt modelId="{814683AB-7039-402C-B04C-C22B4198B219}">
      <dgm:prSet phldrT="[Text]"/>
      <dgm:spPr/>
      <dgm:t>
        <a:bodyPr/>
        <a:lstStyle/>
        <a:p>
          <a:r>
            <a:rPr lang="en-AU"/>
            <a:t>Passenger NOT eligible for Athens</a:t>
          </a:r>
        </a:p>
      </dgm:t>
    </dgm:pt>
    <dgm:pt modelId="{2F0EE1D1-95AE-4FC6-81F6-049E14806E6D}" type="parTrans" cxnId="{A03E1FE1-D3FA-4A6A-B662-EABBA67FDF8A}">
      <dgm:prSet/>
      <dgm:spPr/>
      <dgm:t>
        <a:bodyPr/>
        <a:lstStyle/>
        <a:p>
          <a:endParaRPr lang="en-AU"/>
        </a:p>
      </dgm:t>
    </dgm:pt>
    <dgm:pt modelId="{DC583658-90E4-47FD-9AAE-0EEF375E8BA1}" type="sibTrans" cxnId="{A03E1FE1-D3FA-4A6A-B662-EABBA67FDF8A}">
      <dgm:prSet/>
      <dgm:spPr/>
      <dgm:t>
        <a:bodyPr/>
        <a:lstStyle/>
        <a:p>
          <a:endParaRPr lang="en-AU"/>
        </a:p>
      </dgm:t>
    </dgm:pt>
    <dgm:pt modelId="{B1A788D2-9CC9-45B4-B15C-044DFFA7FA9D}">
      <dgm:prSet/>
      <dgm:spPr/>
      <dgm:t>
        <a:bodyPr/>
        <a:lstStyle/>
        <a:p>
          <a:r>
            <a:rPr lang="en-AU"/>
            <a:t>Cruise company unable to demonstrate that they were not negligent</a:t>
          </a:r>
        </a:p>
      </dgm:t>
    </dgm:pt>
    <dgm:pt modelId="{723943FA-E1B7-448E-A424-5B8A0B025FA2}" type="parTrans" cxnId="{26BF6A7A-9414-492A-A9D3-F006C82A8328}">
      <dgm:prSet/>
      <dgm:spPr/>
      <dgm:t>
        <a:bodyPr/>
        <a:lstStyle/>
        <a:p>
          <a:endParaRPr lang="en-AU"/>
        </a:p>
      </dgm:t>
    </dgm:pt>
    <dgm:pt modelId="{A529AA88-6FC8-4159-9F62-29C499F2B4C3}" type="sibTrans" cxnId="{26BF6A7A-9414-492A-A9D3-F006C82A8328}">
      <dgm:prSet/>
      <dgm:spPr/>
      <dgm:t>
        <a:bodyPr/>
        <a:lstStyle/>
        <a:p>
          <a:endParaRPr lang="en-AU"/>
        </a:p>
      </dgm:t>
    </dgm:pt>
    <dgm:pt modelId="{5D98E4B2-AA38-4769-B388-1831B5FDCCD5}">
      <dgm:prSet/>
      <dgm:spPr/>
      <dgm:t>
        <a:bodyPr/>
        <a:lstStyle/>
        <a:p>
          <a:r>
            <a:rPr lang="en-AU"/>
            <a:t>Receives compensation</a:t>
          </a:r>
        </a:p>
      </dgm:t>
    </dgm:pt>
    <dgm:pt modelId="{B818419E-4B91-4515-9E81-0EB81B1161C8}" type="parTrans" cxnId="{657FDCEE-4C6A-44DF-8653-7CE0E9D2C068}">
      <dgm:prSet/>
      <dgm:spPr/>
      <dgm:t>
        <a:bodyPr/>
        <a:lstStyle/>
        <a:p>
          <a:endParaRPr lang="en-AU"/>
        </a:p>
      </dgm:t>
    </dgm:pt>
    <dgm:pt modelId="{86E2C691-C727-4FBA-91C7-98361D0988F5}" type="sibTrans" cxnId="{657FDCEE-4C6A-44DF-8653-7CE0E9D2C068}">
      <dgm:prSet/>
      <dgm:spPr/>
      <dgm:t>
        <a:bodyPr/>
        <a:lstStyle/>
        <a:p>
          <a:endParaRPr lang="en-AU"/>
        </a:p>
      </dgm:t>
    </dgm:pt>
    <dgm:pt modelId="{69867CA0-CB77-495A-BEA2-60E78374AAEC}">
      <dgm:prSet/>
      <dgm:spPr/>
      <dgm:t>
        <a:bodyPr/>
        <a:lstStyle/>
        <a:p>
          <a:r>
            <a:rPr lang="en-AU"/>
            <a:t>Passenger unable to prove that cruise company  was negligent.</a:t>
          </a:r>
        </a:p>
      </dgm:t>
    </dgm:pt>
    <dgm:pt modelId="{0E57A1E6-796E-45B8-9FF2-101E28842B85}" type="parTrans" cxnId="{1B49F99A-4297-4AE9-B83A-33CAA10F7909}">
      <dgm:prSet/>
      <dgm:spPr/>
      <dgm:t>
        <a:bodyPr/>
        <a:lstStyle/>
        <a:p>
          <a:endParaRPr lang="en-AU"/>
        </a:p>
      </dgm:t>
    </dgm:pt>
    <dgm:pt modelId="{B7216BB3-AFD6-4AFB-AE80-0BF635DE08FA}" type="sibTrans" cxnId="{1B49F99A-4297-4AE9-B83A-33CAA10F7909}">
      <dgm:prSet/>
      <dgm:spPr/>
      <dgm:t>
        <a:bodyPr/>
        <a:lstStyle/>
        <a:p>
          <a:endParaRPr lang="en-AU"/>
        </a:p>
      </dgm:t>
    </dgm:pt>
    <dgm:pt modelId="{D41D367E-9185-43E3-BAB5-076F5387741B}">
      <dgm:prSet/>
      <dgm:spPr/>
      <dgm:t>
        <a:bodyPr/>
        <a:lstStyle/>
        <a:p>
          <a:r>
            <a:rPr lang="en-AU"/>
            <a:t>May receive no/less compensation</a:t>
          </a:r>
        </a:p>
      </dgm:t>
    </dgm:pt>
    <dgm:pt modelId="{FF4096C1-7C7B-485C-AC69-7A9B121D9881}" type="parTrans" cxnId="{48E6262D-7F94-45C0-92FF-C44FDB26EB6F}">
      <dgm:prSet/>
      <dgm:spPr/>
      <dgm:t>
        <a:bodyPr/>
        <a:lstStyle/>
        <a:p>
          <a:endParaRPr lang="en-AU"/>
        </a:p>
      </dgm:t>
    </dgm:pt>
    <dgm:pt modelId="{F3C50F51-E764-40A6-BACC-8BE208FD61FD}" type="sibTrans" cxnId="{48E6262D-7F94-45C0-92FF-C44FDB26EB6F}">
      <dgm:prSet/>
      <dgm:spPr/>
      <dgm:t>
        <a:bodyPr/>
        <a:lstStyle/>
        <a:p>
          <a:endParaRPr lang="en-AU"/>
        </a:p>
      </dgm:t>
    </dgm:pt>
    <dgm:pt modelId="{9EE62306-BB1E-4C2D-A4AA-20F054BA71E1}" type="pres">
      <dgm:prSet presAssocID="{A485410B-C85F-4E75-B555-F606794A7782}" presName="diagram" presStyleCnt="0">
        <dgm:presLayoutVars>
          <dgm:chPref val="1"/>
          <dgm:dir/>
          <dgm:animOne val="branch"/>
          <dgm:animLvl val="lvl"/>
          <dgm:resizeHandles val="exact"/>
        </dgm:presLayoutVars>
      </dgm:prSet>
      <dgm:spPr/>
      <dgm:t>
        <a:bodyPr/>
        <a:lstStyle/>
        <a:p>
          <a:endParaRPr lang="en-US"/>
        </a:p>
      </dgm:t>
    </dgm:pt>
    <dgm:pt modelId="{56B70D8A-9D18-4534-8543-C0AC94FE4F4E}" type="pres">
      <dgm:prSet presAssocID="{E3E84076-F2D4-4A07-B7D7-743018AE33F6}" presName="root1" presStyleCnt="0"/>
      <dgm:spPr/>
    </dgm:pt>
    <dgm:pt modelId="{CDC2322A-B831-427E-88F6-83D90261DC59}" type="pres">
      <dgm:prSet presAssocID="{E3E84076-F2D4-4A07-B7D7-743018AE33F6}" presName="LevelOneTextNode" presStyleLbl="node0" presStyleIdx="0" presStyleCnt="1">
        <dgm:presLayoutVars>
          <dgm:chPref val="3"/>
        </dgm:presLayoutVars>
      </dgm:prSet>
      <dgm:spPr/>
      <dgm:t>
        <a:bodyPr/>
        <a:lstStyle/>
        <a:p>
          <a:endParaRPr lang="en-US"/>
        </a:p>
      </dgm:t>
    </dgm:pt>
    <dgm:pt modelId="{E81B55AA-D983-4126-88F0-38CCC4752D62}" type="pres">
      <dgm:prSet presAssocID="{E3E84076-F2D4-4A07-B7D7-743018AE33F6}" presName="level2hierChild" presStyleCnt="0"/>
      <dgm:spPr/>
    </dgm:pt>
    <dgm:pt modelId="{6B7E3BE6-4C66-4445-9AA5-288EB9AEED0B}" type="pres">
      <dgm:prSet presAssocID="{F616F820-6B5D-45DA-9859-41E72E6EAF77}" presName="conn2-1" presStyleLbl="parChTrans1D2" presStyleIdx="0" presStyleCnt="2"/>
      <dgm:spPr/>
      <dgm:t>
        <a:bodyPr/>
        <a:lstStyle/>
        <a:p>
          <a:endParaRPr lang="en-US"/>
        </a:p>
      </dgm:t>
    </dgm:pt>
    <dgm:pt modelId="{2E4A4B2F-F91C-4ABF-AE1B-E45E76B9BA03}" type="pres">
      <dgm:prSet presAssocID="{F616F820-6B5D-45DA-9859-41E72E6EAF77}" presName="connTx" presStyleLbl="parChTrans1D2" presStyleIdx="0" presStyleCnt="2"/>
      <dgm:spPr/>
      <dgm:t>
        <a:bodyPr/>
        <a:lstStyle/>
        <a:p>
          <a:endParaRPr lang="en-US"/>
        </a:p>
      </dgm:t>
    </dgm:pt>
    <dgm:pt modelId="{7CFAB7EA-B61B-4FA0-9489-AB068376252E}" type="pres">
      <dgm:prSet presAssocID="{8B78FD5B-0CEE-491A-8C51-4BFD38E5DE2A}" presName="root2" presStyleCnt="0"/>
      <dgm:spPr/>
    </dgm:pt>
    <dgm:pt modelId="{47CB6F6C-3025-4EF8-A565-627C6FFD70A0}" type="pres">
      <dgm:prSet presAssocID="{8B78FD5B-0CEE-491A-8C51-4BFD38E5DE2A}" presName="LevelTwoTextNode" presStyleLbl="node2" presStyleIdx="0" presStyleCnt="2">
        <dgm:presLayoutVars>
          <dgm:chPref val="3"/>
        </dgm:presLayoutVars>
      </dgm:prSet>
      <dgm:spPr/>
      <dgm:t>
        <a:bodyPr/>
        <a:lstStyle/>
        <a:p>
          <a:endParaRPr lang="en-US"/>
        </a:p>
      </dgm:t>
    </dgm:pt>
    <dgm:pt modelId="{D1CB589D-C86F-445B-983B-FAFDA167B5AB}" type="pres">
      <dgm:prSet presAssocID="{8B78FD5B-0CEE-491A-8C51-4BFD38E5DE2A}" presName="level3hierChild" presStyleCnt="0"/>
      <dgm:spPr/>
    </dgm:pt>
    <dgm:pt modelId="{2983F114-1825-4CE6-8906-F15CB548894B}" type="pres">
      <dgm:prSet presAssocID="{723943FA-E1B7-448E-A424-5B8A0B025FA2}" presName="conn2-1" presStyleLbl="parChTrans1D3" presStyleIdx="0" presStyleCnt="2"/>
      <dgm:spPr/>
      <dgm:t>
        <a:bodyPr/>
        <a:lstStyle/>
        <a:p>
          <a:endParaRPr lang="en-US"/>
        </a:p>
      </dgm:t>
    </dgm:pt>
    <dgm:pt modelId="{445E7D91-0420-43D8-A33E-0C3FB0E8C7E3}" type="pres">
      <dgm:prSet presAssocID="{723943FA-E1B7-448E-A424-5B8A0B025FA2}" presName="connTx" presStyleLbl="parChTrans1D3" presStyleIdx="0" presStyleCnt="2"/>
      <dgm:spPr/>
      <dgm:t>
        <a:bodyPr/>
        <a:lstStyle/>
        <a:p>
          <a:endParaRPr lang="en-US"/>
        </a:p>
      </dgm:t>
    </dgm:pt>
    <dgm:pt modelId="{8897F367-4048-4843-A0F6-385C357B6923}" type="pres">
      <dgm:prSet presAssocID="{B1A788D2-9CC9-45B4-B15C-044DFFA7FA9D}" presName="root2" presStyleCnt="0"/>
      <dgm:spPr/>
    </dgm:pt>
    <dgm:pt modelId="{7D30F93B-1F2B-4651-83E4-D7D3A2E00207}" type="pres">
      <dgm:prSet presAssocID="{B1A788D2-9CC9-45B4-B15C-044DFFA7FA9D}" presName="LevelTwoTextNode" presStyleLbl="node3" presStyleIdx="0" presStyleCnt="2">
        <dgm:presLayoutVars>
          <dgm:chPref val="3"/>
        </dgm:presLayoutVars>
      </dgm:prSet>
      <dgm:spPr/>
      <dgm:t>
        <a:bodyPr/>
        <a:lstStyle/>
        <a:p>
          <a:endParaRPr lang="en-US"/>
        </a:p>
      </dgm:t>
    </dgm:pt>
    <dgm:pt modelId="{6DDC4C13-0051-45F1-8D91-9A8710F6147E}" type="pres">
      <dgm:prSet presAssocID="{B1A788D2-9CC9-45B4-B15C-044DFFA7FA9D}" presName="level3hierChild" presStyleCnt="0"/>
      <dgm:spPr/>
    </dgm:pt>
    <dgm:pt modelId="{B00B96B5-EADA-4067-8B5C-FC89C975D5FB}" type="pres">
      <dgm:prSet presAssocID="{B818419E-4B91-4515-9E81-0EB81B1161C8}" presName="conn2-1" presStyleLbl="parChTrans1D4" presStyleIdx="0" presStyleCnt="2"/>
      <dgm:spPr/>
      <dgm:t>
        <a:bodyPr/>
        <a:lstStyle/>
        <a:p>
          <a:endParaRPr lang="en-US"/>
        </a:p>
      </dgm:t>
    </dgm:pt>
    <dgm:pt modelId="{03F482AE-C638-4430-90BE-D6F07E96627A}" type="pres">
      <dgm:prSet presAssocID="{B818419E-4B91-4515-9E81-0EB81B1161C8}" presName="connTx" presStyleLbl="parChTrans1D4" presStyleIdx="0" presStyleCnt="2"/>
      <dgm:spPr/>
      <dgm:t>
        <a:bodyPr/>
        <a:lstStyle/>
        <a:p>
          <a:endParaRPr lang="en-US"/>
        </a:p>
      </dgm:t>
    </dgm:pt>
    <dgm:pt modelId="{3BC0F2D4-DF72-4759-8C9C-80FE5F6005B4}" type="pres">
      <dgm:prSet presAssocID="{5D98E4B2-AA38-4769-B388-1831B5FDCCD5}" presName="root2" presStyleCnt="0"/>
      <dgm:spPr/>
    </dgm:pt>
    <dgm:pt modelId="{A493399F-D25C-4C80-89EB-0578566036A6}" type="pres">
      <dgm:prSet presAssocID="{5D98E4B2-AA38-4769-B388-1831B5FDCCD5}" presName="LevelTwoTextNode" presStyleLbl="node4" presStyleIdx="0" presStyleCnt="2">
        <dgm:presLayoutVars>
          <dgm:chPref val="3"/>
        </dgm:presLayoutVars>
      </dgm:prSet>
      <dgm:spPr/>
      <dgm:t>
        <a:bodyPr/>
        <a:lstStyle/>
        <a:p>
          <a:endParaRPr lang="en-US"/>
        </a:p>
      </dgm:t>
    </dgm:pt>
    <dgm:pt modelId="{E2EF6C71-E44C-440C-9AA2-AC35294238C3}" type="pres">
      <dgm:prSet presAssocID="{5D98E4B2-AA38-4769-B388-1831B5FDCCD5}" presName="level3hierChild" presStyleCnt="0"/>
      <dgm:spPr/>
    </dgm:pt>
    <dgm:pt modelId="{AFE65B01-89C1-4E10-9368-7FA42F8F54FC}" type="pres">
      <dgm:prSet presAssocID="{2F0EE1D1-95AE-4FC6-81F6-049E14806E6D}" presName="conn2-1" presStyleLbl="parChTrans1D2" presStyleIdx="1" presStyleCnt="2"/>
      <dgm:spPr/>
      <dgm:t>
        <a:bodyPr/>
        <a:lstStyle/>
        <a:p>
          <a:endParaRPr lang="en-US"/>
        </a:p>
      </dgm:t>
    </dgm:pt>
    <dgm:pt modelId="{12BE411E-189F-49ED-A864-EA13935B5A34}" type="pres">
      <dgm:prSet presAssocID="{2F0EE1D1-95AE-4FC6-81F6-049E14806E6D}" presName="connTx" presStyleLbl="parChTrans1D2" presStyleIdx="1" presStyleCnt="2"/>
      <dgm:spPr/>
      <dgm:t>
        <a:bodyPr/>
        <a:lstStyle/>
        <a:p>
          <a:endParaRPr lang="en-US"/>
        </a:p>
      </dgm:t>
    </dgm:pt>
    <dgm:pt modelId="{D5E7DCDF-1448-46FF-AC6E-684A2494A3AB}" type="pres">
      <dgm:prSet presAssocID="{814683AB-7039-402C-B04C-C22B4198B219}" presName="root2" presStyleCnt="0"/>
      <dgm:spPr/>
    </dgm:pt>
    <dgm:pt modelId="{4A6866CE-AE74-482B-A77F-8038B007294B}" type="pres">
      <dgm:prSet presAssocID="{814683AB-7039-402C-B04C-C22B4198B219}" presName="LevelTwoTextNode" presStyleLbl="node2" presStyleIdx="1" presStyleCnt="2">
        <dgm:presLayoutVars>
          <dgm:chPref val="3"/>
        </dgm:presLayoutVars>
      </dgm:prSet>
      <dgm:spPr/>
      <dgm:t>
        <a:bodyPr/>
        <a:lstStyle/>
        <a:p>
          <a:endParaRPr lang="en-US"/>
        </a:p>
      </dgm:t>
    </dgm:pt>
    <dgm:pt modelId="{5D643A01-98C0-43DA-9487-4FB2E4859B96}" type="pres">
      <dgm:prSet presAssocID="{814683AB-7039-402C-B04C-C22B4198B219}" presName="level3hierChild" presStyleCnt="0"/>
      <dgm:spPr/>
    </dgm:pt>
    <dgm:pt modelId="{1DE5DF48-7861-4866-8EC6-EEA9F591B4C2}" type="pres">
      <dgm:prSet presAssocID="{0E57A1E6-796E-45B8-9FF2-101E28842B85}" presName="conn2-1" presStyleLbl="parChTrans1D3" presStyleIdx="1" presStyleCnt="2"/>
      <dgm:spPr/>
      <dgm:t>
        <a:bodyPr/>
        <a:lstStyle/>
        <a:p>
          <a:endParaRPr lang="en-US"/>
        </a:p>
      </dgm:t>
    </dgm:pt>
    <dgm:pt modelId="{FAD173A9-2ED3-40D6-B3DD-6E402C8B5F3F}" type="pres">
      <dgm:prSet presAssocID="{0E57A1E6-796E-45B8-9FF2-101E28842B85}" presName="connTx" presStyleLbl="parChTrans1D3" presStyleIdx="1" presStyleCnt="2"/>
      <dgm:spPr/>
      <dgm:t>
        <a:bodyPr/>
        <a:lstStyle/>
        <a:p>
          <a:endParaRPr lang="en-US"/>
        </a:p>
      </dgm:t>
    </dgm:pt>
    <dgm:pt modelId="{633BB8F3-33EE-4188-BBED-C17974AE2A5F}" type="pres">
      <dgm:prSet presAssocID="{69867CA0-CB77-495A-BEA2-60E78374AAEC}" presName="root2" presStyleCnt="0"/>
      <dgm:spPr/>
    </dgm:pt>
    <dgm:pt modelId="{7B143EB6-FC6C-495C-BED4-2361544F33EE}" type="pres">
      <dgm:prSet presAssocID="{69867CA0-CB77-495A-BEA2-60E78374AAEC}" presName="LevelTwoTextNode" presStyleLbl="node3" presStyleIdx="1" presStyleCnt="2">
        <dgm:presLayoutVars>
          <dgm:chPref val="3"/>
        </dgm:presLayoutVars>
      </dgm:prSet>
      <dgm:spPr/>
      <dgm:t>
        <a:bodyPr/>
        <a:lstStyle/>
        <a:p>
          <a:endParaRPr lang="en-US"/>
        </a:p>
      </dgm:t>
    </dgm:pt>
    <dgm:pt modelId="{AE67F4CF-AD81-4337-AB56-695EC70CA498}" type="pres">
      <dgm:prSet presAssocID="{69867CA0-CB77-495A-BEA2-60E78374AAEC}" presName="level3hierChild" presStyleCnt="0"/>
      <dgm:spPr/>
    </dgm:pt>
    <dgm:pt modelId="{8307080E-BE65-417E-839C-B9C01F14B029}" type="pres">
      <dgm:prSet presAssocID="{FF4096C1-7C7B-485C-AC69-7A9B121D9881}" presName="conn2-1" presStyleLbl="parChTrans1D4" presStyleIdx="1" presStyleCnt="2"/>
      <dgm:spPr/>
      <dgm:t>
        <a:bodyPr/>
        <a:lstStyle/>
        <a:p>
          <a:endParaRPr lang="en-US"/>
        </a:p>
      </dgm:t>
    </dgm:pt>
    <dgm:pt modelId="{F11DA9CB-D940-4596-83D7-F8680740AB32}" type="pres">
      <dgm:prSet presAssocID="{FF4096C1-7C7B-485C-AC69-7A9B121D9881}" presName="connTx" presStyleLbl="parChTrans1D4" presStyleIdx="1" presStyleCnt="2"/>
      <dgm:spPr/>
      <dgm:t>
        <a:bodyPr/>
        <a:lstStyle/>
        <a:p>
          <a:endParaRPr lang="en-US"/>
        </a:p>
      </dgm:t>
    </dgm:pt>
    <dgm:pt modelId="{2A9BC3DD-6D53-4BC1-ADA5-8DD5AE52B0A7}" type="pres">
      <dgm:prSet presAssocID="{D41D367E-9185-43E3-BAB5-076F5387741B}" presName="root2" presStyleCnt="0"/>
      <dgm:spPr/>
    </dgm:pt>
    <dgm:pt modelId="{965C338C-1807-4B79-B6FB-6B1504D3F13E}" type="pres">
      <dgm:prSet presAssocID="{D41D367E-9185-43E3-BAB5-076F5387741B}" presName="LevelTwoTextNode" presStyleLbl="node4" presStyleIdx="1" presStyleCnt="2">
        <dgm:presLayoutVars>
          <dgm:chPref val="3"/>
        </dgm:presLayoutVars>
      </dgm:prSet>
      <dgm:spPr/>
      <dgm:t>
        <a:bodyPr/>
        <a:lstStyle/>
        <a:p>
          <a:endParaRPr lang="en-US"/>
        </a:p>
      </dgm:t>
    </dgm:pt>
    <dgm:pt modelId="{EEDF9193-5C62-4792-A54F-B47847F3EF28}" type="pres">
      <dgm:prSet presAssocID="{D41D367E-9185-43E3-BAB5-076F5387741B}" presName="level3hierChild" presStyleCnt="0"/>
      <dgm:spPr/>
    </dgm:pt>
  </dgm:ptLst>
  <dgm:cxnLst>
    <dgm:cxn modelId="{A9DEC02E-C41E-4F17-A8AC-559D2690C1FB}" type="presOf" srcId="{723943FA-E1B7-448E-A424-5B8A0B025FA2}" destId="{2983F114-1825-4CE6-8906-F15CB548894B}" srcOrd="0" destOrd="0" presId="urn:microsoft.com/office/officeart/2005/8/layout/hierarchy2"/>
    <dgm:cxn modelId="{26BF6A7A-9414-492A-A9D3-F006C82A8328}" srcId="{8B78FD5B-0CEE-491A-8C51-4BFD38E5DE2A}" destId="{B1A788D2-9CC9-45B4-B15C-044DFFA7FA9D}" srcOrd="0" destOrd="0" parTransId="{723943FA-E1B7-448E-A424-5B8A0B025FA2}" sibTransId="{A529AA88-6FC8-4159-9F62-29C499F2B4C3}"/>
    <dgm:cxn modelId="{A03E1FE1-D3FA-4A6A-B662-EABBA67FDF8A}" srcId="{E3E84076-F2D4-4A07-B7D7-743018AE33F6}" destId="{814683AB-7039-402C-B04C-C22B4198B219}" srcOrd="1" destOrd="0" parTransId="{2F0EE1D1-95AE-4FC6-81F6-049E14806E6D}" sibTransId="{DC583658-90E4-47FD-9AAE-0EEF375E8BA1}"/>
    <dgm:cxn modelId="{D533005A-7DC8-4A7F-AAC7-2189408E2111}" type="presOf" srcId="{0E57A1E6-796E-45B8-9FF2-101E28842B85}" destId="{1DE5DF48-7861-4866-8EC6-EEA9F591B4C2}" srcOrd="0" destOrd="0" presId="urn:microsoft.com/office/officeart/2005/8/layout/hierarchy2"/>
    <dgm:cxn modelId="{85205E74-9A13-4ED0-B59C-279DF39D36A3}" type="presOf" srcId="{2F0EE1D1-95AE-4FC6-81F6-049E14806E6D}" destId="{12BE411E-189F-49ED-A864-EA13935B5A34}" srcOrd="1" destOrd="0" presId="urn:microsoft.com/office/officeart/2005/8/layout/hierarchy2"/>
    <dgm:cxn modelId="{DA1E18AA-8D72-4D9C-924F-5F850FC3E73E}" type="presOf" srcId="{E3E84076-F2D4-4A07-B7D7-743018AE33F6}" destId="{CDC2322A-B831-427E-88F6-83D90261DC59}" srcOrd="0" destOrd="0" presId="urn:microsoft.com/office/officeart/2005/8/layout/hierarchy2"/>
    <dgm:cxn modelId="{6AA04AD4-0B42-4920-8F4B-2D5D10A1AAEF}" type="presOf" srcId="{B818419E-4B91-4515-9E81-0EB81B1161C8}" destId="{03F482AE-C638-4430-90BE-D6F07E96627A}" srcOrd="1" destOrd="0" presId="urn:microsoft.com/office/officeart/2005/8/layout/hierarchy2"/>
    <dgm:cxn modelId="{D4C40219-76F5-4585-94F9-A99C9101EC79}" type="presOf" srcId="{814683AB-7039-402C-B04C-C22B4198B219}" destId="{4A6866CE-AE74-482B-A77F-8038B007294B}" srcOrd="0" destOrd="0" presId="urn:microsoft.com/office/officeart/2005/8/layout/hierarchy2"/>
    <dgm:cxn modelId="{9E82D39F-63B9-4AA2-81B3-8B05CE61F905}" type="presOf" srcId="{69867CA0-CB77-495A-BEA2-60E78374AAEC}" destId="{7B143EB6-FC6C-495C-BED4-2361544F33EE}" srcOrd="0" destOrd="0" presId="urn:microsoft.com/office/officeart/2005/8/layout/hierarchy2"/>
    <dgm:cxn modelId="{A9E3EA55-06D4-4A11-AC42-26CAD886AFBF}" type="presOf" srcId="{B818419E-4B91-4515-9E81-0EB81B1161C8}" destId="{B00B96B5-EADA-4067-8B5C-FC89C975D5FB}" srcOrd="0" destOrd="0" presId="urn:microsoft.com/office/officeart/2005/8/layout/hierarchy2"/>
    <dgm:cxn modelId="{9DA534F6-7797-4C02-80EB-59DFD4E536F9}" type="presOf" srcId="{D41D367E-9185-43E3-BAB5-076F5387741B}" destId="{965C338C-1807-4B79-B6FB-6B1504D3F13E}" srcOrd="0" destOrd="0" presId="urn:microsoft.com/office/officeart/2005/8/layout/hierarchy2"/>
    <dgm:cxn modelId="{A6F6228D-4A86-4B19-AA71-B3478939B01B}" type="presOf" srcId="{723943FA-E1B7-448E-A424-5B8A0B025FA2}" destId="{445E7D91-0420-43D8-A33E-0C3FB0E8C7E3}" srcOrd="1" destOrd="0" presId="urn:microsoft.com/office/officeart/2005/8/layout/hierarchy2"/>
    <dgm:cxn modelId="{4FBB3B66-4E16-4E64-A592-B8A2E8CE9DFF}" type="presOf" srcId="{B1A788D2-9CC9-45B4-B15C-044DFFA7FA9D}" destId="{7D30F93B-1F2B-4651-83E4-D7D3A2E00207}" srcOrd="0" destOrd="0" presId="urn:microsoft.com/office/officeart/2005/8/layout/hierarchy2"/>
    <dgm:cxn modelId="{7AEB8857-25C9-49F8-81B6-0E48BA0EDCF6}" type="presOf" srcId="{5D98E4B2-AA38-4769-B388-1831B5FDCCD5}" destId="{A493399F-D25C-4C80-89EB-0578566036A6}" srcOrd="0" destOrd="0" presId="urn:microsoft.com/office/officeart/2005/8/layout/hierarchy2"/>
    <dgm:cxn modelId="{F9ECB319-B797-459B-A813-E96E5CCB17BE}" type="presOf" srcId="{0E57A1E6-796E-45B8-9FF2-101E28842B85}" destId="{FAD173A9-2ED3-40D6-B3DD-6E402C8B5F3F}" srcOrd="1" destOrd="0" presId="urn:microsoft.com/office/officeart/2005/8/layout/hierarchy2"/>
    <dgm:cxn modelId="{ACB434D3-D949-46A8-837F-E9007FAA9ACD}" type="presOf" srcId="{FF4096C1-7C7B-485C-AC69-7A9B121D9881}" destId="{8307080E-BE65-417E-839C-B9C01F14B029}" srcOrd="0" destOrd="0" presId="urn:microsoft.com/office/officeart/2005/8/layout/hierarchy2"/>
    <dgm:cxn modelId="{75DE04DC-12FF-4556-AD57-DD865274D2C6}" type="presOf" srcId="{F616F820-6B5D-45DA-9859-41E72E6EAF77}" destId="{6B7E3BE6-4C66-4445-9AA5-288EB9AEED0B}" srcOrd="0" destOrd="0" presId="urn:microsoft.com/office/officeart/2005/8/layout/hierarchy2"/>
    <dgm:cxn modelId="{15B29930-2C3D-47B9-99C1-2B106CCB5608}" type="presOf" srcId="{FF4096C1-7C7B-485C-AC69-7A9B121D9881}" destId="{F11DA9CB-D940-4596-83D7-F8680740AB32}" srcOrd="1" destOrd="0" presId="urn:microsoft.com/office/officeart/2005/8/layout/hierarchy2"/>
    <dgm:cxn modelId="{2BF07ECC-7896-4C40-A302-7587859FC235}" type="presOf" srcId="{A485410B-C85F-4E75-B555-F606794A7782}" destId="{9EE62306-BB1E-4C2D-A4AA-20F054BA71E1}" srcOrd="0" destOrd="0" presId="urn:microsoft.com/office/officeart/2005/8/layout/hierarchy2"/>
    <dgm:cxn modelId="{01FB5F6B-598E-40FF-9CFE-3B83B3970749}" type="presOf" srcId="{8B78FD5B-0CEE-491A-8C51-4BFD38E5DE2A}" destId="{47CB6F6C-3025-4EF8-A565-627C6FFD70A0}" srcOrd="0" destOrd="0" presId="urn:microsoft.com/office/officeart/2005/8/layout/hierarchy2"/>
    <dgm:cxn modelId="{48E6262D-7F94-45C0-92FF-C44FDB26EB6F}" srcId="{69867CA0-CB77-495A-BEA2-60E78374AAEC}" destId="{D41D367E-9185-43E3-BAB5-076F5387741B}" srcOrd="0" destOrd="0" parTransId="{FF4096C1-7C7B-485C-AC69-7A9B121D9881}" sibTransId="{F3C50F51-E764-40A6-BACC-8BE208FD61FD}"/>
    <dgm:cxn modelId="{1B49F99A-4297-4AE9-B83A-33CAA10F7909}" srcId="{814683AB-7039-402C-B04C-C22B4198B219}" destId="{69867CA0-CB77-495A-BEA2-60E78374AAEC}" srcOrd="0" destOrd="0" parTransId="{0E57A1E6-796E-45B8-9FF2-101E28842B85}" sibTransId="{B7216BB3-AFD6-4AFB-AE80-0BF635DE08FA}"/>
    <dgm:cxn modelId="{999EB6B4-BE50-4B9C-866F-D12162D303E5}" srcId="{A485410B-C85F-4E75-B555-F606794A7782}" destId="{E3E84076-F2D4-4A07-B7D7-743018AE33F6}" srcOrd="0" destOrd="0" parTransId="{550ABA1A-0409-4AF8-BA27-B62244D4A83E}" sibTransId="{89FDA456-BEB2-4D57-95E5-3B2B1206C72D}"/>
    <dgm:cxn modelId="{657FDCEE-4C6A-44DF-8653-7CE0E9D2C068}" srcId="{B1A788D2-9CC9-45B4-B15C-044DFFA7FA9D}" destId="{5D98E4B2-AA38-4769-B388-1831B5FDCCD5}" srcOrd="0" destOrd="0" parTransId="{B818419E-4B91-4515-9E81-0EB81B1161C8}" sibTransId="{86E2C691-C727-4FBA-91C7-98361D0988F5}"/>
    <dgm:cxn modelId="{2CB3FA51-BB0A-46FC-B991-30A773CD8ECB}" srcId="{E3E84076-F2D4-4A07-B7D7-743018AE33F6}" destId="{8B78FD5B-0CEE-491A-8C51-4BFD38E5DE2A}" srcOrd="0" destOrd="0" parTransId="{F616F820-6B5D-45DA-9859-41E72E6EAF77}" sibTransId="{4E47883F-5851-4D65-B070-380D08027DD7}"/>
    <dgm:cxn modelId="{745C0400-5104-4EC3-ACC2-B537EACEF351}" type="presOf" srcId="{F616F820-6B5D-45DA-9859-41E72E6EAF77}" destId="{2E4A4B2F-F91C-4ABF-AE1B-E45E76B9BA03}" srcOrd="1" destOrd="0" presId="urn:microsoft.com/office/officeart/2005/8/layout/hierarchy2"/>
    <dgm:cxn modelId="{59B26F21-236E-4B52-99FD-5A629CFC20F8}" type="presOf" srcId="{2F0EE1D1-95AE-4FC6-81F6-049E14806E6D}" destId="{AFE65B01-89C1-4E10-9368-7FA42F8F54FC}" srcOrd="0" destOrd="0" presId="urn:microsoft.com/office/officeart/2005/8/layout/hierarchy2"/>
    <dgm:cxn modelId="{A166669C-AE8C-417E-A757-2384F525F9FA}" type="presParOf" srcId="{9EE62306-BB1E-4C2D-A4AA-20F054BA71E1}" destId="{56B70D8A-9D18-4534-8543-C0AC94FE4F4E}" srcOrd="0" destOrd="0" presId="urn:microsoft.com/office/officeart/2005/8/layout/hierarchy2"/>
    <dgm:cxn modelId="{B0D392E0-9A4F-449E-992D-6893864B42CC}" type="presParOf" srcId="{56B70D8A-9D18-4534-8543-C0AC94FE4F4E}" destId="{CDC2322A-B831-427E-88F6-83D90261DC59}" srcOrd="0" destOrd="0" presId="urn:microsoft.com/office/officeart/2005/8/layout/hierarchy2"/>
    <dgm:cxn modelId="{BC7559E7-6E61-4265-909C-7AD1C5DEB848}" type="presParOf" srcId="{56B70D8A-9D18-4534-8543-C0AC94FE4F4E}" destId="{E81B55AA-D983-4126-88F0-38CCC4752D62}" srcOrd="1" destOrd="0" presId="urn:microsoft.com/office/officeart/2005/8/layout/hierarchy2"/>
    <dgm:cxn modelId="{8C6CAAAD-425B-48A2-BD9D-E25588B72DFC}" type="presParOf" srcId="{E81B55AA-D983-4126-88F0-38CCC4752D62}" destId="{6B7E3BE6-4C66-4445-9AA5-288EB9AEED0B}" srcOrd="0" destOrd="0" presId="urn:microsoft.com/office/officeart/2005/8/layout/hierarchy2"/>
    <dgm:cxn modelId="{EEC2B47E-CB71-42FC-9AAE-B972311E9BA2}" type="presParOf" srcId="{6B7E3BE6-4C66-4445-9AA5-288EB9AEED0B}" destId="{2E4A4B2F-F91C-4ABF-AE1B-E45E76B9BA03}" srcOrd="0" destOrd="0" presId="urn:microsoft.com/office/officeart/2005/8/layout/hierarchy2"/>
    <dgm:cxn modelId="{AF8A056D-B3C7-47F2-9E89-FF32504A469A}" type="presParOf" srcId="{E81B55AA-D983-4126-88F0-38CCC4752D62}" destId="{7CFAB7EA-B61B-4FA0-9489-AB068376252E}" srcOrd="1" destOrd="0" presId="urn:microsoft.com/office/officeart/2005/8/layout/hierarchy2"/>
    <dgm:cxn modelId="{71052870-D09C-4F06-B011-4218D01F1AB5}" type="presParOf" srcId="{7CFAB7EA-B61B-4FA0-9489-AB068376252E}" destId="{47CB6F6C-3025-4EF8-A565-627C6FFD70A0}" srcOrd="0" destOrd="0" presId="urn:microsoft.com/office/officeart/2005/8/layout/hierarchy2"/>
    <dgm:cxn modelId="{CBFFBBF4-AC57-41AE-8A49-95F2D57A82F6}" type="presParOf" srcId="{7CFAB7EA-B61B-4FA0-9489-AB068376252E}" destId="{D1CB589D-C86F-445B-983B-FAFDA167B5AB}" srcOrd="1" destOrd="0" presId="urn:microsoft.com/office/officeart/2005/8/layout/hierarchy2"/>
    <dgm:cxn modelId="{D61A9211-239B-4D83-8317-33C9D0091C0E}" type="presParOf" srcId="{D1CB589D-C86F-445B-983B-FAFDA167B5AB}" destId="{2983F114-1825-4CE6-8906-F15CB548894B}" srcOrd="0" destOrd="0" presId="urn:microsoft.com/office/officeart/2005/8/layout/hierarchy2"/>
    <dgm:cxn modelId="{53562CD9-C071-46DA-A81E-F59BFCD13E4E}" type="presParOf" srcId="{2983F114-1825-4CE6-8906-F15CB548894B}" destId="{445E7D91-0420-43D8-A33E-0C3FB0E8C7E3}" srcOrd="0" destOrd="0" presId="urn:microsoft.com/office/officeart/2005/8/layout/hierarchy2"/>
    <dgm:cxn modelId="{1F2FD0E5-9402-4CE1-9CF4-BCC1D44CEB0B}" type="presParOf" srcId="{D1CB589D-C86F-445B-983B-FAFDA167B5AB}" destId="{8897F367-4048-4843-A0F6-385C357B6923}" srcOrd="1" destOrd="0" presId="urn:microsoft.com/office/officeart/2005/8/layout/hierarchy2"/>
    <dgm:cxn modelId="{F75A191B-9A59-4B96-9299-F3C6F75CE8CE}" type="presParOf" srcId="{8897F367-4048-4843-A0F6-385C357B6923}" destId="{7D30F93B-1F2B-4651-83E4-D7D3A2E00207}" srcOrd="0" destOrd="0" presId="urn:microsoft.com/office/officeart/2005/8/layout/hierarchy2"/>
    <dgm:cxn modelId="{E321BA3C-FD03-4F4B-91CD-25B56D90A8C3}" type="presParOf" srcId="{8897F367-4048-4843-A0F6-385C357B6923}" destId="{6DDC4C13-0051-45F1-8D91-9A8710F6147E}" srcOrd="1" destOrd="0" presId="urn:microsoft.com/office/officeart/2005/8/layout/hierarchy2"/>
    <dgm:cxn modelId="{F5978E4E-1803-4A84-89F7-5C0203DCF19B}" type="presParOf" srcId="{6DDC4C13-0051-45F1-8D91-9A8710F6147E}" destId="{B00B96B5-EADA-4067-8B5C-FC89C975D5FB}" srcOrd="0" destOrd="0" presId="urn:microsoft.com/office/officeart/2005/8/layout/hierarchy2"/>
    <dgm:cxn modelId="{E7EA7A0C-0083-4FDB-A477-35C3FD90EC97}" type="presParOf" srcId="{B00B96B5-EADA-4067-8B5C-FC89C975D5FB}" destId="{03F482AE-C638-4430-90BE-D6F07E96627A}" srcOrd="0" destOrd="0" presId="urn:microsoft.com/office/officeart/2005/8/layout/hierarchy2"/>
    <dgm:cxn modelId="{E08968FA-099C-4F7B-92E9-E3AEFC2B95DB}" type="presParOf" srcId="{6DDC4C13-0051-45F1-8D91-9A8710F6147E}" destId="{3BC0F2D4-DF72-4759-8C9C-80FE5F6005B4}" srcOrd="1" destOrd="0" presId="urn:microsoft.com/office/officeart/2005/8/layout/hierarchy2"/>
    <dgm:cxn modelId="{7C257096-179B-4711-961A-3A305D265916}" type="presParOf" srcId="{3BC0F2D4-DF72-4759-8C9C-80FE5F6005B4}" destId="{A493399F-D25C-4C80-89EB-0578566036A6}" srcOrd="0" destOrd="0" presId="urn:microsoft.com/office/officeart/2005/8/layout/hierarchy2"/>
    <dgm:cxn modelId="{4DF48612-875D-4017-9A27-9328DA069DA9}" type="presParOf" srcId="{3BC0F2D4-DF72-4759-8C9C-80FE5F6005B4}" destId="{E2EF6C71-E44C-440C-9AA2-AC35294238C3}" srcOrd="1" destOrd="0" presId="urn:microsoft.com/office/officeart/2005/8/layout/hierarchy2"/>
    <dgm:cxn modelId="{309F149B-5AC5-4CDE-AA96-2666BD8B28A9}" type="presParOf" srcId="{E81B55AA-D983-4126-88F0-38CCC4752D62}" destId="{AFE65B01-89C1-4E10-9368-7FA42F8F54FC}" srcOrd="2" destOrd="0" presId="urn:microsoft.com/office/officeart/2005/8/layout/hierarchy2"/>
    <dgm:cxn modelId="{A902B563-5EBC-43F7-AAA0-57C29EAD1083}" type="presParOf" srcId="{AFE65B01-89C1-4E10-9368-7FA42F8F54FC}" destId="{12BE411E-189F-49ED-A864-EA13935B5A34}" srcOrd="0" destOrd="0" presId="urn:microsoft.com/office/officeart/2005/8/layout/hierarchy2"/>
    <dgm:cxn modelId="{B529CF95-145E-4B21-B792-BDD56B8BA734}" type="presParOf" srcId="{E81B55AA-D983-4126-88F0-38CCC4752D62}" destId="{D5E7DCDF-1448-46FF-AC6E-684A2494A3AB}" srcOrd="3" destOrd="0" presId="urn:microsoft.com/office/officeart/2005/8/layout/hierarchy2"/>
    <dgm:cxn modelId="{6524B1D6-2CA3-445C-A782-5E3899CE85F2}" type="presParOf" srcId="{D5E7DCDF-1448-46FF-AC6E-684A2494A3AB}" destId="{4A6866CE-AE74-482B-A77F-8038B007294B}" srcOrd="0" destOrd="0" presId="urn:microsoft.com/office/officeart/2005/8/layout/hierarchy2"/>
    <dgm:cxn modelId="{F7955D13-AC98-4B77-9DE8-BC00D0AEB832}" type="presParOf" srcId="{D5E7DCDF-1448-46FF-AC6E-684A2494A3AB}" destId="{5D643A01-98C0-43DA-9487-4FB2E4859B96}" srcOrd="1" destOrd="0" presId="urn:microsoft.com/office/officeart/2005/8/layout/hierarchy2"/>
    <dgm:cxn modelId="{1B90ACBA-2C3A-4432-9585-9616499FF046}" type="presParOf" srcId="{5D643A01-98C0-43DA-9487-4FB2E4859B96}" destId="{1DE5DF48-7861-4866-8EC6-EEA9F591B4C2}" srcOrd="0" destOrd="0" presId="urn:microsoft.com/office/officeart/2005/8/layout/hierarchy2"/>
    <dgm:cxn modelId="{0CDA3D52-04BB-409F-8D53-5BF121821B1E}" type="presParOf" srcId="{1DE5DF48-7861-4866-8EC6-EEA9F591B4C2}" destId="{FAD173A9-2ED3-40D6-B3DD-6E402C8B5F3F}" srcOrd="0" destOrd="0" presId="urn:microsoft.com/office/officeart/2005/8/layout/hierarchy2"/>
    <dgm:cxn modelId="{38221DB1-DA0A-42D2-94D1-019658E0F5DC}" type="presParOf" srcId="{5D643A01-98C0-43DA-9487-4FB2E4859B96}" destId="{633BB8F3-33EE-4188-BBED-C17974AE2A5F}" srcOrd="1" destOrd="0" presId="urn:microsoft.com/office/officeart/2005/8/layout/hierarchy2"/>
    <dgm:cxn modelId="{D2C4B269-C58E-4803-82A4-0568FA508F81}" type="presParOf" srcId="{633BB8F3-33EE-4188-BBED-C17974AE2A5F}" destId="{7B143EB6-FC6C-495C-BED4-2361544F33EE}" srcOrd="0" destOrd="0" presId="urn:microsoft.com/office/officeart/2005/8/layout/hierarchy2"/>
    <dgm:cxn modelId="{EAB365F0-C692-402D-8A09-3ED33A6BBA4C}" type="presParOf" srcId="{633BB8F3-33EE-4188-BBED-C17974AE2A5F}" destId="{AE67F4CF-AD81-4337-AB56-695EC70CA498}" srcOrd="1" destOrd="0" presId="urn:microsoft.com/office/officeart/2005/8/layout/hierarchy2"/>
    <dgm:cxn modelId="{4D396111-AB03-4596-9DED-9D438F9F4444}" type="presParOf" srcId="{AE67F4CF-AD81-4337-AB56-695EC70CA498}" destId="{8307080E-BE65-417E-839C-B9C01F14B029}" srcOrd="0" destOrd="0" presId="urn:microsoft.com/office/officeart/2005/8/layout/hierarchy2"/>
    <dgm:cxn modelId="{994AC114-BC98-4F5E-8124-41D136941C99}" type="presParOf" srcId="{8307080E-BE65-417E-839C-B9C01F14B029}" destId="{F11DA9CB-D940-4596-83D7-F8680740AB32}" srcOrd="0" destOrd="0" presId="urn:microsoft.com/office/officeart/2005/8/layout/hierarchy2"/>
    <dgm:cxn modelId="{13BE7C5F-3F65-409E-9F2F-70F3953BDB8A}" type="presParOf" srcId="{AE67F4CF-AD81-4337-AB56-695EC70CA498}" destId="{2A9BC3DD-6D53-4BC1-ADA5-8DD5AE52B0A7}" srcOrd="1" destOrd="0" presId="urn:microsoft.com/office/officeart/2005/8/layout/hierarchy2"/>
    <dgm:cxn modelId="{D0135138-517F-4A8F-A83B-79299FF6DAC4}" type="presParOf" srcId="{2A9BC3DD-6D53-4BC1-ADA5-8DD5AE52B0A7}" destId="{965C338C-1807-4B79-B6FB-6B1504D3F13E}" srcOrd="0" destOrd="0" presId="urn:microsoft.com/office/officeart/2005/8/layout/hierarchy2"/>
    <dgm:cxn modelId="{02C569DD-6C3D-4D2C-B653-64878787BC00}" type="presParOf" srcId="{2A9BC3DD-6D53-4BC1-ADA5-8DD5AE52B0A7}" destId="{EEDF9193-5C62-4792-A54F-B47847F3EF28}"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8CAA87-F7AB-402D-8B4C-D5D5CD285D14}">
      <dsp:nvSpPr>
        <dsp:cNvPr id="0" name=""/>
        <dsp:cNvSpPr/>
      </dsp:nvSpPr>
      <dsp:spPr>
        <a:xfrm>
          <a:off x="1900386" y="356"/>
          <a:ext cx="791547" cy="791547"/>
        </a:xfrm>
        <a:prstGeom prst="ellipse">
          <a:avLst/>
        </a:prstGeom>
        <a:solidFill>
          <a:schemeClr val="accent6">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Increase in insurance premium </a:t>
          </a:r>
        </a:p>
      </dsp:txBody>
      <dsp:txXfrm>
        <a:off x="2016305" y="116275"/>
        <a:ext cx="559709" cy="559709"/>
      </dsp:txXfrm>
    </dsp:sp>
    <dsp:sp modelId="{E33685B4-E5F0-4201-BCD7-4636C4C6CA23}">
      <dsp:nvSpPr>
        <dsp:cNvPr id="0" name=""/>
        <dsp:cNvSpPr/>
      </dsp:nvSpPr>
      <dsp:spPr>
        <a:xfrm rot="2160000">
          <a:off x="2666812" y="608132"/>
          <a:ext cx="209984" cy="267147"/>
        </a:xfrm>
        <a:prstGeom prst="rightArrow">
          <a:avLst>
            <a:gd name="adj1" fmla="val 60000"/>
            <a:gd name="adj2" fmla="val 50000"/>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2672827" y="643047"/>
        <a:ext cx="146989" cy="160289"/>
      </dsp:txXfrm>
    </dsp:sp>
    <dsp:sp modelId="{8DCEC7D9-4393-4122-A660-0F45E68B2165}">
      <dsp:nvSpPr>
        <dsp:cNvPr id="0" name=""/>
        <dsp:cNvSpPr/>
      </dsp:nvSpPr>
      <dsp:spPr>
        <a:xfrm>
          <a:off x="2861291" y="698494"/>
          <a:ext cx="791547" cy="791547"/>
        </a:xfrm>
        <a:prstGeom prst="ellipse">
          <a:avLst/>
        </a:prstGeom>
        <a:solidFill>
          <a:schemeClr val="accent6">
            <a:shade val="50000"/>
            <a:hueOff val="238098"/>
            <a:satOff val="-10709"/>
            <a:lumOff val="18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Cruise companies increase fares</a:t>
          </a:r>
        </a:p>
      </dsp:txBody>
      <dsp:txXfrm>
        <a:off x="2977210" y="814413"/>
        <a:ext cx="559709" cy="559709"/>
      </dsp:txXfrm>
    </dsp:sp>
    <dsp:sp modelId="{9685EAE0-480D-49D6-91A7-46A173B0264D}">
      <dsp:nvSpPr>
        <dsp:cNvPr id="0" name=""/>
        <dsp:cNvSpPr/>
      </dsp:nvSpPr>
      <dsp:spPr>
        <a:xfrm rot="6480000">
          <a:off x="2970392" y="1519848"/>
          <a:ext cx="209984" cy="267147"/>
        </a:xfrm>
        <a:prstGeom prst="rightArrow">
          <a:avLst>
            <a:gd name="adj1" fmla="val 60000"/>
            <a:gd name="adj2" fmla="val 50000"/>
          </a:avLst>
        </a:prstGeom>
        <a:solidFill>
          <a:schemeClr val="accent6">
            <a:shade val="90000"/>
            <a:hueOff val="245583"/>
            <a:satOff val="-10002"/>
            <a:lumOff val="1516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rot="10800000">
        <a:off x="3011623" y="1543321"/>
        <a:ext cx="146989" cy="160289"/>
      </dsp:txXfrm>
    </dsp:sp>
    <dsp:sp modelId="{BD11E887-08D6-4B67-9AE5-B17CE405F7D8}">
      <dsp:nvSpPr>
        <dsp:cNvPr id="0" name=""/>
        <dsp:cNvSpPr/>
      </dsp:nvSpPr>
      <dsp:spPr>
        <a:xfrm>
          <a:off x="2494258" y="1828106"/>
          <a:ext cx="791547" cy="791547"/>
        </a:xfrm>
        <a:prstGeom prst="ellipse">
          <a:avLst/>
        </a:prstGeom>
        <a:solidFill>
          <a:schemeClr val="accent6">
            <a:shade val="50000"/>
            <a:hueOff val="476196"/>
            <a:satOff val="-21418"/>
            <a:lumOff val="371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Passengers expect better service. </a:t>
          </a:r>
        </a:p>
      </dsp:txBody>
      <dsp:txXfrm>
        <a:off x="2610177" y="1944025"/>
        <a:ext cx="559709" cy="559709"/>
      </dsp:txXfrm>
    </dsp:sp>
    <dsp:sp modelId="{974CD30F-4057-421D-98A2-95500E394389}">
      <dsp:nvSpPr>
        <dsp:cNvPr id="0" name=""/>
        <dsp:cNvSpPr/>
      </dsp:nvSpPr>
      <dsp:spPr>
        <a:xfrm rot="10800000">
          <a:off x="2197110" y="2090306"/>
          <a:ext cx="209984" cy="267147"/>
        </a:xfrm>
        <a:prstGeom prst="rightArrow">
          <a:avLst>
            <a:gd name="adj1" fmla="val 60000"/>
            <a:gd name="adj2" fmla="val 50000"/>
          </a:avLst>
        </a:prstGeom>
        <a:solidFill>
          <a:schemeClr val="accent6">
            <a:shade val="90000"/>
            <a:hueOff val="491167"/>
            <a:satOff val="-20005"/>
            <a:lumOff val="3032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rot="10800000">
        <a:off x="2260105" y="2143735"/>
        <a:ext cx="146989" cy="160289"/>
      </dsp:txXfrm>
    </dsp:sp>
    <dsp:sp modelId="{19B64B22-8C21-4D6E-BB7B-B7B24C142D8E}">
      <dsp:nvSpPr>
        <dsp:cNvPr id="0" name=""/>
        <dsp:cNvSpPr/>
      </dsp:nvSpPr>
      <dsp:spPr>
        <a:xfrm>
          <a:off x="1306514" y="1828106"/>
          <a:ext cx="791547" cy="791547"/>
        </a:xfrm>
        <a:prstGeom prst="ellipse">
          <a:avLst/>
        </a:prstGeom>
        <a:solidFill>
          <a:schemeClr val="accent6">
            <a:shade val="50000"/>
            <a:hueOff val="476196"/>
            <a:satOff val="-21418"/>
            <a:lumOff val="371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More claims are lodged as easier to claim</a:t>
          </a:r>
        </a:p>
      </dsp:txBody>
      <dsp:txXfrm>
        <a:off x="1422433" y="1944025"/>
        <a:ext cx="559709" cy="559709"/>
      </dsp:txXfrm>
    </dsp:sp>
    <dsp:sp modelId="{B3D8E503-4696-473C-8AF9-12C0DA0A01CA}">
      <dsp:nvSpPr>
        <dsp:cNvPr id="0" name=""/>
        <dsp:cNvSpPr/>
      </dsp:nvSpPr>
      <dsp:spPr>
        <a:xfrm rot="15120000">
          <a:off x="1415615" y="1531152"/>
          <a:ext cx="209984" cy="267147"/>
        </a:xfrm>
        <a:prstGeom prst="rightArrow">
          <a:avLst>
            <a:gd name="adj1" fmla="val 60000"/>
            <a:gd name="adj2" fmla="val 50000"/>
          </a:avLst>
        </a:prstGeom>
        <a:solidFill>
          <a:schemeClr val="accent6">
            <a:shade val="90000"/>
            <a:hueOff val="491167"/>
            <a:satOff val="-20005"/>
            <a:lumOff val="3032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rot="10800000">
        <a:off x="1456846" y="1614537"/>
        <a:ext cx="146989" cy="160289"/>
      </dsp:txXfrm>
    </dsp:sp>
    <dsp:sp modelId="{4E4D2A57-68D0-45C1-999C-0BD045EB1607}">
      <dsp:nvSpPr>
        <dsp:cNvPr id="0" name=""/>
        <dsp:cNvSpPr/>
      </dsp:nvSpPr>
      <dsp:spPr>
        <a:xfrm>
          <a:off x="939481" y="698494"/>
          <a:ext cx="791547" cy="791547"/>
        </a:xfrm>
        <a:prstGeom prst="ellipse">
          <a:avLst/>
        </a:prstGeom>
        <a:solidFill>
          <a:schemeClr val="accent6">
            <a:shade val="50000"/>
            <a:hueOff val="238098"/>
            <a:satOff val="-10709"/>
            <a:lumOff val="18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More claims paid out</a:t>
          </a:r>
        </a:p>
      </dsp:txBody>
      <dsp:txXfrm>
        <a:off x="1055400" y="814413"/>
        <a:ext cx="559709" cy="559709"/>
      </dsp:txXfrm>
    </dsp:sp>
    <dsp:sp modelId="{FCB52A7A-0885-467C-A39D-9F87C0E535B7}">
      <dsp:nvSpPr>
        <dsp:cNvPr id="0" name=""/>
        <dsp:cNvSpPr/>
      </dsp:nvSpPr>
      <dsp:spPr>
        <a:xfrm rot="19440000">
          <a:off x="1705907" y="615118"/>
          <a:ext cx="209984" cy="267147"/>
        </a:xfrm>
        <a:prstGeom prst="rightArrow">
          <a:avLst>
            <a:gd name="adj1" fmla="val 60000"/>
            <a:gd name="adj2" fmla="val 50000"/>
          </a:avLst>
        </a:prstGeom>
        <a:solidFill>
          <a:schemeClr val="accent6">
            <a:shade val="90000"/>
            <a:hueOff val="245583"/>
            <a:satOff val="-10002"/>
            <a:lumOff val="1516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1711922" y="687061"/>
        <a:ext cx="146989" cy="1602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C2322A-B831-427E-88F6-83D90261DC59}">
      <dsp:nvSpPr>
        <dsp:cNvPr id="0" name=""/>
        <dsp:cNvSpPr/>
      </dsp:nvSpPr>
      <dsp:spPr>
        <a:xfrm>
          <a:off x="1940" y="459838"/>
          <a:ext cx="999378" cy="499689"/>
        </a:xfrm>
        <a:prstGeom prst="roundRect">
          <a:avLst>
            <a:gd name="adj" fmla="val 10000"/>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Two passengers injured in same incident</a:t>
          </a:r>
        </a:p>
      </dsp:txBody>
      <dsp:txXfrm>
        <a:off x="16575" y="474473"/>
        <a:ext cx="970108" cy="470419"/>
      </dsp:txXfrm>
    </dsp:sp>
    <dsp:sp modelId="{6B7E3BE6-4C66-4445-9AA5-288EB9AEED0B}">
      <dsp:nvSpPr>
        <dsp:cNvPr id="0" name=""/>
        <dsp:cNvSpPr/>
      </dsp:nvSpPr>
      <dsp:spPr>
        <a:xfrm rot="19457599">
          <a:off x="955047" y="534338"/>
          <a:ext cx="492295" cy="63369"/>
        </a:xfrm>
        <a:custGeom>
          <a:avLst/>
          <a:gdLst/>
          <a:ahLst/>
          <a:cxnLst/>
          <a:rect l="0" t="0" r="0" b="0"/>
          <a:pathLst>
            <a:path>
              <a:moveTo>
                <a:pt x="0" y="31684"/>
              </a:moveTo>
              <a:lnTo>
                <a:pt x="492295" y="31684"/>
              </a:lnTo>
            </a:path>
          </a:pathLst>
        </a:custGeom>
        <a:noFill/>
        <a:ln w="6350" cap="flat" cmpd="sng" algn="ctr">
          <a:solidFill>
            <a:schemeClr val="accent6">
              <a:tint val="99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188887" y="553715"/>
        <a:ext cx="24614" cy="24614"/>
      </dsp:txXfrm>
    </dsp:sp>
    <dsp:sp modelId="{47CB6F6C-3025-4EF8-A565-627C6FFD70A0}">
      <dsp:nvSpPr>
        <dsp:cNvPr id="0" name=""/>
        <dsp:cNvSpPr/>
      </dsp:nvSpPr>
      <dsp:spPr>
        <a:xfrm>
          <a:off x="1401070" y="172517"/>
          <a:ext cx="999378" cy="499689"/>
        </a:xfrm>
        <a:prstGeom prst="roundRect">
          <a:avLst>
            <a:gd name="adj" fmla="val 10000"/>
          </a:avLst>
        </a:prstGeom>
        <a:gradFill rotWithShape="0">
          <a:gsLst>
            <a:gs pos="0">
              <a:schemeClr val="accent6">
                <a:tint val="99000"/>
                <a:hueOff val="0"/>
                <a:satOff val="0"/>
                <a:lumOff val="0"/>
                <a:alphaOff val="0"/>
                <a:satMod val="103000"/>
                <a:lumMod val="102000"/>
                <a:tint val="94000"/>
              </a:schemeClr>
            </a:gs>
            <a:gs pos="50000">
              <a:schemeClr val="accent6">
                <a:tint val="99000"/>
                <a:hueOff val="0"/>
                <a:satOff val="0"/>
                <a:lumOff val="0"/>
                <a:alphaOff val="0"/>
                <a:satMod val="110000"/>
                <a:lumMod val="100000"/>
                <a:shade val="100000"/>
              </a:schemeClr>
            </a:gs>
            <a:gs pos="100000">
              <a:schemeClr val="accent6">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Passenger eligible for Athens</a:t>
          </a:r>
        </a:p>
      </dsp:txBody>
      <dsp:txXfrm>
        <a:off x="1415705" y="187152"/>
        <a:ext cx="970108" cy="470419"/>
      </dsp:txXfrm>
    </dsp:sp>
    <dsp:sp modelId="{2983F114-1825-4CE6-8906-F15CB548894B}">
      <dsp:nvSpPr>
        <dsp:cNvPr id="0" name=""/>
        <dsp:cNvSpPr/>
      </dsp:nvSpPr>
      <dsp:spPr>
        <a:xfrm>
          <a:off x="2400449" y="390677"/>
          <a:ext cx="399751" cy="63369"/>
        </a:xfrm>
        <a:custGeom>
          <a:avLst/>
          <a:gdLst/>
          <a:ahLst/>
          <a:cxnLst/>
          <a:rect l="0" t="0" r="0" b="0"/>
          <a:pathLst>
            <a:path>
              <a:moveTo>
                <a:pt x="0" y="31684"/>
              </a:moveTo>
              <a:lnTo>
                <a:pt x="399751" y="31684"/>
              </a:lnTo>
            </a:path>
          </a:pathLst>
        </a:custGeom>
        <a:noFill/>
        <a:ln w="6350" cap="flat" cmpd="sng" algn="ctr">
          <a:solidFill>
            <a:schemeClr val="accent6">
              <a:tint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90331" y="412368"/>
        <a:ext cx="19987" cy="19987"/>
      </dsp:txXfrm>
    </dsp:sp>
    <dsp:sp modelId="{7D30F93B-1F2B-4651-83E4-D7D3A2E00207}">
      <dsp:nvSpPr>
        <dsp:cNvPr id="0" name=""/>
        <dsp:cNvSpPr/>
      </dsp:nvSpPr>
      <dsp:spPr>
        <a:xfrm>
          <a:off x="2800200" y="172517"/>
          <a:ext cx="999378" cy="499689"/>
        </a:xfrm>
        <a:prstGeom prst="roundRect">
          <a:avLst>
            <a:gd name="adj" fmla="val 10000"/>
          </a:avLst>
        </a:prstGeom>
        <a:gradFill rotWithShape="0">
          <a:gsLst>
            <a:gs pos="0">
              <a:schemeClr val="accent6">
                <a:tint val="80000"/>
                <a:hueOff val="0"/>
                <a:satOff val="0"/>
                <a:lumOff val="0"/>
                <a:alphaOff val="0"/>
                <a:satMod val="103000"/>
                <a:lumMod val="102000"/>
                <a:tint val="94000"/>
              </a:schemeClr>
            </a:gs>
            <a:gs pos="50000">
              <a:schemeClr val="accent6">
                <a:tint val="80000"/>
                <a:hueOff val="0"/>
                <a:satOff val="0"/>
                <a:lumOff val="0"/>
                <a:alphaOff val="0"/>
                <a:satMod val="110000"/>
                <a:lumMod val="100000"/>
                <a:shade val="100000"/>
              </a:schemeClr>
            </a:gs>
            <a:gs pos="100000">
              <a:schemeClr val="accent6">
                <a:tint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Cruise company unable to demonstrate that they were not negligent</a:t>
          </a:r>
        </a:p>
      </dsp:txBody>
      <dsp:txXfrm>
        <a:off x="2814835" y="187152"/>
        <a:ext cx="970108" cy="470419"/>
      </dsp:txXfrm>
    </dsp:sp>
    <dsp:sp modelId="{B00B96B5-EADA-4067-8B5C-FC89C975D5FB}">
      <dsp:nvSpPr>
        <dsp:cNvPr id="0" name=""/>
        <dsp:cNvSpPr/>
      </dsp:nvSpPr>
      <dsp:spPr>
        <a:xfrm>
          <a:off x="3799579" y="390677"/>
          <a:ext cx="399751" cy="63369"/>
        </a:xfrm>
        <a:custGeom>
          <a:avLst/>
          <a:gdLst/>
          <a:ahLst/>
          <a:cxnLst/>
          <a:rect l="0" t="0" r="0" b="0"/>
          <a:pathLst>
            <a:path>
              <a:moveTo>
                <a:pt x="0" y="31684"/>
              </a:moveTo>
              <a:lnTo>
                <a:pt x="399751" y="31684"/>
              </a:lnTo>
            </a:path>
          </a:pathLst>
        </a:custGeom>
        <a:noFill/>
        <a:ln w="6350" cap="flat" cmpd="sng" algn="ctr">
          <a:solidFill>
            <a:schemeClr val="accent6">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989461" y="412368"/>
        <a:ext cx="19987" cy="19987"/>
      </dsp:txXfrm>
    </dsp:sp>
    <dsp:sp modelId="{A493399F-D25C-4C80-89EB-0578566036A6}">
      <dsp:nvSpPr>
        <dsp:cNvPr id="0" name=""/>
        <dsp:cNvSpPr/>
      </dsp:nvSpPr>
      <dsp:spPr>
        <a:xfrm>
          <a:off x="4199330" y="172517"/>
          <a:ext cx="999378" cy="499689"/>
        </a:xfrm>
        <a:prstGeom prst="roundRect">
          <a:avLst>
            <a:gd name="adj" fmla="val 10000"/>
          </a:avLst>
        </a:prstGeom>
        <a:gradFill rotWithShape="0">
          <a:gsLst>
            <a:gs pos="0">
              <a:schemeClr val="accent6">
                <a:tint val="70000"/>
                <a:hueOff val="0"/>
                <a:satOff val="0"/>
                <a:lumOff val="0"/>
                <a:alphaOff val="0"/>
                <a:satMod val="103000"/>
                <a:lumMod val="102000"/>
                <a:tint val="94000"/>
              </a:schemeClr>
            </a:gs>
            <a:gs pos="50000">
              <a:schemeClr val="accent6">
                <a:tint val="70000"/>
                <a:hueOff val="0"/>
                <a:satOff val="0"/>
                <a:lumOff val="0"/>
                <a:alphaOff val="0"/>
                <a:satMod val="110000"/>
                <a:lumMod val="100000"/>
                <a:shade val="100000"/>
              </a:schemeClr>
            </a:gs>
            <a:gs pos="100000">
              <a:schemeClr val="accent6">
                <a:tint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Receives compensation</a:t>
          </a:r>
        </a:p>
      </dsp:txBody>
      <dsp:txXfrm>
        <a:off x="4213965" y="187152"/>
        <a:ext cx="970108" cy="470419"/>
      </dsp:txXfrm>
    </dsp:sp>
    <dsp:sp modelId="{AFE65B01-89C1-4E10-9368-7FA42F8F54FC}">
      <dsp:nvSpPr>
        <dsp:cNvPr id="0" name=""/>
        <dsp:cNvSpPr/>
      </dsp:nvSpPr>
      <dsp:spPr>
        <a:xfrm rot="2142401">
          <a:off x="955047" y="821659"/>
          <a:ext cx="492295" cy="63369"/>
        </a:xfrm>
        <a:custGeom>
          <a:avLst/>
          <a:gdLst/>
          <a:ahLst/>
          <a:cxnLst/>
          <a:rect l="0" t="0" r="0" b="0"/>
          <a:pathLst>
            <a:path>
              <a:moveTo>
                <a:pt x="0" y="31684"/>
              </a:moveTo>
              <a:lnTo>
                <a:pt x="492295" y="31684"/>
              </a:lnTo>
            </a:path>
          </a:pathLst>
        </a:custGeom>
        <a:noFill/>
        <a:ln w="6350" cap="flat" cmpd="sng" algn="ctr">
          <a:solidFill>
            <a:schemeClr val="accent6">
              <a:tint val="99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188887" y="841036"/>
        <a:ext cx="24614" cy="24614"/>
      </dsp:txXfrm>
    </dsp:sp>
    <dsp:sp modelId="{4A6866CE-AE74-482B-A77F-8038B007294B}">
      <dsp:nvSpPr>
        <dsp:cNvPr id="0" name=""/>
        <dsp:cNvSpPr/>
      </dsp:nvSpPr>
      <dsp:spPr>
        <a:xfrm>
          <a:off x="1401070" y="747160"/>
          <a:ext cx="999378" cy="499689"/>
        </a:xfrm>
        <a:prstGeom prst="roundRect">
          <a:avLst>
            <a:gd name="adj" fmla="val 10000"/>
          </a:avLst>
        </a:prstGeom>
        <a:gradFill rotWithShape="0">
          <a:gsLst>
            <a:gs pos="0">
              <a:schemeClr val="accent6">
                <a:tint val="99000"/>
                <a:hueOff val="0"/>
                <a:satOff val="0"/>
                <a:lumOff val="0"/>
                <a:alphaOff val="0"/>
                <a:satMod val="103000"/>
                <a:lumMod val="102000"/>
                <a:tint val="94000"/>
              </a:schemeClr>
            </a:gs>
            <a:gs pos="50000">
              <a:schemeClr val="accent6">
                <a:tint val="99000"/>
                <a:hueOff val="0"/>
                <a:satOff val="0"/>
                <a:lumOff val="0"/>
                <a:alphaOff val="0"/>
                <a:satMod val="110000"/>
                <a:lumMod val="100000"/>
                <a:shade val="100000"/>
              </a:schemeClr>
            </a:gs>
            <a:gs pos="100000">
              <a:schemeClr val="accent6">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Passenger NOT eligible for Athens</a:t>
          </a:r>
        </a:p>
      </dsp:txBody>
      <dsp:txXfrm>
        <a:off x="1415705" y="761795"/>
        <a:ext cx="970108" cy="470419"/>
      </dsp:txXfrm>
    </dsp:sp>
    <dsp:sp modelId="{1DE5DF48-7861-4866-8EC6-EEA9F591B4C2}">
      <dsp:nvSpPr>
        <dsp:cNvPr id="0" name=""/>
        <dsp:cNvSpPr/>
      </dsp:nvSpPr>
      <dsp:spPr>
        <a:xfrm>
          <a:off x="2400449" y="965320"/>
          <a:ext cx="399751" cy="63369"/>
        </a:xfrm>
        <a:custGeom>
          <a:avLst/>
          <a:gdLst/>
          <a:ahLst/>
          <a:cxnLst/>
          <a:rect l="0" t="0" r="0" b="0"/>
          <a:pathLst>
            <a:path>
              <a:moveTo>
                <a:pt x="0" y="31684"/>
              </a:moveTo>
              <a:lnTo>
                <a:pt x="399751" y="31684"/>
              </a:lnTo>
            </a:path>
          </a:pathLst>
        </a:custGeom>
        <a:noFill/>
        <a:ln w="6350" cap="flat" cmpd="sng" algn="ctr">
          <a:solidFill>
            <a:schemeClr val="accent6">
              <a:tint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90331" y="987011"/>
        <a:ext cx="19987" cy="19987"/>
      </dsp:txXfrm>
    </dsp:sp>
    <dsp:sp modelId="{7B143EB6-FC6C-495C-BED4-2361544F33EE}">
      <dsp:nvSpPr>
        <dsp:cNvPr id="0" name=""/>
        <dsp:cNvSpPr/>
      </dsp:nvSpPr>
      <dsp:spPr>
        <a:xfrm>
          <a:off x="2800200" y="747160"/>
          <a:ext cx="999378" cy="499689"/>
        </a:xfrm>
        <a:prstGeom prst="roundRect">
          <a:avLst>
            <a:gd name="adj" fmla="val 10000"/>
          </a:avLst>
        </a:prstGeom>
        <a:gradFill rotWithShape="0">
          <a:gsLst>
            <a:gs pos="0">
              <a:schemeClr val="accent6">
                <a:tint val="80000"/>
                <a:hueOff val="0"/>
                <a:satOff val="0"/>
                <a:lumOff val="0"/>
                <a:alphaOff val="0"/>
                <a:satMod val="103000"/>
                <a:lumMod val="102000"/>
                <a:tint val="94000"/>
              </a:schemeClr>
            </a:gs>
            <a:gs pos="50000">
              <a:schemeClr val="accent6">
                <a:tint val="80000"/>
                <a:hueOff val="0"/>
                <a:satOff val="0"/>
                <a:lumOff val="0"/>
                <a:alphaOff val="0"/>
                <a:satMod val="110000"/>
                <a:lumMod val="100000"/>
                <a:shade val="100000"/>
              </a:schemeClr>
            </a:gs>
            <a:gs pos="100000">
              <a:schemeClr val="accent6">
                <a:tint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Passenger unable to prove that cruise company  was negligent.</a:t>
          </a:r>
        </a:p>
      </dsp:txBody>
      <dsp:txXfrm>
        <a:off x="2814835" y="761795"/>
        <a:ext cx="970108" cy="470419"/>
      </dsp:txXfrm>
    </dsp:sp>
    <dsp:sp modelId="{8307080E-BE65-417E-839C-B9C01F14B029}">
      <dsp:nvSpPr>
        <dsp:cNvPr id="0" name=""/>
        <dsp:cNvSpPr/>
      </dsp:nvSpPr>
      <dsp:spPr>
        <a:xfrm>
          <a:off x="3799579" y="965320"/>
          <a:ext cx="399751" cy="63369"/>
        </a:xfrm>
        <a:custGeom>
          <a:avLst/>
          <a:gdLst/>
          <a:ahLst/>
          <a:cxnLst/>
          <a:rect l="0" t="0" r="0" b="0"/>
          <a:pathLst>
            <a:path>
              <a:moveTo>
                <a:pt x="0" y="31684"/>
              </a:moveTo>
              <a:lnTo>
                <a:pt x="399751" y="31684"/>
              </a:lnTo>
            </a:path>
          </a:pathLst>
        </a:custGeom>
        <a:noFill/>
        <a:ln w="6350" cap="flat" cmpd="sng" algn="ctr">
          <a:solidFill>
            <a:schemeClr val="accent6">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989461" y="987011"/>
        <a:ext cx="19987" cy="19987"/>
      </dsp:txXfrm>
    </dsp:sp>
    <dsp:sp modelId="{965C338C-1807-4B79-B6FB-6B1504D3F13E}">
      <dsp:nvSpPr>
        <dsp:cNvPr id="0" name=""/>
        <dsp:cNvSpPr/>
      </dsp:nvSpPr>
      <dsp:spPr>
        <a:xfrm>
          <a:off x="4199330" y="747160"/>
          <a:ext cx="999378" cy="499689"/>
        </a:xfrm>
        <a:prstGeom prst="roundRect">
          <a:avLst>
            <a:gd name="adj" fmla="val 10000"/>
          </a:avLst>
        </a:prstGeom>
        <a:gradFill rotWithShape="0">
          <a:gsLst>
            <a:gs pos="0">
              <a:schemeClr val="accent6">
                <a:tint val="70000"/>
                <a:hueOff val="0"/>
                <a:satOff val="0"/>
                <a:lumOff val="0"/>
                <a:alphaOff val="0"/>
                <a:satMod val="103000"/>
                <a:lumMod val="102000"/>
                <a:tint val="94000"/>
              </a:schemeClr>
            </a:gs>
            <a:gs pos="50000">
              <a:schemeClr val="accent6">
                <a:tint val="70000"/>
                <a:hueOff val="0"/>
                <a:satOff val="0"/>
                <a:lumOff val="0"/>
                <a:alphaOff val="0"/>
                <a:satMod val="110000"/>
                <a:lumMod val="100000"/>
                <a:shade val="100000"/>
              </a:schemeClr>
            </a:gs>
            <a:gs pos="100000">
              <a:schemeClr val="accent6">
                <a:tint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May receive no/less compensation</a:t>
          </a:r>
        </a:p>
      </dsp:txBody>
      <dsp:txXfrm>
        <a:off x="4213965" y="761795"/>
        <a:ext cx="970108" cy="47041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NineSquared">
      <a:majorFont>
        <a:latin typeface="Franklin Gothic Demi Cond"/>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Del16</b:Tag>
    <b:SourceType>Report</b:SourceType>
    <b:Guid>{4D40C71C-9FCF-49E5-89AE-74FE2E78788E}</b:Guid>
    <b:Title>Innovate to Survive: Perspectives on the regulated business to business information service market in Australia</b:Title>
    <b:Year>2016</b:Year>
    <b:City>Sydney</b:City>
    <b:Publisher>Deloitte</b:Publisher>
    <b:Author>
      <b:Author>
        <b:NameList>
          <b:Person>
            <b:Last>Deloitte</b:Last>
          </b:Person>
        </b:NameList>
      </b:Author>
    </b:Author>
    <b:RefOrder>1</b:RefOrder>
  </b:Source>
  <b:Source>
    <b:Tag>Wor09</b:Tag>
    <b:SourceType>Report</b:SourceType>
    <b:Guid>{7CDFD653-8A48-474C-97F8-72D73328F15D}</b:Guid>
    <b:Author>
      <b:Author>
        <b:Corporate>World Bank</b:Corporate>
      </b:Author>
    </b:Author>
    <b:Title>Natural Disasters and the Dynamics of Intangible Assets</b:Title>
    <b:Year>2009</b:Year>
    <b:Publisher>World Bank</b:Publisher>
    <b:City>New York</b:City>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B8596EF1E1B53D4DB650581373C5AE0B" ma:contentTypeVersion="1" ma:contentTypeDescription="Create a new document." ma:contentTypeScope="" ma:versionID="256d86c73516b70f2414ca0f6bda121f">
  <xsd:schema xmlns:xsd="http://www.w3.org/2001/XMLSchema" xmlns:xs="http://www.w3.org/2001/XMLSchema" xmlns:p="http://schemas.microsoft.com/office/2006/metadata/properties" xmlns:ns2="ada5df43-bbd8-4643-b265-b63d63fe5e92" targetNamespace="http://schemas.microsoft.com/office/2006/metadata/properties" ma:root="true" ma:fieldsID="015fdb3ca35326a46baa41eb325e1bf6" ns2:_="">
    <xsd:import namespace="ada5df43-bbd8-4643-b265-b63d63fe5e9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5df43-bbd8-4643-b265-b63d63fe5e9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da5df43-bbd8-4643-b265-b63d63fe5e92">SP7UQ5V26J4T-15-69828</_dlc_DocId>
    <_dlc_DocIdUrl xmlns="ada5df43-bbd8-4643-b265-b63d63fe5e92">
      <Url>https://corporateapps.internal.pmc.gov.au/sites/OBPR/RIA/_layouts/15/DocIdRedir.aspx?ID=SP7UQ5V26J4T-15-69828</Url>
      <Description>SP7UQ5V26J4T-15-69828</Description>
    </_dlc_DocIdUrl>
  </documentManagement>
</p:properties>
</file>

<file path=customXml/itemProps1.xml><?xml version="1.0" encoding="utf-8"?>
<ds:datastoreItem xmlns:ds="http://schemas.openxmlformats.org/officeDocument/2006/customXml" ds:itemID="{7A38B238-2EC6-461F-BDD4-BC01C8F09318}">
  <ds:schemaRefs>
    <ds:schemaRef ds:uri="http://schemas.openxmlformats.org/officeDocument/2006/bibliography"/>
  </ds:schemaRefs>
</ds:datastoreItem>
</file>

<file path=customXml/itemProps2.xml><?xml version="1.0" encoding="utf-8"?>
<ds:datastoreItem xmlns:ds="http://schemas.openxmlformats.org/officeDocument/2006/customXml" ds:itemID="{D896F66E-DAFE-4441-867F-F74FA608FA33}"/>
</file>

<file path=customXml/itemProps3.xml><?xml version="1.0" encoding="utf-8"?>
<ds:datastoreItem xmlns:ds="http://schemas.openxmlformats.org/officeDocument/2006/customXml" ds:itemID="{B93EF855-A756-4B01-8805-6E3F4296CD87}"/>
</file>

<file path=customXml/itemProps4.xml><?xml version="1.0" encoding="utf-8"?>
<ds:datastoreItem xmlns:ds="http://schemas.openxmlformats.org/officeDocument/2006/customXml" ds:itemID="{71053D37-5E32-40BC-A3F9-F5E193B98A6B}"/>
</file>

<file path=customXml/itemProps5.xml><?xml version="1.0" encoding="utf-8"?>
<ds:datastoreItem xmlns:ds="http://schemas.openxmlformats.org/officeDocument/2006/customXml" ds:itemID="{317A7E5C-6FEB-4F18-9425-60945FBCD4BD}"/>
</file>

<file path=docProps/app.xml><?xml version="1.0" encoding="utf-8"?>
<Properties xmlns="http://schemas.openxmlformats.org/officeDocument/2006/extended-properties" xmlns:vt="http://schemas.openxmlformats.org/officeDocument/2006/docPropsVTypes">
  <Template>Normal.dotm</Template>
  <TotalTime>0</TotalTime>
  <Pages>66</Pages>
  <Words>25379</Words>
  <Characters>144661</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egulation Impact Statemen</vt:lpstr>
    </vt:vector>
  </TitlesOfParts>
  <Company/>
  <LinksUpToDate>false</LinksUpToDate>
  <CharactersWithSpaces>169701</CharactersWithSpaces>
  <SharedDoc>false</SharedDoc>
  <HLinks>
    <vt:vector size="588" baseType="variant">
      <vt:variant>
        <vt:i4>1310768</vt:i4>
      </vt:variant>
      <vt:variant>
        <vt:i4>506</vt:i4>
      </vt:variant>
      <vt:variant>
        <vt:i4>0</vt:i4>
      </vt:variant>
      <vt:variant>
        <vt:i4>5</vt:i4>
      </vt:variant>
      <vt:variant>
        <vt:lpwstr/>
      </vt:variant>
      <vt:variant>
        <vt:lpwstr>_Toc36560360</vt:lpwstr>
      </vt:variant>
      <vt:variant>
        <vt:i4>1900595</vt:i4>
      </vt:variant>
      <vt:variant>
        <vt:i4>500</vt:i4>
      </vt:variant>
      <vt:variant>
        <vt:i4>0</vt:i4>
      </vt:variant>
      <vt:variant>
        <vt:i4>5</vt:i4>
      </vt:variant>
      <vt:variant>
        <vt:lpwstr/>
      </vt:variant>
      <vt:variant>
        <vt:lpwstr>_Toc36560359</vt:lpwstr>
      </vt:variant>
      <vt:variant>
        <vt:i4>1835059</vt:i4>
      </vt:variant>
      <vt:variant>
        <vt:i4>494</vt:i4>
      </vt:variant>
      <vt:variant>
        <vt:i4>0</vt:i4>
      </vt:variant>
      <vt:variant>
        <vt:i4>5</vt:i4>
      </vt:variant>
      <vt:variant>
        <vt:lpwstr/>
      </vt:variant>
      <vt:variant>
        <vt:lpwstr>_Toc36560358</vt:lpwstr>
      </vt:variant>
      <vt:variant>
        <vt:i4>1245235</vt:i4>
      </vt:variant>
      <vt:variant>
        <vt:i4>488</vt:i4>
      </vt:variant>
      <vt:variant>
        <vt:i4>0</vt:i4>
      </vt:variant>
      <vt:variant>
        <vt:i4>5</vt:i4>
      </vt:variant>
      <vt:variant>
        <vt:lpwstr/>
      </vt:variant>
      <vt:variant>
        <vt:lpwstr>_Toc36560357</vt:lpwstr>
      </vt:variant>
      <vt:variant>
        <vt:i4>1179699</vt:i4>
      </vt:variant>
      <vt:variant>
        <vt:i4>482</vt:i4>
      </vt:variant>
      <vt:variant>
        <vt:i4>0</vt:i4>
      </vt:variant>
      <vt:variant>
        <vt:i4>5</vt:i4>
      </vt:variant>
      <vt:variant>
        <vt:lpwstr/>
      </vt:variant>
      <vt:variant>
        <vt:lpwstr>_Toc36560356</vt:lpwstr>
      </vt:variant>
      <vt:variant>
        <vt:i4>1114163</vt:i4>
      </vt:variant>
      <vt:variant>
        <vt:i4>476</vt:i4>
      </vt:variant>
      <vt:variant>
        <vt:i4>0</vt:i4>
      </vt:variant>
      <vt:variant>
        <vt:i4>5</vt:i4>
      </vt:variant>
      <vt:variant>
        <vt:lpwstr/>
      </vt:variant>
      <vt:variant>
        <vt:lpwstr>_Toc36560355</vt:lpwstr>
      </vt:variant>
      <vt:variant>
        <vt:i4>1048627</vt:i4>
      </vt:variant>
      <vt:variant>
        <vt:i4>470</vt:i4>
      </vt:variant>
      <vt:variant>
        <vt:i4>0</vt:i4>
      </vt:variant>
      <vt:variant>
        <vt:i4>5</vt:i4>
      </vt:variant>
      <vt:variant>
        <vt:lpwstr/>
      </vt:variant>
      <vt:variant>
        <vt:lpwstr>_Toc36560354</vt:lpwstr>
      </vt:variant>
      <vt:variant>
        <vt:i4>1507379</vt:i4>
      </vt:variant>
      <vt:variant>
        <vt:i4>464</vt:i4>
      </vt:variant>
      <vt:variant>
        <vt:i4>0</vt:i4>
      </vt:variant>
      <vt:variant>
        <vt:i4>5</vt:i4>
      </vt:variant>
      <vt:variant>
        <vt:lpwstr/>
      </vt:variant>
      <vt:variant>
        <vt:lpwstr>_Toc36560353</vt:lpwstr>
      </vt:variant>
      <vt:variant>
        <vt:i4>1441843</vt:i4>
      </vt:variant>
      <vt:variant>
        <vt:i4>458</vt:i4>
      </vt:variant>
      <vt:variant>
        <vt:i4>0</vt:i4>
      </vt:variant>
      <vt:variant>
        <vt:i4>5</vt:i4>
      </vt:variant>
      <vt:variant>
        <vt:lpwstr/>
      </vt:variant>
      <vt:variant>
        <vt:lpwstr>_Toc36560352</vt:lpwstr>
      </vt:variant>
      <vt:variant>
        <vt:i4>1376307</vt:i4>
      </vt:variant>
      <vt:variant>
        <vt:i4>452</vt:i4>
      </vt:variant>
      <vt:variant>
        <vt:i4>0</vt:i4>
      </vt:variant>
      <vt:variant>
        <vt:i4>5</vt:i4>
      </vt:variant>
      <vt:variant>
        <vt:lpwstr/>
      </vt:variant>
      <vt:variant>
        <vt:lpwstr>_Toc36560351</vt:lpwstr>
      </vt:variant>
      <vt:variant>
        <vt:i4>1310771</vt:i4>
      </vt:variant>
      <vt:variant>
        <vt:i4>446</vt:i4>
      </vt:variant>
      <vt:variant>
        <vt:i4>0</vt:i4>
      </vt:variant>
      <vt:variant>
        <vt:i4>5</vt:i4>
      </vt:variant>
      <vt:variant>
        <vt:lpwstr/>
      </vt:variant>
      <vt:variant>
        <vt:lpwstr>_Toc36560350</vt:lpwstr>
      </vt:variant>
      <vt:variant>
        <vt:i4>1900594</vt:i4>
      </vt:variant>
      <vt:variant>
        <vt:i4>440</vt:i4>
      </vt:variant>
      <vt:variant>
        <vt:i4>0</vt:i4>
      </vt:variant>
      <vt:variant>
        <vt:i4>5</vt:i4>
      </vt:variant>
      <vt:variant>
        <vt:lpwstr/>
      </vt:variant>
      <vt:variant>
        <vt:lpwstr>_Toc36560349</vt:lpwstr>
      </vt:variant>
      <vt:variant>
        <vt:i4>1835058</vt:i4>
      </vt:variant>
      <vt:variant>
        <vt:i4>434</vt:i4>
      </vt:variant>
      <vt:variant>
        <vt:i4>0</vt:i4>
      </vt:variant>
      <vt:variant>
        <vt:i4>5</vt:i4>
      </vt:variant>
      <vt:variant>
        <vt:lpwstr/>
      </vt:variant>
      <vt:variant>
        <vt:lpwstr>_Toc36560348</vt:lpwstr>
      </vt:variant>
      <vt:variant>
        <vt:i4>1441846</vt:i4>
      </vt:variant>
      <vt:variant>
        <vt:i4>425</vt:i4>
      </vt:variant>
      <vt:variant>
        <vt:i4>0</vt:i4>
      </vt:variant>
      <vt:variant>
        <vt:i4>5</vt:i4>
      </vt:variant>
      <vt:variant>
        <vt:lpwstr/>
      </vt:variant>
      <vt:variant>
        <vt:lpwstr>_Toc36567879</vt:lpwstr>
      </vt:variant>
      <vt:variant>
        <vt:i4>1507382</vt:i4>
      </vt:variant>
      <vt:variant>
        <vt:i4>419</vt:i4>
      </vt:variant>
      <vt:variant>
        <vt:i4>0</vt:i4>
      </vt:variant>
      <vt:variant>
        <vt:i4>5</vt:i4>
      </vt:variant>
      <vt:variant>
        <vt:lpwstr/>
      </vt:variant>
      <vt:variant>
        <vt:lpwstr>_Toc36567878</vt:lpwstr>
      </vt:variant>
      <vt:variant>
        <vt:i4>1572918</vt:i4>
      </vt:variant>
      <vt:variant>
        <vt:i4>413</vt:i4>
      </vt:variant>
      <vt:variant>
        <vt:i4>0</vt:i4>
      </vt:variant>
      <vt:variant>
        <vt:i4>5</vt:i4>
      </vt:variant>
      <vt:variant>
        <vt:lpwstr/>
      </vt:variant>
      <vt:variant>
        <vt:lpwstr>_Toc36567877</vt:lpwstr>
      </vt:variant>
      <vt:variant>
        <vt:i4>1638454</vt:i4>
      </vt:variant>
      <vt:variant>
        <vt:i4>407</vt:i4>
      </vt:variant>
      <vt:variant>
        <vt:i4>0</vt:i4>
      </vt:variant>
      <vt:variant>
        <vt:i4>5</vt:i4>
      </vt:variant>
      <vt:variant>
        <vt:lpwstr/>
      </vt:variant>
      <vt:variant>
        <vt:lpwstr>_Toc36567876</vt:lpwstr>
      </vt:variant>
      <vt:variant>
        <vt:i4>1703990</vt:i4>
      </vt:variant>
      <vt:variant>
        <vt:i4>401</vt:i4>
      </vt:variant>
      <vt:variant>
        <vt:i4>0</vt:i4>
      </vt:variant>
      <vt:variant>
        <vt:i4>5</vt:i4>
      </vt:variant>
      <vt:variant>
        <vt:lpwstr/>
      </vt:variant>
      <vt:variant>
        <vt:lpwstr>_Toc36567875</vt:lpwstr>
      </vt:variant>
      <vt:variant>
        <vt:i4>1769526</vt:i4>
      </vt:variant>
      <vt:variant>
        <vt:i4>395</vt:i4>
      </vt:variant>
      <vt:variant>
        <vt:i4>0</vt:i4>
      </vt:variant>
      <vt:variant>
        <vt:i4>5</vt:i4>
      </vt:variant>
      <vt:variant>
        <vt:lpwstr/>
      </vt:variant>
      <vt:variant>
        <vt:lpwstr>_Toc36567874</vt:lpwstr>
      </vt:variant>
      <vt:variant>
        <vt:i4>1835062</vt:i4>
      </vt:variant>
      <vt:variant>
        <vt:i4>389</vt:i4>
      </vt:variant>
      <vt:variant>
        <vt:i4>0</vt:i4>
      </vt:variant>
      <vt:variant>
        <vt:i4>5</vt:i4>
      </vt:variant>
      <vt:variant>
        <vt:lpwstr/>
      </vt:variant>
      <vt:variant>
        <vt:lpwstr>_Toc36567873</vt:lpwstr>
      </vt:variant>
      <vt:variant>
        <vt:i4>1441840</vt:i4>
      </vt:variant>
      <vt:variant>
        <vt:i4>380</vt:i4>
      </vt:variant>
      <vt:variant>
        <vt:i4>0</vt:i4>
      </vt:variant>
      <vt:variant>
        <vt:i4>5</vt:i4>
      </vt:variant>
      <vt:variant>
        <vt:lpwstr/>
      </vt:variant>
      <vt:variant>
        <vt:lpwstr>_Toc37331712</vt:lpwstr>
      </vt:variant>
      <vt:variant>
        <vt:i4>1376304</vt:i4>
      </vt:variant>
      <vt:variant>
        <vt:i4>374</vt:i4>
      </vt:variant>
      <vt:variant>
        <vt:i4>0</vt:i4>
      </vt:variant>
      <vt:variant>
        <vt:i4>5</vt:i4>
      </vt:variant>
      <vt:variant>
        <vt:lpwstr/>
      </vt:variant>
      <vt:variant>
        <vt:lpwstr>_Toc37331711</vt:lpwstr>
      </vt:variant>
      <vt:variant>
        <vt:i4>1310768</vt:i4>
      </vt:variant>
      <vt:variant>
        <vt:i4>368</vt:i4>
      </vt:variant>
      <vt:variant>
        <vt:i4>0</vt:i4>
      </vt:variant>
      <vt:variant>
        <vt:i4>5</vt:i4>
      </vt:variant>
      <vt:variant>
        <vt:lpwstr/>
      </vt:variant>
      <vt:variant>
        <vt:lpwstr>_Toc37331710</vt:lpwstr>
      </vt:variant>
      <vt:variant>
        <vt:i4>1900593</vt:i4>
      </vt:variant>
      <vt:variant>
        <vt:i4>362</vt:i4>
      </vt:variant>
      <vt:variant>
        <vt:i4>0</vt:i4>
      </vt:variant>
      <vt:variant>
        <vt:i4>5</vt:i4>
      </vt:variant>
      <vt:variant>
        <vt:lpwstr/>
      </vt:variant>
      <vt:variant>
        <vt:lpwstr>_Toc37331709</vt:lpwstr>
      </vt:variant>
      <vt:variant>
        <vt:i4>1835057</vt:i4>
      </vt:variant>
      <vt:variant>
        <vt:i4>356</vt:i4>
      </vt:variant>
      <vt:variant>
        <vt:i4>0</vt:i4>
      </vt:variant>
      <vt:variant>
        <vt:i4>5</vt:i4>
      </vt:variant>
      <vt:variant>
        <vt:lpwstr/>
      </vt:variant>
      <vt:variant>
        <vt:lpwstr>_Toc37331708</vt:lpwstr>
      </vt:variant>
      <vt:variant>
        <vt:i4>1245233</vt:i4>
      </vt:variant>
      <vt:variant>
        <vt:i4>350</vt:i4>
      </vt:variant>
      <vt:variant>
        <vt:i4>0</vt:i4>
      </vt:variant>
      <vt:variant>
        <vt:i4>5</vt:i4>
      </vt:variant>
      <vt:variant>
        <vt:lpwstr/>
      </vt:variant>
      <vt:variant>
        <vt:lpwstr>_Toc37331707</vt:lpwstr>
      </vt:variant>
      <vt:variant>
        <vt:i4>1179697</vt:i4>
      </vt:variant>
      <vt:variant>
        <vt:i4>344</vt:i4>
      </vt:variant>
      <vt:variant>
        <vt:i4>0</vt:i4>
      </vt:variant>
      <vt:variant>
        <vt:i4>5</vt:i4>
      </vt:variant>
      <vt:variant>
        <vt:lpwstr/>
      </vt:variant>
      <vt:variant>
        <vt:lpwstr>_Toc37331706</vt:lpwstr>
      </vt:variant>
      <vt:variant>
        <vt:i4>1114161</vt:i4>
      </vt:variant>
      <vt:variant>
        <vt:i4>338</vt:i4>
      </vt:variant>
      <vt:variant>
        <vt:i4>0</vt:i4>
      </vt:variant>
      <vt:variant>
        <vt:i4>5</vt:i4>
      </vt:variant>
      <vt:variant>
        <vt:lpwstr/>
      </vt:variant>
      <vt:variant>
        <vt:lpwstr>_Toc37331705</vt:lpwstr>
      </vt:variant>
      <vt:variant>
        <vt:i4>1048625</vt:i4>
      </vt:variant>
      <vt:variant>
        <vt:i4>332</vt:i4>
      </vt:variant>
      <vt:variant>
        <vt:i4>0</vt:i4>
      </vt:variant>
      <vt:variant>
        <vt:i4>5</vt:i4>
      </vt:variant>
      <vt:variant>
        <vt:lpwstr/>
      </vt:variant>
      <vt:variant>
        <vt:lpwstr>_Toc37331704</vt:lpwstr>
      </vt:variant>
      <vt:variant>
        <vt:i4>1507377</vt:i4>
      </vt:variant>
      <vt:variant>
        <vt:i4>326</vt:i4>
      </vt:variant>
      <vt:variant>
        <vt:i4>0</vt:i4>
      </vt:variant>
      <vt:variant>
        <vt:i4>5</vt:i4>
      </vt:variant>
      <vt:variant>
        <vt:lpwstr/>
      </vt:variant>
      <vt:variant>
        <vt:lpwstr>_Toc37331703</vt:lpwstr>
      </vt:variant>
      <vt:variant>
        <vt:i4>1441841</vt:i4>
      </vt:variant>
      <vt:variant>
        <vt:i4>320</vt:i4>
      </vt:variant>
      <vt:variant>
        <vt:i4>0</vt:i4>
      </vt:variant>
      <vt:variant>
        <vt:i4>5</vt:i4>
      </vt:variant>
      <vt:variant>
        <vt:lpwstr/>
      </vt:variant>
      <vt:variant>
        <vt:lpwstr>_Toc37331702</vt:lpwstr>
      </vt:variant>
      <vt:variant>
        <vt:i4>1376305</vt:i4>
      </vt:variant>
      <vt:variant>
        <vt:i4>314</vt:i4>
      </vt:variant>
      <vt:variant>
        <vt:i4>0</vt:i4>
      </vt:variant>
      <vt:variant>
        <vt:i4>5</vt:i4>
      </vt:variant>
      <vt:variant>
        <vt:lpwstr/>
      </vt:variant>
      <vt:variant>
        <vt:lpwstr>_Toc37331701</vt:lpwstr>
      </vt:variant>
      <vt:variant>
        <vt:i4>1310769</vt:i4>
      </vt:variant>
      <vt:variant>
        <vt:i4>308</vt:i4>
      </vt:variant>
      <vt:variant>
        <vt:i4>0</vt:i4>
      </vt:variant>
      <vt:variant>
        <vt:i4>5</vt:i4>
      </vt:variant>
      <vt:variant>
        <vt:lpwstr/>
      </vt:variant>
      <vt:variant>
        <vt:lpwstr>_Toc37331700</vt:lpwstr>
      </vt:variant>
      <vt:variant>
        <vt:i4>1835064</vt:i4>
      </vt:variant>
      <vt:variant>
        <vt:i4>302</vt:i4>
      </vt:variant>
      <vt:variant>
        <vt:i4>0</vt:i4>
      </vt:variant>
      <vt:variant>
        <vt:i4>5</vt:i4>
      </vt:variant>
      <vt:variant>
        <vt:lpwstr/>
      </vt:variant>
      <vt:variant>
        <vt:lpwstr>_Toc37331699</vt:lpwstr>
      </vt:variant>
      <vt:variant>
        <vt:i4>1900600</vt:i4>
      </vt:variant>
      <vt:variant>
        <vt:i4>296</vt:i4>
      </vt:variant>
      <vt:variant>
        <vt:i4>0</vt:i4>
      </vt:variant>
      <vt:variant>
        <vt:i4>5</vt:i4>
      </vt:variant>
      <vt:variant>
        <vt:lpwstr/>
      </vt:variant>
      <vt:variant>
        <vt:lpwstr>_Toc37331698</vt:lpwstr>
      </vt:variant>
      <vt:variant>
        <vt:i4>1179704</vt:i4>
      </vt:variant>
      <vt:variant>
        <vt:i4>290</vt:i4>
      </vt:variant>
      <vt:variant>
        <vt:i4>0</vt:i4>
      </vt:variant>
      <vt:variant>
        <vt:i4>5</vt:i4>
      </vt:variant>
      <vt:variant>
        <vt:lpwstr/>
      </vt:variant>
      <vt:variant>
        <vt:lpwstr>_Toc37331697</vt:lpwstr>
      </vt:variant>
      <vt:variant>
        <vt:i4>1245240</vt:i4>
      </vt:variant>
      <vt:variant>
        <vt:i4>284</vt:i4>
      </vt:variant>
      <vt:variant>
        <vt:i4>0</vt:i4>
      </vt:variant>
      <vt:variant>
        <vt:i4>5</vt:i4>
      </vt:variant>
      <vt:variant>
        <vt:lpwstr/>
      </vt:variant>
      <vt:variant>
        <vt:lpwstr>_Toc37331696</vt:lpwstr>
      </vt:variant>
      <vt:variant>
        <vt:i4>1048632</vt:i4>
      </vt:variant>
      <vt:variant>
        <vt:i4>278</vt:i4>
      </vt:variant>
      <vt:variant>
        <vt:i4>0</vt:i4>
      </vt:variant>
      <vt:variant>
        <vt:i4>5</vt:i4>
      </vt:variant>
      <vt:variant>
        <vt:lpwstr/>
      </vt:variant>
      <vt:variant>
        <vt:lpwstr>_Toc37331695</vt:lpwstr>
      </vt:variant>
      <vt:variant>
        <vt:i4>1114168</vt:i4>
      </vt:variant>
      <vt:variant>
        <vt:i4>272</vt:i4>
      </vt:variant>
      <vt:variant>
        <vt:i4>0</vt:i4>
      </vt:variant>
      <vt:variant>
        <vt:i4>5</vt:i4>
      </vt:variant>
      <vt:variant>
        <vt:lpwstr/>
      </vt:variant>
      <vt:variant>
        <vt:lpwstr>_Toc37331694</vt:lpwstr>
      </vt:variant>
      <vt:variant>
        <vt:i4>1441848</vt:i4>
      </vt:variant>
      <vt:variant>
        <vt:i4>266</vt:i4>
      </vt:variant>
      <vt:variant>
        <vt:i4>0</vt:i4>
      </vt:variant>
      <vt:variant>
        <vt:i4>5</vt:i4>
      </vt:variant>
      <vt:variant>
        <vt:lpwstr/>
      </vt:variant>
      <vt:variant>
        <vt:lpwstr>_Toc37331693</vt:lpwstr>
      </vt:variant>
      <vt:variant>
        <vt:i4>1507384</vt:i4>
      </vt:variant>
      <vt:variant>
        <vt:i4>260</vt:i4>
      </vt:variant>
      <vt:variant>
        <vt:i4>0</vt:i4>
      </vt:variant>
      <vt:variant>
        <vt:i4>5</vt:i4>
      </vt:variant>
      <vt:variant>
        <vt:lpwstr/>
      </vt:variant>
      <vt:variant>
        <vt:lpwstr>_Toc37331692</vt:lpwstr>
      </vt:variant>
      <vt:variant>
        <vt:i4>1310776</vt:i4>
      </vt:variant>
      <vt:variant>
        <vt:i4>254</vt:i4>
      </vt:variant>
      <vt:variant>
        <vt:i4>0</vt:i4>
      </vt:variant>
      <vt:variant>
        <vt:i4>5</vt:i4>
      </vt:variant>
      <vt:variant>
        <vt:lpwstr/>
      </vt:variant>
      <vt:variant>
        <vt:lpwstr>_Toc37331691</vt:lpwstr>
      </vt:variant>
      <vt:variant>
        <vt:i4>1376312</vt:i4>
      </vt:variant>
      <vt:variant>
        <vt:i4>248</vt:i4>
      </vt:variant>
      <vt:variant>
        <vt:i4>0</vt:i4>
      </vt:variant>
      <vt:variant>
        <vt:i4>5</vt:i4>
      </vt:variant>
      <vt:variant>
        <vt:lpwstr/>
      </vt:variant>
      <vt:variant>
        <vt:lpwstr>_Toc37331690</vt:lpwstr>
      </vt:variant>
      <vt:variant>
        <vt:i4>1835065</vt:i4>
      </vt:variant>
      <vt:variant>
        <vt:i4>242</vt:i4>
      </vt:variant>
      <vt:variant>
        <vt:i4>0</vt:i4>
      </vt:variant>
      <vt:variant>
        <vt:i4>5</vt:i4>
      </vt:variant>
      <vt:variant>
        <vt:lpwstr/>
      </vt:variant>
      <vt:variant>
        <vt:lpwstr>_Toc37331689</vt:lpwstr>
      </vt:variant>
      <vt:variant>
        <vt:i4>1900601</vt:i4>
      </vt:variant>
      <vt:variant>
        <vt:i4>236</vt:i4>
      </vt:variant>
      <vt:variant>
        <vt:i4>0</vt:i4>
      </vt:variant>
      <vt:variant>
        <vt:i4>5</vt:i4>
      </vt:variant>
      <vt:variant>
        <vt:lpwstr/>
      </vt:variant>
      <vt:variant>
        <vt:lpwstr>_Toc37331688</vt:lpwstr>
      </vt:variant>
      <vt:variant>
        <vt:i4>1179705</vt:i4>
      </vt:variant>
      <vt:variant>
        <vt:i4>230</vt:i4>
      </vt:variant>
      <vt:variant>
        <vt:i4>0</vt:i4>
      </vt:variant>
      <vt:variant>
        <vt:i4>5</vt:i4>
      </vt:variant>
      <vt:variant>
        <vt:lpwstr/>
      </vt:variant>
      <vt:variant>
        <vt:lpwstr>_Toc37331687</vt:lpwstr>
      </vt:variant>
      <vt:variant>
        <vt:i4>1245241</vt:i4>
      </vt:variant>
      <vt:variant>
        <vt:i4>224</vt:i4>
      </vt:variant>
      <vt:variant>
        <vt:i4>0</vt:i4>
      </vt:variant>
      <vt:variant>
        <vt:i4>5</vt:i4>
      </vt:variant>
      <vt:variant>
        <vt:lpwstr/>
      </vt:variant>
      <vt:variant>
        <vt:lpwstr>_Toc37331686</vt:lpwstr>
      </vt:variant>
      <vt:variant>
        <vt:i4>1048633</vt:i4>
      </vt:variant>
      <vt:variant>
        <vt:i4>218</vt:i4>
      </vt:variant>
      <vt:variant>
        <vt:i4>0</vt:i4>
      </vt:variant>
      <vt:variant>
        <vt:i4>5</vt:i4>
      </vt:variant>
      <vt:variant>
        <vt:lpwstr/>
      </vt:variant>
      <vt:variant>
        <vt:lpwstr>_Toc37331685</vt:lpwstr>
      </vt:variant>
      <vt:variant>
        <vt:i4>1114169</vt:i4>
      </vt:variant>
      <vt:variant>
        <vt:i4>212</vt:i4>
      </vt:variant>
      <vt:variant>
        <vt:i4>0</vt:i4>
      </vt:variant>
      <vt:variant>
        <vt:i4>5</vt:i4>
      </vt:variant>
      <vt:variant>
        <vt:lpwstr/>
      </vt:variant>
      <vt:variant>
        <vt:lpwstr>_Toc37331684</vt:lpwstr>
      </vt:variant>
      <vt:variant>
        <vt:i4>1441849</vt:i4>
      </vt:variant>
      <vt:variant>
        <vt:i4>206</vt:i4>
      </vt:variant>
      <vt:variant>
        <vt:i4>0</vt:i4>
      </vt:variant>
      <vt:variant>
        <vt:i4>5</vt:i4>
      </vt:variant>
      <vt:variant>
        <vt:lpwstr/>
      </vt:variant>
      <vt:variant>
        <vt:lpwstr>_Toc37331683</vt:lpwstr>
      </vt:variant>
      <vt:variant>
        <vt:i4>1507385</vt:i4>
      </vt:variant>
      <vt:variant>
        <vt:i4>200</vt:i4>
      </vt:variant>
      <vt:variant>
        <vt:i4>0</vt:i4>
      </vt:variant>
      <vt:variant>
        <vt:i4>5</vt:i4>
      </vt:variant>
      <vt:variant>
        <vt:lpwstr/>
      </vt:variant>
      <vt:variant>
        <vt:lpwstr>_Toc37331682</vt:lpwstr>
      </vt:variant>
      <vt:variant>
        <vt:i4>1310777</vt:i4>
      </vt:variant>
      <vt:variant>
        <vt:i4>194</vt:i4>
      </vt:variant>
      <vt:variant>
        <vt:i4>0</vt:i4>
      </vt:variant>
      <vt:variant>
        <vt:i4>5</vt:i4>
      </vt:variant>
      <vt:variant>
        <vt:lpwstr/>
      </vt:variant>
      <vt:variant>
        <vt:lpwstr>_Toc37331681</vt:lpwstr>
      </vt:variant>
      <vt:variant>
        <vt:i4>1376313</vt:i4>
      </vt:variant>
      <vt:variant>
        <vt:i4>188</vt:i4>
      </vt:variant>
      <vt:variant>
        <vt:i4>0</vt:i4>
      </vt:variant>
      <vt:variant>
        <vt:i4>5</vt:i4>
      </vt:variant>
      <vt:variant>
        <vt:lpwstr/>
      </vt:variant>
      <vt:variant>
        <vt:lpwstr>_Toc37331680</vt:lpwstr>
      </vt:variant>
      <vt:variant>
        <vt:i4>1835062</vt:i4>
      </vt:variant>
      <vt:variant>
        <vt:i4>182</vt:i4>
      </vt:variant>
      <vt:variant>
        <vt:i4>0</vt:i4>
      </vt:variant>
      <vt:variant>
        <vt:i4>5</vt:i4>
      </vt:variant>
      <vt:variant>
        <vt:lpwstr/>
      </vt:variant>
      <vt:variant>
        <vt:lpwstr>_Toc37331679</vt:lpwstr>
      </vt:variant>
      <vt:variant>
        <vt:i4>1900598</vt:i4>
      </vt:variant>
      <vt:variant>
        <vt:i4>176</vt:i4>
      </vt:variant>
      <vt:variant>
        <vt:i4>0</vt:i4>
      </vt:variant>
      <vt:variant>
        <vt:i4>5</vt:i4>
      </vt:variant>
      <vt:variant>
        <vt:lpwstr/>
      </vt:variant>
      <vt:variant>
        <vt:lpwstr>_Toc37331678</vt:lpwstr>
      </vt:variant>
      <vt:variant>
        <vt:i4>1179702</vt:i4>
      </vt:variant>
      <vt:variant>
        <vt:i4>170</vt:i4>
      </vt:variant>
      <vt:variant>
        <vt:i4>0</vt:i4>
      </vt:variant>
      <vt:variant>
        <vt:i4>5</vt:i4>
      </vt:variant>
      <vt:variant>
        <vt:lpwstr/>
      </vt:variant>
      <vt:variant>
        <vt:lpwstr>_Toc37331677</vt:lpwstr>
      </vt:variant>
      <vt:variant>
        <vt:i4>1245238</vt:i4>
      </vt:variant>
      <vt:variant>
        <vt:i4>164</vt:i4>
      </vt:variant>
      <vt:variant>
        <vt:i4>0</vt:i4>
      </vt:variant>
      <vt:variant>
        <vt:i4>5</vt:i4>
      </vt:variant>
      <vt:variant>
        <vt:lpwstr/>
      </vt:variant>
      <vt:variant>
        <vt:lpwstr>_Toc37331676</vt:lpwstr>
      </vt:variant>
      <vt:variant>
        <vt:i4>1048630</vt:i4>
      </vt:variant>
      <vt:variant>
        <vt:i4>158</vt:i4>
      </vt:variant>
      <vt:variant>
        <vt:i4>0</vt:i4>
      </vt:variant>
      <vt:variant>
        <vt:i4>5</vt:i4>
      </vt:variant>
      <vt:variant>
        <vt:lpwstr/>
      </vt:variant>
      <vt:variant>
        <vt:lpwstr>_Toc37331675</vt:lpwstr>
      </vt:variant>
      <vt:variant>
        <vt:i4>1114166</vt:i4>
      </vt:variant>
      <vt:variant>
        <vt:i4>152</vt:i4>
      </vt:variant>
      <vt:variant>
        <vt:i4>0</vt:i4>
      </vt:variant>
      <vt:variant>
        <vt:i4>5</vt:i4>
      </vt:variant>
      <vt:variant>
        <vt:lpwstr/>
      </vt:variant>
      <vt:variant>
        <vt:lpwstr>_Toc37331674</vt:lpwstr>
      </vt:variant>
      <vt:variant>
        <vt:i4>1441846</vt:i4>
      </vt:variant>
      <vt:variant>
        <vt:i4>146</vt:i4>
      </vt:variant>
      <vt:variant>
        <vt:i4>0</vt:i4>
      </vt:variant>
      <vt:variant>
        <vt:i4>5</vt:i4>
      </vt:variant>
      <vt:variant>
        <vt:lpwstr/>
      </vt:variant>
      <vt:variant>
        <vt:lpwstr>_Toc37331673</vt:lpwstr>
      </vt:variant>
      <vt:variant>
        <vt:i4>1507382</vt:i4>
      </vt:variant>
      <vt:variant>
        <vt:i4>140</vt:i4>
      </vt:variant>
      <vt:variant>
        <vt:i4>0</vt:i4>
      </vt:variant>
      <vt:variant>
        <vt:i4>5</vt:i4>
      </vt:variant>
      <vt:variant>
        <vt:lpwstr/>
      </vt:variant>
      <vt:variant>
        <vt:lpwstr>_Toc37331672</vt:lpwstr>
      </vt:variant>
      <vt:variant>
        <vt:i4>1310774</vt:i4>
      </vt:variant>
      <vt:variant>
        <vt:i4>134</vt:i4>
      </vt:variant>
      <vt:variant>
        <vt:i4>0</vt:i4>
      </vt:variant>
      <vt:variant>
        <vt:i4>5</vt:i4>
      </vt:variant>
      <vt:variant>
        <vt:lpwstr/>
      </vt:variant>
      <vt:variant>
        <vt:lpwstr>_Toc37331671</vt:lpwstr>
      </vt:variant>
      <vt:variant>
        <vt:i4>1376310</vt:i4>
      </vt:variant>
      <vt:variant>
        <vt:i4>128</vt:i4>
      </vt:variant>
      <vt:variant>
        <vt:i4>0</vt:i4>
      </vt:variant>
      <vt:variant>
        <vt:i4>5</vt:i4>
      </vt:variant>
      <vt:variant>
        <vt:lpwstr/>
      </vt:variant>
      <vt:variant>
        <vt:lpwstr>_Toc37331670</vt:lpwstr>
      </vt:variant>
      <vt:variant>
        <vt:i4>1835063</vt:i4>
      </vt:variant>
      <vt:variant>
        <vt:i4>122</vt:i4>
      </vt:variant>
      <vt:variant>
        <vt:i4>0</vt:i4>
      </vt:variant>
      <vt:variant>
        <vt:i4>5</vt:i4>
      </vt:variant>
      <vt:variant>
        <vt:lpwstr/>
      </vt:variant>
      <vt:variant>
        <vt:lpwstr>_Toc37331669</vt:lpwstr>
      </vt:variant>
      <vt:variant>
        <vt:i4>1900599</vt:i4>
      </vt:variant>
      <vt:variant>
        <vt:i4>116</vt:i4>
      </vt:variant>
      <vt:variant>
        <vt:i4>0</vt:i4>
      </vt:variant>
      <vt:variant>
        <vt:i4>5</vt:i4>
      </vt:variant>
      <vt:variant>
        <vt:lpwstr/>
      </vt:variant>
      <vt:variant>
        <vt:lpwstr>_Toc37331668</vt:lpwstr>
      </vt:variant>
      <vt:variant>
        <vt:i4>1179703</vt:i4>
      </vt:variant>
      <vt:variant>
        <vt:i4>110</vt:i4>
      </vt:variant>
      <vt:variant>
        <vt:i4>0</vt:i4>
      </vt:variant>
      <vt:variant>
        <vt:i4>5</vt:i4>
      </vt:variant>
      <vt:variant>
        <vt:lpwstr/>
      </vt:variant>
      <vt:variant>
        <vt:lpwstr>_Toc37331667</vt:lpwstr>
      </vt:variant>
      <vt:variant>
        <vt:i4>1245239</vt:i4>
      </vt:variant>
      <vt:variant>
        <vt:i4>104</vt:i4>
      </vt:variant>
      <vt:variant>
        <vt:i4>0</vt:i4>
      </vt:variant>
      <vt:variant>
        <vt:i4>5</vt:i4>
      </vt:variant>
      <vt:variant>
        <vt:lpwstr/>
      </vt:variant>
      <vt:variant>
        <vt:lpwstr>_Toc37331666</vt:lpwstr>
      </vt:variant>
      <vt:variant>
        <vt:i4>1048631</vt:i4>
      </vt:variant>
      <vt:variant>
        <vt:i4>98</vt:i4>
      </vt:variant>
      <vt:variant>
        <vt:i4>0</vt:i4>
      </vt:variant>
      <vt:variant>
        <vt:i4>5</vt:i4>
      </vt:variant>
      <vt:variant>
        <vt:lpwstr/>
      </vt:variant>
      <vt:variant>
        <vt:lpwstr>_Toc37331665</vt:lpwstr>
      </vt:variant>
      <vt:variant>
        <vt:i4>1114167</vt:i4>
      </vt:variant>
      <vt:variant>
        <vt:i4>92</vt:i4>
      </vt:variant>
      <vt:variant>
        <vt:i4>0</vt:i4>
      </vt:variant>
      <vt:variant>
        <vt:i4>5</vt:i4>
      </vt:variant>
      <vt:variant>
        <vt:lpwstr/>
      </vt:variant>
      <vt:variant>
        <vt:lpwstr>_Toc37331664</vt:lpwstr>
      </vt:variant>
      <vt:variant>
        <vt:i4>1441847</vt:i4>
      </vt:variant>
      <vt:variant>
        <vt:i4>86</vt:i4>
      </vt:variant>
      <vt:variant>
        <vt:i4>0</vt:i4>
      </vt:variant>
      <vt:variant>
        <vt:i4>5</vt:i4>
      </vt:variant>
      <vt:variant>
        <vt:lpwstr/>
      </vt:variant>
      <vt:variant>
        <vt:lpwstr>_Toc37331663</vt:lpwstr>
      </vt:variant>
      <vt:variant>
        <vt:i4>1507383</vt:i4>
      </vt:variant>
      <vt:variant>
        <vt:i4>80</vt:i4>
      </vt:variant>
      <vt:variant>
        <vt:i4>0</vt:i4>
      </vt:variant>
      <vt:variant>
        <vt:i4>5</vt:i4>
      </vt:variant>
      <vt:variant>
        <vt:lpwstr/>
      </vt:variant>
      <vt:variant>
        <vt:lpwstr>_Toc37331662</vt:lpwstr>
      </vt:variant>
      <vt:variant>
        <vt:i4>1310775</vt:i4>
      </vt:variant>
      <vt:variant>
        <vt:i4>74</vt:i4>
      </vt:variant>
      <vt:variant>
        <vt:i4>0</vt:i4>
      </vt:variant>
      <vt:variant>
        <vt:i4>5</vt:i4>
      </vt:variant>
      <vt:variant>
        <vt:lpwstr/>
      </vt:variant>
      <vt:variant>
        <vt:lpwstr>_Toc37331661</vt:lpwstr>
      </vt:variant>
      <vt:variant>
        <vt:i4>1376311</vt:i4>
      </vt:variant>
      <vt:variant>
        <vt:i4>68</vt:i4>
      </vt:variant>
      <vt:variant>
        <vt:i4>0</vt:i4>
      </vt:variant>
      <vt:variant>
        <vt:i4>5</vt:i4>
      </vt:variant>
      <vt:variant>
        <vt:lpwstr/>
      </vt:variant>
      <vt:variant>
        <vt:lpwstr>_Toc37331660</vt:lpwstr>
      </vt:variant>
      <vt:variant>
        <vt:i4>1835060</vt:i4>
      </vt:variant>
      <vt:variant>
        <vt:i4>62</vt:i4>
      </vt:variant>
      <vt:variant>
        <vt:i4>0</vt:i4>
      </vt:variant>
      <vt:variant>
        <vt:i4>5</vt:i4>
      </vt:variant>
      <vt:variant>
        <vt:lpwstr/>
      </vt:variant>
      <vt:variant>
        <vt:lpwstr>_Toc37331659</vt:lpwstr>
      </vt:variant>
      <vt:variant>
        <vt:i4>1900596</vt:i4>
      </vt:variant>
      <vt:variant>
        <vt:i4>56</vt:i4>
      </vt:variant>
      <vt:variant>
        <vt:i4>0</vt:i4>
      </vt:variant>
      <vt:variant>
        <vt:i4>5</vt:i4>
      </vt:variant>
      <vt:variant>
        <vt:lpwstr/>
      </vt:variant>
      <vt:variant>
        <vt:lpwstr>_Toc37331658</vt:lpwstr>
      </vt:variant>
      <vt:variant>
        <vt:i4>1179700</vt:i4>
      </vt:variant>
      <vt:variant>
        <vt:i4>50</vt:i4>
      </vt:variant>
      <vt:variant>
        <vt:i4>0</vt:i4>
      </vt:variant>
      <vt:variant>
        <vt:i4>5</vt:i4>
      </vt:variant>
      <vt:variant>
        <vt:lpwstr/>
      </vt:variant>
      <vt:variant>
        <vt:lpwstr>_Toc37331657</vt:lpwstr>
      </vt:variant>
      <vt:variant>
        <vt:i4>1245236</vt:i4>
      </vt:variant>
      <vt:variant>
        <vt:i4>44</vt:i4>
      </vt:variant>
      <vt:variant>
        <vt:i4>0</vt:i4>
      </vt:variant>
      <vt:variant>
        <vt:i4>5</vt:i4>
      </vt:variant>
      <vt:variant>
        <vt:lpwstr/>
      </vt:variant>
      <vt:variant>
        <vt:lpwstr>_Toc37331656</vt:lpwstr>
      </vt:variant>
      <vt:variant>
        <vt:i4>1048628</vt:i4>
      </vt:variant>
      <vt:variant>
        <vt:i4>38</vt:i4>
      </vt:variant>
      <vt:variant>
        <vt:i4>0</vt:i4>
      </vt:variant>
      <vt:variant>
        <vt:i4>5</vt:i4>
      </vt:variant>
      <vt:variant>
        <vt:lpwstr/>
      </vt:variant>
      <vt:variant>
        <vt:lpwstr>_Toc37331655</vt:lpwstr>
      </vt:variant>
      <vt:variant>
        <vt:i4>1114164</vt:i4>
      </vt:variant>
      <vt:variant>
        <vt:i4>32</vt:i4>
      </vt:variant>
      <vt:variant>
        <vt:i4>0</vt:i4>
      </vt:variant>
      <vt:variant>
        <vt:i4>5</vt:i4>
      </vt:variant>
      <vt:variant>
        <vt:lpwstr/>
      </vt:variant>
      <vt:variant>
        <vt:lpwstr>_Toc37331654</vt:lpwstr>
      </vt:variant>
      <vt:variant>
        <vt:i4>1441844</vt:i4>
      </vt:variant>
      <vt:variant>
        <vt:i4>26</vt:i4>
      </vt:variant>
      <vt:variant>
        <vt:i4>0</vt:i4>
      </vt:variant>
      <vt:variant>
        <vt:i4>5</vt:i4>
      </vt:variant>
      <vt:variant>
        <vt:lpwstr/>
      </vt:variant>
      <vt:variant>
        <vt:lpwstr>_Toc37331653</vt:lpwstr>
      </vt:variant>
      <vt:variant>
        <vt:i4>1507380</vt:i4>
      </vt:variant>
      <vt:variant>
        <vt:i4>20</vt:i4>
      </vt:variant>
      <vt:variant>
        <vt:i4>0</vt:i4>
      </vt:variant>
      <vt:variant>
        <vt:i4>5</vt:i4>
      </vt:variant>
      <vt:variant>
        <vt:lpwstr/>
      </vt:variant>
      <vt:variant>
        <vt:lpwstr>_Toc37331652</vt:lpwstr>
      </vt:variant>
      <vt:variant>
        <vt:i4>1310772</vt:i4>
      </vt:variant>
      <vt:variant>
        <vt:i4>14</vt:i4>
      </vt:variant>
      <vt:variant>
        <vt:i4>0</vt:i4>
      </vt:variant>
      <vt:variant>
        <vt:i4>5</vt:i4>
      </vt:variant>
      <vt:variant>
        <vt:lpwstr/>
      </vt:variant>
      <vt:variant>
        <vt:lpwstr>_Toc37331651</vt:lpwstr>
      </vt:variant>
      <vt:variant>
        <vt:i4>1376308</vt:i4>
      </vt:variant>
      <vt:variant>
        <vt:i4>8</vt:i4>
      </vt:variant>
      <vt:variant>
        <vt:i4>0</vt:i4>
      </vt:variant>
      <vt:variant>
        <vt:i4>5</vt:i4>
      </vt:variant>
      <vt:variant>
        <vt:lpwstr/>
      </vt:variant>
      <vt:variant>
        <vt:lpwstr>_Toc37331650</vt:lpwstr>
      </vt:variant>
      <vt:variant>
        <vt:i4>1835061</vt:i4>
      </vt:variant>
      <vt:variant>
        <vt:i4>2</vt:i4>
      </vt:variant>
      <vt:variant>
        <vt:i4>0</vt:i4>
      </vt:variant>
      <vt:variant>
        <vt:i4>5</vt:i4>
      </vt:variant>
      <vt:variant>
        <vt:lpwstr/>
      </vt:variant>
      <vt:variant>
        <vt:lpwstr>_Toc37331649</vt:lpwstr>
      </vt:variant>
      <vt:variant>
        <vt:i4>6684748</vt:i4>
      </vt:variant>
      <vt:variant>
        <vt:i4>39</vt:i4>
      </vt:variant>
      <vt:variant>
        <vt:i4>0</vt:i4>
      </vt:variant>
      <vt:variant>
        <vt:i4>5</vt:i4>
      </vt:variant>
      <vt:variant>
        <vt:lpwstr>https://www.abs.gov.au/ausstats/abs@.nsf/lookup/6302.0Media Release0Nov 2019</vt:lpwstr>
      </vt:variant>
      <vt:variant>
        <vt:lpwstr/>
      </vt:variant>
      <vt:variant>
        <vt:i4>1966094</vt:i4>
      </vt:variant>
      <vt:variant>
        <vt:i4>36</vt:i4>
      </vt:variant>
      <vt:variant>
        <vt:i4>0</vt:i4>
      </vt:variant>
      <vt:variant>
        <vt:i4>5</vt:i4>
      </vt:variant>
      <vt:variant>
        <vt:lpwstr>https://www.escape.com.au/experiences/cruises/how-much-does-cruising-cost-a-guide-for-every-cruise-budget/news-story/c6911bc1724e8384cd1fac5b581c831e</vt:lpwstr>
      </vt:variant>
      <vt:variant>
        <vt:lpwstr/>
      </vt:variant>
      <vt:variant>
        <vt:i4>196672</vt:i4>
      </vt:variant>
      <vt:variant>
        <vt:i4>33</vt:i4>
      </vt:variant>
      <vt:variant>
        <vt:i4>0</vt:i4>
      </vt:variant>
      <vt:variant>
        <vt:i4>5</vt:i4>
      </vt:variant>
      <vt:variant>
        <vt:lpwstr>https://cruisemarketwatch.com/market/</vt:lpwstr>
      </vt:variant>
      <vt:variant>
        <vt:lpwstr/>
      </vt:variant>
      <vt:variant>
        <vt:i4>2424866</vt:i4>
      </vt:variant>
      <vt:variant>
        <vt:i4>30</vt:i4>
      </vt:variant>
      <vt:variant>
        <vt:i4>0</vt:i4>
      </vt:variant>
      <vt:variant>
        <vt:i4>5</vt:i4>
      </vt:variant>
      <vt:variant>
        <vt:lpwstr>https://www.igpandi.org/reinsurance</vt:lpwstr>
      </vt:variant>
      <vt:variant>
        <vt:lpwstr/>
      </vt:variant>
      <vt:variant>
        <vt:i4>6815795</vt:i4>
      </vt:variant>
      <vt:variant>
        <vt:i4>27</vt:i4>
      </vt:variant>
      <vt:variant>
        <vt:i4>0</vt:i4>
      </vt:variant>
      <vt:variant>
        <vt:i4>5</vt:i4>
      </vt:variant>
      <vt:variant>
        <vt:lpwstr>https://www.marketwatch.com/investing/stock/ccl/profile</vt:lpwstr>
      </vt:variant>
      <vt:variant>
        <vt:lpwstr/>
      </vt:variant>
      <vt:variant>
        <vt:i4>3735673</vt:i4>
      </vt:variant>
      <vt:variant>
        <vt:i4>24</vt:i4>
      </vt:variant>
      <vt:variant>
        <vt:i4>0</vt:i4>
      </vt:variant>
      <vt:variant>
        <vt:i4>5</vt:i4>
      </vt:variant>
      <vt:variant>
        <vt:lpwstr>https://www.jeremykisner.com/cruise-ship-industry/</vt:lpwstr>
      </vt:variant>
      <vt:variant>
        <vt:lpwstr/>
      </vt:variant>
      <vt:variant>
        <vt:i4>3014690</vt:i4>
      </vt:variant>
      <vt:variant>
        <vt:i4>21</vt:i4>
      </vt:variant>
      <vt:variant>
        <vt:i4>0</vt:i4>
      </vt:variant>
      <vt:variant>
        <vt:i4>5</vt:i4>
      </vt:variant>
      <vt:variant>
        <vt:lpwstr>http://www.legislation.gov.uk/uksi/2012/3152/pdfs/uksiod_20123152_en.pdf</vt:lpwstr>
      </vt:variant>
      <vt:variant>
        <vt:lpwstr/>
      </vt:variant>
      <vt:variant>
        <vt:i4>2031733</vt:i4>
      </vt:variant>
      <vt:variant>
        <vt:i4>18</vt:i4>
      </vt:variant>
      <vt:variant>
        <vt:i4>0</vt:i4>
      </vt:variant>
      <vt:variant>
        <vt:i4>5</vt:i4>
      </vt:variant>
      <vt:variant>
        <vt:lpwstr>https://assets.publishing.service.gov.uk/government/uploads/system/uploads/attachment_data/file/2725/annex-c-regulatory-ia.pdf</vt:lpwstr>
      </vt:variant>
      <vt:variant>
        <vt:lpwstr/>
      </vt:variant>
      <vt:variant>
        <vt:i4>4259924</vt:i4>
      </vt:variant>
      <vt:variant>
        <vt:i4>15</vt:i4>
      </vt:variant>
      <vt:variant>
        <vt:i4>0</vt:i4>
      </vt:variant>
      <vt:variant>
        <vt:i4>5</vt:i4>
      </vt:variant>
      <vt:variant>
        <vt:lpwstr>https://www.pmc.gov.au/sites/default/files/publications/006-Cost-benefit-analysis.pdf</vt:lpwstr>
      </vt:variant>
      <vt:variant>
        <vt:lpwstr/>
      </vt:variant>
      <vt:variant>
        <vt:i4>4063335</vt:i4>
      </vt:variant>
      <vt:variant>
        <vt:i4>12</vt:i4>
      </vt:variant>
      <vt:variant>
        <vt:i4>0</vt:i4>
      </vt:variant>
      <vt:variant>
        <vt:i4>5</vt:i4>
      </vt:variant>
      <vt:variant>
        <vt:lpwstr>https://www.amsa.gov.au/vessels-operators/port-state-control/port-state-control-report-2018</vt:lpwstr>
      </vt:variant>
      <vt:variant>
        <vt:lpwstr/>
      </vt:variant>
      <vt:variant>
        <vt:i4>6160438</vt:i4>
      </vt:variant>
      <vt:variant>
        <vt:i4>9</vt:i4>
      </vt:variant>
      <vt:variant>
        <vt:i4>0</vt:i4>
      </vt:variant>
      <vt:variant>
        <vt:i4>5</vt:i4>
      </vt:variant>
      <vt:variant>
        <vt:lpwstr>https://www.infrastructure.gov.au/aviation/international/files/civil_aviation_carriers_liability_discussion_paper.pdf</vt:lpwstr>
      </vt:variant>
      <vt:variant>
        <vt:lpwstr/>
      </vt:variant>
      <vt:variant>
        <vt:i4>2359346</vt:i4>
      </vt:variant>
      <vt:variant>
        <vt:i4>6</vt:i4>
      </vt:variant>
      <vt:variant>
        <vt:i4>0</vt:i4>
      </vt:variant>
      <vt:variant>
        <vt:i4>5</vt:i4>
      </vt:variant>
      <vt:variant>
        <vt:lpwstr>https://www.legislation.gov.au/Details/C2008B00098/Explanatory Memorandum/Text</vt:lpwstr>
      </vt:variant>
      <vt:variant>
        <vt:lpwstr/>
      </vt:variant>
      <vt:variant>
        <vt:i4>2359332</vt:i4>
      </vt:variant>
      <vt:variant>
        <vt:i4>3</vt:i4>
      </vt:variant>
      <vt:variant>
        <vt:i4>0</vt:i4>
      </vt:variant>
      <vt:variant>
        <vt:i4>5</vt:i4>
      </vt:variant>
      <vt:variant>
        <vt:lpwstr>http://www.imo.org/en/About/Conventions/StatusOfConventions/Pages/Default.aspx</vt:lpwstr>
      </vt:variant>
      <vt:variant>
        <vt:lpwstr/>
      </vt:variant>
      <vt:variant>
        <vt:i4>1376314</vt:i4>
      </vt:variant>
      <vt:variant>
        <vt:i4>0</vt:i4>
      </vt:variant>
      <vt:variant>
        <vt:i4>0</vt:i4>
      </vt:variant>
      <vt:variant>
        <vt:i4>5</vt:i4>
      </vt:variant>
      <vt:variant>
        <vt:lpwstr>https://www.infrastructure.gov.au/maritime/business/liability/files/athens_convention_discussion_paper.pdf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egulation Impact Statemen</dc:title>
  <dc:subject>ustralia’s accession to the Athens Convention relating to the Carriage of Passengers and their Luggage by Sea 1974, as amended by the 2002 Protocol (Athens Convention 2002</dc:subject>
  <dc:creator/>
  <cp:keywords/>
  <dc:description/>
  <cp:lastModifiedBy/>
  <cp:revision>1</cp:revision>
  <dcterms:created xsi:type="dcterms:W3CDTF">2020-07-13T00:12:00Z</dcterms:created>
  <dcterms:modified xsi:type="dcterms:W3CDTF">2020-07-13T00:12:00Z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2f95f849-31ec-47fc-97f6-2933cc260448</vt:lpwstr>
  </property>
  <property fmtid="{D5CDD505-2E9C-101B-9397-08002B2CF9AE}" pid="3" name="ContentTypeId">
    <vt:lpwstr>0x010100B8596EF1E1B53D4DB650581373C5AE0B</vt:lpwstr>
  </property>
</Properties>
</file>