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48BA5" w14:textId="33A181D9" w:rsidR="00402F56" w:rsidRDefault="004C7D4D" w:rsidP="00402F56">
      <w:pPr>
        <w:numPr>
          <w:ilvl w:val="0"/>
          <w:numId w:val="0"/>
        </w:numPr>
        <w:tabs>
          <w:tab w:val="left" w:pos="3135"/>
          <w:tab w:val="left" w:pos="4695"/>
        </w:tabs>
        <w:jc w:val="right"/>
      </w:pPr>
      <w:r w:rsidRPr="00720B41">
        <w:t xml:space="preserve">EC </w:t>
      </w:r>
      <w:r w:rsidR="00707C3D" w:rsidRPr="00720B41">
        <w:t>20-000277</w:t>
      </w:r>
    </w:p>
    <w:p w14:paraId="63148BA6" w14:textId="77777777" w:rsidR="00402F56" w:rsidRDefault="00402F56" w:rsidP="00402F56">
      <w:pPr>
        <w:numPr>
          <w:ilvl w:val="0"/>
          <w:numId w:val="0"/>
        </w:numPr>
        <w:tabs>
          <w:tab w:val="left" w:pos="3135"/>
          <w:tab w:val="left" w:pos="4695"/>
        </w:tabs>
        <w:jc w:val="right"/>
      </w:pPr>
    </w:p>
    <w:p w14:paraId="63148BA7" w14:textId="77777777" w:rsidR="00402F56" w:rsidRDefault="00402F56" w:rsidP="00402F56">
      <w:pPr>
        <w:numPr>
          <w:ilvl w:val="0"/>
          <w:numId w:val="0"/>
        </w:numPr>
        <w:tabs>
          <w:tab w:val="left" w:pos="3135"/>
          <w:tab w:val="left" w:pos="4695"/>
        </w:tabs>
        <w:jc w:val="right"/>
      </w:pPr>
    </w:p>
    <w:p w14:paraId="63148BA8" w14:textId="77777777" w:rsidR="00402F56" w:rsidRDefault="004C7D4D" w:rsidP="00402F56">
      <w:pPr>
        <w:numPr>
          <w:ilvl w:val="0"/>
          <w:numId w:val="0"/>
        </w:numPr>
        <w:tabs>
          <w:tab w:val="left" w:pos="3135"/>
          <w:tab w:val="left" w:pos="4695"/>
        </w:tabs>
      </w:pPr>
      <w:r>
        <w:tab/>
      </w:r>
      <w:r>
        <w:tab/>
      </w:r>
      <w:r>
        <w:tab/>
      </w:r>
      <w:r>
        <w:tab/>
      </w:r>
      <w:r>
        <w:tab/>
      </w:r>
      <w:r>
        <w:tab/>
      </w:r>
      <w:r>
        <w:tab/>
      </w:r>
      <w:r>
        <w:tab/>
      </w:r>
      <w:r>
        <w:tab/>
      </w:r>
    </w:p>
    <w:p w14:paraId="63148BA9" w14:textId="7272BEBE" w:rsidR="00402F56" w:rsidRDefault="00707C3D" w:rsidP="00402F56">
      <w:pPr>
        <w:numPr>
          <w:ilvl w:val="0"/>
          <w:numId w:val="0"/>
        </w:numPr>
        <w:tabs>
          <w:tab w:val="left" w:pos="3135"/>
          <w:tab w:val="left" w:pos="4695"/>
        </w:tabs>
      </w:pPr>
      <w:r>
        <w:t>Mr Jason Lange</w:t>
      </w:r>
    </w:p>
    <w:p w14:paraId="3FFCE7AA" w14:textId="02BDF843" w:rsidR="00707C3D" w:rsidRDefault="00707C3D" w:rsidP="00402F56">
      <w:pPr>
        <w:numPr>
          <w:ilvl w:val="0"/>
          <w:numId w:val="0"/>
        </w:numPr>
      </w:pPr>
      <w:r>
        <w:t>Executive Director</w:t>
      </w:r>
    </w:p>
    <w:p w14:paraId="5DF51316" w14:textId="24BF6F08" w:rsidR="00707C3D" w:rsidRDefault="00E2035B" w:rsidP="00402F56">
      <w:pPr>
        <w:numPr>
          <w:ilvl w:val="0"/>
          <w:numId w:val="0"/>
        </w:numPr>
      </w:pPr>
      <w:sdt>
        <w:sdtPr>
          <w:id w:val="1389146288"/>
          <w:placeholder>
            <w:docPart w:val="25FE7294B56444458A84027D9B489A4B"/>
          </w:placeholder>
          <w:comboBox>
            <w:listItem w:displayText="Organisation" w:value="Organisation"/>
          </w:comboBox>
        </w:sdtPr>
        <w:sdtEndPr/>
        <w:sdtContent>
          <w:r w:rsidR="00707C3D" w:rsidDel="00B054AC">
            <w:t>Office of Best Practice Regulation</w:t>
          </w:r>
        </w:sdtContent>
      </w:sdt>
      <w:r w:rsidR="00707C3D" w:rsidRPr="00707C3D">
        <w:t xml:space="preserve"> </w:t>
      </w:r>
    </w:p>
    <w:p w14:paraId="63148BAB" w14:textId="02AEAC42" w:rsidR="00402F56" w:rsidRDefault="00707C3D" w:rsidP="00402F56">
      <w:pPr>
        <w:numPr>
          <w:ilvl w:val="0"/>
          <w:numId w:val="0"/>
        </w:numPr>
      </w:pPr>
      <w:r>
        <w:t>Department of the Prime Minister and Cabinet</w:t>
      </w:r>
    </w:p>
    <w:sdt>
      <w:sdtPr>
        <w:rPr>
          <w:szCs w:val="24"/>
        </w:rPr>
        <w:id w:val="71327105"/>
        <w:placeholder>
          <w:docPart w:val="25FE7294B56444458A84027D9B489A4B"/>
        </w:placeholder>
        <w:comboBox>
          <w:listItem w:displayText="Postal address line 1" w:value="Postal address line 1"/>
        </w:comboBox>
      </w:sdtPr>
      <w:sdtEndPr/>
      <w:sdtContent>
        <w:p w14:paraId="63148BAC" w14:textId="64263BCF" w:rsidR="00402F56" w:rsidRDefault="00707C3D" w:rsidP="00402F56">
          <w:pPr>
            <w:pStyle w:val="AddressBlock-DOTARS"/>
            <w:rPr>
              <w:szCs w:val="24"/>
            </w:rPr>
          </w:pPr>
          <w:r w:rsidDel="00B054AC">
            <w:rPr>
              <w:szCs w:val="24"/>
            </w:rPr>
            <w:t>1 National Circuit</w:t>
          </w:r>
        </w:p>
      </w:sdtContent>
    </w:sdt>
    <w:sdt>
      <w:sdtPr>
        <w:rPr>
          <w:szCs w:val="24"/>
        </w:rPr>
        <w:id w:val="-395889359"/>
        <w:placeholder>
          <w:docPart w:val="4281855D87124AF89CF7ADC356F01442"/>
        </w:placeholder>
        <w:comboBox>
          <w:listItem w:displayText="Postal address line 2" w:value="Postal address line 2"/>
        </w:comboBox>
      </w:sdtPr>
      <w:sdtEndPr/>
      <w:sdtContent>
        <w:p w14:paraId="63148BAD" w14:textId="22E44C1C" w:rsidR="00402F56" w:rsidRDefault="00707C3D" w:rsidP="00402F56">
          <w:pPr>
            <w:numPr>
              <w:ilvl w:val="0"/>
              <w:numId w:val="0"/>
            </w:numPr>
            <w:rPr>
              <w:szCs w:val="24"/>
            </w:rPr>
          </w:pPr>
          <w:r w:rsidDel="00B054AC">
            <w:rPr>
              <w:szCs w:val="24"/>
            </w:rPr>
            <w:t>BARTON  ACT  2600</w:t>
          </w:r>
        </w:p>
      </w:sdtContent>
    </w:sdt>
    <w:p w14:paraId="63148BAE" w14:textId="77777777" w:rsidR="00FE4382" w:rsidRDefault="00FE4382" w:rsidP="00945D4F">
      <w:pPr>
        <w:numPr>
          <w:ilvl w:val="0"/>
          <w:numId w:val="0"/>
        </w:numPr>
        <w:rPr>
          <w:szCs w:val="24"/>
        </w:rPr>
      </w:pPr>
    </w:p>
    <w:p w14:paraId="63148BAF" w14:textId="6151FC81" w:rsidR="005C5B63" w:rsidRDefault="00707C3D" w:rsidP="00FE4382">
      <w:pPr>
        <w:pStyle w:val="AddressBlock-DOTARS"/>
      </w:pPr>
      <w:r w:rsidRPr="00707C3D">
        <w:t>Email: helpdesk-OBPR@pmc.gov.au</w:t>
      </w:r>
    </w:p>
    <w:p w14:paraId="63148BB0" w14:textId="77777777" w:rsidR="004A51E5" w:rsidRPr="004A51E5" w:rsidRDefault="004A51E5" w:rsidP="004A51E5">
      <w:pPr>
        <w:numPr>
          <w:ilvl w:val="0"/>
          <w:numId w:val="0"/>
        </w:numPr>
      </w:pPr>
    </w:p>
    <w:p w14:paraId="63148BB1" w14:textId="77777777" w:rsidR="00995805" w:rsidRDefault="00995805" w:rsidP="001606C4">
      <w:pPr>
        <w:numPr>
          <w:ilvl w:val="0"/>
          <w:numId w:val="0"/>
        </w:numPr>
      </w:pPr>
    </w:p>
    <w:p w14:paraId="63148BB2" w14:textId="77777777" w:rsidR="00C26D9F" w:rsidRDefault="00C26D9F" w:rsidP="001606C4">
      <w:pPr>
        <w:numPr>
          <w:ilvl w:val="0"/>
          <w:numId w:val="0"/>
        </w:numPr>
      </w:pPr>
    </w:p>
    <w:p w14:paraId="63148BB3" w14:textId="769AE786" w:rsidR="00402F56" w:rsidRDefault="004C7D4D" w:rsidP="001606C4">
      <w:pPr>
        <w:numPr>
          <w:ilvl w:val="0"/>
          <w:numId w:val="0"/>
        </w:numPr>
      </w:pPr>
      <w:r>
        <w:t xml:space="preserve">Dear </w:t>
      </w:r>
      <w:r w:rsidR="00707C3D">
        <w:t>Mr Lange</w:t>
      </w:r>
    </w:p>
    <w:p w14:paraId="63148BB4" w14:textId="77777777" w:rsidR="00402F56" w:rsidRPr="00707C3D" w:rsidRDefault="00402F56" w:rsidP="001606C4">
      <w:pPr>
        <w:numPr>
          <w:ilvl w:val="0"/>
          <w:numId w:val="0"/>
        </w:numPr>
      </w:pPr>
    </w:p>
    <w:p w14:paraId="63148BB5" w14:textId="462178A7" w:rsidR="001B2876" w:rsidRPr="00707C3D" w:rsidRDefault="00707C3D" w:rsidP="001606C4">
      <w:pPr>
        <w:numPr>
          <w:ilvl w:val="0"/>
          <w:numId w:val="0"/>
        </w:numPr>
        <w:rPr>
          <w:b/>
        </w:rPr>
      </w:pPr>
      <w:r w:rsidRPr="00707C3D">
        <w:rPr>
          <w:b/>
        </w:rPr>
        <w:t>Athens Convention Regulation Impact Statement – final assessment</w:t>
      </w:r>
    </w:p>
    <w:p w14:paraId="63148BB6" w14:textId="77777777" w:rsidR="001B2876" w:rsidRPr="00707C3D" w:rsidRDefault="001B2876" w:rsidP="001606C4">
      <w:pPr>
        <w:numPr>
          <w:ilvl w:val="0"/>
          <w:numId w:val="0"/>
        </w:numPr>
      </w:pPr>
    </w:p>
    <w:p w14:paraId="5985AD34" w14:textId="648EEA12" w:rsidR="00707C3D" w:rsidRPr="00707C3D" w:rsidRDefault="00707C3D" w:rsidP="00487DF0">
      <w:r w:rsidRPr="00707C3D">
        <w:t xml:space="preserve">I am writing  to </w:t>
      </w:r>
      <w:r w:rsidR="004D5E63">
        <w:t>seek</w:t>
      </w:r>
      <w:r w:rsidR="00051C82">
        <w:t xml:space="preserve"> consideration for</w:t>
      </w:r>
      <w:r w:rsidR="004D5E63">
        <w:t xml:space="preserve"> final assessment of </w:t>
      </w:r>
      <w:r w:rsidRPr="00707C3D">
        <w:t>the draft Regulation Impact Statement (RIS) prepared for consideration on whether Australia should accede to the Athens Convention relating to the Carriage of Passengers and their Luggage by Sea 1974, as amended by the 2002 Protocol (Athens Convention).</w:t>
      </w:r>
      <w:r w:rsidR="00487DF0" w:rsidRPr="00487DF0">
        <w:t xml:space="preserve"> The draft RIS was provided to you on </w:t>
      </w:r>
      <w:r w:rsidR="00487DF0">
        <w:t>7</w:t>
      </w:r>
      <w:r w:rsidR="00487DF0" w:rsidRPr="00487DF0">
        <w:t xml:space="preserve"> August 2020 for first pass assessment (OBPR ID 25252).</w:t>
      </w:r>
    </w:p>
    <w:p w14:paraId="62B63815" w14:textId="77777777" w:rsidR="00720B41" w:rsidRDefault="00720B41" w:rsidP="00707C3D"/>
    <w:p w14:paraId="78527735" w14:textId="78C2C2C0" w:rsidR="00707C3D" w:rsidRPr="00707C3D" w:rsidRDefault="00707C3D" w:rsidP="00707C3D">
      <w:r w:rsidRPr="00707C3D">
        <w:t xml:space="preserve">I believe the RIS meets best practice requirements and is consistent with the ten principles for Australian Government policy makers. </w:t>
      </w:r>
    </w:p>
    <w:p w14:paraId="31F9FB90" w14:textId="77777777" w:rsidR="00720B41" w:rsidRDefault="00720B41" w:rsidP="00707C3D"/>
    <w:p w14:paraId="0EB42BDC" w14:textId="4E0F09DB" w:rsidR="00707C3D" w:rsidRPr="00707C3D" w:rsidRDefault="00707C3D" w:rsidP="00707C3D">
      <w:r w:rsidRPr="00707C3D">
        <w:t>In particular, I note that the RIS addresses the seven RIS questions:</w:t>
      </w:r>
    </w:p>
    <w:p w14:paraId="31035749" w14:textId="77777777" w:rsidR="00707C3D" w:rsidRPr="00707C3D" w:rsidRDefault="00707C3D" w:rsidP="00707C3D"/>
    <w:p w14:paraId="6838667B" w14:textId="13AF132C" w:rsidR="00707C3D" w:rsidRPr="00707C3D" w:rsidRDefault="00707C3D" w:rsidP="00707C3D">
      <w:pPr>
        <w:numPr>
          <w:ilvl w:val="0"/>
          <w:numId w:val="29"/>
        </w:numPr>
      </w:pPr>
      <w:r w:rsidRPr="00707C3D">
        <w:rPr>
          <w:i/>
        </w:rPr>
        <w:t>What is the problem?</w:t>
      </w:r>
    </w:p>
    <w:p w14:paraId="56C06A27" w14:textId="77777777" w:rsidR="00707C3D" w:rsidRPr="00707C3D" w:rsidRDefault="00707C3D" w:rsidP="00707C3D"/>
    <w:p w14:paraId="2EB54278" w14:textId="4D7E1872" w:rsidR="00707C3D" w:rsidRPr="00707C3D" w:rsidRDefault="00707C3D" w:rsidP="00707C3D">
      <w:r w:rsidRPr="00707C3D">
        <w:t>The International Maritime Organization (IMO) Athens Convention seeks to implement a regime for assigning liability in international passenger shipping that provides passengers and carriers with greater legal certainty and assurance of cover.</w:t>
      </w:r>
    </w:p>
    <w:p w14:paraId="7AC3C96F" w14:textId="77777777" w:rsidR="00707C3D" w:rsidRPr="00707C3D" w:rsidRDefault="00707C3D" w:rsidP="00707C3D"/>
    <w:p w14:paraId="0C4B9CBE" w14:textId="2F2E80FE" w:rsidR="00383665" w:rsidRDefault="00383665" w:rsidP="00383665">
      <w:r>
        <w:t xml:space="preserve">Presently, Australian passengers on international cruise ships who pursue a claim relating to injury or luggage can be faced with an overly complex process which may impact the ability to make legitimate claims. </w:t>
      </w:r>
      <w:r w:rsidR="00180449">
        <w:t xml:space="preserve">Some of the factors that contribute to this are that many </w:t>
      </w:r>
      <w:r>
        <w:t xml:space="preserve">cruise ships are registered in foreign countries; the companies that own the cruise ships are often based internationally; the accidents often happen in international waters or in the territory of another country; </w:t>
      </w:r>
      <w:r w:rsidR="00180449">
        <w:t xml:space="preserve">and, </w:t>
      </w:r>
      <w:r>
        <w:t>the burden of proof lies with the claimant whom also, typically only has one year to bring any type of claim for injuries against a cruise ship.</w:t>
      </w:r>
    </w:p>
    <w:p w14:paraId="4BC8E204" w14:textId="77777777" w:rsidR="00383665" w:rsidRDefault="00383665" w:rsidP="00383665"/>
    <w:p w14:paraId="4413B158" w14:textId="148A378E" w:rsidR="00707C3D" w:rsidRPr="00707C3D" w:rsidRDefault="00707C3D" w:rsidP="00707C3D">
      <w:r w:rsidRPr="00707C3D">
        <w:t>The problem assessed by the RIS is to consider whether Australia acceding to the IMO Athens Convention is of a tangible benefit to Australia.</w:t>
      </w:r>
    </w:p>
    <w:p w14:paraId="428746EC" w14:textId="4FFBB7E1" w:rsidR="00707C3D" w:rsidRDefault="00707C3D" w:rsidP="00533D05">
      <w:pPr>
        <w:numPr>
          <w:ilvl w:val="0"/>
          <w:numId w:val="0"/>
        </w:numPr>
      </w:pPr>
    </w:p>
    <w:p w14:paraId="06CA08AF" w14:textId="77777777" w:rsidR="00533D05" w:rsidRPr="00707C3D" w:rsidRDefault="00533D05" w:rsidP="00533D05">
      <w:pPr>
        <w:numPr>
          <w:ilvl w:val="0"/>
          <w:numId w:val="0"/>
        </w:numPr>
      </w:pPr>
    </w:p>
    <w:p w14:paraId="5AB8B049" w14:textId="3E7F38C1" w:rsidR="00707C3D" w:rsidRPr="00707C3D" w:rsidRDefault="00707C3D" w:rsidP="00707C3D">
      <w:pPr>
        <w:numPr>
          <w:ilvl w:val="0"/>
          <w:numId w:val="29"/>
        </w:numPr>
      </w:pPr>
      <w:r w:rsidRPr="00707C3D">
        <w:rPr>
          <w:i/>
        </w:rPr>
        <w:t>Why is government action needed?</w:t>
      </w:r>
    </w:p>
    <w:p w14:paraId="7A4FD794" w14:textId="77777777" w:rsidR="00707C3D" w:rsidRPr="00707C3D" w:rsidRDefault="00707C3D" w:rsidP="00707C3D"/>
    <w:p w14:paraId="6DCC2DAC" w14:textId="01DCD5B7" w:rsidR="008C2AF0" w:rsidRDefault="00383665" w:rsidP="00383665">
      <w:pPr>
        <w:numPr>
          <w:ilvl w:val="0"/>
          <w:numId w:val="0"/>
        </w:numPr>
      </w:pPr>
      <w:r w:rsidRPr="00383665">
        <w:t>The Australian cruise ship industry is a growing industry, with Australian passenger numbers q</w:t>
      </w:r>
      <w:r>
        <w:t>uadrupling over the last decade</w:t>
      </w:r>
      <w:r w:rsidRPr="00383665">
        <w:t xml:space="preserve">. With this growth, there is a greater need to ensure that Australian passengers and shipping carriers are provided with high quality legal protections informed by the world’s best practice. </w:t>
      </w:r>
    </w:p>
    <w:p w14:paraId="0FFF7B91" w14:textId="77777777" w:rsidR="008C2AF0" w:rsidRDefault="008C2AF0" w:rsidP="00383665">
      <w:pPr>
        <w:numPr>
          <w:ilvl w:val="0"/>
          <w:numId w:val="0"/>
        </w:numPr>
      </w:pPr>
    </w:p>
    <w:p w14:paraId="29DE382D" w14:textId="4CB20969" w:rsidR="00383665" w:rsidRPr="00707C3D" w:rsidRDefault="008C2AF0" w:rsidP="00383665">
      <w:pPr>
        <w:numPr>
          <w:ilvl w:val="0"/>
          <w:numId w:val="0"/>
        </w:numPr>
      </w:pPr>
      <w:r>
        <w:t xml:space="preserve">The Athens Convention </w:t>
      </w:r>
      <w:r w:rsidR="00383665" w:rsidRPr="00383665">
        <w:t xml:space="preserve">provides an internationally recognised regime for claims for the recovery of damages for death and personal injury, as well as loss or damage to the passenger's luggage, sustained during the course of international carriage. To </w:t>
      </w:r>
      <w:r w:rsidR="00A84E76">
        <w:t>afford Australian c</w:t>
      </w:r>
      <w:r w:rsidR="00383665" w:rsidRPr="00383665">
        <w:t>ruise consumers with access to that regime requires the Australian Government to become a State Party.</w:t>
      </w:r>
    </w:p>
    <w:p w14:paraId="10ED1C78" w14:textId="7564CE16" w:rsidR="00707C3D" w:rsidRDefault="00707C3D" w:rsidP="00533D05">
      <w:pPr>
        <w:numPr>
          <w:ilvl w:val="0"/>
          <w:numId w:val="0"/>
        </w:numPr>
      </w:pPr>
    </w:p>
    <w:p w14:paraId="37430FB0" w14:textId="77777777" w:rsidR="00533D05" w:rsidRPr="00707C3D" w:rsidRDefault="00533D05" w:rsidP="00533D05">
      <w:pPr>
        <w:numPr>
          <w:ilvl w:val="0"/>
          <w:numId w:val="0"/>
        </w:numPr>
      </w:pPr>
    </w:p>
    <w:p w14:paraId="7369EE79" w14:textId="25EE4864" w:rsidR="00707C3D" w:rsidRPr="00707C3D" w:rsidRDefault="00707C3D" w:rsidP="00707C3D">
      <w:pPr>
        <w:numPr>
          <w:ilvl w:val="0"/>
          <w:numId w:val="29"/>
        </w:numPr>
      </w:pPr>
      <w:r w:rsidRPr="00707C3D">
        <w:rPr>
          <w:i/>
        </w:rPr>
        <w:t>What policy options are you considering?</w:t>
      </w:r>
    </w:p>
    <w:p w14:paraId="41EE91B7" w14:textId="77777777" w:rsidR="00707C3D" w:rsidRPr="00707C3D" w:rsidRDefault="00707C3D" w:rsidP="00707C3D"/>
    <w:p w14:paraId="7858F9C3" w14:textId="715F4E49" w:rsidR="00707C3D" w:rsidRPr="00707C3D" w:rsidRDefault="00707C3D" w:rsidP="00707C3D">
      <w:r w:rsidRPr="00707C3D">
        <w:t xml:space="preserve">The RIS considers four options, although the fourth option is dependent on the uptake of either </w:t>
      </w:r>
      <w:r w:rsidR="00F37FC6">
        <w:t>O</w:t>
      </w:r>
      <w:r w:rsidRPr="00707C3D">
        <w:t>ptions 2 or 3. The options are:</w:t>
      </w:r>
    </w:p>
    <w:p w14:paraId="08729758" w14:textId="77777777" w:rsidR="00707C3D" w:rsidRPr="00707C3D" w:rsidRDefault="00707C3D" w:rsidP="00707C3D"/>
    <w:p w14:paraId="2F24B4DB" w14:textId="77777777" w:rsidR="00707C3D" w:rsidRPr="00707C3D" w:rsidRDefault="00707C3D" w:rsidP="00707C3D">
      <w:pPr>
        <w:numPr>
          <w:ilvl w:val="0"/>
          <w:numId w:val="30"/>
        </w:numPr>
      </w:pPr>
      <w:r w:rsidRPr="00707C3D">
        <w:t>Retain the status quo (non-regulatory option);</w:t>
      </w:r>
    </w:p>
    <w:p w14:paraId="2E3AFDA4" w14:textId="70366611" w:rsidR="00707C3D" w:rsidRPr="00707C3D" w:rsidRDefault="00707C3D" w:rsidP="00034EFF">
      <w:pPr>
        <w:numPr>
          <w:ilvl w:val="0"/>
          <w:numId w:val="30"/>
        </w:numPr>
      </w:pPr>
      <w:r w:rsidRPr="00707C3D">
        <w:t xml:space="preserve">Accede to the Athens Convention but, opt out of the </w:t>
      </w:r>
      <w:r w:rsidR="00F37FC6">
        <w:t>Convention’s</w:t>
      </w:r>
      <w:r w:rsidR="00F37FC6" w:rsidRPr="00707C3D">
        <w:t xml:space="preserve"> </w:t>
      </w:r>
      <w:r w:rsidRPr="00707C3D">
        <w:t xml:space="preserve">liability limits and retain the </w:t>
      </w:r>
      <w:r w:rsidR="00034EFF" w:rsidRPr="00034EFF">
        <w:t>Convention on Limitation of Liability for Maritime Claims 1976, as amended by the 1996 Protocol</w:t>
      </w:r>
      <w:r w:rsidRPr="00707C3D">
        <w:t xml:space="preserve"> liability limits;</w:t>
      </w:r>
    </w:p>
    <w:p w14:paraId="28214C61" w14:textId="1140EB50" w:rsidR="00707C3D" w:rsidRPr="00707C3D" w:rsidRDefault="00DE43E3" w:rsidP="00707C3D">
      <w:pPr>
        <w:numPr>
          <w:ilvl w:val="0"/>
          <w:numId w:val="30"/>
        </w:numPr>
      </w:pPr>
      <w:r>
        <w:t xml:space="preserve">a) </w:t>
      </w:r>
      <w:r w:rsidR="00707C3D" w:rsidRPr="00707C3D">
        <w:t xml:space="preserve">Accede to the Athens Convention with the liability limits or </w:t>
      </w:r>
      <w:r>
        <w:t xml:space="preserve">b) </w:t>
      </w:r>
      <w:r w:rsidR="00707C3D" w:rsidRPr="00707C3D">
        <w:t xml:space="preserve">increase the </w:t>
      </w:r>
      <w:r w:rsidR="00F37FC6">
        <w:t>Convention’s</w:t>
      </w:r>
      <w:r w:rsidR="00F37FC6" w:rsidRPr="00707C3D">
        <w:t xml:space="preserve"> </w:t>
      </w:r>
      <w:r w:rsidR="00707C3D" w:rsidRPr="00707C3D">
        <w:t>Tier 2 liability limits;</w:t>
      </w:r>
      <w:r w:rsidR="00F37FC6">
        <w:t xml:space="preserve"> or</w:t>
      </w:r>
    </w:p>
    <w:p w14:paraId="207BE9E0" w14:textId="39A8F5BB" w:rsidR="00707C3D" w:rsidRPr="00707C3D" w:rsidRDefault="00707C3D" w:rsidP="00707C3D">
      <w:pPr>
        <w:numPr>
          <w:ilvl w:val="0"/>
          <w:numId w:val="30"/>
        </w:numPr>
      </w:pPr>
      <w:r w:rsidRPr="00707C3D">
        <w:t xml:space="preserve">Accede to Athens Convention through either </w:t>
      </w:r>
      <w:r w:rsidR="00F37FC6">
        <w:t>O</w:t>
      </w:r>
      <w:r w:rsidRPr="00707C3D">
        <w:t xml:space="preserve">ption 2 or 3 and extend the </w:t>
      </w:r>
      <w:r w:rsidR="00F37FC6">
        <w:t xml:space="preserve">application of the </w:t>
      </w:r>
      <w:r w:rsidRPr="00707C3D">
        <w:t>Convention to ‘voyages to nowhere’ and smaller domestic operators.</w:t>
      </w:r>
    </w:p>
    <w:p w14:paraId="4CC7F889" w14:textId="1AA92DFE" w:rsidR="00707C3D" w:rsidRDefault="00707C3D" w:rsidP="00533D05">
      <w:pPr>
        <w:numPr>
          <w:ilvl w:val="0"/>
          <w:numId w:val="0"/>
        </w:numPr>
      </w:pPr>
    </w:p>
    <w:p w14:paraId="675618ED" w14:textId="77777777" w:rsidR="00533D05" w:rsidRPr="00707C3D" w:rsidRDefault="00533D05" w:rsidP="00533D05">
      <w:pPr>
        <w:numPr>
          <w:ilvl w:val="0"/>
          <w:numId w:val="0"/>
        </w:numPr>
      </w:pPr>
    </w:p>
    <w:p w14:paraId="2E968885" w14:textId="01F7BC54" w:rsidR="00707C3D" w:rsidRPr="00707C3D" w:rsidRDefault="00707C3D" w:rsidP="00707C3D">
      <w:pPr>
        <w:numPr>
          <w:ilvl w:val="0"/>
          <w:numId w:val="29"/>
        </w:numPr>
      </w:pPr>
      <w:r w:rsidRPr="00707C3D">
        <w:rPr>
          <w:i/>
        </w:rPr>
        <w:t>What is the likely net benefit of each option?</w:t>
      </w:r>
    </w:p>
    <w:p w14:paraId="60002D9B" w14:textId="77777777" w:rsidR="00707C3D" w:rsidRPr="00707C3D" w:rsidRDefault="00707C3D" w:rsidP="00707C3D"/>
    <w:p w14:paraId="01E2849B" w14:textId="5F235657" w:rsidR="00707C3D" w:rsidRPr="00707C3D" w:rsidRDefault="00707C3D" w:rsidP="00707C3D">
      <w:r w:rsidRPr="00707C3D">
        <w:rPr>
          <w:b/>
        </w:rPr>
        <w:t>Option 1</w:t>
      </w:r>
      <w:r w:rsidR="007F40D6">
        <w:t>.</w:t>
      </w:r>
      <w:r w:rsidRPr="00707C3D">
        <w:t xml:space="preserve"> </w:t>
      </w:r>
      <w:r w:rsidR="00167090">
        <w:t>R</w:t>
      </w:r>
      <w:r w:rsidRPr="00707C3D">
        <w:t>etains the status quo</w:t>
      </w:r>
      <w:r w:rsidR="00167090">
        <w:t xml:space="preserve"> and thus</w:t>
      </w:r>
      <w:r w:rsidRPr="00707C3D">
        <w:t xml:space="preserve"> </w:t>
      </w:r>
      <w:r w:rsidR="00167090">
        <w:t>imposes</w:t>
      </w:r>
      <w:r w:rsidRPr="00707C3D">
        <w:t xml:space="preserve"> no </w:t>
      </w:r>
      <w:r w:rsidR="00167090">
        <w:t xml:space="preserve">new </w:t>
      </w:r>
      <w:r w:rsidRPr="00707C3D">
        <w:t xml:space="preserve">regulatory </w:t>
      </w:r>
      <w:r w:rsidR="00167090">
        <w:t xml:space="preserve">or direct </w:t>
      </w:r>
      <w:r w:rsidRPr="00707C3D">
        <w:t xml:space="preserve">costs </w:t>
      </w:r>
      <w:r w:rsidR="006B6838">
        <w:t xml:space="preserve">on </w:t>
      </w:r>
      <w:r w:rsidR="00167090">
        <w:t>cruise companies and insurers, does not increase need for legal advice</w:t>
      </w:r>
      <w:r w:rsidR="006B6838" w:rsidRPr="00707C3D">
        <w:t xml:space="preserve"> and regulators will not have to make changes to their current arrangements</w:t>
      </w:r>
      <w:r w:rsidR="00167090">
        <w:t xml:space="preserve">. </w:t>
      </w:r>
      <w:r w:rsidRPr="00707C3D">
        <w:t>Passengers</w:t>
      </w:r>
      <w:r w:rsidR="00167090">
        <w:t xml:space="preserve"> however</w:t>
      </w:r>
      <w:r w:rsidRPr="00707C3D">
        <w:t xml:space="preserve"> </w:t>
      </w:r>
      <w:r w:rsidR="00167090">
        <w:t xml:space="preserve">will be unable to access the </w:t>
      </w:r>
      <w:r w:rsidR="00167090" w:rsidRPr="00707C3D">
        <w:t>benefits listed below against Options 2, 3 and 4</w:t>
      </w:r>
      <w:r w:rsidR="00167090">
        <w:t xml:space="preserve"> and </w:t>
      </w:r>
      <w:r w:rsidRPr="00707C3D">
        <w:t xml:space="preserve">may </w:t>
      </w:r>
      <w:r w:rsidR="006B6838">
        <w:t xml:space="preserve">continue to </w:t>
      </w:r>
      <w:r w:rsidRPr="00707C3D">
        <w:t>experience difficulties and complications in lodging</w:t>
      </w:r>
      <w:r w:rsidR="00DE43E3">
        <w:t>,</w:t>
      </w:r>
      <w:r w:rsidRPr="00707C3D">
        <w:t xml:space="preserve"> finalising </w:t>
      </w:r>
      <w:r w:rsidR="00DE43E3">
        <w:t xml:space="preserve">and disputing </w:t>
      </w:r>
      <w:r w:rsidRPr="00707C3D">
        <w:t>claims with some cruise operators.</w:t>
      </w:r>
    </w:p>
    <w:p w14:paraId="6A05D3FF" w14:textId="77777777" w:rsidR="00707C3D" w:rsidRPr="00707C3D" w:rsidRDefault="00707C3D" w:rsidP="00707C3D"/>
    <w:p w14:paraId="7CA2C57C" w14:textId="61235AB9" w:rsidR="00707C3D" w:rsidRDefault="00707C3D" w:rsidP="00707C3D">
      <w:r w:rsidRPr="00707C3D">
        <w:rPr>
          <w:b/>
        </w:rPr>
        <w:t>Option 2</w:t>
      </w:r>
      <w:r w:rsidR="007F40D6">
        <w:rPr>
          <w:b/>
        </w:rPr>
        <w:t>.</w:t>
      </w:r>
      <w:r w:rsidRPr="00707C3D">
        <w:t xml:space="preserve"> The cruise operator must hold mandatory liability insurance to a minimum of 175,000 SDR</w:t>
      </w:r>
      <w:r w:rsidR="00522354">
        <w:rPr>
          <w:rStyle w:val="FootnoteReference"/>
        </w:rPr>
        <w:footnoteReference w:id="1"/>
      </w:r>
      <w:r w:rsidRPr="00707C3D">
        <w:t xml:space="preserve"> times the registered passenger carrying capacity of the ship. Passengers will have access to a large pool of insurance funds</w:t>
      </w:r>
      <w:r w:rsidR="007F40D6">
        <w:t>,</w:t>
      </w:r>
      <w:r w:rsidRPr="00707C3D">
        <w:t xml:space="preserve"> </w:t>
      </w:r>
      <w:r w:rsidR="007F40D6" w:rsidRPr="00707C3D">
        <w:t xml:space="preserve">depending on the number of </w:t>
      </w:r>
      <w:r w:rsidR="007F40D6">
        <w:t>claimants</w:t>
      </w:r>
      <w:r w:rsidR="007F40D6" w:rsidRPr="00707C3D">
        <w:t xml:space="preserve"> </w:t>
      </w:r>
      <w:r w:rsidRPr="00707C3D">
        <w:t>in the event of shipping incident</w:t>
      </w:r>
      <w:r w:rsidR="007F40D6">
        <w:t>, with the minimum available 175,000 SDR</w:t>
      </w:r>
      <w:r w:rsidRPr="00707C3D">
        <w:t>.</w:t>
      </w:r>
      <w:r w:rsidR="007F40D6" w:rsidRPr="007F40D6">
        <w:t xml:space="preserve"> </w:t>
      </w:r>
    </w:p>
    <w:p w14:paraId="0C77E492" w14:textId="77777777" w:rsidR="002252CB" w:rsidRDefault="002252CB" w:rsidP="00421855">
      <w:pPr>
        <w:pStyle w:val="ListParagraph"/>
      </w:pPr>
    </w:p>
    <w:p w14:paraId="0146B797" w14:textId="0E6BEDE5" w:rsidR="002252CB" w:rsidRPr="00707C3D" w:rsidRDefault="002252CB" w:rsidP="002252CB">
      <w:r w:rsidRPr="00707C3D">
        <w:t>Net benefits</w:t>
      </w:r>
      <w:r>
        <w:t>,</w:t>
      </w:r>
      <w:r w:rsidRPr="00707C3D">
        <w:t xml:space="preserve"> that are equally applicable to Options 2, 3 and 4</w:t>
      </w:r>
      <w:r w:rsidR="007F40D6">
        <w:t>,</w:t>
      </w:r>
      <w:r w:rsidRPr="00707C3D">
        <w:t xml:space="preserve"> include the following:</w:t>
      </w:r>
    </w:p>
    <w:p w14:paraId="10FDD6D4" w14:textId="77777777" w:rsidR="002252CB" w:rsidRPr="00707C3D" w:rsidRDefault="002252CB" w:rsidP="002252CB">
      <w:pPr>
        <w:numPr>
          <w:ilvl w:val="0"/>
          <w:numId w:val="31"/>
        </w:numPr>
      </w:pPr>
      <w:r w:rsidRPr="00707C3D">
        <w:t>for passengers, the burden to prove no fault lies with the carrier for shipping incidents. For non</w:t>
      </w:r>
      <w:r>
        <w:noBreakHyphen/>
      </w:r>
      <w:r w:rsidRPr="00707C3D">
        <w:t>shipping incidents, the claimant must prove the cruise operator was at fault;</w:t>
      </w:r>
    </w:p>
    <w:p w14:paraId="7527349E" w14:textId="77777777" w:rsidR="002252CB" w:rsidRPr="00707C3D" w:rsidRDefault="002252CB" w:rsidP="002252CB">
      <w:pPr>
        <w:numPr>
          <w:ilvl w:val="0"/>
          <w:numId w:val="31"/>
        </w:numPr>
      </w:pPr>
      <w:r w:rsidRPr="00707C3D">
        <w:t>the requirement for cruise operators to hold mandatory insurance to a standard minimum although this may increase insurance costs and passenger fares;</w:t>
      </w:r>
    </w:p>
    <w:p w14:paraId="7C1A802D" w14:textId="77777777" w:rsidR="002252CB" w:rsidRPr="00707C3D" w:rsidRDefault="002252CB" w:rsidP="002252CB">
      <w:pPr>
        <w:numPr>
          <w:ilvl w:val="0"/>
          <w:numId w:val="31"/>
        </w:numPr>
      </w:pPr>
      <w:r w:rsidRPr="00707C3D">
        <w:lastRenderedPageBreak/>
        <w:t xml:space="preserve">ability for the passenger to claim directly from the insurer, </w:t>
      </w:r>
      <w:r>
        <w:t xml:space="preserve">but </w:t>
      </w:r>
      <w:r w:rsidRPr="00707C3D">
        <w:t xml:space="preserve">which may impose an increased </w:t>
      </w:r>
      <w:r>
        <w:t xml:space="preserve">workload </w:t>
      </w:r>
      <w:r w:rsidRPr="00707C3D">
        <w:t>on insurers;</w:t>
      </w:r>
    </w:p>
    <w:p w14:paraId="1FB440CD" w14:textId="77777777" w:rsidR="002252CB" w:rsidRPr="00707C3D" w:rsidRDefault="002252CB" w:rsidP="002252CB">
      <w:pPr>
        <w:numPr>
          <w:ilvl w:val="0"/>
          <w:numId w:val="31"/>
        </w:numPr>
      </w:pPr>
      <w:r w:rsidRPr="00707C3D">
        <w:t>international consistency and standard regulation for insurance and claims;</w:t>
      </w:r>
    </w:p>
    <w:p w14:paraId="6126B517" w14:textId="77777777" w:rsidR="002252CB" w:rsidRPr="00707C3D" w:rsidRDefault="002252CB" w:rsidP="002252CB">
      <w:pPr>
        <w:numPr>
          <w:ilvl w:val="0"/>
          <w:numId w:val="31"/>
        </w:numPr>
      </w:pPr>
      <w:r w:rsidRPr="00707C3D">
        <w:t>legal costs should remain relatively the same, although there could be a shift in the required legal hours/workload from passengers to cruise operators;</w:t>
      </w:r>
    </w:p>
    <w:p w14:paraId="24FE0B2C" w14:textId="77777777" w:rsidR="002252CB" w:rsidRPr="00707C3D" w:rsidRDefault="002252CB" w:rsidP="002252CB">
      <w:pPr>
        <w:numPr>
          <w:ilvl w:val="0"/>
          <w:numId w:val="31"/>
        </w:numPr>
      </w:pPr>
      <w:r w:rsidRPr="00707C3D">
        <w:t>greater choice of jurisdiction for claimants for court cases;</w:t>
      </w:r>
      <w:r>
        <w:t xml:space="preserve"> and</w:t>
      </w:r>
    </w:p>
    <w:p w14:paraId="0E190CC6" w14:textId="52E7AE05" w:rsidR="002252CB" w:rsidRPr="00707C3D" w:rsidRDefault="002252CB" w:rsidP="00421855">
      <w:pPr>
        <w:numPr>
          <w:ilvl w:val="0"/>
          <w:numId w:val="31"/>
        </w:numPr>
      </w:pPr>
      <w:r w:rsidRPr="00707C3D">
        <w:t>provides for compulsory luggage loss or damage compensat</w:t>
      </w:r>
      <w:r>
        <w:t>ion insurance for passengers.</w:t>
      </w:r>
    </w:p>
    <w:p w14:paraId="0B7F33D1" w14:textId="77777777" w:rsidR="00707C3D" w:rsidRPr="00707C3D" w:rsidRDefault="00707C3D" w:rsidP="00707C3D"/>
    <w:p w14:paraId="74A7794E" w14:textId="5FF68A73" w:rsidR="00522354" w:rsidRDefault="00707C3D" w:rsidP="00707C3D">
      <w:r w:rsidRPr="00707C3D">
        <w:rPr>
          <w:b/>
        </w:rPr>
        <w:t>Option 3</w:t>
      </w:r>
      <w:r w:rsidR="00522354">
        <w:rPr>
          <w:b/>
        </w:rPr>
        <w:t>a</w:t>
      </w:r>
      <w:r w:rsidRPr="00707C3D">
        <w:t xml:space="preserve"> The cruise operator must hold mandatory liability insurance </w:t>
      </w:r>
      <w:r w:rsidR="00F74B76">
        <w:t>up</w:t>
      </w:r>
      <w:r w:rsidR="00F74B76" w:rsidRPr="00707C3D">
        <w:t xml:space="preserve"> </w:t>
      </w:r>
      <w:r w:rsidRPr="00707C3D">
        <w:t>to a minimum of 250,000 SDR</w:t>
      </w:r>
      <w:r w:rsidR="00720B41">
        <w:t xml:space="preserve"> per passenger</w:t>
      </w:r>
      <w:r w:rsidRPr="00707C3D">
        <w:t>. Passengers will have access to a guaranteed amount of insurance funds in the event of shipping incident</w:t>
      </w:r>
      <w:r w:rsidR="00720B41">
        <w:t>.</w:t>
      </w:r>
      <w:r w:rsidR="00720B41" w:rsidRPr="00720B41">
        <w:t xml:space="preserve"> </w:t>
      </w:r>
      <w:r w:rsidR="00720B41">
        <w:t>Passengers can access an</w:t>
      </w:r>
      <w:r w:rsidR="00720B41" w:rsidRPr="00707C3D">
        <w:t xml:space="preserve"> upper limit tier 2 </w:t>
      </w:r>
      <w:r w:rsidR="001B698B">
        <w:t xml:space="preserve">liability </w:t>
      </w:r>
      <w:r w:rsidR="00720B41">
        <w:t>of 400,000 SDR</w:t>
      </w:r>
      <w:r w:rsidR="00720B41" w:rsidRPr="00707C3D">
        <w:t>, unless the carrier proves that the incident which caused the loss occurred without the fault or neglect of the carrier.</w:t>
      </w:r>
      <w:r w:rsidR="00720B41">
        <w:t xml:space="preserve"> </w:t>
      </w:r>
      <w:r w:rsidRPr="00707C3D">
        <w:t xml:space="preserve"> </w:t>
      </w:r>
    </w:p>
    <w:p w14:paraId="6FD35E10" w14:textId="77777777" w:rsidR="00522354" w:rsidRDefault="00522354" w:rsidP="00D87497">
      <w:pPr>
        <w:pStyle w:val="ListParagraph"/>
      </w:pPr>
    </w:p>
    <w:p w14:paraId="29F37F84" w14:textId="472EAC0A" w:rsidR="00707C3D" w:rsidRPr="00707C3D" w:rsidRDefault="00707C3D" w:rsidP="00707C3D">
      <w:r w:rsidRPr="00D87497">
        <w:rPr>
          <w:b/>
        </w:rPr>
        <w:t>Option 3b</w:t>
      </w:r>
      <w:r w:rsidR="00522354">
        <w:rPr>
          <w:b/>
        </w:rPr>
        <w:t>*</w:t>
      </w:r>
      <w:r w:rsidRPr="00707C3D">
        <w:t xml:space="preserve"> </w:t>
      </w:r>
      <w:r w:rsidR="00D87497">
        <w:t xml:space="preserve">is similar to Option 3a but </w:t>
      </w:r>
      <w:r w:rsidRPr="00707C3D">
        <w:t xml:space="preserve">provides </w:t>
      </w:r>
      <w:r w:rsidR="001B698B">
        <w:t xml:space="preserve">an option to set a </w:t>
      </w:r>
      <w:r w:rsidRPr="00707C3D">
        <w:t>greater amo</w:t>
      </w:r>
      <w:r w:rsidR="001B698B">
        <w:t>unt of upper limit tier 2 funds</w:t>
      </w:r>
      <w:r w:rsidR="00D87497">
        <w:t xml:space="preserve"> greater than 400,000 SDR</w:t>
      </w:r>
      <w:r w:rsidRPr="00707C3D">
        <w:t>.</w:t>
      </w:r>
    </w:p>
    <w:p w14:paraId="7D6FB355" w14:textId="77777777" w:rsidR="00707C3D" w:rsidRPr="00707C3D" w:rsidRDefault="00707C3D" w:rsidP="00707C3D"/>
    <w:p w14:paraId="413FAF8D" w14:textId="2D759E39" w:rsidR="00707C3D" w:rsidRPr="00707C3D" w:rsidRDefault="00707C3D" w:rsidP="00707C3D">
      <w:r w:rsidRPr="00707C3D">
        <w:rPr>
          <w:b/>
        </w:rPr>
        <w:t>Option 4</w:t>
      </w:r>
      <w:r w:rsidRPr="00707C3D">
        <w:t xml:space="preserve"> extends the Convention to ‘voyages to nowhere’ and smaller Australian domestic operators</w:t>
      </w:r>
      <w:r w:rsidR="00F74B76">
        <w:t>, providing</w:t>
      </w:r>
      <w:r w:rsidRPr="00707C3D">
        <w:t xml:space="preserve"> for a uniform liability requirement regardless of voyage type.</w:t>
      </w:r>
    </w:p>
    <w:p w14:paraId="2B3672CF" w14:textId="703D41C4" w:rsidR="00707C3D" w:rsidRPr="00707C3D" w:rsidRDefault="00707C3D"/>
    <w:p w14:paraId="62DF3987" w14:textId="77777777" w:rsidR="00707C3D" w:rsidRPr="00707C3D" w:rsidRDefault="00707C3D" w:rsidP="00707C3D"/>
    <w:p w14:paraId="28AED114" w14:textId="3BD7F18A" w:rsidR="00707C3D" w:rsidRPr="00707C3D" w:rsidRDefault="00707C3D" w:rsidP="00707C3D">
      <w:pPr>
        <w:numPr>
          <w:ilvl w:val="0"/>
          <w:numId w:val="29"/>
        </w:numPr>
      </w:pPr>
      <w:r w:rsidRPr="00707C3D">
        <w:rPr>
          <w:i/>
        </w:rPr>
        <w:t>Who will you consult and how will you consult them?</w:t>
      </w:r>
    </w:p>
    <w:p w14:paraId="5597A85B" w14:textId="77777777" w:rsidR="00707C3D" w:rsidRPr="00707C3D" w:rsidRDefault="00707C3D" w:rsidP="00707C3D"/>
    <w:p w14:paraId="36229ED3" w14:textId="43E4BD71" w:rsidR="00707C3D" w:rsidRPr="00707C3D" w:rsidRDefault="00707C3D" w:rsidP="00707C3D">
      <w:r w:rsidRPr="00707C3D">
        <w:t xml:space="preserve">In November 2017 the Department conducted a consultation process and published a Discussion Paper, seeking submissions from relevant organisations and parties. Five submissions were received from Carnival Australia; Royal Caribbean Cruises; Professor Kate Lewins; Professor Nicholas Gaskell; and the Maritime Law Association of Australia and New Zealand. </w:t>
      </w:r>
      <w:r w:rsidRPr="00C659A8">
        <w:t xml:space="preserve">This exercise set the groundwork for the development of the options </w:t>
      </w:r>
      <w:r w:rsidR="00C659A8">
        <w:t xml:space="preserve">used in </w:t>
      </w:r>
      <w:r w:rsidRPr="00C659A8">
        <w:t>the RIS.</w:t>
      </w:r>
    </w:p>
    <w:p w14:paraId="6933D07A" w14:textId="77777777" w:rsidR="00707C3D" w:rsidRPr="00707C3D" w:rsidRDefault="00707C3D" w:rsidP="00707C3D"/>
    <w:p w14:paraId="03D1D1A2" w14:textId="0D3D63E7" w:rsidR="00707C3D" w:rsidRPr="00707C3D" w:rsidRDefault="00707C3D" w:rsidP="00707C3D">
      <w:r w:rsidRPr="00707C3D">
        <w:t xml:space="preserve">In November 2019 the Department engaged the consultancy, NineSquared Pty Ltd, to comprehensively research the </w:t>
      </w:r>
      <w:r w:rsidR="00F74B76">
        <w:t>problem</w:t>
      </w:r>
      <w:r w:rsidRPr="00707C3D">
        <w:t xml:space="preserve">, undertake a consultation process and develop the RIS. NineSquared initially developed a summary of options paper for distribution, with a survey and consulted with the cruise and maritime industry, legal sector, government, insurance and consumer groups. NineSquared’s consultation process was through a variety of channels including online survey, phone discussion, email and face to face meetings. </w:t>
      </w:r>
    </w:p>
    <w:p w14:paraId="2363EA40" w14:textId="77777777" w:rsidR="00707C3D" w:rsidRPr="00707C3D" w:rsidRDefault="00707C3D" w:rsidP="00707C3D"/>
    <w:p w14:paraId="4B1E6E25" w14:textId="0E9C8C15" w:rsidR="00707C3D" w:rsidRPr="00707C3D" w:rsidRDefault="00707C3D" w:rsidP="00707C3D">
      <w:r w:rsidRPr="00707C3D">
        <w:t xml:space="preserve">The Department undertook </w:t>
      </w:r>
      <w:r w:rsidR="001B698B">
        <w:t xml:space="preserve">separate </w:t>
      </w:r>
      <w:r w:rsidRPr="00707C3D">
        <w:t xml:space="preserve">consultation with relevant </w:t>
      </w:r>
      <w:r w:rsidR="00F74B76">
        <w:t>Australian</w:t>
      </w:r>
      <w:r w:rsidR="00F74B76" w:rsidRPr="00707C3D">
        <w:t xml:space="preserve"> </w:t>
      </w:r>
      <w:r w:rsidRPr="00707C3D">
        <w:t xml:space="preserve">Government </w:t>
      </w:r>
      <w:r w:rsidR="00F74B76">
        <w:t>departments and agencies</w:t>
      </w:r>
      <w:r w:rsidRPr="00707C3D">
        <w:t>, mainly through email, providing that feedback to NineSquared for the development of the RIS.</w:t>
      </w:r>
    </w:p>
    <w:p w14:paraId="69745390" w14:textId="77777777" w:rsidR="00707C3D" w:rsidRPr="00707C3D" w:rsidRDefault="00707C3D" w:rsidP="00707C3D"/>
    <w:p w14:paraId="2EB69826" w14:textId="77777777" w:rsidR="00707C3D" w:rsidRPr="00707C3D" w:rsidRDefault="00707C3D" w:rsidP="00707C3D"/>
    <w:p w14:paraId="2DF7C5AB" w14:textId="0CC080C9" w:rsidR="00707C3D" w:rsidRPr="00707C3D" w:rsidRDefault="00707C3D" w:rsidP="00707C3D">
      <w:pPr>
        <w:numPr>
          <w:ilvl w:val="0"/>
          <w:numId w:val="29"/>
        </w:numPr>
      </w:pPr>
      <w:r w:rsidRPr="00707C3D">
        <w:rPr>
          <w:i/>
        </w:rPr>
        <w:t>What is the best option from those you have considered?</w:t>
      </w:r>
      <w:r w:rsidRPr="00707C3D">
        <w:t xml:space="preserve"> </w:t>
      </w:r>
    </w:p>
    <w:p w14:paraId="1566FF20" w14:textId="77777777" w:rsidR="00707C3D" w:rsidRPr="00707C3D" w:rsidRDefault="00707C3D" w:rsidP="00707C3D"/>
    <w:p w14:paraId="2B562579" w14:textId="5EDAC170" w:rsidR="00707C3D" w:rsidRPr="00707C3D" w:rsidRDefault="00707C3D" w:rsidP="00707C3D">
      <w:r w:rsidRPr="00707C3D">
        <w:t>The conclusion from the RIS is that whilst there are benefits to passengers if Australia were to accede to the Athens Convention</w:t>
      </w:r>
      <w:r w:rsidR="009208E1">
        <w:t xml:space="preserve"> using any of the </w:t>
      </w:r>
      <w:r w:rsidR="008C2AF0">
        <w:t>O</w:t>
      </w:r>
      <w:r w:rsidR="009208E1">
        <w:t xml:space="preserve">ptions </w:t>
      </w:r>
      <w:r w:rsidR="00955CFB">
        <w:t xml:space="preserve">2 </w:t>
      </w:r>
      <w:r w:rsidR="008C2AF0">
        <w:t>to</w:t>
      </w:r>
      <w:r w:rsidR="00955CFB">
        <w:t xml:space="preserve"> 4 </w:t>
      </w:r>
      <w:r w:rsidR="009208E1">
        <w:t>outlined above</w:t>
      </w:r>
      <w:r w:rsidRPr="00707C3D">
        <w:t>, there is no strong or urgent case for government action.</w:t>
      </w:r>
    </w:p>
    <w:p w14:paraId="22E86B4D" w14:textId="07CC070C" w:rsidR="00707C3D" w:rsidRDefault="00707C3D" w:rsidP="00706738">
      <w:pPr>
        <w:numPr>
          <w:ilvl w:val="0"/>
          <w:numId w:val="0"/>
        </w:numPr>
      </w:pPr>
    </w:p>
    <w:p w14:paraId="4969225E" w14:textId="2B8FA1D8" w:rsidR="00707C3D" w:rsidRPr="00707C3D" w:rsidRDefault="00774134" w:rsidP="00800482">
      <w:pPr>
        <w:numPr>
          <w:ilvl w:val="0"/>
          <w:numId w:val="0"/>
        </w:numPr>
      </w:pPr>
      <w:r>
        <w:t xml:space="preserve">Any </w:t>
      </w:r>
      <w:r w:rsidR="005518CF">
        <w:t xml:space="preserve">benefits to passengers, including greater clarity </w:t>
      </w:r>
      <w:r w:rsidR="00971620">
        <w:t>o</w:t>
      </w:r>
      <w:r w:rsidR="00C47F08">
        <w:t>n</w:t>
      </w:r>
      <w:r w:rsidR="005518CF">
        <w:t xml:space="preserve"> injury </w:t>
      </w:r>
      <w:r w:rsidR="00971620">
        <w:t xml:space="preserve">liability </w:t>
      </w:r>
      <w:r w:rsidR="005518CF">
        <w:t xml:space="preserve">outside of Australian waters, would be outweighed </w:t>
      </w:r>
      <w:r w:rsidR="00971620">
        <w:t xml:space="preserve">by </w:t>
      </w:r>
      <w:r w:rsidR="005518CF">
        <w:t>the regulatory burden on the cruise industry</w:t>
      </w:r>
      <w:r w:rsidR="00971620">
        <w:t xml:space="preserve"> and </w:t>
      </w:r>
      <w:r>
        <w:t>the</w:t>
      </w:r>
      <w:r w:rsidR="00B57D9E">
        <w:t xml:space="preserve"> considerable </w:t>
      </w:r>
      <w:r w:rsidR="00B55EC8">
        <w:t>work required by all</w:t>
      </w:r>
      <w:r w:rsidR="00B57D9E">
        <w:t xml:space="preserve"> Australian, state and territory governments to implement the Athens Convention. </w:t>
      </w:r>
      <w:r w:rsidR="00B55EC8">
        <w:t xml:space="preserve">Accession to the Athens </w:t>
      </w:r>
      <w:r w:rsidR="00436AC3">
        <w:t>Convention</w:t>
      </w:r>
      <w:r w:rsidR="00B55EC8">
        <w:t xml:space="preserve"> would require amendments to the Australian Consumer Law </w:t>
      </w:r>
      <w:r w:rsidR="00800482">
        <w:t xml:space="preserve">that is </w:t>
      </w:r>
      <w:r w:rsidR="00B55EC8">
        <w:t xml:space="preserve">model legislation that has </w:t>
      </w:r>
      <w:r w:rsidR="00436AC3">
        <w:t>been</w:t>
      </w:r>
      <w:r w:rsidR="00B55EC8">
        <w:t xml:space="preserve"> </w:t>
      </w:r>
      <w:r w:rsidR="00800482">
        <w:t xml:space="preserve">implemented </w:t>
      </w:r>
      <w:r w:rsidR="00B55EC8">
        <w:t xml:space="preserve">in </w:t>
      </w:r>
      <w:r w:rsidR="00436AC3">
        <w:t>every</w:t>
      </w:r>
      <w:r w:rsidR="00B55EC8">
        <w:t xml:space="preserve"> Australian </w:t>
      </w:r>
      <w:r w:rsidR="00436AC3">
        <w:t>jurisdiction</w:t>
      </w:r>
      <w:r w:rsidR="00B55EC8">
        <w:t xml:space="preserve">. </w:t>
      </w:r>
      <w:r w:rsidR="00436AC3">
        <w:t xml:space="preserve">The amendments </w:t>
      </w:r>
      <w:r w:rsidR="00436AC3">
        <w:lastRenderedPageBreak/>
        <w:t>would need to be agreed</w:t>
      </w:r>
      <w:r w:rsidR="00C47F08">
        <w:t xml:space="preserve"> to</w:t>
      </w:r>
      <w:r w:rsidR="00436AC3">
        <w:t xml:space="preserve"> nationally and passed by </w:t>
      </w:r>
      <w:r w:rsidR="00C47F08">
        <w:t xml:space="preserve">each </w:t>
      </w:r>
      <w:r w:rsidR="00436AC3">
        <w:t>parliament before the Athens Convention could be signed.</w:t>
      </w:r>
    </w:p>
    <w:p w14:paraId="61584F3B" w14:textId="77777777" w:rsidR="00707C3D" w:rsidRPr="00707C3D" w:rsidRDefault="00707C3D" w:rsidP="00707C3D"/>
    <w:p w14:paraId="13E47788" w14:textId="62EB46E6" w:rsidR="00707C3D" w:rsidRPr="00707C3D" w:rsidRDefault="00707C3D" w:rsidP="00707C3D">
      <w:r w:rsidRPr="00707C3D">
        <w:t xml:space="preserve">Although the analysis was undertaken before the </w:t>
      </w:r>
      <w:r w:rsidR="00F74B76">
        <w:t>full impacts</w:t>
      </w:r>
      <w:r w:rsidR="00F74B76" w:rsidRPr="00707C3D">
        <w:t xml:space="preserve"> </w:t>
      </w:r>
      <w:r w:rsidRPr="00707C3D">
        <w:t>of the COVID-19 situation</w:t>
      </w:r>
      <w:r w:rsidR="00F74B76">
        <w:t xml:space="preserve"> are know</w:t>
      </w:r>
      <w:r w:rsidR="001E1662">
        <w:t>n</w:t>
      </w:r>
      <w:r w:rsidR="00F74B76">
        <w:t>,</w:t>
      </w:r>
      <w:r w:rsidRPr="00707C3D">
        <w:t xml:space="preserve"> it is clear that the cruise industry will be significantly affected. There is also some </w:t>
      </w:r>
      <w:r w:rsidR="001C7965">
        <w:t xml:space="preserve">noteworthy </w:t>
      </w:r>
      <w:r w:rsidRPr="00707C3D">
        <w:t>legal action currently underway regarding the liability of cruise ships. Given the changing circumstances and the lack of an urgent case for action, it is recommended that the government consider deferring action until the implications are clearer.</w:t>
      </w:r>
    </w:p>
    <w:p w14:paraId="3ECA61DD" w14:textId="77777777" w:rsidR="00707C3D" w:rsidRPr="00707C3D" w:rsidRDefault="00707C3D" w:rsidP="00707C3D"/>
    <w:p w14:paraId="751943BB" w14:textId="75B2F7C5" w:rsidR="00707C3D" w:rsidRPr="00707C3D" w:rsidRDefault="00707C3D" w:rsidP="00707C3D">
      <w:r w:rsidRPr="00707C3D">
        <w:t xml:space="preserve">The recommendation is </w:t>
      </w:r>
      <w:r w:rsidR="00AC6F42" w:rsidRPr="00707C3D">
        <w:t>therefore Option 1</w:t>
      </w:r>
      <w:r w:rsidR="00AC6F42">
        <w:t xml:space="preserve">, </w:t>
      </w:r>
      <w:r w:rsidRPr="00707C3D">
        <w:t>to remain with the status quo.</w:t>
      </w:r>
    </w:p>
    <w:p w14:paraId="65486514" w14:textId="77777777" w:rsidR="00707C3D" w:rsidRPr="00707C3D" w:rsidRDefault="00707C3D" w:rsidP="00707C3D"/>
    <w:p w14:paraId="255A8BC1" w14:textId="77777777" w:rsidR="00707C3D" w:rsidRPr="00707C3D" w:rsidRDefault="00707C3D" w:rsidP="00707C3D"/>
    <w:p w14:paraId="1DB03CA3" w14:textId="48700B3A" w:rsidR="00707C3D" w:rsidRPr="00707C3D" w:rsidRDefault="00707C3D" w:rsidP="00707C3D">
      <w:pPr>
        <w:numPr>
          <w:ilvl w:val="0"/>
          <w:numId w:val="29"/>
        </w:numPr>
      </w:pPr>
      <w:r w:rsidRPr="00707C3D">
        <w:rPr>
          <w:i/>
        </w:rPr>
        <w:t>How will you implement and evaluate your chosen optio</w:t>
      </w:r>
      <w:r w:rsidR="00533D05">
        <w:rPr>
          <w:i/>
        </w:rPr>
        <w:t>n?</w:t>
      </w:r>
    </w:p>
    <w:p w14:paraId="0D1304AC" w14:textId="77777777" w:rsidR="00707C3D" w:rsidRPr="00707C3D" w:rsidRDefault="00707C3D" w:rsidP="00707C3D"/>
    <w:p w14:paraId="2DA6EA97" w14:textId="56F83D67" w:rsidR="00707C3D" w:rsidRDefault="00707C3D" w:rsidP="00707C3D">
      <w:r w:rsidRPr="00707C3D">
        <w:t>No action is required for Option 1. The Department will continue to monitor and review whether circumstances have sufficiently changed, particularly with regard to the effect of COVID-19 on the cruise industry, to reconsider the issue of Australia acceding to the Athens Convention.</w:t>
      </w:r>
    </w:p>
    <w:p w14:paraId="06AB5769" w14:textId="77777777" w:rsidR="007F27F4" w:rsidRPr="00707C3D" w:rsidRDefault="007F27F4" w:rsidP="00707C3D"/>
    <w:p w14:paraId="77826DDB" w14:textId="262AF885" w:rsidR="00707C3D" w:rsidRPr="00707C3D" w:rsidRDefault="00707C3D" w:rsidP="00707C3D">
      <w:r w:rsidRPr="00707C3D">
        <w:t xml:space="preserve">I submit the draft RIS to the Office of Best Practice Regulation for </w:t>
      </w:r>
      <w:r w:rsidR="004D5E63">
        <w:t>final assessment</w:t>
      </w:r>
      <w:r w:rsidRPr="00707C3D">
        <w:t>.</w:t>
      </w:r>
    </w:p>
    <w:p w14:paraId="63148BB7" w14:textId="0971458B" w:rsidR="00402F56" w:rsidRPr="00707C3D" w:rsidRDefault="00402F56" w:rsidP="001606C4">
      <w:pPr>
        <w:numPr>
          <w:ilvl w:val="0"/>
          <w:numId w:val="0"/>
        </w:numPr>
      </w:pPr>
    </w:p>
    <w:p w14:paraId="63148BC8" w14:textId="77777777" w:rsidR="005C5B63" w:rsidRDefault="004C7D4D" w:rsidP="00F9519A">
      <w:pPr>
        <w:pStyle w:val="Normal-DOTARS"/>
        <w:numPr>
          <w:ilvl w:val="0"/>
          <w:numId w:val="0"/>
        </w:numPr>
      </w:pPr>
      <w:r>
        <w:t>Yours sincerely</w:t>
      </w:r>
    </w:p>
    <w:p w14:paraId="63148BC9" w14:textId="77777777" w:rsidR="00977E5B" w:rsidRDefault="00977E5B" w:rsidP="00F9519A">
      <w:pPr>
        <w:pStyle w:val="Normal-DOTARS"/>
        <w:numPr>
          <w:ilvl w:val="0"/>
          <w:numId w:val="0"/>
        </w:numPr>
      </w:pPr>
    </w:p>
    <w:p w14:paraId="63148BCA" w14:textId="77777777" w:rsidR="00700081" w:rsidRDefault="00700081" w:rsidP="00700081">
      <w:pPr>
        <w:numPr>
          <w:ilvl w:val="0"/>
          <w:numId w:val="0"/>
        </w:numPr>
      </w:pPr>
    </w:p>
    <w:p w14:paraId="63148BCB" w14:textId="77777777" w:rsidR="00700081" w:rsidRPr="00700081" w:rsidRDefault="00700081" w:rsidP="00700081">
      <w:pPr>
        <w:numPr>
          <w:ilvl w:val="0"/>
          <w:numId w:val="0"/>
        </w:numPr>
      </w:pPr>
    </w:p>
    <w:p w14:paraId="63148BCC" w14:textId="70BD9C1C" w:rsidR="00977E5B" w:rsidRDefault="00977E5B" w:rsidP="00F9519A">
      <w:pPr>
        <w:pStyle w:val="Normal-DOTARS"/>
        <w:numPr>
          <w:ilvl w:val="0"/>
          <w:numId w:val="0"/>
        </w:numPr>
      </w:pPr>
    </w:p>
    <w:p w14:paraId="351AC520" w14:textId="59796990" w:rsidR="00533D05" w:rsidRDefault="00533D05" w:rsidP="00533D05">
      <w:pPr>
        <w:numPr>
          <w:ilvl w:val="0"/>
          <w:numId w:val="0"/>
        </w:numPr>
      </w:pPr>
    </w:p>
    <w:p w14:paraId="21D39015" w14:textId="77777777" w:rsidR="00533D05" w:rsidRPr="00533D05" w:rsidRDefault="00533D05" w:rsidP="00533D05">
      <w:pPr>
        <w:numPr>
          <w:ilvl w:val="0"/>
          <w:numId w:val="0"/>
        </w:numPr>
      </w:pPr>
    </w:p>
    <w:p w14:paraId="63148BCD" w14:textId="77777777" w:rsidR="00995805" w:rsidRDefault="004C7D4D" w:rsidP="00F9519A">
      <w:pPr>
        <w:pStyle w:val="SignatureBlock-DOTARS"/>
        <w:rPr>
          <w:rFonts w:ascii="Times" w:hAnsi="Times"/>
          <w:szCs w:val="24"/>
        </w:rPr>
      </w:pPr>
      <w:r>
        <w:rPr>
          <w:rFonts w:ascii="Times" w:hAnsi="Times"/>
          <w:szCs w:val="24"/>
        </w:rPr>
        <w:t>David Hallinan</w:t>
      </w:r>
    </w:p>
    <w:p w14:paraId="63148BCE" w14:textId="77777777" w:rsidR="00A325C1" w:rsidRPr="00995805" w:rsidRDefault="00A325C1" w:rsidP="00F9519A">
      <w:pPr>
        <w:pStyle w:val="SignatureBlock-DOTARS"/>
        <w:rPr>
          <w:szCs w:val="24"/>
        </w:rPr>
      </w:pPr>
    </w:p>
    <w:p w14:paraId="63148BCF" w14:textId="5119F791" w:rsidR="00FB5046" w:rsidRPr="00995805" w:rsidRDefault="004C7D4D" w:rsidP="00E11D95">
      <w:pPr>
        <w:pStyle w:val="SignatureBlock-DOTARS"/>
        <w:rPr>
          <w:szCs w:val="24"/>
        </w:rPr>
      </w:pPr>
      <w:r w:rsidRPr="00995805">
        <w:rPr>
          <w:szCs w:val="24"/>
        </w:rPr>
        <w:t xml:space="preserve">    </w:t>
      </w:r>
      <w:r w:rsidR="00995805">
        <w:rPr>
          <w:szCs w:val="24"/>
        </w:rPr>
        <w:t xml:space="preserve">  </w:t>
      </w:r>
      <w:r w:rsidRPr="00995805">
        <w:rPr>
          <w:szCs w:val="24"/>
        </w:rPr>
        <w:fldChar w:fldCharType="begin"/>
      </w:r>
      <w:r w:rsidRPr="00995805">
        <w:rPr>
          <w:szCs w:val="24"/>
        </w:rPr>
        <w:instrText xml:space="preserve"> TIME \@ "MMMM yyyy" </w:instrText>
      </w:r>
      <w:r w:rsidRPr="00995805">
        <w:rPr>
          <w:szCs w:val="24"/>
        </w:rPr>
        <w:fldChar w:fldCharType="separate"/>
      </w:r>
      <w:r w:rsidR="00434F74">
        <w:rPr>
          <w:noProof/>
          <w:szCs w:val="24"/>
        </w:rPr>
        <w:t>August 2020</w:t>
      </w:r>
      <w:r w:rsidRPr="00995805">
        <w:rPr>
          <w:szCs w:val="24"/>
        </w:rPr>
        <w:fldChar w:fldCharType="end"/>
      </w:r>
    </w:p>
    <w:p w14:paraId="63148BD0" w14:textId="77777777" w:rsidR="00145739" w:rsidRDefault="00145739" w:rsidP="00402F56">
      <w:pPr>
        <w:pStyle w:val="NumberedList-DOTARS"/>
        <w:numPr>
          <w:ilvl w:val="0"/>
          <w:numId w:val="0"/>
        </w:numPr>
        <w:ind w:left="357" w:hanging="357"/>
      </w:pPr>
      <w:bookmarkStart w:id="0" w:name="_GoBack"/>
      <w:bookmarkEnd w:id="0"/>
    </w:p>
    <w:p w14:paraId="63148BD1" w14:textId="63E5E018" w:rsidR="00D67F91" w:rsidRDefault="00D67F91" w:rsidP="004C7D4D">
      <w:pPr>
        <w:pStyle w:val="NumberedList-DOTARS"/>
        <w:numPr>
          <w:ilvl w:val="0"/>
          <w:numId w:val="0"/>
        </w:numPr>
      </w:pPr>
    </w:p>
    <w:sectPr w:rsidR="00D67F91" w:rsidSect="00B85BC3">
      <w:footerReference w:type="default" r:id="rId12"/>
      <w:headerReference w:type="first" r:id="rId13"/>
      <w:footerReference w:type="first" r:id="rId14"/>
      <w:pgSz w:w="11906" w:h="16838" w:code="9"/>
      <w:pgMar w:top="1276" w:right="964" w:bottom="397" w:left="964" w:header="39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7EB82" w14:textId="77777777" w:rsidR="00294098" w:rsidRDefault="00294098">
      <w:r>
        <w:separator/>
      </w:r>
    </w:p>
  </w:endnote>
  <w:endnote w:type="continuationSeparator" w:id="0">
    <w:p w14:paraId="2FC9402F" w14:textId="77777777" w:rsidR="00294098" w:rsidRDefault="0029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8BD3" w14:textId="551C60C2" w:rsidR="00A92C03" w:rsidRPr="00091DB4" w:rsidRDefault="00E2035B" w:rsidP="00A92C03">
    <w:pPr>
      <w:pStyle w:val="FooterClassification"/>
      <w:rPr>
        <w:rStyle w:val="Footer-DOTARSChar"/>
      </w:rPr>
    </w:pPr>
    <w:sdt>
      <w:sdtPr>
        <w:rPr>
          <w:spacing w:val="10"/>
          <w:sz w:val="17"/>
          <w:szCs w:val="24"/>
        </w:rPr>
        <w:alias w:val="sec class"/>
        <w:tag w:val="SecurityClassification"/>
        <w:id w:val="-559025518"/>
        <w:text/>
      </w:sdtPr>
      <w:sdtEndPr/>
      <w:sdtContent>
        <w:r w:rsidR="00D66023">
          <w:rPr>
            <w:szCs w:val="24"/>
            <w:bdr w:val="nil"/>
          </w:rPr>
          <w:t xml:space="preserve">  </w:t>
        </w:r>
      </w:sdtContent>
    </w:sdt>
  </w:p>
  <w:p w14:paraId="63148BD4" w14:textId="100C15BA" w:rsidR="004A51E5" w:rsidRPr="00A92C03" w:rsidRDefault="004C7D4D" w:rsidP="00A92C03">
    <w:pPr>
      <w:pStyle w:val="Footer"/>
      <w:jc w:val="center"/>
    </w:pPr>
    <w:r>
      <w:rPr>
        <w:rStyle w:val="PageNumber"/>
      </w:rPr>
      <w:fldChar w:fldCharType="begin"/>
    </w:r>
    <w:r>
      <w:rPr>
        <w:rStyle w:val="PageNumber"/>
      </w:rPr>
      <w:instrText xml:space="preserve"> PAGE </w:instrText>
    </w:r>
    <w:r>
      <w:rPr>
        <w:rStyle w:val="PageNumber"/>
      </w:rPr>
      <w:fldChar w:fldCharType="separate"/>
    </w:r>
    <w:r w:rsidR="00E2035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8BDE" w14:textId="77777777" w:rsidR="004A51E5" w:rsidRPr="009B6657" w:rsidRDefault="004C7D4D">
    <w:pPr>
      <w:pStyle w:val="Footer-DOTARS"/>
      <w:rPr>
        <w:rFonts w:ascii="Times New Roman" w:hAnsi="Times New Roman"/>
        <w:color w:val="000000"/>
        <w:szCs w:val="17"/>
        <w:lang w:val="en-US"/>
      </w:rPr>
    </w:pPr>
    <w:r w:rsidRPr="009B6657">
      <w:rPr>
        <w:rFonts w:ascii="Times New Roman" w:hAnsi="Times New Roman"/>
        <w:color w:val="000000"/>
        <w:szCs w:val="17"/>
        <w:lang w:val="en-US"/>
      </w:rPr>
      <w:t xml:space="preserve">GPO Box 594  Canberra  ACT  2601 Australia </w:t>
    </w:r>
    <w:r w:rsidRPr="009B6657">
      <w:rPr>
        <w:rFonts w:ascii="Symbol" w:hAnsi="Symbol"/>
        <w:color w:val="000000"/>
        <w:szCs w:val="17"/>
        <w:lang w:val="en-US"/>
      </w:rPr>
      <w:sym w:font="Symbol" w:char="F0B7"/>
    </w:r>
    <w:r w:rsidRPr="009B6657">
      <w:rPr>
        <w:rFonts w:ascii="Times New Roman" w:hAnsi="Times New Roman"/>
        <w:color w:val="000000"/>
        <w:szCs w:val="17"/>
        <w:lang w:val="en-US"/>
      </w:rPr>
      <w:t xml:space="preserve"> Telephone: </w:t>
    </w:r>
    <w:r w:rsidRPr="000B4549">
      <w:rPr>
        <w:rFonts w:ascii="Times New Roman" w:hAnsi="Times New Roman"/>
        <w:color w:val="000000"/>
        <w:szCs w:val="17"/>
        <w:lang w:val="en-US"/>
      </w:rPr>
      <w:t>02 6274</w:t>
    </w:r>
    <w:r>
      <w:rPr>
        <w:rFonts w:ascii="Times New Roman" w:hAnsi="Times New Roman"/>
      </w:rPr>
      <w:t xml:space="preserve"> 7573 </w:t>
    </w:r>
    <w:r w:rsidRPr="009B6657">
      <w:rPr>
        <w:rFonts w:ascii="Symbol" w:hAnsi="Symbol"/>
        <w:color w:val="000000"/>
        <w:szCs w:val="17"/>
        <w:lang w:val="en-US"/>
      </w:rPr>
      <w:sym w:font="Symbol" w:char="F0B7"/>
    </w:r>
    <w:r w:rsidRPr="009B6657">
      <w:rPr>
        <w:rFonts w:ascii="Times New Roman" w:hAnsi="Times New Roman"/>
        <w:color w:val="000000"/>
        <w:szCs w:val="17"/>
        <w:lang w:val="en-US"/>
      </w:rPr>
      <w:t xml:space="preserve"> Facsimile: 02 6274 8166</w:t>
    </w:r>
  </w:p>
  <w:p w14:paraId="63148BDF" w14:textId="77777777" w:rsidR="004A51E5" w:rsidRPr="009B6657" w:rsidRDefault="004C7D4D">
    <w:pPr>
      <w:pStyle w:val="Footer-DOTARS"/>
      <w:rPr>
        <w:rFonts w:ascii="Times New Roman" w:hAnsi="Times New Roman"/>
        <w:color w:val="000000"/>
        <w:szCs w:val="17"/>
        <w:lang w:val="en-US"/>
      </w:rPr>
    </w:pPr>
    <w:r w:rsidRPr="009B6657">
      <w:rPr>
        <w:rFonts w:ascii="Times New Roman" w:hAnsi="Times New Roman"/>
        <w:color w:val="000000"/>
        <w:szCs w:val="17"/>
        <w:lang w:val="en-US"/>
      </w:rPr>
      <w:t xml:space="preserve">Website: www.infrastructure.gov.au </w:t>
    </w:r>
    <w:r w:rsidRPr="009B6657">
      <w:rPr>
        <w:rFonts w:ascii="Symbol" w:hAnsi="Symbol"/>
        <w:color w:val="000000"/>
        <w:szCs w:val="17"/>
        <w:lang w:val="en-US"/>
      </w:rPr>
      <w:sym w:font="Symbol" w:char="F0B7"/>
    </w:r>
    <w:r w:rsidRPr="009B6657">
      <w:rPr>
        <w:rFonts w:ascii="Times New Roman" w:hAnsi="Times New Roman"/>
        <w:color w:val="000000"/>
        <w:szCs w:val="17"/>
        <w:lang w:val="en-US"/>
      </w:rPr>
      <w:t xml:space="preserve"> ABN  86 267 354 017</w:t>
    </w:r>
    <w:bookmarkStart w:id="1" w:name="ExSecurityClassification"/>
  </w:p>
  <w:p w14:paraId="63148BE0" w14:textId="77777777" w:rsidR="004A51E5" w:rsidRPr="0061692E" w:rsidRDefault="004A51E5">
    <w:pPr>
      <w:pStyle w:val="Footer-DOTARS"/>
      <w:rPr>
        <w:rFonts w:ascii="Times New Roman" w:hAnsi="Times New Roman"/>
        <w:szCs w:val="17"/>
        <w:lang w:val="en-US"/>
      </w:rPr>
    </w:pPr>
  </w:p>
  <w:bookmarkEnd w:id="1"/>
  <w:p w14:paraId="63148BE1" w14:textId="4996A47D" w:rsidR="004A51E5" w:rsidRPr="00091DB4" w:rsidRDefault="004C7D4D" w:rsidP="00E5308D">
    <w:pPr>
      <w:pStyle w:val="FooterClassification"/>
      <w:numPr>
        <w:ilvl w:val="0"/>
        <w:numId w:val="0"/>
      </w:numPr>
      <w:jc w:val="left"/>
      <w:rPr>
        <w:rStyle w:val="Footer-DOTARSChar"/>
      </w:rPr>
    </w:pPr>
    <w:r>
      <w:ptab w:relativeTo="margin" w:alignment="center" w:leader="none"/>
    </w:r>
    <w:sdt>
      <w:sdtPr>
        <w:rPr>
          <w:szCs w:val="24"/>
        </w:rPr>
        <w:alias w:val="sec class"/>
        <w:tag w:val="SecurityClassification"/>
        <w:id w:val="1934540478"/>
        <w:text/>
      </w:sdtPr>
      <w:sdtEndPr/>
      <w:sdtContent>
        <w:r>
          <w:rPr>
            <w:szCs w:val="24"/>
            <w:bdr w:val="nil"/>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1606" w14:textId="77777777" w:rsidR="00294098" w:rsidRDefault="00294098">
      <w:r>
        <w:separator/>
      </w:r>
    </w:p>
  </w:footnote>
  <w:footnote w:type="continuationSeparator" w:id="0">
    <w:p w14:paraId="52DF608A" w14:textId="77777777" w:rsidR="00294098" w:rsidRDefault="00294098">
      <w:r>
        <w:continuationSeparator/>
      </w:r>
    </w:p>
  </w:footnote>
  <w:footnote w:id="1">
    <w:p w14:paraId="197F4407" w14:textId="1921086E" w:rsidR="00522354" w:rsidRDefault="00522354">
      <w:pPr>
        <w:pStyle w:val="FootnoteText"/>
      </w:pPr>
      <w:r>
        <w:rPr>
          <w:rStyle w:val="FootnoteReference"/>
        </w:rPr>
        <w:footnoteRef/>
      </w:r>
      <w:r>
        <w:t xml:space="preserve"> </w:t>
      </w:r>
      <w:r w:rsidRPr="00522354">
        <w:t>SDR - Special Drawing Rights which are a supplementary foreign-exchange reserve asset defined and maintained by the International Monetary Fund</w:t>
      </w:r>
      <w:r w:rsidR="00791D21">
        <w:t xml:space="preserve"> (IMF)</w:t>
      </w:r>
      <w:r w:rsidRPr="00522354">
        <w:t>. The SDR is an artificial unit of account for the IMF, and is not a currency per se. An SDR instead represents a claim to currency held by IMF member countries for which they may be exchanged. On 13</w:t>
      </w:r>
      <w:r w:rsidR="00A94959">
        <w:t> </w:t>
      </w:r>
      <w:r w:rsidRPr="00522354">
        <w:t>November</w:t>
      </w:r>
      <w:r w:rsidR="00A94959">
        <w:t> </w:t>
      </w:r>
      <w:r w:rsidRPr="00522354">
        <w:t>2019, 1 SDR = AUD $2.00724</w:t>
      </w:r>
      <w:r w:rsidR="00791D2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2" w:type="dxa"/>
      <w:tblInd w:w="82" w:type="dxa"/>
      <w:tblLayout w:type="fixed"/>
      <w:tblLook w:val="0000" w:firstRow="0" w:lastRow="0" w:firstColumn="0" w:lastColumn="0" w:noHBand="0" w:noVBand="0"/>
    </w:tblPr>
    <w:tblGrid>
      <w:gridCol w:w="10052"/>
    </w:tblGrid>
    <w:tr w:rsidR="007F4E39" w14:paraId="63148BD6" w14:textId="77777777">
      <w:trPr>
        <w:cantSplit/>
      </w:trPr>
      <w:tc>
        <w:tcPr>
          <w:tcW w:w="10052" w:type="dxa"/>
          <w:vAlign w:val="bottom"/>
        </w:tcPr>
        <w:p w14:paraId="63148BD5" w14:textId="30B13562" w:rsidR="004A51E5" w:rsidRDefault="004C7D4D" w:rsidP="00383665">
          <w:pPr>
            <w:pStyle w:val="SecurityClassification"/>
            <w:numPr>
              <w:ilvl w:val="0"/>
              <w:numId w:val="0"/>
            </w:numPr>
            <w:jc w:val="left"/>
          </w:pPr>
          <w:r>
            <w:ptab w:relativeTo="margin" w:alignment="center" w:leader="none"/>
          </w:r>
          <w:sdt>
            <w:sdtPr>
              <w:rPr>
                <w:szCs w:val="24"/>
              </w:rPr>
              <w:alias w:val="sec class"/>
              <w:tag w:val="SecurityClassification"/>
              <w:id w:val="1524134134"/>
              <w:placeholder>
                <w:docPart w:val="229290F3A4124A23AD77ABE1A90F0C81"/>
              </w:placeholder>
              <w:text/>
            </w:sdtPr>
            <w:sdtEndPr/>
            <w:sdtContent>
              <w:r w:rsidR="00383665">
                <w:rPr>
                  <w:szCs w:val="24"/>
                  <w:bdr w:val="nil"/>
                </w:rPr>
                <w:t xml:space="preserve">  </w:t>
              </w:r>
            </w:sdtContent>
          </w:sdt>
        </w:p>
      </w:tc>
    </w:tr>
    <w:tr w:rsidR="007F4E39" w14:paraId="63148BD8" w14:textId="77777777">
      <w:trPr>
        <w:cantSplit/>
      </w:trPr>
      <w:tc>
        <w:tcPr>
          <w:tcW w:w="10052" w:type="dxa"/>
          <w:vAlign w:val="bottom"/>
        </w:tcPr>
        <w:p w14:paraId="63148BD7" w14:textId="77777777" w:rsidR="004A51E5" w:rsidRDefault="004C7D4D" w:rsidP="00615D73">
          <w:pPr>
            <w:pStyle w:val="Header-DOTARS"/>
            <w:ind w:left="-284"/>
          </w:pPr>
          <w:r>
            <w:t xml:space="preserve"> </w:t>
          </w:r>
          <w:r>
            <w:br/>
          </w:r>
          <w:r w:rsidR="00402F56">
            <w:rPr>
              <w:noProof/>
              <w:sz w:val="20"/>
              <w:lang w:eastAsia="en-AU"/>
            </w:rPr>
            <w:drawing>
              <wp:inline distT="0" distB="0" distL="0" distR="0" wp14:anchorId="63148BE2" wp14:editId="63148BE3">
                <wp:extent cx="3445475" cy="73279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5691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50273" cy="755079"/>
                        </a:xfrm>
                        <a:prstGeom prst="rect">
                          <a:avLst/>
                        </a:prstGeom>
                        <a:noFill/>
                        <a:ln>
                          <a:noFill/>
                        </a:ln>
                      </pic:spPr>
                    </pic:pic>
                  </a:graphicData>
                </a:graphic>
              </wp:inline>
            </w:drawing>
          </w:r>
        </w:p>
      </w:tc>
    </w:tr>
    <w:tr w:rsidR="007F4E39" w14:paraId="63148BDA" w14:textId="77777777">
      <w:trPr>
        <w:cantSplit/>
      </w:trPr>
      <w:tc>
        <w:tcPr>
          <w:tcW w:w="10052" w:type="dxa"/>
          <w:vAlign w:val="bottom"/>
        </w:tcPr>
        <w:p w14:paraId="63148BD9" w14:textId="77777777" w:rsidR="004A51E5" w:rsidRPr="0071074F" w:rsidRDefault="004C7D4D" w:rsidP="00B15602">
          <w:pPr>
            <w:pStyle w:val="SecretaryHeading"/>
            <w:spacing w:before="0" w:after="0"/>
            <w:rPr>
              <w:spacing w:val="20"/>
            </w:rPr>
          </w:pPr>
          <w:r>
            <w:rPr>
              <w:rFonts w:ascii="Times" w:hAnsi="Times"/>
              <w:sz w:val="24"/>
              <w:szCs w:val="24"/>
            </w:rPr>
            <w:t>Deputy Secretary</w:t>
          </w:r>
        </w:p>
      </w:tc>
    </w:tr>
    <w:tr w:rsidR="007F4E39" w14:paraId="63148BDC" w14:textId="77777777">
      <w:trPr>
        <w:cantSplit/>
      </w:trPr>
      <w:tc>
        <w:tcPr>
          <w:tcW w:w="10052" w:type="dxa"/>
          <w:vAlign w:val="bottom"/>
        </w:tcPr>
        <w:p w14:paraId="63148BDB" w14:textId="77777777" w:rsidR="00AD328D" w:rsidRPr="0071074F" w:rsidRDefault="004C7D4D" w:rsidP="00B15602">
          <w:pPr>
            <w:pStyle w:val="SecretaryHeading"/>
            <w:spacing w:before="0" w:after="0"/>
            <w:rPr>
              <w:rFonts w:ascii="Times" w:hAnsi="Times"/>
              <w:sz w:val="24"/>
              <w:szCs w:val="24"/>
            </w:rPr>
          </w:pPr>
          <w:r>
            <w:rPr>
              <w:rFonts w:ascii="Times" w:hAnsi="Times"/>
              <w:sz w:val="24"/>
              <w:szCs w:val="24"/>
            </w:rPr>
            <w:t>David Hallinan</w:t>
          </w:r>
        </w:p>
      </w:tc>
    </w:tr>
  </w:tbl>
  <w:p w14:paraId="63148BDD" w14:textId="77777777" w:rsidR="004A51E5" w:rsidRDefault="004A51E5" w:rsidP="00210CB1">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80CE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5E4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C273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342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A064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BC8D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22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C86ABA"/>
    <w:lvl w:ilvl="0">
      <w:start w:val="1"/>
      <w:numFmt w:val="bullet"/>
      <w:pStyle w:val="CommentTex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89B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EB1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06F2EF42"/>
    <w:lvl w:ilvl="0">
      <w:start w:val="1"/>
      <w:numFmt w:val="decimal"/>
      <w:pStyle w:val="Heading1Num-DOTARS"/>
      <w:suff w:val="space"/>
      <w:lvlText w:val="%1"/>
      <w:lvlJc w:val="left"/>
      <w:pPr>
        <w:ind w:left="0" w:firstLine="0"/>
      </w:pPr>
    </w:lvl>
    <w:lvl w:ilvl="1">
      <w:start w:val="1"/>
      <w:numFmt w:val="decimal"/>
      <w:pStyle w:val="Heading2Num-DOTARS"/>
      <w:suff w:val="space"/>
      <w:lvlText w:val="%1.%2"/>
      <w:lvlJc w:val="left"/>
      <w:pPr>
        <w:ind w:left="0" w:firstLine="0"/>
      </w:pPr>
    </w:lvl>
    <w:lvl w:ilvl="2">
      <w:start w:val="1"/>
      <w:numFmt w:val="decimal"/>
      <w:pStyle w:val="Heading3Num-DOTARS"/>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6540221"/>
    <w:multiLevelType w:val="hybridMultilevel"/>
    <w:tmpl w:val="5E9AAE4A"/>
    <w:lvl w:ilvl="0" w:tplc="12CEEC8A">
      <w:start w:val="1"/>
      <w:numFmt w:val="decimal"/>
      <w:lvlText w:val="%1."/>
      <w:lvlJc w:val="left"/>
      <w:pPr>
        <w:ind w:left="720" w:hanging="360"/>
      </w:pPr>
    </w:lvl>
    <w:lvl w:ilvl="1" w:tplc="038C56B6">
      <w:start w:val="1"/>
      <w:numFmt w:val="lowerLetter"/>
      <w:lvlText w:val="%2."/>
      <w:lvlJc w:val="left"/>
      <w:pPr>
        <w:ind w:left="1440" w:hanging="360"/>
      </w:pPr>
    </w:lvl>
    <w:lvl w:ilvl="2" w:tplc="EE4A3700">
      <w:start w:val="1"/>
      <w:numFmt w:val="lowerRoman"/>
      <w:lvlText w:val="%3."/>
      <w:lvlJc w:val="right"/>
      <w:pPr>
        <w:ind w:left="2160" w:hanging="180"/>
      </w:pPr>
    </w:lvl>
    <w:lvl w:ilvl="3" w:tplc="6780F4BE">
      <w:start w:val="1"/>
      <w:numFmt w:val="decimal"/>
      <w:lvlText w:val="%4."/>
      <w:lvlJc w:val="left"/>
      <w:pPr>
        <w:ind w:left="2880" w:hanging="360"/>
      </w:pPr>
    </w:lvl>
    <w:lvl w:ilvl="4" w:tplc="D362D72E">
      <w:start w:val="1"/>
      <w:numFmt w:val="lowerLetter"/>
      <w:lvlText w:val="%5."/>
      <w:lvlJc w:val="left"/>
      <w:pPr>
        <w:ind w:left="3600" w:hanging="360"/>
      </w:pPr>
    </w:lvl>
    <w:lvl w:ilvl="5" w:tplc="844268F8">
      <w:start w:val="1"/>
      <w:numFmt w:val="lowerRoman"/>
      <w:lvlText w:val="%6."/>
      <w:lvlJc w:val="right"/>
      <w:pPr>
        <w:ind w:left="4320" w:hanging="180"/>
      </w:pPr>
    </w:lvl>
    <w:lvl w:ilvl="6" w:tplc="5FC0D5CE">
      <w:start w:val="1"/>
      <w:numFmt w:val="decimal"/>
      <w:lvlText w:val="%7."/>
      <w:lvlJc w:val="left"/>
      <w:pPr>
        <w:ind w:left="5040" w:hanging="360"/>
      </w:pPr>
    </w:lvl>
    <w:lvl w:ilvl="7" w:tplc="FA948680">
      <w:start w:val="1"/>
      <w:numFmt w:val="lowerLetter"/>
      <w:lvlText w:val="%8."/>
      <w:lvlJc w:val="left"/>
      <w:pPr>
        <w:ind w:left="5760" w:hanging="360"/>
      </w:pPr>
    </w:lvl>
    <w:lvl w:ilvl="8" w:tplc="709C938A">
      <w:start w:val="1"/>
      <w:numFmt w:val="lowerRoman"/>
      <w:lvlText w:val="%9."/>
      <w:lvlJc w:val="right"/>
      <w:pPr>
        <w:ind w:left="6480" w:hanging="180"/>
      </w:pPr>
    </w:lvl>
  </w:abstractNum>
  <w:abstractNum w:abstractNumId="12" w15:restartNumberingAfterBreak="0">
    <w:nsid w:val="073C4BDB"/>
    <w:multiLevelType w:val="hybridMultilevel"/>
    <w:tmpl w:val="C652F1CC"/>
    <w:lvl w:ilvl="0" w:tplc="51904FE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4B4DC9"/>
    <w:multiLevelType w:val="multilevel"/>
    <w:tmpl w:val="9B129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CBC0F62"/>
    <w:multiLevelType w:val="hybridMultilevel"/>
    <w:tmpl w:val="C8529434"/>
    <w:lvl w:ilvl="0" w:tplc="F374399A">
      <w:start w:val="1"/>
      <w:numFmt w:val="bullet"/>
      <w:lvlText w:val=""/>
      <w:lvlJc w:val="left"/>
      <w:pPr>
        <w:ind w:left="780" w:hanging="360"/>
      </w:pPr>
      <w:rPr>
        <w:rFonts w:ascii="Symbol" w:hAnsi="Symbol" w:hint="default"/>
      </w:rPr>
    </w:lvl>
    <w:lvl w:ilvl="1" w:tplc="430A60DA" w:tentative="1">
      <w:start w:val="1"/>
      <w:numFmt w:val="bullet"/>
      <w:lvlText w:val="o"/>
      <w:lvlJc w:val="left"/>
      <w:pPr>
        <w:ind w:left="1500" w:hanging="360"/>
      </w:pPr>
      <w:rPr>
        <w:rFonts w:ascii="Courier New" w:hAnsi="Courier New" w:cs="Courier New" w:hint="default"/>
      </w:rPr>
    </w:lvl>
    <w:lvl w:ilvl="2" w:tplc="DEB211B2" w:tentative="1">
      <w:start w:val="1"/>
      <w:numFmt w:val="bullet"/>
      <w:lvlText w:val=""/>
      <w:lvlJc w:val="left"/>
      <w:pPr>
        <w:ind w:left="2220" w:hanging="360"/>
      </w:pPr>
      <w:rPr>
        <w:rFonts w:ascii="Wingdings" w:hAnsi="Wingdings" w:hint="default"/>
      </w:rPr>
    </w:lvl>
    <w:lvl w:ilvl="3" w:tplc="2B8C10A0" w:tentative="1">
      <w:start w:val="1"/>
      <w:numFmt w:val="bullet"/>
      <w:lvlText w:val=""/>
      <w:lvlJc w:val="left"/>
      <w:pPr>
        <w:ind w:left="2940" w:hanging="360"/>
      </w:pPr>
      <w:rPr>
        <w:rFonts w:ascii="Symbol" w:hAnsi="Symbol" w:hint="default"/>
      </w:rPr>
    </w:lvl>
    <w:lvl w:ilvl="4" w:tplc="4E628200" w:tentative="1">
      <w:start w:val="1"/>
      <w:numFmt w:val="bullet"/>
      <w:lvlText w:val="o"/>
      <w:lvlJc w:val="left"/>
      <w:pPr>
        <w:ind w:left="3660" w:hanging="360"/>
      </w:pPr>
      <w:rPr>
        <w:rFonts w:ascii="Courier New" w:hAnsi="Courier New" w:cs="Courier New" w:hint="default"/>
      </w:rPr>
    </w:lvl>
    <w:lvl w:ilvl="5" w:tplc="DD5CBD72" w:tentative="1">
      <w:start w:val="1"/>
      <w:numFmt w:val="bullet"/>
      <w:lvlText w:val=""/>
      <w:lvlJc w:val="left"/>
      <w:pPr>
        <w:ind w:left="4380" w:hanging="360"/>
      </w:pPr>
      <w:rPr>
        <w:rFonts w:ascii="Wingdings" w:hAnsi="Wingdings" w:hint="default"/>
      </w:rPr>
    </w:lvl>
    <w:lvl w:ilvl="6" w:tplc="3C7CB3CC" w:tentative="1">
      <w:start w:val="1"/>
      <w:numFmt w:val="bullet"/>
      <w:lvlText w:val=""/>
      <w:lvlJc w:val="left"/>
      <w:pPr>
        <w:ind w:left="5100" w:hanging="360"/>
      </w:pPr>
      <w:rPr>
        <w:rFonts w:ascii="Symbol" w:hAnsi="Symbol" w:hint="default"/>
      </w:rPr>
    </w:lvl>
    <w:lvl w:ilvl="7" w:tplc="49EA05DC" w:tentative="1">
      <w:start w:val="1"/>
      <w:numFmt w:val="bullet"/>
      <w:lvlText w:val="o"/>
      <w:lvlJc w:val="left"/>
      <w:pPr>
        <w:ind w:left="5820" w:hanging="360"/>
      </w:pPr>
      <w:rPr>
        <w:rFonts w:ascii="Courier New" w:hAnsi="Courier New" w:cs="Courier New" w:hint="default"/>
      </w:rPr>
    </w:lvl>
    <w:lvl w:ilvl="8" w:tplc="054227B2" w:tentative="1">
      <w:start w:val="1"/>
      <w:numFmt w:val="bullet"/>
      <w:lvlText w:val=""/>
      <w:lvlJc w:val="left"/>
      <w:pPr>
        <w:ind w:left="6540" w:hanging="360"/>
      </w:pPr>
      <w:rPr>
        <w:rFonts w:ascii="Wingdings" w:hAnsi="Wingdings" w:hint="default"/>
      </w:rPr>
    </w:lvl>
  </w:abstractNum>
  <w:abstractNum w:abstractNumId="15" w15:restartNumberingAfterBreak="0">
    <w:nsid w:val="1CF216DA"/>
    <w:multiLevelType w:val="multilevel"/>
    <w:tmpl w:val="304E65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8ED3E49"/>
    <w:multiLevelType w:val="multilevel"/>
    <w:tmpl w:val="7A70A4BA"/>
    <w:lvl w:ilvl="0">
      <w:start w:val="1"/>
      <w:numFmt w:val="none"/>
      <w:pStyle w:val="Normal"/>
      <w:suff w:val="nothing"/>
      <w:lvlText w:val=""/>
      <w:lvlJc w:val="left"/>
      <w:pPr>
        <w:ind w:left="0" w:firstLine="0"/>
      </w:pPr>
    </w:lvl>
    <w:lvl w:ilvl="1">
      <w:start w:val="1"/>
      <w:numFmt w:val="decimal"/>
      <w:pStyle w:val="NumberedList-DOTARS"/>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332A0F46"/>
    <w:multiLevelType w:val="hybridMultilevel"/>
    <w:tmpl w:val="223E1A48"/>
    <w:lvl w:ilvl="0" w:tplc="63587DA6">
      <w:start w:val="1"/>
      <w:numFmt w:val="decimal"/>
      <w:lvlText w:val="%1."/>
      <w:lvlJc w:val="left"/>
      <w:pPr>
        <w:ind w:left="720" w:hanging="360"/>
      </w:pPr>
    </w:lvl>
    <w:lvl w:ilvl="1" w:tplc="C292ED4E">
      <w:start w:val="1"/>
      <w:numFmt w:val="lowerLetter"/>
      <w:lvlText w:val="%2."/>
      <w:lvlJc w:val="left"/>
      <w:pPr>
        <w:ind w:left="1440" w:hanging="360"/>
      </w:pPr>
    </w:lvl>
    <w:lvl w:ilvl="2" w:tplc="61D8249A">
      <w:start w:val="1"/>
      <w:numFmt w:val="bullet"/>
      <w:lvlText w:val=""/>
      <w:lvlJc w:val="left"/>
      <w:pPr>
        <w:ind w:left="2160" w:hanging="180"/>
      </w:pPr>
      <w:rPr>
        <w:rFonts w:ascii="Symbol" w:hAnsi="Symbol" w:hint="default"/>
      </w:rPr>
    </w:lvl>
    <w:lvl w:ilvl="3" w:tplc="A9744CE4">
      <w:start w:val="1"/>
      <w:numFmt w:val="decimal"/>
      <w:lvlText w:val="%4."/>
      <w:lvlJc w:val="left"/>
      <w:pPr>
        <w:ind w:left="2880" w:hanging="360"/>
      </w:pPr>
    </w:lvl>
    <w:lvl w:ilvl="4" w:tplc="545493B4">
      <w:start w:val="1"/>
      <w:numFmt w:val="lowerLetter"/>
      <w:lvlText w:val="%5."/>
      <w:lvlJc w:val="left"/>
      <w:pPr>
        <w:ind w:left="3600" w:hanging="360"/>
      </w:pPr>
    </w:lvl>
    <w:lvl w:ilvl="5" w:tplc="D17C37CC">
      <w:start w:val="1"/>
      <w:numFmt w:val="lowerRoman"/>
      <w:lvlText w:val="%6."/>
      <w:lvlJc w:val="right"/>
      <w:pPr>
        <w:ind w:left="4320" w:hanging="180"/>
      </w:pPr>
    </w:lvl>
    <w:lvl w:ilvl="6" w:tplc="06647886">
      <w:start w:val="1"/>
      <w:numFmt w:val="decimal"/>
      <w:lvlText w:val="%7."/>
      <w:lvlJc w:val="left"/>
      <w:pPr>
        <w:ind w:left="5040" w:hanging="360"/>
      </w:pPr>
    </w:lvl>
    <w:lvl w:ilvl="7" w:tplc="38185E5E">
      <w:start w:val="1"/>
      <w:numFmt w:val="lowerLetter"/>
      <w:lvlText w:val="%8."/>
      <w:lvlJc w:val="left"/>
      <w:pPr>
        <w:ind w:left="5760" w:hanging="360"/>
      </w:pPr>
    </w:lvl>
    <w:lvl w:ilvl="8" w:tplc="CF0454F8">
      <w:start w:val="1"/>
      <w:numFmt w:val="lowerRoman"/>
      <w:lvlText w:val="%9."/>
      <w:lvlJc w:val="right"/>
      <w:pPr>
        <w:ind w:left="6480" w:hanging="180"/>
      </w:pPr>
    </w:lvl>
  </w:abstractNum>
  <w:abstractNum w:abstractNumId="20" w15:restartNumberingAfterBreak="0">
    <w:nsid w:val="3BE73C08"/>
    <w:multiLevelType w:val="hybridMultilevel"/>
    <w:tmpl w:val="44888C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3D1F23"/>
    <w:multiLevelType w:val="multilevel"/>
    <w:tmpl w:val="5238C312"/>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1474"/>
        </w:tabs>
        <w:ind w:left="1474" w:hanging="567"/>
      </w:pPr>
    </w:lvl>
    <w:lvl w:ilvl="3">
      <w:start w:val="1"/>
      <w:numFmt w:val="decimal"/>
      <w:lvlText w:val="%2.%3.%4"/>
      <w:lvlJc w:val="left"/>
      <w:pPr>
        <w:tabs>
          <w:tab w:val="num" w:pos="1985"/>
        </w:tabs>
        <w:ind w:left="1985" w:hanging="511"/>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5403852"/>
    <w:multiLevelType w:val="multilevel"/>
    <w:tmpl w:val="3BBCF7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0F5715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8E95D21"/>
    <w:multiLevelType w:val="hybridMultilevel"/>
    <w:tmpl w:val="A5785C1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B8F6482"/>
    <w:multiLevelType w:val="hybridMultilevel"/>
    <w:tmpl w:val="303A8226"/>
    <w:lvl w:ilvl="0" w:tplc="2CB6BD3C">
      <w:start w:val="1"/>
      <w:numFmt w:val="bullet"/>
      <w:lvlText w:val=""/>
      <w:lvlJc w:val="left"/>
      <w:pPr>
        <w:ind w:left="720" w:hanging="360"/>
      </w:pPr>
      <w:rPr>
        <w:rFonts w:ascii="Symbol" w:hAnsi="Symbol" w:hint="default"/>
      </w:rPr>
    </w:lvl>
    <w:lvl w:ilvl="1" w:tplc="43B4D550" w:tentative="1">
      <w:start w:val="1"/>
      <w:numFmt w:val="bullet"/>
      <w:lvlText w:val="o"/>
      <w:lvlJc w:val="left"/>
      <w:pPr>
        <w:ind w:left="1440" w:hanging="360"/>
      </w:pPr>
      <w:rPr>
        <w:rFonts w:ascii="Courier New" w:hAnsi="Courier New" w:cs="Courier New" w:hint="default"/>
      </w:rPr>
    </w:lvl>
    <w:lvl w:ilvl="2" w:tplc="E32CC32E" w:tentative="1">
      <w:start w:val="1"/>
      <w:numFmt w:val="bullet"/>
      <w:lvlText w:val=""/>
      <w:lvlJc w:val="left"/>
      <w:pPr>
        <w:ind w:left="2160" w:hanging="360"/>
      </w:pPr>
      <w:rPr>
        <w:rFonts w:ascii="Wingdings" w:hAnsi="Wingdings" w:hint="default"/>
      </w:rPr>
    </w:lvl>
    <w:lvl w:ilvl="3" w:tplc="5470CC14" w:tentative="1">
      <w:start w:val="1"/>
      <w:numFmt w:val="bullet"/>
      <w:lvlText w:val=""/>
      <w:lvlJc w:val="left"/>
      <w:pPr>
        <w:ind w:left="2880" w:hanging="360"/>
      </w:pPr>
      <w:rPr>
        <w:rFonts w:ascii="Symbol" w:hAnsi="Symbol" w:hint="default"/>
      </w:rPr>
    </w:lvl>
    <w:lvl w:ilvl="4" w:tplc="9E06CB42" w:tentative="1">
      <w:start w:val="1"/>
      <w:numFmt w:val="bullet"/>
      <w:lvlText w:val="o"/>
      <w:lvlJc w:val="left"/>
      <w:pPr>
        <w:ind w:left="3600" w:hanging="360"/>
      </w:pPr>
      <w:rPr>
        <w:rFonts w:ascii="Courier New" w:hAnsi="Courier New" w:cs="Courier New" w:hint="default"/>
      </w:rPr>
    </w:lvl>
    <w:lvl w:ilvl="5" w:tplc="395E183A" w:tentative="1">
      <w:start w:val="1"/>
      <w:numFmt w:val="bullet"/>
      <w:lvlText w:val=""/>
      <w:lvlJc w:val="left"/>
      <w:pPr>
        <w:ind w:left="4320" w:hanging="360"/>
      </w:pPr>
      <w:rPr>
        <w:rFonts w:ascii="Wingdings" w:hAnsi="Wingdings" w:hint="default"/>
      </w:rPr>
    </w:lvl>
    <w:lvl w:ilvl="6" w:tplc="D526B21A" w:tentative="1">
      <w:start w:val="1"/>
      <w:numFmt w:val="bullet"/>
      <w:lvlText w:val=""/>
      <w:lvlJc w:val="left"/>
      <w:pPr>
        <w:ind w:left="5040" w:hanging="360"/>
      </w:pPr>
      <w:rPr>
        <w:rFonts w:ascii="Symbol" w:hAnsi="Symbol" w:hint="default"/>
      </w:rPr>
    </w:lvl>
    <w:lvl w:ilvl="7" w:tplc="3FE253F0" w:tentative="1">
      <w:start w:val="1"/>
      <w:numFmt w:val="bullet"/>
      <w:lvlText w:val="o"/>
      <w:lvlJc w:val="left"/>
      <w:pPr>
        <w:ind w:left="5760" w:hanging="360"/>
      </w:pPr>
      <w:rPr>
        <w:rFonts w:ascii="Courier New" w:hAnsi="Courier New" w:cs="Courier New" w:hint="default"/>
      </w:rPr>
    </w:lvl>
    <w:lvl w:ilvl="8" w:tplc="ADBCBAD6" w:tentative="1">
      <w:start w:val="1"/>
      <w:numFmt w:val="bullet"/>
      <w:lvlText w:val=""/>
      <w:lvlJc w:val="left"/>
      <w:pPr>
        <w:ind w:left="6480" w:hanging="360"/>
      </w:pPr>
      <w:rPr>
        <w:rFonts w:ascii="Wingdings" w:hAnsi="Wingdings" w:hint="default"/>
      </w:rPr>
    </w:lvl>
  </w:abstractNum>
  <w:abstractNum w:abstractNumId="26" w15:restartNumberingAfterBreak="0">
    <w:nsid w:val="7E7A6BF2"/>
    <w:multiLevelType w:val="multilevel"/>
    <w:tmpl w:val="197873F4"/>
    <w:lvl w:ilvl="0">
      <w:start w:val="1"/>
      <w:numFmt w:val="bullet"/>
      <w:pStyle w:val="BulletList-DOTAR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Microsoft Sans Serif" w:hAnsi="Microsoft Sans Serif"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5"/>
  </w:num>
  <w:num w:numId="13">
    <w:abstractNumId w:val="23"/>
  </w:num>
  <w:num w:numId="14">
    <w:abstractNumId w:val="2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7"/>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3"/>
  </w:num>
  <w:num w:numId="23">
    <w:abstractNumId w:val="14"/>
  </w:num>
  <w:num w:numId="24">
    <w:abstractNumId w:val="1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5"/>
  </w:num>
  <w:num w:numId="29">
    <w:abstractNumId w:val="16"/>
  </w:num>
  <w:num w:numId="30">
    <w:abstractNumId w:val="24"/>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DE"/>
    <w:rsid w:val="00010343"/>
    <w:rsid w:val="00013B9C"/>
    <w:rsid w:val="00034EFF"/>
    <w:rsid w:val="00051C82"/>
    <w:rsid w:val="00053C81"/>
    <w:rsid w:val="000903E9"/>
    <w:rsid w:val="00090508"/>
    <w:rsid w:val="00091DB4"/>
    <w:rsid w:val="000A7D78"/>
    <w:rsid w:val="000B0997"/>
    <w:rsid w:val="000B4549"/>
    <w:rsid w:val="000E05DF"/>
    <w:rsid w:val="00111DF9"/>
    <w:rsid w:val="00142DBA"/>
    <w:rsid w:val="001442F4"/>
    <w:rsid w:val="00145739"/>
    <w:rsid w:val="001606C4"/>
    <w:rsid w:val="00162E67"/>
    <w:rsid w:val="00167090"/>
    <w:rsid w:val="00172A3F"/>
    <w:rsid w:val="00172F0A"/>
    <w:rsid w:val="00180449"/>
    <w:rsid w:val="001A6C10"/>
    <w:rsid w:val="001B2876"/>
    <w:rsid w:val="001B698B"/>
    <w:rsid w:val="001C7965"/>
    <w:rsid w:val="001E1662"/>
    <w:rsid w:val="001F29D4"/>
    <w:rsid w:val="00200855"/>
    <w:rsid w:val="00210CB1"/>
    <w:rsid w:val="00215BBE"/>
    <w:rsid w:val="00216956"/>
    <w:rsid w:val="0022026E"/>
    <w:rsid w:val="00224DE2"/>
    <w:rsid w:val="002252CB"/>
    <w:rsid w:val="00235627"/>
    <w:rsid w:val="0023740C"/>
    <w:rsid w:val="002606DD"/>
    <w:rsid w:val="002718E1"/>
    <w:rsid w:val="00272EDA"/>
    <w:rsid w:val="00281697"/>
    <w:rsid w:val="00284492"/>
    <w:rsid w:val="00294098"/>
    <w:rsid w:val="002B4347"/>
    <w:rsid w:val="002E7140"/>
    <w:rsid w:val="00317DE0"/>
    <w:rsid w:val="00320BD0"/>
    <w:rsid w:val="00325238"/>
    <w:rsid w:val="00350E02"/>
    <w:rsid w:val="00382284"/>
    <w:rsid w:val="00383665"/>
    <w:rsid w:val="003C61FD"/>
    <w:rsid w:val="003D0511"/>
    <w:rsid w:val="003E13D3"/>
    <w:rsid w:val="00402F56"/>
    <w:rsid w:val="00412924"/>
    <w:rsid w:val="00421264"/>
    <w:rsid w:val="00421855"/>
    <w:rsid w:val="00434629"/>
    <w:rsid w:val="00434F74"/>
    <w:rsid w:val="00434FCA"/>
    <w:rsid w:val="00436AC3"/>
    <w:rsid w:val="00437D1B"/>
    <w:rsid w:val="004514D9"/>
    <w:rsid w:val="00487DF0"/>
    <w:rsid w:val="00491924"/>
    <w:rsid w:val="004A51E5"/>
    <w:rsid w:val="004B6C8D"/>
    <w:rsid w:val="004C7D4D"/>
    <w:rsid w:val="004D5A81"/>
    <w:rsid w:val="004D5E63"/>
    <w:rsid w:val="005057BD"/>
    <w:rsid w:val="00507B76"/>
    <w:rsid w:val="0051218F"/>
    <w:rsid w:val="0051457E"/>
    <w:rsid w:val="00522354"/>
    <w:rsid w:val="00531A91"/>
    <w:rsid w:val="00533D05"/>
    <w:rsid w:val="00534A09"/>
    <w:rsid w:val="005370C3"/>
    <w:rsid w:val="005518CF"/>
    <w:rsid w:val="00563DD3"/>
    <w:rsid w:val="005651B1"/>
    <w:rsid w:val="005A6705"/>
    <w:rsid w:val="005C5B63"/>
    <w:rsid w:val="005E1BEE"/>
    <w:rsid w:val="005E74AE"/>
    <w:rsid w:val="005F6D99"/>
    <w:rsid w:val="00615D73"/>
    <w:rsid w:val="0061692E"/>
    <w:rsid w:val="00652BB4"/>
    <w:rsid w:val="006707AC"/>
    <w:rsid w:val="006830DC"/>
    <w:rsid w:val="00693BF3"/>
    <w:rsid w:val="00697F1D"/>
    <w:rsid w:val="006A5F8E"/>
    <w:rsid w:val="006A750D"/>
    <w:rsid w:val="006B6838"/>
    <w:rsid w:val="00700081"/>
    <w:rsid w:val="00706738"/>
    <w:rsid w:val="00707C3D"/>
    <w:rsid w:val="0071074F"/>
    <w:rsid w:val="00720B41"/>
    <w:rsid w:val="00762E4F"/>
    <w:rsid w:val="00774134"/>
    <w:rsid w:val="00783386"/>
    <w:rsid w:val="00786077"/>
    <w:rsid w:val="00787A10"/>
    <w:rsid w:val="00791D21"/>
    <w:rsid w:val="00795DA6"/>
    <w:rsid w:val="007A3069"/>
    <w:rsid w:val="007D5066"/>
    <w:rsid w:val="007E222E"/>
    <w:rsid w:val="007F27F4"/>
    <w:rsid w:val="007F40D6"/>
    <w:rsid w:val="007F4E39"/>
    <w:rsid w:val="00800482"/>
    <w:rsid w:val="008243B2"/>
    <w:rsid w:val="00872CDC"/>
    <w:rsid w:val="00873549"/>
    <w:rsid w:val="008A2730"/>
    <w:rsid w:val="008C2AF0"/>
    <w:rsid w:val="008D26CE"/>
    <w:rsid w:val="00905AA9"/>
    <w:rsid w:val="009208E1"/>
    <w:rsid w:val="00923593"/>
    <w:rsid w:val="00945D4F"/>
    <w:rsid w:val="00955CFB"/>
    <w:rsid w:val="00971620"/>
    <w:rsid w:val="00977E5B"/>
    <w:rsid w:val="00995805"/>
    <w:rsid w:val="009A2000"/>
    <w:rsid w:val="009B3067"/>
    <w:rsid w:val="009B55E5"/>
    <w:rsid w:val="009B6657"/>
    <w:rsid w:val="009C09F8"/>
    <w:rsid w:val="009C4FB4"/>
    <w:rsid w:val="009E6E04"/>
    <w:rsid w:val="00A133A9"/>
    <w:rsid w:val="00A325C1"/>
    <w:rsid w:val="00A34524"/>
    <w:rsid w:val="00A34984"/>
    <w:rsid w:val="00A73E1B"/>
    <w:rsid w:val="00A84E76"/>
    <w:rsid w:val="00A92C03"/>
    <w:rsid w:val="00A94959"/>
    <w:rsid w:val="00AB1313"/>
    <w:rsid w:val="00AB44C9"/>
    <w:rsid w:val="00AC6D49"/>
    <w:rsid w:val="00AC6F42"/>
    <w:rsid w:val="00AD328D"/>
    <w:rsid w:val="00B04B20"/>
    <w:rsid w:val="00B054AC"/>
    <w:rsid w:val="00B111FB"/>
    <w:rsid w:val="00B15602"/>
    <w:rsid w:val="00B2159F"/>
    <w:rsid w:val="00B41B40"/>
    <w:rsid w:val="00B443A5"/>
    <w:rsid w:val="00B51292"/>
    <w:rsid w:val="00B55EC8"/>
    <w:rsid w:val="00B57D9E"/>
    <w:rsid w:val="00B60433"/>
    <w:rsid w:val="00B83DEC"/>
    <w:rsid w:val="00B85BC3"/>
    <w:rsid w:val="00BB2FDD"/>
    <w:rsid w:val="00BD6434"/>
    <w:rsid w:val="00BF25E5"/>
    <w:rsid w:val="00C03DDF"/>
    <w:rsid w:val="00C26D9F"/>
    <w:rsid w:val="00C47F08"/>
    <w:rsid w:val="00C55D2F"/>
    <w:rsid w:val="00C60A2D"/>
    <w:rsid w:val="00C659A8"/>
    <w:rsid w:val="00CC3980"/>
    <w:rsid w:val="00CE63C1"/>
    <w:rsid w:val="00D10AF3"/>
    <w:rsid w:val="00D140CB"/>
    <w:rsid w:val="00D21BF3"/>
    <w:rsid w:val="00D223DE"/>
    <w:rsid w:val="00D254C9"/>
    <w:rsid w:val="00D66023"/>
    <w:rsid w:val="00D67F91"/>
    <w:rsid w:val="00D754D8"/>
    <w:rsid w:val="00D80C09"/>
    <w:rsid w:val="00D8505C"/>
    <w:rsid w:val="00D87497"/>
    <w:rsid w:val="00D936CA"/>
    <w:rsid w:val="00DA766A"/>
    <w:rsid w:val="00DB604C"/>
    <w:rsid w:val="00DE43E3"/>
    <w:rsid w:val="00E06086"/>
    <w:rsid w:val="00E11D95"/>
    <w:rsid w:val="00E2035B"/>
    <w:rsid w:val="00E437A0"/>
    <w:rsid w:val="00E53053"/>
    <w:rsid w:val="00E5308D"/>
    <w:rsid w:val="00E54534"/>
    <w:rsid w:val="00E64121"/>
    <w:rsid w:val="00E70E32"/>
    <w:rsid w:val="00E72D55"/>
    <w:rsid w:val="00E75441"/>
    <w:rsid w:val="00E75505"/>
    <w:rsid w:val="00E75F01"/>
    <w:rsid w:val="00E77E0F"/>
    <w:rsid w:val="00EA4B68"/>
    <w:rsid w:val="00EC571D"/>
    <w:rsid w:val="00F1523E"/>
    <w:rsid w:val="00F17E9E"/>
    <w:rsid w:val="00F3570B"/>
    <w:rsid w:val="00F37F12"/>
    <w:rsid w:val="00F37FC6"/>
    <w:rsid w:val="00F74B76"/>
    <w:rsid w:val="00F91438"/>
    <w:rsid w:val="00F91759"/>
    <w:rsid w:val="00F9519A"/>
    <w:rsid w:val="00FB5046"/>
    <w:rsid w:val="00FD48E5"/>
    <w:rsid w:val="00FD6FE7"/>
    <w:rsid w:val="00FE4382"/>
    <w:rsid w:val="00FF1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148BA5"/>
  <w15:docId w15:val="{00C4467F-0F92-4D2C-8345-EB69131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942"/>
    <w:pPr>
      <w:numPr>
        <w:numId w:val="20"/>
      </w:numPr>
    </w:pPr>
    <w:rPr>
      <w:sz w:val="24"/>
      <w:lang w:eastAsia="en-US"/>
    </w:rPr>
  </w:style>
  <w:style w:type="paragraph" w:styleId="Heading1">
    <w:name w:val="heading 1"/>
    <w:aliases w:val="Heading 1 - DOTARS"/>
    <w:basedOn w:val="Normal"/>
    <w:next w:val="Normal"/>
    <w:qFormat/>
    <w:rsid w:val="00150EFA"/>
    <w:pPr>
      <w:keepNext/>
      <w:spacing w:before="160" w:after="80"/>
      <w:outlineLvl w:val="0"/>
    </w:pPr>
    <w:rPr>
      <w:rFonts w:ascii="Arial" w:hAnsi="Arial"/>
      <w:b/>
      <w:kern w:val="28"/>
      <w:sz w:val="28"/>
    </w:rPr>
  </w:style>
  <w:style w:type="paragraph" w:styleId="Heading2">
    <w:name w:val="heading 2"/>
    <w:aliases w:val="Heading 2 - DOTARS"/>
    <w:basedOn w:val="Normal"/>
    <w:next w:val="Normal"/>
    <w:qFormat/>
    <w:rsid w:val="00150EFA"/>
    <w:pPr>
      <w:keepNext/>
      <w:spacing w:before="160" w:after="80"/>
      <w:outlineLvl w:val="1"/>
    </w:pPr>
    <w:rPr>
      <w:rFonts w:ascii="Arial" w:hAnsi="Arial"/>
      <w:b/>
    </w:rPr>
  </w:style>
  <w:style w:type="paragraph" w:styleId="Heading3">
    <w:name w:val="heading 3"/>
    <w:basedOn w:val="Normal"/>
    <w:next w:val="Normal"/>
    <w:qFormat/>
    <w:rsid w:val="00150EFA"/>
    <w:pPr>
      <w:keepNext/>
      <w:outlineLvl w:val="2"/>
    </w:pPr>
    <w:rPr>
      <w:i/>
    </w:rPr>
  </w:style>
  <w:style w:type="paragraph" w:styleId="Heading4">
    <w:name w:val="heading 4"/>
    <w:basedOn w:val="Normal"/>
    <w:next w:val="Normal"/>
    <w:qFormat/>
    <w:rsid w:val="00150EFA"/>
    <w:pPr>
      <w:keepNext/>
      <w:numPr>
        <w:numId w:val="0"/>
      </w:numPr>
      <w:spacing w:before="240" w:after="60"/>
      <w:outlineLvl w:val="3"/>
    </w:pPr>
    <w:rPr>
      <w:rFonts w:ascii="Arial" w:hAnsi="Arial"/>
      <w:b/>
    </w:rPr>
  </w:style>
  <w:style w:type="paragraph" w:styleId="Heading5">
    <w:name w:val="heading 5"/>
    <w:basedOn w:val="Normal"/>
    <w:next w:val="Normal"/>
    <w:qFormat/>
    <w:rsid w:val="00150EFA"/>
    <w:pPr>
      <w:numPr>
        <w:numId w:val="0"/>
      </w:numPr>
      <w:spacing w:before="240" w:after="60"/>
      <w:outlineLvl w:val="4"/>
    </w:pPr>
    <w:rPr>
      <w:sz w:val="22"/>
    </w:rPr>
  </w:style>
  <w:style w:type="paragraph" w:styleId="Heading6">
    <w:name w:val="heading 6"/>
    <w:basedOn w:val="Normal"/>
    <w:next w:val="Normal"/>
    <w:qFormat/>
    <w:rsid w:val="00150EFA"/>
    <w:pPr>
      <w:numPr>
        <w:numId w:val="0"/>
      </w:numPr>
      <w:spacing w:before="240" w:after="60"/>
      <w:outlineLvl w:val="5"/>
    </w:pPr>
    <w:rPr>
      <w:i/>
      <w:sz w:val="22"/>
    </w:rPr>
  </w:style>
  <w:style w:type="paragraph" w:styleId="Heading7">
    <w:name w:val="heading 7"/>
    <w:basedOn w:val="Normal"/>
    <w:next w:val="Normal"/>
    <w:qFormat/>
    <w:rsid w:val="00150EFA"/>
    <w:pPr>
      <w:numPr>
        <w:numId w:val="0"/>
      </w:numPr>
      <w:spacing w:before="240" w:after="60"/>
      <w:outlineLvl w:val="6"/>
    </w:pPr>
    <w:rPr>
      <w:rFonts w:ascii="Arial" w:hAnsi="Arial"/>
      <w:sz w:val="20"/>
    </w:rPr>
  </w:style>
  <w:style w:type="paragraph" w:styleId="Heading8">
    <w:name w:val="heading 8"/>
    <w:basedOn w:val="Normal"/>
    <w:next w:val="Normal"/>
    <w:qFormat/>
    <w:rsid w:val="00150EFA"/>
    <w:pPr>
      <w:numPr>
        <w:numId w:val="0"/>
      </w:numPr>
      <w:spacing w:before="240" w:after="60"/>
      <w:outlineLvl w:val="7"/>
    </w:pPr>
    <w:rPr>
      <w:rFonts w:ascii="Arial" w:hAnsi="Arial"/>
      <w:i/>
      <w:sz w:val="20"/>
    </w:rPr>
  </w:style>
  <w:style w:type="paragraph" w:styleId="Heading9">
    <w:name w:val="heading 9"/>
    <w:basedOn w:val="Normal"/>
    <w:next w:val="Normal"/>
    <w:qFormat/>
    <w:rsid w:val="00150EFA"/>
    <w:pPr>
      <w:numPr>
        <w:numId w:val="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0EFA"/>
    <w:pPr>
      <w:tabs>
        <w:tab w:val="center" w:pos="4153"/>
        <w:tab w:val="right" w:pos="8306"/>
      </w:tabs>
    </w:pPr>
    <w:rPr>
      <w:rFonts w:ascii="Arial Narrow" w:hAnsi="Arial Narrow"/>
      <w:smallCaps/>
      <w:spacing w:val="100"/>
    </w:rPr>
  </w:style>
  <w:style w:type="paragraph" w:styleId="Footer">
    <w:name w:val="footer"/>
    <w:basedOn w:val="Normal"/>
    <w:link w:val="FooterChar"/>
    <w:rsid w:val="00150EFA"/>
    <w:pPr>
      <w:tabs>
        <w:tab w:val="center" w:pos="4153"/>
        <w:tab w:val="right" w:pos="8306"/>
      </w:tabs>
    </w:pPr>
    <w:rPr>
      <w:rFonts w:ascii="Arial Narrow" w:hAnsi="Arial Narrow"/>
      <w:sz w:val="17"/>
    </w:rPr>
  </w:style>
  <w:style w:type="character" w:styleId="PageNumber">
    <w:name w:val="page number"/>
    <w:basedOn w:val="DefaultParagraphFont"/>
    <w:rsid w:val="00150EFA"/>
  </w:style>
  <w:style w:type="paragraph" w:customStyle="1" w:styleId="Fields-DOTARS">
    <w:name w:val="Fields - DOTARS"/>
    <w:basedOn w:val="Normal"/>
    <w:next w:val="Normal"/>
    <w:rsid w:val="00150EFA"/>
    <w:pPr>
      <w:spacing w:after="60"/>
    </w:pPr>
    <w:rPr>
      <w:rFonts w:ascii="Arial" w:hAnsi="Arial"/>
      <w:b/>
    </w:rPr>
  </w:style>
  <w:style w:type="paragraph" w:customStyle="1" w:styleId="BulletList-DOTARS">
    <w:name w:val="Bullet List - DOTARS"/>
    <w:basedOn w:val="Normal"/>
    <w:rsid w:val="00150EFA"/>
    <w:pPr>
      <w:numPr>
        <w:numId w:val="11"/>
      </w:numPr>
      <w:spacing w:before="40" w:after="40"/>
      <w:ind w:left="357" w:hanging="357"/>
    </w:pPr>
  </w:style>
  <w:style w:type="paragraph" w:customStyle="1" w:styleId="Heading2Num-DOTARS">
    <w:name w:val="Heading2Num - DOTARS"/>
    <w:basedOn w:val="Normal"/>
    <w:next w:val="Normal"/>
    <w:rsid w:val="00150EFA"/>
    <w:pPr>
      <w:numPr>
        <w:ilvl w:val="1"/>
        <w:numId w:val="15"/>
      </w:numPr>
      <w:spacing w:before="160" w:after="80"/>
    </w:pPr>
    <w:rPr>
      <w:rFonts w:ascii="Arial" w:hAnsi="Arial"/>
      <w:b/>
    </w:rPr>
  </w:style>
  <w:style w:type="paragraph" w:customStyle="1" w:styleId="NumberedList-DOTARS">
    <w:name w:val="Numbered List - DOTARS"/>
    <w:basedOn w:val="Normal"/>
    <w:rsid w:val="00150EFA"/>
    <w:pPr>
      <w:numPr>
        <w:ilvl w:val="1"/>
      </w:numPr>
    </w:pPr>
  </w:style>
  <w:style w:type="paragraph" w:customStyle="1" w:styleId="Heading1Num-DOTARS">
    <w:name w:val="Heading1Num - DOTARS"/>
    <w:basedOn w:val="Heading1"/>
    <w:next w:val="Normal"/>
    <w:rsid w:val="00150EFA"/>
    <w:pPr>
      <w:numPr>
        <w:numId w:val="15"/>
      </w:numPr>
    </w:pPr>
  </w:style>
  <w:style w:type="paragraph" w:customStyle="1" w:styleId="Heading3Num-DOTARS">
    <w:name w:val="Heading3Num - DOTARS"/>
    <w:basedOn w:val="Normal"/>
    <w:next w:val="Normal"/>
    <w:rsid w:val="00150EFA"/>
    <w:pPr>
      <w:numPr>
        <w:ilvl w:val="2"/>
        <w:numId w:val="15"/>
      </w:numPr>
      <w:spacing w:before="160" w:after="80"/>
    </w:pPr>
    <w:rPr>
      <w:rFonts w:ascii="Arial" w:hAnsi="Arial"/>
      <w:b/>
    </w:rPr>
  </w:style>
  <w:style w:type="paragraph" w:customStyle="1" w:styleId="Header-DOTARS">
    <w:name w:val="Header - DOTARS"/>
    <w:basedOn w:val="Header"/>
    <w:next w:val="Normal"/>
    <w:rsid w:val="00150EFA"/>
    <w:rPr>
      <w:caps/>
      <w:sz w:val="28"/>
    </w:rPr>
  </w:style>
  <w:style w:type="paragraph" w:customStyle="1" w:styleId="Footer-DOTARS">
    <w:name w:val="Footer - DOTARS"/>
    <w:basedOn w:val="Footer"/>
    <w:next w:val="Normal"/>
    <w:link w:val="Footer-DOTARSChar"/>
    <w:rsid w:val="00150EFA"/>
    <w:pPr>
      <w:jc w:val="center"/>
    </w:pPr>
    <w:rPr>
      <w:spacing w:val="10"/>
    </w:rPr>
  </w:style>
  <w:style w:type="paragraph" w:customStyle="1" w:styleId="TableHeading-DOTARS">
    <w:name w:val="Table Heading - DOTARS"/>
    <w:basedOn w:val="Normal"/>
    <w:rsid w:val="00150EFA"/>
    <w:pPr>
      <w:spacing w:before="60" w:after="60"/>
    </w:pPr>
    <w:rPr>
      <w:rFonts w:ascii="Arial" w:hAnsi="Arial"/>
      <w:b/>
      <w:spacing w:val="20"/>
    </w:rPr>
  </w:style>
  <w:style w:type="paragraph" w:customStyle="1" w:styleId="TableText-DOTARS">
    <w:name w:val="Table Text - DOTARS"/>
    <w:basedOn w:val="Normal"/>
    <w:rsid w:val="00150EFA"/>
    <w:pPr>
      <w:spacing w:before="60" w:after="60"/>
    </w:pPr>
  </w:style>
  <w:style w:type="paragraph" w:customStyle="1" w:styleId="Normal-DOTARS">
    <w:name w:val="Normal - DOTARS"/>
    <w:basedOn w:val="Normal"/>
    <w:next w:val="Normal"/>
    <w:rsid w:val="00FD305B"/>
  </w:style>
  <w:style w:type="paragraph" w:customStyle="1" w:styleId="SmallHead">
    <w:name w:val="SmallHead"/>
    <w:basedOn w:val="Normal-DOTARS"/>
    <w:rsid w:val="00150EFA"/>
    <w:pPr>
      <w:numPr>
        <w:numId w:val="0"/>
      </w:numPr>
    </w:pPr>
    <w:rPr>
      <w:b/>
    </w:rPr>
  </w:style>
  <w:style w:type="paragraph" w:customStyle="1" w:styleId="SignatureBlock-DOTARS">
    <w:name w:val="Signature Block - DOTARS"/>
    <w:basedOn w:val="Normal"/>
    <w:rsid w:val="00150EFA"/>
    <w:pPr>
      <w:numPr>
        <w:numId w:val="0"/>
      </w:numPr>
    </w:pPr>
  </w:style>
  <w:style w:type="paragraph" w:customStyle="1" w:styleId="TableHeading">
    <w:name w:val="TableHeading"/>
    <w:basedOn w:val="Normal"/>
    <w:rsid w:val="00150EFA"/>
    <w:pPr>
      <w:numPr>
        <w:numId w:val="0"/>
      </w:numPr>
      <w:spacing w:before="60" w:after="60"/>
    </w:pPr>
    <w:rPr>
      <w:rFonts w:ascii="Arial" w:hAnsi="Arial"/>
      <w:b/>
      <w:spacing w:val="20"/>
    </w:rPr>
  </w:style>
  <w:style w:type="character" w:styleId="Hyperlink">
    <w:name w:val="Hyperlink"/>
    <w:basedOn w:val="DefaultParagraphFont"/>
    <w:rsid w:val="00A93F76"/>
    <w:rPr>
      <w:color w:val="0000FF"/>
      <w:u w:val="single"/>
    </w:rPr>
  </w:style>
  <w:style w:type="character" w:customStyle="1" w:styleId="FileandContactFields-DOTARS">
    <w:name w:val="File and Contact Fields - DOTARS"/>
    <w:basedOn w:val="DefaultParagraphFont"/>
    <w:rsid w:val="00150EFA"/>
    <w:rPr>
      <w:rFonts w:ascii="Arial" w:hAnsi="Arial"/>
      <w:i/>
      <w:sz w:val="16"/>
    </w:rPr>
  </w:style>
  <w:style w:type="paragraph" w:customStyle="1" w:styleId="FaxHeading">
    <w:name w:val="FaxHeading"/>
    <w:basedOn w:val="Normal-DOTARS"/>
    <w:next w:val="Normal-DOTARS"/>
    <w:rsid w:val="00150EFA"/>
    <w:pPr>
      <w:spacing w:before="480" w:after="720"/>
      <w:jc w:val="center"/>
    </w:pPr>
    <w:rPr>
      <w:b/>
      <w:caps/>
      <w:sz w:val="28"/>
      <w:szCs w:val="28"/>
    </w:rPr>
  </w:style>
  <w:style w:type="paragraph" w:customStyle="1" w:styleId="SecretaryHeading">
    <w:name w:val="SecretaryHeading"/>
    <w:basedOn w:val="Normal"/>
    <w:rsid w:val="00150EFA"/>
    <w:pPr>
      <w:spacing w:before="60" w:after="60"/>
      <w:jc w:val="right"/>
    </w:pPr>
    <w:rPr>
      <w:b/>
      <w:sz w:val="26"/>
      <w:szCs w:val="26"/>
    </w:rPr>
  </w:style>
  <w:style w:type="paragraph" w:customStyle="1" w:styleId="AddressBlock-DOTARS">
    <w:name w:val="Address Block - DOTARS"/>
    <w:basedOn w:val="SignatureBlock-DOTARS"/>
    <w:rsid w:val="00017B2B"/>
    <w:pPr>
      <w:tabs>
        <w:tab w:val="left" w:pos="4535"/>
      </w:tabs>
    </w:pPr>
  </w:style>
  <w:style w:type="paragraph" w:styleId="BalloonText">
    <w:name w:val="Balloon Text"/>
    <w:basedOn w:val="Normal"/>
    <w:semiHidden/>
    <w:rsid w:val="00CF78CE"/>
    <w:rPr>
      <w:rFonts w:ascii="Tahoma" w:hAnsi="Tahoma" w:cs="Tahoma"/>
      <w:sz w:val="16"/>
      <w:szCs w:val="16"/>
    </w:rPr>
  </w:style>
  <w:style w:type="character" w:customStyle="1" w:styleId="FooterChar">
    <w:name w:val="Footer Char"/>
    <w:basedOn w:val="DefaultParagraphFont"/>
    <w:link w:val="Footer"/>
    <w:rsid w:val="00B647CA"/>
    <w:rPr>
      <w:rFonts w:ascii="Arial Narrow" w:hAnsi="Arial Narrow"/>
      <w:sz w:val="17"/>
      <w:lang w:val="en-AU" w:eastAsia="en-US" w:bidi="ar-SA"/>
    </w:rPr>
  </w:style>
  <w:style w:type="character" w:customStyle="1" w:styleId="Footer-DOTARSChar">
    <w:name w:val="Footer - DOTARS Char"/>
    <w:basedOn w:val="FooterChar"/>
    <w:link w:val="Footer-DOTARS"/>
    <w:rsid w:val="00B647CA"/>
    <w:rPr>
      <w:rFonts w:ascii="Arial Narrow" w:hAnsi="Arial Narrow"/>
      <w:spacing w:val="10"/>
      <w:sz w:val="17"/>
      <w:lang w:val="en-AU" w:eastAsia="en-US" w:bidi="ar-SA"/>
    </w:rPr>
  </w:style>
  <w:style w:type="paragraph" w:customStyle="1" w:styleId="SecurityClassification">
    <w:name w:val="Security Classification"/>
    <w:basedOn w:val="Header-DOTARS"/>
    <w:qFormat/>
    <w:rsid w:val="00AD0568"/>
    <w:pPr>
      <w:jc w:val="center"/>
    </w:pPr>
    <w:rPr>
      <w:b/>
      <w:caps w:val="0"/>
      <w:smallCaps w:val="0"/>
    </w:rPr>
  </w:style>
  <w:style w:type="paragraph" w:customStyle="1" w:styleId="FooterClassification">
    <w:name w:val="Footer Classification"/>
    <w:basedOn w:val="SecurityClassification"/>
    <w:qFormat/>
    <w:rsid w:val="00AD1F3B"/>
  </w:style>
  <w:style w:type="character" w:styleId="PlaceholderText">
    <w:name w:val="Placeholder Text"/>
    <w:basedOn w:val="DefaultParagraphFont"/>
    <w:uiPriority w:val="99"/>
    <w:semiHidden/>
    <w:rsid w:val="00A164EE"/>
    <w:rPr>
      <w:color w:val="808080"/>
    </w:rPr>
  </w:style>
  <w:style w:type="paragraph" w:styleId="ListParagraph">
    <w:name w:val="List Paragraph"/>
    <w:basedOn w:val="Normal"/>
    <w:uiPriority w:val="34"/>
    <w:qFormat/>
    <w:rsid w:val="00945D4F"/>
    <w:pPr>
      <w:contextualSpacing/>
    </w:pPr>
  </w:style>
  <w:style w:type="character" w:styleId="CommentReference">
    <w:name w:val="annotation reference"/>
    <w:basedOn w:val="DefaultParagraphFont"/>
    <w:uiPriority w:val="99"/>
    <w:semiHidden/>
    <w:unhideWhenUsed/>
    <w:rsid w:val="00945D4F"/>
    <w:rPr>
      <w:sz w:val="16"/>
      <w:szCs w:val="16"/>
    </w:rPr>
  </w:style>
  <w:style w:type="paragraph" w:styleId="CommentText">
    <w:name w:val="annotation text"/>
    <w:basedOn w:val="Normal"/>
    <w:link w:val="CommentTextChar"/>
    <w:uiPriority w:val="99"/>
    <w:unhideWhenUsed/>
    <w:rsid w:val="00945D4F"/>
    <w:pPr>
      <w:numPr>
        <w:numId w:val="2"/>
      </w:numPr>
    </w:pPr>
    <w:rPr>
      <w:sz w:val="20"/>
    </w:rPr>
  </w:style>
  <w:style w:type="character" w:customStyle="1" w:styleId="CommentTextChar">
    <w:name w:val="Comment Text Char"/>
    <w:basedOn w:val="DefaultParagraphFont"/>
    <w:link w:val="CommentText"/>
    <w:uiPriority w:val="99"/>
    <w:rsid w:val="00945D4F"/>
    <w:rPr>
      <w:lang w:eastAsia="en-US"/>
    </w:rPr>
  </w:style>
  <w:style w:type="paragraph" w:styleId="FootnoteText">
    <w:name w:val="footnote text"/>
    <w:basedOn w:val="Normal"/>
    <w:link w:val="FootnoteTextChar"/>
    <w:uiPriority w:val="99"/>
    <w:semiHidden/>
    <w:unhideWhenUsed/>
    <w:rsid w:val="00707C3D"/>
    <w:pPr>
      <w:numPr>
        <w:numId w:val="0"/>
      </w:numPr>
    </w:pPr>
    <w:rPr>
      <w:sz w:val="20"/>
    </w:rPr>
  </w:style>
  <w:style w:type="character" w:customStyle="1" w:styleId="FootnoteTextChar">
    <w:name w:val="Footnote Text Char"/>
    <w:basedOn w:val="DefaultParagraphFont"/>
    <w:link w:val="FootnoteText"/>
    <w:uiPriority w:val="99"/>
    <w:semiHidden/>
    <w:rsid w:val="00707C3D"/>
    <w:rPr>
      <w:lang w:eastAsia="en-US"/>
    </w:rPr>
  </w:style>
  <w:style w:type="character" w:styleId="FootnoteReference">
    <w:name w:val="footnote reference"/>
    <w:basedOn w:val="DefaultParagraphFont"/>
    <w:uiPriority w:val="99"/>
    <w:semiHidden/>
    <w:unhideWhenUsed/>
    <w:rsid w:val="00707C3D"/>
    <w:rPr>
      <w:vertAlign w:val="superscript"/>
    </w:rPr>
  </w:style>
  <w:style w:type="paragraph" w:styleId="CommentSubject">
    <w:name w:val="annotation subject"/>
    <w:basedOn w:val="CommentText"/>
    <w:next w:val="CommentText"/>
    <w:link w:val="CommentSubjectChar"/>
    <w:semiHidden/>
    <w:unhideWhenUsed/>
    <w:rsid w:val="00923593"/>
    <w:pPr>
      <w:numPr>
        <w:numId w:val="20"/>
      </w:numPr>
    </w:pPr>
    <w:rPr>
      <w:b/>
      <w:bCs/>
    </w:rPr>
  </w:style>
  <w:style w:type="character" w:customStyle="1" w:styleId="CommentSubjectChar">
    <w:name w:val="Comment Subject Char"/>
    <w:basedOn w:val="CommentTextChar"/>
    <w:link w:val="CommentSubject"/>
    <w:semiHidden/>
    <w:rsid w:val="00923593"/>
    <w:rPr>
      <w:b/>
      <w:bCs/>
      <w:lang w:eastAsia="en-US"/>
    </w:rPr>
  </w:style>
  <w:style w:type="paragraph" w:styleId="EndnoteText">
    <w:name w:val="endnote text"/>
    <w:basedOn w:val="Normal"/>
    <w:link w:val="EndnoteTextChar"/>
    <w:unhideWhenUsed/>
    <w:rsid w:val="00522354"/>
    <w:rPr>
      <w:sz w:val="20"/>
    </w:rPr>
  </w:style>
  <w:style w:type="character" w:customStyle="1" w:styleId="EndnoteTextChar">
    <w:name w:val="Endnote Text Char"/>
    <w:basedOn w:val="DefaultParagraphFont"/>
    <w:link w:val="EndnoteText"/>
    <w:rsid w:val="00522354"/>
    <w:rPr>
      <w:lang w:eastAsia="en-US"/>
    </w:rPr>
  </w:style>
  <w:style w:type="character" w:styleId="EndnoteReference">
    <w:name w:val="endnote reference"/>
    <w:basedOn w:val="DefaultParagraphFont"/>
    <w:semiHidden/>
    <w:unhideWhenUsed/>
    <w:rsid w:val="00522354"/>
    <w:rPr>
      <w:vertAlign w:val="superscript"/>
    </w:rPr>
  </w:style>
  <w:style w:type="paragraph" w:styleId="Revision">
    <w:name w:val="Revision"/>
    <w:hidden/>
    <w:uiPriority w:val="99"/>
    <w:semiHidden/>
    <w:rsid w:val="00F914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Executive\Secretary%20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9290F3A4124A23AD77ABE1A90F0C81"/>
        <w:category>
          <w:name w:val="General"/>
          <w:gallery w:val="placeholder"/>
        </w:category>
        <w:types>
          <w:type w:val="bbPlcHdr"/>
        </w:types>
        <w:behaviors>
          <w:behavior w:val="content"/>
        </w:behaviors>
        <w:guid w:val="{39FC6566-BCE1-48FC-8E89-E7CD893718C6}"/>
      </w:docPartPr>
      <w:docPartBody>
        <w:p w:rsidR="00A84FE8" w:rsidRDefault="00A16F97" w:rsidP="00A84FE8">
          <w:pPr>
            <w:pStyle w:val="229290F3A4124A23AD77ABE1A90F0C81"/>
          </w:pPr>
          <w:r>
            <w:rPr>
              <w:rStyle w:val="PlaceholderText"/>
            </w:rPr>
            <w:t>Click here to enter text.</w:t>
          </w:r>
        </w:p>
      </w:docPartBody>
    </w:docPart>
    <w:docPart>
      <w:docPartPr>
        <w:name w:val="25FE7294B56444458A84027D9B489A4B"/>
        <w:category>
          <w:name w:val="General"/>
          <w:gallery w:val="placeholder"/>
        </w:category>
        <w:types>
          <w:type w:val="bbPlcHdr"/>
        </w:types>
        <w:behaviors>
          <w:behavior w:val="content"/>
        </w:behaviors>
        <w:guid w:val="{460A0734-D35A-40DC-98C3-443EAB0800C0}"/>
      </w:docPartPr>
      <w:docPartBody>
        <w:p w:rsidR="00693BF3" w:rsidRDefault="00A16F97" w:rsidP="00A34984">
          <w:pPr>
            <w:pStyle w:val="25FE7294B56444458A84027D9B489A4B"/>
          </w:pPr>
          <w:r w:rsidRPr="004D5A81">
            <w:rPr>
              <w:rStyle w:val="PlaceholderText"/>
            </w:rPr>
            <w:t>Choose an item.</w:t>
          </w:r>
        </w:p>
      </w:docPartBody>
    </w:docPart>
    <w:docPart>
      <w:docPartPr>
        <w:name w:val="4281855D87124AF89CF7ADC356F01442"/>
        <w:category>
          <w:name w:val="General"/>
          <w:gallery w:val="placeholder"/>
        </w:category>
        <w:types>
          <w:type w:val="bbPlcHdr"/>
        </w:types>
        <w:behaviors>
          <w:behavior w:val="content"/>
        </w:behaviors>
        <w:guid w:val="{7743D5C7-D045-49B3-B34E-BFF5EDC74B74}"/>
      </w:docPartPr>
      <w:docPartBody>
        <w:p w:rsidR="00693BF3" w:rsidRDefault="00A16F97" w:rsidP="00A34984">
          <w:pPr>
            <w:pStyle w:val="4281855D87124AF89CF7ADC356F01442"/>
          </w:pPr>
          <w:r w:rsidRPr="004D5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1018E"/>
    <w:multiLevelType w:val="multilevel"/>
    <w:tmpl w:val="83722930"/>
    <w:lvl w:ilvl="0">
      <w:start w:val="1"/>
      <w:numFmt w:val="decimal"/>
      <w:pStyle w:val="20DDD5A9CB934E89BC474430128EA77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C2"/>
    <w:rsid w:val="00175F7F"/>
    <w:rsid w:val="002B5CF5"/>
    <w:rsid w:val="003A2E40"/>
    <w:rsid w:val="00465EC9"/>
    <w:rsid w:val="005433DE"/>
    <w:rsid w:val="00693BF3"/>
    <w:rsid w:val="006D277B"/>
    <w:rsid w:val="008602B5"/>
    <w:rsid w:val="00987F6B"/>
    <w:rsid w:val="009E3697"/>
    <w:rsid w:val="009F2F5E"/>
    <w:rsid w:val="00A16F97"/>
    <w:rsid w:val="00A34984"/>
    <w:rsid w:val="00A84FE8"/>
    <w:rsid w:val="00DB1520"/>
    <w:rsid w:val="00E23612"/>
    <w:rsid w:val="00EC0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984"/>
    <w:rPr>
      <w:color w:val="808080"/>
    </w:rPr>
  </w:style>
  <w:style w:type="paragraph" w:customStyle="1" w:styleId="B05014001BF24AE98C189890BDAFB5E7">
    <w:name w:val="B05014001BF24AE98C189890BDAFB5E7"/>
    <w:rsid w:val="00581283"/>
  </w:style>
  <w:style w:type="paragraph" w:customStyle="1" w:styleId="229290F3A4124A23AD77ABE1A90F0C81">
    <w:name w:val="229290F3A4124A23AD77ABE1A90F0C81"/>
    <w:rsid w:val="00412924"/>
  </w:style>
  <w:style w:type="paragraph" w:customStyle="1" w:styleId="AC3ADE9726694AC29694F880BDBCFA0D">
    <w:name w:val="AC3ADE9726694AC29694F880BDBCFA0D"/>
    <w:rsid w:val="00412924"/>
  </w:style>
  <w:style w:type="paragraph" w:customStyle="1" w:styleId="20DDD5A9CB934E89BC474430128EA77E">
    <w:name w:val="20DDD5A9CB934E89BC474430128EA77E"/>
    <w:rsid w:val="00B539F0"/>
    <w:pPr>
      <w:numPr>
        <w:numId w:val="1"/>
      </w:numPr>
      <w:spacing w:after="0" w:line="240" w:lineRule="auto"/>
    </w:pPr>
    <w:rPr>
      <w:rFonts w:ascii="Times New Roman" w:eastAsia="Times New Roman" w:hAnsi="Times New Roman" w:cs="Times New Roman"/>
      <w:sz w:val="24"/>
      <w:szCs w:val="20"/>
      <w:lang w:eastAsia="en-US"/>
    </w:rPr>
  </w:style>
  <w:style w:type="paragraph" w:customStyle="1" w:styleId="835D67C9B1644CACB0B18F489B86C4DB">
    <w:name w:val="835D67C9B1644CACB0B18F489B86C4DB"/>
    <w:rsid w:val="00E83094"/>
    <w:pPr>
      <w:tabs>
        <w:tab w:val="num" w:pos="720"/>
      </w:tabs>
      <w:spacing w:after="0" w:line="240" w:lineRule="auto"/>
      <w:ind w:left="720" w:hanging="720"/>
    </w:pPr>
    <w:rPr>
      <w:rFonts w:ascii="Times New Roman" w:eastAsia="Times New Roman" w:hAnsi="Times New Roman" w:cs="Times New Roman"/>
      <w:sz w:val="24"/>
      <w:szCs w:val="20"/>
      <w:lang w:eastAsia="en-US"/>
    </w:rPr>
  </w:style>
  <w:style w:type="paragraph" w:customStyle="1" w:styleId="847D1B410F0E48EBB9F90C0BF4389630">
    <w:name w:val="847D1B410F0E48EBB9F90C0BF4389630"/>
    <w:rsid w:val="00AD1A32"/>
    <w:pPr>
      <w:tabs>
        <w:tab w:val="num" w:pos="720"/>
      </w:tabs>
      <w:spacing w:after="0" w:line="240" w:lineRule="auto"/>
      <w:ind w:left="720" w:hanging="720"/>
    </w:pPr>
    <w:rPr>
      <w:rFonts w:ascii="Times New Roman" w:eastAsia="Times New Roman" w:hAnsi="Times New Roman" w:cs="Times New Roman"/>
      <w:sz w:val="24"/>
      <w:szCs w:val="20"/>
      <w:lang w:eastAsia="en-US"/>
    </w:rPr>
  </w:style>
  <w:style w:type="paragraph" w:customStyle="1" w:styleId="25FE7294B56444458A84027D9B489A4B">
    <w:name w:val="25FE7294B56444458A84027D9B489A4B"/>
    <w:rsid w:val="00A34984"/>
    <w:pPr>
      <w:spacing w:after="160" w:line="259" w:lineRule="auto"/>
    </w:pPr>
  </w:style>
  <w:style w:type="paragraph" w:customStyle="1" w:styleId="4281855D87124AF89CF7ADC356F01442">
    <w:name w:val="4281855D87124AF89CF7ADC356F01442"/>
    <w:rsid w:val="00A349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da5df43-bbd8-4643-b265-b63d63fe5e92">SP7UQ5V26J4T-15-69832</_dlc_DocId>
    <_dlc_DocIdUrl xmlns="ada5df43-bbd8-4643-b265-b63d63fe5e92">
      <Url>https://corporateapps.internal.pmc.gov.au/sites/OBPR/RIA/_layouts/15/DocIdRedir.aspx?ID=SP7UQ5V26J4T-15-69832</Url>
      <Description>SP7UQ5V26J4T-15-69832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1" ma:contentTypeDescription="Create a new document." ma:contentTypeScope="" ma:versionID="256d86c73516b70f2414ca0f6bda121f">
  <xsd:schema xmlns:xsd="http://www.w3.org/2001/XMLSchema" xmlns:xs="http://www.w3.org/2001/XMLSchema" xmlns:p="http://schemas.microsoft.com/office/2006/metadata/properties" xmlns:ns2="ada5df43-bbd8-4643-b265-b63d63fe5e92" targetNamespace="http://schemas.microsoft.com/office/2006/metadata/properties" ma:root="true" ma:fieldsID="015fdb3ca35326a46baa41eb325e1bf6" ns2:_="">
    <xsd:import namespace="ada5df43-bbd8-4643-b265-b63d63fe5e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f43-bbd8-4643-b265-b63d63fe5e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8C22-D83B-4612-8C82-872C2DB27D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a5df43-bbd8-4643-b265-b63d63fe5e92"/>
    <ds:schemaRef ds:uri="http://www.w3.org/XML/1998/namespace"/>
    <ds:schemaRef ds:uri="http://purl.org/dc/dcmitype/"/>
  </ds:schemaRefs>
</ds:datastoreItem>
</file>

<file path=customXml/itemProps2.xml><?xml version="1.0" encoding="utf-8"?>
<ds:datastoreItem xmlns:ds="http://schemas.openxmlformats.org/officeDocument/2006/customXml" ds:itemID="{4CD91214-120E-4056-8CD9-580B8691F777}">
  <ds:schemaRefs>
    <ds:schemaRef ds:uri="http://schemas.microsoft.com/sharepoint/events"/>
  </ds:schemaRefs>
</ds:datastoreItem>
</file>

<file path=customXml/itemProps3.xml><?xml version="1.0" encoding="utf-8"?>
<ds:datastoreItem xmlns:ds="http://schemas.openxmlformats.org/officeDocument/2006/customXml" ds:itemID="{C43E1809-5224-4171-9942-0FC46ED0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5df43-bbd8-4643-b265-b63d63fe5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B414A-CC37-4CD9-9EC5-FB9A6198BF2F}">
  <ds:schemaRefs>
    <ds:schemaRef ds:uri="http://schemas.microsoft.com/sharepoint/v3/contenttype/forms"/>
  </ds:schemaRefs>
</ds:datastoreItem>
</file>

<file path=customXml/itemProps5.xml><?xml version="1.0" encoding="utf-8"?>
<ds:datastoreItem xmlns:ds="http://schemas.openxmlformats.org/officeDocument/2006/customXml" ds:itemID="{B73C22CB-3C1E-4E28-967A-F88672D7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Secretary Letter</Template>
  <TotalTime>2</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Department of Infrastructure and Regional Development</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Athens Convention Regulation Impact Statement (RIS) - Final Assessment First Pass</dc:subject>
  <dc:creator>Tarry Felicity</dc:creator>
  <cp:keywords/>
  <dc:description/>
  <cp:lastModifiedBy>Tolley, Mathew</cp:lastModifiedBy>
  <cp:revision>3</cp:revision>
  <cp:lastPrinted>2020-07-13T00:21:00Z</cp:lastPrinted>
  <dcterms:created xsi:type="dcterms:W3CDTF">2020-08-21T01:12:00Z</dcterms:created>
  <dcterms:modified xsi:type="dcterms:W3CDTF">2020-11-04T05:38:00Z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
    <vt:lpwstr>Act Name</vt:lpwstr>
  </property>
  <property fmtid="{D5CDD505-2E9C-101B-9397-08002B2CF9AE}" pid="3" name="AdditionalInformation">
    <vt:lpwstr/>
  </property>
  <property fmtid="{D5CDD505-2E9C-101B-9397-08002B2CF9AE}" pid="4" name="AdditionalSecurityInformation">
    <vt:lpwstr/>
  </property>
  <property fmtid="{D5CDD505-2E9C-101B-9397-08002B2CF9AE}" pid="5" name="Author's Name">
    <vt:lpwstr>Author's Name</vt:lpwstr>
  </property>
  <property fmtid="{D5CDD505-2E9C-101B-9397-08002B2CF9AE}" pid="6" name="Author's Title/Position">
    <vt:lpwstr>Author's Title/Position</vt:lpwstr>
  </property>
  <property fmtid="{D5CDD505-2E9C-101B-9397-08002B2CF9AE}" pid="7" name="ClearanceActualDate">
    <vt:lpwstr/>
  </property>
  <property fmtid="{D5CDD505-2E9C-101B-9397-08002B2CF9AE}" pid="8" name="ClearanceDueDate">
    <vt:lpwstr/>
  </property>
  <property fmtid="{D5CDD505-2E9C-101B-9397-08002B2CF9AE}" pid="9" name="Contact Name">
    <vt:lpwstr>Contact Name</vt:lpwstr>
  </property>
  <property fmtid="{D5CDD505-2E9C-101B-9397-08002B2CF9AE}" pid="10" name="Contact Number">
    <vt:lpwstr>Contact Number</vt:lpwstr>
  </property>
  <property fmtid="{D5CDD505-2E9C-101B-9397-08002B2CF9AE}" pid="11" name="ContactOfficer">
    <vt:lpwstr>David STEPHENS</vt:lpwstr>
  </property>
  <property fmtid="{D5CDD505-2E9C-101B-9397-08002B2CF9AE}" pid="12" name="ContactOfficerPhone">
    <vt:lpwstr>02 6274 8093</vt:lpwstr>
  </property>
  <property fmtid="{D5CDD505-2E9C-101B-9397-08002B2CF9AE}" pid="13" name="ContentTypeId">
    <vt:lpwstr>0x010100B8596EF1E1B53D4DB650581373C5AE0B</vt:lpwstr>
  </property>
  <property fmtid="{D5CDD505-2E9C-101B-9397-08002B2CF9AE}" pid="14" name="CustomDate">
    <vt:lpwstr/>
  </property>
  <property fmtid="{D5CDD505-2E9C-101B-9397-08002B2CF9AE}" pid="15" name="CustomDateName">
    <vt:lpwstr/>
  </property>
  <property fmtid="{D5CDD505-2E9C-101B-9397-08002B2CF9AE}" pid="16" name="EventDate">
    <vt:lpwstr/>
  </property>
  <property fmtid="{D5CDD505-2E9C-101B-9397-08002B2CF9AE}" pid="17" name="EventState">
    <vt:lpwstr/>
  </property>
  <property fmtid="{D5CDD505-2E9C-101B-9397-08002B2CF9AE}" pid="18" name="EventVenue">
    <vt:lpwstr/>
  </property>
  <property fmtid="{D5CDD505-2E9C-101B-9397-08002B2CF9AE}" pid="19" name="Executives">
    <vt:lpwstr>Andrew JOHNSON</vt:lpwstr>
  </property>
  <property fmtid="{D5CDD505-2E9C-101B-9397-08002B2CF9AE}" pid="20" name="File Reference">
    <vt:lpwstr>File Reference</vt:lpwstr>
  </property>
  <property fmtid="{D5CDD505-2E9C-101B-9397-08002B2CF9AE}" pid="21" name="First Name">
    <vt:lpwstr>First Name</vt:lpwstr>
  </property>
  <property fmtid="{D5CDD505-2E9C-101B-9397-08002B2CF9AE}" pid="22" name="From Name">
    <vt:lpwstr>From Name</vt:lpwstr>
  </property>
  <property fmtid="{D5CDD505-2E9C-101B-9397-08002B2CF9AE}" pid="23" name="GroupResponsible">
    <vt:lpwstr>COVID Surface Transport</vt:lpwstr>
  </property>
  <property fmtid="{D5CDD505-2E9C-101B-9397-08002B2CF9AE}" pid="24" name="HandlingProtocol">
    <vt:lpwstr>Standard</vt:lpwstr>
  </property>
  <property fmtid="{D5CDD505-2E9C-101B-9397-08002B2CF9AE}" pid="25" name="InformationExecutive">
    <vt:lpwstr> </vt:lpwstr>
  </property>
  <property fmtid="{D5CDD505-2E9C-101B-9397-08002B2CF9AE}" pid="26" name="InformationMinister">
    <vt:lpwstr> </vt:lpwstr>
  </property>
  <property fmtid="{D5CDD505-2E9C-101B-9397-08002B2CF9AE}" pid="27" name="InitiatorAddressBlock">
    <vt:lpwstr/>
  </property>
  <property fmtid="{D5CDD505-2E9C-101B-9397-08002B2CF9AE}" pid="28" name="InitiatorAddressLine1">
    <vt:lpwstr/>
  </property>
  <property fmtid="{D5CDD505-2E9C-101B-9397-08002B2CF9AE}" pid="29" name="InitiatorAddressLine1And2">
    <vt:lpwstr/>
  </property>
  <property fmtid="{D5CDD505-2E9C-101B-9397-08002B2CF9AE}" pid="30" name="InitiatorAddressLine2">
    <vt:lpwstr/>
  </property>
  <property fmtid="{D5CDD505-2E9C-101B-9397-08002B2CF9AE}" pid="31" name="InitiatorContactDate">
    <vt:lpwstr/>
  </property>
  <property fmtid="{D5CDD505-2E9C-101B-9397-08002B2CF9AE}" pid="32" name="InitiatorContactName">
    <vt:lpwstr/>
  </property>
  <property fmtid="{D5CDD505-2E9C-101B-9397-08002B2CF9AE}" pid="33" name="InitiatorContactPosition">
    <vt:lpwstr/>
  </property>
  <property fmtid="{D5CDD505-2E9C-101B-9397-08002B2CF9AE}" pid="34" name="InitiatorCountry">
    <vt:lpwstr/>
  </property>
  <property fmtid="{D5CDD505-2E9C-101B-9397-08002B2CF9AE}" pid="35" name="InitiatorEmail">
    <vt:lpwstr/>
  </property>
  <property fmtid="{D5CDD505-2E9C-101B-9397-08002B2CF9AE}" pid="36" name="InitiatorFax">
    <vt:lpwstr/>
  </property>
  <property fmtid="{D5CDD505-2E9C-101B-9397-08002B2CF9AE}" pid="37" name="InitiatorFirstName">
    <vt:lpwstr/>
  </property>
  <property fmtid="{D5CDD505-2E9C-101B-9397-08002B2CF9AE}" pid="38" name="InitiatorFormalTitle">
    <vt:lpwstr/>
  </property>
  <property fmtid="{D5CDD505-2E9C-101B-9397-08002B2CF9AE}" pid="39" name="InitiatorFullName">
    <vt:lpwstr/>
  </property>
  <property fmtid="{D5CDD505-2E9C-101B-9397-08002B2CF9AE}" pid="40" name="InitiatorLastName">
    <vt:lpwstr/>
  </property>
  <property fmtid="{D5CDD505-2E9C-101B-9397-08002B2CF9AE}" pid="41" name="InitiatorMobile">
    <vt:lpwstr/>
  </property>
  <property fmtid="{D5CDD505-2E9C-101B-9397-08002B2CF9AE}" pid="42" name="InitiatorMPElectorate">
    <vt:lpwstr/>
  </property>
  <property fmtid="{D5CDD505-2E9C-101B-9397-08002B2CF9AE}" pid="43" name="InitiatorMPState">
    <vt:lpwstr/>
  </property>
  <property fmtid="{D5CDD505-2E9C-101B-9397-08002B2CF9AE}" pid="44" name="InitiatorName">
    <vt:lpwstr/>
  </property>
  <property fmtid="{D5CDD505-2E9C-101B-9397-08002B2CF9AE}" pid="45" name="InitiatorOnBehalfVia">
    <vt:lpwstr/>
  </property>
  <property fmtid="{D5CDD505-2E9C-101B-9397-08002B2CF9AE}" pid="46" name="InitiatorOrganisation">
    <vt:lpwstr/>
  </property>
  <property fmtid="{D5CDD505-2E9C-101B-9397-08002B2CF9AE}" pid="47" name="InitiatorOrganisationContactInformation">
    <vt:lpwstr/>
  </property>
  <property fmtid="{D5CDD505-2E9C-101B-9397-08002B2CF9AE}" pid="48" name="InitiatorOrganisationType">
    <vt:lpwstr/>
  </property>
  <property fmtid="{D5CDD505-2E9C-101B-9397-08002B2CF9AE}" pid="49" name="InitiatorOrganisationWebsite">
    <vt:lpwstr/>
  </property>
  <property fmtid="{D5CDD505-2E9C-101B-9397-08002B2CF9AE}" pid="50" name="InitiatorParliamentaryTitle">
    <vt:lpwstr/>
  </property>
  <property fmtid="{D5CDD505-2E9C-101B-9397-08002B2CF9AE}" pid="51" name="InitiatorPhone">
    <vt:lpwstr/>
  </property>
  <property fmtid="{D5CDD505-2E9C-101B-9397-08002B2CF9AE}" pid="52" name="InitiatorPostCode">
    <vt:lpwstr/>
  </property>
  <property fmtid="{D5CDD505-2E9C-101B-9397-08002B2CF9AE}" pid="53" name="InitiatorPostNominal">
    <vt:lpwstr/>
  </property>
  <property fmtid="{D5CDD505-2E9C-101B-9397-08002B2CF9AE}" pid="54" name="InitiatorState">
    <vt:lpwstr/>
  </property>
  <property fmtid="{D5CDD505-2E9C-101B-9397-08002B2CF9AE}" pid="55" name="InitiatorSuburbOrCity">
    <vt:lpwstr/>
  </property>
  <property fmtid="{D5CDD505-2E9C-101B-9397-08002B2CF9AE}" pid="56" name="InitiatorSuburbStatePostcode">
    <vt:lpwstr/>
  </property>
  <property fmtid="{D5CDD505-2E9C-101B-9397-08002B2CF9AE}" pid="57" name="InitiatorTitle">
    <vt:lpwstr/>
  </property>
  <property fmtid="{D5CDD505-2E9C-101B-9397-08002B2CF9AE}" pid="58" name="InitiatorTitledFullName">
    <vt:lpwstr/>
  </property>
  <property fmtid="{D5CDD505-2E9C-101B-9397-08002B2CF9AE}" pid="59" name="LastClearingOfficer">
    <vt:lpwstr/>
  </property>
  <property fmtid="{D5CDD505-2E9C-101B-9397-08002B2CF9AE}" pid="60" name="MeetingDate">
    <vt:lpwstr/>
  </property>
  <property fmtid="{D5CDD505-2E9C-101B-9397-08002B2CF9AE}" pid="61" name="MeetingState">
    <vt:lpwstr/>
  </property>
  <property fmtid="{D5CDD505-2E9C-101B-9397-08002B2CF9AE}" pid="62" name="MeetingVenue">
    <vt:lpwstr/>
  </property>
  <property fmtid="{D5CDD505-2E9C-101B-9397-08002B2CF9AE}" pid="63" name="Ministers">
    <vt:lpwstr/>
  </property>
  <property fmtid="{D5CDD505-2E9C-101B-9397-08002B2CF9AE}" pid="64" name="Name">
    <vt:lpwstr>Name</vt:lpwstr>
  </property>
  <property fmtid="{D5CDD505-2E9C-101B-9397-08002B2CF9AE}" pid="65" name="Organisation">
    <vt:lpwstr>Organisation</vt:lpwstr>
  </property>
  <property fmtid="{D5CDD505-2E9C-101B-9397-08002B2CF9AE}" pid="66" name="PdrId">
    <vt:lpwstr>EC20-000277</vt:lpwstr>
  </property>
  <property fmtid="{D5CDD505-2E9C-101B-9397-08002B2CF9AE}" pid="67" name="Position/Title">
    <vt:lpwstr>Position/Title</vt:lpwstr>
  </property>
  <property fmtid="{D5CDD505-2E9C-101B-9397-08002B2CF9AE}" pid="68" name="Postcode">
    <vt:lpwstr>Postcode</vt:lpwstr>
  </property>
  <property fmtid="{D5CDD505-2E9C-101B-9397-08002B2CF9AE}" pid="69" name="Principal">
    <vt:lpwstr>David Hallinan Deputy Secretary</vt:lpwstr>
  </property>
  <property fmtid="{D5CDD505-2E9C-101B-9397-08002B2CF9AE}" pid="70" name="ReasonForCreation">
    <vt:lpwstr>Other</vt:lpwstr>
  </property>
  <property fmtid="{D5CDD505-2E9C-101B-9397-08002B2CF9AE}" pid="71" name="ReasonForSensitivity">
    <vt:lpwstr/>
  </property>
  <property fmtid="{D5CDD505-2E9C-101B-9397-08002B2CF9AE}" pid="72" name="RegisteredDate">
    <vt:lpwstr>09 June 2020</vt:lpwstr>
  </property>
  <property fmtid="{D5CDD505-2E9C-101B-9397-08002B2CF9AE}" pid="73" name="RequestedExecutiveAction">
    <vt:lpwstr>Agree/sign</vt:lpwstr>
  </property>
  <property fmtid="{D5CDD505-2E9C-101B-9397-08002B2CF9AE}" pid="74" name="RequestedSubmittedBy">
    <vt:lpwstr>Barry WEATHERBURN</vt:lpwstr>
  </property>
  <property fmtid="{D5CDD505-2E9C-101B-9397-08002B2CF9AE}" pid="75" name="ResponsibleExecutive">
    <vt:lpwstr>Andrew JOHNSON</vt:lpwstr>
  </property>
  <property fmtid="{D5CDD505-2E9C-101B-9397-08002B2CF9AE}" pid="76" name="ResponsibleMinister">
    <vt:lpwstr> </vt:lpwstr>
  </property>
  <property fmtid="{D5CDD505-2E9C-101B-9397-08002B2CF9AE}" pid="77" name="Security Classification">
    <vt:lpwstr>Security Classification</vt:lpwstr>
  </property>
  <property fmtid="{D5CDD505-2E9C-101B-9397-08002B2CF9AE}" pid="78" name="Security Footer">
    <vt:lpwstr>Security Classification</vt:lpwstr>
  </property>
  <property fmtid="{D5CDD505-2E9C-101B-9397-08002B2CF9AE}" pid="79" name="SecurityClassification">
    <vt:lpwstr>UNCLASSIFIED  </vt:lpwstr>
  </property>
  <property fmtid="{D5CDD505-2E9C-101B-9397-08002B2CF9AE}" pid="80" name="SignedDate">
    <vt:lpwstr/>
  </property>
  <property fmtid="{D5CDD505-2E9C-101B-9397-08002B2CF9AE}" pid="81" name="State">
    <vt:lpwstr>State</vt:lpwstr>
  </property>
  <property fmtid="{D5CDD505-2E9C-101B-9397-08002B2CF9AE}" pid="82" name="Street">
    <vt:lpwstr>Street</vt:lpwstr>
  </property>
  <property fmtid="{D5CDD505-2E9C-101B-9397-08002B2CF9AE}" pid="83" name="Subject">
    <vt:lpwstr>Athens Convention Regulation Impact Statement (RIS) - Final Assessment First Pass</vt:lpwstr>
  </property>
  <property fmtid="{D5CDD505-2E9C-101B-9397-08002B2CF9AE}" pid="84" name="Suburb">
    <vt:lpwstr>Suburb</vt:lpwstr>
  </property>
  <property fmtid="{D5CDD505-2E9C-101B-9397-08002B2CF9AE}" pid="85" name="Superseded">
    <vt:lpwstr>True</vt:lpwstr>
  </property>
  <property fmtid="{D5CDD505-2E9C-101B-9397-08002B2CF9AE}" pid="86" name="Surname">
    <vt:lpwstr>Surname</vt:lpwstr>
  </property>
  <property fmtid="{D5CDD505-2E9C-101B-9397-08002B2CF9AE}" pid="87" name="TaskSeqNo">
    <vt:lpwstr>0</vt:lpwstr>
  </property>
  <property fmtid="{D5CDD505-2E9C-101B-9397-08002B2CF9AE}" pid="88" name="TemplateSubType">
    <vt:lpwstr>Executive Brief with Letter</vt:lpwstr>
  </property>
  <property fmtid="{D5CDD505-2E9C-101B-9397-08002B2CF9AE}" pid="89" name="TemplateType">
    <vt:lpwstr>Executive Brief</vt:lpwstr>
  </property>
  <property fmtid="{D5CDD505-2E9C-101B-9397-08002B2CF9AE}" pid="90" name="Title">
    <vt:lpwstr>Title</vt:lpwstr>
  </property>
  <property fmtid="{D5CDD505-2E9C-101B-9397-08002B2CF9AE}" pid="91" name="TrustedGroups">
    <vt:lpwstr>Business Administrator, Executive Communications, Limited Distribution EC</vt:lpwstr>
  </property>
  <property fmtid="{D5CDD505-2E9C-101B-9397-08002B2CF9AE}" pid="92" name="_dlc_DocIdItemGuid">
    <vt:lpwstr>41cd0f1b-6442-4b1f-b579-a5a47540b73a</vt:lpwstr>
  </property>
</Properties>
</file>