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95D19" w:rsidRDefault="006B02AF" w:rsidP="00810F60">
      <w:pPr>
        <w:tabs>
          <w:tab w:val="left" w:pos="2235"/>
        </w:tabs>
      </w:pPr>
      <w:r>
        <w:rPr>
          <w:noProof/>
          <w:lang w:val="en-AU" w:eastAsia="en-AU"/>
        </w:rPr>
        <mc:AlternateContent>
          <mc:Choice Requires="wps">
            <w:drawing>
              <wp:anchor distT="0" distB="0" distL="114300" distR="114300" simplePos="0" relativeHeight="251658241" behindDoc="1" locked="0" layoutInCell="1" allowOverlap="1" wp14:anchorId="11ECE52D" wp14:editId="3267BD29">
                <wp:simplePos x="0" y="0"/>
                <wp:positionH relativeFrom="page">
                  <wp:posOffset>-5715</wp:posOffset>
                </wp:positionH>
                <wp:positionV relativeFrom="page">
                  <wp:align>bottom</wp:align>
                </wp:positionV>
                <wp:extent cx="7610475" cy="10753725"/>
                <wp:effectExtent l="0" t="0" r="28575" b="28575"/>
                <wp:wrapNone/>
                <wp:docPr id="4" name="Rectangle 4"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610475" cy="10753725"/>
                        </a:xfrm>
                        <a:prstGeom prst="rect">
                          <a:avLst/>
                        </a:prstGeom>
                        <a:gradFill>
                          <a:gsLst>
                            <a:gs pos="0">
                              <a:srgbClr val="00283E"/>
                            </a:gs>
                            <a:gs pos="51000">
                              <a:srgbClr val="005677"/>
                            </a:gs>
                            <a:gs pos="100000">
                              <a:srgbClr val="1B959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72292" id="Rectangle 4" o:spid="_x0000_s1026" alt="Title: Departmental background colour gradient - Description: Departmental background colour gradient" style="position:absolute;margin-left:-.45pt;margin-top:0;width:599.25pt;height:846.75pt;z-index:-251658239;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kf8AIAAHsGAAAOAAAAZHJzL2Uyb0RvYy54bWysVd9P2zAQfp+0/8Hy+0jSNRQqUtTBmCYh&#10;QMDEs+s4rTXH59lu0+6v39lOQ8WqaZr24p5zv7/zfb243LaKbIR1EnRFi5OcEqE51FIvK/rt+ebD&#10;GSXOM10zBVpUdCccvZy9f3fRmakYwQpULSzBINpNO1PRlfdmmmWOr0TL3AkYoVHZgG2Zx6tdZrVl&#10;HUZvVTbK89OsA1sbC1w4h1+vk5LOYvymEdzfN40TnqiKYm0+njaei3Bmsws2XVpmVpL3ZbB/qKJl&#10;UmPSIdQ184ysrfwtVCu5BQeNP+HQZtA0kovYA3ZT5G+6eVoxI2IvCI4zA0zu/4Xld5sHS2Rd0TEl&#10;mrU4okcEjemlEgQ/1cJxhOtaGGZ9K7RniiwY/760sNY14aBgbQkCWEtUIsDSK4zxt/YIf2fcFKt4&#10;Mg+2vzkUA5bbxrbhF1Ei2ziy3TAysfWE48fJaZGPJyUlHHVFPik/TkZlmGr26m+s818EtCQIFbXY&#10;X5wV29w6n0z3Jv0I6xupVJQdmiSBGEDc8+jp7HJxpSzZsPCs8tHZx899zqU7tC6LPD/qUZ5OJkc9&#10;gsMxl+LTeXkenys2FpLEn744JTXBiVW0HCd34jhTAoda7JPggFJPWcA7IRwlv1MilKz0o2jwISCm&#10;o9RjWEExdMk4xwEXSbVitUjNl7HcBGJc2uARq4sBQ+QGsRxi9wGOx05hevvgKuIGD849lH9yHjxi&#10;ZtB+cG6lBnusM4Vd9ZmTPZZ/AE0QF1DvcE0sJP5wht9IfEu3zPkHZpEwkFqQBP09Ho2CrqLQS5Ss&#10;wP489j3Y4x6jlpIOCaii7seaWUGJ+qrxpZ0X43FgrHgZl5MRXuyhZnGo0ev2CvAxFki3hkcx2Hu1&#10;FxsL7Qty5TxkRRXTHHNXlHu7v1z5RIzItlzM59EMWcowf6ufDA/BA6phV563L8yafqE8LuMd7MmK&#10;Td/sVbINnhrmaw+NjEv3imuPNzJcetaJjQOFHt6j1et/xuwXAAAA//8DAFBLAwQUAAYACAAAACEA&#10;m7HEyd4AAAAIAQAADwAAAGRycy9kb3ducmV2LnhtbEyPwU7DMBBE70j8g7VIXFDrtIhAQpwKVURw&#10;6IVAOW9jN4lqr6PYbcPfsz3BbUczmn1TrCZnxcmMofekYDFPQBhqvO6pVfD1Wc2eQISIpNF6Mgp+&#10;TIBVeX1VYK79mT7MqY6t4BIKOSroYhxyKUPTGYdh7gdD7O396DCyHFupRzxzubNymSSpdNgTf+hw&#10;MOvONIf66BS8bt63d2i3yzd/qNNqbd2+ct9K3d5ML88gopniXxgu+IwOJTPt/JF0EFbBLOOgAt5z&#10;MRfZYwpix1ea3T+ALAv5f0D5CwAA//8DAFBLAQItABQABgAIAAAAIQC2gziS/gAAAOEBAAATAAAA&#10;AAAAAAAAAAAAAAAAAABbQ29udGVudF9UeXBlc10ueG1sUEsBAi0AFAAGAAgAAAAhADj9If/WAAAA&#10;lAEAAAsAAAAAAAAAAAAAAAAALwEAAF9yZWxzLy5yZWxzUEsBAi0AFAAGAAgAAAAhAPemGR/wAgAA&#10;ewYAAA4AAAAAAAAAAAAAAAAALgIAAGRycy9lMm9Eb2MueG1sUEsBAi0AFAAGAAgAAAAhAJuxxMne&#10;AAAACAEAAA8AAAAAAAAAAAAAAAAASgUAAGRycy9kb3ducmV2LnhtbFBLBQYAAAAABAAEAPMAAABV&#10;BgAAAAA=&#10;" fillcolor="#00283e" strokecolor="#1f4d78 [1604]" strokeweight="1pt">
                <v:fill color2="#1b9590" colors="0 #00283e;33423f #005677;1 #1b9590" focus="100%" type="gradient"/>
                <w10:wrap anchorx="page" anchory="page"/>
              </v:rect>
            </w:pict>
          </mc:Fallback>
        </mc:AlternateContent>
      </w:r>
      <w:r w:rsidR="00810F60" w:rsidRPr="00180BF8">
        <w:rPr>
          <w:noProof/>
          <w:lang w:val="en-AU" w:eastAsia="en-AU"/>
        </w:rPr>
        <w:drawing>
          <wp:anchor distT="0" distB="0" distL="114300" distR="114300" simplePos="0" relativeHeight="251658242" behindDoc="0" locked="0" layoutInCell="1" allowOverlap="1" wp14:anchorId="49F309C9" wp14:editId="5EE158E9">
            <wp:simplePos x="0" y="0"/>
            <wp:positionH relativeFrom="column">
              <wp:posOffset>9525</wp:posOffset>
            </wp:positionH>
            <wp:positionV relativeFrom="paragraph">
              <wp:posOffset>-276225</wp:posOffset>
            </wp:positionV>
            <wp:extent cx="2696210" cy="697865"/>
            <wp:effectExtent l="0" t="0" r="8890" b="6985"/>
            <wp:wrapNone/>
            <wp:docPr id="7" name="Picture 7"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6210" cy="697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proofErr w:type="gramStart"/>
      <w:r w:rsidR="003E52C1">
        <w:t>ltationm</w:t>
      </w:r>
      <w:proofErr w:type="spellEnd"/>
      <w:proofErr w:type="gramEnd"/>
      <w:r w:rsidR="00810F60">
        <w:tab/>
      </w:r>
    </w:p>
    <w:p w:rsidR="00B95D19" w:rsidRDefault="00B95D19" w:rsidP="00B95D19">
      <w:pPr>
        <w:spacing w:after="0"/>
        <w:rPr>
          <w:rFonts w:asciiTheme="majorHAnsi" w:eastAsiaTheme="majorEastAsia" w:hAnsiTheme="majorHAnsi" w:cstheme="majorBidi"/>
          <w:b/>
          <w:color w:val="2E74B5" w:themeColor="accent1" w:themeShade="BF"/>
          <w:sz w:val="32"/>
          <w:szCs w:val="32"/>
        </w:rPr>
      </w:pPr>
    </w:p>
    <w:p w:rsidR="00B95D19" w:rsidRDefault="00B95D19" w:rsidP="00B95D19">
      <w:pPr>
        <w:spacing w:after="0"/>
        <w:rPr>
          <w:rFonts w:asciiTheme="majorHAnsi" w:eastAsiaTheme="majorEastAsia" w:hAnsiTheme="majorHAnsi" w:cstheme="majorBidi"/>
          <w:b/>
          <w:color w:val="2E74B5" w:themeColor="accent1" w:themeShade="BF"/>
          <w:sz w:val="32"/>
          <w:szCs w:val="32"/>
        </w:rPr>
      </w:pPr>
    </w:p>
    <w:p w:rsidR="00B95D19" w:rsidRDefault="00B95D19" w:rsidP="00B95D19">
      <w:pPr>
        <w:spacing w:after="0"/>
        <w:rPr>
          <w:rFonts w:asciiTheme="majorHAnsi" w:eastAsiaTheme="majorEastAsia" w:hAnsiTheme="majorHAnsi" w:cstheme="majorBidi"/>
          <w:b/>
          <w:color w:val="2E74B5" w:themeColor="accent1" w:themeShade="BF"/>
          <w:sz w:val="32"/>
          <w:szCs w:val="32"/>
        </w:rPr>
      </w:pPr>
    </w:p>
    <w:p w:rsidR="00810F60" w:rsidRDefault="00810F60" w:rsidP="00B95D19">
      <w:pPr>
        <w:rPr>
          <w:b/>
          <w:color w:val="FFFFFF" w:themeColor="background1"/>
          <w:sz w:val="40"/>
        </w:rPr>
      </w:pPr>
    </w:p>
    <w:p w:rsidR="00B95D19" w:rsidRPr="00810F60" w:rsidRDefault="00B95D19" w:rsidP="00B95D19">
      <w:pPr>
        <w:rPr>
          <w:b/>
          <w:color w:val="FFFFFF" w:themeColor="background1"/>
          <w:sz w:val="40"/>
        </w:rPr>
      </w:pPr>
      <w:r w:rsidRPr="00810F60">
        <w:rPr>
          <w:b/>
          <w:color w:val="FFFFFF" w:themeColor="background1"/>
          <w:sz w:val="40"/>
        </w:rPr>
        <w:t>Regulation Impact Statement</w:t>
      </w:r>
    </w:p>
    <w:p w:rsidR="00B95D19" w:rsidRPr="00810F60" w:rsidRDefault="006D6DF6" w:rsidP="00B95D19">
      <w:pPr>
        <w:rPr>
          <w:color w:val="FFFFFF" w:themeColor="background1"/>
        </w:rPr>
      </w:pPr>
      <w:r>
        <w:rPr>
          <w:color w:val="FFFFFF" w:themeColor="background1"/>
          <w:sz w:val="28"/>
        </w:rPr>
        <w:t>Changes to the Regulatory Framework Applying to the Franchise Sector</w:t>
      </w:r>
    </w:p>
    <w:p w:rsidR="00B95D19" w:rsidRDefault="00810F60" w:rsidP="00810F60">
      <w:pPr>
        <w:tabs>
          <w:tab w:val="left" w:pos="3240"/>
        </w:tabs>
      </w:pPr>
      <w:r>
        <w:tab/>
      </w:r>
    </w:p>
    <w:p w:rsidR="00B95D19" w:rsidRDefault="00B95D19" w:rsidP="00B95D19"/>
    <w:p w:rsidR="00B95D19" w:rsidRDefault="00B95D19" w:rsidP="00B95D19"/>
    <w:p w:rsidR="00B95D19" w:rsidRDefault="00B95D19" w:rsidP="00B95D19"/>
    <w:p w:rsidR="00B95D19" w:rsidRDefault="00B95D19" w:rsidP="00B95D19"/>
    <w:p w:rsidR="00B95D19" w:rsidRDefault="00B95D19" w:rsidP="00B95D19"/>
    <w:p w:rsidR="00B95D19" w:rsidRDefault="00B95D19" w:rsidP="00B95D19">
      <w:pPr>
        <w:jc w:val="right"/>
        <w:rPr>
          <w:rFonts w:asciiTheme="majorHAnsi" w:eastAsiaTheme="majorEastAsia" w:hAnsiTheme="majorHAnsi" w:cstheme="majorBidi"/>
          <w:b/>
          <w:color w:val="2E74B5" w:themeColor="accent1" w:themeShade="BF"/>
          <w:sz w:val="32"/>
          <w:szCs w:val="32"/>
        </w:rPr>
      </w:pPr>
    </w:p>
    <w:p w:rsidR="00B95D19" w:rsidRDefault="00B95D19" w:rsidP="00B95D19">
      <w:pPr>
        <w:jc w:val="right"/>
        <w:rPr>
          <w:rFonts w:asciiTheme="majorHAnsi" w:eastAsiaTheme="majorEastAsia" w:hAnsiTheme="majorHAnsi" w:cstheme="majorBidi"/>
          <w:b/>
          <w:color w:val="2E74B5" w:themeColor="accent1" w:themeShade="BF"/>
          <w:sz w:val="32"/>
          <w:szCs w:val="32"/>
        </w:rPr>
      </w:pPr>
    </w:p>
    <w:p w:rsidR="00B95D19" w:rsidRDefault="00B95D19" w:rsidP="00B95D19">
      <w:pPr>
        <w:jc w:val="right"/>
        <w:rPr>
          <w:rFonts w:asciiTheme="majorHAnsi" w:eastAsiaTheme="majorEastAsia" w:hAnsiTheme="majorHAnsi" w:cstheme="majorBidi"/>
          <w:b/>
          <w:color w:val="2E74B5" w:themeColor="accent1" w:themeShade="BF"/>
          <w:sz w:val="32"/>
          <w:szCs w:val="32"/>
        </w:rPr>
      </w:pPr>
    </w:p>
    <w:p w:rsidR="00B95D19" w:rsidRDefault="00B95D19" w:rsidP="00B95D19">
      <w:pPr>
        <w:jc w:val="right"/>
        <w:rPr>
          <w:rFonts w:asciiTheme="majorHAnsi" w:eastAsiaTheme="majorEastAsia" w:hAnsiTheme="majorHAnsi" w:cstheme="majorBidi"/>
          <w:b/>
          <w:color w:val="2E74B5" w:themeColor="accent1" w:themeShade="BF"/>
          <w:sz w:val="32"/>
          <w:szCs w:val="32"/>
        </w:rPr>
      </w:pPr>
    </w:p>
    <w:p w:rsidR="00B95D19" w:rsidRDefault="00B95D19" w:rsidP="00B95D19">
      <w:pPr>
        <w:jc w:val="right"/>
        <w:rPr>
          <w:rFonts w:asciiTheme="majorHAnsi" w:eastAsiaTheme="majorEastAsia" w:hAnsiTheme="majorHAnsi" w:cstheme="majorBidi"/>
          <w:b/>
          <w:color w:val="2E74B5" w:themeColor="accent1" w:themeShade="BF"/>
          <w:sz w:val="32"/>
          <w:szCs w:val="32"/>
        </w:rPr>
      </w:pPr>
    </w:p>
    <w:p w:rsidR="00B95D19" w:rsidRDefault="00B95D19" w:rsidP="00B95D19">
      <w:pPr>
        <w:jc w:val="right"/>
        <w:rPr>
          <w:rFonts w:asciiTheme="majorHAnsi" w:eastAsiaTheme="majorEastAsia" w:hAnsiTheme="majorHAnsi" w:cstheme="majorBidi"/>
          <w:b/>
          <w:color w:val="2E74B5" w:themeColor="accent1" w:themeShade="BF"/>
          <w:sz w:val="32"/>
          <w:szCs w:val="32"/>
        </w:rPr>
      </w:pPr>
    </w:p>
    <w:p w:rsidR="00B95D19" w:rsidRDefault="00B95D19" w:rsidP="00B95D19">
      <w:pPr>
        <w:jc w:val="right"/>
        <w:rPr>
          <w:rFonts w:asciiTheme="majorHAnsi" w:eastAsiaTheme="majorEastAsia" w:hAnsiTheme="majorHAnsi" w:cstheme="majorBidi"/>
          <w:b/>
          <w:color w:val="2E74B5" w:themeColor="accent1" w:themeShade="BF"/>
          <w:sz w:val="32"/>
          <w:szCs w:val="32"/>
        </w:rPr>
      </w:pPr>
    </w:p>
    <w:p w:rsidR="00B95D19" w:rsidRDefault="00B95D19" w:rsidP="00B95D19">
      <w:pPr>
        <w:jc w:val="right"/>
        <w:rPr>
          <w:rFonts w:asciiTheme="majorHAnsi" w:eastAsiaTheme="majorEastAsia" w:hAnsiTheme="majorHAnsi" w:cstheme="majorBidi"/>
          <w:b/>
          <w:color w:val="2E74B5" w:themeColor="accent1" w:themeShade="BF"/>
          <w:sz w:val="32"/>
          <w:szCs w:val="32"/>
        </w:rPr>
      </w:pPr>
    </w:p>
    <w:p w:rsidR="0041488F" w:rsidRDefault="0041488F" w:rsidP="00B95D19">
      <w:pPr>
        <w:jc w:val="right"/>
        <w:rPr>
          <w:rFonts w:asciiTheme="majorHAnsi" w:eastAsiaTheme="majorEastAsia" w:hAnsiTheme="majorHAnsi" w:cstheme="majorBidi"/>
          <w:b/>
          <w:color w:val="FFFFFF" w:themeColor="background1"/>
          <w:sz w:val="32"/>
          <w:szCs w:val="32"/>
        </w:rPr>
      </w:pPr>
    </w:p>
    <w:p w:rsidR="0041488F" w:rsidRDefault="0041488F" w:rsidP="00B95D19">
      <w:pPr>
        <w:jc w:val="right"/>
        <w:rPr>
          <w:rFonts w:asciiTheme="majorHAnsi" w:eastAsiaTheme="majorEastAsia" w:hAnsiTheme="majorHAnsi" w:cstheme="majorBidi"/>
          <w:b/>
          <w:color w:val="FFFFFF" w:themeColor="background1"/>
          <w:sz w:val="32"/>
          <w:szCs w:val="32"/>
        </w:rPr>
      </w:pPr>
    </w:p>
    <w:p w:rsidR="00B95D19" w:rsidRPr="00810F60" w:rsidRDefault="00C5193B" w:rsidP="00B95D19">
      <w:pPr>
        <w:jc w:val="right"/>
        <w:rPr>
          <w:rFonts w:asciiTheme="majorHAnsi" w:eastAsiaTheme="majorEastAsia" w:hAnsiTheme="majorHAnsi" w:cstheme="majorBidi"/>
          <w:b/>
          <w:color w:val="FFFFFF" w:themeColor="background1"/>
          <w:sz w:val="32"/>
          <w:szCs w:val="32"/>
        </w:rPr>
      </w:pPr>
      <w:r>
        <w:rPr>
          <w:rFonts w:asciiTheme="majorHAnsi" w:eastAsiaTheme="majorEastAsia" w:hAnsiTheme="majorHAnsi" w:cstheme="majorBidi"/>
          <w:b/>
          <w:color w:val="FFFFFF" w:themeColor="background1"/>
          <w:sz w:val="32"/>
          <w:szCs w:val="32"/>
        </w:rPr>
        <w:t>August</w:t>
      </w:r>
      <w:r w:rsidR="00B95D19" w:rsidRPr="00810F60">
        <w:rPr>
          <w:rFonts w:asciiTheme="majorHAnsi" w:eastAsiaTheme="majorEastAsia" w:hAnsiTheme="majorHAnsi" w:cstheme="majorBidi"/>
          <w:b/>
          <w:color w:val="FFFFFF" w:themeColor="background1"/>
          <w:sz w:val="32"/>
          <w:szCs w:val="32"/>
        </w:rPr>
        <w:t xml:space="preserve"> 2020</w:t>
      </w:r>
    </w:p>
    <w:sdt>
      <w:sdtPr>
        <w:rPr>
          <w:rFonts w:asciiTheme="minorHAnsi" w:eastAsiaTheme="minorHAnsi" w:hAnsiTheme="minorHAnsi" w:cstheme="minorBidi"/>
          <w:color w:val="auto"/>
          <w:sz w:val="22"/>
          <w:szCs w:val="22"/>
        </w:rPr>
        <w:id w:val="-1634779658"/>
        <w:docPartObj>
          <w:docPartGallery w:val="Table of Contents"/>
          <w:docPartUnique/>
        </w:docPartObj>
      </w:sdtPr>
      <w:sdtEndPr>
        <w:rPr>
          <w:b/>
          <w:bCs/>
          <w:noProof/>
        </w:rPr>
      </w:sdtEndPr>
      <w:sdtContent>
        <w:p w:rsidR="00C71846" w:rsidRDefault="00C71846" w:rsidP="00B95D19">
          <w:pPr>
            <w:pStyle w:val="TOCHeading"/>
            <w:rPr>
              <w:rFonts w:asciiTheme="minorHAnsi" w:eastAsiaTheme="minorHAnsi" w:hAnsiTheme="minorHAnsi" w:cstheme="minorBidi"/>
              <w:color w:val="auto"/>
              <w:sz w:val="22"/>
              <w:szCs w:val="22"/>
            </w:rPr>
          </w:pPr>
        </w:p>
        <w:p w:rsidR="00C71846" w:rsidRDefault="00C71846" w:rsidP="00C71846">
          <w:r>
            <w:br w:type="page"/>
          </w:r>
        </w:p>
        <w:p w:rsidR="00B95D19" w:rsidRDefault="00BA4D49" w:rsidP="00B95D19">
          <w:pPr>
            <w:pStyle w:val="TOCHeading"/>
          </w:pPr>
          <w:r>
            <w:rPr>
              <w:noProof/>
              <w:lang w:val="en-AU" w:eastAsia="en-AU"/>
            </w:rPr>
            <w:lastRenderedPageBreak/>
            <mc:AlternateContent>
              <mc:Choice Requires="wps">
                <w:drawing>
                  <wp:anchor distT="0" distB="0" distL="114300" distR="114300" simplePos="0" relativeHeight="251658240" behindDoc="1" locked="0" layoutInCell="1" allowOverlap="1" wp14:anchorId="0E41DD2B" wp14:editId="7304A9A3">
                    <wp:simplePos x="0" y="0"/>
                    <wp:positionH relativeFrom="page">
                      <wp:posOffset>-10795</wp:posOffset>
                    </wp:positionH>
                    <wp:positionV relativeFrom="page">
                      <wp:posOffset>-10819765</wp:posOffset>
                    </wp:positionV>
                    <wp:extent cx="7559675" cy="10691495"/>
                    <wp:effectExtent l="0" t="0" r="22225" b="14605"/>
                    <wp:wrapNone/>
                    <wp:docPr id="1" name="Rectangle 1"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59675" cy="10691495"/>
                            </a:xfrm>
                            <a:prstGeom prst="rect">
                              <a:avLst/>
                            </a:prstGeom>
                            <a:gradFill>
                              <a:gsLst>
                                <a:gs pos="0">
                                  <a:srgbClr val="00283E"/>
                                </a:gs>
                                <a:gs pos="51000">
                                  <a:srgbClr val="005677"/>
                                </a:gs>
                                <a:gs pos="100000">
                                  <a:srgbClr val="1B959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3D994" id="Rectangle 1" o:spid="_x0000_s1026" alt="Title: Departmental background colour gradient - Description: Departmental background colour gradient" style="position:absolute;margin-left:-.85pt;margin-top:-851.95pt;width:595.2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Q97QIAAHsGAAAOAAAAZHJzL2Uyb0RvYy54bWysVVtv2jAUfp+0/2D5fU1gBApqqFi7TpOq&#10;tmo79dk4DlhzfDzbENiv37EdUtShaZr24hz73L9zycXlrlFkK6yToEs6OMspEZpDJfWqpN+ebz6c&#10;U+I80xVToEVJ98LRy/n7dxetmYkhrEFVwhI0ot2sNSVde29mWeb4WjTMnYERGpk12IZ5vNpVVlnW&#10;ovVGZcM8H2ct2MpY4MI5fL1OTDqP9utacH9f1054okqKsfl42nguw5nNL9hsZZlZS96Fwf4hioZJ&#10;jU57U9fMM7Kx8jdTjeQWHNT+jEOTQV1LLmIOmM0gf5PN05oZEXNBcJzpYXL/zyy/2z5YIiusHSWa&#10;NViiRwSN6ZUSBJ8q4TjCdS0Ms74R2jNFlox/X1nY6IpwULCxBAGsJDIRYOkV2vhbeYS/NW6GUTyZ&#10;B9vdHJIBy11tm/BFlMgulmzfl0zsPOH4OCmK6XhSUMKRN8jH08FoWoSqZq/6xjr/RUBDAlFSi/nF&#10;WrHtrfNJ9CDSlbC6kUpF2qFIIogBxD2Pms6ullfKki0LbZUPzz9+7nyu3LF0McjzkxrFeDI5qREU&#10;TqkMPk2LaWxXTCw4iZ8uOCU1wYqVtBgldeI4UyIWNeUXCpRyygLeCeFI+b0SIWSlH0WNjYCYDlOO&#10;YQRFnyXjHAs8SKw1q0RKvojhJidxaINGjC4aDJZrxLK33Rk4bTuZ6eSDqogT3Ct3UP5JudeInkH7&#10;XrmRGuypzBRm1XlO8hj+ETSBXEK1xzGxkPaHM/xGYi/dMucfmMWFgasFl6C/x6NW0JYUOoqSNdif&#10;p96DPM4xcilpcQGV1P3YMCsoUV81dhp28ihsrHgZFZMhXuwxZ3nM0ZvmCrAZcWQxukgGea8OZG2h&#10;ecFduQhekcU0R98l5d4eLlc+LUbctlwsFlEMt5Rh/lY/GR6MB1TDrDzvXpg13UB5HMY7OCwrNnsz&#10;V0k2aGpYbDzUMg7dK64d3rjhUlunbRxW6PE9Sr3+M+a/AAAA//8DAFBLAwQUAAYACAAAACEAWGz1&#10;juIAAAANAQAADwAAAGRycy9kb3ducmV2LnhtbEyPzU7DMBCE70i8g7VIXFBrJ0glDXEqVBHBgUsD&#10;7Xkbu0lU/0Sx24a3Z8sFTqvdGc1+U6wma9hZj6H3TkIyF8C0a7zqXSvh67OaZcBCRKfQeKclfOsA&#10;q/L2psBc+Yvb6HMdW0YhLuQooYtxyDkPTacthrkftCPt4EeLkdax5WrEC4Vbw1MhFtxi7+hDh4Ne&#10;d7o51icr4fXjffuAZpu++WO9qNbGHiq7k/L+bnp5Bhb1FP/McMUndCiJae9PTgVmJMySJ3L+TvG4&#10;BHa1JFlGdfZ0TEUKvCz4/xblDwAAAP//AwBQSwECLQAUAAYACAAAACEAtoM4kv4AAADhAQAAEwAA&#10;AAAAAAAAAAAAAAAAAAAAW0NvbnRlbnRfVHlwZXNdLnhtbFBLAQItABQABgAIAAAAIQA4/SH/1gAA&#10;AJQBAAALAAAAAAAAAAAAAAAAAC8BAABfcmVscy8ucmVsc1BLAQItABQABgAIAAAAIQCKQQQ97QIA&#10;AHsGAAAOAAAAAAAAAAAAAAAAAC4CAABkcnMvZTJvRG9jLnhtbFBLAQItABQABgAIAAAAIQBYbPWO&#10;4gAAAA0BAAAPAAAAAAAAAAAAAAAAAEcFAABkcnMvZG93bnJldi54bWxQSwUGAAAAAAQABADzAAAA&#10;VgYAAAAA&#10;" fillcolor="#00283e" strokecolor="#1f4d78 [1604]" strokeweight="1pt">
                    <v:fill color2="#1b9590" colors="0 #00283e;33423f #005677;1 #1b9590" focus="100%" type="gradient"/>
                    <w10:wrap anchorx="page" anchory="page"/>
                  </v:rect>
                </w:pict>
              </mc:Fallback>
            </mc:AlternateContent>
          </w:r>
          <w:r w:rsidR="00B95D19">
            <w:t>Contents</w:t>
          </w:r>
        </w:p>
        <w:p w:rsidR="00F312EE" w:rsidRDefault="00B95D19">
          <w:pPr>
            <w:pStyle w:val="TOC1"/>
            <w:rPr>
              <w:rFonts w:eastAsiaTheme="minorEastAsia"/>
              <w:noProof/>
              <w:lang w:val="en-AU" w:eastAsia="en-AU"/>
            </w:rPr>
          </w:pPr>
          <w:r>
            <w:rPr>
              <w:b/>
              <w:bCs/>
              <w:noProof/>
            </w:rPr>
            <w:fldChar w:fldCharType="begin"/>
          </w:r>
          <w:r>
            <w:rPr>
              <w:b/>
              <w:bCs/>
              <w:noProof/>
            </w:rPr>
            <w:instrText xml:space="preserve"> TOC \o "1-3" \h \z \u </w:instrText>
          </w:r>
          <w:r>
            <w:rPr>
              <w:b/>
              <w:bCs/>
              <w:noProof/>
            </w:rPr>
            <w:fldChar w:fldCharType="separate"/>
          </w:r>
          <w:hyperlink w:anchor="_Toc48644124" w:history="1">
            <w:r w:rsidR="00F312EE" w:rsidRPr="00DE3A12">
              <w:rPr>
                <w:rStyle w:val="Hyperlink"/>
                <w:noProof/>
              </w:rPr>
              <w:t>1.</w:t>
            </w:r>
            <w:r w:rsidR="00F312EE">
              <w:rPr>
                <w:rFonts w:eastAsiaTheme="minorEastAsia"/>
                <w:noProof/>
                <w:lang w:val="en-AU" w:eastAsia="en-AU"/>
              </w:rPr>
              <w:tab/>
            </w:r>
            <w:r w:rsidR="00F312EE" w:rsidRPr="00DE3A12">
              <w:rPr>
                <w:rStyle w:val="Hyperlink"/>
                <w:noProof/>
              </w:rPr>
              <w:t>Executive Summary</w:t>
            </w:r>
            <w:r w:rsidR="00F312EE">
              <w:rPr>
                <w:noProof/>
                <w:webHidden/>
              </w:rPr>
              <w:tab/>
            </w:r>
            <w:r w:rsidR="00F312EE">
              <w:rPr>
                <w:noProof/>
                <w:webHidden/>
              </w:rPr>
              <w:fldChar w:fldCharType="begin"/>
            </w:r>
            <w:r w:rsidR="00F312EE">
              <w:rPr>
                <w:noProof/>
                <w:webHidden/>
              </w:rPr>
              <w:instrText xml:space="preserve"> PAGEREF _Toc48644124 \h </w:instrText>
            </w:r>
            <w:r w:rsidR="00F312EE">
              <w:rPr>
                <w:noProof/>
                <w:webHidden/>
              </w:rPr>
            </w:r>
            <w:r w:rsidR="00F312EE">
              <w:rPr>
                <w:noProof/>
                <w:webHidden/>
              </w:rPr>
              <w:fldChar w:fldCharType="separate"/>
            </w:r>
            <w:r w:rsidR="00DA47B9">
              <w:rPr>
                <w:noProof/>
                <w:webHidden/>
              </w:rPr>
              <w:t>4</w:t>
            </w:r>
            <w:r w:rsidR="00F312EE">
              <w:rPr>
                <w:noProof/>
                <w:webHidden/>
              </w:rPr>
              <w:fldChar w:fldCharType="end"/>
            </w:r>
          </w:hyperlink>
        </w:p>
        <w:p w:rsidR="00F312EE" w:rsidRDefault="00DA47B9">
          <w:pPr>
            <w:pStyle w:val="TOC1"/>
            <w:rPr>
              <w:rFonts w:eastAsiaTheme="minorEastAsia"/>
              <w:noProof/>
              <w:lang w:val="en-AU" w:eastAsia="en-AU"/>
            </w:rPr>
          </w:pPr>
          <w:hyperlink w:anchor="_Toc48644125" w:history="1">
            <w:r w:rsidR="00F312EE" w:rsidRPr="00DE3A12">
              <w:rPr>
                <w:rStyle w:val="Hyperlink"/>
                <w:noProof/>
              </w:rPr>
              <w:t>2.</w:t>
            </w:r>
            <w:r w:rsidR="00F312EE">
              <w:rPr>
                <w:rFonts w:eastAsiaTheme="minorEastAsia"/>
                <w:noProof/>
                <w:lang w:val="en-AU" w:eastAsia="en-AU"/>
              </w:rPr>
              <w:tab/>
            </w:r>
            <w:r w:rsidR="00F312EE" w:rsidRPr="00DE3A12">
              <w:rPr>
                <w:rStyle w:val="Hyperlink"/>
                <w:noProof/>
              </w:rPr>
              <w:t>Background</w:t>
            </w:r>
            <w:r w:rsidR="00F312EE">
              <w:rPr>
                <w:noProof/>
                <w:webHidden/>
              </w:rPr>
              <w:tab/>
            </w:r>
            <w:r w:rsidR="00F312EE">
              <w:rPr>
                <w:noProof/>
                <w:webHidden/>
              </w:rPr>
              <w:fldChar w:fldCharType="begin"/>
            </w:r>
            <w:r w:rsidR="00F312EE">
              <w:rPr>
                <w:noProof/>
                <w:webHidden/>
              </w:rPr>
              <w:instrText xml:space="preserve"> PAGEREF _Toc48644125 \h </w:instrText>
            </w:r>
            <w:r w:rsidR="00F312EE">
              <w:rPr>
                <w:noProof/>
                <w:webHidden/>
              </w:rPr>
            </w:r>
            <w:r w:rsidR="00F312EE">
              <w:rPr>
                <w:noProof/>
                <w:webHidden/>
              </w:rPr>
              <w:fldChar w:fldCharType="separate"/>
            </w:r>
            <w:r>
              <w:rPr>
                <w:noProof/>
                <w:webHidden/>
              </w:rPr>
              <w:t>4</w:t>
            </w:r>
            <w:r w:rsidR="00F312EE">
              <w:rPr>
                <w:noProof/>
                <w:webHidden/>
              </w:rPr>
              <w:fldChar w:fldCharType="end"/>
            </w:r>
          </w:hyperlink>
        </w:p>
        <w:p w:rsidR="00F312EE" w:rsidRDefault="00DA47B9">
          <w:pPr>
            <w:pStyle w:val="TOC2"/>
            <w:tabs>
              <w:tab w:val="left" w:pos="880"/>
              <w:tab w:val="right" w:leader="dot" w:pos="9016"/>
            </w:tabs>
            <w:rPr>
              <w:rFonts w:eastAsiaTheme="minorEastAsia"/>
              <w:noProof/>
              <w:lang w:val="en-AU" w:eastAsia="en-AU"/>
            </w:rPr>
          </w:pPr>
          <w:hyperlink w:anchor="_Toc48644126" w:history="1">
            <w:r w:rsidR="00F312EE" w:rsidRPr="00DE3A12">
              <w:rPr>
                <w:rStyle w:val="Hyperlink"/>
                <w:noProof/>
              </w:rPr>
              <w:t>2.1</w:t>
            </w:r>
            <w:r w:rsidR="00F312EE">
              <w:rPr>
                <w:rFonts w:eastAsiaTheme="minorEastAsia"/>
                <w:noProof/>
                <w:lang w:val="en-AU" w:eastAsia="en-AU"/>
              </w:rPr>
              <w:tab/>
            </w:r>
            <w:r w:rsidR="00F312EE" w:rsidRPr="00DE3A12">
              <w:rPr>
                <w:rStyle w:val="Hyperlink"/>
                <w:noProof/>
              </w:rPr>
              <w:t>The franchising sector</w:t>
            </w:r>
            <w:r w:rsidR="00F312EE">
              <w:rPr>
                <w:noProof/>
                <w:webHidden/>
              </w:rPr>
              <w:tab/>
            </w:r>
            <w:r w:rsidR="00F312EE">
              <w:rPr>
                <w:noProof/>
                <w:webHidden/>
              </w:rPr>
              <w:fldChar w:fldCharType="begin"/>
            </w:r>
            <w:r w:rsidR="00F312EE">
              <w:rPr>
                <w:noProof/>
                <w:webHidden/>
              </w:rPr>
              <w:instrText xml:space="preserve"> PAGEREF _Toc48644126 \h </w:instrText>
            </w:r>
            <w:r w:rsidR="00F312EE">
              <w:rPr>
                <w:noProof/>
                <w:webHidden/>
              </w:rPr>
            </w:r>
            <w:r w:rsidR="00F312EE">
              <w:rPr>
                <w:noProof/>
                <w:webHidden/>
              </w:rPr>
              <w:fldChar w:fldCharType="separate"/>
            </w:r>
            <w:r>
              <w:rPr>
                <w:noProof/>
                <w:webHidden/>
              </w:rPr>
              <w:t>4</w:t>
            </w:r>
            <w:r w:rsidR="00F312EE">
              <w:rPr>
                <w:noProof/>
                <w:webHidden/>
              </w:rPr>
              <w:fldChar w:fldCharType="end"/>
            </w:r>
          </w:hyperlink>
        </w:p>
        <w:p w:rsidR="00F312EE" w:rsidRDefault="00DA47B9">
          <w:pPr>
            <w:pStyle w:val="TOC2"/>
            <w:tabs>
              <w:tab w:val="left" w:pos="880"/>
              <w:tab w:val="right" w:leader="dot" w:pos="9016"/>
            </w:tabs>
            <w:rPr>
              <w:rFonts w:eastAsiaTheme="minorEastAsia"/>
              <w:noProof/>
              <w:lang w:val="en-AU" w:eastAsia="en-AU"/>
            </w:rPr>
          </w:pPr>
          <w:hyperlink w:anchor="_Toc48644127" w:history="1">
            <w:r w:rsidR="00F312EE" w:rsidRPr="00DE3A12">
              <w:rPr>
                <w:rStyle w:val="Hyperlink"/>
                <w:noProof/>
              </w:rPr>
              <w:t>2.2</w:t>
            </w:r>
            <w:r w:rsidR="00F312EE">
              <w:rPr>
                <w:rFonts w:eastAsiaTheme="minorEastAsia"/>
                <w:noProof/>
                <w:lang w:val="en-AU" w:eastAsia="en-AU"/>
              </w:rPr>
              <w:tab/>
            </w:r>
            <w:r w:rsidR="00F312EE" w:rsidRPr="00DE3A12">
              <w:rPr>
                <w:rStyle w:val="Hyperlink"/>
                <w:noProof/>
              </w:rPr>
              <w:t>Current regulatory framework</w:t>
            </w:r>
            <w:r w:rsidR="00F312EE">
              <w:rPr>
                <w:noProof/>
                <w:webHidden/>
              </w:rPr>
              <w:tab/>
            </w:r>
            <w:r w:rsidR="00F312EE">
              <w:rPr>
                <w:noProof/>
                <w:webHidden/>
              </w:rPr>
              <w:fldChar w:fldCharType="begin"/>
            </w:r>
            <w:r w:rsidR="00F312EE">
              <w:rPr>
                <w:noProof/>
                <w:webHidden/>
              </w:rPr>
              <w:instrText xml:space="preserve"> PAGEREF _Toc48644127 \h </w:instrText>
            </w:r>
            <w:r w:rsidR="00F312EE">
              <w:rPr>
                <w:noProof/>
                <w:webHidden/>
              </w:rPr>
            </w:r>
            <w:r w:rsidR="00F312EE">
              <w:rPr>
                <w:noProof/>
                <w:webHidden/>
              </w:rPr>
              <w:fldChar w:fldCharType="separate"/>
            </w:r>
            <w:r>
              <w:rPr>
                <w:noProof/>
                <w:webHidden/>
              </w:rPr>
              <w:t>4</w:t>
            </w:r>
            <w:r w:rsidR="00F312EE">
              <w:rPr>
                <w:noProof/>
                <w:webHidden/>
              </w:rPr>
              <w:fldChar w:fldCharType="end"/>
            </w:r>
          </w:hyperlink>
        </w:p>
        <w:p w:rsidR="00F312EE" w:rsidRDefault="00DA47B9">
          <w:pPr>
            <w:pStyle w:val="TOC2"/>
            <w:tabs>
              <w:tab w:val="left" w:pos="880"/>
              <w:tab w:val="right" w:leader="dot" w:pos="9016"/>
            </w:tabs>
            <w:rPr>
              <w:rFonts w:eastAsiaTheme="minorEastAsia"/>
              <w:noProof/>
              <w:lang w:val="en-AU" w:eastAsia="en-AU"/>
            </w:rPr>
          </w:pPr>
          <w:hyperlink w:anchor="_Toc48644128" w:history="1">
            <w:r w:rsidR="00F312EE" w:rsidRPr="00DE3A12">
              <w:rPr>
                <w:rStyle w:val="Hyperlink"/>
                <w:noProof/>
              </w:rPr>
              <w:t>2.3</w:t>
            </w:r>
            <w:r w:rsidR="00F312EE">
              <w:rPr>
                <w:rFonts w:eastAsiaTheme="minorEastAsia"/>
                <w:noProof/>
                <w:lang w:val="en-AU" w:eastAsia="en-AU"/>
              </w:rPr>
              <w:tab/>
            </w:r>
            <w:r w:rsidR="00F312EE" w:rsidRPr="00DE3A12">
              <w:rPr>
                <w:rStyle w:val="Hyperlink"/>
                <w:noProof/>
              </w:rPr>
              <w:t xml:space="preserve">The Parliamentary Joint Committee on Corporations and Financial Services’ inquiry into the franchising sector, and the </w:t>
            </w:r>
            <w:r w:rsidR="00F312EE" w:rsidRPr="00DE3A12">
              <w:rPr>
                <w:rStyle w:val="Hyperlink"/>
                <w:i/>
                <w:noProof/>
              </w:rPr>
              <w:t xml:space="preserve">Fairness in Franchising </w:t>
            </w:r>
            <w:r w:rsidR="00F312EE" w:rsidRPr="00DE3A12">
              <w:rPr>
                <w:rStyle w:val="Hyperlink"/>
                <w:noProof/>
              </w:rPr>
              <w:t>report</w:t>
            </w:r>
            <w:r w:rsidR="00F312EE">
              <w:rPr>
                <w:noProof/>
                <w:webHidden/>
              </w:rPr>
              <w:tab/>
            </w:r>
            <w:r w:rsidR="00F312EE">
              <w:rPr>
                <w:noProof/>
                <w:webHidden/>
              </w:rPr>
              <w:fldChar w:fldCharType="begin"/>
            </w:r>
            <w:r w:rsidR="00F312EE">
              <w:rPr>
                <w:noProof/>
                <w:webHidden/>
              </w:rPr>
              <w:instrText xml:space="preserve"> PAGEREF _Toc48644128 \h </w:instrText>
            </w:r>
            <w:r w:rsidR="00F312EE">
              <w:rPr>
                <w:noProof/>
                <w:webHidden/>
              </w:rPr>
            </w:r>
            <w:r w:rsidR="00F312EE">
              <w:rPr>
                <w:noProof/>
                <w:webHidden/>
              </w:rPr>
              <w:fldChar w:fldCharType="separate"/>
            </w:r>
            <w:r>
              <w:rPr>
                <w:noProof/>
                <w:webHidden/>
              </w:rPr>
              <w:t>5</w:t>
            </w:r>
            <w:r w:rsidR="00F312EE">
              <w:rPr>
                <w:noProof/>
                <w:webHidden/>
              </w:rPr>
              <w:fldChar w:fldCharType="end"/>
            </w:r>
          </w:hyperlink>
        </w:p>
        <w:p w:rsidR="00F312EE" w:rsidRDefault="00DA47B9">
          <w:pPr>
            <w:pStyle w:val="TOC1"/>
            <w:rPr>
              <w:rFonts w:eastAsiaTheme="minorEastAsia"/>
              <w:noProof/>
              <w:lang w:val="en-AU" w:eastAsia="en-AU"/>
            </w:rPr>
          </w:pPr>
          <w:hyperlink w:anchor="_Toc48644129" w:history="1">
            <w:r w:rsidR="00F312EE" w:rsidRPr="00DE3A12">
              <w:rPr>
                <w:rStyle w:val="Hyperlink"/>
                <w:noProof/>
              </w:rPr>
              <w:t>3.</w:t>
            </w:r>
            <w:r w:rsidR="00F312EE">
              <w:rPr>
                <w:rFonts w:eastAsiaTheme="minorEastAsia"/>
                <w:noProof/>
                <w:lang w:val="en-AU" w:eastAsia="en-AU"/>
              </w:rPr>
              <w:tab/>
            </w:r>
            <w:r w:rsidR="00F312EE" w:rsidRPr="00DE3A12">
              <w:rPr>
                <w:rStyle w:val="Hyperlink"/>
                <w:noProof/>
              </w:rPr>
              <w:t>What is the problem?</w:t>
            </w:r>
            <w:r w:rsidR="00F312EE">
              <w:rPr>
                <w:noProof/>
                <w:webHidden/>
              </w:rPr>
              <w:tab/>
            </w:r>
            <w:r w:rsidR="00F312EE">
              <w:rPr>
                <w:noProof/>
                <w:webHidden/>
              </w:rPr>
              <w:fldChar w:fldCharType="begin"/>
            </w:r>
            <w:r w:rsidR="00F312EE">
              <w:rPr>
                <w:noProof/>
                <w:webHidden/>
              </w:rPr>
              <w:instrText xml:space="preserve"> PAGEREF _Toc48644129 \h </w:instrText>
            </w:r>
            <w:r w:rsidR="00F312EE">
              <w:rPr>
                <w:noProof/>
                <w:webHidden/>
              </w:rPr>
            </w:r>
            <w:r w:rsidR="00F312EE">
              <w:rPr>
                <w:noProof/>
                <w:webHidden/>
              </w:rPr>
              <w:fldChar w:fldCharType="separate"/>
            </w:r>
            <w:r>
              <w:rPr>
                <w:noProof/>
                <w:webHidden/>
              </w:rPr>
              <w:t>7</w:t>
            </w:r>
            <w:r w:rsidR="00F312EE">
              <w:rPr>
                <w:noProof/>
                <w:webHidden/>
              </w:rPr>
              <w:fldChar w:fldCharType="end"/>
            </w:r>
          </w:hyperlink>
        </w:p>
        <w:p w:rsidR="00F312EE" w:rsidRDefault="00DA47B9">
          <w:pPr>
            <w:pStyle w:val="TOC1"/>
            <w:rPr>
              <w:rFonts w:eastAsiaTheme="minorEastAsia"/>
              <w:noProof/>
              <w:lang w:val="en-AU" w:eastAsia="en-AU"/>
            </w:rPr>
          </w:pPr>
          <w:hyperlink w:anchor="_Toc48644130" w:history="1">
            <w:r w:rsidR="00F312EE" w:rsidRPr="00DE3A12">
              <w:rPr>
                <w:rStyle w:val="Hyperlink"/>
                <w:noProof/>
              </w:rPr>
              <w:t>4.</w:t>
            </w:r>
            <w:r w:rsidR="00F312EE">
              <w:rPr>
                <w:rFonts w:eastAsiaTheme="minorEastAsia"/>
                <w:noProof/>
                <w:lang w:val="en-AU" w:eastAsia="en-AU"/>
              </w:rPr>
              <w:tab/>
            </w:r>
            <w:r w:rsidR="00F312EE" w:rsidRPr="00DE3A12">
              <w:rPr>
                <w:rStyle w:val="Hyperlink"/>
                <w:noProof/>
              </w:rPr>
              <w:t>Why is government intervention necessary?</w:t>
            </w:r>
            <w:r w:rsidR="00F312EE">
              <w:rPr>
                <w:noProof/>
                <w:webHidden/>
              </w:rPr>
              <w:tab/>
            </w:r>
            <w:r w:rsidR="00F312EE">
              <w:rPr>
                <w:noProof/>
                <w:webHidden/>
              </w:rPr>
              <w:fldChar w:fldCharType="begin"/>
            </w:r>
            <w:r w:rsidR="00F312EE">
              <w:rPr>
                <w:noProof/>
                <w:webHidden/>
              </w:rPr>
              <w:instrText xml:space="preserve"> PAGEREF _Toc48644130 \h </w:instrText>
            </w:r>
            <w:r w:rsidR="00F312EE">
              <w:rPr>
                <w:noProof/>
                <w:webHidden/>
              </w:rPr>
            </w:r>
            <w:r w:rsidR="00F312EE">
              <w:rPr>
                <w:noProof/>
                <w:webHidden/>
              </w:rPr>
              <w:fldChar w:fldCharType="separate"/>
            </w:r>
            <w:r>
              <w:rPr>
                <w:noProof/>
                <w:webHidden/>
              </w:rPr>
              <w:t>9</w:t>
            </w:r>
            <w:r w:rsidR="00F312EE">
              <w:rPr>
                <w:noProof/>
                <w:webHidden/>
              </w:rPr>
              <w:fldChar w:fldCharType="end"/>
            </w:r>
          </w:hyperlink>
        </w:p>
        <w:p w:rsidR="00F312EE" w:rsidRDefault="00DA47B9">
          <w:pPr>
            <w:pStyle w:val="TOC1"/>
            <w:rPr>
              <w:rFonts w:eastAsiaTheme="minorEastAsia"/>
              <w:noProof/>
              <w:lang w:val="en-AU" w:eastAsia="en-AU"/>
            </w:rPr>
          </w:pPr>
          <w:hyperlink w:anchor="_Toc48644131" w:history="1">
            <w:r w:rsidR="00F312EE" w:rsidRPr="00DE3A12">
              <w:rPr>
                <w:rStyle w:val="Hyperlink"/>
                <w:noProof/>
              </w:rPr>
              <w:t>5.</w:t>
            </w:r>
            <w:r w:rsidR="00F312EE">
              <w:rPr>
                <w:rFonts w:eastAsiaTheme="minorEastAsia"/>
                <w:noProof/>
                <w:lang w:val="en-AU" w:eastAsia="en-AU"/>
              </w:rPr>
              <w:tab/>
            </w:r>
            <w:r w:rsidR="00F312EE" w:rsidRPr="00DE3A12">
              <w:rPr>
                <w:rStyle w:val="Hyperlink"/>
                <w:noProof/>
              </w:rPr>
              <w:t>What policy options are being considered?</w:t>
            </w:r>
            <w:r w:rsidR="00F312EE">
              <w:rPr>
                <w:noProof/>
                <w:webHidden/>
              </w:rPr>
              <w:tab/>
            </w:r>
            <w:r w:rsidR="00F312EE">
              <w:rPr>
                <w:noProof/>
                <w:webHidden/>
              </w:rPr>
              <w:fldChar w:fldCharType="begin"/>
            </w:r>
            <w:r w:rsidR="00F312EE">
              <w:rPr>
                <w:noProof/>
                <w:webHidden/>
              </w:rPr>
              <w:instrText xml:space="preserve"> PAGEREF _Toc48644131 \h </w:instrText>
            </w:r>
            <w:r w:rsidR="00F312EE">
              <w:rPr>
                <w:noProof/>
                <w:webHidden/>
              </w:rPr>
            </w:r>
            <w:r w:rsidR="00F312EE">
              <w:rPr>
                <w:noProof/>
                <w:webHidden/>
              </w:rPr>
              <w:fldChar w:fldCharType="separate"/>
            </w:r>
            <w:r>
              <w:rPr>
                <w:noProof/>
                <w:webHidden/>
              </w:rPr>
              <w:t>12</w:t>
            </w:r>
            <w:r w:rsidR="00F312EE">
              <w:rPr>
                <w:noProof/>
                <w:webHidden/>
              </w:rPr>
              <w:fldChar w:fldCharType="end"/>
            </w:r>
          </w:hyperlink>
        </w:p>
        <w:p w:rsidR="00F312EE" w:rsidRDefault="00DA47B9">
          <w:pPr>
            <w:pStyle w:val="TOC2"/>
            <w:tabs>
              <w:tab w:val="left" w:pos="880"/>
              <w:tab w:val="right" w:leader="dot" w:pos="9016"/>
            </w:tabs>
            <w:rPr>
              <w:rFonts w:eastAsiaTheme="minorEastAsia"/>
              <w:noProof/>
              <w:lang w:val="en-AU" w:eastAsia="en-AU"/>
            </w:rPr>
          </w:pPr>
          <w:hyperlink w:anchor="_Toc48644132" w:history="1">
            <w:r w:rsidR="00F312EE" w:rsidRPr="00DE3A12">
              <w:rPr>
                <w:rStyle w:val="Hyperlink"/>
                <w:noProof/>
              </w:rPr>
              <w:t>5.1</w:t>
            </w:r>
            <w:r w:rsidR="00F312EE">
              <w:rPr>
                <w:rFonts w:eastAsiaTheme="minorEastAsia"/>
                <w:noProof/>
                <w:lang w:val="en-AU" w:eastAsia="en-AU"/>
              </w:rPr>
              <w:tab/>
            </w:r>
            <w:r w:rsidR="00F312EE" w:rsidRPr="00DE3A12">
              <w:rPr>
                <w:rStyle w:val="Hyperlink"/>
                <w:noProof/>
              </w:rPr>
              <w:t>Option 1: Status Quo</w:t>
            </w:r>
            <w:r w:rsidR="00F312EE">
              <w:rPr>
                <w:noProof/>
                <w:webHidden/>
              </w:rPr>
              <w:tab/>
            </w:r>
            <w:r w:rsidR="00F312EE">
              <w:rPr>
                <w:noProof/>
                <w:webHidden/>
              </w:rPr>
              <w:fldChar w:fldCharType="begin"/>
            </w:r>
            <w:r w:rsidR="00F312EE">
              <w:rPr>
                <w:noProof/>
                <w:webHidden/>
              </w:rPr>
              <w:instrText xml:space="preserve"> PAGEREF _Toc48644132 \h </w:instrText>
            </w:r>
            <w:r w:rsidR="00F312EE">
              <w:rPr>
                <w:noProof/>
                <w:webHidden/>
              </w:rPr>
            </w:r>
            <w:r w:rsidR="00F312EE">
              <w:rPr>
                <w:noProof/>
                <w:webHidden/>
              </w:rPr>
              <w:fldChar w:fldCharType="separate"/>
            </w:r>
            <w:r>
              <w:rPr>
                <w:noProof/>
                <w:webHidden/>
              </w:rPr>
              <w:t>12</w:t>
            </w:r>
            <w:r w:rsidR="00F312EE">
              <w:rPr>
                <w:noProof/>
                <w:webHidden/>
              </w:rPr>
              <w:fldChar w:fldCharType="end"/>
            </w:r>
          </w:hyperlink>
        </w:p>
        <w:p w:rsidR="00F312EE" w:rsidRDefault="00DA47B9">
          <w:pPr>
            <w:pStyle w:val="TOC3"/>
            <w:tabs>
              <w:tab w:val="left" w:pos="1320"/>
              <w:tab w:val="right" w:leader="dot" w:pos="9016"/>
            </w:tabs>
            <w:rPr>
              <w:rFonts w:eastAsiaTheme="minorEastAsia"/>
              <w:noProof/>
              <w:lang w:val="en-AU" w:eastAsia="en-AU"/>
            </w:rPr>
          </w:pPr>
          <w:hyperlink w:anchor="_Toc48644133" w:history="1">
            <w:r w:rsidR="00F312EE" w:rsidRPr="00DE3A12">
              <w:rPr>
                <w:rStyle w:val="Hyperlink"/>
                <w:noProof/>
              </w:rPr>
              <w:t>5.1.1</w:t>
            </w:r>
            <w:r w:rsidR="00F312EE">
              <w:rPr>
                <w:rFonts w:eastAsiaTheme="minorEastAsia"/>
                <w:noProof/>
                <w:lang w:val="en-AU" w:eastAsia="en-AU"/>
              </w:rPr>
              <w:tab/>
            </w:r>
            <w:r w:rsidR="00F312EE" w:rsidRPr="00DE3A12">
              <w:rPr>
                <w:rStyle w:val="Hyperlink"/>
                <w:noProof/>
              </w:rPr>
              <w:t>What does this option involve?</w:t>
            </w:r>
            <w:r w:rsidR="00F312EE">
              <w:rPr>
                <w:noProof/>
                <w:webHidden/>
              </w:rPr>
              <w:tab/>
            </w:r>
            <w:r w:rsidR="00F312EE">
              <w:rPr>
                <w:noProof/>
                <w:webHidden/>
              </w:rPr>
              <w:fldChar w:fldCharType="begin"/>
            </w:r>
            <w:r w:rsidR="00F312EE">
              <w:rPr>
                <w:noProof/>
                <w:webHidden/>
              </w:rPr>
              <w:instrText xml:space="preserve"> PAGEREF _Toc48644133 \h </w:instrText>
            </w:r>
            <w:r w:rsidR="00F312EE">
              <w:rPr>
                <w:noProof/>
                <w:webHidden/>
              </w:rPr>
            </w:r>
            <w:r w:rsidR="00F312EE">
              <w:rPr>
                <w:noProof/>
                <w:webHidden/>
              </w:rPr>
              <w:fldChar w:fldCharType="separate"/>
            </w:r>
            <w:r>
              <w:rPr>
                <w:noProof/>
                <w:webHidden/>
              </w:rPr>
              <w:t>12</w:t>
            </w:r>
            <w:r w:rsidR="00F312EE">
              <w:rPr>
                <w:noProof/>
                <w:webHidden/>
              </w:rPr>
              <w:fldChar w:fldCharType="end"/>
            </w:r>
          </w:hyperlink>
        </w:p>
        <w:p w:rsidR="00F312EE" w:rsidRDefault="00DA47B9">
          <w:pPr>
            <w:pStyle w:val="TOC3"/>
            <w:tabs>
              <w:tab w:val="left" w:pos="1320"/>
              <w:tab w:val="right" w:leader="dot" w:pos="9016"/>
            </w:tabs>
            <w:rPr>
              <w:rFonts w:eastAsiaTheme="minorEastAsia"/>
              <w:noProof/>
              <w:lang w:val="en-AU" w:eastAsia="en-AU"/>
            </w:rPr>
          </w:pPr>
          <w:hyperlink w:anchor="_Toc48644134" w:history="1">
            <w:r w:rsidR="00F312EE" w:rsidRPr="00DE3A12">
              <w:rPr>
                <w:rStyle w:val="Hyperlink"/>
                <w:noProof/>
              </w:rPr>
              <w:t xml:space="preserve">5.1.2 </w:t>
            </w:r>
            <w:r w:rsidR="00F312EE">
              <w:rPr>
                <w:rFonts w:eastAsiaTheme="minorEastAsia"/>
                <w:noProof/>
                <w:lang w:val="en-AU" w:eastAsia="en-AU"/>
              </w:rPr>
              <w:tab/>
            </w:r>
            <w:r w:rsidR="00F312EE" w:rsidRPr="00DE3A12">
              <w:rPr>
                <w:rStyle w:val="Hyperlink"/>
                <w:noProof/>
              </w:rPr>
              <w:t>What are the costs and benefits of this option?</w:t>
            </w:r>
            <w:r w:rsidR="00F312EE">
              <w:rPr>
                <w:noProof/>
                <w:webHidden/>
              </w:rPr>
              <w:tab/>
            </w:r>
            <w:r w:rsidR="00F312EE">
              <w:rPr>
                <w:noProof/>
                <w:webHidden/>
              </w:rPr>
              <w:fldChar w:fldCharType="begin"/>
            </w:r>
            <w:r w:rsidR="00F312EE">
              <w:rPr>
                <w:noProof/>
                <w:webHidden/>
              </w:rPr>
              <w:instrText xml:space="preserve"> PAGEREF _Toc48644134 \h </w:instrText>
            </w:r>
            <w:r w:rsidR="00F312EE">
              <w:rPr>
                <w:noProof/>
                <w:webHidden/>
              </w:rPr>
            </w:r>
            <w:r w:rsidR="00F312EE">
              <w:rPr>
                <w:noProof/>
                <w:webHidden/>
              </w:rPr>
              <w:fldChar w:fldCharType="separate"/>
            </w:r>
            <w:r>
              <w:rPr>
                <w:noProof/>
                <w:webHidden/>
              </w:rPr>
              <w:t>12</w:t>
            </w:r>
            <w:r w:rsidR="00F312EE">
              <w:rPr>
                <w:noProof/>
                <w:webHidden/>
              </w:rPr>
              <w:fldChar w:fldCharType="end"/>
            </w:r>
          </w:hyperlink>
        </w:p>
        <w:p w:rsidR="00F312EE" w:rsidRDefault="00DA47B9">
          <w:pPr>
            <w:pStyle w:val="TOC2"/>
            <w:tabs>
              <w:tab w:val="left" w:pos="880"/>
              <w:tab w:val="right" w:leader="dot" w:pos="9016"/>
            </w:tabs>
            <w:rPr>
              <w:rFonts w:eastAsiaTheme="minorEastAsia"/>
              <w:noProof/>
              <w:lang w:val="en-AU" w:eastAsia="en-AU"/>
            </w:rPr>
          </w:pPr>
          <w:hyperlink w:anchor="_Toc48644135" w:history="1">
            <w:r w:rsidR="00F312EE" w:rsidRPr="00DE3A12">
              <w:rPr>
                <w:rStyle w:val="Hyperlink"/>
                <w:noProof/>
              </w:rPr>
              <w:t>5.2</w:t>
            </w:r>
            <w:r w:rsidR="00F312EE">
              <w:rPr>
                <w:rFonts w:eastAsiaTheme="minorEastAsia"/>
                <w:noProof/>
                <w:lang w:val="en-AU" w:eastAsia="en-AU"/>
              </w:rPr>
              <w:tab/>
            </w:r>
            <w:r w:rsidR="00F312EE" w:rsidRPr="00DE3A12">
              <w:rPr>
                <w:rStyle w:val="Hyperlink"/>
                <w:noProof/>
              </w:rPr>
              <w:t>Option 2: Regulatory reforms to the franchising sector</w:t>
            </w:r>
            <w:r w:rsidR="00F312EE">
              <w:rPr>
                <w:noProof/>
                <w:webHidden/>
              </w:rPr>
              <w:tab/>
            </w:r>
            <w:r w:rsidR="00F312EE">
              <w:rPr>
                <w:noProof/>
                <w:webHidden/>
              </w:rPr>
              <w:fldChar w:fldCharType="begin"/>
            </w:r>
            <w:r w:rsidR="00F312EE">
              <w:rPr>
                <w:noProof/>
                <w:webHidden/>
              </w:rPr>
              <w:instrText xml:space="preserve"> PAGEREF _Toc48644135 \h </w:instrText>
            </w:r>
            <w:r w:rsidR="00F312EE">
              <w:rPr>
                <w:noProof/>
                <w:webHidden/>
              </w:rPr>
            </w:r>
            <w:r w:rsidR="00F312EE">
              <w:rPr>
                <w:noProof/>
                <w:webHidden/>
              </w:rPr>
              <w:fldChar w:fldCharType="separate"/>
            </w:r>
            <w:r>
              <w:rPr>
                <w:noProof/>
                <w:webHidden/>
              </w:rPr>
              <w:t>12</w:t>
            </w:r>
            <w:r w:rsidR="00F312EE">
              <w:rPr>
                <w:noProof/>
                <w:webHidden/>
              </w:rPr>
              <w:fldChar w:fldCharType="end"/>
            </w:r>
          </w:hyperlink>
        </w:p>
        <w:p w:rsidR="00F312EE" w:rsidRDefault="00DA47B9">
          <w:pPr>
            <w:pStyle w:val="TOC3"/>
            <w:tabs>
              <w:tab w:val="right" w:leader="dot" w:pos="9016"/>
            </w:tabs>
            <w:rPr>
              <w:rFonts w:eastAsiaTheme="minorEastAsia"/>
              <w:noProof/>
              <w:lang w:val="en-AU" w:eastAsia="en-AU"/>
            </w:rPr>
          </w:pPr>
          <w:hyperlink w:anchor="_Toc48644136" w:history="1">
            <w:r w:rsidR="00F312EE" w:rsidRPr="00DE3A12">
              <w:rPr>
                <w:rStyle w:val="Hyperlink"/>
                <w:noProof/>
              </w:rPr>
              <w:t>5.2.1 What does this option involve?</w:t>
            </w:r>
            <w:r w:rsidR="00F312EE">
              <w:rPr>
                <w:noProof/>
                <w:webHidden/>
              </w:rPr>
              <w:tab/>
            </w:r>
            <w:r w:rsidR="00F312EE">
              <w:rPr>
                <w:noProof/>
                <w:webHidden/>
              </w:rPr>
              <w:fldChar w:fldCharType="begin"/>
            </w:r>
            <w:r w:rsidR="00F312EE">
              <w:rPr>
                <w:noProof/>
                <w:webHidden/>
              </w:rPr>
              <w:instrText xml:space="preserve"> PAGEREF _Toc48644136 \h </w:instrText>
            </w:r>
            <w:r w:rsidR="00F312EE">
              <w:rPr>
                <w:noProof/>
                <w:webHidden/>
              </w:rPr>
            </w:r>
            <w:r w:rsidR="00F312EE">
              <w:rPr>
                <w:noProof/>
                <w:webHidden/>
              </w:rPr>
              <w:fldChar w:fldCharType="separate"/>
            </w:r>
            <w:r>
              <w:rPr>
                <w:noProof/>
                <w:webHidden/>
              </w:rPr>
              <w:t>12</w:t>
            </w:r>
            <w:r w:rsidR="00F312EE">
              <w:rPr>
                <w:noProof/>
                <w:webHidden/>
              </w:rPr>
              <w:fldChar w:fldCharType="end"/>
            </w:r>
          </w:hyperlink>
        </w:p>
        <w:p w:rsidR="00F312EE" w:rsidRDefault="00DA47B9">
          <w:pPr>
            <w:pStyle w:val="TOC3"/>
            <w:tabs>
              <w:tab w:val="left" w:pos="1320"/>
              <w:tab w:val="right" w:leader="dot" w:pos="9016"/>
            </w:tabs>
            <w:rPr>
              <w:rFonts w:eastAsiaTheme="minorEastAsia"/>
              <w:noProof/>
              <w:lang w:val="en-AU" w:eastAsia="en-AU"/>
            </w:rPr>
          </w:pPr>
          <w:hyperlink w:anchor="_Toc48644137" w:history="1">
            <w:r w:rsidR="00F312EE" w:rsidRPr="00DE3A12">
              <w:rPr>
                <w:rStyle w:val="Hyperlink"/>
                <w:noProof/>
              </w:rPr>
              <w:t>5.2.2</w:t>
            </w:r>
            <w:r w:rsidR="00F312EE">
              <w:rPr>
                <w:rFonts w:eastAsiaTheme="minorEastAsia"/>
                <w:noProof/>
                <w:lang w:val="en-AU" w:eastAsia="en-AU"/>
              </w:rPr>
              <w:tab/>
            </w:r>
            <w:r w:rsidR="00F312EE" w:rsidRPr="00DE3A12">
              <w:rPr>
                <w:rStyle w:val="Hyperlink"/>
                <w:noProof/>
              </w:rPr>
              <w:t>What are the costs and benefits of this option?</w:t>
            </w:r>
            <w:r w:rsidR="00F312EE">
              <w:rPr>
                <w:noProof/>
                <w:webHidden/>
              </w:rPr>
              <w:tab/>
            </w:r>
            <w:r w:rsidR="00F312EE">
              <w:rPr>
                <w:noProof/>
                <w:webHidden/>
              </w:rPr>
              <w:fldChar w:fldCharType="begin"/>
            </w:r>
            <w:r w:rsidR="00F312EE">
              <w:rPr>
                <w:noProof/>
                <w:webHidden/>
              </w:rPr>
              <w:instrText xml:space="preserve"> PAGEREF _Toc48644137 \h </w:instrText>
            </w:r>
            <w:r w:rsidR="00F312EE">
              <w:rPr>
                <w:noProof/>
                <w:webHidden/>
              </w:rPr>
            </w:r>
            <w:r w:rsidR="00F312EE">
              <w:rPr>
                <w:noProof/>
                <w:webHidden/>
              </w:rPr>
              <w:fldChar w:fldCharType="separate"/>
            </w:r>
            <w:r>
              <w:rPr>
                <w:noProof/>
                <w:webHidden/>
              </w:rPr>
              <w:t>17</w:t>
            </w:r>
            <w:r w:rsidR="00F312EE">
              <w:rPr>
                <w:noProof/>
                <w:webHidden/>
              </w:rPr>
              <w:fldChar w:fldCharType="end"/>
            </w:r>
          </w:hyperlink>
        </w:p>
        <w:p w:rsidR="00F312EE" w:rsidRDefault="00DA47B9">
          <w:pPr>
            <w:pStyle w:val="TOC2"/>
            <w:tabs>
              <w:tab w:val="right" w:leader="dot" w:pos="9016"/>
            </w:tabs>
            <w:rPr>
              <w:rFonts w:eastAsiaTheme="minorEastAsia"/>
              <w:noProof/>
              <w:lang w:val="en-AU" w:eastAsia="en-AU"/>
            </w:rPr>
          </w:pPr>
          <w:hyperlink w:anchor="_Toc48644138" w:history="1">
            <w:r w:rsidR="00F312EE" w:rsidRPr="00DE3A12">
              <w:rPr>
                <w:rStyle w:val="Hyperlink"/>
                <w:noProof/>
              </w:rPr>
              <w:t>5.3 Option 3: Non-regulatory reforms to the franchising sector</w:t>
            </w:r>
            <w:r w:rsidR="00F312EE">
              <w:rPr>
                <w:noProof/>
                <w:webHidden/>
              </w:rPr>
              <w:tab/>
            </w:r>
            <w:r w:rsidR="00F312EE">
              <w:rPr>
                <w:noProof/>
                <w:webHidden/>
              </w:rPr>
              <w:fldChar w:fldCharType="begin"/>
            </w:r>
            <w:r w:rsidR="00F312EE">
              <w:rPr>
                <w:noProof/>
                <w:webHidden/>
              </w:rPr>
              <w:instrText xml:space="preserve"> PAGEREF _Toc48644138 \h </w:instrText>
            </w:r>
            <w:r w:rsidR="00F312EE">
              <w:rPr>
                <w:noProof/>
                <w:webHidden/>
              </w:rPr>
            </w:r>
            <w:r w:rsidR="00F312EE">
              <w:rPr>
                <w:noProof/>
                <w:webHidden/>
              </w:rPr>
              <w:fldChar w:fldCharType="separate"/>
            </w:r>
            <w:r>
              <w:rPr>
                <w:noProof/>
                <w:webHidden/>
              </w:rPr>
              <w:t>19</w:t>
            </w:r>
            <w:r w:rsidR="00F312EE">
              <w:rPr>
                <w:noProof/>
                <w:webHidden/>
              </w:rPr>
              <w:fldChar w:fldCharType="end"/>
            </w:r>
          </w:hyperlink>
        </w:p>
        <w:p w:rsidR="00F312EE" w:rsidRDefault="00DA47B9">
          <w:pPr>
            <w:pStyle w:val="TOC3"/>
            <w:tabs>
              <w:tab w:val="left" w:pos="1320"/>
              <w:tab w:val="right" w:leader="dot" w:pos="9016"/>
            </w:tabs>
            <w:rPr>
              <w:rFonts w:eastAsiaTheme="minorEastAsia"/>
              <w:noProof/>
              <w:lang w:val="en-AU" w:eastAsia="en-AU"/>
            </w:rPr>
          </w:pPr>
          <w:hyperlink w:anchor="_Toc48644139" w:history="1">
            <w:r w:rsidR="00F312EE" w:rsidRPr="00DE3A12">
              <w:rPr>
                <w:rStyle w:val="Hyperlink"/>
                <w:noProof/>
              </w:rPr>
              <w:t xml:space="preserve">5.3.1 </w:t>
            </w:r>
            <w:r w:rsidR="00F312EE">
              <w:rPr>
                <w:rFonts w:eastAsiaTheme="minorEastAsia"/>
                <w:noProof/>
                <w:lang w:val="en-AU" w:eastAsia="en-AU"/>
              </w:rPr>
              <w:tab/>
            </w:r>
            <w:r w:rsidR="00F312EE" w:rsidRPr="00DE3A12">
              <w:rPr>
                <w:rStyle w:val="Hyperlink"/>
                <w:noProof/>
              </w:rPr>
              <w:t>What does this option involve?</w:t>
            </w:r>
            <w:r w:rsidR="00F312EE">
              <w:rPr>
                <w:noProof/>
                <w:webHidden/>
              </w:rPr>
              <w:tab/>
            </w:r>
            <w:r w:rsidR="00F312EE">
              <w:rPr>
                <w:noProof/>
                <w:webHidden/>
              </w:rPr>
              <w:fldChar w:fldCharType="begin"/>
            </w:r>
            <w:r w:rsidR="00F312EE">
              <w:rPr>
                <w:noProof/>
                <w:webHidden/>
              </w:rPr>
              <w:instrText xml:space="preserve"> PAGEREF _Toc48644139 \h </w:instrText>
            </w:r>
            <w:r w:rsidR="00F312EE">
              <w:rPr>
                <w:noProof/>
                <w:webHidden/>
              </w:rPr>
            </w:r>
            <w:r w:rsidR="00F312EE">
              <w:rPr>
                <w:noProof/>
                <w:webHidden/>
              </w:rPr>
              <w:fldChar w:fldCharType="separate"/>
            </w:r>
            <w:r>
              <w:rPr>
                <w:noProof/>
                <w:webHidden/>
              </w:rPr>
              <w:t>19</w:t>
            </w:r>
            <w:r w:rsidR="00F312EE">
              <w:rPr>
                <w:noProof/>
                <w:webHidden/>
              </w:rPr>
              <w:fldChar w:fldCharType="end"/>
            </w:r>
          </w:hyperlink>
        </w:p>
        <w:p w:rsidR="00F312EE" w:rsidRDefault="00DA47B9">
          <w:pPr>
            <w:pStyle w:val="TOC3"/>
            <w:tabs>
              <w:tab w:val="left" w:pos="1320"/>
              <w:tab w:val="right" w:leader="dot" w:pos="9016"/>
            </w:tabs>
            <w:rPr>
              <w:rFonts w:eastAsiaTheme="minorEastAsia"/>
              <w:noProof/>
              <w:lang w:val="en-AU" w:eastAsia="en-AU"/>
            </w:rPr>
          </w:pPr>
          <w:hyperlink w:anchor="_Toc48644140" w:history="1">
            <w:r w:rsidR="00F312EE" w:rsidRPr="00DE3A12">
              <w:rPr>
                <w:rStyle w:val="Hyperlink"/>
                <w:noProof/>
              </w:rPr>
              <w:t>5.3.2</w:t>
            </w:r>
            <w:r w:rsidR="00F312EE">
              <w:rPr>
                <w:rFonts w:eastAsiaTheme="minorEastAsia"/>
                <w:noProof/>
                <w:lang w:val="en-AU" w:eastAsia="en-AU"/>
              </w:rPr>
              <w:tab/>
            </w:r>
            <w:r w:rsidR="00F312EE" w:rsidRPr="00DE3A12">
              <w:rPr>
                <w:rStyle w:val="Hyperlink"/>
                <w:noProof/>
              </w:rPr>
              <w:t>What are the costs and benefits of this option?</w:t>
            </w:r>
            <w:r w:rsidR="00F312EE">
              <w:rPr>
                <w:noProof/>
                <w:webHidden/>
              </w:rPr>
              <w:tab/>
            </w:r>
            <w:r w:rsidR="00F312EE">
              <w:rPr>
                <w:noProof/>
                <w:webHidden/>
              </w:rPr>
              <w:fldChar w:fldCharType="begin"/>
            </w:r>
            <w:r w:rsidR="00F312EE">
              <w:rPr>
                <w:noProof/>
                <w:webHidden/>
              </w:rPr>
              <w:instrText xml:space="preserve"> PAGEREF _Toc48644140 \h </w:instrText>
            </w:r>
            <w:r w:rsidR="00F312EE">
              <w:rPr>
                <w:noProof/>
                <w:webHidden/>
              </w:rPr>
            </w:r>
            <w:r w:rsidR="00F312EE">
              <w:rPr>
                <w:noProof/>
                <w:webHidden/>
              </w:rPr>
              <w:fldChar w:fldCharType="separate"/>
            </w:r>
            <w:r>
              <w:rPr>
                <w:noProof/>
                <w:webHidden/>
              </w:rPr>
              <w:t>24</w:t>
            </w:r>
            <w:r w:rsidR="00F312EE">
              <w:rPr>
                <w:noProof/>
                <w:webHidden/>
              </w:rPr>
              <w:fldChar w:fldCharType="end"/>
            </w:r>
          </w:hyperlink>
        </w:p>
        <w:p w:rsidR="00F312EE" w:rsidRDefault="00DA47B9">
          <w:pPr>
            <w:pStyle w:val="TOC2"/>
            <w:tabs>
              <w:tab w:val="right" w:leader="dot" w:pos="9016"/>
            </w:tabs>
            <w:rPr>
              <w:rFonts w:eastAsiaTheme="minorEastAsia"/>
              <w:noProof/>
              <w:lang w:val="en-AU" w:eastAsia="en-AU"/>
            </w:rPr>
          </w:pPr>
          <w:hyperlink w:anchor="_Toc48644141" w:history="1">
            <w:r w:rsidR="00F312EE" w:rsidRPr="00DE3A12">
              <w:rPr>
                <w:rStyle w:val="Hyperlink"/>
                <w:noProof/>
              </w:rPr>
              <w:t>5.4 Option 4: Reform and refine the franchising sector with regulatory and non-regulatory measures (preferred)</w:t>
            </w:r>
            <w:r w:rsidR="00F312EE">
              <w:rPr>
                <w:noProof/>
                <w:webHidden/>
              </w:rPr>
              <w:tab/>
            </w:r>
            <w:r w:rsidR="00F312EE">
              <w:rPr>
                <w:noProof/>
                <w:webHidden/>
              </w:rPr>
              <w:fldChar w:fldCharType="begin"/>
            </w:r>
            <w:r w:rsidR="00F312EE">
              <w:rPr>
                <w:noProof/>
                <w:webHidden/>
              </w:rPr>
              <w:instrText xml:space="preserve"> PAGEREF _Toc48644141 \h </w:instrText>
            </w:r>
            <w:r w:rsidR="00F312EE">
              <w:rPr>
                <w:noProof/>
                <w:webHidden/>
              </w:rPr>
            </w:r>
            <w:r w:rsidR="00F312EE">
              <w:rPr>
                <w:noProof/>
                <w:webHidden/>
              </w:rPr>
              <w:fldChar w:fldCharType="separate"/>
            </w:r>
            <w:r>
              <w:rPr>
                <w:noProof/>
                <w:webHidden/>
              </w:rPr>
              <w:t>26</w:t>
            </w:r>
            <w:r w:rsidR="00F312EE">
              <w:rPr>
                <w:noProof/>
                <w:webHidden/>
              </w:rPr>
              <w:fldChar w:fldCharType="end"/>
            </w:r>
          </w:hyperlink>
        </w:p>
        <w:p w:rsidR="00F312EE" w:rsidRDefault="00DA47B9">
          <w:pPr>
            <w:pStyle w:val="TOC3"/>
            <w:tabs>
              <w:tab w:val="left" w:pos="1320"/>
              <w:tab w:val="right" w:leader="dot" w:pos="9016"/>
            </w:tabs>
            <w:rPr>
              <w:rFonts w:eastAsiaTheme="minorEastAsia"/>
              <w:noProof/>
              <w:lang w:val="en-AU" w:eastAsia="en-AU"/>
            </w:rPr>
          </w:pPr>
          <w:hyperlink w:anchor="_Toc48644142" w:history="1">
            <w:r w:rsidR="00F312EE" w:rsidRPr="00DE3A12">
              <w:rPr>
                <w:rStyle w:val="Hyperlink"/>
                <w:noProof/>
              </w:rPr>
              <w:t xml:space="preserve">5.4.1 </w:t>
            </w:r>
            <w:r w:rsidR="00F312EE">
              <w:rPr>
                <w:rFonts w:eastAsiaTheme="minorEastAsia"/>
                <w:noProof/>
                <w:lang w:val="en-AU" w:eastAsia="en-AU"/>
              </w:rPr>
              <w:tab/>
            </w:r>
            <w:r w:rsidR="00F312EE" w:rsidRPr="00DE3A12">
              <w:rPr>
                <w:rStyle w:val="Hyperlink"/>
                <w:noProof/>
              </w:rPr>
              <w:t>What does this option involve?</w:t>
            </w:r>
            <w:r w:rsidR="00F312EE">
              <w:rPr>
                <w:noProof/>
                <w:webHidden/>
              </w:rPr>
              <w:tab/>
            </w:r>
            <w:r w:rsidR="00F312EE">
              <w:rPr>
                <w:noProof/>
                <w:webHidden/>
              </w:rPr>
              <w:fldChar w:fldCharType="begin"/>
            </w:r>
            <w:r w:rsidR="00F312EE">
              <w:rPr>
                <w:noProof/>
                <w:webHidden/>
              </w:rPr>
              <w:instrText xml:space="preserve"> PAGEREF _Toc48644142 \h </w:instrText>
            </w:r>
            <w:r w:rsidR="00F312EE">
              <w:rPr>
                <w:noProof/>
                <w:webHidden/>
              </w:rPr>
            </w:r>
            <w:r w:rsidR="00F312EE">
              <w:rPr>
                <w:noProof/>
                <w:webHidden/>
              </w:rPr>
              <w:fldChar w:fldCharType="separate"/>
            </w:r>
            <w:r>
              <w:rPr>
                <w:noProof/>
                <w:webHidden/>
              </w:rPr>
              <w:t>26</w:t>
            </w:r>
            <w:r w:rsidR="00F312EE">
              <w:rPr>
                <w:noProof/>
                <w:webHidden/>
              </w:rPr>
              <w:fldChar w:fldCharType="end"/>
            </w:r>
          </w:hyperlink>
        </w:p>
        <w:p w:rsidR="00F312EE" w:rsidRDefault="00DA47B9">
          <w:pPr>
            <w:pStyle w:val="TOC3"/>
            <w:tabs>
              <w:tab w:val="right" w:leader="dot" w:pos="9016"/>
            </w:tabs>
            <w:rPr>
              <w:rFonts w:eastAsiaTheme="minorEastAsia"/>
              <w:noProof/>
              <w:lang w:val="en-AU" w:eastAsia="en-AU"/>
            </w:rPr>
          </w:pPr>
          <w:hyperlink w:anchor="_Toc48644143" w:history="1">
            <w:r w:rsidR="00F312EE" w:rsidRPr="00DE3A12">
              <w:rPr>
                <w:rStyle w:val="Hyperlink"/>
                <w:noProof/>
              </w:rPr>
              <w:t>5.4.2 What are the costs and benefits of this option?</w:t>
            </w:r>
            <w:r w:rsidR="00F312EE">
              <w:rPr>
                <w:noProof/>
                <w:webHidden/>
              </w:rPr>
              <w:tab/>
            </w:r>
            <w:r w:rsidR="00F312EE">
              <w:rPr>
                <w:noProof/>
                <w:webHidden/>
              </w:rPr>
              <w:fldChar w:fldCharType="begin"/>
            </w:r>
            <w:r w:rsidR="00F312EE">
              <w:rPr>
                <w:noProof/>
                <w:webHidden/>
              </w:rPr>
              <w:instrText xml:space="preserve"> PAGEREF _Toc48644143 \h </w:instrText>
            </w:r>
            <w:r w:rsidR="00F312EE">
              <w:rPr>
                <w:noProof/>
                <w:webHidden/>
              </w:rPr>
            </w:r>
            <w:r w:rsidR="00F312EE">
              <w:rPr>
                <w:noProof/>
                <w:webHidden/>
              </w:rPr>
              <w:fldChar w:fldCharType="separate"/>
            </w:r>
            <w:r>
              <w:rPr>
                <w:noProof/>
                <w:webHidden/>
              </w:rPr>
              <w:t>26</w:t>
            </w:r>
            <w:r w:rsidR="00F312EE">
              <w:rPr>
                <w:noProof/>
                <w:webHidden/>
              </w:rPr>
              <w:fldChar w:fldCharType="end"/>
            </w:r>
          </w:hyperlink>
        </w:p>
        <w:p w:rsidR="00F312EE" w:rsidRDefault="00DA47B9">
          <w:pPr>
            <w:pStyle w:val="TOC1"/>
            <w:rPr>
              <w:rFonts w:eastAsiaTheme="minorEastAsia"/>
              <w:noProof/>
              <w:lang w:val="en-AU" w:eastAsia="en-AU"/>
            </w:rPr>
          </w:pPr>
          <w:hyperlink w:anchor="_Toc48644144" w:history="1">
            <w:r w:rsidR="00F312EE" w:rsidRPr="00DE3A12">
              <w:rPr>
                <w:rStyle w:val="Hyperlink"/>
                <w:noProof/>
              </w:rPr>
              <w:t>6.</w:t>
            </w:r>
            <w:r w:rsidR="00F312EE">
              <w:rPr>
                <w:rFonts w:eastAsiaTheme="minorEastAsia"/>
                <w:noProof/>
                <w:lang w:val="en-AU" w:eastAsia="en-AU"/>
              </w:rPr>
              <w:tab/>
            </w:r>
            <w:r w:rsidR="00F312EE" w:rsidRPr="00DE3A12">
              <w:rPr>
                <w:rStyle w:val="Hyperlink"/>
                <w:noProof/>
              </w:rPr>
              <w:t>Consultation</w:t>
            </w:r>
            <w:r w:rsidR="00F312EE">
              <w:rPr>
                <w:noProof/>
                <w:webHidden/>
              </w:rPr>
              <w:tab/>
            </w:r>
            <w:r w:rsidR="00F312EE">
              <w:rPr>
                <w:noProof/>
                <w:webHidden/>
              </w:rPr>
              <w:fldChar w:fldCharType="begin"/>
            </w:r>
            <w:r w:rsidR="00F312EE">
              <w:rPr>
                <w:noProof/>
                <w:webHidden/>
              </w:rPr>
              <w:instrText xml:space="preserve"> PAGEREF _Toc48644144 \h </w:instrText>
            </w:r>
            <w:r w:rsidR="00F312EE">
              <w:rPr>
                <w:noProof/>
                <w:webHidden/>
              </w:rPr>
            </w:r>
            <w:r w:rsidR="00F312EE">
              <w:rPr>
                <w:noProof/>
                <w:webHidden/>
              </w:rPr>
              <w:fldChar w:fldCharType="separate"/>
            </w:r>
            <w:r>
              <w:rPr>
                <w:noProof/>
                <w:webHidden/>
              </w:rPr>
              <w:t>27</w:t>
            </w:r>
            <w:r w:rsidR="00F312EE">
              <w:rPr>
                <w:noProof/>
                <w:webHidden/>
              </w:rPr>
              <w:fldChar w:fldCharType="end"/>
            </w:r>
          </w:hyperlink>
        </w:p>
        <w:p w:rsidR="00F312EE" w:rsidRDefault="00DA47B9">
          <w:pPr>
            <w:pStyle w:val="TOC2"/>
            <w:tabs>
              <w:tab w:val="left" w:pos="880"/>
              <w:tab w:val="right" w:leader="dot" w:pos="9016"/>
            </w:tabs>
            <w:rPr>
              <w:rFonts w:eastAsiaTheme="minorEastAsia"/>
              <w:noProof/>
              <w:lang w:val="en-AU" w:eastAsia="en-AU"/>
            </w:rPr>
          </w:pPr>
          <w:hyperlink w:anchor="_Toc48644145" w:history="1">
            <w:r w:rsidR="00F312EE" w:rsidRPr="00DE3A12">
              <w:rPr>
                <w:rStyle w:val="Hyperlink"/>
                <w:noProof/>
              </w:rPr>
              <w:t>6.1</w:t>
            </w:r>
            <w:r w:rsidR="00F312EE">
              <w:rPr>
                <w:rFonts w:eastAsiaTheme="minorEastAsia"/>
                <w:noProof/>
                <w:lang w:val="en-AU" w:eastAsia="en-AU"/>
              </w:rPr>
              <w:tab/>
            </w:r>
            <w:r w:rsidR="00F312EE" w:rsidRPr="00DE3A12">
              <w:rPr>
                <w:rStyle w:val="Hyperlink"/>
                <w:noProof/>
              </w:rPr>
              <w:t>Franchising Taskforce</w:t>
            </w:r>
            <w:r w:rsidR="00F312EE">
              <w:rPr>
                <w:noProof/>
                <w:webHidden/>
              </w:rPr>
              <w:tab/>
            </w:r>
            <w:r w:rsidR="00F312EE">
              <w:rPr>
                <w:noProof/>
                <w:webHidden/>
              </w:rPr>
              <w:fldChar w:fldCharType="begin"/>
            </w:r>
            <w:r w:rsidR="00F312EE">
              <w:rPr>
                <w:noProof/>
                <w:webHidden/>
              </w:rPr>
              <w:instrText xml:space="preserve"> PAGEREF _Toc48644145 \h </w:instrText>
            </w:r>
            <w:r w:rsidR="00F312EE">
              <w:rPr>
                <w:noProof/>
                <w:webHidden/>
              </w:rPr>
            </w:r>
            <w:r w:rsidR="00F312EE">
              <w:rPr>
                <w:noProof/>
                <w:webHidden/>
              </w:rPr>
              <w:fldChar w:fldCharType="separate"/>
            </w:r>
            <w:r>
              <w:rPr>
                <w:noProof/>
                <w:webHidden/>
              </w:rPr>
              <w:t>27</w:t>
            </w:r>
            <w:r w:rsidR="00F312EE">
              <w:rPr>
                <w:noProof/>
                <w:webHidden/>
              </w:rPr>
              <w:fldChar w:fldCharType="end"/>
            </w:r>
          </w:hyperlink>
        </w:p>
        <w:p w:rsidR="00F312EE" w:rsidRDefault="00DA47B9">
          <w:pPr>
            <w:pStyle w:val="TOC3"/>
            <w:tabs>
              <w:tab w:val="left" w:pos="880"/>
              <w:tab w:val="right" w:leader="dot" w:pos="9016"/>
            </w:tabs>
            <w:rPr>
              <w:rFonts w:eastAsiaTheme="minorEastAsia"/>
              <w:noProof/>
              <w:lang w:val="en-AU" w:eastAsia="en-AU"/>
            </w:rPr>
          </w:pPr>
          <w:hyperlink w:anchor="_Toc48644146" w:history="1">
            <w:r w:rsidR="00F312EE" w:rsidRPr="00DE3A12">
              <w:rPr>
                <w:rStyle w:val="Hyperlink"/>
                <w:rFonts w:ascii="Wingdings" w:hAnsi="Wingdings"/>
                <w:noProof/>
              </w:rPr>
              <w:t></w:t>
            </w:r>
            <w:r w:rsidR="00F312EE">
              <w:rPr>
                <w:rFonts w:eastAsiaTheme="minorEastAsia"/>
                <w:noProof/>
                <w:lang w:val="en-AU" w:eastAsia="en-AU"/>
              </w:rPr>
              <w:tab/>
            </w:r>
            <w:r w:rsidR="00F312EE" w:rsidRPr="00DE3A12">
              <w:rPr>
                <w:rStyle w:val="Hyperlink"/>
                <w:noProof/>
              </w:rPr>
              <w:t>Issues paper</w:t>
            </w:r>
            <w:r w:rsidR="00F312EE">
              <w:rPr>
                <w:noProof/>
                <w:webHidden/>
              </w:rPr>
              <w:tab/>
            </w:r>
            <w:r w:rsidR="00F312EE">
              <w:rPr>
                <w:noProof/>
                <w:webHidden/>
              </w:rPr>
              <w:fldChar w:fldCharType="begin"/>
            </w:r>
            <w:r w:rsidR="00F312EE">
              <w:rPr>
                <w:noProof/>
                <w:webHidden/>
              </w:rPr>
              <w:instrText xml:space="preserve"> PAGEREF _Toc48644146 \h </w:instrText>
            </w:r>
            <w:r w:rsidR="00F312EE">
              <w:rPr>
                <w:noProof/>
                <w:webHidden/>
              </w:rPr>
            </w:r>
            <w:r w:rsidR="00F312EE">
              <w:rPr>
                <w:noProof/>
                <w:webHidden/>
              </w:rPr>
              <w:fldChar w:fldCharType="separate"/>
            </w:r>
            <w:r>
              <w:rPr>
                <w:noProof/>
                <w:webHidden/>
              </w:rPr>
              <w:t>27</w:t>
            </w:r>
            <w:r w:rsidR="00F312EE">
              <w:rPr>
                <w:noProof/>
                <w:webHidden/>
              </w:rPr>
              <w:fldChar w:fldCharType="end"/>
            </w:r>
          </w:hyperlink>
        </w:p>
        <w:p w:rsidR="00F312EE" w:rsidRDefault="00DA47B9">
          <w:pPr>
            <w:pStyle w:val="TOC3"/>
            <w:tabs>
              <w:tab w:val="left" w:pos="880"/>
              <w:tab w:val="right" w:leader="dot" w:pos="9016"/>
            </w:tabs>
            <w:rPr>
              <w:rFonts w:eastAsiaTheme="minorEastAsia"/>
              <w:noProof/>
              <w:lang w:val="en-AU" w:eastAsia="en-AU"/>
            </w:rPr>
          </w:pPr>
          <w:hyperlink w:anchor="_Toc48644147" w:history="1">
            <w:r w:rsidR="00F312EE" w:rsidRPr="00DE3A12">
              <w:rPr>
                <w:rStyle w:val="Hyperlink"/>
                <w:rFonts w:ascii="Wingdings" w:hAnsi="Wingdings"/>
                <w:noProof/>
              </w:rPr>
              <w:t></w:t>
            </w:r>
            <w:r w:rsidR="00F312EE">
              <w:rPr>
                <w:rFonts w:eastAsiaTheme="minorEastAsia"/>
                <w:noProof/>
                <w:lang w:val="en-AU" w:eastAsia="en-AU"/>
              </w:rPr>
              <w:tab/>
            </w:r>
            <w:r w:rsidR="00F312EE" w:rsidRPr="00DE3A12">
              <w:rPr>
                <w:rStyle w:val="Hyperlink"/>
                <w:noProof/>
              </w:rPr>
              <w:t>Consultation paper</w:t>
            </w:r>
            <w:r w:rsidR="00F312EE">
              <w:rPr>
                <w:noProof/>
                <w:webHidden/>
              </w:rPr>
              <w:tab/>
            </w:r>
            <w:r w:rsidR="00F312EE">
              <w:rPr>
                <w:noProof/>
                <w:webHidden/>
              </w:rPr>
              <w:fldChar w:fldCharType="begin"/>
            </w:r>
            <w:r w:rsidR="00F312EE">
              <w:rPr>
                <w:noProof/>
                <w:webHidden/>
              </w:rPr>
              <w:instrText xml:space="preserve"> PAGEREF _Toc48644147 \h </w:instrText>
            </w:r>
            <w:r w:rsidR="00F312EE">
              <w:rPr>
                <w:noProof/>
                <w:webHidden/>
              </w:rPr>
            </w:r>
            <w:r w:rsidR="00F312EE">
              <w:rPr>
                <w:noProof/>
                <w:webHidden/>
              </w:rPr>
              <w:fldChar w:fldCharType="separate"/>
            </w:r>
            <w:r>
              <w:rPr>
                <w:noProof/>
                <w:webHidden/>
              </w:rPr>
              <w:t>27</w:t>
            </w:r>
            <w:r w:rsidR="00F312EE">
              <w:rPr>
                <w:noProof/>
                <w:webHidden/>
              </w:rPr>
              <w:fldChar w:fldCharType="end"/>
            </w:r>
          </w:hyperlink>
        </w:p>
        <w:p w:rsidR="00F312EE" w:rsidRDefault="00DA47B9">
          <w:pPr>
            <w:pStyle w:val="TOC3"/>
            <w:tabs>
              <w:tab w:val="left" w:pos="880"/>
              <w:tab w:val="right" w:leader="dot" w:pos="9016"/>
            </w:tabs>
            <w:rPr>
              <w:rFonts w:eastAsiaTheme="minorEastAsia"/>
              <w:noProof/>
              <w:lang w:val="en-AU" w:eastAsia="en-AU"/>
            </w:rPr>
          </w:pPr>
          <w:hyperlink w:anchor="_Toc48644148" w:history="1">
            <w:r w:rsidR="00F312EE" w:rsidRPr="00DE3A12">
              <w:rPr>
                <w:rStyle w:val="Hyperlink"/>
                <w:rFonts w:ascii="Wingdings" w:hAnsi="Wingdings"/>
                <w:noProof/>
                <w:lang w:val="en-AU"/>
              </w:rPr>
              <w:t></w:t>
            </w:r>
            <w:r w:rsidR="00F312EE">
              <w:rPr>
                <w:rFonts w:eastAsiaTheme="minorEastAsia"/>
                <w:noProof/>
                <w:lang w:val="en-AU" w:eastAsia="en-AU"/>
              </w:rPr>
              <w:tab/>
            </w:r>
            <w:r w:rsidR="00F312EE" w:rsidRPr="00DE3A12">
              <w:rPr>
                <w:rStyle w:val="Hyperlink"/>
                <w:noProof/>
                <w:lang w:val="en-AU"/>
              </w:rPr>
              <w:t>Stakeholder meetings and roundtables</w:t>
            </w:r>
            <w:r w:rsidR="00F312EE">
              <w:rPr>
                <w:noProof/>
                <w:webHidden/>
              </w:rPr>
              <w:tab/>
            </w:r>
            <w:r w:rsidR="00F312EE">
              <w:rPr>
                <w:noProof/>
                <w:webHidden/>
              </w:rPr>
              <w:fldChar w:fldCharType="begin"/>
            </w:r>
            <w:r w:rsidR="00F312EE">
              <w:rPr>
                <w:noProof/>
                <w:webHidden/>
              </w:rPr>
              <w:instrText xml:space="preserve"> PAGEREF _Toc48644148 \h </w:instrText>
            </w:r>
            <w:r w:rsidR="00F312EE">
              <w:rPr>
                <w:noProof/>
                <w:webHidden/>
              </w:rPr>
            </w:r>
            <w:r w:rsidR="00F312EE">
              <w:rPr>
                <w:noProof/>
                <w:webHidden/>
              </w:rPr>
              <w:fldChar w:fldCharType="separate"/>
            </w:r>
            <w:r>
              <w:rPr>
                <w:noProof/>
                <w:webHidden/>
              </w:rPr>
              <w:t>27</w:t>
            </w:r>
            <w:r w:rsidR="00F312EE">
              <w:rPr>
                <w:noProof/>
                <w:webHidden/>
              </w:rPr>
              <w:fldChar w:fldCharType="end"/>
            </w:r>
          </w:hyperlink>
        </w:p>
        <w:p w:rsidR="00F312EE" w:rsidRDefault="00DA47B9">
          <w:pPr>
            <w:pStyle w:val="TOC2"/>
            <w:tabs>
              <w:tab w:val="left" w:pos="880"/>
              <w:tab w:val="right" w:leader="dot" w:pos="9016"/>
            </w:tabs>
            <w:rPr>
              <w:rFonts w:eastAsiaTheme="minorEastAsia"/>
              <w:noProof/>
              <w:lang w:val="en-AU" w:eastAsia="en-AU"/>
            </w:rPr>
          </w:pPr>
          <w:hyperlink w:anchor="_Toc48644149" w:history="1">
            <w:r w:rsidR="00F312EE" w:rsidRPr="00DE3A12">
              <w:rPr>
                <w:rStyle w:val="Hyperlink"/>
                <w:noProof/>
              </w:rPr>
              <w:t>6.2</w:t>
            </w:r>
            <w:r w:rsidR="00F312EE">
              <w:rPr>
                <w:rFonts w:eastAsiaTheme="minorEastAsia"/>
                <w:noProof/>
                <w:lang w:val="en-AU" w:eastAsia="en-AU"/>
              </w:rPr>
              <w:tab/>
            </w:r>
            <w:r w:rsidR="00F312EE" w:rsidRPr="00DE3A12">
              <w:rPr>
                <w:rStyle w:val="Hyperlink"/>
                <w:noProof/>
              </w:rPr>
              <w:t>Future consultation</w:t>
            </w:r>
            <w:r w:rsidR="00F312EE">
              <w:rPr>
                <w:noProof/>
                <w:webHidden/>
              </w:rPr>
              <w:tab/>
            </w:r>
            <w:r w:rsidR="00F312EE">
              <w:rPr>
                <w:noProof/>
                <w:webHidden/>
              </w:rPr>
              <w:fldChar w:fldCharType="begin"/>
            </w:r>
            <w:r w:rsidR="00F312EE">
              <w:rPr>
                <w:noProof/>
                <w:webHidden/>
              </w:rPr>
              <w:instrText xml:space="preserve"> PAGEREF _Toc48644149 \h </w:instrText>
            </w:r>
            <w:r w:rsidR="00F312EE">
              <w:rPr>
                <w:noProof/>
                <w:webHidden/>
              </w:rPr>
            </w:r>
            <w:r w:rsidR="00F312EE">
              <w:rPr>
                <w:noProof/>
                <w:webHidden/>
              </w:rPr>
              <w:fldChar w:fldCharType="separate"/>
            </w:r>
            <w:r>
              <w:rPr>
                <w:noProof/>
                <w:webHidden/>
              </w:rPr>
              <w:t>27</w:t>
            </w:r>
            <w:r w:rsidR="00F312EE">
              <w:rPr>
                <w:noProof/>
                <w:webHidden/>
              </w:rPr>
              <w:fldChar w:fldCharType="end"/>
            </w:r>
          </w:hyperlink>
        </w:p>
        <w:p w:rsidR="00F312EE" w:rsidRDefault="00DA47B9">
          <w:pPr>
            <w:pStyle w:val="TOC1"/>
            <w:rPr>
              <w:rFonts w:eastAsiaTheme="minorEastAsia"/>
              <w:noProof/>
              <w:lang w:val="en-AU" w:eastAsia="en-AU"/>
            </w:rPr>
          </w:pPr>
          <w:hyperlink w:anchor="_Toc48644150" w:history="1">
            <w:r w:rsidR="00F312EE" w:rsidRPr="00DE3A12">
              <w:rPr>
                <w:rStyle w:val="Hyperlink"/>
                <w:noProof/>
              </w:rPr>
              <w:t>7.</w:t>
            </w:r>
            <w:r w:rsidR="00F312EE">
              <w:rPr>
                <w:rFonts w:eastAsiaTheme="minorEastAsia"/>
                <w:noProof/>
                <w:lang w:val="en-AU" w:eastAsia="en-AU"/>
              </w:rPr>
              <w:tab/>
            </w:r>
            <w:r w:rsidR="00F312EE" w:rsidRPr="00DE3A12">
              <w:rPr>
                <w:rStyle w:val="Hyperlink"/>
                <w:noProof/>
              </w:rPr>
              <w:t>Conclusion and recommended option</w:t>
            </w:r>
            <w:r w:rsidR="00F312EE">
              <w:rPr>
                <w:noProof/>
                <w:webHidden/>
              </w:rPr>
              <w:tab/>
            </w:r>
            <w:r w:rsidR="00F312EE">
              <w:rPr>
                <w:noProof/>
                <w:webHidden/>
              </w:rPr>
              <w:fldChar w:fldCharType="begin"/>
            </w:r>
            <w:r w:rsidR="00F312EE">
              <w:rPr>
                <w:noProof/>
                <w:webHidden/>
              </w:rPr>
              <w:instrText xml:space="preserve"> PAGEREF _Toc48644150 \h </w:instrText>
            </w:r>
            <w:r w:rsidR="00F312EE">
              <w:rPr>
                <w:noProof/>
                <w:webHidden/>
              </w:rPr>
            </w:r>
            <w:r w:rsidR="00F312EE">
              <w:rPr>
                <w:noProof/>
                <w:webHidden/>
              </w:rPr>
              <w:fldChar w:fldCharType="separate"/>
            </w:r>
            <w:r>
              <w:rPr>
                <w:noProof/>
                <w:webHidden/>
              </w:rPr>
              <w:t>28</w:t>
            </w:r>
            <w:r w:rsidR="00F312EE">
              <w:rPr>
                <w:noProof/>
                <w:webHidden/>
              </w:rPr>
              <w:fldChar w:fldCharType="end"/>
            </w:r>
          </w:hyperlink>
        </w:p>
        <w:p w:rsidR="00F312EE" w:rsidRDefault="00DA47B9">
          <w:pPr>
            <w:pStyle w:val="TOC1"/>
            <w:rPr>
              <w:rFonts w:eastAsiaTheme="minorEastAsia"/>
              <w:noProof/>
              <w:lang w:val="en-AU" w:eastAsia="en-AU"/>
            </w:rPr>
          </w:pPr>
          <w:hyperlink w:anchor="_Toc48644151" w:history="1">
            <w:r w:rsidR="00F312EE" w:rsidRPr="00DE3A12">
              <w:rPr>
                <w:rStyle w:val="Hyperlink"/>
                <w:noProof/>
              </w:rPr>
              <w:t>8.</w:t>
            </w:r>
            <w:r w:rsidR="00F312EE">
              <w:rPr>
                <w:rFonts w:eastAsiaTheme="minorEastAsia"/>
                <w:noProof/>
                <w:lang w:val="en-AU" w:eastAsia="en-AU"/>
              </w:rPr>
              <w:tab/>
            </w:r>
            <w:r w:rsidR="00F312EE" w:rsidRPr="00DE3A12">
              <w:rPr>
                <w:rStyle w:val="Hyperlink"/>
                <w:noProof/>
              </w:rPr>
              <w:t>Implementation and evaluation</w:t>
            </w:r>
            <w:r w:rsidR="00F312EE">
              <w:rPr>
                <w:noProof/>
                <w:webHidden/>
              </w:rPr>
              <w:tab/>
            </w:r>
            <w:r w:rsidR="00F312EE">
              <w:rPr>
                <w:noProof/>
                <w:webHidden/>
              </w:rPr>
              <w:fldChar w:fldCharType="begin"/>
            </w:r>
            <w:r w:rsidR="00F312EE">
              <w:rPr>
                <w:noProof/>
                <w:webHidden/>
              </w:rPr>
              <w:instrText xml:space="preserve"> PAGEREF _Toc48644151 \h </w:instrText>
            </w:r>
            <w:r w:rsidR="00F312EE">
              <w:rPr>
                <w:noProof/>
                <w:webHidden/>
              </w:rPr>
            </w:r>
            <w:r w:rsidR="00F312EE">
              <w:rPr>
                <w:noProof/>
                <w:webHidden/>
              </w:rPr>
              <w:fldChar w:fldCharType="separate"/>
            </w:r>
            <w:r>
              <w:rPr>
                <w:noProof/>
                <w:webHidden/>
              </w:rPr>
              <w:t>30</w:t>
            </w:r>
            <w:r w:rsidR="00F312EE">
              <w:rPr>
                <w:noProof/>
                <w:webHidden/>
              </w:rPr>
              <w:fldChar w:fldCharType="end"/>
            </w:r>
          </w:hyperlink>
        </w:p>
        <w:p w:rsidR="00F312EE" w:rsidRDefault="00DA47B9">
          <w:pPr>
            <w:pStyle w:val="TOC2"/>
            <w:tabs>
              <w:tab w:val="left" w:pos="880"/>
              <w:tab w:val="right" w:leader="dot" w:pos="9016"/>
            </w:tabs>
            <w:rPr>
              <w:rFonts w:eastAsiaTheme="minorEastAsia"/>
              <w:noProof/>
              <w:lang w:val="en-AU" w:eastAsia="en-AU"/>
            </w:rPr>
          </w:pPr>
          <w:hyperlink w:anchor="_Toc48644152" w:history="1">
            <w:r w:rsidR="00F312EE" w:rsidRPr="00DE3A12">
              <w:rPr>
                <w:rStyle w:val="Hyperlink"/>
                <w:noProof/>
              </w:rPr>
              <w:t>8.1</w:t>
            </w:r>
            <w:r w:rsidR="00F312EE">
              <w:rPr>
                <w:rFonts w:eastAsiaTheme="minorEastAsia"/>
                <w:noProof/>
                <w:lang w:val="en-AU" w:eastAsia="en-AU"/>
              </w:rPr>
              <w:tab/>
            </w:r>
            <w:r w:rsidR="00F312EE" w:rsidRPr="00DE3A12">
              <w:rPr>
                <w:rStyle w:val="Hyperlink"/>
                <w:noProof/>
              </w:rPr>
              <w:t>Implementation and transition</w:t>
            </w:r>
            <w:r w:rsidR="00F312EE">
              <w:rPr>
                <w:noProof/>
                <w:webHidden/>
              </w:rPr>
              <w:tab/>
            </w:r>
            <w:r w:rsidR="00F312EE">
              <w:rPr>
                <w:noProof/>
                <w:webHidden/>
              </w:rPr>
              <w:fldChar w:fldCharType="begin"/>
            </w:r>
            <w:r w:rsidR="00F312EE">
              <w:rPr>
                <w:noProof/>
                <w:webHidden/>
              </w:rPr>
              <w:instrText xml:space="preserve"> PAGEREF _Toc48644152 \h </w:instrText>
            </w:r>
            <w:r w:rsidR="00F312EE">
              <w:rPr>
                <w:noProof/>
                <w:webHidden/>
              </w:rPr>
            </w:r>
            <w:r w:rsidR="00F312EE">
              <w:rPr>
                <w:noProof/>
                <w:webHidden/>
              </w:rPr>
              <w:fldChar w:fldCharType="separate"/>
            </w:r>
            <w:r>
              <w:rPr>
                <w:noProof/>
                <w:webHidden/>
              </w:rPr>
              <w:t>30</w:t>
            </w:r>
            <w:r w:rsidR="00F312EE">
              <w:rPr>
                <w:noProof/>
                <w:webHidden/>
              </w:rPr>
              <w:fldChar w:fldCharType="end"/>
            </w:r>
          </w:hyperlink>
        </w:p>
        <w:p w:rsidR="00F312EE" w:rsidRDefault="00DA47B9">
          <w:pPr>
            <w:pStyle w:val="TOC2"/>
            <w:tabs>
              <w:tab w:val="left" w:pos="880"/>
              <w:tab w:val="right" w:leader="dot" w:pos="9016"/>
            </w:tabs>
            <w:rPr>
              <w:rFonts w:eastAsiaTheme="minorEastAsia"/>
              <w:noProof/>
              <w:lang w:val="en-AU" w:eastAsia="en-AU"/>
            </w:rPr>
          </w:pPr>
          <w:hyperlink w:anchor="_Toc48644153" w:history="1">
            <w:r w:rsidR="00F312EE" w:rsidRPr="00DE3A12">
              <w:rPr>
                <w:rStyle w:val="Hyperlink"/>
                <w:noProof/>
              </w:rPr>
              <w:t>8.2</w:t>
            </w:r>
            <w:r w:rsidR="00F312EE">
              <w:rPr>
                <w:rFonts w:eastAsiaTheme="minorEastAsia"/>
                <w:noProof/>
                <w:lang w:val="en-AU" w:eastAsia="en-AU"/>
              </w:rPr>
              <w:tab/>
            </w:r>
            <w:r w:rsidR="00F312EE" w:rsidRPr="00DE3A12">
              <w:rPr>
                <w:rStyle w:val="Hyperlink"/>
                <w:noProof/>
              </w:rPr>
              <w:t>Evaluation</w:t>
            </w:r>
            <w:r w:rsidR="00F312EE">
              <w:rPr>
                <w:noProof/>
                <w:webHidden/>
              </w:rPr>
              <w:tab/>
            </w:r>
            <w:r w:rsidR="00F312EE">
              <w:rPr>
                <w:noProof/>
                <w:webHidden/>
              </w:rPr>
              <w:fldChar w:fldCharType="begin"/>
            </w:r>
            <w:r w:rsidR="00F312EE">
              <w:rPr>
                <w:noProof/>
                <w:webHidden/>
              </w:rPr>
              <w:instrText xml:space="preserve"> PAGEREF _Toc48644153 \h </w:instrText>
            </w:r>
            <w:r w:rsidR="00F312EE">
              <w:rPr>
                <w:noProof/>
                <w:webHidden/>
              </w:rPr>
            </w:r>
            <w:r w:rsidR="00F312EE">
              <w:rPr>
                <w:noProof/>
                <w:webHidden/>
              </w:rPr>
              <w:fldChar w:fldCharType="separate"/>
            </w:r>
            <w:r>
              <w:rPr>
                <w:noProof/>
                <w:webHidden/>
              </w:rPr>
              <w:t>30</w:t>
            </w:r>
            <w:r w:rsidR="00F312EE">
              <w:rPr>
                <w:noProof/>
                <w:webHidden/>
              </w:rPr>
              <w:fldChar w:fldCharType="end"/>
            </w:r>
          </w:hyperlink>
        </w:p>
        <w:p w:rsidR="00F312EE" w:rsidRDefault="00DA47B9">
          <w:pPr>
            <w:pStyle w:val="TOC1"/>
            <w:rPr>
              <w:rFonts w:eastAsiaTheme="minorEastAsia"/>
              <w:noProof/>
              <w:lang w:val="en-AU" w:eastAsia="en-AU"/>
            </w:rPr>
          </w:pPr>
          <w:hyperlink w:anchor="_Toc48644154" w:history="1">
            <w:r w:rsidR="00F312EE" w:rsidRPr="00DE3A12">
              <w:rPr>
                <w:rStyle w:val="Hyperlink"/>
                <w:noProof/>
              </w:rPr>
              <w:t>Appendix A</w:t>
            </w:r>
            <w:r w:rsidR="00F312EE">
              <w:rPr>
                <w:noProof/>
                <w:webHidden/>
              </w:rPr>
              <w:tab/>
            </w:r>
            <w:r w:rsidR="00F312EE">
              <w:rPr>
                <w:noProof/>
                <w:webHidden/>
              </w:rPr>
              <w:fldChar w:fldCharType="begin"/>
            </w:r>
            <w:r w:rsidR="00F312EE">
              <w:rPr>
                <w:noProof/>
                <w:webHidden/>
              </w:rPr>
              <w:instrText xml:space="preserve"> PAGEREF _Toc48644154 \h </w:instrText>
            </w:r>
            <w:r w:rsidR="00F312EE">
              <w:rPr>
                <w:noProof/>
                <w:webHidden/>
              </w:rPr>
            </w:r>
            <w:r w:rsidR="00F312EE">
              <w:rPr>
                <w:noProof/>
                <w:webHidden/>
              </w:rPr>
              <w:fldChar w:fldCharType="separate"/>
            </w:r>
            <w:r>
              <w:rPr>
                <w:noProof/>
                <w:webHidden/>
              </w:rPr>
              <w:t>31</w:t>
            </w:r>
            <w:r w:rsidR="00F312EE">
              <w:rPr>
                <w:noProof/>
                <w:webHidden/>
              </w:rPr>
              <w:fldChar w:fldCharType="end"/>
            </w:r>
          </w:hyperlink>
        </w:p>
        <w:p w:rsidR="00F312EE" w:rsidRDefault="00DA47B9">
          <w:pPr>
            <w:pStyle w:val="TOC1"/>
            <w:rPr>
              <w:rFonts w:eastAsiaTheme="minorEastAsia"/>
              <w:noProof/>
              <w:lang w:val="en-AU" w:eastAsia="en-AU"/>
            </w:rPr>
          </w:pPr>
          <w:hyperlink w:anchor="_Toc48644155" w:history="1">
            <w:r w:rsidR="00F312EE" w:rsidRPr="00DE3A12">
              <w:rPr>
                <w:rStyle w:val="Hyperlink"/>
                <w:noProof/>
              </w:rPr>
              <w:t>Appendix B</w:t>
            </w:r>
            <w:r w:rsidR="00F312EE">
              <w:rPr>
                <w:noProof/>
                <w:webHidden/>
              </w:rPr>
              <w:tab/>
            </w:r>
            <w:r w:rsidR="00F312EE">
              <w:rPr>
                <w:noProof/>
                <w:webHidden/>
              </w:rPr>
              <w:fldChar w:fldCharType="begin"/>
            </w:r>
            <w:r w:rsidR="00F312EE">
              <w:rPr>
                <w:noProof/>
                <w:webHidden/>
              </w:rPr>
              <w:instrText xml:space="preserve"> PAGEREF _Toc48644155 \h </w:instrText>
            </w:r>
            <w:r w:rsidR="00F312EE">
              <w:rPr>
                <w:noProof/>
                <w:webHidden/>
              </w:rPr>
            </w:r>
            <w:r w:rsidR="00F312EE">
              <w:rPr>
                <w:noProof/>
                <w:webHidden/>
              </w:rPr>
              <w:fldChar w:fldCharType="separate"/>
            </w:r>
            <w:r>
              <w:rPr>
                <w:noProof/>
                <w:webHidden/>
              </w:rPr>
              <w:t>32</w:t>
            </w:r>
            <w:r w:rsidR="00F312EE">
              <w:rPr>
                <w:noProof/>
                <w:webHidden/>
              </w:rPr>
              <w:fldChar w:fldCharType="end"/>
            </w:r>
          </w:hyperlink>
        </w:p>
        <w:p w:rsidR="00F312EE" w:rsidRDefault="00DA47B9">
          <w:pPr>
            <w:pStyle w:val="TOC1"/>
            <w:rPr>
              <w:rFonts w:eastAsiaTheme="minorEastAsia"/>
              <w:noProof/>
              <w:lang w:val="en-AU" w:eastAsia="en-AU"/>
            </w:rPr>
          </w:pPr>
          <w:hyperlink w:anchor="_Toc48644156" w:history="1">
            <w:r w:rsidR="00F312EE" w:rsidRPr="00DE3A12">
              <w:rPr>
                <w:rStyle w:val="Hyperlink"/>
                <w:noProof/>
              </w:rPr>
              <w:t>Appendix C</w:t>
            </w:r>
            <w:r w:rsidR="00F312EE">
              <w:rPr>
                <w:noProof/>
                <w:webHidden/>
              </w:rPr>
              <w:tab/>
            </w:r>
            <w:r w:rsidR="00F312EE">
              <w:rPr>
                <w:noProof/>
                <w:webHidden/>
              </w:rPr>
              <w:fldChar w:fldCharType="begin"/>
            </w:r>
            <w:r w:rsidR="00F312EE">
              <w:rPr>
                <w:noProof/>
                <w:webHidden/>
              </w:rPr>
              <w:instrText xml:space="preserve"> PAGEREF _Toc48644156 \h </w:instrText>
            </w:r>
            <w:r w:rsidR="00F312EE">
              <w:rPr>
                <w:noProof/>
                <w:webHidden/>
              </w:rPr>
            </w:r>
            <w:r w:rsidR="00F312EE">
              <w:rPr>
                <w:noProof/>
                <w:webHidden/>
              </w:rPr>
              <w:fldChar w:fldCharType="separate"/>
            </w:r>
            <w:r>
              <w:rPr>
                <w:noProof/>
                <w:webHidden/>
              </w:rPr>
              <w:t>36</w:t>
            </w:r>
            <w:r w:rsidR="00F312EE">
              <w:rPr>
                <w:noProof/>
                <w:webHidden/>
              </w:rPr>
              <w:fldChar w:fldCharType="end"/>
            </w:r>
          </w:hyperlink>
        </w:p>
        <w:p w:rsidR="00B95D19" w:rsidRDefault="00B95D19" w:rsidP="00B95D19">
          <w:r>
            <w:rPr>
              <w:b/>
              <w:bCs/>
              <w:noProof/>
            </w:rPr>
            <w:lastRenderedPageBreak/>
            <w:fldChar w:fldCharType="end"/>
          </w:r>
        </w:p>
      </w:sdtContent>
    </w:sdt>
    <w:p w:rsidR="00B95D19" w:rsidRDefault="00B95D19" w:rsidP="00B95D19">
      <w:pPr>
        <w:rPr>
          <w:rFonts w:asciiTheme="majorHAnsi" w:eastAsiaTheme="majorEastAsia" w:hAnsiTheme="majorHAnsi" w:cstheme="majorBidi"/>
          <w:color w:val="2E74B5" w:themeColor="accent1" w:themeShade="BF"/>
          <w:sz w:val="32"/>
          <w:szCs w:val="32"/>
        </w:rPr>
      </w:pPr>
      <w:r>
        <w:br w:type="page"/>
      </w:r>
    </w:p>
    <w:p w:rsidR="00B95D19" w:rsidRDefault="00B95D19" w:rsidP="00B95D19">
      <w:pPr>
        <w:pStyle w:val="Heading1"/>
        <w:numPr>
          <w:ilvl w:val="0"/>
          <w:numId w:val="1"/>
        </w:numPr>
      </w:pPr>
      <w:bookmarkStart w:id="1" w:name="_Toc45795726"/>
      <w:bookmarkStart w:id="2" w:name="_Toc46841969"/>
      <w:bookmarkStart w:id="3" w:name="_Toc46843642"/>
      <w:bookmarkStart w:id="4" w:name="_Toc46846289"/>
      <w:bookmarkStart w:id="5" w:name="_Toc46911972"/>
      <w:bookmarkStart w:id="6" w:name="_Toc46991023"/>
      <w:bookmarkStart w:id="7" w:name="_Toc47009782"/>
      <w:bookmarkStart w:id="8" w:name="_Toc47469263"/>
      <w:bookmarkStart w:id="9" w:name="_Toc47517228"/>
      <w:bookmarkStart w:id="10" w:name="_Toc47522345"/>
      <w:bookmarkStart w:id="11" w:name="_Toc47527716"/>
      <w:bookmarkStart w:id="12" w:name="_Toc47533605"/>
      <w:bookmarkStart w:id="13" w:name="_Toc47536008"/>
      <w:bookmarkStart w:id="14" w:name="_Toc47540504"/>
      <w:bookmarkStart w:id="15" w:name="_Toc47542059"/>
      <w:bookmarkStart w:id="16" w:name="_Toc48644124"/>
      <w:r w:rsidRPr="00BA474D">
        <w:lastRenderedPageBreak/>
        <w:t>Executive Summary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A194B" w:rsidRDefault="00FA194B" w:rsidP="00B95D19">
      <w:r>
        <w:t xml:space="preserve">The franchising sector is an important contributor to the Australian economy. Franchising is underpinned by the relationship between franchisor and franchisee. This relationship is directly regulated by the Franchising Code and the broad protections available in the Australian Consumer Law. </w:t>
      </w:r>
    </w:p>
    <w:p w:rsidR="00307264" w:rsidRDefault="00FA194B" w:rsidP="00B95D19">
      <w:r>
        <w:t xml:space="preserve">Despite existing interventions, there is widespread evidence </w:t>
      </w:r>
      <w:r w:rsidR="00307264">
        <w:t xml:space="preserve">that </w:t>
      </w:r>
      <w:r>
        <w:t>problems in the relationship between franchisees and franchisors</w:t>
      </w:r>
      <w:r w:rsidR="00307264">
        <w:t xml:space="preserve"> continue</w:t>
      </w:r>
      <w:r>
        <w:t xml:space="preserve">. </w:t>
      </w:r>
      <w:r w:rsidR="008B19D6" w:rsidRPr="008600CF">
        <w:t xml:space="preserve">The PJC heard evidence </w:t>
      </w:r>
      <w:r w:rsidR="008600CF" w:rsidRPr="008600CF">
        <w:t>that f</w:t>
      </w:r>
      <w:r w:rsidRPr="008600CF">
        <w:t>ranchisees</w:t>
      </w:r>
      <w:r>
        <w:t xml:space="preserve"> are not always sufficiently informed prior to enter</w:t>
      </w:r>
      <w:r w:rsidR="00307264">
        <w:t>ing into a franchise agreement, f</w:t>
      </w:r>
      <w:r>
        <w:t>ranchisors</w:t>
      </w:r>
      <w:r w:rsidR="00307264">
        <w:t xml:space="preserve"> continue to </w:t>
      </w:r>
      <w:r>
        <w:t>engag</w:t>
      </w:r>
      <w:r w:rsidR="00307264">
        <w:t>e in poor conduct, and e</w:t>
      </w:r>
      <w:r>
        <w:t xml:space="preserve">xisting mechanisms to support enforcement, exit and dispute resolution </w:t>
      </w:r>
      <w:r w:rsidR="00307264">
        <w:t>do not go far enough to address power imbalance and problematic conduct of franchisors</w:t>
      </w:r>
      <w:r>
        <w:t xml:space="preserve">. </w:t>
      </w:r>
    </w:p>
    <w:p w:rsidR="00307264" w:rsidRPr="00307264" w:rsidRDefault="00FA194B" w:rsidP="00B95D19">
      <w:r>
        <w:t xml:space="preserve">A range of </w:t>
      </w:r>
      <w:r w:rsidR="00307264">
        <w:t xml:space="preserve">options for </w:t>
      </w:r>
      <w:r>
        <w:t xml:space="preserve">regulatory improvements </w:t>
      </w:r>
      <w:r w:rsidR="008B19D6">
        <w:t>is</w:t>
      </w:r>
      <w:r w:rsidR="00307264">
        <w:t xml:space="preserve"> identified in this Regulation Impact Statement (RIS) to inform the future direction of the regulation of franchising. This RIS concludes tha</w:t>
      </w:r>
      <w:r w:rsidR="00997AB2">
        <w:t>t a package of regulatory and non</w:t>
      </w:r>
      <w:r w:rsidR="00997AB2">
        <w:noBreakHyphen/>
        <w:t>regulatory reforms</w:t>
      </w:r>
      <w:r w:rsidR="00725C0A">
        <w:t xml:space="preserve">, while imposing </w:t>
      </w:r>
      <w:r w:rsidR="008B19D6" w:rsidRPr="008600CF">
        <w:t xml:space="preserve">low to </w:t>
      </w:r>
      <w:r w:rsidR="00725C0A" w:rsidRPr="008600CF">
        <w:t>moderate</w:t>
      </w:r>
      <w:r w:rsidR="00725C0A">
        <w:t xml:space="preserve"> additional regulatory burden on franchisors,</w:t>
      </w:r>
      <w:r w:rsidR="00997AB2">
        <w:t xml:space="preserve"> would </w:t>
      </w:r>
      <w:r w:rsidR="00725C0A">
        <w:t xml:space="preserve">result in </w:t>
      </w:r>
      <w:r w:rsidR="00997AB2">
        <w:t xml:space="preserve">an overall net benefit. </w:t>
      </w:r>
    </w:p>
    <w:p w:rsidR="00B95D19" w:rsidRDefault="00B95D19" w:rsidP="00B95D19">
      <w:pPr>
        <w:pStyle w:val="Heading1"/>
        <w:numPr>
          <w:ilvl w:val="0"/>
          <w:numId w:val="1"/>
        </w:numPr>
      </w:pPr>
      <w:bookmarkStart w:id="17" w:name="_Toc45795727"/>
      <w:bookmarkStart w:id="18" w:name="_Toc46841970"/>
      <w:bookmarkStart w:id="19" w:name="_Toc46843643"/>
      <w:bookmarkStart w:id="20" w:name="_Toc46846290"/>
      <w:bookmarkStart w:id="21" w:name="_Toc46911973"/>
      <w:bookmarkStart w:id="22" w:name="_Toc46991024"/>
      <w:bookmarkStart w:id="23" w:name="_Toc47009783"/>
      <w:bookmarkStart w:id="24" w:name="_Toc47469264"/>
      <w:bookmarkStart w:id="25" w:name="_Toc47517229"/>
      <w:bookmarkStart w:id="26" w:name="_Toc47522346"/>
      <w:bookmarkStart w:id="27" w:name="_Toc47527717"/>
      <w:bookmarkStart w:id="28" w:name="_Toc47533606"/>
      <w:bookmarkStart w:id="29" w:name="_Toc47536009"/>
      <w:bookmarkStart w:id="30" w:name="_Toc47540505"/>
      <w:bookmarkStart w:id="31" w:name="_Toc47542060"/>
      <w:bookmarkStart w:id="32" w:name="_Toc48644125"/>
      <w:r>
        <w:t>Background</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95D19" w:rsidRDefault="00B95D19" w:rsidP="00B95D19">
      <w:pPr>
        <w:pStyle w:val="Heading2"/>
        <w:numPr>
          <w:ilvl w:val="1"/>
          <w:numId w:val="1"/>
        </w:numPr>
      </w:pPr>
      <w:bookmarkStart w:id="33" w:name="_Toc45795728"/>
      <w:bookmarkStart w:id="34" w:name="_Toc46841971"/>
      <w:bookmarkStart w:id="35" w:name="_Toc46843644"/>
      <w:bookmarkStart w:id="36" w:name="_Toc46846291"/>
      <w:bookmarkStart w:id="37" w:name="_Toc46911974"/>
      <w:bookmarkStart w:id="38" w:name="_Toc46991025"/>
      <w:bookmarkStart w:id="39" w:name="_Toc47009784"/>
      <w:bookmarkStart w:id="40" w:name="_Toc47469265"/>
      <w:bookmarkStart w:id="41" w:name="_Toc47517230"/>
      <w:bookmarkStart w:id="42" w:name="_Toc47522347"/>
      <w:bookmarkStart w:id="43" w:name="_Toc47527718"/>
      <w:bookmarkStart w:id="44" w:name="_Toc47533607"/>
      <w:bookmarkStart w:id="45" w:name="_Toc47536010"/>
      <w:bookmarkStart w:id="46" w:name="_Toc47540506"/>
      <w:bookmarkStart w:id="47" w:name="_Toc47542061"/>
      <w:bookmarkStart w:id="48" w:name="_Toc48644126"/>
      <w:r>
        <w:t>The franchising sector</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95D19" w:rsidRDefault="00B95D19" w:rsidP="00B95D19">
      <w:bookmarkStart w:id="49" w:name="_Toc45795729"/>
      <w:bookmarkStart w:id="50" w:name="_Toc45799009"/>
      <w:r w:rsidRPr="00B47F8C">
        <w:t>Franchising is a popular business model, and makes a significant contribution to the Australian economy. There are approximately 1,</w:t>
      </w:r>
      <w:r w:rsidRPr="0002016D">
        <w:t>240</w:t>
      </w:r>
      <w:r>
        <w:rPr>
          <w:rFonts w:ascii="Arial" w:hAnsi="Arial" w:cs="Arial"/>
        </w:rPr>
        <w:t xml:space="preserve"> </w:t>
      </w:r>
      <w:r>
        <w:t xml:space="preserve">franchise brands in Australia with </w:t>
      </w:r>
      <w:r w:rsidRPr="00735E9A">
        <w:t>95,600</w:t>
      </w:r>
      <w:r>
        <w:t xml:space="preserve"> franchise establishments, </w:t>
      </w:r>
      <w:r w:rsidRPr="00B47F8C">
        <w:t xml:space="preserve">providing employment for </w:t>
      </w:r>
      <w:r>
        <w:t xml:space="preserve">approximately </w:t>
      </w:r>
      <w:r w:rsidRPr="00B47F8C">
        <w:t>5</w:t>
      </w:r>
      <w:r>
        <w:t>80</w:t>
      </w:r>
      <w:r w:rsidRPr="00B47F8C">
        <w:t xml:space="preserve">,000 people. The sector’s estimated revenue </w:t>
      </w:r>
      <w:r w:rsidR="00314AAA">
        <w:t>is</w:t>
      </w:r>
      <w:r w:rsidR="00314AAA" w:rsidRPr="00B47F8C">
        <w:t xml:space="preserve"> </w:t>
      </w:r>
      <w:r w:rsidRPr="00B47F8C">
        <w:t>$</w:t>
      </w:r>
      <w:r>
        <w:t>170.5</w:t>
      </w:r>
      <w:r w:rsidRPr="00B47F8C">
        <w:t xml:space="preserve"> billion</w:t>
      </w:r>
      <w:r w:rsidR="008B19D6">
        <w:t xml:space="preserve"> in </w:t>
      </w:r>
      <w:r w:rsidR="00314AAA" w:rsidRPr="00345347">
        <w:t>2019-2020</w:t>
      </w:r>
      <w:r w:rsidRPr="00B47F8C">
        <w:t>.</w:t>
      </w:r>
      <w:r>
        <w:rPr>
          <w:rStyle w:val="FootnoteReference"/>
        </w:rPr>
        <w:footnoteReference w:id="2"/>
      </w:r>
      <w:bookmarkEnd w:id="49"/>
      <w:bookmarkEnd w:id="50"/>
      <w:r w:rsidRPr="00B47F8C">
        <w:t xml:space="preserve">   </w:t>
      </w:r>
    </w:p>
    <w:p w:rsidR="00B95D19" w:rsidRDefault="00B95D19" w:rsidP="00B95D19">
      <w:bookmarkStart w:id="51" w:name="_Toc45795730"/>
      <w:bookmarkStart w:id="52" w:name="_Toc45799010"/>
      <w:r w:rsidRPr="00B47F8C">
        <w:t xml:space="preserve">The franchising </w:t>
      </w:r>
      <w:r w:rsidR="00903BE1">
        <w:t>business structure is used in a diverse range of industries – ranging from large accommodation providers to garden maintenance businesses and everything in between. There is also a diversity in the approach</w:t>
      </w:r>
      <w:r w:rsidRPr="00B47F8C">
        <w:t xml:space="preserve"> to the franchisor-franchisee relationship in individual systems. In addition, the changing economic environment – such as the generally tough retail environment, the emergence of the gig economy and the growth of alternative models for self-employment</w:t>
      </w:r>
      <w:r w:rsidR="000A5CBC">
        <w:t>, and more recently the COVID</w:t>
      </w:r>
      <w:r w:rsidR="000A5CBC">
        <w:noBreakHyphen/>
        <w:t>19 pandemic</w:t>
      </w:r>
      <w:r w:rsidRPr="00B47F8C">
        <w:t xml:space="preserve"> – have created challenges for the sector.</w:t>
      </w:r>
      <w:bookmarkEnd w:id="51"/>
      <w:bookmarkEnd w:id="52"/>
      <w:r>
        <w:t xml:space="preserve"> </w:t>
      </w:r>
    </w:p>
    <w:p w:rsidR="00B95D19" w:rsidRDefault="00B95D19" w:rsidP="00B95D19">
      <w:r w:rsidRPr="00B47F8C">
        <w:t>In Australia, around 90 per cent of franchisors, and almost all franchisees are small businesses.</w:t>
      </w:r>
      <w:r>
        <w:rPr>
          <w:rStyle w:val="FootnoteReference"/>
        </w:rPr>
        <w:footnoteReference w:id="3"/>
      </w:r>
      <w:r w:rsidRPr="00B47F8C">
        <w:t xml:space="preserve">   Franchise systems involve a franchisor with experience in operating the brand, an understanding of the market and access to resources. Franchisees by comparison </w:t>
      </w:r>
      <w:r w:rsidR="008B19D6">
        <w:t xml:space="preserve">are likely to </w:t>
      </w:r>
      <w:r w:rsidRPr="00B47F8C">
        <w:t xml:space="preserve">be smaller operators, </w:t>
      </w:r>
      <w:r w:rsidR="008B19D6">
        <w:t>without</w:t>
      </w:r>
      <w:r w:rsidRPr="00B47F8C">
        <w:t xml:space="preserve"> the same business </w:t>
      </w:r>
      <w:r w:rsidR="008B19D6">
        <w:t>knowledge or</w:t>
      </w:r>
      <w:r w:rsidRPr="00B47F8C">
        <w:t xml:space="preserve"> experience, and are often from a culturally and linguistically diverse background. Sources suggest many franchisees enter into franchising from wage-dependent employment.</w:t>
      </w:r>
      <w:r>
        <w:rPr>
          <w:rStyle w:val="FootnoteReference"/>
        </w:rPr>
        <w:footnoteReference w:id="4"/>
      </w:r>
      <w:r w:rsidRPr="00B47F8C">
        <w:t xml:space="preserve">   </w:t>
      </w:r>
    </w:p>
    <w:p w:rsidR="00B95D19" w:rsidRDefault="0095617A" w:rsidP="00B95D19">
      <w:pPr>
        <w:pStyle w:val="Heading2"/>
        <w:numPr>
          <w:ilvl w:val="1"/>
          <w:numId w:val="1"/>
        </w:numPr>
      </w:pPr>
      <w:bookmarkStart w:id="53" w:name="_Toc47465430"/>
      <w:bookmarkStart w:id="54" w:name="_Toc47467189"/>
      <w:bookmarkStart w:id="55" w:name="_Toc47468073"/>
      <w:bookmarkStart w:id="56" w:name="_Toc47468156"/>
      <w:bookmarkStart w:id="57" w:name="_Toc47468198"/>
      <w:bookmarkStart w:id="58" w:name="_Toc47468316"/>
      <w:bookmarkStart w:id="59" w:name="_Toc47469201"/>
      <w:bookmarkStart w:id="60" w:name="_Toc47469269"/>
      <w:bookmarkStart w:id="61" w:name="_Toc47469974"/>
      <w:bookmarkStart w:id="62" w:name="_Toc47469270"/>
      <w:bookmarkStart w:id="63" w:name="_Toc47517231"/>
      <w:bookmarkStart w:id="64" w:name="_Toc47522348"/>
      <w:bookmarkStart w:id="65" w:name="_Toc47527719"/>
      <w:bookmarkStart w:id="66" w:name="_Toc47533608"/>
      <w:bookmarkStart w:id="67" w:name="_Toc47536011"/>
      <w:bookmarkStart w:id="68" w:name="_Toc47540507"/>
      <w:bookmarkStart w:id="69" w:name="_Toc47542062"/>
      <w:bookmarkStart w:id="70" w:name="_Toc48644127"/>
      <w:bookmarkEnd w:id="53"/>
      <w:bookmarkEnd w:id="54"/>
      <w:bookmarkEnd w:id="55"/>
      <w:bookmarkEnd w:id="56"/>
      <w:bookmarkEnd w:id="57"/>
      <w:bookmarkEnd w:id="58"/>
      <w:bookmarkEnd w:id="59"/>
      <w:bookmarkEnd w:id="60"/>
      <w:bookmarkEnd w:id="61"/>
      <w:r>
        <w:t>Current regulatory framework</w:t>
      </w:r>
      <w:bookmarkEnd w:id="62"/>
      <w:bookmarkEnd w:id="63"/>
      <w:bookmarkEnd w:id="64"/>
      <w:bookmarkEnd w:id="65"/>
      <w:bookmarkEnd w:id="66"/>
      <w:bookmarkEnd w:id="67"/>
      <w:bookmarkEnd w:id="68"/>
      <w:bookmarkEnd w:id="69"/>
      <w:bookmarkEnd w:id="70"/>
      <w:r w:rsidR="00B95D19">
        <w:t xml:space="preserve"> </w:t>
      </w:r>
    </w:p>
    <w:p w:rsidR="00B95D19" w:rsidRDefault="00B95D19" w:rsidP="00B95D19">
      <w:pPr>
        <w:autoSpaceDE w:val="0"/>
        <w:autoSpaceDN w:val="0"/>
      </w:pPr>
      <w:r>
        <w:t xml:space="preserve">In Australia, the relationship between franchisor and franchisee is regulated primarily by the Franchising Code. The Franchising Code is a mandatory industry code prescribed by regulation under Part IVB of the </w:t>
      </w:r>
      <w:r w:rsidRPr="00D30F9D">
        <w:rPr>
          <w:i/>
        </w:rPr>
        <w:t>Competition and Consumer Act 2010</w:t>
      </w:r>
      <w:r>
        <w:rPr>
          <w:i/>
        </w:rPr>
        <w:t xml:space="preserve"> </w:t>
      </w:r>
      <w:r>
        <w:t xml:space="preserve">(CCA). </w:t>
      </w:r>
    </w:p>
    <w:p w:rsidR="00B95D19" w:rsidRPr="00D011BB" w:rsidRDefault="00B95D19" w:rsidP="00B95D19">
      <w:r>
        <w:lastRenderedPageBreak/>
        <w:t>The mandatory Franchising Code was first introduced in 1998 to promote positive relationships in the franchising sector. Since 1998 the Franchising Code has undergone a number of policy reviews and legislative changes.</w:t>
      </w:r>
      <w:r w:rsidRPr="00A846B8">
        <w:rPr>
          <w:vertAlign w:val="superscript"/>
        </w:rPr>
        <w:footnoteReference w:id="5"/>
      </w:r>
      <w:r>
        <w:t xml:space="preserve"> The Franchising Code was most recently revised with effect from 2015. Key</w:t>
      </w:r>
      <w:r w:rsidDel="00D30F9D">
        <w:t xml:space="preserve"> </w:t>
      </w:r>
      <w:r>
        <w:t xml:space="preserve">changes include a requirement for franchisees and franchisors to act in good faith and the introduction of financial penalties for breaches of key provisions of the Franchising Code. </w:t>
      </w:r>
    </w:p>
    <w:p w:rsidR="00B95D19" w:rsidRDefault="00B95D19" w:rsidP="00B95D19">
      <w:r w:rsidRPr="005B7287">
        <w:t xml:space="preserve">In addition to the </w:t>
      </w:r>
      <w:r w:rsidRPr="00D011BB">
        <w:t xml:space="preserve">Franchising Code, participants in the sector are also subject to the general laws governing business relationships and fair trading in Australia. These laws include prohibitions on unconscionable conduct, false or misleading </w:t>
      </w:r>
      <w:r w:rsidRPr="005B7287">
        <w:t>representations, and the regulation of unfair contract terms in standard form contracts under the A</w:t>
      </w:r>
      <w:r>
        <w:t xml:space="preserve">ustralian </w:t>
      </w:r>
      <w:r w:rsidRPr="005B7287">
        <w:t>C</w:t>
      </w:r>
      <w:r>
        <w:t xml:space="preserve">onsumer </w:t>
      </w:r>
      <w:r w:rsidRPr="005B7287">
        <w:t>L</w:t>
      </w:r>
      <w:r>
        <w:t>aw</w:t>
      </w:r>
      <w:r w:rsidRPr="005B7287">
        <w:t xml:space="preserve">. </w:t>
      </w:r>
      <w:r w:rsidRPr="00336E9B">
        <w:t xml:space="preserve"> Some of the issues </w:t>
      </w:r>
      <w:r>
        <w:t xml:space="preserve">faced by the franchising sector are unique to the sector </w:t>
      </w:r>
      <w:r w:rsidR="004C5C55">
        <w:t xml:space="preserve">while others </w:t>
      </w:r>
      <w:r w:rsidRPr="00336E9B">
        <w:t>are faced by small businesses in general.</w:t>
      </w:r>
    </w:p>
    <w:p w:rsidR="00B95D19" w:rsidRPr="008B3788" w:rsidRDefault="00B95D19" w:rsidP="00B95D19">
      <w:pPr>
        <w:spacing w:after="200" w:line="276" w:lineRule="auto"/>
        <w:rPr>
          <w:rFonts w:ascii="Calibri" w:eastAsia="Calibri" w:hAnsi="Calibri" w:cs="Arial"/>
          <w:lang w:val="en-AU"/>
        </w:rPr>
      </w:pPr>
      <w:r w:rsidRPr="008B3788">
        <w:rPr>
          <w:rFonts w:ascii="Calibri" w:eastAsia="Calibri" w:hAnsi="Calibri" w:cs="Arial"/>
          <w:lang w:val="en-AU"/>
        </w:rPr>
        <w:t xml:space="preserve">Changes to broader economic policy settings and laws are relevant to the franchising sector. For example, since the </w:t>
      </w:r>
      <w:r w:rsidR="0095617A">
        <w:rPr>
          <w:rFonts w:ascii="Calibri" w:eastAsia="Calibri" w:hAnsi="Calibri" w:cs="Arial"/>
          <w:lang w:val="en-AU"/>
        </w:rPr>
        <w:t>Franchising Code was amended in</w:t>
      </w:r>
      <w:r w:rsidRPr="008B3788">
        <w:rPr>
          <w:rFonts w:ascii="Calibri" w:eastAsia="Calibri" w:hAnsi="Calibri" w:cs="Arial"/>
          <w:lang w:val="en-AU"/>
        </w:rPr>
        <w:t xml:space="preserve"> 2015:</w:t>
      </w:r>
    </w:p>
    <w:p w:rsidR="00B95D19" w:rsidRPr="008B3788" w:rsidRDefault="00B95D19" w:rsidP="0095617A">
      <w:pPr>
        <w:numPr>
          <w:ilvl w:val="0"/>
          <w:numId w:val="6"/>
        </w:numPr>
        <w:spacing w:after="200" w:line="252" w:lineRule="auto"/>
        <w:ind w:left="567" w:hanging="567"/>
        <w:contextualSpacing/>
        <w:rPr>
          <w:rFonts w:ascii="Calibri" w:eastAsia="Calibri" w:hAnsi="Calibri" w:cs="Arial"/>
          <w:lang w:val="en-AU"/>
        </w:rPr>
      </w:pPr>
      <w:r w:rsidRPr="008B3788">
        <w:rPr>
          <w:rFonts w:ascii="Calibri" w:eastAsia="Calibri" w:hAnsi="Calibri" w:cs="Arial"/>
          <w:lang w:val="en-AU"/>
        </w:rPr>
        <w:t xml:space="preserve">There have been amendments to the </w:t>
      </w:r>
      <w:r w:rsidRPr="008B3788">
        <w:rPr>
          <w:rFonts w:ascii="Calibri" w:eastAsia="Calibri" w:hAnsi="Calibri" w:cs="Arial"/>
          <w:i/>
          <w:iCs/>
          <w:lang w:val="en-AU"/>
        </w:rPr>
        <w:t xml:space="preserve">Fair Work Act 2009 </w:t>
      </w:r>
      <w:r w:rsidRPr="008B3788">
        <w:rPr>
          <w:rFonts w:ascii="Calibri" w:eastAsia="Calibri" w:hAnsi="Calibri" w:cs="Arial"/>
          <w:lang w:val="en-AU"/>
        </w:rPr>
        <w:t>(</w:t>
      </w:r>
      <w:r w:rsidRPr="008B3788">
        <w:rPr>
          <w:rFonts w:ascii="Calibri" w:eastAsia="Calibri" w:hAnsi="Calibri" w:cs="Arial"/>
          <w:b/>
          <w:bCs/>
          <w:lang w:val="en-AU"/>
        </w:rPr>
        <w:t>FWA</w:t>
      </w:r>
      <w:r w:rsidRPr="008B3788">
        <w:rPr>
          <w:rFonts w:ascii="Calibri" w:eastAsia="Calibri" w:hAnsi="Calibri" w:cs="Arial"/>
          <w:lang w:val="en-AU"/>
        </w:rPr>
        <w:t xml:space="preserve">) to extend liability to franchisors, in certain circumstances, for franchisee breaches of the FWA.  </w:t>
      </w:r>
    </w:p>
    <w:p w:rsidR="00B95D19" w:rsidRDefault="00B95D19" w:rsidP="0095617A">
      <w:pPr>
        <w:numPr>
          <w:ilvl w:val="0"/>
          <w:numId w:val="6"/>
        </w:numPr>
        <w:spacing w:after="200" w:line="252" w:lineRule="auto"/>
        <w:ind w:left="567" w:hanging="567"/>
        <w:contextualSpacing/>
        <w:rPr>
          <w:rFonts w:ascii="Calibri" w:eastAsia="Calibri" w:hAnsi="Calibri" w:cs="Arial"/>
          <w:lang w:val="en-AU"/>
        </w:rPr>
      </w:pPr>
      <w:r w:rsidRPr="008B3788">
        <w:rPr>
          <w:rFonts w:ascii="Calibri" w:eastAsia="Calibri" w:hAnsi="Calibri" w:cs="Arial"/>
          <w:lang w:val="en-AU"/>
        </w:rPr>
        <w:t>The Australian Small Business and Family Enterprise Ombudsman (</w:t>
      </w:r>
      <w:r w:rsidRPr="008B3788">
        <w:rPr>
          <w:rFonts w:ascii="Calibri" w:eastAsia="Calibri" w:hAnsi="Calibri" w:cs="Arial"/>
          <w:b/>
          <w:bCs/>
          <w:lang w:val="en-AU"/>
        </w:rPr>
        <w:t>ASBFEO</w:t>
      </w:r>
      <w:r w:rsidRPr="008B3788">
        <w:rPr>
          <w:rFonts w:ascii="Calibri" w:eastAsia="Calibri" w:hAnsi="Calibri" w:cs="Arial"/>
          <w:lang w:val="en-AU"/>
        </w:rPr>
        <w:t xml:space="preserve">) was established in 2016 to advocate for, and provide assistance to, small business including franchisees and franchisors. </w:t>
      </w:r>
    </w:p>
    <w:p w:rsidR="00B95D19" w:rsidRPr="008B3788" w:rsidRDefault="00B95D19" w:rsidP="00B95D19">
      <w:pPr>
        <w:spacing w:after="200" w:line="252" w:lineRule="auto"/>
        <w:ind w:left="780"/>
        <w:contextualSpacing/>
        <w:rPr>
          <w:rFonts w:ascii="Calibri" w:eastAsia="Calibri" w:hAnsi="Calibri" w:cs="Arial"/>
          <w:lang w:val="en-AU"/>
        </w:rPr>
      </w:pPr>
    </w:p>
    <w:p w:rsidR="00B95D19" w:rsidRPr="00D37471" w:rsidRDefault="00B95D19" w:rsidP="00B95D19">
      <w:pPr>
        <w:rPr>
          <w:lang w:val="en-AU"/>
        </w:rPr>
      </w:pPr>
      <w:r w:rsidRPr="00D37471">
        <w:rPr>
          <w:lang w:val="en-AU"/>
        </w:rPr>
        <w:t xml:space="preserve">Industry compliance with the Franchising Code is overseen by the ACCC, which has a range of enforcement options. These options include issuing infringement notices and taking court action seeking pecuniary penalties. </w:t>
      </w:r>
    </w:p>
    <w:p w:rsidR="00B95D19" w:rsidRPr="00D37471" w:rsidRDefault="00B95D19" w:rsidP="00B95D19">
      <w:pPr>
        <w:rPr>
          <w:lang w:val="en-AU"/>
        </w:rPr>
      </w:pPr>
      <w:r w:rsidRPr="00D37471">
        <w:rPr>
          <w:lang w:val="en-AU"/>
        </w:rPr>
        <w:t xml:space="preserve">The ACCC’s enforcement activity focuses on the most systemic and egregious breaches of the Franchising Code, the CCA or the ACL. Many stakeholders have identified that this can lead to a gap in enforcement for cases that may not be systemic or egregious, but are nonetheless clear breaches. Stakeholders submitted that private action in the courts to remedy breaches is expensive and time consuming for franchisees and franchisors. </w:t>
      </w:r>
    </w:p>
    <w:p w:rsidR="00B95D19" w:rsidRPr="00D129EA" w:rsidRDefault="00B95D19" w:rsidP="00B95D19">
      <w:pPr>
        <w:rPr>
          <w:lang w:val="en-AU"/>
        </w:rPr>
      </w:pPr>
      <w:r w:rsidRPr="00D37471">
        <w:rPr>
          <w:lang w:val="en-AU"/>
        </w:rPr>
        <w:t xml:space="preserve">Parties to a dispute are able to approach ASBFEO for assistance with the Franchising Code mediation process. The parties to a franchise agreement are also able to take action through the courts to resolve disputes or pursue breaches of the Franchising Code. </w:t>
      </w:r>
    </w:p>
    <w:p w:rsidR="00B95D19" w:rsidRDefault="00B95D19" w:rsidP="00B95D19">
      <w:pPr>
        <w:pStyle w:val="Heading2"/>
        <w:numPr>
          <w:ilvl w:val="1"/>
          <w:numId w:val="1"/>
        </w:numPr>
      </w:pPr>
      <w:bookmarkStart w:id="71" w:name="_Toc45795732"/>
      <w:bookmarkStart w:id="72" w:name="_Toc46841973"/>
      <w:bookmarkStart w:id="73" w:name="_Toc46843646"/>
      <w:bookmarkStart w:id="74" w:name="_Toc46846293"/>
      <w:bookmarkStart w:id="75" w:name="_Toc46911976"/>
      <w:bookmarkStart w:id="76" w:name="_Toc46991027"/>
      <w:bookmarkStart w:id="77" w:name="_Toc47009786"/>
      <w:bookmarkStart w:id="78" w:name="_Toc47469271"/>
      <w:bookmarkStart w:id="79" w:name="_Toc47517232"/>
      <w:bookmarkStart w:id="80" w:name="_Toc47522349"/>
      <w:bookmarkStart w:id="81" w:name="_Toc47527720"/>
      <w:bookmarkStart w:id="82" w:name="_Toc47533609"/>
      <w:bookmarkStart w:id="83" w:name="_Toc47536012"/>
      <w:bookmarkStart w:id="84" w:name="_Toc47540508"/>
      <w:bookmarkStart w:id="85" w:name="_Toc47542063"/>
      <w:bookmarkStart w:id="86" w:name="_Toc48644128"/>
      <w:r>
        <w:t xml:space="preserve">The Parliamentary Joint Committee on Corporations and Financial Services’ inquiry into the franchising sector, and the </w:t>
      </w:r>
      <w:r>
        <w:rPr>
          <w:i/>
        </w:rPr>
        <w:t xml:space="preserve">Fairness in </w:t>
      </w:r>
      <w:proofErr w:type="gramStart"/>
      <w:r>
        <w:rPr>
          <w:i/>
        </w:rPr>
        <w:t>Franchising</w:t>
      </w:r>
      <w:proofErr w:type="gramEnd"/>
      <w:r>
        <w:rPr>
          <w:i/>
        </w:rPr>
        <w:t xml:space="preserve"> </w:t>
      </w:r>
      <w:r w:rsidRPr="00AD4358">
        <w:t>report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0634C3" w:rsidRDefault="00B95D19" w:rsidP="003E146E">
      <w:r w:rsidRPr="00B53692">
        <w:t xml:space="preserve">On 14 March 2019, the Parliamentary Joint Committee on Corporations and Financial Services (PJC) handed down its </w:t>
      </w:r>
      <w:r w:rsidRPr="00CA6A46">
        <w:rPr>
          <w:i/>
        </w:rPr>
        <w:t xml:space="preserve">Fairness in </w:t>
      </w:r>
      <w:proofErr w:type="gramStart"/>
      <w:r w:rsidRPr="00CA6A46">
        <w:rPr>
          <w:i/>
        </w:rPr>
        <w:t>Franchising</w:t>
      </w:r>
      <w:proofErr w:type="gramEnd"/>
      <w:r w:rsidRPr="00B53692">
        <w:t xml:space="preserve"> report, making 71 recommendations to improve the operation and effectiveness of the franchising sector</w:t>
      </w:r>
      <w:r w:rsidR="000634C3">
        <w:t xml:space="preserve">. This included a recommendation that the Government form a Franchising Taskforce to consider a number of the recommendations made in the report.  </w:t>
      </w:r>
    </w:p>
    <w:p w:rsidR="000634C3" w:rsidRDefault="000634C3" w:rsidP="003E146E">
      <w:r>
        <w:t>On 21 June 2019, the Government announced it had agreed to establish the Franchising Taskforce.</w:t>
      </w:r>
      <w:r>
        <w:rPr>
          <w:rStyle w:val="FootnoteReference"/>
        </w:rPr>
        <w:footnoteReference w:id="6"/>
      </w:r>
      <w:r>
        <w:t xml:space="preserve">  The Franchising Taskforce </w:t>
      </w:r>
      <w:r w:rsidR="009F74CC">
        <w:t xml:space="preserve">was </w:t>
      </w:r>
      <w:r>
        <w:t xml:space="preserve">comprised of senior officials within the Department of the Treasury, the Department of </w:t>
      </w:r>
      <w:r w:rsidR="009F74CC">
        <w:t>Industry, Science, Energy and Resources</w:t>
      </w:r>
      <w:r>
        <w:t xml:space="preserve">, and the Department of </w:t>
      </w:r>
      <w:r w:rsidR="003E146E">
        <w:t xml:space="preserve">the </w:t>
      </w:r>
      <w:r>
        <w:t xml:space="preserve">Prime </w:t>
      </w:r>
      <w:r>
        <w:lastRenderedPageBreak/>
        <w:t xml:space="preserve">Minister and Cabinet and </w:t>
      </w:r>
      <w:r w:rsidR="004C5C55">
        <w:t xml:space="preserve">was </w:t>
      </w:r>
      <w:r>
        <w:t xml:space="preserve">tasked with providing advice to Government on the recommendations in the PJC’s </w:t>
      </w:r>
      <w:r>
        <w:rPr>
          <w:i/>
        </w:rPr>
        <w:t xml:space="preserve">Fairness in Franchising </w:t>
      </w:r>
      <w:r>
        <w:t xml:space="preserve">report.  </w:t>
      </w:r>
    </w:p>
    <w:p w:rsidR="00B95D19" w:rsidRDefault="000634C3" w:rsidP="003E146E">
      <w:r>
        <w:t>The Franchising Taskforce consult</w:t>
      </w:r>
      <w:r w:rsidR="008C5E71">
        <w:t xml:space="preserve">ed </w:t>
      </w:r>
      <w:r>
        <w:t>on the PJC’s recommendations</w:t>
      </w:r>
      <w:r w:rsidR="008C5E71">
        <w:t>, and principles underpinning franchising regulation</w:t>
      </w:r>
      <w:r>
        <w:t xml:space="preserve"> and </w:t>
      </w:r>
      <w:r w:rsidR="008C5E71">
        <w:t>that consultation is reflected in this</w:t>
      </w:r>
      <w:r>
        <w:t xml:space="preserve"> RIS.  </w:t>
      </w:r>
    </w:p>
    <w:p w:rsidR="00B95D19" w:rsidRDefault="00B95D19" w:rsidP="00B95D19">
      <w:pPr>
        <w:rPr>
          <w:sz w:val="32"/>
          <w:szCs w:val="32"/>
        </w:rPr>
      </w:pPr>
    </w:p>
    <w:p w:rsidR="00B95D19" w:rsidRDefault="00B95D19" w:rsidP="00B95D19">
      <w:pPr>
        <w:rPr>
          <w:sz w:val="32"/>
          <w:szCs w:val="32"/>
        </w:rPr>
      </w:pPr>
    </w:p>
    <w:p w:rsidR="00B95D19" w:rsidRDefault="00B95D19" w:rsidP="00B95D19">
      <w:pPr>
        <w:rPr>
          <w:sz w:val="32"/>
          <w:szCs w:val="32"/>
        </w:rPr>
      </w:pPr>
    </w:p>
    <w:p w:rsidR="00812619" w:rsidRDefault="00812619">
      <w:pPr>
        <w:rPr>
          <w:sz w:val="32"/>
          <w:szCs w:val="32"/>
        </w:rPr>
      </w:pPr>
      <w:r>
        <w:rPr>
          <w:sz w:val="32"/>
          <w:szCs w:val="32"/>
        </w:rPr>
        <w:br w:type="page"/>
      </w:r>
    </w:p>
    <w:p w:rsidR="00B95D19" w:rsidRDefault="00B95D19" w:rsidP="00B95D19">
      <w:pPr>
        <w:pStyle w:val="Heading1"/>
        <w:numPr>
          <w:ilvl w:val="0"/>
          <w:numId w:val="1"/>
        </w:numPr>
      </w:pPr>
      <w:bookmarkStart w:id="87" w:name="_Toc47467192"/>
      <w:bookmarkStart w:id="88" w:name="_Toc47468076"/>
      <w:bookmarkStart w:id="89" w:name="_Toc47468159"/>
      <w:bookmarkStart w:id="90" w:name="_Toc47468201"/>
      <w:bookmarkStart w:id="91" w:name="_Toc47468319"/>
      <w:bookmarkStart w:id="92" w:name="_Toc47469204"/>
      <w:bookmarkStart w:id="93" w:name="_Toc47469272"/>
      <w:bookmarkStart w:id="94" w:name="_Toc47469977"/>
      <w:bookmarkStart w:id="95" w:name="_Toc47467193"/>
      <w:bookmarkStart w:id="96" w:name="_Toc47468077"/>
      <w:bookmarkStart w:id="97" w:name="_Toc47468160"/>
      <w:bookmarkStart w:id="98" w:name="_Toc47468202"/>
      <w:bookmarkStart w:id="99" w:name="_Toc47468320"/>
      <w:bookmarkStart w:id="100" w:name="_Toc47469205"/>
      <w:bookmarkStart w:id="101" w:name="_Toc47469273"/>
      <w:bookmarkStart w:id="102" w:name="_Toc47469978"/>
      <w:bookmarkStart w:id="103" w:name="_Toc47467194"/>
      <w:bookmarkStart w:id="104" w:name="_Toc47468078"/>
      <w:bookmarkStart w:id="105" w:name="_Toc47468161"/>
      <w:bookmarkStart w:id="106" w:name="_Toc47468203"/>
      <w:bookmarkStart w:id="107" w:name="_Toc47468321"/>
      <w:bookmarkStart w:id="108" w:name="_Toc47469206"/>
      <w:bookmarkStart w:id="109" w:name="_Toc47469274"/>
      <w:bookmarkStart w:id="110" w:name="_Toc47469979"/>
      <w:bookmarkStart w:id="111" w:name="_Toc47469275"/>
      <w:bookmarkStart w:id="112" w:name="_Toc47517233"/>
      <w:bookmarkStart w:id="113" w:name="_Toc47522350"/>
      <w:bookmarkStart w:id="114" w:name="_Toc47527721"/>
      <w:bookmarkStart w:id="115" w:name="_Toc47533610"/>
      <w:bookmarkStart w:id="116" w:name="_Toc47536013"/>
      <w:bookmarkStart w:id="117" w:name="_Toc47540509"/>
      <w:bookmarkStart w:id="118" w:name="_Toc47542064"/>
      <w:bookmarkStart w:id="119" w:name="_Toc48644129"/>
      <w:bookmarkStart w:id="120" w:name="_Toc46841985"/>
      <w:bookmarkStart w:id="121" w:name="_Toc46843658"/>
      <w:bookmarkStart w:id="122" w:name="_Toc46846304"/>
      <w:bookmarkStart w:id="123" w:name="_Toc46911987"/>
      <w:bookmarkStart w:id="124" w:name="_Toc46991038"/>
      <w:bookmarkStart w:id="125" w:name="_Toc4700979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lastRenderedPageBreak/>
        <w:t>What is the problem?</w:t>
      </w:r>
      <w:bookmarkEnd w:id="111"/>
      <w:bookmarkEnd w:id="112"/>
      <w:bookmarkEnd w:id="113"/>
      <w:bookmarkEnd w:id="114"/>
      <w:bookmarkEnd w:id="115"/>
      <w:bookmarkEnd w:id="116"/>
      <w:bookmarkEnd w:id="117"/>
      <w:bookmarkEnd w:id="118"/>
      <w:bookmarkEnd w:id="119"/>
      <w:r>
        <w:t xml:space="preserve"> </w:t>
      </w:r>
    </w:p>
    <w:p w:rsidR="00B95D19" w:rsidRDefault="00B95D19" w:rsidP="00B95D19">
      <w:r>
        <w:t xml:space="preserve">There are widespread problems in the franchising sector. These have been documented in the PJC’s comprehensive </w:t>
      </w:r>
      <w:r>
        <w:rPr>
          <w:i/>
        </w:rPr>
        <w:t xml:space="preserve">Fairness in Franchising </w:t>
      </w:r>
      <w:r>
        <w:t xml:space="preserve">report, which was informed by a 12-month inquiry and over 400 submissions. Consultation undertaken by the Franchising Taskforce built on the work of the PJC. </w:t>
      </w:r>
    </w:p>
    <w:p w:rsidR="00B95D19" w:rsidRDefault="00B95D19" w:rsidP="00B95D19">
      <w:r>
        <w:t xml:space="preserve">The ACCC oversees enforcement </w:t>
      </w:r>
      <w:r w:rsidR="00D761A3">
        <w:t xml:space="preserve">of </w:t>
      </w:r>
      <w:r>
        <w:t>the Franchising Code and the Australian Consumer Law</w:t>
      </w:r>
      <w:r w:rsidR="004C5C55">
        <w:t>,</w:t>
      </w:r>
      <w:r>
        <w:t xml:space="preserve"> and confirms that there are widespread problems in the sector, warranting robust regulatory reform. ASBFEO has a role in helping franchising parties in dispute and also supports regulatory reform. </w:t>
      </w:r>
    </w:p>
    <w:p w:rsidR="009A6C75" w:rsidRDefault="000A0617" w:rsidP="00B95D19">
      <w:r w:rsidRPr="00EC1C1C">
        <w:t xml:space="preserve">The social impacts of problems in this sector include </w:t>
      </w:r>
      <w:r w:rsidR="006013F9" w:rsidRPr="004808F9">
        <w:t>significant</w:t>
      </w:r>
      <w:r w:rsidR="006013F9" w:rsidRPr="00EC1C1C">
        <w:t xml:space="preserve"> mental health impacts and relationship breakdowns</w:t>
      </w:r>
      <w:r w:rsidRPr="00EC1C1C">
        <w:t xml:space="preserve">. The economic impacts include </w:t>
      </w:r>
      <w:r w:rsidR="006013F9" w:rsidRPr="004808F9">
        <w:t>significant</w:t>
      </w:r>
      <w:r w:rsidR="00EC1C1C">
        <w:t xml:space="preserve"> direct</w:t>
      </w:r>
      <w:r w:rsidR="006013F9" w:rsidRPr="00EC1C1C">
        <w:t xml:space="preserve"> financial losses incurred by franchisees</w:t>
      </w:r>
      <w:r w:rsidR="004A307B">
        <w:rPr>
          <w:rStyle w:val="FootnoteReference"/>
        </w:rPr>
        <w:footnoteReference w:id="7"/>
      </w:r>
      <w:r w:rsidR="006013F9" w:rsidRPr="00EC1C1C">
        <w:t xml:space="preserve">, and </w:t>
      </w:r>
      <w:r w:rsidR="009A6C75">
        <w:t>s</w:t>
      </w:r>
      <w:r w:rsidR="006013F9" w:rsidRPr="00EC1C1C">
        <w:t>econdary i</w:t>
      </w:r>
      <w:r w:rsidR="00EC1C1C" w:rsidRPr="00EC1C1C">
        <w:t>mpacts in relation to employee entitlements</w:t>
      </w:r>
      <w:r w:rsidR="00EC1C1C">
        <w:t xml:space="preserve"> and</w:t>
      </w:r>
      <w:r w:rsidR="00EC1C1C" w:rsidRPr="00EC1C1C">
        <w:t xml:space="preserve"> competition</w:t>
      </w:r>
      <w:r w:rsidRPr="00EC1C1C">
        <w:t>.</w:t>
      </w:r>
    </w:p>
    <w:p w:rsidR="00336739" w:rsidRDefault="00336739" w:rsidP="00B95D19">
      <w:r>
        <w:t>Underlying these problems are franchisees entering into franchise agreements without adequate information, evidence of poor franchisor conduct, and insufficient enforcement and dispute resolution mechanisms. These issues are discussed below.</w:t>
      </w:r>
    </w:p>
    <w:p w:rsidR="00B95D19" w:rsidRDefault="00B95D19" w:rsidP="00B95D19">
      <w:pPr>
        <w:pStyle w:val="Heading4"/>
        <w:spacing w:line="240" w:lineRule="auto"/>
      </w:pPr>
      <w:r w:rsidRPr="00BB2F13">
        <w:t xml:space="preserve">Prospective franchisees are not always well informed before </w:t>
      </w:r>
      <w:r>
        <w:t>buying</w:t>
      </w:r>
      <w:r w:rsidRPr="00BB2F13">
        <w:t xml:space="preserve"> a franchise</w:t>
      </w:r>
    </w:p>
    <w:p w:rsidR="00B95D19" w:rsidRDefault="00B95D19" w:rsidP="00B95D19">
      <w:r>
        <w:t xml:space="preserve">Evidence shows many franchisees are not well informed before making the decision to buy a franchise. Disclosure documents are difficult to comprehend, and do not contain all critical information relevant to entering into a franchise agreement. The reliability of information provided may also be difficult for a potential franchisee to assess and they might be unaware what is crucial for their decision making. </w:t>
      </w:r>
      <w:r w:rsidRPr="003F58B0">
        <w:t>Reliable information, particularly financial information (capital expenditure, supplier rebates, financial performance and leasing), assists prospective franchisees to conduct due diligence and compare different franchise offerings.</w:t>
      </w:r>
      <w:r w:rsidRPr="003F58B0">
        <w:rPr>
          <w:rStyle w:val="FootnoteReference"/>
        </w:rPr>
        <w:t xml:space="preserve"> </w:t>
      </w:r>
      <w:r w:rsidRPr="003F58B0">
        <w:rPr>
          <w:rStyle w:val="FootnoteReference"/>
        </w:rPr>
        <w:footnoteReference w:id="8"/>
      </w:r>
      <w:r w:rsidRPr="003F58B0">
        <w:t xml:space="preserve">  </w:t>
      </w:r>
      <w:r w:rsidR="00505AED" w:rsidRPr="003F58B0">
        <w:t xml:space="preserve">A lack of transparency in the use of marketing funds has also been highlighted as </w:t>
      </w:r>
      <w:r w:rsidR="00D761A3">
        <w:t xml:space="preserve">a </w:t>
      </w:r>
      <w:r w:rsidR="00505AED" w:rsidRPr="003F58B0">
        <w:t xml:space="preserve">problem, which </w:t>
      </w:r>
      <w:r w:rsidR="00D761A3">
        <w:t xml:space="preserve">has been shown to </w:t>
      </w:r>
      <w:r w:rsidR="00505AED" w:rsidRPr="003F58B0">
        <w:t xml:space="preserve">lead to reduced trust and disputes.  </w:t>
      </w:r>
    </w:p>
    <w:p w:rsidR="00B95D19" w:rsidRDefault="00B95D19" w:rsidP="00B95D19">
      <w:r w:rsidRPr="003F58B0">
        <w:t>Franchisees can also</w:t>
      </w:r>
      <w:r w:rsidRPr="003F58B0" w:rsidDel="006013F9">
        <w:t xml:space="preserve"> </w:t>
      </w:r>
      <w:r w:rsidR="006013F9">
        <w:t xml:space="preserve">be </w:t>
      </w:r>
      <w:r w:rsidR="00B30B7A">
        <w:t>a</w:t>
      </w:r>
      <w:r w:rsidR="006013F9">
        <w:t>ffected by</w:t>
      </w:r>
      <w:r w:rsidR="006013F9" w:rsidRPr="003F58B0">
        <w:t xml:space="preserve"> </w:t>
      </w:r>
      <w:r w:rsidRPr="003F58B0">
        <w:t xml:space="preserve">‘optimism </w:t>
      </w:r>
      <w:proofErr w:type="gramStart"/>
      <w:r w:rsidRPr="003F58B0">
        <w:t>bias’</w:t>
      </w:r>
      <w:proofErr w:type="gramEnd"/>
      <w:r w:rsidRPr="003F58B0">
        <w:t>, where they are reluctant to face</w:t>
      </w:r>
      <w:r w:rsidRPr="00584F73">
        <w:t xml:space="preserve"> the downside of an investment to which they have become emotionally attached. For poorly informed or overly optimistic franchisees, the cooling off period available to exit the franchise agreement is important.  The current seven</w:t>
      </w:r>
      <w:r w:rsidRPr="00584F73">
        <w:noBreakHyphen/>
        <w:t>day cooling off period is insufficient, and in some cases (for example transfer</w:t>
      </w:r>
      <w:r w:rsidR="00D761A3">
        <w:t>s</w:t>
      </w:r>
      <w:r w:rsidRPr="00584F73">
        <w:t>, extensions and renewals) franchisees receive no cooling off period at all.</w:t>
      </w:r>
      <w:r w:rsidRPr="00BE0B66">
        <w:t xml:space="preserve"> </w:t>
      </w:r>
    </w:p>
    <w:p w:rsidR="00B95D19" w:rsidRDefault="00B95D19" w:rsidP="00B95D19">
      <w:r>
        <w:t>Issues relating to inadequate disclosure, transparency and reliability of information are further compounded when franchisees do not seek professional advice. The ACCC found that 40 per cent of prospective franchisees did not seek any independent professional advice before entering a franchise agreement.</w:t>
      </w:r>
      <w:r>
        <w:rPr>
          <w:rStyle w:val="FootnoteReference"/>
        </w:rPr>
        <w:footnoteReference w:id="9"/>
      </w:r>
      <w:r w:rsidR="00505AED" w:rsidRPr="00505AED">
        <w:t xml:space="preserve"> </w:t>
      </w:r>
      <w:r w:rsidR="00505AED">
        <w:t>Concerns have also been raised about the adequacy o</w:t>
      </w:r>
      <w:r w:rsidR="00505AED" w:rsidRPr="006C39E6">
        <w:t xml:space="preserve">f </w:t>
      </w:r>
      <w:r w:rsidR="00505AED" w:rsidRPr="003F58B0">
        <w:t xml:space="preserve">educational material to inform and assist prospective franchisees. </w:t>
      </w:r>
    </w:p>
    <w:p w:rsidR="00B95D19" w:rsidRDefault="00B95D19" w:rsidP="00B95D19">
      <w:pPr>
        <w:pStyle w:val="Heading4"/>
        <w:spacing w:line="240" w:lineRule="auto"/>
      </w:pPr>
      <w:r>
        <w:t xml:space="preserve">Some franchisors behave poorly </w:t>
      </w:r>
    </w:p>
    <w:p w:rsidR="00B95D19" w:rsidRDefault="00B95D19" w:rsidP="00B95D19">
      <w:r>
        <w:t xml:space="preserve">The franchising sector is very diverse. Across the </w:t>
      </w:r>
      <w:r w:rsidR="00057CD3">
        <w:t xml:space="preserve">estimated </w:t>
      </w:r>
      <w:r w:rsidR="00057CD3" w:rsidRPr="00B47F8C">
        <w:t>1,</w:t>
      </w:r>
      <w:r w:rsidR="00057CD3" w:rsidRPr="0002016D">
        <w:t>240</w:t>
      </w:r>
      <w:r w:rsidR="00057CD3">
        <w:rPr>
          <w:rFonts w:ascii="Arial" w:hAnsi="Arial" w:cs="Arial"/>
        </w:rPr>
        <w:t xml:space="preserve"> </w:t>
      </w:r>
      <w:r>
        <w:t xml:space="preserve">franchise systems operating in Australia, the ACCC receives </w:t>
      </w:r>
      <w:r w:rsidR="00C57798">
        <w:t xml:space="preserve">more than </w:t>
      </w:r>
      <w:r>
        <w:t>4</w:t>
      </w:r>
      <w:r w:rsidR="00C57798">
        <w:t>5</w:t>
      </w:r>
      <w:r>
        <w:t>0 reports a year.</w:t>
      </w:r>
      <w:r>
        <w:rPr>
          <w:rStyle w:val="FootnoteReference"/>
        </w:rPr>
        <w:footnoteReference w:id="10"/>
      </w:r>
      <w:r>
        <w:t xml:space="preserve"> Particular concerns have been raised in </w:t>
      </w:r>
      <w:r>
        <w:lastRenderedPageBreak/>
        <w:t>relation to retail food franchising, with evidence of systemic poor disclosure practices.</w:t>
      </w:r>
      <w:r>
        <w:rPr>
          <w:rStyle w:val="FootnoteReference"/>
        </w:rPr>
        <w:footnoteReference w:id="11"/>
      </w:r>
      <w:r>
        <w:t xml:space="preserve"> However problems are widespread, with the ACCC taking action against franchisors in a range of other sectors alleging beaches of the Franchising Code and the Australian Consumer Law.</w:t>
      </w:r>
      <w:r>
        <w:rPr>
          <w:rStyle w:val="FootnoteReference"/>
        </w:rPr>
        <w:footnoteReference w:id="12"/>
      </w:r>
      <w:r>
        <w:t xml:space="preserve"> This confirms evidence provided to the PJC and the Franchising Taskforce highlighting instances of egregious conduct by franchisors. It also confirms the outcomes of reviews into automotive franchising which highlighted problematic conduct by automotive franchisors in relation to dispute resolution, capital expenditure and </w:t>
      </w:r>
      <w:r w:rsidR="008A2E9E">
        <w:t>end of term arrangements</w:t>
      </w:r>
      <w:r>
        <w:t>.</w:t>
      </w:r>
      <w:r>
        <w:rPr>
          <w:rStyle w:val="FootnoteReference"/>
        </w:rPr>
        <w:footnoteReference w:id="13"/>
      </w:r>
    </w:p>
    <w:p w:rsidR="00B95D19" w:rsidRDefault="00B95D19" w:rsidP="00B95D19">
      <w:pPr>
        <w:pStyle w:val="Heading4"/>
        <w:spacing w:line="240" w:lineRule="auto"/>
        <w:rPr>
          <w:i w:val="0"/>
        </w:rPr>
      </w:pPr>
      <w:r>
        <w:t>C</w:t>
      </w:r>
      <w:r w:rsidRPr="000574E5">
        <w:t>urrent regulat</w:t>
      </w:r>
      <w:r>
        <w:t xml:space="preserve">ion and penalties </w:t>
      </w:r>
      <w:r w:rsidRPr="000574E5">
        <w:t>ha</w:t>
      </w:r>
      <w:r>
        <w:t>ve</w:t>
      </w:r>
      <w:r w:rsidRPr="000574E5">
        <w:t xml:space="preserve"> not deterred</w:t>
      </w:r>
      <w:r>
        <w:t xml:space="preserve"> poor conduct</w:t>
      </w:r>
    </w:p>
    <w:p w:rsidR="00B95D19" w:rsidRDefault="00B95D19" w:rsidP="00B95D19">
      <w:pPr>
        <w:spacing w:line="240" w:lineRule="auto"/>
      </w:pPr>
      <w:r>
        <w:t>The current penalties for breaches of the Franchising Code ha</w:t>
      </w:r>
      <w:r w:rsidR="00473013">
        <w:t>ve</w:t>
      </w:r>
      <w:r>
        <w:t xml:space="preserve"> not prevented poor conduct from franchisors. This is despite the ACCC making small business, and compliance with the Franchising Code of Conduct, a Compliance and Enforcement Policy and Priority in recent years.</w:t>
      </w:r>
      <w:r>
        <w:rPr>
          <w:rStyle w:val="FootnoteReference"/>
        </w:rPr>
        <w:footnoteReference w:id="14"/>
      </w:r>
      <w:r>
        <w:t xml:space="preserve"> </w:t>
      </w:r>
    </w:p>
    <w:p w:rsidR="00B95D19" w:rsidRDefault="00B95D19" w:rsidP="00B95D19">
      <w:pPr>
        <w:spacing w:line="240" w:lineRule="auto"/>
      </w:pPr>
      <w:r>
        <w:t>Evidence has been submitted that the scope and quantum of current penalties is insufficient to encourage compliance and some franchisors may factor the cost of penalties into their cost of doing business.</w:t>
      </w:r>
      <w:r>
        <w:rPr>
          <w:rStyle w:val="FootnoteReference"/>
        </w:rPr>
        <w:footnoteReference w:id="15"/>
      </w:r>
      <w:r>
        <w:t xml:space="preserve"> There have also been allegations of franchisors not mediating in good faith, which would be considered a breach of the Franchising Code. This evidence </w:t>
      </w:r>
      <w:r w:rsidR="00074FFD">
        <w:t>around non</w:t>
      </w:r>
      <w:r w:rsidR="00074FFD">
        <w:noBreakHyphen/>
        <w:t xml:space="preserve">compliance </w:t>
      </w:r>
      <w:r>
        <w:t>supports the ACCC’s findings of systemic poor disclosure practices in food franchising.</w:t>
      </w:r>
      <w:r>
        <w:rPr>
          <w:rStyle w:val="FootnoteReference"/>
        </w:rPr>
        <w:footnoteReference w:id="16"/>
      </w:r>
    </w:p>
    <w:p w:rsidR="00B95D19" w:rsidRDefault="00B95D19" w:rsidP="00B95D19">
      <w:pPr>
        <w:spacing w:line="240" w:lineRule="auto"/>
      </w:pPr>
      <w:r>
        <w:t xml:space="preserve">Non-compliance undermines the intent of industry codes to raise standards of business conduct by guarding against misconduct and opportunistic </w:t>
      </w:r>
      <w:proofErr w:type="spellStart"/>
      <w:r>
        <w:t>behaviour</w:t>
      </w:r>
      <w:proofErr w:type="spellEnd"/>
      <w:r>
        <w:t xml:space="preserve">. In order for broader improvements in disclosure and the Franchising Code to be effective, there needs to be a culture of compliance across the sector. </w:t>
      </w:r>
    </w:p>
    <w:p w:rsidR="00B95D19" w:rsidRPr="000574E5" w:rsidRDefault="00B95D19" w:rsidP="00B95D19">
      <w:pPr>
        <w:pStyle w:val="Heading4"/>
        <w:spacing w:line="240" w:lineRule="auto"/>
      </w:pPr>
      <w:r>
        <w:t>E</w:t>
      </w:r>
      <w:r w:rsidRPr="000574E5">
        <w:t xml:space="preserve">xit and </w:t>
      </w:r>
      <w:r w:rsidRPr="00811290">
        <w:t>dispute r</w:t>
      </w:r>
      <w:r>
        <w:t>esolution processes for franchisees are insufficient</w:t>
      </w:r>
    </w:p>
    <w:p w:rsidR="00B95D19" w:rsidRPr="005F0153" w:rsidRDefault="00B95D19" w:rsidP="00B95D19">
      <w:pPr>
        <w:spacing w:line="240" w:lineRule="auto"/>
      </w:pPr>
      <w:r>
        <w:t>Small business franchisees, unlike independent small businesses, are entirely dependent on a functional relationship with their franchisor to continue in business. A</w:t>
      </w:r>
      <w:r w:rsidRPr="005F0153">
        <w:t>ccessible, affordable and effective dispute resolution</w:t>
      </w:r>
      <w:r>
        <w:t xml:space="preserve"> processes are important to resolve </w:t>
      </w:r>
      <w:r w:rsidRPr="005F0153">
        <w:t>disagreements between franchisors and franchisees</w:t>
      </w:r>
      <w:r>
        <w:t>.</w:t>
      </w:r>
    </w:p>
    <w:p w:rsidR="00B95D19" w:rsidRDefault="00B95D19" w:rsidP="00B95D19">
      <w:pPr>
        <w:spacing w:line="240" w:lineRule="auto"/>
      </w:pPr>
      <w:r>
        <w:t xml:space="preserve">Many franchisees are not aware of available </w:t>
      </w:r>
      <w:r w:rsidRPr="0026215E">
        <w:t>dispute resolution processes</w:t>
      </w:r>
      <w:r>
        <w:t xml:space="preserve"> and</w:t>
      </w:r>
      <w:r w:rsidRPr="008505A9">
        <w:t xml:space="preserve"> </w:t>
      </w:r>
      <w:r>
        <w:t>the PJC noted that</w:t>
      </w:r>
      <w:r w:rsidRPr="005F0153">
        <w:t xml:space="preserve"> </w:t>
      </w:r>
      <w:r>
        <w:t xml:space="preserve">the Franchising Code does not provide </w:t>
      </w:r>
      <w:r w:rsidR="00473013">
        <w:t xml:space="preserve">for </w:t>
      </w:r>
      <w:r w:rsidRPr="00D75654">
        <w:t xml:space="preserve">conciliation or arbitration </w:t>
      </w:r>
      <w:r>
        <w:t xml:space="preserve">to facilitate </w:t>
      </w:r>
      <w:r w:rsidRPr="00D75654">
        <w:t>dispute resolution outside of court in cases where mediation fails</w:t>
      </w:r>
      <w:r>
        <w:t xml:space="preserve">. </w:t>
      </w:r>
    </w:p>
    <w:p w:rsidR="00B95D19" w:rsidRDefault="00B95D19" w:rsidP="00B95D19">
      <w:pPr>
        <w:spacing w:line="240" w:lineRule="auto"/>
      </w:pPr>
      <w:r>
        <w:lastRenderedPageBreak/>
        <w:t xml:space="preserve">It is also </w:t>
      </w:r>
      <w:r w:rsidRPr="0026215E">
        <w:t xml:space="preserve">unclear whether existing provisions in the Franchising Code </w:t>
      </w:r>
      <w:r>
        <w:t>enable</w:t>
      </w:r>
      <w:r w:rsidRPr="0026215E">
        <w:t xml:space="preserve"> multi-party mediations</w:t>
      </w:r>
      <w:r>
        <w:t>, particularly where the franchisor seeks to avoid multi</w:t>
      </w:r>
      <w:r>
        <w:noBreakHyphen/>
        <w:t xml:space="preserve">franchisee mediation. </w:t>
      </w:r>
    </w:p>
    <w:p w:rsidR="00B95D19" w:rsidRDefault="00B95D19" w:rsidP="00B95D19">
      <w:pPr>
        <w:spacing w:line="240" w:lineRule="auto"/>
      </w:pPr>
      <w:r>
        <w:t>Franchisees wishing to exit the system due to hardship or faced with poor conduct from the franchisor are not well supported by the current Franchising Code which only supports a process for franchisor</w:t>
      </w:r>
      <w:r>
        <w:noBreakHyphen/>
        <w:t xml:space="preserve">initiated exits. The treatment of goodwill at the point of exiting a franchise agreement and the restraint of trade clauses prohibiting franchisees pursuing legitimate business ventures after exiting a franchise have also been identified as concerns for franchisees.  </w:t>
      </w:r>
    </w:p>
    <w:p w:rsidR="00546BA8" w:rsidRDefault="00546BA8" w:rsidP="00A75BE5">
      <w:pPr>
        <w:pStyle w:val="Heading4"/>
      </w:pPr>
      <w:r>
        <w:t>Limitations to franchising data</w:t>
      </w:r>
    </w:p>
    <w:p w:rsidR="004A307B" w:rsidRPr="00766F51" w:rsidRDefault="004E1881" w:rsidP="00A75BE5">
      <w:pPr>
        <w:spacing w:line="240" w:lineRule="auto"/>
      </w:pPr>
      <w:r>
        <w:t>T</w:t>
      </w:r>
      <w:r w:rsidR="00546BA8" w:rsidRPr="00546BA8">
        <w:t xml:space="preserve">he availability </w:t>
      </w:r>
      <w:r w:rsidR="004A307B" w:rsidRPr="00766F51">
        <w:t xml:space="preserve">of statistics on the franchising sector is </w:t>
      </w:r>
      <w:r w:rsidR="00546BA8" w:rsidRPr="00546BA8">
        <w:t xml:space="preserve">limited. </w:t>
      </w:r>
      <w:r w:rsidR="008A473F">
        <w:t>For example,</w:t>
      </w:r>
      <w:r w:rsidR="004A307B" w:rsidRPr="004A307B">
        <w:t xml:space="preserve"> </w:t>
      </w:r>
      <w:r>
        <w:t xml:space="preserve">aggregate </w:t>
      </w:r>
      <w:r w:rsidR="004A307B" w:rsidRPr="00766F51">
        <w:t xml:space="preserve">data on the </w:t>
      </w:r>
      <w:r w:rsidR="004A307B" w:rsidRPr="004A307B">
        <w:t xml:space="preserve">financial losses incurred by franchisees </w:t>
      </w:r>
      <w:r w:rsidR="004A307B" w:rsidRPr="00766F51">
        <w:t xml:space="preserve">and </w:t>
      </w:r>
      <w:r w:rsidR="001B7605">
        <w:t xml:space="preserve">complaints </w:t>
      </w:r>
      <w:r>
        <w:t xml:space="preserve">data </w:t>
      </w:r>
      <w:r w:rsidR="001B7605">
        <w:t xml:space="preserve">by industry </w:t>
      </w:r>
      <w:r>
        <w:t xml:space="preserve">within the franchising </w:t>
      </w:r>
      <w:r w:rsidR="001B7605">
        <w:t>sector</w:t>
      </w:r>
      <w:r w:rsidR="007D5442">
        <w:t xml:space="preserve"> </w:t>
      </w:r>
      <w:r w:rsidR="005913C0">
        <w:t>are</w:t>
      </w:r>
      <w:r w:rsidR="008A473F">
        <w:t xml:space="preserve"> not available</w:t>
      </w:r>
      <w:r w:rsidR="004A307B" w:rsidRPr="004A307B">
        <w:t>.</w:t>
      </w:r>
      <w:r>
        <w:t xml:space="preserve"> </w:t>
      </w:r>
      <w:r w:rsidR="001B7605">
        <w:t xml:space="preserve">However, consistent evidence in submissions to the PJC and the Franchising Taskforce, and </w:t>
      </w:r>
      <w:r w:rsidR="00546BA8" w:rsidRPr="00546BA8">
        <w:t xml:space="preserve">the problems illustrated in the </w:t>
      </w:r>
      <w:r w:rsidR="00546BA8" w:rsidRPr="00A75BE5">
        <w:rPr>
          <w:i/>
        </w:rPr>
        <w:t>Fairness in Franchising</w:t>
      </w:r>
      <w:r w:rsidR="00546BA8" w:rsidRPr="00546BA8">
        <w:t xml:space="preserve"> report,</w:t>
      </w:r>
      <w:r w:rsidR="001B7605">
        <w:t xml:space="preserve"> provide insight into the level of financial loss and </w:t>
      </w:r>
      <w:r w:rsidR="005321C3">
        <w:t>the spread of iss</w:t>
      </w:r>
      <w:r w:rsidR="002434D9">
        <w:t>ues in</w:t>
      </w:r>
      <w:r w:rsidR="005321C3">
        <w:t xml:space="preserve"> the sector.</w:t>
      </w:r>
    </w:p>
    <w:p w:rsidR="00546BA8" w:rsidRPr="00766F51" w:rsidRDefault="00546BA8" w:rsidP="00A75BE5">
      <w:pPr>
        <w:spacing w:line="240" w:lineRule="auto"/>
      </w:pPr>
      <w:r w:rsidRPr="00546BA8">
        <w:t>For example,</w:t>
      </w:r>
      <w:r w:rsidR="005321C3">
        <w:t xml:space="preserve"> </w:t>
      </w:r>
      <w:r w:rsidRPr="00546BA8">
        <w:t>the PJC heard from a franchisee whose family lost in excess of $800,000 due to their involvement with the</w:t>
      </w:r>
      <w:r w:rsidR="005321C3">
        <w:t>ir</w:t>
      </w:r>
      <w:r w:rsidRPr="00546BA8">
        <w:t xml:space="preserve"> franchisor. The Franchising </w:t>
      </w:r>
      <w:r w:rsidR="005321C3">
        <w:t xml:space="preserve">Taskforce heard similar stories, including </w:t>
      </w:r>
      <w:r w:rsidRPr="00546BA8">
        <w:t xml:space="preserve">from </w:t>
      </w:r>
      <w:r w:rsidR="001B7605">
        <w:t>a former franchisee</w:t>
      </w:r>
      <w:r w:rsidR="005321C3">
        <w:t xml:space="preserve"> </w:t>
      </w:r>
      <w:r w:rsidRPr="00546BA8">
        <w:t xml:space="preserve">who stated that her and her husband 'lost everything [they] ever worked for’ due to their franchisor and </w:t>
      </w:r>
      <w:r w:rsidR="004E1881">
        <w:t>were left</w:t>
      </w:r>
      <w:r w:rsidRPr="00546BA8">
        <w:t xml:space="preserve"> with a $500,000 </w:t>
      </w:r>
      <w:r w:rsidR="004E1881" w:rsidRPr="00546BA8">
        <w:t>debt</w:t>
      </w:r>
      <w:r w:rsidRPr="00546BA8">
        <w:t xml:space="preserve">. </w:t>
      </w:r>
    </w:p>
    <w:p w:rsidR="00546BA8" w:rsidRDefault="004E1881" w:rsidP="00546BA8">
      <w:pPr>
        <w:spacing w:line="240" w:lineRule="auto"/>
      </w:pPr>
      <w:r>
        <w:t>A</w:t>
      </w:r>
      <w:r w:rsidR="001B7605">
        <w:t>lthough the ACCC do</w:t>
      </w:r>
      <w:r w:rsidR="00507A22">
        <w:t>es</w:t>
      </w:r>
      <w:r w:rsidR="001B7605">
        <w:t xml:space="preserve"> not report on the industry breakdowns of franchising complaints, problems in the franchising sector appear to be widespread. </w:t>
      </w:r>
      <w:r w:rsidR="00202D34">
        <w:t xml:space="preserve">Submissions to the PJC and Franchising Taskforce indicate evidence of poor </w:t>
      </w:r>
      <w:proofErr w:type="spellStart"/>
      <w:r w:rsidR="00202D34">
        <w:t>behavio</w:t>
      </w:r>
      <w:r w:rsidR="006D6ACF">
        <w:t>u</w:t>
      </w:r>
      <w:r w:rsidR="00202D34">
        <w:t>r</w:t>
      </w:r>
      <w:proofErr w:type="spellEnd"/>
      <w:r w:rsidR="00202D34">
        <w:t xml:space="preserve"> from a variety of sectors including </w:t>
      </w:r>
      <w:r w:rsidR="009A5C94">
        <w:t xml:space="preserve">food and </w:t>
      </w:r>
      <w:r w:rsidR="00546BA8" w:rsidRPr="00546BA8">
        <w:t>non-food retailing, transportation, automotive and fuel retailing</w:t>
      </w:r>
      <w:r w:rsidR="00202D34">
        <w:t>.</w:t>
      </w:r>
    </w:p>
    <w:p w:rsidR="00B95D19" w:rsidRDefault="00B95D19" w:rsidP="00B95D19">
      <w:pPr>
        <w:pStyle w:val="Heading1"/>
        <w:numPr>
          <w:ilvl w:val="0"/>
          <w:numId w:val="1"/>
        </w:numPr>
      </w:pPr>
      <w:bookmarkStart w:id="126" w:name="_Toc47469276"/>
      <w:bookmarkStart w:id="127" w:name="_Toc47517234"/>
      <w:bookmarkStart w:id="128" w:name="_Toc47522351"/>
      <w:bookmarkStart w:id="129" w:name="_Toc47527722"/>
      <w:bookmarkStart w:id="130" w:name="_Toc47533611"/>
      <w:bookmarkStart w:id="131" w:name="_Toc47536014"/>
      <w:bookmarkStart w:id="132" w:name="_Toc47540510"/>
      <w:bookmarkStart w:id="133" w:name="_Toc47542065"/>
      <w:bookmarkStart w:id="134" w:name="_Toc48644130"/>
      <w:r>
        <w:t xml:space="preserve">Why is government </w:t>
      </w:r>
      <w:r w:rsidRPr="000574E5">
        <w:t>intervention</w:t>
      </w:r>
      <w:r>
        <w:t xml:space="preserve"> necessary?</w:t>
      </w:r>
      <w:bookmarkEnd w:id="126"/>
      <w:bookmarkEnd w:id="127"/>
      <w:bookmarkEnd w:id="128"/>
      <w:bookmarkEnd w:id="129"/>
      <w:bookmarkEnd w:id="130"/>
      <w:bookmarkEnd w:id="131"/>
      <w:bookmarkEnd w:id="132"/>
      <w:bookmarkEnd w:id="133"/>
      <w:bookmarkEnd w:id="134"/>
    </w:p>
    <w:p w:rsidR="00B95D19" w:rsidRPr="00811290" w:rsidRDefault="00B95D19" w:rsidP="00B95D19">
      <w:r>
        <w:t>The Government introduced the mandatory Franchising Code in 1998. Since then it has been revised a number of times to address issues in the sector. The fair trading provisions of the Australian Consumer Law are also relevant to franchisees and franchisors. The PJC report and work of the Franchising Taskforce have confirmed that further reform is needed to deter systemic non</w:t>
      </w:r>
      <w:r>
        <w:noBreakHyphen/>
        <w:t xml:space="preserve">compliance, improve transparency and prevent poor franchisor conduct.  </w:t>
      </w:r>
    </w:p>
    <w:p w:rsidR="00B95D19" w:rsidRDefault="00B95D19" w:rsidP="00B95D19">
      <w:pPr>
        <w:pStyle w:val="Heading4"/>
      </w:pPr>
      <w:r>
        <w:t xml:space="preserve">The impact of poor </w:t>
      </w:r>
      <w:proofErr w:type="spellStart"/>
      <w:r>
        <w:t>behaviour</w:t>
      </w:r>
      <w:proofErr w:type="spellEnd"/>
      <w:r>
        <w:t xml:space="preserve"> can be severe</w:t>
      </w:r>
    </w:p>
    <w:p w:rsidR="00B95D19" w:rsidRDefault="00B95D19" w:rsidP="00B95D19">
      <w:r>
        <w:t xml:space="preserve">While the most egregious </w:t>
      </w:r>
      <w:proofErr w:type="spellStart"/>
      <w:r>
        <w:t>behaviour</w:t>
      </w:r>
      <w:proofErr w:type="spellEnd"/>
      <w:r>
        <w:t xml:space="preserve"> is not widespread, the consequences of poor franchisor conduct have been devastating for some franchisees and undermined confidence in the franchising business model. </w:t>
      </w:r>
    </w:p>
    <w:p w:rsidR="00B95D19" w:rsidRDefault="00B95D19" w:rsidP="00B95D19">
      <w:r>
        <w:t>The PJC and Franchising Taskforce heard directly from current and former franchisees about the significant personal and financial impacts arising from poor practices in the sector. This included bankruptcies, mental health issues and marriage breakdowns</w:t>
      </w:r>
      <w:r w:rsidR="00AF5C13">
        <w:t>, noting that many franchisees businesses are run as family businesses</w:t>
      </w:r>
      <w:r>
        <w:t xml:space="preserve">.  </w:t>
      </w:r>
    </w:p>
    <w:p w:rsidR="00B95D19" w:rsidRPr="007E777C" w:rsidRDefault="00B95D19" w:rsidP="00B95D19">
      <w:pPr>
        <w:ind w:left="720"/>
        <w:rPr>
          <w:sz w:val="20"/>
        </w:rPr>
      </w:pPr>
      <w:r w:rsidRPr="007E777C">
        <w:rPr>
          <w:sz w:val="20"/>
        </w:rPr>
        <w:t>At the end … my life no longer resembled anything I had previously known before my involvement with franchising. I am separated from my husband and have lost in excess of $280 000. It is almost impossible to recover from this amount of financial loss with the time I have left before I retire. I will then become a burden on the tax paying public.</w:t>
      </w:r>
      <w:r>
        <w:rPr>
          <w:rStyle w:val="FootnoteReference"/>
          <w:sz w:val="20"/>
        </w:rPr>
        <w:footnoteReference w:id="17"/>
      </w:r>
    </w:p>
    <w:p w:rsidR="00B95D19" w:rsidRDefault="00B95D19" w:rsidP="00B95D19">
      <w:r>
        <w:t xml:space="preserve">The impact of poor franchisor </w:t>
      </w:r>
      <w:proofErr w:type="spellStart"/>
      <w:r>
        <w:t>behaviour</w:t>
      </w:r>
      <w:proofErr w:type="spellEnd"/>
      <w:r>
        <w:t xml:space="preserve"> has also extended beyond franchisees. One example is the underpayment of employees. Since 2016</w:t>
      </w:r>
      <w:r>
        <w:noBreakHyphen/>
        <w:t xml:space="preserve">17, the </w:t>
      </w:r>
      <w:r w:rsidRPr="00AC4495">
        <w:t xml:space="preserve">Fair Work Ombudsman (FWO) </w:t>
      </w:r>
      <w:r>
        <w:t>h</w:t>
      </w:r>
      <w:r w:rsidRPr="00AC4495">
        <w:t xml:space="preserve">as received more than 4,500 anonymous reports of underpayment of staff that relate to franchises (or just over 11 per </w:t>
      </w:r>
      <w:r w:rsidRPr="00AC4495">
        <w:lastRenderedPageBreak/>
        <w:t xml:space="preserve">cent of all anonymous </w:t>
      </w:r>
      <w:r w:rsidRPr="00F36AA9">
        <w:t>reports received during that period</w:t>
      </w:r>
      <w:r>
        <w:t>)</w:t>
      </w:r>
      <w:r w:rsidRPr="00F36AA9">
        <w:t xml:space="preserve">, with more than half of these reports related to the hospitality industry. </w:t>
      </w:r>
      <w:r>
        <w:t xml:space="preserve">In March 2019 the Migrant Workers Taskforce found that </w:t>
      </w:r>
      <w:r w:rsidRPr="00F36AA9">
        <w:t>some franchising models</w:t>
      </w:r>
      <w:r>
        <w:t xml:space="preserve"> lead to the underpayment of wages by franchisees</w:t>
      </w:r>
      <w:r w:rsidRPr="00F36AA9">
        <w:t>.</w:t>
      </w:r>
      <w:r w:rsidRPr="00F36AA9">
        <w:rPr>
          <w:rStyle w:val="FootnoteReference"/>
        </w:rPr>
        <w:footnoteReference w:id="18"/>
      </w:r>
      <w:r>
        <w:t xml:space="preserve"> </w:t>
      </w:r>
    </w:p>
    <w:p w:rsidR="00B95D19" w:rsidRPr="00AC4495" w:rsidRDefault="00B95D19" w:rsidP="00B95D19">
      <w:r>
        <w:t>Problems in the franchising sector can also undermine fair competition with other businesses. Independent businesses may be unable to compete with lower wages, or unviable prices set by the franchisor. In the case of the latter, franchisees may continue to trade because they are unable to exit their franchise agreements. This may in turn have broader economic and consumer impacts.</w:t>
      </w:r>
      <w:r w:rsidR="00353288">
        <w:t xml:space="preserve"> </w:t>
      </w:r>
    </w:p>
    <w:p w:rsidR="00B95D19" w:rsidRPr="000574E5" w:rsidRDefault="00B95D19" w:rsidP="00B95D19">
      <w:pPr>
        <w:pStyle w:val="Heading4"/>
        <w:spacing w:line="240" w:lineRule="auto"/>
      </w:pPr>
      <w:r>
        <w:t xml:space="preserve">Franchisees face unique challenges  </w:t>
      </w:r>
    </w:p>
    <w:p w:rsidR="00B95D19" w:rsidRDefault="00B95D19" w:rsidP="00B95D19">
      <w:r>
        <w:t xml:space="preserve">In addition to the general issues </w:t>
      </w:r>
      <w:r w:rsidRPr="00806956">
        <w:t xml:space="preserve">faced by small businesses, </w:t>
      </w:r>
      <w:r>
        <w:t xml:space="preserve">franchisees face unique challenges. </w:t>
      </w:r>
    </w:p>
    <w:p w:rsidR="00B95D19" w:rsidRDefault="00B95D19" w:rsidP="00B95D19">
      <w:r>
        <w:t xml:space="preserve">In addition to usual </w:t>
      </w:r>
      <w:r w:rsidR="00584DD7">
        <w:t xml:space="preserve">business </w:t>
      </w:r>
      <w:r>
        <w:t xml:space="preserve">overheads, franchisees pay fees to the franchisor. </w:t>
      </w:r>
      <w:r w:rsidRPr="00E1464D">
        <w:t xml:space="preserve">The COVID-19 economic downturn has further exacerbated cost pressures, </w:t>
      </w:r>
      <w:r>
        <w:t xml:space="preserve">with some franchisors continuing to charge franchise fees despite their businesses being forced to close, such as gym operators, or suffering significant losses in trade, such as in the food and personal services sectors. </w:t>
      </w:r>
    </w:p>
    <w:p w:rsidR="00B95D19" w:rsidRDefault="00B95D19" w:rsidP="00B95D19">
      <w:r>
        <w:t xml:space="preserve">Other financial controls include the franchisor having control over the prices that the franchisee charges customers, </w:t>
      </w:r>
      <w:r w:rsidRPr="00E1464D">
        <w:t xml:space="preserve">mandating </w:t>
      </w:r>
      <w:r>
        <w:t>capital investments</w:t>
      </w:r>
      <w:r w:rsidRPr="00E1464D">
        <w:t>, m</w:t>
      </w:r>
      <w:r>
        <w:t xml:space="preserve">andating suppliers used and the cost of supplies. </w:t>
      </w:r>
    </w:p>
    <w:p w:rsidR="00B95D19" w:rsidRDefault="00B95D19" w:rsidP="00B95D19">
      <w:r>
        <w:t>Franchisees can be limited in responding to market conditions, when compared to independent small businesses. COVID 19 has seen many examples of small businesses pivoting to take up new opportunities, but franchisees are often constrained in this regard.</w:t>
      </w:r>
    </w:p>
    <w:p w:rsidR="00B95D19" w:rsidRDefault="00B95D19" w:rsidP="00B95D19">
      <w:r>
        <w:t xml:space="preserve">Franchisors can often make unilateral changes to the franchise agreement and business model. While there are may be legitimate reasons to do this, it can change the basis on which the franchisee made their investment decision. </w:t>
      </w:r>
      <w:r w:rsidR="00584DD7">
        <w:t xml:space="preserve">For example, some franchisees described how their franchisor changed </w:t>
      </w:r>
      <w:r w:rsidR="005502C9">
        <w:t xml:space="preserve">food products being sold from </w:t>
      </w:r>
      <w:r w:rsidR="00584DD7">
        <w:t xml:space="preserve">‘fresh’ to ‘frozen’ </w:t>
      </w:r>
      <w:r w:rsidR="00244729">
        <w:t>products</w:t>
      </w:r>
      <w:r w:rsidR="00584DD7">
        <w:t>.</w:t>
      </w:r>
    </w:p>
    <w:p w:rsidR="000932B2" w:rsidRDefault="00B95D19" w:rsidP="000932B2">
      <w:r>
        <w:t xml:space="preserve">Compared to independent small businesses, franchisees often face additional challenges winding down or exiting an unsuccessful business venture. They are more likely to continue as an unprofitable business </w:t>
      </w:r>
      <w:r w:rsidRPr="002B6C66">
        <w:t xml:space="preserve">than independent businesses. </w:t>
      </w:r>
      <w:r w:rsidR="00353288">
        <w:t>Allocative efficiency in the economy is harmed when a franchisee is unable to operate a viable business but also unable to exit. Resources that could operate more productively elsewhere are ‘tied up’ in an unviable operation.</w:t>
      </w:r>
      <w:r w:rsidR="009A18DB">
        <w:t xml:space="preserve"> </w:t>
      </w:r>
      <w:r w:rsidR="000932B2">
        <w:t xml:space="preserve">One franchisee in </w:t>
      </w:r>
      <w:r w:rsidR="000505E0">
        <w:t>submitted</w:t>
      </w:r>
      <w:r w:rsidR="009A18DB">
        <w:t xml:space="preserve"> to the PJC Inquiry on her experiences </w:t>
      </w:r>
      <w:r w:rsidR="000505E0">
        <w:t xml:space="preserve">exiting </w:t>
      </w:r>
      <w:r w:rsidR="009A18DB">
        <w:t xml:space="preserve">the </w:t>
      </w:r>
      <w:r w:rsidR="000505E0">
        <w:t>franchise system</w:t>
      </w:r>
      <w:r w:rsidR="000932B2">
        <w:t xml:space="preserve">:  </w:t>
      </w:r>
    </w:p>
    <w:p w:rsidR="00CC3136" w:rsidRDefault="000932B2" w:rsidP="000505E0">
      <w:pPr>
        <w:ind w:left="720"/>
      </w:pPr>
      <w:r>
        <w:t xml:space="preserve">“I </w:t>
      </w:r>
      <w:r w:rsidR="00CC3136">
        <w:t xml:space="preserve">was </w:t>
      </w:r>
      <w:r>
        <w:t>nearly five years locked into a business I couldn’t sell, couldn’t walk away from and that no one wanted. Three years later I had seven failed attempts at selling my business”.</w:t>
      </w:r>
      <w:r w:rsidR="00E21C27">
        <w:rPr>
          <w:rStyle w:val="FootnoteReference"/>
        </w:rPr>
        <w:footnoteReference w:id="19"/>
      </w:r>
      <w:r>
        <w:t xml:space="preserve"> </w:t>
      </w:r>
    </w:p>
    <w:p w:rsidR="008B6CFB" w:rsidRPr="00DB7465" w:rsidRDefault="008B6CFB" w:rsidP="008B6CFB">
      <w:r w:rsidRPr="00DB7465">
        <w:t>Another submission commented on the difficulties in selling their food retail business.</w:t>
      </w:r>
    </w:p>
    <w:p w:rsidR="000932B2" w:rsidRPr="004808F9" w:rsidRDefault="00ED499A" w:rsidP="00ED499A">
      <w:pPr>
        <w:ind w:left="720"/>
        <w:rPr>
          <w:sz w:val="20"/>
          <w:szCs w:val="20"/>
        </w:rPr>
      </w:pPr>
      <w:r>
        <w:rPr>
          <w:sz w:val="20"/>
          <w:szCs w:val="20"/>
        </w:rPr>
        <w:t>…w</w:t>
      </w:r>
      <w:r w:rsidR="008B6CFB" w:rsidRPr="008B6CFB">
        <w:rPr>
          <w:sz w:val="20"/>
          <w:szCs w:val="20"/>
        </w:rPr>
        <w:t>e wanted to sell the business but there were no buyers due the high exit and entry costs</w:t>
      </w:r>
      <w:r>
        <w:rPr>
          <w:sz w:val="20"/>
          <w:szCs w:val="20"/>
        </w:rPr>
        <w:t>…</w:t>
      </w:r>
      <w:r w:rsidR="008B6CFB" w:rsidRPr="008B6CFB">
        <w:rPr>
          <w:sz w:val="20"/>
          <w:szCs w:val="20"/>
        </w:rPr>
        <w:t xml:space="preserve"> </w:t>
      </w:r>
      <w:r>
        <w:rPr>
          <w:sz w:val="20"/>
          <w:szCs w:val="20"/>
        </w:rPr>
        <w:t>I</w:t>
      </w:r>
      <w:r w:rsidR="008B6CFB" w:rsidRPr="008B6CFB">
        <w:rPr>
          <w:sz w:val="20"/>
          <w:szCs w:val="20"/>
        </w:rPr>
        <w:t>n the end</w:t>
      </w:r>
      <w:r>
        <w:rPr>
          <w:sz w:val="20"/>
          <w:szCs w:val="20"/>
        </w:rPr>
        <w:t>,</w:t>
      </w:r>
      <w:r w:rsidR="008B6CFB" w:rsidRPr="008B6CFB">
        <w:rPr>
          <w:sz w:val="20"/>
          <w:szCs w:val="20"/>
        </w:rPr>
        <w:t xml:space="preserve"> we had to make the hard decision of walking away from the business and losing everything.</w:t>
      </w:r>
      <w:r w:rsidRPr="00ED499A">
        <w:rPr>
          <w:sz w:val="20"/>
          <w:szCs w:val="20"/>
        </w:rPr>
        <w:t xml:space="preserve"> </w:t>
      </w:r>
      <w:r w:rsidRPr="00E75F3D">
        <w:rPr>
          <w:sz w:val="20"/>
          <w:szCs w:val="20"/>
        </w:rPr>
        <w:t>Worked extra-long hours and felt trapped in the system, impacting our health and family life</w:t>
      </w:r>
      <w:r>
        <w:rPr>
          <w:sz w:val="20"/>
          <w:szCs w:val="20"/>
        </w:rPr>
        <w:t xml:space="preserve">… </w:t>
      </w:r>
      <w:r w:rsidR="00524601" w:rsidRPr="00524601">
        <w:rPr>
          <w:sz w:val="20"/>
          <w:szCs w:val="20"/>
        </w:rPr>
        <w:t xml:space="preserve">We personally have never encountered the stress and strain as we felt by joining this franchise. We have lost almost $800,000 plus our health </w:t>
      </w:r>
      <w:proofErr w:type="gramStart"/>
      <w:r w:rsidR="000505E0">
        <w:rPr>
          <w:sz w:val="20"/>
          <w:szCs w:val="20"/>
        </w:rPr>
        <w:t>…</w:t>
      </w:r>
      <w:r w:rsidR="000932B2" w:rsidRPr="00ED499A">
        <w:rPr>
          <w:sz w:val="20"/>
          <w:szCs w:val="20"/>
        </w:rPr>
        <w:t xml:space="preserve"> </w:t>
      </w:r>
      <w:r w:rsidR="000932B2">
        <w:rPr>
          <w:sz w:val="20"/>
          <w:szCs w:val="20"/>
        </w:rPr>
        <w:t>”</w:t>
      </w:r>
      <w:proofErr w:type="gramEnd"/>
      <w:r>
        <w:rPr>
          <w:sz w:val="20"/>
          <w:szCs w:val="20"/>
        </w:rPr>
        <w:t>.</w:t>
      </w:r>
      <w:r>
        <w:rPr>
          <w:rStyle w:val="FootnoteReference"/>
          <w:sz w:val="20"/>
          <w:szCs w:val="20"/>
        </w:rPr>
        <w:footnoteReference w:id="20"/>
      </w:r>
    </w:p>
    <w:p w:rsidR="00B95D19" w:rsidRDefault="00B95D19" w:rsidP="00B95D19">
      <w:r w:rsidRPr="006C39E6">
        <w:lastRenderedPageBreak/>
        <w:t>While the interests of a</w:t>
      </w:r>
      <w:r w:rsidRPr="004B28B2">
        <w:t xml:space="preserve"> franchisor and franchisee </w:t>
      </w:r>
      <w:r>
        <w:t xml:space="preserve">can be </w:t>
      </w:r>
      <w:r w:rsidRPr="004B28B2">
        <w:t xml:space="preserve">aligned, this is not always the case. An example is where the franchisee </w:t>
      </w:r>
      <w:r w:rsidRPr="006C39E6">
        <w:t xml:space="preserve">may be required </w:t>
      </w:r>
      <w:r w:rsidRPr="004B28B2">
        <w:t>to acquire supplies from a third party that provid</w:t>
      </w:r>
      <w:r w:rsidRPr="006C39E6">
        <w:t>es</w:t>
      </w:r>
      <w:r w:rsidRPr="004B28B2">
        <w:t xml:space="preserve"> </w:t>
      </w:r>
      <w:r w:rsidRPr="006C39E6">
        <w:t xml:space="preserve">a rebate or incentive to </w:t>
      </w:r>
      <w:r w:rsidRPr="004B28B2">
        <w:t>the franchisor. The franchis</w:t>
      </w:r>
      <w:r w:rsidRPr="006C39E6">
        <w:t>ee</w:t>
      </w:r>
      <w:r w:rsidRPr="004B28B2">
        <w:t xml:space="preserve"> may be </w:t>
      </w:r>
      <w:proofErr w:type="spellStart"/>
      <w:r w:rsidRPr="004B28B2">
        <w:t>incentivised</w:t>
      </w:r>
      <w:proofErr w:type="spellEnd"/>
      <w:r w:rsidRPr="004B28B2">
        <w:t xml:space="preserve"> to choose a supplier who offers the best </w:t>
      </w:r>
      <w:r>
        <w:t xml:space="preserve">rebate </w:t>
      </w:r>
      <w:r w:rsidRPr="004B28B2">
        <w:t xml:space="preserve">to the franchisor, instead of providing the best value goods. </w:t>
      </w:r>
      <w:r>
        <w:t>In other cases, the franchisor’s business model may be premised on ‘churning and burning’, where the franchisee’s success is irrelevant to (or even opposed to) the franchisor’s success.</w:t>
      </w:r>
    </w:p>
    <w:p w:rsidR="00202E88" w:rsidRPr="004B28B2" w:rsidRDefault="00292615" w:rsidP="00202E88">
      <w:pPr>
        <w:ind w:left="720"/>
      </w:pPr>
      <w:r>
        <w:t>“</w:t>
      </w:r>
      <w:r w:rsidR="00202E88" w:rsidRPr="00202E88">
        <w:t>Franchise sellers foment unwarranted franchise churn which can cost franchisees their life’s savings, their homes, sometimes their marriages and even their lives through suicide.</w:t>
      </w:r>
      <w:r>
        <w:t>”</w:t>
      </w:r>
      <w:r>
        <w:rPr>
          <w:rStyle w:val="FootnoteReference"/>
        </w:rPr>
        <w:footnoteReference w:id="21"/>
      </w:r>
    </w:p>
    <w:p w:rsidR="00B95D19" w:rsidRPr="00295CD9" w:rsidRDefault="00B95D19" w:rsidP="00B95D19">
      <w:r w:rsidRPr="003E146E">
        <w:t>Finally, there is often a disparity in resources between franchisor and franchisee which is acutely felt in the context of dispute resolution (including access to legal remedies for franchisees).</w:t>
      </w:r>
      <w:r w:rsidRPr="00295CD9">
        <w:t xml:space="preserve"> </w:t>
      </w:r>
    </w:p>
    <w:p w:rsidR="00B95D19" w:rsidRPr="000574E5" w:rsidRDefault="00B95D19" w:rsidP="00B95D19">
      <w:pPr>
        <w:pStyle w:val="Heading4"/>
      </w:pPr>
      <w:r w:rsidRPr="000574E5">
        <w:t>Reform is required to level the playing field</w:t>
      </w:r>
    </w:p>
    <w:p w:rsidR="00B95D19" w:rsidRDefault="00B95D19" w:rsidP="00B95D19">
      <w:r>
        <w:t xml:space="preserve">The problems observed by the PJC, ACCC and ASBFEO have established that there is a case for reform. Submissions to the PJC Inquiry, as well as consultations by the Franchising Taskforce, indicate that there is broad stakeholder support for further Government action in this sector.  </w:t>
      </w:r>
    </w:p>
    <w:p w:rsidR="00B95D19" w:rsidRDefault="00B95D19" w:rsidP="00B95D19">
      <w:r>
        <w:t>Noting that the Franchising Code has been subject to successive reviews,</w:t>
      </w:r>
      <w:r>
        <w:rPr>
          <w:rStyle w:val="FootnoteReference"/>
        </w:rPr>
        <w:footnoteReference w:id="22"/>
      </w:r>
      <w:r>
        <w:t xml:space="preserve"> some stakeholders have argued for fundamental changes to the franchising relationsh</w:t>
      </w:r>
      <w:r w:rsidRPr="00811290">
        <w:rPr>
          <w:b/>
          <w:u w:val="single"/>
        </w:rPr>
        <w:t>i</w:t>
      </w:r>
      <w:r>
        <w:t xml:space="preserve">p. The ACCC has argued that the Franchising Code, even in an amended form, will never be adequate to address the systemic issues in the sector, and that serious consideration should be given to an ex-ante regulatory model, such as a licensing regime. In its submission to the Taskforce’s consultation process, the Australian Association of Franchisees suggested that franchisees should be considered co-investors, with protections similar to those provided to shareholders. </w:t>
      </w:r>
    </w:p>
    <w:p w:rsidR="00B95D19" w:rsidRDefault="002571A4" w:rsidP="00B95D19">
      <w:r>
        <w:t xml:space="preserve">The following section describes policy options being considered to address problems in franchising. </w:t>
      </w:r>
    </w:p>
    <w:p w:rsidR="005861BC" w:rsidRDefault="005861BC">
      <w:pPr>
        <w:rPr>
          <w:rFonts w:asciiTheme="majorHAnsi" w:eastAsiaTheme="majorEastAsia" w:hAnsiTheme="majorHAnsi" w:cstheme="majorBidi"/>
          <w:color w:val="2E74B5" w:themeColor="accent1" w:themeShade="BF"/>
          <w:sz w:val="32"/>
          <w:szCs w:val="32"/>
        </w:rPr>
      </w:pPr>
      <w:r>
        <w:br w:type="page"/>
      </w:r>
    </w:p>
    <w:p w:rsidR="00B95D19" w:rsidRDefault="00B95D19" w:rsidP="00B95D19">
      <w:pPr>
        <w:pStyle w:val="Heading1"/>
        <w:numPr>
          <w:ilvl w:val="0"/>
          <w:numId w:val="1"/>
        </w:numPr>
      </w:pPr>
      <w:bookmarkStart w:id="135" w:name="_Toc47522352"/>
      <w:bookmarkStart w:id="136" w:name="_Toc47527723"/>
      <w:bookmarkStart w:id="137" w:name="_Toc47533612"/>
      <w:bookmarkStart w:id="138" w:name="_Toc47536015"/>
      <w:bookmarkStart w:id="139" w:name="_Toc47540511"/>
      <w:bookmarkStart w:id="140" w:name="_Toc47542066"/>
      <w:bookmarkStart w:id="141" w:name="_Toc48644131"/>
      <w:bookmarkStart w:id="142" w:name="_Toc47469277"/>
      <w:bookmarkStart w:id="143" w:name="_Toc47517235"/>
      <w:r>
        <w:lastRenderedPageBreak/>
        <w:t xml:space="preserve">What </w:t>
      </w:r>
      <w:bookmarkEnd w:id="120"/>
      <w:bookmarkEnd w:id="121"/>
      <w:bookmarkEnd w:id="122"/>
      <w:bookmarkEnd w:id="123"/>
      <w:bookmarkEnd w:id="124"/>
      <w:bookmarkEnd w:id="125"/>
      <w:r w:rsidR="003E3502">
        <w:t>policy options are being considered</w:t>
      </w:r>
      <w:r w:rsidR="00E81715">
        <w:t>?</w:t>
      </w:r>
      <w:bookmarkEnd w:id="135"/>
      <w:bookmarkEnd w:id="136"/>
      <w:bookmarkEnd w:id="137"/>
      <w:bookmarkEnd w:id="138"/>
      <w:bookmarkEnd w:id="139"/>
      <w:bookmarkEnd w:id="140"/>
      <w:bookmarkEnd w:id="141"/>
      <w:r>
        <w:t xml:space="preserve"> </w:t>
      </w:r>
      <w:bookmarkEnd w:id="142"/>
      <w:bookmarkEnd w:id="143"/>
    </w:p>
    <w:p w:rsidR="00B95D19" w:rsidRDefault="00B95D19" w:rsidP="00B95D19">
      <w:pPr>
        <w:pStyle w:val="Heading2"/>
        <w:numPr>
          <w:ilvl w:val="1"/>
          <w:numId w:val="1"/>
        </w:numPr>
      </w:pPr>
      <w:bookmarkStart w:id="144" w:name="_Toc46841986"/>
      <w:bookmarkStart w:id="145" w:name="_Toc46843659"/>
      <w:bookmarkStart w:id="146" w:name="_Toc46846305"/>
      <w:bookmarkStart w:id="147" w:name="_Toc46911988"/>
      <w:bookmarkStart w:id="148" w:name="_Toc46991039"/>
      <w:bookmarkStart w:id="149" w:name="_Toc47009798"/>
      <w:bookmarkStart w:id="150" w:name="_Toc47469278"/>
      <w:bookmarkStart w:id="151" w:name="_Toc47517236"/>
      <w:bookmarkStart w:id="152" w:name="_Toc47522353"/>
      <w:bookmarkStart w:id="153" w:name="_Toc47527724"/>
      <w:bookmarkStart w:id="154" w:name="_Toc47533613"/>
      <w:bookmarkStart w:id="155" w:name="_Toc47536016"/>
      <w:bookmarkStart w:id="156" w:name="_Toc47540512"/>
      <w:bookmarkStart w:id="157" w:name="_Toc47542067"/>
      <w:bookmarkStart w:id="158" w:name="_Toc48644132"/>
      <w:r>
        <w:t xml:space="preserve">Option 1: </w:t>
      </w:r>
      <w:r w:rsidRPr="0095216B">
        <w:t>Status Quo</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95D19" w:rsidRDefault="00B95D19" w:rsidP="00B95D19">
      <w:pPr>
        <w:pStyle w:val="Heading3"/>
        <w:numPr>
          <w:ilvl w:val="2"/>
          <w:numId w:val="1"/>
        </w:numPr>
      </w:pPr>
      <w:bookmarkStart w:id="159" w:name="_Toc46841987"/>
      <w:bookmarkStart w:id="160" w:name="_Toc46843660"/>
      <w:bookmarkStart w:id="161" w:name="_Toc46846306"/>
      <w:bookmarkStart w:id="162" w:name="_Toc46911989"/>
      <w:bookmarkStart w:id="163" w:name="_Toc46991040"/>
      <w:bookmarkStart w:id="164" w:name="_Toc47009799"/>
      <w:bookmarkStart w:id="165" w:name="_Toc47469279"/>
      <w:bookmarkStart w:id="166" w:name="_Toc47517237"/>
      <w:bookmarkStart w:id="167" w:name="_Toc47522354"/>
      <w:bookmarkStart w:id="168" w:name="_Toc47527725"/>
      <w:bookmarkStart w:id="169" w:name="_Toc47533614"/>
      <w:bookmarkStart w:id="170" w:name="_Toc47536017"/>
      <w:bookmarkStart w:id="171" w:name="_Toc47540513"/>
      <w:bookmarkStart w:id="172" w:name="_Toc47542068"/>
      <w:bookmarkStart w:id="173" w:name="_Toc48644133"/>
      <w:r w:rsidRPr="00D247EF">
        <w:t>What does this option involve?</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E81715" w:rsidRDefault="00B95D19" w:rsidP="003E146E">
      <w:r>
        <w:t>Under this option, there would be no changes to the Franchising Code or the enforcement framework in the CCA</w:t>
      </w:r>
      <w:r w:rsidR="00F6020A">
        <w:t>. N</w:t>
      </w:r>
      <w:r>
        <w:t>o other action would be taken in response to the PJC</w:t>
      </w:r>
      <w:r>
        <w:rPr>
          <w:i/>
        </w:rPr>
        <w:t xml:space="preserve"> </w:t>
      </w:r>
      <w:r>
        <w:t xml:space="preserve">report recommendations or </w:t>
      </w:r>
      <w:r w:rsidR="001C46F5">
        <w:t xml:space="preserve">following </w:t>
      </w:r>
      <w:r w:rsidR="00B16288">
        <w:t xml:space="preserve">the </w:t>
      </w:r>
      <w:r w:rsidR="001C46F5">
        <w:t>work</w:t>
      </w:r>
      <w:r w:rsidR="00B16288">
        <w:t xml:space="preserve"> of the Franchising Taskforce</w:t>
      </w:r>
      <w:r>
        <w:t xml:space="preserve">. </w:t>
      </w:r>
      <w:r w:rsidR="00F6020A">
        <w:t>Franchising p</w:t>
      </w:r>
      <w:r>
        <w:t xml:space="preserve">articipants would continue to be subject to the existing provisions in the Franchising Code as well as the general provisions of the CCA and ACL. </w:t>
      </w:r>
      <w:r w:rsidR="00E81715">
        <w:t>The need for change could be re</w:t>
      </w:r>
      <w:r w:rsidR="00883F21">
        <w:t>-</w:t>
      </w:r>
      <w:r w:rsidR="00E81715">
        <w:t>examined at a future point.</w:t>
      </w:r>
    </w:p>
    <w:p w:rsidR="00B95D19" w:rsidRDefault="00B95D19" w:rsidP="00B95D19">
      <w:pPr>
        <w:pStyle w:val="Heading3"/>
      </w:pPr>
      <w:bookmarkStart w:id="174" w:name="_Toc46841988"/>
      <w:bookmarkStart w:id="175" w:name="_Toc46843661"/>
      <w:bookmarkStart w:id="176" w:name="_Toc46911990"/>
      <w:bookmarkStart w:id="177" w:name="_Toc46991041"/>
      <w:bookmarkStart w:id="178" w:name="_Toc47009800"/>
      <w:bookmarkStart w:id="179" w:name="_Toc47469280"/>
      <w:bookmarkStart w:id="180" w:name="_Toc47517238"/>
      <w:bookmarkStart w:id="181" w:name="_Toc47522355"/>
      <w:bookmarkStart w:id="182" w:name="_Toc47527726"/>
      <w:bookmarkStart w:id="183" w:name="_Toc47533615"/>
      <w:bookmarkStart w:id="184" w:name="_Toc47536018"/>
      <w:bookmarkStart w:id="185" w:name="_Toc47540514"/>
      <w:bookmarkStart w:id="186" w:name="_Toc47542069"/>
      <w:bookmarkStart w:id="187" w:name="_Toc48644134"/>
      <w:r>
        <w:t xml:space="preserve">5.1.2 </w:t>
      </w:r>
      <w:r>
        <w:tab/>
      </w:r>
      <w:r w:rsidRPr="00D247EF">
        <w:t>What are the costs and benefits of this option?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324F5" w:rsidRDefault="002324F5" w:rsidP="00B95D19">
      <w:r>
        <w:t xml:space="preserve">The major benefit of this option is that </w:t>
      </w:r>
      <w:r w:rsidR="00197285">
        <w:t>there would be</w:t>
      </w:r>
      <w:r>
        <w:t xml:space="preserve"> no additional regulatory impact on the franchise sector. Noting that the sector has been adversely affected by the economic downturn caused by COVID</w:t>
      </w:r>
      <w:r>
        <w:noBreakHyphen/>
        <w:t xml:space="preserve">19, franchisors in particular would likely benefit from not incurring transitional and ongoing compliance costs. </w:t>
      </w:r>
    </w:p>
    <w:p w:rsidR="0085141F" w:rsidRDefault="0085141F" w:rsidP="00B95D19">
      <w:r>
        <w:t xml:space="preserve">This option also provides a longer timeframe to evaluate the effectiveness of the changes to the Franchising Code that took effect in 2015. Noting that the average term of a franchise agreement is around five years, and the PJC inquiry took place across 2018-19, </w:t>
      </w:r>
      <w:r w:rsidR="003B42D9">
        <w:t xml:space="preserve">it is possible that </w:t>
      </w:r>
      <w:r>
        <w:t xml:space="preserve">the full effect of those changes </w:t>
      </w:r>
      <w:r w:rsidR="00E113FE">
        <w:t xml:space="preserve">was </w:t>
      </w:r>
      <w:r>
        <w:t>not reflected in evidence considered by the PJC.</w:t>
      </w:r>
    </w:p>
    <w:p w:rsidR="0085141F" w:rsidRDefault="002324F5">
      <w:r>
        <w:t>However, not</w:t>
      </w:r>
      <w:r w:rsidR="00B95D19">
        <w:t xml:space="preserve"> addressing known problems in the sector </w:t>
      </w:r>
      <w:r w:rsidR="003B42D9">
        <w:t>is likely to</w:t>
      </w:r>
      <w:r w:rsidR="00846572">
        <w:t xml:space="preserve"> result in continuation of the significant negative social and economic impacts. Ongoing disputes and dissatisfaction will draw resources away from more productive economic pursuits, with continuing low </w:t>
      </w:r>
      <w:r w:rsidR="00B95D19">
        <w:t xml:space="preserve">confidence in </w:t>
      </w:r>
      <w:r w:rsidR="00883F21">
        <w:t xml:space="preserve">the </w:t>
      </w:r>
      <w:r w:rsidR="00B95D19">
        <w:t>franchising</w:t>
      </w:r>
      <w:r w:rsidR="00883F21">
        <w:t xml:space="preserve"> business model</w:t>
      </w:r>
      <w:r w:rsidR="00B95D19">
        <w:t xml:space="preserve">. </w:t>
      </w:r>
      <w:r w:rsidR="006269C2">
        <w:t>Poorly informed franchisee</w:t>
      </w:r>
      <w:r w:rsidR="00846572">
        <w:t>s may continue to over value franchise opportunities. Non</w:t>
      </w:r>
      <w:r w:rsidR="00846572">
        <w:noBreakHyphen/>
        <w:t xml:space="preserve">compliance is expected to continue. </w:t>
      </w:r>
      <w:r w:rsidR="002F1B04">
        <w:t xml:space="preserve">Dispute resolution will continue to be </w:t>
      </w:r>
      <w:r w:rsidR="00E113FE">
        <w:t xml:space="preserve">difficult and expensive, </w:t>
      </w:r>
      <w:r w:rsidR="002F1B04">
        <w:t>with r</w:t>
      </w:r>
      <w:r w:rsidR="00B95D19">
        <w:t xml:space="preserve">esources devoted to dispute resolution </w:t>
      </w:r>
      <w:r w:rsidR="002F1B04">
        <w:t>not available for</w:t>
      </w:r>
      <w:r w:rsidR="00B95D19">
        <w:t xml:space="preserve"> more productive outcomes</w:t>
      </w:r>
      <w:r w:rsidR="00E113FE">
        <w:t>.</w:t>
      </w:r>
      <w:r w:rsidR="00B95D19">
        <w:t xml:space="preserve"> </w:t>
      </w:r>
    </w:p>
    <w:p w:rsidR="0085141F" w:rsidRDefault="0085141F">
      <w:r>
        <w:t xml:space="preserve">On balance, </w:t>
      </w:r>
      <w:r w:rsidR="002861C3">
        <w:t>noting that the regulatory impacts associated with reform are low</w:t>
      </w:r>
      <w:r w:rsidR="002861C3">
        <w:noBreakHyphen/>
        <w:t xml:space="preserve">moderate, </w:t>
      </w:r>
      <w:r>
        <w:t xml:space="preserve">the costs associated with this option </w:t>
      </w:r>
      <w:r w:rsidR="00E85ECD">
        <w:t>outweigh the benefits.</w:t>
      </w:r>
    </w:p>
    <w:p w:rsidR="00B95D19" w:rsidRPr="00D247EF" w:rsidRDefault="00B95D19" w:rsidP="00B95D19">
      <w:pPr>
        <w:pStyle w:val="Heading2"/>
        <w:numPr>
          <w:ilvl w:val="1"/>
          <w:numId w:val="1"/>
        </w:numPr>
      </w:pPr>
      <w:bookmarkStart w:id="188" w:name="_Toc46841989"/>
      <w:bookmarkStart w:id="189" w:name="_Toc46843662"/>
      <w:bookmarkStart w:id="190" w:name="_Toc46846307"/>
      <w:bookmarkStart w:id="191" w:name="_Toc46911991"/>
      <w:bookmarkStart w:id="192" w:name="_Toc46991042"/>
      <w:bookmarkStart w:id="193" w:name="_Toc47009801"/>
      <w:bookmarkStart w:id="194" w:name="_Toc47469281"/>
      <w:bookmarkStart w:id="195" w:name="_Toc47517239"/>
      <w:bookmarkStart w:id="196" w:name="_Toc47522361"/>
      <w:bookmarkStart w:id="197" w:name="_Toc47527732"/>
      <w:bookmarkStart w:id="198" w:name="_Toc47533621"/>
      <w:bookmarkStart w:id="199" w:name="_Toc47536024"/>
      <w:bookmarkStart w:id="200" w:name="_Toc47540515"/>
      <w:bookmarkStart w:id="201" w:name="_Toc47542070"/>
      <w:bookmarkStart w:id="202" w:name="_Toc48644135"/>
      <w:r>
        <w:t>Option 2: Regulatory reforms to the franchising sector</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B95D19" w:rsidRDefault="00B95D19" w:rsidP="00B95D19">
      <w:pPr>
        <w:pStyle w:val="Heading3"/>
      </w:pPr>
      <w:bookmarkStart w:id="203" w:name="_Toc45795751"/>
      <w:bookmarkStart w:id="204" w:name="_Toc46841990"/>
      <w:bookmarkStart w:id="205" w:name="_Toc46843663"/>
      <w:bookmarkStart w:id="206" w:name="_Toc46846308"/>
      <w:bookmarkStart w:id="207" w:name="_Toc46911992"/>
      <w:bookmarkStart w:id="208" w:name="_Toc46991043"/>
      <w:bookmarkStart w:id="209" w:name="_Toc47009802"/>
      <w:bookmarkStart w:id="210" w:name="_Toc47469282"/>
      <w:bookmarkStart w:id="211" w:name="_Toc47517240"/>
      <w:bookmarkStart w:id="212" w:name="_Toc47522362"/>
      <w:bookmarkStart w:id="213" w:name="_Toc47527733"/>
      <w:bookmarkStart w:id="214" w:name="_Toc47533622"/>
      <w:bookmarkStart w:id="215" w:name="_Toc47536025"/>
      <w:bookmarkStart w:id="216" w:name="_Toc47540516"/>
      <w:bookmarkStart w:id="217" w:name="_Toc47542071"/>
      <w:bookmarkStart w:id="218" w:name="_Toc48644136"/>
      <w:r>
        <w:t>5.2.1 What does this option involve?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B95D19" w:rsidRDefault="00B95D19" w:rsidP="00B95D19">
      <w:r>
        <w:t xml:space="preserve">Under this option, the Government would implement the following regulatory measures to address the problems outlined in section 3 of this document. </w:t>
      </w:r>
    </w:p>
    <w:p w:rsidR="00535F3C" w:rsidRDefault="00535F3C" w:rsidP="003E146E">
      <w:pPr>
        <w:pStyle w:val="Heading4"/>
      </w:pPr>
      <w:r>
        <w:t xml:space="preserve">Reforms to better inform franchisees and improve </w:t>
      </w:r>
      <w:r w:rsidR="00210610">
        <w:t>transparency</w:t>
      </w:r>
      <w:r>
        <w:t xml:space="preserve"> </w:t>
      </w:r>
    </w:p>
    <w:p w:rsidR="00B95D19" w:rsidRPr="003E146E" w:rsidRDefault="00B95D19" w:rsidP="003E146E">
      <w:pPr>
        <w:spacing w:before="120" w:after="0"/>
        <w:rPr>
          <w:b/>
        </w:rPr>
      </w:pPr>
      <w:r w:rsidRPr="003E146E">
        <w:rPr>
          <w:b/>
        </w:rPr>
        <w:t xml:space="preserve">A public register of franchisors </w:t>
      </w:r>
    </w:p>
    <w:p w:rsidR="00B95D19" w:rsidRDefault="00EF1C1F" w:rsidP="003E146E">
      <w:r>
        <w:t>Under this option, a</w:t>
      </w:r>
      <w:r w:rsidR="00B95D19">
        <w:t xml:space="preserve"> </w:t>
      </w:r>
      <w:r w:rsidR="00C57798">
        <w:t>public</w:t>
      </w:r>
      <w:r w:rsidR="00B95D19">
        <w:t xml:space="preserve"> register </w:t>
      </w:r>
      <w:r w:rsidR="00C57798">
        <w:t xml:space="preserve">of </w:t>
      </w:r>
      <w:r w:rsidR="00742D43">
        <w:t>franchisors</w:t>
      </w:r>
      <w:r w:rsidR="00B95D19">
        <w:t xml:space="preserve"> would be established by the Government. All franchisors would be required to provide information to the register</w:t>
      </w:r>
      <w:r w:rsidR="002B4D7B">
        <w:t xml:space="preserve">. </w:t>
      </w:r>
      <w:r w:rsidR="007B16C9">
        <w:t>In addition to improving transparency for franchisees, the</w:t>
      </w:r>
      <w:r w:rsidR="007B16C9" w:rsidRPr="007B16C9">
        <w:t xml:space="preserve"> register would assist the ACCC in its enforcement role, and improve the information available to government about the franchising sector.</w:t>
      </w:r>
      <w:r w:rsidR="007B16C9">
        <w:t xml:space="preserve"> </w:t>
      </w:r>
      <w:r w:rsidR="002B4D7B">
        <w:t>Consultation will inform the design and implementation of the register</w:t>
      </w:r>
      <w:r w:rsidR="00AC3187">
        <w:t>.</w:t>
      </w:r>
      <w:r w:rsidDel="002B4D7B">
        <w:t xml:space="preserve"> </w:t>
      </w:r>
      <w:r>
        <w:t xml:space="preserve">  </w:t>
      </w:r>
    </w:p>
    <w:p w:rsidR="00722C4B" w:rsidRDefault="003E6704">
      <w:pPr>
        <w:ind w:left="720"/>
      </w:pPr>
      <w:r>
        <w:rPr>
          <w:i/>
        </w:rPr>
        <w:t>Stakeholder views</w:t>
      </w:r>
      <w:r w:rsidR="00CD7778">
        <w:rPr>
          <w:i/>
        </w:rPr>
        <w:br/>
      </w:r>
      <w:proofErr w:type="gramStart"/>
      <w:r w:rsidR="00AC3187">
        <w:t>A</w:t>
      </w:r>
      <w:proofErr w:type="gramEnd"/>
      <w:r w:rsidR="00B95D19">
        <w:t xml:space="preserve"> register may address a range of issues in the franchising sector. For example, a register could increase transparency by allowing prospective franchisees to compare different franchise systems and make a more informed decision before committing to a particular system or brand.  The AAF proposed that f</w:t>
      </w:r>
      <w:r w:rsidR="00B95D19" w:rsidRPr="004D7A7D">
        <w:t xml:space="preserve">ranchisors, franchisees and franchisee </w:t>
      </w:r>
      <w:r w:rsidR="00B95D19" w:rsidRPr="004D7A7D">
        <w:lastRenderedPageBreak/>
        <w:t>as</w:t>
      </w:r>
      <w:r w:rsidR="00B95D19">
        <w:t>sociations should be registered, and that</w:t>
      </w:r>
      <w:r w:rsidR="00B95D19" w:rsidRPr="004D7A7D">
        <w:t xml:space="preserve"> franchise agreements and disclosure documents should be lodged. </w:t>
      </w:r>
      <w:r w:rsidR="00B95D19">
        <w:t xml:space="preserve">The FCA </w:t>
      </w:r>
      <w:r w:rsidR="002D53DE">
        <w:t>also supported</w:t>
      </w:r>
      <w:r w:rsidR="00B95D19">
        <w:t xml:space="preserve"> r</w:t>
      </w:r>
      <w:r w:rsidR="00B95D19" w:rsidRPr="007105C6">
        <w:t>egistration with updated documentation being provided</w:t>
      </w:r>
      <w:r w:rsidR="00B95D19">
        <w:t xml:space="preserve"> as it felt this</w:t>
      </w:r>
      <w:r w:rsidR="00B95D19" w:rsidRPr="007105C6">
        <w:t xml:space="preserve"> would assist the ACCC in its enforcement role, build a culture of transparency and improve confidence in the sector.  </w:t>
      </w:r>
    </w:p>
    <w:p w:rsidR="00B95D19" w:rsidRDefault="007757AF">
      <w:pPr>
        <w:ind w:left="720"/>
      </w:pPr>
      <w:r>
        <w:t>Industry associations such as MTA Queensland suggested a</w:t>
      </w:r>
      <w:r w:rsidR="00B95D19">
        <w:t xml:space="preserve"> public register could also lift standards across the sector by </w:t>
      </w:r>
      <w:proofErr w:type="spellStart"/>
      <w:r w:rsidR="00B95D19">
        <w:t>incentivising</w:t>
      </w:r>
      <w:proofErr w:type="spellEnd"/>
      <w:r w:rsidR="00B95D19">
        <w:t xml:space="preserve"> franchisors to ensure their conditions are competitive, as well as increasing the Government, regulators’ and academics’ knowledge of the franchising sector. A </w:t>
      </w:r>
      <w:r w:rsidR="00B95D19" w:rsidRPr="004D7A7D">
        <w:t xml:space="preserve">more robust model </w:t>
      </w:r>
      <w:r w:rsidR="00B95D19">
        <w:t xml:space="preserve">was also </w:t>
      </w:r>
      <w:r w:rsidR="00B95D19" w:rsidRPr="004D7A7D">
        <w:t>supported, including registration of all franchisors and all indi</w:t>
      </w:r>
      <w:r w:rsidR="00B95D19">
        <w:t>vidual franchising arrangements.</w:t>
      </w:r>
      <w:r w:rsidR="00B95D19" w:rsidRPr="004D7A7D">
        <w:t xml:space="preserve"> </w:t>
      </w:r>
    </w:p>
    <w:p w:rsidR="00B95D19" w:rsidRDefault="007757AF">
      <w:pPr>
        <w:ind w:left="720"/>
      </w:pPr>
      <w:r>
        <w:t>Some stakeholders raised c</w:t>
      </w:r>
      <w:r w:rsidR="00B95D19">
        <w:t>oncerns that a register may require the disclosure of commercial-in-confidence information to the detriment of the franchising business model.</w:t>
      </w:r>
      <w:r w:rsidR="00B95D19" w:rsidRPr="00A846B8">
        <w:t xml:space="preserve"> </w:t>
      </w:r>
      <w:r w:rsidR="00B95D19">
        <w:t xml:space="preserve">Franchisors have highlighted concerns that a public register would impose an additional compliance burden. </w:t>
      </w:r>
    </w:p>
    <w:p w:rsidR="00B95D19" w:rsidRDefault="00B95D19">
      <w:pPr>
        <w:ind w:left="720"/>
      </w:pPr>
      <w:r>
        <w:t>Most significantly, some stakeholders (</w:t>
      </w:r>
      <w:r w:rsidR="00424B8B">
        <w:t>including the ACCC</w:t>
      </w:r>
      <w:r>
        <w:t xml:space="preserve">) have raised concerns that a register could lead some prospective franchisees to believe that the franchise system and any documents or statements on the register have been vetted and can be relied upon. This may, in turn, result in reduced due diligence by prospective franchisees. </w:t>
      </w:r>
    </w:p>
    <w:p w:rsidR="00B95D19" w:rsidRDefault="00B95D19">
      <w:pPr>
        <w:ind w:left="720"/>
      </w:pPr>
      <w:r>
        <w:t>Submissions in response to the Taskforce’s earlier issues paper showed that t</w:t>
      </w:r>
      <w:r w:rsidRPr="00361F74">
        <w:t>here was general support for a registry function amongst stakeholders, with a number of options suggested about who should host it, what information should be available on it and in what form</w:t>
      </w:r>
      <w:r>
        <w:t xml:space="preserve">. </w:t>
      </w:r>
      <w:r w:rsidR="00713EA8">
        <w:t xml:space="preserve">Under this option, the </w:t>
      </w:r>
      <w:r>
        <w:t xml:space="preserve">Government </w:t>
      </w:r>
      <w:r w:rsidR="00713EA8">
        <w:t>would</w:t>
      </w:r>
      <w:r>
        <w:t xml:space="preserve"> consult further on the final design of the Register.</w:t>
      </w:r>
    </w:p>
    <w:p w:rsidR="00B95D19" w:rsidRPr="003E146E" w:rsidRDefault="00B95D19" w:rsidP="003E146E">
      <w:pPr>
        <w:spacing w:before="120" w:after="0"/>
        <w:rPr>
          <w:b/>
        </w:rPr>
      </w:pPr>
      <w:r w:rsidRPr="003E146E">
        <w:rPr>
          <w:b/>
        </w:rPr>
        <w:t>A Key Disclosure Information Fact Sheet containing information that is taken from disclosure documents</w:t>
      </w:r>
    </w:p>
    <w:p w:rsidR="00B95D19" w:rsidRDefault="00713EA8" w:rsidP="00B95D19">
      <w:r>
        <w:t xml:space="preserve">Under this option, the </w:t>
      </w:r>
      <w:r w:rsidR="00B95D19">
        <w:t xml:space="preserve">Government </w:t>
      </w:r>
      <w:r>
        <w:t>would</w:t>
      </w:r>
      <w:r w:rsidR="00B95D19">
        <w:t xml:space="preserve"> design </w:t>
      </w:r>
      <w:r w:rsidR="00B95D19" w:rsidRPr="001D7DB9">
        <w:t xml:space="preserve">a new mandatory Key Disclosure Information Fact Sheet </w:t>
      </w:r>
      <w:r w:rsidR="00B95D19">
        <w:t xml:space="preserve">in consultation with the franchising sector </w:t>
      </w:r>
      <w:r w:rsidR="00B95D19" w:rsidRPr="001D7DB9">
        <w:t>to improve and simplify upfront disclosure, highlight key information, and assist franchisees to understand obligations and the risks associated with entering a particular franchise agreement.</w:t>
      </w:r>
      <w:r w:rsidR="00D966A0">
        <w:t xml:space="preserve"> Further consultation would be conducted on the design of the Fact Sheet. </w:t>
      </w:r>
    </w:p>
    <w:p w:rsidR="00B95D19" w:rsidRDefault="00D966A0">
      <w:pPr>
        <w:ind w:left="720"/>
      </w:pPr>
      <w:r>
        <w:rPr>
          <w:i/>
        </w:rPr>
        <w:t>Stakeholder views</w:t>
      </w:r>
      <w:r>
        <w:br/>
      </w:r>
      <w:r w:rsidR="00B95D19">
        <w:t xml:space="preserve">Submissions to the </w:t>
      </w:r>
      <w:r w:rsidR="008B13A7">
        <w:t>consultation paper</w:t>
      </w:r>
      <w:r w:rsidR="00B95D19">
        <w:t xml:space="preserve"> showed t</w:t>
      </w:r>
      <w:r w:rsidR="00B95D19">
        <w:rPr>
          <w:rFonts w:cstheme="minorHAnsi"/>
        </w:rPr>
        <w:t xml:space="preserve">here was a general consensus amongst stakeholders that the provision of </w:t>
      </w:r>
      <w:r w:rsidR="00B95D19">
        <w:rPr>
          <w:rFonts w:cstheme="minorHAnsi"/>
          <w:i/>
        </w:rPr>
        <w:t>more</w:t>
      </w:r>
      <w:r w:rsidR="00B95D19">
        <w:rPr>
          <w:rFonts w:cstheme="minorHAnsi"/>
        </w:rPr>
        <w:t xml:space="preserve"> information was not necessarily desirable. Rather, the focus should be on </w:t>
      </w:r>
      <w:r w:rsidR="00B95D19" w:rsidRPr="003E146E">
        <w:t>appropriate</w:t>
      </w:r>
      <w:r w:rsidR="00B95D19">
        <w:rPr>
          <w:rFonts w:cstheme="minorHAnsi"/>
        </w:rPr>
        <w:t xml:space="preserve"> information being provided in a concise form, including relevant leasing information. </w:t>
      </w:r>
      <w:r w:rsidR="00474B0A" w:rsidRPr="00736845">
        <w:t xml:space="preserve">Many stakeholders stated that current disclosure is too complex and needs to be made simpler and more relevant.  </w:t>
      </w:r>
      <w:r w:rsidR="00B95D19">
        <w:t xml:space="preserve"> </w:t>
      </w:r>
    </w:p>
    <w:p w:rsidR="00B95D19" w:rsidRPr="00200C57" w:rsidRDefault="00B95D19" w:rsidP="00B95D19">
      <w:pPr>
        <w:pStyle w:val="Heading4"/>
      </w:pPr>
      <w:r w:rsidRPr="003E146E">
        <w:rPr>
          <w:rFonts w:asciiTheme="minorHAnsi" w:eastAsiaTheme="minorHAnsi" w:hAnsiTheme="minorHAnsi" w:cstheme="minorBidi"/>
          <w:b/>
          <w:i w:val="0"/>
          <w:color w:val="auto"/>
        </w:rPr>
        <w:t>Electronic and hard copy disclosure documents</w:t>
      </w:r>
      <w:r w:rsidRPr="00200C57">
        <w:t xml:space="preserve"> </w:t>
      </w:r>
    </w:p>
    <w:p w:rsidR="00F80CEB" w:rsidRDefault="00B95D19" w:rsidP="003E146E">
      <w:r>
        <w:t xml:space="preserve">Under this option franchisors would be required to provide disclosure documentation in electronic form. </w:t>
      </w:r>
      <w:r w:rsidRPr="001E7294">
        <w:t>Having access to an electronic copy would allow prospective franchisee</w:t>
      </w:r>
      <w:r>
        <w:t>s</w:t>
      </w:r>
      <w:r w:rsidRPr="001E7294">
        <w:t xml:space="preserve"> </w:t>
      </w:r>
      <w:r>
        <w:t>to more easily share disclosure documentation with</w:t>
      </w:r>
      <w:r w:rsidR="002D53DE">
        <w:t xml:space="preserve"> relevant professional advisors and</w:t>
      </w:r>
      <w:r w:rsidRPr="001E7294">
        <w:t xml:space="preserve"> </w:t>
      </w:r>
      <w:r>
        <w:t>more easily</w:t>
      </w:r>
      <w:r w:rsidRPr="001E7294">
        <w:t xml:space="preserve"> search for information.</w:t>
      </w:r>
      <w:r>
        <w:t xml:space="preserve"> </w:t>
      </w:r>
    </w:p>
    <w:p w:rsidR="00B95D19" w:rsidRDefault="00F80CEB">
      <w:pPr>
        <w:ind w:left="720"/>
      </w:pPr>
      <w:r>
        <w:rPr>
          <w:i/>
        </w:rPr>
        <w:t>Stakeholder views</w:t>
      </w:r>
      <w:r w:rsidR="00B95D19">
        <w:br/>
        <w:t xml:space="preserve">Submissions to the </w:t>
      </w:r>
      <w:r w:rsidR="008B13A7">
        <w:t>consultation paper</w:t>
      </w:r>
      <w:r w:rsidR="00B95D19">
        <w:t xml:space="preserve"> process showed that </w:t>
      </w:r>
      <w:r w:rsidR="00B95D19">
        <w:rPr>
          <w:rFonts w:cstheme="minorHAnsi"/>
        </w:rPr>
        <w:t>there was general support for electronic disclosure.</w:t>
      </w:r>
    </w:p>
    <w:p w:rsidR="00B95D19" w:rsidRPr="003E146E" w:rsidRDefault="00B95D19" w:rsidP="00B95D19">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lastRenderedPageBreak/>
        <w:t>Separate information statement</w:t>
      </w:r>
    </w:p>
    <w:p w:rsidR="00875B23" w:rsidRDefault="00B95D19" w:rsidP="003E146E">
      <w:r>
        <w:t xml:space="preserve">Under this option it would be made clear the information statement (Annexure 2 of the Franchising Code) should be provided as a separate document </w:t>
      </w:r>
      <w:r w:rsidRPr="00EE12EF">
        <w:t>to the</w:t>
      </w:r>
      <w:r>
        <w:t xml:space="preserve"> rest of the disclosure material</w:t>
      </w:r>
      <w:r w:rsidRPr="00EE12EF">
        <w:t xml:space="preserve">. </w:t>
      </w:r>
      <w:r>
        <w:t>This change is intended to make it more likely the information statement will be read before the prospective franchisee commits to entering the agreement.</w:t>
      </w:r>
      <w:r w:rsidR="002D53DE">
        <w:t xml:space="preserve"> </w:t>
      </w:r>
    </w:p>
    <w:p w:rsidR="00B95D19" w:rsidRDefault="00875B23">
      <w:pPr>
        <w:ind w:left="720"/>
      </w:pPr>
      <w:r>
        <w:rPr>
          <w:i/>
        </w:rPr>
        <w:t xml:space="preserve">Stakeholder views </w:t>
      </w:r>
      <w:r>
        <w:br/>
      </w:r>
      <w:r w:rsidR="00B95D19">
        <w:t xml:space="preserve">Stakeholders have not raised any significant objections to this recommendation. </w:t>
      </w:r>
    </w:p>
    <w:p w:rsidR="00B95D19" w:rsidRPr="003E146E" w:rsidRDefault="00B95D19" w:rsidP="00B95D19">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t xml:space="preserve">Provision of the ACCC’s Franchisee Manual to prospective franchisees </w:t>
      </w:r>
    </w:p>
    <w:p w:rsidR="00875B23" w:rsidRDefault="002D53DE" w:rsidP="00B95D19">
      <w:r>
        <w:t>A</w:t>
      </w:r>
      <w:r w:rsidR="00B95D19">
        <w:t xml:space="preserve"> franchisor would be required to provide </w:t>
      </w:r>
      <w:r>
        <w:t>a</w:t>
      </w:r>
      <w:r w:rsidR="00B95D19">
        <w:t xml:space="preserve"> prospective franchisee with the ACCC’s Franchisee Manual when it first provides the disclosure document. </w:t>
      </w:r>
    </w:p>
    <w:p w:rsidR="00B95D19" w:rsidRDefault="00875B23">
      <w:pPr>
        <w:ind w:left="720"/>
      </w:pPr>
      <w:r>
        <w:rPr>
          <w:i/>
        </w:rPr>
        <w:t xml:space="preserve">Stakeholder views </w:t>
      </w:r>
      <w:r>
        <w:br/>
      </w:r>
      <w:r w:rsidR="00B95D19">
        <w:t>Concerns were not raised by stakeholders in relation to this recommendation</w:t>
      </w:r>
      <w:r w:rsidR="002D53DE">
        <w:t xml:space="preserve"> by the PJC and </w:t>
      </w:r>
      <w:r w:rsidR="00B95D19">
        <w:t>is expected to have only a most minimal regulatory burden on franchisors.</w:t>
      </w:r>
    </w:p>
    <w:p w:rsidR="00B95D19" w:rsidRPr="003E146E" w:rsidRDefault="00B95D19" w:rsidP="00B95D19">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t>Financial disclosure in disclosure document</w:t>
      </w:r>
    </w:p>
    <w:p w:rsidR="00B95D19" w:rsidRDefault="00713EA8" w:rsidP="00B95D19">
      <w:r>
        <w:t xml:space="preserve">Under this option, the </w:t>
      </w:r>
      <w:r w:rsidR="00B95D19">
        <w:t xml:space="preserve">Government </w:t>
      </w:r>
      <w:r>
        <w:t>would</w:t>
      </w:r>
      <w:r w:rsidR="00B95D19">
        <w:t xml:space="preserve"> </w:t>
      </w:r>
      <w:r w:rsidR="00B95D19" w:rsidRPr="00B24BBC">
        <w:rPr>
          <w:color w:val="000000" w:themeColor="text1"/>
        </w:rPr>
        <w:t xml:space="preserve">amend the Franchising Code so that </w:t>
      </w:r>
      <w:r w:rsidR="00B95D19">
        <w:rPr>
          <w:color w:val="000000" w:themeColor="text1"/>
        </w:rPr>
        <w:t xml:space="preserve">any </w:t>
      </w:r>
      <w:r w:rsidR="00B95D19" w:rsidRPr="00B24BBC">
        <w:rPr>
          <w:color w:val="000000" w:themeColor="text1"/>
        </w:rPr>
        <w:t xml:space="preserve">financial information must be </w:t>
      </w:r>
      <w:r w:rsidR="00B95D19">
        <w:rPr>
          <w:color w:val="000000" w:themeColor="text1"/>
        </w:rPr>
        <w:t>part of the disclosure document</w:t>
      </w:r>
      <w:r w:rsidR="006A3963">
        <w:rPr>
          <w:color w:val="000000" w:themeColor="text1"/>
        </w:rPr>
        <w:t xml:space="preserve"> (and not provided separately)</w:t>
      </w:r>
      <w:r w:rsidR="00B95D19">
        <w:rPr>
          <w:color w:val="000000" w:themeColor="text1"/>
        </w:rPr>
        <w:t xml:space="preserve">. </w:t>
      </w:r>
    </w:p>
    <w:p w:rsidR="00764069" w:rsidRPr="0047018C" w:rsidRDefault="00875B23" w:rsidP="00764069">
      <w:pPr>
        <w:ind w:left="720"/>
        <w:rPr>
          <w:i/>
        </w:rPr>
      </w:pPr>
      <w:r>
        <w:rPr>
          <w:i/>
        </w:rPr>
        <w:t xml:space="preserve">Stakeholder views </w:t>
      </w:r>
      <w:r>
        <w:rPr>
          <w:i/>
        </w:rPr>
        <w:br/>
      </w:r>
      <w:r w:rsidR="000160C4">
        <w:rPr>
          <w:rFonts w:cstheme="minorHAnsi"/>
        </w:rPr>
        <w:t xml:space="preserve">No significant concerns were raised about the inclusion of financial information, where </w:t>
      </w:r>
      <w:r w:rsidR="00FB640B">
        <w:rPr>
          <w:rFonts w:cstheme="minorHAnsi"/>
        </w:rPr>
        <w:t>provided</w:t>
      </w:r>
      <w:r w:rsidR="000160C4">
        <w:rPr>
          <w:rFonts w:cstheme="minorHAnsi"/>
        </w:rPr>
        <w:t>, in the disclosure document.</w:t>
      </w:r>
      <w:r w:rsidR="00431FE5">
        <w:rPr>
          <w:rFonts w:cstheme="minorHAnsi"/>
        </w:rPr>
        <w:t xml:space="preserve"> </w:t>
      </w:r>
    </w:p>
    <w:p w:rsidR="00B95D19" w:rsidRPr="003E146E" w:rsidRDefault="00B95D19" w:rsidP="00B95D19">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t>Increase transparency around retail leasing</w:t>
      </w:r>
    </w:p>
    <w:p w:rsidR="00B95D19" w:rsidRDefault="00713EA8" w:rsidP="00B95D19">
      <w:pPr>
        <w:spacing w:after="240"/>
      </w:pPr>
      <w:r>
        <w:t xml:space="preserve">Under this option, the </w:t>
      </w:r>
      <w:r w:rsidR="00B95D19">
        <w:t xml:space="preserve">Government </w:t>
      </w:r>
      <w:r>
        <w:t>would</w:t>
      </w:r>
      <w:r w:rsidR="00B95D19">
        <w:t xml:space="preserve"> </w:t>
      </w:r>
      <w:r w:rsidR="00B95D19" w:rsidRPr="00F763F7">
        <w:t>implement technical changes to clause 13 of the Franchising Code, to increase transparency surrounding retail leases</w:t>
      </w:r>
      <w:r w:rsidR="00542C85">
        <w:t xml:space="preserve">, </w:t>
      </w:r>
      <w:r w:rsidR="00B95D19" w:rsidRPr="00F763F7">
        <w:t>subject to consultation with the sector to ensure there are no unintended consequences</w:t>
      </w:r>
      <w:r w:rsidR="00542C85">
        <w:t>.</w:t>
      </w:r>
      <w:r w:rsidR="00B95D19" w:rsidRPr="00F763F7">
        <w:t xml:space="preserve"> </w:t>
      </w:r>
      <w:r w:rsidR="00542C85">
        <w:t>F</w:t>
      </w:r>
      <w:r w:rsidR="00B95D19" w:rsidRPr="00F763F7">
        <w:t>ranchisors will not need to provide documents they do not possess</w:t>
      </w:r>
      <w:r w:rsidR="00B95D19">
        <w:t>.</w:t>
      </w:r>
    </w:p>
    <w:p w:rsidR="00B95D19" w:rsidRDefault="00875B23">
      <w:pPr>
        <w:ind w:left="720"/>
      </w:pPr>
      <w:r>
        <w:rPr>
          <w:i/>
        </w:rPr>
        <w:t xml:space="preserve">Stakeholder views </w:t>
      </w:r>
      <w:r>
        <w:br/>
      </w:r>
      <w:r w:rsidR="00B95D19">
        <w:t>Franchisors have indicated that s</w:t>
      </w:r>
      <w:r w:rsidR="00B95D19" w:rsidRPr="00157B44">
        <w:t>ite negotiation can take a significant period of time</w:t>
      </w:r>
      <w:r w:rsidR="00B95D19">
        <w:t>,</w:t>
      </w:r>
      <w:r w:rsidR="00B95D19" w:rsidRPr="00157B44">
        <w:t xml:space="preserve"> such that providing franchisees with a right to ‘cool off’ until a site is </w:t>
      </w:r>
      <w:r w:rsidR="004E1A10">
        <w:t xml:space="preserve">formally </w:t>
      </w:r>
      <w:r w:rsidR="00B95D19" w:rsidRPr="00157B44">
        <w:t xml:space="preserve">agreed (including the cost) would see the franchisor faced with an extended period of uncertainty. Further, where a franchisor signs a head lessee and then the franchisee </w:t>
      </w:r>
      <w:proofErr w:type="spellStart"/>
      <w:r w:rsidR="00B95D19" w:rsidRPr="00157B44">
        <w:t>utilises</w:t>
      </w:r>
      <w:proofErr w:type="spellEnd"/>
      <w:r w:rsidR="00B95D19" w:rsidRPr="00157B44">
        <w:t xml:space="preserve"> their cooling off right, this may leave the franchisor with a premises, but no franchisee to run the business.  </w:t>
      </w:r>
      <w:r w:rsidR="00B95D19">
        <w:t xml:space="preserve">However, franchisees raised concerns that they </w:t>
      </w:r>
      <w:r w:rsidR="00B95D19" w:rsidRPr="00C16C1D">
        <w:t xml:space="preserve">cannot make reasonable assessments of the value (including costs, obligations, benefits and risks) of a franchise business without </w:t>
      </w:r>
      <w:r w:rsidR="00B95D19">
        <w:t>knowing the terms of the lease.</w:t>
      </w:r>
    </w:p>
    <w:p w:rsidR="00B95D19" w:rsidRPr="003E146E" w:rsidRDefault="00B95D19" w:rsidP="00B95D19">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t>Improved disclosure around supplier rebates</w:t>
      </w:r>
    </w:p>
    <w:p w:rsidR="00B95D19" w:rsidRDefault="00713EA8" w:rsidP="00B95D19">
      <w:r>
        <w:t xml:space="preserve">Under this option, the </w:t>
      </w:r>
      <w:r w:rsidR="00B95D19" w:rsidRPr="008A51B1">
        <w:t xml:space="preserve">Government </w:t>
      </w:r>
      <w:r>
        <w:t>would</w:t>
      </w:r>
      <w:r w:rsidR="00B95D19" w:rsidRPr="008A51B1">
        <w:t xml:space="preserve"> amend the Franchising Code to require franchisors to disclose information on supplier rebates, commissions and </w:t>
      </w:r>
      <w:r w:rsidR="00B95D19">
        <w:t>other payments</w:t>
      </w:r>
      <w:r w:rsidR="00B95D19" w:rsidRPr="008A51B1">
        <w:t xml:space="preserve"> and to disclose </w:t>
      </w:r>
      <w:r w:rsidR="00B95D19">
        <w:t xml:space="preserve">whether a </w:t>
      </w:r>
      <w:r w:rsidR="00B95D19" w:rsidRPr="008A51B1">
        <w:t>master franchisor controls</w:t>
      </w:r>
      <w:r w:rsidR="00B95D19">
        <w:t xml:space="preserve"> and/or receives rebates from suppliers</w:t>
      </w:r>
      <w:r w:rsidR="00B95D19" w:rsidRPr="008A51B1">
        <w:t>.</w:t>
      </w:r>
    </w:p>
    <w:p w:rsidR="00B95D19" w:rsidRPr="008A51B1" w:rsidRDefault="005917A1" w:rsidP="00AB3E45">
      <w:pPr>
        <w:ind w:left="720"/>
      </w:pPr>
      <w:r>
        <w:rPr>
          <w:i/>
        </w:rPr>
        <w:t>Stakeholder views</w:t>
      </w:r>
      <w:r>
        <w:br/>
      </w:r>
      <w:r w:rsidR="00B95D19">
        <w:t xml:space="preserve">Submissions to the </w:t>
      </w:r>
      <w:r w:rsidR="008B13A7">
        <w:t>consultation paper</w:t>
      </w:r>
      <w:r w:rsidR="00B95D19">
        <w:t xml:space="preserve"> process showed that stakeholders </w:t>
      </w:r>
      <w:r w:rsidR="002D53DE">
        <w:t xml:space="preserve">did not </w:t>
      </w:r>
      <w:r w:rsidR="00B95D19">
        <w:t xml:space="preserve">agree about the extent of disclosure of supplier rebates and whether third line forcing could be used to exploit franchisees. There was considerable support however for the amount of rebates received to be included as a line in franchisors’ profit-and-loss statement. A number </w:t>
      </w:r>
      <w:r w:rsidR="00B95D19">
        <w:lastRenderedPageBreak/>
        <w:t xml:space="preserve">of franchisors argued that the unintended consequences of regulating rebates could be </w:t>
      </w:r>
      <w:proofErr w:type="spellStart"/>
      <w:r w:rsidR="00B95D19">
        <w:t>standardised</w:t>
      </w:r>
      <w:proofErr w:type="spellEnd"/>
      <w:r w:rsidR="00B95D19">
        <w:t xml:space="preserve"> pricing and reduced incentives to negotiate better deals.</w:t>
      </w:r>
    </w:p>
    <w:p w:rsidR="00B95D19" w:rsidRPr="003E146E" w:rsidRDefault="00B95D19" w:rsidP="00B95D19">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t>Extend cooling off and parameters to trigger start of cooling off period</w:t>
      </w:r>
    </w:p>
    <w:p w:rsidR="00B95D19" w:rsidRPr="00DD6BE6" w:rsidRDefault="00713EA8" w:rsidP="003E146E">
      <w:pPr>
        <w:rPr>
          <w:rFonts w:ascii="Calibri" w:eastAsia="Times New Roman" w:hAnsi="Calibri" w:cs="Calibri"/>
          <w:color w:val="000000" w:themeColor="text1"/>
          <w:szCs w:val="16"/>
          <w:lang w:eastAsia="en-AU"/>
        </w:rPr>
      </w:pPr>
      <w:r>
        <w:t xml:space="preserve">Under this option, the </w:t>
      </w:r>
      <w:r w:rsidR="00B95D19">
        <w:t xml:space="preserve">Government </w:t>
      </w:r>
      <w:r>
        <w:t>would</w:t>
      </w:r>
      <w:r w:rsidR="00B95D19">
        <w:t xml:space="preserve"> amend </w:t>
      </w:r>
      <w:r w:rsidR="00B95D19" w:rsidRPr="00DD6BE6">
        <w:rPr>
          <w:rFonts w:ascii="Calibri" w:eastAsia="Times New Roman" w:hAnsi="Calibri" w:cs="Calibri"/>
          <w:color w:val="000000" w:themeColor="text1"/>
          <w:szCs w:val="16"/>
          <w:lang w:eastAsia="en-AU"/>
        </w:rPr>
        <w:t xml:space="preserve">the Franchising Code to allow a franchisee to terminate </w:t>
      </w:r>
      <w:r w:rsidR="00B95D19" w:rsidRPr="003E146E">
        <w:t>any</w:t>
      </w:r>
      <w:r w:rsidR="00B95D19" w:rsidRPr="00DD6BE6">
        <w:rPr>
          <w:rFonts w:ascii="Calibri" w:eastAsia="Times New Roman" w:hAnsi="Calibri" w:cs="Calibri"/>
          <w:color w:val="000000" w:themeColor="text1"/>
          <w:szCs w:val="16"/>
          <w:lang w:eastAsia="en-AU"/>
        </w:rPr>
        <w:t xml:space="preserve"> and all arrangements between the franchisor and franchisee at any time up to 14 days after the last of the following have occurred: </w:t>
      </w:r>
    </w:p>
    <w:p w:rsidR="00B95D19" w:rsidRPr="00DD6BE6" w:rsidRDefault="00B95D19" w:rsidP="007E1447">
      <w:pPr>
        <w:pStyle w:val="ListParagraph"/>
        <w:numPr>
          <w:ilvl w:val="0"/>
          <w:numId w:val="16"/>
        </w:numPr>
        <w:spacing w:after="120" w:line="240" w:lineRule="auto"/>
        <w:ind w:hanging="720"/>
        <w:rPr>
          <w:rFonts w:ascii="Calibri" w:eastAsia="Times New Roman" w:hAnsi="Calibri" w:cs="Calibri"/>
          <w:color w:val="000000" w:themeColor="text1"/>
          <w:szCs w:val="16"/>
          <w:lang w:eastAsia="en-AU"/>
        </w:rPr>
      </w:pPr>
      <w:r w:rsidRPr="00DD6BE6">
        <w:rPr>
          <w:rFonts w:ascii="Calibri" w:eastAsia="Times New Roman" w:hAnsi="Calibri" w:cs="Calibri"/>
          <w:color w:val="000000" w:themeColor="text1"/>
          <w:szCs w:val="16"/>
          <w:lang w:eastAsia="en-AU"/>
        </w:rPr>
        <w:t>a franchise agreement has been signed;</w:t>
      </w:r>
    </w:p>
    <w:p w:rsidR="00B95D19" w:rsidRPr="00DD6BE6" w:rsidRDefault="00B95D19" w:rsidP="007E1447">
      <w:pPr>
        <w:pStyle w:val="ListParagraph"/>
        <w:numPr>
          <w:ilvl w:val="0"/>
          <w:numId w:val="16"/>
        </w:numPr>
        <w:spacing w:after="120" w:line="240" w:lineRule="auto"/>
        <w:ind w:hanging="720"/>
        <w:rPr>
          <w:rFonts w:ascii="Calibri" w:eastAsia="Times New Roman" w:hAnsi="Calibri" w:cs="Calibri"/>
          <w:color w:val="000000" w:themeColor="text1"/>
          <w:szCs w:val="16"/>
          <w:lang w:eastAsia="en-AU"/>
        </w:rPr>
      </w:pPr>
      <w:r w:rsidRPr="00DD6BE6">
        <w:rPr>
          <w:rFonts w:ascii="Calibri" w:eastAsia="Times New Roman" w:hAnsi="Calibri" w:cs="Calibri"/>
          <w:color w:val="000000" w:themeColor="text1"/>
          <w:szCs w:val="16"/>
          <w:lang w:eastAsia="en-AU"/>
        </w:rPr>
        <w:t>a payment has been made by the franchisee to the franchisor;</w:t>
      </w:r>
    </w:p>
    <w:p w:rsidR="00B95D19" w:rsidRPr="00DD6BE6" w:rsidRDefault="00B95D19" w:rsidP="007E1447">
      <w:pPr>
        <w:pStyle w:val="ListParagraph"/>
        <w:numPr>
          <w:ilvl w:val="0"/>
          <w:numId w:val="16"/>
        </w:numPr>
        <w:spacing w:after="120" w:line="240" w:lineRule="auto"/>
        <w:ind w:hanging="720"/>
        <w:rPr>
          <w:rFonts w:ascii="Calibri" w:eastAsia="Times New Roman" w:hAnsi="Calibri" w:cs="Calibri"/>
          <w:color w:val="000000" w:themeColor="text1"/>
          <w:szCs w:val="16"/>
          <w:lang w:eastAsia="en-AU"/>
        </w:rPr>
      </w:pPr>
      <w:r w:rsidRPr="00DD6BE6">
        <w:rPr>
          <w:rFonts w:ascii="Calibri" w:eastAsia="Times New Roman" w:hAnsi="Calibri" w:cs="Calibri"/>
          <w:color w:val="000000" w:themeColor="text1"/>
          <w:szCs w:val="16"/>
          <w:lang w:eastAsia="en-AU"/>
        </w:rPr>
        <w:t xml:space="preserve">the required disclosure documents set out in the recommendations in Chapter 6 of the report have been received by the franchisee, within the required disclosure period; and </w:t>
      </w:r>
    </w:p>
    <w:p w:rsidR="00B95D19" w:rsidRDefault="00B95D19" w:rsidP="007E1447">
      <w:pPr>
        <w:pStyle w:val="ListParagraph"/>
        <w:numPr>
          <w:ilvl w:val="0"/>
          <w:numId w:val="16"/>
        </w:numPr>
        <w:spacing w:after="120" w:line="240" w:lineRule="auto"/>
        <w:ind w:hanging="720"/>
        <w:rPr>
          <w:rFonts w:ascii="Calibri" w:eastAsia="Times New Roman" w:hAnsi="Calibri" w:cs="Calibri"/>
          <w:color w:val="000000" w:themeColor="text1"/>
          <w:szCs w:val="16"/>
          <w:lang w:eastAsia="en-AU"/>
        </w:rPr>
      </w:pPr>
      <w:proofErr w:type="gramStart"/>
      <w:r w:rsidRPr="00DD6BE6">
        <w:rPr>
          <w:rFonts w:ascii="Calibri" w:eastAsia="Times New Roman" w:hAnsi="Calibri" w:cs="Calibri"/>
          <w:color w:val="000000" w:themeColor="text1"/>
          <w:szCs w:val="16"/>
          <w:lang w:eastAsia="en-AU"/>
        </w:rPr>
        <w:t>where</w:t>
      </w:r>
      <w:proofErr w:type="gramEnd"/>
      <w:r w:rsidRPr="00DD6BE6">
        <w:rPr>
          <w:rFonts w:ascii="Calibri" w:eastAsia="Times New Roman" w:hAnsi="Calibri" w:cs="Calibri"/>
          <w:color w:val="000000" w:themeColor="text1"/>
          <w:szCs w:val="16"/>
          <w:lang w:eastAsia="en-AU"/>
        </w:rPr>
        <w:t xml:space="preserve"> the franchisor is the lessor or an associate of the lessor, the franchisee has received a document setting out the terms of the lease provided that the final lease is substantially similar to the terms provided.  </w:t>
      </w:r>
    </w:p>
    <w:p w:rsidR="007E1447" w:rsidRDefault="007E1447">
      <w:pPr>
        <w:pStyle w:val="ListParagraph"/>
        <w:spacing w:after="120" w:line="240" w:lineRule="auto"/>
        <w:rPr>
          <w:rFonts w:ascii="Calibri" w:eastAsia="Times New Roman" w:hAnsi="Calibri" w:cs="Calibri"/>
          <w:color w:val="000000" w:themeColor="text1"/>
          <w:szCs w:val="16"/>
          <w:lang w:eastAsia="en-AU"/>
        </w:rPr>
      </w:pPr>
    </w:p>
    <w:p w:rsidR="007E1447" w:rsidRPr="007E1447" w:rsidRDefault="007E1447">
      <w:pPr>
        <w:pStyle w:val="ListParagraph"/>
        <w:rPr>
          <w:i/>
        </w:rPr>
      </w:pPr>
      <w:r w:rsidRPr="007E1447">
        <w:rPr>
          <w:i/>
        </w:rPr>
        <w:t xml:space="preserve">Stakeholder views </w:t>
      </w:r>
      <w:r w:rsidRPr="007E1447">
        <w:rPr>
          <w:i/>
        </w:rPr>
        <w:br/>
      </w:r>
      <w:r w:rsidR="00433775" w:rsidRPr="00433775">
        <w:t>Stakeholders have stated that the cooling off period is only beneficial if there is adequate and transparent disclosure of the costs involved</w:t>
      </w:r>
      <w:r w:rsidR="00433775">
        <w:t xml:space="preserve">. </w:t>
      </w:r>
      <w:r w:rsidR="004960CB">
        <w:t xml:space="preserve">Stakeholders did not support mandating the provision of a signed lease as a condition of triggering the cooling off period due to the significant risk and difficulties put on the franchisor in doing so. Instead, there was considerable support </w:t>
      </w:r>
      <w:r w:rsidR="00066D6D">
        <w:t>to replace that condition with the requirement to provide</w:t>
      </w:r>
      <w:r w:rsidR="004960CB">
        <w:t xml:space="preserve"> of the terms of the lease</w:t>
      </w:r>
      <w:r w:rsidR="00066D6D">
        <w:t>.</w:t>
      </w:r>
      <w:r w:rsidR="00433775" w:rsidRPr="00433775">
        <w:t xml:space="preserve"> </w:t>
      </w:r>
    </w:p>
    <w:p w:rsidR="00B95D19" w:rsidRPr="003E146E" w:rsidRDefault="00B95D19" w:rsidP="00B95D19">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t>Cooling off rights extended to transfers</w:t>
      </w:r>
    </w:p>
    <w:p w:rsidR="00B95D19" w:rsidRDefault="008A25C3" w:rsidP="003E146E">
      <w:r>
        <w:t>Under this option, c</w:t>
      </w:r>
      <w:r w:rsidR="00B95D19" w:rsidRPr="00210AB3">
        <w:t>ooling off rights</w:t>
      </w:r>
      <w:r>
        <w:t xml:space="preserve"> would</w:t>
      </w:r>
      <w:r w:rsidR="00B95D19">
        <w:t xml:space="preserve"> be extended to the transfer of an agreement to a new franchisee and where the franchisee enters a substantially new agreement with the franchisor (a deemed transfer) but not to renewals or extensions.</w:t>
      </w:r>
    </w:p>
    <w:p w:rsidR="008A25C3" w:rsidRPr="00A30CB8" w:rsidDel="003C3CF8" w:rsidRDefault="008A5B56" w:rsidP="00910385">
      <w:pPr>
        <w:ind w:left="720"/>
      </w:pPr>
      <w:r w:rsidRPr="007E1447">
        <w:rPr>
          <w:i/>
        </w:rPr>
        <w:t>Stakeholder views</w:t>
      </w:r>
      <w:r>
        <w:br/>
      </w:r>
      <w:proofErr w:type="gramStart"/>
      <w:r w:rsidR="00910385">
        <w:t>There</w:t>
      </w:r>
      <w:proofErr w:type="gramEnd"/>
      <w:r w:rsidR="00910385">
        <w:t xml:space="preserve"> was general support for the view that</w:t>
      </w:r>
      <w:r w:rsidR="008A25C3" w:rsidRPr="008A25C3">
        <w:t xml:space="preserve"> a new franchisee should not be disadvantaged because they are purchasing from another franchisee, as opposed to the franchisor.</w:t>
      </w:r>
    </w:p>
    <w:p w:rsidR="00B95D19" w:rsidRPr="003E146E" w:rsidRDefault="00B95D19" w:rsidP="00B95D19">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t>Amend the relevant clauses of the Franchising Code to apply recent automotive franchising changes</w:t>
      </w:r>
      <w:r w:rsidR="00E10212">
        <w:rPr>
          <w:rFonts w:asciiTheme="minorHAnsi" w:eastAsiaTheme="minorHAnsi" w:hAnsiTheme="minorHAnsi" w:cstheme="minorBidi"/>
          <w:b/>
          <w:i w:val="0"/>
          <w:iCs w:val="0"/>
          <w:color w:val="auto"/>
        </w:rPr>
        <w:t xml:space="preserve"> relating to capital expenditure </w:t>
      </w:r>
    </w:p>
    <w:p w:rsidR="00B95D19" w:rsidRDefault="00B95D19" w:rsidP="00B95D19">
      <w:r>
        <w:t xml:space="preserve">The Government recently amended the Franchising Code to strengthen the right of franchisees in the automotive sector when a franchisor </w:t>
      </w:r>
      <w:r w:rsidR="006A33D5">
        <w:t>requires a franchisee to make a</w:t>
      </w:r>
      <w:r>
        <w:t xml:space="preserve"> significant capital expenditure. Those amendments will be expanded to apply to the broader franchising sector.</w:t>
      </w:r>
    </w:p>
    <w:p w:rsidR="00B95D19" w:rsidRDefault="00B95D19" w:rsidP="00B95D19">
      <w:r>
        <w:t>This means that before agreements are signed, there will be increased transparency and communication about when capital expenditure will be required, including the circumstances under which the franchisee is likely to recoup the expenditure.</w:t>
      </w:r>
    </w:p>
    <w:p w:rsidR="00B95D19" w:rsidRDefault="00B95D19" w:rsidP="00B95D19">
      <w:r>
        <w:t>Franchisors and franchisees will be obligated to discuss significant capital expenditure requirements prior to entering an agreement</w:t>
      </w:r>
      <w:r w:rsidR="008A6CB2">
        <w:t>.</w:t>
      </w:r>
      <w:r w:rsidR="006A33D5">
        <w:t xml:space="preserve"> </w:t>
      </w:r>
      <w:r>
        <w:t>The franchisor must include as much information as practicable about the expenditure in the disclosure document, including:</w:t>
      </w:r>
    </w:p>
    <w:p w:rsidR="00B95D19" w:rsidRPr="009F446B" w:rsidRDefault="00B95D19">
      <w:pPr>
        <w:pStyle w:val="ListParagraph"/>
        <w:numPr>
          <w:ilvl w:val="0"/>
          <w:numId w:val="33"/>
        </w:numPr>
        <w:spacing w:after="120" w:line="240" w:lineRule="auto"/>
        <w:ind w:hanging="720"/>
        <w:rPr>
          <w:rFonts w:ascii="Calibri" w:eastAsia="Times New Roman" w:hAnsi="Calibri" w:cs="Calibri"/>
          <w:color w:val="000000" w:themeColor="text1"/>
          <w:szCs w:val="16"/>
          <w:lang w:eastAsia="en-AU"/>
        </w:rPr>
      </w:pPr>
      <w:r w:rsidRPr="009F446B">
        <w:rPr>
          <w:rFonts w:ascii="Calibri" w:eastAsia="Times New Roman" w:hAnsi="Calibri" w:cs="Calibri"/>
          <w:color w:val="000000" w:themeColor="text1"/>
          <w:szCs w:val="16"/>
          <w:lang w:eastAsia="en-AU"/>
        </w:rPr>
        <w:t>the rationale for the expenditure;</w:t>
      </w:r>
    </w:p>
    <w:p w:rsidR="00B95D19" w:rsidRPr="009F446B" w:rsidRDefault="00B95D19">
      <w:pPr>
        <w:pStyle w:val="ListParagraph"/>
        <w:numPr>
          <w:ilvl w:val="0"/>
          <w:numId w:val="33"/>
        </w:numPr>
        <w:spacing w:after="120" w:line="240" w:lineRule="auto"/>
        <w:ind w:hanging="720"/>
        <w:rPr>
          <w:rFonts w:ascii="Calibri" w:eastAsia="Times New Roman" w:hAnsi="Calibri" w:cs="Calibri"/>
          <w:color w:val="000000" w:themeColor="text1"/>
          <w:szCs w:val="16"/>
          <w:lang w:eastAsia="en-AU"/>
        </w:rPr>
      </w:pPr>
      <w:r w:rsidRPr="009F446B">
        <w:rPr>
          <w:rFonts w:ascii="Calibri" w:eastAsia="Times New Roman" w:hAnsi="Calibri" w:cs="Calibri"/>
          <w:color w:val="000000" w:themeColor="text1"/>
          <w:szCs w:val="16"/>
          <w:lang w:eastAsia="en-AU"/>
        </w:rPr>
        <w:t>the amount, timing and nature of the expenditure;</w:t>
      </w:r>
    </w:p>
    <w:p w:rsidR="00B95D19" w:rsidRDefault="00B95D19">
      <w:pPr>
        <w:pStyle w:val="ListParagraph"/>
        <w:numPr>
          <w:ilvl w:val="0"/>
          <w:numId w:val="33"/>
        </w:numPr>
        <w:spacing w:after="120" w:line="240" w:lineRule="auto"/>
        <w:ind w:hanging="720"/>
      </w:pPr>
      <w:r w:rsidRPr="009F446B">
        <w:rPr>
          <w:rFonts w:ascii="Calibri" w:eastAsia="Times New Roman" w:hAnsi="Calibri" w:cs="Calibri"/>
          <w:color w:val="000000" w:themeColor="text1"/>
          <w:szCs w:val="16"/>
          <w:lang w:eastAsia="en-AU"/>
        </w:rPr>
        <w:t>the anticipated outcomes and benefits of the</w:t>
      </w:r>
      <w:r>
        <w:t xml:space="preserve"> expenditure;</w:t>
      </w:r>
    </w:p>
    <w:p w:rsidR="00B95D19" w:rsidRDefault="00B95D19">
      <w:pPr>
        <w:pStyle w:val="ListParagraph"/>
        <w:numPr>
          <w:ilvl w:val="0"/>
          <w:numId w:val="33"/>
        </w:numPr>
        <w:spacing w:after="120" w:line="240" w:lineRule="auto"/>
        <w:ind w:hanging="720"/>
      </w:pPr>
      <w:proofErr w:type="gramStart"/>
      <w:r>
        <w:t>the</w:t>
      </w:r>
      <w:proofErr w:type="gramEnd"/>
      <w:r>
        <w:t xml:space="preserve"> expected risks associated with the expenditure.</w:t>
      </w:r>
    </w:p>
    <w:p w:rsidR="00B95D19" w:rsidRDefault="00B95D19" w:rsidP="00B95D19">
      <w:r>
        <w:lastRenderedPageBreak/>
        <w:t>Franchisors will not be able to impose significant capital expenditure just because they unilaterally conside</w:t>
      </w:r>
      <w:r w:rsidR="003778EB">
        <w:t xml:space="preserve">r there to be a business case. </w:t>
      </w:r>
      <w:r>
        <w:t xml:space="preserve">However, franchisors will still be able to require expenditure when:  </w:t>
      </w:r>
    </w:p>
    <w:p w:rsidR="00B95D19" w:rsidRDefault="00B95D19">
      <w:pPr>
        <w:pStyle w:val="ListParagraph"/>
        <w:numPr>
          <w:ilvl w:val="0"/>
          <w:numId w:val="34"/>
        </w:numPr>
        <w:spacing w:after="120" w:line="240" w:lineRule="auto"/>
        <w:ind w:hanging="720"/>
      </w:pPr>
      <w:r>
        <w:t xml:space="preserve">it is disclosed to the franchisee before they enter the agreement </w:t>
      </w:r>
    </w:p>
    <w:p w:rsidR="00B95D19" w:rsidRDefault="00B95D19">
      <w:pPr>
        <w:pStyle w:val="ListParagraph"/>
        <w:numPr>
          <w:ilvl w:val="0"/>
          <w:numId w:val="34"/>
        </w:numPr>
        <w:spacing w:after="120" w:line="240" w:lineRule="auto"/>
        <w:ind w:hanging="720"/>
      </w:pPr>
      <w:r>
        <w:t xml:space="preserve">is legally required </w:t>
      </w:r>
    </w:p>
    <w:p w:rsidR="00B95D19" w:rsidRDefault="00B95D19">
      <w:pPr>
        <w:pStyle w:val="ListParagraph"/>
        <w:numPr>
          <w:ilvl w:val="0"/>
          <w:numId w:val="34"/>
        </w:numPr>
        <w:spacing w:after="120" w:line="240" w:lineRule="auto"/>
        <w:ind w:hanging="720"/>
      </w:pPr>
      <w:r>
        <w:t xml:space="preserve">it applies to all franchisees and has been approved by a majority of them or </w:t>
      </w:r>
    </w:p>
    <w:p w:rsidR="00B95D19" w:rsidRDefault="00B95D19">
      <w:pPr>
        <w:pStyle w:val="ListParagraph"/>
        <w:numPr>
          <w:ilvl w:val="0"/>
          <w:numId w:val="34"/>
        </w:numPr>
        <w:spacing w:after="120" w:line="240" w:lineRule="auto"/>
        <w:ind w:hanging="720"/>
      </w:pPr>
      <w:proofErr w:type="gramStart"/>
      <w:r>
        <w:t>if</w:t>
      </w:r>
      <w:proofErr w:type="gramEnd"/>
      <w:r>
        <w:t xml:space="preserve"> it applies to a minority of franchisees, has been agreed to by the franchisee.</w:t>
      </w:r>
    </w:p>
    <w:p w:rsidR="009F446B" w:rsidRPr="009F446B" w:rsidRDefault="009F446B">
      <w:pPr>
        <w:spacing w:after="120" w:line="240" w:lineRule="auto"/>
        <w:ind w:left="720"/>
      </w:pPr>
      <w:r w:rsidRPr="009F446B">
        <w:rPr>
          <w:i/>
        </w:rPr>
        <w:t>Stakeholder views</w:t>
      </w:r>
      <w:r w:rsidRPr="009F446B">
        <w:rPr>
          <w:i/>
        </w:rPr>
        <w:br/>
      </w:r>
      <w:proofErr w:type="gramStart"/>
      <w:r w:rsidR="0078205A" w:rsidRPr="00B626FF">
        <w:rPr>
          <w:rFonts w:cstheme="minorHAnsi"/>
        </w:rPr>
        <w:t>There</w:t>
      </w:r>
      <w:proofErr w:type="gramEnd"/>
      <w:r w:rsidR="0078205A" w:rsidRPr="00B626FF">
        <w:rPr>
          <w:rFonts w:cstheme="minorHAnsi"/>
        </w:rPr>
        <w:t xml:space="preserve"> was no clear agreement amongst stakeholders although many agreed that</w:t>
      </w:r>
      <w:r w:rsidR="006A33D5">
        <w:rPr>
          <w:rFonts w:cstheme="minorHAnsi"/>
        </w:rPr>
        <w:t xml:space="preserve"> capital expenditure associated with</w:t>
      </w:r>
      <w:r w:rsidR="0078205A" w:rsidRPr="00B626FF">
        <w:rPr>
          <w:rFonts w:cstheme="minorHAnsi"/>
        </w:rPr>
        <w:t xml:space="preserve"> leasing arrangements in shopping </w:t>
      </w:r>
      <w:proofErr w:type="spellStart"/>
      <w:r w:rsidR="0078205A" w:rsidRPr="00B626FF">
        <w:rPr>
          <w:rFonts w:cstheme="minorHAnsi"/>
        </w:rPr>
        <w:t>centres</w:t>
      </w:r>
      <w:proofErr w:type="spellEnd"/>
      <w:r w:rsidR="0078205A" w:rsidRPr="00B626FF">
        <w:rPr>
          <w:rFonts w:cstheme="minorHAnsi"/>
        </w:rPr>
        <w:t xml:space="preserve"> complicated the issue. </w:t>
      </w:r>
      <w:r w:rsidR="0078205A">
        <w:t>Some stakeholders</w:t>
      </w:r>
      <w:r w:rsidR="0078205A" w:rsidRPr="00B626FF">
        <w:t xml:space="preserve"> suggested that capital expenditure should be commensurate with the timeframe of the </w:t>
      </w:r>
      <w:r w:rsidR="0078205A">
        <w:t xml:space="preserve">franchising </w:t>
      </w:r>
      <w:r w:rsidR="006A33D5">
        <w:t>a</w:t>
      </w:r>
      <w:r w:rsidR="0078205A" w:rsidRPr="00B626FF">
        <w:t>greement so that costs could be recuperated</w:t>
      </w:r>
      <w:r w:rsidR="0078205A">
        <w:t xml:space="preserve"> by the franchisee</w:t>
      </w:r>
      <w:r w:rsidR="0078205A" w:rsidRPr="00B626FF">
        <w:t>.</w:t>
      </w:r>
      <w:r w:rsidR="0078205A" w:rsidDel="0078205A">
        <w:t xml:space="preserve"> </w:t>
      </w:r>
    </w:p>
    <w:p w:rsidR="00B95D19" w:rsidRPr="00E04D13" w:rsidRDefault="005A7657" w:rsidP="003E146E">
      <w:pPr>
        <w:spacing w:after="0"/>
        <w:rPr>
          <w:b/>
        </w:rPr>
      </w:pPr>
      <w:r w:rsidRPr="00E04D13">
        <w:rPr>
          <w:b/>
        </w:rPr>
        <w:t xml:space="preserve">Require </w:t>
      </w:r>
      <w:r w:rsidRPr="00E04D13">
        <w:rPr>
          <w:b/>
          <w:iCs/>
        </w:rPr>
        <w:t>d</w:t>
      </w:r>
      <w:r w:rsidR="00B95D19" w:rsidRPr="00E04D13">
        <w:rPr>
          <w:b/>
        </w:rPr>
        <w:t>isclosure</w:t>
      </w:r>
      <w:r w:rsidRPr="00E04D13">
        <w:rPr>
          <w:b/>
          <w:iCs/>
        </w:rPr>
        <w:t xml:space="preserve"> of </w:t>
      </w:r>
      <w:r w:rsidR="00B95D19" w:rsidRPr="00E04D13">
        <w:rPr>
          <w:b/>
        </w:rPr>
        <w:t>end-of-term arrangements for franchisee goodwill</w:t>
      </w:r>
    </w:p>
    <w:p w:rsidR="00EE7382" w:rsidRDefault="00EE7382" w:rsidP="00B95D19">
      <w:r>
        <w:t>Under</w:t>
      </w:r>
      <w:r w:rsidR="00B95D19">
        <w:t xml:space="preserve"> this </w:t>
      </w:r>
      <w:r>
        <w:t xml:space="preserve">option, the Government would require franchisors to </w:t>
      </w:r>
      <w:r w:rsidR="00B46642">
        <w:t>disclose</w:t>
      </w:r>
      <w:r>
        <w:t xml:space="preserve"> </w:t>
      </w:r>
      <w:r w:rsidRPr="00EE7382">
        <w:t>end-of-term arrangements for franchisee goodwill</w:t>
      </w:r>
      <w:r>
        <w:t xml:space="preserve"> </w:t>
      </w:r>
      <w:r w:rsidR="00B46642">
        <w:t xml:space="preserve">(if any) </w:t>
      </w:r>
      <w:r>
        <w:t>in the disclosure document.</w:t>
      </w:r>
      <w:r w:rsidR="00B46642" w:rsidRPr="00B46642">
        <w:t xml:space="preserve"> </w:t>
      </w:r>
    </w:p>
    <w:p w:rsidR="008A6CB2" w:rsidRPr="00FE2F5D" w:rsidRDefault="00B46642" w:rsidP="00FE2F5D">
      <w:pPr>
        <w:ind w:left="720"/>
      </w:pPr>
      <w:r>
        <w:rPr>
          <w:i/>
        </w:rPr>
        <w:t xml:space="preserve">Stakeholder views </w:t>
      </w:r>
      <w:r>
        <w:br/>
      </w:r>
      <w:r w:rsidR="00B95D19">
        <w:t>Stakeholders have indicated this</w:t>
      </w:r>
      <w:r w:rsidR="00EE7382">
        <w:t xml:space="preserve"> measure</w:t>
      </w:r>
      <w:r w:rsidR="00B95D19">
        <w:t xml:space="preserve"> would </w:t>
      </w:r>
      <w:r w:rsidR="00EE7382">
        <w:t xml:space="preserve">help align </w:t>
      </w:r>
      <w:r w:rsidR="00B95D19">
        <w:t xml:space="preserve">franchisees’ and franchisors’ expectations at disclosure, and assist franchisees in making a more informed decision before entering into the franchise agreement. Stakeholders have </w:t>
      </w:r>
      <w:r w:rsidR="00EE7382">
        <w:t>further</w:t>
      </w:r>
      <w:r w:rsidR="00B95D19">
        <w:t xml:space="preserve"> indicated this could help </w:t>
      </w:r>
      <w:proofErr w:type="spellStart"/>
      <w:r w:rsidR="00B95D19">
        <w:t>minimise</w:t>
      </w:r>
      <w:proofErr w:type="spellEnd"/>
      <w:r w:rsidR="00B95D19">
        <w:t xml:space="preserve"> disputes at the end of, or at a later point, in the agreement.  </w:t>
      </w:r>
    </w:p>
    <w:p w:rsidR="00D911AE" w:rsidRPr="003E146E" w:rsidRDefault="00D911AE" w:rsidP="006018AA">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t>Require master franchisors to meet requirements of marketing funds</w:t>
      </w:r>
    </w:p>
    <w:p w:rsidR="00786A06" w:rsidRDefault="00786A06" w:rsidP="006018AA">
      <w:r>
        <w:t xml:space="preserve">Under this option the Government would </w:t>
      </w:r>
      <w:r w:rsidRPr="00786A06">
        <w:t>amend clause 12 of the Franchising Code of Conduct to provide that a master franchisor must comply with clauses 15 and 31 where the sub-franchisee is directly or indirectly required to contribute to a marketing or cooperative fund controlled or administered by the master franchisor.</w:t>
      </w:r>
    </w:p>
    <w:p w:rsidR="00D911AE" w:rsidRDefault="006018AA">
      <w:pPr>
        <w:spacing w:after="120" w:line="240" w:lineRule="auto"/>
        <w:ind w:left="720"/>
      </w:pPr>
      <w:r w:rsidRPr="0047018C">
        <w:rPr>
          <w:i/>
        </w:rPr>
        <w:t>Stakeholder views</w:t>
      </w:r>
      <w:r w:rsidRPr="0047018C">
        <w:rPr>
          <w:i/>
        </w:rPr>
        <w:br/>
      </w:r>
      <w:r w:rsidR="00786A06" w:rsidRPr="00786A06">
        <w:t>Franchisees and the FCA are generally supportive of this change</w:t>
      </w:r>
      <w:r w:rsidR="00786A06" w:rsidRPr="004808F9">
        <w:t>.</w:t>
      </w:r>
    </w:p>
    <w:p w:rsidR="00F7391D" w:rsidRPr="003E146E" w:rsidRDefault="00F7391D" w:rsidP="006018AA">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t xml:space="preserve">Franchisors would be required to include a statement about the accuracy of financial statements </w:t>
      </w:r>
    </w:p>
    <w:p w:rsidR="00F7391D" w:rsidRPr="00070005" w:rsidRDefault="00F7391D" w:rsidP="006018AA">
      <w:r w:rsidRPr="00070005">
        <w:t>Under this option the franchisor would be required to make a statement confirming that, ‘to the best of the franchisor’s knowledge’, financial statements provided in the disclosure document are ‘accurate, correct and compliant’ with the Franchising Code and accounting standards.</w:t>
      </w:r>
    </w:p>
    <w:p w:rsidR="00F7391D" w:rsidRPr="00070005" w:rsidRDefault="00F7391D" w:rsidP="006018AA">
      <w:r w:rsidRPr="00070005">
        <w:t xml:space="preserve">Some stakeholders have suggested that this statement is not required, as franchisors are already banned from making false or misleading representations by the ACL. Others suggested it would remind franchisors of their obligations and promote confidence in disclosure amongst prospective franchisees. </w:t>
      </w:r>
    </w:p>
    <w:p w:rsidR="00F7391D" w:rsidRDefault="00F7391D" w:rsidP="006018AA">
      <w:r w:rsidRPr="00070005">
        <w:t xml:space="preserve">Franchisors have indicated that they </w:t>
      </w:r>
      <w:r w:rsidR="006A33D5">
        <w:t>may not have access to</w:t>
      </w:r>
      <w:r w:rsidRPr="00070005">
        <w:t xml:space="preserve"> the financial information of their franchisees. Several franchisors raised concerns that they feel they open themselves to liability if they provide franchisees with financial information that may be misleading</w:t>
      </w:r>
      <w:r>
        <w:t>, even if it is done so inadvertently</w:t>
      </w:r>
      <w:r w:rsidRPr="00070005">
        <w:t>.</w:t>
      </w:r>
    </w:p>
    <w:p w:rsidR="00A368B9" w:rsidRDefault="006018AA" w:rsidP="00C7237B">
      <w:pPr>
        <w:ind w:left="720"/>
      </w:pPr>
      <w:r w:rsidRPr="0047018C">
        <w:rPr>
          <w:i/>
        </w:rPr>
        <w:t>Stakeholder views</w:t>
      </w:r>
      <w:r w:rsidRPr="0047018C">
        <w:rPr>
          <w:i/>
        </w:rPr>
        <w:br/>
      </w:r>
      <w:r w:rsidR="005A7FC5">
        <w:t xml:space="preserve">Franchisors were concerned about a requirement to actively verify financial information </w:t>
      </w:r>
      <w:r w:rsidR="005A7FC5">
        <w:lastRenderedPageBreak/>
        <w:t xml:space="preserve">provided by an </w:t>
      </w:r>
      <w:proofErr w:type="spellStart"/>
      <w:r w:rsidR="005A7FC5">
        <w:t>exiting</w:t>
      </w:r>
      <w:proofErr w:type="spellEnd"/>
      <w:r w:rsidR="005A7FC5">
        <w:t xml:space="preserve"> franchisee to prospective franchisees unless they are able to state without liability that the information is ‘unverified’</w:t>
      </w:r>
      <w:r w:rsidR="00F84215">
        <w:t xml:space="preserve">. </w:t>
      </w:r>
    </w:p>
    <w:p w:rsidR="00A368B9" w:rsidRDefault="00A368B9" w:rsidP="00C7237B">
      <w:pPr>
        <w:ind w:left="720"/>
      </w:pPr>
      <w:r>
        <w:t xml:space="preserve">Many stakeholders, including franchisees, advisers and Small Business Commissioners, were of the view that the provision of accurate financial information at disclosure was important. Accurate financial information is needed for franchisees to make an informed business decision about the franchise.  </w:t>
      </w:r>
    </w:p>
    <w:p w:rsidR="00B95D19" w:rsidRPr="003E146E" w:rsidRDefault="00B95D19" w:rsidP="00B95D19">
      <w:pPr>
        <w:pStyle w:val="Heading4"/>
        <w:rPr>
          <w:rFonts w:asciiTheme="minorHAnsi" w:eastAsiaTheme="minorHAnsi" w:hAnsiTheme="minorHAnsi" w:cstheme="minorBidi"/>
          <w:b/>
          <w:i w:val="0"/>
          <w:color w:val="auto"/>
        </w:rPr>
      </w:pPr>
      <w:r w:rsidRPr="003E146E">
        <w:rPr>
          <w:rFonts w:asciiTheme="minorHAnsi" w:eastAsiaTheme="minorHAnsi" w:hAnsiTheme="minorHAnsi" w:cstheme="minorBidi"/>
          <w:b/>
          <w:i w:val="0"/>
          <w:color w:val="auto"/>
        </w:rPr>
        <w:t>Additional requirements where the franchisor is terminating in special circumstances</w:t>
      </w:r>
    </w:p>
    <w:p w:rsidR="00B95D19" w:rsidRDefault="00214B43" w:rsidP="00B95D19">
      <w:r>
        <w:t>Under this option the Government would a</w:t>
      </w:r>
      <w:r w:rsidR="00B95D19" w:rsidRPr="003D1E50">
        <w:t>mend the Franchising Code to require the franchisor to provide the franchisee with seven days’ notice of a proposed termination in special circumstances (clause 29), so that a mediator or arbitrator can assist the parties to negotiate</w:t>
      </w:r>
      <w:r w:rsidR="00B95D19">
        <w:t>.</w:t>
      </w:r>
    </w:p>
    <w:p w:rsidR="004E1E62" w:rsidRDefault="00F0519E">
      <w:pPr>
        <w:ind w:left="720"/>
      </w:pPr>
      <w:r w:rsidRPr="0047018C">
        <w:rPr>
          <w:i/>
        </w:rPr>
        <w:t>Stakeholder views</w:t>
      </w:r>
      <w:r>
        <w:br/>
      </w:r>
      <w:r w:rsidR="00B95D19">
        <w:t>Submissions to the</w:t>
      </w:r>
      <w:r w:rsidR="00B95D19" w:rsidRPr="00114A73">
        <w:t xml:space="preserve"> </w:t>
      </w:r>
      <w:r w:rsidR="008B13A7">
        <w:t>consultation paper</w:t>
      </w:r>
      <w:r w:rsidR="00EE7382">
        <w:t xml:space="preserve"> process</w:t>
      </w:r>
      <w:r w:rsidR="00B95D19" w:rsidRPr="00114A73">
        <w:t xml:space="preserve"> showed that</w:t>
      </w:r>
      <w:r w:rsidR="00B95D19">
        <w:t xml:space="preserve"> a</w:t>
      </w:r>
      <w:r w:rsidR="00B95D19" w:rsidRPr="00FA4B6F">
        <w:t xml:space="preserve"> number of stakeholders, including the FCA, thought it important that franchisors maintain the ability to term</w:t>
      </w:r>
      <w:r w:rsidR="00B95D19">
        <w:t xml:space="preserve">inate an </w:t>
      </w:r>
      <w:r w:rsidR="001600E6">
        <w:t>a</w:t>
      </w:r>
      <w:r w:rsidR="00B95D19">
        <w:t>greement where there wa</w:t>
      </w:r>
      <w:r w:rsidR="00B95D19" w:rsidRPr="00FA4B6F">
        <w:t xml:space="preserve">s </w:t>
      </w:r>
      <w:r w:rsidR="00B95D19">
        <w:t xml:space="preserve">the possibility of </w:t>
      </w:r>
      <w:r w:rsidR="00B95D19" w:rsidRPr="00FA4B6F">
        <w:t>reputational risk, fraud or a health and safety risk.</w:t>
      </w:r>
      <w:r w:rsidR="00B95D19">
        <w:t xml:space="preserve"> </w:t>
      </w:r>
      <w:r w:rsidR="003B7073">
        <w:t xml:space="preserve"> </w:t>
      </w:r>
    </w:p>
    <w:p w:rsidR="004E1E62" w:rsidRDefault="004E1E62" w:rsidP="00530279">
      <w:pPr>
        <w:ind w:left="720"/>
      </w:pPr>
      <w:r>
        <w:t xml:space="preserve">Franchisees have stated </w:t>
      </w:r>
      <w:r w:rsidRPr="004E1E62">
        <w:t xml:space="preserve">that </w:t>
      </w:r>
      <w:r w:rsidR="00A368B9">
        <w:t>there should be some</w:t>
      </w:r>
      <w:r>
        <w:t xml:space="preserve"> </w:t>
      </w:r>
      <w:r w:rsidRPr="004E1E62">
        <w:t>ability to challenge terminat</w:t>
      </w:r>
      <w:r>
        <w:t>ion through the Code, and to ensure that special termination rights are not</w:t>
      </w:r>
      <w:r w:rsidRPr="004E1E62">
        <w:t xml:space="preserve"> used opportunistically</w:t>
      </w:r>
      <w:r>
        <w:t xml:space="preserve">. For example, </w:t>
      </w:r>
      <w:r w:rsidR="00B82526">
        <w:t>t</w:t>
      </w:r>
      <w:r>
        <w:t>he Caltex National Franchise Council submitted to the PJC that many franchisees experienced the termination of their Franchise Agreements for what they considered were non-material breaches or alternatively minor breaches capable of remediation.</w:t>
      </w:r>
    </w:p>
    <w:p w:rsidR="00952E75" w:rsidRPr="004C4683" w:rsidRDefault="00952E75" w:rsidP="00952E75">
      <w:pPr>
        <w:pStyle w:val="Heading3"/>
        <w:numPr>
          <w:ilvl w:val="2"/>
          <w:numId w:val="7"/>
        </w:numPr>
      </w:pPr>
      <w:bookmarkStart w:id="219" w:name="_Toc47010148"/>
      <w:bookmarkStart w:id="220" w:name="_Toc47010149"/>
      <w:bookmarkStart w:id="221" w:name="_Toc47010151"/>
      <w:bookmarkStart w:id="222" w:name="_Toc47010152"/>
      <w:bookmarkStart w:id="223" w:name="_Toc47010155"/>
      <w:bookmarkStart w:id="224" w:name="_Toc47010156"/>
      <w:bookmarkStart w:id="225" w:name="_Toc47010157"/>
      <w:bookmarkStart w:id="226" w:name="_Toc47010158"/>
      <w:bookmarkStart w:id="227" w:name="_Toc47010159"/>
      <w:bookmarkStart w:id="228" w:name="_Toc47010160"/>
      <w:bookmarkStart w:id="229" w:name="_Toc47010161"/>
      <w:bookmarkStart w:id="230" w:name="_Toc47010162"/>
      <w:bookmarkStart w:id="231" w:name="_Toc47469283"/>
      <w:bookmarkStart w:id="232" w:name="_Toc47517241"/>
      <w:bookmarkStart w:id="233" w:name="_Toc47522365"/>
      <w:bookmarkStart w:id="234" w:name="_Toc47527736"/>
      <w:bookmarkStart w:id="235" w:name="_Toc47533625"/>
      <w:bookmarkStart w:id="236" w:name="_Toc47536028"/>
      <w:bookmarkStart w:id="237" w:name="_Toc47540517"/>
      <w:bookmarkStart w:id="238" w:name="_Toc47542072"/>
      <w:bookmarkStart w:id="239" w:name="_Toc48644137"/>
      <w:bookmarkEnd w:id="219"/>
      <w:bookmarkEnd w:id="220"/>
      <w:bookmarkEnd w:id="221"/>
      <w:bookmarkEnd w:id="222"/>
      <w:bookmarkEnd w:id="223"/>
      <w:bookmarkEnd w:id="224"/>
      <w:bookmarkEnd w:id="225"/>
      <w:bookmarkEnd w:id="226"/>
      <w:bookmarkEnd w:id="227"/>
      <w:bookmarkEnd w:id="228"/>
      <w:bookmarkEnd w:id="229"/>
      <w:bookmarkEnd w:id="230"/>
      <w:r>
        <w:t>What are the costs and benefits of this option?</w:t>
      </w:r>
      <w:bookmarkEnd w:id="231"/>
      <w:bookmarkEnd w:id="232"/>
      <w:bookmarkEnd w:id="233"/>
      <w:bookmarkEnd w:id="234"/>
      <w:bookmarkEnd w:id="235"/>
      <w:bookmarkEnd w:id="236"/>
      <w:bookmarkEnd w:id="237"/>
      <w:bookmarkEnd w:id="238"/>
      <w:bookmarkEnd w:id="239"/>
    </w:p>
    <w:p w:rsidR="00952E75" w:rsidRPr="005C6D43" w:rsidRDefault="00667ED1" w:rsidP="00952E75">
      <w:pPr>
        <w:pStyle w:val="Heading4"/>
      </w:pPr>
      <w:r>
        <w:t>Quantitative</w:t>
      </w:r>
      <w:r w:rsidRPr="005C6D43">
        <w:t xml:space="preserve"> </w:t>
      </w:r>
      <w:r w:rsidR="00952E75" w:rsidRPr="005C6D43">
        <w:t xml:space="preserve">costs </w:t>
      </w:r>
    </w:p>
    <w:p w:rsidR="00952E75" w:rsidRDefault="00952E75" w:rsidP="00952E75">
      <w:r>
        <w:t>See Appendix A for the assumptions made in order to complete the costings below.</w:t>
      </w:r>
    </w:p>
    <w:p w:rsidR="00952E75" w:rsidRPr="005C6D43" w:rsidRDefault="00952E75" w:rsidP="00952E75">
      <w:pPr>
        <w:rPr>
          <w:u w:val="single"/>
        </w:rPr>
      </w:pPr>
      <w:r>
        <w:t xml:space="preserve">See Appendix B for </w:t>
      </w:r>
      <w:r w:rsidRPr="004E3FAA">
        <w:t>the full costings</w:t>
      </w:r>
      <w:r>
        <w:t xml:space="preserve"> of this option.</w:t>
      </w:r>
    </w:p>
    <w:p w:rsidR="00952E75" w:rsidRPr="00F7130C" w:rsidRDefault="00952E75" w:rsidP="00952E75">
      <w:pPr>
        <w:pStyle w:val="Heading5"/>
      </w:pPr>
      <w:r>
        <w:t xml:space="preserve">Regulatory Burden estimate </w:t>
      </w:r>
    </w:p>
    <w:tbl>
      <w:tblPr>
        <w:tblStyle w:val="TableGrid"/>
        <w:tblW w:w="0" w:type="auto"/>
        <w:tblLook w:val="04A0" w:firstRow="1" w:lastRow="0" w:firstColumn="1" w:lastColumn="0" w:noHBand="0" w:noVBand="1"/>
      </w:tblPr>
      <w:tblGrid>
        <w:gridCol w:w="3114"/>
        <w:gridCol w:w="1475"/>
        <w:gridCol w:w="1476"/>
        <w:gridCol w:w="1475"/>
        <w:gridCol w:w="1476"/>
      </w:tblGrid>
      <w:tr w:rsidR="00952E75" w:rsidTr="003E146E">
        <w:tc>
          <w:tcPr>
            <w:tcW w:w="3114" w:type="dxa"/>
            <w:tcBorders>
              <w:bottom w:val="single" w:sz="4" w:space="0" w:color="auto"/>
            </w:tcBorders>
            <w:shd w:val="clear" w:color="auto" w:fill="DEEAF6" w:themeFill="accent1" w:themeFillTint="33"/>
            <w:vAlign w:val="center"/>
          </w:tcPr>
          <w:p w:rsidR="00952E75" w:rsidRPr="00F7130C" w:rsidRDefault="00952E75" w:rsidP="00FA194B"/>
        </w:tc>
        <w:tc>
          <w:tcPr>
            <w:tcW w:w="1475" w:type="dxa"/>
            <w:tcBorders>
              <w:bottom w:val="single" w:sz="4" w:space="0" w:color="auto"/>
            </w:tcBorders>
            <w:shd w:val="clear" w:color="auto" w:fill="DEEAF6" w:themeFill="accent1" w:themeFillTint="33"/>
            <w:vAlign w:val="center"/>
          </w:tcPr>
          <w:p w:rsidR="00952E75" w:rsidRDefault="00952E75" w:rsidP="00FA194B">
            <w:pPr>
              <w:rPr>
                <w:u w:val="single"/>
              </w:rPr>
            </w:pPr>
            <w:r w:rsidRPr="00DB6D70">
              <w:t>Business costs</w:t>
            </w:r>
          </w:p>
        </w:tc>
        <w:tc>
          <w:tcPr>
            <w:tcW w:w="1476" w:type="dxa"/>
            <w:tcBorders>
              <w:bottom w:val="single" w:sz="4" w:space="0" w:color="auto"/>
            </w:tcBorders>
            <w:shd w:val="clear" w:color="auto" w:fill="DEEAF6" w:themeFill="accent1" w:themeFillTint="33"/>
            <w:vAlign w:val="center"/>
          </w:tcPr>
          <w:p w:rsidR="00952E75" w:rsidRDefault="00952E75" w:rsidP="00FA194B">
            <w:pPr>
              <w:rPr>
                <w:u w:val="single"/>
              </w:rPr>
            </w:pPr>
            <w:r w:rsidRPr="00DB6D70">
              <w:t>Community costs</w:t>
            </w:r>
          </w:p>
        </w:tc>
        <w:tc>
          <w:tcPr>
            <w:tcW w:w="1475" w:type="dxa"/>
            <w:tcBorders>
              <w:bottom w:val="single" w:sz="4" w:space="0" w:color="auto"/>
            </w:tcBorders>
            <w:shd w:val="clear" w:color="auto" w:fill="DEEAF6" w:themeFill="accent1" w:themeFillTint="33"/>
            <w:vAlign w:val="center"/>
          </w:tcPr>
          <w:p w:rsidR="00952E75" w:rsidRDefault="00952E75" w:rsidP="00FA194B">
            <w:pPr>
              <w:rPr>
                <w:u w:val="single"/>
              </w:rPr>
            </w:pPr>
            <w:r w:rsidRPr="00DB6D70">
              <w:t>Individual costs</w:t>
            </w:r>
          </w:p>
        </w:tc>
        <w:tc>
          <w:tcPr>
            <w:tcW w:w="1476" w:type="dxa"/>
            <w:tcBorders>
              <w:bottom w:val="single" w:sz="4" w:space="0" w:color="auto"/>
            </w:tcBorders>
            <w:shd w:val="clear" w:color="auto" w:fill="DEEAF6" w:themeFill="accent1" w:themeFillTint="33"/>
            <w:vAlign w:val="center"/>
          </w:tcPr>
          <w:p w:rsidR="00952E75" w:rsidRDefault="00952E75" w:rsidP="00FA194B">
            <w:pPr>
              <w:rPr>
                <w:u w:val="single"/>
              </w:rPr>
            </w:pPr>
            <w:r w:rsidRPr="00DB6D70">
              <w:t>Total costs</w:t>
            </w:r>
          </w:p>
        </w:tc>
      </w:tr>
      <w:tr w:rsidR="00952E75" w:rsidTr="003E146E">
        <w:tc>
          <w:tcPr>
            <w:tcW w:w="3114" w:type="dxa"/>
            <w:tcBorders>
              <w:bottom w:val="single" w:sz="4" w:space="0" w:color="auto"/>
            </w:tcBorders>
          </w:tcPr>
          <w:p w:rsidR="00952E75" w:rsidRPr="00B70A1A" w:rsidRDefault="00952E75" w:rsidP="00FA194B">
            <w:pPr>
              <w:rPr>
                <w:b/>
              </w:rPr>
            </w:pPr>
            <w:r w:rsidRPr="00B70A1A">
              <w:rPr>
                <w:b/>
              </w:rPr>
              <w:t>Total Costs</w:t>
            </w:r>
          </w:p>
        </w:tc>
        <w:tc>
          <w:tcPr>
            <w:tcW w:w="1475" w:type="dxa"/>
            <w:tcBorders>
              <w:bottom w:val="single" w:sz="4" w:space="0" w:color="auto"/>
            </w:tcBorders>
            <w:vAlign w:val="center"/>
          </w:tcPr>
          <w:p w:rsidR="00952E75" w:rsidRDefault="00952E75" w:rsidP="00FA194B">
            <w:pPr>
              <w:rPr>
                <w:u w:val="single"/>
              </w:rPr>
            </w:pPr>
            <w:r w:rsidRPr="00DB6D70">
              <w:t xml:space="preserve">$ </w:t>
            </w:r>
            <w:r>
              <w:t>3.92M</w:t>
            </w:r>
          </w:p>
        </w:tc>
        <w:tc>
          <w:tcPr>
            <w:tcW w:w="1476" w:type="dxa"/>
            <w:tcBorders>
              <w:bottom w:val="single" w:sz="4" w:space="0" w:color="auto"/>
            </w:tcBorders>
            <w:vAlign w:val="center"/>
          </w:tcPr>
          <w:p w:rsidR="00952E75" w:rsidRDefault="00952E75" w:rsidP="00FA194B">
            <w:pPr>
              <w:rPr>
                <w:u w:val="single"/>
              </w:rPr>
            </w:pPr>
            <w:r w:rsidRPr="00DB6D70">
              <w:t xml:space="preserve">$ </w:t>
            </w:r>
            <w:r>
              <w:t>n/a</w:t>
            </w:r>
          </w:p>
        </w:tc>
        <w:tc>
          <w:tcPr>
            <w:tcW w:w="1475" w:type="dxa"/>
            <w:tcBorders>
              <w:bottom w:val="single" w:sz="4" w:space="0" w:color="auto"/>
            </w:tcBorders>
            <w:vAlign w:val="center"/>
          </w:tcPr>
          <w:p w:rsidR="00952E75" w:rsidRDefault="00952E75" w:rsidP="00FA194B">
            <w:pPr>
              <w:rPr>
                <w:u w:val="single"/>
              </w:rPr>
            </w:pPr>
            <w:r w:rsidRPr="00DB6D70">
              <w:t xml:space="preserve">$ </w:t>
            </w:r>
            <w:r>
              <w:t>n/a</w:t>
            </w:r>
          </w:p>
        </w:tc>
        <w:tc>
          <w:tcPr>
            <w:tcW w:w="1476" w:type="dxa"/>
            <w:tcBorders>
              <w:bottom w:val="single" w:sz="4" w:space="0" w:color="auto"/>
            </w:tcBorders>
            <w:vAlign w:val="center"/>
          </w:tcPr>
          <w:p w:rsidR="00952E75" w:rsidRDefault="00952E75" w:rsidP="00FA194B">
            <w:pPr>
              <w:rPr>
                <w:u w:val="single"/>
              </w:rPr>
            </w:pPr>
            <w:r w:rsidRPr="00DB6D70">
              <w:t xml:space="preserve">$ </w:t>
            </w:r>
            <w:r>
              <w:t>3.92M</w:t>
            </w:r>
          </w:p>
        </w:tc>
      </w:tr>
    </w:tbl>
    <w:p w:rsidR="00952E75" w:rsidRPr="002F221E" w:rsidRDefault="00952E75" w:rsidP="00952E75">
      <w:pPr>
        <w:rPr>
          <w:sz w:val="16"/>
        </w:rPr>
      </w:pPr>
      <w:r w:rsidRPr="002F221E">
        <w:rPr>
          <w:sz w:val="16"/>
        </w:rPr>
        <w:t>The regulatory burden estimate (RBE) is calculated as the average annual equivalent cost over the first 10 years of the policy. For a breakdown o</w:t>
      </w:r>
      <w:r>
        <w:rPr>
          <w:sz w:val="16"/>
        </w:rPr>
        <w:t>f this estimate see Appendix B</w:t>
      </w:r>
    </w:p>
    <w:p w:rsidR="00952E75" w:rsidRDefault="00667ED1" w:rsidP="00952E75">
      <w:pPr>
        <w:pStyle w:val="Heading4"/>
      </w:pPr>
      <w:r>
        <w:t xml:space="preserve">Qualitative </w:t>
      </w:r>
      <w:r w:rsidR="00952E75" w:rsidRPr="005C6D43">
        <w:t xml:space="preserve">costs </w:t>
      </w:r>
      <w:r w:rsidR="00952E75">
        <w:t>and benefits</w:t>
      </w:r>
    </w:p>
    <w:p w:rsidR="00697FD7" w:rsidRPr="003E146E" w:rsidRDefault="003778EB" w:rsidP="003E146E">
      <w:pPr>
        <w:spacing w:before="120" w:after="0"/>
        <w:rPr>
          <w:b/>
        </w:rPr>
      </w:pPr>
      <w:r>
        <w:rPr>
          <w:b/>
        </w:rPr>
        <w:t xml:space="preserve">Public </w:t>
      </w:r>
      <w:r w:rsidR="00697FD7" w:rsidRPr="003E146E">
        <w:rPr>
          <w:b/>
        </w:rPr>
        <w:t>Franchis</w:t>
      </w:r>
      <w:r>
        <w:rPr>
          <w:b/>
        </w:rPr>
        <w:t>or</w:t>
      </w:r>
      <w:r w:rsidR="00697FD7" w:rsidRPr="003E146E">
        <w:rPr>
          <w:b/>
        </w:rPr>
        <w:t xml:space="preserve"> Register</w:t>
      </w:r>
    </w:p>
    <w:p w:rsidR="00697FD7" w:rsidRPr="00736845" w:rsidRDefault="00697FD7" w:rsidP="00697FD7">
      <w:r w:rsidRPr="00736845">
        <w:t xml:space="preserve">The costs and benefits of </w:t>
      </w:r>
      <w:r w:rsidR="003778EB">
        <w:t>a</w:t>
      </w:r>
      <w:r w:rsidRPr="00736845">
        <w:t xml:space="preserve"> </w:t>
      </w:r>
      <w:r w:rsidR="003778EB">
        <w:t>public f</w:t>
      </w:r>
      <w:r w:rsidRPr="00736845">
        <w:t>ranchis</w:t>
      </w:r>
      <w:r w:rsidR="003778EB">
        <w:t>or</w:t>
      </w:r>
      <w:r w:rsidRPr="00736845">
        <w:t xml:space="preserve"> </w:t>
      </w:r>
      <w:r w:rsidR="003778EB">
        <w:t>r</w:t>
      </w:r>
      <w:r w:rsidRPr="00736845">
        <w:t>egister is currently not quantifiable due to the need to cons</w:t>
      </w:r>
      <w:r w:rsidR="003778EB">
        <w:t>ult on the final design of the r</w:t>
      </w:r>
      <w:r w:rsidRPr="00736845">
        <w:t xml:space="preserve">egister. An impact analysis of the </w:t>
      </w:r>
      <w:r w:rsidR="003778EB">
        <w:t>r</w:t>
      </w:r>
      <w:r w:rsidRPr="00736845">
        <w:t xml:space="preserve">egister will be conducted separately following consultation with the sector. </w:t>
      </w:r>
      <w:r w:rsidR="00890153">
        <w:t>Depending on the design, s</w:t>
      </w:r>
      <w:r w:rsidR="002F56E0">
        <w:t xml:space="preserve">ome </w:t>
      </w:r>
      <w:r w:rsidR="00890153">
        <w:t xml:space="preserve">possible </w:t>
      </w:r>
      <w:r w:rsidR="00ED0420">
        <w:t>costs and benefits</w:t>
      </w:r>
      <w:r w:rsidR="00890153">
        <w:t xml:space="preserve"> are identified under ‘stakeholder views’ in the discussion above relating to the register. These will be explored further through consultation. </w:t>
      </w:r>
    </w:p>
    <w:p w:rsidR="00697FD7" w:rsidRPr="003E146E" w:rsidRDefault="00697FD7" w:rsidP="003E146E">
      <w:pPr>
        <w:spacing w:before="120" w:after="0"/>
        <w:rPr>
          <w:b/>
        </w:rPr>
      </w:pPr>
      <w:r w:rsidRPr="003E146E">
        <w:rPr>
          <w:b/>
        </w:rPr>
        <w:t xml:space="preserve">Key Disclosure Information Fact Sheet </w:t>
      </w:r>
    </w:p>
    <w:p w:rsidR="00697FD7" w:rsidRPr="00736845" w:rsidRDefault="00697FD7" w:rsidP="00697FD7">
      <w:r w:rsidRPr="00736845">
        <w:t xml:space="preserve">The Fact Sheet would </w:t>
      </w:r>
      <w:r w:rsidR="007B4F3A">
        <w:t xml:space="preserve">benefit </w:t>
      </w:r>
      <w:r w:rsidRPr="00736845">
        <w:t xml:space="preserve">franchisees </w:t>
      </w:r>
      <w:r w:rsidR="007B4F3A">
        <w:t>by providing the</w:t>
      </w:r>
      <w:r w:rsidRPr="00736845">
        <w:t xml:space="preserve">m with a simple </w:t>
      </w:r>
      <w:r w:rsidR="007B4F3A">
        <w:t>summary</w:t>
      </w:r>
      <w:r w:rsidR="007B4F3A" w:rsidRPr="00736845">
        <w:t xml:space="preserve"> </w:t>
      </w:r>
      <w:r w:rsidRPr="00736845">
        <w:t>o</w:t>
      </w:r>
      <w:r w:rsidR="007B4F3A">
        <w:t>f</w:t>
      </w:r>
      <w:r w:rsidRPr="00736845">
        <w:t xml:space="preserve"> financial and other</w:t>
      </w:r>
      <w:r w:rsidR="007B4F3A">
        <w:t xml:space="preserve"> critical</w:t>
      </w:r>
      <w:r w:rsidRPr="00736845">
        <w:t xml:space="preserve"> information that is important </w:t>
      </w:r>
      <w:r w:rsidR="007B4F3A">
        <w:t xml:space="preserve">for </w:t>
      </w:r>
      <w:r w:rsidRPr="00736845">
        <w:t xml:space="preserve">making an initial assessment about the franchise offer. Although it is not intended to be a substitute for the full disclosure document, it </w:t>
      </w:r>
      <w:r w:rsidR="007B4F3A">
        <w:t xml:space="preserve">will </w:t>
      </w:r>
      <w:r w:rsidR="002A568A">
        <w:t xml:space="preserve">help franchisees, and their professional advisers, prioritize the consideration of critical information. </w:t>
      </w:r>
    </w:p>
    <w:p w:rsidR="00697FD7" w:rsidRPr="00736845" w:rsidRDefault="007B4F3A" w:rsidP="00697FD7">
      <w:r>
        <w:lastRenderedPageBreak/>
        <w:t xml:space="preserve">A </w:t>
      </w:r>
      <w:r w:rsidR="00697FD7" w:rsidRPr="00736845">
        <w:t xml:space="preserve">summary disclosure document </w:t>
      </w:r>
      <w:r>
        <w:t>will impose only a minor</w:t>
      </w:r>
      <w:r w:rsidR="00697FD7" w:rsidRPr="00736845">
        <w:t xml:space="preserve"> </w:t>
      </w:r>
      <w:r>
        <w:t xml:space="preserve">compliance </w:t>
      </w:r>
      <w:r w:rsidR="00697FD7" w:rsidRPr="00736845">
        <w:t xml:space="preserve">burden </w:t>
      </w:r>
      <w:r>
        <w:t>on</w:t>
      </w:r>
      <w:r w:rsidRPr="00736845">
        <w:t xml:space="preserve"> </w:t>
      </w:r>
      <w:r w:rsidR="00697FD7" w:rsidRPr="00736845">
        <w:t xml:space="preserve">franchisors because </w:t>
      </w:r>
      <w:r>
        <w:t xml:space="preserve">it will be a summary of information already prepared, at least annually, for </w:t>
      </w:r>
      <w:r w:rsidR="00697FD7" w:rsidRPr="00736845">
        <w:t xml:space="preserve">the disclosure document update. Franchisors would also benefit from franchisees being better informed at the point of disclosure, as this will likely reduce disputation caused by misunderstandings between the </w:t>
      </w:r>
      <w:r w:rsidR="0096737C">
        <w:t>n</w:t>
      </w:r>
    </w:p>
    <w:p w:rsidR="00697FD7" w:rsidRPr="00736845" w:rsidRDefault="003778EB" w:rsidP="00697FD7">
      <w:r>
        <w:t>It</w:t>
      </w:r>
      <w:r w:rsidR="00697FD7" w:rsidRPr="00736845">
        <w:t xml:space="preserve"> is expected that the introduction of the Fact Sheet will provide the sector with a net benefit to the sector over all. </w:t>
      </w:r>
    </w:p>
    <w:p w:rsidR="00697FD7" w:rsidRPr="003E146E" w:rsidRDefault="00667ED1" w:rsidP="003E146E">
      <w:pPr>
        <w:spacing w:before="120" w:after="0"/>
        <w:rPr>
          <w:b/>
        </w:rPr>
      </w:pPr>
      <w:r>
        <w:rPr>
          <w:b/>
        </w:rPr>
        <w:t>Changes</w:t>
      </w:r>
      <w:r w:rsidR="00697FD7" w:rsidRPr="003E146E">
        <w:rPr>
          <w:b/>
        </w:rPr>
        <w:t xml:space="preserve"> in disclosure practices</w:t>
      </w:r>
    </w:p>
    <w:p w:rsidR="00697FD7" w:rsidRPr="00736845" w:rsidRDefault="00697FD7" w:rsidP="00697FD7">
      <w:r w:rsidRPr="00736845">
        <w:t xml:space="preserve">Better disclosure practices will benefit both franchisees and franchisors – as discussed above in relation to the Key Disclosure Information Fact Sheet, franchisees being better informed at the point of disclosure will likely reduce disputation caused by misunderstandings between the franchisor and franchisee during the agreement term. </w:t>
      </w:r>
    </w:p>
    <w:p w:rsidR="00697FD7" w:rsidRPr="00736845" w:rsidRDefault="00BD41E4" w:rsidP="00697FD7">
      <w:r>
        <w:t xml:space="preserve">There is a small possibility that overly burdensome </w:t>
      </w:r>
      <w:r w:rsidR="00697FD7" w:rsidRPr="00736845">
        <w:t>disclosure</w:t>
      </w:r>
      <w:r>
        <w:t xml:space="preserve"> requirements </w:t>
      </w:r>
      <w:r w:rsidR="00697FD7" w:rsidRPr="00736845">
        <w:t xml:space="preserve">could deter businesses from utilizing the franchising business model, or deterring international franchises from entering the Australian market. </w:t>
      </w:r>
      <w:r w:rsidR="00EA2538">
        <w:t>On the other hand, a well</w:t>
      </w:r>
      <w:r w:rsidR="00EA2538">
        <w:noBreakHyphen/>
        <w:t>regulated sector with a high standard of pre</w:t>
      </w:r>
      <w:r w:rsidR="00EA2538">
        <w:noBreakHyphen/>
        <w:t xml:space="preserve">entry due diligence may </w:t>
      </w:r>
      <w:r w:rsidR="00C93B90">
        <w:t>be</w:t>
      </w:r>
      <w:r w:rsidR="00164EC8">
        <w:t xml:space="preserve"> beneficial for attracting international investment. </w:t>
      </w:r>
    </w:p>
    <w:p w:rsidR="00697FD7" w:rsidRPr="00736845" w:rsidRDefault="003E4010" w:rsidP="00697FD7">
      <w:r>
        <w:t>The</w:t>
      </w:r>
      <w:r w:rsidR="00697FD7" w:rsidRPr="00736845">
        <w:t xml:space="preserve"> regulatory costs </w:t>
      </w:r>
      <w:r>
        <w:t xml:space="preserve">associated with improved disclosure are outweighed by </w:t>
      </w:r>
      <w:r w:rsidR="00697FD7" w:rsidRPr="00736845">
        <w:t>the benefit</w:t>
      </w:r>
      <w:r>
        <w:t xml:space="preserve">s associated with </w:t>
      </w:r>
      <w:r w:rsidR="00697FD7" w:rsidRPr="00736845">
        <w:t>better informed prospective franchisees</w:t>
      </w:r>
      <w:r>
        <w:t xml:space="preserve">. </w:t>
      </w:r>
    </w:p>
    <w:p w:rsidR="00697FD7" w:rsidRPr="003E146E" w:rsidRDefault="00667ED1" w:rsidP="003E146E">
      <w:pPr>
        <w:spacing w:before="120" w:after="0"/>
        <w:rPr>
          <w:b/>
        </w:rPr>
      </w:pPr>
      <w:r>
        <w:rPr>
          <w:b/>
        </w:rPr>
        <w:t>C</w:t>
      </w:r>
      <w:r w:rsidR="00697FD7" w:rsidRPr="003E146E">
        <w:rPr>
          <w:b/>
        </w:rPr>
        <w:t>ooling off measures</w:t>
      </w:r>
    </w:p>
    <w:p w:rsidR="00687665" w:rsidRDefault="00970995" w:rsidP="00697FD7">
      <w:r>
        <w:t xml:space="preserve">Under existing provisions in the Franchising Code, the </w:t>
      </w:r>
      <w:r w:rsidR="00697FD7" w:rsidRPr="00736845">
        <w:t xml:space="preserve">franchisor </w:t>
      </w:r>
      <w:r>
        <w:t xml:space="preserve">can </w:t>
      </w:r>
      <w:r w:rsidR="00697FD7" w:rsidRPr="00736845">
        <w:t xml:space="preserve">recoup costs associated with a franchisee exercising their right to cool-off. </w:t>
      </w:r>
      <w:r>
        <w:t xml:space="preserve">This will have the effect of negating the costs associated </w:t>
      </w:r>
      <w:r w:rsidR="0079597D">
        <w:t xml:space="preserve">with </w:t>
      </w:r>
      <w:r>
        <w:t xml:space="preserve">an extended cooling off period for franchisees. </w:t>
      </w:r>
    </w:p>
    <w:p w:rsidR="0079597D" w:rsidRDefault="00687665" w:rsidP="00697FD7">
      <w:r>
        <w:t xml:space="preserve">As was discussed in the problem section above, franchisees can </w:t>
      </w:r>
      <w:r w:rsidRPr="00687665">
        <w:t xml:space="preserve">be affected by ‘optimism </w:t>
      </w:r>
      <w:proofErr w:type="gramStart"/>
      <w:r w:rsidRPr="00687665">
        <w:t>bias’</w:t>
      </w:r>
      <w:proofErr w:type="gramEnd"/>
      <w:r w:rsidRPr="00687665">
        <w:t xml:space="preserve">, where they are reluctant to face the downside of an investment to which they have become emotionally attached. </w:t>
      </w:r>
      <w:r w:rsidR="0079597D">
        <w:t xml:space="preserve">The proposed cooling off measures will be beneficial to franchisees who have been </w:t>
      </w:r>
      <w:r w:rsidR="0079597D" w:rsidRPr="0079597D">
        <w:t>motivated to sign on</w:t>
      </w:r>
      <w:r w:rsidR="0079597D">
        <w:t xml:space="preserve"> due to an initial emotional impetus – these measures are </w:t>
      </w:r>
      <w:r w:rsidR="0079597D" w:rsidRPr="0079597D">
        <w:t xml:space="preserve">a chance </w:t>
      </w:r>
      <w:r w:rsidR="0079597D">
        <w:t xml:space="preserve">for </w:t>
      </w:r>
      <w:r w:rsidR="0079597D" w:rsidRPr="00687665">
        <w:t>poorly informed or overly optimistic franchisees</w:t>
      </w:r>
      <w:r w:rsidR="0079597D">
        <w:t xml:space="preserve"> to get</w:t>
      </w:r>
      <w:r w:rsidR="0079597D" w:rsidRPr="0079597D">
        <w:t xml:space="preserve"> out when ‘reality hits’.</w:t>
      </w:r>
      <w:r w:rsidR="0079597D">
        <w:t xml:space="preserve"> </w:t>
      </w:r>
    </w:p>
    <w:p w:rsidR="00433775" w:rsidRDefault="00687665" w:rsidP="00697FD7">
      <w:r>
        <w:t>Additional</w:t>
      </w:r>
      <w:r w:rsidR="00697FD7" w:rsidRPr="00736845">
        <w:t xml:space="preserve"> benefits to franchisees of these measures would include </w:t>
      </w:r>
      <w:r w:rsidR="0079597D">
        <w:t>the ability</w:t>
      </w:r>
      <w:r w:rsidR="00697FD7" w:rsidRPr="00736845">
        <w:t xml:space="preserve"> to examine important documents (including the terms of the lease in certain circumstances) </w:t>
      </w:r>
      <w:r w:rsidR="0079597D">
        <w:t xml:space="preserve">over an additional seven days </w:t>
      </w:r>
      <w:r w:rsidR="00697FD7" w:rsidRPr="00736845">
        <w:t>before being locked into the franchise agreement</w:t>
      </w:r>
      <w:r w:rsidR="0079597D">
        <w:t>.</w:t>
      </w:r>
      <w:r w:rsidR="00433775">
        <w:t xml:space="preserve"> </w:t>
      </w:r>
      <w:r w:rsidR="00433775" w:rsidRPr="00433775">
        <w:t xml:space="preserve">Proper due diligence, especially on financial disclosure, is needed in order for the franchisee to make an optimal business decision.  </w:t>
      </w:r>
    </w:p>
    <w:p w:rsidR="00697FD7" w:rsidRPr="00736845" w:rsidRDefault="00433775" w:rsidP="00697FD7">
      <w:r>
        <w:t xml:space="preserve">Further, these measures would extend cooling off provisions to the transfer of agreements. This will ensure that all prospective franchisees will have the opportunity to contemplate their decision more thoroughly, not just those signing on to a new franchise agreement. </w:t>
      </w:r>
    </w:p>
    <w:p w:rsidR="00697FD7" w:rsidRDefault="00697FD7" w:rsidP="00697FD7">
      <w:r w:rsidRPr="00736845">
        <w:t xml:space="preserve">Given the above, the benefits are expected to outweigh the costs of this measure. </w:t>
      </w:r>
    </w:p>
    <w:p w:rsidR="007802F5" w:rsidRPr="007802F5" w:rsidRDefault="007802F5">
      <w:pPr>
        <w:spacing w:after="0"/>
        <w:rPr>
          <w:b/>
        </w:rPr>
      </w:pPr>
      <w:r w:rsidRPr="007802F5">
        <w:rPr>
          <w:b/>
        </w:rPr>
        <w:t>Amending the relevant clauses of the Franchising Code to apply recent automotive franchising changes</w:t>
      </w:r>
      <w:r w:rsidR="00CC1A49">
        <w:rPr>
          <w:b/>
        </w:rPr>
        <w:t xml:space="preserve"> relating to capital expenditure </w:t>
      </w:r>
    </w:p>
    <w:p w:rsidR="00BD519F" w:rsidRPr="00BD519F" w:rsidRDefault="007802F5" w:rsidP="00CC1A49">
      <w:pPr>
        <w:rPr>
          <w:b/>
        </w:rPr>
      </w:pPr>
      <w:r>
        <w:t xml:space="preserve">While this measure will impose a regulatory burden on franchisors (see discussion in Appendix B), the cost to franchisors would be outweighed by the benefit to franchisees from the increased transparency and </w:t>
      </w:r>
      <w:r w:rsidR="00621AE0">
        <w:t xml:space="preserve">the </w:t>
      </w:r>
      <w:r>
        <w:t xml:space="preserve">protections </w:t>
      </w:r>
      <w:r w:rsidR="00B63866">
        <w:t>against</w:t>
      </w:r>
      <w:r>
        <w:t xml:space="preserve"> capital expenditure </w:t>
      </w:r>
      <w:r w:rsidR="00621AE0">
        <w:t>requirements that</w:t>
      </w:r>
      <w:r>
        <w:t xml:space="preserve"> they are not able to recoup</w:t>
      </w:r>
      <w:r w:rsidR="00621AE0">
        <w:t>.</w:t>
      </w:r>
      <w:r w:rsidR="00CC1A49">
        <w:t xml:space="preserve"> Benefits include reduction in disputes and improved financial security for franchisees. </w:t>
      </w:r>
      <w:r w:rsidR="00BD519F">
        <w:t xml:space="preserve">The qualitative costs and benefits outlined in </w:t>
      </w:r>
      <w:r w:rsidR="00BD519F" w:rsidRPr="00BD519F">
        <w:rPr>
          <w:i/>
        </w:rPr>
        <w:t>changes in disclosure practices</w:t>
      </w:r>
      <w:r w:rsidR="00BD519F" w:rsidRPr="00BD519F">
        <w:t xml:space="preserve"> above would also apply to this measure. </w:t>
      </w:r>
    </w:p>
    <w:p w:rsidR="00BD519F" w:rsidRPr="00BD519F" w:rsidRDefault="00BD519F">
      <w:pPr>
        <w:spacing w:after="0"/>
        <w:rPr>
          <w:b/>
        </w:rPr>
      </w:pPr>
      <w:r w:rsidRPr="00BD519F">
        <w:rPr>
          <w:b/>
        </w:rPr>
        <w:lastRenderedPageBreak/>
        <w:t xml:space="preserve">Requiring master franchisors to meet </w:t>
      </w:r>
      <w:r>
        <w:rPr>
          <w:b/>
        </w:rPr>
        <w:t>requirements of marketing funds</w:t>
      </w:r>
    </w:p>
    <w:p w:rsidR="00BD519F" w:rsidRDefault="00BD519F" w:rsidP="00BD519F">
      <w:r>
        <w:t>Improved understanding will likely arise from making the requirements under clauses 15 and 31, relating to disclosure on marketing and other cooperative funds consistent</w:t>
      </w:r>
      <w:r w:rsidR="00E17B6A">
        <w:t>,</w:t>
      </w:r>
      <w:r>
        <w:t xml:space="preserve"> and ensuring disclosure provisions apply to master franchisors. There is likely to minimal regulatory burden on franchisors arising from these proposals. Indeed, they may reduce the burden of compliance with the current inconsistent provisions.</w:t>
      </w:r>
    </w:p>
    <w:p w:rsidR="00BD519F" w:rsidRDefault="00BD519F" w:rsidP="00BD519F">
      <w:pPr>
        <w:spacing w:before="120" w:after="0"/>
      </w:pPr>
      <w:r>
        <w:t xml:space="preserve">The qualitative costs and benefits outlined in </w:t>
      </w:r>
      <w:r w:rsidRPr="0050458B">
        <w:rPr>
          <w:i/>
        </w:rPr>
        <w:t>changes in disclosure practices</w:t>
      </w:r>
      <w:r w:rsidRPr="0050458B">
        <w:t xml:space="preserve"> above would also apply to this measure. </w:t>
      </w:r>
    </w:p>
    <w:p w:rsidR="00C01EC4" w:rsidRDefault="00C01EC4" w:rsidP="00BD519F">
      <w:pPr>
        <w:spacing w:before="120" w:after="0"/>
        <w:rPr>
          <w:b/>
        </w:rPr>
      </w:pPr>
      <w:r w:rsidRPr="00E36D93">
        <w:rPr>
          <w:b/>
        </w:rPr>
        <w:t>Additional requirements where the franchisor is terminating in special circumstances</w:t>
      </w:r>
    </w:p>
    <w:p w:rsidR="00F04D70" w:rsidRDefault="00F04D70">
      <w:r>
        <w:t>Currently, franchisors are able to terminate in special circumstances</w:t>
      </w:r>
      <w:r w:rsidR="00AD20FE">
        <w:t xml:space="preserve"> (as defined by the Franchising Code)</w:t>
      </w:r>
      <w:r>
        <w:t xml:space="preserve"> without notice to the franchisee if the franchise agreement</w:t>
      </w:r>
      <w:r w:rsidR="00AD20FE">
        <w:t xml:space="preserve"> provides for them to do so</w:t>
      </w:r>
      <w:r>
        <w:t xml:space="preserve">. </w:t>
      </w:r>
      <w:r w:rsidRPr="00F04D70">
        <w:t xml:space="preserve"> </w:t>
      </w:r>
    </w:p>
    <w:p w:rsidR="00E36D93" w:rsidRDefault="00F04D70">
      <w:r>
        <w:t>Amending</w:t>
      </w:r>
      <w:r w:rsidR="00605318" w:rsidRPr="00605318">
        <w:t xml:space="preserve"> the Franchising Code to require the franchisor to provide the franchisee with seven days’ notice of the proposed termination, so that a mediator or arbitrator can assist the parties to negotiate in the context of termination of the franchise agreement</w:t>
      </w:r>
      <w:r>
        <w:t xml:space="preserve">, will benefit franchisees by ensuring that </w:t>
      </w:r>
      <w:r w:rsidR="00AD20FE">
        <w:t>franchisees have an opportunity to challenge the termination, or initiate dispute resolution</w:t>
      </w:r>
      <w:r>
        <w:t xml:space="preserve">. </w:t>
      </w:r>
    </w:p>
    <w:p w:rsidR="00F04D70" w:rsidRDefault="00F04D70" w:rsidP="00BD519F">
      <w:r>
        <w:t xml:space="preserve">In circumstances where immediate termination is warranted, this delay may be costly to the franchisor or even the public – for example, if a franchisee business has somehow endangered </w:t>
      </w:r>
      <w:r w:rsidRPr="00F04D70">
        <w:t>public health and safety</w:t>
      </w:r>
      <w:r>
        <w:t xml:space="preserve">, further people could be at risk, as well as the reputation of the whole franchise brand. However, it is expected that if conduct of a franchisee has been severe enough to warrant </w:t>
      </w:r>
      <w:r w:rsidRPr="00F04D70">
        <w:t>immediate termination</w:t>
      </w:r>
      <w:r>
        <w:t xml:space="preserve">, there will be mechanisms </w:t>
      </w:r>
      <w:r w:rsidR="00551585">
        <w:t xml:space="preserve">to ensure swift termination where necessary. </w:t>
      </w:r>
    </w:p>
    <w:p w:rsidR="002908D8" w:rsidRDefault="00DD3E5F">
      <w:r>
        <w:t xml:space="preserve">While this measure will impose a </w:t>
      </w:r>
      <w:r w:rsidR="009A7FD5">
        <w:t xml:space="preserve">slight </w:t>
      </w:r>
      <w:r>
        <w:t xml:space="preserve">regulatory burden on franchisors, it will decrease </w:t>
      </w:r>
      <w:r w:rsidR="002938AE">
        <w:t>the</w:t>
      </w:r>
      <w:r>
        <w:t xml:space="preserve"> franchisor’s ability to</w:t>
      </w:r>
      <w:r w:rsidR="002938AE">
        <w:t xml:space="preserve"> quickly</w:t>
      </w:r>
      <w:r>
        <w:t xml:space="preserve"> stem the effects of the </w:t>
      </w:r>
      <w:r w:rsidR="002938AE">
        <w:t>likely serious nature of the</w:t>
      </w:r>
      <w:r w:rsidR="002938AE" w:rsidRPr="002938AE">
        <w:t xml:space="preserve"> circumstances</w:t>
      </w:r>
      <w:r w:rsidR="002938AE">
        <w:t xml:space="preserve"> in which the franchisee is to be terminated.</w:t>
      </w:r>
      <w:r w:rsidR="002908D8">
        <w:t xml:space="preserve"> F</w:t>
      </w:r>
      <w:r w:rsidR="002908D8" w:rsidRPr="002908D8">
        <w:t>or example, if a franchisee</w:t>
      </w:r>
      <w:r w:rsidR="002908D8">
        <w:t>’s</w:t>
      </w:r>
      <w:r w:rsidR="002908D8" w:rsidRPr="002908D8">
        <w:t xml:space="preserve"> business has somehow endangered public health and safety, </w:t>
      </w:r>
      <w:r w:rsidR="002908D8">
        <w:t xml:space="preserve">the wider community </w:t>
      </w:r>
      <w:r w:rsidR="002908D8" w:rsidRPr="002908D8">
        <w:t xml:space="preserve">could be at risk, as well as the </w:t>
      </w:r>
      <w:r w:rsidR="002908D8">
        <w:t xml:space="preserve">possibility of </w:t>
      </w:r>
      <w:r w:rsidR="002908D8" w:rsidRPr="002908D8">
        <w:t>reputation</w:t>
      </w:r>
      <w:r w:rsidR="002908D8">
        <w:t>al damage to the</w:t>
      </w:r>
      <w:r w:rsidR="002908D8" w:rsidRPr="002908D8">
        <w:t xml:space="preserve"> franchise brand. </w:t>
      </w:r>
      <w:r w:rsidR="002938AE">
        <w:t xml:space="preserve"> </w:t>
      </w:r>
    </w:p>
    <w:p w:rsidR="002938AE" w:rsidRDefault="002908D8">
      <w:r>
        <w:t>However, i</w:t>
      </w:r>
      <w:r w:rsidR="00D70874">
        <w:t>t</w:t>
      </w:r>
      <w:r w:rsidR="002938AE" w:rsidRPr="002938AE">
        <w:t xml:space="preserve"> is important terminations arisin</w:t>
      </w:r>
      <w:r w:rsidR="00FF0810">
        <w:t xml:space="preserve">g from breaches are justifiable. This measure will </w:t>
      </w:r>
      <w:r>
        <w:t xml:space="preserve">protect the rights of </w:t>
      </w:r>
      <w:r w:rsidR="002938AE" w:rsidRPr="002938AE">
        <w:t xml:space="preserve">franchisees </w:t>
      </w:r>
      <w:r w:rsidR="00FF0810">
        <w:t xml:space="preserve">to </w:t>
      </w:r>
      <w:r w:rsidR="002938AE" w:rsidRPr="002938AE">
        <w:t>have recourse to alternative dispute resolution processes.</w:t>
      </w:r>
    </w:p>
    <w:p w:rsidR="00B95D19" w:rsidRDefault="00697FD7" w:rsidP="00B95D19">
      <w:pPr>
        <w:pStyle w:val="Heading2"/>
      </w:pPr>
      <w:r w:rsidDel="00697FD7">
        <w:t xml:space="preserve"> </w:t>
      </w:r>
      <w:bookmarkStart w:id="240" w:name="_Toc46841992"/>
      <w:bookmarkStart w:id="241" w:name="_Toc46843665"/>
      <w:bookmarkStart w:id="242" w:name="_Toc46846310"/>
      <w:bookmarkStart w:id="243" w:name="_Toc46911994"/>
      <w:bookmarkStart w:id="244" w:name="_Toc46991045"/>
      <w:bookmarkStart w:id="245" w:name="_Toc47009804"/>
      <w:bookmarkStart w:id="246" w:name="_Toc47469284"/>
      <w:bookmarkStart w:id="247" w:name="_Toc47517242"/>
      <w:bookmarkStart w:id="248" w:name="_Toc47522366"/>
      <w:bookmarkStart w:id="249" w:name="_Toc47527737"/>
      <w:bookmarkStart w:id="250" w:name="_Toc47533626"/>
      <w:bookmarkStart w:id="251" w:name="_Toc47536029"/>
      <w:bookmarkStart w:id="252" w:name="_Toc47540518"/>
      <w:bookmarkStart w:id="253" w:name="_Toc47542073"/>
      <w:bookmarkStart w:id="254" w:name="_Toc48644138"/>
      <w:r w:rsidR="00B95D19">
        <w:t>5.3 Option 3: Non-regulatory reforms to the franchising sector</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B95D19" w:rsidRDefault="00B95D19" w:rsidP="00B95D19">
      <w:pPr>
        <w:pStyle w:val="Heading3"/>
      </w:pPr>
      <w:bookmarkStart w:id="255" w:name="_Toc46841993"/>
      <w:bookmarkStart w:id="256" w:name="_Toc46843666"/>
      <w:bookmarkStart w:id="257" w:name="_Toc46846311"/>
      <w:bookmarkStart w:id="258" w:name="_Toc46911995"/>
      <w:bookmarkStart w:id="259" w:name="_Toc46991046"/>
      <w:bookmarkStart w:id="260" w:name="_Toc47009805"/>
      <w:bookmarkStart w:id="261" w:name="_Toc47469285"/>
      <w:bookmarkStart w:id="262" w:name="_Toc47517243"/>
      <w:bookmarkStart w:id="263" w:name="_Toc47522367"/>
      <w:bookmarkStart w:id="264" w:name="_Toc47527738"/>
      <w:bookmarkStart w:id="265" w:name="_Toc47533627"/>
      <w:bookmarkStart w:id="266" w:name="_Toc47536030"/>
      <w:bookmarkStart w:id="267" w:name="_Toc47540519"/>
      <w:bookmarkStart w:id="268" w:name="_Toc47542074"/>
      <w:bookmarkStart w:id="269" w:name="_Toc48644139"/>
      <w:r>
        <w:t xml:space="preserve">5.3.1 </w:t>
      </w:r>
      <w:r>
        <w:tab/>
      </w:r>
      <w:r w:rsidRPr="00D247EF">
        <w:t>What does this option involve?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2211E5" w:rsidRDefault="00F07FBD" w:rsidP="00B95D19">
      <w:r>
        <w:t>Under this option, t</w:t>
      </w:r>
      <w:r w:rsidR="00B95D19">
        <w:t>he Government would take non-regulatory action to address problems identified such as initiatives to improve the education levels of franchisees prior to entering into franchising</w:t>
      </w:r>
      <w:r w:rsidR="002211E5">
        <w:t xml:space="preserve">, and other measures which do not have an associated </w:t>
      </w:r>
      <w:r w:rsidR="002211E5" w:rsidRPr="002211E5">
        <w:t>compliance burden</w:t>
      </w:r>
      <w:r w:rsidR="00B95D19">
        <w:t xml:space="preserve">. </w:t>
      </w:r>
    </w:p>
    <w:p w:rsidR="00B95D19" w:rsidRDefault="00633634" w:rsidP="00B95D19">
      <w:r>
        <w:t>Improving prospective franchisees’</w:t>
      </w:r>
      <w:r w:rsidR="00B95D19">
        <w:t xml:space="preserve"> understanding of the importance of due diligence and other key information regarding operating a franchise </w:t>
      </w:r>
      <w:r>
        <w:t xml:space="preserve">would assist in avoiding many of </w:t>
      </w:r>
      <w:r w:rsidR="00B95D19">
        <w:t xml:space="preserve">the problems identified by </w:t>
      </w:r>
      <w:r>
        <w:t>PJC</w:t>
      </w:r>
      <w:r w:rsidR="00B95D19">
        <w:t xml:space="preserve"> and </w:t>
      </w:r>
      <w:r>
        <w:t xml:space="preserve">Franchising </w:t>
      </w:r>
      <w:r w:rsidR="00B95D19">
        <w:t>Taskforce consultation process.</w:t>
      </w:r>
    </w:p>
    <w:p w:rsidR="0077517F" w:rsidRDefault="0077517F" w:rsidP="00B95D19">
      <w:pPr>
        <w:pStyle w:val="Heading4"/>
        <w:rPr>
          <w:b/>
        </w:rPr>
      </w:pPr>
      <w:r>
        <w:t xml:space="preserve">Reforms to better inform franchisees and improve transparency </w:t>
      </w:r>
    </w:p>
    <w:p w:rsidR="00B95D19" w:rsidRDefault="00B95D19">
      <w:pPr>
        <w:spacing w:after="0"/>
      </w:pPr>
      <w:r w:rsidRPr="003E146E">
        <w:rPr>
          <w:b/>
        </w:rPr>
        <w:t xml:space="preserve">A new government online educational resource for the franchising sector </w:t>
      </w:r>
    </w:p>
    <w:p w:rsidR="00C26112" w:rsidRDefault="003778EB">
      <w:pPr>
        <w:rPr>
          <w:rFonts w:cstheme="minorHAnsi"/>
        </w:rPr>
      </w:pPr>
      <w:r>
        <w:rPr>
          <w:rFonts w:cstheme="minorHAnsi"/>
        </w:rPr>
        <w:t>T</w:t>
      </w:r>
      <w:r w:rsidR="00B95D19">
        <w:rPr>
          <w:rFonts w:cstheme="minorHAnsi"/>
        </w:rPr>
        <w:t xml:space="preserve">he Government would develop a website, </w:t>
      </w:r>
      <w:r w:rsidR="00B95D19" w:rsidRPr="0065767C">
        <w:rPr>
          <w:rFonts w:cstheme="minorHAnsi"/>
        </w:rPr>
        <w:t xml:space="preserve">consistent with </w:t>
      </w:r>
      <w:r w:rsidR="00B95D19">
        <w:rPr>
          <w:rFonts w:cstheme="minorHAnsi"/>
        </w:rPr>
        <w:t xml:space="preserve">Recommendation </w:t>
      </w:r>
      <w:r w:rsidR="00B95D19" w:rsidRPr="0065767C">
        <w:rPr>
          <w:rFonts w:cstheme="minorHAnsi"/>
        </w:rPr>
        <w:t>18.2</w:t>
      </w:r>
      <w:r w:rsidR="00B95D19">
        <w:rPr>
          <w:rFonts w:cstheme="minorHAnsi"/>
        </w:rPr>
        <w:t xml:space="preserve"> of the PJC’s </w:t>
      </w:r>
      <w:r w:rsidR="00B95D19">
        <w:rPr>
          <w:rFonts w:cstheme="minorHAnsi"/>
          <w:i/>
        </w:rPr>
        <w:t xml:space="preserve">Fairness in </w:t>
      </w:r>
      <w:proofErr w:type="gramStart"/>
      <w:r w:rsidR="00B95D19">
        <w:rPr>
          <w:rFonts w:cstheme="minorHAnsi"/>
          <w:i/>
        </w:rPr>
        <w:t>Franchising</w:t>
      </w:r>
      <w:proofErr w:type="gramEnd"/>
      <w:r w:rsidR="00B95D19">
        <w:rPr>
          <w:rFonts w:cstheme="minorHAnsi"/>
        </w:rPr>
        <w:t xml:space="preserve"> report</w:t>
      </w:r>
      <w:r w:rsidR="00B95D19" w:rsidRPr="00D61896">
        <w:rPr>
          <w:rFonts w:cstheme="minorHAnsi"/>
        </w:rPr>
        <w:t xml:space="preserve">. </w:t>
      </w:r>
      <w:r w:rsidR="00B95D19">
        <w:rPr>
          <w:rFonts w:cstheme="minorHAnsi"/>
        </w:rPr>
        <w:t>The</w:t>
      </w:r>
      <w:r w:rsidR="00B95D19" w:rsidRPr="002A378E">
        <w:rPr>
          <w:rFonts w:cstheme="minorHAnsi"/>
        </w:rPr>
        <w:t xml:space="preserve"> proposed website </w:t>
      </w:r>
      <w:r w:rsidR="00770A80">
        <w:rPr>
          <w:rFonts w:cstheme="minorHAnsi"/>
        </w:rPr>
        <w:t xml:space="preserve">would contain a range of </w:t>
      </w:r>
      <w:r w:rsidR="00B95D19" w:rsidRPr="002A378E">
        <w:rPr>
          <w:rFonts w:cstheme="minorHAnsi"/>
        </w:rPr>
        <w:t>information relevant to all stages of the franchise relationship such as information on due diligence when entering into a franchise agreement to information on options to exit the franchise system</w:t>
      </w:r>
      <w:r w:rsidR="00770A80">
        <w:rPr>
          <w:rFonts w:cstheme="minorHAnsi"/>
        </w:rPr>
        <w:t xml:space="preserve">. </w:t>
      </w:r>
      <w:r w:rsidR="00B95D19" w:rsidRPr="002A378E">
        <w:rPr>
          <w:rFonts w:cstheme="minorHAnsi"/>
        </w:rPr>
        <w:t xml:space="preserve"> </w:t>
      </w:r>
      <w:r w:rsidR="00C26112">
        <w:t xml:space="preserve">Further consultation </w:t>
      </w:r>
      <w:r w:rsidR="00C26112">
        <w:lastRenderedPageBreak/>
        <w:t>will be conducted to ensure the design of the website promotes the objectives of better informed franchisees</w:t>
      </w:r>
    </w:p>
    <w:p w:rsidR="00B95D19" w:rsidRPr="003D7002" w:rsidRDefault="00C26112">
      <w:pPr>
        <w:ind w:left="720"/>
        <w:rPr>
          <w:rFonts w:cstheme="minorHAnsi"/>
        </w:rPr>
      </w:pPr>
      <w:r>
        <w:rPr>
          <w:rFonts w:cstheme="minorHAnsi"/>
          <w:i/>
        </w:rPr>
        <w:t xml:space="preserve">Stakeholder views </w:t>
      </w:r>
      <w:r>
        <w:rPr>
          <w:rFonts w:cstheme="minorHAnsi"/>
          <w:i/>
        </w:rPr>
        <w:br/>
      </w:r>
      <w:r w:rsidR="00B95D19">
        <w:rPr>
          <w:rFonts w:cstheme="minorHAnsi"/>
        </w:rPr>
        <w:t xml:space="preserve">Submissions to the </w:t>
      </w:r>
      <w:r w:rsidR="003E146E">
        <w:rPr>
          <w:rFonts w:cstheme="minorHAnsi"/>
        </w:rPr>
        <w:t>Franchising Taskforce’s Issues P</w:t>
      </w:r>
      <w:r w:rsidR="00B95D19">
        <w:rPr>
          <w:rFonts w:cstheme="minorHAnsi"/>
        </w:rPr>
        <w:t>aper showed that m</w:t>
      </w:r>
      <w:r w:rsidR="00B95D19" w:rsidRPr="009D5845">
        <w:rPr>
          <w:rFonts w:cstheme="minorHAnsi"/>
        </w:rPr>
        <w:t xml:space="preserve">ost stakeholders </w:t>
      </w:r>
      <w:r w:rsidR="00B95D19">
        <w:rPr>
          <w:rFonts w:cstheme="minorHAnsi"/>
        </w:rPr>
        <w:t>considered that a franchising website would</w:t>
      </w:r>
      <w:r w:rsidR="00B95D19" w:rsidRPr="009D5845">
        <w:rPr>
          <w:rFonts w:cstheme="minorHAnsi"/>
        </w:rPr>
        <w:t xml:space="preserve"> be helpful.</w:t>
      </w:r>
      <w:r w:rsidR="00770A80">
        <w:t xml:space="preserve"> </w:t>
      </w:r>
    </w:p>
    <w:p w:rsidR="00B95D19" w:rsidRPr="003E146E" w:rsidRDefault="00B95D19" w:rsidP="003E146E">
      <w:pPr>
        <w:spacing w:after="0"/>
        <w:rPr>
          <w:b/>
        </w:rPr>
      </w:pPr>
      <w:r w:rsidRPr="003E146E">
        <w:rPr>
          <w:b/>
        </w:rPr>
        <w:t>Amend Information Statement with existing franchisee obligations</w:t>
      </w:r>
    </w:p>
    <w:p w:rsidR="00B95D19" w:rsidRDefault="00713EA8" w:rsidP="00B95D19">
      <w:r>
        <w:t xml:space="preserve">Under this option, the </w:t>
      </w:r>
      <w:r w:rsidR="00B95D19">
        <w:t xml:space="preserve">Government </w:t>
      </w:r>
      <w:r>
        <w:t>would</w:t>
      </w:r>
      <w:r w:rsidR="00B95D19">
        <w:t xml:space="preserve"> amend the Information Statement to advise prospective franchisees that their obligations include obtaining information about employment matters and compliance with relevant laws.</w:t>
      </w:r>
    </w:p>
    <w:p w:rsidR="009E2AFD" w:rsidRPr="009E2AFD" w:rsidRDefault="009E2AFD">
      <w:pPr>
        <w:ind w:left="720"/>
        <w:rPr>
          <w:rFonts w:cstheme="minorHAnsi"/>
        </w:rPr>
      </w:pPr>
      <w:r>
        <w:rPr>
          <w:rFonts w:cstheme="minorHAnsi"/>
          <w:i/>
        </w:rPr>
        <w:t xml:space="preserve">Stakeholder views </w:t>
      </w:r>
      <w:r>
        <w:rPr>
          <w:rFonts w:cstheme="minorHAnsi"/>
          <w:i/>
        </w:rPr>
        <w:br/>
      </w:r>
      <w:r w:rsidR="007D2B6E" w:rsidRPr="007D2B6E">
        <w:rPr>
          <w:rFonts w:cstheme="minorHAnsi"/>
        </w:rPr>
        <w:t xml:space="preserve">Franchisees and FCA </w:t>
      </w:r>
      <w:r w:rsidR="007D2B6E">
        <w:rPr>
          <w:rFonts w:cstheme="minorHAnsi"/>
        </w:rPr>
        <w:t xml:space="preserve">were </w:t>
      </w:r>
      <w:r w:rsidR="007D2B6E" w:rsidRPr="007D2B6E">
        <w:rPr>
          <w:rFonts w:cstheme="minorHAnsi"/>
        </w:rPr>
        <w:t>generally supportive</w:t>
      </w:r>
      <w:r w:rsidR="007D2B6E">
        <w:rPr>
          <w:rFonts w:cstheme="minorHAnsi"/>
        </w:rPr>
        <w:t xml:space="preserve"> of this measure.</w:t>
      </w:r>
    </w:p>
    <w:p w:rsidR="00B95D19" w:rsidRPr="003E146E" w:rsidRDefault="00B95D19" w:rsidP="003E146E">
      <w:pPr>
        <w:spacing w:after="0"/>
        <w:rPr>
          <w:b/>
        </w:rPr>
      </w:pPr>
      <w:r w:rsidRPr="003E146E">
        <w:rPr>
          <w:b/>
        </w:rPr>
        <w:t>Raise awareness of the use of ‘no agent’ and ‘entire agreement’ clauses</w:t>
      </w:r>
    </w:p>
    <w:p w:rsidR="00B95D19" w:rsidRDefault="00713EA8" w:rsidP="00B95D19">
      <w:r>
        <w:t xml:space="preserve">Under this option, the </w:t>
      </w:r>
      <w:r w:rsidR="00B95D19" w:rsidRPr="00EE2D4B">
        <w:t xml:space="preserve">Government </w:t>
      </w:r>
      <w:r>
        <w:t>would</w:t>
      </w:r>
      <w:r w:rsidR="00EA6F3E">
        <w:t xml:space="preserve"> amend the Information Statement to address t</w:t>
      </w:r>
      <w:r w:rsidR="00B95D19" w:rsidRPr="00EE2D4B">
        <w:t>he use of 'no agent' and 'entire agreement' clauses, and ask the ACCC to refer to these terms in its educational material</w:t>
      </w:r>
      <w:r w:rsidR="00B95D19">
        <w:t>.</w:t>
      </w:r>
    </w:p>
    <w:p w:rsidR="00F936E5" w:rsidRPr="00F936E5" w:rsidRDefault="00BF474E" w:rsidP="00F936E5">
      <w:pPr>
        <w:ind w:left="720"/>
        <w:rPr>
          <w:rFonts w:cstheme="minorHAnsi"/>
        </w:rPr>
      </w:pPr>
      <w:r>
        <w:rPr>
          <w:rFonts w:cstheme="minorHAnsi"/>
          <w:i/>
        </w:rPr>
        <w:t xml:space="preserve">Stakeholder views </w:t>
      </w:r>
      <w:r>
        <w:rPr>
          <w:rFonts w:cstheme="minorHAnsi"/>
          <w:i/>
        </w:rPr>
        <w:br/>
      </w:r>
      <w:r w:rsidR="00F936E5">
        <w:rPr>
          <w:rFonts w:cstheme="minorHAnsi"/>
        </w:rPr>
        <w:t>The FCA supported these measures</w:t>
      </w:r>
      <w:r w:rsidR="00F936E5" w:rsidRPr="00F936E5">
        <w:rPr>
          <w:rFonts w:cstheme="minorHAnsi"/>
        </w:rPr>
        <w:t xml:space="preserve">, but notes that it is not clear </w:t>
      </w:r>
      <w:r w:rsidR="00F936E5">
        <w:rPr>
          <w:rFonts w:cstheme="minorHAnsi"/>
        </w:rPr>
        <w:t xml:space="preserve">whether </w:t>
      </w:r>
      <w:r w:rsidR="00F936E5" w:rsidRPr="00F936E5">
        <w:rPr>
          <w:rFonts w:cstheme="minorHAnsi"/>
        </w:rPr>
        <w:t>‘no agent’ and ‘entire agreement’ clauses protect franchisors. The FCA argues mandating legal and business advice will have a far greater impact.</w:t>
      </w:r>
    </w:p>
    <w:p w:rsidR="00BF474E" w:rsidRPr="00BF474E" w:rsidRDefault="00F936E5">
      <w:pPr>
        <w:ind w:left="720"/>
        <w:rPr>
          <w:rFonts w:cstheme="minorHAnsi"/>
        </w:rPr>
      </w:pPr>
      <w:r w:rsidRPr="00F936E5">
        <w:rPr>
          <w:rFonts w:cstheme="minorHAnsi"/>
        </w:rPr>
        <w:t xml:space="preserve">The ACCC </w:t>
      </w:r>
      <w:r>
        <w:rPr>
          <w:rFonts w:cstheme="minorHAnsi"/>
        </w:rPr>
        <w:t>was supportive of</w:t>
      </w:r>
      <w:r w:rsidRPr="00F936E5">
        <w:rPr>
          <w:rFonts w:cstheme="minorHAnsi"/>
        </w:rPr>
        <w:t xml:space="preserve"> include a warning about these terms as part of its general educational material</w:t>
      </w:r>
      <w:r>
        <w:rPr>
          <w:rFonts w:cstheme="minorHAnsi"/>
        </w:rPr>
        <w:t>.</w:t>
      </w:r>
    </w:p>
    <w:p w:rsidR="00B95D19" w:rsidRPr="003E146E" w:rsidRDefault="00B95D19" w:rsidP="003E146E">
      <w:pPr>
        <w:spacing w:after="0"/>
        <w:rPr>
          <w:b/>
        </w:rPr>
      </w:pPr>
      <w:r w:rsidRPr="003E146E">
        <w:rPr>
          <w:b/>
        </w:rPr>
        <w:t xml:space="preserve">Clarification of cooling off period </w:t>
      </w:r>
    </w:p>
    <w:p w:rsidR="00B95D19" w:rsidRPr="00612B41" w:rsidRDefault="00B95D19" w:rsidP="00B95D19">
      <w:r w:rsidRPr="00612B41">
        <w:t xml:space="preserve">Clarification would be provided in the Franchising Code that the cooling off and disclosure periods are measured in calendar days and that the 14 day disclosure period must begin at least 14 days before the signing of a franchise agreement. </w:t>
      </w:r>
    </w:p>
    <w:p w:rsidR="00B95D19" w:rsidRDefault="00B257C4">
      <w:pPr>
        <w:ind w:left="720"/>
      </w:pPr>
      <w:r>
        <w:rPr>
          <w:i/>
        </w:rPr>
        <w:t xml:space="preserve">Stakeholder views </w:t>
      </w:r>
      <w:r>
        <w:br/>
      </w:r>
      <w:r w:rsidR="00B95D19">
        <w:t xml:space="preserve">Submissions to the </w:t>
      </w:r>
      <w:r w:rsidR="008B13A7">
        <w:t>consultation paper</w:t>
      </w:r>
      <w:r w:rsidR="00B95D19">
        <w:t xml:space="preserve"> process showed that </w:t>
      </w:r>
      <w:r w:rsidR="00B95D19">
        <w:rPr>
          <w:rFonts w:cstheme="minorHAnsi"/>
        </w:rPr>
        <w:t>there was general support for the clarification of franchise cooling off periods</w:t>
      </w:r>
      <w:r w:rsidR="00B95D19" w:rsidRPr="005B4E17">
        <w:t>.</w:t>
      </w:r>
    </w:p>
    <w:p w:rsidR="00B95D19" w:rsidRPr="003E146E" w:rsidRDefault="00B95D19" w:rsidP="003E146E">
      <w:pPr>
        <w:spacing w:after="0"/>
        <w:rPr>
          <w:b/>
        </w:rPr>
      </w:pPr>
      <w:r w:rsidRPr="003E146E">
        <w:rPr>
          <w:b/>
        </w:rPr>
        <w:t>Improve consistency within the Franchising Code about the treatment of marketing funds, particularly clauses 15 and 31</w:t>
      </w:r>
    </w:p>
    <w:p w:rsidR="00B95D19" w:rsidRDefault="00B95D19" w:rsidP="00B95D19">
      <w:r>
        <w:t>The Franchising Code would be changed to clarify obligations with respect to marketing funds</w:t>
      </w:r>
      <w:r w:rsidR="002E0191">
        <w:t xml:space="preserve">. This may include </w:t>
      </w:r>
      <w:r>
        <w:t xml:space="preserve">clarifying what would be ‘meaningful information’ for the purposes of clause 15 of the Franchising Code. This could assist parties in understanding their obligations. </w:t>
      </w:r>
    </w:p>
    <w:p w:rsidR="000E3545" w:rsidRDefault="002E0191" w:rsidP="000E3545">
      <w:pPr>
        <w:ind w:left="720"/>
      </w:pPr>
      <w:r>
        <w:rPr>
          <w:i/>
        </w:rPr>
        <w:t xml:space="preserve">Stakeholder views </w:t>
      </w:r>
      <w:r>
        <w:br/>
      </w:r>
      <w:r w:rsidR="000E3545" w:rsidRPr="000E3545">
        <w:t xml:space="preserve">Franchisees and </w:t>
      </w:r>
      <w:r w:rsidR="000E3545">
        <w:t xml:space="preserve">the </w:t>
      </w:r>
      <w:r w:rsidR="000E3545" w:rsidRPr="000E3545">
        <w:t xml:space="preserve">FCA </w:t>
      </w:r>
      <w:r w:rsidR="000E3545">
        <w:t xml:space="preserve">were </w:t>
      </w:r>
      <w:r w:rsidR="000E3545" w:rsidRPr="000E3545">
        <w:t>generally supportive</w:t>
      </w:r>
      <w:r w:rsidR="000E3545">
        <w:t xml:space="preserve"> of this option</w:t>
      </w:r>
      <w:r w:rsidR="000E3545" w:rsidRPr="000E3545">
        <w:t xml:space="preserve">. </w:t>
      </w:r>
    </w:p>
    <w:p w:rsidR="00B95D19" w:rsidRPr="003E146E" w:rsidRDefault="00B95D19">
      <w:pPr>
        <w:rPr>
          <w:b/>
        </w:rPr>
      </w:pPr>
      <w:r w:rsidRPr="003E146E">
        <w:rPr>
          <w:b/>
        </w:rPr>
        <w:t>Education on best practice financial statements</w:t>
      </w:r>
      <w:r w:rsidR="006D18C7">
        <w:rPr>
          <w:b/>
        </w:rPr>
        <w:t xml:space="preserve"> for marketing funds </w:t>
      </w:r>
    </w:p>
    <w:p w:rsidR="00B95D19" w:rsidRDefault="00713EA8" w:rsidP="00B95D19">
      <w:r>
        <w:t xml:space="preserve">Under this option, the </w:t>
      </w:r>
      <w:r w:rsidR="00B95D19">
        <w:t xml:space="preserve">Government </w:t>
      </w:r>
      <w:r>
        <w:t>would</w:t>
      </w:r>
      <w:r w:rsidR="00B95D19">
        <w:t xml:space="preserve"> </w:t>
      </w:r>
      <w:r w:rsidR="00B95D19" w:rsidRPr="00EE2D4B">
        <w:t xml:space="preserve">work with the sector to </w:t>
      </w:r>
      <w:proofErr w:type="spellStart"/>
      <w:r w:rsidR="00B95D19" w:rsidRPr="00EE2D4B">
        <w:t>emphasise</w:t>
      </w:r>
      <w:proofErr w:type="spellEnd"/>
      <w:r w:rsidR="00B95D19" w:rsidRPr="00EE2D4B">
        <w:t xml:space="preserve"> the importance of developing best practice financial statements</w:t>
      </w:r>
      <w:r w:rsidR="00757295">
        <w:t xml:space="preserve"> for marketing funds</w:t>
      </w:r>
      <w:r w:rsidR="00B95D19">
        <w:t>, and additional efforts would be made to educate the franchising sector on the preparation of financial statements.</w:t>
      </w:r>
    </w:p>
    <w:p w:rsidR="00B95D19" w:rsidRDefault="00FB2A6D">
      <w:pPr>
        <w:ind w:left="720"/>
      </w:pPr>
      <w:r>
        <w:rPr>
          <w:i/>
        </w:rPr>
        <w:lastRenderedPageBreak/>
        <w:t>Stakeholder views</w:t>
      </w:r>
      <w:r>
        <w:br/>
      </w:r>
      <w:r w:rsidR="00B95D19">
        <w:t xml:space="preserve">Stakeholders have suggested that improved interpretation of the existing provisions may reduce the incidence of disputes over the use of marketing funds. </w:t>
      </w:r>
    </w:p>
    <w:p w:rsidR="00B95D19" w:rsidRPr="003E146E" w:rsidRDefault="00B95D19" w:rsidP="003E146E">
      <w:pPr>
        <w:spacing w:after="0"/>
        <w:rPr>
          <w:b/>
        </w:rPr>
      </w:pPr>
      <w:r w:rsidRPr="003E146E">
        <w:rPr>
          <w:b/>
        </w:rPr>
        <w:t>Education on distribution of unused marketing funds</w:t>
      </w:r>
    </w:p>
    <w:p w:rsidR="00B95D19" w:rsidRDefault="00713EA8" w:rsidP="00B95D19">
      <w:r>
        <w:t xml:space="preserve">Under this option, the </w:t>
      </w:r>
      <w:r w:rsidR="00B95D19" w:rsidRPr="00B7637A">
        <w:t xml:space="preserve">Government </w:t>
      </w:r>
      <w:r>
        <w:t>would</w:t>
      </w:r>
      <w:r w:rsidR="00B95D19" w:rsidRPr="00B7637A">
        <w:t xml:space="preserve"> amend the Information Statement and use educational materials to improve franchisees’ understanding that, if the franchisor becomes insolvent, they may lose the benefit of shared funds such as marketing funds</w:t>
      </w:r>
      <w:r w:rsidR="00B95D19">
        <w:t>.</w:t>
      </w:r>
      <w:r w:rsidR="00B66F78" w:rsidRPr="00B66F78">
        <w:t xml:space="preserve"> </w:t>
      </w:r>
    </w:p>
    <w:p w:rsidR="00B95D19" w:rsidRDefault="00B66F78">
      <w:pPr>
        <w:ind w:left="720"/>
      </w:pPr>
      <w:r>
        <w:rPr>
          <w:i/>
        </w:rPr>
        <w:t xml:space="preserve">Stakeholder views </w:t>
      </w:r>
      <w:r>
        <w:rPr>
          <w:i/>
        </w:rPr>
        <w:br/>
      </w:r>
      <w:proofErr w:type="gramStart"/>
      <w:r>
        <w:t>Some</w:t>
      </w:r>
      <w:proofErr w:type="gramEnd"/>
      <w:r>
        <w:t xml:space="preserve"> stakeholders advocated for the Code to expressly clarify the distribution of unused marketing funds </w:t>
      </w:r>
      <w:r w:rsidR="00EC41D7" w:rsidRPr="00EC41D7">
        <w:t>in the event of the franchisor going into liquidatio</w:t>
      </w:r>
      <w:r>
        <w:t xml:space="preserve">n. Other stakeholders argued that </w:t>
      </w:r>
      <w:r w:rsidR="00B95D19" w:rsidRPr="00B7637A">
        <w:t>should the costs and risks of administration become too onerous, franchisors may choose not to operate shared marketing funds and instead recoup marketing costs through other means (such as franchise system fees).</w:t>
      </w:r>
    </w:p>
    <w:p w:rsidR="009020E0" w:rsidRPr="003E146E" w:rsidRDefault="009020E0" w:rsidP="009020E0">
      <w:pPr>
        <w:pStyle w:val="Heading4"/>
        <w:rPr>
          <w:rFonts w:asciiTheme="minorHAnsi" w:eastAsiaTheme="minorHAnsi" w:hAnsiTheme="minorHAnsi" w:cstheme="minorBidi"/>
          <w:b/>
          <w:i w:val="0"/>
          <w:iCs w:val="0"/>
          <w:color w:val="auto"/>
        </w:rPr>
      </w:pPr>
      <w:r w:rsidRPr="003E146E">
        <w:rPr>
          <w:rFonts w:asciiTheme="minorHAnsi" w:eastAsiaTheme="minorHAnsi" w:hAnsiTheme="minorHAnsi" w:cstheme="minorBidi"/>
          <w:b/>
          <w:i w:val="0"/>
          <w:iCs w:val="0"/>
          <w:color w:val="auto"/>
        </w:rPr>
        <w:t>Improve awareness of wastage and shrinkage payments</w:t>
      </w:r>
    </w:p>
    <w:p w:rsidR="009020E0" w:rsidRDefault="00E428E5" w:rsidP="00B95D19">
      <w:r>
        <w:t xml:space="preserve">Under this option, the </w:t>
      </w:r>
      <w:r w:rsidR="009020E0">
        <w:t xml:space="preserve">Government </w:t>
      </w:r>
      <w:r>
        <w:t>would</w:t>
      </w:r>
      <w:r w:rsidR="009020E0">
        <w:t xml:space="preserve"> improve awareness of the issue of wastage and shrinkage payments by franchisees.</w:t>
      </w:r>
      <w:r w:rsidR="00D53AE0" w:rsidDel="007167B9">
        <w:t xml:space="preserve"> </w:t>
      </w:r>
      <w:r w:rsidR="000656D8">
        <w:t xml:space="preserve">The government will </w:t>
      </w:r>
      <w:r w:rsidR="00492715">
        <w:t xml:space="preserve">draw on </w:t>
      </w:r>
      <w:r w:rsidR="007167B9">
        <w:t xml:space="preserve">existing </w:t>
      </w:r>
      <w:r w:rsidR="007167B9" w:rsidRPr="007167B9">
        <w:t>channels designed for education and guidance</w:t>
      </w:r>
      <w:r w:rsidR="00492715">
        <w:t>, in addition to the proposed</w:t>
      </w:r>
      <w:r w:rsidR="007167B9" w:rsidRPr="007167B9" w:rsidDel="00492715">
        <w:t xml:space="preserve"> </w:t>
      </w:r>
      <w:r w:rsidR="007167B9">
        <w:t>website</w:t>
      </w:r>
      <w:r w:rsidR="00BD63FD">
        <w:t xml:space="preserve">. </w:t>
      </w:r>
    </w:p>
    <w:p w:rsidR="006A7129" w:rsidRPr="0091065F" w:rsidRDefault="006A7129">
      <w:pPr>
        <w:ind w:left="720"/>
      </w:pPr>
      <w:r w:rsidRPr="006A7129">
        <w:rPr>
          <w:i/>
        </w:rPr>
        <w:t xml:space="preserve">Stakeholder views </w:t>
      </w:r>
      <w:r>
        <w:rPr>
          <w:i/>
        </w:rPr>
        <w:br/>
      </w:r>
      <w:proofErr w:type="gramStart"/>
      <w:r w:rsidR="001F1E82">
        <w:t>There</w:t>
      </w:r>
      <w:proofErr w:type="gramEnd"/>
      <w:r w:rsidR="001F1E82">
        <w:t xml:space="preserve"> was no significant feedback on the issue of wastage and shrinkage.</w:t>
      </w:r>
    </w:p>
    <w:p w:rsidR="00602858" w:rsidRDefault="00282682" w:rsidP="00602858">
      <w:pPr>
        <w:pStyle w:val="Heading4"/>
      </w:pPr>
      <w:r>
        <w:t>Measures</w:t>
      </w:r>
      <w:r w:rsidR="00602858">
        <w:t xml:space="preserve"> to </w:t>
      </w:r>
      <w:r>
        <w:t xml:space="preserve">address poor conduct and </w:t>
      </w:r>
      <w:r w:rsidR="00602858">
        <w:t xml:space="preserve">improve compliance and enforcement </w:t>
      </w:r>
    </w:p>
    <w:p w:rsidR="00D84758" w:rsidRPr="00DD6BE6" w:rsidRDefault="00D84758" w:rsidP="00D84758">
      <w:pPr>
        <w:spacing w:before="120" w:after="0"/>
        <w:rPr>
          <w:b/>
        </w:rPr>
      </w:pPr>
      <w:r w:rsidRPr="00DD6BE6">
        <w:rPr>
          <w:b/>
        </w:rPr>
        <w:t>Introduce civil pecuniary penalties for a breach of clause 31</w:t>
      </w:r>
    </w:p>
    <w:p w:rsidR="00D84758" w:rsidRDefault="00D84758" w:rsidP="00D84758">
      <w:r>
        <w:t>Creating a civil pecuniary penalty for marketing fund provisions in clause 31 will deter breaches of the Franchising Code. Penalties for non-compliance may boost confidence in the operation of marketing funds.</w:t>
      </w:r>
    </w:p>
    <w:p w:rsidR="0091065F" w:rsidRDefault="0091065F">
      <w:pPr>
        <w:ind w:left="720"/>
      </w:pPr>
      <w:r w:rsidRPr="0047018C">
        <w:rPr>
          <w:i/>
        </w:rPr>
        <w:t xml:space="preserve">Stakeholder views </w:t>
      </w:r>
      <w:r>
        <w:rPr>
          <w:i/>
        </w:rPr>
        <w:br/>
      </w:r>
      <w:r w:rsidR="007D5B0D" w:rsidRPr="007D5B0D">
        <w:t>Franchisees and</w:t>
      </w:r>
      <w:r w:rsidR="007D5B0D">
        <w:t xml:space="preserve"> the</w:t>
      </w:r>
      <w:r w:rsidR="007D5B0D" w:rsidRPr="007D5B0D">
        <w:t xml:space="preserve"> FCA </w:t>
      </w:r>
      <w:r w:rsidR="007D5B0D">
        <w:t xml:space="preserve">were </w:t>
      </w:r>
      <w:r w:rsidR="007D5B0D" w:rsidRPr="007D5B0D">
        <w:t>generally supportive</w:t>
      </w:r>
      <w:r w:rsidR="007D5B0D" w:rsidRPr="007D5B0D" w:rsidDel="007D5B0D">
        <w:t xml:space="preserve"> </w:t>
      </w:r>
      <w:r w:rsidR="007D5B0D">
        <w:t>of this measure.</w:t>
      </w:r>
    </w:p>
    <w:p w:rsidR="00D84758" w:rsidRPr="00DD6BE6" w:rsidRDefault="00D84758" w:rsidP="00D84758">
      <w:pPr>
        <w:spacing w:before="120" w:after="0"/>
        <w:rPr>
          <w:b/>
        </w:rPr>
      </w:pPr>
      <w:r w:rsidRPr="00DD6BE6">
        <w:rPr>
          <w:b/>
        </w:rPr>
        <w:t>Double the civil pecuniary penalties for breaches of the code</w:t>
      </w:r>
    </w:p>
    <w:p w:rsidR="00D84758" w:rsidRDefault="0096737C" w:rsidP="00D84758">
      <w:r>
        <w:t>Under this option the G</w:t>
      </w:r>
      <w:r w:rsidR="0091065F">
        <w:t>overnment would d</w:t>
      </w:r>
      <w:r w:rsidR="00D84758" w:rsidRPr="00C44620">
        <w:t>ouble the civil pecuniary penalty for breaches of the Franchising Code from 300 penalty units to 600 penalty units</w:t>
      </w:r>
      <w:r w:rsidR="00D84758">
        <w:t xml:space="preserve">. </w:t>
      </w:r>
    </w:p>
    <w:p w:rsidR="00D84758" w:rsidRDefault="00D84758" w:rsidP="00D84758">
      <w:r>
        <w:t xml:space="preserve">There is compelling evidence that existing penalties do not deter </w:t>
      </w:r>
      <w:r w:rsidR="007C617B">
        <w:t>poor conduct</w:t>
      </w:r>
      <w:r>
        <w:t xml:space="preserve">. </w:t>
      </w:r>
      <w:r w:rsidRPr="001B0FC2">
        <w:t xml:space="preserve">This is a significant increase </w:t>
      </w:r>
      <w:r w:rsidR="007C617B">
        <w:t xml:space="preserve">in </w:t>
      </w:r>
      <w:r w:rsidRPr="001B0FC2">
        <w:t xml:space="preserve">penalties and will further deter parties from breaching the </w:t>
      </w:r>
      <w:r w:rsidR="007C617B">
        <w:t xml:space="preserve">Franchising </w:t>
      </w:r>
      <w:r w:rsidRPr="001B0FC2">
        <w:t xml:space="preserve">Code.  </w:t>
      </w:r>
      <w:r>
        <w:t>The power to seek financial penalties is a fundamental part of the ACCC's enforcement toolkit.</w:t>
      </w:r>
    </w:p>
    <w:p w:rsidR="00D84758" w:rsidRDefault="007C617B">
      <w:pPr>
        <w:ind w:left="720"/>
      </w:pPr>
      <w:r w:rsidRPr="0047018C">
        <w:rPr>
          <w:i/>
        </w:rPr>
        <w:t xml:space="preserve">Stakeholder views </w:t>
      </w:r>
      <w:r>
        <w:rPr>
          <w:i/>
        </w:rPr>
        <w:br/>
      </w:r>
      <w:r w:rsidR="00D84758">
        <w:t>Submissions to the</w:t>
      </w:r>
      <w:r w:rsidR="00D84758" w:rsidRPr="00114A73">
        <w:t xml:space="preserve"> </w:t>
      </w:r>
      <w:r w:rsidR="008B13A7">
        <w:t>consultation paper</w:t>
      </w:r>
      <w:r w:rsidR="00EE7382">
        <w:t xml:space="preserve"> process</w:t>
      </w:r>
      <w:r w:rsidR="00D84758" w:rsidRPr="00114A73">
        <w:t xml:space="preserve"> showed that</w:t>
      </w:r>
      <w:r w:rsidR="00D84758">
        <w:t xml:space="preserve"> m</w:t>
      </w:r>
      <w:r w:rsidR="00D84758" w:rsidRPr="00A653C7">
        <w:t>any stakeholders supported increasing penalties to deter non-compliance and prevent misrepresentations and abuse of the franchising relationship. FCA thought any increase should be accompanied by greater clarity for franchisors about what was expected of them.</w:t>
      </w:r>
    </w:p>
    <w:p w:rsidR="00B507B0" w:rsidRPr="003E146E" w:rsidRDefault="00B507B0" w:rsidP="003E146E">
      <w:pPr>
        <w:spacing w:before="120" w:after="0"/>
        <w:rPr>
          <w:b/>
        </w:rPr>
      </w:pPr>
      <w:r w:rsidRPr="003E146E">
        <w:rPr>
          <w:b/>
        </w:rPr>
        <w:t xml:space="preserve">Prohibition of franchisors passing on the legal costs to the franchisee </w:t>
      </w:r>
    </w:p>
    <w:p w:rsidR="00B507B0" w:rsidRPr="003D7002" w:rsidRDefault="00CA607E" w:rsidP="00B507B0">
      <w:r>
        <w:t xml:space="preserve">Under this option, the </w:t>
      </w:r>
      <w:r w:rsidR="00B507B0" w:rsidRPr="004A5144">
        <w:t xml:space="preserve">Government </w:t>
      </w:r>
      <w:r>
        <w:t>would</w:t>
      </w:r>
      <w:r w:rsidR="00B507B0" w:rsidRPr="004A5144">
        <w:t xml:space="preserve"> prohibit (and have pecuniary penalties for) franchisors passing on the legal costs of preparing, negotiating and executing documents to the franchisee (except where it is already incorporated into a joining fee)</w:t>
      </w:r>
      <w:r w:rsidR="00B507B0">
        <w:t>.</w:t>
      </w:r>
    </w:p>
    <w:p w:rsidR="00DA2AD2" w:rsidRDefault="00A90987" w:rsidP="00DA2AD2">
      <w:pPr>
        <w:ind w:left="720"/>
      </w:pPr>
      <w:r w:rsidRPr="0047018C">
        <w:rPr>
          <w:i/>
        </w:rPr>
        <w:lastRenderedPageBreak/>
        <w:t xml:space="preserve">Stakeholder views </w:t>
      </w:r>
      <w:r>
        <w:rPr>
          <w:i/>
        </w:rPr>
        <w:br/>
      </w:r>
      <w:r w:rsidR="00DA2AD2">
        <w:t xml:space="preserve">The FCA made the point that franchisors would probably raise entry fees if a prohibition is introduced, though it would support a prohibition on charging above the standard fixed fee for costs of negotiations.  </w:t>
      </w:r>
    </w:p>
    <w:p w:rsidR="00A90987" w:rsidRPr="003D7002" w:rsidRDefault="00DA2AD2">
      <w:pPr>
        <w:ind w:left="720"/>
      </w:pPr>
      <w:r>
        <w:t xml:space="preserve">The AAF did not comment on this recommendation. </w:t>
      </w:r>
    </w:p>
    <w:p w:rsidR="00B507B0" w:rsidRPr="003E146E" w:rsidRDefault="00B507B0" w:rsidP="003E146E">
      <w:pPr>
        <w:spacing w:before="120" w:after="0"/>
        <w:rPr>
          <w:b/>
        </w:rPr>
      </w:pPr>
      <w:r w:rsidRPr="003E146E">
        <w:rPr>
          <w:b/>
        </w:rPr>
        <w:t>Government to develop best practice models for unilateral variations</w:t>
      </w:r>
    </w:p>
    <w:p w:rsidR="00B507B0" w:rsidRDefault="00CA607E" w:rsidP="00B507B0">
      <w:r>
        <w:t xml:space="preserve">Under this option, the </w:t>
      </w:r>
      <w:r w:rsidR="00B507B0" w:rsidRPr="00473E3B">
        <w:t xml:space="preserve">Government </w:t>
      </w:r>
      <w:r>
        <w:t>would</w:t>
      </w:r>
      <w:r w:rsidR="00B507B0" w:rsidRPr="00473E3B">
        <w:t xml:space="preserve"> work with stakeholders to develop best practice models in relation to the process by which a franchisor makes unilateral variations to contracts and subsidiary documents</w:t>
      </w:r>
      <w:r w:rsidR="004C074E">
        <w:t>.</w:t>
      </w:r>
    </w:p>
    <w:p w:rsidR="005646D1" w:rsidRDefault="004C074E">
      <w:r>
        <w:t>The PJC and the Taskforce received evidence that the practice of unilateral variation of franchise agreements (and associated documents such as operations manuals) is widespread in the franchise sector.</w:t>
      </w:r>
      <w:r w:rsidR="00DE4E22">
        <w:t xml:space="preserve"> </w:t>
      </w:r>
    </w:p>
    <w:p w:rsidR="005646D1" w:rsidRDefault="005646D1">
      <w:pPr>
        <w:ind w:left="720"/>
      </w:pPr>
      <w:r>
        <w:rPr>
          <w:i/>
        </w:rPr>
        <w:t>Stakeholder views</w:t>
      </w:r>
    </w:p>
    <w:p w:rsidR="00B507B0" w:rsidRDefault="004C074E">
      <w:pPr>
        <w:ind w:left="720"/>
      </w:pPr>
      <w:r>
        <w:t>Stakeholders, including the</w:t>
      </w:r>
      <w:r w:rsidR="00B507B0">
        <w:t xml:space="preserve"> FCA and franchisors considered that there </w:t>
      </w:r>
      <w:r>
        <w:t>are</w:t>
      </w:r>
      <w:r w:rsidR="00B507B0">
        <w:t xml:space="preserve"> good reasons for making unilateral decisions, including for health and safety requirements, to implement new legislation, to innovate or grow the business and maintain market relevance.</w:t>
      </w:r>
      <w:r w:rsidR="00DE4E22">
        <w:t xml:space="preserve"> </w:t>
      </w:r>
      <w:r>
        <w:t>Franchisees on the other hand</w:t>
      </w:r>
      <w:r w:rsidR="00B507B0">
        <w:t xml:space="preserve"> felt that franchisors were insulated from the risk of business failure and that they were forced by franchisors at times to opt into deals they did not want.</w:t>
      </w:r>
    </w:p>
    <w:p w:rsidR="00602858" w:rsidRDefault="00602858" w:rsidP="00602858">
      <w:pPr>
        <w:pStyle w:val="Heading4"/>
      </w:pPr>
      <w:r>
        <w:t xml:space="preserve">Improvements to exit and dispute resolution </w:t>
      </w:r>
    </w:p>
    <w:p w:rsidR="00B95D19" w:rsidRPr="003E146E" w:rsidRDefault="002C5C18" w:rsidP="003E146E">
      <w:pPr>
        <w:spacing w:before="120" w:after="0"/>
        <w:rPr>
          <w:b/>
        </w:rPr>
      </w:pPr>
      <w:r>
        <w:rPr>
          <w:b/>
        </w:rPr>
        <w:t xml:space="preserve">Incorporate the functions of the Franchising Mediation Adviser into </w:t>
      </w:r>
      <w:r w:rsidR="00B95D19" w:rsidRPr="003E146E">
        <w:rPr>
          <w:b/>
        </w:rPr>
        <w:t>ASBFEO</w:t>
      </w:r>
    </w:p>
    <w:p w:rsidR="00A917EA" w:rsidRDefault="003778EB" w:rsidP="00B95D19">
      <w:r>
        <w:t>T</w:t>
      </w:r>
      <w:r w:rsidR="00B95D19">
        <w:t xml:space="preserve">he </w:t>
      </w:r>
      <w:r w:rsidR="002C5C18">
        <w:t>FMA</w:t>
      </w:r>
      <w:r w:rsidR="00B95D19">
        <w:t xml:space="preserve"> role under the Franchising Code would be </w:t>
      </w:r>
      <w:r w:rsidR="00C67E78">
        <w:t>incorporated into</w:t>
      </w:r>
      <w:r w:rsidR="00B95D19">
        <w:t xml:space="preserve"> the functions </w:t>
      </w:r>
      <w:r w:rsidR="00C67E78">
        <w:t>of</w:t>
      </w:r>
      <w:r w:rsidR="00B95D19">
        <w:t xml:space="preserve"> ASBFEO. This would </w:t>
      </w:r>
      <w:proofErr w:type="spellStart"/>
      <w:r w:rsidR="00B95D19">
        <w:t>formalise</w:t>
      </w:r>
      <w:proofErr w:type="spellEnd"/>
      <w:r w:rsidR="00B95D19">
        <w:t xml:space="preserve"> existing administrative arrangements. </w:t>
      </w:r>
    </w:p>
    <w:p w:rsidR="00A917EA" w:rsidRPr="00EC37A6" w:rsidRDefault="00A917EA">
      <w:pPr>
        <w:ind w:left="720"/>
        <w:rPr>
          <w:i/>
        </w:rPr>
      </w:pPr>
      <w:r>
        <w:rPr>
          <w:i/>
        </w:rPr>
        <w:t>Stakeholder views</w:t>
      </w:r>
    </w:p>
    <w:p w:rsidR="00B95D19" w:rsidRDefault="00B95D19">
      <w:pPr>
        <w:ind w:left="720"/>
      </w:pPr>
      <w:r>
        <w:t>Many stakeholders such as 7-Eleven convenience store had no</w:t>
      </w:r>
      <w:r w:rsidRPr="00AE35C9">
        <w:t xml:space="preserve"> objection to OFMA merging with ASBFEO</w:t>
      </w:r>
      <w:r>
        <w:t>.</w:t>
      </w:r>
      <w:r w:rsidR="00A917EA" w:rsidRPr="00EC37A6">
        <w:t xml:space="preserve"> </w:t>
      </w:r>
      <w:r>
        <w:t>Submissions to the</w:t>
      </w:r>
      <w:r w:rsidRPr="00114A73">
        <w:t xml:space="preserve"> </w:t>
      </w:r>
      <w:r w:rsidR="008B13A7">
        <w:t>consultation paper</w:t>
      </w:r>
      <w:r w:rsidR="00EE7382">
        <w:t xml:space="preserve"> process</w:t>
      </w:r>
      <w:r w:rsidRPr="00114A73">
        <w:t xml:space="preserve"> showed that </w:t>
      </w:r>
      <w:r>
        <w:t>s</w:t>
      </w:r>
      <w:r w:rsidRPr="006A4335">
        <w:t>takeholders are generally happy with the mediation process and thought ASBFEO was doing a good job and was well-placed to deliver the mediation adviser services.</w:t>
      </w:r>
      <w:r>
        <w:t xml:space="preserve"> </w:t>
      </w:r>
      <w:r w:rsidRPr="00CD7C47">
        <w:t xml:space="preserve">The </w:t>
      </w:r>
      <w:proofErr w:type="spellStart"/>
      <w:r w:rsidRPr="00CD7C47">
        <w:t>rationalisation</w:t>
      </w:r>
      <w:proofErr w:type="spellEnd"/>
      <w:r w:rsidRPr="00CD7C47">
        <w:t xml:space="preserve"> of OFMA and ASBFEO was broadly supported by franchisors and franchisees, including peak industry associations like FCA, and by ASBFEO.</w:t>
      </w:r>
    </w:p>
    <w:p w:rsidR="00B95D19" w:rsidRPr="003E146E" w:rsidRDefault="00B95D19" w:rsidP="003E146E">
      <w:pPr>
        <w:spacing w:before="120" w:after="0"/>
        <w:rPr>
          <w:b/>
        </w:rPr>
      </w:pPr>
      <w:r w:rsidRPr="003E146E">
        <w:rPr>
          <w:b/>
        </w:rPr>
        <w:t xml:space="preserve">Introduce conciliation and voluntary arbitration  </w:t>
      </w:r>
    </w:p>
    <w:p w:rsidR="00B95D19" w:rsidRDefault="00CA607E" w:rsidP="00B95D19">
      <w:r>
        <w:t xml:space="preserve">Under this option, the </w:t>
      </w:r>
      <w:r w:rsidR="00B95D19">
        <w:t xml:space="preserve">Government </w:t>
      </w:r>
      <w:r>
        <w:t>would</w:t>
      </w:r>
      <w:r w:rsidR="00B95D19">
        <w:t xml:space="preserve"> introduce conciliation to complement existing dispute resolution provisions and i</w:t>
      </w:r>
      <w:r w:rsidR="00B95D19" w:rsidRPr="00124B93">
        <w:t>mplemen</w:t>
      </w:r>
      <w:r w:rsidR="00B95D19">
        <w:t xml:space="preserve">t a voluntary arbitration model by appointing a Franchising Arbitration Adviser, </w:t>
      </w:r>
      <w:proofErr w:type="spellStart"/>
      <w:r w:rsidR="00B95D19">
        <w:t>utilising</w:t>
      </w:r>
      <w:proofErr w:type="spellEnd"/>
      <w:r w:rsidR="00B95D19">
        <w:t xml:space="preserve"> a model similar to that in the Dairy Code of Conduct.</w:t>
      </w:r>
    </w:p>
    <w:p w:rsidR="00EC37A6" w:rsidRPr="0050458B" w:rsidRDefault="00EC37A6">
      <w:pPr>
        <w:spacing w:after="0"/>
        <w:ind w:left="720"/>
        <w:rPr>
          <w:i/>
        </w:rPr>
      </w:pPr>
      <w:r>
        <w:rPr>
          <w:i/>
        </w:rPr>
        <w:t>Stakeholder views</w:t>
      </w:r>
    </w:p>
    <w:p w:rsidR="00B95D19" w:rsidRDefault="00B95D19">
      <w:pPr>
        <w:ind w:left="720"/>
      </w:pPr>
      <w:r>
        <w:t xml:space="preserve">Access to justice, including costs and timeliness, was raised by a number of stakeholders in submissions to the </w:t>
      </w:r>
      <w:r w:rsidR="008B13A7">
        <w:t>consultation paper</w:t>
      </w:r>
      <w:r>
        <w:t xml:space="preserve">. </w:t>
      </w:r>
      <w:r w:rsidRPr="00CD7C47">
        <w:t>Some franchisees considered that mediation outcomes were limited by the power imbalance between the parties entering into mediation. Others considered a fear of retribution</w:t>
      </w:r>
      <w:r>
        <w:t xml:space="preserve"> </w:t>
      </w:r>
      <w:r w:rsidR="00D21EF4">
        <w:t>meant</w:t>
      </w:r>
      <w:r w:rsidRPr="00CD7C47">
        <w:t xml:space="preserve"> </w:t>
      </w:r>
      <w:r w:rsidR="00D21EF4">
        <w:t>mediation</w:t>
      </w:r>
      <w:r w:rsidRPr="00CD7C47">
        <w:t xml:space="preserve"> was </w:t>
      </w:r>
      <w:proofErr w:type="spellStart"/>
      <w:r w:rsidRPr="00CD7C47">
        <w:t>underutilised</w:t>
      </w:r>
      <w:proofErr w:type="spellEnd"/>
      <w:r w:rsidRPr="00CD7C47">
        <w:t xml:space="preserve">. Advisers thought many disputes were brought to mediation too late to save the relationship between the parties. </w:t>
      </w:r>
      <w:r w:rsidRPr="0076572F">
        <w:rPr>
          <w:rFonts w:cstheme="minorHAnsi"/>
        </w:rPr>
        <w:t xml:space="preserve">There was support for a </w:t>
      </w:r>
      <w:r w:rsidRPr="0076572F">
        <w:t>three-stage approach to dispute resolution: mediation, conciliation and arbitration.</w:t>
      </w:r>
      <w:r>
        <w:t xml:space="preserve"> </w:t>
      </w:r>
    </w:p>
    <w:p w:rsidR="00B95D19" w:rsidRPr="003E146E" w:rsidRDefault="00B95D19" w:rsidP="003E146E">
      <w:pPr>
        <w:spacing w:before="120" w:after="0"/>
        <w:rPr>
          <w:b/>
        </w:rPr>
      </w:pPr>
      <w:r w:rsidRPr="003E146E">
        <w:rPr>
          <w:b/>
        </w:rPr>
        <w:lastRenderedPageBreak/>
        <w:t>Clarify the availability of multi-party mediation</w:t>
      </w:r>
    </w:p>
    <w:p w:rsidR="00180CFF" w:rsidRDefault="00CA607E" w:rsidP="00B95D19">
      <w:r>
        <w:t xml:space="preserve">Under this option, the </w:t>
      </w:r>
      <w:r w:rsidR="00B95D19">
        <w:t xml:space="preserve">Government </w:t>
      </w:r>
      <w:r>
        <w:t>would</w:t>
      </w:r>
      <w:r w:rsidR="00B95D19">
        <w:t xml:space="preserve"> </w:t>
      </w:r>
      <w:r w:rsidR="00B95D19" w:rsidRPr="00CC4B8B">
        <w:t>amend the Franchising Code to clarify that, if the person conducting the dispute resolution process determines it is appropriate to conduct a multi-party process, the franchisor cannot refuse to take part in that process</w:t>
      </w:r>
      <w:r w:rsidR="00B95D19">
        <w:t>.</w:t>
      </w:r>
    </w:p>
    <w:p w:rsidR="00271A02" w:rsidRDefault="00271A02" w:rsidP="00B95D19">
      <w:r>
        <w:t xml:space="preserve">If implemented, the Government would increase awareness of these measures to ensure the franchising sector is informed of their obligations and rights in relation to multi-party mediation. </w:t>
      </w:r>
    </w:p>
    <w:p w:rsidR="00936504" w:rsidRDefault="00936504" w:rsidP="00C5193B">
      <w:pPr>
        <w:rPr>
          <w:i/>
        </w:rPr>
      </w:pPr>
      <w:r>
        <w:rPr>
          <w:i/>
        </w:rPr>
        <w:t>Stakeholder views</w:t>
      </w:r>
    </w:p>
    <w:p w:rsidR="00271A02" w:rsidRDefault="00271A02" w:rsidP="00C5193B">
      <w:pPr>
        <w:ind w:left="720"/>
      </w:pPr>
      <w:r>
        <w:t xml:space="preserve">The Government has heard from the Office of the ASBFEO that under the current Code, franchisors are able to refuse multi-party mediation, and this can lead to franchisees being ‘picked-off’ by the franchisor through separate mediation processes. </w:t>
      </w:r>
      <w:r w:rsidRPr="00271A02">
        <w:t>ASBFEO has stated that multi-party mediation is not common, despite that it is a process that works well.</w:t>
      </w:r>
    </w:p>
    <w:p w:rsidR="00271A02" w:rsidRDefault="00271A02" w:rsidP="00C5193B">
      <w:pPr>
        <w:ind w:left="720"/>
      </w:pPr>
      <w:r>
        <w:t>Furthermore, many stakeholders indicated that they were unaware of their ability to engage in multi-party mediation.</w:t>
      </w:r>
    </w:p>
    <w:p w:rsidR="00B95D19" w:rsidRDefault="00B95D19" w:rsidP="00530279">
      <w:pPr>
        <w:ind w:left="720"/>
      </w:pPr>
      <w:r>
        <w:t>Submissions to the</w:t>
      </w:r>
      <w:r w:rsidRPr="00114A73">
        <w:t xml:space="preserve"> </w:t>
      </w:r>
      <w:r w:rsidR="008B13A7">
        <w:t>consultation paper</w:t>
      </w:r>
      <w:r w:rsidR="00EE7382">
        <w:t xml:space="preserve"> process</w:t>
      </w:r>
      <w:r w:rsidRPr="00114A73">
        <w:t xml:space="preserve"> showed that </w:t>
      </w:r>
      <w:r>
        <w:t>t</w:t>
      </w:r>
      <w:r w:rsidRPr="00114A73">
        <w:t>here was considerable support for clarifying multi-party dispute resolution.</w:t>
      </w:r>
    </w:p>
    <w:p w:rsidR="00B95D19" w:rsidRDefault="00B95D19" w:rsidP="003E146E">
      <w:pPr>
        <w:spacing w:after="0"/>
      </w:pPr>
      <w:r w:rsidRPr="003E146E">
        <w:rPr>
          <w:b/>
        </w:rPr>
        <w:t>Develop amendments to the Franchising Code to facilitate negotiated early exit</w:t>
      </w:r>
    </w:p>
    <w:p w:rsidR="00B95D19" w:rsidRDefault="00CA607E" w:rsidP="00B95D19">
      <w:r>
        <w:t xml:space="preserve">Under this option, the </w:t>
      </w:r>
      <w:r w:rsidR="00B95D19">
        <w:t xml:space="preserve">Government </w:t>
      </w:r>
      <w:r>
        <w:t>would</w:t>
      </w:r>
      <w:r w:rsidR="00B95D19">
        <w:t xml:space="preserve"> c</w:t>
      </w:r>
      <w:r w:rsidR="00B95D19" w:rsidRPr="00B7637A">
        <w:t>onsult with the franchising sector to develop amendments to the Franchising Code to facilitate negotiated early exit that balance</w:t>
      </w:r>
      <w:r w:rsidR="00897857">
        <w:t>s</w:t>
      </w:r>
      <w:r w:rsidR="00B95D19" w:rsidRPr="00B7637A">
        <w:t xml:space="preserve"> the rights and interests of franchisors and franchisees</w:t>
      </w:r>
      <w:r w:rsidR="00B95D19">
        <w:t>.</w:t>
      </w:r>
    </w:p>
    <w:p w:rsidR="00BF047C" w:rsidRDefault="00BF047C">
      <w:pPr>
        <w:spacing w:after="0"/>
        <w:ind w:left="720"/>
      </w:pPr>
      <w:r>
        <w:rPr>
          <w:i/>
        </w:rPr>
        <w:t>Stakeholder views</w:t>
      </w:r>
    </w:p>
    <w:p w:rsidR="00B95D19" w:rsidRDefault="00B95D19">
      <w:pPr>
        <w:ind w:left="720"/>
      </w:pPr>
      <w:r>
        <w:t>Some stakeholders, primarily franchisors and professional advisors, claim that introducing franchisee termination rights may affect the franchisor’s ability to make long-term investment decisions due to the reduced certainty of the contract, and may also lead to a higher turnover in franchise systems.</w:t>
      </w:r>
    </w:p>
    <w:p w:rsidR="00B95D19" w:rsidRDefault="00B95D19">
      <w:pPr>
        <w:ind w:left="720"/>
      </w:pPr>
      <w:r>
        <w:t xml:space="preserve">Furthermore, some stakeholders claim that not all franchisees exit their franchise in good faith, arguing that franchisees should not be permitted an easy exit from their contract for reasons outside the franchisor’s control, such as </w:t>
      </w:r>
      <w:proofErr w:type="spellStart"/>
      <w:r>
        <w:t>unfavourable</w:t>
      </w:r>
      <w:proofErr w:type="spellEnd"/>
      <w:r>
        <w:t xml:space="preserve"> economic conditions.</w:t>
      </w:r>
    </w:p>
    <w:p w:rsidR="00B95D19" w:rsidRDefault="00B95D19">
      <w:pPr>
        <w:ind w:left="720"/>
      </w:pPr>
      <w:r>
        <w:t>Submissions to the</w:t>
      </w:r>
      <w:r w:rsidRPr="00114A73">
        <w:t xml:space="preserve"> </w:t>
      </w:r>
      <w:r w:rsidR="008B13A7">
        <w:t>consultation paper</w:t>
      </w:r>
      <w:r w:rsidRPr="00114A73">
        <w:t xml:space="preserve"> process showed that </w:t>
      </w:r>
      <w:r>
        <w:t>there was no clear agreement amongst stakeholders on this measure. A number were happy with the current provisions of the Code but thought the terms of the agreement should outline the exit arrangements so the parties are clear about them at the outset. Academics, lawyers and other advisors noted the current existence of legal options to deal with ‘unreasonable impositions’, such as unconscionable conduct and UCT laws.</w:t>
      </w:r>
    </w:p>
    <w:p w:rsidR="00B95D19" w:rsidRDefault="00B95D19">
      <w:pPr>
        <w:ind w:left="720"/>
      </w:pPr>
      <w:r>
        <w:t>Some franchisees considered that franchisors should be obliged to specify their deliverables and only change them with the agreement of the franchisee</w:t>
      </w:r>
      <w:r w:rsidR="00B66249">
        <w:t xml:space="preserve">. If franchisees are not able to meet </w:t>
      </w:r>
      <w:r>
        <w:t>their deliverables, franchisees should be able to exit the agreement.</w:t>
      </w:r>
    </w:p>
    <w:p w:rsidR="00B95D19" w:rsidRPr="003E146E" w:rsidRDefault="00B95D19" w:rsidP="003E146E">
      <w:pPr>
        <w:spacing w:after="0"/>
        <w:rPr>
          <w:b/>
        </w:rPr>
      </w:pPr>
      <w:r w:rsidRPr="003E146E">
        <w:rPr>
          <w:b/>
        </w:rPr>
        <w:t xml:space="preserve">Clarify </w:t>
      </w:r>
      <w:r w:rsidR="00F11DBF">
        <w:rPr>
          <w:b/>
        </w:rPr>
        <w:t>and educate regarding</w:t>
      </w:r>
      <w:r w:rsidRPr="003E146E">
        <w:rPr>
          <w:b/>
        </w:rPr>
        <w:t xml:space="preserve"> restraint of trade clause</w:t>
      </w:r>
      <w:r w:rsidR="008A798F">
        <w:rPr>
          <w:b/>
        </w:rPr>
        <w:t>s</w:t>
      </w:r>
      <w:r w:rsidRPr="003E146E">
        <w:rPr>
          <w:b/>
        </w:rPr>
        <w:t xml:space="preserve"> in </w:t>
      </w:r>
      <w:r w:rsidR="008A798F">
        <w:rPr>
          <w:b/>
        </w:rPr>
        <w:t>franchising</w:t>
      </w:r>
    </w:p>
    <w:p w:rsidR="00B95D19" w:rsidRDefault="00CA607E" w:rsidP="00B95D19">
      <w:r>
        <w:t xml:space="preserve">Under this option, the </w:t>
      </w:r>
      <w:r w:rsidR="00B95D19">
        <w:t xml:space="preserve">Government </w:t>
      </w:r>
      <w:r>
        <w:t>would</w:t>
      </w:r>
      <w:r w:rsidR="00B95D19">
        <w:t xml:space="preserve"> i</w:t>
      </w:r>
      <w:r w:rsidR="00B95D19" w:rsidRPr="00D800FB">
        <w:t>ncrease prospective franchisees’ awareness of the effect of restraint of trade clauses</w:t>
      </w:r>
      <w:r w:rsidR="008A798F">
        <w:t>,</w:t>
      </w:r>
      <w:r w:rsidR="00B95D19" w:rsidRPr="00D800FB">
        <w:t xml:space="preserve"> clarify what constitutes a breach of clause 23 of the Franchising Code</w:t>
      </w:r>
      <w:r w:rsidR="00B95D19">
        <w:t xml:space="preserve">, and amend </w:t>
      </w:r>
      <w:r w:rsidR="00B95D19" w:rsidRPr="00600BAB">
        <w:t xml:space="preserve">the Information Statement </w:t>
      </w:r>
      <w:r w:rsidR="00B95D19">
        <w:t>to warn prospective franchisees of the need to obtain legal advice on restraint of trade before entering the agreement.</w:t>
      </w:r>
    </w:p>
    <w:p w:rsidR="00B95D19" w:rsidRDefault="008A798F">
      <w:pPr>
        <w:ind w:left="720"/>
      </w:pPr>
      <w:r>
        <w:rPr>
          <w:i/>
        </w:rPr>
        <w:lastRenderedPageBreak/>
        <w:t>Stakeholder views</w:t>
      </w:r>
      <w:r>
        <w:br/>
      </w:r>
      <w:r w:rsidR="00B95D19">
        <w:t>Submissions to the</w:t>
      </w:r>
      <w:r w:rsidR="00B95D19" w:rsidRPr="00114A73">
        <w:t xml:space="preserve"> </w:t>
      </w:r>
      <w:r w:rsidR="008B13A7">
        <w:t>consultation paper</w:t>
      </w:r>
      <w:r w:rsidR="00EE7382">
        <w:t xml:space="preserve"> process</w:t>
      </w:r>
      <w:r w:rsidR="00B95D19" w:rsidRPr="00114A73">
        <w:t xml:space="preserve"> showed that</w:t>
      </w:r>
      <w:r w:rsidR="00B95D19">
        <w:t xml:space="preserve"> s</w:t>
      </w:r>
      <w:r w:rsidR="00B95D19" w:rsidRPr="009A1278">
        <w:rPr>
          <w:rFonts w:cstheme="minorHAnsi"/>
        </w:rPr>
        <w:t xml:space="preserve">takeholders did not agree </w:t>
      </w:r>
      <w:r w:rsidR="00B95D19">
        <w:rPr>
          <w:rFonts w:cstheme="minorHAnsi"/>
        </w:rPr>
        <w:t>on</w:t>
      </w:r>
      <w:r w:rsidR="00B95D19" w:rsidRPr="009A1278">
        <w:rPr>
          <w:rFonts w:cstheme="minorHAnsi"/>
        </w:rPr>
        <w:t xml:space="preserve"> the operation of restraint of trade clauses. Some franchisors noted that dilution of restraint of trade clauses could lead to hardship to small franchisor business.</w:t>
      </w:r>
      <w:r w:rsidR="00B95D19">
        <w:rPr>
          <w:rFonts w:cstheme="minorHAnsi"/>
        </w:rPr>
        <w:t xml:space="preserve"> Others supported greater awareness raising amongst franchisees </w:t>
      </w:r>
      <w:r w:rsidR="00B95D19">
        <w:t>of restraint of trade provisions within franchise agreements.</w:t>
      </w:r>
    </w:p>
    <w:p w:rsidR="004F2EE6" w:rsidRDefault="004F2EE6" w:rsidP="004F2EE6">
      <w:pPr>
        <w:pStyle w:val="Heading3"/>
        <w:numPr>
          <w:ilvl w:val="2"/>
          <w:numId w:val="13"/>
        </w:numPr>
      </w:pPr>
      <w:bookmarkStart w:id="270" w:name="_Toc47469218"/>
      <w:bookmarkStart w:id="271" w:name="_Toc47469286"/>
      <w:bookmarkStart w:id="272" w:name="_Toc47469991"/>
      <w:bookmarkStart w:id="273" w:name="_Toc47469219"/>
      <w:bookmarkStart w:id="274" w:name="_Toc47469287"/>
      <w:bookmarkStart w:id="275" w:name="_Toc47469992"/>
      <w:bookmarkStart w:id="276" w:name="_Toc47469221"/>
      <w:bookmarkStart w:id="277" w:name="_Toc47469289"/>
      <w:bookmarkStart w:id="278" w:name="_Toc47469994"/>
      <w:bookmarkStart w:id="279" w:name="_Toc47469223"/>
      <w:bookmarkStart w:id="280" w:name="_Toc47469291"/>
      <w:bookmarkStart w:id="281" w:name="_Toc47469996"/>
      <w:bookmarkStart w:id="282" w:name="_Toc46841994"/>
      <w:bookmarkStart w:id="283" w:name="_Toc46843667"/>
      <w:bookmarkStart w:id="284" w:name="_Toc46912363"/>
      <w:bookmarkStart w:id="285" w:name="_Toc46912437"/>
      <w:bookmarkStart w:id="286" w:name="_Toc46918327"/>
      <w:bookmarkStart w:id="287" w:name="_Toc47469294"/>
      <w:bookmarkStart w:id="288" w:name="_Toc47517244"/>
      <w:bookmarkStart w:id="289" w:name="_Toc47522371"/>
      <w:bookmarkStart w:id="290" w:name="_Toc47527742"/>
      <w:bookmarkStart w:id="291" w:name="_Toc47533631"/>
      <w:bookmarkStart w:id="292" w:name="_Toc47536037"/>
      <w:bookmarkStart w:id="293" w:name="_Toc47540520"/>
      <w:bookmarkStart w:id="294" w:name="_Toc47542075"/>
      <w:bookmarkStart w:id="295" w:name="_Toc48644140"/>
      <w:bookmarkStart w:id="296" w:name="_Toc46841995"/>
      <w:bookmarkStart w:id="297" w:name="_Toc46843668"/>
      <w:bookmarkStart w:id="298" w:name="_Toc46846313"/>
      <w:bookmarkStart w:id="299" w:name="_Toc46911999"/>
      <w:bookmarkStart w:id="300" w:name="_Toc46991050"/>
      <w:bookmarkStart w:id="301" w:name="_Toc47009809"/>
      <w:bookmarkEnd w:id="270"/>
      <w:bookmarkEnd w:id="271"/>
      <w:bookmarkEnd w:id="272"/>
      <w:bookmarkEnd w:id="273"/>
      <w:bookmarkEnd w:id="274"/>
      <w:bookmarkEnd w:id="275"/>
      <w:bookmarkEnd w:id="276"/>
      <w:bookmarkEnd w:id="277"/>
      <w:bookmarkEnd w:id="278"/>
      <w:bookmarkEnd w:id="279"/>
      <w:bookmarkEnd w:id="280"/>
      <w:bookmarkEnd w:id="281"/>
      <w:r w:rsidRPr="00D247EF">
        <w:t>What are the costs and benefits of this option?</w:t>
      </w:r>
      <w:bookmarkStart w:id="302" w:name="_Toc46910067"/>
      <w:bookmarkStart w:id="303" w:name="_Toc46910218"/>
      <w:bookmarkStart w:id="304" w:name="_Toc46910678"/>
      <w:bookmarkStart w:id="305" w:name="_Toc46911016"/>
      <w:bookmarkStart w:id="306" w:name="_Toc46911997"/>
      <w:bookmarkStart w:id="307" w:name="_Toc46912364"/>
      <w:bookmarkStart w:id="308" w:name="_Toc46912438"/>
      <w:bookmarkStart w:id="309" w:name="_Toc46912365"/>
      <w:bookmarkStart w:id="310" w:name="_Toc46912439"/>
      <w:bookmarkEnd w:id="282"/>
      <w:bookmarkEnd w:id="283"/>
      <w:bookmarkEnd w:id="284"/>
      <w:bookmarkEnd w:id="285"/>
      <w:bookmarkEnd w:id="286"/>
      <w:bookmarkEnd w:id="287"/>
      <w:bookmarkEnd w:id="288"/>
      <w:bookmarkEnd w:id="289"/>
      <w:bookmarkEnd w:id="290"/>
      <w:bookmarkEnd w:id="291"/>
      <w:bookmarkEnd w:id="292"/>
      <w:bookmarkEnd w:id="293"/>
      <w:bookmarkEnd w:id="294"/>
      <w:bookmarkEnd w:id="302"/>
      <w:bookmarkEnd w:id="303"/>
      <w:bookmarkEnd w:id="304"/>
      <w:bookmarkEnd w:id="305"/>
      <w:bookmarkEnd w:id="306"/>
      <w:bookmarkEnd w:id="307"/>
      <w:bookmarkEnd w:id="308"/>
      <w:bookmarkEnd w:id="309"/>
      <w:bookmarkEnd w:id="310"/>
      <w:bookmarkEnd w:id="295"/>
    </w:p>
    <w:p w:rsidR="004F2EE6" w:rsidRPr="005B4E17" w:rsidRDefault="00667ED1" w:rsidP="004F2EE6">
      <w:pPr>
        <w:pStyle w:val="Heading4"/>
      </w:pPr>
      <w:r>
        <w:t xml:space="preserve">Quantitative </w:t>
      </w:r>
      <w:r w:rsidR="004F2EE6">
        <w:t>benefits</w:t>
      </w:r>
    </w:p>
    <w:p w:rsidR="004F2EE6" w:rsidRDefault="004F2EE6" w:rsidP="004F2EE6">
      <w:r>
        <w:t>See Appendix A for the assumptions made in order to complete the cost offsets below.</w:t>
      </w:r>
    </w:p>
    <w:p w:rsidR="004F2EE6" w:rsidRDefault="004F2EE6" w:rsidP="004F2EE6">
      <w:r>
        <w:t>See Appendix C for the full costings of this option.</w:t>
      </w:r>
    </w:p>
    <w:p w:rsidR="00190581" w:rsidRDefault="00B13936" w:rsidP="004F2EE6">
      <w:r>
        <w:t xml:space="preserve">Note that </w:t>
      </w:r>
      <w:r w:rsidR="00190581" w:rsidRPr="00190581">
        <w:t>the cost offsets</w:t>
      </w:r>
      <w:r>
        <w:t xml:space="preserve"> in the table below</w:t>
      </w:r>
      <w:r w:rsidR="00190581" w:rsidRPr="00190581">
        <w:t xml:space="preserve"> are only associated with the multi-party medi</w:t>
      </w:r>
      <w:r>
        <w:t xml:space="preserve">ation component of this option. </w:t>
      </w:r>
    </w:p>
    <w:p w:rsidR="004F2EE6" w:rsidRPr="00F7130C" w:rsidRDefault="004F2EE6" w:rsidP="004F2EE6">
      <w:pPr>
        <w:pStyle w:val="Heading5"/>
      </w:pPr>
      <w:r>
        <w:t>Cost offset estimate</w:t>
      </w:r>
    </w:p>
    <w:tbl>
      <w:tblPr>
        <w:tblStyle w:val="TableGrid"/>
        <w:tblW w:w="0" w:type="auto"/>
        <w:tblLook w:val="04A0" w:firstRow="1" w:lastRow="0" w:firstColumn="1" w:lastColumn="0" w:noHBand="0" w:noVBand="1"/>
      </w:tblPr>
      <w:tblGrid>
        <w:gridCol w:w="3114"/>
        <w:gridCol w:w="1475"/>
        <w:gridCol w:w="1476"/>
        <w:gridCol w:w="1475"/>
        <w:gridCol w:w="1476"/>
      </w:tblGrid>
      <w:tr w:rsidR="004F2EE6" w:rsidTr="00FA194B">
        <w:tc>
          <w:tcPr>
            <w:tcW w:w="3114" w:type="dxa"/>
            <w:shd w:val="clear" w:color="auto" w:fill="DEEAF6" w:themeFill="accent1" w:themeFillTint="33"/>
            <w:vAlign w:val="center"/>
          </w:tcPr>
          <w:p w:rsidR="004F2EE6" w:rsidRPr="00F7130C" w:rsidRDefault="004F2EE6" w:rsidP="00FA194B"/>
        </w:tc>
        <w:tc>
          <w:tcPr>
            <w:tcW w:w="1475" w:type="dxa"/>
            <w:shd w:val="clear" w:color="auto" w:fill="DEEAF6" w:themeFill="accent1" w:themeFillTint="33"/>
            <w:vAlign w:val="center"/>
          </w:tcPr>
          <w:p w:rsidR="004F2EE6" w:rsidRDefault="004F2EE6" w:rsidP="00FA194B">
            <w:pPr>
              <w:rPr>
                <w:u w:val="single"/>
              </w:rPr>
            </w:pPr>
            <w:r>
              <w:t>Business cost offsets</w:t>
            </w:r>
          </w:p>
        </w:tc>
        <w:tc>
          <w:tcPr>
            <w:tcW w:w="1476" w:type="dxa"/>
            <w:shd w:val="clear" w:color="auto" w:fill="DEEAF6" w:themeFill="accent1" w:themeFillTint="33"/>
            <w:vAlign w:val="center"/>
          </w:tcPr>
          <w:p w:rsidR="004F2EE6" w:rsidRDefault="004F2EE6" w:rsidP="00FA194B">
            <w:pPr>
              <w:rPr>
                <w:u w:val="single"/>
              </w:rPr>
            </w:pPr>
            <w:r w:rsidRPr="00DB6D70">
              <w:t xml:space="preserve">Community </w:t>
            </w:r>
            <w:r>
              <w:t>cost offsets</w:t>
            </w:r>
          </w:p>
        </w:tc>
        <w:tc>
          <w:tcPr>
            <w:tcW w:w="1475" w:type="dxa"/>
            <w:shd w:val="clear" w:color="auto" w:fill="DEEAF6" w:themeFill="accent1" w:themeFillTint="33"/>
            <w:vAlign w:val="center"/>
          </w:tcPr>
          <w:p w:rsidR="004F2EE6" w:rsidRDefault="004F2EE6" w:rsidP="00FA194B">
            <w:pPr>
              <w:rPr>
                <w:u w:val="single"/>
              </w:rPr>
            </w:pPr>
            <w:r w:rsidRPr="00DB6D70">
              <w:t xml:space="preserve">Individual </w:t>
            </w:r>
            <w:r>
              <w:t>cost offsets</w:t>
            </w:r>
          </w:p>
        </w:tc>
        <w:tc>
          <w:tcPr>
            <w:tcW w:w="1476" w:type="dxa"/>
            <w:shd w:val="clear" w:color="auto" w:fill="DEEAF6" w:themeFill="accent1" w:themeFillTint="33"/>
            <w:vAlign w:val="center"/>
          </w:tcPr>
          <w:p w:rsidR="004F2EE6" w:rsidRDefault="004F2EE6" w:rsidP="00FA194B">
            <w:pPr>
              <w:rPr>
                <w:u w:val="single"/>
              </w:rPr>
            </w:pPr>
            <w:r>
              <w:t>Total cost offsets</w:t>
            </w:r>
          </w:p>
        </w:tc>
      </w:tr>
      <w:tr w:rsidR="004F2EE6" w:rsidTr="00FA194B">
        <w:tc>
          <w:tcPr>
            <w:tcW w:w="3114" w:type="dxa"/>
          </w:tcPr>
          <w:p w:rsidR="004F2EE6" w:rsidRPr="00B70A1A" w:rsidRDefault="004F2EE6" w:rsidP="00FA194B">
            <w:pPr>
              <w:rPr>
                <w:b/>
              </w:rPr>
            </w:pPr>
            <w:r>
              <w:rPr>
                <w:b/>
              </w:rPr>
              <w:t>Total cost offset</w:t>
            </w:r>
          </w:p>
        </w:tc>
        <w:tc>
          <w:tcPr>
            <w:tcW w:w="1475" w:type="dxa"/>
            <w:vAlign w:val="center"/>
          </w:tcPr>
          <w:p w:rsidR="004F2EE6" w:rsidRDefault="004F2EE6" w:rsidP="00FA194B">
            <w:pPr>
              <w:rPr>
                <w:u w:val="single"/>
              </w:rPr>
            </w:pPr>
            <w:r w:rsidRPr="00DB6D70">
              <w:t xml:space="preserve">$ </w:t>
            </w:r>
            <w:r>
              <w:t>3.1</w:t>
            </w:r>
            <w:r w:rsidR="00530279">
              <w:t>2</w:t>
            </w:r>
            <w:r>
              <w:t>M</w:t>
            </w:r>
          </w:p>
        </w:tc>
        <w:tc>
          <w:tcPr>
            <w:tcW w:w="1476" w:type="dxa"/>
            <w:vAlign w:val="center"/>
          </w:tcPr>
          <w:p w:rsidR="004F2EE6" w:rsidRDefault="004F2EE6" w:rsidP="00FA194B">
            <w:pPr>
              <w:rPr>
                <w:u w:val="single"/>
              </w:rPr>
            </w:pPr>
            <w:r w:rsidRPr="00DB6D70">
              <w:t xml:space="preserve">$ </w:t>
            </w:r>
            <w:r>
              <w:t>n/a</w:t>
            </w:r>
          </w:p>
        </w:tc>
        <w:tc>
          <w:tcPr>
            <w:tcW w:w="1475" w:type="dxa"/>
            <w:vAlign w:val="center"/>
          </w:tcPr>
          <w:p w:rsidR="004F2EE6" w:rsidRDefault="004F2EE6" w:rsidP="00FA194B">
            <w:pPr>
              <w:rPr>
                <w:u w:val="single"/>
              </w:rPr>
            </w:pPr>
            <w:r w:rsidRPr="00DB6D70">
              <w:t xml:space="preserve">$ </w:t>
            </w:r>
            <w:r>
              <w:t>n/a</w:t>
            </w:r>
          </w:p>
        </w:tc>
        <w:tc>
          <w:tcPr>
            <w:tcW w:w="1476" w:type="dxa"/>
            <w:vAlign w:val="center"/>
          </w:tcPr>
          <w:p w:rsidR="004F2EE6" w:rsidRDefault="004F2EE6" w:rsidP="00530279">
            <w:pPr>
              <w:rPr>
                <w:u w:val="single"/>
              </w:rPr>
            </w:pPr>
            <w:r w:rsidRPr="00DB6D70">
              <w:t xml:space="preserve">$ </w:t>
            </w:r>
            <w:r>
              <w:t>3.1</w:t>
            </w:r>
            <w:r w:rsidR="00530279">
              <w:t>2</w:t>
            </w:r>
            <w:r>
              <w:t>M</w:t>
            </w:r>
          </w:p>
        </w:tc>
      </w:tr>
    </w:tbl>
    <w:p w:rsidR="004F2EE6" w:rsidRPr="002F221E" w:rsidRDefault="004F2EE6" w:rsidP="004F2EE6">
      <w:pPr>
        <w:rPr>
          <w:sz w:val="16"/>
        </w:rPr>
      </w:pPr>
      <w:r w:rsidRPr="002F221E">
        <w:rPr>
          <w:sz w:val="16"/>
        </w:rPr>
        <w:t xml:space="preserve">The </w:t>
      </w:r>
      <w:r>
        <w:rPr>
          <w:sz w:val="16"/>
        </w:rPr>
        <w:t xml:space="preserve">cost offset estimate is </w:t>
      </w:r>
      <w:r w:rsidRPr="002F221E">
        <w:rPr>
          <w:sz w:val="16"/>
        </w:rPr>
        <w:t>calculated as the average annual equivalent cost</w:t>
      </w:r>
      <w:r>
        <w:rPr>
          <w:sz w:val="16"/>
        </w:rPr>
        <w:t xml:space="preserve"> offset</w:t>
      </w:r>
      <w:r w:rsidRPr="002F221E">
        <w:rPr>
          <w:sz w:val="16"/>
        </w:rPr>
        <w:t xml:space="preserve"> over the first 10 years of the policy. For a breakdown o</w:t>
      </w:r>
      <w:r>
        <w:rPr>
          <w:sz w:val="16"/>
        </w:rPr>
        <w:t>f this estimate see Appendix C.</w:t>
      </w:r>
    </w:p>
    <w:p w:rsidR="005F4492" w:rsidRDefault="00667ED1" w:rsidP="005F4492">
      <w:pPr>
        <w:pStyle w:val="Heading4"/>
      </w:pPr>
      <w:r>
        <w:t xml:space="preserve">Qualitative </w:t>
      </w:r>
      <w:r w:rsidR="004F2EE6" w:rsidRPr="005C6D43">
        <w:t xml:space="preserve">costs </w:t>
      </w:r>
      <w:r w:rsidR="004F2EE6">
        <w:t>and benefits</w:t>
      </w:r>
    </w:p>
    <w:p w:rsidR="005F4492" w:rsidRPr="003E146E" w:rsidRDefault="00667ED1" w:rsidP="003E146E">
      <w:pPr>
        <w:spacing w:before="120" w:after="0"/>
        <w:rPr>
          <w:b/>
        </w:rPr>
      </w:pPr>
      <w:r>
        <w:rPr>
          <w:b/>
        </w:rPr>
        <w:t>E</w:t>
      </w:r>
      <w:r w:rsidR="005F4492" w:rsidRPr="003E146E">
        <w:rPr>
          <w:b/>
        </w:rPr>
        <w:t>ducation and awareness measures</w:t>
      </w:r>
      <w:r w:rsidR="00B37B9A">
        <w:rPr>
          <w:rStyle w:val="FootnoteReference"/>
          <w:b/>
        </w:rPr>
        <w:footnoteReference w:id="23"/>
      </w:r>
    </w:p>
    <w:p w:rsidR="009409DF" w:rsidRDefault="00B37B9A">
      <w:pPr>
        <w:pStyle w:val="NoSpacing"/>
      </w:pPr>
      <w:r>
        <w:t xml:space="preserve">Education and awareness will </w:t>
      </w:r>
      <w:r w:rsidRPr="00736845">
        <w:t>benefit both franchisees and franchisors</w:t>
      </w:r>
      <w:r w:rsidR="009409DF">
        <w:t xml:space="preserve">. </w:t>
      </w:r>
      <w:r w:rsidR="005F4492">
        <w:t xml:space="preserve">The proposed measures will assist prospective franchisees with conducting proper due-diligence prior to entering a franchise agreement by simplifying and streamlining the process, and filling information gaps that were identified by the PJC. </w:t>
      </w:r>
    </w:p>
    <w:p w:rsidR="009409DF" w:rsidRDefault="009409DF">
      <w:pPr>
        <w:pStyle w:val="NoSpacing"/>
      </w:pPr>
    </w:p>
    <w:p w:rsidR="005F4492" w:rsidRDefault="005F4492">
      <w:pPr>
        <w:pStyle w:val="NoSpacing"/>
      </w:pPr>
      <w:r>
        <w:t>The online resource would be a central point where prospective franchisees</w:t>
      </w:r>
      <w:r w:rsidR="00897857">
        <w:t xml:space="preserve">, and </w:t>
      </w:r>
      <w:r>
        <w:t xml:space="preserve">industry stakeholders in general, would be able to access crucial, reliable and current information. Although the final design of the website is pending consultation, it </w:t>
      </w:r>
      <w:r w:rsidR="00897857">
        <w:t xml:space="preserve">would </w:t>
      </w:r>
      <w:r>
        <w:t>likely bring existing information produced by the ACCC, ASBFEO, the Fair Work Ombudsman (FWO), business.gov.au, and the Australian Taxation Office (ATO) together, in addition to further guidance material</w:t>
      </w:r>
      <w:r w:rsidR="00897857">
        <w:t>. It would act</w:t>
      </w:r>
      <w:r>
        <w:t xml:space="preserve"> as a </w:t>
      </w:r>
      <w:r w:rsidR="009409DF">
        <w:t>comprehensive</w:t>
      </w:r>
      <w:r>
        <w:t xml:space="preserve"> online resource for the franchising sector</w:t>
      </w:r>
      <w:r w:rsidR="00897857">
        <w:t>,</w:t>
      </w:r>
      <w:r w:rsidR="0091169D">
        <w:t xml:space="preserve"> and sav</w:t>
      </w:r>
      <w:r w:rsidR="00897857">
        <w:t>e on</w:t>
      </w:r>
      <w:r w:rsidR="0091169D">
        <w:t xml:space="preserve"> search costs and creat</w:t>
      </w:r>
      <w:r w:rsidR="00897857">
        <w:t>e</w:t>
      </w:r>
      <w:r w:rsidR="0091169D">
        <w:t xml:space="preserve"> efficiencies in the process of information gathering for franchisees</w:t>
      </w:r>
      <w:r>
        <w:t xml:space="preserve">. </w:t>
      </w:r>
    </w:p>
    <w:p w:rsidR="009409DF" w:rsidRDefault="009409DF">
      <w:pPr>
        <w:pStyle w:val="NoSpacing"/>
      </w:pPr>
    </w:p>
    <w:p w:rsidR="0091169D" w:rsidRDefault="005F4492">
      <w:pPr>
        <w:pStyle w:val="NoSpacing"/>
      </w:pPr>
      <w:r>
        <w:t xml:space="preserve">Franchisees who have conducted proper due-diligence would be in a better position to make reasonable assessments of the value (including costs, obligations, benefits and risks) of a franchise before entering into a contract with a franchisor. This could also reduce the risk of falling into a dispute with the franchisor due to unforeseen issues arising from a lack of understanding of the franchise agreement, thus reducing the number of incidences of parties entering into dispute resolution. </w:t>
      </w:r>
    </w:p>
    <w:p w:rsidR="0091169D" w:rsidRDefault="0091169D">
      <w:pPr>
        <w:pStyle w:val="NoSpacing"/>
      </w:pPr>
    </w:p>
    <w:p w:rsidR="005F4492" w:rsidRDefault="005F4492">
      <w:pPr>
        <w:pStyle w:val="NoSpacing"/>
      </w:pPr>
      <w:r>
        <w:lastRenderedPageBreak/>
        <w:t xml:space="preserve">There will be no cost to industry. As such, the aforementioned measures will result in a net benefit to the sector as a whole.  </w:t>
      </w:r>
    </w:p>
    <w:p w:rsidR="005F4492" w:rsidRPr="003E146E" w:rsidRDefault="00667ED1" w:rsidP="003E146E">
      <w:pPr>
        <w:spacing w:before="120" w:after="0"/>
        <w:rPr>
          <w:b/>
        </w:rPr>
      </w:pPr>
      <w:r>
        <w:rPr>
          <w:b/>
        </w:rPr>
        <w:t>Improvements to</w:t>
      </w:r>
      <w:r w:rsidR="005F4492" w:rsidRPr="003E146E">
        <w:rPr>
          <w:b/>
        </w:rPr>
        <w:t xml:space="preserve"> access to justice in the franchising sector</w:t>
      </w:r>
    </w:p>
    <w:p w:rsidR="005F4492" w:rsidRDefault="00032C74">
      <w:pPr>
        <w:spacing w:after="120"/>
      </w:pPr>
      <w:r>
        <w:t xml:space="preserve">This section considers costs and benefits associated with </w:t>
      </w:r>
      <w:r w:rsidR="00BD1B8E">
        <w:t>incorporating</w:t>
      </w:r>
      <w:r w:rsidR="005F4492" w:rsidRPr="00FF43D2">
        <w:t xml:space="preserve"> the functions of the Franchising Mediation Advisor (</w:t>
      </w:r>
      <w:r w:rsidR="0086675B">
        <w:t>F</w:t>
      </w:r>
      <w:r w:rsidR="005F4492" w:rsidRPr="00FF43D2">
        <w:t xml:space="preserve">MA) </w:t>
      </w:r>
      <w:r w:rsidR="00BD1B8E">
        <w:t>in</w:t>
      </w:r>
      <w:r w:rsidR="005B0215">
        <w:t>to</w:t>
      </w:r>
      <w:r w:rsidR="00BD1B8E" w:rsidRPr="00FF43D2">
        <w:t xml:space="preserve"> </w:t>
      </w:r>
      <w:r w:rsidR="005F4492" w:rsidRPr="00FF43D2">
        <w:t>ASBFEO</w:t>
      </w:r>
      <w:r>
        <w:t xml:space="preserve">, and </w:t>
      </w:r>
      <w:r w:rsidR="005F4492">
        <w:t>introduc</w:t>
      </w:r>
      <w:r>
        <w:t>ing</w:t>
      </w:r>
      <w:r w:rsidR="005F4492">
        <w:t xml:space="preserve"> conciliation and voluntary arbitration to the franchising dispute resolution process. </w:t>
      </w:r>
    </w:p>
    <w:p w:rsidR="005F4492" w:rsidRPr="00FF43D2" w:rsidRDefault="003901A0" w:rsidP="005F4492">
      <w:pPr>
        <w:spacing w:after="120"/>
      </w:pPr>
      <w:r>
        <w:t xml:space="preserve">Incorporating the </w:t>
      </w:r>
      <w:r w:rsidR="0086675B">
        <w:t>FMA</w:t>
      </w:r>
      <w:r>
        <w:t xml:space="preserve"> role into ASBFEO would </w:t>
      </w:r>
      <w:r w:rsidR="005F4492" w:rsidRPr="00FF43D2">
        <w:t xml:space="preserve">make it clearer to franchisees and franchisors </w:t>
      </w:r>
      <w:r w:rsidR="0086675B">
        <w:t xml:space="preserve">where they </w:t>
      </w:r>
      <w:r w:rsidR="005F4492">
        <w:t>should seek assistance</w:t>
      </w:r>
      <w:r w:rsidR="0086675B">
        <w:t xml:space="preserve"> from</w:t>
      </w:r>
      <w:r w:rsidR="005F4492">
        <w:t>.</w:t>
      </w:r>
      <w:r w:rsidR="0086675B">
        <w:t xml:space="preserve"> This is also consistent with the broader dispute resolution assistance that ASBFEO provides to small business. </w:t>
      </w:r>
      <w:r w:rsidR="005F4492">
        <w:t xml:space="preserve"> </w:t>
      </w:r>
    </w:p>
    <w:p w:rsidR="005F4492" w:rsidRDefault="005F4492" w:rsidP="005F4492">
      <w:pPr>
        <w:spacing w:after="120"/>
      </w:pPr>
      <w:r>
        <w:t>Arbitration is</w:t>
      </w:r>
      <w:r w:rsidR="00720999">
        <w:t xml:space="preserve"> generally</w:t>
      </w:r>
      <w:r>
        <w:t xml:space="preserve"> more expensive than mediation, however it can deliver a binding outcome. </w:t>
      </w:r>
      <w:r w:rsidR="00BD1B8E">
        <w:t>I</w:t>
      </w:r>
      <w:r>
        <w:t xml:space="preserve">t is likely to be cheaper and more flexible than pursuing court action. </w:t>
      </w:r>
      <w:r w:rsidRPr="00EA50F3">
        <w:t xml:space="preserve">Conciliation </w:t>
      </w:r>
      <w:r w:rsidR="00720999">
        <w:t xml:space="preserve">is a variation on mediation which gives the party facilitating dispute resolution more flexibility to assist the parties to reach an outcome where needed. </w:t>
      </w:r>
    </w:p>
    <w:p w:rsidR="005F4492" w:rsidRDefault="005F4492" w:rsidP="005F4492">
      <w:pPr>
        <w:spacing w:after="120"/>
      </w:pPr>
      <w:r>
        <w:t xml:space="preserve">The combination of these two measures </w:t>
      </w:r>
      <w:r w:rsidR="00CE32E8">
        <w:t xml:space="preserve">would </w:t>
      </w:r>
      <w:r>
        <w:t xml:space="preserve">simplify the franchising dispute resolution process and provide multiple avenues for industry parties to accessible, affordable and effective dispute resolution. </w:t>
      </w:r>
      <w:r w:rsidRPr="00EA50F3">
        <w:t>Exact costs and benefits</w:t>
      </w:r>
      <w:r>
        <w:t xml:space="preserve"> cannot be estimated as </w:t>
      </w:r>
      <w:r w:rsidR="00CE32E8">
        <w:t xml:space="preserve">this would </w:t>
      </w:r>
      <w:r>
        <w:t xml:space="preserve">depend on the number of instances </w:t>
      </w:r>
      <w:r w:rsidR="00F748D3">
        <w:t xml:space="preserve">of </w:t>
      </w:r>
      <w:r>
        <w:t>dispute and the natu</w:t>
      </w:r>
      <w:r w:rsidR="003778EB">
        <w:t>re of the disputes themselves</w:t>
      </w:r>
      <w:r w:rsidR="00F748D3">
        <w:t xml:space="preserve">, however these reforms </w:t>
      </w:r>
      <w:r w:rsidR="00CE32E8">
        <w:t xml:space="preserve">would </w:t>
      </w:r>
      <w:r w:rsidR="00F748D3">
        <w:t>have a beneficial impact on the sector as a whole</w:t>
      </w:r>
      <w:r w:rsidR="003778EB">
        <w:t xml:space="preserve">. </w:t>
      </w:r>
    </w:p>
    <w:p w:rsidR="005F4492" w:rsidRDefault="00DF1368" w:rsidP="003E146E">
      <w:pPr>
        <w:spacing w:before="120" w:after="0"/>
        <w:rPr>
          <w:u w:val="single"/>
        </w:rPr>
      </w:pPr>
      <w:r>
        <w:rPr>
          <w:b/>
        </w:rPr>
        <w:t>Best practice models and amendments to facilitate negotiated early exit</w:t>
      </w:r>
    </w:p>
    <w:p w:rsidR="005F4492" w:rsidRPr="004A3647" w:rsidRDefault="00CA607E" w:rsidP="005F4492">
      <w:pPr>
        <w:rPr>
          <w:u w:val="single"/>
        </w:rPr>
      </w:pPr>
      <w:r>
        <w:t>Under this option, t</w:t>
      </w:r>
      <w:r w:rsidR="005F4492" w:rsidRPr="004A3647">
        <w:t xml:space="preserve">here are a number of measures that the Government </w:t>
      </w:r>
      <w:r>
        <w:t>wou</w:t>
      </w:r>
      <w:r w:rsidR="005F4492" w:rsidRPr="004A3647">
        <w:t>l</w:t>
      </w:r>
      <w:r>
        <w:t>d</w:t>
      </w:r>
      <w:r w:rsidR="005F4492" w:rsidRPr="004A3647">
        <w:t xml:space="preserve"> need to consult on with the sector to ensure changes to the Franchising Code are fit for purpose. </w:t>
      </w:r>
    </w:p>
    <w:p w:rsidR="005F4492" w:rsidRDefault="005F4492" w:rsidP="005F4492">
      <w:pPr>
        <w:spacing w:after="120"/>
      </w:pPr>
      <w:r w:rsidRPr="00EA50F3">
        <w:t xml:space="preserve">Working with the sector on the design of reforms </w:t>
      </w:r>
      <w:r w:rsidR="00CE32E8">
        <w:t xml:space="preserve">would </w:t>
      </w:r>
      <w:r>
        <w:t xml:space="preserve">involve </w:t>
      </w:r>
      <w:r w:rsidRPr="00EA50F3">
        <w:t>cost</w:t>
      </w:r>
      <w:r>
        <w:t>s for</w:t>
      </w:r>
      <w:r w:rsidRPr="00EA50F3">
        <w:t xml:space="preserve"> both </w:t>
      </w:r>
      <w:r>
        <w:t>Government and sector participants, which includes time taken to organize and respond</w:t>
      </w:r>
      <w:r w:rsidRPr="00EA50F3">
        <w:t xml:space="preserve"> to consultation.</w:t>
      </w:r>
    </w:p>
    <w:p w:rsidR="005F4492" w:rsidRDefault="005F4492" w:rsidP="005F4492">
      <w:pPr>
        <w:spacing w:after="120"/>
      </w:pPr>
      <w:r w:rsidRPr="00EA50F3">
        <w:t>However</w:t>
      </w:r>
      <w:r w:rsidR="001D296D">
        <w:t>,</w:t>
      </w:r>
      <w:r w:rsidRPr="00EA50F3">
        <w:t xml:space="preserve"> involving end-users in </w:t>
      </w:r>
      <w:r>
        <w:t>the reform process is important – it ensures that</w:t>
      </w:r>
      <w:r w:rsidRPr="00EA50F3">
        <w:t xml:space="preserve"> the utility of the Code is </w:t>
      </w:r>
      <w:proofErr w:type="spellStart"/>
      <w:r w:rsidRPr="00EA50F3">
        <w:t>maximised</w:t>
      </w:r>
      <w:proofErr w:type="spellEnd"/>
      <w:r>
        <w:t xml:space="preserve"> for sector participants and </w:t>
      </w:r>
      <w:r w:rsidR="00CE32E8">
        <w:t xml:space="preserve">reduces </w:t>
      </w:r>
      <w:r w:rsidRPr="00EA50F3">
        <w:t xml:space="preserve">unintended consequences. </w:t>
      </w:r>
      <w:r>
        <w:t xml:space="preserve">The industry codes framework </w:t>
      </w:r>
      <w:r w:rsidR="00A10F2B">
        <w:t xml:space="preserve">administered </w:t>
      </w:r>
      <w:r>
        <w:t xml:space="preserve">by the Department of the Treasury </w:t>
      </w:r>
      <w:r w:rsidR="00A10F2B">
        <w:t xml:space="preserve">confirms the importance of </w:t>
      </w:r>
      <w:r>
        <w:t xml:space="preserve">public consultation </w:t>
      </w:r>
      <w:r w:rsidR="00A10F2B">
        <w:t>as</w:t>
      </w:r>
      <w:r>
        <w:t xml:space="preserve"> an element of the policy making process, </w:t>
      </w:r>
      <w:r w:rsidR="00A10F2B">
        <w:t>particularly</w:t>
      </w:r>
      <w:r>
        <w:t xml:space="preserve"> </w:t>
      </w:r>
      <w:r w:rsidR="00A10F2B">
        <w:t xml:space="preserve">in </w:t>
      </w:r>
      <w:r>
        <w:t>determin</w:t>
      </w:r>
      <w:r w:rsidR="00A10F2B">
        <w:t>ing</w:t>
      </w:r>
      <w:r>
        <w:t xml:space="preserve"> whether a code can provide the right regulatory support without imposing unnecessary red tape on businesses.</w:t>
      </w:r>
      <w:r w:rsidRPr="00EA50F3" w:rsidDel="00E35F5F">
        <w:t xml:space="preserve"> </w:t>
      </w:r>
    </w:p>
    <w:p w:rsidR="005F4492" w:rsidRDefault="005F4492" w:rsidP="005F4492">
      <w:pPr>
        <w:spacing w:after="120"/>
      </w:pPr>
      <w:r w:rsidRPr="00EA50F3">
        <w:t>Exact costs and benefits of the specific changes cannot be estimated at this ti</w:t>
      </w:r>
      <w:r>
        <w:t xml:space="preserve">me as they are subject to the </w:t>
      </w:r>
      <w:r w:rsidRPr="00EA50F3">
        <w:t xml:space="preserve">final design of the measures, which </w:t>
      </w:r>
      <w:r w:rsidR="00F2191A">
        <w:t xml:space="preserve">would </w:t>
      </w:r>
      <w:r w:rsidRPr="00EA50F3">
        <w:t xml:space="preserve">be settled through consultation.  </w:t>
      </w:r>
    </w:p>
    <w:p w:rsidR="005F4492" w:rsidRDefault="00667ED1" w:rsidP="003E146E">
      <w:pPr>
        <w:spacing w:before="120" w:after="0"/>
        <w:rPr>
          <w:u w:val="single"/>
        </w:rPr>
      </w:pPr>
      <w:r>
        <w:rPr>
          <w:b/>
        </w:rPr>
        <w:t>E</w:t>
      </w:r>
      <w:r w:rsidR="005F4492" w:rsidRPr="003E146E">
        <w:rPr>
          <w:b/>
        </w:rPr>
        <w:t xml:space="preserve">xtending and increasing penalties </w:t>
      </w:r>
    </w:p>
    <w:p w:rsidR="005F4492" w:rsidRPr="009A35B8" w:rsidRDefault="005F4492" w:rsidP="005F4492">
      <w:pPr>
        <w:spacing w:after="120"/>
      </w:pPr>
      <w:r w:rsidRPr="009A35B8">
        <w:t xml:space="preserve">The maximum penalty for a breach of the Code is set by the CCA.  </w:t>
      </w:r>
      <w:r w:rsidR="00CA607E">
        <w:t xml:space="preserve">Under this option, the </w:t>
      </w:r>
      <w:r w:rsidRPr="009A35B8">
        <w:t xml:space="preserve">Government </w:t>
      </w:r>
      <w:r w:rsidR="00CA607E">
        <w:t>would</w:t>
      </w:r>
      <w:r w:rsidRPr="009A35B8">
        <w:t xml:space="preserve"> amend the CCA to increase the maximum civil pecuniary penalty available for a breach of an industry code from 300 to 600 penalty units, and increas</w:t>
      </w:r>
      <w:r w:rsidR="00201F8D">
        <w:t>e</w:t>
      </w:r>
      <w:r w:rsidRPr="009A35B8">
        <w:t xml:space="preserve"> the civil pecuniary penalties for breaches of the Franchising Code accordingly. </w:t>
      </w:r>
      <w:r>
        <w:t xml:space="preserve">The Government </w:t>
      </w:r>
      <w:r w:rsidR="00CA607E">
        <w:t>would</w:t>
      </w:r>
      <w:r>
        <w:t xml:space="preserve"> also extend penalties to a breach of clause 31 of the Franchising Code which relate to the management of marketing and advertising fees.</w:t>
      </w:r>
    </w:p>
    <w:p w:rsidR="005F4492" w:rsidRDefault="005F4492" w:rsidP="005F4492">
      <w:pPr>
        <w:spacing w:after="120"/>
      </w:pPr>
      <w:r w:rsidRPr="009A35B8">
        <w:t>The</w:t>
      </w:r>
      <w:r>
        <w:t xml:space="preserve"> PJC</w:t>
      </w:r>
      <w:r w:rsidRPr="009A35B8">
        <w:t xml:space="preserve"> found franchisors do not face sufficient deterrents for non-compliance with the Franchising Code. </w:t>
      </w:r>
      <w:r>
        <w:t>Penalties are an important part of the ACCC’s enforcement toolkit</w:t>
      </w:r>
      <w:r w:rsidR="00F2191A">
        <w:t xml:space="preserve"> and</w:t>
      </w:r>
      <w:r>
        <w:t xml:space="preserve"> raising </w:t>
      </w:r>
      <w:r w:rsidRPr="009A35B8">
        <w:t xml:space="preserve">penalties </w:t>
      </w:r>
      <w:r w:rsidR="00F2191A">
        <w:t xml:space="preserve">would </w:t>
      </w:r>
      <w:r>
        <w:t>benefit the franchising sector by d</w:t>
      </w:r>
      <w:r w:rsidRPr="009A35B8">
        <w:t>eter</w:t>
      </w:r>
      <w:r>
        <w:t xml:space="preserve">ring </w:t>
      </w:r>
      <w:r w:rsidRPr="009A35B8">
        <w:t xml:space="preserve">breaches of the Franchising Code, </w:t>
      </w:r>
      <w:r>
        <w:t>lift</w:t>
      </w:r>
      <w:r w:rsidR="00F2191A">
        <w:t>ing</w:t>
      </w:r>
      <w:r>
        <w:t xml:space="preserve"> standards of </w:t>
      </w:r>
      <w:proofErr w:type="spellStart"/>
      <w:r>
        <w:t>behavio</w:t>
      </w:r>
      <w:r w:rsidR="006D6ACF">
        <w:t>u</w:t>
      </w:r>
      <w:r>
        <w:t>r</w:t>
      </w:r>
      <w:proofErr w:type="spellEnd"/>
      <w:r>
        <w:t xml:space="preserve"> in the sector and restor</w:t>
      </w:r>
      <w:r w:rsidR="00F2191A">
        <w:t>ing</w:t>
      </w:r>
      <w:r>
        <w:t xml:space="preserve"> confidence in the franchise business model. There </w:t>
      </w:r>
      <w:r w:rsidR="00F2191A">
        <w:t xml:space="preserve">would </w:t>
      </w:r>
      <w:r>
        <w:t>be no additional cost to franchisors who do not breach the Code.</w:t>
      </w:r>
    </w:p>
    <w:p w:rsidR="005F4492" w:rsidRDefault="00512B55" w:rsidP="005F4492">
      <w:pPr>
        <w:spacing w:after="120"/>
      </w:pPr>
      <w:r>
        <w:lastRenderedPageBreak/>
        <w:t>D</w:t>
      </w:r>
      <w:r w:rsidR="005F4492">
        <w:t xml:space="preserve">oubling penalties available under the Code may impose significant costs for small franchisors who breach the Code and </w:t>
      </w:r>
      <w:r w:rsidR="00F2191A">
        <w:t xml:space="preserve">do </w:t>
      </w:r>
      <w:r w:rsidR="005F4492">
        <w:t xml:space="preserve">not have the financial means to pay for it. This would have further ramifications for the affected franchisor’s franchisees who would be at risk if the franchisor were to wind-up its operations as a result of the imposed penalty. </w:t>
      </w:r>
      <w:r w:rsidR="00687530">
        <w:t xml:space="preserve">However, the prescribed penalties </w:t>
      </w:r>
      <w:r w:rsidR="00F2191A">
        <w:t xml:space="preserve">would </w:t>
      </w:r>
      <w:r w:rsidR="00687530">
        <w:t xml:space="preserve">be a maximum and a court </w:t>
      </w:r>
      <w:r w:rsidR="00F2191A">
        <w:t xml:space="preserve">could </w:t>
      </w:r>
      <w:r w:rsidR="00687530">
        <w:t>impose a lesser amount if in the judgment of the court that is warranted.</w:t>
      </w:r>
    </w:p>
    <w:p w:rsidR="00736845" w:rsidRDefault="005F4492" w:rsidP="00512B55">
      <w:pPr>
        <w:spacing w:after="120"/>
      </w:pPr>
      <w:r>
        <w:t xml:space="preserve">The doubling of financial penalties available under the Franchising Code, coupled with existing protections provided by the CCA and ACL, </w:t>
      </w:r>
      <w:r w:rsidR="00512B55">
        <w:t xml:space="preserve">would improve </w:t>
      </w:r>
      <w:r>
        <w:t>deterrence</w:t>
      </w:r>
      <w:r w:rsidR="00512B55">
        <w:t>, enhance</w:t>
      </w:r>
      <w:r>
        <w:t xml:space="preserve"> compliance and increase standards of franchisor </w:t>
      </w:r>
      <w:proofErr w:type="spellStart"/>
      <w:r>
        <w:t>behavio</w:t>
      </w:r>
      <w:r w:rsidR="006D6ACF">
        <w:t>u</w:t>
      </w:r>
      <w:r>
        <w:t>r</w:t>
      </w:r>
      <w:proofErr w:type="spellEnd"/>
      <w:r w:rsidR="00F2191A">
        <w:t xml:space="preserve">. This would </w:t>
      </w:r>
      <w:r>
        <w:t xml:space="preserve">provide a net benefit to the sector as a whole. </w:t>
      </w:r>
    </w:p>
    <w:p w:rsidR="00512B55" w:rsidRDefault="00512B55" w:rsidP="00512B55">
      <w:pPr>
        <w:spacing w:after="120"/>
      </w:pPr>
    </w:p>
    <w:p w:rsidR="00B95D19" w:rsidRDefault="00B95D19" w:rsidP="00736845">
      <w:pPr>
        <w:pStyle w:val="Heading2"/>
      </w:pPr>
      <w:bookmarkStart w:id="311" w:name="_Toc47469295"/>
      <w:bookmarkStart w:id="312" w:name="_Toc47517245"/>
      <w:bookmarkStart w:id="313" w:name="_Toc47522372"/>
      <w:bookmarkStart w:id="314" w:name="_Toc47527743"/>
      <w:bookmarkStart w:id="315" w:name="_Toc47533632"/>
      <w:bookmarkStart w:id="316" w:name="_Toc47536038"/>
      <w:bookmarkStart w:id="317" w:name="_Toc47540521"/>
      <w:bookmarkStart w:id="318" w:name="_Toc47542076"/>
      <w:bookmarkStart w:id="319" w:name="_Toc48644141"/>
      <w:r>
        <w:t xml:space="preserve">5.4 Option 4: </w:t>
      </w:r>
      <w:r w:rsidRPr="00CD3A95">
        <w:t>Reform and</w:t>
      </w:r>
      <w:r>
        <w:t xml:space="preserve"> refine the franchising sector with regulatory and non-regulatory measures (preferred)</w:t>
      </w:r>
      <w:bookmarkEnd w:id="296"/>
      <w:bookmarkEnd w:id="297"/>
      <w:bookmarkEnd w:id="298"/>
      <w:bookmarkEnd w:id="299"/>
      <w:bookmarkEnd w:id="300"/>
      <w:bookmarkEnd w:id="301"/>
      <w:bookmarkEnd w:id="311"/>
      <w:bookmarkEnd w:id="312"/>
      <w:bookmarkEnd w:id="313"/>
      <w:bookmarkEnd w:id="314"/>
      <w:bookmarkEnd w:id="315"/>
      <w:bookmarkEnd w:id="316"/>
      <w:bookmarkEnd w:id="317"/>
      <w:bookmarkEnd w:id="318"/>
      <w:bookmarkEnd w:id="319"/>
    </w:p>
    <w:p w:rsidR="00B95D19" w:rsidRDefault="00B95D19" w:rsidP="00B95D19">
      <w:pPr>
        <w:pStyle w:val="Heading3"/>
      </w:pPr>
      <w:bookmarkStart w:id="320" w:name="_Toc46841996"/>
      <w:bookmarkStart w:id="321" w:name="_Toc46843669"/>
      <w:bookmarkStart w:id="322" w:name="_Toc46846314"/>
      <w:bookmarkStart w:id="323" w:name="_Toc46912000"/>
      <w:bookmarkStart w:id="324" w:name="_Toc46991051"/>
      <w:bookmarkStart w:id="325" w:name="_Toc47009810"/>
      <w:bookmarkStart w:id="326" w:name="_Toc47469296"/>
      <w:bookmarkStart w:id="327" w:name="_Toc47517246"/>
      <w:bookmarkStart w:id="328" w:name="_Toc47522373"/>
      <w:bookmarkStart w:id="329" w:name="_Toc47527744"/>
      <w:bookmarkStart w:id="330" w:name="_Toc47533633"/>
      <w:bookmarkStart w:id="331" w:name="_Toc47536039"/>
      <w:bookmarkStart w:id="332" w:name="_Toc47540522"/>
      <w:bookmarkStart w:id="333" w:name="_Toc47542077"/>
      <w:bookmarkStart w:id="334" w:name="_Toc48644142"/>
      <w:r>
        <w:t xml:space="preserve">5.4.1 </w:t>
      </w:r>
      <w:r>
        <w:tab/>
      </w:r>
      <w:r w:rsidRPr="00D247EF">
        <w:t>What does this option involve?</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8336AE" w:rsidRDefault="00B95D19" w:rsidP="003E146E">
      <w:r>
        <w:t xml:space="preserve">Under this option, </w:t>
      </w:r>
      <w:r w:rsidR="002F3C20">
        <w:t>O</w:t>
      </w:r>
      <w:r>
        <w:t>ption</w:t>
      </w:r>
      <w:r w:rsidR="00F2191A">
        <w:t>s</w:t>
      </w:r>
      <w:r>
        <w:t xml:space="preserve"> </w:t>
      </w:r>
      <w:r w:rsidR="002F3C20">
        <w:t>2</w:t>
      </w:r>
      <w:r>
        <w:t xml:space="preserve"> and </w:t>
      </w:r>
      <w:r w:rsidR="002F3C20">
        <w:t>3</w:t>
      </w:r>
      <w:r>
        <w:t xml:space="preserve"> </w:t>
      </w:r>
      <w:r w:rsidR="00F2191A">
        <w:t xml:space="preserve">would </w:t>
      </w:r>
      <w:r>
        <w:t xml:space="preserve">be implemented as a comprehensive franchising reform package. </w:t>
      </w:r>
    </w:p>
    <w:p w:rsidR="004F2EE6" w:rsidRDefault="004F2EE6" w:rsidP="004F2EE6">
      <w:pPr>
        <w:pStyle w:val="Heading3"/>
      </w:pPr>
      <w:bookmarkStart w:id="335" w:name="_Toc46841997"/>
      <w:bookmarkStart w:id="336" w:name="_Toc46843670"/>
      <w:bookmarkStart w:id="337" w:name="_Toc46912368"/>
      <w:bookmarkStart w:id="338" w:name="_Toc46912442"/>
      <w:bookmarkStart w:id="339" w:name="_Toc46918330"/>
      <w:bookmarkStart w:id="340" w:name="_Toc47469297"/>
      <w:bookmarkStart w:id="341" w:name="_Toc47517247"/>
      <w:bookmarkStart w:id="342" w:name="_Toc47522374"/>
      <w:bookmarkStart w:id="343" w:name="_Toc47527745"/>
      <w:bookmarkStart w:id="344" w:name="_Toc47533634"/>
      <w:bookmarkStart w:id="345" w:name="_Toc47536040"/>
      <w:bookmarkStart w:id="346" w:name="_Toc47540523"/>
      <w:bookmarkStart w:id="347" w:name="_Toc47542078"/>
      <w:bookmarkStart w:id="348" w:name="_Toc48644143"/>
      <w:r>
        <w:t xml:space="preserve">5.4.2 </w:t>
      </w:r>
      <w:r w:rsidRPr="00D247EF">
        <w:t>What are the costs and benefits of this option?</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4F2EE6" w:rsidRPr="00635740" w:rsidRDefault="004F2EE6" w:rsidP="004F2EE6">
      <w:pPr>
        <w:pStyle w:val="Heading4"/>
      </w:pPr>
      <w:r>
        <w:t>Quanti</w:t>
      </w:r>
      <w:r w:rsidR="00431C36">
        <w:t>tative</w:t>
      </w:r>
      <w:r>
        <w:t xml:space="preserve"> costs and benefits</w:t>
      </w:r>
    </w:p>
    <w:p w:rsidR="004F2EE6" w:rsidRDefault="004F2EE6" w:rsidP="004F2EE6">
      <w:r>
        <w:t>See Appendix A for the assumptions made in order to complete the costings below.</w:t>
      </w:r>
    </w:p>
    <w:p w:rsidR="004F2EE6" w:rsidRDefault="004F2EE6" w:rsidP="004F2EE6">
      <w:r>
        <w:t>See Appendix B and C for the full cost benefit analysis of this option.</w:t>
      </w:r>
    </w:p>
    <w:p w:rsidR="004F2EE6" w:rsidRPr="00F7130C" w:rsidRDefault="004F2EE6" w:rsidP="004F2EE6">
      <w:pPr>
        <w:pStyle w:val="Heading4"/>
      </w:pPr>
      <w:r w:rsidRPr="00EB5D26">
        <w:t>Regulatory Burden and Cost Offset (RBCO) Estimate Table</w:t>
      </w:r>
    </w:p>
    <w:tbl>
      <w:tblPr>
        <w:tblStyle w:val="TableGrid"/>
        <w:tblW w:w="0" w:type="auto"/>
        <w:tblLook w:val="04A0" w:firstRow="1" w:lastRow="0" w:firstColumn="1" w:lastColumn="0" w:noHBand="0" w:noVBand="1"/>
      </w:tblPr>
      <w:tblGrid>
        <w:gridCol w:w="3114"/>
        <w:gridCol w:w="1475"/>
        <w:gridCol w:w="1476"/>
        <w:gridCol w:w="1475"/>
        <w:gridCol w:w="1476"/>
      </w:tblGrid>
      <w:tr w:rsidR="004F2EE6" w:rsidTr="00FA194B">
        <w:tc>
          <w:tcPr>
            <w:tcW w:w="3114" w:type="dxa"/>
            <w:shd w:val="clear" w:color="auto" w:fill="DEEAF6" w:themeFill="accent1" w:themeFillTint="33"/>
            <w:vAlign w:val="center"/>
          </w:tcPr>
          <w:p w:rsidR="004F2EE6" w:rsidRPr="00F7130C" w:rsidRDefault="004F2EE6" w:rsidP="00FA194B"/>
        </w:tc>
        <w:tc>
          <w:tcPr>
            <w:tcW w:w="1475" w:type="dxa"/>
            <w:shd w:val="clear" w:color="auto" w:fill="DEEAF6" w:themeFill="accent1" w:themeFillTint="33"/>
            <w:vAlign w:val="center"/>
          </w:tcPr>
          <w:p w:rsidR="004F2EE6" w:rsidRDefault="004F2EE6" w:rsidP="00FA194B">
            <w:pPr>
              <w:rPr>
                <w:u w:val="single"/>
              </w:rPr>
            </w:pPr>
            <w:r w:rsidRPr="00DB6D70">
              <w:t>Business costs</w:t>
            </w:r>
            <w:r>
              <w:t>/offsets</w:t>
            </w:r>
          </w:p>
        </w:tc>
        <w:tc>
          <w:tcPr>
            <w:tcW w:w="1476" w:type="dxa"/>
            <w:shd w:val="clear" w:color="auto" w:fill="DEEAF6" w:themeFill="accent1" w:themeFillTint="33"/>
            <w:vAlign w:val="center"/>
          </w:tcPr>
          <w:p w:rsidR="004F2EE6" w:rsidRDefault="004F2EE6" w:rsidP="00FA194B">
            <w:pPr>
              <w:rPr>
                <w:u w:val="single"/>
              </w:rPr>
            </w:pPr>
            <w:r w:rsidRPr="00DB6D70">
              <w:t>Community costs</w:t>
            </w:r>
            <w:r>
              <w:t>/offsets</w:t>
            </w:r>
          </w:p>
        </w:tc>
        <w:tc>
          <w:tcPr>
            <w:tcW w:w="1475" w:type="dxa"/>
            <w:shd w:val="clear" w:color="auto" w:fill="DEEAF6" w:themeFill="accent1" w:themeFillTint="33"/>
            <w:vAlign w:val="center"/>
          </w:tcPr>
          <w:p w:rsidR="004F2EE6" w:rsidRDefault="004F2EE6" w:rsidP="00FA194B">
            <w:pPr>
              <w:rPr>
                <w:u w:val="single"/>
              </w:rPr>
            </w:pPr>
            <w:r w:rsidRPr="00DB6D70">
              <w:t>Individual costs</w:t>
            </w:r>
            <w:r>
              <w:t>/offsets</w:t>
            </w:r>
          </w:p>
        </w:tc>
        <w:tc>
          <w:tcPr>
            <w:tcW w:w="1476" w:type="dxa"/>
            <w:shd w:val="clear" w:color="auto" w:fill="DEEAF6" w:themeFill="accent1" w:themeFillTint="33"/>
            <w:vAlign w:val="center"/>
          </w:tcPr>
          <w:p w:rsidR="004F2EE6" w:rsidRDefault="004F2EE6" w:rsidP="00FA194B">
            <w:pPr>
              <w:rPr>
                <w:u w:val="single"/>
              </w:rPr>
            </w:pPr>
            <w:r w:rsidRPr="00DB6D70">
              <w:t>Total costs</w:t>
            </w:r>
            <w:r>
              <w:t>/offsets</w:t>
            </w:r>
          </w:p>
        </w:tc>
      </w:tr>
      <w:tr w:rsidR="004F2EE6" w:rsidTr="00FA194B">
        <w:tc>
          <w:tcPr>
            <w:tcW w:w="3114" w:type="dxa"/>
          </w:tcPr>
          <w:p w:rsidR="004F2EE6" w:rsidRPr="00EB5D26" w:rsidRDefault="004F2EE6" w:rsidP="00FA194B">
            <w:r w:rsidRPr="00EB5D26">
              <w:t>Total costs</w:t>
            </w:r>
          </w:p>
        </w:tc>
        <w:tc>
          <w:tcPr>
            <w:tcW w:w="1475" w:type="dxa"/>
            <w:vAlign w:val="center"/>
          </w:tcPr>
          <w:p w:rsidR="004F2EE6" w:rsidRDefault="004F2EE6" w:rsidP="00FA194B">
            <w:pPr>
              <w:rPr>
                <w:u w:val="single"/>
              </w:rPr>
            </w:pPr>
            <w:r w:rsidRPr="00DB6D70">
              <w:t xml:space="preserve">$ </w:t>
            </w:r>
            <w:r>
              <w:t>3.92M</w:t>
            </w:r>
          </w:p>
        </w:tc>
        <w:tc>
          <w:tcPr>
            <w:tcW w:w="1476" w:type="dxa"/>
            <w:vAlign w:val="center"/>
          </w:tcPr>
          <w:p w:rsidR="004F2EE6" w:rsidRDefault="004F2EE6" w:rsidP="00FA194B">
            <w:pPr>
              <w:rPr>
                <w:u w:val="single"/>
              </w:rPr>
            </w:pPr>
            <w:r w:rsidRPr="00DB6D70">
              <w:t xml:space="preserve">$ </w:t>
            </w:r>
            <w:r>
              <w:t>n/a</w:t>
            </w:r>
          </w:p>
        </w:tc>
        <w:tc>
          <w:tcPr>
            <w:tcW w:w="1475" w:type="dxa"/>
            <w:vAlign w:val="center"/>
          </w:tcPr>
          <w:p w:rsidR="004F2EE6" w:rsidRDefault="004F2EE6" w:rsidP="00FA194B">
            <w:pPr>
              <w:rPr>
                <w:u w:val="single"/>
              </w:rPr>
            </w:pPr>
            <w:r w:rsidRPr="00DB6D70">
              <w:t xml:space="preserve">$ </w:t>
            </w:r>
            <w:r>
              <w:t>n/a</w:t>
            </w:r>
          </w:p>
        </w:tc>
        <w:tc>
          <w:tcPr>
            <w:tcW w:w="1476" w:type="dxa"/>
            <w:vAlign w:val="center"/>
          </w:tcPr>
          <w:p w:rsidR="004F2EE6" w:rsidRDefault="004F2EE6" w:rsidP="00FA194B">
            <w:pPr>
              <w:rPr>
                <w:u w:val="single"/>
              </w:rPr>
            </w:pPr>
            <w:r w:rsidRPr="00DB6D70">
              <w:t xml:space="preserve">$ </w:t>
            </w:r>
            <w:r>
              <w:t>3.92M</w:t>
            </w:r>
          </w:p>
        </w:tc>
      </w:tr>
      <w:tr w:rsidR="004F2EE6" w:rsidTr="00FA194B">
        <w:tc>
          <w:tcPr>
            <w:tcW w:w="3114" w:type="dxa"/>
          </w:tcPr>
          <w:p w:rsidR="004F2EE6" w:rsidRPr="00EB5D26" w:rsidRDefault="004F2EE6" w:rsidP="00FA194B">
            <w:r w:rsidRPr="00EB5D26">
              <w:t>Total cost offsets</w:t>
            </w:r>
          </w:p>
        </w:tc>
        <w:tc>
          <w:tcPr>
            <w:tcW w:w="1475" w:type="dxa"/>
            <w:vAlign w:val="center"/>
          </w:tcPr>
          <w:p w:rsidR="004F2EE6" w:rsidRPr="00DB6D70" w:rsidRDefault="004F2EE6" w:rsidP="00FA194B">
            <w:r w:rsidRPr="00DB6D70">
              <w:t xml:space="preserve">$ </w:t>
            </w:r>
            <w:r>
              <w:t>3.1</w:t>
            </w:r>
            <w:r w:rsidR="00530279">
              <w:t>2</w:t>
            </w:r>
            <w:r>
              <w:t>M</w:t>
            </w:r>
          </w:p>
        </w:tc>
        <w:tc>
          <w:tcPr>
            <w:tcW w:w="1476" w:type="dxa"/>
            <w:vAlign w:val="center"/>
          </w:tcPr>
          <w:p w:rsidR="004F2EE6" w:rsidRPr="00DB6D70" w:rsidRDefault="004F2EE6" w:rsidP="00FA194B">
            <w:r w:rsidRPr="00DB6D70">
              <w:t xml:space="preserve">$ </w:t>
            </w:r>
            <w:r>
              <w:t>n/a</w:t>
            </w:r>
          </w:p>
        </w:tc>
        <w:tc>
          <w:tcPr>
            <w:tcW w:w="1475" w:type="dxa"/>
            <w:vAlign w:val="center"/>
          </w:tcPr>
          <w:p w:rsidR="004F2EE6" w:rsidRPr="00DB6D70" w:rsidRDefault="004F2EE6" w:rsidP="00FA194B">
            <w:r w:rsidRPr="00DB6D70">
              <w:t xml:space="preserve">$ </w:t>
            </w:r>
            <w:r>
              <w:t>n/a</w:t>
            </w:r>
          </w:p>
        </w:tc>
        <w:tc>
          <w:tcPr>
            <w:tcW w:w="1476" w:type="dxa"/>
            <w:vAlign w:val="center"/>
          </w:tcPr>
          <w:p w:rsidR="004F2EE6" w:rsidRPr="00DB6D70" w:rsidRDefault="004F2EE6" w:rsidP="00FA194B">
            <w:r w:rsidRPr="00DB6D70">
              <w:t xml:space="preserve">$ </w:t>
            </w:r>
            <w:r>
              <w:t>3.1</w:t>
            </w:r>
            <w:r w:rsidR="00530279">
              <w:t>2</w:t>
            </w:r>
            <w:r>
              <w:t>M</w:t>
            </w:r>
          </w:p>
        </w:tc>
      </w:tr>
      <w:tr w:rsidR="004F2EE6" w:rsidTr="00FA194B">
        <w:tc>
          <w:tcPr>
            <w:tcW w:w="3114" w:type="dxa"/>
          </w:tcPr>
          <w:p w:rsidR="004F2EE6" w:rsidRPr="00B70A1A" w:rsidRDefault="004F2EE6" w:rsidP="00FA194B">
            <w:pPr>
              <w:rPr>
                <w:b/>
              </w:rPr>
            </w:pPr>
            <w:r>
              <w:rPr>
                <w:b/>
              </w:rPr>
              <w:t>Net regulatory cost</w:t>
            </w:r>
          </w:p>
        </w:tc>
        <w:tc>
          <w:tcPr>
            <w:tcW w:w="1475" w:type="dxa"/>
            <w:vAlign w:val="center"/>
          </w:tcPr>
          <w:p w:rsidR="004F2EE6" w:rsidRPr="00EB5D26" w:rsidRDefault="004F2EE6" w:rsidP="00530279">
            <w:pPr>
              <w:rPr>
                <w:b/>
              </w:rPr>
            </w:pPr>
            <w:r w:rsidRPr="00EB5D26">
              <w:rPr>
                <w:b/>
              </w:rPr>
              <w:t xml:space="preserve">$ </w:t>
            </w:r>
            <w:r>
              <w:rPr>
                <w:b/>
              </w:rPr>
              <w:t>8</w:t>
            </w:r>
            <w:r w:rsidR="00530279">
              <w:rPr>
                <w:b/>
              </w:rPr>
              <w:t>00</w:t>
            </w:r>
            <w:r>
              <w:rPr>
                <w:b/>
              </w:rPr>
              <w:t>,000</w:t>
            </w:r>
          </w:p>
        </w:tc>
        <w:tc>
          <w:tcPr>
            <w:tcW w:w="1476" w:type="dxa"/>
            <w:vAlign w:val="center"/>
          </w:tcPr>
          <w:p w:rsidR="004F2EE6" w:rsidRPr="00EB5D26" w:rsidRDefault="004F2EE6" w:rsidP="00FA194B">
            <w:pPr>
              <w:rPr>
                <w:b/>
              </w:rPr>
            </w:pPr>
            <w:r w:rsidRPr="00DB6D70">
              <w:t xml:space="preserve">$ </w:t>
            </w:r>
            <w:r>
              <w:t>n/a</w:t>
            </w:r>
          </w:p>
        </w:tc>
        <w:tc>
          <w:tcPr>
            <w:tcW w:w="1475" w:type="dxa"/>
            <w:vAlign w:val="center"/>
          </w:tcPr>
          <w:p w:rsidR="004F2EE6" w:rsidRPr="00EB5D26" w:rsidRDefault="004F2EE6" w:rsidP="00FA194B">
            <w:pPr>
              <w:rPr>
                <w:b/>
              </w:rPr>
            </w:pPr>
            <w:r w:rsidRPr="00DB6D70">
              <w:t xml:space="preserve">$ </w:t>
            </w:r>
            <w:r>
              <w:t>n/a</w:t>
            </w:r>
          </w:p>
        </w:tc>
        <w:tc>
          <w:tcPr>
            <w:tcW w:w="1476" w:type="dxa"/>
            <w:vAlign w:val="center"/>
          </w:tcPr>
          <w:p w:rsidR="004F2EE6" w:rsidRPr="00EB5D26" w:rsidRDefault="004F2EE6" w:rsidP="00530279">
            <w:pPr>
              <w:rPr>
                <w:b/>
              </w:rPr>
            </w:pPr>
            <w:r w:rsidRPr="00EB5D26">
              <w:rPr>
                <w:b/>
              </w:rPr>
              <w:t xml:space="preserve">$ </w:t>
            </w:r>
            <w:r>
              <w:rPr>
                <w:b/>
              </w:rPr>
              <w:t>8</w:t>
            </w:r>
            <w:r w:rsidR="00530279">
              <w:rPr>
                <w:b/>
              </w:rPr>
              <w:t>00</w:t>
            </w:r>
            <w:r>
              <w:rPr>
                <w:b/>
              </w:rPr>
              <w:t>,000</w:t>
            </w:r>
          </w:p>
        </w:tc>
      </w:tr>
    </w:tbl>
    <w:p w:rsidR="004F2EE6" w:rsidRPr="002F221E" w:rsidRDefault="004F2EE6" w:rsidP="004F2EE6">
      <w:pPr>
        <w:rPr>
          <w:sz w:val="16"/>
        </w:rPr>
      </w:pPr>
      <w:r w:rsidRPr="002F221E">
        <w:rPr>
          <w:sz w:val="16"/>
        </w:rPr>
        <w:t xml:space="preserve">The </w:t>
      </w:r>
      <w:r>
        <w:rPr>
          <w:sz w:val="16"/>
        </w:rPr>
        <w:t xml:space="preserve">RBCO </w:t>
      </w:r>
      <w:r w:rsidRPr="002F221E">
        <w:rPr>
          <w:sz w:val="16"/>
        </w:rPr>
        <w:t>is calculated as the</w:t>
      </w:r>
      <w:r>
        <w:rPr>
          <w:sz w:val="16"/>
        </w:rPr>
        <w:t xml:space="preserve"> average annual equivalent cost/cost offset </w:t>
      </w:r>
      <w:r w:rsidRPr="002F221E">
        <w:rPr>
          <w:sz w:val="16"/>
        </w:rPr>
        <w:t>over the first 10 years of the policy. For a breakdown o</w:t>
      </w:r>
      <w:r>
        <w:rPr>
          <w:sz w:val="16"/>
        </w:rPr>
        <w:t>f this estimate see Appendix B and C.</w:t>
      </w:r>
    </w:p>
    <w:p w:rsidR="004F2EE6" w:rsidRDefault="00FF7265" w:rsidP="004F2EE6">
      <w:pPr>
        <w:pStyle w:val="Heading4"/>
      </w:pPr>
      <w:r>
        <w:t>Qualitative</w:t>
      </w:r>
      <w:r w:rsidR="004F2EE6" w:rsidRPr="005C6D43">
        <w:t xml:space="preserve"> costs </w:t>
      </w:r>
      <w:r w:rsidR="004F2EE6">
        <w:t>and benefits</w:t>
      </w:r>
    </w:p>
    <w:p w:rsidR="00AE2F29" w:rsidRDefault="004F2EE6" w:rsidP="00B95D19">
      <w:r w:rsidRPr="00C0150B">
        <w:t xml:space="preserve">This option will have the </w:t>
      </w:r>
      <w:r w:rsidR="00FF7265">
        <w:t>qualitative</w:t>
      </w:r>
      <w:r w:rsidRPr="00C0150B">
        <w:t xml:space="preserve"> costs and benefits of options 2 and 3</w:t>
      </w:r>
      <w:r w:rsidR="00C0150B" w:rsidRPr="00C0150B">
        <w:t>.</w:t>
      </w:r>
      <w:r w:rsidR="00C0150B">
        <w:t xml:space="preserve">  See above</w:t>
      </w:r>
      <w:r w:rsidR="00FF7265">
        <w:t>.</w:t>
      </w:r>
    </w:p>
    <w:p w:rsidR="00B95D19" w:rsidRPr="005B4E17" w:rsidRDefault="00B95D19" w:rsidP="00B95D19">
      <w:pPr>
        <w:rPr>
          <w:rFonts w:asciiTheme="majorHAnsi" w:eastAsiaTheme="majorEastAsia" w:hAnsiTheme="majorHAnsi" w:cstheme="majorBidi"/>
          <w:color w:val="1F4E79" w:themeColor="accent1" w:themeShade="80"/>
          <w:sz w:val="24"/>
          <w:szCs w:val="24"/>
        </w:rPr>
      </w:pPr>
    </w:p>
    <w:p w:rsidR="00AE2F29" w:rsidRDefault="00AE2F29">
      <w:pPr>
        <w:rPr>
          <w:rFonts w:asciiTheme="majorHAnsi" w:eastAsiaTheme="majorEastAsia" w:hAnsiTheme="majorHAnsi" w:cstheme="majorBidi"/>
          <w:color w:val="2E74B5" w:themeColor="accent1" w:themeShade="BF"/>
          <w:sz w:val="32"/>
          <w:szCs w:val="32"/>
        </w:rPr>
      </w:pPr>
      <w:bookmarkStart w:id="349" w:name="_Toc46841998"/>
      <w:bookmarkStart w:id="350" w:name="_Toc46843671"/>
      <w:bookmarkStart w:id="351" w:name="_Toc46846316"/>
      <w:bookmarkStart w:id="352" w:name="_Toc46912002"/>
      <w:bookmarkStart w:id="353" w:name="_Toc46991053"/>
      <w:bookmarkStart w:id="354" w:name="_Toc47009812"/>
      <w:bookmarkStart w:id="355" w:name="_Toc45795753"/>
      <w:r>
        <w:br w:type="page"/>
      </w:r>
    </w:p>
    <w:p w:rsidR="00B95D19" w:rsidRDefault="00B95D19" w:rsidP="00B95D19">
      <w:pPr>
        <w:pStyle w:val="Heading1"/>
        <w:numPr>
          <w:ilvl w:val="0"/>
          <w:numId w:val="1"/>
        </w:numPr>
      </w:pPr>
      <w:bookmarkStart w:id="356" w:name="_Toc47469298"/>
      <w:bookmarkStart w:id="357" w:name="_Toc47517248"/>
      <w:bookmarkStart w:id="358" w:name="_Toc47522375"/>
      <w:bookmarkStart w:id="359" w:name="_Toc47527746"/>
      <w:bookmarkStart w:id="360" w:name="_Toc47533635"/>
      <w:bookmarkStart w:id="361" w:name="_Toc47536041"/>
      <w:bookmarkStart w:id="362" w:name="_Toc47540524"/>
      <w:bookmarkStart w:id="363" w:name="_Toc47542079"/>
      <w:bookmarkStart w:id="364" w:name="_Toc48644144"/>
      <w:r>
        <w:lastRenderedPageBreak/>
        <w:t>Consultation</w:t>
      </w:r>
      <w:bookmarkEnd w:id="349"/>
      <w:bookmarkEnd w:id="350"/>
      <w:bookmarkEnd w:id="351"/>
      <w:bookmarkEnd w:id="352"/>
      <w:bookmarkEnd w:id="353"/>
      <w:bookmarkEnd w:id="354"/>
      <w:bookmarkEnd w:id="356"/>
      <w:bookmarkEnd w:id="357"/>
      <w:bookmarkEnd w:id="358"/>
      <w:bookmarkEnd w:id="359"/>
      <w:bookmarkEnd w:id="360"/>
      <w:bookmarkEnd w:id="361"/>
      <w:bookmarkEnd w:id="362"/>
      <w:bookmarkEnd w:id="363"/>
      <w:bookmarkEnd w:id="364"/>
      <w:r>
        <w:t xml:space="preserve"> </w:t>
      </w:r>
    </w:p>
    <w:p w:rsidR="009B6402" w:rsidRPr="009B6402" w:rsidRDefault="009B6402" w:rsidP="003E146E">
      <w:r w:rsidRPr="00C95A7B">
        <w:t xml:space="preserve">Extensive consultation </w:t>
      </w:r>
      <w:r>
        <w:t>across the breadth of the franchising industry has identified</w:t>
      </w:r>
      <w:r w:rsidRPr="009B6402">
        <w:t xml:space="preserve"> a range of views about the degree and direction of regulatory reform needed to address issues </w:t>
      </w:r>
      <w:r>
        <w:t xml:space="preserve">in the sector. </w:t>
      </w:r>
      <w:r w:rsidR="00063760">
        <w:t xml:space="preserve">Additional consultation by the Taskforce has </w:t>
      </w:r>
      <w:r w:rsidR="00063760" w:rsidRPr="00C95A7B">
        <w:t xml:space="preserve">reaffirmed the issues </w:t>
      </w:r>
      <w:r w:rsidR="003D3366">
        <w:t xml:space="preserve">identified </w:t>
      </w:r>
      <w:r w:rsidR="00063760" w:rsidRPr="00C95A7B">
        <w:t>by the PJC</w:t>
      </w:r>
      <w:r w:rsidR="00063760">
        <w:t xml:space="preserve"> and further</w:t>
      </w:r>
      <w:r>
        <w:t xml:space="preserve"> </w:t>
      </w:r>
      <w:r w:rsidRPr="00C95A7B">
        <w:t>built the evidence base for</w:t>
      </w:r>
      <w:r w:rsidR="00896C9A">
        <w:t xml:space="preserve"> government intervention.</w:t>
      </w:r>
      <w:r w:rsidRPr="009B6402">
        <w:t xml:space="preserve"> </w:t>
      </w:r>
    </w:p>
    <w:p w:rsidR="00B95D19" w:rsidRDefault="00B95D19" w:rsidP="00B95D19">
      <w:pPr>
        <w:pStyle w:val="Heading2"/>
        <w:numPr>
          <w:ilvl w:val="1"/>
          <w:numId w:val="1"/>
        </w:numPr>
      </w:pPr>
      <w:bookmarkStart w:id="365" w:name="_Toc45795754"/>
      <w:bookmarkStart w:id="366" w:name="_Toc46841999"/>
      <w:bookmarkStart w:id="367" w:name="_Toc46843672"/>
      <w:bookmarkStart w:id="368" w:name="_Toc46846317"/>
      <w:bookmarkStart w:id="369" w:name="_Toc46912003"/>
      <w:bookmarkStart w:id="370" w:name="_Toc46991054"/>
      <w:bookmarkStart w:id="371" w:name="_Toc47009813"/>
      <w:bookmarkStart w:id="372" w:name="_Toc47469299"/>
      <w:bookmarkStart w:id="373" w:name="_Toc47517249"/>
      <w:bookmarkStart w:id="374" w:name="_Toc47522376"/>
      <w:bookmarkStart w:id="375" w:name="_Toc47527747"/>
      <w:bookmarkStart w:id="376" w:name="_Toc47533636"/>
      <w:bookmarkStart w:id="377" w:name="_Toc47536042"/>
      <w:bookmarkStart w:id="378" w:name="_Toc47540525"/>
      <w:bookmarkStart w:id="379" w:name="_Toc47542080"/>
      <w:bookmarkStart w:id="380" w:name="_Toc48644145"/>
      <w:bookmarkEnd w:id="355"/>
      <w:r>
        <w:t>Franchising Taskforce</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063760" w:rsidRDefault="00063760" w:rsidP="003E146E">
      <w:r w:rsidRPr="00D364FB">
        <w:t xml:space="preserve">The Franchising Taskforce </w:t>
      </w:r>
      <w:r>
        <w:t>consulted</w:t>
      </w:r>
      <w:r w:rsidRPr="00D364FB">
        <w:t xml:space="preserve"> with relevant stakeholders </w:t>
      </w:r>
      <w:r>
        <w:t>to</w:t>
      </w:r>
      <w:r w:rsidRPr="00D364FB">
        <w:t xml:space="preserve"> ensur</w:t>
      </w:r>
      <w:r>
        <w:t>e</w:t>
      </w:r>
      <w:r w:rsidRPr="00D364FB">
        <w:t xml:space="preserve"> that multiple perspectives </w:t>
      </w:r>
      <w:r>
        <w:t>were</w:t>
      </w:r>
      <w:r w:rsidRPr="00D364FB">
        <w:t xml:space="preserve"> considered</w:t>
      </w:r>
      <w:r w:rsidR="00896C9A">
        <w:t>.</w:t>
      </w:r>
      <w:r w:rsidRPr="00D364FB">
        <w:t xml:space="preserve"> A number of consultation channels were established in order to inform the options put forward in this Regulation Impact Statement (RIS), including an Issues </w:t>
      </w:r>
      <w:r w:rsidR="008B13A7">
        <w:t>p</w:t>
      </w:r>
      <w:r w:rsidRPr="00D364FB">
        <w:t xml:space="preserve">aper, </w:t>
      </w:r>
      <w:r>
        <w:t xml:space="preserve">a </w:t>
      </w:r>
      <w:r w:rsidR="008B13A7">
        <w:t>consultation paper</w:t>
      </w:r>
      <w:r>
        <w:t xml:space="preserve"> and </w:t>
      </w:r>
      <w:r w:rsidRPr="00D364FB">
        <w:t>stakeholder meetings and roundtables.</w:t>
      </w:r>
    </w:p>
    <w:p w:rsidR="00B95D19" w:rsidRDefault="00B95D19" w:rsidP="00B95D19">
      <w:pPr>
        <w:pStyle w:val="Heading3"/>
        <w:numPr>
          <w:ilvl w:val="0"/>
          <w:numId w:val="18"/>
        </w:numPr>
      </w:pPr>
      <w:bookmarkStart w:id="381" w:name="_Toc47469300"/>
      <w:bookmarkStart w:id="382" w:name="_Toc47517250"/>
      <w:bookmarkStart w:id="383" w:name="_Toc47522377"/>
      <w:bookmarkStart w:id="384" w:name="_Toc47527748"/>
      <w:bookmarkStart w:id="385" w:name="_Toc47533637"/>
      <w:bookmarkStart w:id="386" w:name="_Toc47536043"/>
      <w:bookmarkStart w:id="387" w:name="_Toc47540526"/>
      <w:bookmarkStart w:id="388" w:name="_Toc47542081"/>
      <w:bookmarkStart w:id="389" w:name="_Toc48644146"/>
      <w:r>
        <w:t>Issues paper</w:t>
      </w:r>
      <w:bookmarkEnd w:id="381"/>
      <w:bookmarkEnd w:id="382"/>
      <w:bookmarkEnd w:id="383"/>
      <w:bookmarkEnd w:id="384"/>
      <w:bookmarkEnd w:id="385"/>
      <w:bookmarkEnd w:id="386"/>
      <w:bookmarkEnd w:id="387"/>
      <w:bookmarkEnd w:id="388"/>
      <w:bookmarkEnd w:id="389"/>
    </w:p>
    <w:p w:rsidR="00B95D19" w:rsidRPr="004A492B" w:rsidRDefault="00B95D19" w:rsidP="00B95D19">
      <w:pPr>
        <w:rPr>
          <w:lang w:val="en-AU"/>
        </w:rPr>
      </w:pPr>
      <w:r w:rsidRPr="004A492B">
        <w:rPr>
          <w:lang w:val="en-AU"/>
        </w:rPr>
        <w:t xml:space="preserve">The Franchising Taskforce released an Issues Paper </w:t>
      </w:r>
      <w:r w:rsidR="009B6402">
        <w:rPr>
          <w:lang w:val="en-AU"/>
        </w:rPr>
        <w:t>on 23</w:t>
      </w:r>
      <w:r w:rsidR="009B6402" w:rsidRPr="004A492B">
        <w:rPr>
          <w:lang w:val="en-AU"/>
        </w:rPr>
        <w:t xml:space="preserve"> </w:t>
      </w:r>
      <w:r w:rsidRPr="004A492B">
        <w:rPr>
          <w:lang w:val="en-AU"/>
        </w:rPr>
        <w:t xml:space="preserve">August </w:t>
      </w:r>
      <w:r>
        <w:rPr>
          <w:lang w:val="en-AU"/>
        </w:rPr>
        <w:t xml:space="preserve">2019 </w:t>
      </w:r>
      <w:r w:rsidRPr="004A492B">
        <w:rPr>
          <w:lang w:val="en-AU"/>
        </w:rPr>
        <w:t xml:space="preserve">to inform the </w:t>
      </w:r>
      <w:r w:rsidR="008B13A7">
        <w:rPr>
          <w:lang w:val="en-AU"/>
        </w:rPr>
        <w:t>consultation paper</w:t>
      </w:r>
      <w:r w:rsidR="00EF6E1E">
        <w:rPr>
          <w:lang w:val="en-AU"/>
        </w:rPr>
        <w:t xml:space="preserve"> </w:t>
      </w:r>
      <w:r w:rsidRPr="004A492B">
        <w:rPr>
          <w:lang w:val="en-AU"/>
        </w:rPr>
        <w:t xml:space="preserve">options and its advice to Ministers. </w:t>
      </w:r>
      <w:r w:rsidR="009B6402">
        <w:rPr>
          <w:lang w:val="en-AU"/>
        </w:rPr>
        <w:t xml:space="preserve">The Issues Paper invited feedback to the Franchising Taskforce on the PJC’s recommendations. </w:t>
      </w:r>
      <w:r w:rsidRPr="004A492B">
        <w:rPr>
          <w:lang w:val="en-AU"/>
        </w:rPr>
        <w:t xml:space="preserve">The Issues Paper grouped the 71 </w:t>
      </w:r>
      <w:r w:rsidR="00AE2F29">
        <w:rPr>
          <w:lang w:val="en-AU"/>
        </w:rPr>
        <w:t xml:space="preserve">PJC </w:t>
      </w:r>
      <w:r w:rsidRPr="004A492B">
        <w:rPr>
          <w:lang w:val="en-AU"/>
        </w:rPr>
        <w:t xml:space="preserve">recommendations report under seven draft policy principles. These seven principles followed the life cycle of a franchise business from </w:t>
      </w:r>
      <w:r>
        <w:rPr>
          <w:lang w:val="en-AU"/>
        </w:rPr>
        <w:t xml:space="preserve">a prospective franchisee considering </w:t>
      </w:r>
      <w:r w:rsidRPr="004A492B">
        <w:rPr>
          <w:lang w:val="en-AU"/>
        </w:rPr>
        <w:t xml:space="preserve">a franchise agreement to </w:t>
      </w:r>
      <w:r>
        <w:rPr>
          <w:lang w:val="en-AU"/>
        </w:rPr>
        <w:t>their exiting the agreement</w:t>
      </w:r>
      <w:r w:rsidRPr="004A492B">
        <w:rPr>
          <w:lang w:val="en-AU"/>
        </w:rPr>
        <w:t>, with one principle discussing the regulatory framework across all phases. In recognition of the large proportion of culturally and linguistically diverse franchising stakeholders, the Issues Paper was translated into simplified Chinese, Arabic and Korean.</w:t>
      </w:r>
    </w:p>
    <w:p w:rsidR="00B95D19" w:rsidRDefault="00B95D19" w:rsidP="00B95D19">
      <w:pPr>
        <w:rPr>
          <w:lang w:val="en-AU"/>
        </w:rPr>
      </w:pPr>
      <w:r w:rsidRPr="004A492B">
        <w:rPr>
          <w:lang w:val="en-AU"/>
        </w:rPr>
        <w:t>Submissions to the Issues Paper could be made via a number of channels including email, phone, and through an online Issues Paper consultation form which allowed for anonymous responses.</w:t>
      </w:r>
    </w:p>
    <w:p w:rsidR="009B6402" w:rsidRDefault="009B6402" w:rsidP="00B95D19">
      <w:r>
        <w:t xml:space="preserve">Responses to the Issues Paper were received from </w:t>
      </w:r>
      <w:r w:rsidR="00D37193">
        <w:t>75</w:t>
      </w:r>
      <w:r>
        <w:t xml:space="preserve"> stakeholders. </w:t>
      </w:r>
    </w:p>
    <w:p w:rsidR="009B6402" w:rsidRPr="003E146E" w:rsidRDefault="00AE2F29" w:rsidP="003E146E">
      <w:pPr>
        <w:pStyle w:val="Heading3"/>
        <w:numPr>
          <w:ilvl w:val="0"/>
          <w:numId w:val="18"/>
        </w:numPr>
      </w:pPr>
      <w:bookmarkStart w:id="390" w:name="_Toc47517251"/>
      <w:bookmarkStart w:id="391" w:name="_Toc47522378"/>
      <w:bookmarkStart w:id="392" w:name="_Toc47527750"/>
      <w:bookmarkStart w:id="393" w:name="_Toc47533639"/>
      <w:bookmarkStart w:id="394" w:name="_Toc47536045"/>
      <w:bookmarkStart w:id="395" w:name="_Toc47540527"/>
      <w:bookmarkStart w:id="396" w:name="_Toc47542082"/>
      <w:bookmarkStart w:id="397" w:name="_Toc48644147"/>
      <w:r>
        <w:t xml:space="preserve">Consultation </w:t>
      </w:r>
      <w:bookmarkEnd w:id="390"/>
      <w:bookmarkEnd w:id="391"/>
      <w:bookmarkEnd w:id="392"/>
      <w:bookmarkEnd w:id="393"/>
      <w:bookmarkEnd w:id="394"/>
      <w:bookmarkEnd w:id="395"/>
      <w:bookmarkEnd w:id="396"/>
      <w:r w:rsidR="008B13A7">
        <w:t>paper</w:t>
      </w:r>
      <w:bookmarkEnd w:id="397"/>
    </w:p>
    <w:p w:rsidR="009B6402" w:rsidRDefault="009B6402" w:rsidP="00B95D19">
      <w:pPr>
        <w:rPr>
          <w:lang w:val="en-AU"/>
        </w:rPr>
      </w:pPr>
      <w:r>
        <w:rPr>
          <w:lang w:val="en-AU"/>
        </w:rPr>
        <w:t xml:space="preserve">Submissions to the </w:t>
      </w:r>
      <w:r w:rsidRPr="009B6402">
        <w:rPr>
          <w:lang w:val="en-AU"/>
        </w:rPr>
        <w:t>Taskforce</w:t>
      </w:r>
      <w:r w:rsidR="00AE2F29">
        <w:rPr>
          <w:lang w:val="en-AU"/>
        </w:rPr>
        <w:t xml:space="preserve">’s Issues Paper informed the development of a </w:t>
      </w:r>
      <w:r w:rsidR="008B13A7">
        <w:rPr>
          <w:lang w:val="en-AU"/>
        </w:rPr>
        <w:t>consultation paper</w:t>
      </w:r>
      <w:r w:rsidR="00AE2F29">
        <w:rPr>
          <w:lang w:val="en-AU"/>
        </w:rPr>
        <w:t xml:space="preserve">. The Taskforce’s </w:t>
      </w:r>
      <w:r w:rsidR="008B13A7">
        <w:rPr>
          <w:lang w:val="en-AU"/>
        </w:rPr>
        <w:t>consultation paper</w:t>
      </w:r>
      <w:r w:rsidRPr="009B6402">
        <w:rPr>
          <w:lang w:val="en-AU"/>
        </w:rPr>
        <w:t xml:space="preserve"> </w:t>
      </w:r>
      <w:r w:rsidR="00AE2F29">
        <w:rPr>
          <w:lang w:val="en-AU"/>
        </w:rPr>
        <w:t xml:space="preserve">was released on </w:t>
      </w:r>
      <w:r w:rsidRPr="009B6402">
        <w:rPr>
          <w:lang w:val="en-AU"/>
        </w:rPr>
        <w:t>11 November 2019</w:t>
      </w:r>
      <w:r w:rsidR="00AE2F29">
        <w:rPr>
          <w:lang w:val="en-AU"/>
        </w:rPr>
        <w:t xml:space="preserve"> and</w:t>
      </w:r>
      <w:r w:rsidRPr="009B6402">
        <w:rPr>
          <w:lang w:val="en-AU"/>
        </w:rPr>
        <w:t xml:space="preserve"> sought feedback on possible problems and options for government action in the franchising sector.</w:t>
      </w:r>
    </w:p>
    <w:p w:rsidR="00AE2F29" w:rsidRPr="004A492B" w:rsidRDefault="00AE2F29" w:rsidP="00B95D19">
      <w:pPr>
        <w:rPr>
          <w:lang w:val="en-AU"/>
        </w:rPr>
      </w:pPr>
      <w:r>
        <w:rPr>
          <w:lang w:val="en-AU"/>
        </w:rPr>
        <w:t xml:space="preserve">Responses to the </w:t>
      </w:r>
      <w:r w:rsidR="004447B4">
        <w:rPr>
          <w:lang w:val="en-AU"/>
        </w:rPr>
        <w:t>c</w:t>
      </w:r>
      <w:r>
        <w:rPr>
          <w:lang w:val="en-AU"/>
        </w:rPr>
        <w:t xml:space="preserve">onsultation </w:t>
      </w:r>
      <w:r w:rsidR="004447B4">
        <w:rPr>
          <w:lang w:val="en-AU"/>
        </w:rPr>
        <w:t>paper</w:t>
      </w:r>
      <w:r>
        <w:rPr>
          <w:lang w:val="en-AU"/>
        </w:rPr>
        <w:t xml:space="preserve"> were received from </w:t>
      </w:r>
      <w:r w:rsidR="003A42BB">
        <w:rPr>
          <w:lang w:val="en-AU"/>
        </w:rPr>
        <w:t xml:space="preserve">73 </w:t>
      </w:r>
      <w:r>
        <w:rPr>
          <w:lang w:val="en-AU"/>
        </w:rPr>
        <w:t xml:space="preserve">stakeholders. </w:t>
      </w:r>
    </w:p>
    <w:p w:rsidR="00B95D19" w:rsidRPr="004A492B" w:rsidRDefault="00B95D19" w:rsidP="00B95D19">
      <w:pPr>
        <w:pStyle w:val="Heading3"/>
        <w:numPr>
          <w:ilvl w:val="0"/>
          <w:numId w:val="18"/>
        </w:numPr>
        <w:rPr>
          <w:lang w:val="en-AU"/>
        </w:rPr>
      </w:pPr>
      <w:bookmarkStart w:id="398" w:name="_Toc47470007"/>
      <w:bookmarkStart w:id="399" w:name="_Toc19108341"/>
      <w:bookmarkStart w:id="400" w:name="_Toc19130623"/>
      <w:bookmarkStart w:id="401" w:name="_Toc47009815"/>
      <w:bookmarkStart w:id="402" w:name="_Toc47469301"/>
      <w:bookmarkStart w:id="403" w:name="_Toc47517252"/>
      <w:bookmarkStart w:id="404" w:name="_Toc47522379"/>
      <w:bookmarkStart w:id="405" w:name="_Toc47527751"/>
      <w:bookmarkStart w:id="406" w:name="_Toc47533640"/>
      <w:bookmarkStart w:id="407" w:name="_Toc47536046"/>
      <w:bookmarkStart w:id="408" w:name="_Toc47540528"/>
      <w:bookmarkStart w:id="409" w:name="_Toc47542083"/>
      <w:bookmarkStart w:id="410" w:name="_Toc48644148"/>
      <w:bookmarkEnd w:id="398"/>
      <w:r w:rsidRPr="004A492B">
        <w:rPr>
          <w:lang w:val="en-AU"/>
        </w:rPr>
        <w:t>Stakeholder meetings and roundtables</w:t>
      </w:r>
      <w:bookmarkEnd w:id="399"/>
      <w:bookmarkEnd w:id="400"/>
      <w:bookmarkEnd w:id="401"/>
      <w:bookmarkEnd w:id="402"/>
      <w:bookmarkEnd w:id="403"/>
      <w:bookmarkEnd w:id="404"/>
      <w:bookmarkEnd w:id="405"/>
      <w:bookmarkEnd w:id="406"/>
      <w:bookmarkEnd w:id="407"/>
      <w:bookmarkEnd w:id="408"/>
      <w:bookmarkEnd w:id="409"/>
      <w:bookmarkEnd w:id="410"/>
    </w:p>
    <w:p w:rsidR="00AE2F29" w:rsidRDefault="00B95D19" w:rsidP="00B95D19">
      <w:pPr>
        <w:rPr>
          <w:lang w:val="en-AU"/>
        </w:rPr>
      </w:pPr>
      <w:r w:rsidRPr="004A492B">
        <w:rPr>
          <w:lang w:val="en-AU"/>
        </w:rPr>
        <w:t xml:space="preserve">The Franchising Taskforce and its support officers </w:t>
      </w:r>
      <w:r w:rsidR="009B6402">
        <w:rPr>
          <w:lang w:val="en-AU"/>
        </w:rPr>
        <w:t xml:space="preserve">conducted 74 separate meetings </w:t>
      </w:r>
      <w:r w:rsidR="005628FC">
        <w:rPr>
          <w:lang w:val="en-AU"/>
        </w:rPr>
        <w:t>prior to the Taskforce being established</w:t>
      </w:r>
      <w:r w:rsidR="009B6402">
        <w:rPr>
          <w:lang w:val="en-AU"/>
        </w:rPr>
        <w:t>. These meetings were</w:t>
      </w:r>
      <w:r w:rsidR="009B6402" w:rsidRPr="004A492B">
        <w:rPr>
          <w:lang w:val="en-AU"/>
        </w:rPr>
        <w:t xml:space="preserve"> </w:t>
      </w:r>
      <w:r w:rsidRPr="004A492B">
        <w:rPr>
          <w:lang w:val="en-AU"/>
        </w:rPr>
        <w:t xml:space="preserve">with a range of stakeholders from across the </w:t>
      </w:r>
      <w:r>
        <w:rPr>
          <w:lang w:val="en-AU"/>
        </w:rPr>
        <w:t xml:space="preserve">franchising </w:t>
      </w:r>
      <w:r w:rsidRPr="004A492B">
        <w:rPr>
          <w:lang w:val="en-AU"/>
        </w:rPr>
        <w:t>sector and in government, including franchisees, franchisors, professional advisors, peak bodies and other government agencies.  These meetings were held both face-to-face and via teleconference</w:t>
      </w:r>
      <w:r>
        <w:t xml:space="preserve">.  </w:t>
      </w:r>
    </w:p>
    <w:p w:rsidR="00B95D19" w:rsidRDefault="00B95D19" w:rsidP="00B95D19">
      <w:r w:rsidRPr="004A492B">
        <w:rPr>
          <w:lang w:val="en-AU"/>
        </w:rPr>
        <w:t>The Franchising Taskforce held two roundtables in Canberra in September</w:t>
      </w:r>
      <w:r>
        <w:rPr>
          <w:lang w:val="en-AU"/>
        </w:rPr>
        <w:t xml:space="preserve"> 2019, one </w:t>
      </w:r>
      <w:r w:rsidRPr="004A492B">
        <w:rPr>
          <w:lang w:val="en-AU"/>
        </w:rPr>
        <w:t xml:space="preserve">for franchisees and </w:t>
      </w:r>
      <w:r>
        <w:rPr>
          <w:lang w:val="en-AU"/>
        </w:rPr>
        <w:t xml:space="preserve">the </w:t>
      </w:r>
      <w:r w:rsidRPr="004A492B">
        <w:rPr>
          <w:lang w:val="en-AU"/>
        </w:rPr>
        <w:t xml:space="preserve">other for franchisors. </w:t>
      </w:r>
    </w:p>
    <w:p w:rsidR="00B95D19" w:rsidRDefault="00B95D19" w:rsidP="00B95D19">
      <w:pPr>
        <w:pStyle w:val="Heading2"/>
        <w:numPr>
          <w:ilvl w:val="1"/>
          <w:numId w:val="1"/>
        </w:numPr>
      </w:pPr>
      <w:bookmarkStart w:id="411" w:name="_Toc45795755"/>
      <w:bookmarkStart w:id="412" w:name="_Toc46842000"/>
      <w:bookmarkStart w:id="413" w:name="_Toc46843673"/>
      <w:bookmarkStart w:id="414" w:name="_Toc46846318"/>
      <w:bookmarkStart w:id="415" w:name="_Toc46912004"/>
      <w:bookmarkStart w:id="416" w:name="_Toc46991055"/>
      <w:bookmarkStart w:id="417" w:name="_Toc47009816"/>
      <w:bookmarkStart w:id="418" w:name="_Toc47469302"/>
      <w:bookmarkStart w:id="419" w:name="_Toc47517253"/>
      <w:bookmarkStart w:id="420" w:name="_Toc47522380"/>
      <w:bookmarkStart w:id="421" w:name="_Toc47527752"/>
      <w:bookmarkStart w:id="422" w:name="_Toc47533641"/>
      <w:bookmarkStart w:id="423" w:name="_Toc47536047"/>
      <w:bookmarkStart w:id="424" w:name="_Toc47540529"/>
      <w:bookmarkStart w:id="425" w:name="_Toc47542084"/>
      <w:bookmarkStart w:id="426" w:name="_Toc48644149"/>
      <w:r>
        <w:t>Future consultation</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B95D19" w:rsidRPr="00CF6F1C" w:rsidRDefault="00B95D19" w:rsidP="00A849B1">
      <w:pPr>
        <w:rPr>
          <w:sz w:val="32"/>
          <w:szCs w:val="32"/>
        </w:rPr>
      </w:pPr>
      <w:r>
        <w:t xml:space="preserve">It is </w:t>
      </w:r>
      <w:r w:rsidR="00774FAF">
        <w:t xml:space="preserve">anticipated that </w:t>
      </w:r>
      <w:r>
        <w:t>industry to be involved in the final design of key reforms</w:t>
      </w:r>
      <w:r w:rsidR="00774FAF">
        <w:t>,</w:t>
      </w:r>
      <w:r>
        <w:t xml:space="preserve"> in order to</w:t>
      </w:r>
      <w:r w:rsidR="00774FAF">
        <w:t xml:space="preserve"> </w:t>
      </w:r>
      <w:proofErr w:type="spellStart"/>
      <w:r>
        <w:t>minimise</w:t>
      </w:r>
      <w:proofErr w:type="spellEnd"/>
      <w:r>
        <w:t xml:space="preserve"> the likelihood of unintended consequences and</w:t>
      </w:r>
      <w:r w:rsidR="00774FAF">
        <w:t xml:space="preserve"> </w:t>
      </w:r>
      <w:r>
        <w:t xml:space="preserve">build the sector’s awareness on the intent and purpose of the proposed measures. </w:t>
      </w:r>
    </w:p>
    <w:p w:rsidR="00B95D19" w:rsidRDefault="00B95D19" w:rsidP="00B95D19">
      <w:pPr>
        <w:rPr>
          <w:rFonts w:asciiTheme="majorHAnsi" w:eastAsiaTheme="majorEastAsia" w:hAnsiTheme="majorHAnsi" w:cstheme="majorBidi"/>
          <w:color w:val="2E74B5" w:themeColor="accent1" w:themeShade="BF"/>
          <w:sz w:val="32"/>
          <w:szCs w:val="32"/>
          <w:highlight w:val="lightGray"/>
        </w:rPr>
      </w:pPr>
      <w:bookmarkStart w:id="427" w:name="_Toc45795756"/>
      <w:r>
        <w:rPr>
          <w:highlight w:val="lightGray"/>
        </w:rPr>
        <w:br w:type="page"/>
      </w:r>
    </w:p>
    <w:p w:rsidR="00B95D19" w:rsidRDefault="00B95D19" w:rsidP="00B95D19">
      <w:pPr>
        <w:pStyle w:val="Heading1"/>
        <w:numPr>
          <w:ilvl w:val="0"/>
          <w:numId w:val="1"/>
        </w:numPr>
      </w:pPr>
      <w:bookmarkStart w:id="428" w:name="_Toc46842001"/>
      <w:bookmarkStart w:id="429" w:name="_Toc46843674"/>
      <w:bookmarkStart w:id="430" w:name="_Toc46846319"/>
      <w:bookmarkStart w:id="431" w:name="_Toc46912005"/>
      <w:bookmarkStart w:id="432" w:name="_Toc46991056"/>
      <w:bookmarkStart w:id="433" w:name="_Toc47009817"/>
      <w:bookmarkStart w:id="434" w:name="_Toc47469303"/>
      <w:bookmarkStart w:id="435" w:name="_Toc47517254"/>
      <w:bookmarkStart w:id="436" w:name="_Toc47522381"/>
      <w:bookmarkStart w:id="437" w:name="_Toc47527753"/>
      <w:bookmarkStart w:id="438" w:name="_Toc47533642"/>
      <w:bookmarkStart w:id="439" w:name="_Toc47536048"/>
      <w:bookmarkStart w:id="440" w:name="_Toc47540530"/>
      <w:bookmarkStart w:id="441" w:name="_Toc47542085"/>
      <w:bookmarkStart w:id="442" w:name="_Toc48644150"/>
      <w:r>
        <w:lastRenderedPageBreak/>
        <w:t>Conclusion and recommended option</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B95D19" w:rsidRDefault="00B95D19" w:rsidP="00B95D19">
      <w:r>
        <w:t xml:space="preserve">This thorough review and consultation process resulted in the Franchising Taskforce advising the Government on improvements to the Franchising Code, and relevant provisions of the CCA. These suggestions have been tested </w:t>
      </w:r>
      <w:r w:rsidR="001F7252">
        <w:t xml:space="preserve">against </w:t>
      </w:r>
      <w:r>
        <w:t xml:space="preserve">their respective costs and benefits throughout a comprehensive consultation process. </w:t>
      </w:r>
    </w:p>
    <w:p w:rsidR="00B95D19" w:rsidRDefault="00B95D19" w:rsidP="00B95D19">
      <w:r>
        <w:t>The package of changes put forward in Option 4 of Chapter 5, respond</w:t>
      </w:r>
      <w:r w:rsidR="001F7252">
        <w:t>s</w:t>
      </w:r>
      <w:r>
        <w:t xml:space="preserve"> to problems in a manner that ensures the costs of taking action are outweighed by the benefits. The proposal present</w:t>
      </w:r>
      <w:r w:rsidR="001F7252">
        <w:t>s</w:t>
      </w:r>
      <w:r>
        <w:t xml:space="preserve"> an opportunity to </w:t>
      </w:r>
      <w:r w:rsidR="001F7252">
        <w:t xml:space="preserve">ensure </w:t>
      </w:r>
      <w:r>
        <w:t>the Franchising Code remains fit for purpose</w:t>
      </w:r>
      <w:r w:rsidR="001F7252">
        <w:t>,</w:t>
      </w:r>
      <w:r>
        <w:t xml:space="preserve"> and addresses the problems identified by the PJC while </w:t>
      </w:r>
      <w:r w:rsidR="001F7252">
        <w:t xml:space="preserve">limiting </w:t>
      </w:r>
      <w:r>
        <w:t>red tape and complexity for the sector.</w:t>
      </w:r>
    </w:p>
    <w:p w:rsidR="00B95D19" w:rsidRDefault="00B95D19" w:rsidP="00B95D19">
      <w:r>
        <w:t>It is recommended that the Government reform and refine franchising regulation in accordance with Option 4 in Chapter 5.</w:t>
      </w:r>
    </w:p>
    <w:p w:rsidR="00B95D19" w:rsidRPr="00612B41" w:rsidRDefault="00B95D19" w:rsidP="00B95D19">
      <w:r>
        <w:t xml:space="preserve">To </w:t>
      </w:r>
      <w:proofErr w:type="spellStart"/>
      <w:r>
        <w:t>summarise</w:t>
      </w:r>
      <w:proofErr w:type="spellEnd"/>
      <w:r>
        <w:t xml:space="preserve">, if Option 4 is accepted, </w:t>
      </w:r>
      <w:r w:rsidRPr="00612B41">
        <w:t xml:space="preserve">the Government </w:t>
      </w:r>
      <w:r w:rsidR="00CA607E">
        <w:t>would</w:t>
      </w:r>
      <w:r>
        <w:t xml:space="preserve"> take the following actions t</w:t>
      </w:r>
      <w:r w:rsidRPr="00612B41">
        <w:t xml:space="preserve">o address the identified problems </w:t>
      </w:r>
      <w:r w:rsidR="00303131">
        <w:t>in section 3.</w:t>
      </w:r>
    </w:p>
    <w:p w:rsidR="00B95D19" w:rsidRDefault="00B95D19" w:rsidP="00B95D19">
      <w:r>
        <w:t xml:space="preserve">The Government </w:t>
      </w:r>
      <w:r w:rsidR="00CA607E">
        <w:t>would</w:t>
      </w:r>
      <w:r>
        <w:t>:</w:t>
      </w:r>
    </w:p>
    <w:p w:rsidR="003522A6" w:rsidRDefault="003522A6" w:rsidP="003522A6">
      <w:pPr>
        <w:pStyle w:val="ListParagraph"/>
        <w:numPr>
          <w:ilvl w:val="0"/>
          <w:numId w:val="2"/>
        </w:numPr>
      </w:pPr>
      <w:r>
        <w:t xml:space="preserve">Increase the information available to prospective franchisees before they enter the franchise agreement </w:t>
      </w:r>
    </w:p>
    <w:p w:rsidR="003522A6" w:rsidRDefault="003522A6" w:rsidP="003522A6">
      <w:pPr>
        <w:pStyle w:val="ListParagraph"/>
        <w:numPr>
          <w:ilvl w:val="0"/>
          <w:numId w:val="2"/>
        </w:numPr>
      </w:pPr>
      <w:r>
        <w:t xml:space="preserve">Improve </w:t>
      </w:r>
      <w:r w:rsidR="001F7252">
        <w:t xml:space="preserve">prospective </w:t>
      </w:r>
      <w:r>
        <w:t xml:space="preserve">franchisees’ access to </w:t>
      </w:r>
      <w:r w:rsidR="001F7252">
        <w:t xml:space="preserve">financial and </w:t>
      </w:r>
      <w:r>
        <w:t xml:space="preserve">non-financial information, </w:t>
      </w:r>
      <w:r w:rsidR="00882FE3">
        <w:t xml:space="preserve">including supply arrangements, rebates and marketing and other cooperative funds, </w:t>
      </w:r>
      <w:r>
        <w:t xml:space="preserve">supporting their ability to conduct due diligence </w:t>
      </w:r>
    </w:p>
    <w:p w:rsidR="003522A6" w:rsidRPr="004809FF" w:rsidRDefault="003522A6" w:rsidP="003522A6">
      <w:pPr>
        <w:pStyle w:val="ListParagraph"/>
        <w:numPr>
          <w:ilvl w:val="0"/>
          <w:numId w:val="3"/>
        </w:numPr>
        <w:rPr>
          <w:b/>
        </w:rPr>
      </w:pPr>
      <w:r>
        <w:t>E</w:t>
      </w:r>
      <w:r w:rsidRPr="008F44D6">
        <w:t>ducate franchisees on the use of 'no agent' and 'entire agreement' clauses</w:t>
      </w:r>
      <w:r w:rsidR="00692FBF">
        <w:t xml:space="preserve">, the issues of wastage and shrinkage payments and rights in relation to cooling off and disclosure periods </w:t>
      </w:r>
      <w:r w:rsidRPr="008F44D6">
        <w:t>through the Information Statement, ACCC educational material</w:t>
      </w:r>
      <w:r w:rsidR="00692FBF">
        <w:t>, the franchising website</w:t>
      </w:r>
      <w:r w:rsidRPr="003522A6">
        <w:t xml:space="preserve"> </w:t>
      </w:r>
      <w:r w:rsidR="00692FBF">
        <w:t xml:space="preserve">and other avenues </w:t>
      </w:r>
    </w:p>
    <w:p w:rsidR="00110CEC" w:rsidRDefault="003522A6" w:rsidP="00110CEC">
      <w:pPr>
        <w:pStyle w:val="ListParagraph"/>
        <w:numPr>
          <w:ilvl w:val="0"/>
          <w:numId w:val="2"/>
        </w:numPr>
      </w:pPr>
      <w:r>
        <w:t xml:space="preserve">Strengthen franchisees’ rights </w:t>
      </w:r>
      <w:r w:rsidR="00110CEC">
        <w:t>in relation to</w:t>
      </w:r>
      <w:r>
        <w:t xml:space="preserve"> significant capital expenditure </w:t>
      </w:r>
    </w:p>
    <w:p w:rsidR="003522A6" w:rsidRDefault="00692FBF" w:rsidP="00110CEC">
      <w:pPr>
        <w:pStyle w:val="ListParagraph"/>
        <w:numPr>
          <w:ilvl w:val="0"/>
          <w:numId w:val="2"/>
        </w:numPr>
      </w:pPr>
      <w:r>
        <w:t xml:space="preserve">Enhance </w:t>
      </w:r>
      <w:r w:rsidR="003522A6" w:rsidRPr="00704D71">
        <w:t xml:space="preserve">the management of the dispute resolution services and </w:t>
      </w:r>
      <w:proofErr w:type="spellStart"/>
      <w:r w:rsidR="003522A6" w:rsidRPr="00704D71">
        <w:t>organisations</w:t>
      </w:r>
      <w:proofErr w:type="spellEnd"/>
      <w:r w:rsidR="003522A6" w:rsidRPr="00704D71">
        <w:t xml:space="preserve">, including </w:t>
      </w:r>
      <w:r w:rsidR="00110CEC">
        <w:t>providing for</w:t>
      </w:r>
      <w:r w:rsidR="003522A6" w:rsidRPr="00704D71">
        <w:t xml:space="preserve"> multi-party dispute resolution under the </w:t>
      </w:r>
      <w:r w:rsidR="003522A6">
        <w:t xml:space="preserve">Franchising </w:t>
      </w:r>
      <w:r w:rsidR="003522A6" w:rsidRPr="00704D71">
        <w:t>Code</w:t>
      </w:r>
      <w:r w:rsidR="003522A6">
        <w:t>, conciliation</w:t>
      </w:r>
      <w:r w:rsidR="003522A6" w:rsidRPr="00704D71">
        <w:t xml:space="preserve"> and arbitration</w:t>
      </w:r>
      <w:r w:rsidR="003522A6">
        <w:t xml:space="preserve"> </w:t>
      </w:r>
    </w:p>
    <w:p w:rsidR="00882FE3" w:rsidRDefault="003522A6" w:rsidP="00882FE3">
      <w:pPr>
        <w:pStyle w:val="ListParagraph"/>
        <w:numPr>
          <w:ilvl w:val="0"/>
          <w:numId w:val="2"/>
        </w:numPr>
      </w:pPr>
      <w:r>
        <w:t>Balance the rights of franchisors and franchisees to facilitate and negotiate an early exit from a franchise agreement</w:t>
      </w:r>
      <w:r w:rsidR="00882FE3">
        <w:t xml:space="preserve">, </w:t>
      </w:r>
      <w:r w:rsidR="00110CEC">
        <w:t xml:space="preserve">including by </w:t>
      </w:r>
      <w:r w:rsidR="00882FE3">
        <w:t xml:space="preserve">increasing disclosure </w:t>
      </w:r>
      <w:r w:rsidR="00110CEC">
        <w:t xml:space="preserve">on </w:t>
      </w:r>
      <w:r w:rsidR="00882FE3">
        <w:t xml:space="preserve">of end-of-term arrangements for goodwill and improving awareness of restraint of trade clauses </w:t>
      </w:r>
    </w:p>
    <w:p w:rsidR="003522A6" w:rsidRPr="00324111" w:rsidRDefault="003522A6" w:rsidP="003522A6">
      <w:pPr>
        <w:pStyle w:val="ListParagraph"/>
        <w:numPr>
          <w:ilvl w:val="0"/>
          <w:numId w:val="2"/>
        </w:numPr>
      </w:pPr>
      <w:r>
        <w:t>E</w:t>
      </w:r>
      <w:r w:rsidRPr="00F733BE">
        <w:t>stablish a more effective enforcement regime to encourage greater compliance with the Franchising Code by doubling pecuniary penalties for a breach</w:t>
      </w:r>
      <w:r w:rsidR="00692FBF">
        <w:t>, m</w:t>
      </w:r>
      <w:r w:rsidR="00692FBF" w:rsidRPr="00F733BE">
        <w:t>onitor</w:t>
      </w:r>
      <w:r w:rsidR="00692FBF">
        <w:t>ing</w:t>
      </w:r>
      <w:r w:rsidR="00692FBF" w:rsidRPr="00F733BE">
        <w:t xml:space="preserve"> the effectiveness of regulatory reforms</w:t>
      </w:r>
      <w:r w:rsidR="00692FBF">
        <w:t>, collaborating</w:t>
      </w:r>
      <w:r w:rsidR="00692FBF" w:rsidRPr="00F733BE">
        <w:t xml:space="preserve"> across all relevant agencies and with the franchising sector</w:t>
      </w:r>
      <w:r>
        <w:t xml:space="preserve"> </w:t>
      </w:r>
    </w:p>
    <w:p w:rsidR="003522A6" w:rsidRPr="00324111" w:rsidRDefault="003522A6" w:rsidP="003522A6">
      <w:pPr>
        <w:pStyle w:val="ListParagraph"/>
        <w:numPr>
          <w:ilvl w:val="0"/>
          <w:numId w:val="2"/>
        </w:numPr>
      </w:pPr>
      <w:r>
        <w:t>Work with stakeholders to develop best practice models in relation to unilateral variation of contracts</w:t>
      </w:r>
    </w:p>
    <w:p w:rsidR="003522A6" w:rsidRPr="00324111" w:rsidRDefault="003522A6" w:rsidP="003522A6">
      <w:pPr>
        <w:pStyle w:val="ListParagraph"/>
        <w:numPr>
          <w:ilvl w:val="0"/>
          <w:numId w:val="2"/>
        </w:numPr>
      </w:pPr>
      <w:r>
        <w:t>P</w:t>
      </w:r>
      <w:r w:rsidRPr="00243678">
        <w:t>rohibit franchisors passing on the legal costs of preparing, negotiating and executing documents to the franchisee (except where it is already incorporated into a joining fee)</w:t>
      </w:r>
    </w:p>
    <w:p w:rsidR="00290A9F" w:rsidRDefault="00692FBF" w:rsidP="00290A9F">
      <w:r>
        <w:t xml:space="preserve">These proposals are </w:t>
      </w:r>
      <w:r w:rsidR="00290A9F">
        <w:t xml:space="preserve">a balanced reform package that maintains the basic regulatory framework of the Franchising Code while introducing new measures to strengthen the industry and protect franchisees. </w:t>
      </w:r>
    </w:p>
    <w:p w:rsidR="00290A9F" w:rsidRDefault="00290A9F" w:rsidP="00290A9F">
      <w:r w:rsidRPr="004D605C">
        <w:lastRenderedPageBreak/>
        <w:t xml:space="preserve">While the </w:t>
      </w:r>
      <w:r>
        <w:t xml:space="preserve">Government </w:t>
      </w:r>
      <w:proofErr w:type="spellStart"/>
      <w:r w:rsidRPr="004D605C">
        <w:t>recognises</w:t>
      </w:r>
      <w:proofErr w:type="spellEnd"/>
      <w:r w:rsidRPr="004D605C">
        <w:t xml:space="preserve"> that </w:t>
      </w:r>
      <w:r>
        <w:t xml:space="preserve">some </w:t>
      </w:r>
      <w:r w:rsidRPr="004D605C">
        <w:t>preferred option</w:t>
      </w:r>
      <w:r>
        <w:t>s</w:t>
      </w:r>
      <w:r w:rsidRPr="004D605C">
        <w:t xml:space="preserve"> will impose a regulatory burden across all franchisors, including compliant businesses, the reforms as a whole will result in an overall net benefit </w:t>
      </w:r>
      <w:r>
        <w:t xml:space="preserve">to the franchising industry and the Australian economy </w:t>
      </w:r>
      <w:r w:rsidRPr="004D605C">
        <w:t xml:space="preserve">and </w:t>
      </w:r>
      <w:r>
        <w:t>society</w:t>
      </w:r>
      <w:r w:rsidRPr="004D605C">
        <w:t xml:space="preserve">.  </w:t>
      </w:r>
    </w:p>
    <w:p w:rsidR="00290A9F" w:rsidRDefault="00290A9F" w:rsidP="00290A9F">
      <w:r w:rsidRPr="00DE2F72">
        <w:t xml:space="preserve">Other measures, such as doubling the maximum civil pecuniary penalties for breaches of the </w:t>
      </w:r>
      <w:r>
        <w:t xml:space="preserve">Franchising </w:t>
      </w:r>
      <w:r w:rsidRPr="00DE2F72">
        <w:t>Code</w:t>
      </w:r>
      <w:r>
        <w:t xml:space="preserve"> that carry a penalty and the introduction of conciliation and arbitration</w:t>
      </w:r>
      <w:r w:rsidRPr="00DE2F72">
        <w:t>, will encourage greater compliance and deter misconduct in the sector</w:t>
      </w:r>
      <w:r>
        <w:t>, but have little or no regulatory impact</w:t>
      </w:r>
      <w:r w:rsidRPr="00DE2F72">
        <w:t xml:space="preserve">. </w:t>
      </w:r>
    </w:p>
    <w:p w:rsidR="00290A9F" w:rsidRDefault="00290A9F" w:rsidP="00B95D19"/>
    <w:p w:rsidR="00B95D19" w:rsidRDefault="00B95D19" w:rsidP="00B95D19">
      <w:pPr>
        <w:rPr>
          <w:rFonts w:asciiTheme="majorHAnsi" w:eastAsiaTheme="majorEastAsia" w:hAnsiTheme="majorHAnsi" w:cstheme="majorBidi"/>
          <w:color w:val="2E74B5" w:themeColor="accent1" w:themeShade="BF"/>
          <w:sz w:val="32"/>
          <w:szCs w:val="32"/>
        </w:rPr>
      </w:pPr>
      <w:r>
        <w:br w:type="page"/>
      </w:r>
    </w:p>
    <w:p w:rsidR="00B95D19" w:rsidRDefault="00B95D19" w:rsidP="00B95D19">
      <w:pPr>
        <w:pStyle w:val="Heading1"/>
        <w:numPr>
          <w:ilvl w:val="0"/>
          <w:numId w:val="1"/>
        </w:numPr>
      </w:pPr>
      <w:bookmarkStart w:id="443" w:name="_Toc45795757"/>
      <w:bookmarkStart w:id="444" w:name="_Toc46842002"/>
      <w:bookmarkStart w:id="445" w:name="_Toc46843675"/>
      <w:bookmarkStart w:id="446" w:name="_Toc46846320"/>
      <w:bookmarkStart w:id="447" w:name="_Toc46912006"/>
      <w:bookmarkStart w:id="448" w:name="_Toc46991057"/>
      <w:bookmarkStart w:id="449" w:name="_Toc47009818"/>
      <w:bookmarkStart w:id="450" w:name="_Toc47469304"/>
      <w:bookmarkStart w:id="451" w:name="_Toc47517255"/>
      <w:bookmarkStart w:id="452" w:name="_Toc47522382"/>
      <w:bookmarkStart w:id="453" w:name="_Toc47527754"/>
      <w:bookmarkStart w:id="454" w:name="_Toc47533643"/>
      <w:bookmarkStart w:id="455" w:name="_Toc47536049"/>
      <w:bookmarkStart w:id="456" w:name="_Toc47540531"/>
      <w:bookmarkStart w:id="457" w:name="_Toc47542086"/>
      <w:bookmarkStart w:id="458" w:name="_Toc48644151"/>
      <w:r>
        <w:lastRenderedPageBreak/>
        <w:t xml:space="preserve">Implementation and </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00461586">
        <w:t>evaluation</w:t>
      </w:r>
      <w:bookmarkEnd w:id="458"/>
    </w:p>
    <w:p w:rsidR="00B95D19" w:rsidRDefault="00B95D19" w:rsidP="00B95D19">
      <w:pPr>
        <w:pStyle w:val="Heading2"/>
        <w:numPr>
          <w:ilvl w:val="1"/>
          <w:numId w:val="1"/>
        </w:numPr>
      </w:pPr>
      <w:bookmarkStart w:id="459" w:name="_Toc47469305"/>
      <w:bookmarkStart w:id="460" w:name="_Toc47517256"/>
      <w:bookmarkStart w:id="461" w:name="_Toc47522383"/>
      <w:bookmarkStart w:id="462" w:name="_Toc47527755"/>
      <w:bookmarkStart w:id="463" w:name="_Toc47533644"/>
      <w:bookmarkStart w:id="464" w:name="_Toc47536050"/>
      <w:bookmarkStart w:id="465" w:name="_Toc47540532"/>
      <w:bookmarkStart w:id="466" w:name="_Toc47542087"/>
      <w:bookmarkStart w:id="467" w:name="_Toc48644152"/>
      <w:r>
        <w:t>Implementation</w:t>
      </w:r>
      <w:bookmarkEnd w:id="459"/>
      <w:bookmarkEnd w:id="460"/>
      <w:bookmarkEnd w:id="461"/>
      <w:bookmarkEnd w:id="462"/>
      <w:bookmarkEnd w:id="463"/>
      <w:bookmarkEnd w:id="464"/>
      <w:bookmarkEnd w:id="465"/>
      <w:bookmarkEnd w:id="466"/>
      <w:r>
        <w:t xml:space="preserve"> </w:t>
      </w:r>
      <w:r w:rsidR="00390103">
        <w:t>and transition</w:t>
      </w:r>
      <w:bookmarkEnd w:id="467"/>
    </w:p>
    <w:p w:rsidR="00B95D19" w:rsidRDefault="00B95D19" w:rsidP="00B95D19">
      <w:r w:rsidRPr="00C575D4">
        <w:t xml:space="preserve">Implementation of </w:t>
      </w:r>
      <w:r w:rsidR="0055763A">
        <w:t xml:space="preserve">the </w:t>
      </w:r>
      <w:r w:rsidR="006D6DF6">
        <w:t xml:space="preserve">recommended reform </w:t>
      </w:r>
      <w:r w:rsidRPr="00C575D4">
        <w:t xml:space="preserve">would require careful planning to keep transition costs low and ensure that compliance remains high. </w:t>
      </w:r>
    </w:p>
    <w:p w:rsidR="00BC6C10" w:rsidRDefault="005E1F26" w:rsidP="00B95D19">
      <w:r>
        <w:t>The p</w:t>
      </w:r>
      <w:r w:rsidR="00B95D19">
        <w:t xml:space="preserve">roposed </w:t>
      </w:r>
      <w:r w:rsidR="00561E69">
        <w:t xml:space="preserve">form of legislative </w:t>
      </w:r>
      <w:r w:rsidR="00B95D19">
        <w:t xml:space="preserve">changes </w:t>
      </w:r>
      <w:r w:rsidR="00561E69">
        <w:t xml:space="preserve">to the Franchising Code </w:t>
      </w:r>
      <w:r w:rsidR="00110CEC">
        <w:t>would be</w:t>
      </w:r>
      <w:r w:rsidR="00110CEC" w:rsidRPr="00C937BC">
        <w:t xml:space="preserve"> </w:t>
      </w:r>
      <w:r w:rsidR="00B95D19" w:rsidRPr="00C937BC">
        <w:t>exposed for a period of public comment</w:t>
      </w:r>
      <w:r w:rsidR="00561E69">
        <w:t xml:space="preserve"> (‘exposure draft’)</w:t>
      </w:r>
      <w:r w:rsidR="00B95D19" w:rsidRPr="00C937BC">
        <w:t xml:space="preserve">. </w:t>
      </w:r>
      <w:r w:rsidR="00561E69">
        <w:t xml:space="preserve">This will be intended primarily to capture any unintended consequences arising from implementation and provide the sector with an opportunity to comment in a way that ensures that policy objectives of government are met. </w:t>
      </w:r>
    </w:p>
    <w:p w:rsidR="00B95D19" w:rsidRDefault="00561E69" w:rsidP="00B95D19">
      <w:r>
        <w:t>Legislative reform will then follow the usual government process.</w:t>
      </w:r>
      <w:r w:rsidR="007D1F31">
        <w:t xml:space="preserve"> Consideration will be given to the appropriateness of staging reform. </w:t>
      </w:r>
      <w:r>
        <w:t xml:space="preserve"> </w:t>
      </w:r>
    </w:p>
    <w:p w:rsidR="00390103" w:rsidRDefault="00390103" w:rsidP="00B95D19">
      <w:r>
        <w:t xml:space="preserve">Following passage of legislative reform and </w:t>
      </w:r>
      <w:proofErr w:type="spellStart"/>
      <w:r>
        <w:t>finalisation</w:t>
      </w:r>
      <w:proofErr w:type="spellEnd"/>
      <w:r>
        <w:t xml:space="preserve"> of non</w:t>
      </w:r>
      <w:r>
        <w:noBreakHyphen/>
        <w:t>regulatory measures, a</w:t>
      </w:r>
      <w:r w:rsidR="00B95D19" w:rsidRPr="00D92E36">
        <w:t>wareness</w:t>
      </w:r>
      <w:r>
        <w:noBreakHyphen/>
      </w:r>
      <w:r w:rsidR="00B95D19" w:rsidRPr="00D92E36">
        <w:t xml:space="preserve">raising activities and guidance material </w:t>
      </w:r>
      <w:r>
        <w:t xml:space="preserve">will be developed </w:t>
      </w:r>
      <w:r w:rsidR="00B95D19" w:rsidRPr="00D92E36">
        <w:t xml:space="preserve">to assist </w:t>
      </w:r>
      <w:r w:rsidR="00B95D19">
        <w:t>busines</w:t>
      </w:r>
      <w:r w:rsidR="00B95D19" w:rsidRPr="00D92E36">
        <w:t>ses to</w:t>
      </w:r>
      <w:r>
        <w:t xml:space="preserve"> understand and</w:t>
      </w:r>
      <w:r w:rsidR="00B95D19" w:rsidRPr="00D92E36">
        <w:t xml:space="preserve"> comply with the new requirements.</w:t>
      </w:r>
    </w:p>
    <w:p w:rsidR="00B95D19" w:rsidRPr="00E14FF0" w:rsidRDefault="007803C8" w:rsidP="00B95D19">
      <w:r>
        <w:t xml:space="preserve">The ACCC </w:t>
      </w:r>
      <w:r w:rsidR="00B95D19" w:rsidRPr="00D92E36">
        <w:t xml:space="preserve">would then maintain its educative work and be prepared to undertake enforcement where appropriate to ensure compliance with the </w:t>
      </w:r>
      <w:r>
        <w:t>Franchising Code</w:t>
      </w:r>
      <w:r w:rsidR="00B95D19" w:rsidRPr="00D92E36">
        <w:t>.</w:t>
      </w:r>
      <w:r w:rsidR="00B95D19">
        <w:t xml:space="preserve">  </w:t>
      </w:r>
    </w:p>
    <w:p w:rsidR="00B95D19" w:rsidRDefault="00026FBF" w:rsidP="00A849B1">
      <w:pPr>
        <w:pStyle w:val="Heading2"/>
        <w:numPr>
          <w:ilvl w:val="1"/>
          <w:numId w:val="1"/>
        </w:numPr>
      </w:pPr>
      <w:bookmarkStart w:id="468" w:name="_Toc48644153"/>
      <w:r w:rsidRPr="00026FBF">
        <w:t>Evaluation</w:t>
      </w:r>
      <w:bookmarkEnd w:id="468"/>
    </w:p>
    <w:p w:rsidR="00196E25" w:rsidRDefault="00257E7A" w:rsidP="00B95D19">
      <w:r>
        <w:t>The Franchising Code is</w:t>
      </w:r>
      <w:r w:rsidR="007C762C">
        <w:t xml:space="preserve"> prescribed by regulation. The regulation </w:t>
      </w:r>
      <w:r w:rsidR="007803C8">
        <w:t xml:space="preserve">is </w:t>
      </w:r>
      <w:r>
        <w:t xml:space="preserve">a </w:t>
      </w:r>
      <w:proofErr w:type="spellStart"/>
      <w:r>
        <w:t>sunsetting</w:t>
      </w:r>
      <w:proofErr w:type="spellEnd"/>
      <w:r>
        <w:t xml:space="preserve"> instrument</w:t>
      </w:r>
      <w:r w:rsidR="007C762C">
        <w:t xml:space="preserve">, meaning </w:t>
      </w:r>
      <w:r w:rsidR="005E1F26">
        <w:t>it</w:t>
      </w:r>
      <w:r w:rsidR="007C762C">
        <w:t xml:space="preserve"> will be </w:t>
      </w:r>
      <w:r w:rsidR="00753E02">
        <w:t>examined in accordance with the rev</w:t>
      </w:r>
      <w:r w:rsidR="007C762C">
        <w:t xml:space="preserve">iew </w:t>
      </w:r>
      <w:r>
        <w:t xml:space="preserve">provisions of the </w:t>
      </w:r>
      <w:r w:rsidR="00EF6350">
        <w:rPr>
          <w:i/>
        </w:rPr>
        <w:t xml:space="preserve">Legislation Act 2003 </w:t>
      </w:r>
      <w:r w:rsidR="00EF6350" w:rsidRPr="00EF6350">
        <w:t>(</w:t>
      </w:r>
      <w:proofErr w:type="spellStart"/>
      <w:r w:rsidR="00EF6350" w:rsidRPr="00EF6350">
        <w:t>Cth</w:t>
      </w:r>
      <w:proofErr w:type="spellEnd"/>
      <w:r w:rsidR="00EF6350" w:rsidRPr="00EF6350">
        <w:t>)</w:t>
      </w:r>
      <w:r w:rsidR="00196E25">
        <w:t xml:space="preserve">. </w:t>
      </w:r>
    </w:p>
    <w:p w:rsidR="00196E25" w:rsidRDefault="00196E25" w:rsidP="00B95D19">
      <w:pPr>
        <w:rPr>
          <w:i/>
        </w:rPr>
      </w:pPr>
    </w:p>
    <w:p w:rsidR="00B95D19" w:rsidRDefault="00B95D19" w:rsidP="00B95D19">
      <w:pPr>
        <w:rPr>
          <w:lang w:val="en-AU"/>
        </w:rPr>
      </w:pPr>
      <w:r>
        <w:rPr>
          <w:lang w:val="en-AU"/>
        </w:rPr>
        <w:br w:type="page"/>
      </w:r>
    </w:p>
    <w:p w:rsidR="004F2EE6" w:rsidRDefault="004F2EE6" w:rsidP="004F2EE6">
      <w:pPr>
        <w:pStyle w:val="Heading1"/>
      </w:pPr>
      <w:bookmarkStart w:id="469" w:name="_Toc47469310"/>
      <w:bookmarkStart w:id="470" w:name="_Toc47517261"/>
      <w:bookmarkStart w:id="471" w:name="_Toc47522388"/>
      <w:bookmarkStart w:id="472" w:name="_Toc47527760"/>
      <w:bookmarkStart w:id="473" w:name="_Toc47533649"/>
      <w:bookmarkStart w:id="474" w:name="_Toc47536055"/>
      <w:bookmarkStart w:id="475" w:name="_Toc47540537"/>
      <w:bookmarkStart w:id="476" w:name="_Toc47542092"/>
      <w:bookmarkStart w:id="477" w:name="_Toc48644154"/>
      <w:r>
        <w:lastRenderedPageBreak/>
        <w:t>Appendix A</w:t>
      </w:r>
      <w:bookmarkEnd w:id="469"/>
      <w:bookmarkEnd w:id="470"/>
      <w:bookmarkEnd w:id="471"/>
      <w:bookmarkEnd w:id="472"/>
      <w:bookmarkEnd w:id="473"/>
      <w:bookmarkEnd w:id="474"/>
      <w:bookmarkEnd w:id="475"/>
      <w:bookmarkEnd w:id="476"/>
      <w:bookmarkEnd w:id="477"/>
    </w:p>
    <w:p w:rsidR="004F2EE6" w:rsidRDefault="004F2EE6" w:rsidP="004F2EE6">
      <w:r>
        <w:t>General assumptions and parameters</w:t>
      </w:r>
    </w:p>
    <w:p w:rsidR="004F2EE6" w:rsidRDefault="004F2EE6" w:rsidP="004F2EE6">
      <w:r>
        <w:t>In quantifying the costs and savings associated with changes to the Franchising Code, the following general assumptions have been applied:</w:t>
      </w:r>
    </w:p>
    <w:p w:rsidR="004F2EE6" w:rsidRDefault="004F2EE6" w:rsidP="004F2EE6">
      <w:pPr>
        <w:pStyle w:val="ListParagraph"/>
        <w:numPr>
          <w:ilvl w:val="0"/>
          <w:numId w:val="14"/>
        </w:numPr>
      </w:pPr>
      <w:r>
        <w:t>The cost of legal advice is $500 per hour.</w:t>
      </w:r>
      <w:r>
        <w:rPr>
          <w:rStyle w:val="FootnoteReference"/>
        </w:rPr>
        <w:footnoteReference w:id="24"/>
      </w:r>
    </w:p>
    <w:p w:rsidR="004F2EE6" w:rsidRDefault="004F2EE6" w:rsidP="004F2EE6">
      <w:pPr>
        <w:pStyle w:val="ListParagraph"/>
        <w:numPr>
          <w:ilvl w:val="0"/>
          <w:numId w:val="14"/>
        </w:numPr>
      </w:pPr>
      <w:r>
        <w:t>The average cost of an owner-manager’s time is $39 per hour.</w:t>
      </w:r>
      <w:r>
        <w:rPr>
          <w:rStyle w:val="FootnoteReference"/>
        </w:rPr>
        <w:footnoteReference w:id="25"/>
      </w:r>
    </w:p>
    <w:p w:rsidR="004F2EE6" w:rsidRDefault="004F2EE6" w:rsidP="004F2EE6">
      <w:pPr>
        <w:pStyle w:val="ListParagraph"/>
        <w:numPr>
          <w:ilvl w:val="0"/>
          <w:numId w:val="14"/>
        </w:numPr>
      </w:pPr>
      <w:r>
        <w:t>The average cost of an employee’s time is $32 per hour.</w:t>
      </w:r>
      <w:r>
        <w:rPr>
          <w:rStyle w:val="FootnoteReference"/>
        </w:rPr>
        <w:footnoteReference w:id="26"/>
      </w:r>
    </w:p>
    <w:p w:rsidR="004F2EE6" w:rsidRDefault="004F2EE6" w:rsidP="004F2EE6">
      <w:pPr>
        <w:pStyle w:val="ListParagraph"/>
        <w:numPr>
          <w:ilvl w:val="0"/>
          <w:numId w:val="14"/>
        </w:numPr>
      </w:pPr>
      <w:r>
        <w:t>The average cost of a manager’s time is $</w:t>
      </w:r>
      <w:r w:rsidR="00190581">
        <w:t>64</w:t>
      </w:r>
      <w:r>
        <w:t xml:space="preserve"> per hour.</w:t>
      </w:r>
      <w:r>
        <w:rPr>
          <w:rStyle w:val="FootnoteReference"/>
        </w:rPr>
        <w:footnoteReference w:id="27"/>
      </w:r>
    </w:p>
    <w:p w:rsidR="004F2EE6" w:rsidRDefault="004F2EE6" w:rsidP="004F2EE6">
      <w:pPr>
        <w:pStyle w:val="ListParagraph"/>
        <w:numPr>
          <w:ilvl w:val="0"/>
          <w:numId w:val="14"/>
        </w:numPr>
      </w:pPr>
      <w:r>
        <w:t>Changes to the Franchising Code will only apply prospectively.</w:t>
      </w:r>
    </w:p>
    <w:p w:rsidR="004F2EE6" w:rsidRDefault="004F2EE6" w:rsidP="004F2EE6">
      <w:pPr>
        <w:pStyle w:val="ListParagraph"/>
        <w:numPr>
          <w:ilvl w:val="0"/>
          <w:numId w:val="14"/>
        </w:numPr>
      </w:pPr>
      <w:r>
        <w:t>There are approximately 1,240 franchisors operating under the Franchising Code.</w:t>
      </w:r>
    </w:p>
    <w:p w:rsidR="004F2EE6" w:rsidRDefault="004F2EE6" w:rsidP="004F2EE6">
      <w:pPr>
        <w:pStyle w:val="ListParagraph"/>
        <w:numPr>
          <w:ilvl w:val="0"/>
          <w:numId w:val="14"/>
        </w:numPr>
      </w:pPr>
      <w:r>
        <w:t xml:space="preserve">There are approximately </w:t>
      </w:r>
      <w:r w:rsidRPr="00735E9A">
        <w:t>95,600</w:t>
      </w:r>
      <w:r>
        <w:t xml:space="preserve"> franchisees operating under the Franchising Code.</w:t>
      </w:r>
    </w:p>
    <w:p w:rsidR="004F2EE6" w:rsidRDefault="004F2EE6" w:rsidP="004F2EE6">
      <w:pPr>
        <w:pStyle w:val="ListParagraph"/>
        <w:numPr>
          <w:ilvl w:val="0"/>
          <w:numId w:val="14"/>
        </w:numPr>
      </w:pPr>
      <w:r>
        <w:t xml:space="preserve">For 2009 – 2019, there was an average of 2,236 new franchisees per year. </w:t>
      </w:r>
    </w:p>
    <w:p w:rsidR="004F2EE6" w:rsidRDefault="0061261F" w:rsidP="004F2EE6">
      <w:pPr>
        <w:pStyle w:val="ListParagraph"/>
        <w:numPr>
          <w:ilvl w:val="0"/>
          <w:numId w:val="14"/>
        </w:numPr>
      </w:pPr>
      <w:r>
        <w:t>Franchisor</w:t>
      </w:r>
      <w:r w:rsidR="004F2EE6">
        <w:t xml:space="preserve"> takes on an average of 1.8 new franchisees per year.</w:t>
      </w:r>
      <w:r w:rsidR="004F2EE6">
        <w:rPr>
          <w:rStyle w:val="FootnoteReference"/>
        </w:rPr>
        <w:footnoteReference w:id="28"/>
      </w:r>
      <w:r w:rsidR="004F2EE6">
        <w:t xml:space="preserve"> </w:t>
      </w:r>
    </w:p>
    <w:p w:rsidR="004F2EE6" w:rsidRDefault="004F2EE6" w:rsidP="004F2EE6">
      <w:pPr>
        <w:pStyle w:val="ListParagraph"/>
        <w:numPr>
          <w:ilvl w:val="0"/>
          <w:numId w:val="14"/>
        </w:numPr>
      </w:pPr>
      <w:r>
        <w:t>32 per cent of systems in Australia use a master/foreign franchisor structure. This equates to 397 franchisors.</w:t>
      </w:r>
      <w:r>
        <w:rPr>
          <w:rStyle w:val="FootnoteReference"/>
        </w:rPr>
        <w:footnoteReference w:id="29"/>
      </w:r>
    </w:p>
    <w:p w:rsidR="004F2EE6" w:rsidRDefault="004F2EE6" w:rsidP="004F2EE6">
      <w:r>
        <w:t xml:space="preserve">Costings have been prepared </w:t>
      </w:r>
      <w:r w:rsidRPr="00D844D6">
        <w:t xml:space="preserve">as the average annual equivalent </w:t>
      </w:r>
      <w:r>
        <w:t>over a 10 year period from when the changes take effect.</w:t>
      </w:r>
    </w:p>
    <w:p w:rsidR="00B95D19" w:rsidRDefault="00B95D19" w:rsidP="00B95D19">
      <w:r>
        <w:br w:type="page"/>
      </w:r>
    </w:p>
    <w:p w:rsidR="004F2EE6" w:rsidRDefault="004F2EE6" w:rsidP="004F2EE6">
      <w:pPr>
        <w:pStyle w:val="Heading1"/>
      </w:pPr>
      <w:bookmarkStart w:id="478" w:name="_Toc46912375"/>
      <w:bookmarkStart w:id="479" w:name="_Toc46912449"/>
      <w:bookmarkStart w:id="480" w:name="_Toc47469311"/>
      <w:bookmarkStart w:id="481" w:name="_Toc47517262"/>
      <w:bookmarkStart w:id="482" w:name="_Toc47522389"/>
      <w:bookmarkStart w:id="483" w:name="_Toc47527761"/>
      <w:bookmarkStart w:id="484" w:name="_Toc47533650"/>
      <w:bookmarkStart w:id="485" w:name="_Toc47536056"/>
      <w:bookmarkStart w:id="486" w:name="_Toc47540538"/>
      <w:bookmarkStart w:id="487" w:name="_Toc47542093"/>
      <w:bookmarkStart w:id="488" w:name="_Toc48644155"/>
      <w:r>
        <w:lastRenderedPageBreak/>
        <w:t>Appendix B</w:t>
      </w:r>
      <w:bookmarkEnd w:id="478"/>
      <w:bookmarkEnd w:id="479"/>
      <w:bookmarkEnd w:id="480"/>
      <w:bookmarkEnd w:id="481"/>
      <w:bookmarkEnd w:id="482"/>
      <w:bookmarkEnd w:id="483"/>
      <w:bookmarkEnd w:id="484"/>
      <w:bookmarkEnd w:id="485"/>
      <w:bookmarkEnd w:id="486"/>
      <w:bookmarkEnd w:id="487"/>
      <w:bookmarkEnd w:id="488"/>
    </w:p>
    <w:p w:rsidR="004F2EE6" w:rsidRPr="005C6D43" w:rsidRDefault="00002892" w:rsidP="004F2EE6">
      <w:pPr>
        <w:pStyle w:val="Heading4"/>
      </w:pPr>
      <w:r>
        <w:t xml:space="preserve">Qualitative </w:t>
      </w:r>
      <w:r w:rsidR="004F2EE6" w:rsidRPr="005C6D43">
        <w:t xml:space="preserve">costs </w:t>
      </w:r>
    </w:p>
    <w:p w:rsidR="004F2EE6" w:rsidRPr="00077A25" w:rsidRDefault="004F2EE6" w:rsidP="004F2EE6">
      <w:pPr>
        <w:rPr>
          <w:b/>
        </w:rPr>
      </w:pPr>
      <w:r w:rsidRPr="00077A25">
        <w:rPr>
          <w:b/>
        </w:rPr>
        <w:t xml:space="preserve">Regulatory </w:t>
      </w:r>
      <w:r>
        <w:rPr>
          <w:b/>
        </w:rPr>
        <w:t>burden estimate table</w:t>
      </w:r>
    </w:p>
    <w:tbl>
      <w:tblPr>
        <w:tblStyle w:val="TableGrid"/>
        <w:tblW w:w="0" w:type="auto"/>
        <w:tblLook w:val="04A0" w:firstRow="1" w:lastRow="0" w:firstColumn="1" w:lastColumn="0" w:noHBand="0" w:noVBand="1"/>
      </w:tblPr>
      <w:tblGrid>
        <w:gridCol w:w="1716"/>
        <w:gridCol w:w="1738"/>
        <w:gridCol w:w="552"/>
        <w:gridCol w:w="1153"/>
        <w:gridCol w:w="134"/>
        <w:gridCol w:w="1576"/>
        <w:gridCol w:w="2147"/>
      </w:tblGrid>
      <w:tr w:rsidR="004F2EE6" w:rsidRPr="00942372" w:rsidTr="00FA194B">
        <w:tc>
          <w:tcPr>
            <w:tcW w:w="9016" w:type="dxa"/>
            <w:gridSpan w:val="7"/>
            <w:shd w:val="clear" w:color="auto" w:fill="DEEAF6" w:themeFill="accent1" w:themeFillTint="33"/>
            <w:vAlign w:val="center"/>
          </w:tcPr>
          <w:p w:rsidR="004F2EE6" w:rsidRPr="009C5A79" w:rsidRDefault="004F2EE6" w:rsidP="00FA194B">
            <w:pPr>
              <w:rPr>
                <w:b/>
              </w:rPr>
            </w:pPr>
            <w:r w:rsidRPr="00077A25">
              <w:rPr>
                <w:b/>
              </w:rPr>
              <w:t>Average annual regulatory costs (from business as usual)</w:t>
            </w:r>
          </w:p>
        </w:tc>
      </w:tr>
      <w:tr w:rsidR="004F2EE6" w:rsidTr="00FA194B">
        <w:tc>
          <w:tcPr>
            <w:tcW w:w="1762" w:type="dxa"/>
            <w:shd w:val="clear" w:color="auto" w:fill="DEEAF6" w:themeFill="accent1" w:themeFillTint="33"/>
            <w:vAlign w:val="center"/>
          </w:tcPr>
          <w:p w:rsidR="004F2EE6" w:rsidRPr="00F7130C" w:rsidRDefault="004F2EE6" w:rsidP="00FA194B">
            <w:r w:rsidRPr="00DB6D70">
              <w:t>Government a</w:t>
            </w:r>
            <w:r>
              <w:t>ction</w:t>
            </w:r>
            <w:r w:rsidRPr="00DB6D70">
              <w:t xml:space="preserve"> </w:t>
            </w:r>
          </w:p>
        </w:tc>
        <w:tc>
          <w:tcPr>
            <w:tcW w:w="2474" w:type="dxa"/>
            <w:gridSpan w:val="2"/>
            <w:shd w:val="clear" w:color="auto" w:fill="DEEAF6" w:themeFill="accent1" w:themeFillTint="33"/>
            <w:vAlign w:val="center"/>
          </w:tcPr>
          <w:p w:rsidR="004F2EE6" w:rsidRDefault="004F2EE6" w:rsidP="00FA194B">
            <w:pPr>
              <w:rPr>
                <w:u w:val="single"/>
              </w:rPr>
            </w:pPr>
            <w:r>
              <w:t xml:space="preserve">Business </w:t>
            </w:r>
          </w:p>
        </w:tc>
        <w:tc>
          <w:tcPr>
            <w:tcW w:w="1293" w:type="dxa"/>
            <w:gridSpan w:val="2"/>
            <w:shd w:val="clear" w:color="auto" w:fill="DEEAF6" w:themeFill="accent1" w:themeFillTint="33"/>
            <w:vAlign w:val="center"/>
          </w:tcPr>
          <w:p w:rsidR="004F2EE6" w:rsidRDefault="004F2EE6" w:rsidP="00FA194B">
            <w:pPr>
              <w:rPr>
                <w:u w:val="single"/>
              </w:rPr>
            </w:pPr>
            <w:r>
              <w:t xml:space="preserve">Community </w:t>
            </w:r>
          </w:p>
        </w:tc>
        <w:tc>
          <w:tcPr>
            <w:tcW w:w="1155" w:type="dxa"/>
            <w:shd w:val="clear" w:color="auto" w:fill="DEEAF6" w:themeFill="accent1" w:themeFillTint="33"/>
            <w:vAlign w:val="center"/>
          </w:tcPr>
          <w:p w:rsidR="004F2EE6" w:rsidRDefault="004F2EE6" w:rsidP="00FA194B">
            <w:pPr>
              <w:rPr>
                <w:u w:val="single"/>
              </w:rPr>
            </w:pPr>
            <w:r w:rsidRPr="00DB6D70">
              <w:t xml:space="preserve">Individual </w:t>
            </w:r>
          </w:p>
        </w:tc>
        <w:tc>
          <w:tcPr>
            <w:tcW w:w="2332" w:type="dxa"/>
            <w:shd w:val="clear" w:color="auto" w:fill="DEEAF6" w:themeFill="accent1" w:themeFillTint="33"/>
            <w:vAlign w:val="center"/>
          </w:tcPr>
          <w:p w:rsidR="004F2EE6" w:rsidRDefault="004F2EE6" w:rsidP="00FA194B">
            <w:pPr>
              <w:rPr>
                <w:u w:val="single"/>
              </w:rPr>
            </w:pPr>
            <w:r w:rsidRPr="00DB6D70">
              <w:t>Total</w:t>
            </w:r>
          </w:p>
        </w:tc>
      </w:tr>
      <w:tr w:rsidR="004F2EE6" w:rsidTr="00FA194B">
        <w:tc>
          <w:tcPr>
            <w:tcW w:w="9016" w:type="dxa"/>
            <w:gridSpan w:val="7"/>
          </w:tcPr>
          <w:p w:rsidR="004F2EE6" w:rsidRPr="00F7130C" w:rsidRDefault="006377B5" w:rsidP="00FA194B">
            <w:pPr>
              <w:rPr>
                <w:b/>
                <w:u w:val="single"/>
              </w:rPr>
            </w:pPr>
            <w:r w:rsidRPr="006377B5">
              <w:rPr>
                <w:b/>
              </w:rPr>
              <w:t>Reforms to better inform franchisees and improve transparency</w:t>
            </w:r>
          </w:p>
        </w:tc>
      </w:tr>
      <w:tr w:rsidR="004F2EE6" w:rsidTr="00FA194B">
        <w:tc>
          <w:tcPr>
            <w:tcW w:w="1762" w:type="dxa"/>
          </w:tcPr>
          <w:p w:rsidR="004F2EE6" w:rsidRDefault="004F2EE6" w:rsidP="00FA194B">
            <w:pPr>
              <w:rPr>
                <w:u w:val="single"/>
              </w:rPr>
            </w:pPr>
            <w:r w:rsidRPr="00767C6C">
              <w:t>A public register of franchisors</w:t>
            </w:r>
          </w:p>
        </w:tc>
        <w:tc>
          <w:tcPr>
            <w:tcW w:w="7254" w:type="dxa"/>
            <w:gridSpan w:val="6"/>
            <w:vAlign w:val="center"/>
          </w:tcPr>
          <w:p w:rsidR="004F2EE6" w:rsidRDefault="004F2EE6" w:rsidP="00530279">
            <w:pPr>
              <w:rPr>
                <w:u w:val="single"/>
              </w:rPr>
            </w:pPr>
            <w:r>
              <w:t xml:space="preserve">See </w:t>
            </w:r>
            <w:r w:rsidR="00E972BD">
              <w:t>qualitative</w:t>
            </w:r>
            <w:r>
              <w:t xml:space="preserve"> costs </w:t>
            </w:r>
            <w:r w:rsidR="005F280A">
              <w:t>in section 5.2.2</w:t>
            </w:r>
          </w:p>
        </w:tc>
      </w:tr>
      <w:tr w:rsidR="004F2EE6" w:rsidTr="00FA194B">
        <w:tc>
          <w:tcPr>
            <w:tcW w:w="1762" w:type="dxa"/>
          </w:tcPr>
          <w:p w:rsidR="004F2EE6" w:rsidRDefault="004F2EE6" w:rsidP="00FA194B">
            <w:r w:rsidRPr="00767C6C">
              <w:t>A Key Disclosure Information Fact Sheet containing information that is taken from disclosure documents</w:t>
            </w:r>
          </w:p>
        </w:tc>
        <w:tc>
          <w:tcPr>
            <w:tcW w:w="2474" w:type="dxa"/>
            <w:gridSpan w:val="2"/>
            <w:vAlign w:val="center"/>
          </w:tcPr>
          <w:p w:rsidR="004F2EE6" w:rsidRPr="00DB6D70" w:rsidRDefault="004F2EE6" w:rsidP="005F280A">
            <w:r w:rsidRPr="00DB6D70">
              <w:t xml:space="preserve">$ </w:t>
            </w:r>
            <w:r>
              <w:t>96,72</w:t>
            </w:r>
            <w:r w:rsidRPr="009C5A79">
              <w:t>0</w:t>
            </w:r>
            <w:r>
              <w:rPr>
                <w:rStyle w:val="FootnoteReference"/>
              </w:rPr>
              <w:footnoteReference w:id="30"/>
            </w:r>
          </w:p>
        </w:tc>
        <w:tc>
          <w:tcPr>
            <w:tcW w:w="1293" w:type="dxa"/>
            <w:gridSpan w:val="2"/>
            <w:vAlign w:val="center"/>
          </w:tcPr>
          <w:p w:rsidR="004F2EE6" w:rsidRPr="00DB6D70" w:rsidRDefault="004F2EE6" w:rsidP="005F280A">
            <w:r w:rsidRPr="00DB6D70">
              <w:t xml:space="preserve">$ </w:t>
            </w:r>
            <w:r>
              <w:t>n/a</w:t>
            </w:r>
          </w:p>
        </w:tc>
        <w:tc>
          <w:tcPr>
            <w:tcW w:w="1155" w:type="dxa"/>
            <w:vAlign w:val="center"/>
          </w:tcPr>
          <w:p w:rsidR="004F2EE6" w:rsidRPr="00DB6D70" w:rsidRDefault="004F2EE6" w:rsidP="005F280A">
            <w:r w:rsidRPr="00DB6D70">
              <w:t xml:space="preserve">$ </w:t>
            </w:r>
            <w:r>
              <w:t>n/a</w:t>
            </w:r>
          </w:p>
        </w:tc>
        <w:tc>
          <w:tcPr>
            <w:tcW w:w="2332" w:type="dxa"/>
            <w:vAlign w:val="center"/>
          </w:tcPr>
          <w:p w:rsidR="004F2EE6" w:rsidRPr="00DB6D70" w:rsidRDefault="004F2EE6" w:rsidP="005F280A">
            <w:r w:rsidRPr="00DB6D70">
              <w:t>$</w:t>
            </w:r>
            <w:r>
              <w:t>96,72</w:t>
            </w:r>
            <w:r w:rsidRPr="009C5A79">
              <w:t>0</w:t>
            </w:r>
          </w:p>
        </w:tc>
      </w:tr>
      <w:tr w:rsidR="004F2EE6" w:rsidTr="00FA194B">
        <w:tc>
          <w:tcPr>
            <w:tcW w:w="1762" w:type="dxa"/>
          </w:tcPr>
          <w:p w:rsidR="004F2EE6" w:rsidRPr="00767C6C" w:rsidRDefault="004F2EE6" w:rsidP="00FA194B">
            <w:r w:rsidRPr="009D4527">
              <w:t>Electronic and hard copy disclosure documents</w:t>
            </w:r>
          </w:p>
        </w:tc>
        <w:tc>
          <w:tcPr>
            <w:tcW w:w="7254" w:type="dxa"/>
            <w:gridSpan w:val="6"/>
            <w:vMerge w:val="restart"/>
            <w:vAlign w:val="center"/>
          </w:tcPr>
          <w:p w:rsidR="004F2EE6" w:rsidRDefault="004F2EE6" w:rsidP="005F280A">
            <w:r>
              <w:t>See total costs associated with a minor change in practice</w:t>
            </w:r>
          </w:p>
        </w:tc>
      </w:tr>
      <w:tr w:rsidR="004F2EE6" w:rsidTr="00FA194B">
        <w:tc>
          <w:tcPr>
            <w:tcW w:w="1762" w:type="dxa"/>
          </w:tcPr>
          <w:p w:rsidR="004F2EE6" w:rsidRDefault="004F2EE6" w:rsidP="00FA194B">
            <w:r w:rsidRPr="008B67B3">
              <w:t>Separate information statement</w:t>
            </w:r>
          </w:p>
        </w:tc>
        <w:tc>
          <w:tcPr>
            <w:tcW w:w="7254" w:type="dxa"/>
            <w:gridSpan w:val="6"/>
            <w:vMerge/>
            <w:vAlign w:val="center"/>
          </w:tcPr>
          <w:p w:rsidR="004F2EE6" w:rsidRDefault="004F2EE6" w:rsidP="005F280A"/>
        </w:tc>
      </w:tr>
      <w:tr w:rsidR="004F2EE6" w:rsidTr="00FA194B">
        <w:tc>
          <w:tcPr>
            <w:tcW w:w="1762" w:type="dxa"/>
          </w:tcPr>
          <w:p w:rsidR="004F2EE6" w:rsidRDefault="004F2EE6" w:rsidP="00FA194B">
            <w:r w:rsidRPr="002D5D36">
              <w:t>Provision of the ACCC’s Franchisee Manual</w:t>
            </w:r>
            <w:r>
              <w:t xml:space="preserve"> to prospective franchisees</w:t>
            </w:r>
          </w:p>
        </w:tc>
        <w:tc>
          <w:tcPr>
            <w:tcW w:w="7254" w:type="dxa"/>
            <w:gridSpan w:val="6"/>
            <w:vMerge/>
            <w:vAlign w:val="center"/>
          </w:tcPr>
          <w:p w:rsidR="004F2EE6" w:rsidRDefault="004F2EE6" w:rsidP="005F280A"/>
        </w:tc>
      </w:tr>
      <w:tr w:rsidR="004F2EE6" w:rsidTr="000A4E84">
        <w:trPr>
          <w:trHeight w:val="1086"/>
        </w:trPr>
        <w:tc>
          <w:tcPr>
            <w:tcW w:w="1762" w:type="dxa"/>
          </w:tcPr>
          <w:p w:rsidR="004F2EE6" w:rsidRPr="00EE3E2C" w:rsidRDefault="004F2EE6" w:rsidP="00FA194B">
            <w:r w:rsidRPr="00EE3E2C">
              <w:t>Financial disclosure in disclosure document</w:t>
            </w:r>
          </w:p>
        </w:tc>
        <w:tc>
          <w:tcPr>
            <w:tcW w:w="7254" w:type="dxa"/>
            <w:gridSpan w:val="6"/>
            <w:vAlign w:val="center"/>
          </w:tcPr>
          <w:p w:rsidR="004F2EE6" w:rsidRDefault="004F2EE6" w:rsidP="005F280A"/>
        </w:tc>
      </w:tr>
      <w:tr w:rsidR="004F2EE6" w:rsidTr="00FA194B">
        <w:tc>
          <w:tcPr>
            <w:tcW w:w="1762" w:type="dxa"/>
          </w:tcPr>
          <w:p w:rsidR="004F2EE6" w:rsidRPr="00EE3E2C" w:rsidRDefault="004F2EE6" w:rsidP="00FA194B">
            <w:r w:rsidRPr="00703093">
              <w:t>Increase</w:t>
            </w:r>
            <w:r>
              <w:t>d</w:t>
            </w:r>
            <w:r w:rsidRPr="00703093">
              <w:t xml:space="preserve"> transparency around retail leasing</w:t>
            </w:r>
          </w:p>
        </w:tc>
        <w:tc>
          <w:tcPr>
            <w:tcW w:w="7254" w:type="dxa"/>
            <w:gridSpan w:val="6"/>
            <w:vMerge w:val="restart"/>
            <w:vAlign w:val="center"/>
          </w:tcPr>
          <w:p w:rsidR="004F2EE6" w:rsidRDefault="004F2EE6" w:rsidP="005F280A">
            <w:r>
              <w:t>See t</w:t>
            </w:r>
            <w:r w:rsidRPr="00287C6F">
              <w:t>otal costs associated with updating the disclosure document</w:t>
            </w:r>
          </w:p>
        </w:tc>
      </w:tr>
      <w:tr w:rsidR="004F2EE6" w:rsidTr="00FA194B">
        <w:tc>
          <w:tcPr>
            <w:tcW w:w="1762" w:type="dxa"/>
          </w:tcPr>
          <w:p w:rsidR="004F2EE6" w:rsidRPr="008B67B3" w:rsidRDefault="004F2EE6" w:rsidP="00FA194B">
            <w:r w:rsidRPr="00EE3E2C">
              <w:t>Improved disclosure around supplier rebates</w:t>
            </w:r>
          </w:p>
        </w:tc>
        <w:tc>
          <w:tcPr>
            <w:tcW w:w="7254" w:type="dxa"/>
            <w:gridSpan w:val="6"/>
            <w:vMerge/>
            <w:vAlign w:val="center"/>
          </w:tcPr>
          <w:p w:rsidR="004F2EE6" w:rsidRDefault="004F2EE6" w:rsidP="005F280A"/>
        </w:tc>
      </w:tr>
      <w:tr w:rsidR="006377B5" w:rsidTr="00FA194B">
        <w:tc>
          <w:tcPr>
            <w:tcW w:w="1762" w:type="dxa"/>
          </w:tcPr>
          <w:p w:rsidR="006377B5" w:rsidRPr="00EE3E2C" w:rsidRDefault="006377B5" w:rsidP="006377B5">
            <w:r w:rsidRPr="00735F92">
              <w:t xml:space="preserve">Extend cooling off and </w:t>
            </w:r>
            <w:r w:rsidRPr="00735F92">
              <w:lastRenderedPageBreak/>
              <w:t>parameters to trigger start of cooling off period</w:t>
            </w:r>
          </w:p>
        </w:tc>
        <w:tc>
          <w:tcPr>
            <w:tcW w:w="7254" w:type="dxa"/>
            <w:gridSpan w:val="6"/>
            <w:vMerge w:val="restart"/>
            <w:vAlign w:val="center"/>
          </w:tcPr>
          <w:p w:rsidR="005F280A" w:rsidRDefault="005F280A" w:rsidP="005F280A"/>
          <w:p w:rsidR="005F280A" w:rsidRDefault="005F280A" w:rsidP="005F280A"/>
          <w:p w:rsidR="005F280A" w:rsidRDefault="005F280A" w:rsidP="005F280A"/>
          <w:p w:rsidR="005F280A" w:rsidRDefault="005F280A" w:rsidP="005F280A"/>
          <w:p w:rsidR="006377B5" w:rsidRDefault="005F280A" w:rsidP="005F280A">
            <w:r>
              <w:t>See qualitative costs in section 5.2.2</w:t>
            </w:r>
          </w:p>
        </w:tc>
      </w:tr>
      <w:tr w:rsidR="006377B5" w:rsidTr="00FA194B">
        <w:tc>
          <w:tcPr>
            <w:tcW w:w="1762" w:type="dxa"/>
          </w:tcPr>
          <w:p w:rsidR="006377B5" w:rsidRPr="00EE3E2C" w:rsidRDefault="006377B5" w:rsidP="006377B5">
            <w:r w:rsidRPr="00EE3E2C">
              <w:lastRenderedPageBreak/>
              <w:t>Cooling off rights extended to transfers</w:t>
            </w:r>
          </w:p>
        </w:tc>
        <w:tc>
          <w:tcPr>
            <w:tcW w:w="7254" w:type="dxa"/>
            <w:gridSpan w:val="6"/>
            <w:vMerge/>
            <w:vAlign w:val="center"/>
          </w:tcPr>
          <w:p w:rsidR="006377B5" w:rsidRDefault="006377B5" w:rsidP="005F280A"/>
        </w:tc>
      </w:tr>
      <w:tr w:rsidR="00871E25" w:rsidTr="00871E25">
        <w:tc>
          <w:tcPr>
            <w:tcW w:w="1762" w:type="dxa"/>
          </w:tcPr>
          <w:p w:rsidR="00871E25" w:rsidRDefault="00871E25" w:rsidP="00871E25">
            <w:r w:rsidRPr="00EE3E2C">
              <w:t>Amend the relevant clauses of the Franchising Code to apply recent automotive franchising changes</w:t>
            </w:r>
            <w:r w:rsidR="00945D14" w:rsidRPr="00945D14">
              <w:t xml:space="preserve"> relating to capital expenditure </w:t>
            </w:r>
          </w:p>
        </w:tc>
        <w:tc>
          <w:tcPr>
            <w:tcW w:w="1813" w:type="dxa"/>
            <w:vAlign w:val="center"/>
          </w:tcPr>
          <w:p w:rsidR="00871E25" w:rsidRDefault="00871E25" w:rsidP="005F280A">
            <w:r>
              <w:t>$1,605,520</w:t>
            </w:r>
            <w:r>
              <w:rPr>
                <w:rStyle w:val="FootnoteReference"/>
              </w:rPr>
              <w:footnoteReference w:id="31"/>
            </w:r>
          </w:p>
        </w:tc>
        <w:tc>
          <w:tcPr>
            <w:tcW w:w="1814" w:type="dxa"/>
            <w:gridSpan w:val="2"/>
            <w:vAlign w:val="center"/>
          </w:tcPr>
          <w:p w:rsidR="00871E25" w:rsidRDefault="00871E25" w:rsidP="005F280A">
            <w:r w:rsidRPr="00DB6D70">
              <w:t xml:space="preserve">$ </w:t>
            </w:r>
            <w:r>
              <w:t>n/a</w:t>
            </w:r>
          </w:p>
        </w:tc>
        <w:tc>
          <w:tcPr>
            <w:tcW w:w="1813" w:type="dxa"/>
            <w:gridSpan w:val="2"/>
            <w:vAlign w:val="center"/>
          </w:tcPr>
          <w:p w:rsidR="00871E25" w:rsidRDefault="00871E25" w:rsidP="005F280A">
            <w:r w:rsidRPr="00DB6D70">
              <w:t xml:space="preserve">$ </w:t>
            </w:r>
            <w:r>
              <w:t>n/a</w:t>
            </w:r>
          </w:p>
        </w:tc>
        <w:tc>
          <w:tcPr>
            <w:tcW w:w="1814" w:type="dxa"/>
            <w:vAlign w:val="center"/>
          </w:tcPr>
          <w:p w:rsidR="00871E25" w:rsidRDefault="00871E25" w:rsidP="005F280A">
            <w:r>
              <w:t>$1,605,520</w:t>
            </w:r>
          </w:p>
        </w:tc>
      </w:tr>
      <w:tr w:rsidR="006377B5" w:rsidTr="00FA194B">
        <w:tc>
          <w:tcPr>
            <w:tcW w:w="1762" w:type="dxa"/>
          </w:tcPr>
          <w:p w:rsidR="006377B5" w:rsidRDefault="00945D14" w:rsidP="006377B5">
            <w:r w:rsidRPr="00945D14">
              <w:t>Require</w:t>
            </w:r>
            <w:r w:rsidR="006377B5" w:rsidRPr="00767C6C">
              <w:t xml:space="preserve"> disclosure </w:t>
            </w:r>
            <w:r w:rsidRPr="00945D14">
              <w:t>of</w:t>
            </w:r>
            <w:r w:rsidR="006377B5" w:rsidRPr="00767C6C">
              <w:t xml:space="preserve"> end-of-term arrangements for franchisee goodwill</w:t>
            </w:r>
          </w:p>
        </w:tc>
        <w:tc>
          <w:tcPr>
            <w:tcW w:w="7254" w:type="dxa"/>
            <w:gridSpan w:val="6"/>
            <w:vAlign w:val="center"/>
          </w:tcPr>
          <w:p w:rsidR="006377B5" w:rsidRDefault="006377B5" w:rsidP="005F280A">
            <w:r>
              <w:t>See t</w:t>
            </w:r>
            <w:r w:rsidRPr="00287C6F">
              <w:t>otal costs associated with updating the disclosure document</w:t>
            </w:r>
          </w:p>
        </w:tc>
      </w:tr>
      <w:tr w:rsidR="00871E25" w:rsidTr="00871E25">
        <w:tc>
          <w:tcPr>
            <w:tcW w:w="1762" w:type="dxa"/>
          </w:tcPr>
          <w:p w:rsidR="00871E25" w:rsidRDefault="00871E25" w:rsidP="00871E25">
            <w:r w:rsidRPr="00767C6C">
              <w:t>Require master franchisors to meet requirements of marketing funds</w:t>
            </w:r>
          </w:p>
        </w:tc>
        <w:tc>
          <w:tcPr>
            <w:tcW w:w="1813" w:type="dxa"/>
            <w:vAlign w:val="center"/>
          </w:tcPr>
          <w:p w:rsidR="00871E25" w:rsidRDefault="00871E25" w:rsidP="005F280A">
            <w:r>
              <w:t>$</w:t>
            </w:r>
            <w:r>
              <w:rPr>
                <w:lang w:val="en-AU"/>
              </w:rPr>
              <w:t>18,580</w:t>
            </w:r>
            <w:r>
              <w:rPr>
                <w:rStyle w:val="FootnoteReference"/>
              </w:rPr>
              <w:footnoteReference w:id="32"/>
            </w:r>
          </w:p>
        </w:tc>
        <w:tc>
          <w:tcPr>
            <w:tcW w:w="1814" w:type="dxa"/>
            <w:gridSpan w:val="2"/>
            <w:vAlign w:val="center"/>
          </w:tcPr>
          <w:p w:rsidR="00871E25" w:rsidRDefault="00871E25" w:rsidP="005F280A">
            <w:r w:rsidRPr="00DB6D70">
              <w:t xml:space="preserve">$ </w:t>
            </w:r>
            <w:r>
              <w:t>n/a</w:t>
            </w:r>
          </w:p>
        </w:tc>
        <w:tc>
          <w:tcPr>
            <w:tcW w:w="1813" w:type="dxa"/>
            <w:gridSpan w:val="2"/>
            <w:vAlign w:val="center"/>
          </w:tcPr>
          <w:p w:rsidR="00871E25" w:rsidRDefault="00871E25" w:rsidP="005F280A">
            <w:r w:rsidRPr="00DB6D70">
              <w:t xml:space="preserve">$ </w:t>
            </w:r>
            <w:r>
              <w:t>n/a</w:t>
            </w:r>
          </w:p>
        </w:tc>
        <w:tc>
          <w:tcPr>
            <w:tcW w:w="1814" w:type="dxa"/>
            <w:vAlign w:val="center"/>
          </w:tcPr>
          <w:p w:rsidR="00871E25" w:rsidRDefault="00871E25" w:rsidP="005F280A">
            <w:r>
              <w:t>$</w:t>
            </w:r>
            <w:r>
              <w:rPr>
                <w:lang w:val="en-AU"/>
              </w:rPr>
              <w:t>18,580</w:t>
            </w:r>
          </w:p>
        </w:tc>
      </w:tr>
      <w:tr w:rsidR="006377B5" w:rsidTr="00A849B1">
        <w:trPr>
          <w:trHeight w:val="2094"/>
        </w:trPr>
        <w:tc>
          <w:tcPr>
            <w:tcW w:w="1762" w:type="dxa"/>
          </w:tcPr>
          <w:p w:rsidR="006377B5" w:rsidRPr="00735F92" w:rsidRDefault="006377B5" w:rsidP="006377B5">
            <w:r w:rsidRPr="006703AE">
              <w:t>Franchisors would be required to include a statement about the accuracy of financial statements</w:t>
            </w:r>
          </w:p>
        </w:tc>
        <w:tc>
          <w:tcPr>
            <w:tcW w:w="7254" w:type="dxa"/>
            <w:gridSpan w:val="6"/>
            <w:vAlign w:val="center"/>
          </w:tcPr>
          <w:p w:rsidR="006377B5" w:rsidRDefault="006377B5" w:rsidP="005F280A">
            <w:r>
              <w:t>See total costs associated with a minor change in practice</w:t>
            </w:r>
          </w:p>
        </w:tc>
      </w:tr>
      <w:tr w:rsidR="004F2EE6" w:rsidTr="00A849B1">
        <w:tc>
          <w:tcPr>
            <w:tcW w:w="9016" w:type="dxa"/>
            <w:gridSpan w:val="7"/>
            <w:tcBorders>
              <w:bottom w:val="single" w:sz="4" w:space="0" w:color="auto"/>
            </w:tcBorders>
          </w:tcPr>
          <w:p w:rsidR="004F2EE6" w:rsidRPr="00EE3E2C" w:rsidRDefault="006377B5" w:rsidP="005F280A">
            <w:pPr>
              <w:rPr>
                <w:b/>
              </w:rPr>
            </w:pPr>
            <w:r w:rsidRPr="006377B5">
              <w:rPr>
                <w:b/>
              </w:rPr>
              <w:t>Improvements to exit and dispute resolution</w:t>
            </w:r>
          </w:p>
        </w:tc>
      </w:tr>
      <w:tr w:rsidR="00871E25" w:rsidTr="00A849B1">
        <w:tc>
          <w:tcPr>
            <w:tcW w:w="1762" w:type="dxa"/>
          </w:tcPr>
          <w:p w:rsidR="00871E25" w:rsidRDefault="00871E25" w:rsidP="00FA194B">
            <w:pPr>
              <w:rPr>
                <w:b/>
              </w:rPr>
            </w:pPr>
            <w:r w:rsidRPr="00767C6C">
              <w:t>Additional requirements where the franchisor is terminating in special circumstances</w:t>
            </w:r>
          </w:p>
        </w:tc>
        <w:tc>
          <w:tcPr>
            <w:tcW w:w="7254" w:type="dxa"/>
            <w:gridSpan w:val="6"/>
            <w:vAlign w:val="center"/>
          </w:tcPr>
          <w:p w:rsidR="00871E25" w:rsidRDefault="005F280A" w:rsidP="005F280A">
            <w:r>
              <w:t>See qualitative costs in section 5.2.2</w:t>
            </w:r>
          </w:p>
        </w:tc>
      </w:tr>
      <w:tr w:rsidR="00871E25" w:rsidTr="00871E25">
        <w:tc>
          <w:tcPr>
            <w:tcW w:w="9016" w:type="dxa"/>
            <w:gridSpan w:val="7"/>
          </w:tcPr>
          <w:p w:rsidR="00871E25" w:rsidRDefault="00871E25">
            <w:r>
              <w:rPr>
                <w:b/>
              </w:rPr>
              <w:t>Other</w:t>
            </w:r>
          </w:p>
        </w:tc>
      </w:tr>
      <w:tr w:rsidR="004F2EE6" w:rsidTr="00FA194B">
        <w:tc>
          <w:tcPr>
            <w:tcW w:w="1762" w:type="dxa"/>
          </w:tcPr>
          <w:p w:rsidR="004F2EE6" w:rsidRPr="00880F89" w:rsidRDefault="004F2EE6" w:rsidP="00FA194B">
            <w:pPr>
              <w:rPr>
                <w:b/>
              </w:rPr>
            </w:pPr>
            <w:r w:rsidRPr="00880F89">
              <w:rPr>
                <w:b/>
              </w:rPr>
              <w:lastRenderedPageBreak/>
              <w:t>Total costs associated with a minor change in practice</w:t>
            </w:r>
          </w:p>
        </w:tc>
        <w:tc>
          <w:tcPr>
            <w:tcW w:w="2474" w:type="dxa"/>
            <w:gridSpan w:val="2"/>
            <w:vAlign w:val="center"/>
          </w:tcPr>
          <w:p w:rsidR="004F2EE6" w:rsidRDefault="004F2EE6" w:rsidP="00FA194B">
            <w:r>
              <w:t>$96,720</w:t>
            </w:r>
          </w:p>
        </w:tc>
        <w:tc>
          <w:tcPr>
            <w:tcW w:w="1293" w:type="dxa"/>
            <w:gridSpan w:val="2"/>
            <w:vAlign w:val="center"/>
          </w:tcPr>
          <w:p w:rsidR="004F2EE6" w:rsidRPr="00DB6D70" w:rsidRDefault="004F2EE6" w:rsidP="00FA194B">
            <w:r w:rsidRPr="00DB6D70">
              <w:t xml:space="preserve">$ </w:t>
            </w:r>
            <w:r>
              <w:t>n/a</w:t>
            </w:r>
          </w:p>
        </w:tc>
        <w:tc>
          <w:tcPr>
            <w:tcW w:w="1155" w:type="dxa"/>
            <w:vAlign w:val="center"/>
          </w:tcPr>
          <w:p w:rsidR="004F2EE6" w:rsidRPr="00DB6D70" w:rsidRDefault="004F2EE6" w:rsidP="00FA194B">
            <w:r w:rsidRPr="00DB6D70">
              <w:t xml:space="preserve">$ </w:t>
            </w:r>
            <w:r>
              <w:t>n/a</w:t>
            </w:r>
          </w:p>
        </w:tc>
        <w:tc>
          <w:tcPr>
            <w:tcW w:w="2332" w:type="dxa"/>
            <w:vAlign w:val="center"/>
          </w:tcPr>
          <w:p w:rsidR="004F2EE6" w:rsidRDefault="004F2EE6" w:rsidP="00FA194B">
            <w:r>
              <w:t>$96,720</w:t>
            </w:r>
          </w:p>
        </w:tc>
      </w:tr>
      <w:tr w:rsidR="004F2EE6" w:rsidTr="00FA194B">
        <w:tc>
          <w:tcPr>
            <w:tcW w:w="1762" w:type="dxa"/>
          </w:tcPr>
          <w:p w:rsidR="004F2EE6" w:rsidRDefault="004F2EE6" w:rsidP="00FA194B">
            <w:pPr>
              <w:rPr>
                <w:b/>
              </w:rPr>
            </w:pPr>
            <w:r>
              <w:rPr>
                <w:b/>
              </w:rPr>
              <w:t>Total costs for updating the disclosure document (see calculation below)</w:t>
            </w:r>
          </w:p>
        </w:tc>
        <w:tc>
          <w:tcPr>
            <w:tcW w:w="2474" w:type="dxa"/>
            <w:gridSpan w:val="2"/>
            <w:vAlign w:val="center"/>
          </w:tcPr>
          <w:p w:rsidR="004F2EE6" w:rsidRPr="00DB6D70" w:rsidRDefault="004F2EE6" w:rsidP="00FA194B">
            <w:r>
              <w:t>$241,800</w:t>
            </w:r>
          </w:p>
        </w:tc>
        <w:tc>
          <w:tcPr>
            <w:tcW w:w="1293" w:type="dxa"/>
            <w:gridSpan w:val="2"/>
            <w:vAlign w:val="center"/>
          </w:tcPr>
          <w:p w:rsidR="004F2EE6" w:rsidRPr="00DB6D70" w:rsidRDefault="004F2EE6" w:rsidP="00FA194B">
            <w:r w:rsidRPr="00DB6D70">
              <w:t xml:space="preserve">$ </w:t>
            </w:r>
            <w:r>
              <w:t>n/a</w:t>
            </w:r>
          </w:p>
        </w:tc>
        <w:tc>
          <w:tcPr>
            <w:tcW w:w="1155" w:type="dxa"/>
            <w:vAlign w:val="center"/>
          </w:tcPr>
          <w:p w:rsidR="004F2EE6" w:rsidRPr="00DB6D70" w:rsidRDefault="004F2EE6" w:rsidP="00FA194B">
            <w:r w:rsidRPr="00DB6D70">
              <w:t xml:space="preserve">$ </w:t>
            </w:r>
            <w:r>
              <w:t>n/a</w:t>
            </w:r>
          </w:p>
        </w:tc>
        <w:tc>
          <w:tcPr>
            <w:tcW w:w="2332" w:type="dxa"/>
            <w:vAlign w:val="center"/>
          </w:tcPr>
          <w:p w:rsidR="004F2EE6" w:rsidRDefault="004F2EE6" w:rsidP="00FA194B">
            <w:r>
              <w:t>$241,800</w:t>
            </w:r>
          </w:p>
        </w:tc>
      </w:tr>
      <w:tr w:rsidR="004F2EE6" w:rsidTr="00FA194B">
        <w:tc>
          <w:tcPr>
            <w:tcW w:w="1762" w:type="dxa"/>
          </w:tcPr>
          <w:p w:rsidR="004F2EE6" w:rsidRDefault="004F2EE6" w:rsidP="00FA194B">
            <w:pPr>
              <w:rPr>
                <w:b/>
              </w:rPr>
            </w:pPr>
            <w:r w:rsidRPr="002745E2">
              <w:rPr>
                <w:b/>
              </w:rPr>
              <w:t>Total transitional costs associated wit</w:t>
            </w:r>
            <w:r>
              <w:rPr>
                <w:b/>
              </w:rPr>
              <w:t xml:space="preserve">h obtaining legal advice on </w:t>
            </w:r>
            <w:r w:rsidRPr="002745E2">
              <w:rPr>
                <w:b/>
              </w:rPr>
              <w:t>regulatory changes</w:t>
            </w:r>
          </w:p>
        </w:tc>
        <w:tc>
          <w:tcPr>
            <w:tcW w:w="2474" w:type="dxa"/>
            <w:gridSpan w:val="2"/>
            <w:vAlign w:val="center"/>
          </w:tcPr>
          <w:p w:rsidR="004F2EE6" w:rsidRDefault="004F2EE6" w:rsidP="00FA194B">
            <w:r>
              <w:t>$</w:t>
            </w:r>
            <w:r w:rsidRPr="00232356">
              <w:t>1,860,000</w:t>
            </w:r>
            <w:r>
              <w:rPr>
                <w:rStyle w:val="FootnoteReference"/>
              </w:rPr>
              <w:footnoteReference w:id="33"/>
            </w:r>
          </w:p>
        </w:tc>
        <w:tc>
          <w:tcPr>
            <w:tcW w:w="1293" w:type="dxa"/>
            <w:gridSpan w:val="2"/>
            <w:vAlign w:val="center"/>
          </w:tcPr>
          <w:p w:rsidR="004F2EE6" w:rsidRPr="00DB6D70" w:rsidRDefault="004F2EE6" w:rsidP="00FA194B">
            <w:r w:rsidRPr="00DB6D70">
              <w:t xml:space="preserve">$ </w:t>
            </w:r>
            <w:r>
              <w:t>n/a</w:t>
            </w:r>
          </w:p>
        </w:tc>
        <w:tc>
          <w:tcPr>
            <w:tcW w:w="1155" w:type="dxa"/>
            <w:vAlign w:val="center"/>
          </w:tcPr>
          <w:p w:rsidR="004F2EE6" w:rsidRPr="00DB6D70" w:rsidRDefault="004F2EE6" w:rsidP="00FA194B">
            <w:r w:rsidRPr="00DB6D70">
              <w:t xml:space="preserve">$ </w:t>
            </w:r>
            <w:r>
              <w:t>n/a</w:t>
            </w:r>
          </w:p>
        </w:tc>
        <w:tc>
          <w:tcPr>
            <w:tcW w:w="2332" w:type="dxa"/>
            <w:vAlign w:val="center"/>
          </w:tcPr>
          <w:p w:rsidR="004F2EE6" w:rsidRDefault="004F2EE6" w:rsidP="00FA194B">
            <w:r w:rsidRPr="00232356">
              <w:t>$1,860,000</w:t>
            </w:r>
          </w:p>
        </w:tc>
      </w:tr>
      <w:tr w:rsidR="004F2EE6" w:rsidTr="00FA194B">
        <w:tc>
          <w:tcPr>
            <w:tcW w:w="1762" w:type="dxa"/>
          </w:tcPr>
          <w:p w:rsidR="004F2EE6" w:rsidRDefault="004F2EE6" w:rsidP="00FA194B">
            <w:pPr>
              <w:rPr>
                <w:b/>
              </w:rPr>
            </w:pPr>
            <w:r w:rsidRPr="00DA7D7A">
              <w:rPr>
                <w:b/>
              </w:rPr>
              <w:t>TOTAL</w:t>
            </w:r>
          </w:p>
          <w:p w:rsidR="004F2EE6" w:rsidRPr="00DA7D7A" w:rsidRDefault="004F2EE6" w:rsidP="00FA194B">
            <w:pPr>
              <w:rPr>
                <w:b/>
              </w:rPr>
            </w:pPr>
          </w:p>
        </w:tc>
        <w:tc>
          <w:tcPr>
            <w:tcW w:w="2474" w:type="dxa"/>
            <w:gridSpan w:val="2"/>
            <w:vAlign w:val="center"/>
          </w:tcPr>
          <w:p w:rsidR="004F2EE6" w:rsidRPr="00DB6D70" w:rsidRDefault="004F2EE6" w:rsidP="00FA194B">
            <w:r w:rsidRPr="00DB6D70">
              <w:t xml:space="preserve">$ </w:t>
            </w:r>
            <w:r>
              <w:t>3.92M</w:t>
            </w:r>
            <w:r>
              <w:rPr>
                <w:rStyle w:val="FootnoteReference"/>
              </w:rPr>
              <w:footnoteReference w:id="34"/>
            </w:r>
          </w:p>
        </w:tc>
        <w:tc>
          <w:tcPr>
            <w:tcW w:w="1293" w:type="dxa"/>
            <w:gridSpan w:val="2"/>
            <w:vAlign w:val="center"/>
          </w:tcPr>
          <w:p w:rsidR="004F2EE6" w:rsidRPr="00DB6D70" w:rsidRDefault="004F2EE6" w:rsidP="00FA194B">
            <w:r w:rsidRPr="00DB6D70">
              <w:t xml:space="preserve">$ </w:t>
            </w:r>
            <w:r>
              <w:t>n/a</w:t>
            </w:r>
          </w:p>
        </w:tc>
        <w:tc>
          <w:tcPr>
            <w:tcW w:w="1155" w:type="dxa"/>
            <w:vAlign w:val="center"/>
          </w:tcPr>
          <w:p w:rsidR="004F2EE6" w:rsidRPr="00DB6D70" w:rsidRDefault="004F2EE6" w:rsidP="00FA194B">
            <w:r w:rsidRPr="00DB6D70">
              <w:t xml:space="preserve">$ </w:t>
            </w:r>
            <w:r>
              <w:t>n/a</w:t>
            </w:r>
          </w:p>
        </w:tc>
        <w:tc>
          <w:tcPr>
            <w:tcW w:w="2332" w:type="dxa"/>
            <w:vAlign w:val="center"/>
          </w:tcPr>
          <w:p w:rsidR="004F2EE6" w:rsidRPr="00DB6D70" w:rsidRDefault="004F2EE6" w:rsidP="00FA194B">
            <w:r w:rsidRPr="00DB6D70">
              <w:t xml:space="preserve">$ </w:t>
            </w:r>
            <w:r>
              <w:t>3.92M</w:t>
            </w:r>
          </w:p>
        </w:tc>
      </w:tr>
    </w:tbl>
    <w:p w:rsidR="004F2EE6" w:rsidRPr="00635740" w:rsidRDefault="004F2EE6" w:rsidP="004F2EE6">
      <w:pPr>
        <w:rPr>
          <w:sz w:val="16"/>
        </w:rPr>
      </w:pPr>
      <w:r w:rsidRPr="002F221E">
        <w:rPr>
          <w:sz w:val="16"/>
        </w:rPr>
        <w:t>The regulatory burden estimate (RBE) is calculated as the average annual equivalent cost over the first 10 years of the policy. For a breakdown o</w:t>
      </w:r>
      <w:r>
        <w:rPr>
          <w:sz w:val="16"/>
        </w:rPr>
        <w:t>f this estimate see Appendix B</w:t>
      </w:r>
    </w:p>
    <w:p w:rsidR="004F2EE6" w:rsidRPr="00635740" w:rsidRDefault="004F2EE6" w:rsidP="004F2EE6">
      <w:pPr>
        <w:rPr>
          <w:i/>
          <w:u w:val="single"/>
        </w:rPr>
      </w:pPr>
      <w:r w:rsidRPr="00635740">
        <w:rPr>
          <w:i/>
          <w:u w:val="single"/>
        </w:rPr>
        <w:t>Total costs associated with a minor change in practice</w:t>
      </w:r>
    </w:p>
    <w:p w:rsidR="004F2EE6" w:rsidRDefault="004F2EE6" w:rsidP="004F2EE6">
      <w:r>
        <w:t>It is expected that implementing the following minor changes to franchisor’s business practices:</w:t>
      </w:r>
    </w:p>
    <w:p w:rsidR="004F2EE6" w:rsidRDefault="004F2EE6" w:rsidP="004F2EE6">
      <w:pPr>
        <w:pStyle w:val="ListParagraph"/>
        <w:numPr>
          <w:ilvl w:val="0"/>
          <w:numId w:val="20"/>
        </w:numPr>
      </w:pPr>
      <w:r w:rsidRPr="009D4527">
        <w:t>Electronic and hard copy disclosure documents</w:t>
      </w:r>
    </w:p>
    <w:p w:rsidR="004F2EE6" w:rsidRDefault="004F2EE6" w:rsidP="004F2EE6">
      <w:pPr>
        <w:pStyle w:val="ListParagraph"/>
        <w:numPr>
          <w:ilvl w:val="0"/>
          <w:numId w:val="20"/>
        </w:numPr>
      </w:pPr>
      <w:r w:rsidRPr="008B67B3">
        <w:t>Separate information statement</w:t>
      </w:r>
    </w:p>
    <w:p w:rsidR="004F2EE6" w:rsidRDefault="004F2EE6" w:rsidP="004F2EE6">
      <w:pPr>
        <w:pStyle w:val="ListParagraph"/>
        <w:numPr>
          <w:ilvl w:val="0"/>
          <w:numId w:val="20"/>
        </w:numPr>
      </w:pPr>
      <w:r w:rsidRPr="002D5D36">
        <w:t>Provision of the ACCC’s Franchisee Manual</w:t>
      </w:r>
      <w:r>
        <w:t xml:space="preserve"> to prospective franchisees</w:t>
      </w:r>
    </w:p>
    <w:p w:rsidR="004F2EE6" w:rsidRDefault="004F2EE6" w:rsidP="004F2EE6">
      <w:pPr>
        <w:pStyle w:val="ListParagraph"/>
        <w:numPr>
          <w:ilvl w:val="0"/>
          <w:numId w:val="20"/>
        </w:numPr>
      </w:pPr>
      <w:r w:rsidRPr="00EE3E2C">
        <w:t>Financial disclosure in disclosure document</w:t>
      </w:r>
    </w:p>
    <w:p w:rsidR="004F2EE6" w:rsidRDefault="004F2EE6" w:rsidP="004F2EE6">
      <w:pPr>
        <w:pStyle w:val="ListParagraph"/>
        <w:numPr>
          <w:ilvl w:val="0"/>
          <w:numId w:val="20"/>
        </w:numPr>
      </w:pPr>
      <w:r w:rsidRPr="00EE3E2C">
        <w:t>Franchisors would be required to include a statement about the accuracy of financial statements</w:t>
      </w:r>
      <w:r>
        <w:t>.</w:t>
      </w:r>
    </w:p>
    <w:p w:rsidR="004F2EE6" w:rsidRDefault="004F2EE6" w:rsidP="004F2EE6">
      <w:r>
        <w:t>Will take franchisors 2 additional hours in document preparation time. Franchisors are obliged to update their disclosure documents annually.</w:t>
      </w:r>
    </w:p>
    <w:p w:rsidR="004F2EE6" w:rsidRDefault="004F2EE6" w:rsidP="004F2EE6">
      <w:r>
        <w:t xml:space="preserve">Therefore the total RBE over 10 years of these measures will approximately be: </w:t>
      </w:r>
    </w:p>
    <w:p w:rsidR="004F2EE6" w:rsidRDefault="004F2EE6" w:rsidP="004F2EE6">
      <w:pPr>
        <w:ind w:firstLine="720"/>
      </w:pPr>
      <w:r>
        <w:rPr>
          <w:lang w:val="en-AU"/>
        </w:rPr>
        <w:t xml:space="preserve">2 hours annually x $39 per hour x </w:t>
      </w:r>
      <w:r>
        <w:t>1,240 franchisors x 10 years = $</w:t>
      </w:r>
      <w:r w:rsidRPr="002B3470">
        <w:t>967,200</w:t>
      </w:r>
    </w:p>
    <w:p w:rsidR="004F2EE6" w:rsidRPr="00E56403" w:rsidRDefault="004F2EE6" w:rsidP="004F2EE6">
      <w:r>
        <w:t>The annual average cost of these measures equates to $96,720</w:t>
      </w:r>
    </w:p>
    <w:p w:rsidR="004F2EE6" w:rsidRPr="00635740" w:rsidRDefault="004F2EE6" w:rsidP="004F2EE6">
      <w:pPr>
        <w:rPr>
          <w:i/>
          <w:u w:val="single"/>
        </w:rPr>
      </w:pPr>
      <w:r w:rsidRPr="00635740">
        <w:rPr>
          <w:i/>
          <w:u w:val="single"/>
        </w:rPr>
        <w:t>Total costs associated with updating the disclosure document</w:t>
      </w:r>
    </w:p>
    <w:p w:rsidR="004F2EE6" w:rsidRDefault="004F2EE6" w:rsidP="004F2EE6">
      <w:r>
        <w:t>It is expected that updating the disclosure document in order to provide:</w:t>
      </w:r>
    </w:p>
    <w:p w:rsidR="004F2EE6" w:rsidRDefault="004F2EE6" w:rsidP="004F2EE6">
      <w:pPr>
        <w:pStyle w:val="ListParagraph"/>
        <w:numPr>
          <w:ilvl w:val="0"/>
          <w:numId w:val="15"/>
        </w:numPr>
      </w:pPr>
      <w:r w:rsidRPr="00703093">
        <w:t>Increase</w:t>
      </w:r>
      <w:r>
        <w:t>d</w:t>
      </w:r>
      <w:r w:rsidRPr="00703093">
        <w:t xml:space="preserve"> transparency around retail leasing</w:t>
      </w:r>
    </w:p>
    <w:p w:rsidR="004F2EE6" w:rsidRDefault="004F2EE6" w:rsidP="004F2EE6">
      <w:pPr>
        <w:pStyle w:val="ListParagraph"/>
        <w:numPr>
          <w:ilvl w:val="0"/>
          <w:numId w:val="15"/>
        </w:numPr>
      </w:pPr>
      <w:r w:rsidRPr="00387C5A">
        <w:t>Improved disclosure around supplier rebates</w:t>
      </w:r>
      <w:r>
        <w:t>;</w:t>
      </w:r>
    </w:p>
    <w:p w:rsidR="004F2EE6" w:rsidRDefault="004F2EE6" w:rsidP="004F2EE6">
      <w:pPr>
        <w:pStyle w:val="ListParagraph"/>
        <w:numPr>
          <w:ilvl w:val="0"/>
          <w:numId w:val="15"/>
        </w:numPr>
      </w:pPr>
      <w:r w:rsidRPr="00387C5A">
        <w:t>Amend disclosure requirements to ensure end-of-term arrangements for franchisee goodwill</w:t>
      </w:r>
    </w:p>
    <w:p w:rsidR="004F2EE6" w:rsidRDefault="004F2EE6" w:rsidP="004F2EE6">
      <w:pPr>
        <w:pStyle w:val="ListParagraph"/>
        <w:numPr>
          <w:ilvl w:val="0"/>
          <w:numId w:val="15"/>
        </w:numPr>
      </w:pPr>
      <w:r w:rsidRPr="000E39EB">
        <w:t>Additional requirements where the franchisor is terminating in special circumstances</w:t>
      </w:r>
    </w:p>
    <w:p w:rsidR="004F2EE6" w:rsidRDefault="004F2EE6" w:rsidP="004F2EE6">
      <w:r>
        <w:lastRenderedPageBreak/>
        <w:t xml:space="preserve">Will take a franchisor approximately 5 hours. Franchisors are obliged to update their disclosure documents annually. </w:t>
      </w:r>
    </w:p>
    <w:p w:rsidR="004F2EE6" w:rsidRDefault="004F2EE6" w:rsidP="004F2EE6">
      <w:r>
        <w:t xml:space="preserve">Therefore the total RBE over 10 years of these measures will approximately be: </w:t>
      </w:r>
    </w:p>
    <w:p w:rsidR="004F2EE6" w:rsidRDefault="004F2EE6" w:rsidP="004F2EE6">
      <w:pPr>
        <w:ind w:firstLine="720"/>
      </w:pPr>
      <w:r>
        <w:rPr>
          <w:lang w:val="en-AU"/>
        </w:rPr>
        <w:t xml:space="preserve">5 hours annually x $39 per hour x </w:t>
      </w:r>
      <w:r>
        <w:t>1,240 franchisors x 10 years = $</w:t>
      </w:r>
      <w:r w:rsidRPr="00525D42">
        <w:t>2,418,000</w:t>
      </w:r>
      <w:r>
        <w:t>.</w:t>
      </w:r>
    </w:p>
    <w:p w:rsidR="004F2EE6" w:rsidRPr="00387C5A" w:rsidRDefault="004F2EE6" w:rsidP="004F2EE6">
      <w:r>
        <w:t>The annual average cost of these measures equates to $241,800.</w:t>
      </w:r>
    </w:p>
    <w:p w:rsidR="004F2EE6" w:rsidRPr="00635740" w:rsidRDefault="004F2EE6" w:rsidP="004F2EE6">
      <w:pPr>
        <w:rPr>
          <w:i/>
          <w:u w:val="single"/>
        </w:rPr>
      </w:pPr>
      <w:r w:rsidRPr="00635740">
        <w:rPr>
          <w:i/>
          <w:u w:val="single"/>
        </w:rPr>
        <w:t>Amend the relevant clauses of the Franchising Code to apply recent automotive franchising changes</w:t>
      </w:r>
    </w:p>
    <w:p w:rsidR="004F2EE6" w:rsidRDefault="004F2EE6" w:rsidP="004F2EE6">
      <w:r w:rsidRPr="009F01E5">
        <w:t xml:space="preserve">The Government introduced significant reforms to automotive franchising regulations which commenced on 1 June 2020. Under the reforms, all new dealership agreements have to take into account additional considerations regarding end of term arrangements, capital expenditure and multi-party dispute resolution. </w:t>
      </w:r>
      <w:r>
        <w:t>The</w:t>
      </w:r>
      <w:r w:rsidRPr="00F845F4">
        <w:t xml:space="preserve"> costings </w:t>
      </w:r>
      <w:r>
        <w:t xml:space="preserve">below are in line with costings </w:t>
      </w:r>
      <w:r w:rsidRPr="00F845F4">
        <w:t xml:space="preserve">undertaken in the 2020 </w:t>
      </w:r>
      <w:r w:rsidRPr="003A36E0">
        <w:rPr>
          <w:i/>
        </w:rPr>
        <w:t xml:space="preserve">Franchise relationships between car manufacturers and new car dealers </w:t>
      </w:r>
      <w:r>
        <w:t xml:space="preserve">RIS. </w:t>
      </w:r>
    </w:p>
    <w:p w:rsidR="004F2EE6" w:rsidRDefault="004F2EE6" w:rsidP="004F2EE6">
      <w:r>
        <w:t>This costing assumes that:</w:t>
      </w:r>
    </w:p>
    <w:p w:rsidR="004F2EE6" w:rsidRDefault="004F2EE6" w:rsidP="004F2EE6">
      <w:pPr>
        <w:pStyle w:val="ListParagraph"/>
        <w:numPr>
          <w:ilvl w:val="0"/>
          <w:numId w:val="21"/>
        </w:numPr>
      </w:pPr>
      <w:r>
        <w:t xml:space="preserve">the </w:t>
      </w:r>
      <w:r w:rsidRPr="00DF428F">
        <w:t>average term of franchise agreements in Australia is five years, with an option usually available for a similar term on renewal</w:t>
      </w:r>
      <w:r>
        <w:rPr>
          <w:rStyle w:val="FootnoteReference"/>
        </w:rPr>
        <w:footnoteReference w:id="35"/>
      </w:r>
      <w:r>
        <w:t xml:space="preserve">;  </w:t>
      </w:r>
    </w:p>
    <w:p w:rsidR="004F2EE6" w:rsidRDefault="004F2EE6" w:rsidP="004F2EE6">
      <w:pPr>
        <w:pStyle w:val="ListParagraph"/>
        <w:numPr>
          <w:ilvl w:val="0"/>
          <w:numId w:val="21"/>
        </w:numPr>
      </w:pPr>
      <w:proofErr w:type="gramStart"/>
      <w:r>
        <w:t>it</w:t>
      </w:r>
      <w:proofErr w:type="gramEnd"/>
      <w:r>
        <w:t xml:space="preserve"> would take a lawyer two hours to draft the capital expenditure disclosure part of an agreement which would be updated upon renewal (twice over 10 year period) at a cost of $500 per hour. It is assumed that franchisors would have a standard form contract and that capital expenditure requirements across systems would be consistent in order to maintain brand consistency within the franchise; and</w:t>
      </w:r>
    </w:p>
    <w:p w:rsidR="004F2EE6" w:rsidRDefault="004F2EE6" w:rsidP="004F2EE6">
      <w:pPr>
        <w:pStyle w:val="ListParagraph"/>
        <w:numPr>
          <w:ilvl w:val="0"/>
          <w:numId w:val="21"/>
        </w:numPr>
      </w:pPr>
      <w:proofErr w:type="gramStart"/>
      <w:r>
        <w:t>the</w:t>
      </w:r>
      <w:proofErr w:type="gramEnd"/>
      <w:r>
        <w:t xml:space="preserve"> franchisee would attend a one hour meeting with a representative of the franchisor to discuss the capital expenditure requirements (which would occur twice over a 10 year period).</w:t>
      </w:r>
    </w:p>
    <w:p w:rsidR="004F2EE6" w:rsidRDefault="004F2EE6" w:rsidP="004F2EE6">
      <w:r>
        <w:t xml:space="preserve">Therefore the total RBE for this measure over 10 years would approximately be: </w:t>
      </w:r>
    </w:p>
    <w:p w:rsidR="004F2EE6" w:rsidRDefault="004F2EE6" w:rsidP="004F2EE6">
      <w:pPr>
        <w:ind w:firstLine="720"/>
      </w:pPr>
      <w:r>
        <w:t xml:space="preserve">[($500 x 2) x 2 x 1,240] + [($39 + $32) x 2 x </w:t>
      </w:r>
      <w:r w:rsidRPr="00735E9A">
        <w:t>95,600</w:t>
      </w:r>
      <w:r>
        <w:t>] = $</w:t>
      </w:r>
      <w:r w:rsidRPr="00CD04A2">
        <w:t>16,055,200</w:t>
      </w:r>
    </w:p>
    <w:p w:rsidR="004F2EE6" w:rsidRDefault="004F2EE6" w:rsidP="004F2EE6">
      <w:r>
        <w:t>The annual average cost of these measures equates to $1,605,520</w:t>
      </w:r>
    </w:p>
    <w:p w:rsidR="004F2EE6" w:rsidRDefault="004F2EE6" w:rsidP="004F2EE6">
      <w:pPr>
        <w:rPr>
          <w:u w:val="single"/>
        </w:rPr>
      </w:pPr>
      <w:r w:rsidRPr="002745E2">
        <w:rPr>
          <w:u w:val="single"/>
        </w:rPr>
        <w:t>Total transitional costs associated with obtaining legal ad</w:t>
      </w:r>
      <w:r>
        <w:rPr>
          <w:u w:val="single"/>
        </w:rPr>
        <w:t>vice on</w:t>
      </w:r>
      <w:r w:rsidRPr="002745E2">
        <w:rPr>
          <w:u w:val="single"/>
        </w:rPr>
        <w:t xml:space="preserve"> regulatory changes</w:t>
      </w:r>
    </w:p>
    <w:p w:rsidR="004F2EE6" w:rsidRDefault="004F2EE6" w:rsidP="004F2EE6">
      <w:r>
        <w:t xml:space="preserve">There will be transitional costs associated with franchisors obtaining legal advice on changes to the Code that are introduced through these reforms. It is expected that it would take a lawyer 3 hours to review and </w:t>
      </w:r>
      <w:proofErr w:type="gramStart"/>
      <w:r>
        <w:t>advise</w:t>
      </w:r>
      <w:proofErr w:type="gramEnd"/>
      <w:r>
        <w:t xml:space="preserve"> on the additional regulatory requirements discussed in this appendix and section 5.2.2.</w:t>
      </w:r>
    </w:p>
    <w:p w:rsidR="004F2EE6" w:rsidRDefault="004F2EE6" w:rsidP="004F2EE6">
      <w:r>
        <w:t>Therefore the total RBE for this one-time transitional costs would be:</w:t>
      </w:r>
    </w:p>
    <w:p w:rsidR="00E71273" w:rsidRDefault="004F2EE6" w:rsidP="00E71273">
      <w:r>
        <w:t xml:space="preserve">($500 x 3) x </w:t>
      </w:r>
      <w:r w:rsidRPr="004A43EC">
        <w:t>1,240</w:t>
      </w:r>
      <w:r>
        <w:t xml:space="preserve"> = $</w:t>
      </w:r>
      <w:r w:rsidRPr="00232356">
        <w:t>1,860,000</w:t>
      </w:r>
      <w:r>
        <w:t xml:space="preserve">. </w:t>
      </w:r>
    </w:p>
    <w:p w:rsidR="00E71273" w:rsidRDefault="00E71273" w:rsidP="004F2EE6">
      <w:pPr>
        <w:pStyle w:val="Heading4"/>
      </w:pPr>
    </w:p>
    <w:p w:rsidR="004F2EE6" w:rsidRPr="00AD05AB" w:rsidRDefault="004F2EE6" w:rsidP="004F2EE6">
      <w:bookmarkStart w:id="489" w:name="_Toc46912376"/>
      <w:bookmarkStart w:id="490" w:name="_Toc46912450"/>
      <w:r>
        <w:br w:type="page"/>
      </w:r>
    </w:p>
    <w:p w:rsidR="004F2EE6" w:rsidRDefault="004F2EE6" w:rsidP="004F2EE6">
      <w:pPr>
        <w:pStyle w:val="Heading1"/>
      </w:pPr>
      <w:bookmarkStart w:id="491" w:name="_Toc47469312"/>
      <w:bookmarkStart w:id="492" w:name="_Toc47517263"/>
      <w:bookmarkStart w:id="493" w:name="_Toc47522390"/>
      <w:bookmarkStart w:id="494" w:name="_Toc47527762"/>
      <w:bookmarkStart w:id="495" w:name="_Toc47533651"/>
      <w:bookmarkStart w:id="496" w:name="_Toc47536057"/>
      <w:bookmarkStart w:id="497" w:name="_Toc47540539"/>
      <w:bookmarkStart w:id="498" w:name="_Toc47542094"/>
      <w:bookmarkStart w:id="499" w:name="_Toc48644156"/>
      <w:r>
        <w:lastRenderedPageBreak/>
        <w:t>Appendix C</w:t>
      </w:r>
      <w:bookmarkEnd w:id="489"/>
      <w:bookmarkEnd w:id="490"/>
      <w:bookmarkEnd w:id="491"/>
      <w:bookmarkEnd w:id="492"/>
      <w:bookmarkEnd w:id="493"/>
      <w:bookmarkEnd w:id="494"/>
      <w:bookmarkEnd w:id="495"/>
      <w:bookmarkEnd w:id="496"/>
      <w:bookmarkEnd w:id="497"/>
      <w:bookmarkEnd w:id="498"/>
      <w:bookmarkEnd w:id="499"/>
    </w:p>
    <w:tbl>
      <w:tblPr>
        <w:tblStyle w:val="TableGrid"/>
        <w:tblW w:w="0" w:type="auto"/>
        <w:tblLook w:val="04A0" w:firstRow="1" w:lastRow="0" w:firstColumn="1" w:lastColumn="0" w:noHBand="0" w:noVBand="1"/>
      </w:tblPr>
      <w:tblGrid>
        <w:gridCol w:w="3114"/>
        <w:gridCol w:w="1475"/>
        <w:gridCol w:w="1476"/>
        <w:gridCol w:w="1475"/>
        <w:gridCol w:w="1476"/>
      </w:tblGrid>
      <w:tr w:rsidR="004F2EE6" w:rsidTr="00FA194B">
        <w:tc>
          <w:tcPr>
            <w:tcW w:w="9016" w:type="dxa"/>
            <w:gridSpan w:val="5"/>
            <w:shd w:val="clear" w:color="auto" w:fill="DEEAF6" w:themeFill="accent1" w:themeFillTint="33"/>
            <w:vAlign w:val="center"/>
          </w:tcPr>
          <w:p w:rsidR="004F2EE6" w:rsidRPr="00DB6D70" w:rsidRDefault="004F2EE6" w:rsidP="00FA194B">
            <w:r w:rsidRPr="00077A25">
              <w:rPr>
                <w:b/>
              </w:rPr>
              <w:t xml:space="preserve">Average annual </w:t>
            </w:r>
            <w:r>
              <w:rPr>
                <w:b/>
              </w:rPr>
              <w:t xml:space="preserve">cost offset </w:t>
            </w:r>
            <w:r w:rsidRPr="00077A25">
              <w:rPr>
                <w:b/>
              </w:rPr>
              <w:t xml:space="preserve"> (from business as usual)</w:t>
            </w:r>
          </w:p>
        </w:tc>
      </w:tr>
      <w:tr w:rsidR="004F2EE6" w:rsidTr="00FA194B">
        <w:tc>
          <w:tcPr>
            <w:tcW w:w="3114" w:type="dxa"/>
            <w:shd w:val="clear" w:color="auto" w:fill="DEEAF6" w:themeFill="accent1" w:themeFillTint="33"/>
            <w:vAlign w:val="center"/>
          </w:tcPr>
          <w:p w:rsidR="004F2EE6" w:rsidRPr="00F7130C" w:rsidRDefault="004F2EE6" w:rsidP="00FA194B">
            <w:r w:rsidRPr="00DB6D70">
              <w:t>Government a</w:t>
            </w:r>
            <w:r>
              <w:t>ction</w:t>
            </w:r>
            <w:r w:rsidRPr="00DB6D70">
              <w:t xml:space="preserve"> </w:t>
            </w:r>
          </w:p>
        </w:tc>
        <w:tc>
          <w:tcPr>
            <w:tcW w:w="1475" w:type="dxa"/>
            <w:shd w:val="clear" w:color="auto" w:fill="DEEAF6" w:themeFill="accent1" w:themeFillTint="33"/>
            <w:vAlign w:val="center"/>
          </w:tcPr>
          <w:p w:rsidR="004F2EE6" w:rsidRDefault="004F2EE6" w:rsidP="00FA194B">
            <w:pPr>
              <w:rPr>
                <w:u w:val="single"/>
              </w:rPr>
            </w:pPr>
            <w:r>
              <w:t xml:space="preserve">Business </w:t>
            </w:r>
          </w:p>
        </w:tc>
        <w:tc>
          <w:tcPr>
            <w:tcW w:w="1476" w:type="dxa"/>
            <w:shd w:val="clear" w:color="auto" w:fill="DEEAF6" w:themeFill="accent1" w:themeFillTint="33"/>
            <w:vAlign w:val="center"/>
          </w:tcPr>
          <w:p w:rsidR="004F2EE6" w:rsidRDefault="004F2EE6" w:rsidP="00FA194B">
            <w:pPr>
              <w:rPr>
                <w:u w:val="single"/>
              </w:rPr>
            </w:pPr>
            <w:r>
              <w:t xml:space="preserve">Community </w:t>
            </w:r>
          </w:p>
        </w:tc>
        <w:tc>
          <w:tcPr>
            <w:tcW w:w="1475" w:type="dxa"/>
            <w:shd w:val="clear" w:color="auto" w:fill="DEEAF6" w:themeFill="accent1" w:themeFillTint="33"/>
            <w:vAlign w:val="center"/>
          </w:tcPr>
          <w:p w:rsidR="004F2EE6" w:rsidRDefault="004F2EE6" w:rsidP="00FA194B">
            <w:pPr>
              <w:rPr>
                <w:u w:val="single"/>
              </w:rPr>
            </w:pPr>
            <w:r w:rsidRPr="00DB6D70">
              <w:t xml:space="preserve">Individual </w:t>
            </w:r>
          </w:p>
        </w:tc>
        <w:tc>
          <w:tcPr>
            <w:tcW w:w="1476" w:type="dxa"/>
            <w:shd w:val="clear" w:color="auto" w:fill="DEEAF6" w:themeFill="accent1" w:themeFillTint="33"/>
            <w:vAlign w:val="center"/>
          </w:tcPr>
          <w:p w:rsidR="004F2EE6" w:rsidRDefault="004F2EE6" w:rsidP="00FA194B">
            <w:pPr>
              <w:rPr>
                <w:u w:val="single"/>
              </w:rPr>
            </w:pPr>
            <w:r w:rsidRPr="00DB6D70">
              <w:t>Total</w:t>
            </w:r>
          </w:p>
        </w:tc>
      </w:tr>
      <w:tr w:rsidR="004F2EE6" w:rsidTr="00FA194B">
        <w:tc>
          <w:tcPr>
            <w:tcW w:w="9016" w:type="dxa"/>
            <w:gridSpan w:val="5"/>
          </w:tcPr>
          <w:p w:rsidR="004F2EE6" w:rsidRPr="00F7130C" w:rsidRDefault="00B0320C" w:rsidP="00FA194B">
            <w:pPr>
              <w:rPr>
                <w:b/>
                <w:u w:val="single"/>
              </w:rPr>
            </w:pPr>
            <w:r w:rsidRPr="00B0320C">
              <w:rPr>
                <w:b/>
              </w:rPr>
              <w:t>Reforms to better inform franchisees and improve transparency</w:t>
            </w:r>
          </w:p>
        </w:tc>
      </w:tr>
      <w:tr w:rsidR="004F2EE6" w:rsidTr="00FA194B">
        <w:tc>
          <w:tcPr>
            <w:tcW w:w="3114" w:type="dxa"/>
          </w:tcPr>
          <w:p w:rsidR="004F2EE6" w:rsidRDefault="00945D14" w:rsidP="00FA194B">
            <w:r w:rsidRPr="00945D14">
              <w:t>A new government online educational resource for the franchising sector</w:t>
            </w:r>
          </w:p>
        </w:tc>
        <w:tc>
          <w:tcPr>
            <w:tcW w:w="5902" w:type="dxa"/>
            <w:gridSpan w:val="4"/>
            <w:vMerge w:val="restart"/>
            <w:vAlign w:val="center"/>
          </w:tcPr>
          <w:p w:rsidR="004F2EE6" w:rsidRPr="00DB6D70" w:rsidRDefault="004F2EE6" w:rsidP="00FA194B">
            <w:r>
              <w:t>See discussion on education and awareness</w:t>
            </w:r>
            <w:r w:rsidRPr="00DB6D70">
              <w:t xml:space="preserve"> </w:t>
            </w:r>
          </w:p>
        </w:tc>
      </w:tr>
      <w:tr w:rsidR="004F2EE6" w:rsidTr="00FA194B">
        <w:tc>
          <w:tcPr>
            <w:tcW w:w="3114" w:type="dxa"/>
          </w:tcPr>
          <w:p w:rsidR="004F2EE6" w:rsidRPr="005949DE" w:rsidRDefault="00FD5204" w:rsidP="00FA194B">
            <w:r w:rsidRPr="002D5D36">
              <w:t>Amend Information Statement with existing franchisee obligations</w:t>
            </w:r>
          </w:p>
        </w:tc>
        <w:tc>
          <w:tcPr>
            <w:tcW w:w="5902" w:type="dxa"/>
            <w:gridSpan w:val="4"/>
            <w:vMerge/>
            <w:vAlign w:val="center"/>
          </w:tcPr>
          <w:p w:rsidR="004F2EE6" w:rsidRDefault="004F2EE6" w:rsidP="00FA194B">
            <w:pPr>
              <w:rPr>
                <w:u w:val="single"/>
              </w:rPr>
            </w:pPr>
          </w:p>
        </w:tc>
      </w:tr>
      <w:tr w:rsidR="004F2EE6" w:rsidTr="00FA194B">
        <w:tc>
          <w:tcPr>
            <w:tcW w:w="3114" w:type="dxa"/>
          </w:tcPr>
          <w:p w:rsidR="004F2EE6" w:rsidRPr="005949DE" w:rsidRDefault="00FD5204" w:rsidP="00FA194B">
            <w:r w:rsidRPr="005949DE">
              <w:t>Raise awareness of the use of ‘no agent’ and ‘entire agreement’ clauses</w:t>
            </w:r>
          </w:p>
        </w:tc>
        <w:tc>
          <w:tcPr>
            <w:tcW w:w="5902" w:type="dxa"/>
            <w:gridSpan w:val="4"/>
            <w:vMerge/>
            <w:vAlign w:val="center"/>
          </w:tcPr>
          <w:p w:rsidR="004F2EE6" w:rsidRPr="00DB6D70" w:rsidRDefault="004F2EE6" w:rsidP="00FA194B"/>
        </w:tc>
      </w:tr>
      <w:tr w:rsidR="004F2EE6" w:rsidTr="00FA194B">
        <w:tc>
          <w:tcPr>
            <w:tcW w:w="3114" w:type="dxa"/>
          </w:tcPr>
          <w:p w:rsidR="004F2EE6" w:rsidRDefault="004F2EE6" w:rsidP="00FA194B">
            <w:r w:rsidRPr="00EE3E2C">
              <w:t xml:space="preserve">Clarification of cooling off period </w:t>
            </w:r>
          </w:p>
        </w:tc>
        <w:tc>
          <w:tcPr>
            <w:tcW w:w="5902" w:type="dxa"/>
            <w:gridSpan w:val="4"/>
            <w:vMerge w:val="restart"/>
            <w:vAlign w:val="center"/>
          </w:tcPr>
          <w:p w:rsidR="004F2EE6" w:rsidRDefault="004F2EE6" w:rsidP="00FA194B">
            <w:r>
              <w:t>See discussion on clarifying and improving the Franchising Code</w:t>
            </w:r>
          </w:p>
        </w:tc>
      </w:tr>
      <w:tr w:rsidR="004F2EE6" w:rsidTr="00FA194B">
        <w:tc>
          <w:tcPr>
            <w:tcW w:w="3114" w:type="dxa"/>
          </w:tcPr>
          <w:p w:rsidR="004F2EE6" w:rsidRPr="005949DE" w:rsidRDefault="004F2EE6" w:rsidP="00FA194B">
            <w:r w:rsidRPr="00767C6C">
              <w:t>Improve consistency within the Franchising Code about the treatment of marketing funds, particularly clauses 15 and 31</w:t>
            </w:r>
          </w:p>
        </w:tc>
        <w:tc>
          <w:tcPr>
            <w:tcW w:w="5902" w:type="dxa"/>
            <w:gridSpan w:val="4"/>
            <w:vMerge/>
            <w:vAlign w:val="center"/>
          </w:tcPr>
          <w:p w:rsidR="004F2EE6" w:rsidRPr="00DB6D70" w:rsidRDefault="004F2EE6" w:rsidP="00FA194B"/>
        </w:tc>
      </w:tr>
      <w:tr w:rsidR="004F2EE6" w:rsidTr="00FD5204">
        <w:trPr>
          <w:trHeight w:val="582"/>
        </w:trPr>
        <w:tc>
          <w:tcPr>
            <w:tcW w:w="3114" w:type="dxa"/>
          </w:tcPr>
          <w:p w:rsidR="004F2EE6" w:rsidRDefault="00FD5204" w:rsidP="00FA194B">
            <w:r w:rsidRPr="005949DE">
              <w:t>Education on distribution of unused marketing funds</w:t>
            </w:r>
          </w:p>
        </w:tc>
        <w:tc>
          <w:tcPr>
            <w:tcW w:w="5902" w:type="dxa"/>
            <w:gridSpan w:val="4"/>
            <w:vMerge w:val="restart"/>
            <w:vAlign w:val="center"/>
          </w:tcPr>
          <w:p w:rsidR="004F2EE6" w:rsidRDefault="004F2EE6" w:rsidP="00FA194B">
            <w:r>
              <w:t>See discussion on education and awareness</w:t>
            </w:r>
          </w:p>
        </w:tc>
      </w:tr>
      <w:tr w:rsidR="00FD5204" w:rsidTr="00FA194B">
        <w:tc>
          <w:tcPr>
            <w:tcW w:w="3114" w:type="dxa"/>
          </w:tcPr>
          <w:p w:rsidR="00FD5204" w:rsidRPr="005949DE" w:rsidRDefault="00FD5204" w:rsidP="00FD5204">
            <w:r w:rsidRPr="005949DE">
              <w:t>Improve awareness of wastage and shrinkage payments</w:t>
            </w:r>
          </w:p>
        </w:tc>
        <w:tc>
          <w:tcPr>
            <w:tcW w:w="5902" w:type="dxa"/>
            <w:gridSpan w:val="4"/>
            <w:vMerge/>
            <w:vAlign w:val="center"/>
          </w:tcPr>
          <w:p w:rsidR="00FD5204" w:rsidRDefault="00FD5204" w:rsidP="00FD5204"/>
        </w:tc>
      </w:tr>
      <w:tr w:rsidR="00945D14" w:rsidTr="00FA194B">
        <w:tc>
          <w:tcPr>
            <w:tcW w:w="3114" w:type="dxa"/>
          </w:tcPr>
          <w:p w:rsidR="00945D14" w:rsidRPr="005949DE" w:rsidRDefault="00945D14" w:rsidP="00945D14">
            <w:r w:rsidRPr="00945D14">
              <w:t>Education on best practice financial statements for marketing funds</w:t>
            </w:r>
          </w:p>
        </w:tc>
        <w:tc>
          <w:tcPr>
            <w:tcW w:w="5902" w:type="dxa"/>
            <w:gridSpan w:val="4"/>
            <w:vMerge/>
            <w:vAlign w:val="center"/>
          </w:tcPr>
          <w:p w:rsidR="00945D14" w:rsidRDefault="00945D14" w:rsidP="00945D14"/>
        </w:tc>
      </w:tr>
      <w:tr w:rsidR="00FD5204" w:rsidTr="00FD5204">
        <w:tc>
          <w:tcPr>
            <w:tcW w:w="9016" w:type="dxa"/>
            <w:gridSpan w:val="5"/>
          </w:tcPr>
          <w:p w:rsidR="00FD5204" w:rsidRDefault="00FD5204" w:rsidP="00FD5204">
            <w:r w:rsidRPr="00FD5204">
              <w:rPr>
                <w:b/>
              </w:rPr>
              <w:t xml:space="preserve">Measures to address poor conduct and improve compliance and enforcement </w:t>
            </w:r>
          </w:p>
        </w:tc>
      </w:tr>
      <w:tr w:rsidR="00FD5204" w:rsidTr="00FA194B">
        <w:tc>
          <w:tcPr>
            <w:tcW w:w="3114" w:type="dxa"/>
          </w:tcPr>
          <w:p w:rsidR="00FD5204" w:rsidRDefault="00FD5204" w:rsidP="00FD5204">
            <w:r w:rsidRPr="00767C6C">
              <w:t>Introduce civil pecuniary penalties for a breach of clause 31</w:t>
            </w:r>
          </w:p>
        </w:tc>
        <w:tc>
          <w:tcPr>
            <w:tcW w:w="5902" w:type="dxa"/>
            <w:gridSpan w:val="4"/>
            <w:vMerge w:val="restart"/>
            <w:vAlign w:val="center"/>
          </w:tcPr>
          <w:p w:rsidR="00FD5204" w:rsidRDefault="00FD5204" w:rsidP="00FD5204">
            <w:r>
              <w:t>See discussion on c</w:t>
            </w:r>
            <w:r w:rsidRPr="002E59D9">
              <w:t>osts and benefits of extending and increasing penalties</w:t>
            </w:r>
          </w:p>
        </w:tc>
      </w:tr>
      <w:tr w:rsidR="00FD5204" w:rsidTr="00FA194B">
        <w:tc>
          <w:tcPr>
            <w:tcW w:w="3114" w:type="dxa"/>
          </w:tcPr>
          <w:p w:rsidR="00FD5204" w:rsidRDefault="00945D14" w:rsidP="00FD5204">
            <w:r w:rsidRPr="00945D14">
              <w:t>Double the civil pecuniary penalties for breaches of the code</w:t>
            </w:r>
          </w:p>
        </w:tc>
        <w:tc>
          <w:tcPr>
            <w:tcW w:w="5902" w:type="dxa"/>
            <w:gridSpan w:val="4"/>
            <w:vMerge/>
            <w:vAlign w:val="center"/>
          </w:tcPr>
          <w:p w:rsidR="00FD5204" w:rsidRDefault="00FD5204" w:rsidP="00FD5204"/>
        </w:tc>
      </w:tr>
      <w:tr w:rsidR="00FD5204" w:rsidTr="00FA194B">
        <w:tc>
          <w:tcPr>
            <w:tcW w:w="3114" w:type="dxa"/>
          </w:tcPr>
          <w:p w:rsidR="00FD5204" w:rsidRDefault="00FD5204" w:rsidP="00FD5204">
            <w:r w:rsidRPr="00525D42">
              <w:t>Prohibition of franchisors passing on the legal costs to the franchisee</w:t>
            </w:r>
          </w:p>
        </w:tc>
        <w:tc>
          <w:tcPr>
            <w:tcW w:w="5902" w:type="dxa"/>
            <w:gridSpan w:val="4"/>
            <w:vMerge/>
            <w:vAlign w:val="center"/>
          </w:tcPr>
          <w:p w:rsidR="00FD5204" w:rsidRDefault="00FD5204" w:rsidP="00FD5204"/>
        </w:tc>
      </w:tr>
      <w:tr w:rsidR="00FD5204" w:rsidTr="00FA194B">
        <w:tc>
          <w:tcPr>
            <w:tcW w:w="3114" w:type="dxa"/>
          </w:tcPr>
          <w:p w:rsidR="00FD5204" w:rsidRDefault="00FD5204" w:rsidP="00FD5204">
            <w:r w:rsidRPr="005949DE">
              <w:t>Government to develop best practice models for unilateral variations</w:t>
            </w:r>
          </w:p>
        </w:tc>
        <w:tc>
          <w:tcPr>
            <w:tcW w:w="5902" w:type="dxa"/>
            <w:gridSpan w:val="4"/>
            <w:vAlign w:val="center"/>
          </w:tcPr>
          <w:p w:rsidR="00FD5204" w:rsidRDefault="00FD5204" w:rsidP="00FD5204">
            <w:r>
              <w:t>See discussion on c</w:t>
            </w:r>
            <w:r w:rsidRPr="002E59D9">
              <w:t xml:space="preserve">osts and benefits </w:t>
            </w:r>
            <w:r>
              <w:t>of Government working with the sector</w:t>
            </w:r>
          </w:p>
        </w:tc>
      </w:tr>
      <w:tr w:rsidR="004F2EE6" w:rsidTr="00FA194B">
        <w:tc>
          <w:tcPr>
            <w:tcW w:w="9016" w:type="dxa"/>
            <w:gridSpan w:val="5"/>
          </w:tcPr>
          <w:p w:rsidR="004F2EE6" w:rsidRPr="00767C6C" w:rsidRDefault="00FD5204" w:rsidP="00FA194B">
            <w:pPr>
              <w:rPr>
                <w:b/>
              </w:rPr>
            </w:pPr>
            <w:r w:rsidRPr="00FD5204">
              <w:rPr>
                <w:b/>
              </w:rPr>
              <w:t>Improvements to exit and dispute resolution</w:t>
            </w:r>
          </w:p>
        </w:tc>
      </w:tr>
      <w:tr w:rsidR="004F2EE6" w:rsidTr="00FA194B">
        <w:tc>
          <w:tcPr>
            <w:tcW w:w="3114" w:type="dxa"/>
          </w:tcPr>
          <w:p w:rsidR="004F2EE6" w:rsidRDefault="00C67E78" w:rsidP="00FA194B">
            <w:r>
              <w:t xml:space="preserve">Incorporate FMA into </w:t>
            </w:r>
            <w:r w:rsidR="004F2EE6" w:rsidRPr="00767C6C">
              <w:t>ASBFEO</w:t>
            </w:r>
          </w:p>
        </w:tc>
        <w:tc>
          <w:tcPr>
            <w:tcW w:w="5902" w:type="dxa"/>
            <w:gridSpan w:val="4"/>
            <w:vMerge w:val="restart"/>
            <w:vAlign w:val="center"/>
          </w:tcPr>
          <w:p w:rsidR="004F2EE6" w:rsidRDefault="004F2EE6" w:rsidP="00FA194B">
            <w:r>
              <w:t>See discussion on improving access to justice</w:t>
            </w:r>
          </w:p>
        </w:tc>
      </w:tr>
      <w:tr w:rsidR="004F2EE6" w:rsidTr="00FA194B">
        <w:tc>
          <w:tcPr>
            <w:tcW w:w="3114" w:type="dxa"/>
          </w:tcPr>
          <w:p w:rsidR="004F2EE6" w:rsidRDefault="004F2EE6" w:rsidP="00FA194B">
            <w:r w:rsidRPr="00767C6C">
              <w:t xml:space="preserve">Introduce conciliation and voluntary arbitration  </w:t>
            </w:r>
          </w:p>
        </w:tc>
        <w:tc>
          <w:tcPr>
            <w:tcW w:w="5902" w:type="dxa"/>
            <w:gridSpan w:val="4"/>
            <w:vMerge/>
            <w:vAlign w:val="center"/>
          </w:tcPr>
          <w:p w:rsidR="004F2EE6" w:rsidRDefault="004F2EE6" w:rsidP="00FA194B"/>
        </w:tc>
      </w:tr>
      <w:tr w:rsidR="004F2EE6" w:rsidTr="00FA194B">
        <w:tc>
          <w:tcPr>
            <w:tcW w:w="3114" w:type="dxa"/>
          </w:tcPr>
          <w:p w:rsidR="004F2EE6" w:rsidRPr="00767C6C" w:rsidRDefault="004F2EE6" w:rsidP="00FA194B">
            <w:r w:rsidRPr="00767C6C">
              <w:t>Clarify the availability of multi-party mediation</w:t>
            </w:r>
          </w:p>
        </w:tc>
        <w:tc>
          <w:tcPr>
            <w:tcW w:w="5902" w:type="dxa"/>
            <w:gridSpan w:val="4"/>
            <w:vAlign w:val="center"/>
          </w:tcPr>
          <w:p w:rsidR="004F2EE6" w:rsidRDefault="004F2EE6" w:rsidP="00FA194B">
            <w:r>
              <w:t>See discussion on clarifying and improving the Franchising Code</w:t>
            </w:r>
          </w:p>
        </w:tc>
      </w:tr>
      <w:tr w:rsidR="004F2EE6" w:rsidTr="00FA194B">
        <w:tc>
          <w:tcPr>
            <w:tcW w:w="3114" w:type="dxa"/>
          </w:tcPr>
          <w:p w:rsidR="004F2EE6" w:rsidRDefault="004F2EE6" w:rsidP="00FA194B">
            <w:r w:rsidRPr="005949DE">
              <w:t>Develop amendments to the Franchising Code to facilitate negotiated early exit</w:t>
            </w:r>
          </w:p>
        </w:tc>
        <w:tc>
          <w:tcPr>
            <w:tcW w:w="5902" w:type="dxa"/>
            <w:gridSpan w:val="4"/>
            <w:vAlign w:val="center"/>
          </w:tcPr>
          <w:p w:rsidR="004F2EE6" w:rsidRDefault="004F2EE6" w:rsidP="00FA194B">
            <w:r>
              <w:t xml:space="preserve">See discussion on Government working with the sector </w:t>
            </w:r>
          </w:p>
        </w:tc>
      </w:tr>
      <w:tr w:rsidR="004F2EE6" w:rsidTr="00FA194B">
        <w:tc>
          <w:tcPr>
            <w:tcW w:w="3114" w:type="dxa"/>
          </w:tcPr>
          <w:p w:rsidR="004F2EE6" w:rsidRPr="005949DE" w:rsidRDefault="004F2EE6" w:rsidP="00FA194B">
            <w:r w:rsidRPr="00767C6C">
              <w:t>Clarify restraint of trade clause in the Franchising Code</w:t>
            </w:r>
          </w:p>
        </w:tc>
        <w:tc>
          <w:tcPr>
            <w:tcW w:w="5902" w:type="dxa"/>
            <w:gridSpan w:val="4"/>
            <w:vAlign w:val="center"/>
          </w:tcPr>
          <w:p w:rsidR="004F2EE6" w:rsidRPr="00DB6D70" w:rsidRDefault="004F2EE6" w:rsidP="00FA194B">
            <w:r>
              <w:t>See discussion on clarifying and improving the Franchising Code</w:t>
            </w:r>
          </w:p>
        </w:tc>
      </w:tr>
      <w:tr w:rsidR="004F2EE6" w:rsidTr="00FA194B">
        <w:tc>
          <w:tcPr>
            <w:tcW w:w="3114" w:type="dxa"/>
          </w:tcPr>
          <w:p w:rsidR="004F2EE6" w:rsidRPr="00767C6C" w:rsidRDefault="004F2EE6" w:rsidP="00FA194B">
            <w:r w:rsidRPr="00EA1AA2">
              <w:lastRenderedPageBreak/>
              <w:t>Amend the Information Statement to warn prospective franchisees of the need to obtain advice about restraints of trade before entering the agreement</w:t>
            </w:r>
          </w:p>
        </w:tc>
        <w:tc>
          <w:tcPr>
            <w:tcW w:w="5902" w:type="dxa"/>
            <w:gridSpan w:val="4"/>
            <w:vAlign w:val="center"/>
          </w:tcPr>
          <w:p w:rsidR="004F2EE6" w:rsidRDefault="004F2EE6" w:rsidP="00FA194B">
            <w:r>
              <w:t>See discussion on education and awareness</w:t>
            </w:r>
          </w:p>
        </w:tc>
      </w:tr>
      <w:tr w:rsidR="004F2EE6" w:rsidTr="00FA194B">
        <w:tc>
          <w:tcPr>
            <w:tcW w:w="3114" w:type="dxa"/>
          </w:tcPr>
          <w:p w:rsidR="004F2EE6" w:rsidRPr="00DA7D7A" w:rsidRDefault="004F2EE6" w:rsidP="00FA194B">
            <w:pPr>
              <w:rPr>
                <w:b/>
              </w:rPr>
            </w:pPr>
            <w:r w:rsidRPr="00DA7D7A">
              <w:rPr>
                <w:b/>
              </w:rPr>
              <w:t>TOTAL</w:t>
            </w:r>
          </w:p>
        </w:tc>
        <w:tc>
          <w:tcPr>
            <w:tcW w:w="1475" w:type="dxa"/>
            <w:vAlign w:val="center"/>
          </w:tcPr>
          <w:p w:rsidR="004F2EE6" w:rsidRPr="00DB6D70" w:rsidRDefault="004F2EE6" w:rsidP="00FA194B">
            <w:r>
              <w:t>$3.1</w:t>
            </w:r>
            <w:r w:rsidR="00530279">
              <w:t>2</w:t>
            </w:r>
            <w:r>
              <w:t xml:space="preserve">M </w:t>
            </w:r>
          </w:p>
        </w:tc>
        <w:tc>
          <w:tcPr>
            <w:tcW w:w="1476" w:type="dxa"/>
            <w:vAlign w:val="center"/>
          </w:tcPr>
          <w:p w:rsidR="004F2EE6" w:rsidRPr="00DB6D70" w:rsidRDefault="004F2EE6" w:rsidP="00FA194B">
            <w:r w:rsidRPr="00DB6D70">
              <w:t xml:space="preserve">$ </w:t>
            </w:r>
            <w:r>
              <w:t>n/a</w:t>
            </w:r>
          </w:p>
        </w:tc>
        <w:tc>
          <w:tcPr>
            <w:tcW w:w="1475" w:type="dxa"/>
            <w:vAlign w:val="center"/>
          </w:tcPr>
          <w:p w:rsidR="004F2EE6" w:rsidRPr="00DB6D70" w:rsidRDefault="004F2EE6" w:rsidP="00FA194B">
            <w:r w:rsidRPr="00DB6D70">
              <w:t xml:space="preserve">$ </w:t>
            </w:r>
            <w:r>
              <w:t>n/a</w:t>
            </w:r>
          </w:p>
        </w:tc>
        <w:tc>
          <w:tcPr>
            <w:tcW w:w="1476" w:type="dxa"/>
            <w:vAlign w:val="center"/>
          </w:tcPr>
          <w:p w:rsidR="004F2EE6" w:rsidRPr="00DB6D70" w:rsidRDefault="004F2EE6" w:rsidP="00FA194B">
            <w:r>
              <w:t>$3.1</w:t>
            </w:r>
            <w:r w:rsidR="00530279">
              <w:t>2</w:t>
            </w:r>
            <w:r>
              <w:t xml:space="preserve">M </w:t>
            </w:r>
          </w:p>
        </w:tc>
      </w:tr>
    </w:tbl>
    <w:p w:rsidR="004F2EE6" w:rsidRPr="00635740" w:rsidRDefault="004F2EE6" w:rsidP="004F2EE6">
      <w:pPr>
        <w:rPr>
          <w:sz w:val="16"/>
        </w:rPr>
      </w:pPr>
      <w:r w:rsidRPr="002F221E">
        <w:rPr>
          <w:sz w:val="16"/>
        </w:rPr>
        <w:t xml:space="preserve">The </w:t>
      </w:r>
      <w:r>
        <w:rPr>
          <w:sz w:val="16"/>
        </w:rPr>
        <w:t xml:space="preserve">cost offset estimate is </w:t>
      </w:r>
      <w:r w:rsidRPr="002F221E">
        <w:rPr>
          <w:sz w:val="16"/>
        </w:rPr>
        <w:t>calculated as the average annual equivalent cost</w:t>
      </w:r>
      <w:r>
        <w:rPr>
          <w:sz w:val="16"/>
        </w:rPr>
        <w:t xml:space="preserve"> offset</w:t>
      </w:r>
      <w:r w:rsidRPr="002F221E">
        <w:rPr>
          <w:sz w:val="16"/>
        </w:rPr>
        <w:t xml:space="preserve"> over the first 10 years of the policy. For a breakdown o</w:t>
      </w:r>
      <w:r>
        <w:rPr>
          <w:sz w:val="16"/>
        </w:rPr>
        <w:t>f this estimate see Appendix C.</w:t>
      </w:r>
    </w:p>
    <w:p w:rsidR="004F2EE6" w:rsidRDefault="004F2EE6" w:rsidP="004F2EE6">
      <w:pPr>
        <w:rPr>
          <w:u w:val="single"/>
        </w:rPr>
      </w:pPr>
      <w:r w:rsidRPr="00443E60">
        <w:rPr>
          <w:u w:val="single"/>
        </w:rPr>
        <w:t>Cost offsets developed from clarifying and improving the Franchising Code</w:t>
      </w:r>
    </w:p>
    <w:p w:rsidR="004F2EE6" w:rsidRDefault="004F2EE6" w:rsidP="004F2EE6">
      <w:pPr>
        <w:rPr>
          <w:u w:val="single"/>
        </w:rPr>
      </w:pPr>
      <w:r>
        <w:t>The non-regulatory reforms include the following measures which aim to clarify and improve the Franchising Code:</w:t>
      </w:r>
    </w:p>
    <w:p w:rsidR="004F2EE6" w:rsidRPr="00BB7AA1" w:rsidRDefault="004F2EE6" w:rsidP="004F2EE6">
      <w:pPr>
        <w:pStyle w:val="ListParagraph"/>
        <w:numPr>
          <w:ilvl w:val="0"/>
          <w:numId w:val="24"/>
        </w:numPr>
        <w:rPr>
          <w:u w:val="single"/>
        </w:rPr>
      </w:pPr>
      <w:r w:rsidRPr="00EE3E2C">
        <w:t>Clarification of cooling off period</w:t>
      </w:r>
    </w:p>
    <w:p w:rsidR="004F2EE6" w:rsidRPr="00BB7AA1" w:rsidRDefault="004F2EE6" w:rsidP="004F2EE6">
      <w:pPr>
        <w:pStyle w:val="ListParagraph"/>
        <w:numPr>
          <w:ilvl w:val="0"/>
          <w:numId w:val="24"/>
        </w:numPr>
        <w:rPr>
          <w:u w:val="single"/>
        </w:rPr>
      </w:pPr>
      <w:r w:rsidRPr="00767C6C">
        <w:t>Improve consistency within the Franchising Code about the treatment of marketing funds, particularly clauses 15 and 31</w:t>
      </w:r>
    </w:p>
    <w:p w:rsidR="004F2EE6" w:rsidRPr="00BB7AA1" w:rsidRDefault="004F2EE6" w:rsidP="004F2EE6">
      <w:pPr>
        <w:pStyle w:val="ListParagraph"/>
        <w:numPr>
          <w:ilvl w:val="0"/>
          <w:numId w:val="24"/>
        </w:numPr>
        <w:rPr>
          <w:u w:val="single"/>
        </w:rPr>
      </w:pPr>
      <w:r w:rsidRPr="00767C6C">
        <w:t>Clarify the availability of multi-party mediation</w:t>
      </w:r>
    </w:p>
    <w:p w:rsidR="004F2EE6" w:rsidRPr="00B30FCC" w:rsidRDefault="004F2EE6" w:rsidP="004F2EE6">
      <w:pPr>
        <w:pStyle w:val="ListParagraph"/>
        <w:numPr>
          <w:ilvl w:val="0"/>
          <w:numId w:val="24"/>
        </w:numPr>
        <w:rPr>
          <w:u w:val="single"/>
        </w:rPr>
      </w:pPr>
      <w:r w:rsidRPr="00767C6C">
        <w:t>Clarify restraint of trade clause in the Franchising Code</w:t>
      </w:r>
    </w:p>
    <w:p w:rsidR="004F2EE6" w:rsidRDefault="004F2EE6" w:rsidP="004F2EE6">
      <w:r>
        <w:t xml:space="preserve">It is difficult to estimate the savings created by a majority of these measures – it is expected that the clarifications and improvements to the Code will save franchisees and franchisors time and money they may have spent researching or seeking legal advice on these clauses. </w:t>
      </w:r>
    </w:p>
    <w:p w:rsidR="004F2EE6" w:rsidRDefault="004F2EE6" w:rsidP="004F2EE6">
      <w:r>
        <w:t xml:space="preserve">However, the clarification of multi-party mediation is expected to produce </w:t>
      </w:r>
      <w:r w:rsidR="00530279">
        <w:t>$</w:t>
      </w:r>
      <w:r w:rsidR="00530279" w:rsidRPr="00530279">
        <w:t>3,123,250</w:t>
      </w:r>
      <w:r w:rsidR="00530279">
        <w:t xml:space="preserve"> </w:t>
      </w:r>
      <w:r>
        <w:t>in savings for the sector per year. Analysis of this saving is provided below.</w:t>
      </w:r>
    </w:p>
    <w:p w:rsidR="004F2EE6" w:rsidRDefault="004F2EE6" w:rsidP="004F2EE6">
      <w:pPr>
        <w:pStyle w:val="ListParagraph"/>
        <w:numPr>
          <w:ilvl w:val="0"/>
          <w:numId w:val="25"/>
        </w:numPr>
      </w:pPr>
      <w:r>
        <w:t xml:space="preserve">According to the Franchising Australia 2016 report, disputes with franchisees involving an external advisor were reported by 25 percent of franchisors with a median of </w:t>
      </w:r>
      <w:r w:rsidR="0087151B">
        <w:t>two</w:t>
      </w:r>
      <w:r>
        <w:t xml:space="preserve"> of their franchisees over a 12 month period.</w:t>
      </w:r>
    </w:p>
    <w:p w:rsidR="004F2EE6" w:rsidRDefault="004F2EE6" w:rsidP="004F2EE6">
      <w:pPr>
        <w:pStyle w:val="ListParagraph"/>
        <w:numPr>
          <w:ilvl w:val="0"/>
          <w:numId w:val="25"/>
        </w:numPr>
      </w:pPr>
      <w:r w:rsidRPr="00912AFC">
        <w:t>Typically, commercial lawyers will c</w:t>
      </w:r>
      <w:r>
        <w:t>harge between $5,000 and $7,500</w:t>
      </w:r>
      <w:r w:rsidRPr="00912AFC">
        <w:t xml:space="preserve"> for preparation and attendance at a full day mediation</w:t>
      </w:r>
      <w:r>
        <w:t>.</w:t>
      </w:r>
    </w:p>
    <w:p w:rsidR="006F06F0" w:rsidRDefault="00184244" w:rsidP="00184244">
      <w:pPr>
        <w:pStyle w:val="ListParagraph"/>
        <w:numPr>
          <w:ilvl w:val="0"/>
          <w:numId w:val="25"/>
        </w:numPr>
      </w:pPr>
      <w:r>
        <w:t>Mediation offered through the Office of the Franchise Mediation Adviser</w:t>
      </w:r>
      <w:r w:rsidRPr="00184244">
        <w:t xml:space="preserve"> is charg</w:t>
      </w:r>
      <w:r>
        <w:t>ed at a price of $300/</w:t>
      </w:r>
      <w:proofErr w:type="spellStart"/>
      <w:r>
        <w:t>hr</w:t>
      </w:r>
      <w:proofErr w:type="spellEnd"/>
      <w:r>
        <w:t xml:space="preserve"> + GST, which </w:t>
      </w:r>
      <w:r w:rsidRPr="00184244">
        <w:t>is split by the parties involved. The Office of the Australian Small Business and Family Enterprise Ombudsman (ASBFEO) estimate</w:t>
      </w:r>
      <w:r w:rsidR="00B82526">
        <w:t>s</w:t>
      </w:r>
      <w:r w:rsidRPr="00184244">
        <w:t xml:space="preserve"> that due to the complex nature of many franchise dispute</w:t>
      </w:r>
      <w:r w:rsidR="00B82526">
        <w:t>s</w:t>
      </w:r>
      <w:r w:rsidRPr="00184244">
        <w:t>, mediation can span 10 and 20 hours. ASBFEO estimate</w:t>
      </w:r>
      <w:r w:rsidR="00B82526">
        <w:t>s</w:t>
      </w:r>
      <w:r w:rsidRPr="00184244">
        <w:t xml:space="preserve"> that on average, mediations cost $3000 in total (or $1500 each if split between two parties). </w:t>
      </w:r>
    </w:p>
    <w:p w:rsidR="004F2EE6" w:rsidRDefault="004F2EE6" w:rsidP="004F2EE6">
      <w:pPr>
        <w:pStyle w:val="ListParagraph"/>
        <w:numPr>
          <w:ilvl w:val="0"/>
          <w:numId w:val="25"/>
        </w:numPr>
      </w:pPr>
      <w:r>
        <w:t>Assuming 310</w:t>
      </w:r>
      <w:r>
        <w:rPr>
          <w:rStyle w:val="FootnoteReference"/>
        </w:rPr>
        <w:footnoteReference w:id="36"/>
      </w:r>
      <w:r>
        <w:t xml:space="preserve"> franchisors are in dispute with </w:t>
      </w:r>
      <w:r w:rsidR="0087151B">
        <w:t>two</w:t>
      </w:r>
      <w:r>
        <w:t xml:space="preserve"> franchisees per year, this would equate to </w:t>
      </w:r>
      <w:r w:rsidR="00737FCE">
        <w:t xml:space="preserve">an average of </w:t>
      </w:r>
      <w:r>
        <w:t>$</w:t>
      </w:r>
      <w:r w:rsidR="00737FCE">
        <w:t>6250</w:t>
      </w:r>
      <w:r>
        <w:t xml:space="preserve"> in legal fees </w:t>
      </w:r>
      <w:r w:rsidR="00184244">
        <w:t xml:space="preserve">and $1500 in mediation fees </w:t>
      </w:r>
      <w:r>
        <w:t xml:space="preserve">for both the franchisee and franchisor, per dispute. </w:t>
      </w:r>
    </w:p>
    <w:p w:rsidR="006F06F0" w:rsidRDefault="0087151B" w:rsidP="00184244">
      <w:pPr>
        <w:pStyle w:val="ListParagraph"/>
        <w:numPr>
          <w:ilvl w:val="0"/>
          <w:numId w:val="25"/>
        </w:numPr>
      </w:pPr>
      <w:r>
        <w:t xml:space="preserve">This equates to </w:t>
      </w:r>
      <w:r w:rsidR="00184244">
        <w:t>(</w:t>
      </w:r>
      <w:r w:rsidR="004F2EE6">
        <w:t>310 x 2 x$</w:t>
      </w:r>
      <w:r w:rsidR="00737FCE">
        <w:t>6250</w:t>
      </w:r>
      <w:r w:rsidR="004F2EE6">
        <w:t xml:space="preserve"> x</w:t>
      </w:r>
      <w:r w:rsidR="00184244">
        <w:t xml:space="preserve"> 2) + (310 x 2 x $1500 x 2) </w:t>
      </w:r>
      <w:r w:rsidR="004F2EE6">
        <w:t xml:space="preserve">= </w:t>
      </w:r>
      <w:r w:rsidR="00737FCE">
        <w:t>$</w:t>
      </w:r>
      <w:r w:rsidR="00737FCE" w:rsidRPr="00737FCE">
        <w:t>7,750,000</w:t>
      </w:r>
      <w:r w:rsidR="00737FCE" w:rsidRPr="00737FCE" w:rsidDel="00737FCE">
        <w:t xml:space="preserve"> </w:t>
      </w:r>
      <w:r w:rsidR="00184244">
        <w:t>+ $</w:t>
      </w:r>
      <w:r w:rsidR="00184244" w:rsidRPr="00184244">
        <w:t>1,860,000</w:t>
      </w:r>
      <w:r w:rsidR="00184244">
        <w:t xml:space="preserve"> = $</w:t>
      </w:r>
      <w:r w:rsidR="00184244" w:rsidRPr="00184244">
        <w:t>9,610,000</w:t>
      </w:r>
    </w:p>
    <w:p w:rsidR="00737FCE" w:rsidRDefault="004F2EE6" w:rsidP="00530279">
      <w:pPr>
        <w:pStyle w:val="ListParagraph"/>
        <w:numPr>
          <w:ilvl w:val="0"/>
          <w:numId w:val="25"/>
        </w:numPr>
      </w:pPr>
      <w:r>
        <w:t xml:space="preserve">However, with multi-party mediation, if the average </w:t>
      </w:r>
      <w:r w:rsidR="0087151B">
        <w:t>two</w:t>
      </w:r>
      <w:r>
        <w:t xml:space="preserve"> franchisees per system per year resolved dispute through one mediation as opposed to two, this would halve costs and save the sector a total of </w:t>
      </w:r>
      <w:r w:rsidR="00184244">
        <w:t>$</w:t>
      </w:r>
      <w:r w:rsidR="00184244" w:rsidRPr="00184244">
        <w:t>4,805,000</w:t>
      </w:r>
      <w:r w:rsidR="00184244">
        <w:t xml:space="preserve"> </w:t>
      </w:r>
      <w:r>
        <w:t>per year.</w:t>
      </w:r>
    </w:p>
    <w:p w:rsidR="00FE0563" w:rsidRDefault="00180CFF">
      <w:pPr>
        <w:pStyle w:val="ListParagraph"/>
        <w:numPr>
          <w:ilvl w:val="0"/>
          <w:numId w:val="25"/>
        </w:numPr>
      </w:pPr>
      <w:r>
        <w:t xml:space="preserve">Although the exact </w:t>
      </w:r>
      <w:r w:rsidR="009072EA">
        <w:t>take up rate of multi-party mediation is difficult to calculate</w:t>
      </w:r>
      <w:r>
        <w:t xml:space="preserve">, if at least 50 </w:t>
      </w:r>
      <w:r w:rsidR="00530279">
        <w:t xml:space="preserve">to 80 </w:t>
      </w:r>
      <w:r>
        <w:t>per cent of mediations</w:t>
      </w:r>
      <w:r w:rsidR="00076C07">
        <w:t xml:space="preserve"> in the sector are progressed as </w:t>
      </w:r>
      <w:r>
        <w:t>multi-party mediations</w:t>
      </w:r>
      <w:r w:rsidR="009072EA">
        <w:t xml:space="preserve">, there </w:t>
      </w:r>
      <w:r w:rsidR="009072EA">
        <w:lastRenderedPageBreak/>
        <w:t>would be a saving of</w:t>
      </w:r>
      <w:r w:rsidR="00530279">
        <w:t xml:space="preserve"> between</w:t>
      </w:r>
      <w:r w:rsidR="009072EA">
        <w:t xml:space="preserve"> $</w:t>
      </w:r>
      <w:r w:rsidR="009072EA" w:rsidRPr="009072EA">
        <w:t>2,402,500</w:t>
      </w:r>
      <w:r w:rsidR="00076C07">
        <w:t xml:space="preserve"> </w:t>
      </w:r>
      <w:r w:rsidR="00530279">
        <w:t>and $</w:t>
      </w:r>
      <w:r w:rsidR="00530279" w:rsidRPr="00530279">
        <w:t>3,844,000</w:t>
      </w:r>
      <w:r w:rsidR="00530279">
        <w:t xml:space="preserve"> per year to the sector. The average of these two figures is $</w:t>
      </w:r>
      <w:r w:rsidR="00530279" w:rsidRPr="00530279">
        <w:t>3,123,250</w:t>
      </w:r>
      <w:r w:rsidR="00FE0563">
        <w:t xml:space="preserve"> per year. </w:t>
      </w:r>
    </w:p>
    <w:p w:rsidR="00FE0563" w:rsidRDefault="00FE0563" w:rsidP="00530279">
      <w:pPr>
        <w:pStyle w:val="ListParagraph"/>
        <w:numPr>
          <w:ilvl w:val="0"/>
          <w:numId w:val="25"/>
        </w:numPr>
      </w:pPr>
      <w:r>
        <w:t>A saving of $</w:t>
      </w:r>
      <w:r w:rsidRPr="00530279">
        <w:t>3,123,250</w:t>
      </w:r>
      <w:r>
        <w:t xml:space="preserve"> per year would appear to be a reasonable estimate.</w:t>
      </w:r>
    </w:p>
    <w:p w:rsidR="00BF3231" w:rsidRDefault="00BF3231" w:rsidP="00C5193B">
      <w:pPr>
        <w:pStyle w:val="ListParagraph"/>
        <w:numPr>
          <w:ilvl w:val="1"/>
          <w:numId w:val="25"/>
        </w:numPr>
      </w:pPr>
      <w:r>
        <w:t>A</w:t>
      </w:r>
      <w:r w:rsidRPr="00BF3231">
        <w:t xml:space="preserve"> recent automotive franchising dispute involving </w:t>
      </w:r>
      <w:r>
        <w:t>approximately 185 franchisees</w:t>
      </w:r>
      <w:r w:rsidRPr="00BF3231">
        <w:t xml:space="preserve"> provides an example of the type of mediation that would be well suited to multi party mediation</w:t>
      </w:r>
      <w:r>
        <w:t xml:space="preserve">. </w:t>
      </w:r>
    </w:p>
    <w:p w:rsidR="00530279" w:rsidRDefault="00BF3231" w:rsidP="00C5193B">
      <w:pPr>
        <w:pStyle w:val="ListParagraph"/>
        <w:numPr>
          <w:ilvl w:val="1"/>
          <w:numId w:val="25"/>
        </w:numPr>
      </w:pPr>
      <w:r>
        <w:t xml:space="preserve">Another example of such a dispute occurred in 2016, where </w:t>
      </w:r>
      <w:r w:rsidRPr="00BF3231">
        <w:t xml:space="preserve">190 Pizza Hut franchisees took </w:t>
      </w:r>
      <w:r>
        <w:t xml:space="preserve">class action against franchisor Yum! </w:t>
      </w:r>
      <w:proofErr w:type="gramStart"/>
      <w:r w:rsidRPr="00BF3231">
        <w:t>for</w:t>
      </w:r>
      <w:proofErr w:type="gramEnd"/>
      <w:r w:rsidRPr="00BF3231">
        <w:t xml:space="preserve"> the introduction of a ‘value strategy’ that was impacting </w:t>
      </w:r>
      <w:r>
        <w:t>their</w:t>
      </w:r>
      <w:r w:rsidRPr="00BF3231">
        <w:t xml:space="preserve"> business</w:t>
      </w:r>
      <w:r>
        <w:t>es’</w:t>
      </w:r>
      <w:r w:rsidRPr="00BF3231">
        <w:t xml:space="preserve"> viability.</w:t>
      </w:r>
      <w:r w:rsidR="003734A8">
        <w:t xml:space="preserve"> </w:t>
      </w:r>
    </w:p>
    <w:p w:rsidR="00BF3231" w:rsidRDefault="003734A8" w:rsidP="00C5193B">
      <w:pPr>
        <w:pStyle w:val="ListParagraph"/>
        <w:numPr>
          <w:ilvl w:val="1"/>
          <w:numId w:val="25"/>
        </w:numPr>
      </w:pPr>
      <w:r>
        <w:t>If the Franchising Code was amended to</w:t>
      </w:r>
      <w:r w:rsidR="00FE0563">
        <w:t xml:space="preserve"> explicitly</w:t>
      </w:r>
      <w:r>
        <w:t xml:space="preserve"> allow multi-party mediation, many </w:t>
      </w:r>
      <w:r w:rsidRPr="00FE0563">
        <w:t xml:space="preserve">more multi-party mediations may occur under the Code. </w:t>
      </w:r>
    </w:p>
    <w:p w:rsidR="00C37EAF" w:rsidRPr="00B82526" w:rsidRDefault="00C37EAF" w:rsidP="00C5193B"/>
    <w:sectPr w:rsidR="00C37EAF" w:rsidRPr="00B8252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10F" w:rsidRDefault="00FF310F" w:rsidP="00B95D19">
      <w:pPr>
        <w:spacing w:after="0" w:line="240" w:lineRule="auto"/>
      </w:pPr>
      <w:r>
        <w:separator/>
      </w:r>
    </w:p>
  </w:endnote>
  <w:endnote w:type="continuationSeparator" w:id="0">
    <w:p w:rsidR="00FF310F" w:rsidRDefault="00FF310F" w:rsidP="00B95D19">
      <w:pPr>
        <w:spacing w:after="0" w:line="240" w:lineRule="auto"/>
      </w:pPr>
      <w:r>
        <w:continuationSeparator/>
      </w:r>
    </w:p>
  </w:endnote>
  <w:endnote w:type="continuationNotice" w:id="1">
    <w:p w:rsidR="00FF310F" w:rsidRDefault="00FF3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496964"/>
      <w:docPartObj>
        <w:docPartGallery w:val="Page Numbers (Bottom of Page)"/>
        <w:docPartUnique/>
      </w:docPartObj>
    </w:sdtPr>
    <w:sdtEndPr>
      <w:rPr>
        <w:noProof/>
      </w:rPr>
    </w:sdtEndPr>
    <w:sdtContent>
      <w:p w:rsidR="002434D9" w:rsidRDefault="002434D9">
        <w:pPr>
          <w:pStyle w:val="Footer"/>
          <w:jc w:val="right"/>
        </w:pPr>
        <w:r>
          <w:fldChar w:fldCharType="begin"/>
        </w:r>
        <w:r>
          <w:instrText xml:space="preserve"> PAGE   \* MERGEFORMAT </w:instrText>
        </w:r>
        <w:r>
          <w:fldChar w:fldCharType="separate"/>
        </w:r>
        <w:r w:rsidR="00DA47B9">
          <w:rPr>
            <w:noProof/>
          </w:rPr>
          <w:t>21</w:t>
        </w:r>
        <w:r>
          <w:rPr>
            <w:noProof/>
          </w:rPr>
          <w:fldChar w:fldCharType="end"/>
        </w:r>
      </w:p>
    </w:sdtContent>
  </w:sdt>
  <w:p w:rsidR="002434D9" w:rsidRDefault="00243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10F" w:rsidRDefault="00FF310F" w:rsidP="00B95D19">
      <w:pPr>
        <w:spacing w:after="0" w:line="240" w:lineRule="auto"/>
      </w:pPr>
      <w:r>
        <w:separator/>
      </w:r>
    </w:p>
  </w:footnote>
  <w:footnote w:type="continuationSeparator" w:id="0">
    <w:p w:rsidR="00FF310F" w:rsidRDefault="00FF310F" w:rsidP="00B95D19">
      <w:pPr>
        <w:spacing w:after="0" w:line="240" w:lineRule="auto"/>
      </w:pPr>
      <w:r>
        <w:continuationSeparator/>
      </w:r>
    </w:p>
  </w:footnote>
  <w:footnote w:type="continuationNotice" w:id="1">
    <w:p w:rsidR="00FF310F" w:rsidRDefault="00FF310F">
      <w:pPr>
        <w:spacing w:after="0" w:line="240" w:lineRule="auto"/>
      </w:pPr>
    </w:p>
  </w:footnote>
  <w:footnote w:id="2">
    <w:p w:rsidR="002434D9" w:rsidRPr="00B47F8C" w:rsidRDefault="002434D9" w:rsidP="00B95D19">
      <w:pPr>
        <w:pStyle w:val="FootnoteText"/>
        <w:rPr>
          <w:lang w:val="en-AU"/>
        </w:rPr>
      </w:pPr>
      <w:r>
        <w:rPr>
          <w:rStyle w:val="FootnoteReference"/>
        </w:rPr>
        <w:footnoteRef/>
      </w:r>
      <w:r>
        <w:t xml:space="preserve"> </w:t>
      </w:r>
      <w:r w:rsidRPr="00B47F8C">
        <w:t>IBISWorld, Franchising in Australia, Industry Report X0002 (</w:t>
      </w:r>
      <w:r>
        <w:t>July 2020</w:t>
      </w:r>
      <w:r w:rsidRPr="00B47F8C">
        <w:t>).</w:t>
      </w:r>
      <w:r>
        <w:t xml:space="preserve"> </w:t>
      </w:r>
    </w:p>
  </w:footnote>
  <w:footnote w:id="3">
    <w:p w:rsidR="002434D9" w:rsidRPr="00B47F8C" w:rsidRDefault="002434D9" w:rsidP="00B95D19">
      <w:pPr>
        <w:pStyle w:val="FootnoteText"/>
        <w:rPr>
          <w:lang w:val="en-AU"/>
        </w:rPr>
      </w:pPr>
      <w:r>
        <w:rPr>
          <w:rStyle w:val="FootnoteReference"/>
        </w:rPr>
        <w:footnoteRef/>
      </w:r>
      <w:r>
        <w:t xml:space="preserve"> </w:t>
      </w:r>
      <w:r w:rsidRPr="00B47F8C">
        <w:t>Franchise Council of Australia’s submission to the PJC, page 5.</w:t>
      </w:r>
    </w:p>
  </w:footnote>
  <w:footnote w:id="4">
    <w:p w:rsidR="002434D9" w:rsidRPr="0027502E" w:rsidRDefault="002434D9" w:rsidP="00B95D19">
      <w:pPr>
        <w:pStyle w:val="FootnoteText"/>
        <w:rPr>
          <w:lang w:val="en-AU"/>
        </w:rPr>
      </w:pPr>
      <w:r>
        <w:rPr>
          <w:rStyle w:val="FootnoteReference"/>
        </w:rPr>
        <w:footnoteRef/>
      </w:r>
      <w:r>
        <w:t xml:space="preserve"> </w:t>
      </w:r>
      <w:r w:rsidRPr="0027502E">
        <w:rPr>
          <w:lang w:val="en-AU"/>
        </w:rPr>
        <w:t xml:space="preserve">Franchise Law Review, page 101, 2018 </w:t>
      </w:r>
      <w:r w:rsidRPr="0027502E">
        <w:rPr>
          <w:i/>
          <w:lang w:val="en-AU"/>
        </w:rPr>
        <w:t>Law Business Research Ltd.</w:t>
      </w:r>
    </w:p>
  </w:footnote>
  <w:footnote w:id="5">
    <w:p w:rsidR="002434D9" w:rsidRPr="0010779F" w:rsidRDefault="002434D9" w:rsidP="00B95D19">
      <w:pPr>
        <w:pStyle w:val="FootnoteText"/>
      </w:pPr>
      <w:r w:rsidRPr="0010779F">
        <w:rPr>
          <w:rStyle w:val="FootnoteReference"/>
        </w:rPr>
        <w:footnoteRef/>
      </w:r>
      <w:r w:rsidRPr="0010779F">
        <w:t xml:space="preserve"> </w:t>
      </w:r>
      <w:r w:rsidRPr="0010779F">
        <w:rPr>
          <w:i/>
        </w:rPr>
        <w:t>Fairness in Franchising</w:t>
      </w:r>
      <w:r w:rsidRPr="0010779F">
        <w:t xml:space="preserve"> report, Appendix 3, pages 319-320.</w:t>
      </w:r>
    </w:p>
  </w:footnote>
  <w:footnote w:id="6">
    <w:p w:rsidR="002434D9" w:rsidRPr="000F4487" w:rsidRDefault="002434D9" w:rsidP="000634C3">
      <w:pPr>
        <w:pStyle w:val="FootnoteText"/>
      </w:pPr>
      <w:r>
        <w:rPr>
          <w:rStyle w:val="FootnoteReference"/>
        </w:rPr>
        <w:footnoteRef/>
      </w:r>
      <w:r>
        <w:t xml:space="preserve"> See Media Release, </w:t>
      </w:r>
      <w:r>
        <w:rPr>
          <w:i/>
        </w:rPr>
        <w:t xml:space="preserve">Building a fair, effective and accountable franchising network, </w:t>
      </w:r>
      <w:r>
        <w:t xml:space="preserve">21 June 2019, </w:t>
      </w:r>
      <w:hyperlink r:id="rId1" w:history="1">
        <w:r w:rsidRPr="002B4AF0">
          <w:rPr>
            <w:rStyle w:val="Hyperlink"/>
          </w:rPr>
          <w:t>https://ministers.employment.gov.au/cash/building-fair-effective-and-accountable-franchising-network</w:t>
        </w:r>
      </w:hyperlink>
      <w:r>
        <w:t xml:space="preserve">. </w:t>
      </w:r>
    </w:p>
  </w:footnote>
  <w:footnote w:id="7">
    <w:p w:rsidR="002434D9" w:rsidRPr="00A75BE5" w:rsidRDefault="002434D9">
      <w:pPr>
        <w:pStyle w:val="FootnoteText"/>
        <w:rPr>
          <w:lang w:val="en-AU"/>
        </w:rPr>
      </w:pPr>
      <w:r>
        <w:rPr>
          <w:rStyle w:val="FootnoteReference"/>
        </w:rPr>
        <w:footnoteRef/>
      </w:r>
      <w:r>
        <w:t xml:space="preserve"> </w:t>
      </w:r>
      <w:r>
        <w:rPr>
          <w:lang w:val="en-AU"/>
        </w:rPr>
        <w:t>See discussion on the limitations of franchising data below</w:t>
      </w:r>
    </w:p>
  </w:footnote>
  <w:footnote w:id="8">
    <w:p w:rsidR="002434D9" w:rsidRPr="00FC7A96" w:rsidRDefault="002434D9" w:rsidP="00B95D19">
      <w:pPr>
        <w:pStyle w:val="FootnoteText"/>
        <w:rPr>
          <w:lang w:val="en-AU"/>
        </w:rPr>
      </w:pPr>
      <w:r>
        <w:rPr>
          <w:rStyle w:val="FootnoteReference"/>
        </w:rPr>
        <w:footnoteRef/>
      </w:r>
      <w:r>
        <w:t xml:space="preserve"> See example cited at page 65 of the PJC </w:t>
      </w:r>
      <w:r>
        <w:rPr>
          <w:i/>
        </w:rPr>
        <w:t xml:space="preserve">Fairness in </w:t>
      </w:r>
      <w:proofErr w:type="gramStart"/>
      <w:r>
        <w:rPr>
          <w:i/>
        </w:rPr>
        <w:t>Franchising</w:t>
      </w:r>
      <w:proofErr w:type="gramEnd"/>
      <w:r>
        <w:rPr>
          <w:i/>
        </w:rPr>
        <w:t xml:space="preserve"> </w:t>
      </w:r>
      <w:r>
        <w:t>report, provided by 7</w:t>
      </w:r>
      <w:r>
        <w:noBreakHyphen/>
        <w:t xml:space="preserve">Eleven stores. </w:t>
      </w:r>
    </w:p>
  </w:footnote>
  <w:footnote w:id="9">
    <w:p w:rsidR="002434D9" w:rsidRPr="000574E5" w:rsidRDefault="002434D9" w:rsidP="00B95D19">
      <w:pPr>
        <w:pStyle w:val="FootnoteText"/>
        <w:rPr>
          <w:lang w:val="en-AU"/>
        </w:rPr>
      </w:pPr>
      <w:r>
        <w:rPr>
          <w:rStyle w:val="FootnoteReference"/>
        </w:rPr>
        <w:footnoteRef/>
      </w:r>
      <w:r>
        <w:t xml:space="preserve"> See, for example, ACCC’s </w:t>
      </w:r>
      <w:r>
        <w:rPr>
          <w:i/>
        </w:rPr>
        <w:t xml:space="preserve">Disclosure practices in food franchising </w:t>
      </w:r>
      <w:r>
        <w:t xml:space="preserve">report. This report found that 40 per cent of prospective franchisees did not seek any independent professional advice before entering a franchise agreement. </w:t>
      </w:r>
    </w:p>
  </w:footnote>
  <w:footnote w:id="10">
    <w:p w:rsidR="002434D9" w:rsidRPr="0099739F" w:rsidRDefault="002434D9" w:rsidP="00B95D19">
      <w:pPr>
        <w:pStyle w:val="FootnoteText"/>
        <w:rPr>
          <w:lang w:val="en-AU"/>
        </w:rPr>
      </w:pPr>
      <w:r>
        <w:rPr>
          <w:rStyle w:val="FootnoteReference"/>
        </w:rPr>
        <w:footnoteRef/>
      </w:r>
      <w:r>
        <w:t xml:space="preserve"> </w:t>
      </w:r>
      <w:r>
        <w:rPr>
          <w:lang w:val="en-AU"/>
        </w:rPr>
        <w:t xml:space="preserve">The ACCC report </w:t>
      </w:r>
      <w:r>
        <w:rPr>
          <w:i/>
          <w:lang w:val="en-AU"/>
        </w:rPr>
        <w:t xml:space="preserve">Small Business in Focus, </w:t>
      </w:r>
      <w:r>
        <w:rPr>
          <w:lang w:val="en-AU"/>
        </w:rPr>
        <w:t xml:space="preserve">showed that for the 12 months to 31 December 2019, the ACCC received 465 reports relating to franchising. This was an increase from the previous 12 month period in which 405 reports were received. More detailed information on these complaints, such as the breakdown of issues by </w:t>
      </w:r>
      <w:r w:rsidRPr="002B1BE8">
        <w:rPr>
          <w:lang w:val="en-AU"/>
        </w:rPr>
        <w:t>industry</w:t>
      </w:r>
      <w:r>
        <w:rPr>
          <w:lang w:val="en-AU"/>
        </w:rPr>
        <w:t xml:space="preserve"> sector</w:t>
      </w:r>
      <w:r w:rsidRPr="002B1BE8">
        <w:rPr>
          <w:lang w:val="en-AU"/>
        </w:rPr>
        <w:t xml:space="preserve">, </w:t>
      </w:r>
      <w:r>
        <w:rPr>
          <w:lang w:val="en-AU"/>
        </w:rPr>
        <w:t>is not reported. See discussion on limitations to franchising data below.</w:t>
      </w:r>
    </w:p>
  </w:footnote>
  <w:footnote w:id="11">
    <w:p w:rsidR="002434D9" w:rsidRPr="0099739F" w:rsidRDefault="002434D9" w:rsidP="00B95D19">
      <w:pPr>
        <w:pStyle w:val="FootnoteText"/>
        <w:rPr>
          <w:lang w:val="en-AU"/>
        </w:rPr>
      </w:pPr>
      <w:r>
        <w:rPr>
          <w:rStyle w:val="FootnoteReference"/>
        </w:rPr>
        <w:footnoteRef/>
      </w:r>
      <w:r>
        <w:t xml:space="preserve"> ACCC </w:t>
      </w:r>
      <w:r>
        <w:rPr>
          <w:i/>
        </w:rPr>
        <w:t xml:space="preserve">Disclosure practices in food franchising, </w:t>
      </w:r>
      <w:r w:rsidRPr="005E7D11">
        <w:t xml:space="preserve">August 2019 </w:t>
      </w:r>
      <w:r>
        <w:t>report.  Compliance in this sector was targeted because ‘[t]</w:t>
      </w:r>
      <w:r w:rsidRPr="005E7D11">
        <w:t>he ACCC receives more franchising code related reports from café, restaurant and take-away food franchisees than any other sector</w:t>
      </w:r>
      <w:r>
        <w:t xml:space="preserve">’ (Media Release, </w:t>
      </w:r>
      <w:r>
        <w:rPr>
          <w:i/>
        </w:rPr>
        <w:t xml:space="preserve">ACCC to focus on franchisors; disclosure in the food services </w:t>
      </w:r>
      <w:r w:rsidRPr="005E7D11">
        <w:t>sector</w:t>
      </w:r>
      <w:r>
        <w:t>, 7 February 2019).</w:t>
      </w:r>
    </w:p>
  </w:footnote>
  <w:footnote w:id="12">
    <w:p w:rsidR="002434D9" w:rsidRPr="00707EA8" w:rsidRDefault="002434D9" w:rsidP="00B95D19">
      <w:pPr>
        <w:pStyle w:val="FootnoteText"/>
        <w:rPr>
          <w:lang w:val="en-AU"/>
        </w:rPr>
      </w:pPr>
      <w:r>
        <w:rPr>
          <w:rStyle w:val="FootnoteReference"/>
        </w:rPr>
        <w:footnoteRef/>
      </w:r>
      <w:r>
        <w:t xml:space="preserve"> Recent ACCC action has been taken against Bob Jane Corporation Pty Ltd, </w:t>
      </w:r>
      <w:proofErr w:type="spellStart"/>
      <w:r>
        <w:t>Geowash</w:t>
      </w:r>
      <w:proofErr w:type="spellEnd"/>
      <w:r>
        <w:t xml:space="preserve">, Ultra Tune and Jump Swim Schools. Details on </w:t>
      </w:r>
      <w:hyperlink r:id="rId2" w:history="1">
        <w:r w:rsidRPr="002403DA">
          <w:rPr>
            <w:rStyle w:val="Hyperlink"/>
          </w:rPr>
          <w:t>www.accc.gov.au</w:t>
        </w:r>
      </w:hyperlink>
      <w:r>
        <w:t xml:space="preserve">.   </w:t>
      </w:r>
    </w:p>
  </w:footnote>
  <w:footnote w:id="13">
    <w:p w:rsidR="002434D9" w:rsidRPr="00794084" w:rsidRDefault="002434D9" w:rsidP="00B95D19">
      <w:pPr>
        <w:pStyle w:val="FootnoteText"/>
        <w:rPr>
          <w:lang w:val="en-AU"/>
        </w:rPr>
      </w:pPr>
      <w:r>
        <w:rPr>
          <w:rStyle w:val="FootnoteReference"/>
        </w:rPr>
        <w:footnoteRef/>
      </w:r>
      <w:r>
        <w:t xml:space="preserve"> Department of Industry, Science, Energy and Resources, </w:t>
      </w:r>
      <w:r w:rsidRPr="004808F9">
        <w:rPr>
          <w:i/>
        </w:rPr>
        <w:t>Regulation Impact Statement: Franchise relationships between car manufacturers and new car dealers,</w:t>
      </w:r>
      <w:r>
        <w:t xml:space="preserve"> February 2020.</w:t>
      </w:r>
    </w:p>
  </w:footnote>
  <w:footnote w:id="14">
    <w:p w:rsidR="002434D9" w:rsidRPr="00570D41" w:rsidRDefault="002434D9" w:rsidP="00B95D19">
      <w:pPr>
        <w:pStyle w:val="FootnoteText"/>
        <w:rPr>
          <w:lang w:val="en-AU"/>
        </w:rPr>
      </w:pPr>
      <w:r>
        <w:rPr>
          <w:rStyle w:val="FootnoteReference"/>
        </w:rPr>
        <w:footnoteRef/>
      </w:r>
      <w:r>
        <w:t xml:space="preserve"> </w:t>
      </w:r>
      <w:hyperlink r:id="rId3" w:anchor="2020-priorities" w:history="1">
        <w:r w:rsidRPr="00111A1B">
          <w:rPr>
            <w:rStyle w:val="Hyperlink"/>
          </w:rPr>
          <w:t>https://www.accc.gov.au/about-us/australian-competition-consumer-commission/compliance-enforcement-policy-priorities#2020-priorities</w:t>
        </w:r>
      </w:hyperlink>
      <w:r>
        <w:t xml:space="preserve"> </w:t>
      </w:r>
    </w:p>
  </w:footnote>
  <w:footnote w:id="15">
    <w:p w:rsidR="002434D9" w:rsidRPr="000574E5" w:rsidRDefault="002434D9" w:rsidP="00B95D19">
      <w:pPr>
        <w:pStyle w:val="FootnoteText"/>
        <w:rPr>
          <w:lang w:val="en-AU"/>
        </w:rPr>
      </w:pPr>
      <w:r>
        <w:rPr>
          <w:rStyle w:val="FootnoteReference"/>
        </w:rPr>
        <w:footnoteRef/>
      </w:r>
      <w:r>
        <w:t xml:space="preserve"> </w:t>
      </w:r>
      <w:r w:rsidRPr="0089552C">
        <w:rPr>
          <w:lang w:val="en-AU"/>
        </w:rPr>
        <w:t>The maximum penalty for breach of an industry code provision is 300 penalty units (currently $66,600). These amendments also allowed for the ACCC to issue infringement notices where it has reasonable grounds to believe a person (or body corporate) has contravened a civil penalty provision of an industry code. Infringement notice amounts are 50 penalty units (currently $11,100) for a body corporate and 10 penalty units (currently $2,220</w:t>
      </w:r>
      <w:r>
        <w:rPr>
          <w:lang w:val="en-AU"/>
        </w:rPr>
        <w:t>) in any other case.</w:t>
      </w:r>
    </w:p>
  </w:footnote>
  <w:footnote w:id="16">
    <w:p w:rsidR="002434D9" w:rsidRPr="00760EA7" w:rsidRDefault="002434D9" w:rsidP="00B95D19">
      <w:pPr>
        <w:pStyle w:val="FootnoteText"/>
        <w:rPr>
          <w:lang w:val="en-AU"/>
        </w:rPr>
      </w:pPr>
      <w:r>
        <w:rPr>
          <w:rStyle w:val="FootnoteReference"/>
        </w:rPr>
        <w:footnoteRef/>
      </w:r>
      <w:r>
        <w:t xml:space="preserve"> ACCC </w:t>
      </w:r>
      <w:r>
        <w:rPr>
          <w:i/>
        </w:rPr>
        <w:t xml:space="preserve">Disclosure practices in food franchising, </w:t>
      </w:r>
      <w:r w:rsidRPr="005E7D11">
        <w:t xml:space="preserve">August 2019 </w:t>
      </w:r>
      <w:r>
        <w:t xml:space="preserve">report.  </w:t>
      </w:r>
    </w:p>
  </w:footnote>
  <w:footnote w:id="17">
    <w:p w:rsidR="002434D9" w:rsidRPr="007E777C" w:rsidRDefault="002434D9" w:rsidP="00B95D19">
      <w:pPr>
        <w:pStyle w:val="FootnoteText"/>
        <w:rPr>
          <w:lang w:val="en-AU"/>
        </w:rPr>
      </w:pPr>
      <w:r>
        <w:rPr>
          <w:rStyle w:val="FootnoteReference"/>
        </w:rPr>
        <w:footnoteRef/>
      </w:r>
      <w:r>
        <w:t xml:space="preserve"> Submission 184 to the PJC inquiry. </w:t>
      </w:r>
    </w:p>
  </w:footnote>
  <w:footnote w:id="18">
    <w:p w:rsidR="002434D9" w:rsidRPr="00154C37" w:rsidRDefault="002434D9" w:rsidP="00B95D19">
      <w:pPr>
        <w:pStyle w:val="FootnoteText"/>
        <w:rPr>
          <w:lang w:val="en-AU"/>
        </w:rPr>
      </w:pPr>
      <w:r>
        <w:rPr>
          <w:rStyle w:val="FootnoteReference"/>
        </w:rPr>
        <w:footnoteRef/>
      </w:r>
      <w:r>
        <w:t xml:space="preserve"> </w:t>
      </w:r>
      <w:r>
        <w:rPr>
          <w:i/>
          <w:lang w:val="en-AU"/>
        </w:rPr>
        <w:t>Report of the Migrant Workers’ Taskforce</w:t>
      </w:r>
      <w:r>
        <w:rPr>
          <w:lang w:val="en-AU"/>
        </w:rPr>
        <w:t xml:space="preserve">, </w:t>
      </w:r>
      <w:hyperlink r:id="rId4" w:history="1">
        <w:r w:rsidRPr="00D12856">
          <w:rPr>
            <w:rStyle w:val="Hyperlink"/>
            <w:lang w:val="en-AU"/>
          </w:rPr>
          <w:t>https://www.ag.gov.au/sites/default/files/2020-03/mwt_final_report.pdf</w:t>
        </w:r>
      </w:hyperlink>
      <w:r>
        <w:rPr>
          <w:lang w:val="en-AU"/>
        </w:rPr>
        <w:t>, p. 37</w:t>
      </w:r>
    </w:p>
  </w:footnote>
  <w:footnote w:id="19">
    <w:p w:rsidR="002434D9" w:rsidRPr="00E21C27" w:rsidRDefault="002434D9">
      <w:pPr>
        <w:pStyle w:val="FootnoteText"/>
        <w:rPr>
          <w:lang w:val="en-AU"/>
        </w:rPr>
      </w:pPr>
      <w:r>
        <w:rPr>
          <w:rStyle w:val="FootnoteReference"/>
        </w:rPr>
        <w:footnoteRef/>
      </w:r>
      <w:r>
        <w:t xml:space="preserve"> </w:t>
      </w:r>
      <w:r>
        <w:rPr>
          <w:lang w:val="en-AU"/>
        </w:rPr>
        <w:t>Submission 32 to the PJC inquiry.</w:t>
      </w:r>
    </w:p>
  </w:footnote>
  <w:footnote w:id="20">
    <w:p w:rsidR="002434D9" w:rsidRPr="008B6CFB" w:rsidRDefault="002434D9" w:rsidP="00ED499A">
      <w:pPr>
        <w:pStyle w:val="FootnoteText"/>
        <w:rPr>
          <w:lang w:val="en-AU"/>
        </w:rPr>
      </w:pPr>
      <w:r>
        <w:rPr>
          <w:rStyle w:val="FootnoteReference"/>
        </w:rPr>
        <w:footnoteRef/>
      </w:r>
      <w:r>
        <w:t xml:space="preserve"> Submission 185</w:t>
      </w:r>
      <w:r w:rsidRPr="008B6CFB">
        <w:t xml:space="preserve"> to the PJC inquiry.</w:t>
      </w:r>
    </w:p>
  </w:footnote>
  <w:footnote w:id="21">
    <w:p w:rsidR="002434D9" w:rsidRPr="00292615" w:rsidRDefault="002434D9">
      <w:pPr>
        <w:pStyle w:val="FootnoteText"/>
        <w:rPr>
          <w:lang w:val="en-AU"/>
        </w:rPr>
      </w:pPr>
      <w:r>
        <w:rPr>
          <w:rStyle w:val="FootnoteReference"/>
        </w:rPr>
        <w:footnoteRef/>
      </w:r>
      <w:r>
        <w:t xml:space="preserve"> </w:t>
      </w:r>
      <w:r>
        <w:rPr>
          <w:lang w:val="en-AU"/>
        </w:rPr>
        <w:t>Submission 27 to the PCJ inquiry</w:t>
      </w:r>
    </w:p>
  </w:footnote>
  <w:footnote w:id="22">
    <w:p w:rsidR="002434D9" w:rsidRPr="00CD6478" w:rsidRDefault="002434D9" w:rsidP="00B95D19">
      <w:pPr>
        <w:pStyle w:val="FootnoteText"/>
        <w:rPr>
          <w:lang w:val="en-AU"/>
        </w:rPr>
      </w:pPr>
      <w:r>
        <w:rPr>
          <w:rStyle w:val="FootnoteReference"/>
        </w:rPr>
        <w:footnoteRef/>
      </w:r>
      <w:r>
        <w:t xml:space="preserve"> </w:t>
      </w:r>
      <w:r>
        <w:rPr>
          <w:lang w:val="en-AU"/>
        </w:rPr>
        <w:t xml:space="preserve">See </w:t>
      </w:r>
      <w:r w:rsidRPr="00CD6478">
        <w:rPr>
          <w:i/>
          <w:lang w:val="en-AU"/>
        </w:rPr>
        <w:t>Fairness in Franchising</w:t>
      </w:r>
      <w:r>
        <w:rPr>
          <w:lang w:val="en-AU"/>
        </w:rPr>
        <w:t xml:space="preserve"> report, pages 16-17. </w:t>
      </w:r>
    </w:p>
  </w:footnote>
  <w:footnote w:id="23">
    <w:p w:rsidR="002434D9" w:rsidRPr="00B37B9A" w:rsidRDefault="002434D9">
      <w:pPr>
        <w:pStyle w:val="FootnoteText"/>
        <w:rPr>
          <w:lang w:val="en-AU"/>
        </w:rPr>
      </w:pPr>
      <w:r>
        <w:rPr>
          <w:rStyle w:val="FootnoteReference"/>
        </w:rPr>
        <w:footnoteRef/>
      </w:r>
      <w:r>
        <w:t xml:space="preserve"> This discussion considers costs and benefits associated with developing an online educational resource for the franchising sector; amending the Information Statement to </w:t>
      </w:r>
      <w:proofErr w:type="spellStart"/>
      <w:r w:rsidRPr="00B20F14">
        <w:t>emphasise</w:t>
      </w:r>
      <w:proofErr w:type="spellEnd"/>
      <w:r w:rsidRPr="00B20F14">
        <w:t xml:space="preserve"> the importance of prospective franchisees understanding Franchising Code requirements</w:t>
      </w:r>
      <w:r>
        <w:t xml:space="preserve"> and to</w:t>
      </w:r>
      <w:r w:rsidRPr="00EA1AA2">
        <w:t xml:space="preserve"> warn prospective franchisees of the need to obtain advice about restraints of trade before entering the agreement</w:t>
      </w:r>
      <w:r>
        <w:t>; raising</w:t>
      </w:r>
      <w:r w:rsidRPr="005949DE">
        <w:t xml:space="preserve"> awareness of the use of ‘no agent’ and ‘entire agreement’ clauses</w:t>
      </w:r>
      <w:r>
        <w:t>; providing e</w:t>
      </w:r>
      <w:r w:rsidRPr="005949DE">
        <w:t>ducation on best practice financial statements</w:t>
      </w:r>
      <w:r>
        <w:t>; providing e</w:t>
      </w:r>
      <w:r w:rsidRPr="005949DE">
        <w:t>ducation on distribution of unused marketing funds</w:t>
      </w:r>
      <w:r>
        <w:t>; improving</w:t>
      </w:r>
      <w:r w:rsidRPr="005949DE">
        <w:t xml:space="preserve"> awareness of wastage and shrinkage payments</w:t>
      </w:r>
      <w:r>
        <w:t>.</w:t>
      </w:r>
    </w:p>
  </w:footnote>
  <w:footnote w:id="24">
    <w:p w:rsidR="002434D9" w:rsidRPr="008D1504" w:rsidRDefault="002434D9" w:rsidP="004F2EE6">
      <w:pPr>
        <w:pStyle w:val="FootnoteText"/>
      </w:pPr>
      <w:r>
        <w:rPr>
          <w:rStyle w:val="FootnoteReference"/>
        </w:rPr>
        <w:footnoteRef/>
      </w:r>
      <w:r>
        <w:t xml:space="preserve"> </w:t>
      </w:r>
      <w:r w:rsidRPr="00405AA2">
        <w:t xml:space="preserve">This figure is based on </w:t>
      </w:r>
      <w:r>
        <w:t xml:space="preserve">DISER’s RIS </w:t>
      </w:r>
      <w:r w:rsidRPr="00043FD0">
        <w:rPr>
          <w:i/>
        </w:rPr>
        <w:t>Franchise relationships between car m</w:t>
      </w:r>
      <w:r>
        <w:rPr>
          <w:i/>
        </w:rPr>
        <w:t xml:space="preserve">anufacturers and new car dealer, </w:t>
      </w:r>
      <w:r>
        <w:t>released February 2020.</w:t>
      </w:r>
    </w:p>
  </w:footnote>
  <w:footnote w:id="25">
    <w:p w:rsidR="002434D9" w:rsidRPr="00043FD0" w:rsidRDefault="002434D9" w:rsidP="004F2EE6">
      <w:pPr>
        <w:pStyle w:val="FootnoteText"/>
      </w:pPr>
      <w:r>
        <w:rPr>
          <w:rStyle w:val="FootnoteReference"/>
        </w:rPr>
        <w:footnoteRef/>
      </w:r>
      <w:r>
        <w:t xml:space="preserve"> According to the Australian Bureau of Statistics Publication 6306.0 </w:t>
      </w:r>
      <w:r w:rsidRPr="00ED6C23">
        <w:rPr>
          <w:i/>
        </w:rPr>
        <w:t>Employee Earning and Hours Australia</w:t>
      </w:r>
      <w:r>
        <w:t xml:space="preserve"> (May 2018), the average weekly cash earnings of an owner manager of an incorporated enterprise is $1,486. Based on owners working a 38 hour week, this equates to approximately $39 per hour. This publication was released 22 January 2019 and is available from the </w:t>
      </w:r>
      <w:hyperlink r:id="rId5" w:history="1">
        <w:r w:rsidRPr="00043FD0">
          <w:rPr>
            <w:rStyle w:val="Hyperlink"/>
          </w:rPr>
          <w:t>Australian Bureau of Statistics website</w:t>
        </w:r>
      </w:hyperlink>
      <w:r>
        <w:t>.</w:t>
      </w:r>
    </w:p>
  </w:footnote>
  <w:footnote w:id="26">
    <w:p w:rsidR="002434D9" w:rsidRPr="00ED6C23" w:rsidRDefault="002434D9" w:rsidP="004F2EE6">
      <w:pPr>
        <w:pStyle w:val="FootnoteText"/>
        <w:rPr>
          <w:lang w:val="en-AU"/>
        </w:rPr>
      </w:pPr>
      <w:r>
        <w:rPr>
          <w:rStyle w:val="FootnoteReference"/>
        </w:rPr>
        <w:footnoteRef/>
      </w:r>
      <w:r>
        <w:t xml:space="preserve"> According to the Australian Bureau of Statistics Publication 6306.0 </w:t>
      </w:r>
      <w:r w:rsidRPr="00ED6C23">
        <w:rPr>
          <w:i/>
        </w:rPr>
        <w:t>Employee Earning and Hours Australia</w:t>
      </w:r>
      <w:r>
        <w:t xml:space="preserve"> (May 2018), the average weekly cash earnings of a non-managerial employee is $</w:t>
      </w:r>
      <w:r w:rsidRPr="00ED6C23">
        <w:t xml:space="preserve"> 1,227.30</w:t>
      </w:r>
      <w:r>
        <w:t xml:space="preserve">. Based on employees working a 38 hour week, this equates to approximately $32 per hour. This publication was released 22 January 2019 and is available from the </w:t>
      </w:r>
      <w:hyperlink r:id="rId6" w:history="1">
        <w:r w:rsidRPr="00043FD0">
          <w:rPr>
            <w:rStyle w:val="Hyperlink"/>
          </w:rPr>
          <w:t>Australian Bureau of Statistics website</w:t>
        </w:r>
      </w:hyperlink>
      <w:r>
        <w:t>.</w:t>
      </w:r>
    </w:p>
  </w:footnote>
  <w:footnote w:id="27">
    <w:p w:rsidR="002434D9" w:rsidRPr="008D1504" w:rsidRDefault="002434D9" w:rsidP="004F2EE6">
      <w:pPr>
        <w:pStyle w:val="FootnoteText"/>
      </w:pPr>
      <w:r>
        <w:rPr>
          <w:rStyle w:val="FootnoteReference"/>
        </w:rPr>
        <w:footnoteRef/>
      </w:r>
      <w:r>
        <w:t xml:space="preserve"> According to the Australian Bureau of Statistics Publication 6306.0 </w:t>
      </w:r>
      <w:r w:rsidRPr="00ED6C23">
        <w:rPr>
          <w:i/>
        </w:rPr>
        <w:t>Employee Earning and Hours Australia</w:t>
      </w:r>
      <w:r>
        <w:t xml:space="preserve"> (May 2018), the average weekly cash earnings of a managerial employee is $2,424.50. Based on employees working a 38 hour week, this equates to approximately $64 per hour. This publication was released 22 January 2019 and is available from the </w:t>
      </w:r>
      <w:hyperlink r:id="rId7" w:history="1">
        <w:r w:rsidRPr="00043FD0">
          <w:rPr>
            <w:rStyle w:val="Hyperlink"/>
          </w:rPr>
          <w:t>Australian Bureau of Statistics website</w:t>
        </w:r>
      </w:hyperlink>
      <w:r>
        <w:t>.</w:t>
      </w:r>
    </w:p>
  </w:footnote>
  <w:footnote w:id="28">
    <w:p w:rsidR="002434D9" w:rsidRPr="00183F05" w:rsidRDefault="002434D9" w:rsidP="004F2EE6">
      <w:pPr>
        <w:pStyle w:val="FootnoteText"/>
        <w:rPr>
          <w:lang w:val="en-AU"/>
        </w:rPr>
      </w:pPr>
      <w:r>
        <w:rPr>
          <w:rStyle w:val="FootnoteReference"/>
        </w:rPr>
        <w:footnoteRef/>
      </w:r>
      <w:r>
        <w:t xml:space="preserve"> </w:t>
      </w:r>
      <w:r>
        <w:rPr>
          <w:lang w:val="en-AU"/>
        </w:rPr>
        <w:t xml:space="preserve">Updated using data from IBISWorld September 2019 report and IBISWorld July 2020 report, based on calculations made in the 2014 franchising RIS which stated that </w:t>
      </w:r>
      <w:proofErr w:type="gramStart"/>
      <w:r w:rsidRPr="00183F05">
        <w:rPr>
          <w:lang w:val="en-AU"/>
        </w:rPr>
        <w:t>For</w:t>
      </w:r>
      <w:proofErr w:type="gramEnd"/>
      <w:r w:rsidRPr="00183F05">
        <w:rPr>
          <w:lang w:val="en-AU"/>
        </w:rPr>
        <w:t xml:space="preserve"> 2002 </w:t>
      </w:r>
      <w:r>
        <w:rPr>
          <w:lang w:val="en-AU"/>
        </w:rPr>
        <w:t xml:space="preserve">– 2012, there was an average of </w:t>
      </w:r>
      <w:r w:rsidRPr="00183F05">
        <w:rPr>
          <w:lang w:val="en-AU"/>
        </w:rPr>
        <w:t>1,890</w:t>
      </w:r>
      <w:r>
        <w:rPr>
          <w:lang w:val="en-AU"/>
        </w:rPr>
        <w:t xml:space="preserve"> new franchisees per year. Each </w:t>
      </w:r>
      <w:r w:rsidRPr="00183F05">
        <w:rPr>
          <w:lang w:val="en-AU"/>
        </w:rPr>
        <w:t>franchisor takes on an average of 1.6 new franchisees per year.</w:t>
      </w:r>
    </w:p>
  </w:footnote>
  <w:footnote w:id="29">
    <w:p w:rsidR="002434D9" w:rsidRPr="005E6FA4" w:rsidRDefault="002434D9" w:rsidP="004F2EE6">
      <w:pPr>
        <w:autoSpaceDE w:val="0"/>
        <w:autoSpaceDN w:val="0"/>
        <w:adjustRightInd w:val="0"/>
        <w:spacing w:after="0" w:line="240" w:lineRule="auto"/>
        <w:rPr>
          <w:rFonts w:ascii="Calibri" w:hAnsi="Calibri" w:cs="Calibri"/>
          <w:color w:val="000000"/>
          <w:sz w:val="18"/>
          <w:szCs w:val="18"/>
          <w:lang w:val="en-AU"/>
        </w:rPr>
      </w:pPr>
      <w:r>
        <w:rPr>
          <w:rStyle w:val="FootnoteReference"/>
        </w:rPr>
        <w:footnoteRef/>
      </w:r>
      <w:r>
        <w:rPr>
          <w:rFonts w:ascii="Calibri" w:hAnsi="Calibri" w:cs="Calibri"/>
          <w:color w:val="000000"/>
          <w:sz w:val="18"/>
          <w:szCs w:val="18"/>
          <w:lang w:val="en-AU"/>
        </w:rPr>
        <w:t xml:space="preserve">Research by Griffith University, presented in the Franchising Australia 2012 report (page 85). An electronic copy of the report is available from the </w:t>
      </w:r>
      <w:r>
        <w:rPr>
          <w:rFonts w:ascii="Calibri" w:hAnsi="Calibri" w:cs="Calibri"/>
          <w:color w:val="0000FF"/>
          <w:sz w:val="18"/>
          <w:szCs w:val="18"/>
          <w:lang w:val="en-AU"/>
        </w:rPr>
        <w:t>Griffith University website</w:t>
      </w:r>
      <w:r>
        <w:rPr>
          <w:rFonts w:ascii="Calibri" w:hAnsi="Calibri" w:cs="Calibri"/>
          <w:color w:val="000000"/>
          <w:sz w:val="18"/>
          <w:szCs w:val="18"/>
          <w:lang w:val="en-AU"/>
        </w:rPr>
        <w:t>.</w:t>
      </w:r>
    </w:p>
  </w:footnote>
  <w:footnote w:id="30">
    <w:p w:rsidR="002434D9" w:rsidRPr="009C5A79" w:rsidRDefault="002434D9" w:rsidP="004F2EE6">
      <w:pPr>
        <w:pStyle w:val="FootnoteText"/>
        <w:rPr>
          <w:lang w:val="en-AU"/>
        </w:rPr>
      </w:pPr>
      <w:r>
        <w:rPr>
          <w:rStyle w:val="FootnoteReference"/>
        </w:rPr>
        <w:footnoteRef/>
      </w:r>
      <w:r>
        <w:t xml:space="preserve"> </w:t>
      </w:r>
      <w:r>
        <w:rPr>
          <w:lang w:val="en-AU"/>
        </w:rPr>
        <w:t xml:space="preserve">2 hours of the franchisors time annually (the fact sheet will be updated once a year, in line with the obligation to update franchise disclosure documents annually) x $39 per hour x </w:t>
      </w:r>
      <w:r>
        <w:t>1,240 franchisors x 10 years = $</w:t>
      </w:r>
      <w:r w:rsidRPr="009C5A79">
        <w:t>967,200</w:t>
      </w:r>
      <w:r>
        <w:t>. This equates to an average annual regulatory cost of $96,72</w:t>
      </w:r>
      <w:r w:rsidRPr="009C5A79">
        <w:t>0</w:t>
      </w:r>
      <w:r>
        <w:t>. Note this figure is subject to change following stakeholder consultation on the final form of the Key Disclosure Information Fact Sheet, which will decide the final design of the Fact Sheet and therefore the time taken by franchisors to develop this documentation.</w:t>
      </w:r>
    </w:p>
  </w:footnote>
  <w:footnote w:id="31">
    <w:p w:rsidR="002434D9" w:rsidRPr="00F845F4" w:rsidRDefault="002434D9" w:rsidP="004F2EE6">
      <w:pPr>
        <w:pStyle w:val="FootnoteText"/>
        <w:rPr>
          <w:lang w:val="en-AU"/>
        </w:rPr>
      </w:pPr>
      <w:r>
        <w:rPr>
          <w:rStyle w:val="FootnoteReference"/>
        </w:rPr>
        <w:footnoteRef/>
      </w:r>
      <w:r>
        <w:t xml:space="preserve"> </w:t>
      </w:r>
      <w:r w:rsidRPr="00F845F4">
        <w:t xml:space="preserve">See full </w:t>
      </w:r>
      <w:r>
        <w:t xml:space="preserve">business costs </w:t>
      </w:r>
      <w:r w:rsidRPr="00F845F4">
        <w:t>of this measure below</w:t>
      </w:r>
      <w:r>
        <w:t xml:space="preserve">. </w:t>
      </w:r>
    </w:p>
  </w:footnote>
  <w:footnote w:id="32">
    <w:p w:rsidR="002434D9" w:rsidRPr="00360785" w:rsidRDefault="002434D9" w:rsidP="004F2EE6">
      <w:pPr>
        <w:pStyle w:val="FootnoteText"/>
      </w:pPr>
      <w:r>
        <w:rPr>
          <w:rStyle w:val="FootnoteReference"/>
        </w:rPr>
        <w:footnoteRef/>
      </w:r>
      <w:r>
        <w:t xml:space="preserve">Note that approximately 60 per cent of franchise systems have a marketing fund. Thus the burden will be </w:t>
      </w:r>
      <w:r>
        <w:rPr>
          <w:lang w:val="en-AU"/>
        </w:rPr>
        <w:t>2 hours annually x $39 per hour x (60% x 397 master franchisors) x 10 years = $</w:t>
      </w:r>
      <w:r w:rsidRPr="00221977">
        <w:rPr>
          <w:lang w:val="en-AU"/>
        </w:rPr>
        <w:t>185,796</w:t>
      </w:r>
      <w:r>
        <w:rPr>
          <w:lang w:val="en-AU"/>
        </w:rPr>
        <w:t xml:space="preserve">. </w:t>
      </w:r>
      <w:r w:rsidRPr="00A165DE">
        <w:rPr>
          <w:lang w:val="en-AU"/>
        </w:rPr>
        <w:t xml:space="preserve">This equates to an average annual regulatory cost of </w:t>
      </w:r>
      <w:r>
        <w:rPr>
          <w:lang w:val="en-AU"/>
        </w:rPr>
        <w:t>$18,580.</w:t>
      </w:r>
    </w:p>
  </w:footnote>
  <w:footnote w:id="33">
    <w:p w:rsidR="002434D9" w:rsidRPr="004F0321" w:rsidRDefault="002434D9" w:rsidP="004F2EE6">
      <w:pPr>
        <w:pStyle w:val="FootnoteText"/>
        <w:rPr>
          <w:lang w:val="en-AU"/>
        </w:rPr>
      </w:pPr>
      <w:r>
        <w:rPr>
          <w:rStyle w:val="FootnoteReference"/>
        </w:rPr>
        <w:footnoteRef/>
      </w:r>
      <w:r>
        <w:t xml:space="preserve"> </w:t>
      </w:r>
      <w:r>
        <w:rPr>
          <w:lang w:val="en-AU"/>
        </w:rPr>
        <w:t>See discussion on transitional legal costs below.</w:t>
      </w:r>
    </w:p>
  </w:footnote>
  <w:footnote w:id="34">
    <w:p w:rsidR="002434D9" w:rsidRPr="00A165DE" w:rsidRDefault="002434D9" w:rsidP="004F2EE6">
      <w:pPr>
        <w:pStyle w:val="FootnoteText"/>
        <w:rPr>
          <w:lang w:val="en-AU"/>
        </w:rPr>
      </w:pPr>
      <w:r>
        <w:rPr>
          <w:rStyle w:val="FootnoteReference"/>
        </w:rPr>
        <w:footnoteRef/>
      </w:r>
      <w:r>
        <w:t xml:space="preserve"> Approximately $</w:t>
      </w:r>
      <w:r w:rsidRPr="00221977">
        <w:t>3,919,340</w:t>
      </w:r>
    </w:p>
  </w:footnote>
  <w:footnote w:id="35">
    <w:p w:rsidR="002434D9" w:rsidRPr="00DF428F" w:rsidRDefault="002434D9" w:rsidP="004F2EE6">
      <w:pPr>
        <w:pStyle w:val="FootnoteText"/>
        <w:rPr>
          <w:lang w:val="en-AU"/>
        </w:rPr>
      </w:pPr>
      <w:r>
        <w:rPr>
          <w:rStyle w:val="FootnoteReference"/>
        </w:rPr>
        <w:footnoteRef/>
      </w:r>
      <w:r>
        <w:t xml:space="preserve"> </w:t>
      </w:r>
      <w:proofErr w:type="spellStart"/>
      <w:r>
        <w:t>FranchiseED</w:t>
      </w:r>
      <w:proofErr w:type="spellEnd"/>
      <w:r>
        <w:t xml:space="preserve">, 2018, </w:t>
      </w:r>
      <w:r w:rsidRPr="00DF428F">
        <w:rPr>
          <w:i/>
        </w:rPr>
        <w:t>Managing Franchise Agreements: Transfers and Renewals</w:t>
      </w:r>
      <w:r>
        <w:t xml:space="preserve">, accessed online at </w:t>
      </w:r>
      <w:hyperlink r:id="rId8" w:history="1">
        <w:r w:rsidRPr="00086316">
          <w:rPr>
            <w:rStyle w:val="Hyperlink"/>
          </w:rPr>
          <w:t>https://www.franchise-ed.org.au/franchisor/managing-franchise-agreements-transfers-and-renewals/</w:t>
        </w:r>
      </w:hyperlink>
    </w:p>
  </w:footnote>
  <w:footnote w:id="36">
    <w:p w:rsidR="002434D9" w:rsidRPr="00AB78F5" w:rsidRDefault="002434D9" w:rsidP="004F2EE6">
      <w:pPr>
        <w:pStyle w:val="FootnoteText"/>
        <w:rPr>
          <w:lang w:val="en-AU"/>
        </w:rPr>
      </w:pPr>
      <w:r>
        <w:rPr>
          <w:rStyle w:val="FootnoteReference"/>
        </w:rPr>
        <w:footnoteRef/>
      </w:r>
      <w:r>
        <w:t xml:space="preserve"> </w:t>
      </w:r>
      <w:r>
        <w:rPr>
          <w:lang w:val="en-AU"/>
        </w:rPr>
        <w:t>25% of 1,240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D9" w:rsidRPr="00666ED4" w:rsidRDefault="002434D9" w:rsidP="00150360">
    <w:pPr>
      <w:pStyle w:val="Header"/>
      <w:jc w:val="center"/>
      <w:rPr>
        <w:b/>
        <w:sz w:val="28"/>
      </w:rPr>
    </w:pPr>
    <w:r w:rsidRPr="00666ED4">
      <w:rPr>
        <w:b/>
        <w:sz w:val="28"/>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332"/>
    <w:multiLevelType w:val="multilevel"/>
    <w:tmpl w:val="E954E080"/>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2CD7DAC"/>
    <w:multiLevelType w:val="hybridMultilevel"/>
    <w:tmpl w:val="0DA83F5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495F6D"/>
    <w:multiLevelType w:val="hybridMultilevel"/>
    <w:tmpl w:val="C9101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8D0747"/>
    <w:multiLevelType w:val="hybridMultilevel"/>
    <w:tmpl w:val="ACDAC9C0"/>
    <w:lvl w:ilvl="0" w:tplc="5308BFBC">
      <w:numFmt w:val="bullet"/>
      <w:lvlText w:val="•"/>
      <w:lvlJc w:val="left"/>
      <w:pPr>
        <w:ind w:left="720" w:hanging="360"/>
      </w:pPr>
      <w:rPr>
        <w:rFonts w:ascii="Calibri" w:eastAsiaTheme="minorHAnsi" w:hAnsi="Calibri" w:cs="Calibr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74158"/>
    <w:multiLevelType w:val="hybridMultilevel"/>
    <w:tmpl w:val="FB767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A6565"/>
    <w:multiLevelType w:val="hybridMultilevel"/>
    <w:tmpl w:val="61D0E816"/>
    <w:lvl w:ilvl="0" w:tplc="A0A2106E">
      <w:numFmt w:val="bullet"/>
      <w:lvlText w:val="•"/>
      <w:lvlJc w:val="left"/>
      <w:pPr>
        <w:ind w:left="720" w:hanging="360"/>
      </w:pPr>
      <w:rPr>
        <w:rFonts w:ascii="Calibri" w:eastAsiaTheme="minorHAnsi" w:hAnsi="Calibri" w:cs="Calibri"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11E55"/>
    <w:multiLevelType w:val="hybridMultilevel"/>
    <w:tmpl w:val="D71A9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4456BD"/>
    <w:multiLevelType w:val="hybridMultilevel"/>
    <w:tmpl w:val="B23C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B313A"/>
    <w:multiLevelType w:val="multilevel"/>
    <w:tmpl w:val="817042C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B22145"/>
    <w:multiLevelType w:val="hybridMultilevel"/>
    <w:tmpl w:val="2004B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384820"/>
    <w:multiLevelType w:val="hybridMultilevel"/>
    <w:tmpl w:val="7F44D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AA56A7"/>
    <w:multiLevelType w:val="hybridMultilevel"/>
    <w:tmpl w:val="2996B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73087"/>
    <w:multiLevelType w:val="hybridMultilevel"/>
    <w:tmpl w:val="BD666C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9286468"/>
    <w:multiLevelType w:val="hybridMultilevel"/>
    <w:tmpl w:val="7AD49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836855"/>
    <w:multiLevelType w:val="multilevel"/>
    <w:tmpl w:val="6A7ED326"/>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B0732AD"/>
    <w:multiLevelType w:val="hybridMultilevel"/>
    <w:tmpl w:val="1F08EF24"/>
    <w:styleLink w:val="NumberedLis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2B15FB"/>
    <w:multiLevelType w:val="hybridMultilevel"/>
    <w:tmpl w:val="D416D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B23BD5"/>
    <w:multiLevelType w:val="hybridMultilevel"/>
    <w:tmpl w:val="3E743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512035"/>
    <w:multiLevelType w:val="hybridMultilevel"/>
    <w:tmpl w:val="8D78C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313E07"/>
    <w:multiLevelType w:val="hybridMultilevel"/>
    <w:tmpl w:val="9CA84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4014CE"/>
    <w:multiLevelType w:val="hybridMultilevel"/>
    <w:tmpl w:val="AD4A7AE6"/>
    <w:lvl w:ilvl="0" w:tplc="A0A2106E">
      <w:numFmt w:val="bullet"/>
      <w:lvlText w:val="•"/>
      <w:lvlJc w:val="left"/>
      <w:pPr>
        <w:ind w:left="720" w:hanging="360"/>
      </w:pPr>
      <w:rPr>
        <w:rFonts w:ascii="Calibri" w:eastAsiaTheme="minorHAnsi" w:hAnsi="Calibri" w:cs="Calibri"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4827C1"/>
    <w:multiLevelType w:val="hybridMultilevel"/>
    <w:tmpl w:val="A9BE8FEA"/>
    <w:lvl w:ilvl="0" w:tplc="EDE40164">
      <w:start w:val="6"/>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2" w15:restartNumberingAfterBreak="0">
    <w:nsid w:val="576209F4"/>
    <w:multiLevelType w:val="hybridMultilevel"/>
    <w:tmpl w:val="FCCE1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4212B"/>
    <w:multiLevelType w:val="hybridMultilevel"/>
    <w:tmpl w:val="2C5080F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623BAB"/>
    <w:multiLevelType w:val="hybridMultilevel"/>
    <w:tmpl w:val="A8E6F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79577C"/>
    <w:multiLevelType w:val="hybridMultilevel"/>
    <w:tmpl w:val="0C0EDFDC"/>
    <w:lvl w:ilvl="0" w:tplc="95E2A9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490622"/>
    <w:multiLevelType w:val="multilevel"/>
    <w:tmpl w:val="F3E8BCB2"/>
    <w:lvl w:ilvl="0">
      <w:start w:val="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D4189D"/>
    <w:multiLevelType w:val="multilevel"/>
    <w:tmpl w:val="F5CC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DC4065"/>
    <w:multiLevelType w:val="hybridMultilevel"/>
    <w:tmpl w:val="10CCD15C"/>
    <w:lvl w:ilvl="0" w:tplc="95E2A9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7A49CA"/>
    <w:multiLevelType w:val="hybridMultilevel"/>
    <w:tmpl w:val="239A5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813F62"/>
    <w:multiLevelType w:val="hybridMultilevel"/>
    <w:tmpl w:val="0A98D910"/>
    <w:lvl w:ilvl="0" w:tplc="3D123B72">
      <w:numFmt w:val="bullet"/>
      <w:lvlText w:val=""/>
      <w:lvlJc w:val="left"/>
      <w:pPr>
        <w:ind w:left="780" w:hanging="42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202381"/>
    <w:multiLevelType w:val="hybridMultilevel"/>
    <w:tmpl w:val="A1B4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F97774"/>
    <w:multiLevelType w:val="hybridMultilevel"/>
    <w:tmpl w:val="C4AC7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44B91"/>
    <w:multiLevelType w:val="multilevel"/>
    <w:tmpl w:val="8E4A59D6"/>
    <w:name w:val="StandardBulletedList"/>
    <w:lvl w:ilvl="0">
      <w:start w:val="1"/>
      <w:numFmt w:val="bullet"/>
      <w:pStyle w:val="Bullet"/>
      <w:lvlText w:val="•"/>
      <w:lvlJc w:val="left"/>
      <w:pPr>
        <w:tabs>
          <w:tab w:val="num" w:pos="1240"/>
        </w:tabs>
        <w:ind w:left="1240" w:hanging="520"/>
      </w:pPr>
      <w:rPr>
        <w:rFonts w:ascii="Times New Roman" w:hAnsi="Times New Roman" w:cs="Times New Roman"/>
      </w:rPr>
    </w:lvl>
    <w:lvl w:ilvl="1">
      <w:start w:val="1"/>
      <w:numFmt w:val="bullet"/>
      <w:pStyle w:val="Dash"/>
      <w:lvlText w:val="–"/>
      <w:lvlJc w:val="left"/>
      <w:pPr>
        <w:tabs>
          <w:tab w:val="num" w:pos="1760"/>
        </w:tabs>
        <w:ind w:left="1760" w:hanging="520"/>
      </w:pPr>
      <w:rPr>
        <w:rFonts w:ascii="Times New Roman" w:hAnsi="Times New Roman" w:cs="Times New Roman"/>
      </w:rPr>
    </w:lvl>
    <w:lvl w:ilvl="2">
      <w:start w:val="1"/>
      <w:numFmt w:val="bullet"/>
      <w:pStyle w:val="DoubleDot"/>
      <w:lvlText w:val=":"/>
      <w:lvlJc w:val="left"/>
      <w:pPr>
        <w:tabs>
          <w:tab w:val="num" w:pos="2280"/>
        </w:tabs>
        <w:ind w:left="228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4" w15:restartNumberingAfterBreak="0">
    <w:nsid w:val="7ADC1CF0"/>
    <w:multiLevelType w:val="hybridMultilevel"/>
    <w:tmpl w:val="C3F8BD84"/>
    <w:lvl w:ilvl="0" w:tplc="FC88B574">
      <w:numFmt w:val="bullet"/>
      <w:lvlText w:val="•"/>
      <w:lvlJc w:val="left"/>
      <w:pPr>
        <w:ind w:left="720" w:hanging="360"/>
      </w:pPr>
      <w:rPr>
        <w:rFonts w:ascii="Calibri" w:eastAsiaTheme="minorHAnsi" w:hAnsi="Calibri" w:cs="Calibr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B820A8"/>
    <w:multiLevelType w:val="hybridMultilevel"/>
    <w:tmpl w:val="018CC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4"/>
  </w:num>
  <w:num w:numId="4">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0"/>
  </w:num>
  <w:num w:numId="7">
    <w:abstractNumId w:val="8"/>
  </w:num>
  <w:num w:numId="8">
    <w:abstractNumId w:val="1"/>
  </w:num>
  <w:num w:numId="9">
    <w:abstractNumId w:val="2"/>
  </w:num>
  <w:num w:numId="10">
    <w:abstractNumId w:val="14"/>
  </w:num>
  <w:num w:numId="11">
    <w:abstractNumId w:val="15"/>
  </w:num>
  <w:num w:numId="12">
    <w:abstractNumId w:val="34"/>
  </w:num>
  <w:num w:numId="13">
    <w:abstractNumId w:val="26"/>
  </w:num>
  <w:num w:numId="14">
    <w:abstractNumId w:val="28"/>
  </w:num>
  <w:num w:numId="15">
    <w:abstractNumId w:val="25"/>
  </w:num>
  <w:num w:numId="16">
    <w:abstractNumId w:val="7"/>
  </w:num>
  <w:num w:numId="17">
    <w:abstractNumId w:val="21"/>
  </w:num>
  <w:num w:numId="18">
    <w:abstractNumId w:val="23"/>
  </w:num>
  <w:num w:numId="19">
    <w:abstractNumId w:val="10"/>
  </w:num>
  <w:num w:numId="20">
    <w:abstractNumId w:val="13"/>
  </w:num>
  <w:num w:numId="21">
    <w:abstractNumId w:val="31"/>
  </w:num>
  <w:num w:numId="22">
    <w:abstractNumId w:val="11"/>
  </w:num>
  <w:num w:numId="23">
    <w:abstractNumId w:val="12"/>
  </w:num>
  <w:num w:numId="24">
    <w:abstractNumId w:val="35"/>
  </w:num>
  <w:num w:numId="25">
    <w:abstractNumId w:val="32"/>
  </w:num>
  <w:num w:numId="26">
    <w:abstractNumId w:val="4"/>
  </w:num>
  <w:num w:numId="27">
    <w:abstractNumId w:val="19"/>
  </w:num>
  <w:num w:numId="28">
    <w:abstractNumId w:val="9"/>
  </w:num>
  <w:num w:numId="29">
    <w:abstractNumId w:val="29"/>
  </w:num>
  <w:num w:numId="30">
    <w:abstractNumId w:val="3"/>
  </w:num>
  <w:num w:numId="31">
    <w:abstractNumId w:val="5"/>
  </w:num>
  <w:num w:numId="32">
    <w:abstractNumId w:val="20"/>
  </w:num>
  <w:num w:numId="33">
    <w:abstractNumId w:val="6"/>
  </w:num>
  <w:num w:numId="34">
    <w:abstractNumId w:val="18"/>
  </w:num>
  <w:num w:numId="35">
    <w:abstractNumId w:val="16"/>
  </w:num>
  <w:num w:numId="36">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6E"/>
    <w:rsid w:val="00002892"/>
    <w:rsid w:val="00002BB0"/>
    <w:rsid w:val="000075E3"/>
    <w:rsid w:val="0001196A"/>
    <w:rsid w:val="00014083"/>
    <w:rsid w:val="0001590E"/>
    <w:rsid w:val="000160C4"/>
    <w:rsid w:val="0001689F"/>
    <w:rsid w:val="00017C5F"/>
    <w:rsid w:val="000220D5"/>
    <w:rsid w:val="00023D5B"/>
    <w:rsid w:val="00025CD3"/>
    <w:rsid w:val="00026858"/>
    <w:rsid w:val="00026FBF"/>
    <w:rsid w:val="000320B2"/>
    <w:rsid w:val="00032C74"/>
    <w:rsid w:val="00034AAF"/>
    <w:rsid w:val="00035817"/>
    <w:rsid w:val="00037168"/>
    <w:rsid w:val="00040DC0"/>
    <w:rsid w:val="000429ED"/>
    <w:rsid w:val="0004568E"/>
    <w:rsid w:val="000505E0"/>
    <w:rsid w:val="000519FC"/>
    <w:rsid w:val="0005428B"/>
    <w:rsid w:val="00055701"/>
    <w:rsid w:val="00056935"/>
    <w:rsid w:val="00056F2F"/>
    <w:rsid w:val="00057CD3"/>
    <w:rsid w:val="000612CC"/>
    <w:rsid w:val="0006321B"/>
    <w:rsid w:val="000634C3"/>
    <w:rsid w:val="00063760"/>
    <w:rsid w:val="000656D8"/>
    <w:rsid w:val="00066D6D"/>
    <w:rsid w:val="000718D0"/>
    <w:rsid w:val="00073334"/>
    <w:rsid w:val="00073821"/>
    <w:rsid w:val="00073EA4"/>
    <w:rsid w:val="00074FFD"/>
    <w:rsid w:val="00076386"/>
    <w:rsid w:val="000769FB"/>
    <w:rsid w:val="00076C07"/>
    <w:rsid w:val="00077793"/>
    <w:rsid w:val="0008198A"/>
    <w:rsid w:val="0008225C"/>
    <w:rsid w:val="00085157"/>
    <w:rsid w:val="00092D27"/>
    <w:rsid w:val="00092D44"/>
    <w:rsid w:val="000932B2"/>
    <w:rsid w:val="000951C0"/>
    <w:rsid w:val="000966FA"/>
    <w:rsid w:val="000A0617"/>
    <w:rsid w:val="000A4209"/>
    <w:rsid w:val="000A4CAD"/>
    <w:rsid w:val="000A4E84"/>
    <w:rsid w:val="000A5CBC"/>
    <w:rsid w:val="000A6993"/>
    <w:rsid w:val="000A76D7"/>
    <w:rsid w:val="000B153F"/>
    <w:rsid w:val="000B29C0"/>
    <w:rsid w:val="000B2AAF"/>
    <w:rsid w:val="000B5A94"/>
    <w:rsid w:val="000C21CA"/>
    <w:rsid w:val="000C4DD3"/>
    <w:rsid w:val="000C55A8"/>
    <w:rsid w:val="000D2ED6"/>
    <w:rsid w:val="000D58FC"/>
    <w:rsid w:val="000D73BD"/>
    <w:rsid w:val="000D7EE9"/>
    <w:rsid w:val="000E3545"/>
    <w:rsid w:val="000E7013"/>
    <w:rsid w:val="000F4F28"/>
    <w:rsid w:val="000F5FB8"/>
    <w:rsid w:val="000F7D81"/>
    <w:rsid w:val="00101FA2"/>
    <w:rsid w:val="00102FE2"/>
    <w:rsid w:val="00103D99"/>
    <w:rsid w:val="0010561B"/>
    <w:rsid w:val="00107DB6"/>
    <w:rsid w:val="00110CEC"/>
    <w:rsid w:val="00116B71"/>
    <w:rsid w:val="00116C93"/>
    <w:rsid w:val="0011753F"/>
    <w:rsid w:val="00122625"/>
    <w:rsid w:val="00122660"/>
    <w:rsid w:val="00122E0E"/>
    <w:rsid w:val="0012364B"/>
    <w:rsid w:val="00124140"/>
    <w:rsid w:val="00127F52"/>
    <w:rsid w:val="00131692"/>
    <w:rsid w:val="00132FFE"/>
    <w:rsid w:val="0013500B"/>
    <w:rsid w:val="0013660F"/>
    <w:rsid w:val="00136B9A"/>
    <w:rsid w:val="001375C6"/>
    <w:rsid w:val="0014086A"/>
    <w:rsid w:val="001416D2"/>
    <w:rsid w:val="00142C7A"/>
    <w:rsid w:val="001454A8"/>
    <w:rsid w:val="00150360"/>
    <w:rsid w:val="001527A2"/>
    <w:rsid w:val="00153249"/>
    <w:rsid w:val="001600E6"/>
    <w:rsid w:val="00160979"/>
    <w:rsid w:val="00160E20"/>
    <w:rsid w:val="00161BC1"/>
    <w:rsid w:val="00164E66"/>
    <w:rsid w:val="00164EC8"/>
    <w:rsid w:val="00167923"/>
    <w:rsid w:val="0017459E"/>
    <w:rsid w:val="001754FD"/>
    <w:rsid w:val="00175673"/>
    <w:rsid w:val="00180A2C"/>
    <w:rsid w:val="00180CFF"/>
    <w:rsid w:val="00181DD3"/>
    <w:rsid w:val="00184244"/>
    <w:rsid w:val="00184344"/>
    <w:rsid w:val="00184D06"/>
    <w:rsid w:val="001861A9"/>
    <w:rsid w:val="00190581"/>
    <w:rsid w:val="00191AF1"/>
    <w:rsid w:val="00194142"/>
    <w:rsid w:val="001955E3"/>
    <w:rsid w:val="00196E25"/>
    <w:rsid w:val="00197285"/>
    <w:rsid w:val="001A0FC3"/>
    <w:rsid w:val="001A5008"/>
    <w:rsid w:val="001A631B"/>
    <w:rsid w:val="001A6CDE"/>
    <w:rsid w:val="001B5D4E"/>
    <w:rsid w:val="001B7605"/>
    <w:rsid w:val="001C2144"/>
    <w:rsid w:val="001C37DE"/>
    <w:rsid w:val="001C46F5"/>
    <w:rsid w:val="001C7143"/>
    <w:rsid w:val="001C7246"/>
    <w:rsid w:val="001D0F25"/>
    <w:rsid w:val="001D17C8"/>
    <w:rsid w:val="001D296D"/>
    <w:rsid w:val="001D436C"/>
    <w:rsid w:val="001D47E6"/>
    <w:rsid w:val="001D5F67"/>
    <w:rsid w:val="001D6E60"/>
    <w:rsid w:val="001E16BC"/>
    <w:rsid w:val="001E34CE"/>
    <w:rsid w:val="001E58A0"/>
    <w:rsid w:val="001E5F1D"/>
    <w:rsid w:val="001F080A"/>
    <w:rsid w:val="001F1E6D"/>
    <w:rsid w:val="001F1E82"/>
    <w:rsid w:val="001F3E4F"/>
    <w:rsid w:val="001F4B1D"/>
    <w:rsid w:val="001F5EE0"/>
    <w:rsid w:val="001F7252"/>
    <w:rsid w:val="00200DBA"/>
    <w:rsid w:val="00201F8D"/>
    <w:rsid w:val="00202CEA"/>
    <w:rsid w:val="00202D34"/>
    <w:rsid w:val="00202E88"/>
    <w:rsid w:val="00210610"/>
    <w:rsid w:val="00210A7C"/>
    <w:rsid w:val="00214B43"/>
    <w:rsid w:val="00220569"/>
    <w:rsid w:val="002211E5"/>
    <w:rsid w:val="00231724"/>
    <w:rsid w:val="002324F5"/>
    <w:rsid w:val="00234D08"/>
    <w:rsid w:val="00236ED2"/>
    <w:rsid w:val="00237D57"/>
    <w:rsid w:val="00240205"/>
    <w:rsid w:val="00240E54"/>
    <w:rsid w:val="002434D9"/>
    <w:rsid w:val="00244499"/>
    <w:rsid w:val="00244729"/>
    <w:rsid w:val="00245AE2"/>
    <w:rsid w:val="002551EB"/>
    <w:rsid w:val="00256A8F"/>
    <w:rsid w:val="0025710B"/>
    <w:rsid w:val="002571A4"/>
    <w:rsid w:val="00257E7A"/>
    <w:rsid w:val="00265F7C"/>
    <w:rsid w:val="00271A02"/>
    <w:rsid w:val="00272C00"/>
    <w:rsid w:val="0027342C"/>
    <w:rsid w:val="00274831"/>
    <w:rsid w:val="00275483"/>
    <w:rsid w:val="00275AF0"/>
    <w:rsid w:val="00275BDE"/>
    <w:rsid w:val="0028098D"/>
    <w:rsid w:val="002814FA"/>
    <w:rsid w:val="00282682"/>
    <w:rsid w:val="0028544F"/>
    <w:rsid w:val="002861C3"/>
    <w:rsid w:val="002908D8"/>
    <w:rsid w:val="00290A9F"/>
    <w:rsid w:val="00292615"/>
    <w:rsid w:val="002938AE"/>
    <w:rsid w:val="002A3566"/>
    <w:rsid w:val="002A568A"/>
    <w:rsid w:val="002B1BE8"/>
    <w:rsid w:val="002B361A"/>
    <w:rsid w:val="002B4D7B"/>
    <w:rsid w:val="002B7151"/>
    <w:rsid w:val="002C364C"/>
    <w:rsid w:val="002C5C18"/>
    <w:rsid w:val="002D1555"/>
    <w:rsid w:val="002D3E55"/>
    <w:rsid w:val="002D49AC"/>
    <w:rsid w:val="002D53DE"/>
    <w:rsid w:val="002E0191"/>
    <w:rsid w:val="002E091A"/>
    <w:rsid w:val="002E0DB0"/>
    <w:rsid w:val="002E2D93"/>
    <w:rsid w:val="002E5DD5"/>
    <w:rsid w:val="002F054D"/>
    <w:rsid w:val="002F0E3C"/>
    <w:rsid w:val="002F1B04"/>
    <w:rsid w:val="002F3516"/>
    <w:rsid w:val="002F3C20"/>
    <w:rsid w:val="002F56E0"/>
    <w:rsid w:val="002F57B9"/>
    <w:rsid w:val="0030151B"/>
    <w:rsid w:val="0030199C"/>
    <w:rsid w:val="00302DE5"/>
    <w:rsid w:val="00303131"/>
    <w:rsid w:val="003033F3"/>
    <w:rsid w:val="00305718"/>
    <w:rsid w:val="00307264"/>
    <w:rsid w:val="003126D1"/>
    <w:rsid w:val="00312D09"/>
    <w:rsid w:val="00314AAA"/>
    <w:rsid w:val="00314C3D"/>
    <w:rsid w:val="00315361"/>
    <w:rsid w:val="0032201B"/>
    <w:rsid w:val="003237D5"/>
    <w:rsid w:val="00324417"/>
    <w:rsid w:val="003246F7"/>
    <w:rsid w:val="00325488"/>
    <w:rsid w:val="003262B0"/>
    <w:rsid w:val="003270EA"/>
    <w:rsid w:val="00335AC5"/>
    <w:rsid w:val="00336739"/>
    <w:rsid w:val="00336B5A"/>
    <w:rsid w:val="00337531"/>
    <w:rsid w:val="0034277C"/>
    <w:rsid w:val="00342FFD"/>
    <w:rsid w:val="003433A1"/>
    <w:rsid w:val="00345347"/>
    <w:rsid w:val="00345652"/>
    <w:rsid w:val="00345C8C"/>
    <w:rsid w:val="00346A32"/>
    <w:rsid w:val="00347480"/>
    <w:rsid w:val="00350C66"/>
    <w:rsid w:val="003522A6"/>
    <w:rsid w:val="00352F3D"/>
    <w:rsid w:val="00353288"/>
    <w:rsid w:val="00353C47"/>
    <w:rsid w:val="00353D79"/>
    <w:rsid w:val="00363607"/>
    <w:rsid w:val="003639FE"/>
    <w:rsid w:val="00367C4D"/>
    <w:rsid w:val="00371254"/>
    <w:rsid w:val="00372D29"/>
    <w:rsid w:val="003734A8"/>
    <w:rsid w:val="00375A67"/>
    <w:rsid w:val="00375C5B"/>
    <w:rsid w:val="003778EB"/>
    <w:rsid w:val="00381A35"/>
    <w:rsid w:val="00382594"/>
    <w:rsid w:val="00383364"/>
    <w:rsid w:val="00384436"/>
    <w:rsid w:val="003848A2"/>
    <w:rsid w:val="003863D8"/>
    <w:rsid w:val="00390103"/>
    <w:rsid w:val="003901A0"/>
    <w:rsid w:val="0039331F"/>
    <w:rsid w:val="00394895"/>
    <w:rsid w:val="003A01D6"/>
    <w:rsid w:val="003A13F5"/>
    <w:rsid w:val="003A16C1"/>
    <w:rsid w:val="003A2A29"/>
    <w:rsid w:val="003A42BB"/>
    <w:rsid w:val="003A4B56"/>
    <w:rsid w:val="003A5939"/>
    <w:rsid w:val="003B1628"/>
    <w:rsid w:val="003B2BAB"/>
    <w:rsid w:val="003B3634"/>
    <w:rsid w:val="003B42D9"/>
    <w:rsid w:val="003B4798"/>
    <w:rsid w:val="003B7073"/>
    <w:rsid w:val="003C2AA4"/>
    <w:rsid w:val="003C4313"/>
    <w:rsid w:val="003C552F"/>
    <w:rsid w:val="003C5A12"/>
    <w:rsid w:val="003C6838"/>
    <w:rsid w:val="003C6FBE"/>
    <w:rsid w:val="003D1833"/>
    <w:rsid w:val="003D3366"/>
    <w:rsid w:val="003D6494"/>
    <w:rsid w:val="003E0A43"/>
    <w:rsid w:val="003E146E"/>
    <w:rsid w:val="003E347D"/>
    <w:rsid w:val="003E3502"/>
    <w:rsid w:val="003E4010"/>
    <w:rsid w:val="003E52C1"/>
    <w:rsid w:val="003E6704"/>
    <w:rsid w:val="003E677B"/>
    <w:rsid w:val="003E7A7F"/>
    <w:rsid w:val="003F3C03"/>
    <w:rsid w:val="003F7317"/>
    <w:rsid w:val="003F7E06"/>
    <w:rsid w:val="0040210E"/>
    <w:rsid w:val="004068EE"/>
    <w:rsid w:val="0041115B"/>
    <w:rsid w:val="00411C89"/>
    <w:rsid w:val="00411EEF"/>
    <w:rsid w:val="0041488F"/>
    <w:rsid w:val="00421FA8"/>
    <w:rsid w:val="00424B8B"/>
    <w:rsid w:val="00426585"/>
    <w:rsid w:val="00431C36"/>
    <w:rsid w:val="00431FE5"/>
    <w:rsid w:val="0043351A"/>
    <w:rsid w:val="00433775"/>
    <w:rsid w:val="004337C1"/>
    <w:rsid w:val="00434656"/>
    <w:rsid w:val="004346CB"/>
    <w:rsid w:val="0044209A"/>
    <w:rsid w:val="004447B4"/>
    <w:rsid w:val="00444AC6"/>
    <w:rsid w:val="0044608E"/>
    <w:rsid w:val="004546BF"/>
    <w:rsid w:val="0045594D"/>
    <w:rsid w:val="00455A86"/>
    <w:rsid w:val="00457895"/>
    <w:rsid w:val="00460D6F"/>
    <w:rsid w:val="00461586"/>
    <w:rsid w:val="004639EC"/>
    <w:rsid w:val="004676F2"/>
    <w:rsid w:val="00467C85"/>
    <w:rsid w:val="00473013"/>
    <w:rsid w:val="00474B0A"/>
    <w:rsid w:val="004754B7"/>
    <w:rsid w:val="0047630D"/>
    <w:rsid w:val="004808F9"/>
    <w:rsid w:val="004809FF"/>
    <w:rsid w:val="004909D3"/>
    <w:rsid w:val="00492012"/>
    <w:rsid w:val="00492560"/>
    <w:rsid w:val="00492715"/>
    <w:rsid w:val="004959C2"/>
    <w:rsid w:val="004960CB"/>
    <w:rsid w:val="004964E7"/>
    <w:rsid w:val="004A0284"/>
    <w:rsid w:val="004A0956"/>
    <w:rsid w:val="004A307B"/>
    <w:rsid w:val="004B5534"/>
    <w:rsid w:val="004C074E"/>
    <w:rsid w:val="004C0F88"/>
    <w:rsid w:val="004C52D0"/>
    <w:rsid w:val="004C5C55"/>
    <w:rsid w:val="004D04F3"/>
    <w:rsid w:val="004D21A0"/>
    <w:rsid w:val="004D6F69"/>
    <w:rsid w:val="004D7676"/>
    <w:rsid w:val="004E1881"/>
    <w:rsid w:val="004E1A10"/>
    <w:rsid w:val="004E1E62"/>
    <w:rsid w:val="004E37AC"/>
    <w:rsid w:val="004E4A1A"/>
    <w:rsid w:val="004E578F"/>
    <w:rsid w:val="004E5C44"/>
    <w:rsid w:val="004E69C4"/>
    <w:rsid w:val="004E7CF6"/>
    <w:rsid w:val="004F1077"/>
    <w:rsid w:val="004F1482"/>
    <w:rsid w:val="004F18D6"/>
    <w:rsid w:val="004F2EE6"/>
    <w:rsid w:val="004F3A59"/>
    <w:rsid w:val="004F50EC"/>
    <w:rsid w:val="00505AED"/>
    <w:rsid w:val="00505DCD"/>
    <w:rsid w:val="00506209"/>
    <w:rsid w:val="00506CE5"/>
    <w:rsid w:val="00507A22"/>
    <w:rsid w:val="00510907"/>
    <w:rsid w:val="00510D80"/>
    <w:rsid w:val="00512B55"/>
    <w:rsid w:val="00512EC9"/>
    <w:rsid w:val="005131B4"/>
    <w:rsid w:val="0051497F"/>
    <w:rsid w:val="00515238"/>
    <w:rsid w:val="00520EDC"/>
    <w:rsid w:val="005215CB"/>
    <w:rsid w:val="00522404"/>
    <w:rsid w:val="00524601"/>
    <w:rsid w:val="005255FF"/>
    <w:rsid w:val="00525DB5"/>
    <w:rsid w:val="00526AB7"/>
    <w:rsid w:val="005277B1"/>
    <w:rsid w:val="00530279"/>
    <w:rsid w:val="005321C3"/>
    <w:rsid w:val="00533DAC"/>
    <w:rsid w:val="00534DF1"/>
    <w:rsid w:val="005352D3"/>
    <w:rsid w:val="00535F3C"/>
    <w:rsid w:val="005418B2"/>
    <w:rsid w:val="0054265A"/>
    <w:rsid w:val="00542C85"/>
    <w:rsid w:val="005455D7"/>
    <w:rsid w:val="00546A31"/>
    <w:rsid w:val="00546BA8"/>
    <w:rsid w:val="005502C9"/>
    <w:rsid w:val="005504B9"/>
    <w:rsid w:val="00551585"/>
    <w:rsid w:val="00551A18"/>
    <w:rsid w:val="0055264D"/>
    <w:rsid w:val="0055586A"/>
    <w:rsid w:val="0055763A"/>
    <w:rsid w:val="00560EC7"/>
    <w:rsid w:val="00561E69"/>
    <w:rsid w:val="005628FC"/>
    <w:rsid w:val="00563329"/>
    <w:rsid w:val="00563762"/>
    <w:rsid w:val="00564556"/>
    <w:rsid w:val="005646D1"/>
    <w:rsid w:val="00564AA4"/>
    <w:rsid w:val="00570FE8"/>
    <w:rsid w:val="00576B26"/>
    <w:rsid w:val="0057735A"/>
    <w:rsid w:val="0058434E"/>
    <w:rsid w:val="00584DD7"/>
    <w:rsid w:val="005861BC"/>
    <w:rsid w:val="0058626F"/>
    <w:rsid w:val="00587048"/>
    <w:rsid w:val="005913C0"/>
    <w:rsid w:val="005917A1"/>
    <w:rsid w:val="005A06C9"/>
    <w:rsid w:val="005A315B"/>
    <w:rsid w:val="005A373F"/>
    <w:rsid w:val="005A39DC"/>
    <w:rsid w:val="005A3B8B"/>
    <w:rsid w:val="005A4C2E"/>
    <w:rsid w:val="005A5A40"/>
    <w:rsid w:val="005A7657"/>
    <w:rsid w:val="005A76FA"/>
    <w:rsid w:val="005A7B92"/>
    <w:rsid w:val="005A7FC5"/>
    <w:rsid w:val="005B0215"/>
    <w:rsid w:val="005B0DDF"/>
    <w:rsid w:val="005B1347"/>
    <w:rsid w:val="005B3D53"/>
    <w:rsid w:val="005B4480"/>
    <w:rsid w:val="005B6694"/>
    <w:rsid w:val="005C5F77"/>
    <w:rsid w:val="005C617B"/>
    <w:rsid w:val="005C64DF"/>
    <w:rsid w:val="005C6959"/>
    <w:rsid w:val="005D24A7"/>
    <w:rsid w:val="005D367C"/>
    <w:rsid w:val="005D36B6"/>
    <w:rsid w:val="005D7D49"/>
    <w:rsid w:val="005D7F0A"/>
    <w:rsid w:val="005E07B4"/>
    <w:rsid w:val="005E1F26"/>
    <w:rsid w:val="005E317E"/>
    <w:rsid w:val="005E52F4"/>
    <w:rsid w:val="005E7CA0"/>
    <w:rsid w:val="005E7F6E"/>
    <w:rsid w:val="005F0EC2"/>
    <w:rsid w:val="005F280A"/>
    <w:rsid w:val="005F34BF"/>
    <w:rsid w:val="005F4492"/>
    <w:rsid w:val="006013F9"/>
    <w:rsid w:val="006018AA"/>
    <w:rsid w:val="00601CBE"/>
    <w:rsid w:val="00601E69"/>
    <w:rsid w:val="00602858"/>
    <w:rsid w:val="00604D40"/>
    <w:rsid w:val="00605318"/>
    <w:rsid w:val="00611476"/>
    <w:rsid w:val="0061261F"/>
    <w:rsid w:val="00612F35"/>
    <w:rsid w:val="00613CB3"/>
    <w:rsid w:val="00621AE0"/>
    <w:rsid w:val="00622017"/>
    <w:rsid w:val="00622276"/>
    <w:rsid w:val="00626595"/>
    <w:rsid w:val="00626597"/>
    <w:rsid w:val="006269C2"/>
    <w:rsid w:val="00626A25"/>
    <w:rsid w:val="00626D20"/>
    <w:rsid w:val="00633634"/>
    <w:rsid w:val="00634D34"/>
    <w:rsid w:val="006377B5"/>
    <w:rsid w:val="00650BC5"/>
    <w:rsid w:val="00651649"/>
    <w:rsid w:val="00665DCF"/>
    <w:rsid w:val="0066698A"/>
    <w:rsid w:val="00667976"/>
    <w:rsid w:val="00667ED1"/>
    <w:rsid w:val="006701BA"/>
    <w:rsid w:val="00671760"/>
    <w:rsid w:val="006837C9"/>
    <w:rsid w:val="00683990"/>
    <w:rsid w:val="0068423E"/>
    <w:rsid w:val="0068524B"/>
    <w:rsid w:val="00685ACB"/>
    <w:rsid w:val="00687530"/>
    <w:rsid w:val="00687665"/>
    <w:rsid w:val="006917F9"/>
    <w:rsid w:val="00691D91"/>
    <w:rsid w:val="00692FBF"/>
    <w:rsid w:val="00696C16"/>
    <w:rsid w:val="00697121"/>
    <w:rsid w:val="00697FD7"/>
    <w:rsid w:val="006A33D5"/>
    <w:rsid w:val="006A34B1"/>
    <w:rsid w:val="006A3963"/>
    <w:rsid w:val="006A3CD7"/>
    <w:rsid w:val="006A7129"/>
    <w:rsid w:val="006A74BB"/>
    <w:rsid w:val="006B02AF"/>
    <w:rsid w:val="006B387D"/>
    <w:rsid w:val="006B4F07"/>
    <w:rsid w:val="006B622E"/>
    <w:rsid w:val="006C3246"/>
    <w:rsid w:val="006C55A3"/>
    <w:rsid w:val="006C67C0"/>
    <w:rsid w:val="006D18C7"/>
    <w:rsid w:val="006D1ED4"/>
    <w:rsid w:val="006D6ACF"/>
    <w:rsid w:val="006D6DF6"/>
    <w:rsid w:val="006E3234"/>
    <w:rsid w:val="006E7520"/>
    <w:rsid w:val="006E7E48"/>
    <w:rsid w:val="006F06F0"/>
    <w:rsid w:val="00701327"/>
    <w:rsid w:val="00703F17"/>
    <w:rsid w:val="0070464A"/>
    <w:rsid w:val="00704F26"/>
    <w:rsid w:val="00706304"/>
    <w:rsid w:val="00710C0E"/>
    <w:rsid w:val="00713EA8"/>
    <w:rsid w:val="00713F4A"/>
    <w:rsid w:val="007167B9"/>
    <w:rsid w:val="00716CAC"/>
    <w:rsid w:val="00717A86"/>
    <w:rsid w:val="007206B6"/>
    <w:rsid w:val="00720999"/>
    <w:rsid w:val="0072110A"/>
    <w:rsid w:val="007224C5"/>
    <w:rsid w:val="00722C4B"/>
    <w:rsid w:val="00723974"/>
    <w:rsid w:val="00725C0A"/>
    <w:rsid w:val="00725FB5"/>
    <w:rsid w:val="00727026"/>
    <w:rsid w:val="00731464"/>
    <w:rsid w:val="0073488C"/>
    <w:rsid w:val="00735034"/>
    <w:rsid w:val="00735AD9"/>
    <w:rsid w:val="00736845"/>
    <w:rsid w:val="00737FCE"/>
    <w:rsid w:val="00740553"/>
    <w:rsid w:val="00742D43"/>
    <w:rsid w:val="00743F60"/>
    <w:rsid w:val="00745AAE"/>
    <w:rsid w:val="00746768"/>
    <w:rsid w:val="00750A88"/>
    <w:rsid w:val="00750D09"/>
    <w:rsid w:val="00750F43"/>
    <w:rsid w:val="00753E02"/>
    <w:rsid w:val="00757295"/>
    <w:rsid w:val="00762A97"/>
    <w:rsid w:val="00762B3E"/>
    <w:rsid w:val="00764069"/>
    <w:rsid w:val="00764F58"/>
    <w:rsid w:val="00765D29"/>
    <w:rsid w:val="007665A1"/>
    <w:rsid w:val="00766F51"/>
    <w:rsid w:val="00770A80"/>
    <w:rsid w:val="00772977"/>
    <w:rsid w:val="007735DF"/>
    <w:rsid w:val="00774FAF"/>
    <w:rsid w:val="0077517F"/>
    <w:rsid w:val="0077562F"/>
    <w:rsid w:val="007757AF"/>
    <w:rsid w:val="007802F5"/>
    <w:rsid w:val="007803C8"/>
    <w:rsid w:val="00781381"/>
    <w:rsid w:val="0078205A"/>
    <w:rsid w:val="00786A06"/>
    <w:rsid w:val="00790ECB"/>
    <w:rsid w:val="00791135"/>
    <w:rsid w:val="0079597D"/>
    <w:rsid w:val="00796CCC"/>
    <w:rsid w:val="007A114F"/>
    <w:rsid w:val="007A179D"/>
    <w:rsid w:val="007A7D78"/>
    <w:rsid w:val="007B12BB"/>
    <w:rsid w:val="007B16C9"/>
    <w:rsid w:val="007B1987"/>
    <w:rsid w:val="007B23AA"/>
    <w:rsid w:val="007B269D"/>
    <w:rsid w:val="007B3667"/>
    <w:rsid w:val="007B3F4C"/>
    <w:rsid w:val="007B4F3A"/>
    <w:rsid w:val="007C617B"/>
    <w:rsid w:val="007C762C"/>
    <w:rsid w:val="007D1635"/>
    <w:rsid w:val="007D1F31"/>
    <w:rsid w:val="007D2B6E"/>
    <w:rsid w:val="007D3823"/>
    <w:rsid w:val="007D5442"/>
    <w:rsid w:val="007D54A9"/>
    <w:rsid w:val="007D5B0D"/>
    <w:rsid w:val="007E1447"/>
    <w:rsid w:val="007E2D1A"/>
    <w:rsid w:val="007E3848"/>
    <w:rsid w:val="007E5BDA"/>
    <w:rsid w:val="007F0E93"/>
    <w:rsid w:val="007F256C"/>
    <w:rsid w:val="007F3A4E"/>
    <w:rsid w:val="007F696E"/>
    <w:rsid w:val="007F7C06"/>
    <w:rsid w:val="008027F9"/>
    <w:rsid w:val="00807851"/>
    <w:rsid w:val="00810DDF"/>
    <w:rsid w:val="00810F60"/>
    <w:rsid w:val="00812619"/>
    <w:rsid w:val="008157A4"/>
    <w:rsid w:val="00815F42"/>
    <w:rsid w:val="008160A8"/>
    <w:rsid w:val="00821408"/>
    <w:rsid w:val="00821498"/>
    <w:rsid w:val="0082431C"/>
    <w:rsid w:val="008272FE"/>
    <w:rsid w:val="00827304"/>
    <w:rsid w:val="008336AE"/>
    <w:rsid w:val="0083414D"/>
    <w:rsid w:val="00835275"/>
    <w:rsid w:val="0084028A"/>
    <w:rsid w:val="00844172"/>
    <w:rsid w:val="00846572"/>
    <w:rsid w:val="00846BF8"/>
    <w:rsid w:val="00847543"/>
    <w:rsid w:val="00850203"/>
    <w:rsid w:val="0085141F"/>
    <w:rsid w:val="008600CF"/>
    <w:rsid w:val="0086387B"/>
    <w:rsid w:val="00864B85"/>
    <w:rsid w:val="0086675B"/>
    <w:rsid w:val="0087151B"/>
    <w:rsid w:val="00871E25"/>
    <w:rsid w:val="00872A3C"/>
    <w:rsid w:val="00875733"/>
    <w:rsid w:val="00875B23"/>
    <w:rsid w:val="008768AF"/>
    <w:rsid w:val="00880C6A"/>
    <w:rsid w:val="008826D9"/>
    <w:rsid w:val="00882FE3"/>
    <w:rsid w:val="00883F21"/>
    <w:rsid w:val="00885314"/>
    <w:rsid w:val="00890153"/>
    <w:rsid w:val="00890485"/>
    <w:rsid w:val="00890CBB"/>
    <w:rsid w:val="00893EDA"/>
    <w:rsid w:val="00894C50"/>
    <w:rsid w:val="00896C9A"/>
    <w:rsid w:val="00897269"/>
    <w:rsid w:val="00897857"/>
    <w:rsid w:val="008A1D6B"/>
    <w:rsid w:val="008A25C3"/>
    <w:rsid w:val="008A2E9E"/>
    <w:rsid w:val="008A2EDC"/>
    <w:rsid w:val="008A363F"/>
    <w:rsid w:val="008A473F"/>
    <w:rsid w:val="008A5B56"/>
    <w:rsid w:val="008A6CB2"/>
    <w:rsid w:val="008A73A2"/>
    <w:rsid w:val="008A798F"/>
    <w:rsid w:val="008B017D"/>
    <w:rsid w:val="008B03C8"/>
    <w:rsid w:val="008B08D5"/>
    <w:rsid w:val="008B13A7"/>
    <w:rsid w:val="008B19D6"/>
    <w:rsid w:val="008B24A8"/>
    <w:rsid w:val="008B4554"/>
    <w:rsid w:val="008B6CFB"/>
    <w:rsid w:val="008C116F"/>
    <w:rsid w:val="008C252F"/>
    <w:rsid w:val="008C445F"/>
    <w:rsid w:val="008C5E71"/>
    <w:rsid w:val="008C6C93"/>
    <w:rsid w:val="008C7FBE"/>
    <w:rsid w:val="008D1722"/>
    <w:rsid w:val="008D3941"/>
    <w:rsid w:val="008D6551"/>
    <w:rsid w:val="008E0A18"/>
    <w:rsid w:val="008E7E40"/>
    <w:rsid w:val="008F156D"/>
    <w:rsid w:val="008F1D23"/>
    <w:rsid w:val="008F21C2"/>
    <w:rsid w:val="009001AD"/>
    <w:rsid w:val="00900AB2"/>
    <w:rsid w:val="009020E0"/>
    <w:rsid w:val="0090341E"/>
    <w:rsid w:val="00903BE1"/>
    <w:rsid w:val="0090428A"/>
    <w:rsid w:val="00904A68"/>
    <w:rsid w:val="00906BC2"/>
    <w:rsid w:val="009072EA"/>
    <w:rsid w:val="0090771C"/>
    <w:rsid w:val="00910385"/>
    <w:rsid w:val="0091042C"/>
    <w:rsid w:val="0091065F"/>
    <w:rsid w:val="0091169D"/>
    <w:rsid w:val="009128BE"/>
    <w:rsid w:val="00912E67"/>
    <w:rsid w:val="009260D1"/>
    <w:rsid w:val="00931BC3"/>
    <w:rsid w:val="00931E17"/>
    <w:rsid w:val="00933434"/>
    <w:rsid w:val="0093631A"/>
    <w:rsid w:val="00936504"/>
    <w:rsid w:val="00940441"/>
    <w:rsid w:val="00940579"/>
    <w:rsid w:val="0094089D"/>
    <w:rsid w:val="009409DF"/>
    <w:rsid w:val="00943046"/>
    <w:rsid w:val="00945002"/>
    <w:rsid w:val="00945D14"/>
    <w:rsid w:val="009523FE"/>
    <w:rsid w:val="00952E75"/>
    <w:rsid w:val="0095313D"/>
    <w:rsid w:val="009533F3"/>
    <w:rsid w:val="0095617A"/>
    <w:rsid w:val="009614F7"/>
    <w:rsid w:val="00961C57"/>
    <w:rsid w:val="00965582"/>
    <w:rsid w:val="0096737C"/>
    <w:rsid w:val="009704A0"/>
    <w:rsid w:val="00970995"/>
    <w:rsid w:val="009721B4"/>
    <w:rsid w:val="0097419F"/>
    <w:rsid w:val="00977383"/>
    <w:rsid w:val="00983E1C"/>
    <w:rsid w:val="0098463D"/>
    <w:rsid w:val="00984938"/>
    <w:rsid w:val="00985A0D"/>
    <w:rsid w:val="00986FB0"/>
    <w:rsid w:val="00993A0E"/>
    <w:rsid w:val="00994022"/>
    <w:rsid w:val="009941D2"/>
    <w:rsid w:val="00995A74"/>
    <w:rsid w:val="00995E60"/>
    <w:rsid w:val="00997AB2"/>
    <w:rsid w:val="009A18DB"/>
    <w:rsid w:val="009A5C94"/>
    <w:rsid w:val="009A6C75"/>
    <w:rsid w:val="009A7125"/>
    <w:rsid w:val="009A7FD5"/>
    <w:rsid w:val="009B1031"/>
    <w:rsid w:val="009B549D"/>
    <w:rsid w:val="009B5BD2"/>
    <w:rsid w:val="009B6402"/>
    <w:rsid w:val="009B7445"/>
    <w:rsid w:val="009C4825"/>
    <w:rsid w:val="009C4DD9"/>
    <w:rsid w:val="009D2B15"/>
    <w:rsid w:val="009D6067"/>
    <w:rsid w:val="009D6AAD"/>
    <w:rsid w:val="009D7367"/>
    <w:rsid w:val="009E2AFD"/>
    <w:rsid w:val="009E37F9"/>
    <w:rsid w:val="009E6F5A"/>
    <w:rsid w:val="009F340E"/>
    <w:rsid w:val="009F446B"/>
    <w:rsid w:val="009F74CC"/>
    <w:rsid w:val="00A0298E"/>
    <w:rsid w:val="00A04E31"/>
    <w:rsid w:val="00A054A2"/>
    <w:rsid w:val="00A10F2B"/>
    <w:rsid w:val="00A157FA"/>
    <w:rsid w:val="00A15954"/>
    <w:rsid w:val="00A17A80"/>
    <w:rsid w:val="00A22B7F"/>
    <w:rsid w:val="00A354B2"/>
    <w:rsid w:val="00A368B9"/>
    <w:rsid w:val="00A40239"/>
    <w:rsid w:val="00A41D34"/>
    <w:rsid w:val="00A438F9"/>
    <w:rsid w:val="00A43C50"/>
    <w:rsid w:val="00A43E9E"/>
    <w:rsid w:val="00A443BA"/>
    <w:rsid w:val="00A44CE4"/>
    <w:rsid w:val="00A50030"/>
    <w:rsid w:val="00A51FA4"/>
    <w:rsid w:val="00A55D86"/>
    <w:rsid w:val="00A60052"/>
    <w:rsid w:val="00A6048E"/>
    <w:rsid w:val="00A634C8"/>
    <w:rsid w:val="00A667C9"/>
    <w:rsid w:val="00A67728"/>
    <w:rsid w:val="00A73CDC"/>
    <w:rsid w:val="00A73E26"/>
    <w:rsid w:val="00A75BE5"/>
    <w:rsid w:val="00A80622"/>
    <w:rsid w:val="00A81329"/>
    <w:rsid w:val="00A849B1"/>
    <w:rsid w:val="00A85D86"/>
    <w:rsid w:val="00A87828"/>
    <w:rsid w:val="00A90987"/>
    <w:rsid w:val="00A90E61"/>
    <w:rsid w:val="00A9103E"/>
    <w:rsid w:val="00A9164C"/>
    <w:rsid w:val="00A917EA"/>
    <w:rsid w:val="00A93D90"/>
    <w:rsid w:val="00AA7A10"/>
    <w:rsid w:val="00AA7CD0"/>
    <w:rsid w:val="00AB0E0A"/>
    <w:rsid w:val="00AB2694"/>
    <w:rsid w:val="00AB3E45"/>
    <w:rsid w:val="00AB4898"/>
    <w:rsid w:val="00AB504B"/>
    <w:rsid w:val="00AB5211"/>
    <w:rsid w:val="00AB591D"/>
    <w:rsid w:val="00AB6ABC"/>
    <w:rsid w:val="00AC1583"/>
    <w:rsid w:val="00AC3187"/>
    <w:rsid w:val="00AC38C0"/>
    <w:rsid w:val="00AC4A35"/>
    <w:rsid w:val="00AD1E60"/>
    <w:rsid w:val="00AD20FE"/>
    <w:rsid w:val="00AE1B1C"/>
    <w:rsid w:val="00AE2518"/>
    <w:rsid w:val="00AE2CC0"/>
    <w:rsid w:val="00AE2F29"/>
    <w:rsid w:val="00AE566D"/>
    <w:rsid w:val="00AF05FD"/>
    <w:rsid w:val="00AF2FE2"/>
    <w:rsid w:val="00AF54AA"/>
    <w:rsid w:val="00AF5C13"/>
    <w:rsid w:val="00B00D93"/>
    <w:rsid w:val="00B0299E"/>
    <w:rsid w:val="00B030BA"/>
    <w:rsid w:val="00B0320C"/>
    <w:rsid w:val="00B116DF"/>
    <w:rsid w:val="00B12974"/>
    <w:rsid w:val="00B13936"/>
    <w:rsid w:val="00B13CC7"/>
    <w:rsid w:val="00B14375"/>
    <w:rsid w:val="00B16288"/>
    <w:rsid w:val="00B1762C"/>
    <w:rsid w:val="00B17B99"/>
    <w:rsid w:val="00B17F9B"/>
    <w:rsid w:val="00B24341"/>
    <w:rsid w:val="00B257C4"/>
    <w:rsid w:val="00B304EE"/>
    <w:rsid w:val="00B307C1"/>
    <w:rsid w:val="00B30A61"/>
    <w:rsid w:val="00B30B7A"/>
    <w:rsid w:val="00B3724B"/>
    <w:rsid w:val="00B37B9A"/>
    <w:rsid w:val="00B4496C"/>
    <w:rsid w:val="00B46642"/>
    <w:rsid w:val="00B47CC6"/>
    <w:rsid w:val="00B507B0"/>
    <w:rsid w:val="00B5169A"/>
    <w:rsid w:val="00B534D4"/>
    <w:rsid w:val="00B55D0F"/>
    <w:rsid w:val="00B56931"/>
    <w:rsid w:val="00B57D30"/>
    <w:rsid w:val="00B63866"/>
    <w:rsid w:val="00B63AC4"/>
    <w:rsid w:val="00B64437"/>
    <w:rsid w:val="00B66249"/>
    <w:rsid w:val="00B66F78"/>
    <w:rsid w:val="00B71EEE"/>
    <w:rsid w:val="00B749EF"/>
    <w:rsid w:val="00B82526"/>
    <w:rsid w:val="00B831B3"/>
    <w:rsid w:val="00B845EB"/>
    <w:rsid w:val="00B87EAC"/>
    <w:rsid w:val="00B901E5"/>
    <w:rsid w:val="00B90FC7"/>
    <w:rsid w:val="00B91DCC"/>
    <w:rsid w:val="00B9387E"/>
    <w:rsid w:val="00B95C9D"/>
    <w:rsid w:val="00B95D19"/>
    <w:rsid w:val="00BA2241"/>
    <w:rsid w:val="00BA231C"/>
    <w:rsid w:val="00BA4D49"/>
    <w:rsid w:val="00BA6022"/>
    <w:rsid w:val="00BB050A"/>
    <w:rsid w:val="00BB0B99"/>
    <w:rsid w:val="00BB3D84"/>
    <w:rsid w:val="00BB50BE"/>
    <w:rsid w:val="00BB5599"/>
    <w:rsid w:val="00BB5613"/>
    <w:rsid w:val="00BB59E6"/>
    <w:rsid w:val="00BC0652"/>
    <w:rsid w:val="00BC5AB2"/>
    <w:rsid w:val="00BC6A47"/>
    <w:rsid w:val="00BC6C10"/>
    <w:rsid w:val="00BD16F1"/>
    <w:rsid w:val="00BD1B8E"/>
    <w:rsid w:val="00BD3EBE"/>
    <w:rsid w:val="00BD41E4"/>
    <w:rsid w:val="00BD4844"/>
    <w:rsid w:val="00BD519F"/>
    <w:rsid w:val="00BD63FD"/>
    <w:rsid w:val="00BE1E1F"/>
    <w:rsid w:val="00BE262F"/>
    <w:rsid w:val="00BE463B"/>
    <w:rsid w:val="00BF047C"/>
    <w:rsid w:val="00BF3231"/>
    <w:rsid w:val="00BF474E"/>
    <w:rsid w:val="00BF4B11"/>
    <w:rsid w:val="00BF78B0"/>
    <w:rsid w:val="00C0150B"/>
    <w:rsid w:val="00C01EC4"/>
    <w:rsid w:val="00C05E81"/>
    <w:rsid w:val="00C065B1"/>
    <w:rsid w:val="00C107E2"/>
    <w:rsid w:val="00C15027"/>
    <w:rsid w:val="00C16C19"/>
    <w:rsid w:val="00C17823"/>
    <w:rsid w:val="00C23B8C"/>
    <w:rsid w:val="00C24798"/>
    <w:rsid w:val="00C248DA"/>
    <w:rsid w:val="00C24DCC"/>
    <w:rsid w:val="00C26112"/>
    <w:rsid w:val="00C26413"/>
    <w:rsid w:val="00C30F25"/>
    <w:rsid w:val="00C317B6"/>
    <w:rsid w:val="00C33AD5"/>
    <w:rsid w:val="00C37EAF"/>
    <w:rsid w:val="00C41690"/>
    <w:rsid w:val="00C42C1C"/>
    <w:rsid w:val="00C50F03"/>
    <w:rsid w:val="00C5193B"/>
    <w:rsid w:val="00C52024"/>
    <w:rsid w:val="00C529E7"/>
    <w:rsid w:val="00C538C2"/>
    <w:rsid w:val="00C54053"/>
    <w:rsid w:val="00C57332"/>
    <w:rsid w:val="00C57798"/>
    <w:rsid w:val="00C60AE2"/>
    <w:rsid w:val="00C6162A"/>
    <w:rsid w:val="00C64D75"/>
    <w:rsid w:val="00C67E78"/>
    <w:rsid w:val="00C71846"/>
    <w:rsid w:val="00C7237B"/>
    <w:rsid w:val="00C73680"/>
    <w:rsid w:val="00C77703"/>
    <w:rsid w:val="00C83773"/>
    <w:rsid w:val="00C84280"/>
    <w:rsid w:val="00C85213"/>
    <w:rsid w:val="00C92154"/>
    <w:rsid w:val="00C93B90"/>
    <w:rsid w:val="00C941AD"/>
    <w:rsid w:val="00CA2EA1"/>
    <w:rsid w:val="00CA41CF"/>
    <w:rsid w:val="00CA49C1"/>
    <w:rsid w:val="00CA607E"/>
    <w:rsid w:val="00CA7575"/>
    <w:rsid w:val="00CB0925"/>
    <w:rsid w:val="00CB3532"/>
    <w:rsid w:val="00CC1A49"/>
    <w:rsid w:val="00CC1FD6"/>
    <w:rsid w:val="00CC3136"/>
    <w:rsid w:val="00CC4C67"/>
    <w:rsid w:val="00CC5B33"/>
    <w:rsid w:val="00CC5F54"/>
    <w:rsid w:val="00CC6C9C"/>
    <w:rsid w:val="00CC7307"/>
    <w:rsid w:val="00CD092A"/>
    <w:rsid w:val="00CD14CA"/>
    <w:rsid w:val="00CD2228"/>
    <w:rsid w:val="00CD288C"/>
    <w:rsid w:val="00CD7778"/>
    <w:rsid w:val="00CD7D76"/>
    <w:rsid w:val="00CE27FF"/>
    <w:rsid w:val="00CE32E8"/>
    <w:rsid w:val="00CE49FF"/>
    <w:rsid w:val="00CE63B4"/>
    <w:rsid w:val="00CE65A1"/>
    <w:rsid w:val="00CE736E"/>
    <w:rsid w:val="00CF5F34"/>
    <w:rsid w:val="00CF6F1C"/>
    <w:rsid w:val="00D02DE3"/>
    <w:rsid w:val="00D041BC"/>
    <w:rsid w:val="00D044D0"/>
    <w:rsid w:val="00D04928"/>
    <w:rsid w:val="00D04A51"/>
    <w:rsid w:val="00D05DF8"/>
    <w:rsid w:val="00D062C3"/>
    <w:rsid w:val="00D06E3F"/>
    <w:rsid w:val="00D073C7"/>
    <w:rsid w:val="00D11397"/>
    <w:rsid w:val="00D1305F"/>
    <w:rsid w:val="00D151F7"/>
    <w:rsid w:val="00D1585E"/>
    <w:rsid w:val="00D16F6C"/>
    <w:rsid w:val="00D21841"/>
    <w:rsid w:val="00D21EF4"/>
    <w:rsid w:val="00D25DC6"/>
    <w:rsid w:val="00D302BA"/>
    <w:rsid w:val="00D30BC0"/>
    <w:rsid w:val="00D315F8"/>
    <w:rsid w:val="00D3289E"/>
    <w:rsid w:val="00D343D1"/>
    <w:rsid w:val="00D346ED"/>
    <w:rsid w:val="00D34B5C"/>
    <w:rsid w:val="00D361F0"/>
    <w:rsid w:val="00D365AD"/>
    <w:rsid w:val="00D37193"/>
    <w:rsid w:val="00D428E4"/>
    <w:rsid w:val="00D42906"/>
    <w:rsid w:val="00D4319D"/>
    <w:rsid w:val="00D43DD2"/>
    <w:rsid w:val="00D47DDF"/>
    <w:rsid w:val="00D51A86"/>
    <w:rsid w:val="00D53AE0"/>
    <w:rsid w:val="00D55D03"/>
    <w:rsid w:val="00D5624D"/>
    <w:rsid w:val="00D61574"/>
    <w:rsid w:val="00D61A4C"/>
    <w:rsid w:val="00D6202B"/>
    <w:rsid w:val="00D66CDE"/>
    <w:rsid w:val="00D66CFC"/>
    <w:rsid w:val="00D70874"/>
    <w:rsid w:val="00D71870"/>
    <w:rsid w:val="00D7289B"/>
    <w:rsid w:val="00D7340E"/>
    <w:rsid w:val="00D761A3"/>
    <w:rsid w:val="00D76576"/>
    <w:rsid w:val="00D76A88"/>
    <w:rsid w:val="00D83D92"/>
    <w:rsid w:val="00D84758"/>
    <w:rsid w:val="00D84EEF"/>
    <w:rsid w:val="00D85377"/>
    <w:rsid w:val="00D85866"/>
    <w:rsid w:val="00D86D93"/>
    <w:rsid w:val="00D874DC"/>
    <w:rsid w:val="00D90C8C"/>
    <w:rsid w:val="00D911AE"/>
    <w:rsid w:val="00D913DD"/>
    <w:rsid w:val="00D94887"/>
    <w:rsid w:val="00D94F62"/>
    <w:rsid w:val="00D957F8"/>
    <w:rsid w:val="00D966A0"/>
    <w:rsid w:val="00D971E2"/>
    <w:rsid w:val="00DA084D"/>
    <w:rsid w:val="00DA178F"/>
    <w:rsid w:val="00DA2799"/>
    <w:rsid w:val="00DA29C1"/>
    <w:rsid w:val="00DA2AD2"/>
    <w:rsid w:val="00DA47B9"/>
    <w:rsid w:val="00DA65E9"/>
    <w:rsid w:val="00DB07D2"/>
    <w:rsid w:val="00DB41C2"/>
    <w:rsid w:val="00DB58B5"/>
    <w:rsid w:val="00DB73C0"/>
    <w:rsid w:val="00DB7465"/>
    <w:rsid w:val="00DB7D53"/>
    <w:rsid w:val="00DC0EB9"/>
    <w:rsid w:val="00DC125E"/>
    <w:rsid w:val="00DC2079"/>
    <w:rsid w:val="00DC20BA"/>
    <w:rsid w:val="00DC4993"/>
    <w:rsid w:val="00DC4A16"/>
    <w:rsid w:val="00DC4D6B"/>
    <w:rsid w:val="00DC6E90"/>
    <w:rsid w:val="00DC7BBE"/>
    <w:rsid w:val="00DD3E5F"/>
    <w:rsid w:val="00DD4348"/>
    <w:rsid w:val="00DD574E"/>
    <w:rsid w:val="00DD5757"/>
    <w:rsid w:val="00DD57A0"/>
    <w:rsid w:val="00DE3113"/>
    <w:rsid w:val="00DE4E22"/>
    <w:rsid w:val="00DE7474"/>
    <w:rsid w:val="00DF1368"/>
    <w:rsid w:val="00DF411C"/>
    <w:rsid w:val="00DF4DBB"/>
    <w:rsid w:val="00DF545C"/>
    <w:rsid w:val="00DF5D29"/>
    <w:rsid w:val="00DF728F"/>
    <w:rsid w:val="00E01FA9"/>
    <w:rsid w:val="00E02A4C"/>
    <w:rsid w:val="00E04A6E"/>
    <w:rsid w:val="00E04D13"/>
    <w:rsid w:val="00E10212"/>
    <w:rsid w:val="00E113FE"/>
    <w:rsid w:val="00E11871"/>
    <w:rsid w:val="00E1201F"/>
    <w:rsid w:val="00E128DB"/>
    <w:rsid w:val="00E14442"/>
    <w:rsid w:val="00E148EE"/>
    <w:rsid w:val="00E1749D"/>
    <w:rsid w:val="00E17B6A"/>
    <w:rsid w:val="00E208C4"/>
    <w:rsid w:val="00E213B1"/>
    <w:rsid w:val="00E21C27"/>
    <w:rsid w:val="00E23566"/>
    <w:rsid w:val="00E30200"/>
    <w:rsid w:val="00E30991"/>
    <w:rsid w:val="00E30DB8"/>
    <w:rsid w:val="00E3228A"/>
    <w:rsid w:val="00E3320A"/>
    <w:rsid w:val="00E33506"/>
    <w:rsid w:val="00E33E2E"/>
    <w:rsid w:val="00E33E64"/>
    <w:rsid w:val="00E34D2C"/>
    <w:rsid w:val="00E36D93"/>
    <w:rsid w:val="00E428E5"/>
    <w:rsid w:val="00E4313C"/>
    <w:rsid w:val="00E44C71"/>
    <w:rsid w:val="00E4653C"/>
    <w:rsid w:val="00E46E17"/>
    <w:rsid w:val="00E52425"/>
    <w:rsid w:val="00E564B9"/>
    <w:rsid w:val="00E60286"/>
    <w:rsid w:val="00E6028C"/>
    <w:rsid w:val="00E60E65"/>
    <w:rsid w:val="00E6349F"/>
    <w:rsid w:val="00E64803"/>
    <w:rsid w:val="00E64AF7"/>
    <w:rsid w:val="00E64D96"/>
    <w:rsid w:val="00E6517D"/>
    <w:rsid w:val="00E66BB8"/>
    <w:rsid w:val="00E70871"/>
    <w:rsid w:val="00E71273"/>
    <w:rsid w:val="00E73B26"/>
    <w:rsid w:val="00E75D55"/>
    <w:rsid w:val="00E81715"/>
    <w:rsid w:val="00E81AB2"/>
    <w:rsid w:val="00E8571A"/>
    <w:rsid w:val="00E85ECD"/>
    <w:rsid w:val="00E91ED1"/>
    <w:rsid w:val="00E92047"/>
    <w:rsid w:val="00E94463"/>
    <w:rsid w:val="00E9586E"/>
    <w:rsid w:val="00E972BD"/>
    <w:rsid w:val="00EA08B0"/>
    <w:rsid w:val="00EA2538"/>
    <w:rsid w:val="00EA2DFA"/>
    <w:rsid w:val="00EA4044"/>
    <w:rsid w:val="00EA46F7"/>
    <w:rsid w:val="00EA6F3E"/>
    <w:rsid w:val="00EA71AA"/>
    <w:rsid w:val="00EB026A"/>
    <w:rsid w:val="00EB16E3"/>
    <w:rsid w:val="00EB25FA"/>
    <w:rsid w:val="00EB2C6B"/>
    <w:rsid w:val="00EB430A"/>
    <w:rsid w:val="00EB4F8C"/>
    <w:rsid w:val="00EB56D5"/>
    <w:rsid w:val="00EB5BE0"/>
    <w:rsid w:val="00EB5E37"/>
    <w:rsid w:val="00EB6EDA"/>
    <w:rsid w:val="00EC05D4"/>
    <w:rsid w:val="00EC0921"/>
    <w:rsid w:val="00EC10EE"/>
    <w:rsid w:val="00EC1C1C"/>
    <w:rsid w:val="00EC37A6"/>
    <w:rsid w:val="00EC41D7"/>
    <w:rsid w:val="00ED0420"/>
    <w:rsid w:val="00ED499A"/>
    <w:rsid w:val="00EE292A"/>
    <w:rsid w:val="00EE7382"/>
    <w:rsid w:val="00EF1C1F"/>
    <w:rsid w:val="00EF212E"/>
    <w:rsid w:val="00EF2A6A"/>
    <w:rsid w:val="00EF390B"/>
    <w:rsid w:val="00EF6350"/>
    <w:rsid w:val="00EF6E1E"/>
    <w:rsid w:val="00EF72FE"/>
    <w:rsid w:val="00F04D70"/>
    <w:rsid w:val="00F0519E"/>
    <w:rsid w:val="00F05EE9"/>
    <w:rsid w:val="00F07FBD"/>
    <w:rsid w:val="00F1028F"/>
    <w:rsid w:val="00F11DBF"/>
    <w:rsid w:val="00F1368C"/>
    <w:rsid w:val="00F16C3A"/>
    <w:rsid w:val="00F2191A"/>
    <w:rsid w:val="00F23D75"/>
    <w:rsid w:val="00F23E3B"/>
    <w:rsid w:val="00F25DCB"/>
    <w:rsid w:val="00F25FBC"/>
    <w:rsid w:val="00F312EE"/>
    <w:rsid w:val="00F317FA"/>
    <w:rsid w:val="00F3223F"/>
    <w:rsid w:val="00F368CB"/>
    <w:rsid w:val="00F377D5"/>
    <w:rsid w:val="00F42509"/>
    <w:rsid w:val="00F44968"/>
    <w:rsid w:val="00F51907"/>
    <w:rsid w:val="00F521B4"/>
    <w:rsid w:val="00F524A4"/>
    <w:rsid w:val="00F53645"/>
    <w:rsid w:val="00F54D94"/>
    <w:rsid w:val="00F56988"/>
    <w:rsid w:val="00F57068"/>
    <w:rsid w:val="00F5733B"/>
    <w:rsid w:val="00F60125"/>
    <w:rsid w:val="00F6020A"/>
    <w:rsid w:val="00F60348"/>
    <w:rsid w:val="00F608ED"/>
    <w:rsid w:val="00F61A32"/>
    <w:rsid w:val="00F61F3D"/>
    <w:rsid w:val="00F646B1"/>
    <w:rsid w:val="00F65816"/>
    <w:rsid w:val="00F661CA"/>
    <w:rsid w:val="00F66C98"/>
    <w:rsid w:val="00F6752E"/>
    <w:rsid w:val="00F7113D"/>
    <w:rsid w:val="00F71157"/>
    <w:rsid w:val="00F7138B"/>
    <w:rsid w:val="00F7189D"/>
    <w:rsid w:val="00F71F79"/>
    <w:rsid w:val="00F7391D"/>
    <w:rsid w:val="00F73B18"/>
    <w:rsid w:val="00F748D3"/>
    <w:rsid w:val="00F75221"/>
    <w:rsid w:val="00F77E6B"/>
    <w:rsid w:val="00F80CEB"/>
    <w:rsid w:val="00F81851"/>
    <w:rsid w:val="00F83A3D"/>
    <w:rsid w:val="00F83DAF"/>
    <w:rsid w:val="00F84215"/>
    <w:rsid w:val="00F84369"/>
    <w:rsid w:val="00F84458"/>
    <w:rsid w:val="00F870AD"/>
    <w:rsid w:val="00F92359"/>
    <w:rsid w:val="00F92CEC"/>
    <w:rsid w:val="00F936E5"/>
    <w:rsid w:val="00F954F8"/>
    <w:rsid w:val="00FA097D"/>
    <w:rsid w:val="00FA1449"/>
    <w:rsid w:val="00FA194B"/>
    <w:rsid w:val="00FB016D"/>
    <w:rsid w:val="00FB1BE4"/>
    <w:rsid w:val="00FB2A6D"/>
    <w:rsid w:val="00FB640B"/>
    <w:rsid w:val="00FB6BFA"/>
    <w:rsid w:val="00FC0FD6"/>
    <w:rsid w:val="00FC2ECE"/>
    <w:rsid w:val="00FC3D28"/>
    <w:rsid w:val="00FD0EED"/>
    <w:rsid w:val="00FD1208"/>
    <w:rsid w:val="00FD46AB"/>
    <w:rsid w:val="00FD5204"/>
    <w:rsid w:val="00FD5EAF"/>
    <w:rsid w:val="00FE0563"/>
    <w:rsid w:val="00FE1193"/>
    <w:rsid w:val="00FE2F5D"/>
    <w:rsid w:val="00FE7277"/>
    <w:rsid w:val="00FF005D"/>
    <w:rsid w:val="00FF0810"/>
    <w:rsid w:val="00FF2468"/>
    <w:rsid w:val="00FF2D82"/>
    <w:rsid w:val="00FF310F"/>
    <w:rsid w:val="00FF3DA8"/>
    <w:rsid w:val="00FF4A92"/>
    <w:rsid w:val="00FF4F55"/>
    <w:rsid w:val="00FF7265"/>
    <w:rsid w:val="00FF7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48F115-6BEA-4FB2-8F0B-0162807A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19"/>
    <w:rPr>
      <w:lang w:val="en-US"/>
    </w:rPr>
  </w:style>
  <w:style w:type="paragraph" w:styleId="Heading1">
    <w:name w:val="heading 1"/>
    <w:basedOn w:val="Normal"/>
    <w:next w:val="Normal"/>
    <w:link w:val="Heading1Char"/>
    <w:uiPriority w:val="9"/>
    <w:qFormat/>
    <w:rsid w:val="00B95D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5D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5D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95D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95D1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95D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D1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B95D19"/>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B95D19"/>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B95D19"/>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B95D19"/>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B95D19"/>
    <w:rPr>
      <w:rFonts w:asciiTheme="majorHAnsi" w:eastAsiaTheme="majorEastAsia" w:hAnsiTheme="majorHAnsi" w:cstheme="majorBidi"/>
      <w:color w:val="1F4D78" w:themeColor="accent1" w:themeShade="7F"/>
      <w:lang w:val="en-US"/>
    </w:rPr>
  </w:style>
  <w:style w:type="paragraph" w:styleId="Header">
    <w:name w:val="header"/>
    <w:basedOn w:val="Normal"/>
    <w:link w:val="HeaderChar"/>
    <w:uiPriority w:val="99"/>
    <w:unhideWhenUsed/>
    <w:rsid w:val="00B95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D19"/>
    <w:rPr>
      <w:lang w:val="en-US"/>
    </w:rPr>
  </w:style>
  <w:style w:type="paragraph" w:styleId="Footer">
    <w:name w:val="footer"/>
    <w:basedOn w:val="Normal"/>
    <w:link w:val="FooterChar"/>
    <w:uiPriority w:val="99"/>
    <w:unhideWhenUsed/>
    <w:rsid w:val="00B95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D19"/>
    <w:rPr>
      <w:lang w:val="en-US"/>
    </w:rPr>
  </w:style>
  <w:style w:type="paragraph" w:styleId="ListParagraph">
    <w:name w:val="List Paragraph"/>
    <w:aliases w:val="Brief List Paragraph 1,Bullets,CV text,DDM Gen Text,Dot pt,F5 List Paragraph,L,List Paragraph1,List Paragraph11,List Paragraph111,List Paragraph2,Medium Grid 1 - Accent 21,Numbered Paragraph,Numbered paragraph,Recommendation,Table text,列"/>
    <w:basedOn w:val="Normal"/>
    <w:link w:val="ListParagraphChar"/>
    <w:uiPriority w:val="34"/>
    <w:qFormat/>
    <w:rsid w:val="00B95D19"/>
    <w:pPr>
      <w:ind w:left="720"/>
      <w:contextualSpacing/>
    </w:pPr>
  </w:style>
  <w:style w:type="paragraph" w:styleId="FootnoteText">
    <w:name w:val="footnote text"/>
    <w:basedOn w:val="Normal"/>
    <w:link w:val="FootnoteTextChar"/>
    <w:uiPriority w:val="99"/>
    <w:unhideWhenUsed/>
    <w:rsid w:val="00B95D19"/>
    <w:pPr>
      <w:spacing w:after="0" w:line="240" w:lineRule="auto"/>
    </w:pPr>
    <w:rPr>
      <w:sz w:val="20"/>
      <w:szCs w:val="20"/>
    </w:rPr>
  </w:style>
  <w:style w:type="character" w:customStyle="1" w:styleId="FootnoteTextChar">
    <w:name w:val="Footnote Text Char"/>
    <w:basedOn w:val="DefaultParagraphFont"/>
    <w:link w:val="FootnoteText"/>
    <w:uiPriority w:val="99"/>
    <w:rsid w:val="00B95D19"/>
    <w:rPr>
      <w:sz w:val="20"/>
      <w:szCs w:val="20"/>
      <w:lang w:val="en-US"/>
    </w:rPr>
  </w:style>
  <w:style w:type="character" w:styleId="FootnoteReference">
    <w:name w:val="footnote reference"/>
    <w:basedOn w:val="DefaultParagraphFont"/>
    <w:uiPriority w:val="99"/>
    <w:semiHidden/>
    <w:unhideWhenUsed/>
    <w:rsid w:val="00B95D19"/>
    <w:rPr>
      <w:vertAlign w:val="superscript"/>
    </w:rPr>
  </w:style>
  <w:style w:type="character" w:styleId="CommentReference">
    <w:name w:val="annotation reference"/>
    <w:basedOn w:val="DefaultParagraphFont"/>
    <w:uiPriority w:val="99"/>
    <w:semiHidden/>
    <w:unhideWhenUsed/>
    <w:rsid w:val="00B95D19"/>
    <w:rPr>
      <w:sz w:val="16"/>
      <w:szCs w:val="16"/>
    </w:rPr>
  </w:style>
  <w:style w:type="paragraph" w:styleId="CommentText">
    <w:name w:val="annotation text"/>
    <w:basedOn w:val="Normal"/>
    <w:link w:val="CommentTextChar"/>
    <w:uiPriority w:val="99"/>
    <w:unhideWhenUsed/>
    <w:rsid w:val="00B95D19"/>
    <w:pPr>
      <w:spacing w:line="240" w:lineRule="auto"/>
    </w:pPr>
    <w:rPr>
      <w:sz w:val="20"/>
      <w:szCs w:val="20"/>
    </w:rPr>
  </w:style>
  <w:style w:type="character" w:customStyle="1" w:styleId="CommentTextChar">
    <w:name w:val="Comment Text Char"/>
    <w:basedOn w:val="DefaultParagraphFont"/>
    <w:link w:val="CommentText"/>
    <w:uiPriority w:val="99"/>
    <w:rsid w:val="00B95D19"/>
    <w:rPr>
      <w:sz w:val="20"/>
      <w:szCs w:val="20"/>
      <w:lang w:val="en-US"/>
    </w:rPr>
  </w:style>
  <w:style w:type="paragraph" w:styleId="TOCHeading">
    <w:name w:val="TOC Heading"/>
    <w:basedOn w:val="Heading1"/>
    <w:next w:val="Normal"/>
    <w:uiPriority w:val="39"/>
    <w:unhideWhenUsed/>
    <w:qFormat/>
    <w:rsid w:val="00B95D19"/>
    <w:pPr>
      <w:outlineLvl w:val="9"/>
    </w:pPr>
  </w:style>
  <w:style w:type="paragraph" w:styleId="TOC2">
    <w:name w:val="toc 2"/>
    <w:basedOn w:val="Normal"/>
    <w:next w:val="Normal"/>
    <w:autoRedefine/>
    <w:uiPriority w:val="39"/>
    <w:unhideWhenUsed/>
    <w:rsid w:val="00B95D19"/>
    <w:pPr>
      <w:spacing w:after="100"/>
      <w:ind w:left="220"/>
    </w:pPr>
  </w:style>
  <w:style w:type="paragraph" w:styleId="TOC1">
    <w:name w:val="toc 1"/>
    <w:basedOn w:val="Normal"/>
    <w:next w:val="Normal"/>
    <w:autoRedefine/>
    <w:uiPriority w:val="39"/>
    <w:unhideWhenUsed/>
    <w:rsid w:val="00B95D19"/>
    <w:pPr>
      <w:tabs>
        <w:tab w:val="left" w:pos="440"/>
        <w:tab w:val="right" w:leader="dot" w:pos="9016"/>
      </w:tabs>
      <w:spacing w:after="100"/>
    </w:pPr>
  </w:style>
  <w:style w:type="paragraph" w:styleId="TOC3">
    <w:name w:val="toc 3"/>
    <w:basedOn w:val="Normal"/>
    <w:next w:val="Normal"/>
    <w:autoRedefine/>
    <w:uiPriority w:val="39"/>
    <w:unhideWhenUsed/>
    <w:rsid w:val="00B95D19"/>
    <w:pPr>
      <w:spacing w:after="100"/>
      <w:ind w:left="440"/>
    </w:pPr>
  </w:style>
  <w:style w:type="character" w:styleId="Hyperlink">
    <w:name w:val="Hyperlink"/>
    <w:aliases w:val="Hyperlink Cab"/>
    <w:basedOn w:val="DefaultParagraphFont"/>
    <w:uiPriority w:val="99"/>
    <w:unhideWhenUsed/>
    <w:rsid w:val="00B95D19"/>
    <w:rPr>
      <w:color w:val="0563C1" w:themeColor="hyperlink"/>
      <w:u w:val="single"/>
    </w:rPr>
  </w:style>
  <w:style w:type="paragraph" w:styleId="BalloonText">
    <w:name w:val="Balloon Text"/>
    <w:basedOn w:val="Normal"/>
    <w:link w:val="BalloonTextChar"/>
    <w:uiPriority w:val="99"/>
    <w:semiHidden/>
    <w:unhideWhenUsed/>
    <w:rsid w:val="00B95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19"/>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B95D19"/>
    <w:rPr>
      <w:b/>
      <w:bCs/>
    </w:rPr>
  </w:style>
  <w:style w:type="character" w:customStyle="1" w:styleId="CommentSubjectChar">
    <w:name w:val="Comment Subject Char"/>
    <w:basedOn w:val="CommentTextChar"/>
    <w:link w:val="CommentSubject"/>
    <w:uiPriority w:val="99"/>
    <w:semiHidden/>
    <w:rsid w:val="00B95D19"/>
    <w:rPr>
      <w:b/>
      <w:bCs/>
      <w:sz w:val="20"/>
      <w:szCs w:val="20"/>
      <w:lang w:val="en-US"/>
    </w:rPr>
  </w:style>
  <w:style w:type="character" w:customStyle="1" w:styleId="BulletChar">
    <w:name w:val="Bullet Char"/>
    <w:basedOn w:val="DefaultParagraphFont"/>
    <w:link w:val="Bullet"/>
    <w:locked/>
    <w:rsid w:val="00B95D19"/>
    <w:rPr>
      <w:rFonts w:ascii="Calibri" w:hAnsi="Calibri" w:cs="Calibri"/>
    </w:rPr>
  </w:style>
  <w:style w:type="paragraph" w:customStyle="1" w:styleId="Bullet">
    <w:name w:val="Bullet"/>
    <w:basedOn w:val="Normal"/>
    <w:link w:val="BulletChar"/>
    <w:rsid w:val="00B95D19"/>
    <w:pPr>
      <w:numPr>
        <w:numId w:val="4"/>
      </w:numPr>
      <w:spacing w:after="240" w:line="240" w:lineRule="auto"/>
    </w:pPr>
    <w:rPr>
      <w:rFonts w:ascii="Calibri" w:hAnsi="Calibri" w:cs="Calibri"/>
      <w:lang w:val="en-AU"/>
    </w:rPr>
  </w:style>
  <w:style w:type="paragraph" w:customStyle="1" w:styleId="Dash">
    <w:name w:val="Dash"/>
    <w:basedOn w:val="Normal"/>
    <w:rsid w:val="00B95D19"/>
    <w:pPr>
      <w:numPr>
        <w:ilvl w:val="1"/>
        <w:numId w:val="4"/>
      </w:numPr>
      <w:spacing w:after="240" w:line="240" w:lineRule="auto"/>
    </w:pPr>
    <w:rPr>
      <w:lang w:val="en-AU"/>
    </w:rPr>
  </w:style>
  <w:style w:type="paragraph" w:customStyle="1" w:styleId="DoubleDot">
    <w:name w:val="Double Dot"/>
    <w:basedOn w:val="Normal"/>
    <w:rsid w:val="00B95D19"/>
    <w:pPr>
      <w:numPr>
        <w:ilvl w:val="2"/>
        <w:numId w:val="4"/>
      </w:numPr>
      <w:spacing w:after="240" w:line="240" w:lineRule="auto"/>
    </w:pPr>
    <w:rPr>
      <w:lang w:val="en-AU"/>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qFormat/>
    <w:locked/>
    <w:rsid w:val="00B95D19"/>
    <w:rPr>
      <w:lang w:val="en-US"/>
    </w:rPr>
  </w:style>
  <w:style w:type="paragraph" w:customStyle="1" w:styleId="numberedpara">
    <w:name w:val="numbered para"/>
    <w:basedOn w:val="Normal"/>
    <w:rsid w:val="00B95D19"/>
    <w:pPr>
      <w:tabs>
        <w:tab w:val="num" w:pos="567"/>
      </w:tabs>
      <w:spacing w:before="120" w:after="0" w:line="240" w:lineRule="auto"/>
      <w:ind w:hanging="567"/>
    </w:pPr>
    <w:rPr>
      <w:rFonts w:ascii="Calibri" w:hAnsi="Calibri" w:cs="Calibri"/>
      <w:lang w:val="en-AU" w:eastAsia="en-AU"/>
    </w:rPr>
  </w:style>
  <w:style w:type="paragraph" w:styleId="Revision">
    <w:name w:val="Revision"/>
    <w:hidden/>
    <w:uiPriority w:val="99"/>
    <w:semiHidden/>
    <w:rsid w:val="00B95D19"/>
    <w:pPr>
      <w:spacing w:after="0" w:line="240" w:lineRule="auto"/>
    </w:pPr>
    <w:rPr>
      <w:lang w:val="en-US"/>
    </w:rPr>
  </w:style>
  <w:style w:type="character" w:styleId="FollowedHyperlink">
    <w:name w:val="FollowedHyperlink"/>
    <w:basedOn w:val="DefaultParagraphFont"/>
    <w:uiPriority w:val="99"/>
    <w:semiHidden/>
    <w:unhideWhenUsed/>
    <w:rsid w:val="00B95D19"/>
    <w:rPr>
      <w:color w:val="954F72" w:themeColor="followedHyperlink"/>
      <w:u w:val="single"/>
    </w:rPr>
  </w:style>
  <w:style w:type="table" w:styleId="TableGrid">
    <w:name w:val="Table Grid"/>
    <w:basedOn w:val="TableNormal"/>
    <w:uiPriority w:val="39"/>
    <w:rsid w:val="00B9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obsTable">
    <w:name w:val="Jobs Table"/>
    <w:basedOn w:val="TableNormal"/>
    <w:uiPriority w:val="99"/>
    <w:rsid w:val="00B95D19"/>
    <w:pPr>
      <w:spacing w:after="0" w:line="240" w:lineRule="auto"/>
    </w:pPr>
    <w:rPr>
      <w:rFonts w:eastAsia="Yu Mincho"/>
    </w:rPr>
    <w:tblPr>
      <w:tblBorders>
        <w:bottom w:val="single" w:sz="4" w:space="0" w:color="1E3D6B"/>
      </w:tblBorders>
    </w:tblPr>
    <w:tblStylePr w:type="firstRow">
      <w:pPr>
        <w:jc w:val="left"/>
      </w:pPr>
      <w:rPr>
        <w:rFonts w:ascii="Calibri" w:hAnsi="Calibri"/>
        <w:b w:val="0"/>
        <w:color w:val="E7E6E6"/>
        <w:sz w:val="22"/>
      </w:rPr>
      <w:tblPr/>
      <w:tcPr>
        <w:shd w:val="clear" w:color="auto" w:fill="323E4F"/>
      </w:tcPr>
    </w:tblStylePr>
    <w:tblStylePr w:type="firstCol">
      <w:rPr>
        <w:b/>
      </w:rPr>
    </w:tblStylePr>
  </w:style>
  <w:style w:type="paragraph" w:styleId="ListNumber">
    <w:name w:val="List Number"/>
    <w:basedOn w:val="Normal"/>
    <w:uiPriority w:val="99"/>
    <w:unhideWhenUsed/>
    <w:qFormat/>
    <w:rsid w:val="00B95D19"/>
    <w:pPr>
      <w:spacing w:before="120" w:after="120" w:line="276" w:lineRule="auto"/>
      <w:ind w:left="360" w:hanging="360"/>
      <w:contextualSpacing/>
    </w:pPr>
    <w:rPr>
      <w:rFonts w:eastAsiaTheme="minorEastAsia"/>
      <w:lang w:val="en-AU"/>
    </w:rPr>
  </w:style>
  <w:style w:type="paragraph" w:styleId="ListNumber2">
    <w:name w:val="List Number 2"/>
    <w:basedOn w:val="Normal"/>
    <w:uiPriority w:val="99"/>
    <w:unhideWhenUsed/>
    <w:qFormat/>
    <w:rsid w:val="00B95D19"/>
    <w:pPr>
      <w:tabs>
        <w:tab w:val="left" w:pos="1134"/>
      </w:tabs>
      <w:spacing w:before="120" w:after="120" w:line="276" w:lineRule="auto"/>
      <w:ind w:left="851" w:hanging="491"/>
      <w:contextualSpacing/>
    </w:pPr>
    <w:rPr>
      <w:rFonts w:eastAsiaTheme="minorEastAsia"/>
      <w:lang w:val="en-AU"/>
    </w:rPr>
  </w:style>
  <w:style w:type="paragraph" w:styleId="ListNumber3">
    <w:name w:val="List Number 3"/>
    <w:basedOn w:val="Normal"/>
    <w:uiPriority w:val="99"/>
    <w:unhideWhenUsed/>
    <w:qFormat/>
    <w:rsid w:val="00B95D19"/>
    <w:pPr>
      <w:spacing w:before="120" w:after="120" w:line="276" w:lineRule="auto"/>
      <w:ind w:left="1474" w:hanging="623"/>
      <w:contextualSpacing/>
    </w:pPr>
    <w:rPr>
      <w:rFonts w:eastAsiaTheme="minorEastAsia"/>
      <w:lang w:val="en-AU"/>
    </w:rPr>
  </w:style>
  <w:style w:type="paragraph" w:styleId="ListNumber4">
    <w:name w:val="List Number 4"/>
    <w:basedOn w:val="Normal"/>
    <w:uiPriority w:val="99"/>
    <w:unhideWhenUsed/>
    <w:qFormat/>
    <w:rsid w:val="00B95D19"/>
    <w:pPr>
      <w:spacing w:before="120" w:after="120" w:line="276" w:lineRule="auto"/>
      <w:ind w:left="2268" w:hanging="737"/>
      <w:contextualSpacing/>
    </w:pPr>
    <w:rPr>
      <w:rFonts w:eastAsiaTheme="minorEastAsia"/>
      <w:lang w:val="en-AU"/>
    </w:rPr>
  </w:style>
  <w:style w:type="numbering" w:customStyle="1" w:styleId="NumberedList">
    <w:name w:val="Numbered List"/>
    <w:uiPriority w:val="99"/>
    <w:rsid w:val="00B95D19"/>
    <w:pPr>
      <w:numPr>
        <w:numId w:val="11"/>
      </w:numPr>
    </w:pPr>
  </w:style>
  <w:style w:type="paragraph" w:styleId="ListNumber5">
    <w:name w:val="List Number 5"/>
    <w:basedOn w:val="Normal"/>
    <w:uiPriority w:val="99"/>
    <w:semiHidden/>
    <w:unhideWhenUsed/>
    <w:rsid w:val="00B95D19"/>
    <w:pPr>
      <w:spacing w:before="120" w:after="120" w:line="276" w:lineRule="auto"/>
      <w:ind w:left="1800" w:hanging="360"/>
      <w:contextualSpacing/>
    </w:pPr>
    <w:rPr>
      <w:rFonts w:eastAsiaTheme="minorEastAsia"/>
      <w:lang w:val="en-AU"/>
    </w:rPr>
  </w:style>
  <w:style w:type="paragraph" w:styleId="NoSpacing">
    <w:name w:val="No Spacing"/>
    <w:uiPriority w:val="1"/>
    <w:qFormat/>
    <w:rsid w:val="004F18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12548">
      <w:bodyDiv w:val="1"/>
      <w:marLeft w:val="0"/>
      <w:marRight w:val="0"/>
      <w:marTop w:val="0"/>
      <w:marBottom w:val="0"/>
      <w:divBdr>
        <w:top w:val="none" w:sz="0" w:space="0" w:color="auto"/>
        <w:left w:val="none" w:sz="0" w:space="0" w:color="auto"/>
        <w:bottom w:val="none" w:sz="0" w:space="0" w:color="auto"/>
        <w:right w:val="none" w:sz="0" w:space="0" w:color="auto"/>
      </w:divBdr>
    </w:div>
    <w:div w:id="14033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franchise-ed.org.au/franchisor/managing-franchise-agreements-transfers-and-renewals/" TargetMode="External"/><Relationship Id="rId3" Type="http://schemas.openxmlformats.org/officeDocument/2006/relationships/hyperlink" Target="https://www.accc.gov.au/about-us/australian-competition-consumer-commission/compliance-enforcement-policy-priorities" TargetMode="External"/><Relationship Id="rId7" Type="http://schemas.openxmlformats.org/officeDocument/2006/relationships/hyperlink" Target="https://www.abs.gov.au/ausstats/abs@.nsf/mf/6306.0/" TargetMode="External"/><Relationship Id="rId2" Type="http://schemas.openxmlformats.org/officeDocument/2006/relationships/hyperlink" Target="http://www.accc.gov.au" TargetMode="External"/><Relationship Id="rId1" Type="http://schemas.openxmlformats.org/officeDocument/2006/relationships/hyperlink" Target="https://ministers.employment.gov.au/cash/building-fair-effective-and-accountable-franchising-network" TargetMode="External"/><Relationship Id="rId6" Type="http://schemas.openxmlformats.org/officeDocument/2006/relationships/hyperlink" Target="https://www.abs.gov.au/ausstats/abs@.nsf/mf/6306.0/" TargetMode="External"/><Relationship Id="rId5" Type="http://schemas.openxmlformats.org/officeDocument/2006/relationships/hyperlink" Target="https://www.abs.gov.au/ausstats/abs@.nsf/mf/6306.0/" TargetMode="External"/><Relationship Id="rId4" Type="http://schemas.openxmlformats.org/officeDocument/2006/relationships/hyperlink" Target="https://www.ag.gov.au/sites/default/files/2020-03/mwt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2b21b7731f3204763141f88d7608cd21">
  <xsd:schema xmlns:xsd="http://www.w3.org/2001/XMLSchema" xmlns:xs="http://www.w3.org/2001/XMLSchema" xmlns:p="http://schemas.microsoft.com/office/2006/metadata/properties" xmlns:ns1="http://schemas.microsoft.com/sharepoint/v3" xmlns:ns2="a36bd50b-1532-4c22-b385-5c082c960938" xmlns:ns3="47a89d27-8aa8-48b3-bb94-3b514e2f121e" xmlns:ns4="http://schemas.microsoft.com/sharepoint/v4" targetNamespace="http://schemas.microsoft.com/office/2006/metadata/properties" ma:root="true" ma:fieldsID="ea2ebc3fedecae4ae526b88d7332cd1c" ns1:_="" ns2:_="" ns3:_="" ns4:_="">
    <xsd:import namespace="http://schemas.microsoft.com/sharepoint/v3"/>
    <xsd:import namespace="a36bd50b-1532-4c22-b385-5c082c960938"/>
    <xsd:import namespace="47a89d27-8aa8-48b3-bb94-3b514e2f121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7c606ee8-4835-4725-8711-4a3dd235a22a}" ma:internalName="TaxCatchAll" ma:showField="CatchAllData" ma:web="e4cab3ca-7bd8-4258-8ab2-63f037da74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3cf6626-6e3f-4be0-83b0-0fd1c8933804"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a89d27-8aa8-48b3-bb94-3b514e2f121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Analysis</TermName>
          <TermId>48c54089-4c01-49cb-b266-0173afb66157</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1</Value>
      <Value>55</Value>
    </TaxCatchAll>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FB42-0526-4E84-A693-7F332384AEF2}">
  <ds:schemaRefs>
    <ds:schemaRef ds:uri="http://schemas.microsoft.com/sharepoint/events"/>
  </ds:schemaRefs>
</ds:datastoreItem>
</file>

<file path=customXml/itemProps2.xml><?xml version="1.0" encoding="utf-8"?>
<ds:datastoreItem xmlns:ds="http://schemas.openxmlformats.org/officeDocument/2006/customXml" ds:itemID="{20871A6A-7733-43AA-BF9F-FBD8C279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47a89d27-8aa8-48b3-bb94-3b514e2f12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AE965-34E7-4786-9E69-1F7FEEBAFEBD}">
  <ds:schemaRefs>
    <ds:schemaRef ds:uri="http://schemas.microsoft.com/office/2006/metadata/properties"/>
    <ds:schemaRef ds:uri="a36bd50b-1532-4c22-b385-5c082c960938"/>
    <ds:schemaRef ds:uri="http://schemas.microsoft.com/sharepoint/v3"/>
    <ds:schemaRef ds:uri="http://schemas.microsoft.com/sharepoint/v4"/>
    <ds:schemaRef ds:uri="http://schemas.microsoft.com/office/2006/documentManagement/types"/>
    <ds:schemaRef ds:uri="47a89d27-8aa8-48b3-bb94-3b514e2f121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533E79D-BD44-4585-81CD-18855ECAF427}">
  <ds:schemaRefs>
    <ds:schemaRef ds:uri="http://schemas.microsoft.com/sharepoint/v3/contenttype/forms"/>
  </ds:schemaRefs>
</ds:datastoreItem>
</file>

<file path=customXml/itemProps5.xml><?xml version="1.0" encoding="utf-8"?>
<ds:datastoreItem xmlns:ds="http://schemas.openxmlformats.org/officeDocument/2006/customXml" ds:itemID="{F9ADD36E-2A8F-4DF1-B5C2-E3F0B39A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13304</Words>
  <Characters>75836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 Rhiannon</dc:creator>
  <cp:keywords/>
  <dc:description/>
  <cp:lastModifiedBy>Starke, Nanumi</cp:lastModifiedBy>
  <cp:revision>3</cp:revision>
  <cp:lastPrinted>2020-08-18T01:56:00Z</cp:lastPrinted>
  <dcterms:created xsi:type="dcterms:W3CDTF">2020-08-18T01:55:00Z</dcterms:created>
  <dcterms:modified xsi:type="dcterms:W3CDTF">2020-08-18T01:56:00Z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DocumentType">
    <vt:lpwstr>55;#Analysis|48c54089-4c01-49cb-b266-0173afb66157</vt:lpwstr>
  </property>
  <property fmtid="{D5CDD505-2E9C-101B-9397-08002B2CF9AE}" pid="5" name="DocHub_SecurityClassification">
    <vt:lpwstr>1;#OFFICIAL|6106d03b-a1a0-4e30-9d91-d5e9fb4314f9</vt:lpwstr>
  </property>
  <property fmtid="{D5CDD505-2E9C-101B-9397-08002B2CF9AE}" pid="6" name="DocHub_Keywords">
    <vt:lpwstr/>
  </property>
  <property fmtid="{D5CDD505-2E9C-101B-9397-08002B2CF9AE}" pid="7" name="DocHub_WorkActivity">
    <vt:lpwstr/>
  </property>
</Properties>
</file>