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8410F" w14:textId="77777777" w:rsidR="00AF7B16" w:rsidRPr="0052028F" w:rsidRDefault="00AF7B16" w:rsidP="00AF7B16">
      <w:pPr>
        <w:pStyle w:val="Heading1"/>
        <w:jc w:val="center"/>
        <w:rPr>
          <w:rFonts w:asciiTheme="minorHAnsi" w:hAnsiTheme="minorHAnsi" w:cstheme="minorHAnsi"/>
        </w:rPr>
      </w:pPr>
      <w:r w:rsidRPr="0052028F">
        <w:rPr>
          <w:rFonts w:asciiTheme="minorHAnsi" w:hAnsiTheme="minorHAnsi" w:cstheme="minorHAnsi"/>
        </w:rPr>
        <w:t>Standard Form Regulation Impact Statement (RIS)</w:t>
      </w:r>
    </w:p>
    <w:p w14:paraId="0E04A00A" w14:textId="77777777" w:rsidR="00AF7B16" w:rsidRPr="0052028F" w:rsidRDefault="00AF7B16" w:rsidP="00AF7B16">
      <w:pPr>
        <w:rPr>
          <w:rFonts w:asciiTheme="minorHAnsi" w:hAnsiTheme="minorHAnsi" w:cstheme="minorHAnsi"/>
        </w:rPr>
      </w:pPr>
    </w:p>
    <w:p w14:paraId="627C4CF6" w14:textId="77777777" w:rsidR="00AF7B16" w:rsidRPr="0052028F" w:rsidRDefault="00AF7B16" w:rsidP="00AF7B16">
      <w:pPr>
        <w:pStyle w:val="Heading2"/>
        <w:rPr>
          <w:rFonts w:asciiTheme="minorHAnsi" w:hAnsiTheme="minorHAnsi" w:cstheme="minorHAnsi"/>
        </w:rPr>
      </w:pPr>
      <w:r w:rsidRPr="0052028F">
        <w:rPr>
          <w:rFonts w:asciiTheme="minorHAnsi" w:hAnsiTheme="minorHAnsi" w:cstheme="minorHAnsi"/>
        </w:rPr>
        <w:t>Name of proposal: Stronger Rural Health Strategy</w:t>
      </w:r>
    </w:p>
    <w:p w14:paraId="55A17573" w14:textId="055E9F25" w:rsidR="00AF7B16" w:rsidRPr="00F93950" w:rsidRDefault="00AF7B16" w:rsidP="00F93950">
      <w:pPr>
        <w:rPr>
          <w:rFonts w:asciiTheme="minorHAnsi" w:hAnsiTheme="minorHAnsi" w:cstheme="minorHAnsi"/>
          <w:b/>
          <w:sz w:val="28"/>
          <w:szCs w:val="28"/>
        </w:rPr>
      </w:pPr>
      <w:r w:rsidRPr="00F93950">
        <w:rPr>
          <w:rFonts w:asciiTheme="minorHAnsi" w:hAnsiTheme="minorHAnsi" w:cstheme="minorHAnsi"/>
          <w:b/>
          <w:sz w:val="28"/>
          <w:szCs w:val="28"/>
        </w:rPr>
        <w:t>Office of Best Practice Regulation (OBPR) ID number: 23390</w:t>
      </w:r>
    </w:p>
    <w:p w14:paraId="2C5A196B" w14:textId="77777777" w:rsidR="00F93950" w:rsidRDefault="00F93950" w:rsidP="00F93950">
      <w:pPr>
        <w:rPr>
          <w:rFonts w:asciiTheme="minorHAnsi" w:hAnsiTheme="minorHAnsi" w:cstheme="minorHAnsi"/>
          <w:b/>
          <w:sz w:val="28"/>
          <w:szCs w:val="28"/>
        </w:rPr>
      </w:pPr>
    </w:p>
    <w:p w14:paraId="2E238ED3" w14:textId="16328D0E" w:rsidR="00AF7B16" w:rsidRPr="00F93950" w:rsidRDefault="00AF7B16" w:rsidP="00F93950">
      <w:pPr>
        <w:rPr>
          <w:rFonts w:asciiTheme="minorHAnsi" w:hAnsiTheme="minorHAnsi" w:cstheme="minorHAnsi"/>
          <w:b/>
          <w:sz w:val="28"/>
          <w:szCs w:val="28"/>
        </w:rPr>
      </w:pPr>
      <w:r w:rsidRPr="00F93950">
        <w:rPr>
          <w:rFonts w:asciiTheme="minorHAnsi" w:hAnsiTheme="minorHAnsi" w:cstheme="minorHAnsi"/>
          <w:b/>
          <w:sz w:val="28"/>
          <w:szCs w:val="28"/>
        </w:rPr>
        <w:t>Background</w:t>
      </w:r>
    </w:p>
    <w:p w14:paraId="53E5958D" w14:textId="77777777" w:rsidR="00C471A1" w:rsidRDefault="00553CB6" w:rsidP="00182885">
      <w:pPr>
        <w:pBdr>
          <w:top w:val="single" w:sz="4" w:space="1" w:color="auto"/>
          <w:left w:val="single" w:sz="4" w:space="4" w:color="auto"/>
          <w:bottom w:val="single" w:sz="4" w:space="1" w:color="auto"/>
          <w:right w:val="single" w:sz="4" w:space="4" w:color="auto"/>
        </w:pBdr>
        <w:shd w:val="pct10" w:color="auto" w:fill="auto"/>
        <w:ind w:left="142"/>
        <w:rPr>
          <w:rFonts w:asciiTheme="minorHAnsi" w:hAnsiTheme="minorHAnsi" w:cstheme="minorHAnsi"/>
        </w:rPr>
      </w:pPr>
      <w:r w:rsidRPr="006F3273">
        <w:rPr>
          <w:rFonts w:asciiTheme="minorHAnsi" w:hAnsiTheme="minorHAnsi" w:cstheme="minorHAnsi"/>
        </w:rPr>
        <w:t>The Stronger Rural Health Strategy (</w:t>
      </w:r>
      <w:r w:rsidR="00C471A1">
        <w:rPr>
          <w:rFonts w:asciiTheme="minorHAnsi" w:hAnsiTheme="minorHAnsi" w:cstheme="minorHAnsi"/>
        </w:rPr>
        <w:t>‘</w:t>
      </w:r>
      <w:r w:rsidRPr="006F3273">
        <w:rPr>
          <w:rFonts w:asciiTheme="minorHAnsi" w:hAnsiTheme="minorHAnsi" w:cstheme="minorHAnsi"/>
        </w:rPr>
        <w:t>the Strategy</w:t>
      </w:r>
      <w:r w:rsidR="00C471A1">
        <w:rPr>
          <w:rFonts w:asciiTheme="minorHAnsi" w:hAnsiTheme="minorHAnsi" w:cstheme="minorHAnsi"/>
        </w:rPr>
        <w:t>’</w:t>
      </w:r>
      <w:r w:rsidRPr="006F3273">
        <w:rPr>
          <w:rFonts w:asciiTheme="minorHAnsi" w:hAnsiTheme="minorHAnsi" w:cstheme="minorHAnsi"/>
        </w:rPr>
        <w:t xml:space="preserve">) aims to build a sustainable, high quality health workforce that is distributed across the country according to community need, particularly in rural and remote communities. The Strategy reflects the Government’s commitment to improve the health of people living in regional, rural and remote Australia. </w:t>
      </w:r>
    </w:p>
    <w:p w14:paraId="1AB0AE95" w14:textId="77777777" w:rsidR="00C471A1" w:rsidRDefault="00C471A1" w:rsidP="00553CB6">
      <w:pPr>
        <w:rPr>
          <w:rFonts w:asciiTheme="minorHAnsi" w:hAnsiTheme="minorHAnsi" w:cstheme="minorHAnsi"/>
        </w:rPr>
      </w:pPr>
    </w:p>
    <w:p w14:paraId="341BAE69" w14:textId="7AF33A01" w:rsidR="00C471A1" w:rsidRDefault="00C471A1" w:rsidP="00553CB6">
      <w:pPr>
        <w:rPr>
          <w:rFonts w:asciiTheme="minorHAnsi" w:hAnsiTheme="minorHAnsi" w:cstheme="minorHAnsi"/>
        </w:rPr>
      </w:pPr>
      <w:r>
        <w:rPr>
          <w:rFonts w:asciiTheme="minorHAnsi" w:hAnsiTheme="minorHAnsi" w:cstheme="minorHAnsi"/>
        </w:rPr>
        <w:t>In operation</w:t>
      </w:r>
      <w:r w:rsidR="000F232F">
        <w:rPr>
          <w:rFonts w:asciiTheme="minorHAnsi" w:hAnsiTheme="minorHAnsi" w:cstheme="minorHAnsi"/>
        </w:rPr>
        <w:t>al</w:t>
      </w:r>
      <w:r>
        <w:rPr>
          <w:rFonts w:asciiTheme="minorHAnsi" w:hAnsiTheme="minorHAnsi" w:cstheme="minorHAnsi"/>
        </w:rPr>
        <w:t xml:space="preserve"> terms, the Strategy is comprised of 12 complementary measures that collectively represent:</w:t>
      </w:r>
    </w:p>
    <w:p w14:paraId="04B801CF" w14:textId="0ABF6D87" w:rsidR="00C471A1" w:rsidRDefault="00C471A1" w:rsidP="00AA5EBF">
      <w:pPr>
        <w:pStyle w:val="ListParagraph"/>
        <w:numPr>
          <w:ilvl w:val="0"/>
          <w:numId w:val="56"/>
        </w:numPr>
        <w:rPr>
          <w:rFonts w:asciiTheme="minorHAnsi" w:hAnsiTheme="minorHAnsi" w:cstheme="minorHAnsi"/>
        </w:rPr>
      </w:pPr>
      <w:r>
        <w:rPr>
          <w:rFonts w:asciiTheme="minorHAnsi" w:hAnsiTheme="minorHAnsi" w:cstheme="minorHAnsi"/>
        </w:rPr>
        <w:t>a considered approach to recalibrating and updating several key Government poli</w:t>
      </w:r>
      <w:r w:rsidR="000F232F">
        <w:rPr>
          <w:rFonts w:asciiTheme="minorHAnsi" w:hAnsiTheme="minorHAnsi" w:cstheme="minorHAnsi"/>
        </w:rPr>
        <w:t>ci</w:t>
      </w:r>
      <w:r>
        <w:rPr>
          <w:rFonts w:asciiTheme="minorHAnsi" w:hAnsiTheme="minorHAnsi" w:cstheme="minorHAnsi"/>
        </w:rPr>
        <w:t>es, programs and incentives that share the objective of improving access to health services, particularly in regional, rural and remote Australia;</w:t>
      </w:r>
    </w:p>
    <w:p w14:paraId="34FFDF0C" w14:textId="079C3DC6" w:rsidR="00C471A1" w:rsidRDefault="00C471A1" w:rsidP="00AA5EBF">
      <w:pPr>
        <w:pStyle w:val="ListParagraph"/>
        <w:numPr>
          <w:ilvl w:val="0"/>
          <w:numId w:val="56"/>
        </w:numPr>
        <w:rPr>
          <w:rFonts w:asciiTheme="minorHAnsi" w:hAnsiTheme="minorHAnsi" w:cstheme="minorHAnsi"/>
        </w:rPr>
      </w:pPr>
      <w:r>
        <w:rPr>
          <w:rFonts w:asciiTheme="minorHAnsi" w:hAnsiTheme="minorHAnsi" w:cstheme="minorHAnsi"/>
        </w:rPr>
        <w:t>a key step towards developing data tools to support collaborative health workforce planning and future policy development; and</w:t>
      </w:r>
    </w:p>
    <w:p w14:paraId="2BF123C2" w14:textId="4B4A0265" w:rsidR="00C471A1" w:rsidRPr="006F3273" w:rsidRDefault="00C471A1" w:rsidP="00AA5EBF">
      <w:pPr>
        <w:pStyle w:val="ListParagraph"/>
        <w:numPr>
          <w:ilvl w:val="0"/>
          <w:numId w:val="56"/>
        </w:numPr>
        <w:rPr>
          <w:rFonts w:asciiTheme="minorHAnsi" w:hAnsiTheme="minorHAnsi" w:cstheme="minorHAnsi"/>
        </w:rPr>
      </w:pPr>
      <w:r>
        <w:rPr>
          <w:rFonts w:asciiTheme="minorHAnsi" w:hAnsiTheme="minorHAnsi" w:cstheme="minorHAnsi"/>
        </w:rPr>
        <w:t xml:space="preserve">a renewed commitment that health and </w:t>
      </w:r>
      <w:r w:rsidR="000F232F">
        <w:rPr>
          <w:rFonts w:asciiTheme="minorHAnsi" w:hAnsiTheme="minorHAnsi" w:cstheme="minorHAnsi"/>
        </w:rPr>
        <w:t xml:space="preserve">medical </w:t>
      </w:r>
      <w:r>
        <w:rPr>
          <w:rFonts w:asciiTheme="minorHAnsi" w:hAnsiTheme="minorHAnsi" w:cstheme="minorHAnsi"/>
        </w:rPr>
        <w:t>professionals are appropriately trained to meet service needs in varied clinical settings.</w:t>
      </w:r>
    </w:p>
    <w:p w14:paraId="54B1BAB3" w14:textId="77777777" w:rsidR="00553CB6" w:rsidRPr="006F3273" w:rsidRDefault="00553CB6" w:rsidP="00553CB6">
      <w:pPr>
        <w:rPr>
          <w:rFonts w:asciiTheme="minorHAnsi" w:hAnsiTheme="minorHAnsi" w:cstheme="minorHAnsi"/>
        </w:rPr>
      </w:pPr>
    </w:p>
    <w:p w14:paraId="0DD79419" w14:textId="31C818C7" w:rsidR="0046374A" w:rsidRDefault="00C471A1" w:rsidP="008168D8">
      <w:pPr>
        <w:rPr>
          <w:rFonts w:asciiTheme="minorHAnsi" w:hAnsiTheme="minorHAnsi" w:cstheme="minorHAnsi"/>
        </w:rPr>
      </w:pPr>
      <w:r>
        <w:rPr>
          <w:rFonts w:asciiTheme="minorHAnsi" w:hAnsiTheme="minorHAnsi" w:cstheme="minorHAnsi"/>
        </w:rPr>
        <w:t xml:space="preserve">An examination of Australia’s medical workforce provides an important </w:t>
      </w:r>
      <w:r w:rsidR="00B50C5B">
        <w:rPr>
          <w:rFonts w:asciiTheme="minorHAnsi" w:hAnsiTheme="minorHAnsi" w:cstheme="minorHAnsi"/>
        </w:rPr>
        <w:t>illustration of the need for this approach to reform</w:t>
      </w:r>
      <w:r>
        <w:rPr>
          <w:rFonts w:asciiTheme="minorHAnsi" w:hAnsiTheme="minorHAnsi" w:cstheme="minorHAnsi"/>
        </w:rPr>
        <w:t xml:space="preserve">. </w:t>
      </w:r>
      <w:r w:rsidR="00B50C5B">
        <w:rPr>
          <w:rFonts w:asciiTheme="minorHAnsi" w:hAnsiTheme="minorHAnsi" w:cstheme="minorHAnsi"/>
        </w:rPr>
        <w:t xml:space="preserve"> </w:t>
      </w:r>
      <w:r w:rsidR="0060604B" w:rsidRPr="0052028F">
        <w:rPr>
          <w:rFonts w:asciiTheme="minorHAnsi" w:hAnsiTheme="minorHAnsi" w:cstheme="minorHAnsi"/>
        </w:rPr>
        <w:t>Australia’s medical workforce is supplied through domestic medical training of local and international students and</w:t>
      </w:r>
      <w:r w:rsidR="0060604B">
        <w:rPr>
          <w:rFonts w:asciiTheme="minorHAnsi" w:hAnsiTheme="minorHAnsi" w:cstheme="minorHAnsi"/>
        </w:rPr>
        <w:t xml:space="preserve"> is supplemented through</w:t>
      </w:r>
      <w:r w:rsidR="0060604B" w:rsidRPr="0052028F">
        <w:rPr>
          <w:rFonts w:asciiTheme="minorHAnsi" w:hAnsiTheme="minorHAnsi" w:cstheme="minorHAnsi"/>
        </w:rPr>
        <w:t xml:space="preserve"> immigration</w:t>
      </w:r>
      <w:r w:rsidR="0085049A">
        <w:rPr>
          <w:rFonts w:asciiTheme="minorHAnsi" w:hAnsiTheme="minorHAnsi" w:cstheme="minorHAnsi"/>
        </w:rPr>
        <w:t>.</w:t>
      </w:r>
      <w:r w:rsidR="0060604B" w:rsidRPr="0052028F">
        <w:rPr>
          <w:rFonts w:asciiTheme="minorHAnsi" w:hAnsiTheme="minorHAnsi" w:cstheme="minorHAnsi"/>
        </w:rPr>
        <w:t xml:space="preserve"> </w:t>
      </w:r>
      <w:r w:rsidR="00AF7B16" w:rsidRPr="0052028F">
        <w:rPr>
          <w:rFonts w:asciiTheme="minorHAnsi" w:hAnsiTheme="minorHAnsi" w:cstheme="minorHAnsi"/>
        </w:rPr>
        <w:t xml:space="preserve">The Department of Health </w:t>
      </w:r>
      <w:r w:rsidR="001D5412">
        <w:rPr>
          <w:rFonts w:asciiTheme="minorHAnsi" w:hAnsiTheme="minorHAnsi" w:cstheme="minorHAnsi"/>
        </w:rPr>
        <w:t xml:space="preserve">(Health) </w:t>
      </w:r>
      <w:r w:rsidR="00AF7B16" w:rsidRPr="0052028F">
        <w:rPr>
          <w:rFonts w:asciiTheme="minorHAnsi" w:hAnsiTheme="minorHAnsi" w:cstheme="minorHAnsi"/>
        </w:rPr>
        <w:t>undertakes health workforce supply and demand studies to evaluate how well Australia’s health workforce is meeting</w:t>
      </w:r>
      <w:r w:rsidR="0074244F">
        <w:rPr>
          <w:rFonts w:asciiTheme="minorHAnsi" w:hAnsiTheme="minorHAnsi" w:cstheme="minorHAnsi"/>
        </w:rPr>
        <w:t xml:space="preserve"> community</w:t>
      </w:r>
      <w:r w:rsidR="009F2C3B">
        <w:rPr>
          <w:rFonts w:asciiTheme="minorHAnsi" w:hAnsiTheme="minorHAnsi" w:cstheme="minorHAnsi"/>
        </w:rPr>
        <w:t xml:space="preserve"> </w:t>
      </w:r>
      <w:r w:rsidR="00AF7B16" w:rsidRPr="0052028F">
        <w:rPr>
          <w:rFonts w:asciiTheme="minorHAnsi" w:hAnsiTheme="minorHAnsi" w:cstheme="minorHAnsi"/>
        </w:rPr>
        <w:t xml:space="preserve">health care needs.  </w:t>
      </w:r>
      <w:r w:rsidR="0074244F">
        <w:rPr>
          <w:rFonts w:asciiTheme="minorHAnsi" w:hAnsiTheme="minorHAnsi" w:cstheme="minorHAnsi"/>
        </w:rPr>
        <w:t>T</w:t>
      </w:r>
      <w:r w:rsidR="00D80625">
        <w:rPr>
          <w:rFonts w:asciiTheme="minorHAnsi" w:hAnsiTheme="minorHAnsi" w:cstheme="minorHAnsi"/>
        </w:rPr>
        <w:t>hese studies highlight</w:t>
      </w:r>
      <w:r w:rsidR="00AF7B16" w:rsidRPr="0052028F">
        <w:rPr>
          <w:rFonts w:asciiTheme="minorHAnsi" w:hAnsiTheme="minorHAnsi" w:cstheme="minorHAnsi"/>
        </w:rPr>
        <w:t xml:space="preserve"> the following </w:t>
      </w:r>
      <w:r w:rsidR="00962023">
        <w:rPr>
          <w:rFonts w:asciiTheme="minorHAnsi" w:hAnsiTheme="minorHAnsi" w:cstheme="minorHAnsi"/>
        </w:rPr>
        <w:t>medical workforce issues</w:t>
      </w:r>
      <w:r w:rsidR="00AF7B16">
        <w:rPr>
          <w:rFonts w:asciiTheme="minorHAnsi" w:hAnsiTheme="minorHAnsi" w:cstheme="minorHAnsi"/>
        </w:rPr>
        <w:t>:</w:t>
      </w:r>
    </w:p>
    <w:p w14:paraId="602EC0C4" w14:textId="00EE42AB" w:rsidR="0046374A" w:rsidRDefault="0046374A" w:rsidP="00AA5EBF">
      <w:pPr>
        <w:pStyle w:val="ListParagraph"/>
        <w:numPr>
          <w:ilvl w:val="0"/>
          <w:numId w:val="21"/>
        </w:numPr>
        <w:rPr>
          <w:rFonts w:asciiTheme="minorHAnsi" w:hAnsiTheme="minorHAnsi" w:cstheme="minorHAnsi"/>
        </w:rPr>
      </w:pPr>
      <w:r>
        <w:rPr>
          <w:rFonts w:asciiTheme="minorHAnsi" w:hAnsiTheme="minorHAnsi" w:cstheme="minorHAnsi"/>
        </w:rPr>
        <w:t>Australia continues to face a significant maldistribution of the medical workforce, with regional, rural and remote areas receiving less access to medical services than the major cities.  This workforce distribution issue is most evident when considering general practitioners (GPs) and exists despite a:</w:t>
      </w:r>
    </w:p>
    <w:p w14:paraId="7104F595" w14:textId="7B11A0F4" w:rsidR="0046374A" w:rsidRDefault="0046374A" w:rsidP="00AA5EBF">
      <w:pPr>
        <w:pStyle w:val="ListParagraph"/>
        <w:numPr>
          <w:ilvl w:val="0"/>
          <w:numId w:val="22"/>
        </w:numPr>
        <w:rPr>
          <w:rFonts w:asciiTheme="minorHAnsi" w:hAnsiTheme="minorHAnsi" w:cstheme="minorHAnsi"/>
        </w:rPr>
      </w:pPr>
      <w:r>
        <w:rPr>
          <w:rFonts w:asciiTheme="minorHAnsi" w:hAnsiTheme="minorHAnsi" w:cstheme="minorHAnsi"/>
        </w:rPr>
        <w:t xml:space="preserve">significant increase in the per capita number of GPs </w:t>
      </w:r>
      <w:r w:rsidRPr="009B52BD">
        <w:rPr>
          <w:rFonts w:asciiTheme="minorHAnsi" w:hAnsiTheme="minorHAnsi" w:cstheme="minorHAnsi"/>
        </w:rPr>
        <w:t>practi</w:t>
      </w:r>
      <w:r w:rsidR="00BB678B" w:rsidRPr="009B52BD">
        <w:rPr>
          <w:rFonts w:asciiTheme="minorHAnsi" w:hAnsiTheme="minorHAnsi" w:cstheme="minorHAnsi"/>
        </w:rPr>
        <w:t>s</w:t>
      </w:r>
      <w:r w:rsidRPr="009B52BD">
        <w:rPr>
          <w:rFonts w:asciiTheme="minorHAnsi" w:hAnsiTheme="minorHAnsi" w:cstheme="minorHAnsi"/>
        </w:rPr>
        <w:t>ing</w:t>
      </w:r>
      <w:r>
        <w:rPr>
          <w:rFonts w:asciiTheme="minorHAnsi" w:hAnsiTheme="minorHAnsi" w:cstheme="minorHAnsi"/>
        </w:rPr>
        <w:t xml:space="preserve"> across</w:t>
      </w:r>
      <w:r w:rsidR="00494D03">
        <w:rPr>
          <w:rFonts w:asciiTheme="minorHAnsi" w:hAnsiTheme="minorHAnsi" w:cstheme="minorHAnsi"/>
        </w:rPr>
        <w:t xml:space="preserve"> Australia</w:t>
      </w:r>
      <w:r>
        <w:rPr>
          <w:rFonts w:asciiTheme="minorHAnsi" w:hAnsiTheme="minorHAnsi" w:cstheme="minorHAnsi"/>
        </w:rPr>
        <w:t>; and</w:t>
      </w:r>
    </w:p>
    <w:p w14:paraId="681C9119" w14:textId="05EBDDF2" w:rsidR="0046374A" w:rsidRDefault="0046374A" w:rsidP="00AA5EBF">
      <w:pPr>
        <w:pStyle w:val="ListParagraph"/>
        <w:numPr>
          <w:ilvl w:val="0"/>
          <w:numId w:val="22"/>
        </w:numPr>
        <w:rPr>
          <w:rFonts w:asciiTheme="minorHAnsi" w:hAnsiTheme="minorHAnsi" w:cstheme="minorHAnsi"/>
        </w:rPr>
      </w:pPr>
      <w:r>
        <w:rPr>
          <w:rFonts w:asciiTheme="minorHAnsi" w:hAnsiTheme="minorHAnsi" w:cstheme="minorHAnsi"/>
        </w:rPr>
        <w:t xml:space="preserve">substantial growth in the per capita number of non-referred GP services performed under the Medicare Benefits Schedule (MBS) across Australia between 2006 and 2016.  Figure 1 compares the overall level of services provided </w:t>
      </w:r>
      <w:r w:rsidR="00190946">
        <w:rPr>
          <w:rFonts w:asciiTheme="minorHAnsi" w:hAnsiTheme="minorHAnsi" w:cstheme="minorHAnsi"/>
        </w:rPr>
        <w:t>across each Modified Monash Model (MMM) remoteness category during this period.</w:t>
      </w:r>
    </w:p>
    <w:p w14:paraId="5DF1002F" w14:textId="2ABE15DB" w:rsidR="0046374A" w:rsidRPr="008168D8" w:rsidRDefault="008168D8" w:rsidP="00AA5EBF">
      <w:pPr>
        <w:pStyle w:val="ListParagraph"/>
        <w:numPr>
          <w:ilvl w:val="0"/>
          <w:numId w:val="21"/>
        </w:numPr>
        <w:rPr>
          <w:rFonts w:asciiTheme="minorHAnsi" w:hAnsiTheme="minorHAnsi" w:cstheme="minorHAnsi"/>
        </w:rPr>
      </w:pPr>
      <w:r>
        <w:rPr>
          <w:rFonts w:asciiTheme="minorHAnsi" w:hAnsiTheme="minorHAnsi" w:cstheme="minorHAnsi"/>
        </w:rPr>
        <w:t>While the MBS access rules encourage doctors to qualify as GPs, a significant portion of the growth in the delivery of MBS-</w:t>
      </w:r>
      <w:r w:rsidRPr="009B52BD">
        <w:rPr>
          <w:rFonts w:asciiTheme="minorHAnsi" w:hAnsiTheme="minorHAnsi" w:cstheme="minorHAnsi"/>
        </w:rPr>
        <w:t>subsidised</w:t>
      </w:r>
      <w:r>
        <w:rPr>
          <w:rFonts w:asciiTheme="minorHAnsi" w:hAnsiTheme="minorHAnsi" w:cstheme="minorHAnsi"/>
        </w:rPr>
        <w:t xml:space="preserve"> primary care services is being driven by </w:t>
      </w:r>
      <w:r w:rsidR="00D31ABE">
        <w:rPr>
          <w:rFonts w:asciiTheme="minorHAnsi" w:hAnsiTheme="minorHAnsi" w:cstheme="minorHAnsi"/>
        </w:rPr>
        <w:br/>
      </w:r>
      <w:r>
        <w:rPr>
          <w:rFonts w:asciiTheme="minorHAnsi" w:hAnsiTheme="minorHAnsi" w:cstheme="minorHAnsi"/>
        </w:rPr>
        <w:t xml:space="preserve">non-vocationally </w:t>
      </w:r>
      <w:r w:rsidRPr="009B52BD">
        <w:rPr>
          <w:rFonts w:asciiTheme="minorHAnsi" w:hAnsiTheme="minorHAnsi" w:cstheme="minorHAnsi"/>
        </w:rPr>
        <w:t>recognised</w:t>
      </w:r>
      <w:r>
        <w:rPr>
          <w:rFonts w:asciiTheme="minorHAnsi" w:hAnsiTheme="minorHAnsi" w:cstheme="minorHAnsi"/>
        </w:rPr>
        <w:t xml:space="preserve"> (non-VR) doctors.  This is particularly true in regional, rural and remote areas where the majority of this growth is from doctors who do not hold GP qualifications and who are not formally training with a college.  Figure 1 shows this trend.</w:t>
      </w:r>
    </w:p>
    <w:p w14:paraId="10464F49" w14:textId="21D95870" w:rsidR="00494D03" w:rsidRDefault="00494D03" w:rsidP="00AA5EBF">
      <w:pPr>
        <w:pStyle w:val="ListParagraph"/>
        <w:numPr>
          <w:ilvl w:val="0"/>
          <w:numId w:val="21"/>
        </w:numPr>
        <w:rPr>
          <w:rFonts w:asciiTheme="minorHAnsi" w:hAnsiTheme="minorHAnsi" w:cstheme="minorHAnsi"/>
        </w:rPr>
      </w:pPr>
      <w:r>
        <w:rPr>
          <w:rFonts w:asciiTheme="minorHAnsi" w:hAnsiTheme="minorHAnsi" w:cstheme="minorHAnsi"/>
        </w:rPr>
        <w:t>Despite definable workforce shortages, the continued growth of the medical workforce needs to be carefully managed. For example, t</w:t>
      </w:r>
      <w:r w:rsidRPr="00363FFA">
        <w:rPr>
          <w:rFonts w:asciiTheme="minorHAnsi" w:hAnsiTheme="minorHAnsi" w:cstheme="minorHAnsi"/>
        </w:rPr>
        <w:t xml:space="preserve">he 2014 </w:t>
      </w:r>
      <w:r w:rsidRPr="006F3273">
        <w:rPr>
          <w:rFonts w:asciiTheme="minorHAnsi" w:hAnsiTheme="minorHAnsi" w:cstheme="minorHAnsi"/>
          <w:i/>
        </w:rPr>
        <w:t>Australia’s Future Workforce</w:t>
      </w:r>
      <w:r>
        <w:rPr>
          <w:rFonts w:asciiTheme="minorHAnsi" w:hAnsiTheme="minorHAnsi" w:cstheme="minorHAnsi"/>
        </w:rPr>
        <w:t xml:space="preserve"> – </w:t>
      </w:r>
      <w:r w:rsidRPr="006F3273">
        <w:rPr>
          <w:rFonts w:asciiTheme="minorHAnsi" w:hAnsiTheme="minorHAnsi" w:cstheme="minorHAnsi"/>
          <w:i/>
        </w:rPr>
        <w:t xml:space="preserve">Doctors </w:t>
      </w:r>
      <w:r>
        <w:rPr>
          <w:rFonts w:asciiTheme="minorHAnsi" w:hAnsiTheme="minorHAnsi" w:cstheme="minorHAnsi"/>
        </w:rPr>
        <w:t>report</w:t>
      </w:r>
      <w:r w:rsidRPr="00363FFA">
        <w:rPr>
          <w:rFonts w:asciiTheme="minorHAnsi" w:hAnsiTheme="minorHAnsi" w:cstheme="minorHAnsi"/>
        </w:rPr>
        <w:t xml:space="preserve"> estimates a potential oversupply of </w:t>
      </w:r>
      <w:r>
        <w:rPr>
          <w:rFonts w:asciiTheme="minorHAnsi" w:hAnsiTheme="minorHAnsi" w:cstheme="minorHAnsi"/>
        </w:rPr>
        <w:t xml:space="preserve">up to </w:t>
      </w:r>
      <w:r w:rsidRPr="00363FFA">
        <w:rPr>
          <w:rFonts w:asciiTheme="minorHAnsi" w:hAnsiTheme="minorHAnsi" w:cstheme="minorHAnsi"/>
        </w:rPr>
        <w:t>7,000 doctors by 2030.</w:t>
      </w:r>
      <w:r>
        <w:rPr>
          <w:rFonts w:asciiTheme="minorHAnsi" w:hAnsiTheme="minorHAnsi" w:cstheme="minorHAnsi"/>
        </w:rPr>
        <w:t xml:space="preserve">  Internal </w:t>
      </w:r>
      <w:r>
        <w:rPr>
          <w:rFonts w:asciiTheme="minorHAnsi" w:hAnsiTheme="minorHAnsi" w:cstheme="minorHAnsi"/>
        </w:rPr>
        <w:lastRenderedPageBreak/>
        <w:t>modelling confirms this potential and supports the need to re-examine workforce arrangements that increase doctor numbers.</w:t>
      </w:r>
    </w:p>
    <w:p w14:paraId="54D201F1" w14:textId="38BD22FD" w:rsidR="00494D03" w:rsidRPr="00972910" w:rsidRDefault="00494D03" w:rsidP="00AA5EBF">
      <w:pPr>
        <w:pStyle w:val="ListParagraph"/>
        <w:numPr>
          <w:ilvl w:val="0"/>
          <w:numId w:val="21"/>
        </w:numPr>
        <w:rPr>
          <w:rFonts w:asciiTheme="minorHAnsi" w:hAnsiTheme="minorHAnsi" w:cstheme="minorHAnsi"/>
        </w:rPr>
      </w:pPr>
      <w:r w:rsidRPr="00972910">
        <w:rPr>
          <w:rFonts w:asciiTheme="minorHAnsi" w:hAnsiTheme="minorHAnsi" w:cstheme="minorHAnsi"/>
        </w:rPr>
        <w:t>New policy</w:t>
      </w:r>
      <w:r>
        <w:rPr>
          <w:rFonts w:asciiTheme="minorHAnsi" w:hAnsiTheme="minorHAnsi" w:cstheme="minorHAnsi"/>
        </w:rPr>
        <w:t xml:space="preserve"> settings</w:t>
      </w:r>
      <w:r w:rsidRPr="00972910">
        <w:rPr>
          <w:rFonts w:asciiTheme="minorHAnsi" w:hAnsiTheme="minorHAnsi" w:cstheme="minorHAnsi"/>
        </w:rPr>
        <w:t xml:space="preserve"> </w:t>
      </w:r>
      <w:r w:rsidRPr="008168D8">
        <w:rPr>
          <w:rFonts w:asciiTheme="minorHAnsi" w:hAnsiTheme="minorHAnsi" w:cstheme="minorHAnsi"/>
        </w:rPr>
        <w:t xml:space="preserve">and </w:t>
      </w:r>
      <w:r w:rsidRPr="00972910">
        <w:rPr>
          <w:rFonts w:asciiTheme="minorHAnsi" w:hAnsiTheme="minorHAnsi" w:cstheme="minorHAnsi"/>
        </w:rPr>
        <w:t xml:space="preserve">program arrangements </w:t>
      </w:r>
      <w:r>
        <w:rPr>
          <w:rFonts w:asciiTheme="minorHAnsi" w:hAnsiTheme="minorHAnsi" w:cstheme="minorHAnsi"/>
        </w:rPr>
        <w:t>are required that</w:t>
      </w:r>
      <w:r w:rsidRPr="00972910">
        <w:rPr>
          <w:rFonts w:asciiTheme="minorHAnsi" w:hAnsiTheme="minorHAnsi" w:cstheme="minorHAnsi"/>
        </w:rPr>
        <w:t xml:space="preserve"> </w:t>
      </w:r>
      <w:r w:rsidR="005330B1">
        <w:rPr>
          <w:rFonts w:asciiTheme="minorHAnsi" w:hAnsiTheme="minorHAnsi" w:cstheme="minorHAnsi"/>
        </w:rPr>
        <w:t>are calibrated to the</w:t>
      </w:r>
      <w:r w:rsidRPr="00972910">
        <w:rPr>
          <w:rFonts w:asciiTheme="minorHAnsi" w:hAnsiTheme="minorHAnsi" w:cstheme="minorHAnsi"/>
        </w:rPr>
        <w:t xml:space="preserve"> current medical workforce in terms of its size, composition and geographic distribution. </w:t>
      </w:r>
      <w:r w:rsidRPr="008168D8">
        <w:rPr>
          <w:rFonts w:asciiTheme="minorHAnsi" w:hAnsiTheme="minorHAnsi" w:cstheme="minorHAnsi"/>
        </w:rPr>
        <w:t xml:space="preserve"> </w:t>
      </w:r>
      <w:r w:rsidR="005330B1">
        <w:rPr>
          <w:rFonts w:asciiTheme="minorHAnsi" w:hAnsiTheme="minorHAnsi" w:cstheme="minorHAnsi"/>
        </w:rPr>
        <w:t>These recalibrated arrangements will form the basis for</w:t>
      </w:r>
      <w:r w:rsidR="005330B1" w:rsidRPr="008168D8">
        <w:rPr>
          <w:rFonts w:asciiTheme="minorHAnsi" w:hAnsiTheme="minorHAnsi" w:cstheme="minorHAnsi"/>
        </w:rPr>
        <w:t xml:space="preserve"> controlling the growth and geographic distribution of doctors, particularly those working in general practice, as well as ensuring </w:t>
      </w:r>
      <w:r w:rsidR="005330B1">
        <w:rPr>
          <w:rFonts w:asciiTheme="minorHAnsi" w:hAnsiTheme="minorHAnsi" w:cstheme="minorHAnsi"/>
        </w:rPr>
        <w:t>doctors receive appropriate support</w:t>
      </w:r>
      <w:r w:rsidR="005330B1" w:rsidRPr="00972910">
        <w:rPr>
          <w:rFonts w:asciiTheme="minorHAnsi" w:hAnsiTheme="minorHAnsi" w:cstheme="minorHAnsi"/>
        </w:rPr>
        <w:t xml:space="preserve"> to </w:t>
      </w:r>
      <w:r w:rsidR="005330B1">
        <w:rPr>
          <w:rFonts w:asciiTheme="minorHAnsi" w:hAnsiTheme="minorHAnsi" w:cstheme="minorHAnsi"/>
        </w:rPr>
        <w:t>choose and train for a postgraduate medical qualification.</w:t>
      </w:r>
      <w:r w:rsidR="005330B1" w:rsidRPr="008168D8">
        <w:rPr>
          <w:rFonts w:asciiTheme="minorHAnsi" w:hAnsiTheme="minorHAnsi" w:cstheme="minorHAnsi"/>
        </w:rPr>
        <w:t xml:space="preserve"> </w:t>
      </w:r>
    </w:p>
    <w:p w14:paraId="5F397438" w14:textId="77777777" w:rsidR="00494D03" w:rsidRDefault="00494D03" w:rsidP="00BB678B">
      <w:pPr>
        <w:rPr>
          <w:rFonts w:asciiTheme="minorHAnsi" w:hAnsiTheme="minorHAnsi" w:cstheme="minorHAnsi"/>
        </w:rPr>
      </w:pPr>
    </w:p>
    <w:p w14:paraId="4CD4A502" w14:textId="3C898FBB" w:rsidR="008345C5" w:rsidRPr="0085049A" w:rsidRDefault="008345C5" w:rsidP="008345C5">
      <w:pPr>
        <w:rPr>
          <w:rFonts w:asciiTheme="minorHAnsi" w:hAnsiTheme="minorHAnsi" w:cstheme="minorHAnsi"/>
        </w:rPr>
      </w:pPr>
      <w:r>
        <w:rPr>
          <w:rFonts w:asciiTheme="minorHAnsi" w:hAnsiTheme="minorHAnsi" w:cstheme="minorHAnsi"/>
        </w:rPr>
        <w:t>The Strategy</w:t>
      </w:r>
      <w:r w:rsidRPr="0085049A">
        <w:rPr>
          <w:rFonts w:asciiTheme="minorHAnsi" w:hAnsiTheme="minorHAnsi" w:cstheme="minorHAnsi"/>
        </w:rPr>
        <w:t xml:space="preserve"> </w:t>
      </w:r>
      <w:r w:rsidR="00B50C5B">
        <w:rPr>
          <w:rFonts w:asciiTheme="minorHAnsi" w:hAnsiTheme="minorHAnsi" w:cstheme="minorHAnsi"/>
        </w:rPr>
        <w:t xml:space="preserve">is an appropriate response to these types of challenges to improving access to </w:t>
      </w:r>
      <w:r w:rsidRPr="0085049A">
        <w:rPr>
          <w:rFonts w:asciiTheme="minorHAnsi" w:hAnsiTheme="minorHAnsi" w:cstheme="minorHAnsi"/>
        </w:rPr>
        <w:t>medical and health services for rural Australia</w:t>
      </w:r>
      <w:r>
        <w:rPr>
          <w:rFonts w:asciiTheme="minorHAnsi" w:hAnsiTheme="minorHAnsi" w:cstheme="minorHAnsi"/>
        </w:rPr>
        <w:t>, primarily</w:t>
      </w:r>
      <w:r w:rsidRPr="0085049A">
        <w:rPr>
          <w:rFonts w:asciiTheme="minorHAnsi" w:hAnsiTheme="minorHAnsi" w:cstheme="minorHAnsi"/>
        </w:rPr>
        <w:t xml:space="preserve"> through improved training and distribution of the health workforce. </w:t>
      </w:r>
    </w:p>
    <w:p w14:paraId="7B9EA279" w14:textId="77777777" w:rsidR="00F941E3" w:rsidRDefault="00F941E3" w:rsidP="00BB678B">
      <w:pPr>
        <w:rPr>
          <w:rFonts w:asciiTheme="minorHAnsi" w:hAnsiTheme="minorHAnsi" w:cstheme="minorHAnsi"/>
        </w:rPr>
      </w:pPr>
    </w:p>
    <w:p w14:paraId="5297515C" w14:textId="3EB73EAC" w:rsidR="00F93950" w:rsidRDefault="00BB678B" w:rsidP="00F93950">
      <w:pPr>
        <w:ind w:left="993" w:hanging="993"/>
        <w:rPr>
          <w:rFonts w:asciiTheme="minorHAnsi" w:hAnsiTheme="minorHAnsi" w:cstheme="minorHAnsi"/>
        </w:rPr>
      </w:pPr>
      <w:r w:rsidRPr="00D616B4">
        <w:rPr>
          <w:rFonts w:asciiTheme="minorHAnsi" w:hAnsiTheme="minorHAnsi" w:cstheme="minorHAnsi"/>
          <w:b/>
        </w:rPr>
        <w:t>Figure 1:</w:t>
      </w:r>
      <w:r w:rsidRPr="006A6EB7">
        <w:rPr>
          <w:rFonts w:asciiTheme="minorHAnsi" w:hAnsiTheme="minorHAnsi" w:cstheme="minorHAnsi"/>
        </w:rPr>
        <w:t xml:space="preserve"> </w:t>
      </w:r>
      <w:r w:rsidR="00494D03">
        <w:rPr>
          <w:rFonts w:asciiTheme="minorHAnsi" w:hAnsiTheme="minorHAnsi" w:cstheme="minorHAnsi"/>
        </w:rPr>
        <w:t>Aggregate number of non-referred GP attendances under the MBS by MMM</w:t>
      </w:r>
    </w:p>
    <w:p w14:paraId="2EA93696" w14:textId="4BE663AB" w:rsidR="00324814" w:rsidRPr="008168D8" w:rsidRDefault="00494D03" w:rsidP="00F93950">
      <w:pPr>
        <w:ind w:left="993" w:hanging="993"/>
        <w:rPr>
          <w:rFonts w:asciiTheme="minorHAnsi" w:hAnsiTheme="minorHAnsi" w:cstheme="minorHAnsi"/>
        </w:rPr>
      </w:pPr>
      <w:r>
        <w:rPr>
          <w:rFonts w:asciiTheme="minorHAnsi" w:hAnsiTheme="minorHAnsi" w:cstheme="minorHAnsi"/>
        </w:rPr>
        <w:t>Remoteness Category (2006 to 2016)</w:t>
      </w:r>
    </w:p>
    <w:p w14:paraId="1C54A68E" w14:textId="2A4659C1" w:rsidR="009D6D97" w:rsidRDefault="00895FB7" w:rsidP="008168D8">
      <w:pPr>
        <w:pStyle w:val="ListParagraph"/>
      </w:pPr>
      <w:r>
        <w:rPr>
          <w:noProof/>
          <w:lang w:eastAsia="en-AU"/>
        </w:rPr>
        <w:drawing>
          <wp:inline distT="0" distB="0" distL="0" distR="0" wp14:anchorId="1C332FB0" wp14:editId="6A302665">
            <wp:extent cx="5621020" cy="4054475"/>
            <wp:effectExtent l="0" t="0" r="0" b="3175"/>
            <wp:docPr id="1" name="Picture 1" descr="The figure shows the number of non-referred GP attendances delivered under the MBS by MMM remoteness category and type of GPs (includes GP trainees, Non-vocationally recognied GP and Vocationally recognised GPs) in 2005-06 and 2015-16." title="Figure 1: Aggregate number of non-referred GP attendances under the MBS by MMM Remoteness Category (2006-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1020" cy="4054475"/>
                    </a:xfrm>
                    <a:prstGeom prst="rect">
                      <a:avLst/>
                    </a:prstGeom>
                    <a:noFill/>
                  </pic:spPr>
                </pic:pic>
              </a:graphicData>
            </a:graphic>
          </wp:inline>
        </w:drawing>
      </w:r>
    </w:p>
    <w:p w14:paraId="504D307B" w14:textId="7686495C" w:rsidR="00E62E77" w:rsidRDefault="009D6D97" w:rsidP="00421B97">
      <w:pPr>
        <w:pStyle w:val="ListParagraph"/>
        <w:ind w:left="360"/>
        <w:rPr>
          <w:rFonts w:asciiTheme="minorHAnsi" w:hAnsiTheme="minorHAnsi" w:cstheme="minorHAnsi"/>
        </w:rPr>
      </w:pPr>
      <w:r w:rsidRPr="00AA3E22">
        <w:rPr>
          <w:rFonts w:asciiTheme="minorHAnsi" w:hAnsiTheme="minorHAnsi" w:cstheme="minorHAnsi"/>
          <w:sz w:val="16"/>
          <w:szCs w:val="16"/>
        </w:rPr>
        <w:t>The graph omits approximately 1% of services whose postcodes could not be geographically located. Patient data is based on postcodes where Modified Monash Model proportions are based on population distribution within each postcode.</w:t>
      </w:r>
    </w:p>
    <w:p w14:paraId="49196066" w14:textId="77777777" w:rsidR="0085049A" w:rsidRDefault="0085049A" w:rsidP="0085049A">
      <w:pPr>
        <w:rPr>
          <w:rFonts w:asciiTheme="minorHAnsi" w:hAnsiTheme="minorHAnsi" w:cstheme="minorHAnsi"/>
        </w:rPr>
      </w:pPr>
    </w:p>
    <w:p w14:paraId="0803EBB4" w14:textId="045BDDDE" w:rsidR="001D5412" w:rsidRDefault="00B50C5B" w:rsidP="0085049A">
      <w:pPr>
        <w:rPr>
          <w:rFonts w:asciiTheme="minorHAnsi" w:hAnsiTheme="minorHAnsi" w:cstheme="minorHAnsi"/>
        </w:rPr>
      </w:pPr>
      <w:r>
        <w:rPr>
          <w:rFonts w:asciiTheme="minorHAnsi" w:hAnsiTheme="minorHAnsi" w:cstheme="minorHAnsi"/>
        </w:rPr>
        <w:t>When considering doctors, t</w:t>
      </w:r>
      <w:r w:rsidR="00B35F0F" w:rsidRPr="0085049A">
        <w:rPr>
          <w:rFonts w:asciiTheme="minorHAnsi" w:hAnsiTheme="minorHAnsi" w:cstheme="minorHAnsi"/>
        </w:rPr>
        <w:t xml:space="preserve">he Strategy </w:t>
      </w:r>
      <w:r w:rsidR="001D5412">
        <w:rPr>
          <w:rFonts w:asciiTheme="minorHAnsi" w:hAnsiTheme="minorHAnsi" w:cstheme="minorHAnsi"/>
        </w:rPr>
        <w:t>has a specific focus</w:t>
      </w:r>
      <w:r w:rsidR="00B35F0F" w:rsidRPr="0085049A">
        <w:rPr>
          <w:rFonts w:asciiTheme="minorHAnsi" w:hAnsiTheme="minorHAnsi" w:cstheme="minorHAnsi"/>
        </w:rPr>
        <w:t xml:space="preserve"> </w:t>
      </w:r>
      <w:r w:rsidR="001D5412">
        <w:rPr>
          <w:rFonts w:asciiTheme="minorHAnsi" w:hAnsiTheme="minorHAnsi" w:cstheme="minorHAnsi"/>
        </w:rPr>
        <w:t>on</w:t>
      </w:r>
      <w:r w:rsidR="00B35F0F" w:rsidRPr="0085049A">
        <w:rPr>
          <w:rFonts w:asciiTheme="minorHAnsi" w:hAnsiTheme="minorHAnsi" w:cstheme="minorHAnsi"/>
        </w:rPr>
        <w:t xml:space="preserve"> address</w:t>
      </w:r>
      <w:r w:rsidR="001D5412">
        <w:rPr>
          <w:rFonts w:asciiTheme="minorHAnsi" w:hAnsiTheme="minorHAnsi" w:cstheme="minorHAnsi"/>
        </w:rPr>
        <w:t>ing</w:t>
      </w:r>
      <w:r w:rsidR="00B35F0F" w:rsidRPr="0085049A">
        <w:rPr>
          <w:rFonts w:asciiTheme="minorHAnsi" w:hAnsiTheme="minorHAnsi" w:cstheme="minorHAnsi"/>
        </w:rPr>
        <w:t xml:space="preserve"> 29 years of regulatory and administrative amendments</w:t>
      </w:r>
      <w:r w:rsidR="001D5412">
        <w:rPr>
          <w:rFonts w:asciiTheme="minorHAnsi" w:hAnsiTheme="minorHAnsi" w:cstheme="minorHAnsi"/>
        </w:rPr>
        <w:t xml:space="preserve"> to the rules for</w:t>
      </w:r>
      <w:r w:rsidR="00F31414">
        <w:rPr>
          <w:rFonts w:asciiTheme="minorHAnsi" w:hAnsiTheme="minorHAnsi" w:cstheme="minorHAnsi"/>
        </w:rPr>
        <w:t xml:space="preserve"> doctors to </w:t>
      </w:r>
      <w:r w:rsidR="00F31414" w:rsidRPr="00274A1C">
        <w:rPr>
          <w:rFonts w:asciiTheme="minorHAnsi" w:hAnsiTheme="minorHAnsi" w:cstheme="minorHAnsi"/>
        </w:rPr>
        <w:t>practise</w:t>
      </w:r>
      <w:r w:rsidR="00F31414">
        <w:rPr>
          <w:rFonts w:asciiTheme="minorHAnsi" w:hAnsiTheme="minorHAnsi" w:cstheme="minorHAnsi"/>
        </w:rPr>
        <w:t xml:space="preserve"> under the MBS in</w:t>
      </w:r>
      <w:r w:rsidR="001D5412">
        <w:rPr>
          <w:rFonts w:asciiTheme="minorHAnsi" w:hAnsiTheme="minorHAnsi" w:cstheme="minorHAnsi"/>
        </w:rPr>
        <w:t xml:space="preserve"> general practice settings,</w:t>
      </w:r>
      <w:r w:rsidR="00B35F0F" w:rsidRPr="0085049A">
        <w:rPr>
          <w:rFonts w:asciiTheme="minorHAnsi" w:hAnsiTheme="minorHAnsi" w:cstheme="minorHAnsi"/>
        </w:rPr>
        <w:t xml:space="preserve"> which are no longer working as originally intended</w:t>
      </w:r>
      <w:r w:rsidR="00B35F0F">
        <w:rPr>
          <w:rFonts w:asciiTheme="minorHAnsi" w:hAnsiTheme="minorHAnsi" w:cstheme="minorHAnsi"/>
        </w:rPr>
        <w:t xml:space="preserve">; </w:t>
      </w:r>
      <w:r w:rsidR="00B35F0F" w:rsidRPr="00B809CC">
        <w:rPr>
          <w:rFonts w:asciiTheme="minorHAnsi" w:hAnsiTheme="minorHAnsi" w:cstheme="minorHAnsi"/>
        </w:rPr>
        <w:t>it is timely to review their impact both individually and in aggregate. Whilst previous</w:t>
      </w:r>
      <w:r w:rsidR="000F33A3">
        <w:rPr>
          <w:rFonts w:asciiTheme="minorHAnsi" w:hAnsiTheme="minorHAnsi" w:cstheme="minorHAnsi"/>
        </w:rPr>
        <w:t xml:space="preserve"> Health-led</w:t>
      </w:r>
      <w:r w:rsidR="00B35F0F" w:rsidRPr="00B809CC">
        <w:rPr>
          <w:rFonts w:asciiTheme="minorHAnsi" w:hAnsiTheme="minorHAnsi" w:cstheme="minorHAnsi"/>
        </w:rPr>
        <w:t xml:space="preserve"> policy and regulatory changes </w:t>
      </w:r>
      <w:r w:rsidR="00040603" w:rsidRPr="00B809CC">
        <w:rPr>
          <w:rFonts w:asciiTheme="minorHAnsi" w:hAnsiTheme="minorHAnsi" w:cstheme="minorHAnsi"/>
        </w:rPr>
        <w:t>have</w:t>
      </w:r>
      <w:r w:rsidR="007506D9">
        <w:rPr>
          <w:rFonts w:asciiTheme="minorHAnsi" w:hAnsiTheme="minorHAnsi" w:cstheme="minorHAnsi"/>
        </w:rPr>
        <w:t xml:space="preserve"> addressed specific vulnerabilities</w:t>
      </w:r>
      <w:r w:rsidR="00040603" w:rsidRPr="00B809CC">
        <w:rPr>
          <w:rFonts w:asciiTheme="minorHAnsi" w:hAnsiTheme="minorHAnsi" w:cstheme="minorHAnsi"/>
        </w:rPr>
        <w:t>,</w:t>
      </w:r>
      <w:r w:rsidR="001D5412">
        <w:rPr>
          <w:rFonts w:asciiTheme="minorHAnsi" w:hAnsiTheme="minorHAnsi" w:cstheme="minorHAnsi"/>
        </w:rPr>
        <w:t xml:space="preserve"> </w:t>
      </w:r>
      <w:r w:rsidR="000F33A3">
        <w:rPr>
          <w:rFonts w:asciiTheme="minorHAnsi" w:hAnsiTheme="minorHAnsi" w:cstheme="minorHAnsi"/>
        </w:rPr>
        <w:t>a broad set of strategic reforms is required</w:t>
      </w:r>
      <w:r w:rsidR="001D5412">
        <w:rPr>
          <w:rFonts w:asciiTheme="minorHAnsi" w:hAnsiTheme="minorHAnsi" w:cstheme="minorHAnsi"/>
        </w:rPr>
        <w:t xml:space="preserve"> </w:t>
      </w:r>
      <w:r w:rsidR="000F33A3">
        <w:rPr>
          <w:rFonts w:asciiTheme="minorHAnsi" w:hAnsiTheme="minorHAnsi" w:cstheme="minorHAnsi"/>
        </w:rPr>
        <w:t>to provide a sustainable</w:t>
      </w:r>
      <w:r w:rsidR="001D5412">
        <w:rPr>
          <w:rFonts w:asciiTheme="minorHAnsi" w:hAnsiTheme="minorHAnsi" w:cstheme="minorHAnsi"/>
        </w:rPr>
        <w:t xml:space="preserve"> regulatory environment </w:t>
      </w:r>
      <w:r w:rsidR="000F33A3">
        <w:rPr>
          <w:rFonts w:asciiTheme="minorHAnsi" w:hAnsiTheme="minorHAnsi" w:cstheme="minorHAnsi"/>
        </w:rPr>
        <w:t>that supports</w:t>
      </w:r>
      <w:r w:rsidR="001D5412">
        <w:rPr>
          <w:rFonts w:asciiTheme="minorHAnsi" w:hAnsiTheme="minorHAnsi" w:cstheme="minorHAnsi"/>
        </w:rPr>
        <w:t xml:space="preserve"> vulnerable communities </w:t>
      </w:r>
      <w:r w:rsidR="000F33A3">
        <w:rPr>
          <w:rFonts w:asciiTheme="minorHAnsi" w:hAnsiTheme="minorHAnsi" w:cstheme="minorHAnsi"/>
        </w:rPr>
        <w:t>with</w:t>
      </w:r>
      <w:r w:rsidR="001D5412">
        <w:rPr>
          <w:rFonts w:asciiTheme="minorHAnsi" w:hAnsiTheme="minorHAnsi" w:cstheme="minorHAnsi"/>
        </w:rPr>
        <w:t xml:space="preserve"> attract</w:t>
      </w:r>
      <w:r w:rsidR="000F33A3">
        <w:rPr>
          <w:rFonts w:asciiTheme="minorHAnsi" w:hAnsiTheme="minorHAnsi" w:cstheme="minorHAnsi"/>
        </w:rPr>
        <w:t>ing</w:t>
      </w:r>
      <w:r w:rsidR="001D5412">
        <w:rPr>
          <w:rFonts w:asciiTheme="minorHAnsi" w:hAnsiTheme="minorHAnsi" w:cstheme="minorHAnsi"/>
        </w:rPr>
        <w:t xml:space="preserve"> and retain</w:t>
      </w:r>
      <w:r w:rsidR="000F33A3">
        <w:rPr>
          <w:rFonts w:asciiTheme="minorHAnsi" w:hAnsiTheme="minorHAnsi" w:cstheme="minorHAnsi"/>
        </w:rPr>
        <w:t>ing</w:t>
      </w:r>
      <w:r w:rsidR="001D5412">
        <w:rPr>
          <w:rFonts w:asciiTheme="minorHAnsi" w:hAnsiTheme="minorHAnsi" w:cstheme="minorHAnsi"/>
        </w:rPr>
        <w:t xml:space="preserve"> appropriately qualified </w:t>
      </w:r>
      <w:r w:rsidR="004C3190">
        <w:rPr>
          <w:rFonts w:asciiTheme="minorHAnsi" w:hAnsiTheme="minorHAnsi" w:cstheme="minorHAnsi"/>
        </w:rPr>
        <w:t>GP</w:t>
      </w:r>
      <w:r w:rsidR="001D5412">
        <w:rPr>
          <w:rFonts w:asciiTheme="minorHAnsi" w:hAnsiTheme="minorHAnsi" w:cstheme="minorHAnsi"/>
        </w:rPr>
        <w:t xml:space="preserve">s. </w:t>
      </w:r>
    </w:p>
    <w:p w14:paraId="3FDA1418" w14:textId="6A796057" w:rsidR="00B50C5B" w:rsidRDefault="00B50C5B" w:rsidP="0085049A">
      <w:pPr>
        <w:rPr>
          <w:rFonts w:asciiTheme="minorHAnsi" w:hAnsiTheme="minorHAnsi" w:cstheme="minorHAnsi"/>
        </w:rPr>
      </w:pPr>
    </w:p>
    <w:p w14:paraId="33DA0D0F" w14:textId="231815D0" w:rsidR="00F31414" w:rsidRDefault="00F31414" w:rsidP="0085049A">
      <w:pPr>
        <w:rPr>
          <w:rFonts w:asciiTheme="minorHAnsi" w:hAnsiTheme="minorHAnsi" w:cstheme="minorHAnsi"/>
        </w:rPr>
      </w:pPr>
      <w:r>
        <w:rPr>
          <w:rFonts w:asciiTheme="minorHAnsi" w:hAnsiTheme="minorHAnsi" w:cstheme="minorHAnsi"/>
        </w:rPr>
        <w:lastRenderedPageBreak/>
        <w:t xml:space="preserve">The Strategy will support vulnerable communities by: </w:t>
      </w:r>
    </w:p>
    <w:p w14:paraId="32E3D99B" w14:textId="06C8C1DF" w:rsidR="008345C5" w:rsidRDefault="004C3190" w:rsidP="00AA5EBF">
      <w:pPr>
        <w:pStyle w:val="ListParagraph"/>
        <w:numPr>
          <w:ilvl w:val="0"/>
          <w:numId w:val="23"/>
        </w:numPr>
        <w:rPr>
          <w:rFonts w:asciiTheme="minorHAnsi" w:hAnsiTheme="minorHAnsi" w:cstheme="minorHAnsi"/>
        </w:rPr>
      </w:pPr>
      <w:r>
        <w:rPr>
          <w:rFonts w:asciiTheme="minorHAnsi" w:hAnsiTheme="minorHAnsi" w:cstheme="minorHAnsi"/>
        </w:rPr>
        <w:t xml:space="preserve">revising current training and distribution measures so that they </w:t>
      </w:r>
      <w:r w:rsidRPr="004C3190">
        <w:rPr>
          <w:rFonts w:asciiTheme="minorHAnsi" w:hAnsiTheme="minorHAnsi" w:cstheme="minorHAnsi"/>
        </w:rPr>
        <w:t>align the</w:t>
      </w:r>
      <w:r w:rsidRPr="008168D8">
        <w:rPr>
          <w:rFonts w:asciiTheme="minorHAnsi" w:hAnsiTheme="minorHAnsi" w:cstheme="minorHAnsi"/>
        </w:rPr>
        <w:t xml:space="preserve"> growing health workforce (including GPs)</w:t>
      </w:r>
      <w:r w:rsidRPr="004C3190">
        <w:rPr>
          <w:rFonts w:asciiTheme="minorHAnsi" w:hAnsiTheme="minorHAnsi" w:cstheme="minorHAnsi"/>
        </w:rPr>
        <w:t xml:space="preserve"> with</w:t>
      </w:r>
      <w:r w:rsidRPr="008168D8">
        <w:rPr>
          <w:rFonts w:asciiTheme="minorHAnsi" w:hAnsiTheme="minorHAnsi" w:cstheme="minorHAnsi"/>
        </w:rPr>
        <w:t xml:space="preserve"> service needs</w:t>
      </w:r>
      <w:r w:rsidR="000E0A7E">
        <w:rPr>
          <w:rFonts w:asciiTheme="minorHAnsi" w:hAnsiTheme="minorHAnsi" w:cstheme="minorHAnsi"/>
        </w:rPr>
        <w:t xml:space="preserve"> at the local community level.</w:t>
      </w:r>
      <w:r>
        <w:rPr>
          <w:rFonts w:asciiTheme="minorHAnsi" w:hAnsiTheme="minorHAnsi" w:cstheme="minorHAnsi"/>
        </w:rPr>
        <w:t xml:space="preserve"> This includes </w:t>
      </w:r>
      <w:r w:rsidR="000E0A7E">
        <w:rPr>
          <w:rFonts w:asciiTheme="minorHAnsi" w:hAnsiTheme="minorHAnsi" w:cstheme="minorHAnsi"/>
        </w:rPr>
        <w:t xml:space="preserve">improving </w:t>
      </w:r>
      <w:r>
        <w:rPr>
          <w:rFonts w:asciiTheme="minorHAnsi" w:hAnsiTheme="minorHAnsi" w:cstheme="minorHAnsi"/>
        </w:rPr>
        <w:t xml:space="preserve">opportunities </w:t>
      </w:r>
      <w:r w:rsidR="00B50C5B">
        <w:rPr>
          <w:rFonts w:asciiTheme="minorHAnsi" w:hAnsiTheme="minorHAnsi" w:cstheme="minorHAnsi"/>
        </w:rPr>
        <w:t xml:space="preserve">for doctors </w:t>
      </w:r>
      <w:r>
        <w:rPr>
          <w:rFonts w:asciiTheme="minorHAnsi" w:hAnsiTheme="minorHAnsi" w:cstheme="minorHAnsi"/>
        </w:rPr>
        <w:t>to formally train and gain clinical experience in rural general practice settings; and</w:t>
      </w:r>
    </w:p>
    <w:p w14:paraId="7910BF35" w14:textId="6CF87027" w:rsidR="00D31ABE" w:rsidRDefault="008345C5" w:rsidP="00AA5EBF">
      <w:pPr>
        <w:pStyle w:val="ListParagraph"/>
        <w:numPr>
          <w:ilvl w:val="0"/>
          <w:numId w:val="23"/>
        </w:numPr>
        <w:rPr>
          <w:rFonts w:asciiTheme="minorHAnsi" w:hAnsiTheme="minorHAnsi" w:cstheme="minorHAnsi"/>
        </w:rPr>
      </w:pPr>
      <w:r>
        <w:rPr>
          <w:rFonts w:asciiTheme="minorHAnsi" w:hAnsiTheme="minorHAnsi" w:cstheme="minorHAnsi"/>
        </w:rPr>
        <w:t>reaffirming the link between MBS item claiming rights in general practice settings and the attainment of a postgraduate GP qualification.  This is expected to increase the number of fully-qualified GPs over time, with the greatest i</w:t>
      </w:r>
      <w:r w:rsidR="00B50C5B">
        <w:rPr>
          <w:rFonts w:asciiTheme="minorHAnsi" w:hAnsiTheme="minorHAnsi" w:cstheme="minorHAnsi"/>
        </w:rPr>
        <w:t>ncrease in representation of these doctors i</w:t>
      </w:r>
      <w:r>
        <w:rPr>
          <w:rFonts w:asciiTheme="minorHAnsi" w:hAnsiTheme="minorHAnsi" w:cstheme="minorHAnsi"/>
        </w:rPr>
        <w:t>n rural and remote communities that currently rely on non-VR doctors to address local GP shortages. In 2016-17, the non-VR GP workf</w:t>
      </w:r>
      <w:r w:rsidR="0077121E">
        <w:rPr>
          <w:rFonts w:asciiTheme="minorHAnsi" w:hAnsiTheme="minorHAnsi" w:cstheme="minorHAnsi"/>
        </w:rPr>
        <w:t>orce represented over 15 per cent</w:t>
      </w:r>
      <w:r>
        <w:rPr>
          <w:rFonts w:asciiTheme="minorHAnsi" w:hAnsiTheme="minorHAnsi" w:cstheme="minorHAnsi"/>
        </w:rPr>
        <w:t xml:space="preserve"> of the total GP workforce, but in rural areas, this prop</w:t>
      </w:r>
      <w:r w:rsidR="0077121E">
        <w:rPr>
          <w:rFonts w:asciiTheme="minorHAnsi" w:hAnsiTheme="minorHAnsi" w:cstheme="minorHAnsi"/>
        </w:rPr>
        <w:t>ortion climbs to over 23</w:t>
      </w:r>
      <w:r w:rsidR="0077121E" w:rsidRPr="0077121E">
        <w:rPr>
          <w:rFonts w:asciiTheme="minorHAnsi" w:hAnsiTheme="minorHAnsi" w:cstheme="minorHAnsi"/>
        </w:rPr>
        <w:t xml:space="preserve"> </w:t>
      </w:r>
      <w:r w:rsidR="0077121E">
        <w:rPr>
          <w:rFonts w:asciiTheme="minorHAnsi" w:hAnsiTheme="minorHAnsi" w:cstheme="minorHAnsi"/>
        </w:rPr>
        <w:t>per cent</w:t>
      </w:r>
      <w:r>
        <w:rPr>
          <w:rFonts w:asciiTheme="minorHAnsi" w:hAnsiTheme="minorHAnsi" w:cstheme="minorHAnsi"/>
        </w:rPr>
        <w:t>, or nearly one in four.  The difference in composition contributes to limits in medical service delivery outside of the major cities.</w:t>
      </w:r>
    </w:p>
    <w:p w14:paraId="1C62D854" w14:textId="77777777" w:rsidR="00C62167" w:rsidRDefault="00C62167" w:rsidP="00C62167">
      <w:pPr>
        <w:rPr>
          <w:rFonts w:asciiTheme="minorHAnsi" w:hAnsiTheme="minorHAnsi" w:cstheme="minorHAnsi"/>
        </w:rPr>
      </w:pPr>
    </w:p>
    <w:p w14:paraId="131B94F1" w14:textId="192B7037" w:rsidR="00D31ABE" w:rsidRPr="00C62167" w:rsidRDefault="00B50C5B" w:rsidP="00C62167">
      <w:pPr>
        <w:rPr>
          <w:rFonts w:asciiTheme="minorHAnsi" w:hAnsiTheme="minorHAnsi" w:cstheme="minorHAnsi"/>
        </w:rPr>
      </w:pPr>
      <w:r w:rsidRPr="00C62167">
        <w:rPr>
          <w:rFonts w:asciiTheme="minorHAnsi" w:hAnsiTheme="minorHAnsi" w:cstheme="minorHAnsi"/>
        </w:rPr>
        <w:t>While the Strategy must consider the settings for doctors to enter primary care sett</w:t>
      </w:r>
      <w:r w:rsidR="00BC4FE1" w:rsidRPr="00C62167">
        <w:rPr>
          <w:rFonts w:asciiTheme="minorHAnsi" w:hAnsiTheme="minorHAnsi" w:cstheme="minorHAnsi"/>
        </w:rPr>
        <w:t>ings, it is important that they</w:t>
      </w:r>
      <w:r w:rsidRPr="00C62167">
        <w:rPr>
          <w:rFonts w:asciiTheme="minorHAnsi" w:hAnsiTheme="minorHAnsi" w:cstheme="minorHAnsi"/>
        </w:rPr>
        <w:t xml:space="preserve"> are considered in tandem with arrangements that support other health professionals </w:t>
      </w:r>
      <w:r w:rsidR="00940996">
        <w:rPr>
          <w:rFonts w:asciiTheme="minorHAnsi" w:hAnsiTheme="minorHAnsi" w:cstheme="minorHAnsi"/>
        </w:rPr>
        <w:t>to truly drive</w:t>
      </w:r>
      <w:r w:rsidRPr="00C62167">
        <w:rPr>
          <w:rFonts w:asciiTheme="minorHAnsi" w:hAnsiTheme="minorHAnsi" w:cstheme="minorHAnsi"/>
        </w:rPr>
        <w:t xml:space="preserve"> improved access to care.  The Strategy address</w:t>
      </w:r>
      <w:r w:rsidR="000F232F" w:rsidRPr="00C62167">
        <w:rPr>
          <w:rFonts w:asciiTheme="minorHAnsi" w:hAnsiTheme="minorHAnsi" w:cstheme="minorHAnsi"/>
        </w:rPr>
        <w:t>es</w:t>
      </w:r>
      <w:r w:rsidRPr="00C62167">
        <w:rPr>
          <w:rFonts w:asciiTheme="minorHAnsi" w:hAnsiTheme="minorHAnsi" w:cstheme="minorHAnsi"/>
        </w:rPr>
        <w:t xml:space="preserve"> this through several proposals to expand the roles of nurses, Aboriginal and Torres Strait Islander Health Professionals and Practitioners, and other allied health professionals beyond the major cities.</w:t>
      </w:r>
    </w:p>
    <w:p w14:paraId="41ECC3B3" w14:textId="77777777" w:rsidR="00C62167" w:rsidRDefault="00C62167" w:rsidP="00C62167">
      <w:pPr>
        <w:rPr>
          <w:rFonts w:asciiTheme="minorHAnsi" w:hAnsiTheme="minorHAnsi" w:cstheme="minorHAnsi"/>
        </w:rPr>
      </w:pPr>
    </w:p>
    <w:p w14:paraId="4E1EB770" w14:textId="0269B178" w:rsidR="00B50C5B" w:rsidRPr="00C62167" w:rsidRDefault="00B50C5B" w:rsidP="00C62167">
      <w:pPr>
        <w:rPr>
          <w:rFonts w:asciiTheme="minorHAnsi" w:hAnsiTheme="minorHAnsi" w:cstheme="minorHAnsi"/>
        </w:rPr>
      </w:pPr>
      <w:r w:rsidRPr="00C62167">
        <w:rPr>
          <w:rFonts w:asciiTheme="minorHAnsi" w:hAnsiTheme="minorHAnsi" w:cstheme="minorHAnsi"/>
        </w:rPr>
        <w:t xml:space="preserve">The long-term impact of these policy and program-level reforms would be supported by a Health-led evaluation strategy and </w:t>
      </w:r>
      <w:r w:rsidR="006E46F7">
        <w:rPr>
          <w:rFonts w:asciiTheme="minorHAnsi" w:hAnsiTheme="minorHAnsi" w:cstheme="minorHAnsi"/>
        </w:rPr>
        <w:t xml:space="preserve">new </w:t>
      </w:r>
      <w:r w:rsidRPr="00C62167">
        <w:rPr>
          <w:rFonts w:asciiTheme="minorHAnsi" w:hAnsiTheme="minorHAnsi" w:cstheme="minorHAnsi"/>
        </w:rPr>
        <w:t xml:space="preserve">data tools to support collaborative workforce planning. </w:t>
      </w:r>
    </w:p>
    <w:p w14:paraId="093C6932" w14:textId="795A3626" w:rsidR="00AF7B16" w:rsidRPr="0052028F" w:rsidRDefault="00AF7B16" w:rsidP="00AF7B16">
      <w:pPr>
        <w:pStyle w:val="Heading2"/>
        <w:rPr>
          <w:rFonts w:asciiTheme="minorHAnsi" w:hAnsiTheme="minorHAnsi" w:cstheme="minorHAnsi"/>
        </w:rPr>
      </w:pPr>
      <w:r>
        <w:rPr>
          <w:rFonts w:asciiTheme="minorHAnsi" w:hAnsiTheme="minorHAnsi" w:cstheme="minorHAnsi"/>
        </w:rPr>
        <w:t>Problem Definition</w:t>
      </w:r>
    </w:p>
    <w:p w14:paraId="6D9C4FBE" w14:textId="43C80946" w:rsidR="00AF7B16" w:rsidRPr="00413B44" w:rsidRDefault="00B6373E" w:rsidP="00AF7B16">
      <w:pPr>
        <w:pBdr>
          <w:top w:val="single" w:sz="4" w:space="1" w:color="auto"/>
          <w:left w:val="single" w:sz="4" w:space="4" w:color="auto"/>
          <w:bottom w:val="single" w:sz="4" w:space="1" w:color="auto"/>
          <w:right w:val="single" w:sz="4" w:space="4" w:color="auto"/>
        </w:pBdr>
        <w:shd w:val="pct10" w:color="auto" w:fill="auto"/>
        <w:ind w:left="142"/>
        <w:rPr>
          <w:rFonts w:asciiTheme="minorHAnsi" w:hAnsiTheme="minorHAnsi" w:cstheme="minorHAnsi"/>
        </w:rPr>
      </w:pPr>
      <w:r w:rsidRPr="00B6373E">
        <w:rPr>
          <w:rFonts w:asciiTheme="minorHAnsi" w:hAnsiTheme="minorHAnsi" w:cstheme="minorHAnsi"/>
        </w:rPr>
        <w:t xml:space="preserve">Addressing inequities in access to </w:t>
      </w:r>
      <w:r>
        <w:rPr>
          <w:rFonts w:asciiTheme="minorHAnsi" w:hAnsiTheme="minorHAnsi" w:cstheme="minorHAnsi"/>
        </w:rPr>
        <w:t xml:space="preserve">quality </w:t>
      </w:r>
      <w:r w:rsidRPr="00B6373E">
        <w:rPr>
          <w:rFonts w:asciiTheme="minorHAnsi" w:hAnsiTheme="minorHAnsi" w:cstheme="minorHAnsi"/>
        </w:rPr>
        <w:t>care</w:t>
      </w:r>
      <w:r w:rsidR="000A318E">
        <w:rPr>
          <w:rFonts w:asciiTheme="minorHAnsi" w:hAnsiTheme="minorHAnsi" w:cstheme="minorHAnsi"/>
        </w:rPr>
        <w:t xml:space="preserve"> and the geographic distribution of the</w:t>
      </w:r>
      <w:r w:rsidR="00BC4FE1">
        <w:rPr>
          <w:rFonts w:asciiTheme="minorHAnsi" w:hAnsiTheme="minorHAnsi" w:cstheme="minorHAnsi"/>
        </w:rPr>
        <w:t xml:space="preserve"> health and</w:t>
      </w:r>
      <w:r w:rsidR="000A318E">
        <w:rPr>
          <w:rFonts w:asciiTheme="minorHAnsi" w:hAnsiTheme="minorHAnsi" w:cstheme="minorHAnsi"/>
        </w:rPr>
        <w:t xml:space="preserve"> medical workforce</w:t>
      </w:r>
      <w:r w:rsidRPr="00B6373E">
        <w:rPr>
          <w:rFonts w:asciiTheme="minorHAnsi" w:hAnsiTheme="minorHAnsi" w:cstheme="minorHAnsi"/>
        </w:rPr>
        <w:t xml:space="preserve"> in Australia ha</w:t>
      </w:r>
      <w:r w:rsidR="000A318E">
        <w:rPr>
          <w:rFonts w:asciiTheme="minorHAnsi" w:hAnsiTheme="minorHAnsi" w:cstheme="minorHAnsi"/>
        </w:rPr>
        <w:t>ve</w:t>
      </w:r>
      <w:r w:rsidRPr="00B6373E">
        <w:rPr>
          <w:rFonts w:asciiTheme="minorHAnsi" w:hAnsiTheme="minorHAnsi" w:cstheme="minorHAnsi"/>
        </w:rPr>
        <w:t xml:space="preserve"> </w:t>
      </w:r>
      <w:r w:rsidR="000A318E">
        <w:rPr>
          <w:rFonts w:asciiTheme="minorHAnsi" w:hAnsiTheme="minorHAnsi" w:cstheme="minorHAnsi"/>
        </w:rPr>
        <w:t xml:space="preserve">been </w:t>
      </w:r>
      <w:r w:rsidRPr="00B6373E">
        <w:rPr>
          <w:rFonts w:asciiTheme="minorHAnsi" w:hAnsiTheme="minorHAnsi" w:cstheme="minorHAnsi"/>
        </w:rPr>
        <w:t>long standing and ongoing challenge</w:t>
      </w:r>
      <w:r w:rsidR="000A318E">
        <w:rPr>
          <w:rFonts w:asciiTheme="minorHAnsi" w:hAnsiTheme="minorHAnsi" w:cstheme="minorHAnsi"/>
        </w:rPr>
        <w:t>s</w:t>
      </w:r>
      <w:r w:rsidRPr="00B6373E">
        <w:rPr>
          <w:rFonts w:asciiTheme="minorHAnsi" w:hAnsiTheme="minorHAnsi" w:cstheme="minorHAnsi"/>
        </w:rPr>
        <w:t xml:space="preserve">. </w:t>
      </w:r>
      <w:r w:rsidR="00AF7B16" w:rsidRPr="0052028F">
        <w:rPr>
          <w:rFonts w:asciiTheme="minorHAnsi" w:hAnsiTheme="minorHAnsi" w:cstheme="minorHAnsi"/>
        </w:rPr>
        <w:t xml:space="preserve">The impact of these inequities is particularly evident in rural and remote communities, where reduced access to quality primary health care contributes to individuals experiencing, in general, poorer health outcomes than people living in major cities. </w:t>
      </w:r>
      <w:r w:rsidR="006E46F7">
        <w:rPr>
          <w:rFonts w:asciiTheme="minorHAnsi" w:hAnsiTheme="minorHAnsi" w:cstheme="minorHAnsi"/>
        </w:rPr>
        <w:t xml:space="preserve"> </w:t>
      </w:r>
      <w:r w:rsidR="00BC4FE1">
        <w:rPr>
          <w:rFonts w:asciiTheme="minorHAnsi" w:hAnsiTheme="minorHAnsi" w:cstheme="minorHAnsi"/>
        </w:rPr>
        <w:t>For example, rural Australia has had a lower representation of doctors and these doctors are less likely to hold postgraduate qualifications than their counterparts who practise in the major cities.  A strategic approach, in the form of complementary reforms, is required to address these types of inequalities and provide an appropriately skilled and better distributed workforce.</w:t>
      </w:r>
    </w:p>
    <w:p w14:paraId="20AC2F26" w14:textId="77777777" w:rsidR="00AF7B16" w:rsidRDefault="00AF7B16" w:rsidP="00AF7B16">
      <w:pPr>
        <w:ind w:left="360"/>
        <w:rPr>
          <w:rFonts w:asciiTheme="minorHAnsi" w:hAnsiTheme="minorHAnsi" w:cstheme="minorHAnsi"/>
        </w:rPr>
      </w:pPr>
    </w:p>
    <w:p w14:paraId="1425A362" w14:textId="49E9D1A2" w:rsidR="000A318E" w:rsidRPr="006F3273" w:rsidRDefault="000A318E" w:rsidP="007460E0">
      <w:pPr>
        <w:rPr>
          <w:rFonts w:asciiTheme="minorHAnsi" w:hAnsiTheme="minorHAnsi" w:cstheme="minorHAnsi"/>
          <w:b/>
        </w:rPr>
      </w:pPr>
      <w:r w:rsidRPr="006F3273">
        <w:rPr>
          <w:rFonts w:asciiTheme="minorHAnsi" w:hAnsiTheme="minorHAnsi" w:cstheme="minorHAnsi"/>
          <w:b/>
        </w:rPr>
        <w:t>Access to quality</w:t>
      </w:r>
      <w:r w:rsidR="00BC4FE1">
        <w:rPr>
          <w:rFonts w:asciiTheme="minorHAnsi" w:hAnsiTheme="minorHAnsi" w:cstheme="minorHAnsi"/>
          <w:b/>
        </w:rPr>
        <w:t xml:space="preserve"> primary</w:t>
      </w:r>
      <w:r w:rsidRPr="006F3273">
        <w:rPr>
          <w:rFonts w:asciiTheme="minorHAnsi" w:hAnsiTheme="minorHAnsi" w:cstheme="minorHAnsi"/>
          <w:b/>
        </w:rPr>
        <w:t xml:space="preserve"> </w:t>
      </w:r>
      <w:r w:rsidR="00703D99" w:rsidRPr="006F3273">
        <w:rPr>
          <w:rFonts w:asciiTheme="minorHAnsi" w:hAnsiTheme="minorHAnsi" w:cstheme="minorHAnsi"/>
          <w:b/>
        </w:rPr>
        <w:t xml:space="preserve">medical </w:t>
      </w:r>
      <w:r w:rsidRPr="006F3273">
        <w:rPr>
          <w:rFonts w:asciiTheme="minorHAnsi" w:hAnsiTheme="minorHAnsi" w:cstheme="minorHAnsi"/>
          <w:b/>
        </w:rPr>
        <w:t>care</w:t>
      </w:r>
    </w:p>
    <w:p w14:paraId="5EB80789" w14:textId="219130DC" w:rsidR="009377E3" w:rsidRDefault="00AF7B16" w:rsidP="007460E0">
      <w:pPr>
        <w:rPr>
          <w:rFonts w:asciiTheme="minorHAnsi" w:hAnsiTheme="minorHAnsi" w:cstheme="minorHAnsi"/>
        </w:rPr>
      </w:pPr>
      <w:r w:rsidRPr="007460E0">
        <w:rPr>
          <w:rFonts w:asciiTheme="minorHAnsi" w:hAnsiTheme="minorHAnsi" w:cstheme="minorHAnsi"/>
        </w:rPr>
        <w:t xml:space="preserve">In Australia, general practice is a </w:t>
      </w:r>
      <w:r w:rsidRPr="00E0002F">
        <w:rPr>
          <w:rFonts w:asciiTheme="minorHAnsi" w:hAnsiTheme="minorHAnsi" w:cstheme="minorHAnsi"/>
        </w:rPr>
        <w:t>recognised</w:t>
      </w:r>
      <w:r w:rsidRPr="007460E0">
        <w:rPr>
          <w:rFonts w:asciiTheme="minorHAnsi" w:hAnsiTheme="minorHAnsi" w:cstheme="minorHAnsi"/>
        </w:rPr>
        <w:t xml:space="preserve"> medical specialty</w:t>
      </w:r>
      <w:r w:rsidR="009377E3">
        <w:rPr>
          <w:rFonts w:asciiTheme="minorHAnsi" w:hAnsiTheme="minorHAnsi" w:cstheme="minorHAnsi"/>
        </w:rPr>
        <w:t xml:space="preserve"> with professional development standards that differ from those of other specialist fields of medicine</w:t>
      </w:r>
      <w:r w:rsidRPr="007460E0">
        <w:rPr>
          <w:rFonts w:asciiTheme="minorHAnsi" w:hAnsiTheme="minorHAnsi" w:cstheme="minorHAnsi"/>
        </w:rPr>
        <w:t>.</w:t>
      </w:r>
      <w:r w:rsidR="000649A5">
        <w:rPr>
          <w:rFonts w:asciiTheme="minorHAnsi" w:hAnsiTheme="minorHAnsi" w:cstheme="minorHAnsi"/>
        </w:rPr>
        <w:t xml:space="preserve"> </w:t>
      </w:r>
      <w:r w:rsidR="003B1E51">
        <w:rPr>
          <w:rFonts w:asciiTheme="minorHAnsi" w:hAnsiTheme="minorHAnsi" w:cstheme="minorHAnsi"/>
        </w:rPr>
        <w:t xml:space="preserve"> </w:t>
      </w:r>
      <w:r w:rsidR="000649A5">
        <w:rPr>
          <w:rFonts w:asciiTheme="minorHAnsi" w:hAnsiTheme="minorHAnsi" w:cstheme="minorHAnsi"/>
        </w:rPr>
        <w:t xml:space="preserve">Doctors training in the Australian system become </w:t>
      </w:r>
      <w:r w:rsidR="009B24AD">
        <w:rPr>
          <w:rFonts w:asciiTheme="minorHAnsi" w:hAnsiTheme="minorHAnsi" w:cstheme="minorHAnsi"/>
        </w:rPr>
        <w:t xml:space="preserve">fully </w:t>
      </w:r>
      <w:r w:rsidR="000649A5">
        <w:rPr>
          <w:rFonts w:asciiTheme="minorHAnsi" w:hAnsiTheme="minorHAnsi" w:cstheme="minorHAnsi"/>
        </w:rPr>
        <w:t>qualified</w:t>
      </w:r>
      <w:r w:rsidR="009B24AD">
        <w:rPr>
          <w:rFonts w:asciiTheme="minorHAnsi" w:hAnsiTheme="minorHAnsi" w:cstheme="minorHAnsi"/>
        </w:rPr>
        <w:t xml:space="preserve"> as a GP</w:t>
      </w:r>
      <w:r w:rsidR="000649A5">
        <w:rPr>
          <w:rFonts w:asciiTheme="minorHAnsi" w:hAnsiTheme="minorHAnsi" w:cstheme="minorHAnsi"/>
        </w:rPr>
        <w:t xml:space="preserve"> once they successfully complete a postgraduate GP Fellowship qualification. </w:t>
      </w:r>
      <w:r w:rsidR="009377E3">
        <w:rPr>
          <w:rFonts w:asciiTheme="minorHAnsi" w:hAnsiTheme="minorHAnsi" w:cstheme="minorHAnsi"/>
        </w:rPr>
        <w:t xml:space="preserve"> Upon attaining Fellowship, the doctor is deemed to have met each of the standards for working independently as a GP.</w:t>
      </w:r>
      <w:r w:rsidR="009B24AD">
        <w:rPr>
          <w:rFonts w:asciiTheme="minorHAnsi" w:hAnsiTheme="minorHAnsi" w:cstheme="minorHAnsi"/>
        </w:rPr>
        <w:t xml:space="preserve">  Fel</w:t>
      </w:r>
      <w:r w:rsidR="00940996">
        <w:rPr>
          <w:rFonts w:asciiTheme="minorHAnsi" w:hAnsiTheme="minorHAnsi" w:cstheme="minorHAnsi"/>
        </w:rPr>
        <w:t>l</w:t>
      </w:r>
      <w:r w:rsidR="009B24AD">
        <w:rPr>
          <w:rFonts w:asciiTheme="minorHAnsi" w:hAnsiTheme="minorHAnsi" w:cstheme="minorHAnsi"/>
        </w:rPr>
        <w:t xml:space="preserve">owed GPs are qualified to </w:t>
      </w:r>
      <w:r w:rsidR="006E46F7">
        <w:rPr>
          <w:rFonts w:asciiTheme="minorHAnsi" w:hAnsiTheme="minorHAnsi" w:cstheme="minorHAnsi"/>
        </w:rPr>
        <w:t xml:space="preserve">a standard beyond medical registration and can </w:t>
      </w:r>
      <w:r w:rsidR="009B24AD">
        <w:rPr>
          <w:rFonts w:asciiTheme="minorHAnsi" w:hAnsiTheme="minorHAnsi" w:cstheme="minorHAnsi"/>
        </w:rPr>
        <w:t xml:space="preserve">offer care to consumers </w:t>
      </w:r>
      <w:r w:rsidR="006E46F7">
        <w:rPr>
          <w:rFonts w:asciiTheme="minorHAnsi" w:hAnsiTheme="minorHAnsi" w:cstheme="minorHAnsi"/>
        </w:rPr>
        <w:t xml:space="preserve">of all ages </w:t>
      </w:r>
      <w:r w:rsidR="009B24AD">
        <w:rPr>
          <w:rFonts w:asciiTheme="minorHAnsi" w:hAnsiTheme="minorHAnsi" w:cstheme="minorHAnsi"/>
        </w:rPr>
        <w:t xml:space="preserve">in a broad variety of primary care and residential settings. </w:t>
      </w:r>
    </w:p>
    <w:p w14:paraId="3FB37AF9" w14:textId="49095545" w:rsidR="00BC4FE1" w:rsidRDefault="00BC4FE1" w:rsidP="007460E0">
      <w:pPr>
        <w:rPr>
          <w:rFonts w:asciiTheme="minorHAnsi" w:hAnsiTheme="minorHAnsi" w:cstheme="minorHAnsi"/>
        </w:rPr>
      </w:pPr>
    </w:p>
    <w:p w14:paraId="6F4B9A91" w14:textId="2A1C1CFA" w:rsidR="005F1910" w:rsidRPr="008168D8" w:rsidRDefault="000649A5" w:rsidP="005F1910">
      <w:pPr>
        <w:rPr>
          <w:rFonts w:asciiTheme="minorHAnsi" w:hAnsiTheme="minorHAnsi" w:cstheme="minorHAnsi"/>
        </w:rPr>
      </w:pPr>
      <w:r>
        <w:rPr>
          <w:rFonts w:asciiTheme="minorHAnsi" w:hAnsiTheme="minorHAnsi" w:cstheme="minorHAnsi"/>
        </w:rPr>
        <w:t xml:space="preserve">For </w:t>
      </w:r>
      <w:r w:rsidR="009377E3">
        <w:rPr>
          <w:rFonts w:asciiTheme="minorHAnsi" w:hAnsiTheme="minorHAnsi" w:cstheme="minorHAnsi"/>
        </w:rPr>
        <w:t xml:space="preserve">MBS item claiming purposes, the attainment of Fellowship is </w:t>
      </w:r>
      <w:r>
        <w:rPr>
          <w:rFonts w:asciiTheme="minorHAnsi" w:hAnsiTheme="minorHAnsi" w:cstheme="minorHAnsi"/>
        </w:rPr>
        <w:t>referred to as being ‘vocationally recognised’ (VR).  Most workforce programs, particularly the MBS eligibility programs, distinguish</w:t>
      </w:r>
      <w:r w:rsidR="009377E3">
        <w:rPr>
          <w:rFonts w:asciiTheme="minorHAnsi" w:hAnsiTheme="minorHAnsi" w:cstheme="minorHAnsi"/>
        </w:rPr>
        <w:t xml:space="preserve"> between VR</w:t>
      </w:r>
      <w:r>
        <w:rPr>
          <w:rFonts w:asciiTheme="minorHAnsi" w:hAnsiTheme="minorHAnsi" w:cstheme="minorHAnsi"/>
        </w:rPr>
        <w:t xml:space="preserve"> (qualified GPs) and non-VR doctors.  </w:t>
      </w:r>
      <w:r w:rsidR="009377E3">
        <w:rPr>
          <w:rFonts w:asciiTheme="minorHAnsi" w:hAnsiTheme="minorHAnsi" w:cstheme="minorHAnsi"/>
        </w:rPr>
        <w:t xml:space="preserve">These programs generally have their basis in the </w:t>
      </w:r>
      <w:r w:rsidR="009377E3" w:rsidRPr="008168D8">
        <w:rPr>
          <w:rFonts w:asciiTheme="minorHAnsi" w:hAnsiTheme="minorHAnsi" w:cstheme="minorHAnsi"/>
          <w:i/>
        </w:rPr>
        <w:t>Health Insurance Act 1973</w:t>
      </w:r>
      <w:r w:rsidR="009377E3">
        <w:rPr>
          <w:rFonts w:asciiTheme="minorHAnsi" w:hAnsiTheme="minorHAnsi" w:cstheme="minorHAnsi"/>
        </w:rPr>
        <w:t xml:space="preserve"> (the HIA) and subordinate regulatory material, </w:t>
      </w:r>
      <w:r w:rsidR="009377E3">
        <w:rPr>
          <w:rFonts w:asciiTheme="minorHAnsi" w:hAnsiTheme="minorHAnsi" w:cstheme="minorHAnsi"/>
        </w:rPr>
        <w:lastRenderedPageBreak/>
        <w:t xml:space="preserve">which </w:t>
      </w:r>
      <w:r w:rsidR="00E12100">
        <w:rPr>
          <w:rFonts w:asciiTheme="minorHAnsi" w:hAnsiTheme="minorHAnsi" w:cstheme="minorHAnsi"/>
        </w:rPr>
        <w:t xml:space="preserve">also </w:t>
      </w:r>
      <w:r w:rsidR="009377E3">
        <w:rPr>
          <w:rFonts w:asciiTheme="minorHAnsi" w:hAnsiTheme="minorHAnsi" w:cstheme="minorHAnsi"/>
        </w:rPr>
        <w:t xml:space="preserve">collectively </w:t>
      </w:r>
      <w:r w:rsidR="005F1910" w:rsidRPr="001B1392">
        <w:rPr>
          <w:rFonts w:asciiTheme="minorHAnsi" w:hAnsiTheme="minorHAnsi" w:cstheme="minorHAnsi"/>
        </w:rPr>
        <w:t xml:space="preserve">provide </w:t>
      </w:r>
      <w:r w:rsidR="009F2C3B">
        <w:rPr>
          <w:rFonts w:asciiTheme="minorHAnsi" w:hAnsiTheme="minorHAnsi" w:cstheme="minorHAnsi"/>
        </w:rPr>
        <w:t xml:space="preserve">the legislative framework </w:t>
      </w:r>
      <w:r w:rsidR="005F1910" w:rsidRPr="001B1392">
        <w:rPr>
          <w:rFonts w:asciiTheme="minorHAnsi" w:hAnsiTheme="minorHAnsi" w:cstheme="minorHAnsi"/>
        </w:rPr>
        <w:t>for M</w:t>
      </w:r>
      <w:r w:rsidR="009377E3">
        <w:rPr>
          <w:rFonts w:asciiTheme="minorHAnsi" w:hAnsiTheme="minorHAnsi" w:cstheme="minorHAnsi"/>
        </w:rPr>
        <w:t>BS</w:t>
      </w:r>
      <w:r w:rsidR="005F1910" w:rsidRPr="001B1392">
        <w:rPr>
          <w:rFonts w:asciiTheme="minorHAnsi" w:hAnsiTheme="minorHAnsi" w:cstheme="minorHAnsi"/>
        </w:rPr>
        <w:t xml:space="preserve"> payments. </w:t>
      </w:r>
      <w:r w:rsidR="00CD38EA">
        <w:rPr>
          <w:rFonts w:asciiTheme="minorHAnsi" w:hAnsiTheme="minorHAnsi" w:cstheme="minorHAnsi"/>
        </w:rPr>
        <w:t xml:space="preserve"> </w:t>
      </w:r>
      <w:r w:rsidR="005F1910" w:rsidRPr="001B1392">
        <w:rPr>
          <w:rFonts w:asciiTheme="minorHAnsi" w:hAnsiTheme="minorHAnsi" w:cstheme="minorHAnsi"/>
        </w:rPr>
        <w:t xml:space="preserve">This includes the basis for </w:t>
      </w:r>
      <w:r w:rsidR="007D7A30">
        <w:rPr>
          <w:rFonts w:asciiTheme="minorHAnsi" w:hAnsiTheme="minorHAnsi" w:cstheme="minorHAnsi"/>
        </w:rPr>
        <w:t>calculating the amount payable</w:t>
      </w:r>
      <w:r w:rsidR="005F1910" w:rsidRPr="001B1392">
        <w:rPr>
          <w:rFonts w:asciiTheme="minorHAnsi" w:hAnsiTheme="minorHAnsi" w:cstheme="minorHAnsi"/>
        </w:rPr>
        <w:t xml:space="preserve"> for a service by referring to specific fees that are set out in prescribed tables, currently the </w:t>
      </w:r>
      <w:r w:rsidR="005F1910" w:rsidRPr="008168D8">
        <w:rPr>
          <w:rFonts w:asciiTheme="minorHAnsi" w:hAnsiTheme="minorHAnsi" w:cstheme="minorHAnsi"/>
          <w:i/>
        </w:rPr>
        <w:t>Health Insurance (General Medical Services Table) Regulations</w:t>
      </w:r>
      <w:r w:rsidR="005F1910" w:rsidRPr="001B1392">
        <w:rPr>
          <w:rFonts w:asciiTheme="minorHAnsi" w:hAnsiTheme="minorHAnsi" w:cstheme="minorHAnsi"/>
        </w:rPr>
        <w:t xml:space="preserve"> </w:t>
      </w:r>
      <w:r w:rsidR="00F52C99">
        <w:rPr>
          <w:rFonts w:asciiTheme="minorHAnsi" w:hAnsiTheme="minorHAnsi" w:cstheme="minorHAnsi"/>
        </w:rPr>
        <w:t>(the GMST).</w:t>
      </w:r>
      <w:r w:rsidR="005F1910">
        <w:rPr>
          <w:rFonts w:asciiTheme="minorHAnsi" w:hAnsiTheme="minorHAnsi" w:cstheme="minorHAnsi"/>
        </w:rPr>
        <w:t xml:space="preserve"> </w:t>
      </w:r>
    </w:p>
    <w:p w14:paraId="03141FCE" w14:textId="2844560C" w:rsidR="009F2C3B" w:rsidRDefault="009F2C3B" w:rsidP="005F1910">
      <w:pPr>
        <w:rPr>
          <w:rFonts w:asciiTheme="minorHAnsi" w:hAnsiTheme="minorHAnsi" w:cstheme="minorHAnsi"/>
        </w:rPr>
      </w:pPr>
    </w:p>
    <w:p w14:paraId="60A5DC7B" w14:textId="318C6904" w:rsidR="00E12100" w:rsidRDefault="00E12100" w:rsidP="005F1910">
      <w:pPr>
        <w:rPr>
          <w:rFonts w:asciiTheme="minorHAnsi" w:hAnsiTheme="minorHAnsi" w:cstheme="minorHAnsi"/>
        </w:rPr>
      </w:pPr>
      <w:r>
        <w:rPr>
          <w:rFonts w:asciiTheme="minorHAnsi" w:hAnsiTheme="minorHAnsi" w:cstheme="minorHAnsi"/>
        </w:rPr>
        <w:t>For general practice, the VR standard is supported by both MBS eligibility rules and a related MBS item differential.  Doctors who meet this standard are differentiated from non-VR doctors by being able to:</w:t>
      </w:r>
    </w:p>
    <w:p w14:paraId="2A161759" w14:textId="3DBCDD24" w:rsidR="00E12100" w:rsidRDefault="00E12100" w:rsidP="00AA5EBF">
      <w:pPr>
        <w:pStyle w:val="ListParagraph"/>
        <w:numPr>
          <w:ilvl w:val="0"/>
          <w:numId w:val="26"/>
        </w:numPr>
        <w:rPr>
          <w:rFonts w:asciiTheme="minorHAnsi" w:hAnsiTheme="minorHAnsi" w:cstheme="minorHAnsi"/>
        </w:rPr>
      </w:pPr>
      <w:r>
        <w:rPr>
          <w:rFonts w:asciiTheme="minorHAnsi" w:hAnsiTheme="minorHAnsi" w:cstheme="minorHAnsi"/>
        </w:rPr>
        <w:t>perform services in a greater number of private employment engagements because they do not require supervision; and</w:t>
      </w:r>
    </w:p>
    <w:p w14:paraId="117C9495" w14:textId="13907698" w:rsidR="00E12100" w:rsidRPr="008168D8" w:rsidRDefault="00E12100" w:rsidP="00AA5EBF">
      <w:pPr>
        <w:pStyle w:val="ListParagraph"/>
        <w:numPr>
          <w:ilvl w:val="0"/>
          <w:numId w:val="26"/>
        </w:numPr>
        <w:rPr>
          <w:rFonts w:asciiTheme="minorHAnsi" w:hAnsiTheme="minorHAnsi" w:cstheme="minorHAnsi"/>
        </w:rPr>
      </w:pPr>
      <w:r w:rsidRPr="0052597E">
        <w:rPr>
          <w:rFonts w:asciiTheme="minorHAnsi" w:hAnsiTheme="minorHAnsi" w:cstheme="minorHAnsi"/>
        </w:rPr>
        <w:t xml:space="preserve">claim </w:t>
      </w:r>
      <w:r>
        <w:rPr>
          <w:rFonts w:asciiTheme="minorHAnsi" w:hAnsiTheme="minorHAnsi" w:cstheme="minorHAnsi"/>
        </w:rPr>
        <w:t xml:space="preserve">a higher MBS fee </w:t>
      </w:r>
      <w:r w:rsidR="00BC4FE1">
        <w:rPr>
          <w:rFonts w:asciiTheme="minorHAnsi" w:hAnsiTheme="minorHAnsi" w:cstheme="minorHAnsi"/>
        </w:rPr>
        <w:t>for most standard general practice consultations</w:t>
      </w:r>
      <w:r>
        <w:rPr>
          <w:rFonts w:asciiTheme="minorHAnsi" w:hAnsiTheme="minorHAnsi" w:cstheme="minorHAnsi"/>
        </w:rPr>
        <w:t xml:space="preserve">.  A doctor’s VR status entitles them to </w:t>
      </w:r>
      <w:r w:rsidRPr="0052597E">
        <w:rPr>
          <w:rFonts w:asciiTheme="minorHAnsi" w:hAnsiTheme="minorHAnsi" w:cstheme="minorHAnsi"/>
        </w:rPr>
        <w:t>claim</w:t>
      </w:r>
      <w:r>
        <w:rPr>
          <w:rFonts w:asciiTheme="minorHAnsi" w:hAnsiTheme="minorHAnsi" w:cstheme="minorHAnsi"/>
        </w:rPr>
        <w:t xml:space="preserve"> a higher fee for a broad range of standard and non-standard private attendances. </w:t>
      </w:r>
    </w:p>
    <w:p w14:paraId="137DFB44" w14:textId="77777777" w:rsidR="00E12100" w:rsidRDefault="00E12100" w:rsidP="005F1910">
      <w:pPr>
        <w:rPr>
          <w:rFonts w:asciiTheme="minorHAnsi" w:hAnsiTheme="minorHAnsi" w:cstheme="minorHAnsi"/>
        </w:rPr>
      </w:pPr>
    </w:p>
    <w:p w14:paraId="2D9B42C5" w14:textId="6B306D02" w:rsidR="007D7A30" w:rsidRDefault="00E12100" w:rsidP="008830F9">
      <w:pPr>
        <w:rPr>
          <w:rFonts w:asciiTheme="minorHAnsi" w:hAnsiTheme="minorHAnsi" w:cstheme="minorHAnsi"/>
        </w:rPr>
      </w:pPr>
      <w:r>
        <w:rPr>
          <w:rFonts w:asciiTheme="minorHAnsi" w:hAnsiTheme="minorHAnsi" w:cstheme="minorHAnsi"/>
        </w:rPr>
        <w:t>In terms of MBS eligibility, s</w:t>
      </w:r>
      <w:r w:rsidR="009F2C3B" w:rsidRPr="004E30C3">
        <w:rPr>
          <w:rFonts w:asciiTheme="minorHAnsi" w:hAnsiTheme="minorHAnsi" w:cstheme="minorHAnsi"/>
        </w:rPr>
        <w:t>ection</w:t>
      </w:r>
      <w:r w:rsidR="009F2C3B">
        <w:rPr>
          <w:rFonts w:asciiTheme="minorHAnsi" w:hAnsiTheme="minorHAnsi" w:cstheme="minorHAnsi"/>
        </w:rPr>
        <w:t xml:space="preserve"> </w:t>
      </w:r>
      <w:r w:rsidR="009F2C3B" w:rsidRPr="004E30C3">
        <w:rPr>
          <w:rFonts w:asciiTheme="minorHAnsi" w:hAnsiTheme="minorHAnsi" w:cstheme="minorHAnsi"/>
        </w:rPr>
        <w:t xml:space="preserve">19AA of the HIA </w:t>
      </w:r>
      <w:r w:rsidR="00E83A67">
        <w:rPr>
          <w:rFonts w:asciiTheme="minorHAnsi" w:hAnsiTheme="minorHAnsi" w:cstheme="minorHAnsi"/>
        </w:rPr>
        <w:t xml:space="preserve">was introduced in November 1996 and defines the VR standard by compelling doctors to attain a Fellowship qualification.  It is a quality standard that links MBS </w:t>
      </w:r>
      <w:r w:rsidR="00E83A67" w:rsidRPr="0052597E">
        <w:rPr>
          <w:rFonts w:asciiTheme="minorHAnsi" w:hAnsiTheme="minorHAnsi" w:cstheme="minorHAnsi"/>
        </w:rPr>
        <w:t>claiming</w:t>
      </w:r>
      <w:r w:rsidR="00E83A67" w:rsidRPr="000745E5">
        <w:rPr>
          <w:rFonts w:asciiTheme="minorHAnsi" w:hAnsiTheme="minorHAnsi" w:cstheme="minorHAnsi"/>
          <w:color w:val="FF0000"/>
        </w:rPr>
        <w:t xml:space="preserve"> </w:t>
      </w:r>
      <w:r w:rsidR="00E83A67">
        <w:rPr>
          <w:rFonts w:asciiTheme="minorHAnsi" w:hAnsiTheme="minorHAnsi" w:cstheme="minorHAnsi"/>
        </w:rPr>
        <w:t xml:space="preserve">rights </w:t>
      </w:r>
      <w:r w:rsidR="001B72BE">
        <w:rPr>
          <w:rFonts w:asciiTheme="minorHAnsi" w:hAnsiTheme="minorHAnsi" w:cstheme="minorHAnsi"/>
        </w:rPr>
        <w:t>to s</w:t>
      </w:r>
      <w:r w:rsidR="00E83A67">
        <w:rPr>
          <w:rFonts w:asciiTheme="minorHAnsi" w:hAnsiTheme="minorHAnsi" w:cstheme="minorHAnsi"/>
        </w:rPr>
        <w:t>uccessful completion of training with an Australian specialist medical college</w:t>
      </w:r>
      <w:r w:rsidR="001B72BE">
        <w:rPr>
          <w:rFonts w:asciiTheme="minorHAnsi" w:hAnsiTheme="minorHAnsi" w:cstheme="minorHAnsi"/>
        </w:rPr>
        <w:t xml:space="preserve">, which </w:t>
      </w:r>
      <w:r w:rsidR="00E83A67">
        <w:rPr>
          <w:rFonts w:asciiTheme="minorHAnsi" w:hAnsiTheme="minorHAnsi" w:cstheme="minorHAnsi"/>
        </w:rPr>
        <w:t>prepares the practitioner for</w:t>
      </w:r>
      <w:r w:rsidR="001B72BE">
        <w:rPr>
          <w:rFonts w:asciiTheme="minorHAnsi" w:hAnsiTheme="minorHAnsi" w:cstheme="minorHAnsi"/>
        </w:rPr>
        <w:t xml:space="preserve"> engaging</w:t>
      </w:r>
      <w:r w:rsidR="00740F57">
        <w:rPr>
          <w:rFonts w:asciiTheme="minorHAnsi" w:hAnsiTheme="minorHAnsi" w:cstheme="minorHAnsi"/>
        </w:rPr>
        <w:t xml:space="preserve"> in</w:t>
      </w:r>
      <w:r w:rsidR="00E83A67">
        <w:rPr>
          <w:rFonts w:asciiTheme="minorHAnsi" w:hAnsiTheme="minorHAnsi" w:cstheme="minorHAnsi"/>
        </w:rPr>
        <w:t xml:space="preserve"> long-term continuing professional development</w:t>
      </w:r>
      <w:r w:rsidR="00296F13">
        <w:rPr>
          <w:rFonts w:asciiTheme="minorHAnsi" w:hAnsiTheme="minorHAnsi" w:cstheme="minorHAnsi"/>
        </w:rPr>
        <w:t xml:space="preserve"> (CPD)</w:t>
      </w:r>
      <w:r w:rsidR="00E83A67">
        <w:rPr>
          <w:rFonts w:asciiTheme="minorHAnsi" w:hAnsiTheme="minorHAnsi" w:cstheme="minorHAnsi"/>
        </w:rPr>
        <w:t xml:space="preserve"> that is linked to their vocation.  The relevant general practice qualifications are </w:t>
      </w:r>
      <w:r w:rsidR="007D7A30">
        <w:rPr>
          <w:rFonts w:asciiTheme="minorHAnsi" w:hAnsiTheme="minorHAnsi" w:cstheme="minorHAnsi"/>
        </w:rPr>
        <w:t>Fellowship of the Royal Australian College of General Practitioners</w:t>
      </w:r>
      <w:r w:rsidR="00E83A67">
        <w:rPr>
          <w:rFonts w:asciiTheme="minorHAnsi" w:hAnsiTheme="minorHAnsi" w:cstheme="minorHAnsi"/>
        </w:rPr>
        <w:t xml:space="preserve"> (FRACGP)</w:t>
      </w:r>
      <w:r w:rsidR="007D7A30">
        <w:rPr>
          <w:rFonts w:asciiTheme="minorHAnsi" w:hAnsiTheme="minorHAnsi" w:cstheme="minorHAnsi"/>
        </w:rPr>
        <w:t xml:space="preserve"> </w:t>
      </w:r>
      <w:r w:rsidR="00E6561C">
        <w:rPr>
          <w:rFonts w:asciiTheme="minorHAnsi" w:hAnsiTheme="minorHAnsi" w:cstheme="minorHAnsi"/>
        </w:rPr>
        <w:t>or Fellowship of the Australian College of Rural and Remote Medicine</w:t>
      </w:r>
      <w:r w:rsidR="00E83A67">
        <w:rPr>
          <w:rFonts w:asciiTheme="minorHAnsi" w:hAnsiTheme="minorHAnsi" w:cstheme="minorHAnsi"/>
        </w:rPr>
        <w:t xml:space="preserve"> (FACCRM)</w:t>
      </w:r>
      <w:r w:rsidR="00E6561C">
        <w:rPr>
          <w:rFonts w:asciiTheme="minorHAnsi" w:hAnsiTheme="minorHAnsi" w:cstheme="minorHAnsi"/>
        </w:rPr>
        <w:t>.</w:t>
      </w:r>
    </w:p>
    <w:p w14:paraId="5FB029AA" w14:textId="33DC154A" w:rsidR="007D7A30" w:rsidRDefault="007D7A30" w:rsidP="008830F9">
      <w:pPr>
        <w:rPr>
          <w:rFonts w:asciiTheme="minorHAnsi" w:hAnsiTheme="minorHAnsi" w:cstheme="minorHAnsi"/>
        </w:rPr>
      </w:pPr>
    </w:p>
    <w:p w14:paraId="1E5047E8" w14:textId="321DEF99" w:rsidR="002D2F9F" w:rsidRDefault="002D2F9F" w:rsidP="008830F9">
      <w:pPr>
        <w:rPr>
          <w:rFonts w:asciiTheme="minorHAnsi" w:hAnsiTheme="minorHAnsi" w:cstheme="minorHAnsi"/>
        </w:rPr>
      </w:pPr>
      <w:r>
        <w:rPr>
          <w:rFonts w:asciiTheme="minorHAnsi" w:hAnsiTheme="minorHAnsi" w:cstheme="minorHAnsi"/>
        </w:rPr>
        <w:t xml:space="preserve">By introducing section 19AA, the Government has set an expectation that all doctors who </w:t>
      </w:r>
      <w:r w:rsidR="00BC4FE1">
        <w:rPr>
          <w:rFonts w:asciiTheme="minorHAnsi" w:hAnsiTheme="minorHAnsi" w:cstheme="minorHAnsi"/>
        </w:rPr>
        <w:t xml:space="preserve">were registered </w:t>
      </w:r>
      <w:r>
        <w:rPr>
          <w:rFonts w:asciiTheme="minorHAnsi" w:hAnsiTheme="minorHAnsi" w:cstheme="minorHAnsi"/>
        </w:rPr>
        <w:t>from</w:t>
      </w:r>
      <w:r w:rsidR="00BC4FE1">
        <w:rPr>
          <w:rFonts w:asciiTheme="minorHAnsi" w:hAnsiTheme="minorHAnsi" w:cstheme="minorHAnsi"/>
        </w:rPr>
        <w:t xml:space="preserve"> </w:t>
      </w:r>
      <w:r>
        <w:rPr>
          <w:rFonts w:asciiTheme="minorHAnsi" w:hAnsiTheme="minorHAnsi" w:cstheme="minorHAnsi"/>
        </w:rPr>
        <w:t>1 November 1996, would attain FRACGP or FACRRM as a condition for working under the MBS in general practice settings.  This expectation has been introduced without any regulatory mechanism to completely exempt non-VR doctors from the requirement to qualify, even those practising in geographic areas that have workforce supply challenges.  The section 19AA requirements have been structured in this way to confirm the Government’</w:t>
      </w:r>
      <w:r w:rsidR="00296F13">
        <w:rPr>
          <w:rFonts w:asciiTheme="minorHAnsi" w:hAnsiTheme="minorHAnsi" w:cstheme="minorHAnsi"/>
        </w:rPr>
        <w:t xml:space="preserve">s commitment that general practice will be a </w:t>
      </w:r>
      <w:r w:rsidR="00296F13" w:rsidRPr="0052597E">
        <w:rPr>
          <w:rFonts w:asciiTheme="minorHAnsi" w:hAnsiTheme="minorHAnsi" w:cstheme="minorHAnsi"/>
        </w:rPr>
        <w:t>vocation</w:t>
      </w:r>
      <w:r w:rsidR="00296F13">
        <w:rPr>
          <w:rFonts w:asciiTheme="minorHAnsi" w:hAnsiTheme="minorHAnsi" w:cstheme="minorHAnsi"/>
        </w:rPr>
        <w:t xml:space="preserve"> and its related aspiration that doctors </w:t>
      </w:r>
      <w:r w:rsidR="00BC4FE1">
        <w:rPr>
          <w:rFonts w:asciiTheme="minorHAnsi" w:hAnsiTheme="minorHAnsi" w:cstheme="minorHAnsi"/>
        </w:rPr>
        <w:t xml:space="preserve">working as primary caregivers </w:t>
      </w:r>
      <w:r w:rsidR="00296F13">
        <w:rPr>
          <w:rFonts w:asciiTheme="minorHAnsi" w:hAnsiTheme="minorHAnsi" w:cstheme="minorHAnsi"/>
        </w:rPr>
        <w:t>will</w:t>
      </w:r>
      <w:r w:rsidR="000F232F">
        <w:rPr>
          <w:rFonts w:asciiTheme="minorHAnsi" w:hAnsiTheme="minorHAnsi" w:cstheme="minorHAnsi"/>
        </w:rPr>
        <w:t xml:space="preserve"> both fully qualify and engage</w:t>
      </w:r>
      <w:r w:rsidR="00296F13">
        <w:rPr>
          <w:rFonts w:asciiTheme="minorHAnsi" w:hAnsiTheme="minorHAnsi" w:cstheme="minorHAnsi"/>
        </w:rPr>
        <w:t xml:space="preserve"> in meaningful CPD.</w:t>
      </w:r>
    </w:p>
    <w:p w14:paraId="417D9926" w14:textId="77777777" w:rsidR="003B1E51" w:rsidRDefault="003B1E51" w:rsidP="008830F9">
      <w:pPr>
        <w:rPr>
          <w:rFonts w:asciiTheme="minorHAnsi" w:hAnsiTheme="minorHAnsi" w:cstheme="minorHAnsi"/>
        </w:rPr>
      </w:pPr>
    </w:p>
    <w:p w14:paraId="7C18DE78" w14:textId="28225B8B" w:rsidR="00521D4B" w:rsidRDefault="0057652A" w:rsidP="008830F9">
      <w:pPr>
        <w:rPr>
          <w:rFonts w:asciiTheme="minorHAnsi" w:hAnsiTheme="minorHAnsi" w:cstheme="minorHAnsi"/>
        </w:rPr>
      </w:pPr>
      <w:r>
        <w:rPr>
          <w:rFonts w:asciiTheme="minorHAnsi" w:hAnsiTheme="minorHAnsi" w:cstheme="minorHAnsi"/>
        </w:rPr>
        <w:t xml:space="preserve">While section 19AA establishes an expectation that doctors will qualify as GPs, there are additional considerations that allow non-VR doctors to work in general settings prior to meeting this standard.  </w:t>
      </w:r>
      <w:r w:rsidR="00E83A67">
        <w:rPr>
          <w:rFonts w:asciiTheme="minorHAnsi" w:hAnsiTheme="minorHAnsi" w:cstheme="minorHAnsi"/>
        </w:rPr>
        <w:t>These considerations</w:t>
      </w:r>
      <w:r w:rsidR="00CD38EA">
        <w:rPr>
          <w:rFonts w:asciiTheme="minorHAnsi" w:hAnsiTheme="minorHAnsi" w:cstheme="minorHAnsi"/>
        </w:rPr>
        <w:t>:</w:t>
      </w:r>
    </w:p>
    <w:p w14:paraId="31608F11" w14:textId="4866303A" w:rsidR="00CD38EA" w:rsidRPr="008168D8" w:rsidRDefault="00E83A67" w:rsidP="00AA5EBF">
      <w:pPr>
        <w:pStyle w:val="ListParagraph"/>
        <w:numPr>
          <w:ilvl w:val="0"/>
          <w:numId w:val="24"/>
        </w:numPr>
        <w:rPr>
          <w:rFonts w:asciiTheme="minorHAnsi" w:hAnsiTheme="minorHAnsi" w:cstheme="minorHAnsi"/>
        </w:rPr>
      </w:pPr>
      <w:r w:rsidRPr="008168D8">
        <w:rPr>
          <w:rFonts w:asciiTheme="minorHAnsi" w:hAnsiTheme="minorHAnsi" w:cstheme="minorHAnsi"/>
        </w:rPr>
        <w:t>primarily apply to GP</w:t>
      </w:r>
      <w:r w:rsidR="007B45ED" w:rsidRPr="007B45ED">
        <w:rPr>
          <w:rFonts w:asciiTheme="minorHAnsi" w:hAnsiTheme="minorHAnsi" w:cstheme="minorHAnsi"/>
        </w:rPr>
        <w:t xml:space="preserve"> trainees and non-VR doctors on</w:t>
      </w:r>
      <w:r w:rsidRPr="008168D8">
        <w:rPr>
          <w:rFonts w:asciiTheme="minorHAnsi" w:hAnsiTheme="minorHAnsi" w:cstheme="minorHAnsi"/>
        </w:rPr>
        <w:t xml:space="preserve"> clinical experience</w:t>
      </w:r>
      <w:r w:rsidR="007B45ED">
        <w:rPr>
          <w:rFonts w:asciiTheme="minorHAnsi" w:hAnsiTheme="minorHAnsi" w:cstheme="minorHAnsi"/>
        </w:rPr>
        <w:t xml:space="preserve"> programs</w:t>
      </w:r>
      <w:r w:rsidRPr="008168D8">
        <w:rPr>
          <w:rFonts w:asciiTheme="minorHAnsi" w:hAnsiTheme="minorHAnsi" w:cstheme="minorHAnsi"/>
        </w:rPr>
        <w:t xml:space="preserve"> </w:t>
      </w:r>
      <w:r w:rsidR="007B45ED">
        <w:rPr>
          <w:rFonts w:asciiTheme="minorHAnsi" w:hAnsiTheme="minorHAnsi" w:cstheme="minorHAnsi"/>
        </w:rPr>
        <w:t>who are working towards their Fellowship qualification</w:t>
      </w:r>
      <w:r w:rsidR="00CD38EA" w:rsidRPr="00CD38EA">
        <w:rPr>
          <w:rFonts w:asciiTheme="minorHAnsi" w:hAnsiTheme="minorHAnsi" w:cstheme="minorHAnsi"/>
        </w:rPr>
        <w:t>; and</w:t>
      </w:r>
    </w:p>
    <w:p w14:paraId="1CC065BA" w14:textId="290F15C2" w:rsidR="00F94A1B" w:rsidRPr="003B1E51" w:rsidRDefault="001B72BE" w:rsidP="00AA5EBF">
      <w:pPr>
        <w:pStyle w:val="ListParagraph"/>
        <w:numPr>
          <w:ilvl w:val="0"/>
          <w:numId w:val="24"/>
        </w:numPr>
        <w:rPr>
          <w:rFonts w:asciiTheme="minorHAnsi" w:hAnsiTheme="minorHAnsi" w:cstheme="minorHAnsi"/>
        </w:rPr>
      </w:pPr>
      <w:r w:rsidRPr="008168D8">
        <w:rPr>
          <w:rFonts w:asciiTheme="minorHAnsi" w:hAnsiTheme="minorHAnsi" w:cstheme="minorHAnsi"/>
        </w:rPr>
        <w:t>also allow many overseas trained doctors</w:t>
      </w:r>
      <w:r w:rsidR="00CD38EA">
        <w:rPr>
          <w:rFonts w:asciiTheme="minorHAnsi" w:hAnsiTheme="minorHAnsi" w:cstheme="minorHAnsi"/>
        </w:rPr>
        <w:t xml:space="preserve"> (OTDs)</w:t>
      </w:r>
      <w:r w:rsidRPr="008168D8">
        <w:rPr>
          <w:rFonts w:asciiTheme="minorHAnsi" w:hAnsiTheme="minorHAnsi" w:cstheme="minorHAnsi"/>
        </w:rPr>
        <w:t xml:space="preserve"> to practise under the MBS in communities underserviced for general practice, called districts of workforce shortage (DWS), before satisfying the VR standards.  These DWS areas</w:t>
      </w:r>
      <w:r w:rsidR="00F94A1B">
        <w:rPr>
          <w:rFonts w:asciiTheme="minorHAnsi" w:hAnsiTheme="minorHAnsi" w:cstheme="minorHAnsi"/>
        </w:rPr>
        <w:t xml:space="preserve"> include most rural and remote communities and</w:t>
      </w:r>
      <w:r w:rsidRPr="008168D8">
        <w:rPr>
          <w:rFonts w:asciiTheme="minorHAnsi" w:hAnsiTheme="minorHAnsi" w:cstheme="minorHAnsi"/>
        </w:rPr>
        <w:t xml:space="preserve"> have been identified</w:t>
      </w:r>
      <w:r w:rsidR="00CD38EA">
        <w:rPr>
          <w:rFonts w:asciiTheme="minorHAnsi" w:hAnsiTheme="minorHAnsi" w:cstheme="minorHAnsi"/>
        </w:rPr>
        <w:t xml:space="preserve"> using the latest residential population data</w:t>
      </w:r>
      <w:r w:rsidR="008F49E2" w:rsidRPr="008168D8">
        <w:rPr>
          <w:rFonts w:asciiTheme="minorHAnsi" w:hAnsiTheme="minorHAnsi" w:cstheme="minorHAnsi"/>
        </w:rPr>
        <w:t xml:space="preserve"> as having below</w:t>
      </w:r>
      <w:r w:rsidR="00CD38EA" w:rsidRPr="008168D8">
        <w:rPr>
          <w:rFonts w:asciiTheme="minorHAnsi" w:hAnsiTheme="minorHAnsi" w:cstheme="minorHAnsi"/>
        </w:rPr>
        <w:t xml:space="preserve"> the national</w:t>
      </w:r>
      <w:r w:rsidR="008F49E2" w:rsidRPr="008168D8">
        <w:rPr>
          <w:rFonts w:asciiTheme="minorHAnsi" w:hAnsiTheme="minorHAnsi" w:cstheme="minorHAnsi"/>
        </w:rPr>
        <w:t xml:space="preserve"> average access to </w:t>
      </w:r>
      <w:r w:rsidR="00F94A1B">
        <w:rPr>
          <w:rFonts w:asciiTheme="minorHAnsi" w:hAnsiTheme="minorHAnsi" w:cstheme="minorHAnsi"/>
        </w:rPr>
        <w:t>MBS-subsidised services</w:t>
      </w:r>
      <w:r w:rsidR="008F49E2" w:rsidRPr="008168D8">
        <w:rPr>
          <w:rFonts w:asciiTheme="minorHAnsi" w:hAnsiTheme="minorHAnsi" w:cstheme="minorHAnsi"/>
        </w:rPr>
        <w:t xml:space="preserve">. </w:t>
      </w:r>
      <w:r w:rsidR="00F94A1B">
        <w:rPr>
          <w:rFonts w:asciiTheme="minorHAnsi" w:hAnsiTheme="minorHAnsi" w:cstheme="minorHAnsi"/>
        </w:rPr>
        <w:t xml:space="preserve"> </w:t>
      </w:r>
    </w:p>
    <w:p w14:paraId="11B4381D" w14:textId="3989527A" w:rsidR="00BC4FE1" w:rsidRDefault="00CD38EA" w:rsidP="008830F9">
      <w:pPr>
        <w:rPr>
          <w:rFonts w:asciiTheme="minorHAnsi" w:hAnsiTheme="minorHAnsi" w:cstheme="minorHAnsi"/>
        </w:rPr>
      </w:pPr>
      <w:r w:rsidRPr="008168D8">
        <w:rPr>
          <w:rFonts w:asciiTheme="minorHAnsi" w:hAnsiTheme="minorHAnsi" w:cstheme="minorHAnsi"/>
        </w:rPr>
        <w:t xml:space="preserve">Figure 2 illustrates </w:t>
      </w:r>
      <w:r w:rsidR="00F94A1B" w:rsidRPr="008168D8">
        <w:rPr>
          <w:rFonts w:asciiTheme="minorHAnsi" w:hAnsiTheme="minorHAnsi" w:cstheme="minorHAnsi"/>
        </w:rPr>
        <w:t xml:space="preserve">how </w:t>
      </w:r>
      <w:r w:rsidR="00F94A1B">
        <w:rPr>
          <w:rFonts w:asciiTheme="minorHAnsi" w:hAnsiTheme="minorHAnsi" w:cstheme="minorHAnsi"/>
        </w:rPr>
        <w:t>the section 19AA considerations for non-VR doctors have</w:t>
      </w:r>
      <w:r w:rsidR="007B45ED">
        <w:rPr>
          <w:rFonts w:asciiTheme="minorHAnsi" w:hAnsiTheme="minorHAnsi" w:cstheme="minorHAnsi"/>
        </w:rPr>
        <w:t xml:space="preserve"> contributed to a disproportionate increase in the overall representation of these doctors in non-metropolitan primary care workforces between 2006 and 2016</w:t>
      </w:r>
      <w:r w:rsidR="00F94A1B" w:rsidRPr="008168D8">
        <w:rPr>
          <w:rFonts w:asciiTheme="minorHAnsi" w:hAnsiTheme="minorHAnsi" w:cstheme="minorHAnsi"/>
        </w:rPr>
        <w:t xml:space="preserve">. </w:t>
      </w:r>
    </w:p>
    <w:p w14:paraId="6EEE1DD4" w14:textId="77777777" w:rsidR="0052597E" w:rsidRDefault="0052597E" w:rsidP="008830F9">
      <w:pPr>
        <w:rPr>
          <w:rFonts w:asciiTheme="minorHAnsi" w:hAnsiTheme="minorHAnsi" w:cstheme="minorHAnsi"/>
          <w:b/>
        </w:rPr>
      </w:pPr>
    </w:p>
    <w:p w14:paraId="75EE8FCE" w14:textId="286E4FC2" w:rsidR="00CD38EA" w:rsidRDefault="00F94A1B" w:rsidP="00797388">
      <w:pPr>
        <w:keepNext/>
        <w:rPr>
          <w:rFonts w:asciiTheme="minorHAnsi" w:hAnsiTheme="minorHAnsi" w:cstheme="minorHAnsi"/>
        </w:rPr>
      </w:pPr>
      <w:r w:rsidRPr="00D616B4">
        <w:rPr>
          <w:rFonts w:asciiTheme="minorHAnsi" w:hAnsiTheme="minorHAnsi" w:cstheme="minorHAnsi"/>
          <w:b/>
        </w:rPr>
        <w:lastRenderedPageBreak/>
        <w:t>Figure 2:</w:t>
      </w:r>
      <w:r w:rsidRPr="006A6EB7">
        <w:rPr>
          <w:rFonts w:asciiTheme="minorHAnsi" w:hAnsiTheme="minorHAnsi" w:cstheme="minorHAnsi"/>
        </w:rPr>
        <w:t xml:space="preserve"> GP Full-time Service Equivalent (FSE) </w:t>
      </w:r>
      <w:r w:rsidR="007506D9">
        <w:rPr>
          <w:rFonts w:asciiTheme="minorHAnsi" w:hAnsiTheme="minorHAnsi" w:cstheme="minorHAnsi"/>
        </w:rPr>
        <w:t xml:space="preserve">doctors </w:t>
      </w:r>
      <w:r w:rsidR="004E6DE0">
        <w:rPr>
          <w:rFonts w:asciiTheme="minorHAnsi" w:hAnsiTheme="minorHAnsi" w:cstheme="minorHAnsi"/>
        </w:rPr>
        <w:t>per 100,000 persons (2006 to 2016)</w:t>
      </w:r>
    </w:p>
    <w:p w14:paraId="46CE16B7" w14:textId="77777777" w:rsidR="00F93950" w:rsidRDefault="006F3273" w:rsidP="00797388">
      <w:pPr>
        <w:keepNext/>
        <w:rPr>
          <w:rFonts w:asciiTheme="minorHAnsi" w:hAnsiTheme="minorHAnsi" w:cstheme="minorHAnsi"/>
        </w:rPr>
      </w:pPr>
      <w:r>
        <w:rPr>
          <w:rFonts w:asciiTheme="minorHAnsi" w:hAnsiTheme="minorHAnsi" w:cstheme="minorHAnsi"/>
        </w:rPr>
        <w:t xml:space="preserve">  </w:t>
      </w:r>
      <w:r w:rsidR="00B60E1C">
        <w:rPr>
          <w:rFonts w:asciiTheme="minorHAnsi" w:hAnsiTheme="minorHAnsi" w:cstheme="minorHAnsi"/>
          <w:noProof/>
          <w:lang w:eastAsia="en-AU"/>
        </w:rPr>
        <w:drawing>
          <wp:inline distT="0" distB="0" distL="0" distR="0" wp14:anchorId="50327A5F" wp14:editId="69A56B1E">
            <wp:extent cx="5297805" cy="3267710"/>
            <wp:effectExtent l="0" t="0" r="0" b="8890"/>
            <wp:docPr id="2" name="Picture 2" descr="The figure show the number of GP Full-Time Service Equivalent (FSE) doctors per 100,000 persons by comparing metropolitan and non-metropolitan areas against the Australian rate (2006 to 2016). The figure shows the proportion of doctors by GP type (including GP trainees, Non-Vocationally Recognied GPs and Vocationally Recognised GPs)." title="Figure 2: GP Full-time Equivalent (FSE) doctors per 100,000 persons (2006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7805" cy="3267710"/>
                    </a:xfrm>
                    <a:prstGeom prst="rect">
                      <a:avLst/>
                    </a:prstGeom>
                    <a:noFill/>
                  </pic:spPr>
                </pic:pic>
              </a:graphicData>
            </a:graphic>
          </wp:inline>
        </w:drawing>
      </w:r>
    </w:p>
    <w:p w14:paraId="6935253B" w14:textId="15FA8507" w:rsidR="007B45ED" w:rsidRDefault="001B72BE" w:rsidP="007460E0">
      <w:pPr>
        <w:rPr>
          <w:rFonts w:asciiTheme="minorHAnsi" w:hAnsiTheme="minorHAnsi" w:cstheme="minorHAnsi"/>
        </w:rPr>
      </w:pPr>
      <w:r>
        <w:rPr>
          <w:rFonts w:asciiTheme="minorHAnsi" w:hAnsiTheme="minorHAnsi" w:cstheme="minorHAnsi"/>
        </w:rPr>
        <w:t xml:space="preserve">The </w:t>
      </w:r>
      <w:r w:rsidR="007B45ED">
        <w:rPr>
          <w:rFonts w:asciiTheme="minorHAnsi" w:hAnsiTheme="minorHAnsi" w:cstheme="minorHAnsi"/>
        </w:rPr>
        <w:t>net effect is a tension between the need to:</w:t>
      </w:r>
    </w:p>
    <w:p w14:paraId="294B885E" w14:textId="30CCD780" w:rsidR="007B45ED" w:rsidRDefault="007B45ED" w:rsidP="00AA5EBF">
      <w:pPr>
        <w:pStyle w:val="ListParagraph"/>
        <w:numPr>
          <w:ilvl w:val="0"/>
          <w:numId w:val="25"/>
        </w:numPr>
        <w:rPr>
          <w:rFonts w:asciiTheme="minorHAnsi" w:hAnsiTheme="minorHAnsi" w:cstheme="minorHAnsi"/>
        </w:rPr>
      </w:pPr>
      <w:r w:rsidRPr="007B45ED">
        <w:rPr>
          <w:rFonts w:asciiTheme="minorHAnsi" w:hAnsiTheme="minorHAnsi" w:cstheme="minorHAnsi"/>
        </w:rPr>
        <w:t>apply</w:t>
      </w:r>
      <w:r w:rsidRPr="008168D8">
        <w:rPr>
          <w:rFonts w:asciiTheme="minorHAnsi" w:hAnsiTheme="minorHAnsi" w:cstheme="minorHAnsi"/>
        </w:rPr>
        <w:t xml:space="preserve"> a uniform </w:t>
      </w:r>
      <w:r w:rsidRPr="007B45ED">
        <w:rPr>
          <w:rFonts w:asciiTheme="minorHAnsi" w:hAnsiTheme="minorHAnsi" w:cstheme="minorHAnsi"/>
        </w:rPr>
        <w:t>general practice quality standard</w:t>
      </w:r>
      <w:r w:rsidRPr="008168D8">
        <w:rPr>
          <w:rFonts w:asciiTheme="minorHAnsi" w:hAnsiTheme="minorHAnsi" w:cstheme="minorHAnsi"/>
        </w:rPr>
        <w:t xml:space="preserve"> that is linked to </w:t>
      </w:r>
      <w:r w:rsidR="00BC4FE1">
        <w:rPr>
          <w:rFonts w:asciiTheme="minorHAnsi" w:hAnsiTheme="minorHAnsi" w:cstheme="minorHAnsi"/>
        </w:rPr>
        <w:t>attaining formal qualifications</w:t>
      </w:r>
      <w:r>
        <w:rPr>
          <w:rFonts w:asciiTheme="minorHAnsi" w:hAnsiTheme="minorHAnsi" w:cstheme="minorHAnsi"/>
        </w:rPr>
        <w:t>;</w:t>
      </w:r>
      <w:r w:rsidRPr="008168D8">
        <w:rPr>
          <w:rFonts w:asciiTheme="minorHAnsi" w:hAnsiTheme="minorHAnsi" w:cstheme="minorHAnsi"/>
        </w:rPr>
        <w:t xml:space="preserve"> and </w:t>
      </w:r>
    </w:p>
    <w:p w14:paraId="2DD34E61" w14:textId="77777777" w:rsidR="00C954F0" w:rsidRDefault="007B45ED" w:rsidP="00C954F0">
      <w:pPr>
        <w:pStyle w:val="ListParagraph"/>
        <w:numPr>
          <w:ilvl w:val="0"/>
          <w:numId w:val="25"/>
        </w:numPr>
        <w:rPr>
          <w:rFonts w:asciiTheme="minorHAnsi" w:hAnsiTheme="minorHAnsi" w:cstheme="minorHAnsi"/>
        </w:rPr>
      </w:pPr>
      <w:r w:rsidRPr="007B45ED">
        <w:rPr>
          <w:rFonts w:asciiTheme="minorHAnsi" w:hAnsiTheme="minorHAnsi" w:cstheme="minorHAnsi"/>
        </w:rPr>
        <w:t>address current workforce shortages by allowing non-VR doctors</w:t>
      </w:r>
      <w:r w:rsidR="004276B7">
        <w:rPr>
          <w:rFonts w:asciiTheme="minorHAnsi" w:hAnsiTheme="minorHAnsi" w:cstheme="minorHAnsi"/>
        </w:rPr>
        <w:t>, including OTDs,</w:t>
      </w:r>
      <w:r w:rsidRPr="007B45ED">
        <w:rPr>
          <w:rFonts w:asciiTheme="minorHAnsi" w:hAnsiTheme="minorHAnsi" w:cstheme="minorHAnsi"/>
        </w:rPr>
        <w:t xml:space="preserve"> to work in areas that have a shortage of qualified GPs.</w:t>
      </w:r>
    </w:p>
    <w:p w14:paraId="6048D55E" w14:textId="77777777" w:rsidR="00C954F0" w:rsidRDefault="00C954F0" w:rsidP="00C954F0">
      <w:pPr>
        <w:rPr>
          <w:rFonts w:asciiTheme="minorHAnsi" w:hAnsiTheme="minorHAnsi" w:cstheme="minorHAnsi"/>
        </w:rPr>
      </w:pPr>
    </w:p>
    <w:p w14:paraId="53A94B49" w14:textId="2E35C810" w:rsidR="00A56494" w:rsidRPr="00C954F0" w:rsidRDefault="00A56494" w:rsidP="00C954F0">
      <w:pPr>
        <w:rPr>
          <w:rFonts w:asciiTheme="minorHAnsi" w:hAnsiTheme="minorHAnsi" w:cstheme="minorHAnsi"/>
        </w:rPr>
      </w:pPr>
      <w:r w:rsidRPr="00C954F0">
        <w:rPr>
          <w:rFonts w:asciiTheme="minorHAnsi" w:hAnsiTheme="minorHAnsi" w:cstheme="minorHAnsi"/>
        </w:rPr>
        <w:t>Figure 2</w:t>
      </w:r>
      <w:r w:rsidR="001D4177" w:rsidRPr="00C954F0">
        <w:rPr>
          <w:rFonts w:asciiTheme="minorHAnsi" w:hAnsiTheme="minorHAnsi" w:cstheme="minorHAnsi"/>
        </w:rPr>
        <w:t xml:space="preserve"> shows that GP trainees address some of the immediate workforce distribution problems.  However, the current regulatory settings allow a significant non-VR workforce (largely comprised of OTDs) to work independently of</w:t>
      </w:r>
      <w:r w:rsidR="00995D8B" w:rsidRPr="00C954F0">
        <w:rPr>
          <w:rFonts w:asciiTheme="minorHAnsi" w:hAnsiTheme="minorHAnsi" w:cstheme="minorHAnsi"/>
        </w:rPr>
        <w:t xml:space="preserve"> college-sanctioned</w:t>
      </w:r>
      <w:r w:rsidR="001D4177" w:rsidRPr="00C954F0">
        <w:rPr>
          <w:rFonts w:asciiTheme="minorHAnsi" w:hAnsiTheme="minorHAnsi" w:cstheme="minorHAnsi"/>
        </w:rPr>
        <w:t xml:space="preserve"> training for extended periods</w:t>
      </w:r>
      <w:r w:rsidRPr="00C954F0">
        <w:rPr>
          <w:rFonts w:asciiTheme="minorHAnsi" w:hAnsiTheme="minorHAnsi" w:cstheme="minorHAnsi"/>
        </w:rPr>
        <w:t xml:space="preserve"> and the above figure shows that it is thi</w:t>
      </w:r>
      <w:r w:rsidR="007506D9" w:rsidRPr="00C954F0">
        <w:rPr>
          <w:rFonts w:asciiTheme="minorHAnsi" w:hAnsiTheme="minorHAnsi" w:cstheme="minorHAnsi"/>
        </w:rPr>
        <w:t>s cohort of doctors that has</w:t>
      </w:r>
      <w:r w:rsidRPr="00C954F0">
        <w:rPr>
          <w:rFonts w:asciiTheme="minorHAnsi" w:hAnsiTheme="minorHAnsi" w:cstheme="minorHAnsi"/>
        </w:rPr>
        <w:t xml:space="preserve"> grown most substantially. </w:t>
      </w:r>
    </w:p>
    <w:p w14:paraId="32B0A8D7" w14:textId="77777777" w:rsidR="00D616B4" w:rsidRDefault="00D616B4" w:rsidP="001D4177">
      <w:pPr>
        <w:rPr>
          <w:rFonts w:asciiTheme="minorHAnsi" w:hAnsiTheme="minorHAnsi" w:cstheme="minorHAnsi"/>
        </w:rPr>
      </w:pPr>
    </w:p>
    <w:p w14:paraId="53B8DA6A" w14:textId="77777777" w:rsidR="00F93950" w:rsidRDefault="00522F1E" w:rsidP="001D4177">
      <w:pPr>
        <w:rPr>
          <w:rFonts w:asciiTheme="minorHAnsi" w:hAnsiTheme="minorHAnsi" w:cstheme="minorHAnsi"/>
        </w:rPr>
      </w:pPr>
      <w:r>
        <w:rPr>
          <w:rFonts w:asciiTheme="minorHAnsi" w:hAnsiTheme="minorHAnsi" w:cstheme="minorHAnsi"/>
        </w:rPr>
        <w:t xml:space="preserve">These </w:t>
      </w:r>
      <w:r w:rsidR="00A56494">
        <w:rPr>
          <w:rFonts w:asciiTheme="minorHAnsi" w:hAnsiTheme="minorHAnsi" w:cstheme="minorHAnsi"/>
        </w:rPr>
        <w:t xml:space="preserve">current </w:t>
      </w:r>
      <w:r>
        <w:rPr>
          <w:rFonts w:asciiTheme="minorHAnsi" w:hAnsiTheme="minorHAnsi" w:cstheme="minorHAnsi"/>
        </w:rPr>
        <w:t>settings</w:t>
      </w:r>
      <w:r w:rsidR="00A56494">
        <w:rPr>
          <w:rFonts w:asciiTheme="minorHAnsi" w:hAnsiTheme="minorHAnsi" w:cstheme="minorHAnsi"/>
        </w:rPr>
        <w:t xml:space="preserve"> that enable non-VR doctors to practise under the MBS</w:t>
      </w:r>
      <w:r>
        <w:rPr>
          <w:rFonts w:asciiTheme="minorHAnsi" w:hAnsiTheme="minorHAnsi" w:cstheme="minorHAnsi"/>
        </w:rPr>
        <w:t xml:space="preserve"> were created to address a potential undersupply of doctors before t</w:t>
      </w:r>
      <w:r w:rsidR="00995D8B">
        <w:rPr>
          <w:rFonts w:asciiTheme="minorHAnsi" w:hAnsiTheme="minorHAnsi" w:cstheme="minorHAnsi"/>
        </w:rPr>
        <w:t>he G</w:t>
      </w:r>
      <w:r>
        <w:rPr>
          <w:rFonts w:asciiTheme="minorHAnsi" w:hAnsiTheme="minorHAnsi" w:cstheme="minorHAnsi"/>
        </w:rPr>
        <w:t xml:space="preserve">overnment introduced alternate measures to improve capacity to train doctors locally. </w:t>
      </w:r>
      <w:r w:rsidR="00A56494">
        <w:rPr>
          <w:rFonts w:asciiTheme="minorHAnsi" w:hAnsiTheme="minorHAnsi" w:cstheme="minorHAnsi"/>
        </w:rPr>
        <w:t xml:space="preserve"> </w:t>
      </w:r>
      <w:r w:rsidR="00995D8B" w:rsidRPr="00EC3492">
        <w:rPr>
          <w:rFonts w:asciiTheme="minorHAnsi" w:hAnsiTheme="minorHAnsi" w:cstheme="minorHAnsi"/>
        </w:rPr>
        <w:t>A</w:t>
      </w:r>
      <w:r w:rsidR="00EC3492" w:rsidRPr="008168D8">
        <w:rPr>
          <w:rFonts w:asciiTheme="minorHAnsi" w:hAnsiTheme="minorHAnsi" w:cstheme="minorHAnsi"/>
        </w:rPr>
        <w:t xml:space="preserve"> strategy that defines the expectations of doctors working in general practice within the context of a growing, locally-trained workforce is required.  This includes revising current program arrangements to ensure long-term workforce</w:t>
      </w:r>
      <w:r w:rsidR="00521D4B">
        <w:rPr>
          <w:rFonts w:asciiTheme="minorHAnsi" w:hAnsiTheme="minorHAnsi" w:cstheme="minorHAnsi"/>
        </w:rPr>
        <w:t xml:space="preserve"> </w:t>
      </w:r>
      <w:r w:rsidR="00EC3492" w:rsidRPr="008168D8">
        <w:rPr>
          <w:rFonts w:asciiTheme="minorHAnsi" w:hAnsiTheme="minorHAnsi" w:cstheme="minorHAnsi"/>
        </w:rPr>
        <w:t>distribution activities g</w:t>
      </w:r>
      <w:r w:rsidR="007506D9">
        <w:rPr>
          <w:rFonts w:asciiTheme="minorHAnsi" w:hAnsiTheme="minorHAnsi" w:cstheme="minorHAnsi"/>
        </w:rPr>
        <w:t>ive appropriate consideration to</w:t>
      </w:r>
      <w:r w:rsidR="00EC3492" w:rsidRPr="008168D8">
        <w:rPr>
          <w:rFonts w:asciiTheme="minorHAnsi" w:hAnsiTheme="minorHAnsi" w:cstheme="minorHAnsi"/>
        </w:rPr>
        <w:t xml:space="preserve"> the quality standards under section 19AA </w:t>
      </w:r>
      <w:r w:rsidR="00BC4FE1">
        <w:rPr>
          <w:rFonts w:asciiTheme="minorHAnsi" w:hAnsiTheme="minorHAnsi" w:cstheme="minorHAnsi"/>
        </w:rPr>
        <w:t>so that underserviced communities receive improved access to fully-qualified GPs as an outcome of Government action.</w:t>
      </w:r>
    </w:p>
    <w:p w14:paraId="13FA98D5" w14:textId="77777777" w:rsidR="00F93950" w:rsidRDefault="00F93950">
      <w:pPr>
        <w:spacing w:after="160" w:line="259" w:lineRule="auto"/>
        <w:rPr>
          <w:rFonts w:asciiTheme="minorHAnsi" w:hAnsiTheme="minorHAnsi" w:cstheme="minorHAnsi"/>
        </w:rPr>
      </w:pPr>
      <w:r>
        <w:rPr>
          <w:rFonts w:asciiTheme="minorHAnsi" w:hAnsiTheme="minorHAnsi" w:cstheme="minorHAnsi"/>
        </w:rPr>
        <w:br w:type="page"/>
      </w:r>
    </w:p>
    <w:p w14:paraId="40ECA8AA" w14:textId="3B0EBA60" w:rsidR="00635112" w:rsidRPr="006F3273" w:rsidRDefault="00635112" w:rsidP="001D4177">
      <w:pPr>
        <w:rPr>
          <w:rFonts w:asciiTheme="minorHAnsi" w:hAnsiTheme="minorHAnsi" w:cstheme="minorHAnsi"/>
          <w:u w:val="single"/>
        </w:rPr>
      </w:pPr>
      <w:r w:rsidRPr="006F3273">
        <w:rPr>
          <w:rFonts w:asciiTheme="minorHAnsi" w:hAnsiTheme="minorHAnsi" w:cstheme="minorHAnsi"/>
          <w:u w:val="single"/>
        </w:rPr>
        <w:lastRenderedPageBreak/>
        <w:t>General practice MBS item differential</w:t>
      </w:r>
    </w:p>
    <w:p w14:paraId="7FEC58FB" w14:textId="154E8DF9" w:rsidR="00522F1E" w:rsidRDefault="00A56494" w:rsidP="00757458">
      <w:pPr>
        <w:rPr>
          <w:rFonts w:asciiTheme="minorHAnsi" w:hAnsiTheme="minorHAnsi" w:cstheme="minorHAnsi"/>
        </w:rPr>
      </w:pPr>
      <w:r>
        <w:rPr>
          <w:rFonts w:asciiTheme="minorHAnsi" w:hAnsiTheme="minorHAnsi" w:cstheme="minorHAnsi"/>
        </w:rPr>
        <w:t xml:space="preserve">In addition to the </w:t>
      </w:r>
      <w:r w:rsidR="00E12100">
        <w:rPr>
          <w:rFonts w:asciiTheme="minorHAnsi" w:hAnsiTheme="minorHAnsi" w:cstheme="minorHAnsi"/>
        </w:rPr>
        <w:t>s</w:t>
      </w:r>
      <w:r w:rsidR="00BC4FE1">
        <w:rPr>
          <w:rFonts w:asciiTheme="minorHAnsi" w:hAnsiTheme="minorHAnsi" w:cstheme="minorHAnsi"/>
        </w:rPr>
        <w:t xml:space="preserve">ection </w:t>
      </w:r>
      <w:r w:rsidR="00E12100">
        <w:rPr>
          <w:rFonts w:asciiTheme="minorHAnsi" w:hAnsiTheme="minorHAnsi" w:cstheme="minorHAnsi"/>
        </w:rPr>
        <w:t xml:space="preserve">19AA </w:t>
      </w:r>
      <w:r>
        <w:rPr>
          <w:rFonts w:asciiTheme="minorHAnsi" w:hAnsiTheme="minorHAnsi" w:cstheme="minorHAnsi"/>
        </w:rPr>
        <w:t>MBS eligibility rule</w:t>
      </w:r>
      <w:r w:rsidR="000900D4">
        <w:rPr>
          <w:rFonts w:asciiTheme="minorHAnsi" w:hAnsiTheme="minorHAnsi" w:cstheme="minorHAnsi"/>
        </w:rPr>
        <w:t xml:space="preserve">s, the Government has applied an MBS item differential that distinguishes qualified GPs and trainees from non-VR doctors who are working in general practice.  </w:t>
      </w:r>
      <w:r w:rsidR="00BD03A1">
        <w:rPr>
          <w:rFonts w:asciiTheme="minorHAnsi" w:hAnsiTheme="minorHAnsi" w:cstheme="minorHAnsi"/>
        </w:rPr>
        <w:t>This differential was first introduced in 1989 and had the purpose of providing greater remuneration through the MBS to qualified GPs.  While this fee structure supported the introduction of the section 19AA quality standards in 1996, the effectiveness of the differential has diminished over time because:</w:t>
      </w:r>
    </w:p>
    <w:p w14:paraId="67568772" w14:textId="39E16C97" w:rsidR="00D61CF1" w:rsidRDefault="00D61CF1" w:rsidP="00AA5EBF">
      <w:pPr>
        <w:pStyle w:val="ListParagraph"/>
        <w:numPr>
          <w:ilvl w:val="0"/>
          <w:numId w:val="27"/>
        </w:numPr>
        <w:rPr>
          <w:rFonts w:asciiTheme="minorHAnsi" w:hAnsiTheme="minorHAnsi" w:cstheme="minorHAnsi"/>
        </w:rPr>
      </w:pPr>
      <w:r>
        <w:rPr>
          <w:rFonts w:asciiTheme="minorHAnsi" w:hAnsiTheme="minorHAnsi" w:cstheme="minorHAnsi"/>
        </w:rPr>
        <w:t>it is primarily concerned with differentiating the fee payable for standard general practice consultations;</w:t>
      </w:r>
    </w:p>
    <w:p w14:paraId="169DB35E" w14:textId="2E334F48" w:rsidR="003E4624" w:rsidRPr="008168D8" w:rsidRDefault="00BD03A1" w:rsidP="00AA5EBF">
      <w:pPr>
        <w:pStyle w:val="ListParagraph"/>
        <w:numPr>
          <w:ilvl w:val="0"/>
          <w:numId w:val="27"/>
        </w:numPr>
        <w:rPr>
          <w:rFonts w:asciiTheme="minorHAnsi" w:hAnsiTheme="minorHAnsi" w:cstheme="minorHAnsi"/>
        </w:rPr>
      </w:pPr>
      <w:r>
        <w:rPr>
          <w:rFonts w:asciiTheme="minorHAnsi" w:hAnsiTheme="minorHAnsi" w:cstheme="minorHAnsi"/>
        </w:rPr>
        <w:t xml:space="preserve">it </w:t>
      </w:r>
      <w:r w:rsidR="00D61CF1">
        <w:rPr>
          <w:rFonts w:asciiTheme="minorHAnsi" w:hAnsiTheme="minorHAnsi" w:cstheme="minorHAnsi"/>
        </w:rPr>
        <w:t>has not been applied uniformly to each new group of GP MBS items</w:t>
      </w:r>
      <w:r>
        <w:rPr>
          <w:rFonts w:asciiTheme="minorHAnsi" w:hAnsiTheme="minorHAnsi" w:cstheme="minorHAnsi"/>
        </w:rPr>
        <w:t xml:space="preserve"> introduced</w:t>
      </w:r>
      <w:r w:rsidR="00D61CF1">
        <w:rPr>
          <w:rFonts w:asciiTheme="minorHAnsi" w:hAnsiTheme="minorHAnsi" w:cstheme="minorHAnsi"/>
        </w:rPr>
        <w:t xml:space="preserve"> for </w:t>
      </w:r>
      <w:r w:rsidR="00D25039">
        <w:rPr>
          <w:rFonts w:asciiTheme="minorHAnsi" w:hAnsiTheme="minorHAnsi" w:cstheme="minorHAnsi"/>
        </w:rPr>
        <w:t xml:space="preserve"> </w:t>
      </w:r>
      <w:r w:rsidR="00D61CF1">
        <w:rPr>
          <w:rFonts w:asciiTheme="minorHAnsi" w:hAnsiTheme="minorHAnsi" w:cstheme="minorHAnsi"/>
        </w:rPr>
        <w:t xml:space="preserve">non-standard consultations – this means that non-VR doctors can </w:t>
      </w:r>
      <w:r>
        <w:rPr>
          <w:rFonts w:asciiTheme="minorHAnsi" w:hAnsiTheme="minorHAnsi" w:cstheme="minorHAnsi"/>
        </w:rPr>
        <w:t xml:space="preserve">claim the same fees as qualified GPs </w:t>
      </w:r>
      <w:r w:rsidR="009426AD">
        <w:rPr>
          <w:rFonts w:asciiTheme="minorHAnsi" w:hAnsiTheme="minorHAnsi" w:cstheme="minorHAnsi"/>
        </w:rPr>
        <w:t xml:space="preserve">for </w:t>
      </w:r>
      <w:r w:rsidR="00D61CF1">
        <w:rPr>
          <w:rFonts w:asciiTheme="minorHAnsi" w:hAnsiTheme="minorHAnsi" w:cstheme="minorHAnsi"/>
        </w:rPr>
        <w:t xml:space="preserve">a number of different types of services (for </w:t>
      </w:r>
      <w:r w:rsidR="007506D9">
        <w:rPr>
          <w:rFonts w:asciiTheme="minorHAnsi" w:hAnsiTheme="minorHAnsi" w:cstheme="minorHAnsi"/>
        </w:rPr>
        <w:t xml:space="preserve">example, </w:t>
      </w:r>
      <w:r w:rsidR="00D61CF1">
        <w:rPr>
          <w:rFonts w:asciiTheme="minorHAnsi" w:hAnsiTheme="minorHAnsi" w:cstheme="minorHAnsi"/>
        </w:rPr>
        <w:t>chronic disease planning and management</w:t>
      </w:r>
      <w:r>
        <w:rPr>
          <w:rFonts w:asciiTheme="minorHAnsi" w:hAnsiTheme="minorHAnsi" w:cstheme="minorHAnsi"/>
        </w:rPr>
        <w:t xml:space="preserve">) </w:t>
      </w:r>
      <w:r w:rsidR="00D61CF1">
        <w:rPr>
          <w:rFonts w:asciiTheme="minorHAnsi" w:hAnsiTheme="minorHAnsi" w:cstheme="minorHAnsi"/>
        </w:rPr>
        <w:t>despite t</w:t>
      </w:r>
      <w:r w:rsidR="003E4624">
        <w:rPr>
          <w:rFonts w:asciiTheme="minorHAnsi" w:hAnsiTheme="minorHAnsi" w:cstheme="minorHAnsi"/>
        </w:rPr>
        <w:t xml:space="preserve">heir lack of </w:t>
      </w:r>
      <w:r w:rsidR="00C62167">
        <w:rPr>
          <w:rFonts w:asciiTheme="minorHAnsi" w:hAnsiTheme="minorHAnsi" w:cstheme="minorHAnsi"/>
        </w:rPr>
        <w:t xml:space="preserve">GP </w:t>
      </w:r>
      <w:r w:rsidR="003E4624">
        <w:rPr>
          <w:rFonts w:asciiTheme="minorHAnsi" w:hAnsiTheme="minorHAnsi" w:cstheme="minorHAnsi"/>
        </w:rPr>
        <w:t xml:space="preserve">qualifications; and </w:t>
      </w:r>
    </w:p>
    <w:p w14:paraId="25369047" w14:textId="1FB9A602" w:rsidR="00833A78" w:rsidRDefault="007506D9" w:rsidP="00AA5EBF">
      <w:pPr>
        <w:pStyle w:val="ListParagraph"/>
        <w:numPr>
          <w:ilvl w:val="0"/>
          <w:numId w:val="27"/>
        </w:numPr>
        <w:rPr>
          <w:rFonts w:asciiTheme="minorHAnsi" w:hAnsiTheme="minorHAnsi" w:cstheme="minorHAnsi"/>
        </w:rPr>
      </w:pPr>
      <w:r>
        <w:rPr>
          <w:rFonts w:asciiTheme="minorHAnsi" w:hAnsiTheme="minorHAnsi" w:cstheme="minorHAnsi"/>
        </w:rPr>
        <w:t xml:space="preserve">as </w:t>
      </w:r>
      <w:r w:rsidR="00D61CF1" w:rsidRPr="00D61CF1">
        <w:rPr>
          <w:rFonts w:asciiTheme="minorHAnsi" w:hAnsiTheme="minorHAnsi" w:cstheme="minorHAnsi"/>
        </w:rPr>
        <w:t>response</w:t>
      </w:r>
      <w:r>
        <w:rPr>
          <w:rFonts w:asciiTheme="minorHAnsi" w:hAnsiTheme="minorHAnsi" w:cstheme="minorHAnsi"/>
        </w:rPr>
        <w:t>s</w:t>
      </w:r>
      <w:r w:rsidR="00D61CF1" w:rsidRPr="00D61CF1">
        <w:rPr>
          <w:rFonts w:asciiTheme="minorHAnsi" w:hAnsiTheme="minorHAnsi" w:cstheme="minorHAnsi"/>
        </w:rPr>
        <w:t xml:space="preserve"> to some historical workforce distrib</w:t>
      </w:r>
      <w:r>
        <w:rPr>
          <w:rFonts w:asciiTheme="minorHAnsi" w:hAnsiTheme="minorHAnsi" w:cstheme="minorHAnsi"/>
        </w:rPr>
        <w:t>ution issues, the Government</w:t>
      </w:r>
      <w:r w:rsidR="00D61CF1" w:rsidRPr="00D61CF1">
        <w:rPr>
          <w:rFonts w:asciiTheme="minorHAnsi" w:hAnsiTheme="minorHAnsi" w:cstheme="minorHAnsi"/>
        </w:rPr>
        <w:t xml:space="preserve"> implemented several Other Medical Practitioners (OMPs) Programs – the Rural Other Medical Practitioners (ROMPs), the After-Hours Other Medical Practitioners (AHOMPs), the MedicarePlus for Other Medical Practitioners (MOMPs) and Outer Metropolitan Other Medical Practitioners (OM-OMPs) Program</w:t>
      </w:r>
      <w:r w:rsidR="00532072">
        <w:rPr>
          <w:rFonts w:asciiTheme="minorHAnsi" w:hAnsiTheme="minorHAnsi" w:cstheme="minorHAnsi"/>
        </w:rPr>
        <w:t>s</w:t>
      </w:r>
      <w:r w:rsidR="00D61CF1">
        <w:rPr>
          <w:rFonts w:asciiTheme="minorHAnsi" w:hAnsiTheme="minorHAnsi" w:cstheme="minorHAnsi"/>
        </w:rPr>
        <w:t xml:space="preserve">.  Each of these arrangements allows non-VR doctors to claim </w:t>
      </w:r>
      <w:r w:rsidR="00833A78">
        <w:rPr>
          <w:rFonts w:asciiTheme="minorHAnsi" w:hAnsiTheme="minorHAnsi" w:cstheme="minorHAnsi"/>
        </w:rPr>
        <w:t xml:space="preserve">the full GP </w:t>
      </w:r>
      <w:r w:rsidR="00D61CF1">
        <w:rPr>
          <w:rFonts w:asciiTheme="minorHAnsi" w:hAnsiTheme="minorHAnsi" w:cstheme="minorHAnsi"/>
        </w:rPr>
        <w:t xml:space="preserve">MBS items </w:t>
      </w:r>
      <w:r w:rsidR="00833A78">
        <w:rPr>
          <w:rFonts w:asciiTheme="minorHAnsi" w:hAnsiTheme="minorHAnsi" w:cstheme="minorHAnsi"/>
        </w:rPr>
        <w:t xml:space="preserve">in lieu of </w:t>
      </w:r>
      <w:r w:rsidR="00532072">
        <w:rPr>
          <w:rFonts w:asciiTheme="minorHAnsi" w:hAnsiTheme="minorHAnsi" w:cstheme="minorHAnsi"/>
        </w:rPr>
        <w:t xml:space="preserve">holding a Fellowship </w:t>
      </w:r>
      <w:r w:rsidR="00833A78">
        <w:rPr>
          <w:rFonts w:asciiTheme="minorHAnsi" w:hAnsiTheme="minorHAnsi" w:cstheme="minorHAnsi"/>
        </w:rPr>
        <w:t>qualification.</w:t>
      </w:r>
    </w:p>
    <w:p w14:paraId="30E63789" w14:textId="77777777" w:rsidR="00833A78" w:rsidRDefault="00833A78" w:rsidP="008168D8">
      <w:pPr>
        <w:ind w:left="360"/>
        <w:rPr>
          <w:rFonts w:asciiTheme="minorHAnsi" w:hAnsiTheme="minorHAnsi" w:cstheme="minorHAnsi"/>
        </w:rPr>
      </w:pPr>
    </w:p>
    <w:p w14:paraId="088E925F" w14:textId="07DF2968" w:rsidR="00833A78" w:rsidRDefault="00833A78" w:rsidP="00833A78">
      <w:pPr>
        <w:rPr>
          <w:rFonts w:asciiTheme="minorHAnsi" w:hAnsiTheme="minorHAnsi" w:cstheme="minorHAnsi"/>
        </w:rPr>
      </w:pPr>
      <w:r>
        <w:rPr>
          <w:rFonts w:asciiTheme="minorHAnsi" w:hAnsiTheme="minorHAnsi" w:cstheme="minorHAnsi"/>
        </w:rPr>
        <w:t>The item differential was introduced as a means of recognising general practice as a specialty and assigning a defined financial value in the MBS to consultations performed by qualified GPs.  The assigned value was greater than the pre-existing items for non-VR doctors in an attempt to encourage doctors entering general practice to attain GP qualifications.</w:t>
      </w:r>
    </w:p>
    <w:p w14:paraId="32F22407" w14:textId="79E0EDC9" w:rsidR="0030656B" w:rsidRDefault="0030656B" w:rsidP="00833A78">
      <w:pPr>
        <w:rPr>
          <w:rFonts w:asciiTheme="minorHAnsi" w:hAnsiTheme="minorHAnsi" w:cstheme="minorHAnsi"/>
        </w:rPr>
      </w:pPr>
    </w:p>
    <w:p w14:paraId="35E0D3C8" w14:textId="49C88805" w:rsidR="00833A78" w:rsidRDefault="004B3890" w:rsidP="00833A78">
      <w:pPr>
        <w:rPr>
          <w:rFonts w:asciiTheme="minorHAnsi" w:hAnsiTheme="minorHAnsi" w:cstheme="minorHAnsi"/>
        </w:rPr>
      </w:pPr>
      <w:r>
        <w:rPr>
          <w:rFonts w:asciiTheme="minorHAnsi" w:hAnsiTheme="minorHAnsi" w:cstheme="minorHAnsi"/>
        </w:rPr>
        <w:t>I</w:t>
      </w:r>
      <w:r w:rsidR="00833A78">
        <w:rPr>
          <w:rFonts w:asciiTheme="minorHAnsi" w:hAnsiTheme="minorHAnsi" w:cstheme="minorHAnsi"/>
        </w:rPr>
        <w:t xml:space="preserve">n 2001, </w:t>
      </w:r>
      <w:r>
        <w:rPr>
          <w:rFonts w:asciiTheme="minorHAnsi" w:hAnsiTheme="minorHAnsi" w:cstheme="minorHAnsi"/>
        </w:rPr>
        <w:t xml:space="preserve">the Government commenced introducing separate administrative OMPs Programs in order to use the MBS item differential to address specific workforce </w:t>
      </w:r>
      <w:r w:rsidR="000A318E">
        <w:rPr>
          <w:rFonts w:asciiTheme="minorHAnsi" w:hAnsiTheme="minorHAnsi" w:cstheme="minorHAnsi"/>
        </w:rPr>
        <w:t>maldistribution issues</w:t>
      </w:r>
      <w:r>
        <w:rPr>
          <w:rFonts w:asciiTheme="minorHAnsi" w:hAnsiTheme="minorHAnsi" w:cstheme="minorHAnsi"/>
        </w:rPr>
        <w:t>.  Non-VR</w:t>
      </w:r>
      <w:r w:rsidR="009426AD">
        <w:rPr>
          <w:rFonts w:asciiTheme="minorHAnsi" w:hAnsiTheme="minorHAnsi" w:cstheme="minorHAnsi"/>
        </w:rPr>
        <w:t xml:space="preserve"> doctors</w:t>
      </w:r>
      <w:r>
        <w:rPr>
          <w:rFonts w:asciiTheme="minorHAnsi" w:hAnsiTheme="minorHAnsi" w:cstheme="minorHAnsi"/>
        </w:rPr>
        <w:t xml:space="preserve"> participating in these programs would receive approval under the GMST rules</w:t>
      </w:r>
      <w:r w:rsidR="000F232F">
        <w:rPr>
          <w:rFonts w:asciiTheme="minorHAnsi" w:hAnsiTheme="minorHAnsi" w:cstheme="minorHAnsi"/>
        </w:rPr>
        <w:t xml:space="preserve"> to</w:t>
      </w:r>
      <w:r>
        <w:rPr>
          <w:rFonts w:asciiTheme="minorHAnsi" w:hAnsiTheme="minorHAnsi" w:cstheme="minorHAnsi"/>
        </w:rPr>
        <w:t xml:space="preserve"> claim the full GP MBS items if they were working in an eligible practice location relevant to their program, specifically:</w:t>
      </w:r>
    </w:p>
    <w:p w14:paraId="785AAD60" w14:textId="4CCE9491" w:rsidR="00D616B4" w:rsidRPr="00D616B4" w:rsidRDefault="004B3890" w:rsidP="00AA5EBF">
      <w:pPr>
        <w:pStyle w:val="ListParagraph"/>
        <w:numPr>
          <w:ilvl w:val="0"/>
          <w:numId w:val="28"/>
        </w:numPr>
        <w:rPr>
          <w:rFonts w:asciiTheme="minorHAnsi" w:hAnsiTheme="minorHAnsi" w:cstheme="minorHAnsi"/>
        </w:rPr>
      </w:pPr>
      <w:r w:rsidRPr="00D616B4">
        <w:rPr>
          <w:rFonts w:asciiTheme="minorHAnsi" w:hAnsiTheme="minorHAnsi" w:cstheme="minorHAnsi"/>
        </w:rPr>
        <w:t>ROMPs Program participants must be practising in an eligible regional, rural or remote area defined using the Rural Remote Metropolitan Areas (RRMA) classification system;</w:t>
      </w:r>
    </w:p>
    <w:p w14:paraId="2AB0054F" w14:textId="26E105F4" w:rsidR="004B3890" w:rsidRDefault="004B3890" w:rsidP="00AA5EBF">
      <w:pPr>
        <w:pStyle w:val="ListParagraph"/>
        <w:numPr>
          <w:ilvl w:val="0"/>
          <w:numId w:val="28"/>
        </w:numPr>
        <w:rPr>
          <w:rFonts w:asciiTheme="minorHAnsi" w:hAnsiTheme="minorHAnsi" w:cstheme="minorHAnsi"/>
        </w:rPr>
      </w:pPr>
      <w:r>
        <w:rPr>
          <w:rFonts w:asciiTheme="minorHAnsi" w:hAnsiTheme="minorHAnsi" w:cstheme="minorHAnsi"/>
        </w:rPr>
        <w:t>AHOMPs Program participants can claim GP MBS items for non-urgent after-hours consultations and any urgent attendances performed during the unsociable after-hours period;</w:t>
      </w:r>
    </w:p>
    <w:p w14:paraId="21AE289A" w14:textId="11EAE039" w:rsidR="004B3890" w:rsidRDefault="004B3890" w:rsidP="00AA5EBF">
      <w:pPr>
        <w:pStyle w:val="ListParagraph"/>
        <w:numPr>
          <w:ilvl w:val="0"/>
          <w:numId w:val="28"/>
        </w:numPr>
        <w:rPr>
          <w:rFonts w:asciiTheme="minorHAnsi" w:hAnsiTheme="minorHAnsi" w:cstheme="minorHAnsi"/>
        </w:rPr>
      </w:pPr>
      <w:r>
        <w:rPr>
          <w:rFonts w:asciiTheme="minorHAnsi" w:hAnsiTheme="minorHAnsi" w:cstheme="minorHAnsi"/>
        </w:rPr>
        <w:t>OM-OMPs Program participants are doctors who were registered in Australia before</w:t>
      </w:r>
      <w:r w:rsidR="00F93950">
        <w:rPr>
          <w:rFonts w:asciiTheme="minorHAnsi" w:hAnsiTheme="minorHAnsi" w:cstheme="minorHAnsi"/>
        </w:rPr>
        <w:br/>
      </w:r>
      <w:r>
        <w:rPr>
          <w:rFonts w:asciiTheme="minorHAnsi" w:hAnsiTheme="minorHAnsi" w:cstheme="minorHAnsi"/>
        </w:rPr>
        <w:t>1 November 1996 and must be working in an outer metropolitan practice; and</w:t>
      </w:r>
    </w:p>
    <w:p w14:paraId="515A8858" w14:textId="3AA74C8C" w:rsidR="004B3890" w:rsidRPr="008168D8" w:rsidRDefault="004B3890" w:rsidP="00AA5EBF">
      <w:pPr>
        <w:pStyle w:val="ListParagraph"/>
        <w:numPr>
          <w:ilvl w:val="0"/>
          <w:numId w:val="28"/>
        </w:numPr>
        <w:rPr>
          <w:rFonts w:asciiTheme="minorHAnsi" w:hAnsiTheme="minorHAnsi" w:cstheme="minorHAnsi"/>
        </w:rPr>
      </w:pPr>
      <w:r>
        <w:rPr>
          <w:rFonts w:asciiTheme="minorHAnsi" w:hAnsiTheme="minorHAnsi" w:cstheme="minorHAnsi"/>
        </w:rPr>
        <w:t>MOMPs Program participants are also doctors who were</w:t>
      </w:r>
      <w:r w:rsidR="00F93950">
        <w:rPr>
          <w:rFonts w:asciiTheme="minorHAnsi" w:hAnsiTheme="minorHAnsi" w:cstheme="minorHAnsi"/>
        </w:rPr>
        <w:t xml:space="preserve"> registered in Australia before</w:t>
      </w:r>
      <w:r w:rsidR="00F93950">
        <w:rPr>
          <w:rFonts w:asciiTheme="minorHAnsi" w:hAnsiTheme="minorHAnsi" w:cstheme="minorHAnsi"/>
        </w:rPr>
        <w:br/>
      </w:r>
      <w:r>
        <w:rPr>
          <w:rFonts w:asciiTheme="minorHAnsi" w:hAnsiTheme="minorHAnsi" w:cstheme="minorHAnsi"/>
        </w:rPr>
        <w:t>1 November 1996 a</w:t>
      </w:r>
      <w:r w:rsidR="003E4624">
        <w:rPr>
          <w:rFonts w:asciiTheme="minorHAnsi" w:hAnsiTheme="minorHAnsi" w:cstheme="minorHAnsi"/>
        </w:rPr>
        <w:t>nd must be working in a DWS</w:t>
      </w:r>
      <w:r>
        <w:rPr>
          <w:rFonts w:asciiTheme="minorHAnsi" w:hAnsiTheme="minorHAnsi" w:cstheme="minorHAnsi"/>
        </w:rPr>
        <w:t xml:space="preserve"> for general practice. </w:t>
      </w:r>
    </w:p>
    <w:p w14:paraId="78CFFEF9" w14:textId="77777777" w:rsidR="004B3890" w:rsidRDefault="004B3890" w:rsidP="00833A78">
      <w:pPr>
        <w:rPr>
          <w:rFonts w:asciiTheme="minorHAnsi" w:hAnsiTheme="minorHAnsi" w:cstheme="minorHAnsi"/>
        </w:rPr>
      </w:pPr>
    </w:p>
    <w:p w14:paraId="68D14D2D" w14:textId="2829B88F" w:rsidR="00BC4FE1" w:rsidRDefault="00532072" w:rsidP="00833A78">
      <w:pPr>
        <w:rPr>
          <w:rFonts w:asciiTheme="minorHAnsi" w:hAnsiTheme="minorHAnsi" w:cstheme="minorHAnsi"/>
        </w:rPr>
      </w:pPr>
      <w:r>
        <w:rPr>
          <w:rFonts w:asciiTheme="minorHAnsi" w:hAnsiTheme="minorHAnsi" w:cstheme="minorHAnsi"/>
        </w:rPr>
        <w:t xml:space="preserve">The OMPs Programs </w:t>
      </w:r>
      <w:r w:rsidR="009463DF">
        <w:rPr>
          <w:rFonts w:asciiTheme="minorHAnsi" w:hAnsiTheme="minorHAnsi" w:cstheme="minorHAnsi"/>
        </w:rPr>
        <w:t xml:space="preserve">have addressed short-term workforce distribution concerns by allowing non-VR doctors to claim in these areas as if they were qualified GPs.  However, as MBS items in the GMST for non-VR doctors are not indexed for inflation, an increasing segment of the primary care workforce has become reliant on these programs. </w:t>
      </w:r>
    </w:p>
    <w:p w14:paraId="02A2D9AA" w14:textId="77777777" w:rsidR="00797388" w:rsidRDefault="00797388" w:rsidP="004C5645">
      <w:pPr>
        <w:rPr>
          <w:rFonts w:asciiTheme="minorHAnsi" w:hAnsiTheme="minorHAnsi" w:cstheme="minorHAnsi"/>
        </w:rPr>
      </w:pPr>
    </w:p>
    <w:p w14:paraId="2AD5030C" w14:textId="3AFC7860" w:rsidR="00C954F0" w:rsidRDefault="009463DF" w:rsidP="004C5645">
      <w:pPr>
        <w:rPr>
          <w:rFonts w:asciiTheme="minorHAnsi" w:hAnsiTheme="minorHAnsi" w:cstheme="minorHAnsi"/>
        </w:rPr>
      </w:pPr>
      <w:r w:rsidRPr="0052028F">
        <w:rPr>
          <w:rFonts w:asciiTheme="minorHAnsi" w:hAnsiTheme="minorHAnsi" w:cstheme="minorHAnsi"/>
        </w:rPr>
        <w:lastRenderedPageBreak/>
        <w:t xml:space="preserve">Close to 90 per </w:t>
      </w:r>
      <w:r w:rsidRPr="00717CFC">
        <w:rPr>
          <w:rFonts w:asciiTheme="minorHAnsi" w:hAnsiTheme="minorHAnsi" w:cstheme="minorHAnsi"/>
        </w:rPr>
        <w:t>cent of</w:t>
      </w:r>
      <w:r>
        <w:rPr>
          <w:rFonts w:asciiTheme="minorHAnsi" w:hAnsiTheme="minorHAnsi" w:cstheme="minorHAnsi"/>
        </w:rPr>
        <w:t xml:space="preserve"> </w:t>
      </w:r>
      <w:r w:rsidR="00BC4FE1">
        <w:rPr>
          <w:rFonts w:asciiTheme="minorHAnsi" w:hAnsiTheme="minorHAnsi" w:cstheme="minorHAnsi"/>
        </w:rPr>
        <w:t>all working</w:t>
      </w:r>
      <w:r w:rsidR="00BC4FE1" w:rsidRPr="00717CFC">
        <w:rPr>
          <w:rFonts w:asciiTheme="minorHAnsi" w:hAnsiTheme="minorHAnsi" w:cstheme="minorHAnsi"/>
        </w:rPr>
        <w:t xml:space="preserve"> </w:t>
      </w:r>
      <w:r w:rsidRPr="00717CFC">
        <w:rPr>
          <w:rFonts w:asciiTheme="minorHAnsi" w:hAnsiTheme="minorHAnsi" w:cstheme="minorHAnsi"/>
        </w:rPr>
        <w:t>non-VR doctors</w:t>
      </w:r>
      <w:r>
        <w:rPr>
          <w:rFonts w:asciiTheme="minorHAnsi" w:hAnsiTheme="minorHAnsi" w:cstheme="minorHAnsi"/>
        </w:rPr>
        <w:t xml:space="preserve"> claim</w:t>
      </w:r>
      <w:r w:rsidR="00BC4FE1">
        <w:rPr>
          <w:rFonts w:asciiTheme="minorHAnsi" w:hAnsiTheme="minorHAnsi" w:cstheme="minorHAnsi"/>
        </w:rPr>
        <w:t xml:space="preserve"> the</w:t>
      </w:r>
      <w:r>
        <w:rPr>
          <w:rFonts w:asciiTheme="minorHAnsi" w:hAnsiTheme="minorHAnsi" w:cstheme="minorHAnsi"/>
        </w:rPr>
        <w:t xml:space="preserve"> full GP MBS items through participation in an</w:t>
      </w:r>
      <w:r w:rsidRPr="00717CFC">
        <w:rPr>
          <w:rFonts w:asciiTheme="minorHAnsi" w:hAnsiTheme="minorHAnsi" w:cstheme="minorHAnsi"/>
        </w:rPr>
        <w:t xml:space="preserve"> OMP</w:t>
      </w:r>
      <w:r w:rsidR="000F232F">
        <w:rPr>
          <w:rFonts w:asciiTheme="minorHAnsi" w:hAnsiTheme="minorHAnsi" w:cstheme="minorHAnsi"/>
        </w:rPr>
        <w:t>s</w:t>
      </w:r>
      <w:r w:rsidRPr="00717CFC">
        <w:rPr>
          <w:rFonts w:asciiTheme="minorHAnsi" w:hAnsiTheme="minorHAnsi" w:cstheme="minorHAnsi"/>
        </w:rPr>
        <w:t xml:space="preserve"> </w:t>
      </w:r>
      <w:r>
        <w:rPr>
          <w:rFonts w:asciiTheme="minorHAnsi" w:hAnsiTheme="minorHAnsi" w:cstheme="minorHAnsi"/>
        </w:rPr>
        <w:t xml:space="preserve">Program.  An increasing segment of the workforce views the collective OMPs Program arrangements as mechanisms that address the lack of non-VR doctor item indexation </w:t>
      </w:r>
      <w:r w:rsidR="00E70764">
        <w:rPr>
          <w:rFonts w:asciiTheme="minorHAnsi" w:hAnsiTheme="minorHAnsi" w:cstheme="minorHAnsi"/>
        </w:rPr>
        <w:t>instead of being</w:t>
      </w:r>
      <w:r>
        <w:rPr>
          <w:rFonts w:asciiTheme="minorHAnsi" w:hAnsiTheme="minorHAnsi" w:cstheme="minorHAnsi"/>
        </w:rPr>
        <w:t xml:space="preserve"> incentive</w:t>
      </w:r>
      <w:r w:rsidR="00E70764">
        <w:rPr>
          <w:rFonts w:asciiTheme="minorHAnsi" w:hAnsiTheme="minorHAnsi" w:cstheme="minorHAnsi"/>
        </w:rPr>
        <w:t>s</w:t>
      </w:r>
      <w:r>
        <w:rPr>
          <w:rFonts w:asciiTheme="minorHAnsi" w:hAnsiTheme="minorHAnsi" w:cstheme="minorHAnsi"/>
        </w:rPr>
        <w:t xml:space="preserve"> t</w:t>
      </w:r>
      <w:r w:rsidR="00E70764">
        <w:rPr>
          <w:rFonts w:asciiTheme="minorHAnsi" w:hAnsiTheme="minorHAnsi" w:cstheme="minorHAnsi"/>
        </w:rPr>
        <w:t>hat promote</w:t>
      </w:r>
      <w:r>
        <w:rPr>
          <w:rFonts w:asciiTheme="minorHAnsi" w:hAnsiTheme="minorHAnsi" w:cstheme="minorHAnsi"/>
        </w:rPr>
        <w:t xml:space="preserve"> Fellowship.</w:t>
      </w:r>
    </w:p>
    <w:p w14:paraId="61FC4EAB" w14:textId="023AF4FB" w:rsidR="00C2369F" w:rsidRDefault="00C954F0" w:rsidP="004C5645">
      <w:pPr>
        <w:rPr>
          <w:rFonts w:asciiTheme="minorHAnsi" w:hAnsiTheme="minorHAnsi" w:cstheme="minorHAnsi"/>
        </w:rPr>
      </w:pPr>
      <w:r>
        <w:rPr>
          <w:rFonts w:asciiTheme="minorHAnsi" w:hAnsiTheme="minorHAnsi" w:cstheme="minorHAnsi"/>
        </w:rPr>
        <w:t xml:space="preserve"> </w:t>
      </w:r>
    </w:p>
    <w:p w14:paraId="5410185B" w14:textId="18DFEFB9" w:rsidR="004C5645" w:rsidRDefault="009463DF" w:rsidP="004C5645">
      <w:pPr>
        <w:rPr>
          <w:rFonts w:asciiTheme="minorHAnsi" w:hAnsiTheme="minorHAnsi" w:cstheme="minorHAnsi"/>
        </w:rPr>
      </w:pPr>
      <w:r>
        <w:rPr>
          <w:rFonts w:asciiTheme="minorHAnsi" w:hAnsiTheme="minorHAnsi" w:cstheme="minorHAnsi"/>
        </w:rPr>
        <w:t xml:space="preserve">Additionally, with the exception of the AHOMPs Program, the OMPs Programs do not </w:t>
      </w:r>
      <w:r w:rsidR="00E70764">
        <w:rPr>
          <w:rFonts w:asciiTheme="minorHAnsi" w:hAnsiTheme="minorHAnsi" w:cstheme="minorHAnsi"/>
        </w:rPr>
        <w:t xml:space="preserve">set formal participation timeframes.  </w:t>
      </w:r>
      <w:r w:rsidRPr="00717CFC">
        <w:rPr>
          <w:rFonts w:asciiTheme="minorHAnsi" w:hAnsiTheme="minorHAnsi" w:cstheme="minorHAnsi"/>
        </w:rPr>
        <w:t>Th</w:t>
      </w:r>
      <w:r w:rsidR="00E70764">
        <w:rPr>
          <w:rFonts w:asciiTheme="minorHAnsi" w:hAnsiTheme="minorHAnsi" w:cstheme="minorHAnsi"/>
        </w:rPr>
        <w:t>e lack of timeframes has</w:t>
      </w:r>
      <w:r>
        <w:rPr>
          <w:rFonts w:asciiTheme="minorHAnsi" w:hAnsiTheme="minorHAnsi" w:cstheme="minorHAnsi"/>
        </w:rPr>
        <w:t xml:space="preserve"> </w:t>
      </w:r>
      <w:r w:rsidR="00E70764">
        <w:rPr>
          <w:rFonts w:asciiTheme="minorHAnsi" w:hAnsiTheme="minorHAnsi" w:cstheme="minorHAnsi"/>
        </w:rPr>
        <w:t>c</w:t>
      </w:r>
      <w:r>
        <w:rPr>
          <w:rFonts w:asciiTheme="minorHAnsi" w:hAnsiTheme="minorHAnsi" w:cstheme="minorHAnsi"/>
        </w:rPr>
        <w:t>reate</w:t>
      </w:r>
      <w:r w:rsidR="00E70764">
        <w:rPr>
          <w:rFonts w:asciiTheme="minorHAnsi" w:hAnsiTheme="minorHAnsi" w:cstheme="minorHAnsi"/>
        </w:rPr>
        <w:t>d</w:t>
      </w:r>
      <w:r>
        <w:rPr>
          <w:rFonts w:asciiTheme="minorHAnsi" w:hAnsiTheme="minorHAnsi" w:cstheme="minorHAnsi"/>
        </w:rPr>
        <w:t xml:space="preserve"> a disincentive for participants </w:t>
      </w:r>
      <w:r w:rsidR="00FF4142">
        <w:rPr>
          <w:rFonts w:asciiTheme="minorHAnsi" w:hAnsiTheme="minorHAnsi" w:cstheme="minorHAnsi"/>
        </w:rPr>
        <w:t>to work towards</w:t>
      </w:r>
      <w:r>
        <w:rPr>
          <w:rFonts w:asciiTheme="minorHAnsi" w:hAnsiTheme="minorHAnsi" w:cstheme="minorHAnsi"/>
        </w:rPr>
        <w:t xml:space="preserve"> </w:t>
      </w:r>
      <w:r w:rsidRPr="00717CFC">
        <w:rPr>
          <w:rFonts w:asciiTheme="minorHAnsi" w:hAnsiTheme="minorHAnsi" w:cstheme="minorHAnsi"/>
        </w:rPr>
        <w:t xml:space="preserve">GP </w:t>
      </w:r>
      <w:r>
        <w:rPr>
          <w:rFonts w:asciiTheme="minorHAnsi" w:hAnsiTheme="minorHAnsi" w:cstheme="minorHAnsi"/>
        </w:rPr>
        <w:t>qualifications</w:t>
      </w:r>
      <w:r w:rsidRPr="00717CFC">
        <w:rPr>
          <w:rFonts w:asciiTheme="minorHAnsi" w:hAnsiTheme="minorHAnsi" w:cstheme="minorHAnsi"/>
        </w:rPr>
        <w:t xml:space="preserve"> and </w:t>
      </w:r>
      <w:r w:rsidR="00FF4142">
        <w:rPr>
          <w:rFonts w:asciiTheme="minorHAnsi" w:hAnsiTheme="minorHAnsi" w:cstheme="minorHAnsi"/>
        </w:rPr>
        <w:t>the programs</w:t>
      </w:r>
      <w:r>
        <w:rPr>
          <w:rFonts w:asciiTheme="minorHAnsi" w:hAnsiTheme="minorHAnsi" w:cstheme="minorHAnsi"/>
        </w:rPr>
        <w:t xml:space="preserve"> </w:t>
      </w:r>
      <w:r w:rsidRPr="00717CFC">
        <w:rPr>
          <w:rFonts w:asciiTheme="minorHAnsi" w:hAnsiTheme="minorHAnsi" w:cstheme="minorHAnsi"/>
        </w:rPr>
        <w:t>ha</w:t>
      </w:r>
      <w:r>
        <w:rPr>
          <w:rFonts w:asciiTheme="minorHAnsi" w:hAnsiTheme="minorHAnsi" w:cstheme="minorHAnsi"/>
        </w:rPr>
        <w:t xml:space="preserve">ve led to the </w:t>
      </w:r>
      <w:r w:rsidRPr="00717CFC">
        <w:rPr>
          <w:rFonts w:asciiTheme="minorHAnsi" w:hAnsiTheme="minorHAnsi" w:cstheme="minorHAnsi"/>
        </w:rPr>
        <w:t>generat</w:t>
      </w:r>
      <w:r>
        <w:rPr>
          <w:rFonts w:asciiTheme="minorHAnsi" w:hAnsiTheme="minorHAnsi" w:cstheme="minorHAnsi"/>
        </w:rPr>
        <w:t>ion of</w:t>
      </w:r>
      <w:r w:rsidRPr="00717CFC">
        <w:rPr>
          <w:rFonts w:asciiTheme="minorHAnsi" w:hAnsiTheme="minorHAnsi" w:cstheme="minorHAnsi"/>
        </w:rPr>
        <w:t xml:space="preserve"> opportunistic business models</w:t>
      </w:r>
      <w:r w:rsidR="004C5645">
        <w:rPr>
          <w:rFonts w:asciiTheme="minorHAnsi" w:hAnsiTheme="minorHAnsi" w:cstheme="minorHAnsi"/>
        </w:rPr>
        <w:t xml:space="preserve">. </w:t>
      </w:r>
      <w:r w:rsidR="004C5645" w:rsidRPr="004C5645">
        <w:rPr>
          <w:rFonts w:asciiTheme="minorHAnsi" w:hAnsiTheme="minorHAnsi" w:cstheme="minorHAnsi"/>
        </w:rPr>
        <w:t xml:space="preserve"> </w:t>
      </w:r>
      <w:r w:rsidR="004C5645">
        <w:rPr>
          <w:rFonts w:asciiTheme="minorHAnsi" w:hAnsiTheme="minorHAnsi" w:cstheme="minorHAnsi"/>
        </w:rPr>
        <w:t xml:space="preserve">An example that was addressed through the MBS Review Taskforce process was an increase in the use of MBS items for urgent after-hours home visits in metropolitan areas that significantly exceeded needs attributable to population growth. The Taskforce found that the structure of urgent after-hours items supported the provision of comparatively low-value health care and changes were made to the claiming rights of non-VR doctors working during this period, </w:t>
      </w:r>
      <w:r w:rsidR="004276B7">
        <w:rPr>
          <w:rFonts w:asciiTheme="minorHAnsi" w:hAnsiTheme="minorHAnsi" w:cstheme="minorHAnsi"/>
        </w:rPr>
        <w:t>including AHOMPs</w:t>
      </w:r>
      <w:r w:rsidR="004C5645">
        <w:rPr>
          <w:rFonts w:asciiTheme="minorHAnsi" w:hAnsiTheme="minorHAnsi" w:cstheme="minorHAnsi"/>
        </w:rPr>
        <w:t xml:space="preserve"> Program participants</w:t>
      </w:r>
      <w:r w:rsidR="004276B7">
        <w:rPr>
          <w:rFonts w:asciiTheme="minorHAnsi" w:hAnsiTheme="minorHAnsi" w:cstheme="minorHAnsi"/>
        </w:rPr>
        <w:t>.</w:t>
      </w:r>
    </w:p>
    <w:p w14:paraId="790F4672" w14:textId="44ECFA03" w:rsidR="004C5645" w:rsidRDefault="004C5645" w:rsidP="009463DF">
      <w:pPr>
        <w:rPr>
          <w:rFonts w:asciiTheme="minorHAnsi" w:hAnsiTheme="minorHAnsi" w:cstheme="minorHAnsi"/>
        </w:rPr>
      </w:pPr>
    </w:p>
    <w:p w14:paraId="1EC93EE1" w14:textId="5FEFECAE" w:rsidR="009463DF" w:rsidRDefault="004276B7" w:rsidP="009463DF">
      <w:pPr>
        <w:rPr>
          <w:rFonts w:asciiTheme="minorHAnsi" w:hAnsiTheme="minorHAnsi" w:cstheme="minorHAnsi"/>
        </w:rPr>
      </w:pPr>
      <w:r>
        <w:rPr>
          <w:rFonts w:asciiTheme="minorHAnsi" w:hAnsiTheme="minorHAnsi" w:cstheme="minorHAnsi"/>
        </w:rPr>
        <w:t xml:space="preserve">At a structural level, </w:t>
      </w:r>
      <w:r w:rsidR="004C5645">
        <w:rPr>
          <w:rFonts w:asciiTheme="minorHAnsi" w:hAnsiTheme="minorHAnsi" w:cstheme="minorHAnsi"/>
        </w:rPr>
        <w:t>n</w:t>
      </w:r>
      <w:r w:rsidR="009463DF">
        <w:rPr>
          <w:rFonts w:asciiTheme="minorHAnsi" w:hAnsiTheme="minorHAnsi" w:cstheme="minorHAnsi"/>
        </w:rPr>
        <w:t>on-VR</w:t>
      </w:r>
      <w:r w:rsidR="00BC4FE1">
        <w:rPr>
          <w:rFonts w:asciiTheme="minorHAnsi" w:hAnsiTheme="minorHAnsi" w:cstheme="minorHAnsi"/>
        </w:rPr>
        <w:t xml:space="preserve"> doctor</w:t>
      </w:r>
      <w:r w:rsidR="009463DF">
        <w:rPr>
          <w:rFonts w:asciiTheme="minorHAnsi" w:hAnsiTheme="minorHAnsi" w:cstheme="minorHAnsi"/>
        </w:rPr>
        <w:t xml:space="preserve">s </w:t>
      </w:r>
      <w:r w:rsidR="004C5645">
        <w:rPr>
          <w:rFonts w:asciiTheme="minorHAnsi" w:hAnsiTheme="minorHAnsi" w:cstheme="minorHAnsi"/>
        </w:rPr>
        <w:t xml:space="preserve">who </w:t>
      </w:r>
      <w:r w:rsidR="00FF4142">
        <w:rPr>
          <w:rFonts w:asciiTheme="minorHAnsi" w:hAnsiTheme="minorHAnsi" w:cstheme="minorHAnsi"/>
        </w:rPr>
        <w:t xml:space="preserve">enter </w:t>
      </w:r>
      <w:r w:rsidR="004C5645">
        <w:rPr>
          <w:rFonts w:asciiTheme="minorHAnsi" w:hAnsiTheme="minorHAnsi" w:cstheme="minorHAnsi"/>
        </w:rPr>
        <w:t>general practice under these types of</w:t>
      </w:r>
      <w:r w:rsidR="00FF4142">
        <w:rPr>
          <w:rFonts w:asciiTheme="minorHAnsi" w:hAnsiTheme="minorHAnsi" w:cstheme="minorHAnsi"/>
        </w:rPr>
        <w:t xml:space="preserve"> </w:t>
      </w:r>
      <w:r>
        <w:rPr>
          <w:rFonts w:asciiTheme="minorHAnsi" w:hAnsiTheme="minorHAnsi" w:cstheme="minorHAnsi"/>
        </w:rPr>
        <w:t xml:space="preserve">practice </w:t>
      </w:r>
      <w:r w:rsidR="004C5645">
        <w:rPr>
          <w:rFonts w:asciiTheme="minorHAnsi" w:hAnsiTheme="minorHAnsi" w:cstheme="minorHAnsi"/>
        </w:rPr>
        <w:t xml:space="preserve">models </w:t>
      </w:r>
      <w:r w:rsidR="009463DF">
        <w:rPr>
          <w:rFonts w:asciiTheme="minorHAnsi" w:hAnsiTheme="minorHAnsi" w:cstheme="minorHAnsi"/>
        </w:rPr>
        <w:t>are:</w:t>
      </w:r>
    </w:p>
    <w:p w14:paraId="42B4BF5A" w14:textId="03A5CF24" w:rsidR="00E70764" w:rsidRDefault="00FF4142" w:rsidP="00AA5EBF">
      <w:pPr>
        <w:pStyle w:val="ListParagraph"/>
        <w:numPr>
          <w:ilvl w:val="0"/>
          <w:numId w:val="29"/>
        </w:numPr>
        <w:rPr>
          <w:rFonts w:asciiTheme="minorHAnsi" w:hAnsiTheme="minorHAnsi" w:cstheme="minorHAnsi"/>
        </w:rPr>
      </w:pPr>
      <w:r>
        <w:rPr>
          <w:rFonts w:asciiTheme="minorHAnsi" w:hAnsiTheme="minorHAnsi" w:cstheme="minorHAnsi"/>
        </w:rPr>
        <w:t xml:space="preserve">subject to limits in their scope of clinical </w:t>
      </w:r>
      <w:r w:rsidR="00E70764">
        <w:rPr>
          <w:rFonts w:asciiTheme="minorHAnsi" w:hAnsiTheme="minorHAnsi" w:cstheme="minorHAnsi"/>
        </w:rPr>
        <w:t>experience</w:t>
      </w:r>
      <w:r>
        <w:rPr>
          <w:rFonts w:asciiTheme="minorHAnsi" w:hAnsiTheme="minorHAnsi" w:cstheme="minorHAnsi"/>
        </w:rPr>
        <w:t xml:space="preserve"> that are based on claimable MBS fee amounts instead of community needs</w:t>
      </w:r>
      <w:r w:rsidR="004C5645">
        <w:rPr>
          <w:rFonts w:asciiTheme="minorHAnsi" w:hAnsiTheme="minorHAnsi" w:cstheme="minorHAnsi"/>
        </w:rPr>
        <w:t>; and</w:t>
      </w:r>
    </w:p>
    <w:p w14:paraId="46FA24AB" w14:textId="5CA4339B" w:rsidR="00E70764" w:rsidRDefault="00E70764" w:rsidP="00AA5EBF">
      <w:pPr>
        <w:pStyle w:val="ListParagraph"/>
        <w:numPr>
          <w:ilvl w:val="0"/>
          <w:numId w:val="29"/>
        </w:numPr>
        <w:rPr>
          <w:rFonts w:asciiTheme="minorHAnsi" w:hAnsiTheme="minorHAnsi" w:cstheme="minorHAnsi"/>
        </w:rPr>
      </w:pPr>
      <w:r>
        <w:rPr>
          <w:rFonts w:asciiTheme="minorHAnsi" w:hAnsiTheme="minorHAnsi" w:cstheme="minorHAnsi"/>
        </w:rPr>
        <w:t xml:space="preserve">limited in their capacity to obtain </w:t>
      </w:r>
      <w:r w:rsidR="00BC4FE1">
        <w:rPr>
          <w:rFonts w:asciiTheme="minorHAnsi" w:hAnsiTheme="minorHAnsi" w:cstheme="minorHAnsi"/>
        </w:rPr>
        <w:t>the</w:t>
      </w:r>
      <w:r>
        <w:rPr>
          <w:rFonts w:asciiTheme="minorHAnsi" w:hAnsiTheme="minorHAnsi" w:cstheme="minorHAnsi"/>
        </w:rPr>
        <w:t xml:space="preserve"> broad range of clinical experience to assist their entry into formal general practice training and the attainment of a GP Fellowship qualification.  These doctors face a longer path to satisfying the VR standard set out under section 19AA of the HIA.</w:t>
      </w:r>
    </w:p>
    <w:p w14:paraId="225CA7AA" w14:textId="77777777" w:rsidR="00C62167" w:rsidRPr="008168D8" w:rsidRDefault="00C62167" w:rsidP="00C62167">
      <w:pPr>
        <w:pStyle w:val="ListParagraph"/>
        <w:rPr>
          <w:rFonts w:asciiTheme="minorHAnsi" w:hAnsiTheme="minorHAnsi" w:cstheme="minorHAnsi"/>
        </w:rPr>
      </w:pPr>
    </w:p>
    <w:p w14:paraId="0E0667EA" w14:textId="77777777" w:rsidR="00C954F0" w:rsidRDefault="009463DF" w:rsidP="00833A78">
      <w:pPr>
        <w:rPr>
          <w:rFonts w:asciiTheme="minorHAnsi" w:hAnsiTheme="minorHAnsi" w:cstheme="minorHAnsi"/>
        </w:rPr>
      </w:pPr>
      <w:r w:rsidRPr="00717CFC">
        <w:rPr>
          <w:rFonts w:asciiTheme="minorHAnsi" w:hAnsiTheme="minorHAnsi" w:cstheme="minorHAnsi"/>
        </w:rPr>
        <w:t>These models increase the cost to the health system through higher MBS billing and diagnostic referral rates. In 2016, non-VR doctors billed diagnostic procedures at almost twice the rate of VR GPs (94 per cent more services billed) and made 30 per cent more referrals (within their specific referral restrictions).</w:t>
      </w:r>
    </w:p>
    <w:p w14:paraId="266C12FE" w14:textId="5A4E6F08" w:rsidR="003E4624" w:rsidRDefault="00C954F0" w:rsidP="00833A78">
      <w:pPr>
        <w:rPr>
          <w:rFonts w:asciiTheme="minorHAnsi" w:hAnsiTheme="minorHAnsi" w:cstheme="minorHAnsi"/>
        </w:rPr>
      </w:pPr>
      <w:r>
        <w:rPr>
          <w:rFonts w:asciiTheme="minorHAnsi" w:hAnsiTheme="minorHAnsi" w:cstheme="minorHAnsi"/>
        </w:rPr>
        <w:t xml:space="preserve"> </w:t>
      </w:r>
    </w:p>
    <w:p w14:paraId="41D50480" w14:textId="77777777" w:rsidR="00C954F0" w:rsidRDefault="00321A18" w:rsidP="00833A78">
      <w:pPr>
        <w:rPr>
          <w:rFonts w:asciiTheme="minorHAnsi" w:hAnsiTheme="minorHAnsi" w:cstheme="minorHAnsi"/>
        </w:rPr>
      </w:pPr>
      <w:r w:rsidRPr="0038250C">
        <w:rPr>
          <w:rFonts w:asciiTheme="minorHAnsi" w:hAnsiTheme="minorHAnsi" w:cstheme="minorHAnsi"/>
        </w:rPr>
        <w:t>The current MBS</w:t>
      </w:r>
      <w:r>
        <w:rPr>
          <w:rFonts w:asciiTheme="minorHAnsi" w:hAnsiTheme="minorHAnsi" w:cstheme="minorHAnsi"/>
        </w:rPr>
        <w:t xml:space="preserve"> GP</w:t>
      </w:r>
      <w:r w:rsidRPr="0038250C">
        <w:rPr>
          <w:rFonts w:asciiTheme="minorHAnsi" w:hAnsiTheme="minorHAnsi" w:cstheme="minorHAnsi"/>
        </w:rPr>
        <w:t xml:space="preserve"> fee differential and related rural bulk-billing incentives require recalibration to reward </w:t>
      </w:r>
      <w:r>
        <w:rPr>
          <w:rFonts w:asciiTheme="minorHAnsi" w:hAnsiTheme="minorHAnsi" w:cstheme="minorHAnsi"/>
        </w:rPr>
        <w:t>VR doctors</w:t>
      </w:r>
      <w:r w:rsidRPr="0038250C">
        <w:rPr>
          <w:rFonts w:asciiTheme="minorHAnsi" w:hAnsiTheme="minorHAnsi" w:cstheme="minorHAnsi"/>
        </w:rPr>
        <w:t xml:space="preserve"> and</w:t>
      </w:r>
      <w:r>
        <w:rPr>
          <w:rFonts w:asciiTheme="minorHAnsi" w:hAnsiTheme="minorHAnsi" w:cstheme="minorHAnsi"/>
        </w:rPr>
        <w:t xml:space="preserve"> those</w:t>
      </w:r>
      <w:r w:rsidRPr="0038250C">
        <w:rPr>
          <w:rFonts w:asciiTheme="minorHAnsi" w:hAnsiTheme="minorHAnsi" w:cstheme="minorHAnsi"/>
        </w:rPr>
        <w:t xml:space="preserve"> who work in rural locations defined according to the latest geography standard - the</w:t>
      </w:r>
      <w:r>
        <w:rPr>
          <w:rFonts w:asciiTheme="minorHAnsi" w:hAnsiTheme="minorHAnsi" w:cstheme="minorHAnsi"/>
        </w:rPr>
        <w:t xml:space="preserve"> MMM</w:t>
      </w:r>
      <w:r w:rsidRPr="0038250C">
        <w:rPr>
          <w:rFonts w:asciiTheme="minorHAnsi" w:hAnsiTheme="minorHAnsi" w:cstheme="minorHAnsi"/>
        </w:rPr>
        <w:t xml:space="preserve">.  Consideration should also be given to expanding the rebate differential </w:t>
      </w:r>
      <w:r>
        <w:rPr>
          <w:rFonts w:asciiTheme="minorHAnsi" w:hAnsiTheme="minorHAnsi" w:cstheme="minorHAnsi"/>
        </w:rPr>
        <w:t xml:space="preserve">so that it applies uniformly to </w:t>
      </w:r>
      <w:r w:rsidRPr="0038250C">
        <w:rPr>
          <w:rFonts w:asciiTheme="minorHAnsi" w:hAnsiTheme="minorHAnsi" w:cstheme="minorHAnsi"/>
        </w:rPr>
        <w:t>standard</w:t>
      </w:r>
      <w:r>
        <w:rPr>
          <w:rFonts w:asciiTheme="minorHAnsi" w:hAnsiTheme="minorHAnsi" w:cstheme="minorHAnsi"/>
        </w:rPr>
        <w:t xml:space="preserve"> and non-standard</w:t>
      </w:r>
      <w:r w:rsidRPr="0038250C">
        <w:rPr>
          <w:rFonts w:asciiTheme="minorHAnsi" w:hAnsiTheme="minorHAnsi" w:cstheme="minorHAnsi"/>
        </w:rPr>
        <w:t xml:space="preserve"> general practice consultations </w:t>
      </w:r>
      <w:r>
        <w:rPr>
          <w:rFonts w:asciiTheme="minorHAnsi" w:hAnsiTheme="minorHAnsi" w:cstheme="minorHAnsi"/>
        </w:rPr>
        <w:t xml:space="preserve">to give clear encouragement to all </w:t>
      </w:r>
      <w:r w:rsidRPr="0038250C">
        <w:rPr>
          <w:rFonts w:asciiTheme="minorHAnsi" w:hAnsiTheme="minorHAnsi" w:cstheme="minorHAnsi"/>
        </w:rPr>
        <w:t>doctors to attain VR.</w:t>
      </w:r>
    </w:p>
    <w:p w14:paraId="6CB0E69A" w14:textId="46478C0F" w:rsidR="00521D4B" w:rsidRDefault="00C954F0" w:rsidP="00833A78">
      <w:pPr>
        <w:rPr>
          <w:rFonts w:asciiTheme="minorHAnsi" w:hAnsiTheme="minorHAnsi" w:cstheme="minorHAnsi"/>
          <w:u w:val="single"/>
        </w:rPr>
      </w:pPr>
      <w:r>
        <w:rPr>
          <w:rFonts w:asciiTheme="minorHAnsi" w:hAnsiTheme="minorHAnsi" w:cstheme="minorHAnsi"/>
          <w:u w:val="single"/>
        </w:rPr>
        <w:t xml:space="preserve"> </w:t>
      </w:r>
    </w:p>
    <w:p w14:paraId="2B8A50B2" w14:textId="01EE3B54" w:rsidR="003E4624" w:rsidRPr="006F3273" w:rsidRDefault="00703D99" w:rsidP="00833A78">
      <w:pPr>
        <w:rPr>
          <w:rFonts w:asciiTheme="minorHAnsi" w:hAnsiTheme="minorHAnsi" w:cstheme="minorHAnsi"/>
          <w:b/>
        </w:rPr>
      </w:pPr>
      <w:r w:rsidRPr="006F3273">
        <w:rPr>
          <w:rFonts w:asciiTheme="minorHAnsi" w:hAnsiTheme="minorHAnsi" w:cstheme="minorHAnsi"/>
          <w:b/>
        </w:rPr>
        <w:t>Medical w</w:t>
      </w:r>
      <w:r w:rsidR="000A318E" w:rsidRPr="006F3273">
        <w:rPr>
          <w:rFonts w:asciiTheme="minorHAnsi" w:hAnsiTheme="minorHAnsi" w:cstheme="minorHAnsi"/>
          <w:b/>
        </w:rPr>
        <w:t>orkforce maldistribution</w:t>
      </w:r>
    </w:p>
    <w:p w14:paraId="730DD9F2" w14:textId="209CC563" w:rsidR="00966720" w:rsidRDefault="000A318E" w:rsidP="007460E0">
      <w:pPr>
        <w:rPr>
          <w:rFonts w:asciiTheme="minorHAnsi" w:hAnsiTheme="minorHAnsi" w:cstheme="minorHAnsi"/>
        </w:rPr>
      </w:pPr>
      <w:r w:rsidRPr="008168D8">
        <w:rPr>
          <w:rFonts w:asciiTheme="minorHAnsi" w:hAnsiTheme="minorHAnsi" w:cstheme="minorHAnsi"/>
        </w:rPr>
        <w:t>The</w:t>
      </w:r>
      <w:r w:rsidR="00AF7B16" w:rsidRPr="005C363A">
        <w:rPr>
          <w:rFonts w:asciiTheme="minorHAnsi" w:hAnsiTheme="minorHAnsi" w:cstheme="minorHAnsi"/>
        </w:rPr>
        <w:t xml:space="preserve"> </w:t>
      </w:r>
      <w:r w:rsidRPr="008168D8">
        <w:rPr>
          <w:rFonts w:asciiTheme="minorHAnsi" w:hAnsiTheme="minorHAnsi" w:cstheme="minorHAnsi"/>
        </w:rPr>
        <w:t>G</w:t>
      </w:r>
      <w:r w:rsidR="00AF7B16" w:rsidRPr="005C363A">
        <w:rPr>
          <w:rFonts w:asciiTheme="minorHAnsi" w:hAnsiTheme="minorHAnsi" w:cstheme="minorHAnsi"/>
        </w:rPr>
        <w:t xml:space="preserve">overnment </w:t>
      </w:r>
      <w:r w:rsidRPr="008168D8">
        <w:rPr>
          <w:rFonts w:asciiTheme="minorHAnsi" w:hAnsiTheme="minorHAnsi" w:cstheme="minorHAnsi"/>
        </w:rPr>
        <w:t>has implemented several measures</w:t>
      </w:r>
      <w:r w:rsidR="00AF7B16" w:rsidRPr="005C363A">
        <w:rPr>
          <w:rFonts w:asciiTheme="minorHAnsi" w:hAnsiTheme="minorHAnsi" w:cstheme="minorHAnsi"/>
        </w:rPr>
        <w:t xml:space="preserve"> to </w:t>
      </w:r>
      <w:r w:rsidR="00042E4C" w:rsidRPr="008168D8">
        <w:rPr>
          <w:rFonts w:asciiTheme="minorHAnsi" w:hAnsiTheme="minorHAnsi" w:cstheme="minorHAnsi"/>
        </w:rPr>
        <w:t>improve the geographic</w:t>
      </w:r>
      <w:r w:rsidR="00AF7B16" w:rsidRPr="005C363A">
        <w:rPr>
          <w:rFonts w:asciiTheme="minorHAnsi" w:hAnsiTheme="minorHAnsi" w:cstheme="minorHAnsi"/>
        </w:rPr>
        <w:t xml:space="preserve"> distribution of the</w:t>
      </w:r>
      <w:r w:rsidR="00966720">
        <w:rPr>
          <w:rFonts w:asciiTheme="minorHAnsi" w:hAnsiTheme="minorHAnsi" w:cstheme="minorHAnsi"/>
        </w:rPr>
        <w:t xml:space="preserve"> health </w:t>
      </w:r>
      <w:r w:rsidR="00AF7B16" w:rsidRPr="005C363A">
        <w:rPr>
          <w:rFonts w:asciiTheme="minorHAnsi" w:hAnsiTheme="minorHAnsi" w:cstheme="minorHAnsi"/>
        </w:rPr>
        <w:t xml:space="preserve">workforce between metropolitan and regional and rural areas. </w:t>
      </w:r>
      <w:r w:rsidRPr="008168D8">
        <w:rPr>
          <w:rFonts w:asciiTheme="minorHAnsi" w:hAnsiTheme="minorHAnsi" w:cstheme="minorHAnsi"/>
        </w:rPr>
        <w:t xml:space="preserve"> </w:t>
      </w:r>
      <w:r w:rsidR="00966720">
        <w:rPr>
          <w:rFonts w:asciiTheme="minorHAnsi" w:hAnsiTheme="minorHAnsi" w:cstheme="minorHAnsi"/>
        </w:rPr>
        <w:t>In broad terms, the collective measures comprise a mix of:</w:t>
      </w:r>
    </w:p>
    <w:p w14:paraId="11E4A0BB" w14:textId="66B21291" w:rsidR="00966720" w:rsidRPr="001142F0" w:rsidRDefault="00966720" w:rsidP="00AA5EBF">
      <w:pPr>
        <w:pStyle w:val="ListParagraph"/>
        <w:numPr>
          <w:ilvl w:val="0"/>
          <w:numId w:val="40"/>
        </w:numPr>
        <w:rPr>
          <w:rFonts w:asciiTheme="minorHAnsi" w:hAnsiTheme="minorHAnsi" w:cstheme="minorHAnsi"/>
        </w:rPr>
      </w:pPr>
      <w:r w:rsidRPr="006F3273">
        <w:rPr>
          <w:rFonts w:asciiTheme="minorHAnsi" w:hAnsiTheme="minorHAnsi" w:cstheme="minorHAnsi"/>
        </w:rPr>
        <w:t>MBS eligibilit</w:t>
      </w:r>
      <w:r w:rsidRPr="001142F0">
        <w:rPr>
          <w:rFonts w:asciiTheme="minorHAnsi" w:hAnsiTheme="minorHAnsi" w:cstheme="minorHAnsi"/>
        </w:rPr>
        <w:t>y settings for doctors - primarily doctors working in general practice with some more limited arrangements applying to spec</w:t>
      </w:r>
      <w:r>
        <w:rPr>
          <w:rFonts w:asciiTheme="minorHAnsi" w:hAnsiTheme="minorHAnsi" w:cstheme="minorHAnsi"/>
        </w:rPr>
        <w:t>ialists and consultant physicians; and</w:t>
      </w:r>
    </w:p>
    <w:p w14:paraId="634FE51F" w14:textId="076F8CD4" w:rsidR="00966720" w:rsidRPr="00C62167" w:rsidRDefault="00966720" w:rsidP="00AA5EBF">
      <w:pPr>
        <w:pStyle w:val="ListParagraph"/>
        <w:numPr>
          <w:ilvl w:val="0"/>
          <w:numId w:val="40"/>
        </w:numPr>
        <w:rPr>
          <w:rFonts w:asciiTheme="minorHAnsi" w:hAnsiTheme="minorHAnsi" w:cstheme="minorHAnsi"/>
        </w:rPr>
      </w:pPr>
      <w:r>
        <w:rPr>
          <w:rFonts w:asciiTheme="minorHAnsi" w:hAnsiTheme="minorHAnsi" w:cstheme="minorHAnsi"/>
        </w:rPr>
        <w:t xml:space="preserve">several incentive arrangements that seek to increase the number of health professionals practising outside of the major cities and the structure of rural and remote medical practices.  These incentive programs also seek to influence the scope of care </w:t>
      </w:r>
      <w:r w:rsidR="00A81AB5">
        <w:rPr>
          <w:rFonts w:asciiTheme="minorHAnsi" w:hAnsiTheme="minorHAnsi" w:cstheme="minorHAnsi"/>
        </w:rPr>
        <w:t>being</w:t>
      </w:r>
      <w:r>
        <w:rPr>
          <w:rFonts w:asciiTheme="minorHAnsi" w:hAnsiTheme="minorHAnsi" w:cstheme="minorHAnsi"/>
        </w:rPr>
        <w:t xml:space="preserve"> offered to patients and</w:t>
      </w:r>
      <w:r w:rsidR="00A81AB5">
        <w:rPr>
          <w:rFonts w:asciiTheme="minorHAnsi" w:hAnsiTheme="minorHAnsi" w:cstheme="minorHAnsi"/>
        </w:rPr>
        <w:t>,</w:t>
      </w:r>
      <w:r>
        <w:rPr>
          <w:rFonts w:asciiTheme="minorHAnsi" w:hAnsiTheme="minorHAnsi" w:cstheme="minorHAnsi"/>
        </w:rPr>
        <w:t xml:space="preserve"> in particular</w:t>
      </w:r>
      <w:r w:rsidR="00A81AB5">
        <w:rPr>
          <w:rFonts w:asciiTheme="minorHAnsi" w:hAnsiTheme="minorHAnsi" w:cstheme="minorHAnsi"/>
        </w:rPr>
        <w:t>, improve access to</w:t>
      </w:r>
      <w:r>
        <w:rPr>
          <w:rFonts w:asciiTheme="minorHAnsi" w:hAnsiTheme="minorHAnsi" w:cstheme="minorHAnsi"/>
        </w:rPr>
        <w:t xml:space="preserve"> multidisciplinary </w:t>
      </w:r>
      <w:r w:rsidR="00A81AB5">
        <w:rPr>
          <w:rFonts w:asciiTheme="minorHAnsi" w:hAnsiTheme="minorHAnsi" w:cstheme="minorHAnsi"/>
        </w:rPr>
        <w:t xml:space="preserve">health care in rural and remote settings. </w:t>
      </w:r>
      <w:r>
        <w:rPr>
          <w:rFonts w:asciiTheme="minorHAnsi" w:hAnsiTheme="minorHAnsi" w:cstheme="minorHAnsi"/>
        </w:rPr>
        <w:t xml:space="preserve"> </w:t>
      </w:r>
    </w:p>
    <w:p w14:paraId="126431F8" w14:textId="77777777" w:rsidR="00C954F0" w:rsidRDefault="00A81AB5" w:rsidP="007460E0">
      <w:pPr>
        <w:rPr>
          <w:rFonts w:asciiTheme="minorHAnsi" w:hAnsiTheme="minorHAnsi" w:cstheme="minorHAnsi"/>
        </w:rPr>
      </w:pPr>
      <w:r>
        <w:rPr>
          <w:rFonts w:asciiTheme="minorHAnsi" w:hAnsiTheme="minorHAnsi" w:cstheme="minorHAnsi"/>
        </w:rPr>
        <w:lastRenderedPageBreak/>
        <w:t>As a preliminary concern, these</w:t>
      </w:r>
      <w:r w:rsidR="000A318E" w:rsidRPr="008168D8">
        <w:rPr>
          <w:rFonts w:asciiTheme="minorHAnsi" w:hAnsiTheme="minorHAnsi" w:cstheme="minorHAnsi"/>
        </w:rPr>
        <w:t xml:space="preserve"> activities</w:t>
      </w:r>
      <w:r>
        <w:rPr>
          <w:rFonts w:asciiTheme="minorHAnsi" w:hAnsiTheme="minorHAnsi" w:cstheme="minorHAnsi"/>
        </w:rPr>
        <w:t xml:space="preserve"> have been introduced over time and therefore do not currently conform to a consistent remoteness area classification.  This means some incentive payments, an example being the incen</w:t>
      </w:r>
      <w:r w:rsidR="0068349F">
        <w:rPr>
          <w:rFonts w:asciiTheme="minorHAnsi" w:hAnsiTheme="minorHAnsi" w:cstheme="minorHAnsi"/>
        </w:rPr>
        <w:t>tives offered through the MBS to subsidise</w:t>
      </w:r>
      <w:r>
        <w:rPr>
          <w:rFonts w:asciiTheme="minorHAnsi" w:hAnsiTheme="minorHAnsi" w:cstheme="minorHAnsi"/>
        </w:rPr>
        <w:t xml:space="preserve"> bulk-billed general practice consultations, are not</w:t>
      </w:r>
      <w:r w:rsidR="00F27995">
        <w:rPr>
          <w:rFonts w:asciiTheme="minorHAnsi" w:hAnsiTheme="minorHAnsi" w:cstheme="minorHAnsi"/>
        </w:rPr>
        <w:t xml:space="preserve"> uniformly</w:t>
      </w:r>
      <w:r>
        <w:rPr>
          <w:rFonts w:asciiTheme="minorHAnsi" w:hAnsiTheme="minorHAnsi" w:cstheme="minorHAnsi"/>
        </w:rPr>
        <w:t xml:space="preserve"> encouraging</w:t>
      </w:r>
      <w:r w:rsidR="00F27995">
        <w:rPr>
          <w:rFonts w:asciiTheme="minorHAnsi" w:hAnsiTheme="minorHAnsi" w:cstheme="minorHAnsi"/>
        </w:rPr>
        <w:t xml:space="preserve"> health professionals to practise in areas that currently have workforce shortage.</w:t>
      </w:r>
    </w:p>
    <w:p w14:paraId="01CFB992" w14:textId="44693006" w:rsidR="00C62167" w:rsidRDefault="00C954F0" w:rsidP="007460E0">
      <w:pPr>
        <w:rPr>
          <w:rFonts w:asciiTheme="minorHAnsi" w:hAnsiTheme="minorHAnsi" w:cstheme="minorHAnsi"/>
        </w:rPr>
      </w:pPr>
      <w:r>
        <w:rPr>
          <w:rFonts w:asciiTheme="minorHAnsi" w:hAnsiTheme="minorHAnsi" w:cstheme="minorHAnsi"/>
        </w:rPr>
        <w:t xml:space="preserve"> </w:t>
      </w:r>
    </w:p>
    <w:p w14:paraId="60C34734" w14:textId="77777777" w:rsidR="00C954F0" w:rsidRDefault="00F27995" w:rsidP="007460E0">
      <w:pPr>
        <w:rPr>
          <w:rFonts w:asciiTheme="minorHAnsi" w:hAnsiTheme="minorHAnsi" w:cstheme="minorHAnsi"/>
        </w:rPr>
      </w:pPr>
      <w:r>
        <w:rPr>
          <w:rFonts w:asciiTheme="minorHAnsi" w:hAnsiTheme="minorHAnsi" w:cstheme="minorHAnsi"/>
        </w:rPr>
        <w:t xml:space="preserve">While this is a concern, it is partially mitigated by the use of the DWS system to distribute doctors under these measures.  The DWS system </w:t>
      </w:r>
      <w:r w:rsidR="000A318E" w:rsidRPr="008168D8">
        <w:rPr>
          <w:rFonts w:asciiTheme="minorHAnsi" w:hAnsiTheme="minorHAnsi" w:cstheme="minorHAnsi"/>
        </w:rPr>
        <w:t>identif</w:t>
      </w:r>
      <w:r w:rsidR="00703D99">
        <w:rPr>
          <w:rFonts w:asciiTheme="minorHAnsi" w:hAnsiTheme="minorHAnsi" w:cstheme="minorHAnsi"/>
        </w:rPr>
        <w:t>ies</w:t>
      </w:r>
      <w:r w:rsidR="000A318E" w:rsidRPr="008168D8">
        <w:rPr>
          <w:rFonts w:asciiTheme="minorHAnsi" w:hAnsiTheme="minorHAnsi" w:cstheme="minorHAnsi"/>
        </w:rPr>
        <w:t xml:space="preserve"> communities that have the most significant</w:t>
      </w:r>
      <w:r w:rsidR="00703D99">
        <w:rPr>
          <w:rFonts w:asciiTheme="minorHAnsi" w:hAnsiTheme="minorHAnsi" w:cstheme="minorHAnsi"/>
        </w:rPr>
        <w:t xml:space="preserve"> medical</w:t>
      </w:r>
      <w:r w:rsidR="000A318E" w:rsidRPr="008168D8">
        <w:rPr>
          <w:rFonts w:asciiTheme="minorHAnsi" w:hAnsiTheme="minorHAnsi" w:cstheme="minorHAnsi"/>
        </w:rPr>
        <w:t xml:space="preserve"> shortages relative to the national average. </w:t>
      </w:r>
      <w:r>
        <w:rPr>
          <w:rFonts w:asciiTheme="minorHAnsi" w:hAnsiTheme="minorHAnsi" w:cstheme="minorHAnsi"/>
        </w:rPr>
        <w:t xml:space="preserve"> To ensure currency, </w:t>
      </w:r>
      <w:r w:rsidRPr="008168D8">
        <w:rPr>
          <w:rFonts w:asciiTheme="minorHAnsi" w:hAnsiTheme="minorHAnsi" w:cstheme="minorHAnsi"/>
        </w:rPr>
        <w:t>DWS</w:t>
      </w:r>
      <w:r>
        <w:rPr>
          <w:rFonts w:asciiTheme="minorHAnsi" w:hAnsiTheme="minorHAnsi" w:cstheme="minorHAnsi"/>
        </w:rPr>
        <w:t xml:space="preserve"> determinations are updated annually and refer to the latest </w:t>
      </w:r>
      <w:r w:rsidR="00301C1E">
        <w:rPr>
          <w:rFonts w:asciiTheme="minorHAnsi" w:hAnsiTheme="minorHAnsi" w:cstheme="minorHAnsi"/>
        </w:rPr>
        <w:t xml:space="preserve">residential population </w:t>
      </w:r>
      <w:r w:rsidR="00703D99">
        <w:rPr>
          <w:rFonts w:asciiTheme="minorHAnsi" w:hAnsiTheme="minorHAnsi" w:cstheme="minorHAnsi"/>
        </w:rPr>
        <w:t>estimate</w:t>
      </w:r>
      <w:r w:rsidR="00301C1E">
        <w:rPr>
          <w:rFonts w:asciiTheme="minorHAnsi" w:hAnsiTheme="minorHAnsi" w:cstheme="minorHAnsi"/>
        </w:rPr>
        <w:t xml:space="preserve">s </w:t>
      </w:r>
      <w:r>
        <w:rPr>
          <w:rFonts w:asciiTheme="minorHAnsi" w:hAnsiTheme="minorHAnsi" w:cstheme="minorHAnsi"/>
        </w:rPr>
        <w:t xml:space="preserve">from the Australian Bureau of Statistics </w:t>
      </w:r>
      <w:r w:rsidR="00301C1E">
        <w:rPr>
          <w:rFonts w:asciiTheme="minorHAnsi" w:hAnsiTheme="minorHAnsi" w:cstheme="minorHAnsi"/>
        </w:rPr>
        <w:t>and MBS billing data.</w:t>
      </w:r>
    </w:p>
    <w:p w14:paraId="79D9DB69" w14:textId="19BC1D78" w:rsidR="00F27995" w:rsidRDefault="00C954F0" w:rsidP="007460E0">
      <w:pPr>
        <w:rPr>
          <w:rFonts w:asciiTheme="minorHAnsi" w:hAnsiTheme="minorHAnsi" w:cstheme="minorHAnsi"/>
        </w:rPr>
      </w:pPr>
      <w:r>
        <w:rPr>
          <w:rFonts w:asciiTheme="minorHAnsi" w:hAnsiTheme="minorHAnsi" w:cstheme="minorHAnsi"/>
        </w:rPr>
        <w:t xml:space="preserve"> </w:t>
      </w:r>
    </w:p>
    <w:p w14:paraId="0DA66E0E" w14:textId="737A4E37" w:rsidR="000616B7" w:rsidRPr="008168D8" w:rsidRDefault="00301C1E" w:rsidP="007460E0">
      <w:pPr>
        <w:rPr>
          <w:rFonts w:asciiTheme="minorHAnsi" w:hAnsiTheme="minorHAnsi" w:cstheme="minorHAnsi"/>
        </w:rPr>
      </w:pPr>
      <w:r>
        <w:rPr>
          <w:rFonts w:asciiTheme="minorHAnsi" w:hAnsiTheme="minorHAnsi" w:cstheme="minorHAnsi"/>
        </w:rPr>
        <w:t xml:space="preserve">While not a workforce planning tool, DWS is an effective mechanism for examining the current distribution of doctors in private settings and determining short-term distribution priorities for this segment of the workforce.   </w:t>
      </w:r>
      <w:r w:rsidR="000616B7" w:rsidRPr="008168D8">
        <w:rPr>
          <w:rFonts w:asciiTheme="minorHAnsi" w:hAnsiTheme="minorHAnsi" w:cstheme="minorHAnsi"/>
        </w:rPr>
        <w:t xml:space="preserve">DWS determinations </w:t>
      </w:r>
      <w:r w:rsidR="00636814">
        <w:rPr>
          <w:rFonts w:asciiTheme="minorHAnsi" w:hAnsiTheme="minorHAnsi" w:cstheme="minorHAnsi"/>
        </w:rPr>
        <w:t>are made</w:t>
      </w:r>
      <w:r w:rsidR="00636814" w:rsidRPr="00636814">
        <w:rPr>
          <w:rFonts w:asciiTheme="minorHAnsi" w:hAnsiTheme="minorHAnsi" w:cstheme="minorHAnsi"/>
        </w:rPr>
        <w:t xml:space="preserve"> for all medical specialties </w:t>
      </w:r>
      <w:r w:rsidR="000616B7" w:rsidRPr="008168D8">
        <w:rPr>
          <w:rFonts w:asciiTheme="minorHAnsi" w:hAnsiTheme="minorHAnsi" w:cstheme="minorHAnsi"/>
        </w:rPr>
        <w:t>and Health supports recruitment and medical workforce planning activities by making these classifications available to the public through the DoctorConnect website (</w:t>
      </w:r>
      <w:r w:rsidR="004E6DE0">
        <w:rPr>
          <w:rStyle w:val="Hyperlink"/>
          <w:rFonts w:asciiTheme="minorHAnsi" w:hAnsiTheme="minorHAnsi" w:cstheme="minorHAnsi"/>
        </w:rPr>
        <w:t>www.doctorconnect.gov.au</w:t>
      </w:r>
      <w:r w:rsidR="000616B7" w:rsidRPr="008168D8">
        <w:rPr>
          <w:rFonts w:asciiTheme="minorHAnsi" w:hAnsiTheme="minorHAnsi" w:cstheme="minorHAnsi"/>
        </w:rPr>
        <w:t xml:space="preserve">). </w:t>
      </w:r>
    </w:p>
    <w:p w14:paraId="2A771967" w14:textId="77777777" w:rsidR="000616B7" w:rsidRDefault="000616B7" w:rsidP="007460E0">
      <w:pPr>
        <w:rPr>
          <w:rFonts w:asciiTheme="minorHAnsi" w:hAnsiTheme="minorHAnsi" w:cstheme="minorHAnsi"/>
          <w:highlight w:val="yellow"/>
        </w:rPr>
      </w:pPr>
    </w:p>
    <w:p w14:paraId="1669216B" w14:textId="25E9A878" w:rsidR="00B7619F" w:rsidRPr="008168D8" w:rsidRDefault="000616B7" w:rsidP="007460E0">
      <w:pPr>
        <w:rPr>
          <w:rFonts w:asciiTheme="minorHAnsi" w:hAnsiTheme="minorHAnsi" w:cstheme="minorHAnsi"/>
        </w:rPr>
      </w:pPr>
      <w:r w:rsidRPr="008168D8">
        <w:rPr>
          <w:rFonts w:asciiTheme="minorHAnsi" w:hAnsiTheme="minorHAnsi" w:cstheme="minorHAnsi"/>
        </w:rPr>
        <w:t xml:space="preserve">Key workforce </w:t>
      </w:r>
      <w:r w:rsidR="000A318E" w:rsidRPr="008168D8">
        <w:rPr>
          <w:rFonts w:asciiTheme="minorHAnsi" w:hAnsiTheme="minorHAnsi" w:cstheme="minorHAnsi"/>
        </w:rPr>
        <w:t>distribution programs</w:t>
      </w:r>
      <w:r w:rsidRPr="008168D8">
        <w:rPr>
          <w:rFonts w:asciiTheme="minorHAnsi" w:hAnsiTheme="minorHAnsi" w:cstheme="minorHAnsi"/>
        </w:rPr>
        <w:t xml:space="preserve"> that</w:t>
      </w:r>
      <w:r w:rsidR="00B7619F" w:rsidRPr="008168D8">
        <w:rPr>
          <w:rFonts w:asciiTheme="minorHAnsi" w:hAnsiTheme="minorHAnsi" w:cstheme="minorHAnsi"/>
        </w:rPr>
        <w:t xml:space="preserve"> target the recruitment of doctors into </w:t>
      </w:r>
      <w:r w:rsidRPr="007506D9">
        <w:rPr>
          <w:rFonts w:asciiTheme="minorHAnsi" w:hAnsiTheme="minorHAnsi" w:cstheme="minorHAnsi"/>
        </w:rPr>
        <w:t>recognised</w:t>
      </w:r>
      <w:r w:rsidRPr="008168D8">
        <w:rPr>
          <w:rFonts w:asciiTheme="minorHAnsi" w:hAnsiTheme="minorHAnsi" w:cstheme="minorHAnsi"/>
        </w:rPr>
        <w:t xml:space="preserve"> DWS areas are</w:t>
      </w:r>
      <w:r w:rsidR="00321A18">
        <w:rPr>
          <w:rFonts w:asciiTheme="minorHAnsi" w:hAnsiTheme="minorHAnsi" w:cstheme="minorHAnsi"/>
        </w:rPr>
        <w:t>:</w:t>
      </w:r>
    </w:p>
    <w:p w14:paraId="33F12281" w14:textId="59EC4AB0" w:rsidR="00B7619F" w:rsidRPr="008168D8" w:rsidRDefault="00966720" w:rsidP="00AA5EBF">
      <w:pPr>
        <w:pStyle w:val="ListParagraph"/>
        <w:numPr>
          <w:ilvl w:val="0"/>
          <w:numId w:val="30"/>
        </w:numPr>
        <w:rPr>
          <w:rFonts w:asciiTheme="minorHAnsi" w:hAnsiTheme="minorHAnsi" w:cstheme="minorHAnsi"/>
        </w:rPr>
      </w:pPr>
      <w:r>
        <w:rPr>
          <w:rFonts w:asciiTheme="minorHAnsi" w:hAnsiTheme="minorHAnsi" w:cstheme="minorHAnsi"/>
        </w:rPr>
        <w:t>s</w:t>
      </w:r>
      <w:r w:rsidR="00B7619F" w:rsidRPr="008168D8">
        <w:rPr>
          <w:rFonts w:asciiTheme="minorHAnsi" w:hAnsiTheme="minorHAnsi" w:cstheme="minorHAnsi"/>
        </w:rPr>
        <w:t xml:space="preserve">ection 19AB of the HIA, which places a ten year moratorium on the MBS eligibility of OTDs and foreign graduates of an accredited medical school (doctors who enrolled as temporary residents at an Australian Medical Council-accredited medical school).  Doctors who are subject to the moratorium must </w:t>
      </w:r>
      <w:r w:rsidR="0068349F">
        <w:rPr>
          <w:rFonts w:asciiTheme="minorHAnsi" w:hAnsiTheme="minorHAnsi" w:cstheme="minorHAnsi"/>
        </w:rPr>
        <w:t>obtain</w:t>
      </w:r>
      <w:r w:rsidR="00B7619F" w:rsidRPr="008168D8">
        <w:rPr>
          <w:rFonts w:asciiTheme="minorHAnsi" w:hAnsiTheme="minorHAnsi" w:cstheme="minorHAnsi"/>
        </w:rPr>
        <w:t xml:space="preserve"> Health approval before obtaining a Medicare provider number and the key consideration for approving requests is DWS work, with some metropolitan considerations for trainees and after-hours engagements.</w:t>
      </w:r>
    </w:p>
    <w:p w14:paraId="34354874" w14:textId="77777777" w:rsidR="00C954F0" w:rsidRDefault="00321A18" w:rsidP="00C954F0">
      <w:pPr>
        <w:pStyle w:val="ListParagraph"/>
        <w:numPr>
          <w:ilvl w:val="0"/>
          <w:numId w:val="30"/>
        </w:numPr>
        <w:rPr>
          <w:rFonts w:asciiTheme="minorHAnsi" w:hAnsiTheme="minorHAnsi" w:cstheme="minorHAnsi"/>
        </w:rPr>
      </w:pPr>
      <w:r>
        <w:rPr>
          <w:rFonts w:asciiTheme="minorHAnsi" w:hAnsiTheme="minorHAnsi" w:cstheme="minorHAnsi"/>
        </w:rPr>
        <w:t>t</w:t>
      </w:r>
      <w:r w:rsidR="00B7619F" w:rsidRPr="008168D8">
        <w:rPr>
          <w:rFonts w:asciiTheme="minorHAnsi" w:hAnsiTheme="minorHAnsi" w:cstheme="minorHAnsi"/>
        </w:rPr>
        <w:t>he bonded medical programs</w:t>
      </w:r>
      <w:r w:rsidR="00F75463">
        <w:rPr>
          <w:rFonts w:asciiTheme="minorHAnsi" w:hAnsiTheme="minorHAnsi" w:cstheme="minorHAnsi"/>
        </w:rPr>
        <w:t xml:space="preserve"> – the </w:t>
      </w:r>
      <w:r w:rsidR="00F75463" w:rsidRPr="008F27C6">
        <w:rPr>
          <w:rFonts w:asciiTheme="minorHAnsi" w:hAnsiTheme="minorHAnsi" w:cstheme="minorHAnsi"/>
          <w:lang w:eastAsia="en-AU"/>
        </w:rPr>
        <w:t>Bonded Medical Places (BMP) Scheme, and the Medical Rural Bonded Scholarship (MRBS) Scheme</w:t>
      </w:r>
      <w:r w:rsidR="00F75463">
        <w:rPr>
          <w:rFonts w:asciiTheme="minorHAnsi" w:hAnsiTheme="minorHAnsi" w:cstheme="minorHAnsi"/>
        </w:rPr>
        <w:t xml:space="preserve"> – wh</w:t>
      </w:r>
      <w:r w:rsidR="00B7619F" w:rsidRPr="008168D8">
        <w:rPr>
          <w:rFonts w:asciiTheme="minorHAnsi" w:hAnsiTheme="minorHAnsi" w:cstheme="minorHAnsi"/>
        </w:rPr>
        <w:t>ich provide</w:t>
      </w:r>
      <w:r w:rsidR="00B7619F" w:rsidRPr="005C363A">
        <w:rPr>
          <w:rFonts w:asciiTheme="minorHAnsi" w:hAnsiTheme="minorHAnsi" w:cstheme="minorHAnsi"/>
        </w:rPr>
        <w:t xml:space="preserve"> Australian students with a</w:t>
      </w:r>
      <w:r w:rsidR="00B7619F" w:rsidRPr="008168D8">
        <w:rPr>
          <w:rFonts w:asciiTheme="minorHAnsi" w:hAnsiTheme="minorHAnsi" w:cstheme="minorHAnsi"/>
        </w:rPr>
        <w:t xml:space="preserve"> place in</w:t>
      </w:r>
      <w:r w:rsidR="00B7619F" w:rsidRPr="005C363A">
        <w:rPr>
          <w:rFonts w:asciiTheme="minorHAnsi" w:hAnsiTheme="minorHAnsi" w:cstheme="minorHAnsi"/>
        </w:rPr>
        <w:t xml:space="preserve"> a medical degree in</w:t>
      </w:r>
      <w:r w:rsidR="00B7619F" w:rsidRPr="008168D8">
        <w:rPr>
          <w:rFonts w:asciiTheme="minorHAnsi" w:hAnsiTheme="minorHAnsi" w:cstheme="minorHAnsi"/>
        </w:rPr>
        <w:t xml:space="preserve"> re</w:t>
      </w:r>
      <w:r w:rsidR="000616B7" w:rsidRPr="005C363A">
        <w:rPr>
          <w:rFonts w:asciiTheme="minorHAnsi" w:hAnsiTheme="minorHAnsi" w:cstheme="minorHAnsi"/>
        </w:rPr>
        <w:t xml:space="preserve">turn for a commitment to </w:t>
      </w:r>
      <w:r w:rsidR="000616B7" w:rsidRPr="00E0002F">
        <w:rPr>
          <w:rFonts w:asciiTheme="minorHAnsi" w:hAnsiTheme="minorHAnsi" w:cstheme="minorHAnsi"/>
        </w:rPr>
        <w:t>practis</w:t>
      </w:r>
      <w:r w:rsidR="00B7619F" w:rsidRPr="00E0002F">
        <w:rPr>
          <w:rFonts w:asciiTheme="minorHAnsi" w:hAnsiTheme="minorHAnsi" w:cstheme="minorHAnsi"/>
        </w:rPr>
        <w:t>e</w:t>
      </w:r>
      <w:r w:rsidR="00B7619F" w:rsidRPr="008168D8">
        <w:rPr>
          <w:rFonts w:asciiTheme="minorHAnsi" w:hAnsiTheme="minorHAnsi" w:cstheme="minorHAnsi"/>
        </w:rPr>
        <w:t xml:space="preserve"> in </w:t>
      </w:r>
      <w:r w:rsidR="00B7619F" w:rsidRPr="005C363A">
        <w:rPr>
          <w:rFonts w:asciiTheme="minorHAnsi" w:hAnsiTheme="minorHAnsi" w:cstheme="minorHAnsi"/>
        </w:rPr>
        <w:t xml:space="preserve">DWS areas for a specified period upon completing their Fellowship.  While the return of service period is not uniform across the current bonded arrangements, the return of service commences once the doctor is a fully qualified GP, specialist or consultant physician.  </w:t>
      </w:r>
      <w:r w:rsidR="000616B7" w:rsidRPr="005C363A">
        <w:rPr>
          <w:rFonts w:asciiTheme="minorHAnsi" w:hAnsiTheme="minorHAnsi" w:cstheme="minorHAnsi"/>
        </w:rPr>
        <w:t>These commitments are structured to provide underserviced communities with access to fully-qualified care providers.</w:t>
      </w:r>
    </w:p>
    <w:p w14:paraId="24189B06" w14:textId="77777777" w:rsidR="00C954F0" w:rsidRDefault="00C954F0" w:rsidP="00C954F0">
      <w:pPr>
        <w:rPr>
          <w:rFonts w:asciiTheme="minorHAnsi" w:hAnsiTheme="minorHAnsi" w:cstheme="minorHAnsi"/>
        </w:rPr>
      </w:pPr>
    </w:p>
    <w:p w14:paraId="68937446" w14:textId="53E21A52" w:rsidR="00C954F0" w:rsidRPr="00C954F0" w:rsidRDefault="005F1910" w:rsidP="00C954F0">
      <w:pPr>
        <w:rPr>
          <w:rFonts w:asciiTheme="minorHAnsi" w:hAnsiTheme="minorHAnsi" w:cstheme="minorHAnsi"/>
        </w:rPr>
      </w:pPr>
      <w:r w:rsidRPr="00C954F0">
        <w:rPr>
          <w:rFonts w:asciiTheme="minorHAnsi" w:hAnsiTheme="minorHAnsi" w:cstheme="minorHAnsi"/>
        </w:rPr>
        <w:t>Although</w:t>
      </w:r>
      <w:r w:rsidR="00325801" w:rsidRPr="00C954F0">
        <w:rPr>
          <w:rFonts w:asciiTheme="minorHAnsi" w:hAnsiTheme="minorHAnsi" w:cstheme="minorHAnsi"/>
        </w:rPr>
        <w:t xml:space="preserve"> th</w:t>
      </w:r>
      <w:r w:rsidR="0065323A" w:rsidRPr="00C954F0">
        <w:rPr>
          <w:rFonts w:asciiTheme="minorHAnsi" w:hAnsiTheme="minorHAnsi" w:cstheme="minorHAnsi"/>
        </w:rPr>
        <w:t>e</w:t>
      </w:r>
      <w:r w:rsidR="00325801" w:rsidRPr="00C954F0">
        <w:rPr>
          <w:rFonts w:asciiTheme="minorHAnsi" w:hAnsiTheme="minorHAnsi" w:cstheme="minorHAnsi"/>
        </w:rPr>
        <w:t>s</w:t>
      </w:r>
      <w:r w:rsidR="0065323A" w:rsidRPr="00C954F0">
        <w:rPr>
          <w:rFonts w:asciiTheme="minorHAnsi" w:hAnsiTheme="minorHAnsi" w:cstheme="minorHAnsi"/>
        </w:rPr>
        <w:t>e</w:t>
      </w:r>
      <w:r w:rsidR="00325801" w:rsidRPr="00C954F0">
        <w:rPr>
          <w:rFonts w:asciiTheme="minorHAnsi" w:hAnsiTheme="minorHAnsi" w:cstheme="minorHAnsi"/>
        </w:rPr>
        <w:t xml:space="preserve"> measure</w:t>
      </w:r>
      <w:r w:rsidR="0065323A" w:rsidRPr="00C954F0">
        <w:rPr>
          <w:rFonts w:asciiTheme="minorHAnsi" w:hAnsiTheme="minorHAnsi" w:cstheme="minorHAnsi"/>
        </w:rPr>
        <w:t>s</w:t>
      </w:r>
      <w:r w:rsidR="00325801" w:rsidRPr="00C954F0">
        <w:rPr>
          <w:rFonts w:asciiTheme="minorHAnsi" w:hAnsiTheme="minorHAnsi" w:cstheme="minorHAnsi"/>
        </w:rPr>
        <w:t xml:space="preserve"> ha</w:t>
      </w:r>
      <w:r w:rsidR="0065323A" w:rsidRPr="00C954F0">
        <w:rPr>
          <w:rFonts w:asciiTheme="minorHAnsi" w:hAnsiTheme="minorHAnsi" w:cstheme="minorHAnsi"/>
        </w:rPr>
        <w:t xml:space="preserve">ve maintained a clear distribution focus and have supported some improvement in the geographic distribution of doctors, they have </w:t>
      </w:r>
      <w:r w:rsidR="00325801" w:rsidRPr="00C954F0">
        <w:rPr>
          <w:rFonts w:asciiTheme="minorHAnsi" w:hAnsiTheme="minorHAnsi" w:cstheme="minorHAnsi"/>
        </w:rPr>
        <w:t>not achieved parity</w:t>
      </w:r>
      <w:r w:rsidR="00321A18" w:rsidRPr="00C954F0">
        <w:rPr>
          <w:rFonts w:asciiTheme="minorHAnsi" w:hAnsiTheme="minorHAnsi" w:cstheme="minorHAnsi"/>
        </w:rPr>
        <w:t xml:space="preserve"> in </w:t>
      </w:r>
      <w:r w:rsidR="00301C1E" w:rsidRPr="00C954F0">
        <w:rPr>
          <w:rFonts w:asciiTheme="minorHAnsi" w:hAnsiTheme="minorHAnsi" w:cstheme="minorHAnsi"/>
        </w:rPr>
        <w:t xml:space="preserve">medical service </w:t>
      </w:r>
      <w:r w:rsidR="00321A18" w:rsidRPr="00C954F0">
        <w:rPr>
          <w:rFonts w:asciiTheme="minorHAnsi" w:hAnsiTheme="minorHAnsi" w:cstheme="minorHAnsi"/>
        </w:rPr>
        <w:t>access</w:t>
      </w:r>
      <w:r w:rsidR="00325801" w:rsidRPr="00C954F0">
        <w:rPr>
          <w:rFonts w:asciiTheme="minorHAnsi" w:hAnsiTheme="minorHAnsi" w:cstheme="minorHAnsi"/>
        </w:rPr>
        <w:t xml:space="preserve"> between rural and metrop</w:t>
      </w:r>
      <w:r w:rsidRPr="00C954F0">
        <w:rPr>
          <w:rFonts w:asciiTheme="minorHAnsi" w:hAnsiTheme="minorHAnsi" w:cstheme="minorHAnsi"/>
        </w:rPr>
        <w:t>olitan locations</w:t>
      </w:r>
      <w:r w:rsidR="001A609E" w:rsidRPr="00C954F0">
        <w:rPr>
          <w:rFonts w:asciiTheme="minorHAnsi" w:hAnsiTheme="minorHAnsi" w:cstheme="minorHAnsi"/>
        </w:rPr>
        <w:t>.</w:t>
      </w:r>
    </w:p>
    <w:p w14:paraId="655962BF" w14:textId="5C84AAA5" w:rsidR="00C2369F" w:rsidRDefault="00C954F0" w:rsidP="00CB68F7">
      <w:pPr>
        <w:rPr>
          <w:rFonts w:asciiTheme="minorHAnsi" w:hAnsiTheme="minorHAnsi" w:cstheme="minorHAnsi"/>
        </w:rPr>
      </w:pPr>
      <w:r>
        <w:rPr>
          <w:rFonts w:asciiTheme="minorHAnsi" w:hAnsiTheme="minorHAnsi" w:cstheme="minorHAnsi"/>
        </w:rPr>
        <w:t xml:space="preserve"> </w:t>
      </w:r>
    </w:p>
    <w:p w14:paraId="37781485" w14:textId="711C4A40" w:rsidR="00321A18" w:rsidRDefault="00321A18" w:rsidP="00CB68F7">
      <w:pPr>
        <w:rPr>
          <w:rFonts w:asciiTheme="minorHAnsi" w:hAnsiTheme="minorHAnsi" w:cstheme="minorHAnsi"/>
        </w:rPr>
      </w:pPr>
      <w:r w:rsidRPr="008168D8">
        <w:rPr>
          <w:rFonts w:asciiTheme="minorHAnsi" w:hAnsiTheme="minorHAnsi" w:cstheme="minorHAnsi"/>
        </w:rPr>
        <w:t xml:space="preserve">Further, </w:t>
      </w:r>
      <w:r>
        <w:rPr>
          <w:rFonts w:asciiTheme="minorHAnsi" w:hAnsiTheme="minorHAnsi" w:cstheme="minorHAnsi"/>
        </w:rPr>
        <w:t>the section 19AB rules</w:t>
      </w:r>
      <w:r w:rsidR="00CF0C32">
        <w:rPr>
          <w:rFonts w:asciiTheme="minorHAnsi" w:hAnsiTheme="minorHAnsi" w:cstheme="minorHAnsi"/>
        </w:rPr>
        <w:t xml:space="preserve"> interact with the section 19AA quality standard in a way that has</w:t>
      </w:r>
      <w:r w:rsidRPr="008168D8">
        <w:rPr>
          <w:rFonts w:asciiTheme="minorHAnsi" w:hAnsiTheme="minorHAnsi" w:cstheme="minorHAnsi"/>
        </w:rPr>
        <w:t xml:space="preserve"> contributed to a view</w:t>
      </w:r>
      <w:r w:rsidR="00CF0C32">
        <w:rPr>
          <w:rFonts w:asciiTheme="minorHAnsi" w:hAnsiTheme="minorHAnsi" w:cstheme="minorHAnsi"/>
        </w:rPr>
        <w:t xml:space="preserve"> in some parts of the medical sector</w:t>
      </w:r>
      <w:r w:rsidRPr="008168D8">
        <w:rPr>
          <w:rFonts w:asciiTheme="minorHAnsi" w:hAnsiTheme="minorHAnsi" w:cstheme="minorHAnsi"/>
        </w:rPr>
        <w:t xml:space="preserve"> that OTDs </w:t>
      </w:r>
      <w:r>
        <w:rPr>
          <w:rFonts w:asciiTheme="minorHAnsi" w:hAnsiTheme="minorHAnsi" w:cstheme="minorHAnsi"/>
        </w:rPr>
        <w:t>face fewer barriers to entering general practice</w:t>
      </w:r>
      <w:r w:rsidR="00CF0C32">
        <w:rPr>
          <w:rFonts w:asciiTheme="minorHAnsi" w:hAnsiTheme="minorHAnsi" w:cstheme="minorHAnsi"/>
        </w:rPr>
        <w:t xml:space="preserve"> than their Australian trained counterparts</w:t>
      </w:r>
      <w:r>
        <w:rPr>
          <w:rFonts w:asciiTheme="minorHAnsi" w:hAnsiTheme="minorHAnsi" w:cstheme="minorHAnsi"/>
        </w:rPr>
        <w:t xml:space="preserve">. </w:t>
      </w:r>
      <w:r w:rsidR="00CF0C32">
        <w:rPr>
          <w:rFonts w:asciiTheme="minorHAnsi" w:hAnsiTheme="minorHAnsi" w:cstheme="minorHAnsi"/>
        </w:rPr>
        <w:t xml:space="preserve"> This view has been primarily influenced by the current considerations that allow temporary resident non-VR OTDs to work in DWS areas and after-hours clinics.  </w:t>
      </w:r>
      <w:r w:rsidR="0068349F">
        <w:rPr>
          <w:rFonts w:asciiTheme="minorHAnsi" w:hAnsiTheme="minorHAnsi" w:cstheme="minorHAnsi"/>
        </w:rPr>
        <w:t xml:space="preserve"> </w:t>
      </w:r>
      <w:r w:rsidR="00CF0C32">
        <w:rPr>
          <w:rFonts w:asciiTheme="minorHAnsi" w:hAnsiTheme="minorHAnsi" w:cstheme="minorHAnsi"/>
        </w:rPr>
        <w:t>These doctors are not compelled to participate in a workforce or experience program for MBS access like their Australian trained counterparts;</w:t>
      </w:r>
      <w:r w:rsidR="0068349F">
        <w:rPr>
          <w:rFonts w:asciiTheme="minorHAnsi" w:hAnsiTheme="minorHAnsi" w:cstheme="minorHAnsi"/>
        </w:rPr>
        <w:t xml:space="preserve"> these</w:t>
      </w:r>
      <w:r w:rsidR="00CF0C32">
        <w:rPr>
          <w:rFonts w:asciiTheme="minorHAnsi" w:hAnsiTheme="minorHAnsi" w:cstheme="minorHAnsi"/>
        </w:rPr>
        <w:t xml:space="preserve"> consideration</w:t>
      </w:r>
      <w:r w:rsidR="0068349F">
        <w:rPr>
          <w:rFonts w:asciiTheme="minorHAnsi" w:hAnsiTheme="minorHAnsi" w:cstheme="minorHAnsi"/>
        </w:rPr>
        <w:t>s</w:t>
      </w:r>
      <w:r w:rsidR="00CF0C32">
        <w:rPr>
          <w:rFonts w:asciiTheme="minorHAnsi" w:hAnsiTheme="minorHAnsi" w:cstheme="minorHAnsi"/>
        </w:rPr>
        <w:t xml:space="preserve"> w</w:t>
      </w:r>
      <w:r w:rsidR="0068349F">
        <w:rPr>
          <w:rFonts w:asciiTheme="minorHAnsi" w:hAnsiTheme="minorHAnsi" w:cstheme="minorHAnsi"/>
        </w:rPr>
        <w:t>ere</w:t>
      </w:r>
      <w:r w:rsidR="00CF0C32">
        <w:rPr>
          <w:rFonts w:asciiTheme="minorHAnsi" w:hAnsiTheme="minorHAnsi" w:cstheme="minorHAnsi"/>
        </w:rPr>
        <w:t xml:space="preserve"> included in the MBS rules at a time when:</w:t>
      </w:r>
    </w:p>
    <w:p w14:paraId="7BEB7670" w14:textId="31198EF4" w:rsidR="00CF0C32" w:rsidRDefault="00CF0C32" w:rsidP="00AA5EBF">
      <w:pPr>
        <w:pStyle w:val="ListParagraph"/>
        <w:numPr>
          <w:ilvl w:val="0"/>
          <w:numId w:val="31"/>
        </w:numPr>
        <w:rPr>
          <w:rFonts w:asciiTheme="minorHAnsi" w:hAnsiTheme="minorHAnsi" w:cstheme="minorHAnsi"/>
        </w:rPr>
      </w:pPr>
      <w:r>
        <w:rPr>
          <w:rFonts w:asciiTheme="minorHAnsi" w:hAnsiTheme="minorHAnsi" w:cstheme="minorHAnsi"/>
        </w:rPr>
        <w:lastRenderedPageBreak/>
        <w:t xml:space="preserve">the general practice training and experience programs were more limited in terms </w:t>
      </w:r>
      <w:r w:rsidR="0068349F">
        <w:rPr>
          <w:rFonts w:asciiTheme="minorHAnsi" w:hAnsiTheme="minorHAnsi" w:cstheme="minorHAnsi"/>
        </w:rPr>
        <w:t xml:space="preserve">of their collective </w:t>
      </w:r>
      <w:r w:rsidR="00740F57">
        <w:rPr>
          <w:rFonts w:asciiTheme="minorHAnsi" w:hAnsiTheme="minorHAnsi" w:cstheme="minorHAnsi"/>
        </w:rPr>
        <w:t xml:space="preserve">number of </w:t>
      </w:r>
      <w:r w:rsidR="0068349F">
        <w:rPr>
          <w:rFonts w:asciiTheme="minorHAnsi" w:hAnsiTheme="minorHAnsi" w:cstheme="minorHAnsi"/>
        </w:rPr>
        <w:t xml:space="preserve">placements </w:t>
      </w:r>
      <w:r>
        <w:rPr>
          <w:rFonts w:asciiTheme="minorHAnsi" w:hAnsiTheme="minorHAnsi" w:cstheme="minorHAnsi"/>
        </w:rPr>
        <w:t xml:space="preserve">and </w:t>
      </w:r>
      <w:r w:rsidR="00740F57">
        <w:rPr>
          <w:rFonts w:asciiTheme="minorHAnsi" w:hAnsiTheme="minorHAnsi" w:cstheme="minorHAnsi"/>
        </w:rPr>
        <w:t xml:space="preserve">their </w:t>
      </w:r>
      <w:r>
        <w:rPr>
          <w:rFonts w:asciiTheme="minorHAnsi" w:hAnsiTheme="minorHAnsi" w:cstheme="minorHAnsi"/>
        </w:rPr>
        <w:t>geographic reach; and</w:t>
      </w:r>
    </w:p>
    <w:p w14:paraId="350D75C5" w14:textId="2ACD0D82" w:rsidR="00CF0C32" w:rsidRDefault="00CF0C32" w:rsidP="00AA5EBF">
      <w:pPr>
        <w:pStyle w:val="ListParagraph"/>
        <w:numPr>
          <w:ilvl w:val="0"/>
          <w:numId w:val="31"/>
        </w:numPr>
        <w:rPr>
          <w:rFonts w:asciiTheme="minorHAnsi" w:hAnsiTheme="minorHAnsi" w:cstheme="minorHAnsi"/>
        </w:rPr>
      </w:pPr>
      <w:r>
        <w:rPr>
          <w:rFonts w:asciiTheme="minorHAnsi" w:hAnsiTheme="minorHAnsi" w:cstheme="minorHAnsi"/>
        </w:rPr>
        <w:t>the lack of local training capacity contributed to a need to source doctors from abroad.</w:t>
      </w:r>
    </w:p>
    <w:p w14:paraId="598BA285" w14:textId="18484C47" w:rsidR="00521D4B" w:rsidRDefault="00521D4B" w:rsidP="00CB68F7">
      <w:pPr>
        <w:rPr>
          <w:rFonts w:asciiTheme="minorHAnsi" w:hAnsiTheme="minorHAnsi" w:cstheme="minorHAnsi"/>
        </w:rPr>
      </w:pPr>
    </w:p>
    <w:p w14:paraId="7EABB329" w14:textId="10B33A3D" w:rsidR="00087E15" w:rsidRDefault="00CF0C32" w:rsidP="00CB68F7">
      <w:pPr>
        <w:rPr>
          <w:rFonts w:asciiTheme="minorHAnsi" w:hAnsiTheme="minorHAnsi" w:cstheme="minorHAnsi"/>
        </w:rPr>
      </w:pPr>
      <w:r>
        <w:rPr>
          <w:rFonts w:asciiTheme="minorHAnsi" w:hAnsiTheme="minorHAnsi" w:cstheme="minorHAnsi"/>
        </w:rPr>
        <w:t xml:space="preserve">The interaction of the section 19AA and 19AB MBS eligibility rules contributes to a situation where </w:t>
      </w:r>
      <w:r w:rsidR="00321A18">
        <w:rPr>
          <w:rFonts w:asciiTheme="minorHAnsi" w:hAnsiTheme="minorHAnsi" w:cstheme="minorHAnsi"/>
        </w:rPr>
        <w:t xml:space="preserve">OTDs </w:t>
      </w:r>
      <w:r>
        <w:rPr>
          <w:rFonts w:asciiTheme="minorHAnsi" w:hAnsiTheme="minorHAnsi" w:cstheme="minorHAnsi"/>
        </w:rPr>
        <w:t>are being</w:t>
      </w:r>
      <w:r w:rsidR="00321A18" w:rsidRPr="0052028F">
        <w:rPr>
          <w:rFonts w:asciiTheme="minorHAnsi" w:hAnsiTheme="minorHAnsi" w:cstheme="minorHAnsi"/>
        </w:rPr>
        <w:t xml:space="preserve"> employe</w:t>
      </w:r>
      <w:r w:rsidR="00E87A06">
        <w:rPr>
          <w:rFonts w:asciiTheme="minorHAnsi" w:hAnsiTheme="minorHAnsi" w:cstheme="minorHAnsi"/>
        </w:rPr>
        <w:t>d in</w:t>
      </w:r>
      <w:r>
        <w:rPr>
          <w:rFonts w:asciiTheme="minorHAnsi" w:hAnsiTheme="minorHAnsi" w:cstheme="minorHAnsi"/>
        </w:rPr>
        <w:t xml:space="preserve"> underserviced communities</w:t>
      </w:r>
      <w:r w:rsidR="00321A18" w:rsidRPr="0052028F">
        <w:rPr>
          <w:rFonts w:asciiTheme="minorHAnsi" w:hAnsiTheme="minorHAnsi" w:cstheme="minorHAnsi"/>
        </w:rPr>
        <w:t xml:space="preserve"> </w:t>
      </w:r>
      <w:r w:rsidR="00272264">
        <w:rPr>
          <w:rFonts w:asciiTheme="minorHAnsi" w:hAnsiTheme="minorHAnsi" w:cstheme="minorHAnsi"/>
        </w:rPr>
        <w:t>that are unable to source</w:t>
      </w:r>
      <w:r>
        <w:rPr>
          <w:rFonts w:asciiTheme="minorHAnsi" w:hAnsiTheme="minorHAnsi" w:cstheme="minorHAnsi"/>
        </w:rPr>
        <w:t xml:space="preserve"> Australian trained</w:t>
      </w:r>
      <w:r w:rsidR="00272264">
        <w:rPr>
          <w:rFonts w:asciiTheme="minorHAnsi" w:hAnsiTheme="minorHAnsi" w:cstheme="minorHAnsi"/>
        </w:rPr>
        <w:t xml:space="preserve"> non-VR</w:t>
      </w:r>
      <w:r>
        <w:rPr>
          <w:rFonts w:asciiTheme="minorHAnsi" w:hAnsiTheme="minorHAnsi" w:cstheme="minorHAnsi"/>
        </w:rPr>
        <w:t xml:space="preserve"> doctors.  </w:t>
      </w:r>
      <w:r w:rsidR="00032468">
        <w:rPr>
          <w:rFonts w:asciiTheme="minorHAnsi" w:hAnsiTheme="minorHAnsi" w:cstheme="minorHAnsi"/>
        </w:rPr>
        <w:t>As temporary resident</w:t>
      </w:r>
      <w:r w:rsidR="00272264">
        <w:rPr>
          <w:rFonts w:asciiTheme="minorHAnsi" w:hAnsiTheme="minorHAnsi" w:cstheme="minorHAnsi"/>
        </w:rPr>
        <w:t xml:space="preserve"> OTD</w:t>
      </w:r>
      <w:r w:rsidR="00032468">
        <w:rPr>
          <w:rFonts w:asciiTheme="minorHAnsi" w:hAnsiTheme="minorHAnsi" w:cstheme="minorHAnsi"/>
        </w:rPr>
        <w:t xml:space="preserve">s can practise on a long-term basis without committing to attaining Fellowship, the current settings may be promoting a situation where underserviced communities, particularly in rural and remote areas, must wait for extended periods to build a fully-qualified local GP workforce. </w:t>
      </w:r>
    </w:p>
    <w:p w14:paraId="384F100A" w14:textId="77777777" w:rsidR="00C62167" w:rsidRDefault="00C62167" w:rsidP="00CB68F7">
      <w:pPr>
        <w:rPr>
          <w:rFonts w:asciiTheme="minorHAnsi" w:hAnsiTheme="minorHAnsi" w:cstheme="minorHAnsi"/>
        </w:rPr>
      </w:pPr>
    </w:p>
    <w:p w14:paraId="12AFEDE2" w14:textId="6EB3B174" w:rsidR="00B973E4" w:rsidRDefault="00272264" w:rsidP="00CB68F7">
      <w:pPr>
        <w:rPr>
          <w:rFonts w:asciiTheme="minorHAnsi" w:hAnsiTheme="minorHAnsi" w:cstheme="minorHAnsi"/>
        </w:rPr>
      </w:pPr>
      <w:r>
        <w:rPr>
          <w:rFonts w:asciiTheme="minorHAnsi" w:hAnsiTheme="minorHAnsi" w:cstheme="minorHAnsi"/>
        </w:rPr>
        <w:t>While the Government has attempted to improve the distribution of Australian trained doctors through the bonded medical programs, the return of service elements of these programs do not apply to participant doctors un</w:t>
      </w:r>
      <w:r w:rsidR="00B973E4">
        <w:rPr>
          <w:rFonts w:asciiTheme="minorHAnsi" w:hAnsiTheme="minorHAnsi" w:cstheme="minorHAnsi"/>
        </w:rPr>
        <w:t xml:space="preserve">til they are fully qualified </w:t>
      </w:r>
      <w:r>
        <w:rPr>
          <w:rFonts w:asciiTheme="minorHAnsi" w:hAnsiTheme="minorHAnsi" w:cstheme="minorHAnsi"/>
        </w:rPr>
        <w:t>GP</w:t>
      </w:r>
      <w:r w:rsidR="00B973E4">
        <w:rPr>
          <w:rFonts w:asciiTheme="minorHAnsi" w:hAnsiTheme="minorHAnsi" w:cstheme="minorHAnsi"/>
        </w:rPr>
        <w:t>s</w:t>
      </w:r>
      <w:r>
        <w:rPr>
          <w:rFonts w:asciiTheme="minorHAnsi" w:hAnsiTheme="minorHAnsi" w:cstheme="minorHAnsi"/>
        </w:rPr>
        <w:t>, specialist</w:t>
      </w:r>
      <w:r w:rsidR="00B973E4">
        <w:rPr>
          <w:rFonts w:asciiTheme="minorHAnsi" w:hAnsiTheme="minorHAnsi" w:cstheme="minorHAnsi"/>
        </w:rPr>
        <w:t>s</w:t>
      </w:r>
      <w:r>
        <w:rPr>
          <w:rFonts w:asciiTheme="minorHAnsi" w:hAnsiTheme="minorHAnsi" w:cstheme="minorHAnsi"/>
        </w:rPr>
        <w:t xml:space="preserve"> or consultant physician</w:t>
      </w:r>
      <w:r w:rsidR="00B973E4">
        <w:rPr>
          <w:rFonts w:asciiTheme="minorHAnsi" w:hAnsiTheme="minorHAnsi" w:cstheme="minorHAnsi"/>
        </w:rPr>
        <w:t>s</w:t>
      </w:r>
      <w:r>
        <w:rPr>
          <w:rFonts w:asciiTheme="minorHAnsi" w:hAnsiTheme="minorHAnsi" w:cstheme="minorHAnsi"/>
        </w:rPr>
        <w:t>.</w:t>
      </w:r>
      <w:r w:rsidR="00B973E4">
        <w:rPr>
          <w:rFonts w:asciiTheme="minorHAnsi" w:hAnsiTheme="minorHAnsi" w:cstheme="minorHAnsi"/>
        </w:rPr>
        <w:t xml:space="preserve"> The delay between entering bonding arrangements and commencing return of service creates two issues:</w:t>
      </w:r>
    </w:p>
    <w:p w14:paraId="2B8C185B" w14:textId="79B82D34" w:rsidR="00272264" w:rsidRDefault="00272264" w:rsidP="00AA5EBF">
      <w:pPr>
        <w:pStyle w:val="ListParagraph"/>
        <w:numPr>
          <w:ilvl w:val="0"/>
          <w:numId w:val="32"/>
        </w:numPr>
        <w:rPr>
          <w:rFonts w:asciiTheme="minorHAnsi" w:hAnsiTheme="minorHAnsi" w:cstheme="minorHAnsi"/>
        </w:rPr>
      </w:pPr>
      <w:r w:rsidRPr="008168D8">
        <w:rPr>
          <w:rFonts w:asciiTheme="minorHAnsi" w:hAnsiTheme="minorHAnsi" w:cstheme="minorHAnsi"/>
        </w:rPr>
        <w:t>the</w:t>
      </w:r>
      <w:r w:rsidR="00B973E4">
        <w:rPr>
          <w:rFonts w:asciiTheme="minorHAnsi" w:hAnsiTheme="minorHAnsi" w:cstheme="minorHAnsi"/>
        </w:rPr>
        <w:t xml:space="preserve"> workforce</w:t>
      </w:r>
      <w:r w:rsidRPr="008168D8">
        <w:rPr>
          <w:rFonts w:asciiTheme="minorHAnsi" w:hAnsiTheme="minorHAnsi" w:cstheme="minorHAnsi"/>
        </w:rPr>
        <w:t xml:space="preserve"> distribution impacts of t</w:t>
      </w:r>
      <w:r w:rsidR="009B3510">
        <w:rPr>
          <w:rFonts w:asciiTheme="minorHAnsi" w:hAnsiTheme="minorHAnsi" w:cstheme="minorHAnsi"/>
        </w:rPr>
        <w:t>he bonding</w:t>
      </w:r>
      <w:r w:rsidRPr="008168D8">
        <w:rPr>
          <w:rFonts w:asciiTheme="minorHAnsi" w:hAnsiTheme="minorHAnsi" w:cstheme="minorHAnsi"/>
        </w:rPr>
        <w:t xml:space="preserve"> programs ha</w:t>
      </w:r>
      <w:r w:rsidR="00B973E4">
        <w:rPr>
          <w:rFonts w:asciiTheme="minorHAnsi" w:hAnsiTheme="minorHAnsi" w:cstheme="minorHAnsi"/>
        </w:rPr>
        <w:t>ve not yet been fully realised.  P</w:t>
      </w:r>
      <w:r w:rsidRPr="008168D8">
        <w:rPr>
          <w:rFonts w:asciiTheme="minorHAnsi" w:hAnsiTheme="minorHAnsi" w:cstheme="minorHAnsi"/>
        </w:rPr>
        <w:t>articipants must complete medical training, hospital experience and their postgraduate training before considering their return</w:t>
      </w:r>
      <w:r w:rsidR="00B973E4">
        <w:rPr>
          <w:rFonts w:asciiTheme="minorHAnsi" w:hAnsiTheme="minorHAnsi" w:cstheme="minorHAnsi"/>
        </w:rPr>
        <w:t xml:space="preserve"> of service.  Completion of these training </w:t>
      </w:r>
      <w:r w:rsidRPr="008168D8">
        <w:rPr>
          <w:rFonts w:asciiTheme="minorHAnsi" w:hAnsiTheme="minorHAnsi" w:cstheme="minorHAnsi"/>
        </w:rPr>
        <w:t>require</w:t>
      </w:r>
      <w:r w:rsidR="00B973E4">
        <w:rPr>
          <w:rFonts w:asciiTheme="minorHAnsi" w:hAnsiTheme="minorHAnsi" w:cstheme="minorHAnsi"/>
        </w:rPr>
        <w:t>ments requires</w:t>
      </w:r>
      <w:r w:rsidRPr="008168D8">
        <w:rPr>
          <w:rFonts w:asciiTheme="minorHAnsi" w:hAnsiTheme="minorHAnsi" w:cstheme="minorHAnsi"/>
        </w:rPr>
        <w:t xml:space="preserve"> more than a decade and this is why the majority of bonded doctors are </w:t>
      </w:r>
      <w:r w:rsidR="007506D9">
        <w:rPr>
          <w:rFonts w:asciiTheme="minorHAnsi" w:hAnsiTheme="minorHAnsi" w:cstheme="minorHAnsi"/>
        </w:rPr>
        <w:t xml:space="preserve">yet </w:t>
      </w:r>
      <w:r w:rsidRPr="008168D8">
        <w:rPr>
          <w:rFonts w:asciiTheme="minorHAnsi" w:hAnsiTheme="minorHAnsi" w:cstheme="minorHAnsi"/>
        </w:rPr>
        <w:t xml:space="preserve">to complete their bonding arrangements. </w:t>
      </w:r>
    </w:p>
    <w:p w14:paraId="157BCB8B" w14:textId="17436732" w:rsidR="00B973E4" w:rsidRPr="008168D8" w:rsidRDefault="00B973E4" w:rsidP="00AA5EBF">
      <w:pPr>
        <w:pStyle w:val="ListParagraph"/>
        <w:numPr>
          <w:ilvl w:val="0"/>
          <w:numId w:val="32"/>
        </w:numPr>
        <w:rPr>
          <w:rFonts w:asciiTheme="minorHAnsi" w:hAnsiTheme="minorHAnsi" w:cstheme="minorHAnsi"/>
        </w:rPr>
      </w:pPr>
      <w:r>
        <w:rPr>
          <w:rFonts w:asciiTheme="minorHAnsi" w:hAnsiTheme="minorHAnsi" w:cstheme="minorHAnsi"/>
        </w:rPr>
        <w:t xml:space="preserve">bonded doctors have difficulty planning for their return of service.  While the Government has taken steps to provide transparency regarding options for completing future return of service obligations, </w:t>
      </w:r>
      <w:r w:rsidR="009B3510">
        <w:rPr>
          <w:rFonts w:asciiTheme="minorHAnsi" w:hAnsiTheme="minorHAnsi" w:cstheme="minorHAnsi"/>
        </w:rPr>
        <w:t xml:space="preserve">this work does not actually connect postgraduate training with return of service requirements for these doctors.  The impact is that many bonded </w:t>
      </w:r>
      <w:r>
        <w:rPr>
          <w:rFonts w:asciiTheme="minorHAnsi" w:hAnsiTheme="minorHAnsi" w:cstheme="minorHAnsi"/>
        </w:rPr>
        <w:t xml:space="preserve">doctors </w:t>
      </w:r>
      <w:r w:rsidR="009B3510">
        <w:rPr>
          <w:rFonts w:asciiTheme="minorHAnsi" w:hAnsiTheme="minorHAnsi" w:cstheme="minorHAnsi"/>
        </w:rPr>
        <w:t xml:space="preserve">are likely to </w:t>
      </w:r>
      <w:r w:rsidR="0068349F">
        <w:rPr>
          <w:rFonts w:asciiTheme="minorHAnsi" w:hAnsiTheme="minorHAnsi" w:cstheme="minorHAnsi"/>
        </w:rPr>
        <w:t xml:space="preserve">be required to </w:t>
      </w:r>
      <w:r w:rsidR="009B3510">
        <w:rPr>
          <w:rFonts w:asciiTheme="minorHAnsi" w:hAnsiTheme="minorHAnsi" w:cstheme="minorHAnsi"/>
        </w:rPr>
        <w:t>move into an underserviced community for return of service purposes, rather than complete these requirements as an extension of postgraduate training that was completed outside of the major cities.  This is particularly true for general practice</w:t>
      </w:r>
      <w:r w:rsidR="0068349F">
        <w:rPr>
          <w:rFonts w:asciiTheme="minorHAnsi" w:hAnsiTheme="minorHAnsi" w:cstheme="minorHAnsi"/>
        </w:rPr>
        <w:t xml:space="preserve"> due to the diversity of vocational training arrangements.</w:t>
      </w:r>
    </w:p>
    <w:p w14:paraId="4A20DE38" w14:textId="5D8322F8" w:rsidR="0038250C" w:rsidRDefault="0038250C" w:rsidP="008168D8">
      <w:pPr>
        <w:rPr>
          <w:rFonts w:asciiTheme="minorHAnsi" w:hAnsiTheme="minorHAnsi" w:cstheme="minorHAnsi"/>
        </w:rPr>
      </w:pPr>
    </w:p>
    <w:p w14:paraId="1166607A" w14:textId="711654F0" w:rsidR="00412945" w:rsidRDefault="00703D99" w:rsidP="00F74F12">
      <w:pPr>
        <w:rPr>
          <w:rFonts w:asciiTheme="minorHAnsi" w:hAnsiTheme="minorHAnsi" w:cstheme="minorHAnsi"/>
        </w:rPr>
      </w:pPr>
      <w:r>
        <w:rPr>
          <w:rFonts w:asciiTheme="minorHAnsi" w:hAnsiTheme="minorHAnsi" w:cstheme="minorHAnsi"/>
        </w:rPr>
        <w:t>In addition to the section 19AB MBS rules and</w:t>
      </w:r>
      <w:r w:rsidR="00740F57">
        <w:rPr>
          <w:rFonts w:asciiTheme="minorHAnsi" w:hAnsiTheme="minorHAnsi" w:cstheme="minorHAnsi"/>
        </w:rPr>
        <w:t xml:space="preserve"> bonded arrangements to define</w:t>
      </w:r>
      <w:r>
        <w:rPr>
          <w:rFonts w:asciiTheme="minorHAnsi" w:hAnsiTheme="minorHAnsi" w:cstheme="minorHAnsi"/>
        </w:rPr>
        <w:t xml:space="preserve"> MBS eligibility, the Government has attempted to improve the distribution of fully qualified doctors and other health professionals through ince</w:t>
      </w:r>
      <w:r w:rsidR="009B5E64">
        <w:rPr>
          <w:rFonts w:asciiTheme="minorHAnsi" w:hAnsiTheme="minorHAnsi" w:cstheme="minorHAnsi"/>
        </w:rPr>
        <w:t>ntive payments</w:t>
      </w:r>
      <w:r>
        <w:rPr>
          <w:rFonts w:asciiTheme="minorHAnsi" w:hAnsiTheme="minorHAnsi" w:cstheme="minorHAnsi"/>
        </w:rPr>
        <w:t>.  Examples of key health workforce incentive payme</w:t>
      </w:r>
      <w:r w:rsidR="009B5E64">
        <w:rPr>
          <w:rFonts w:asciiTheme="minorHAnsi" w:hAnsiTheme="minorHAnsi" w:cstheme="minorHAnsi"/>
        </w:rPr>
        <w:t xml:space="preserve">nts </w:t>
      </w:r>
      <w:r>
        <w:rPr>
          <w:rFonts w:asciiTheme="minorHAnsi" w:hAnsiTheme="minorHAnsi" w:cstheme="minorHAnsi"/>
        </w:rPr>
        <w:t>are</w:t>
      </w:r>
      <w:r w:rsidR="0068349F">
        <w:rPr>
          <w:rFonts w:asciiTheme="minorHAnsi" w:hAnsiTheme="minorHAnsi" w:cstheme="minorHAnsi"/>
        </w:rPr>
        <w:t xml:space="preserve"> the:</w:t>
      </w:r>
    </w:p>
    <w:p w14:paraId="7DC04FEB" w14:textId="4E0A3075" w:rsidR="00412945" w:rsidRDefault="0068349F" w:rsidP="00AA5EBF">
      <w:pPr>
        <w:pStyle w:val="ListParagraph"/>
        <w:numPr>
          <w:ilvl w:val="0"/>
          <w:numId w:val="44"/>
        </w:numPr>
        <w:rPr>
          <w:rFonts w:asciiTheme="minorHAnsi" w:hAnsiTheme="minorHAnsi" w:cstheme="minorHAnsi"/>
        </w:rPr>
      </w:pPr>
      <w:r>
        <w:rPr>
          <w:rFonts w:asciiTheme="minorHAnsi" w:hAnsiTheme="minorHAnsi" w:cstheme="minorHAnsi"/>
        </w:rPr>
        <w:t>r</w:t>
      </w:r>
      <w:r w:rsidR="009B5E64">
        <w:rPr>
          <w:rFonts w:asciiTheme="minorHAnsi" w:hAnsiTheme="minorHAnsi" w:cstheme="minorHAnsi"/>
        </w:rPr>
        <w:t>ural bulk-b</w:t>
      </w:r>
      <w:r w:rsidR="00787378">
        <w:rPr>
          <w:rFonts w:asciiTheme="minorHAnsi" w:hAnsiTheme="minorHAnsi" w:cstheme="minorHAnsi"/>
        </w:rPr>
        <w:t>illing incentives – which have been designed to support the cost of providing fully bulk-billed consultations under the MBS in rural and remote communities;</w:t>
      </w:r>
    </w:p>
    <w:p w14:paraId="5E1E6D25" w14:textId="19900FDA" w:rsidR="00787378" w:rsidRDefault="00787378" w:rsidP="00AA5EBF">
      <w:pPr>
        <w:pStyle w:val="ListParagraph"/>
        <w:numPr>
          <w:ilvl w:val="0"/>
          <w:numId w:val="44"/>
        </w:numPr>
        <w:rPr>
          <w:rFonts w:asciiTheme="minorHAnsi" w:hAnsiTheme="minorHAnsi" w:cstheme="minorHAnsi"/>
        </w:rPr>
      </w:pPr>
      <w:r>
        <w:rPr>
          <w:rFonts w:asciiTheme="minorHAnsi" w:hAnsiTheme="minorHAnsi" w:cstheme="minorHAnsi"/>
        </w:rPr>
        <w:t xml:space="preserve">Practice Nurse Incentive Program (PNIP) – which provides support to general practices and Aboriginal and Torres Strait Islander Community Controlled Health Services to offset </w:t>
      </w:r>
      <w:r w:rsidR="00F6327C">
        <w:rPr>
          <w:rFonts w:asciiTheme="minorHAnsi" w:hAnsiTheme="minorHAnsi" w:cstheme="minorHAnsi"/>
        </w:rPr>
        <w:t>the cost of employing Practice N</w:t>
      </w:r>
      <w:r>
        <w:rPr>
          <w:rFonts w:asciiTheme="minorHAnsi" w:hAnsiTheme="minorHAnsi" w:cstheme="minorHAnsi"/>
        </w:rPr>
        <w:t>urses or Aboriginal and Torres Strait Islander Health Workers and Practitioners;</w:t>
      </w:r>
    </w:p>
    <w:p w14:paraId="5D598ABD" w14:textId="77777777" w:rsidR="00C954F0" w:rsidRDefault="0068349F" w:rsidP="00C954F0">
      <w:pPr>
        <w:pStyle w:val="ListParagraph"/>
        <w:numPr>
          <w:ilvl w:val="0"/>
          <w:numId w:val="44"/>
        </w:numPr>
        <w:rPr>
          <w:rFonts w:asciiTheme="minorHAnsi" w:hAnsiTheme="minorHAnsi" w:cstheme="minorHAnsi"/>
        </w:rPr>
      </w:pPr>
      <w:r>
        <w:rPr>
          <w:rFonts w:asciiTheme="minorHAnsi" w:hAnsiTheme="minorHAnsi" w:cstheme="minorHAnsi"/>
        </w:rPr>
        <w:t xml:space="preserve">GP </w:t>
      </w:r>
      <w:r w:rsidR="00787378">
        <w:rPr>
          <w:rFonts w:asciiTheme="minorHAnsi" w:hAnsiTheme="minorHAnsi" w:cstheme="minorHAnsi"/>
        </w:rPr>
        <w:t>Rural Incentives Program (GPRIP) – which provides incentives to doctors to practise in regional, rural and remote areas as a means of promoting careers in rural medicine.</w:t>
      </w:r>
      <w:r w:rsidR="009B5E64">
        <w:rPr>
          <w:rFonts w:asciiTheme="minorHAnsi" w:hAnsiTheme="minorHAnsi" w:cstheme="minorHAnsi"/>
        </w:rPr>
        <w:t xml:space="preserve">  GPRIP payments adopt a scaled payment structure so that the highest financial incentives are paid to eligible doctors who practise in the most remote parts of Australia.</w:t>
      </w:r>
    </w:p>
    <w:p w14:paraId="0B775B2C" w14:textId="77777777" w:rsidR="00C954F0" w:rsidRDefault="00C954F0" w:rsidP="00C954F0">
      <w:pPr>
        <w:rPr>
          <w:rFonts w:asciiTheme="minorHAnsi" w:hAnsiTheme="minorHAnsi" w:cstheme="minorHAnsi"/>
        </w:rPr>
      </w:pPr>
    </w:p>
    <w:p w14:paraId="2CCA9216" w14:textId="672B8417" w:rsidR="00301C1E" w:rsidRPr="00C954F0" w:rsidRDefault="00472461" w:rsidP="00C954F0">
      <w:pPr>
        <w:rPr>
          <w:rFonts w:asciiTheme="minorHAnsi" w:hAnsiTheme="minorHAnsi" w:cstheme="minorHAnsi"/>
        </w:rPr>
      </w:pPr>
      <w:r w:rsidRPr="00C954F0">
        <w:rPr>
          <w:rFonts w:asciiTheme="minorHAnsi" w:hAnsiTheme="minorHAnsi" w:cstheme="minorHAnsi"/>
        </w:rPr>
        <w:t>While these incentives address the cost of providing care in rural set</w:t>
      </w:r>
      <w:r w:rsidR="009B5E64" w:rsidRPr="00C954F0">
        <w:rPr>
          <w:rFonts w:asciiTheme="minorHAnsi" w:hAnsiTheme="minorHAnsi" w:cstheme="minorHAnsi"/>
        </w:rPr>
        <w:t>tings, they are not effectively interlinked.  Additionally, the</w:t>
      </w:r>
      <w:r w:rsidR="00E87A06" w:rsidRPr="00C954F0">
        <w:rPr>
          <w:rFonts w:asciiTheme="minorHAnsi" w:hAnsiTheme="minorHAnsi" w:cstheme="minorHAnsi"/>
        </w:rPr>
        <w:t xml:space="preserve"> current incentives for</w:t>
      </w:r>
      <w:r w:rsidR="009B5E64" w:rsidRPr="00C954F0">
        <w:rPr>
          <w:rFonts w:asciiTheme="minorHAnsi" w:hAnsiTheme="minorHAnsi" w:cstheme="minorHAnsi"/>
        </w:rPr>
        <w:t xml:space="preserve"> rural bulk-billing</w:t>
      </w:r>
      <w:r w:rsidR="00E87A06" w:rsidRPr="00C954F0">
        <w:rPr>
          <w:rFonts w:asciiTheme="minorHAnsi" w:hAnsiTheme="minorHAnsi" w:cstheme="minorHAnsi"/>
        </w:rPr>
        <w:t xml:space="preserve"> and Practice </w:t>
      </w:r>
      <w:r w:rsidR="00E87A06" w:rsidRPr="00C954F0">
        <w:rPr>
          <w:rFonts w:asciiTheme="minorHAnsi" w:hAnsiTheme="minorHAnsi" w:cstheme="minorHAnsi"/>
        </w:rPr>
        <w:lastRenderedPageBreak/>
        <w:t xml:space="preserve">Nurses </w:t>
      </w:r>
      <w:r w:rsidR="009B5E64" w:rsidRPr="00C954F0">
        <w:rPr>
          <w:rFonts w:asciiTheme="minorHAnsi" w:hAnsiTheme="minorHAnsi" w:cstheme="minorHAnsi"/>
        </w:rPr>
        <w:t xml:space="preserve">use an outdated </w:t>
      </w:r>
      <w:r w:rsidR="0068349F" w:rsidRPr="00C954F0">
        <w:rPr>
          <w:rFonts w:asciiTheme="minorHAnsi" w:hAnsiTheme="minorHAnsi" w:cstheme="minorHAnsi"/>
        </w:rPr>
        <w:t xml:space="preserve">remoteness area </w:t>
      </w:r>
      <w:r w:rsidR="009B5E64" w:rsidRPr="00C954F0">
        <w:rPr>
          <w:rFonts w:asciiTheme="minorHAnsi" w:hAnsiTheme="minorHAnsi" w:cstheme="minorHAnsi"/>
        </w:rPr>
        <w:t xml:space="preserve">classification system to determine incentive eligibility and this undermines the Government’s intent to protect the delivery of these services in the most vulnerable underserviced communities. </w:t>
      </w:r>
    </w:p>
    <w:p w14:paraId="05AC9350" w14:textId="3777BCD4" w:rsidR="00301C1E" w:rsidRDefault="00301C1E" w:rsidP="008168D8">
      <w:pPr>
        <w:rPr>
          <w:rFonts w:asciiTheme="minorHAnsi" w:hAnsiTheme="minorHAnsi" w:cstheme="minorHAnsi"/>
        </w:rPr>
      </w:pPr>
    </w:p>
    <w:p w14:paraId="65104036" w14:textId="1FBF7EFC" w:rsidR="009B09A2" w:rsidRPr="005A71ED" w:rsidRDefault="009B09A2" w:rsidP="009B09A2">
      <w:pPr>
        <w:rPr>
          <w:rFonts w:asciiTheme="minorHAnsi" w:hAnsiTheme="minorHAnsi" w:cstheme="minorHAnsi"/>
        </w:rPr>
      </w:pPr>
      <w:r w:rsidRPr="005A71ED">
        <w:rPr>
          <w:rFonts w:asciiTheme="minorHAnsi" w:hAnsiTheme="minorHAnsi" w:cstheme="minorHAnsi"/>
        </w:rPr>
        <w:t xml:space="preserve">Without policy intervention, existing programs which direct the workforce to specific areas of </w:t>
      </w:r>
      <w:r w:rsidR="0038250C" w:rsidRPr="005A71ED">
        <w:rPr>
          <w:rFonts w:asciiTheme="minorHAnsi" w:hAnsiTheme="minorHAnsi" w:cstheme="minorHAnsi"/>
        </w:rPr>
        <w:t>workforce shortage</w:t>
      </w:r>
      <w:r w:rsidRPr="005A71ED">
        <w:rPr>
          <w:rFonts w:asciiTheme="minorHAnsi" w:hAnsiTheme="minorHAnsi" w:cstheme="minorHAnsi"/>
        </w:rPr>
        <w:t xml:space="preserve"> will continue to struggle to achieve equity of distribution.  For example:</w:t>
      </w:r>
    </w:p>
    <w:p w14:paraId="1B925B48" w14:textId="12E81989" w:rsidR="009B3510" w:rsidRPr="008168D8" w:rsidRDefault="009B3510" w:rsidP="00AA5EBF">
      <w:pPr>
        <w:pStyle w:val="ListParagraph"/>
        <w:numPr>
          <w:ilvl w:val="0"/>
          <w:numId w:val="15"/>
        </w:numPr>
        <w:rPr>
          <w:rFonts w:asciiTheme="minorHAnsi" w:hAnsiTheme="minorHAnsi" w:cstheme="minorHAnsi"/>
        </w:rPr>
      </w:pPr>
      <w:r w:rsidRPr="008168D8">
        <w:rPr>
          <w:rFonts w:asciiTheme="minorHAnsi" w:hAnsiTheme="minorHAnsi" w:cstheme="minorHAnsi"/>
        </w:rPr>
        <w:t>the reliance on non-VR doctors, particularly OTDs, to address lack of access to qualified GPs in rural and remote communities will continue;</w:t>
      </w:r>
    </w:p>
    <w:p w14:paraId="2A30FCC2" w14:textId="5025656E" w:rsidR="009B09A2" w:rsidRPr="005A71ED" w:rsidRDefault="005A71ED" w:rsidP="00AA5EBF">
      <w:pPr>
        <w:pStyle w:val="ListParagraph"/>
        <w:numPr>
          <w:ilvl w:val="0"/>
          <w:numId w:val="15"/>
        </w:numPr>
        <w:rPr>
          <w:rFonts w:asciiTheme="minorHAnsi" w:hAnsiTheme="minorHAnsi" w:cstheme="minorHAnsi"/>
        </w:rPr>
      </w:pPr>
      <w:r w:rsidRPr="008168D8">
        <w:rPr>
          <w:rFonts w:asciiTheme="minorHAnsi" w:hAnsiTheme="minorHAnsi" w:cstheme="minorHAnsi"/>
        </w:rPr>
        <w:t xml:space="preserve">Australian trained doctors who participate in the </w:t>
      </w:r>
      <w:r w:rsidR="009B09A2" w:rsidRPr="005A71ED">
        <w:rPr>
          <w:rFonts w:asciiTheme="minorHAnsi" w:hAnsiTheme="minorHAnsi" w:cstheme="minorHAnsi"/>
        </w:rPr>
        <w:t xml:space="preserve">bonding programs will continue </w:t>
      </w:r>
      <w:r w:rsidRPr="008168D8">
        <w:rPr>
          <w:rFonts w:asciiTheme="minorHAnsi" w:hAnsiTheme="minorHAnsi" w:cstheme="minorHAnsi"/>
        </w:rPr>
        <w:t>to experience difficulty with planning and completing return of service obligations in underserviced communities;</w:t>
      </w:r>
      <w:r w:rsidR="00805F74" w:rsidRPr="005A71ED">
        <w:rPr>
          <w:rFonts w:asciiTheme="minorHAnsi" w:hAnsiTheme="minorHAnsi" w:cstheme="minorHAnsi"/>
        </w:rPr>
        <w:t xml:space="preserve"> </w:t>
      </w:r>
      <w:r w:rsidR="009B09A2" w:rsidRPr="005A71ED">
        <w:rPr>
          <w:rFonts w:asciiTheme="minorHAnsi" w:hAnsiTheme="minorHAnsi" w:cstheme="minorHAnsi"/>
        </w:rPr>
        <w:t xml:space="preserve">and </w:t>
      </w:r>
    </w:p>
    <w:p w14:paraId="6B7B6EFF" w14:textId="77777777" w:rsidR="00C954F0" w:rsidRDefault="009B09A2" w:rsidP="00C954F0">
      <w:pPr>
        <w:pStyle w:val="ListParagraph"/>
        <w:numPr>
          <w:ilvl w:val="0"/>
          <w:numId w:val="15"/>
        </w:numPr>
        <w:rPr>
          <w:rFonts w:asciiTheme="minorHAnsi" w:hAnsiTheme="minorHAnsi" w:cstheme="minorHAnsi"/>
        </w:rPr>
      </w:pPr>
      <w:r w:rsidRPr="005A71ED">
        <w:rPr>
          <w:rFonts w:asciiTheme="minorHAnsi" w:hAnsiTheme="minorHAnsi" w:cstheme="minorHAnsi"/>
        </w:rPr>
        <w:t>incentives for multidisciplinary care an</w:t>
      </w:r>
      <w:r w:rsidR="007506D9">
        <w:rPr>
          <w:rFonts w:asciiTheme="minorHAnsi" w:hAnsiTheme="minorHAnsi" w:cstheme="minorHAnsi"/>
        </w:rPr>
        <w:t>d team-based approaches will</w:t>
      </w:r>
      <w:r w:rsidRPr="005A71ED">
        <w:rPr>
          <w:rFonts w:asciiTheme="minorHAnsi" w:hAnsiTheme="minorHAnsi" w:cstheme="minorHAnsi"/>
        </w:rPr>
        <w:t xml:space="preserve"> continue to be </w:t>
      </w:r>
      <w:r w:rsidR="0068349F">
        <w:rPr>
          <w:rFonts w:asciiTheme="minorHAnsi" w:hAnsiTheme="minorHAnsi" w:cstheme="minorHAnsi"/>
        </w:rPr>
        <w:t xml:space="preserve">inconsistent, which </w:t>
      </w:r>
      <w:r w:rsidRPr="005A71ED">
        <w:rPr>
          <w:rFonts w:asciiTheme="minorHAnsi" w:hAnsiTheme="minorHAnsi" w:cstheme="minorHAnsi"/>
        </w:rPr>
        <w:t>limi</w:t>
      </w:r>
      <w:r w:rsidR="0068349F">
        <w:rPr>
          <w:rFonts w:asciiTheme="minorHAnsi" w:hAnsiTheme="minorHAnsi" w:cstheme="minorHAnsi"/>
        </w:rPr>
        <w:t xml:space="preserve">ts </w:t>
      </w:r>
      <w:r w:rsidRPr="005A71ED">
        <w:rPr>
          <w:rFonts w:asciiTheme="minorHAnsi" w:hAnsiTheme="minorHAnsi" w:cstheme="minorHAnsi"/>
        </w:rPr>
        <w:t>their reach and capacity to respond to the changing needs of the community.</w:t>
      </w:r>
    </w:p>
    <w:p w14:paraId="5B6D98F5" w14:textId="77777777" w:rsidR="00C954F0" w:rsidRDefault="00C954F0" w:rsidP="00C954F0">
      <w:pPr>
        <w:ind w:left="360"/>
        <w:rPr>
          <w:rFonts w:asciiTheme="minorHAnsi" w:hAnsiTheme="minorHAnsi" w:cstheme="minorHAnsi"/>
        </w:rPr>
      </w:pPr>
    </w:p>
    <w:p w14:paraId="47C4A2CC" w14:textId="3A189089" w:rsidR="007638D5" w:rsidRPr="00C954F0" w:rsidRDefault="009B09A2" w:rsidP="00C954F0">
      <w:pPr>
        <w:ind w:left="360"/>
        <w:rPr>
          <w:rFonts w:asciiTheme="minorHAnsi" w:hAnsiTheme="minorHAnsi" w:cstheme="minorHAnsi"/>
        </w:rPr>
      </w:pPr>
      <w:r w:rsidRPr="00C954F0">
        <w:rPr>
          <w:rFonts w:asciiTheme="minorHAnsi" w:hAnsiTheme="minorHAnsi" w:cstheme="minorHAnsi"/>
        </w:rPr>
        <w:t xml:space="preserve">If the </w:t>
      </w:r>
      <w:r w:rsidR="0068349F" w:rsidRPr="00C954F0">
        <w:rPr>
          <w:rFonts w:asciiTheme="minorHAnsi" w:hAnsiTheme="minorHAnsi" w:cstheme="minorHAnsi"/>
        </w:rPr>
        <w:t>current medical workforce distribution mechanisms are no</w:t>
      </w:r>
      <w:r w:rsidR="006D678F" w:rsidRPr="00C954F0">
        <w:rPr>
          <w:rFonts w:asciiTheme="minorHAnsi" w:hAnsiTheme="minorHAnsi" w:cstheme="minorHAnsi"/>
        </w:rPr>
        <w:t>t</w:t>
      </w:r>
      <w:r w:rsidR="0068349F" w:rsidRPr="00C954F0">
        <w:rPr>
          <w:rFonts w:asciiTheme="minorHAnsi" w:hAnsiTheme="minorHAnsi" w:cstheme="minorHAnsi"/>
        </w:rPr>
        <w:t xml:space="preserve"> recalibrated, the medical workforce will not be position</w:t>
      </w:r>
      <w:r w:rsidR="00E87A06" w:rsidRPr="00C954F0">
        <w:rPr>
          <w:rFonts w:asciiTheme="minorHAnsi" w:hAnsiTheme="minorHAnsi" w:cstheme="minorHAnsi"/>
        </w:rPr>
        <w:t>ed</w:t>
      </w:r>
      <w:r w:rsidR="0068349F" w:rsidRPr="00C954F0">
        <w:rPr>
          <w:rFonts w:asciiTheme="minorHAnsi" w:hAnsiTheme="minorHAnsi" w:cstheme="minorHAnsi"/>
        </w:rPr>
        <w:t xml:space="preserve"> to respond to community needs.  Rural communities and the health providers that support them would be most adversely impacted by a lack of change.  The impact of this current maldistribution of the medical workforce is illustrated by the following data concerning Australians who suffer from chronic conditions: </w:t>
      </w:r>
    </w:p>
    <w:p w14:paraId="72752E90" w14:textId="79BF6E4C" w:rsidR="00521D4B" w:rsidRPr="001142F0" w:rsidRDefault="009B09A2" w:rsidP="00AA5EBF">
      <w:pPr>
        <w:pStyle w:val="ListParagraph"/>
        <w:numPr>
          <w:ilvl w:val="0"/>
          <w:numId w:val="19"/>
        </w:numPr>
      </w:pPr>
      <w:r w:rsidRPr="0018196D">
        <w:rPr>
          <w:rFonts w:asciiTheme="minorHAnsi" w:hAnsiTheme="minorHAnsi" w:cstheme="minorHAnsi"/>
        </w:rPr>
        <w:t xml:space="preserve">an Australian Institute of Health and Welfare (AIHW) study on health conditions and remoteness </w:t>
      </w:r>
      <w:r w:rsidR="0068349F">
        <w:rPr>
          <w:rFonts w:asciiTheme="minorHAnsi" w:hAnsiTheme="minorHAnsi" w:cstheme="minorHAnsi"/>
        </w:rPr>
        <w:t>indicated</w:t>
      </w:r>
      <w:r w:rsidRPr="0018196D">
        <w:rPr>
          <w:rFonts w:asciiTheme="minorHAnsi" w:hAnsiTheme="minorHAnsi" w:cstheme="minorHAnsi"/>
        </w:rPr>
        <w:t xml:space="preserve"> that, in 2007-08, 35 per cent of the population reported hav</w:t>
      </w:r>
      <w:r w:rsidR="000F232F">
        <w:rPr>
          <w:rFonts w:asciiTheme="minorHAnsi" w:hAnsiTheme="minorHAnsi" w:cstheme="minorHAnsi"/>
        </w:rPr>
        <w:t xml:space="preserve">ing </w:t>
      </w:r>
      <w:r w:rsidRPr="0018196D">
        <w:rPr>
          <w:rFonts w:asciiTheme="minorHAnsi" w:hAnsiTheme="minorHAnsi" w:cstheme="minorHAnsi"/>
        </w:rPr>
        <w:t xml:space="preserve">at least one of the following chronic conditions: asthma; type 2 diabetes; coronary heart disease; cerebrovascular disease (largely stroke); arthritis; osteoporosis; Chronic Obstructive Pulmonary Disease; depression; or, high blood pressure. By 2014-15, this figure had grown to 50 per cent. </w:t>
      </w:r>
    </w:p>
    <w:p w14:paraId="0384FF35" w14:textId="5B1ECF1C" w:rsidR="009B09A2" w:rsidRPr="001B6F2B" w:rsidRDefault="00805F74" w:rsidP="00AA5EBF">
      <w:pPr>
        <w:pStyle w:val="ListParagraph"/>
        <w:numPr>
          <w:ilvl w:val="0"/>
          <w:numId w:val="19"/>
        </w:numPr>
        <w:rPr>
          <w:rFonts w:asciiTheme="minorHAnsi" w:hAnsiTheme="minorHAnsi" w:cstheme="minorHAnsi"/>
        </w:rPr>
      </w:pPr>
      <w:r w:rsidRPr="001B6F2B">
        <w:rPr>
          <w:rFonts w:asciiTheme="minorHAnsi" w:hAnsiTheme="minorHAnsi" w:cstheme="minorHAnsi"/>
        </w:rPr>
        <w:t>i</w:t>
      </w:r>
      <w:r w:rsidR="009B09A2" w:rsidRPr="001B6F2B">
        <w:rPr>
          <w:rFonts w:asciiTheme="minorHAnsi" w:hAnsiTheme="minorHAnsi" w:cstheme="minorHAnsi"/>
        </w:rPr>
        <w:t xml:space="preserve">n 2014-15, people living </w:t>
      </w:r>
      <w:r w:rsidR="0018196D" w:rsidRPr="001B6F2B">
        <w:rPr>
          <w:rFonts w:asciiTheme="minorHAnsi" w:hAnsiTheme="minorHAnsi" w:cstheme="minorHAnsi"/>
        </w:rPr>
        <w:t xml:space="preserve">in regional, rural and remote areas </w:t>
      </w:r>
      <w:r w:rsidR="009B09A2" w:rsidRPr="001B6F2B">
        <w:rPr>
          <w:rFonts w:asciiTheme="minorHAnsi" w:hAnsiTheme="minorHAnsi" w:cstheme="minorHAnsi"/>
        </w:rPr>
        <w:t xml:space="preserve">were more likely to have </w:t>
      </w:r>
      <w:r w:rsidR="0018196D" w:rsidRPr="001B6F2B">
        <w:rPr>
          <w:rFonts w:asciiTheme="minorHAnsi" w:hAnsiTheme="minorHAnsi" w:cstheme="minorHAnsi"/>
        </w:rPr>
        <w:t xml:space="preserve">long-term health conditions including </w:t>
      </w:r>
      <w:r w:rsidR="009B09A2" w:rsidRPr="001B6F2B">
        <w:rPr>
          <w:rFonts w:asciiTheme="minorHAnsi" w:hAnsiTheme="minorHAnsi" w:cstheme="minorHAnsi"/>
        </w:rPr>
        <w:t>arthritis, asthma, back problems, deafness, long-sightedness, diabetes, heart</w:t>
      </w:r>
      <w:r w:rsidR="001B6F2B">
        <w:rPr>
          <w:rFonts w:asciiTheme="minorHAnsi" w:hAnsiTheme="minorHAnsi" w:cstheme="minorHAnsi"/>
        </w:rPr>
        <w:t xml:space="preserve"> disease</w:t>
      </w:r>
      <w:r w:rsidR="009B09A2" w:rsidRPr="001B6F2B">
        <w:rPr>
          <w:rFonts w:asciiTheme="minorHAnsi" w:hAnsiTheme="minorHAnsi" w:cstheme="minorHAnsi"/>
        </w:rPr>
        <w:t xml:space="preserve">, stroke and vascular disease. </w:t>
      </w:r>
    </w:p>
    <w:p w14:paraId="411D171D" w14:textId="469F1097" w:rsidR="0018196D" w:rsidRPr="0018196D" w:rsidRDefault="00805F74" w:rsidP="00AA5EBF">
      <w:pPr>
        <w:pStyle w:val="ListParagraph"/>
        <w:numPr>
          <w:ilvl w:val="0"/>
          <w:numId w:val="19"/>
        </w:numPr>
        <w:rPr>
          <w:rFonts w:asciiTheme="minorHAnsi" w:hAnsiTheme="minorHAnsi" w:cstheme="minorHAnsi"/>
        </w:rPr>
      </w:pPr>
      <w:r>
        <w:rPr>
          <w:rFonts w:asciiTheme="minorHAnsi" w:hAnsiTheme="minorHAnsi" w:cstheme="minorHAnsi"/>
        </w:rPr>
        <w:t>f</w:t>
      </w:r>
      <w:r w:rsidR="0018196D" w:rsidRPr="0018196D">
        <w:rPr>
          <w:rFonts w:asciiTheme="minorHAnsi" w:hAnsiTheme="minorHAnsi" w:cstheme="minorHAnsi"/>
        </w:rPr>
        <w:t>rom June 2000 to June 2015, the proportion of people who were aged 60 years and over increased from 16.6 to 20.4 per cent, while the proportion aged 80 years and over increased from 2.9 to 3.9 per cent. From 2015 to 2030, these figures are expected to increase to 23.8 and 5.4 per cent, respectively. The prevalence of multiple chronic conditions increases with patient age, with around 30 per cent of people aged 80 years and older having seven or more chronic conditions. Whilst this data includes both metropolitan and rural/regional areas of Australia, the impact of an ageing population and associated increases in chronic health conditions may be exacerbated in rural areas if issues of equitable workforce distribution and the level of post-gradu</w:t>
      </w:r>
      <w:r>
        <w:rPr>
          <w:rFonts w:asciiTheme="minorHAnsi" w:hAnsiTheme="minorHAnsi" w:cstheme="minorHAnsi"/>
        </w:rPr>
        <w:t>ate training are not addressed.</w:t>
      </w:r>
    </w:p>
    <w:p w14:paraId="5F13CAA0" w14:textId="4CB2A962" w:rsidR="0030656B" w:rsidRDefault="00D616B4" w:rsidP="00AA5EBF">
      <w:pPr>
        <w:pStyle w:val="ListParagraph"/>
        <w:numPr>
          <w:ilvl w:val="0"/>
          <w:numId w:val="19"/>
        </w:numPr>
      </w:pPr>
      <w:r>
        <w:rPr>
          <w:rFonts w:asciiTheme="minorHAnsi" w:hAnsiTheme="minorHAnsi" w:cstheme="minorHAnsi"/>
        </w:rPr>
        <w:t>Table</w:t>
      </w:r>
      <w:r w:rsidR="0018196D" w:rsidRPr="00717CFC">
        <w:rPr>
          <w:rFonts w:asciiTheme="minorHAnsi" w:hAnsiTheme="minorHAnsi" w:cstheme="minorHAnsi"/>
        </w:rPr>
        <w:t xml:space="preserve"> </w:t>
      </w:r>
      <w:r>
        <w:rPr>
          <w:rFonts w:asciiTheme="minorHAnsi" w:hAnsiTheme="minorHAnsi" w:cstheme="minorHAnsi"/>
        </w:rPr>
        <w:t>1</w:t>
      </w:r>
      <w:r w:rsidR="00DA11CA">
        <w:rPr>
          <w:rFonts w:asciiTheme="minorHAnsi" w:hAnsiTheme="minorHAnsi" w:cstheme="minorHAnsi"/>
        </w:rPr>
        <w:t xml:space="preserve"> </w:t>
      </w:r>
      <w:r w:rsidR="0018196D">
        <w:rPr>
          <w:rFonts w:asciiTheme="minorHAnsi" w:hAnsiTheme="minorHAnsi" w:cstheme="minorHAnsi"/>
        </w:rPr>
        <w:t>provides data on the type of</w:t>
      </w:r>
      <w:r w:rsidR="0018196D" w:rsidRPr="00717CFC">
        <w:rPr>
          <w:rFonts w:asciiTheme="minorHAnsi" w:hAnsiTheme="minorHAnsi" w:cstheme="minorHAnsi"/>
        </w:rPr>
        <w:t xml:space="preserve"> disease by remoteness in 2014-15</w:t>
      </w:r>
      <w:r w:rsidR="0018196D">
        <w:rPr>
          <w:rFonts w:asciiTheme="minorHAnsi" w:hAnsiTheme="minorHAnsi" w:cstheme="minorHAnsi"/>
        </w:rPr>
        <w:t>,</w:t>
      </w:r>
      <w:r w:rsidR="0018196D" w:rsidRPr="00717CFC">
        <w:rPr>
          <w:rFonts w:asciiTheme="minorHAnsi" w:hAnsiTheme="minorHAnsi" w:cstheme="minorHAnsi"/>
        </w:rPr>
        <w:t xml:space="preserve"> using data from the AIHW study</w:t>
      </w:r>
      <w:r w:rsidR="0018196D">
        <w:rPr>
          <w:rFonts w:asciiTheme="minorHAnsi" w:hAnsiTheme="minorHAnsi" w:cstheme="minorHAnsi"/>
        </w:rPr>
        <w:t>.</w:t>
      </w:r>
    </w:p>
    <w:p w14:paraId="157675C5" w14:textId="2DB23BBA" w:rsidR="00863CF6" w:rsidRDefault="00863CF6" w:rsidP="009B09A2">
      <w:pPr>
        <w:rPr>
          <w:rFonts w:asciiTheme="minorHAnsi" w:hAnsiTheme="minorHAnsi" w:cstheme="minorHAnsi"/>
        </w:rPr>
      </w:pPr>
    </w:p>
    <w:p w14:paraId="282DEFBF" w14:textId="2ABB5029" w:rsidR="009B09A2" w:rsidRDefault="00D616B4" w:rsidP="00797388">
      <w:pPr>
        <w:keepNext/>
        <w:rPr>
          <w:rFonts w:asciiTheme="minorHAnsi" w:hAnsiTheme="minorHAnsi" w:cstheme="minorHAnsi"/>
        </w:rPr>
      </w:pPr>
      <w:r>
        <w:rPr>
          <w:rFonts w:asciiTheme="minorHAnsi" w:hAnsiTheme="minorHAnsi" w:cstheme="minorHAnsi"/>
          <w:b/>
        </w:rPr>
        <w:lastRenderedPageBreak/>
        <w:t>Table 1</w:t>
      </w:r>
      <w:r w:rsidRPr="00D616B4">
        <w:rPr>
          <w:rFonts w:asciiTheme="minorHAnsi" w:hAnsiTheme="minorHAnsi" w:cstheme="minorHAnsi"/>
          <w:b/>
        </w:rPr>
        <w:t>:</w:t>
      </w:r>
      <w:r w:rsidR="009B09A2">
        <w:rPr>
          <w:rFonts w:asciiTheme="minorHAnsi" w:hAnsiTheme="minorHAnsi" w:cstheme="minorHAnsi"/>
        </w:rPr>
        <w:t xml:space="preserve"> </w:t>
      </w:r>
      <w:r w:rsidR="00521D4B">
        <w:rPr>
          <w:rFonts w:asciiTheme="minorHAnsi" w:hAnsiTheme="minorHAnsi" w:cstheme="minorHAnsi"/>
        </w:rPr>
        <w:t>Type of disease by remoteness, 2014-15.</w:t>
      </w:r>
    </w:p>
    <w:p w14:paraId="148848B8" w14:textId="77777777" w:rsidR="00521D4B" w:rsidRDefault="00521D4B" w:rsidP="00797388">
      <w:pPr>
        <w:keepNext/>
        <w:rPr>
          <w:rFonts w:asciiTheme="minorHAnsi" w:hAnsiTheme="minorHAnsi" w:cstheme="minorHAnsi"/>
        </w:rPr>
      </w:pPr>
    </w:p>
    <w:tbl>
      <w:tblPr>
        <w:tblW w:w="9229" w:type="dxa"/>
        <w:tblBorders>
          <w:top w:val="single" w:sz="12" w:space="0" w:color="E8E6E3"/>
          <w:left w:val="single" w:sz="12" w:space="0" w:color="E8E6E3"/>
          <w:bottom w:val="single" w:sz="12" w:space="0" w:color="E8E6E3"/>
          <w:right w:val="single" w:sz="12" w:space="0" w:color="E8E6E3"/>
          <w:insideH w:val="single" w:sz="12" w:space="0" w:color="E8E6E3"/>
          <w:insideV w:val="single" w:sz="12" w:space="0" w:color="E8E6E3"/>
        </w:tblBorders>
        <w:tblCellMar>
          <w:top w:w="15" w:type="dxa"/>
          <w:left w:w="15" w:type="dxa"/>
          <w:bottom w:w="15" w:type="dxa"/>
          <w:right w:w="15" w:type="dxa"/>
        </w:tblCellMar>
        <w:tblLook w:val="04A0" w:firstRow="1" w:lastRow="0" w:firstColumn="1" w:lastColumn="0" w:noHBand="0" w:noVBand="1"/>
        <w:tblDescription w:val="4-column table listing rates of different health conditions for different residential areas."/>
      </w:tblPr>
      <w:tblGrid>
        <w:gridCol w:w="2307"/>
        <w:gridCol w:w="2307"/>
        <w:gridCol w:w="2307"/>
        <w:gridCol w:w="2308"/>
      </w:tblGrid>
      <w:tr w:rsidR="009B09A2" w:rsidRPr="00D23F1D" w14:paraId="45D6CFC0" w14:textId="77777777" w:rsidTr="009B09A2">
        <w:trPr>
          <w:tblHeader/>
        </w:trPr>
        <w:tc>
          <w:tcPr>
            <w:tcW w:w="2307" w:type="dxa"/>
            <w:shd w:val="clear" w:color="auto" w:fill="F7F5F2"/>
            <w:tcMar>
              <w:top w:w="0" w:type="dxa"/>
              <w:left w:w="0" w:type="dxa"/>
              <w:bottom w:w="0" w:type="dxa"/>
              <w:right w:w="0" w:type="dxa"/>
            </w:tcMar>
            <w:vAlign w:val="center"/>
            <w:hideMark/>
          </w:tcPr>
          <w:p w14:paraId="0553487C" w14:textId="77777777" w:rsidR="009B09A2" w:rsidRPr="00D23F1D" w:rsidRDefault="009B09A2" w:rsidP="00797388">
            <w:pPr>
              <w:keepNext/>
              <w:jc w:val="center"/>
              <w:rPr>
                <w:rFonts w:ascii="Open Sans" w:hAnsi="Open Sans"/>
                <w:b/>
                <w:bCs/>
                <w:color w:val="45494B"/>
                <w:sz w:val="15"/>
                <w:szCs w:val="15"/>
              </w:rPr>
            </w:pPr>
            <w:r w:rsidRPr="00D23F1D">
              <w:rPr>
                <w:rFonts w:ascii="Open Sans" w:hAnsi="Open Sans"/>
                <w:b/>
                <w:bCs/>
                <w:color w:val="45494B"/>
                <w:sz w:val="15"/>
                <w:szCs w:val="15"/>
              </w:rPr>
              <w:t>Disease type</w:t>
            </w:r>
          </w:p>
        </w:tc>
        <w:tc>
          <w:tcPr>
            <w:tcW w:w="2307" w:type="dxa"/>
            <w:shd w:val="clear" w:color="auto" w:fill="F7F5F2"/>
            <w:tcMar>
              <w:top w:w="0" w:type="dxa"/>
              <w:left w:w="0" w:type="dxa"/>
              <w:bottom w:w="0" w:type="dxa"/>
              <w:right w:w="0" w:type="dxa"/>
            </w:tcMar>
            <w:vAlign w:val="center"/>
            <w:hideMark/>
          </w:tcPr>
          <w:p w14:paraId="67106535" w14:textId="77777777" w:rsidR="009B09A2" w:rsidRPr="00D23F1D" w:rsidRDefault="009B09A2" w:rsidP="00797388">
            <w:pPr>
              <w:keepNext/>
              <w:jc w:val="center"/>
              <w:rPr>
                <w:rFonts w:ascii="Open Sans" w:hAnsi="Open Sans"/>
                <w:b/>
                <w:bCs/>
                <w:color w:val="45494B"/>
                <w:sz w:val="15"/>
                <w:szCs w:val="15"/>
              </w:rPr>
            </w:pPr>
            <w:r w:rsidRPr="00D23F1D">
              <w:rPr>
                <w:rFonts w:ascii="Open Sans" w:hAnsi="Open Sans"/>
                <w:b/>
                <w:bCs/>
                <w:color w:val="45494B"/>
                <w:sz w:val="15"/>
                <w:szCs w:val="15"/>
              </w:rPr>
              <w:t>Major cities</w:t>
            </w:r>
          </w:p>
        </w:tc>
        <w:tc>
          <w:tcPr>
            <w:tcW w:w="2307" w:type="dxa"/>
            <w:shd w:val="clear" w:color="auto" w:fill="F7F5F2"/>
            <w:tcMar>
              <w:top w:w="0" w:type="dxa"/>
              <w:left w:w="0" w:type="dxa"/>
              <w:bottom w:w="0" w:type="dxa"/>
              <w:right w:w="0" w:type="dxa"/>
            </w:tcMar>
            <w:vAlign w:val="center"/>
            <w:hideMark/>
          </w:tcPr>
          <w:p w14:paraId="7B0789E0" w14:textId="77777777" w:rsidR="009B09A2" w:rsidRPr="00D23F1D" w:rsidRDefault="009B09A2" w:rsidP="00797388">
            <w:pPr>
              <w:keepNext/>
              <w:jc w:val="center"/>
              <w:rPr>
                <w:rFonts w:ascii="Open Sans" w:hAnsi="Open Sans"/>
                <w:b/>
                <w:bCs/>
                <w:color w:val="45494B"/>
                <w:sz w:val="15"/>
                <w:szCs w:val="15"/>
              </w:rPr>
            </w:pPr>
            <w:r w:rsidRPr="00D23F1D">
              <w:rPr>
                <w:rFonts w:ascii="Open Sans" w:hAnsi="Open Sans"/>
                <w:b/>
                <w:bCs/>
                <w:color w:val="45494B"/>
                <w:sz w:val="15"/>
                <w:szCs w:val="15"/>
              </w:rPr>
              <w:t>Inner regional</w:t>
            </w:r>
          </w:p>
        </w:tc>
        <w:tc>
          <w:tcPr>
            <w:tcW w:w="2308" w:type="dxa"/>
            <w:shd w:val="clear" w:color="auto" w:fill="F7F5F2"/>
            <w:tcMar>
              <w:top w:w="0" w:type="dxa"/>
              <w:left w:w="0" w:type="dxa"/>
              <w:bottom w:w="0" w:type="dxa"/>
              <w:right w:w="0" w:type="dxa"/>
            </w:tcMar>
            <w:vAlign w:val="center"/>
            <w:hideMark/>
          </w:tcPr>
          <w:p w14:paraId="6B415E98" w14:textId="77777777" w:rsidR="009B09A2" w:rsidRPr="00D23F1D" w:rsidRDefault="009B09A2" w:rsidP="00797388">
            <w:pPr>
              <w:keepNext/>
              <w:jc w:val="center"/>
              <w:rPr>
                <w:rFonts w:ascii="Open Sans" w:hAnsi="Open Sans"/>
                <w:b/>
                <w:bCs/>
                <w:color w:val="45494B"/>
                <w:sz w:val="15"/>
                <w:szCs w:val="15"/>
              </w:rPr>
            </w:pPr>
            <w:r w:rsidRPr="00D23F1D">
              <w:rPr>
                <w:rFonts w:ascii="Open Sans" w:hAnsi="Open Sans"/>
                <w:b/>
                <w:bCs/>
                <w:color w:val="45494B"/>
                <w:sz w:val="15"/>
                <w:szCs w:val="15"/>
              </w:rPr>
              <w:t>Outer regional/</w:t>
            </w:r>
            <w:r w:rsidRPr="00D23F1D">
              <w:rPr>
                <w:rFonts w:ascii="Open Sans" w:hAnsi="Open Sans"/>
                <w:b/>
                <w:bCs/>
                <w:color w:val="45494B"/>
                <w:sz w:val="15"/>
                <w:szCs w:val="15"/>
              </w:rPr>
              <w:br/>
              <w:t>Remote</w:t>
            </w:r>
          </w:p>
        </w:tc>
      </w:tr>
      <w:tr w:rsidR="009B09A2" w14:paraId="2F8A6A69" w14:textId="77777777" w:rsidTr="009B09A2">
        <w:tc>
          <w:tcPr>
            <w:tcW w:w="2307" w:type="dxa"/>
            <w:tcMar>
              <w:top w:w="165" w:type="dxa"/>
              <w:left w:w="300" w:type="dxa"/>
              <w:bottom w:w="195" w:type="dxa"/>
              <w:right w:w="300" w:type="dxa"/>
            </w:tcMar>
            <w:vAlign w:val="center"/>
            <w:hideMark/>
          </w:tcPr>
          <w:p w14:paraId="5CECCD31" w14:textId="77777777" w:rsidR="009B09A2" w:rsidRDefault="009B09A2" w:rsidP="00797388">
            <w:pPr>
              <w:keepNext/>
              <w:rPr>
                <w:rFonts w:ascii="Open Sans" w:hAnsi="Open Sans"/>
                <w:b/>
                <w:bCs/>
                <w:color w:val="45494B"/>
                <w:sz w:val="15"/>
                <w:szCs w:val="15"/>
              </w:rPr>
            </w:pPr>
            <w:r>
              <w:rPr>
                <w:rFonts w:ascii="Open Sans" w:hAnsi="Open Sans"/>
                <w:b/>
                <w:bCs/>
                <w:color w:val="45494B"/>
                <w:sz w:val="15"/>
                <w:szCs w:val="15"/>
              </w:rPr>
              <w:t>Arthritis</w:t>
            </w:r>
          </w:p>
        </w:tc>
        <w:tc>
          <w:tcPr>
            <w:tcW w:w="2307" w:type="dxa"/>
            <w:tcMar>
              <w:top w:w="165" w:type="dxa"/>
              <w:left w:w="300" w:type="dxa"/>
              <w:bottom w:w="165" w:type="dxa"/>
              <w:right w:w="300" w:type="dxa"/>
            </w:tcMar>
            <w:vAlign w:val="center"/>
            <w:hideMark/>
          </w:tcPr>
          <w:p w14:paraId="0388C5D8" w14:textId="77777777" w:rsidR="009B09A2" w:rsidRDefault="009B09A2" w:rsidP="00797388">
            <w:pPr>
              <w:keepNext/>
              <w:jc w:val="center"/>
              <w:rPr>
                <w:rFonts w:ascii="Open Sans" w:hAnsi="Open Sans"/>
                <w:color w:val="45494B"/>
                <w:sz w:val="15"/>
                <w:szCs w:val="15"/>
              </w:rPr>
            </w:pPr>
            <w:r>
              <w:rPr>
                <w:rFonts w:ascii="Open Sans" w:hAnsi="Open Sans"/>
                <w:color w:val="45494B"/>
                <w:sz w:val="15"/>
                <w:szCs w:val="15"/>
              </w:rPr>
              <w:t>14%</w:t>
            </w:r>
          </w:p>
        </w:tc>
        <w:tc>
          <w:tcPr>
            <w:tcW w:w="2307" w:type="dxa"/>
            <w:tcMar>
              <w:top w:w="165" w:type="dxa"/>
              <w:left w:w="300" w:type="dxa"/>
              <w:bottom w:w="165" w:type="dxa"/>
              <w:right w:w="300" w:type="dxa"/>
            </w:tcMar>
            <w:vAlign w:val="center"/>
            <w:hideMark/>
          </w:tcPr>
          <w:p w14:paraId="311A984E" w14:textId="77777777" w:rsidR="009B09A2" w:rsidRDefault="009B09A2" w:rsidP="00797388">
            <w:pPr>
              <w:keepNext/>
              <w:jc w:val="center"/>
              <w:rPr>
                <w:rFonts w:ascii="Open Sans" w:hAnsi="Open Sans"/>
                <w:color w:val="45494B"/>
                <w:sz w:val="15"/>
                <w:szCs w:val="15"/>
              </w:rPr>
            </w:pPr>
            <w:r>
              <w:rPr>
                <w:rFonts w:ascii="Open Sans" w:hAnsi="Open Sans"/>
                <w:color w:val="45494B"/>
                <w:sz w:val="15"/>
                <w:szCs w:val="15"/>
              </w:rPr>
              <w:t>20%</w:t>
            </w:r>
          </w:p>
        </w:tc>
        <w:tc>
          <w:tcPr>
            <w:tcW w:w="2308" w:type="dxa"/>
            <w:tcMar>
              <w:top w:w="165" w:type="dxa"/>
              <w:left w:w="300" w:type="dxa"/>
              <w:bottom w:w="165" w:type="dxa"/>
              <w:right w:w="300" w:type="dxa"/>
            </w:tcMar>
            <w:vAlign w:val="center"/>
            <w:hideMark/>
          </w:tcPr>
          <w:p w14:paraId="6451C1F3" w14:textId="77777777" w:rsidR="009B09A2" w:rsidRDefault="009B09A2" w:rsidP="00797388">
            <w:pPr>
              <w:keepNext/>
              <w:jc w:val="center"/>
              <w:rPr>
                <w:rFonts w:ascii="Open Sans" w:hAnsi="Open Sans"/>
                <w:color w:val="45494B"/>
                <w:sz w:val="15"/>
                <w:szCs w:val="15"/>
              </w:rPr>
            </w:pPr>
            <w:r>
              <w:rPr>
                <w:rFonts w:ascii="Open Sans" w:hAnsi="Open Sans"/>
                <w:color w:val="45494B"/>
                <w:sz w:val="15"/>
                <w:szCs w:val="15"/>
              </w:rPr>
              <w:t>18%</w:t>
            </w:r>
          </w:p>
        </w:tc>
      </w:tr>
      <w:tr w:rsidR="009B09A2" w14:paraId="1FFCB812" w14:textId="77777777" w:rsidTr="009B09A2">
        <w:tc>
          <w:tcPr>
            <w:tcW w:w="2307" w:type="dxa"/>
            <w:shd w:val="clear" w:color="auto" w:fill="F7F5F2"/>
            <w:tcMar>
              <w:top w:w="165" w:type="dxa"/>
              <w:left w:w="300" w:type="dxa"/>
              <w:bottom w:w="195" w:type="dxa"/>
              <w:right w:w="300" w:type="dxa"/>
            </w:tcMar>
            <w:vAlign w:val="center"/>
            <w:hideMark/>
          </w:tcPr>
          <w:p w14:paraId="6C20FD88" w14:textId="77777777" w:rsidR="009B09A2" w:rsidRDefault="009B09A2" w:rsidP="00797388">
            <w:pPr>
              <w:keepNext/>
              <w:rPr>
                <w:rFonts w:ascii="Open Sans" w:hAnsi="Open Sans"/>
                <w:b/>
                <w:bCs/>
                <w:color w:val="45494B"/>
                <w:sz w:val="15"/>
                <w:szCs w:val="15"/>
              </w:rPr>
            </w:pPr>
            <w:r>
              <w:rPr>
                <w:rFonts w:ascii="Open Sans" w:hAnsi="Open Sans"/>
                <w:b/>
                <w:bCs/>
                <w:color w:val="45494B"/>
                <w:sz w:val="15"/>
                <w:szCs w:val="15"/>
              </w:rPr>
              <w:t> Back pain and problems</w:t>
            </w:r>
          </w:p>
        </w:tc>
        <w:tc>
          <w:tcPr>
            <w:tcW w:w="2307" w:type="dxa"/>
            <w:shd w:val="clear" w:color="auto" w:fill="F7F5F2"/>
            <w:tcMar>
              <w:top w:w="165" w:type="dxa"/>
              <w:left w:w="300" w:type="dxa"/>
              <w:bottom w:w="165" w:type="dxa"/>
              <w:right w:w="300" w:type="dxa"/>
            </w:tcMar>
            <w:vAlign w:val="center"/>
            <w:hideMark/>
          </w:tcPr>
          <w:p w14:paraId="48AB3DDF" w14:textId="77777777" w:rsidR="009B09A2" w:rsidRDefault="009B09A2" w:rsidP="00797388">
            <w:pPr>
              <w:keepNext/>
              <w:jc w:val="center"/>
              <w:rPr>
                <w:rFonts w:ascii="Open Sans" w:hAnsi="Open Sans"/>
                <w:color w:val="45494B"/>
                <w:sz w:val="15"/>
                <w:szCs w:val="15"/>
              </w:rPr>
            </w:pPr>
            <w:r>
              <w:rPr>
                <w:rFonts w:ascii="Open Sans" w:hAnsi="Open Sans"/>
                <w:color w:val="45494B"/>
                <w:sz w:val="15"/>
                <w:szCs w:val="15"/>
              </w:rPr>
              <w:t>16%</w:t>
            </w:r>
          </w:p>
        </w:tc>
        <w:tc>
          <w:tcPr>
            <w:tcW w:w="2307" w:type="dxa"/>
            <w:shd w:val="clear" w:color="auto" w:fill="F7F5F2"/>
            <w:tcMar>
              <w:top w:w="165" w:type="dxa"/>
              <w:left w:w="300" w:type="dxa"/>
              <w:bottom w:w="165" w:type="dxa"/>
              <w:right w:w="300" w:type="dxa"/>
            </w:tcMar>
            <w:vAlign w:val="center"/>
            <w:hideMark/>
          </w:tcPr>
          <w:p w14:paraId="6C716A67" w14:textId="77777777" w:rsidR="009B09A2" w:rsidRDefault="009B09A2" w:rsidP="00797388">
            <w:pPr>
              <w:keepNext/>
              <w:jc w:val="center"/>
              <w:rPr>
                <w:rFonts w:ascii="Open Sans" w:hAnsi="Open Sans"/>
                <w:color w:val="45494B"/>
                <w:sz w:val="15"/>
                <w:szCs w:val="15"/>
              </w:rPr>
            </w:pPr>
            <w:r>
              <w:rPr>
                <w:rFonts w:ascii="Open Sans" w:hAnsi="Open Sans"/>
                <w:color w:val="45494B"/>
                <w:sz w:val="15"/>
                <w:szCs w:val="15"/>
              </w:rPr>
              <w:t>18%</w:t>
            </w:r>
          </w:p>
        </w:tc>
        <w:tc>
          <w:tcPr>
            <w:tcW w:w="2308" w:type="dxa"/>
            <w:shd w:val="clear" w:color="auto" w:fill="F7F5F2"/>
            <w:tcMar>
              <w:top w:w="165" w:type="dxa"/>
              <w:left w:w="300" w:type="dxa"/>
              <w:bottom w:w="165" w:type="dxa"/>
              <w:right w:w="300" w:type="dxa"/>
            </w:tcMar>
            <w:vAlign w:val="center"/>
            <w:hideMark/>
          </w:tcPr>
          <w:p w14:paraId="560BDBD1" w14:textId="77777777" w:rsidR="009B09A2" w:rsidRDefault="009B09A2" w:rsidP="00797388">
            <w:pPr>
              <w:keepNext/>
              <w:jc w:val="center"/>
              <w:rPr>
                <w:rFonts w:ascii="Open Sans" w:hAnsi="Open Sans"/>
                <w:color w:val="45494B"/>
                <w:sz w:val="15"/>
                <w:szCs w:val="15"/>
              </w:rPr>
            </w:pPr>
            <w:r>
              <w:rPr>
                <w:rFonts w:ascii="Open Sans" w:hAnsi="Open Sans"/>
                <w:color w:val="45494B"/>
                <w:sz w:val="15"/>
                <w:szCs w:val="15"/>
              </w:rPr>
              <w:t>16%</w:t>
            </w:r>
          </w:p>
        </w:tc>
      </w:tr>
      <w:tr w:rsidR="009B09A2" w14:paraId="1A5363D4" w14:textId="77777777" w:rsidTr="009B09A2">
        <w:tc>
          <w:tcPr>
            <w:tcW w:w="2307" w:type="dxa"/>
            <w:tcMar>
              <w:top w:w="165" w:type="dxa"/>
              <w:left w:w="300" w:type="dxa"/>
              <w:bottom w:w="195" w:type="dxa"/>
              <w:right w:w="300" w:type="dxa"/>
            </w:tcMar>
            <w:vAlign w:val="center"/>
            <w:hideMark/>
          </w:tcPr>
          <w:p w14:paraId="3D2E4788" w14:textId="77777777" w:rsidR="009B09A2" w:rsidRDefault="009B09A2" w:rsidP="00797388">
            <w:pPr>
              <w:keepNext/>
              <w:rPr>
                <w:rFonts w:ascii="Open Sans" w:hAnsi="Open Sans"/>
                <w:b/>
                <w:bCs/>
                <w:color w:val="45494B"/>
                <w:sz w:val="15"/>
                <w:szCs w:val="15"/>
              </w:rPr>
            </w:pPr>
            <w:r>
              <w:rPr>
                <w:rFonts w:ascii="Open Sans" w:hAnsi="Open Sans"/>
                <w:b/>
                <w:bCs/>
                <w:color w:val="45494B"/>
                <w:sz w:val="15"/>
                <w:szCs w:val="15"/>
              </w:rPr>
              <w:t> Asthma</w:t>
            </w:r>
          </w:p>
        </w:tc>
        <w:tc>
          <w:tcPr>
            <w:tcW w:w="2307" w:type="dxa"/>
            <w:tcMar>
              <w:top w:w="165" w:type="dxa"/>
              <w:left w:w="300" w:type="dxa"/>
              <w:bottom w:w="165" w:type="dxa"/>
              <w:right w:w="300" w:type="dxa"/>
            </w:tcMar>
            <w:vAlign w:val="center"/>
            <w:hideMark/>
          </w:tcPr>
          <w:p w14:paraId="337B00B4" w14:textId="77777777" w:rsidR="009B09A2" w:rsidRDefault="009B09A2" w:rsidP="00797388">
            <w:pPr>
              <w:keepNext/>
              <w:jc w:val="center"/>
              <w:rPr>
                <w:rFonts w:ascii="Open Sans" w:hAnsi="Open Sans"/>
                <w:color w:val="45494B"/>
                <w:sz w:val="15"/>
                <w:szCs w:val="15"/>
              </w:rPr>
            </w:pPr>
            <w:r>
              <w:rPr>
                <w:rFonts w:ascii="Open Sans" w:hAnsi="Open Sans"/>
                <w:color w:val="45494B"/>
                <w:sz w:val="15"/>
                <w:szCs w:val="15"/>
              </w:rPr>
              <w:t>10%</w:t>
            </w:r>
          </w:p>
        </w:tc>
        <w:tc>
          <w:tcPr>
            <w:tcW w:w="2307" w:type="dxa"/>
            <w:tcMar>
              <w:top w:w="165" w:type="dxa"/>
              <w:left w:w="300" w:type="dxa"/>
              <w:bottom w:w="165" w:type="dxa"/>
              <w:right w:w="300" w:type="dxa"/>
            </w:tcMar>
            <w:vAlign w:val="center"/>
            <w:hideMark/>
          </w:tcPr>
          <w:p w14:paraId="10D6BA22" w14:textId="77777777" w:rsidR="009B09A2" w:rsidRDefault="009B09A2" w:rsidP="00797388">
            <w:pPr>
              <w:keepNext/>
              <w:jc w:val="center"/>
              <w:rPr>
                <w:rFonts w:ascii="Open Sans" w:hAnsi="Open Sans"/>
                <w:color w:val="45494B"/>
                <w:sz w:val="15"/>
                <w:szCs w:val="15"/>
              </w:rPr>
            </w:pPr>
            <w:r>
              <w:rPr>
                <w:rFonts w:ascii="Open Sans" w:hAnsi="Open Sans"/>
                <w:color w:val="45494B"/>
                <w:sz w:val="15"/>
                <w:szCs w:val="15"/>
              </w:rPr>
              <w:t>12%</w:t>
            </w:r>
          </w:p>
        </w:tc>
        <w:tc>
          <w:tcPr>
            <w:tcW w:w="2308" w:type="dxa"/>
            <w:tcMar>
              <w:top w:w="165" w:type="dxa"/>
              <w:left w:w="300" w:type="dxa"/>
              <w:bottom w:w="165" w:type="dxa"/>
              <w:right w:w="300" w:type="dxa"/>
            </w:tcMar>
            <w:vAlign w:val="center"/>
            <w:hideMark/>
          </w:tcPr>
          <w:p w14:paraId="18AF5B6F" w14:textId="77777777" w:rsidR="009B09A2" w:rsidRDefault="009B09A2" w:rsidP="00797388">
            <w:pPr>
              <w:keepNext/>
              <w:jc w:val="center"/>
              <w:rPr>
                <w:rFonts w:ascii="Open Sans" w:hAnsi="Open Sans"/>
                <w:color w:val="45494B"/>
                <w:sz w:val="15"/>
                <w:szCs w:val="15"/>
              </w:rPr>
            </w:pPr>
            <w:r>
              <w:rPr>
                <w:rFonts w:ascii="Open Sans" w:hAnsi="Open Sans"/>
                <w:color w:val="45494B"/>
                <w:sz w:val="15"/>
                <w:szCs w:val="15"/>
              </w:rPr>
              <w:t>12%</w:t>
            </w:r>
          </w:p>
        </w:tc>
      </w:tr>
      <w:tr w:rsidR="009B09A2" w14:paraId="5DBB6D01" w14:textId="77777777" w:rsidTr="009B09A2">
        <w:tc>
          <w:tcPr>
            <w:tcW w:w="2307" w:type="dxa"/>
            <w:shd w:val="clear" w:color="auto" w:fill="F7F5F2"/>
            <w:tcMar>
              <w:top w:w="165" w:type="dxa"/>
              <w:left w:w="300" w:type="dxa"/>
              <w:bottom w:w="195" w:type="dxa"/>
              <w:right w:w="300" w:type="dxa"/>
            </w:tcMar>
            <w:vAlign w:val="center"/>
            <w:hideMark/>
          </w:tcPr>
          <w:p w14:paraId="0C297FD4" w14:textId="77777777" w:rsidR="009B09A2" w:rsidRDefault="009B09A2" w:rsidP="00797388">
            <w:pPr>
              <w:keepNext/>
              <w:rPr>
                <w:rFonts w:ascii="Open Sans" w:hAnsi="Open Sans"/>
                <w:b/>
                <w:bCs/>
                <w:color w:val="45494B"/>
                <w:sz w:val="15"/>
                <w:szCs w:val="15"/>
              </w:rPr>
            </w:pPr>
            <w:r>
              <w:rPr>
                <w:rFonts w:ascii="Open Sans" w:hAnsi="Open Sans"/>
                <w:b/>
                <w:bCs/>
                <w:color w:val="45494B"/>
                <w:sz w:val="15"/>
                <w:szCs w:val="15"/>
              </w:rPr>
              <w:t> COPD</w:t>
            </w:r>
          </w:p>
        </w:tc>
        <w:tc>
          <w:tcPr>
            <w:tcW w:w="2307" w:type="dxa"/>
            <w:shd w:val="clear" w:color="auto" w:fill="F7F5F2"/>
            <w:tcMar>
              <w:top w:w="165" w:type="dxa"/>
              <w:left w:w="300" w:type="dxa"/>
              <w:bottom w:w="165" w:type="dxa"/>
              <w:right w:w="300" w:type="dxa"/>
            </w:tcMar>
            <w:vAlign w:val="center"/>
            <w:hideMark/>
          </w:tcPr>
          <w:p w14:paraId="2F19AA41" w14:textId="77777777" w:rsidR="009B09A2" w:rsidRDefault="009B09A2" w:rsidP="00797388">
            <w:pPr>
              <w:keepNext/>
              <w:jc w:val="center"/>
              <w:rPr>
                <w:rFonts w:ascii="Open Sans" w:hAnsi="Open Sans"/>
                <w:color w:val="45494B"/>
                <w:sz w:val="15"/>
                <w:szCs w:val="15"/>
              </w:rPr>
            </w:pPr>
            <w:r>
              <w:rPr>
                <w:rFonts w:ascii="Open Sans" w:hAnsi="Open Sans"/>
                <w:color w:val="45494B"/>
                <w:sz w:val="15"/>
                <w:szCs w:val="15"/>
              </w:rPr>
              <w:t>2.4%</w:t>
            </w:r>
          </w:p>
        </w:tc>
        <w:tc>
          <w:tcPr>
            <w:tcW w:w="2307" w:type="dxa"/>
            <w:shd w:val="clear" w:color="auto" w:fill="F7F5F2"/>
            <w:tcMar>
              <w:top w:w="165" w:type="dxa"/>
              <w:left w:w="300" w:type="dxa"/>
              <w:bottom w:w="165" w:type="dxa"/>
              <w:right w:w="300" w:type="dxa"/>
            </w:tcMar>
            <w:vAlign w:val="center"/>
            <w:hideMark/>
          </w:tcPr>
          <w:p w14:paraId="06A548F9" w14:textId="77777777" w:rsidR="009B09A2" w:rsidRDefault="009B09A2" w:rsidP="00797388">
            <w:pPr>
              <w:keepNext/>
              <w:jc w:val="center"/>
              <w:rPr>
                <w:rFonts w:ascii="Open Sans" w:hAnsi="Open Sans"/>
                <w:color w:val="45494B"/>
                <w:sz w:val="15"/>
                <w:szCs w:val="15"/>
              </w:rPr>
            </w:pPr>
            <w:r>
              <w:rPr>
                <w:rFonts w:ascii="Open Sans" w:hAnsi="Open Sans"/>
                <w:color w:val="45494B"/>
                <w:sz w:val="15"/>
                <w:szCs w:val="15"/>
              </w:rPr>
              <w:t>3.4%</w:t>
            </w:r>
          </w:p>
        </w:tc>
        <w:tc>
          <w:tcPr>
            <w:tcW w:w="2308" w:type="dxa"/>
            <w:shd w:val="clear" w:color="auto" w:fill="F7F5F2"/>
            <w:tcMar>
              <w:top w:w="165" w:type="dxa"/>
              <w:left w:w="300" w:type="dxa"/>
              <w:bottom w:w="165" w:type="dxa"/>
              <w:right w:w="300" w:type="dxa"/>
            </w:tcMar>
            <w:vAlign w:val="center"/>
            <w:hideMark/>
          </w:tcPr>
          <w:p w14:paraId="0DED2544" w14:textId="77777777" w:rsidR="009B09A2" w:rsidRDefault="009B09A2" w:rsidP="00797388">
            <w:pPr>
              <w:keepNext/>
              <w:jc w:val="center"/>
              <w:rPr>
                <w:rFonts w:ascii="Open Sans" w:hAnsi="Open Sans"/>
                <w:color w:val="45494B"/>
                <w:sz w:val="15"/>
                <w:szCs w:val="15"/>
              </w:rPr>
            </w:pPr>
            <w:r>
              <w:rPr>
                <w:rFonts w:ascii="Open Sans" w:hAnsi="Open Sans"/>
                <w:color w:val="45494B"/>
                <w:sz w:val="15"/>
                <w:szCs w:val="15"/>
              </w:rPr>
              <w:t>2.7%</w:t>
            </w:r>
          </w:p>
        </w:tc>
      </w:tr>
      <w:tr w:rsidR="009B09A2" w14:paraId="26E91EE2" w14:textId="77777777" w:rsidTr="009B09A2">
        <w:tc>
          <w:tcPr>
            <w:tcW w:w="2307" w:type="dxa"/>
            <w:tcMar>
              <w:top w:w="165" w:type="dxa"/>
              <w:left w:w="300" w:type="dxa"/>
              <w:bottom w:w="195" w:type="dxa"/>
              <w:right w:w="300" w:type="dxa"/>
            </w:tcMar>
            <w:vAlign w:val="center"/>
            <w:hideMark/>
          </w:tcPr>
          <w:p w14:paraId="7A51AE41" w14:textId="77777777" w:rsidR="009B09A2" w:rsidRDefault="009B09A2" w:rsidP="009B09A2">
            <w:pPr>
              <w:rPr>
                <w:rFonts w:ascii="Open Sans" w:hAnsi="Open Sans"/>
                <w:b/>
                <w:bCs/>
                <w:color w:val="45494B"/>
                <w:sz w:val="15"/>
                <w:szCs w:val="15"/>
              </w:rPr>
            </w:pPr>
            <w:r>
              <w:rPr>
                <w:rFonts w:ascii="Open Sans" w:hAnsi="Open Sans"/>
                <w:b/>
                <w:bCs/>
                <w:color w:val="45494B"/>
                <w:sz w:val="15"/>
                <w:szCs w:val="15"/>
              </w:rPr>
              <w:t> Blindness</w:t>
            </w:r>
          </w:p>
        </w:tc>
        <w:tc>
          <w:tcPr>
            <w:tcW w:w="2307" w:type="dxa"/>
            <w:tcMar>
              <w:top w:w="165" w:type="dxa"/>
              <w:left w:w="300" w:type="dxa"/>
              <w:bottom w:w="165" w:type="dxa"/>
              <w:right w:w="300" w:type="dxa"/>
            </w:tcMar>
            <w:vAlign w:val="center"/>
            <w:hideMark/>
          </w:tcPr>
          <w:p w14:paraId="2A96ED39"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0.5%</w:t>
            </w:r>
          </w:p>
        </w:tc>
        <w:tc>
          <w:tcPr>
            <w:tcW w:w="2307" w:type="dxa"/>
            <w:tcMar>
              <w:top w:w="165" w:type="dxa"/>
              <w:left w:w="300" w:type="dxa"/>
              <w:bottom w:w="165" w:type="dxa"/>
              <w:right w:w="300" w:type="dxa"/>
            </w:tcMar>
            <w:vAlign w:val="center"/>
            <w:hideMark/>
          </w:tcPr>
          <w:p w14:paraId="7B17760D"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0.9%</w:t>
            </w:r>
          </w:p>
        </w:tc>
        <w:tc>
          <w:tcPr>
            <w:tcW w:w="2308" w:type="dxa"/>
            <w:tcMar>
              <w:top w:w="165" w:type="dxa"/>
              <w:left w:w="300" w:type="dxa"/>
              <w:bottom w:w="165" w:type="dxa"/>
              <w:right w:w="300" w:type="dxa"/>
            </w:tcMar>
            <w:vAlign w:val="center"/>
            <w:hideMark/>
          </w:tcPr>
          <w:p w14:paraId="4E18C277"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0.8%</w:t>
            </w:r>
          </w:p>
        </w:tc>
      </w:tr>
      <w:tr w:rsidR="009B09A2" w14:paraId="2348A765" w14:textId="77777777" w:rsidTr="009B09A2">
        <w:tc>
          <w:tcPr>
            <w:tcW w:w="2307" w:type="dxa"/>
            <w:shd w:val="clear" w:color="auto" w:fill="F7F5F2"/>
            <w:tcMar>
              <w:top w:w="165" w:type="dxa"/>
              <w:left w:w="300" w:type="dxa"/>
              <w:bottom w:w="195" w:type="dxa"/>
              <w:right w:w="300" w:type="dxa"/>
            </w:tcMar>
            <w:vAlign w:val="center"/>
            <w:hideMark/>
          </w:tcPr>
          <w:p w14:paraId="58527ACC" w14:textId="77777777" w:rsidR="009B09A2" w:rsidRDefault="009B09A2" w:rsidP="009B09A2">
            <w:pPr>
              <w:rPr>
                <w:rFonts w:ascii="Open Sans" w:hAnsi="Open Sans"/>
                <w:b/>
                <w:bCs/>
                <w:color w:val="45494B"/>
                <w:sz w:val="15"/>
                <w:szCs w:val="15"/>
              </w:rPr>
            </w:pPr>
            <w:r>
              <w:rPr>
                <w:rFonts w:ascii="Open Sans" w:hAnsi="Open Sans"/>
                <w:b/>
                <w:bCs/>
                <w:color w:val="45494B"/>
                <w:sz w:val="15"/>
                <w:szCs w:val="15"/>
              </w:rPr>
              <w:t> Deafness</w:t>
            </w:r>
          </w:p>
        </w:tc>
        <w:tc>
          <w:tcPr>
            <w:tcW w:w="2307" w:type="dxa"/>
            <w:shd w:val="clear" w:color="auto" w:fill="F7F5F2"/>
            <w:tcMar>
              <w:top w:w="165" w:type="dxa"/>
              <w:left w:w="300" w:type="dxa"/>
              <w:bottom w:w="165" w:type="dxa"/>
              <w:right w:w="300" w:type="dxa"/>
            </w:tcMar>
            <w:vAlign w:val="center"/>
            <w:hideMark/>
          </w:tcPr>
          <w:p w14:paraId="6F3DD4E0"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9.8%</w:t>
            </w:r>
          </w:p>
        </w:tc>
        <w:tc>
          <w:tcPr>
            <w:tcW w:w="2307" w:type="dxa"/>
            <w:shd w:val="clear" w:color="auto" w:fill="F7F5F2"/>
            <w:tcMar>
              <w:top w:w="165" w:type="dxa"/>
              <w:left w:w="300" w:type="dxa"/>
              <w:bottom w:w="165" w:type="dxa"/>
              <w:right w:w="300" w:type="dxa"/>
            </w:tcMar>
            <w:vAlign w:val="center"/>
            <w:hideMark/>
          </w:tcPr>
          <w:p w14:paraId="321C7D60"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15%</w:t>
            </w:r>
          </w:p>
        </w:tc>
        <w:tc>
          <w:tcPr>
            <w:tcW w:w="2308" w:type="dxa"/>
            <w:shd w:val="clear" w:color="auto" w:fill="F7F5F2"/>
            <w:tcMar>
              <w:top w:w="165" w:type="dxa"/>
              <w:left w:w="300" w:type="dxa"/>
              <w:bottom w:w="165" w:type="dxa"/>
              <w:right w:w="300" w:type="dxa"/>
            </w:tcMar>
            <w:vAlign w:val="center"/>
            <w:hideMark/>
          </w:tcPr>
          <w:p w14:paraId="0A02AA37"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14%</w:t>
            </w:r>
          </w:p>
        </w:tc>
      </w:tr>
      <w:tr w:rsidR="009B09A2" w14:paraId="11A9F063" w14:textId="77777777" w:rsidTr="009B09A2">
        <w:tc>
          <w:tcPr>
            <w:tcW w:w="2307" w:type="dxa"/>
            <w:tcMar>
              <w:top w:w="165" w:type="dxa"/>
              <w:left w:w="300" w:type="dxa"/>
              <w:bottom w:w="195" w:type="dxa"/>
              <w:right w:w="300" w:type="dxa"/>
            </w:tcMar>
            <w:vAlign w:val="center"/>
            <w:hideMark/>
          </w:tcPr>
          <w:p w14:paraId="354A9600" w14:textId="77777777" w:rsidR="009B09A2" w:rsidRDefault="009B09A2" w:rsidP="009B09A2">
            <w:pPr>
              <w:rPr>
                <w:rFonts w:ascii="Open Sans" w:hAnsi="Open Sans"/>
                <w:b/>
                <w:bCs/>
                <w:color w:val="45494B"/>
                <w:sz w:val="15"/>
                <w:szCs w:val="15"/>
              </w:rPr>
            </w:pPr>
            <w:r>
              <w:rPr>
                <w:rFonts w:ascii="Open Sans" w:hAnsi="Open Sans"/>
                <w:b/>
                <w:bCs/>
                <w:color w:val="45494B"/>
                <w:sz w:val="15"/>
                <w:szCs w:val="15"/>
              </w:rPr>
              <w:t> Diabetes</w:t>
            </w:r>
          </w:p>
        </w:tc>
        <w:tc>
          <w:tcPr>
            <w:tcW w:w="2307" w:type="dxa"/>
            <w:tcMar>
              <w:top w:w="165" w:type="dxa"/>
              <w:left w:w="300" w:type="dxa"/>
              <w:bottom w:w="165" w:type="dxa"/>
              <w:right w:w="300" w:type="dxa"/>
            </w:tcMar>
            <w:vAlign w:val="center"/>
            <w:hideMark/>
          </w:tcPr>
          <w:p w14:paraId="09693C58"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4.7%</w:t>
            </w:r>
          </w:p>
        </w:tc>
        <w:tc>
          <w:tcPr>
            <w:tcW w:w="2307" w:type="dxa"/>
            <w:tcMar>
              <w:top w:w="165" w:type="dxa"/>
              <w:left w:w="300" w:type="dxa"/>
              <w:bottom w:w="165" w:type="dxa"/>
              <w:right w:w="300" w:type="dxa"/>
            </w:tcMar>
            <w:vAlign w:val="center"/>
            <w:hideMark/>
          </w:tcPr>
          <w:p w14:paraId="253CB43E"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6.0%</w:t>
            </w:r>
          </w:p>
        </w:tc>
        <w:tc>
          <w:tcPr>
            <w:tcW w:w="2308" w:type="dxa"/>
            <w:tcMar>
              <w:top w:w="165" w:type="dxa"/>
              <w:left w:w="300" w:type="dxa"/>
              <w:bottom w:w="165" w:type="dxa"/>
              <w:right w:w="300" w:type="dxa"/>
            </w:tcMar>
            <w:vAlign w:val="center"/>
            <w:hideMark/>
          </w:tcPr>
          <w:p w14:paraId="24DB71D0"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6.7%</w:t>
            </w:r>
          </w:p>
        </w:tc>
      </w:tr>
      <w:tr w:rsidR="009B09A2" w14:paraId="60FFBA93" w14:textId="77777777" w:rsidTr="009B09A2">
        <w:tc>
          <w:tcPr>
            <w:tcW w:w="2307" w:type="dxa"/>
            <w:shd w:val="clear" w:color="auto" w:fill="F7F5F2"/>
            <w:tcMar>
              <w:top w:w="165" w:type="dxa"/>
              <w:left w:w="300" w:type="dxa"/>
              <w:bottom w:w="195" w:type="dxa"/>
              <w:right w:w="300" w:type="dxa"/>
            </w:tcMar>
            <w:vAlign w:val="center"/>
            <w:hideMark/>
          </w:tcPr>
          <w:p w14:paraId="3F77C5CE" w14:textId="77777777" w:rsidR="009B09A2" w:rsidRDefault="009B09A2" w:rsidP="009B09A2">
            <w:pPr>
              <w:rPr>
                <w:rFonts w:ascii="Open Sans" w:hAnsi="Open Sans"/>
                <w:b/>
                <w:bCs/>
                <w:color w:val="45494B"/>
                <w:sz w:val="15"/>
                <w:szCs w:val="15"/>
              </w:rPr>
            </w:pPr>
            <w:r>
              <w:rPr>
                <w:rFonts w:ascii="Open Sans" w:hAnsi="Open Sans"/>
                <w:b/>
                <w:bCs/>
                <w:color w:val="45494B"/>
                <w:sz w:val="15"/>
                <w:szCs w:val="15"/>
              </w:rPr>
              <w:t> CVD</w:t>
            </w:r>
          </w:p>
        </w:tc>
        <w:tc>
          <w:tcPr>
            <w:tcW w:w="2307" w:type="dxa"/>
            <w:shd w:val="clear" w:color="auto" w:fill="F7F5F2"/>
            <w:tcMar>
              <w:top w:w="165" w:type="dxa"/>
              <w:left w:w="300" w:type="dxa"/>
              <w:bottom w:w="165" w:type="dxa"/>
              <w:right w:w="300" w:type="dxa"/>
            </w:tcMar>
            <w:vAlign w:val="center"/>
            <w:hideMark/>
          </w:tcPr>
          <w:p w14:paraId="70EC4062"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4.7%</w:t>
            </w:r>
          </w:p>
        </w:tc>
        <w:tc>
          <w:tcPr>
            <w:tcW w:w="2307" w:type="dxa"/>
            <w:shd w:val="clear" w:color="auto" w:fill="F7F5F2"/>
            <w:tcMar>
              <w:top w:w="165" w:type="dxa"/>
              <w:left w:w="300" w:type="dxa"/>
              <w:bottom w:w="165" w:type="dxa"/>
              <w:right w:w="300" w:type="dxa"/>
            </w:tcMar>
            <w:vAlign w:val="center"/>
            <w:hideMark/>
          </w:tcPr>
          <w:p w14:paraId="326ED38F"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6.7%</w:t>
            </w:r>
          </w:p>
        </w:tc>
        <w:tc>
          <w:tcPr>
            <w:tcW w:w="2308" w:type="dxa"/>
            <w:shd w:val="clear" w:color="auto" w:fill="F7F5F2"/>
            <w:tcMar>
              <w:top w:w="165" w:type="dxa"/>
              <w:left w:w="300" w:type="dxa"/>
              <w:bottom w:w="165" w:type="dxa"/>
              <w:right w:w="300" w:type="dxa"/>
            </w:tcMar>
            <w:vAlign w:val="center"/>
            <w:hideMark/>
          </w:tcPr>
          <w:p w14:paraId="60B6D469"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5.8%</w:t>
            </w:r>
          </w:p>
        </w:tc>
      </w:tr>
      <w:tr w:rsidR="009B09A2" w14:paraId="0A1E439B" w14:textId="77777777" w:rsidTr="009B09A2">
        <w:tc>
          <w:tcPr>
            <w:tcW w:w="2307" w:type="dxa"/>
            <w:tcMar>
              <w:top w:w="165" w:type="dxa"/>
              <w:left w:w="300" w:type="dxa"/>
              <w:bottom w:w="195" w:type="dxa"/>
              <w:right w:w="300" w:type="dxa"/>
            </w:tcMar>
            <w:vAlign w:val="center"/>
            <w:hideMark/>
          </w:tcPr>
          <w:p w14:paraId="4DA591F6" w14:textId="77777777" w:rsidR="009B09A2" w:rsidRDefault="009B09A2" w:rsidP="009B09A2">
            <w:pPr>
              <w:rPr>
                <w:rFonts w:ascii="Open Sans" w:hAnsi="Open Sans"/>
                <w:b/>
                <w:bCs/>
                <w:color w:val="45494B"/>
                <w:sz w:val="15"/>
                <w:szCs w:val="15"/>
              </w:rPr>
            </w:pPr>
            <w:r>
              <w:rPr>
                <w:rFonts w:ascii="Open Sans" w:hAnsi="Open Sans"/>
                <w:b/>
                <w:bCs/>
                <w:color w:val="45494B"/>
                <w:sz w:val="15"/>
                <w:szCs w:val="15"/>
              </w:rPr>
              <w:t> Cancer</w:t>
            </w:r>
          </w:p>
        </w:tc>
        <w:tc>
          <w:tcPr>
            <w:tcW w:w="2307" w:type="dxa"/>
            <w:tcMar>
              <w:top w:w="165" w:type="dxa"/>
              <w:left w:w="300" w:type="dxa"/>
              <w:bottom w:w="165" w:type="dxa"/>
              <w:right w:w="300" w:type="dxa"/>
            </w:tcMar>
            <w:vAlign w:val="center"/>
            <w:hideMark/>
          </w:tcPr>
          <w:p w14:paraId="63DD6E2B"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1.6%</w:t>
            </w:r>
          </w:p>
        </w:tc>
        <w:tc>
          <w:tcPr>
            <w:tcW w:w="2307" w:type="dxa"/>
            <w:tcMar>
              <w:top w:w="165" w:type="dxa"/>
              <w:left w:w="300" w:type="dxa"/>
              <w:bottom w:w="165" w:type="dxa"/>
              <w:right w:w="300" w:type="dxa"/>
            </w:tcMar>
            <w:vAlign w:val="center"/>
            <w:hideMark/>
          </w:tcPr>
          <w:p w14:paraId="40D865BA"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1.7%</w:t>
            </w:r>
          </w:p>
        </w:tc>
        <w:tc>
          <w:tcPr>
            <w:tcW w:w="2308" w:type="dxa"/>
            <w:tcMar>
              <w:top w:w="165" w:type="dxa"/>
              <w:left w:w="300" w:type="dxa"/>
              <w:bottom w:w="165" w:type="dxa"/>
              <w:right w:w="300" w:type="dxa"/>
            </w:tcMar>
            <w:vAlign w:val="center"/>
            <w:hideMark/>
          </w:tcPr>
          <w:p w14:paraId="48C35EF2"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1.8%</w:t>
            </w:r>
          </w:p>
        </w:tc>
      </w:tr>
      <w:tr w:rsidR="009B09A2" w14:paraId="7283E4DD" w14:textId="77777777" w:rsidTr="009B09A2">
        <w:tc>
          <w:tcPr>
            <w:tcW w:w="2307" w:type="dxa"/>
            <w:shd w:val="clear" w:color="auto" w:fill="F7F5F2"/>
            <w:tcMar>
              <w:top w:w="165" w:type="dxa"/>
              <w:left w:w="300" w:type="dxa"/>
              <w:bottom w:w="195" w:type="dxa"/>
              <w:right w:w="300" w:type="dxa"/>
            </w:tcMar>
            <w:vAlign w:val="center"/>
            <w:hideMark/>
          </w:tcPr>
          <w:p w14:paraId="4614550B" w14:textId="77777777" w:rsidR="009B09A2" w:rsidRDefault="009B09A2" w:rsidP="009B09A2">
            <w:pPr>
              <w:rPr>
                <w:rFonts w:ascii="Open Sans" w:hAnsi="Open Sans"/>
                <w:b/>
                <w:bCs/>
                <w:color w:val="45494B"/>
                <w:sz w:val="15"/>
                <w:szCs w:val="15"/>
              </w:rPr>
            </w:pPr>
            <w:r>
              <w:rPr>
                <w:rFonts w:ascii="Open Sans" w:hAnsi="Open Sans"/>
                <w:b/>
                <w:bCs/>
                <w:color w:val="45494B"/>
                <w:sz w:val="15"/>
                <w:szCs w:val="15"/>
              </w:rPr>
              <w:t> Mental health problems</w:t>
            </w:r>
          </w:p>
        </w:tc>
        <w:tc>
          <w:tcPr>
            <w:tcW w:w="2307" w:type="dxa"/>
            <w:shd w:val="clear" w:color="auto" w:fill="F7F5F2"/>
            <w:tcMar>
              <w:top w:w="165" w:type="dxa"/>
              <w:left w:w="300" w:type="dxa"/>
              <w:bottom w:w="165" w:type="dxa"/>
              <w:right w:w="300" w:type="dxa"/>
            </w:tcMar>
            <w:vAlign w:val="center"/>
            <w:hideMark/>
          </w:tcPr>
          <w:p w14:paraId="150F68A1"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17%</w:t>
            </w:r>
          </w:p>
        </w:tc>
        <w:tc>
          <w:tcPr>
            <w:tcW w:w="2307" w:type="dxa"/>
            <w:shd w:val="clear" w:color="auto" w:fill="F7F5F2"/>
            <w:tcMar>
              <w:top w:w="165" w:type="dxa"/>
              <w:left w:w="300" w:type="dxa"/>
              <w:bottom w:w="165" w:type="dxa"/>
              <w:right w:w="300" w:type="dxa"/>
            </w:tcMar>
            <w:vAlign w:val="center"/>
            <w:hideMark/>
          </w:tcPr>
          <w:p w14:paraId="0B2DB5F8"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19%</w:t>
            </w:r>
          </w:p>
        </w:tc>
        <w:tc>
          <w:tcPr>
            <w:tcW w:w="2308" w:type="dxa"/>
            <w:shd w:val="clear" w:color="auto" w:fill="F7F5F2"/>
            <w:tcMar>
              <w:top w:w="165" w:type="dxa"/>
              <w:left w:w="300" w:type="dxa"/>
              <w:bottom w:w="165" w:type="dxa"/>
              <w:right w:w="300" w:type="dxa"/>
            </w:tcMar>
            <w:vAlign w:val="center"/>
            <w:hideMark/>
          </w:tcPr>
          <w:p w14:paraId="73AA9786" w14:textId="77777777" w:rsidR="009B09A2" w:rsidRDefault="009B09A2" w:rsidP="009B09A2">
            <w:pPr>
              <w:jc w:val="center"/>
              <w:rPr>
                <w:rFonts w:ascii="Open Sans" w:hAnsi="Open Sans"/>
                <w:color w:val="45494B"/>
                <w:sz w:val="15"/>
                <w:szCs w:val="15"/>
              </w:rPr>
            </w:pPr>
            <w:r>
              <w:rPr>
                <w:rFonts w:ascii="Open Sans" w:hAnsi="Open Sans"/>
                <w:color w:val="45494B"/>
                <w:sz w:val="15"/>
                <w:szCs w:val="15"/>
              </w:rPr>
              <w:t>19%</w:t>
            </w:r>
          </w:p>
        </w:tc>
      </w:tr>
    </w:tbl>
    <w:p w14:paraId="48EFF5C9" w14:textId="77777777" w:rsidR="009B09A2" w:rsidRDefault="009B09A2" w:rsidP="009B09A2">
      <w:pPr>
        <w:pStyle w:val="note"/>
        <w:spacing w:before="150" w:beforeAutospacing="0"/>
        <w:rPr>
          <w:rFonts w:ascii="Open Sans" w:hAnsi="Open Sans"/>
          <w:color w:val="45494B"/>
        </w:rPr>
      </w:pPr>
      <w:r>
        <w:rPr>
          <w:rStyle w:val="Emphasis"/>
          <w:rFonts w:ascii="Open Sans" w:hAnsi="Open Sans"/>
          <w:color w:val="45494B"/>
        </w:rPr>
        <w:t>Notes</w:t>
      </w:r>
    </w:p>
    <w:p w14:paraId="38B4F178" w14:textId="77777777" w:rsidR="009B09A2" w:rsidRDefault="009B09A2" w:rsidP="00AA5EBF">
      <w:pPr>
        <w:numPr>
          <w:ilvl w:val="0"/>
          <w:numId w:val="16"/>
        </w:numPr>
        <w:spacing w:before="100" w:beforeAutospacing="1" w:after="60"/>
        <w:rPr>
          <w:rFonts w:ascii="Open Sans" w:hAnsi="Open Sans"/>
          <w:color w:val="45494B"/>
          <w:sz w:val="15"/>
          <w:szCs w:val="15"/>
        </w:rPr>
      </w:pPr>
      <w:r>
        <w:rPr>
          <w:rFonts w:ascii="Open Sans" w:hAnsi="Open Sans"/>
          <w:color w:val="45494B"/>
          <w:sz w:val="15"/>
          <w:szCs w:val="15"/>
        </w:rPr>
        <w:t>'%' represents prevalence of chronic diseases in each region (excluding </w:t>
      </w:r>
      <w:r>
        <w:rPr>
          <w:rStyle w:val="Emphasis"/>
          <w:rFonts w:ascii="Open Sans" w:hAnsi="Open Sans"/>
          <w:color w:val="45494B"/>
          <w:sz w:val="15"/>
          <w:szCs w:val="15"/>
        </w:rPr>
        <w:t>Very remote </w:t>
      </w:r>
      <w:r>
        <w:rPr>
          <w:rFonts w:ascii="Open Sans" w:hAnsi="Open Sans"/>
          <w:color w:val="45494B"/>
          <w:sz w:val="15"/>
          <w:szCs w:val="15"/>
        </w:rPr>
        <w:t>areas of Australia).</w:t>
      </w:r>
    </w:p>
    <w:p w14:paraId="10A04D15" w14:textId="77777777" w:rsidR="009B09A2" w:rsidRDefault="009B09A2" w:rsidP="00AA5EBF">
      <w:pPr>
        <w:numPr>
          <w:ilvl w:val="0"/>
          <w:numId w:val="16"/>
        </w:numPr>
        <w:spacing w:before="100" w:beforeAutospacing="1" w:after="60"/>
        <w:rPr>
          <w:rFonts w:ascii="Open Sans" w:hAnsi="Open Sans"/>
          <w:color w:val="45494B"/>
          <w:sz w:val="15"/>
          <w:szCs w:val="15"/>
        </w:rPr>
      </w:pPr>
      <w:r>
        <w:rPr>
          <w:rFonts w:ascii="Open Sans" w:hAnsi="Open Sans"/>
          <w:color w:val="45494B"/>
          <w:sz w:val="15"/>
          <w:szCs w:val="15"/>
        </w:rPr>
        <w:t>Proportions are not age-standardised, and in some instances higher prevalence may reflect the older age profiles in </w:t>
      </w:r>
      <w:r>
        <w:rPr>
          <w:rStyle w:val="Emphasis"/>
          <w:rFonts w:ascii="Open Sans" w:hAnsi="Open Sans"/>
          <w:color w:val="45494B"/>
          <w:sz w:val="15"/>
          <w:szCs w:val="15"/>
        </w:rPr>
        <w:t>Inner regional </w:t>
      </w:r>
      <w:r>
        <w:rPr>
          <w:rFonts w:ascii="Open Sans" w:hAnsi="Open Sans"/>
          <w:color w:val="45494B"/>
          <w:sz w:val="15"/>
          <w:szCs w:val="15"/>
        </w:rPr>
        <w:t>and </w:t>
      </w:r>
      <w:r>
        <w:rPr>
          <w:rStyle w:val="Emphasis"/>
          <w:rFonts w:ascii="Open Sans" w:hAnsi="Open Sans"/>
          <w:color w:val="45494B"/>
          <w:sz w:val="15"/>
          <w:szCs w:val="15"/>
        </w:rPr>
        <w:t>Outer regional/Remote </w:t>
      </w:r>
      <w:r>
        <w:rPr>
          <w:rFonts w:ascii="Open Sans" w:hAnsi="Open Sans"/>
          <w:color w:val="45494B"/>
          <w:sz w:val="15"/>
          <w:szCs w:val="15"/>
        </w:rPr>
        <w:t>areas.</w:t>
      </w:r>
    </w:p>
    <w:p w14:paraId="70B9D2DA" w14:textId="77777777" w:rsidR="009B09A2" w:rsidRDefault="009B09A2" w:rsidP="00AA5EBF">
      <w:pPr>
        <w:numPr>
          <w:ilvl w:val="0"/>
          <w:numId w:val="16"/>
        </w:numPr>
        <w:spacing w:before="100" w:beforeAutospacing="1" w:after="60"/>
        <w:rPr>
          <w:rFonts w:ascii="Open Sans" w:hAnsi="Open Sans"/>
          <w:color w:val="45494B"/>
          <w:sz w:val="15"/>
          <w:szCs w:val="15"/>
        </w:rPr>
      </w:pPr>
      <w:r>
        <w:rPr>
          <w:rFonts w:ascii="Open Sans" w:hAnsi="Open Sans"/>
          <w:color w:val="45494B"/>
          <w:sz w:val="15"/>
          <w:szCs w:val="15"/>
        </w:rPr>
        <w:t>'COPD' refers to chronic obstructive pulmonary disease.</w:t>
      </w:r>
    </w:p>
    <w:p w14:paraId="23DAE630" w14:textId="77777777" w:rsidR="009B09A2" w:rsidRDefault="009B09A2" w:rsidP="00AA5EBF">
      <w:pPr>
        <w:numPr>
          <w:ilvl w:val="0"/>
          <w:numId w:val="16"/>
        </w:numPr>
        <w:spacing w:before="100" w:beforeAutospacing="1" w:after="60"/>
        <w:rPr>
          <w:rFonts w:ascii="Open Sans" w:hAnsi="Open Sans"/>
          <w:color w:val="45494B"/>
          <w:sz w:val="15"/>
          <w:szCs w:val="15"/>
        </w:rPr>
      </w:pPr>
      <w:r>
        <w:rPr>
          <w:rFonts w:ascii="Open Sans" w:hAnsi="Open Sans"/>
          <w:color w:val="45494B"/>
          <w:sz w:val="15"/>
          <w:szCs w:val="15"/>
        </w:rPr>
        <w:t>'Blindness' includes partial and complete blindness.</w:t>
      </w:r>
    </w:p>
    <w:p w14:paraId="1FBD95FB" w14:textId="77777777" w:rsidR="009B09A2" w:rsidRDefault="009B09A2" w:rsidP="00AA5EBF">
      <w:pPr>
        <w:numPr>
          <w:ilvl w:val="0"/>
          <w:numId w:val="16"/>
        </w:numPr>
        <w:spacing w:before="100" w:beforeAutospacing="1" w:after="60"/>
        <w:rPr>
          <w:rFonts w:ascii="Open Sans" w:hAnsi="Open Sans"/>
          <w:color w:val="45494B"/>
          <w:sz w:val="15"/>
          <w:szCs w:val="15"/>
        </w:rPr>
      </w:pPr>
      <w:r>
        <w:rPr>
          <w:rFonts w:ascii="Open Sans" w:hAnsi="Open Sans"/>
          <w:color w:val="45494B"/>
          <w:sz w:val="15"/>
          <w:szCs w:val="15"/>
        </w:rPr>
        <w:t>'CVD' refers to heart, stroke and vascular disease.</w:t>
      </w:r>
    </w:p>
    <w:p w14:paraId="2696A230" w14:textId="77777777" w:rsidR="003B1E51" w:rsidRDefault="003B1E51" w:rsidP="0018196D">
      <w:pPr>
        <w:spacing w:before="240"/>
        <w:rPr>
          <w:rFonts w:asciiTheme="minorHAnsi" w:hAnsiTheme="minorHAnsi" w:cstheme="minorHAnsi"/>
        </w:rPr>
      </w:pPr>
    </w:p>
    <w:p w14:paraId="0F1ED647" w14:textId="77777777" w:rsidR="00C954F0" w:rsidRDefault="009B09A2" w:rsidP="00C954F0">
      <w:pPr>
        <w:spacing w:before="240"/>
        <w:rPr>
          <w:rFonts w:asciiTheme="minorHAnsi" w:hAnsiTheme="minorHAnsi" w:cstheme="minorHAnsi"/>
        </w:rPr>
      </w:pPr>
      <w:r>
        <w:rPr>
          <w:rFonts w:asciiTheme="minorHAnsi" w:hAnsiTheme="minorHAnsi" w:cstheme="minorHAnsi"/>
        </w:rPr>
        <w:t xml:space="preserve">Continued </w:t>
      </w:r>
      <w:r w:rsidR="003645F6">
        <w:rPr>
          <w:rFonts w:asciiTheme="minorHAnsi" w:hAnsiTheme="minorHAnsi" w:cstheme="minorHAnsi"/>
        </w:rPr>
        <w:t xml:space="preserve">medical </w:t>
      </w:r>
      <w:r>
        <w:rPr>
          <w:rFonts w:asciiTheme="minorHAnsi" w:hAnsiTheme="minorHAnsi" w:cstheme="minorHAnsi"/>
        </w:rPr>
        <w:t xml:space="preserve">workforce maldistribution and lower levels of GP qualification in rural and remote areas will likely continue to contribute to poorer access to quality primary </w:t>
      </w:r>
      <w:r w:rsidR="00E54B5F">
        <w:rPr>
          <w:rFonts w:asciiTheme="minorHAnsi" w:hAnsiTheme="minorHAnsi" w:cstheme="minorHAnsi"/>
        </w:rPr>
        <w:t>care services in those areas which, in turn,</w:t>
      </w:r>
      <w:r w:rsidR="0018196D">
        <w:rPr>
          <w:rFonts w:asciiTheme="minorHAnsi" w:hAnsiTheme="minorHAnsi" w:cstheme="minorHAnsi"/>
        </w:rPr>
        <w:t xml:space="preserve"> will contribute to </w:t>
      </w:r>
      <w:r>
        <w:rPr>
          <w:rFonts w:asciiTheme="minorHAnsi" w:hAnsiTheme="minorHAnsi" w:cstheme="minorHAnsi"/>
        </w:rPr>
        <w:t xml:space="preserve">higher rates of chronic health conditions </w:t>
      </w:r>
      <w:r w:rsidRPr="00413B44">
        <w:rPr>
          <w:rFonts w:asciiTheme="minorHAnsi" w:hAnsiTheme="minorHAnsi" w:cstheme="minorHAnsi"/>
        </w:rPr>
        <w:t xml:space="preserve">and </w:t>
      </w:r>
      <w:r w:rsidRPr="006A6EB7">
        <w:rPr>
          <w:rFonts w:asciiTheme="minorHAnsi" w:hAnsiTheme="minorHAnsi" w:cstheme="minorHAnsi"/>
        </w:rPr>
        <w:t>potentially preventable hospital admissions</w:t>
      </w:r>
      <w:r w:rsidR="0018196D">
        <w:rPr>
          <w:rFonts w:asciiTheme="minorHAnsi" w:hAnsiTheme="minorHAnsi" w:cstheme="minorHAnsi"/>
        </w:rPr>
        <w:t xml:space="preserve"> (</w:t>
      </w:r>
      <w:r w:rsidRPr="0052028F">
        <w:rPr>
          <w:rFonts w:asciiTheme="minorHAnsi" w:hAnsiTheme="minorHAnsi" w:cstheme="minorHAnsi"/>
        </w:rPr>
        <w:t>admissions that may potentially have been avoided through effective and timely access to quality primary and community</w:t>
      </w:r>
      <w:r>
        <w:rPr>
          <w:rFonts w:asciiTheme="minorHAnsi" w:hAnsiTheme="minorHAnsi" w:cstheme="minorHAnsi"/>
        </w:rPr>
        <w:t>-</w:t>
      </w:r>
      <w:r w:rsidRPr="0052028F">
        <w:rPr>
          <w:rFonts w:asciiTheme="minorHAnsi" w:hAnsiTheme="minorHAnsi" w:cstheme="minorHAnsi"/>
        </w:rPr>
        <w:t>based care</w:t>
      </w:r>
      <w:r w:rsidR="0018196D">
        <w:rPr>
          <w:rFonts w:asciiTheme="minorHAnsi" w:hAnsiTheme="minorHAnsi" w:cstheme="minorHAnsi"/>
        </w:rPr>
        <w:t>)</w:t>
      </w:r>
      <w:r w:rsidRPr="0052028F">
        <w:rPr>
          <w:rFonts w:asciiTheme="minorHAnsi" w:hAnsiTheme="minorHAnsi" w:cstheme="minorHAnsi"/>
        </w:rPr>
        <w:t>.</w:t>
      </w:r>
    </w:p>
    <w:p w14:paraId="4D59DA2B" w14:textId="77777777" w:rsidR="00C954F0" w:rsidRDefault="00C954F0" w:rsidP="009B09A2">
      <w:pPr>
        <w:rPr>
          <w:rFonts w:asciiTheme="minorHAnsi" w:hAnsiTheme="minorHAnsi" w:cstheme="minorHAnsi"/>
          <w:b/>
        </w:rPr>
      </w:pPr>
    </w:p>
    <w:p w14:paraId="6EF3FB53" w14:textId="5C33E15F" w:rsidR="00B67673" w:rsidRPr="006F3273" w:rsidRDefault="0068349F" w:rsidP="009B09A2">
      <w:pPr>
        <w:rPr>
          <w:rFonts w:asciiTheme="minorHAnsi" w:hAnsiTheme="minorHAnsi" w:cstheme="minorHAnsi"/>
          <w:b/>
        </w:rPr>
      </w:pPr>
      <w:r>
        <w:rPr>
          <w:rFonts w:asciiTheme="minorHAnsi" w:hAnsiTheme="minorHAnsi" w:cstheme="minorHAnsi"/>
          <w:b/>
        </w:rPr>
        <w:t>Access to multidisciplinary care</w:t>
      </w:r>
    </w:p>
    <w:p w14:paraId="10226713" w14:textId="77777777" w:rsidR="00C954F0" w:rsidRDefault="0018196D" w:rsidP="00AF7B16">
      <w:pPr>
        <w:rPr>
          <w:rFonts w:asciiTheme="minorHAnsi" w:hAnsiTheme="minorHAnsi" w:cstheme="minorHAnsi"/>
        </w:rPr>
      </w:pPr>
      <w:r>
        <w:rPr>
          <w:rFonts w:asciiTheme="minorHAnsi" w:hAnsiTheme="minorHAnsi" w:cstheme="minorHAnsi"/>
        </w:rPr>
        <w:t xml:space="preserve">Whilst </w:t>
      </w:r>
      <w:r w:rsidR="003645F6">
        <w:rPr>
          <w:rFonts w:asciiTheme="minorHAnsi" w:hAnsiTheme="minorHAnsi" w:cstheme="minorHAnsi"/>
        </w:rPr>
        <w:t>there is a pressing need to</w:t>
      </w:r>
      <w:r>
        <w:rPr>
          <w:rFonts w:asciiTheme="minorHAnsi" w:hAnsiTheme="minorHAnsi" w:cstheme="minorHAnsi"/>
        </w:rPr>
        <w:t xml:space="preserve"> </w:t>
      </w:r>
      <w:r w:rsidR="003645F6">
        <w:rPr>
          <w:rFonts w:asciiTheme="minorHAnsi" w:hAnsiTheme="minorHAnsi" w:cstheme="minorHAnsi"/>
        </w:rPr>
        <w:t>improve</w:t>
      </w:r>
      <w:r>
        <w:rPr>
          <w:rFonts w:asciiTheme="minorHAnsi" w:hAnsiTheme="minorHAnsi" w:cstheme="minorHAnsi"/>
        </w:rPr>
        <w:t xml:space="preserve"> the distribution of doctors and </w:t>
      </w:r>
      <w:r w:rsidR="003645F6">
        <w:rPr>
          <w:rFonts w:asciiTheme="minorHAnsi" w:hAnsiTheme="minorHAnsi" w:cstheme="minorHAnsi"/>
        </w:rPr>
        <w:t>increase</w:t>
      </w:r>
      <w:r>
        <w:rPr>
          <w:rFonts w:asciiTheme="minorHAnsi" w:hAnsiTheme="minorHAnsi" w:cstheme="minorHAnsi"/>
        </w:rPr>
        <w:t xml:space="preserve"> </w:t>
      </w:r>
      <w:r w:rsidR="003645F6">
        <w:rPr>
          <w:rFonts w:asciiTheme="minorHAnsi" w:hAnsiTheme="minorHAnsi" w:cstheme="minorHAnsi"/>
        </w:rPr>
        <w:t>the number of fully qualified GPs</w:t>
      </w:r>
      <w:r>
        <w:rPr>
          <w:rFonts w:asciiTheme="minorHAnsi" w:hAnsiTheme="minorHAnsi" w:cstheme="minorHAnsi"/>
        </w:rPr>
        <w:t xml:space="preserve">, </w:t>
      </w:r>
      <w:r w:rsidR="003645F6">
        <w:rPr>
          <w:rFonts w:asciiTheme="minorHAnsi" w:hAnsiTheme="minorHAnsi" w:cstheme="minorHAnsi"/>
        </w:rPr>
        <w:t>this must be considered in the context of refo</w:t>
      </w:r>
      <w:r w:rsidR="00ED3C46">
        <w:rPr>
          <w:rFonts w:asciiTheme="minorHAnsi" w:hAnsiTheme="minorHAnsi" w:cstheme="minorHAnsi"/>
        </w:rPr>
        <w:t>r</w:t>
      </w:r>
      <w:r w:rsidR="003645F6">
        <w:rPr>
          <w:rFonts w:asciiTheme="minorHAnsi" w:hAnsiTheme="minorHAnsi" w:cstheme="minorHAnsi"/>
        </w:rPr>
        <w:t>ms to other</w:t>
      </w:r>
      <w:r w:rsidR="00ED3C46">
        <w:rPr>
          <w:rFonts w:asciiTheme="minorHAnsi" w:hAnsiTheme="minorHAnsi" w:cstheme="minorHAnsi"/>
        </w:rPr>
        <w:t xml:space="preserve"> health professi</w:t>
      </w:r>
      <w:r w:rsidR="003645F6">
        <w:rPr>
          <w:rFonts w:asciiTheme="minorHAnsi" w:hAnsiTheme="minorHAnsi" w:cstheme="minorHAnsi"/>
        </w:rPr>
        <w:t>on</w:t>
      </w:r>
      <w:r w:rsidR="00ED3C46">
        <w:rPr>
          <w:rFonts w:asciiTheme="minorHAnsi" w:hAnsiTheme="minorHAnsi" w:cstheme="minorHAnsi"/>
        </w:rPr>
        <w:t xml:space="preserve">s. </w:t>
      </w:r>
      <w:r w:rsidR="009B09A2" w:rsidRPr="00717CFC">
        <w:rPr>
          <w:rFonts w:asciiTheme="minorHAnsi" w:hAnsiTheme="minorHAnsi" w:cstheme="minorHAnsi"/>
        </w:rPr>
        <w:t>Nurses and allied health professionals</w:t>
      </w:r>
      <w:r w:rsidR="00ED3C46">
        <w:rPr>
          <w:rFonts w:asciiTheme="minorHAnsi" w:hAnsiTheme="minorHAnsi" w:cstheme="minorHAnsi"/>
        </w:rPr>
        <w:t xml:space="preserve"> (</w:t>
      </w:r>
      <w:r w:rsidR="009B09A2" w:rsidRPr="00717CFC">
        <w:rPr>
          <w:rFonts w:asciiTheme="minorHAnsi" w:hAnsiTheme="minorHAnsi" w:cstheme="minorHAnsi"/>
        </w:rPr>
        <w:t>such as podiatrists, physiotherapists and psychologists</w:t>
      </w:r>
      <w:r w:rsidR="00ED3C46">
        <w:rPr>
          <w:rFonts w:asciiTheme="minorHAnsi" w:hAnsiTheme="minorHAnsi" w:cstheme="minorHAnsi"/>
        </w:rPr>
        <w:t xml:space="preserve">) </w:t>
      </w:r>
      <w:r w:rsidR="003645F6">
        <w:rPr>
          <w:rFonts w:asciiTheme="minorHAnsi" w:hAnsiTheme="minorHAnsi" w:cstheme="minorHAnsi"/>
        </w:rPr>
        <w:t xml:space="preserve">must be appropriately skilled and available </w:t>
      </w:r>
      <w:r w:rsidR="00ED3C46">
        <w:rPr>
          <w:rFonts w:asciiTheme="minorHAnsi" w:hAnsiTheme="minorHAnsi" w:cstheme="minorHAnsi"/>
        </w:rPr>
        <w:t>to</w:t>
      </w:r>
      <w:r w:rsidR="009B09A2" w:rsidRPr="00717CFC">
        <w:rPr>
          <w:rFonts w:asciiTheme="minorHAnsi" w:hAnsiTheme="minorHAnsi" w:cstheme="minorHAnsi"/>
        </w:rPr>
        <w:t xml:space="preserve"> deliver </w:t>
      </w:r>
      <w:r w:rsidR="009B09A2" w:rsidRPr="0052028F">
        <w:rPr>
          <w:rFonts w:asciiTheme="minorHAnsi" w:hAnsiTheme="minorHAnsi" w:cstheme="minorHAnsi"/>
        </w:rPr>
        <w:t>essential care to individuals within multidisciplinary and team-based service models, led by GPs within primary health care settings.</w:t>
      </w:r>
    </w:p>
    <w:p w14:paraId="3814FBA2" w14:textId="19F2BBFC" w:rsidR="003B1E51" w:rsidRDefault="00C954F0" w:rsidP="00AF7B16">
      <w:pPr>
        <w:rPr>
          <w:rFonts w:asciiTheme="minorHAnsi" w:hAnsiTheme="minorHAnsi" w:cstheme="minorHAnsi"/>
        </w:rPr>
      </w:pPr>
      <w:r>
        <w:rPr>
          <w:rFonts w:asciiTheme="minorHAnsi" w:hAnsiTheme="minorHAnsi" w:cstheme="minorHAnsi"/>
        </w:rPr>
        <w:t xml:space="preserve"> </w:t>
      </w:r>
    </w:p>
    <w:p w14:paraId="384373F9" w14:textId="0359653B" w:rsidR="00DB27D8" w:rsidRPr="006F3273" w:rsidRDefault="00DB27D8" w:rsidP="00797388">
      <w:pPr>
        <w:keepNext/>
        <w:rPr>
          <w:rFonts w:asciiTheme="minorHAnsi" w:hAnsiTheme="minorHAnsi" w:cstheme="minorHAnsi"/>
          <w:u w:val="single"/>
        </w:rPr>
      </w:pPr>
      <w:r w:rsidRPr="006F3273">
        <w:rPr>
          <w:rFonts w:asciiTheme="minorHAnsi" w:hAnsiTheme="minorHAnsi" w:cstheme="minorHAnsi"/>
          <w:u w:val="single"/>
        </w:rPr>
        <w:lastRenderedPageBreak/>
        <w:t>Nurses</w:t>
      </w:r>
    </w:p>
    <w:p w14:paraId="0078E9D5" w14:textId="77777777" w:rsidR="00C954F0" w:rsidRDefault="00BF4F8D" w:rsidP="00797388">
      <w:pPr>
        <w:keepNext/>
        <w:rPr>
          <w:rFonts w:asciiTheme="minorHAnsi" w:hAnsiTheme="minorHAnsi" w:cstheme="minorHAnsi"/>
        </w:rPr>
      </w:pPr>
      <w:r w:rsidRPr="00B937CB">
        <w:rPr>
          <w:rFonts w:asciiTheme="minorHAnsi" w:hAnsiTheme="minorHAnsi" w:cstheme="minorHAnsi"/>
        </w:rPr>
        <w:t xml:space="preserve">If </w:t>
      </w:r>
      <w:r w:rsidR="003645F6" w:rsidRPr="00B937CB">
        <w:rPr>
          <w:rFonts w:asciiTheme="minorHAnsi" w:hAnsiTheme="minorHAnsi" w:cstheme="minorHAnsi"/>
        </w:rPr>
        <w:t>multidisciplinary models</w:t>
      </w:r>
      <w:r w:rsidRPr="00B937CB">
        <w:rPr>
          <w:rFonts w:asciiTheme="minorHAnsi" w:hAnsiTheme="minorHAnsi" w:cstheme="minorHAnsi"/>
        </w:rPr>
        <w:t xml:space="preserve"> of care are</w:t>
      </w:r>
      <w:r w:rsidR="003645F6" w:rsidRPr="00B937CB">
        <w:rPr>
          <w:rFonts w:asciiTheme="minorHAnsi" w:hAnsiTheme="minorHAnsi" w:cstheme="minorHAnsi"/>
        </w:rPr>
        <w:t xml:space="preserve"> to thrive, the Australian Government must pay particular attention to the role of nurses, as they account for over 40 per cent of the health workforce and in many settings are the health professional with the highest contact rates with patients.  This is particularly the case in acute care</w:t>
      </w:r>
      <w:r w:rsidR="006D678F" w:rsidRPr="006F3273">
        <w:rPr>
          <w:rFonts w:asciiTheme="minorHAnsi" w:hAnsiTheme="minorHAnsi" w:cstheme="minorHAnsi"/>
        </w:rPr>
        <w:t xml:space="preserve"> settings</w:t>
      </w:r>
      <w:r w:rsidR="003645F6" w:rsidRPr="00B937CB">
        <w:rPr>
          <w:rFonts w:asciiTheme="minorHAnsi" w:hAnsiTheme="minorHAnsi" w:cstheme="minorHAnsi"/>
        </w:rPr>
        <w:t>, aged and residential care</w:t>
      </w:r>
      <w:r w:rsidR="006D678F" w:rsidRPr="006F3273">
        <w:rPr>
          <w:rFonts w:asciiTheme="minorHAnsi" w:hAnsiTheme="minorHAnsi" w:cstheme="minorHAnsi"/>
        </w:rPr>
        <w:t>, and many remote communities</w:t>
      </w:r>
      <w:r w:rsidR="003645F6" w:rsidRPr="00B937CB">
        <w:rPr>
          <w:rFonts w:asciiTheme="minorHAnsi" w:hAnsiTheme="minorHAnsi" w:cstheme="minorHAnsi"/>
        </w:rPr>
        <w:t>.  Given the diversity of roles performed by nurses, there is a need to ensure nurses are appropriately skilled to meet health needs across the lifespan and fully engage with expanded and changing roles within Australia’s rapidly evolving health system.</w:t>
      </w:r>
    </w:p>
    <w:p w14:paraId="369C1851" w14:textId="22610E93" w:rsidR="003645F6" w:rsidRDefault="00C954F0" w:rsidP="003645F6">
      <w:pPr>
        <w:rPr>
          <w:rFonts w:asciiTheme="minorHAnsi" w:hAnsiTheme="minorHAnsi" w:cstheme="minorHAnsi"/>
        </w:rPr>
      </w:pPr>
      <w:r>
        <w:rPr>
          <w:rFonts w:asciiTheme="minorHAnsi" w:hAnsiTheme="minorHAnsi" w:cstheme="minorHAnsi"/>
        </w:rPr>
        <w:t xml:space="preserve"> </w:t>
      </w:r>
    </w:p>
    <w:p w14:paraId="1D5DB57E" w14:textId="77777777" w:rsidR="003645F6" w:rsidRDefault="003645F6" w:rsidP="003645F6">
      <w:pPr>
        <w:rPr>
          <w:rFonts w:asciiTheme="minorHAnsi" w:hAnsiTheme="minorHAnsi" w:cstheme="minorHAnsi"/>
        </w:rPr>
      </w:pPr>
      <w:r>
        <w:rPr>
          <w:rFonts w:asciiTheme="minorHAnsi" w:hAnsiTheme="minorHAnsi" w:cstheme="minorHAnsi"/>
        </w:rPr>
        <w:t>The need to consider current arrangements for training nurses is informed by:</w:t>
      </w:r>
    </w:p>
    <w:p w14:paraId="2F0862FD" w14:textId="5165F755" w:rsidR="003645F6" w:rsidRDefault="003645F6" w:rsidP="00AA5EBF">
      <w:pPr>
        <w:pStyle w:val="ListParagraph"/>
        <w:numPr>
          <w:ilvl w:val="0"/>
          <w:numId w:val="41"/>
        </w:numPr>
        <w:rPr>
          <w:rFonts w:asciiTheme="minorHAnsi" w:hAnsiTheme="minorHAnsi" w:cstheme="minorHAnsi"/>
        </w:rPr>
      </w:pPr>
      <w:r w:rsidRPr="004D0C1C">
        <w:rPr>
          <w:rFonts w:asciiTheme="minorHAnsi" w:hAnsiTheme="minorHAnsi" w:cstheme="minorHAnsi"/>
        </w:rPr>
        <w:t>criticism from employers and some nursing associations that Australia’s current terti</w:t>
      </w:r>
      <w:r w:rsidR="006D678F">
        <w:rPr>
          <w:rFonts w:asciiTheme="minorHAnsi" w:hAnsiTheme="minorHAnsi" w:cstheme="minorHAnsi"/>
        </w:rPr>
        <w:t>ary programs are not producing work ready</w:t>
      </w:r>
      <w:r w:rsidRPr="004D0C1C">
        <w:rPr>
          <w:rFonts w:asciiTheme="minorHAnsi" w:hAnsiTheme="minorHAnsi" w:cstheme="minorHAnsi"/>
        </w:rPr>
        <w:t xml:space="preserve"> nurses.  Specific concerns are that current arrangements do not provide adequate clinical experience or </w:t>
      </w:r>
      <w:r w:rsidR="006D678F">
        <w:rPr>
          <w:rFonts w:asciiTheme="minorHAnsi" w:hAnsiTheme="minorHAnsi" w:cstheme="minorHAnsi"/>
        </w:rPr>
        <w:t xml:space="preserve">a </w:t>
      </w:r>
      <w:r w:rsidRPr="004D0C1C">
        <w:rPr>
          <w:rFonts w:asciiTheme="minorHAnsi" w:hAnsiTheme="minorHAnsi" w:cstheme="minorHAnsi"/>
        </w:rPr>
        <w:t>sufficient focus on specialty areas, such as aged care, mental health or primary care.  This is coupled with increased pressure on degree providers to add additional theoretical content to already compressed degree structures in an attempt to account for cha</w:t>
      </w:r>
      <w:r>
        <w:rPr>
          <w:rFonts w:asciiTheme="minorHAnsi" w:hAnsiTheme="minorHAnsi" w:cstheme="minorHAnsi"/>
        </w:rPr>
        <w:t>n</w:t>
      </w:r>
      <w:r w:rsidR="000F232F">
        <w:rPr>
          <w:rFonts w:asciiTheme="minorHAnsi" w:hAnsiTheme="minorHAnsi" w:cstheme="minorHAnsi"/>
        </w:rPr>
        <w:t>ges in health service delivery;</w:t>
      </w:r>
      <w:r w:rsidR="00E87A06">
        <w:rPr>
          <w:rFonts w:asciiTheme="minorHAnsi" w:hAnsiTheme="minorHAnsi" w:cstheme="minorHAnsi"/>
        </w:rPr>
        <w:t xml:space="preserve"> and</w:t>
      </w:r>
    </w:p>
    <w:p w14:paraId="6FCA50EF" w14:textId="3A51C047" w:rsidR="003645F6" w:rsidRDefault="003645F6" w:rsidP="00AA5EBF">
      <w:pPr>
        <w:pStyle w:val="ListParagraph"/>
        <w:numPr>
          <w:ilvl w:val="0"/>
          <w:numId w:val="41"/>
        </w:numPr>
        <w:rPr>
          <w:rFonts w:asciiTheme="minorHAnsi" w:hAnsiTheme="minorHAnsi" w:cstheme="minorHAnsi"/>
        </w:rPr>
      </w:pPr>
      <w:r>
        <w:rPr>
          <w:rFonts w:asciiTheme="minorHAnsi" w:hAnsiTheme="minorHAnsi" w:cstheme="minorHAnsi"/>
        </w:rPr>
        <w:t>high attr</w:t>
      </w:r>
      <w:r w:rsidR="000F232F">
        <w:rPr>
          <w:rFonts w:asciiTheme="minorHAnsi" w:hAnsiTheme="minorHAnsi" w:cstheme="minorHAnsi"/>
        </w:rPr>
        <w:t>iti</w:t>
      </w:r>
      <w:r w:rsidR="00E87A06">
        <w:rPr>
          <w:rFonts w:asciiTheme="minorHAnsi" w:hAnsiTheme="minorHAnsi" w:cstheme="minorHAnsi"/>
        </w:rPr>
        <w:t>on rates in nursing degrees.</w:t>
      </w:r>
    </w:p>
    <w:p w14:paraId="6FD51A79" w14:textId="333663B4" w:rsidR="0099547E" w:rsidRDefault="0099547E" w:rsidP="003645F6">
      <w:pPr>
        <w:rPr>
          <w:rFonts w:asciiTheme="minorHAnsi" w:hAnsiTheme="minorHAnsi" w:cstheme="minorHAnsi"/>
        </w:rPr>
      </w:pPr>
    </w:p>
    <w:p w14:paraId="2FA85D8D" w14:textId="373AD457" w:rsidR="003645F6" w:rsidRDefault="003645F6" w:rsidP="003645F6">
      <w:pPr>
        <w:rPr>
          <w:rFonts w:asciiTheme="minorHAnsi" w:hAnsiTheme="minorHAnsi" w:cstheme="minorHAnsi"/>
        </w:rPr>
      </w:pPr>
      <w:r>
        <w:rPr>
          <w:rFonts w:asciiTheme="minorHAnsi" w:hAnsiTheme="minorHAnsi" w:cstheme="minorHAnsi"/>
        </w:rPr>
        <w:t xml:space="preserve">In addition to training, the role of nurses in primary care settings requires particular attention if the Government is to support team-based approaches to service delivery in vulnerable communities and as a more general driver of improved access to services.  A key requirement is to strengthen the role in primary care settings of Nurse Practitioners – registered nurses with postgraduate level qualifications that enable them to diagnose and treat patients. </w:t>
      </w:r>
    </w:p>
    <w:p w14:paraId="6919A63D" w14:textId="77777777" w:rsidR="003645F6" w:rsidRDefault="003645F6" w:rsidP="003645F6">
      <w:pPr>
        <w:rPr>
          <w:rFonts w:asciiTheme="minorHAnsi" w:hAnsiTheme="minorHAnsi" w:cstheme="minorHAnsi"/>
        </w:rPr>
      </w:pPr>
    </w:p>
    <w:p w14:paraId="180B5EF5" w14:textId="77777777" w:rsidR="003645F6" w:rsidRDefault="003645F6" w:rsidP="003645F6">
      <w:pPr>
        <w:rPr>
          <w:rFonts w:asciiTheme="minorHAnsi" w:hAnsiTheme="minorHAnsi" w:cstheme="minorHAnsi"/>
        </w:rPr>
      </w:pPr>
      <w:r>
        <w:rPr>
          <w:rFonts w:asciiTheme="minorHAnsi" w:hAnsiTheme="minorHAnsi" w:cstheme="minorHAnsi"/>
        </w:rPr>
        <w:t>The Government admitted Nurse Practitioners under the MBS and Pharmaceutical Benefits Scheme (PBS) in 2010 in order to improve workforce flexibility and access to services in vulnerable communities.  While this has led to an increase in the nurse practitioner workforce (an approximate increase of 15.5 per cent), the overall numbers remain low.  In 2016, there were 1,417 registered nurse practitioners, which represented 0.4 per cent of the then total nursing and midwifery workforce.</w:t>
      </w:r>
    </w:p>
    <w:p w14:paraId="4D4367EE" w14:textId="08C935D2" w:rsidR="003645F6" w:rsidRDefault="003645F6" w:rsidP="003645F6">
      <w:pPr>
        <w:rPr>
          <w:rFonts w:asciiTheme="minorHAnsi" w:hAnsiTheme="minorHAnsi" w:cstheme="minorHAnsi"/>
        </w:rPr>
      </w:pPr>
    </w:p>
    <w:p w14:paraId="3D65DF36" w14:textId="1A0BE78A" w:rsidR="003645F6" w:rsidRDefault="003645F6" w:rsidP="003645F6">
      <w:pPr>
        <w:rPr>
          <w:rFonts w:asciiTheme="minorHAnsi" w:hAnsiTheme="minorHAnsi" w:cstheme="minorHAnsi"/>
        </w:rPr>
      </w:pPr>
      <w:r>
        <w:rPr>
          <w:rFonts w:asciiTheme="minorHAnsi" w:hAnsiTheme="minorHAnsi" w:cstheme="minorHAnsi"/>
        </w:rPr>
        <w:t>The slow uptake of these arrangements is due to the small number of established nurse practitioner roles.  The small number of these roles can be at least partially attributed to care providers and their consum</w:t>
      </w:r>
      <w:r w:rsidR="006D678F">
        <w:rPr>
          <w:rFonts w:asciiTheme="minorHAnsi" w:hAnsiTheme="minorHAnsi" w:cstheme="minorHAnsi"/>
        </w:rPr>
        <w:t>ers not yet fully understanding</w:t>
      </w:r>
      <w:r>
        <w:rPr>
          <w:rFonts w:asciiTheme="minorHAnsi" w:hAnsiTheme="minorHAnsi" w:cstheme="minorHAnsi"/>
        </w:rPr>
        <w:t xml:space="preserve"> the improvem</w:t>
      </w:r>
      <w:r w:rsidR="006D678F">
        <w:rPr>
          <w:rFonts w:asciiTheme="minorHAnsi" w:hAnsiTheme="minorHAnsi" w:cstheme="minorHAnsi"/>
        </w:rPr>
        <w:t>ents to care delivery that can</w:t>
      </w:r>
      <w:r>
        <w:rPr>
          <w:rFonts w:asciiTheme="minorHAnsi" w:hAnsiTheme="minorHAnsi" w:cstheme="minorHAnsi"/>
        </w:rPr>
        <w:t xml:space="preserve"> be achieved through the increased use of this important segment of the workforce. </w:t>
      </w:r>
    </w:p>
    <w:p w14:paraId="0830FAE7" w14:textId="77777777" w:rsidR="003645F6" w:rsidRDefault="003645F6" w:rsidP="003645F6">
      <w:pPr>
        <w:rPr>
          <w:rFonts w:asciiTheme="minorHAnsi" w:hAnsiTheme="minorHAnsi" w:cstheme="minorHAnsi"/>
        </w:rPr>
      </w:pPr>
    </w:p>
    <w:p w14:paraId="147F6894" w14:textId="77777777" w:rsidR="00C954F0" w:rsidRDefault="003645F6" w:rsidP="003645F6">
      <w:pPr>
        <w:rPr>
          <w:rFonts w:asciiTheme="minorHAnsi" w:hAnsiTheme="minorHAnsi" w:cstheme="minorHAnsi"/>
        </w:rPr>
      </w:pPr>
      <w:r>
        <w:rPr>
          <w:rFonts w:asciiTheme="minorHAnsi" w:hAnsiTheme="minorHAnsi" w:cstheme="minorHAnsi"/>
        </w:rPr>
        <w:t>The Government has attempted to increase the number of nurses in primary care settings by funding the Australian Primary Heal</w:t>
      </w:r>
      <w:r w:rsidR="000F232F">
        <w:rPr>
          <w:rFonts w:asciiTheme="minorHAnsi" w:hAnsiTheme="minorHAnsi" w:cstheme="minorHAnsi"/>
        </w:rPr>
        <w:t>th</w:t>
      </w:r>
      <w:r>
        <w:rPr>
          <w:rFonts w:asciiTheme="minorHAnsi" w:hAnsiTheme="minorHAnsi" w:cstheme="minorHAnsi"/>
        </w:rPr>
        <w:t xml:space="preserve"> Care Nurses Association (APNA) to deliver the Nursing in Primary Health Care (NiPHC) Prog</w:t>
      </w:r>
      <w:r w:rsidR="006D678F">
        <w:rPr>
          <w:rFonts w:asciiTheme="minorHAnsi" w:hAnsiTheme="minorHAnsi" w:cstheme="minorHAnsi"/>
        </w:rPr>
        <w:t>ram</w:t>
      </w:r>
      <w:r>
        <w:rPr>
          <w:rFonts w:asciiTheme="minorHAnsi" w:hAnsiTheme="minorHAnsi" w:cstheme="minorHAnsi"/>
        </w:rPr>
        <w:t xml:space="preserve">.  The NiPHC Program has been a successful mechanism for recruiting and retaining nurses in primary care settings, but it is not a long-term </w:t>
      </w:r>
      <w:r w:rsidR="00E87A06">
        <w:rPr>
          <w:rFonts w:asciiTheme="minorHAnsi" w:hAnsiTheme="minorHAnsi" w:cstheme="minorHAnsi"/>
        </w:rPr>
        <w:t xml:space="preserve">arrangement. It </w:t>
      </w:r>
      <w:r>
        <w:rPr>
          <w:rFonts w:asciiTheme="minorHAnsi" w:hAnsiTheme="minorHAnsi" w:cstheme="minorHAnsi"/>
        </w:rPr>
        <w:t xml:space="preserve">therefore does not </w:t>
      </w:r>
      <w:r w:rsidR="00740F57">
        <w:rPr>
          <w:rFonts w:asciiTheme="minorHAnsi" w:hAnsiTheme="minorHAnsi" w:cstheme="minorHAnsi"/>
        </w:rPr>
        <w:t xml:space="preserve">currently </w:t>
      </w:r>
      <w:r>
        <w:rPr>
          <w:rFonts w:asciiTheme="minorHAnsi" w:hAnsiTheme="minorHAnsi" w:cstheme="minorHAnsi"/>
        </w:rPr>
        <w:t>have the scope to influence the current structural determi</w:t>
      </w:r>
      <w:r w:rsidR="006D678F">
        <w:rPr>
          <w:rFonts w:asciiTheme="minorHAnsi" w:hAnsiTheme="minorHAnsi" w:cstheme="minorHAnsi"/>
        </w:rPr>
        <w:t xml:space="preserve">nants of the role performed by </w:t>
      </w:r>
      <w:r w:rsidR="00E87A06">
        <w:rPr>
          <w:rFonts w:asciiTheme="minorHAnsi" w:hAnsiTheme="minorHAnsi" w:cstheme="minorHAnsi"/>
        </w:rPr>
        <w:t xml:space="preserve">nurses </w:t>
      </w:r>
      <w:r>
        <w:rPr>
          <w:rFonts w:asciiTheme="minorHAnsi" w:hAnsiTheme="minorHAnsi" w:cstheme="minorHAnsi"/>
        </w:rPr>
        <w:t>in primary care settings.</w:t>
      </w:r>
    </w:p>
    <w:p w14:paraId="71D64B2B" w14:textId="777311D1" w:rsidR="00C954F0" w:rsidRDefault="00C954F0" w:rsidP="003645F6">
      <w:pPr>
        <w:rPr>
          <w:rFonts w:asciiTheme="minorHAnsi" w:hAnsiTheme="minorHAnsi" w:cstheme="minorHAnsi"/>
          <w:u w:val="single"/>
        </w:rPr>
      </w:pPr>
      <w:r>
        <w:rPr>
          <w:rFonts w:asciiTheme="minorHAnsi" w:hAnsiTheme="minorHAnsi" w:cstheme="minorHAnsi"/>
          <w:u w:val="single"/>
        </w:rPr>
        <w:t xml:space="preserve"> </w:t>
      </w:r>
    </w:p>
    <w:p w14:paraId="4E12EE52" w14:textId="000F9BBD" w:rsidR="00DB27D8" w:rsidRPr="006F3273" w:rsidRDefault="00DB27D8" w:rsidP="00797388">
      <w:pPr>
        <w:keepNext/>
        <w:rPr>
          <w:rFonts w:asciiTheme="minorHAnsi" w:hAnsiTheme="minorHAnsi" w:cstheme="minorHAnsi"/>
          <w:u w:val="single"/>
        </w:rPr>
      </w:pPr>
      <w:r w:rsidRPr="006F3273">
        <w:rPr>
          <w:rFonts w:asciiTheme="minorHAnsi" w:hAnsiTheme="minorHAnsi" w:cstheme="minorHAnsi"/>
          <w:u w:val="single"/>
        </w:rPr>
        <w:lastRenderedPageBreak/>
        <w:t>Aboriginal and Torres Strait Islander health professionals and practitioners</w:t>
      </w:r>
    </w:p>
    <w:p w14:paraId="62EF4B66" w14:textId="25F49736" w:rsidR="00292269" w:rsidRDefault="00363B18" w:rsidP="00797388">
      <w:pPr>
        <w:keepNext/>
        <w:rPr>
          <w:rFonts w:asciiTheme="minorHAnsi" w:hAnsiTheme="minorHAnsi" w:cstheme="minorHAnsi"/>
        </w:rPr>
      </w:pPr>
      <w:r>
        <w:rPr>
          <w:rFonts w:asciiTheme="minorHAnsi" w:hAnsiTheme="minorHAnsi" w:cstheme="minorHAnsi"/>
        </w:rPr>
        <w:t>There is also a need for continued promotion and support for significant growth in the Aboriginal and Torres Strait Islander health workforce.  This growth has been significant in recent years, as evidenced by:</w:t>
      </w:r>
    </w:p>
    <w:p w14:paraId="052B27DA" w14:textId="71CE07D9" w:rsidR="00363B18" w:rsidRDefault="00363B18" w:rsidP="00AA5EBF">
      <w:pPr>
        <w:pStyle w:val="ListParagraph"/>
        <w:numPr>
          <w:ilvl w:val="0"/>
          <w:numId w:val="43"/>
        </w:numPr>
        <w:rPr>
          <w:rFonts w:asciiTheme="minorHAnsi" w:hAnsiTheme="minorHAnsi" w:cstheme="minorHAnsi"/>
        </w:rPr>
      </w:pPr>
      <w:r>
        <w:rPr>
          <w:rFonts w:asciiTheme="minorHAnsi" w:hAnsiTheme="minorHAnsi" w:cstheme="minorHAnsi"/>
        </w:rPr>
        <w:t>a 25 per cent increase in the number of Aboriginal and Torres Strait Islander health professionals  (3,401 to 4,249) working across the various vocations between 2013 and 2015;</w:t>
      </w:r>
    </w:p>
    <w:p w14:paraId="48CB54B2" w14:textId="210D3F3D" w:rsidR="00363B18" w:rsidRDefault="00363B18" w:rsidP="00AA5EBF">
      <w:pPr>
        <w:pStyle w:val="ListParagraph"/>
        <w:numPr>
          <w:ilvl w:val="0"/>
          <w:numId w:val="43"/>
        </w:numPr>
        <w:rPr>
          <w:rFonts w:asciiTheme="minorHAnsi" w:hAnsiTheme="minorHAnsi" w:cstheme="minorHAnsi"/>
        </w:rPr>
      </w:pPr>
      <w:r>
        <w:rPr>
          <w:rFonts w:asciiTheme="minorHAnsi" w:hAnsiTheme="minorHAnsi" w:cstheme="minorHAnsi"/>
        </w:rPr>
        <w:t>a 28 per cent increase in the number of Aboriginal and Torres Strait Islander students (1,678 to 2,148) choosing to study health in higher education between 2010 and 2015; and</w:t>
      </w:r>
    </w:p>
    <w:p w14:paraId="20954F75" w14:textId="0DEA44AF" w:rsidR="00363B18" w:rsidRPr="006F3273" w:rsidRDefault="00363B18" w:rsidP="00AA5EBF">
      <w:pPr>
        <w:pStyle w:val="ListParagraph"/>
        <w:numPr>
          <w:ilvl w:val="0"/>
          <w:numId w:val="43"/>
        </w:numPr>
        <w:rPr>
          <w:rFonts w:asciiTheme="minorHAnsi" w:hAnsiTheme="minorHAnsi" w:cstheme="minorHAnsi"/>
        </w:rPr>
      </w:pPr>
      <w:r>
        <w:rPr>
          <w:rFonts w:asciiTheme="minorHAnsi" w:hAnsiTheme="minorHAnsi" w:cstheme="minorHAnsi"/>
        </w:rPr>
        <w:t>a 67 per cent increase in the number of Aboriginal and Torres Strait Islander students enrolled in health training in the Vocation and Training Sector</w:t>
      </w:r>
      <w:r w:rsidR="000F232F">
        <w:rPr>
          <w:rFonts w:asciiTheme="minorHAnsi" w:hAnsiTheme="minorHAnsi" w:cstheme="minorHAnsi"/>
        </w:rPr>
        <w:t>s</w:t>
      </w:r>
      <w:r>
        <w:rPr>
          <w:rFonts w:asciiTheme="minorHAnsi" w:hAnsiTheme="minorHAnsi" w:cstheme="minorHAnsi"/>
        </w:rPr>
        <w:t xml:space="preserve">. </w:t>
      </w:r>
    </w:p>
    <w:p w14:paraId="652801CB" w14:textId="15C2F517" w:rsidR="00B67673" w:rsidRDefault="00B67673" w:rsidP="00F74F12">
      <w:pPr>
        <w:rPr>
          <w:rFonts w:asciiTheme="minorHAnsi" w:hAnsiTheme="minorHAnsi" w:cstheme="minorHAnsi"/>
        </w:rPr>
      </w:pPr>
    </w:p>
    <w:p w14:paraId="69E4FE19" w14:textId="77777777" w:rsidR="00C954F0" w:rsidRDefault="00B67673">
      <w:pPr>
        <w:rPr>
          <w:rFonts w:asciiTheme="minorHAnsi" w:hAnsiTheme="minorHAnsi" w:cstheme="minorHAnsi"/>
        </w:rPr>
      </w:pPr>
      <w:r>
        <w:rPr>
          <w:rFonts w:asciiTheme="minorHAnsi" w:hAnsiTheme="minorHAnsi" w:cstheme="minorHAnsi"/>
        </w:rPr>
        <w:t>In addition to promoting these careers, the Implementation Plan of the National Aboriginal and Torres Strait Islander Health Plan 2013 – 2023 identifies</w:t>
      </w:r>
      <w:r w:rsidR="000F232F">
        <w:rPr>
          <w:rFonts w:asciiTheme="minorHAnsi" w:hAnsiTheme="minorHAnsi" w:cstheme="minorHAnsi"/>
        </w:rPr>
        <w:t xml:space="preserve"> activities</w:t>
      </w:r>
      <w:r>
        <w:rPr>
          <w:rFonts w:asciiTheme="minorHAnsi" w:hAnsiTheme="minorHAnsi" w:cstheme="minorHAnsi"/>
        </w:rPr>
        <w:t xml:space="preserve"> to increase the capacity of this workforce to meet current and future service demands in Indigenous communities.  This growing segment of the health workforce will require continued support in the form of mentoring, professional and leadership development programs, and professional networking opportunities.  There is also a need to increase the number of health providers offering culturally appropriate care through the provision of cultural safety programs.</w:t>
      </w:r>
    </w:p>
    <w:p w14:paraId="5E203C3E" w14:textId="023C99CD" w:rsidR="00E412AB" w:rsidRDefault="00C954F0">
      <w:pPr>
        <w:rPr>
          <w:rFonts w:asciiTheme="minorHAnsi" w:hAnsiTheme="minorHAnsi" w:cstheme="minorHAnsi"/>
        </w:rPr>
      </w:pPr>
      <w:r>
        <w:rPr>
          <w:rFonts w:asciiTheme="minorHAnsi" w:hAnsiTheme="minorHAnsi" w:cstheme="minorHAnsi"/>
        </w:rPr>
        <w:t xml:space="preserve"> </w:t>
      </w:r>
    </w:p>
    <w:p w14:paraId="4855EA3C" w14:textId="77777777" w:rsidR="003764CC" w:rsidRPr="00087E15" w:rsidRDefault="003764CC" w:rsidP="003764CC">
      <w:pPr>
        <w:rPr>
          <w:rFonts w:asciiTheme="minorHAnsi" w:hAnsiTheme="minorHAnsi" w:cstheme="minorHAnsi"/>
          <w:u w:val="single"/>
        </w:rPr>
      </w:pPr>
      <w:r w:rsidRPr="00087E15">
        <w:rPr>
          <w:rFonts w:asciiTheme="minorHAnsi" w:hAnsiTheme="minorHAnsi" w:cstheme="minorHAnsi"/>
          <w:u w:val="single"/>
        </w:rPr>
        <w:t>Mental Health professionals</w:t>
      </w:r>
    </w:p>
    <w:p w14:paraId="2307E4A7" w14:textId="3B29CD0A" w:rsidR="003764CC" w:rsidRPr="00087E15" w:rsidRDefault="003764CC" w:rsidP="003764CC">
      <w:pPr>
        <w:rPr>
          <w:rFonts w:asciiTheme="minorHAnsi" w:hAnsiTheme="minorHAnsi" w:cstheme="minorHAnsi"/>
        </w:rPr>
      </w:pPr>
      <w:r w:rsidRPr="00087E15">
        <w:rPr>
          <w:rFonts w:asciiTheme="minorHAnsi" w:hAnsiTheme="minorHAnsi" w:cstheme="minorHAnsi"/>
        </w:rPr>
        <w:t xml:space="preserve">Mental health conditions such as depression, anxiety and substance abuse disorders are one of the leading causes of illness in Australia. Whilst the prevalence of mental health conditions appears similar between major cities and rural and remote communities, the lower prevalence of mental health professionals outside of major cities contributes to a significant and unmet need for mental health services in </w:t>
      </w:r>
      <w:r w:rsidR="004F40C8" w:rsidRPr="006F3273">
        <w:rPr>
          <w:rFonts w:asciiTheme="minorHAnsi" w:hAnsiTheme="minorHAnsi" w:cstheme="minorHAnsi"/>
        </w:rPr>
        <w:t>rural and remote</w:t>
      </w:r>
      <w:r w:rsidRPr="00087E15">
        <w:rPr>
          <w:rFonts w:asciiTheme="minorHAnsi" w:hAnsiTheme="minorHAnsi" w:cstheme="minorHAnsi"/>
        </w:rPr>
        <w:t xml:space="preserve"> areas. The current level of unmet need is compounded by a maldistribution of those segments of the health workforce that are most qualified to provide these services (i.e. psychiatrists, </w:t>
      </w:r>
      <w:r w:rsidR="004F40C8" w:rsidRPr="006F3273">
        <w:rPr>
          <w:rFonts w:asciiTheme="minorHAnsi" w:hAnsiTheme="minorHAnsi" w:cstheme="minorHAnsi"/>
        </w:rPr>
        <w:t>psychologists, and mental health nurses</w:t>
      </w:r>
      <w:r w:rsidRPr="00087E15">
        <w:rPr>
          <w:rFonts w:asciiTheme="minorHAnsi" w:hAnsiTheme="minorHAnsi" w:cstheme="minorHAnsi"/>
        </w:rPr>
        <w:t xml:space="preserve">). </w:t>
      </w:r>
    </w:p>
    <w:p w14:paraId="00DBA0E1" w14:textId="77777777" w:rsidR="003764CC" w:rsidRPr="00087E15" w:rsidRDefault="003764CC" w:rsidP="003764CC">
      <w:pPr>
        <w:rPr>
          <w:rFonts w:asciiTheme="minorHAnsi" w:hAnsiTheme="minorHAnsi" w:cstheme="minorHAnsi"/>
        </w:rPr>
      </w:pPr>
    </w:p>
    <w:p w14:paraId="15A6CB52" w14:textId="77777777" w:rsidR="00C954F0" w:rsidRDefault="003764CC" w:rsidP="003764CC">
      <w:pPr>
        <w:rPr>
          <w:rFonts w:asciiTheme="minorHAnsi" w:hAnsiTheme="minorHAnsi" w:cstheme="minorHAnsi"/>
        </w:rPr>
      </w:pPr>
      <w:r w:rsidRPr="00087E15">
        <w:rPr>
          <w:rFonts w:asciiTheme="minorHAnsi" w:hAnsiTheme="minorHAnsi" w:cstheme="minorHAnsi"/>
        </w:rPr>
        <w:t xml:space="preserve">In Australia, availability of access to an appropriately qualified health workforce decreases according to the level of remoteness (see </w:t>
      </w:r>
      <w:r w:rsidRPr="006F3273">
        <w:rPr>
          <w:rFonts w:asciiTheme="minorHAnsi" w:hAnsiTheme="minorHAnsi" w:cstheme="minorHAnsi"/>
          <w:color w:val="000000" w:themeColor="text1"/>
        </w:rPr>
        <w:t xml:space="preserve">Table </w:t>
      </w:r>
      <w:r w:rsidR="006D678F" w:rsidRPr="006F3273">
        <w:rPr>
          <w:rFonts w:asciiTheme="minorHAnsi" w:hAnsiTheme="minorHAnsi" w:cstheme="minorHAnsi"/>
          <w:color w:val="000000" w:themeColor="text1"/>
        </w:rPr>
        <w:t>2</w:t>
      </w:r>
      <w:r w:rsidRPr="006F3273">
        <w:rPr>
          <w:rFonts w:asciiTheme="minorHAnsi" w:hAnsiTheme="minorHAnsi" w:cstheme="minorHAnsi"/>
          <w:color w:val="000000" w:themeColor="text1"/>
        </w:rPr>
        <w:t>.</w:t>
      </w:r>
      <w:r w:rsidRPr="00087E15">
        <w:rPr>
          <w:rFonts w:asciiTheme="minorHAnsi" w:hAnsiTheme="minorHAnsi" w:cstheme="minorHAnsi"/>
        </w:rPr>
        <w:t>).  The numbers of psychiatrists, psychologists</w:t>
      </w:r>
      <w:r w:rsidR="004F40C8" w:rsidRPr="006F3273">
        <w:rPr>
          <w:rFonts w:asciiTheme="minorHAnsi" w:hAnsiTheme="minorHAnsi" w:cstheme="minorHAnsi"/>
        </w:rPr>
        <w:t xml:space="preserve"> and mental health nurses in </w:t>
      </w:r>
      <w:r w:rsidRPr="00087E15">
        <w:rPr>
          <w:rFonts w:asciiTheme="minorHAnsi" w:hAnsiTheme="minorHAnsi" w:cstheme="minorHAnsi"/>
        </w:rPr>
        <w:t>regional</w:t>
      </w:r>
      <w:r w:rsidR="004F40C8" w:rsidRPr="006F3273">
        <w:rPr>
          <w:rFonts w:asciiTheme="minorHAnsi" w:hAnsiTheme="minorHAnsi" w:cstheme="minorHAnsi"/>
        </w:rPr>
        <w:t xml:space="preserve"> and rural</w:t>
      </w:r>
      <w:r w:rsidRPr="00087E15">
        <w:rPr>
          <w:rFonts w:asciiTheme="minorHAnsi" w:hAnsiTheme="minorHAnsi" w:cstheme="minorHAnsi"/>
        </w:rPr>
        <w:t xml:space="preserve"> areas in 2015 were 36 per cent, </w:t>
      </w:r>
      <w:r w:rsidR="004F40C8" w:rsidRPr="006F3273">
        <w:rPr>
          <w:rFonts w:asciiTheme="minorHAnsi" w:hAnsiTheme="minorHAnsi" w:cstheme="minorHAnsi"/>
        </w:rPr>
        <w:t>57 per </w:t>
      </w:r>
      <w:r w:rsidRPr="00087E15">
        <w:rPr>
          <w:rFonts w:asciiTheme="minorHAnsi" w:hAnsiTheme="minorHAnsi" w:cstheme="minorHAnsi"/>
        </w:rPr>
        <w:t>cent</w:t>
      </w:r>
      <w:r w:rsidR="004F40C8" w:rsidRPr="006F3273">
        <w:rPr>
          <w:rFonts w:asciiTheme="minorHAnsi" w:hAnsiTheme="minorHAnsi" w:cstheme="minorHAnsi"/>
        </w:rPr>
        <w:t>, and 78 per cent</w:t>
      </w:r>
      <w:r w:rsidR="000E0606" w:rsidRPr="006F3273">
        <w:rPr>
          <w:rFonts w:asciiTheme="minorHAnsi" w:hAnsiTheme="minorHAnsi" w:cstheme="minorHAnsi"/>
        </w:rPr>
        <w:t>, respectively,</w:t>
      </w:r>
      <w:r w:rsidR="004F40C8" w:rsidRPr="006F3273">
        <w:rPr>
          <w:rFonts w:asciiTheme="minorHAnsi" w:hAnsiTheme="minorHAnsi" w:cstheme="minorHAnsi"/>
        </w:rPr>
        <w:t xml:space="preserve"> </w:t>
      </w:r>
      <w:r w:rsidR="000E0606" w:rsidRPr="006F3273">
        <w:rPr>
          <w:rFonts w:asciiTheme="minorHAnsi" w:hAnsiTheme="minorHAnsi" w:cstheme="minorHAnsi"/>
        </w:rPr>
        <w:t>of those in metropolitan areas.</w:t>
      </w:r>
    </w:p>
    <w:p w14:paraId="547D3184" w14:textId="7B12A73D" w:rsidR="006F3273" w:rsidRPr="00087E15" w:rsidRDefault="00C954F0" w:rsidP="003764CC">
      <w:pPr>
        <w:rPr>
          <w:rFonts w:asciiTheme="minorHAnsi" w:hAnsiTheme="minorHAnsi" w:cstheme="minorHAnsi"/>
        </w:rPr>
      </w:pPr>
      <w:r w:rsidRPr="00087E15">
        <w:rPr>
          <w:rFonts w:asciiTheme="minorHAnsi" w:hAnsiTheme="minorHAnsi" w:cstheme="minorHAnsi"/>
        </w:rPr>
        <w:t xml:space="preserve"> </w:t>
      </w:r>
    </w:p>
    <w:p w14:paraId="7E894883" w14:textId="5C1B237A" w:rsidR="003764CC" w:rsidRPr="00087E15" w:rsidRDefault="003764CC" w:rsidP="003764CC">
      <w:pPr>
        <w:autoSpaceDE w:val="0"/>
        <w:autoSpaceDN w:val="0"/>
        <w:adjustRightInd w:val="0"/>
        <w:rPr>
          <w:rFonts w:asciiTheme="minorHAnsi" w:hAnsiTheme="minorHAnsi" w:cstheme="minorHAnsi"/>
          <w:b/>
        </w:rPr>
      </w:pPr>
      <w:r w:rsidRPr="006F3273">
        <w:rPr>
          <w:rFonts w:asciiTheme="minorHAnsi" w:hAnsiTheme="minorHAnsi" w:cstheme="minorHAnsi"/>
          <w:b/>
          <w:color w:val="000000" w:themeColor="text1"/>
        </w:rPr>
        <w:t xml:space="preserve">Table </w:t>
      </w:r>
      <w:r w:rsidR="006D678F" w:rsidRPr="006F3273">
        <w:rPr>
          <w:rFonts w:asciiTheme="minorHAnsi" w:hAnsiTheme="minorHAnsi" w:cstheme="minorHAnsi"/>
          <w:b/>
          <w:color w:val="000000" w:themeColor="text1"/>
        </w:rPr>
        <w:t>2</w:t>
      </w:r>
      <w:r w:rsidRPr="006F3273">
        <w:rPr>
          <w:rFonts w:asciiTheme="minorHAnsi" w:hAnsiTheme="minorHAnsi" w:cstheme="minorHAnsi"/>
          <w:b/>
          <w:color w:val="000000" w:themeColor="text1"/>
        </w:rPr>
        <w:t xml:space="preserve">. </w:t>
      </w:r>
      <w:r w:rsidRPr="006F3273">
        <w:rPr>
          <w:rFonts w:asciiTheme="minorHAnsi" w:hAnsiTheme="minorHAnsi" w:cstheme="minorHAnsi"/>
        </w:rPr>
        <w:t xml:space="preserve">Prevalence of mental health professionals by </w:t>
      </w:r>
      <w:r w:rsidR="006D678F">
        <w:rPr>
          <w:rFonts w:asciiTheme="minorHAnsi" w:hAnsiTheme="minorHAnsi" w:cstheme="minorHAnsi"/>
        </w:rPr>
        <w:t>remoteness areas*</w:t>
      </w:r>
    </w:p>
    <w:p w14:paraId="73AFCC4D" w14:textId="77777777" w:rsidR="003764CC" w:rsidRPr="00087E15" w:rsidRDefault="003764CC" w:rsidP="003764CC">
      <w:pPr>
        <w:autoSpaceDE w:val="0"/>
        <w:autoSpaceDN w:val="0"/>
        <w:adjustRightInd w:val="0"/>
        <w:rPr>
          <w:rFonts w:asciiTheme="minorHAnsi" w:hAnsiTheme="minorHAnsi" w:cstheme="minorHAnsi"/>
        </w:rPr>
      </w:pPr>
      <w:r w:rsidRPr="00087E15">
        <w:rPr>
          <w:rFonts w:asciiTheme="minorHAnsi" w:hAnsiTheme="minorHAnsi" w:cstheme="minorHAnsi"/>
        </w:rPr>
        <w:tab/>
      </w:r>
    </w:p>
    <w:tbl>
      <w:tblPr>
        <w:tblStyle w:val="TableGrid"/>
        <w:tblW w:w="9135" w:type="dxa"/>
        <w:tblLook w:val="04A0" w:firstRow="1" w:lastRow="0" w:firstColumn="1" w:lastColumn="0" w:noHBand="0" w:noVBand="1"/>
        <w:tblCaption w:val="Table 2. Prevalence of mental health professionals by remoteness area"/>
        <w:tblDescription w:val="The table shows the number of mental health profesionals (psychiatrists, psychologies and mental health nurses) by remoteness area (major cities, inner regional, outer regional, remote and very remote)"/>
      </w:tblPr>
      <w:tblGrid>
        <w:gridCol w:w="2054"/>
        <w:gridCol w:w="1058"/>
        <w:gridCol w:w="1684"/>
        <w:gridCol w:w="1391"/>
        <w:gridCol w:w="1295"/>
        <w:gridCol w:w="1653"/>
      </w:tblGrid>
      <w:tr w:rsidR="003764CC" w:rsidRPr="00087E15" w14:paraId="6FA702DD" w14:textId="77777777" w:rsidTr="00895FB7">
        <w:trPr>
          <w:tblHeader/>
        </w:trPr>
        <w:tc>
          <w:tcPr>
            <w:tcW w:w="2054" w:type="dxa"/>
          </w:tcPr>
          <w:p w14:paraId="3A3D8E0C" w14:textId="77777777" w:rsidR="003764CC" w:rsidRPr="00087E15" w:rsidRDefault="003764CC" w:rsidP="00087E15">
            <w:pPr>
              <w:jc w:val="center"/>
              <w:rPr>
                <w:rFonts w:asciiTheme="minorHAnsi" w:hAnsiTheme="minorHAnsi" w:cstheme="minorHAnsi"/>
              </w:rPr>
            </w:pPr>
          </w:p>
        </w:tc>
        <w:tc>
          <w:tcPr>
            <w:tcW w:w="1058" w:type="dxa"/>
          </w:tcPr>
          <w:p w14:paraId="667F47BC" w14:textId="54BF4E41" w:rsidR="003764CC" w:rsidRPr="00087E15" w:rsidRDefault="003764CC" w:rsidP="00087E15">
            <w:pPr>
              <w:jc w:val="center"/>
              <w:rPr>
                <w:rFonts w:asciiTheme="minorHAnsi" w:hAnsiTheme="minorHAnsi" w:cstheme="minorHAnsi"/>
              </w:rPr>
            </w:pPr>
            <w:r w:rsidRPr="00087E15">
              <w:rPr>
                <w:rFonts w:asciiTheme="minorHAnsi" w:hAnsiTheme="minorHAnsi" w:cstheme="minorHAnsi"/>
              </w:rPr>
              <w:t>Major Cities</w:t>
            </w:r>
          </w:p>
        </w:tc>
        <w:tc>
          <w:tcPr>
            <w:tcW w:w="1684" w:type="dxa"/>
          </w:tcPr>
          <w:p w14:paraId="3BEFEE49" w14:textId="77777777" w:rsidR="003764CC" w:rsidRPr="00087E15" w:rsidRDefault="003764CC" w:rsidP="00087E15">
            <w:pPr>
              <w:jc w:val="center"/>
              <w:rPr>
                <w:rFonts w:asciiTheme="minorHAnsi" w:hAnsiTheme="minorHAnsi" w:cstheme="minorHAnsi"/>
              </w:rPr>
            </w:pPr>
            <w:r w:rsidRPr="00087E15">
              <w:rPr>
                <w:rFonts w:asciiTheme="minorHAnsi" w:hAnsiTheme="minorHAnsi" w:cstheme="minorHAnsi"/>
              </w:rPr>
              <w:t>Inner</w:t>
            </w:r>
          </w:p>
          <w:p w14:paraId="7E952B13" w14:textId="77777777" w:rsidR="003764CC" w:rsidRPr="00087E15" w:rsidRDefault="003764CC" w:rsidP="00087E15">
            <w:pPr>
              <w:jc w:val="center"/>
              <w:rPr>
                <w:rFonts w:asciiTheme="minorHAnsi" w:hAnsiTheme="minorHAnsi" w:cstheme="minorHAnsi"/>
              </w:rPr>
            </w:pPr>
            <w:r w:rsidRPr="00087E15">
              <w:rPr>
                <w:rFonts w:asciiTheme="minorHAnsi" w:hAnsiTheme="minorHAnsi" w:cstheme="minorHAnsi"/>
              </w:rPr>
              <w:t>Regional</w:t>
            </w:r>
          </w:p>
          <w:p w14:paraId="3BA27FD3" w14:textId="77777777" w:rsidR="003764CC" w:rsidRPr="00087E15" w:rsidRDefault="003764CC" w:rsidP="00087E15">
            <w:pPr>
              <w:jc w:val="center"/>
              <w:rPr>
                <w:rFonts w:asciiTheme="minorHAnsi" w:hAnsiTheme="minorHAnsi" w:cstheme="minorHAnsi"/>
              </w:rPr>
            </w:pPr>
          </w:p>
        </w:tc>
        <w:tc>
          <w:tcPr>
            <w:tcW w:w="1391" w:type="dxa"/>
          </w:tcPr>
          <w:p w14:paraId="640E8828" w14:textId="77777777" w:rsidR="003764CC" w:rsidRPr="00087E15" w:rsidRDefault="003764CC" w:rsidP="00087E15">
            <w:pPr>
              <w:jc w:val="center"/>
              <w:rPr>
                <w:rFonts w:asciiTheme="minorHAnsi" w:hAnsiTheme="minorHAnsi" w:cstheme="minorHAnsi"/>
              </w:rPr>
            </w:pPr>
            <w:r w:rsidRPr="00087E15">
              <w:rPr>
                <w:rFonts w:asciiTheme="minorHAnsi" w:hAnsiTheme="minorHAnsi" w:cstheme="minorHAnsi"/>
              </w:rPr>
              <w:t>Outer</w:t>
            </w:r>
          </w:p>
          <w:p w14:paraId="1C8A63D0" w14:textId="77777777" w:rsidR="003764CC" w:rsidRPr="00087E15" w:rsidRDefault="003764CC" w:rsidP="00087E15">
            <w:pPr>
              <w:jc w:val="center"/>
              <w:rPr>
                <w:rFonts w:asciiTheme="minorHAnsi" w:hAnsiTheme="minorHAnsi" w:cstheme="minorHAnsi"/>
              </w:rPr>
            </w:pPr>
            <w:r w:rsidRPr="00087E15">
              <w:rPr>
                <w:rFonts w:asciiTheme="minorHAnsi" w:hAnsiTheme="minorHAnsi" w:cstheme="minorHAnsi"/>
              </w:rPr>
              <w:t>Regional</w:t>
            </w:r>
          </w:p>
        </w:tc>
        <w:tc>
          <w:tcPr>
            <w:tcW w:w="1295" w:type="dxa"/>
          </w:tcPr>
          <w:p w14:paraId="0423F104" w14:textId="77777777" w:rsidR="003764CC" w:rsidRPr="00087E15" w:rsidRDefault="003764CC" w:rsidP="00087E15">
            <w:pPr>
              <w:jc w:val="center"/>
              <w:rPr>
                <w:rFonts w:asciiTheme="minorHAnsi" w:hAnsiTheme="minorHAnsi" w:cstheme="minorHAnsi"/>
              </w:rPr>
            </w:pPr>
            <w:r w:rsidRPr="00087E15">
              <w:rPr>
                <w:rFonts w:asciiTheme="minorHAnsi" w:hAnsiTheme="minorHAnsi" w:cstheme="minorHAnsi"/>
              </w:rPr>
              <w:t>Remote</w:t>
            </w:r>
          </w:p>
        </w:tc>
        <w:tc>
          <w:tcPr>
            <w:tcW w:w="1653" w:type="dxa"/>
          </w:tcPr>
          <w:p w14:paraId="71E1E0BF" w14:textId="77777777" w:rsidR="003764CC" w:rsidRPr="00087E15" w:rsidRDefault="003764CC" w:rsidP="00087E15">
            <w:pPr>
              <w:jc w:val="center"/>
              <w:rPr>
                <w:rFonts w:asciiTheme="minorHAnsi" w:hAnsiTheme="minorHAnsi" w:cstheme="minorHAnsi"/>
              </w:rPr>
            </w:pPr>
            <w:r w:rsidRPr="00087E15">
              <w:rPr>
                <w:rFonts w:asciiTheme="minorHAnsi" w:hAnsiTheme="minorHAnsi" w:cstheme="minorHAnsi"/>
              </w:rPr>
              <w:t>Very</w:t>
            </w:r>
          </w:p>
          <w:p w14:paraId="0177E55E" w14:textId="77777777" w:rsidR="003764CC" w:rsidRPr="00087E15" w:rsidRDefault="003764CC" w:rsidP="00087E15">
            <w:pPr>
              <w:jc w:val="center"/>
              <w:rPr>
                <w:rFonts w:asciiTheme="minorHAnsi" w:hAnsiTheme="minorHAnsi" w:cstheme="minorHAnsi"/>
              </w:rPr>
            </w:pPr>
            <w:r w:rsidRPr="00087E15">
              <w:rPr>
                <w:rFonts w:asciiTheme="minorHAnsi" w:hAnsiTheme="minorHAnsi" w:cstheme="minorHAnsi"/>
              </w:rPr>
              <w:t>Remote</w:t>
            </w:r>
          </w:p>
        </w:tc>
      </w:tr>
      <w:tr w:rsidR="003764CC" w:rsidRPr="00087E15" w14:paraId="76A2432F" w14:textId="77777777" w:rsidTr="009A21F0">
        <w:trPr>
          <w:trHeight w:val="374"/>
        </w:trPr>
        <w:tc>
          <w:tcPr>
            <w:tcW w:w="2054" w:type="dxa"/>
          </w:tcPr>
          <w:p w14:paraId="7525CF92" w14:textId="77777777" w:rsidR="003764CC" w:rsidRPr="00087E15" w:rsidRDefault="003764CC" w:rsidP="00087E15">
            <w:pPr>
              <w:rPr>
                <w:rFonts w:asciiTheme="minorHAnsi" w:hAnsiTheme="minorHAnsi" w:cstheme="minorHAnsi"/>
              </w:rPr>
            </w:pPr>
          </w:p>
        </w:tc>
        <w:tc>
          <w:tcPr>
            <w:tcW w:w="7081" w:type="dxa"/>
            <w:gridSpan w:val="5"/>
          </w:tcPr>
          <w:p w14:paraId="46990003" w14:textId="77777777" w:rsidR="003764CC" w:rsidRPr="00087E15" w:rsidRDefault="003764CC" w:rsidP="00F93950">
            <w:pPr>
              <w:jc w:val="center"/>
              <w:rPr>
                <w:rFonts w:asciiTheme="minorHAnsi" w:hAnsiTheme="minorHAnsi" w:cstheme="minorHAnsi"/>
              </w:rPr>
            </w:pPr>
            <w:r w:rsidRPr="00087E15">
              <w:rPr>
                <w:rFonts w:asciiTheme="minorHAnsi" w:hAnsiTheme="minorHAnsi" w:cstheme="minorHAnsi"/>
              </w:rPr>
              <w:t>Clinical Full Time Equivalent per 100,000 population</w:t>
            </w:r>
          </w:p>
        </w:tc>
      </w:tr>
      <w:tr w:rsidR="003764CC" w:rsidRPr="00087E15" w14:paraId="22081EEE" w14:textId="77777777" w:rsidTr="006F3273">
        <w:trPr>
          <w:trHeight w:val="349"/>
        </w:trPr>
        <w:tc>
          <w:tcPr>
            <w:tcW w:w="2054" w:type="dxa"/>
            <w:vAlign w:val="center"/>
          </w:tcPr>
          <w:p w14:paraId="49F868F2" w14:textId="77777777" w:rsidR="003764CC" w:rsidRPr="00087E15" w:rsidRDefault="003764CC" w:rsidP="000E0606">
            <w:pPr>
              <w:rPr>
                <w:rFonts w:asciiTheme="minorHAnsi" w:hAnsiTheme="minorHAnsi" w:cstheme="minorHAnsi"/>
              </w:rPr>
            </w:pPr>
            <w:r w:rsidRPr="00087E15">
              <w:rPr>
                <w:rFonts w:asciiTheme="minorHAnsi" w:hAnsiTheme="minorHAnsi" w:cstheme="minorHAnsi"/>
              </w:rPr>
              <w:t>Psychiatrists</w:t>
            </w:r>
          </w:p>
        </w:tc>
        <w:tc>
          <w:tcPr>
            <w:tcW w:w="1058" w:type="dxa"/>
            <w:vAlign w:val="center"/>
          </w:tcPr>
          <w:p w14:paraId="59DEE3F4" w14:textId="2D73B418" w:rsidR="003764CC" w:rsidRPr="00087E15" w:rsidRDefault="003764CC" w:rsidP="00553CB6">
            <w:pPr>
              <w:rPr>
                <w:rFonts w:asciiTheme="minorHAnsi" w:hAnsiTheme="minorHAnsi" w:cstheme="minorHAnsi"/>
              </w:rPr>
            </w:pPr>
            <w:r w:rsidRPr="00087E15">
              <w:rPr>
                <w:rFonts w:asciiTheme="minorHAnsi" w:hAnsiTheme="minorHAnsi" w:cstheme="minorHAnsi"/>
              </w:rPr>
              <w:t>13</w:t>
            </w:r>
          </w:p>
        </w:tc>
        <w:tc>
          <w:tcPr>
            <w:tcW w:w="1684" w:type="dxa"/>
            <w:vAlign w:val="center"/>
          </w:tcPr>
          <w:p w14:paraId="56DBF1E3" w14:textId="4AD0C03B" w:rsidR="003764CC" w:rsidRPr="00087E15" w:rsidRDefault="003764CC" w:rsidP="00553CB6">
            <w:pPr>
              <w:rPr>
                <w:rFonts w:asciiTheme="minorHAnsi" w:hAnsiTheme="minorHAnsi" w:cstheme="minorHAnsi"/>
              </w:rPr>
            </w:pPr>
            <w:r w:rsidRPr="00087E15">
              <w:rPr>
                <w:rFonts w:asciiTheme="minorHAnsi" w:hAnsiTheme="minorHAnsi" w:cstheme="minorHAnsi"/>
              </w:rPr>
              <w:t>5</w:t>
            </w:r>
          </w:p>
        </w:tc>
        <w:tc>
          <w:tcPr>
            <w:tcW w:w="1391" w:type="dxa"/>
            <w:vAlign w:val="center"/>
          </w:tcPr>
          <w:p w14:paraId="4EDB8108" w14:textId="456B6429" w:rsidR="003764CC" w:rsidRPr="00087E15" w:rsidRDefault="003764CC">
            <w:pPr>
              <w:rPr>
                <w:rFonts w:asciiTheme="minorHAnsi" w:hAnsiTheme="minorHAnsi" w:cstheme="minorHAnsi"/>
              </w:rPr>
            </w:pPr>
            <w:r w:rsidRPr="00087E15">
              <w:rPr>
                <w:rFonts w:asciiTheme="minorHAnsi" w:hAnsiTheme="minorHAnsi" w:cstheme="minorHAnsi"/>
              </w:rPr>
              <w:t>4</w:t>
            </w:r>
          </w:p>
        </w:tc>
        <w:tc>
          <w:tcPr>
            <w:tcW w:w="1295" w:type="dxa"/>
            <w:vAlign w:val="center"/>
          </w:tcPr>
          <w:p w14:paraId="55F1FB81" w14:textId="43EE52BC" w:rsidR="003764CC" w:rsidRPr="00087E15" w:rsidRDefault="003764CC">
            <w:pPr>
              <w:rPr>
                <w:rFonts w:asciiTheme="minorHAnsi" w:hAnsiTheme="minorHAnsi" w:cstheme="minorHAnsi"/>
              </w:rPr>
            </w:pPr>
            <w:r w:rsidRPr="00087E15">
              <w:rPr>
                <w:rFonts w:asciiTheme="minorHAnsi" w:hAnsiTheme="minorHAnsi" w:cstheme="minorHAnsi"/>
              </w:rPr>
              <w:t>5</w:t>
            </w:r>
          </w:p>
        </w:tc>
        <w:tc>
          <w:tcPr>
            <w:tcW w:w="1653" w:type="dxa"/>
            <w:vAlign w:val="center"/>
          </w:tcPr>
          <w:p w14:paraId="3F4A5769" w14:textId="28E8C7F8" w:rsidR="003764CC" w:rsidRPr="00087E15" w:rsidRDefault="003764CC">
            <w:pPr>
              <w:rPr>
                <w:rFonts w:asciiTheme="minorHAnsi" w:hAnsiTheme="minorHAnsi" w:cstheme="minorHAnsi"/>
              </w:rPr>
            </w:pPr>
            <w:r w:rsidRPr="00087E15">
              <w:rPr>
                <w:rFonts w:asciiTheme="minorHAnsi" w:hAnsiTheme="minorHAnsi" w:cstheme="minorHAnsi"/>
              </w:rPr>
              <w:t>2</w:t>
            </w:r>
          </w:p>
        </w:tc>
      </w:tr>
      <w:tr w:rsidR="000E0606" w:rsidRPr="00087E15" w14:paraId="0A6DF558" w14:textId="77777777" w:rsidTr="006F3273">
        <w:trPr>
          <w:trHeight w:val="349"/>
        </w:trPr>
        <w:tc>
          <w:tcPr>
            <w:tcW w:w="2054" w:type="dxa"/>
            <w:vAlign w:val="center"/>
          </w:tcPr>
          <w:p w14:paraId="6D146FFF" w14:textId="77777777" w:rsidR="000E0606" w:rsidRPr="006F3273" w:rsidRDefault="000E0606" w:rsidP="000E0606">
            <w:pPr>
              <w:rPr>
                <w:rFonts w:asciiTheme="minorHAnsi" w:hAnsiTheme="minorHAnsi" w:cstheme="minorHAnsi"/>
              </w:rPr>
            </w:pPr>
            <w:r w:rsidRPr="006F3273">
              <w:rPr>
                <w:rFonts w:asciiTheme="minorHAnsi" w:hAnsiTheme="minorHAnsi" w:cstheme="minorHAnsi"/>
              </w:rPr>
              <w:t>Psychologists</w:t>
            </w:r>
          </w:p>
        </w:tc>
        <w:tc>
          <w:tcPr>
            <w:tcW w:w="1058" w:type="dxa"/>
            <w:vAlign w:val="center"/>
          </w:tcPr>
          <w:p w14:paraId="4419844B" w14:textId="054C4E7D" w:rsidR="000E0606" w:rsidRPr="006F3273" w:rsidRDefault="000E0606" w:rsidP="00553CB6">
            <w:pPr>
              <w:rPr>
                <w:rFonts w:asciiTheme="minorHAnsi" w:hAnsiTheme="minorHAnsi" w:cstheme="minorHAnsi"/>
              </w:rPr>
            </w:pPr>
            <w:r w:rsidRPr="006F3273">
              <w:rPr>
                <w:rFonts w:asciiTheme="minorHAnsi" w:hAnsiTheme="minorHAnsi" w:cstheme="minorHAnsi"/>
              </w:rPr>
              <w:t>73</w:t>
            </w:r>
          </w:p>
        </w:tc>
        <w:tc>
          <w:tcPr>
            <w:tcW w:w="1684" w:type="dxa"/>
            <w:vAlign w:val="center"/>
          </w:tcPr>
          <w:p w14:paraId="21F5186D" w14:textId="5B6BB945" w:rsidR="000E0606" w:rsidRPr="006F3273" w:rsidRDefault="000E0606" w:rsidP="00553CB6">
            <w:pPr>
              <w:rPr>
                <w:rFonts w:asciiTheme="minorHAnsi" w:hAnsiTheme="minorHAnsi" w:cstheme="minorHAnsi"/>
              </w:rPr>
            </w:pPr>
            <w:r w:rsidRPr="006F3273">
              <w:rPr>
                <w:rFonts w:asciiTheme="minorHAnsi" w:hAnsiTheme="minorHAnsi" w:cstheme="minorHAnsi"/>
              </w:rPr>
              <w:t>46</w:t>
            </w:r>
          </w:p>
        </w:tc>
        <w:tc>
          <w:tcPr>
            <w:tcW w:w="1391" w:type="dxa"/>
            <w:vAlign w:val="center"/>
          </w:tcPr>
          <w:p w14:paraId="52B6C5A5" w14:textId="4EAF7E2E" w:rsidR="000E0606" w:rsidRPr="006F3273" w:rsidRDefault="000E0606">
            <w:pPr>
              <w:rPr>
                <w:rFonts w:asciiTheme="minorHAnsi" w:hAnsiTheme="minorHAnsi" w:cstheme="minorHAnsi"/>
              </w:rPr>
            </w:pPr>
            <w:r w:rsidRPr="006F3273">
              <w:rPr>
                <w:rFonts w:asciiTheme="minorHAnsi" w:hAnsiTheme="minorHAnsi" w:cstheme="minorHAnsi"/>
              </w:rPr>
              <w:t>33</w:t>
            </w:r>
          </w:p>
        </w:tc>
        <w:tc>
          <w:tcPr>
            <w:tcW w:w="1295" w:type="dxa"/>
            <w:vAlign w:val="center"/>
          </w:tcPr>
          <w:p w14:paraId="48C91FAF" w14:textId="3D889D0D" w:rsidR="000E0606" w:rsidRPr="006F3273" w:rsidRDefault="000E0606">
            <w:pPr>
              <w:rPr>
                <w:rFonts w:asciiTheme="minorHAnsi" w:hAnsiTheme="minorHAnsi" w:cstheme="minorHAnsi"/>
              </w:rPr>
            </w:pPr>
            <w:r w:rsidRPr="006F3273">
              <w:rPr>
                <w:rFonts w:asciiTheme="minorHAnsi" w:hAnsiTheme="minorHAnsi" w:cstheme="minorHAnsi"/>
              </w:rPr>
              <w:t>25</w:t>
            </w:r>
          </w:p>
        </w:tc>
        <w:tc>
          <w:tcPr>
            <w:tcW w:w="1653" w:type="dxa"/>
            <w:vAlign w:val="center"/>
          </w:tcPr>
          <w:p w14:paraId="66D1671F" w14:textId="3CFDDC9B" w:rsidR="000E0606" w:rsidRPr="006F3273" w:rsidRDefault="000E0606">
            <w:pPr>
              <w:rPr>
                <w:rFonts w:asciiTheme="minorHAnsi" w:hAnsiTheme="minorHAnsi" w:cstheme="minorHAnsi"/>
              </w:rPr>
            </w:pPr>
            <w:r w:rsidRPr="006F3273">
              <w:rPr>
                <w:rFonts w:asciiTheme="minorHAnsi" w:hAnsiTheme="minorHAnsi" w:cstheme="minorHAnsi"/>
              </w:rPr>
              <w:t>18</w:t>
            </w:r>
          </w:p>
        </w:tc>
      </w:tr>
      <w:tr w:rsidR="000E0606" w:rsidRPr="00087E15" w14:paraId="5BF82B9C" w14:textId="77777777" w:rsidTr="009A21F0">
        <w:trPr>
          <w:trHeight w:val="349"/>
        </w:trPr>
        <w:tc>
          <w:tcPr>
            <w:tcW w:w="2054" w:type="dxa"/>
            <w:vAlign w:val="center"/>
          </w:tcPr>
          <w:p w14:paraId="2C974463" w14:textId="77777777" w:rsidR="003764CC" w:rsidRPr="00087E15" w:rsidRDefault="003764CC" w:rsidP="000E0606">
            <w:pPr>
              <w:rPr>
                <w:rFonts w:asciiTheme="minorHAnsi" w:hAnsiTheme="minorHAnsi" w:cstheme="minorHAnsi"/>
              </w:rPr>
            </w:pPr>
            <w:r w:rsidRPr="00087E15">
              <w:rPr>
                <w:rFonts w:asciiTheme="minorHAnsi" w:hAnsiTheme="minorHAnsi" w:cstheme="minorHAnsi"/>
              </w:rPr>
              <w:t>Mental Health Nurses</w:t>
            </w:r>
          </w:p>
        </w:tc>
        <w:tc>
          <w:tcPr>
            <w:tcW w:w="1058" w:type="dxa"/>
            <w:vAlign w:val="center"/>
          </w:tcPr>
          <w:p w14:paraId="42275F15" w14:textId="7204FAD3" w:rsidR="003764CC" w:rsidRPr="00087E15" w:rsidRDefault="003764CC" w:rsidP="00553CB6">
            <w:pPr>
              <w:rPr>
                <w:rFonts w:asciiTheme="minorHAnsi" w:hAnsiTheme="minorHAnsi" w:cstheme="minorHAnsi"/>
              </w:rPr>
            </w:pPr>
            <w:r w:rsidRPr="00087E15">
              <w:rPr>
                <w:rFonts w:asciiTheme="minorHAnsi" w:hAnsiTheme="minorHAnsi" w:cstheme="minorHAnsi"/>
              </w:rPr>
              <w:t>83</w:t>
            </w:r>
          </w:p>
        </w:tc>
        <w:tc>
          <w:tcPr>
            <w:tcW w:w="1684" w:type="dxa"/>
            <w:vAlign w:val="center"/>
          </w:tcPr>
          <w:p w14:paraId="7B778FA7" w14:textId="44176CA9" w:rsidR="003764CC" w:rsidRPr="00087E15" w:rsidRDefault="003764CC" w:rsidP="00553CB6">
            <w:pPr>
              <w:rPr>
                <w:rFonts w:asciiTheme="minorHAnsi" w:hAnsiTheme="minorHAnsi" w:cstheme="minorHAnsi"/>
              </w:rPr>
            </w:pPr>
            <w:r w:rsidRPr="00087E15">
              <w:rPr>
                <w:rFonts w:asciiTheme="minorHAnsi" w:hAnsiTheme="minorHAnsi" w:cstheme="minorHAnsi"/>
              </w:rPr>
              <w:t>74</w:t>
            </w:r>
          </w:p>
        </w:tc>
        <w:tc>
          <w:tcPr>
            <w:tcW w:w="1391" w:type="dxa"/>
            <w:vAlign w:val="center"/>
          </w:tcPr>
          <w:p w14:paraId="34CEF081" w14:textId="51B05A8C" w:rsidR="003764CC" w:rsidRPr="00087E15" w:rsidRDefault="003764CC">
            <w:pPr>
              <w:rPr>
                <w:rFonts w:asciiTheme="minorHAnsi" w:hAnsiTheme="minorHAnsi" w:cstheme="minorHAnsi"/>
              </w:rPr>
            </w:pPr>
            <w:r w:rsidRPr="00087E15">
              <w:rPr>
                <w:rFonts w:asciiTheme="minorHAnsi" w:hAnsiTheme="minorHAnsi" w:cstheme="minorHAnsi"/>
              </w:rPr>
              <w:t>46</w:t>
            </w:r>
          </w:p>
        </w:tc>
        <w:tc>
          <w:tcPr>
            <w:tcW w:w="1295" w:type="dxa"/>
            <w:vAlign w:val="center"/>
          </w:tcPr>
          <w:p w14:paraId="01ED61DA" w14:textId="758E8DD0" w:rsidR="003764CC" w:rsidRPr="00087E15" w:rsidRDefault="003764CC">
            <w:pPr>
              <w:rPr>
                <w:rFonts w:asciiTheme="minorHAnsi" w:hAnsiTheme="minorHAnsi" w:cstheme="minorHAnsi"/>
              </w:rPr>
            </w:pPr>
            <w:r w:rsidRPr="00087E15">
              <w:rPr>
                <w:rFonts w:asciiTheme="minorHAnsi" w:hAnsiTheme="minorHAnsi" w:cstheme="minorHAnsi"/>
              </w:rPr>
              <w:t>53</w:t>
            </w:r>
          </w:p>
        </w:tc>
        <w:tc>
          <w:tcPr>
            <w:tcW w:w="1653" w:type="dxa"/>
            <w:vAlign w:val="center"/>
          </w:tcPr>
          <w:p w14:paraId="0ACFABA2" w14:textId="78E36669" w:rsidR="003764CC" w:rsidRPr="00087E15" w:rsidRDefault="003764CC">
            <w:pPr>
              <w:rPr>
                <w:rFonts w:asciiTheme="minorHAnsi" w:hAnsiTheme="minorHAnsi" w:cstheme="minorHAnsi"/>
              </w:rPr>
            </w:pPr>
            <w:r w:rsidRPr="00087E15">
              <w:rPr>
                <w:rFonts w:asciiTheme="minorHAnsi" w:hAnsiTheme="minorHAnsi" w:cstheme="minorHAnsi"/>
              </w:rPr>
              <w:t>29</w:t>
            </w:r>
          </w:p>
        </w:tc>
      </w:tr>
    </w:tbl>
    <w:p w14:paraId="69733AA4" w14:textId="14742810" w:rsidR="003764CC" w:rsidRPr="006F3273" w:rsidRDefault="006D678F" w:rsidP="003764CC">
      <w:pPr>
        <w:rPr>
          <w:rFonts w:asciiTheme="minorHAnsi" w:hAnsiTheme="minorHAnsi" w:cstheme="minorHAnsi"/>
          <w:sz w:val="20"/>
          <w:szCs w:val="20"/>
        </w:rPr>
      </w:pPr>
      <w:r>
        <w:rPr>
          <w:rFonts w:asciiTheme="minorHAnsi" w:hAnsiTheme="minorHAnsi" w:cstheme="minorHAnsi"/>
          <w:sz w:val="20"/>
          <w:szCs w:val="20"/>
        </w:rPr>
        <w:t xml:space="preserve">* This </w:t>
      </w:r>
      <w:r w:rsidRPr="006F3273">
        <w:rPr>
          <w:rFonts w:asciiTheme="minorHAnsi" w:hAnsiTheme="minorHAnsi" w:cstheme="minorHAnsi"/>
          <w:sz w:val="20"/>
          <w:szCs w:val="20"/>
        </w:rPr>
        <w:t>Data set uses the Australian Standard Geographical Classification – Remoteness Areas (ASGC-RA) Classification System.  This system was widely used in 2015.</w:t>
      </w:r>
    </w:p>
    <w:p w14:paraId="62A0584F" w14:textId="77777777" w:rsidR="006F3273" w:rsidRDefault="006F3273" w:rsidP="003764CC">
      <w:pPr>
        <w:rPr>
          <w:rFonts w:asciiTheme="minorHAnsi" w:hAnsiTheme="minorHAnsi" w:cstheme="minorHAnsi"/>
          <w:u w:val="single"/>
        </w:rPr>
      </w:pPr>
    </w:p>
    <w:p w14:paraId="4A73DEFC" w14:textId="11B8339A" w:rsidR="003764CC" w:rsidRPr="00087E15" w:rsidRDefault="003764CC" w:rsidP="003764CC">
      <w:pPr>
        <w:rPr>
          <w:rFonts w:asciiTheme="minorHAnsi" w:hAnsiTheme="minorHAnsi" w:cstheme="minorHAnsi"/>
          <w:u w:val="single"/>
        </w:rPr>
      </w:pPr>
      <w:r w:rsidRPr="00087E15">
        <w:rPr>
          <w:rFonts w:asciiTheme="minorHAnsi" w:hAnsiTheme="minorHAnsi" w:cstheme="minorHAnsi"/>
          <w:u w:val="single"/>
        </w:rPr>
        <w:lastRenderedPageBreak/>
        <w:t>Dental Health professionals</w:t>
      </w:r>
    </w:p>
    <w:p w14:paraId="26771F70" w14:textId="1E285D75" w:rsidR="00BE3D9C" w:rsidRDefault="003764CC" w:rsidP="006F3273">
      <w:pPr>
        <w:spacing w:after="160"/>
        <w:rPr>
          <w:rFonts w:asciiTheme="minorHAnsi" w:hAnsiTheme="minorHAnsi" w:cstheme="minorHAnsi"/>
        </w:rPr>
      </w:pPr>
      <w:r w:rsidRPr="00087E15">
        <w:rPr>
          <w:rFonts w:asciiTheme="minorHAnsi" w:hAnsiTheme="minorHAnsi" w:cstheme="minorHAnsi"/>
        </w:rPr>
        <w:t>People living in rural and remote areas</w:t>
      </w:r>
      <w:r w:rsidR="00740F57">
        <w:rPr>
          <w:rFonts w:asciiTheme="minorHAnsi" w:hAnsiTheme="minorHAnsi" w:cstheme="minorHAnsi"/>
        </w:rPr>
        <w:t xml:space="preserve"> generally</w:t>
      </w:r>
      <w:r w:rsidRPr="00087E15">
        <w:rPr>
          <w:rFonts w:asciiTheme="minorHAnsi" w:hAnsiTheme="minorHAnsi" w:cstheme="minorHAnsi"/>
        </w:rPr>
        <w:t xml:space="preserve"> have poorer dental health, including higher rates of gum disease; and the proportion of people with untreated tooth decay increases with remoteness. </w:t>
      </w:r>
      <w:r w:rsidR="00740F57">
        <w:rPr>
          <w:rFonts w:asciiTheme="minorHAnsi" w:hAnsiTheme="minorHAnsi" w:cstheme="minorHAnsi"/>
        </w:rPr>
        <w:t xml:space="preserve"> </w:t>
      </w:r>
      <w:r w:rsidRPr="00087E15">
        <w:rPr>
          <w:rFonts w:asciiTheme="minorHAnsi" w:hAnsiTheme="minorHAnsi" w:cstheme="minorHAnsi"/>
        </w:rPr>
        <w:t xml:space="preserve">As with mental health, there is a significant and unmet need for dental health services in regional, rural and remote areas. There are more than three times as many dentists practising per 100 000 population in major cities (59.5) than in remote/very remote areas (17.9). </w:t>
      </w:r>
    </w:p>
    <w:p w14:paraId="4475A47F" w14:textId="73B0219E" w:rsidR="00BE3D9C" w:rsidRDefault="00D13CB7" w:rsidP="006F3273">
      <w:pPr>
        <w:spacing w:after="160"/>
        <w:rPr>
          <w:rFonts w:asciiTheme="minorHAnsi" w:hAnsiTheme="minorHAnsi" w:cstheme="minorHAnsi"/>
        </w:rPr>
      </w:pPr>
      <w:r>
        <w:rPr>
          <w:rFonts w:asciiTheme="minorHAnsi" w:hAnsiTheme="minorHAnsi" w:cstheme="minorHAnsi"/>
        </w:rPr>
        <w:t>Without policy intervention, the Government will not be able to appropriately influence access to a broader range of health services in vulnerable regional, rural and remote areas.  This translates to these communities facing a longer wait to develop and implement team based care models that have been shown to be effective in treating people with complex care need</w:t>
      </w:r>
      <w:r w:rsidR="000F232F">
        <w:rPr>
          <w:rFonts w:asciiTheme="minorHAnsi" w:hAnsiTheme="minorHAnsi" w:cstheme="minorHAnsi"/>
        </w:rPr>
        <w:t>s</w:t>
      </w:r>
      <w:r>
        <w:rPr>
          <w:rFonts w:asciiTheme="minorHAnsi" w:hAnsiTheme="minorHAnsi" w:cstheme="minorHAnsi"/>
        </w:rPr>
        <w:t xml:space="preserve"> and generally poorer health outcomes when compared to major cities.   The above demonstrates a significant need to influence the behaviour of a more diverse segment of the health workforce and makes a case for a strategic approach to responding to this challenge.</w:t>
      </w:r>
      <w:r w:rsidR="00C954F0">
        <w:rPr>
          <w:rFonts w:asciiTheme="minorHAnsi" w:hAnsiTheme="minorHAnsi" w:cstheme="minorHAnsi"/>
        </w:rPr>
        <w:t xml:space="preserve"> </w:t>
      </w:r>
    </w:p>
    <w:p w14:paraId="213557EF" w14:textId="77777777" w:rsidR="00AF7B16" w:rsidRPr="0052028F" w:rsidRDefault="00AF7B16" w:rsidP="00AF7B16">
      <w:pPr>
        <w:pStyle w:val="Heading2"/>
        <w:rPr>
          <w:rFonts w:asciiTheme="minorHAnsi" w:hAnsiTheme="minorHAnsi" w:cstheme="minorHAnsi"/>
        </w:rPr>
      </w:pPr>
      <w:r w:rsidRPr="0052028F">
        <w:rPr>
          <w:rFonts w:asciiTheme="minorHAnsi" w:hAnsiTheme="minorHAnsi" w:cstheme="minorHAnsi"/>
        </w:rPr>
        <w:t>Objective of Government Action</w:t>
      </w:r>
    </w:p>
    <w:p w14:paraId="167B1FAD" w14:textId="165171AD" w:rsidR="00AF7B16" w:rsidRPr="0052028F" w:rsidRDefault="00AF7B16" w:rsidP="00AF7B16">
      <w:pPr>
        <w:pBdr>
          <w:top w:val="single" w:sz="4" w:space="1" w:color="auto"/>
          <w:left w:val="single" w:sz="4" w:space="4" w:color="auto"/>
          <w:bottom w:val="single" w:sz="4" w:space="1" w:color="auto"/>
          <w:right w:val="single" w:sz="4" w:space="4" w:color="auto"/>
        </w:pBdr>
        <w:shd w:val="pct10" w:color="auto" w:fill="auto"/>
        <w:ind w:left="142"/>
        <w:rPr>
          <w:rFonts w:asciiTheme="minorHAnsi" w:hAnsiTheme="minorHAnsi" w:cstheme="minorHAnsi"/>
        </w:rPr>
      </w:pPr>
      <w:r w:rsidRPr="0052028F">
        <w:rPr>
          <w:rFonts w:asciiTheme="minorHAnsi" w:hAnsiTheme="minorHAnsi" w:cstheme="minorHAnsi"/>
        </w:rPr>
        <w:t>Providing all Australians with timely access to quality health services based on their needs, not ability to pay, regardless of where they live in the country, is a priority across all governments and is one of four strategic priorities of the National Healthcare Agreement (2017</w:t>
      </w:r>
      <w:r>
        <w:rPr>
          <w:rStyle w:val="FootnoteReference"/>
          <w:rFonts w:asciiTheme="minorHAnsi" w:hAnsiTheme="minorHAnsi" w:cstheme="minorHAnsi"/>
        </w:rPr>
        <w:footnoteReference w:id="1"/>
      </w:r>
      <w:r w:rsidRPr="0052028F">
        <w:rPr>
          <w:rFonts w:asciiTheme="minorHAnsi" w:hAnsiTheme="minorHAnsi" w:cstheme="minorHAnsi"/>
        </w:rPr>
        <w:t xml:space="preserve">). The Government is committed to improving the health of people living in regional, rural and remote Australia. The Strategy aims to do this through a range of initiatives that support a well-distributed health workforce across Australia and </w:t>
      </w:r>
      <w:r w:rsidR="00995DA2">
        <w:rPr>
          <w:rFonts w:asciiTheme="minorHAnsi" w:hAnsiTheme="minorHAnsi" w:cstheme="minorHAnsi"/>
        </w:rPr>
        <w:t xml:space="preserve">by </w:t>
      </w:r>
      <w:r w:rsidRPr="0052028F">
        <w:rPr>
          <w:rFonts w:asciiTheme="minorHAnsi" w:hAnsiTheme="minorHAnsi" w:cstheme="minorHAnsi"/>
        </w:rPr>
        <w:t xml:space="preserve">improving the quality of the health workforce. </w:t>
      </w:r>
    </w:p>
    <w:p w14:paraId="0A1623CC" w14:textId="77777777" w:rsidR="001B1392" w:rsidRDefault="001B1392" w:rsidP="001B1392">
      <w:pPr>
        <w:rPr>
          <w:rFonts w:asciiTheme="minorHAnsi" w:hAnsiTheme="minorHAnsi" w:cstheme="minorHAnsi"/>
        </w:rPr>
      </w:pPr>
    </w:p>
    <w:p w14:paraId="656F0AC8" w14:textId="24E44A2A" w:rsidR="00AF7B16" w:rsidRDefault="00AF7B16" w:rsidP="0003291B">
      <w:pPr>
        <w:rPr>
          <w:rFonts w:asciiTheme="minorHAnsi" w:hAnsiTheme="minorHAnsi" w:cstheme="minorHAnsi"/>
        </w:rPr>
      </w:pPr>
      <w:r w:rsidRPr="001B1392">
        <w:rPr>
          <w:rFonts w:asciiTheme="minorHAnsi" w:hAnsiTheme="minorHAnsi" w:cstheme="minorHAnsi"/>
        </w:rPr>
        <w:t xml:space="preserve">The Strategy </w:t>
      </w:r>
      <w:r w:rsidR="0003291B">
        <w:rPr>
          <w:rFonts w:asciiTheme="minorHAnsi" w:hAnsiTheme="minorHAnsi" w:cstheme="minorHAnsi"/>
        </w:rPr>
        <w:t xml:space="preserve">seeks to </w:t>
      </w:r>
      <w:r w:rsidRPr="001B1392">
        <w:rPr>
          <w:rFonts w:asciiTheme="minorHAnsi" w:hAnsiTheme="minorHAnsi" w:cstheme="minorHAnsi"/>
        </w:rPr>
        <w:t>improve health</w:t>
      </w:r>
      <w:r w:rsidR="00D13CB7">
        <w:rPr>
          <w:rFonts w:asciiTheme="minorHAnsi" w:hAnsiTheme="minorHAnsi" w:cstheme="minorHAnsi"/>
        </w:rPr>
        <w:t xml:space="preserve"> care</w:t>
      </w:r>
      <w:r w:rsidRPr="001B1392">
        <w:rPr>
          <w:rFonts w:asciiTheme="minorHAnsi" w:hAnsiTheme="minorHAnsi" w:cstheme="minorHAnsi"/>
        </w:rPr>
        <w:t xml:space="preserve"> access and </w:t>
      </w:r>
      <w:r w:rsidR="0003291B">
        <w:rPr>
          <w:rFonts w:asciiTheme="minorHAnsi" w:hAnsiTheme="minorHAnsi" w:cstheme="minorHAnsi"/>
        </w:rPr>
        <w:t xml:space="preserve">the quality of health </w:t>
      </w:r>
      <w:r w:rsidRPr="001B1392">
        <w:rPr>
          <w:rFonts w:asciiTheme="minorHAnsi" w:hAnsiTheme="minorHAnsi" w:cstheme="minorHAnsi"/>
        </w:rPr>
        <w:t>services to people living in regional, rural and remote Australia</w:t>
      </w:r>
      <w:r w:rsidR="0003291B">
        <w:rPr>
          <w:rFonts w:asciiTheme="minorHAnsi" w:hAnsiTheme="minorHAnsi" w:cstheme="minorHAnsi"/>
        </w:rPr>
        <w:t>, addressing an imbalance which exists</w:t>
      </w:r>
      <w:r w:rsidR="00D13CB7">
        <w:rPr>
          <w:rFonts w:asciiTheme="minorHAnsi" w:hAnsiTheme="minorHAnsi" w:cstheme="minorHAnsi"/>
        </w:rPr>
        <w:t xml:space="preserve"> when compared to</w:t>
      </w:r>
      <w:r w:rsidR="0003291B">
        <w:rPr>
          <w:rFonts w:asciiTheme="minorHAnsi" w:hAnsiTheme="minorHAnsi" w:cstheme="minorHAnsi"/>
        </w:rPr>
        <w:t xml:space="preserve"> metropolitan areas</w:t>
      </w:r>
      <w:r w:rsidRPr="001B1392">
        <w:rPr>
          <w:rFonts w:asciiTheme="minorHAnsi" w:hAnsiTheme="minorHAnsi" w:cstheme="minorHAnsi"/>
        </w:rPr>
        <w:t xml:space="preserve">. </w:t>
      </w:r>
      <w:r w:rsidR="0003291B">
        <w:rPr>
          <w:rFonts w:asciiTheme="minorHAnsi" w:hAnsiTheme="minorHAnsi" w:cstheme="minorHAnsi"/>
        </w:rPr>
        <w:t>It seeks to introduce</w:t>
      </w:r>
      <w:r w:rsidRPr="001B1392">
        <w:rPr>
          <w:rFonts w:asciiTheme="minorHAnsi" w:hAnsiTheme="minorHAnsi" w:cstheme="minorHAnsi"/>
        </w:rPr>
        <w:t xml:space="preserve"> a range of funding and administrative reforms to support a well distributed workforce across Australia</w:t>
      </w:r>
      <w:r w:rsidR="0003291B">
        <w:rPr>
          <w:rFonts w:asciiTheme="minorHAnsi" w:hAnsiTheme="minorHAnsi" w:cstheme="minorHAnsi"/>
        </w:rPr>
        <w:t>.</w:t>
      </w:r>
      <w:r w:rsidR="00374945">
        <w:rPr>
          <w:rFonts w:asciiTheme="minorHAnsi" w:hAnsiTheme="minorHAnsi" w:cstheme="minorHAnsi"/>
        </w:rPr>
        <w:t xml:space="preserve"> </w:t>
      </w:r>
      <w:r w:rsidR="0003291B">
        <w:rPr>
          <w:rFonts w:asciiTheme="minorHAnsi" w:hAnsiTheme="minorHAnsi" w:cstheme="minorHAnsi"/>
        </w:rPr>
        <w:t>It will</w:t>
      </w:r>
      <w:r w:rsidR="0003291B" w:rsidRPr="001B1392">
        <w:rPr>
          <w:rFonts w:asciiTheme="minorHAnsi" w:hAnsiTheme="minorHAnsi" w:cstheme="minorHAnsi"/>
        </w:rPr>
        <w:t xml:space="preserve"> </w:t>
      </w:r>
      <w:r w:rsidR="0003291B">
        <w:rPr>
          <w:rFonts w:asciiTheme="minorHAnsi" w:hAnsiTheme="minorHAnsi" w:cstheme="minorHAnsi"/>
        </w:rPr>
        <w:t xml:space="preserve">also </w:t>
      </w:r>
      <w:r w:rsidR="0003291B" w:rsidRPr="001B1392">
        <w:rPr>
          <w:rFonts w:asciiTheme="minorHAnsi" w:hAnsiTheme="minorHAnsi" w:cstheme="minorHAnsi"/>
        </w:rPr>
        <w:t>provide opportunities for Australian doctors through key initiatives via a renewed focus on teaching, training, recruitment and retention.</w:t>
      </w:r>
    </w:p>
    <w:p w14:paraId="29B211F6" w14:textId="06C093D8" w:rsidR="0003291B" w:rsidRDefault="0003291B" w:rsidP="0003291B">
      <w:pPr>
        <w:rPr>
          <w:rFonts w:asciiTheme="minorHAnsi" w:hAnsiTheme="minorHAnsi" w:cstheme="minorHAnsi"/>
        </w:rPr>
      </w:pPr>
    </w:p>
    <w:p w14:paraId="24F488AE" w14:textId="5C814239" w:rsidR="0003291B" w:rsidRDefault="0003291B" w:rsidP="0003291B">
      <w:pPr>
        <w:rPr>
          <w:rFonts w:asciiTheme="minorHAnsi" w:hAnsiTheme="minorHAnsi" w:cstheme="minorHAnsi"/>
        </w:rPr>
      </w:pPr>
      <w:r>
        <w:rPr>
          <w:rFonts w:asciiTheme="minorHAnsi" w:hAnsiTheme="minorHAnsi" w:cstheme="minorHAnsi"/>
        </w:rPr>
        <w:t xml:space="preserve">Objectives of the Strategy </w:t>
      </w:r>
      <w:r w:rsidR="00A92CE4">
        <w:rPr>
          <w:rFonts w:asciiTheme="minorHAnsi" w:hAnsiTheme="minorHAnsi" w:cstheme="minorHAnsi"/>
        </w:rPr>
        <w:t>are to</w:t>
      </w:r>
      <w:r w:rsidR="00995DA2">
        <w:rPr>
          <w:rFonts w:asciiTheme="minorHAnsi" w:hAnsiTheme="minorHAnsi" w:cstheme="minorHAnsi"/>
        </w:rPr>
        <w:t>:</w:t>
      </w:r>
    </w:p>
    <w:p w14:paraId="69FD77B6" w14:textId="64FE02AD" w:rsidR="0003291B" w:rsidRPr="00797388" w:rsidRDefault="00995DA2" w:rsidP="0003291B">
      <w:pPr>
        <w:pStyle w:val="ListParagraph"/>
        <w:numPr>
          <w:ilvl w:val="0"/>
          <w:numId w:val="1"/>
        </w:numPr>
        <w:rPr>
          <w:rFonts w:asciiTheme="minorHAnsi" w:hAnsiTheme="minorHAnsi" w:cstheme="minorHAnsi"/>
        </w:rPr>
      </w:pPr>
      <w:r w:rsidRPr="00797388">
        <w:rPr>
          <w:rFonts w:asciiTheme="minorHAnsi" w:hAnsiTheme="minorHAnsi" w:cstheme="minorHAnsi"/>
        </w:rPr>
        <w:t>address t</w:t>
      </w:r>
      <w:r w:rsidR="0003291B" w:rsidRPr="00797388">
        <w:rPr>
          <w:rFonts w:asciiTheme="minorHAnsi" w:hAnsiTheme="minorHAnsi" w:cstheme="minorHAnsi"/>
        </w:rPr>
        <w:t>he current profile of the medical workforce which contains a high proportion of non-VR doctors, particularly in rural and remote areas, and the resultant increased burden on the MBS</w:t>
      </w:r>
      <w:r w:rsidR="00F90411" w:rsidRPr="00797388">
        <w:rPr>
          <w:rFonts w:asciiTheme="minorHAnsi" w:hAnsiTheme="minorHAnsi" w:cstheme="minorHAnsi"/>
        </w:rPr>
        <w:t xml:space="preserve">; </w:t>
      </w:r>
    </w:p>
    <w:p w14:paraId="3BE65F9A" w14:textId="0AF22CF5" w:rsidR="0003291B" w:rsidRPr="00797388" w:rsidRDefault="00995DA2" w:rsidP="0003291B">
      <w:pPr>
        <w:pStyle w:val="ListParagraph"/>
        <w:numPr>
          <w:ilvl w:val="0"/>
          <w:numId w:val="1"/>
        </w:numPr>
        <w:rPr>
          <w:rFonts w:asciiTheme="minorHAnsi" w:hAnsiTheme="minorHAnsi" w:cstheme="minorHAnsi"/>
        </w:rPr>
      </w:pPr>
      <w:r w:rsidRPr="00797388">
        <w:rPr>
          <w:rFonts w:asciiTheme="minorHAnsi" w:hAnsiTheme="minorHAnsi" w:cstheme="minorHAnsi"/>
        </w:rPr>
        <w:t>address t</w:t>
      </w:r>
      <w:r w:rsidR="0003291B" w:rsidRPr="00797388">
        <w:rPr>
          <w:rFonts w:asciiTheme="minorHAnsi" w:hAnsiTheme="minorHAnsi" w:cstheme="minorHAnsi"/>
        </w:rPr>
        <w:t xml:space="preserve">he inability of current workforce policies to achieve </w:t>
      </w:r>
      <w:r w:rsidR="002679F6" w:rsidRPr="00797388">
        <w:rPr>
          <w:rFonts w:asciiTheme="minorHAnsi" w:hAnsiTheme="minorHAnsi" w:cstheme="minorHAnsi"/>
        </w:rPr>
        <w:t xml:space="preserve">equity of </w:t>
      </w:r>
      <w:r w:rsidR="0003291B" w:rsidRPr="00797388">
        <w:rPr>
          <w:rFonts w:asciiTheme="minorHAnsi" w:hAnsiTheme="minorHAnsi" w:cstheme="minorHAnsi"/>
        </w:rPr>
        <w:t>workforce distribution</w:t>
      </w:r>
      <w:r w:rsidR="00F90411" w:rsidRPr="00797388">
        <w:rPr>
          <w:rFonts w:asciiTheme="minorHAnsi" w:hAnsiTheme="minorHAnsi" w:cstheme="minorHAnsi"/>
        </w:rPr>
        <w:t>;</w:t>
      </w:r>
    </w:p>
    <w:p w14:paraId="0050431F" w14:textId="77777777" w:rsidR="00797388" w:rsidRPr="00797388" w:rsidRDefault="00995DA2" w:rsidP="00797388">
      <w:pPr>
        <w:pStyle w:val="ListParagraph"/>
        <w:numPr>
          <w:ilvl w:val="0"/>
          <w:numId w:val="1"/>
        </w:numPr>
        <w:rPr>
          <w:rFonts w:asciiTheme="minorHAnsi" w:hAnsiTheme="minorHAnsi" w:cstheme="minorHAnsi"/>
          <w:bCs/>
          <w:iCs/>
          <w:sz w:val="28"/>
          <w:szCs w:val="28"/>
        </w:rPr>
      </w:pPr>
      <w:r w:rsidRPr="00797388">
        <w:rPr>
          <w:rFonts w:asciiTheme="minorHAnsi" w:hAnsiTheme="minorHAnsi" w:cstheme="minorHAnsi"/>
        </w:rPr>
        <w:t>better manage s</w:t>
      </w:r>
      <w:r w:rsidR="0003291B" w:rsidRPr="00797388">
        <w:rPr>
          <w:rFonts w:asciiTheme="minorHAnsi" w:hAnsiTheme="minorHAnsi" w:cstheme="minorHAnsi"/>
        </w:rPr>
        <w:t>upply</w:t>
      </w:r>
      <w:r w:rsidRPr="00797388">
        <w:rPr>
          <w:rFonts w:asciiTheme="minorHAnsi" w:hAnsiTheme="minorHAnsi" w:cstheme="minorHAnsi"/>
        </w:rPr>
        <w:t>-</w:t>
      </w:r>
      <w:r w:rsidR="0003291B" w:rsidRPr="00797388">
        <w:rPr>
          <w:rFonts w:asciiTheme="minorHAnsi" w:hAnsiTheme="minorHAnsi" w:cstheme="minorHAnsi"/>
        </w:rPr>
        <w:t>driven expenditure growth generated through the current inability to control certain aspects of the OTD medical supply pipeline and its responsiveness to health workforce distribution needs</w:t>
      </w:r>
      <w:r w:rsidR="00F90411" w:rsidRPr="00797388">
        <w:rPr>
          <w:rFonts w:asciiTheme="minorHAnsi" w:hAnsiTheme="minorHAnsi" w:cstheme="minorHAnsi"/>
        </w:rPr>
        <w:t>; and</w:t>
      </w:r>
    </w:p>
    <w:p w14:paraId="2FCD95E8" w14:textId="5643C102" w:rsidR="00F93950" w:rsidRPr="00797388" w:rsidRDefault="00995DA2" w:rsidP="00797388">
      <w:pPr>
        <w:pStyle w:val="ListParagraph"/>
        <w:numPr>
          <w:ilvl w:val="0"/>
          <w:numId w:val="1"/>
        </w:numPr>
        <w:rPr>
          <w:rFonts w:asciiTheme="minorHAnsi" w:hAnsiTheme="minorHAnsi" w:cstheme="minorHAnsi"/>
          <w:bCs/>
          <w:iCs/>
          <w:sz w:val="28"/>
          <w:szCs w:val="28"/>
        </w:rPr>
      </w:pPr>
      <w:r w:rsidRPr="00797388">
        <w:rPr>
          <w:rFonts w:asciiTheme="minorHAnsi" w:hAnsiTheme="minorHAnsi" w:cstheme="minorHAnsi"/>
        </w:rPr>
        <w:t>improve the responsiveness of</w:t>
      </w:r>
      <w:r w:rsidR="0003291B" w:rsidRPr="00797388">
        <w:rPr>
          <w:rFonts w:asciiTheme="minorHAnsi" w:hAnsiTheme="minorHAnsi" w:cstheme="minorHAnsi"/>
        </w:rPr>
        <w:t xml:space="preserve"> primary health care to the needs of people with comorbidities (chronic and/or complex conditions).</w:t>
      </w:r>
      <w:r w:rsidR="00C954F0" w:rsidRPr="00797388">
        <w:rPr>
          <w:rFonts w:asciiTheme="minorHAnsi" w:hAnsiTheme="minorHAnsi" w:cstheme="minorHAnsi"/>
        </w:rPr>
        <w:t xml:space="preserve"> </w:t>
      </w:r>
      <w:r w:rsidR="00F93950" w:rsidRPr="00797388">
        <w:rPr>
          <w:rFonts w:asciiTheme="minorHAnsi" w:hAnsiTheme="minorHAnsi" w:cstheme="minorHAnsi"/>
        </w:rPr>
        <w:br w:type="page"/>
      </w:r>
    </w:p>
    <w:p w14:paraId="7C7B0FBB" w14:textId="7D79415D" w:rsidR="00AF7B16" w:rsidRPr="0052028F" w:rsidRDefault="0003291B" w:rsidP="00AF7B16">
      <w:pPr>
        <w:pStyle w:val="Heading2"/>
        <w:rPr>
          <w:rFonts w:asciiTheme="minorHAnsi" w:hAnsiTheme="minorHAnsi" w:cstheme="minorHAnsi"/>
        </w:rPr>
      </w:pPr>
      <w:r>
        <w:rPr>
          <w:rFonts w:asciiTheme="minorHAnsi" w:hAnsiTheme="minorHAnsi" w:cstheme="minorHAnsi"/>
        </w:rPr>
        <w:lastRenderedPageBreak/>
        <w:t>Po</w:t>
      </w:r>
      <w:r w:rsidR="00AF7B16" w:rsidRPr="0052028F">
        <w:rPr>
          <w:rFonts w:asciiTheme="minorHAnsi" w:hAnsiTheme="minorHAnsi" w:cstheme="minorHAnsi"/>
        </w:rPr>
        <w:t>licy Options</w:t>
      </w:r>
    </w:p>
    <w:p w14:paraId="18176FFF" w14:textId="07825357" w:rsidR="00AF7B16" w:rsidRPr="00F93950" w:rsidRDefault="00AF7B16" w:rsidP="00F93950">
      <w:pPr>
        <w:rPr>
          <w:rFonts w:asciiTheme="minorHAnsi" w:hAnsiTheme="minorHAnsi" w:cstheme="minorHAnsi"/>
        </w:rPr>
      </w:pPr>
      <w:r w:rsidRPr="00F93950">
        <w:rPr>
          <w:rFonts w:asciiTheme="minorHAnsi" w:hAnsiTheme="minorHAnsi" w:cstheme="minorHAnsi"/>
        </w:rPr>
        <w:t xml:space="preserve">The </w:t>
      </w:r>
      <w:r w:rsidR="002679F6" w:rsidRPr="00F93950">
        <w:rPr>
          <w:rFonts w:asciiTheme="minorHAnsi" w:hAnsiTheme="minorHAnsi" w:cstheme="minorHAnsi"/>
        </w:rPr>
        <w:t>Strategy</w:t>
      </w:r>
      <w:r w:rsidR="00DD7CAB" w:rsidRPr="00F93950">
        <w:rPr>
          <w:rFonts w:asciiTheme="minorHAnsi" w:hAnsiTheme="minorHAnsi" w:cstheme="minorHAnsi"/>
        </w:rPr>
        <w:t xml:space="preserve"> includes </w:t>
      </w:r>
      <w:r w:rsidR="002679F6" w:rsidRPr="00F93950">
        <w:rPr>
          <w:rFonts w:asciiTheme="minorHAnsi" w:hAnsiTheme="minorHAnsi" w:cstheme="minorHAnsi"/>
        </w:rPr>
        <w:t xml:space="preserve">a package of </w:t>
      </w:r>
      <w:r w:rsidR="00DD7CAB" w:rsidRPr="00F93950">
        <w:rPr>
          <w:rFonts w:asciiTheme="minorHAnsi" w:hAnsiTheme="minorHAnsi" w:cstheme="minorHAnsi"/>
        </w:rPr>
        <w:t>12 initiatives</w:t>
      </w:r>
      <w:r w:rsidRPr="00F93950">
        <w:rPr>
          <w:rFonts w:asciiTheme="minorHAnsi" w:hAnsiTheme="minorHAnsi" w:cstheme="minorHAnsi"/>
        </w:rPr>
        <w:t xml:space="preserve"> to support the policy objectives</w:t>
      </w:r>
      <w:r w:rsidR="00DD7CAB" w:rsidRPr="00F93950">
        <w:rPr>
          <w:rFonts w:asciiTheme="minorHAnsi" w:hAnsiTheme="minorHAnsi" w:cstheme="minorHAnsi"/>
        </w:rPr>
        <w:t xml:space="preserve">. </w:t>
      </w:r>
      <w:r w:rsidR="002679F6" w:rsidRPr="00F93950">
        <w:rPr>
          <w:rFonts w:asciiTheme="minorHAnsi" w:hAnsiTheme="minorHAnsi" w:cstheme="minorHAnsi"/>
        </w:rPr>
        <w:t>More d</w:t>
      </w:r>
      <w:r w:rsidR="00BB2BDB" w:rsidRPr="00F93950">
        <w:rPr>
          <w:rFonts w:asciiTheme="minorHAnsi" w:hAnsiTheme="minorHAnsi" w:cstheme="minorHAnsi"/>
        </w:rPr>
        <w:t>etail</w:t>
      </w:r>
      <w:r w:rsidR="002679F6" w:rsidRPr="00F93950">
        <w:rPr>
          <w:rFonts w:asciiTheme="minorHAnsi" w:hAnsiTheme="minorHAnsi" w:cstheme="minorHAnsi"/>
        </w:rPr>
        <w:t>ed information</w:t>
      </w:r>
      <w:r w:rsidR="00BB2BDB" w:rsidRPr="00F93950">
        <w:rPr>
          <w:rFonts w:asciiTheme="minorHAnsi" w:hAnsiTheme="minorHAnsi" w:cstheme="minorHAnsi"/>
        </w:rPr>
        <w:t xml:space="preserve"> o</w:t>
      </w:r>
      <w:r w:rsidR="002679F6" w:rsidRPr="00F93950">
        <w:rPr>
          <w:rFonts w:asciiTheme="minorHAnsi" w:hAnsiTheme="minorHAnsi" w:cstheme="minorHAnsi"/>
        </w:rPr>
        <w:t>n</w:t>
      </w:r>
      <w:r w:rsidR="00BB2BDB" w:rsidRPr="00F93950">
        <w:rPr>
          <w:rFonts w:asciiTheme="minorHAnsi" w:hAnsiTheme="minorHAnsi" w:cstheme="minorHAnsi"/>
        </w:rPr>
        <w:t xml:space="preserve"> the various </w:t>
      </w:r>
      <w:r w:rsidRPr="00F93950">
        <w:rPr>
          <w:rFonts w:asciiTheme="minorHAnsi" w:hAnsiTheme="minorHAnsi" w:cstheme="minorHAnsi"/>
        </w:rPr>
        <w:t>initiative</w:t>
      </w:r>
      <w:r w:rsidR="00BB2BDB" w:rsidRPr="00F93950">
        <w:rPr>
          <w:rFonts w:asciiTheme="minorHAnsi" w:hAnsiTheme="minorHAnsi" w:cstheme="minorHAnsi"/>
        </w:rPr>
        <w:t>s</w:t>
      </w:r>
      <w:r w:rsidRPr="00F93950">
        <w:rPr>
          <w:rFonts w:asciiTheme="minorHAnsi" w:hAnsiTheme="minorHAnsi" w:cstheme="minorHAnsi"/>
        </w:rPr>
        <w:t xml:space="preserve"> </w:t>
      </w:r>
      <w:r w:rsidR="002679F6" w:rsidRPr="00F93950">
        <w:rPr>
          <w:rFonts w:asciiTheme="minorHAnsi" w:hAnsiTheme="minorHAnsi" w:cstheme="minorHAnsi"/>
        </w:rPr>
        <w:t xml:space="preserve">is </w:t>
      </w:r>
      <w:r w:rsidR="00DD7CAB" w:rsidRPr="00F93950">
        <w:rPr>
          <w:rFonts w:asciiTheme="minorHAnsi" w:hAnsiTheme="minorHAnsi" w:cstheme="minorHAnsi"/>
        </w:rPr>
        <w:t xml:space="preserve">provided </w:t>
      </w:r>
      <w:r w:rsidRPr="00F93950">
        <w:rPr>
          <w:rFonts w:asciiTheme="minorHAnsi" w:hAnsiTheme="minorHAnsi" w:cstheme="minorHAnsi"/>
        </w:rPr>
        <w:t xml:space="preserve">at </w:t>
      </w:r>
      <w:r w:rsidRPr="00F93950">
        <w:rPr>
          <w:rFonts w:asciiTheme="minorHAnsi" w:hAnsiTheme="minorHAnsi" w:cstheme="minorHAnsi"/>
          <w:u w:val="single"/>
        </w:rPr>
        <w:t>Attachment A</w:t>
      </w:r>
      <w:r w:rsidRPr="00F93950">
        <w:rPr>
          <w:rFonts w:asciiTheme="minorHAnsi" w:hAnsiTheme="minorHAnsi" w:cstheme="minorHAnsi"/>
        </w:rPr>
        <w:t>.</w:t>
      </w:r>
    </w:p>
    <w:p w14:paraId="1742E991" w14:textId="6851EF11" w:rsidR="00AF7B16" w:rsidRDefault="00AF7B16" w:rsidP="00AA5EBF">
      <w:pPr>
        <w:pStyle w:val="Heading3"/>
        <w:spacing w:after="0"/>
        <w:rPr>
          <w:rFonts w:asciiTheme="minorHAnsi" w:hAnsiTheme="minorHAnsi" w:cstheme="minorHAnsi"/>
          <w:b/>
        </w:rPr>
      </w:pPr>
      <w:r w:rsidRPr="0052028F">
        <w:rPr>
          <w:rFonts w:asciiTheme="minorHAnsi" w:hAnsiTheme="minorHAnsi" w:cstheme="minorHAnsi"/>
          <w:b/>
        </w:rPr>
        <w:t xml:space="preserve">Option 1:  </w:t>
      </w:r>
      <w:r>
        <w:rPr>
          <w:rFonts w:asciiTheme="minorHAnsi" w:hAnsiTheme="minorHAnsi" w:cstheme="minorHAnsi"/>
          <w:b/>
        </w:rPr>
        <w:t>(</w:t>
      </w:r>
      <w:r w:rsidRPr="0052028F">
        <w:rPr>
          <w:rFonts w:asciiTheme="minorHAnsi" w:hAnsiTheme="minorHAnsi" w:cstheme="minorHAnsi"/>
          <w:b/>
        </w:rPr>
        <w:t>Status Quo – Do Nothing</w:t>
      </w:r>
      <w:r>
        <w:rPr>
          <w:rFonts w:asciiTheme="minorHAnsi" w:hAnsiTheme="minorHAnsi" w:cstheme="minorHAnsi"/>
          <w:b/>
        </w:rPr>
        <w:t>)</w:t>
      </w:r>
    </w:p>
    <w:p w14:paraId="2A4D5CFB" w14:textId="77777777" w:rsidR="00AA5EBF" w:rsidRPr="00AA5EBF" w:rsidRDefault="00AA5EBF" w:rsidP="00AA5EBF"/>
    <w:p w14:paraId="7D07226F" w14:textId="77777777" w:rsidR="00AF7B16" w:rsidRPr="0052028F" w:rsidRDefault="00AF7B16" w:rsidP="00AF7B16">
      <w:pPr>
        <w:rPr>
          <w:rFonts w:asciiTheme="minorHAnsi" w:hAnsiTheme="minorHAnsi" w:cstheme="minorHAnsi"/>
          <w:b/>
        </w:rPr>
      </w:pPr>
      <w:r w:rsidRPr="0052028F">
        <w:rPr>
          <w:rFonts w:asciiTheme="minorHAnsi" w:hAnsiTheme="minorHAnsi" w:cstheme="minorHAnsi"/>
          <w:b/>
        </w:rPr>
        <w:t>Option Overview</w:t>
      </w:r>
    </w:p>
    <w:p w14:paraId="15C0F676" w14:textId="333360FB" w:rsidR="00AF7B16" w:rsidRPr="0052028F" w:rsidRDefault="00AF7B16" w:rsidP="00AF7B16">
      <w:pPr>
        <w:rPr>
          <w:rFonts w:asciiTheme="minorHAnsi" w:hAnsiTheme="minorHAnsi" w:cstheme="minorHAnsi"/>
        </w:rPr>
      </w:pPr>
      <w:r w:rsidRPr="0052028F">
        <w:rPr>
          <w:rFonts w:asciiTheme="minorHAnsi" w:hAnsiTheme="minorHAnsi" w:cstheme="minorHAnsi"/>
        </w:rPr>
        <w:t xml:space="preserve">This option would not implement the proposed reforms </w:t>
      </w:r>
      <w:r w:rsidR="00D13CB7">
        <w:rPr>
          <w:rFonts w:asciiTheme="minorHAnsi" w:hAnsiTheme="minorHAnsi" w:cstheme="minorHAnsi"/>
        </w:rPr>
        <w:t xml:space="preserve">proposed under the Strategy or any alternate changes </w:t>
      </w:r>
      <w:r w:rsidRPr="0052028F">
        <w:rPr>
          <w:rFonts w:asciiTheme="minorHAnsi" w:hAnsiTheme="minorHAnsi" w:cstheme="minorHAnsi"/>
        </w:rPr>
        <w:t xml:space="preserve">and </w:t>
      </w:r>
      <w:r w:rsidR="0073203A">
        <w:rPr>
          <w:rFonts w:asciiTheme="minorHAnsi" w:hAnsiTheme="minorHAnsi" w:cstheme="minorHAnsi"/>
        </w:rPr>
        <w:t xml:space="preserve">would </w:t>
      </w:r>
      <w:r w:rsidRPr="0052028F">
        <w:rPr>
          <w:rFonts w:asciiTheme="minorHAnsi" w:hAnsiTheme="minorHAnsi" w:cstheme="minorHAnsi"/>
        </w:rPr>
        <w:t>continue current arrangements across all policies and programs.</w:t>
      </w:r>
    </w:p>
    <w:p w14:paraId="26BBC358" w14:textId="77777777" w:rsidR="00AF7B16" w:rsidRPr="0052028F" w:rsidRDefault="00AF7B16" w:rsidP="00AF7B16">
      <w:pPr>
        <w:rPr>
          <w:rFonts w:asciiTheme="minorHAnsi" w:hAnsiTheme="minorHAnsi" w:cstheme="minorHAnsi"/>
        </w:rPr>
      </w:pPr>
    </w:p>
    <w:p w14:paraId="0C41BC79" w14:textId="77777777" w:rsidR="00AF7B16" w:rsidRPr="0052028F" w:rsidRDefault="00AF7B16" w:rsidP="00AF7B16">
      <w:pPr>
        <w:rPr>
          <w:rFonts w:asciiTheme="minorHAnsi" w:hAnsiTheme="minorHAnsi" w:cstheme="minorHAnsi"/>
          <w:b/>
        </w:rPr>
      </w:pPr>
      <w:r w:rsidRPr="0052028F">
        <w:rPr>
          <w:rFonts w:asciiTheme="minorHAnsi" w:hAnsiTheme="minorHAnsi" w:cstheme="minorHAnsi"/>
          <w:b/>
        </w:rPr>
        <w:t>Impacted Parties</w:t>
      </w:r>
    </w:p>
    <w:p w14:paraId="50E81598" w14:textId="33B5DBEA" w:rsidR="00AF7B16" w:rsidRPr="0052028F" w:rsidRDefault="00AF7B16" w:rsidP="00AF7B16">
      <w:pPr>
        <w:rPr>
          <w:rFonts w:asciiTheme="minorHAnsi" w:hAnsiTheme="minorHAnsi" w:cstheme="minorHAnsi"/>
        </w:rPr>
      </w:pPr>
      <w:r w:rsidRPr="0052028F">
        <w:rPr>
          <w:rFonts w:asciiTheme="minorHAnsi" w:hAnsiTheme="minorHAnsi" w:cstheme="minorHAnsi"/>
        </w:rPr>
        <w:t>T</w:t>
      </w:r>
      <w:r w:rsidR="00D44538">
        <w:rPr>
          <w:rFonts w:asciiTheme="minorHAnsi" w:hAnsiTheme="minorHAnsi" w:cstheme="minorHAnsi"/>
        </w:rPr>
        <w:t>he health and medical community;</w:t>
      </w:r>
      <w:r w:rsidRPr="0052028F">
        <w:rPr>
          <w:rFonts w:asciiTheme="minorHAnsi" w:hAnsiTheme="minorHAnsi" w:cstheme="minorHAnsi"/>
        </w:rPr>
        <w:t xml:space="preserve"> State and Territory and Commonwe</w:t>
      </w:r>
      <w:r w:rsidR="00D44538">
        <w:rPr>
          <w:rFonts w:asciiTheme="minorHAnsi" w:hAnsiTheme="minorHAnsi" w:cstheme="minorHAnsi"/>
        </w:rPr>
        <w:t>alth Governments;</w:t>
      </w:r>
      <w:r w:rsidRPr="0052028F">
        <w:rPr>
          <w:rFonts w:asciiTheme="minorHAnsi" w:hAnsiTheme="minorHAnsi" w:cstheme="minorHAnsi"/>
        </w:rPr>
        <w:t xml:space="preserve"> </w:t>
      </w:r>
      <w:r w:rsidR="009B52BD">
        <w:rPr>
          <w:rFonts w:asciiTheme="minorHAnsi" w:hAnsiTheme="minorHAnsi" w:cstheme="minorHAnsi"/>
        </w:rPr>
        <w:t xml:space="preserve">and </w:t>
      </w:r>
      <w:r w:rsidRPr="0052028F">
        <w:rPr>
          <w:rFonts w:asciiTheme="minorHAnsi" w:hAnsiTheme="minorHAnsi" w:cstheme="minorHAnsi"/>
        </w:rPr>
        <w:t xml:space="preserve">the general community, particularly in rural and </w:t>
      </w:r>
      <w:r w:rsidR="00BB2BDB">
        <w:rPr>
          <w:rFonts w:asciiTheme="minorHAnsi" w:hAnsiTheme="minorHAnsi" w:cstheme="minorHAnsi"/>
        </w:rPr>
        <w:t>regional</w:t>
      </w:r>
      <w:r w:rsidRPr="0052028F">
        <w:rPr>
          <w:rFonts w:asciiTheme="minorHAnsi" w:hAnsiTheme="minorHAnsi" w:cstheme="minorHAnsi"/>
        </w:rPr>
        <w:t xml:space="preserve"> Australia.</w:t>
      </w:r>
    </w:p>
    <w:p w14:paraId="7291456D" w14:textId="77777777" w:rsidR="00AF7B16" w:rsidRPr="0052028F" w:rsidRDefault="00AF7B16" w:rsidP="00AF7B16">
      <w:pPr>
        <w:rPr>
          <w:rFonts w:asciiTheme="minorHAnsi" w:hAnsiTheme="minorHAnsi" w:cstheme="minorHAnsi"/>
          <w:b/>
        </w:rPr>
      </w:pPr>
    </w:p>
    <w:p w14:paraId="4A21654D" w14:textId="77777777" w:rsidR="00AF7B16" w:rsidRPr="0052028F" w:rsidRDefault="00AF7B16" w:rsidP="00AF7B16">
      <w:pPr>
        <w:rPr>
          <w:rFonts w:asciiTheme="minorHAnsi" w:hAnsiTheme="minorHAnsi" w:cstheme="minorHAnsi"/>
          <w:b/>
        </w:rPr>
      </w:pPr>
      <w:r w:rsidRPr="0052028F">
        <w:rPr>
          <w:rFonts w:asciiTheme="minorHAnsi" w:hAnsiTheme="minorHAnsi" w:cstheme="minorHAnsi"/>
          <w:b/>
        </w:rPr>
        <w:t>Impact Analysis</w:t>
      </w:r>
    </w:p>
    <w:p w14:paraId="515C4749" w14:textId="551C4DBB" w:rsidR="000B50AD" w:rsidRDefault="0092403C" w:rsidP="000B50AD">
      <w:pPr>
        <w:rPr>
          <w:rFonts w:asciiTheme="minorHAnsi" w:hAnsiTheme="minorHAnsi" w:cstheme="minorHAnsi"/>
        </w:rPr>
      </w:pPr>
      <w:r>
        <w:rPr>
          <w:rFonts w:asciiTheme="minorHAnsi" w:hAnsiTheme="minorHAnsi" w:cstheme="minorHAnsi"/>
        </w:rPr>
        <w:t>Current</w:t>
      </w:r>
      <w:r w:rsidR="00735B8C">
        <w:rPr>
          <w:rFonts w:asciiTheme="minorHAnsi" w:hAnsiTheme="minorHAnsi" w:cstheme="minorHAnsi"/>
        </w:rPr>
        <w:t xml:space="preserve"> policy</w:t>
      </w:r>
      <w:r>
        <w:rPr>
          <w:rFonts w:asciiTheme="minorHAnsi" w:hAnsiTheme="minorHAnsi" w:cstheme="minorHAnsi"/>
        </w:rPr>
        <w:t xml:space="preserve"> and program settings are not appropriate to address</w:t>
      </w:r>
      <w:r w:rsidR="00735B8C">
        <w:rPr>
          <w:rFonts w:asciiTheme="minorHAnsi" w:hAnsiTheme="minorHAnsi" w:cstheme="minorHAnsi"/>
        </w:rPr>
        <w:t xml:space="preserve"> inequalities</w:t>
      </w:r>
      <w:r>
        <w:rPr>
          <w:rFonts w:asciiTheme="minorHAnsi" w:hAnsiTheme="minorHAnsi" w:cstheme="minorHAnsi"/>
        </w:rPr>
        <w:t xml:space="preserve"> in access to health services</w:t>
      </w:r>
      <w:r w:rsidR="00735B8C">
        <w:rPr>
          <w:rFonts w:asciiTheme="minorHAnsi" w:hAnsiTheme="minorHAnsi" w:cstheme="minorHAnsi"/>
        </w:rPr>
        <w:t xml:space="preserve"> </w:t>
      </w:r>
      <w:r>
        <w:rPr>
          <w:rFonts w:asciiTheme="minorHAnsi" w:hAnsiTheme="minorHAnsi" w:cstheme="minorHAnsi"/>
        </w:rPr>
        <w:t>and the generally poorer health outcomes of</w:t>
      </w:r>
      <w:r w:rsidR="00735B8C">
        <w:rPr>
          <w:rFonts w:asciiTheme="minorHAnsi" w:hAnsiTheme="minorHAnsi" w:cstheme="minorHAnsi"/>
        </w:rPr>
        <w:t xml:space="preserve"> </w:t>
      </w:r>
      <w:r w:rsidR="000B50AD">
        <w:rPr>
          <w:rFonts w:asciiTheme="minorHAnsi" w:hAnsiTheme="minorHAnsi" w:cstheme="minorHAnsi"/>
        </w:rPr>
        <w:t xml:space="preserve">Australians </w:t>
      </w:r>
      <w:r w:rsidR="00735B8C">
        <w:rPr>
          <w:rFonts w:asciiTheme="minorHAnsi" w:hAnsiTheme="minorHAnsi" w:cstheme="minorHAnsi"/>
        </w:rPr>
        <w:t xml:space="preserve">living </w:t>
      </w:r>
      <w:r>
        <w:rPr>
          <w:rFonts w:asciiTheme="minorHAnsi" w:hAnsiTheme="minorHAnsi" w:cstheme="minorHAnsi"/>
        </w:rPr>
        <w:t xml:space="preserve">in rural and remote areas.  </w:t>
      </w:r>
      <w:r w:rsidR="00E35FC4">
        <w:rPr>
          <w:rFonts w:asciiTheme="minorHAnsi" w:hAnsiTheme="minorHAnsi" w:cstheme="minorHAnsi"/>
        </w:rPr>
        <w:t>Continuing the</w:t>
      </w:r>
      <w:r>
        <w:rPr>
          <w:rFonts w:asciiTheme="minorHAnsi" w:hAnsiTheme="minorHAnsi" w:cstheme="minorHAnsi"/>
        </w:rPr>
        <w:t xml:space="preserve"> current settings will le</w:t>
      </w:r>
      <w:r w:rsidR="00F6327C">
        <w:rPr>
          <w:rFonts w:asciiTheme="minorHAnsi" w:hAnsiTheme="minorHAnsi" w:cstheme="minorHAnsi"/>
        </w:rPr>
        <w:t>ad to increases in unmet demand</w:t>
      </w:r>
      <w:r>
        <w:rPr>
          <w:rFonts w:asciiTheme="minorHAnsi" w:hAnsiTheme="minorHAnsi" w:cstheme="minorHAnsi"/>
        </w:rPr>
        <w:t xml:space="preserve"> for health services</w:t>
      </w:r>
      <w:r w:rsidR="000B50AD">
        <w:rPr>
          <w:rFonts w:asciiTheme="minorHAnsi" w:hAnsiTheme="minorHAnsi" w:cstheme="minorHAnsi"/>
        </w:rPr>
        <w:t xml:space="preserve"> and </w:t>
      </w:r>
      <w:r w:rsidR="00E35FC4">
        <w:rPr>
          <w:rFonts w:asciiTheme="minorHAnsi" w:hAnsiTheme="minorHAnsi" w:cstheme="minorHAnsi"/>
        </w:rPr>
        <w:t xml:space="preserve">related </w:t>
      </w:r>
      <w:r w:rsidR="000B50AD">
        <w:rPr>
          <w:rFonts w:asciiTheme="minorHAnsi" w:hAnsiTheme="minorHAnsi" w:cstheme="minorHAnsi"/>
        </w:rPr>
        <w:t xml:space="preserve">significant economic impact manifesting as costs to Government. </w:t>
      </w:r>
    </w:p>
    <w:p w14:paraId="4CC1790A" w14:textId="0934265E" w:rsidR="0092403C" w:rsidRDefault="0092403C" w:rsidP="00AF7B16">
      <w:pPr>
        <w:rPr>
          <w:rFonts w:asciiTheme="minorHAnsi" w:hAnsiTheme="minorHAnsi" w:cstheme="minorHAnsi"/>
        </w:rPr>
      </w:pPr>
    </w:p>
    <w:p w14:paraId="4A93832D" w14:textId="0CB2C594" w:rsidR="00E35FC4" w:rsidRDefault="00E86032" w:rsidP="00E86032">
      <w:pPr>
        <w:rPr>
          <w:rFonts w:asciiTheme="minorHAnsi" w:hAnsiTheme="minorHAnsi" w:cstheme="minorHAnsi"/>
        </w:rPr>
      </w:pPr>
      <w:r>
        <w:rPr>
          <w:rFonts w:asciiTheme="minorHAnsi" w:hAnsiTheme="minorHAnsi" w:cstheme="minorHAnsi"/>
        </w:rPr>
        <w:t xml:space="preserve">The current settings </w:t>
      </w:r>
      <w:r w:rsidR="00E56213">
        <w:rPr>
          <w:rFonts w:asciiTheme="minorHAnsi" w:hAnsiTheme="minorHAnsi" w:cstheme="minorHAnsi"/>
        </w:rPr>
        <w:t xml:space="preserve">do not </w:t>
      </w:r>
      <w:r>
        <w:rPr>
          <w:rFonts w:asciiTheme="minorHAnsi" w:hAnsiTheme="minorHAnsi" w:cstheme="minorHAnsi"/>
        </w:rPr>
        <w:t>uniformly reinforce the Government’s aspiration</w:t>
      </w:r>
      <w:r w:rsidR="00E35FC4">
        <w:rPr>
          <w:rFonts w:asciiTheme="minorHAnsi" w:hAnsiTheme="minorHAnsi" w:cstheme="minorHAnsi"/>
        </w:rPr>
        <w:t xml:space="preserve"> under section 19AA of the HIA</w:t>
      </w:r>
      <w:r>
        <w:rPr>
          <w:rFonts w:asciiTheme="minorHAnsi" w:hAnsiTheme="minorHAnsi" w:cstheme="minorHAnsi"/>
        </w:rPr>
        <w:t xml:space="preserve"> that all doctors registered after 1 November 1996 w</w:t>
      </w:r>
      <w:r w:rsidR="00E35FC4">
        <w:rPr>
          <w:rFonts w:asciiTheme="minorHAnsi" w:hAnsiTheme="minorHAnsi" w:cstheme="minorHAnsi"/>
        </w:rPr>
        <w:t xml:space="preserve">ill </w:t>
      </w:r>
      <w:r>
        <w:rPr>
          <w:rFonts w:asciiTheme="minorHAnsi" w:hAnsiTheme="minorHAnsi" w:cstheme="minorHAnsi"/>
        </w:rPr>
        <w:t xml:space="preserve">attain a postgraduate qualification.  </w:t>
      </w:r>
      <w:r w:rsidR="00E56213">
        <w:rPr>
          <w:rFonts w:asciiTheme="minorHAnsi" w:hAnsiTheme="minorHAnsi" w:cstheme="minorHAnsi"/>
        </w:rPr>
        <w:t>This is particularly true in general practice</w:t>
      </w:r>
      <w:r w:rsidR="00E35FC4">
        <w:rPr>
          <w:rFonts w:asciiTheme="minorHAnsi" w:hAnsiTheme="minorHAnsi" w:cstheme="minorHAnsi"/>
        </w:rPr>
        <w:t>, where the current MBS eligibility settings do no provide consistent encouragement or support to qualify as GPs.</w:t>
      </w:r>
    </w:p>
    <w:p w14:paraId="68CFD6AF" w14:textId="77777777" w:rsidR="00E35FC4" w:rsidRDefault="00E35FC4" w:rsidP="00E86032">
      <w:pPr>
        <w:rPr>
          <w:rFonts w:asciiTheme="minorHAnsi" w:hAnsiTheme="minorHAnsi" w:cstheme="minorHAnsi"/>
        </w:rPr>
      </w:pPr>
    </w:p>
    <w:p w14:paraId="76E7E67E" w14:textId="0837F04C" w:rsidR="00AF7F45" w:rsidRDefault="00D13CB7" w:rsidP="00E86032">
      <w:pPr>
        <w:rPr>
          <w:rFonts w:asciiTheme="minorHAnsi" w:hAnsiTheme="minorHAnsi" w:cstheme="minorHAnsi"/>
        </w:rPr>
      </w:pPr>
      <w:r>
        <w:rPr>
          <w:rFonts w:asciiTheme="minorHAnsi" w:hAnsiTheme="minorHAnsi" w:cstheme="minorHAnsi"/>
        </w:rPr>
        <w:t>The Government recognises that n</w:t>
      </w:r>
      <w:r w:rsidR="00E56213">
        <w:rPr>
          <w:rFonts w:asciiTheme="minorHAnsi" w:hAnsiTheme="minorHAnsi" w:cstheme="minorHAnsi"/>
        </w:rPr>
        <w:t xml:space="preserve">on-VR doctors have </w:t>
      </w:r>
      <w:r w:rsidR="00AF7F45">
        <w:rPr>
          <w:rFonts w:asciiTheme="minorHAnsi" w:hAnsiTheme="minorHAnsi" w:cstheme="minorHAnsi"/>
        </w:rPr>
        <w:t>played</w:t>
      </w:r>
      <w:r w:rsidR="00E56213">
        <w:rPr>
          <w:rFonts w:asciiTheme="minorHAnsi" w:hAnsiTheme="minorHAnsi" w:cstheme="minorHAnsi"/>
        </w:rPr>
        <w:t xml:space="preserve"> an important role in addressing gaps in</w:t>
      </w:r>
      <w:r>
        <w:rPr>
          <w:rFonts w:asciiTheme="minorHAnsi" w:hAnsiTheme="minorHAnsi" w:cstheme="minorHAnsi"/>
        </w:rPr>
        <w:t xml:space="preserve"> service access for many regional, rural and</w:t>
      </w:r>
      <w:r w:rsidR="00E56213">
        <w:rPr>
          <w:rFonts w:asciiTheme="minorHAnsi" w:hAnsiTheme="minorHAnsi" w:cstheme="minorHAnsi"/>
        </w:rPr>
        <w:t xml:space="preserve"> remote communitie</w:t>
      </w:r>
      <w:r w:rsidR="00AF7F45">
        <w:rPr>
          <w:rFonts w:asciiTheme="minorHAnsi" w:hAnsiTheme="minorHAnsi" w:cstheme="minorHAnsi"/>
        </w:rPr>
        <w:t>s.  However</w:t>
      </w:r>
      <w:r w:rsidR="00ED4EB5">
        <w:rPr>
          <w:rFonts w:asciiTheme="minorHAnsi" w:hAnsiTheme="minorHAnsi" w:cstheme="minorHAnsi"/>
        </w:rPr>
        <w:t xml:space="preserve">, the current MBS </w:t>
      </w:r>
      <w:r w:rsidR="00740F57">
        <w:rPr>
          <w:rFonts w:asciiTheme="minorHAnsi" w:hAnsiTheme="minorHAnsi" w:cstheme="minorHAnsi"/>
        </w:rPr>
        <w:t xml:space="preserve">eligibility </w:t>
      </w:r>
      <w:r w:rsidR="00ED4EB5">
        <w:rPr>
          <w:rFonts w:asciiTheme="minorHAnsi" w:hAnsiTheme="minorHAnsi" w:cstheme="minorHAnsi"/>
        </w:rPr>
        <w:t>settings do not address the potential that the most vulnerable communities will remain reliant on these doctors in the long term.  The current settings also do not provide the most appropriate mix of factors to</w:t>
      </w:r>
      <w:r>
        <w:rPr>
          <w:rFonts w:asciiTheme="minorHAnsi" w:hAnsiTheme="minorHAnsi" w:cstheme="minorHAnsi"/>
        </w:rPr>
        <w:t xml:space="preserve"> motivate all non-VR doctors to qualify due to </w:t>
      </w:r>
      <w:r w:rsidR="00ED4EB5">
        <w:rPr>
          <w:rFonts w:asciiTheme="minorHAnsi" w:hAnsiTheme="minorHAnsi" w:cstheme="minorHAnsi"/>
        </w:rPr>
        <w:t>a</w:t>
      </w:r>
      <w:r w:rsidR="00AF7F45">
        <w:rPr>
          <w:rFonts w:asciiTheme="minorHAnsi" w:hAnsiTheme="minorHAnsi" w:cstheme="minorHAnsi"/>
        </w:rPr>
        <w:t xml:space="preserve">: </w:t>
      </w:r>
    </w:p>
    <w:p w14:paraId="1D2F1E36" w14:textId="4545DC39" w:rsidR="00E56213" w:rsidRDefault="00D06545" w:rsidP="00AA5EBF">
      <w:pPr>
        <w:pStyle w:val="ListParagraph"/>
        <w:numPr>
          <w:ilvl w:val="0"/>
          <w:numId w:val="35"/>
        </w:numPr>
        <w:rPr>
          <w:rFonts w:asciiTheme="minorHAnsi" w:hAnsiTheme="minorHAnsi" w:cstheme="minorHAnsi"/>
        </w:rPr>
      </w:pPr>
      <w:r>
        <w:rPr>
          <w:rFonts w:asciiTheme="minorHAnsi" w:hAnsiTheme="minorHAnsi" w:cstheme="minorHAnsi"/>
        </w:rPr>
        <w:t>lack of</w:t>
      </w:r>
      <w:r w:rsidR="00AF7F45">
        <w:rPr>
          <w:rFonts w:asciiTheme="minorHAnsi" w:hAnsiTheme="minorHAnsi" w:cstheme="minorHAnsi"/>
        </w:rPr>
        <w:t xml:space="preserve"> </w:t>
      </w:r>
      <w:r w:rsidR="00E56213">
        <w:rPr>
          <w:rFonts w:asciiTheme="minorHAnsi" w:hAnsiTheme="minorHAnsi" w:cstheme="minorHAnsi"/>
        </w:rPr>
        <w:t>structured pathway</w:t>
      </w:r>
      <w:r>
        <w:rPr>
          <w:rFonts w:asciiTheme="minorHAnsi" w:hAnsiTheme="minorHAnsi" w:cstheme="minorHAnsi"/>
        </w:rPr>
        <w:t>s</w:t>
      </w:r>
      <w:r w:rsidR="00E56213">
        <w:rPr>
          <w:rFonts w:asciiTheme="minorHAnsi" w:hAnsiTheme="minorHAnsi" w:cstheme="minorHAnsi"/>
        </w:rPr>
        <w:t xml:space="preserve"> </w:t>
      </w:r>
      <w:r w:rsidR="00ED4EB5">
        <w:rPr>
          <w:rFonts w:asciiTheme="minorHAnsi" w:hAnsiTheme="minorHAnsi" w:cstheme="minorHAnsi"/>
        </w:rPr>
        <w:t>that take a non-VR doctor fro</w:t>
      </w:r>
      <w:r>
        <w:rPr>
          <w:rFonts w:asciiTheme="minorHAnsi" w:hAnsiTheme="minorHAnsi" w:cstheme="minorHAnsi"/>
        </w:rPr>
        <w:t xml:space="preserve">m </w:t>
      </w:r>
      <w:r w:rsidR="00ED4EB5">
        <w:rPr>
          <w:rFonts w:asciiTheme="minorHAnsi" w:hAnsiTheme="minorHAnsi" w:cstheme="minorHAnsi"/>
        </w:rPr>
        <w:t xml:space="preserve">their entry to </w:t>
      </w:r>
      <w:r w:rsidR="00AF7F45">
        <w:rPr>
          <w:rFonts w:asciiTheme="minorHAnsi" w:hAnsiTheme="minorHAnsi" w:cstheme="minorHAnsi"/>
        </w:rPr>
        <w:t>general practice</w:t>
      </w:r>
      <w:r>
        <w:rPr>
          <w:rFonts w:asciiTheme="minorHAnsi" w:hAnsiTheme="minorHAnsi" w:cstheme="minorHAnsi"/>
        </w:rPr>
        <w:t xml:space="preserve"> commencement </w:t>
      </w:r>
      <w:r w:rsidR="00E56213">
        <w:rPr>
          <w:rFonts w:asciiTheme="minorHAnsi" w:hAnsiTheme="minorHAnsi" w:cstheme="minorHAnsi"/>
        </w:rPr>
        <w:t>to</w:t>
      </w:r>
      <w:r w:rsidR="00D13CB7">
        <w:rPr>
          <w:rFonts w:asciiTheme="minorHAnsi" w:hAnsiTheme="minorHAnsi" w:cstheme="minorHAnsi"/>
        </w:rPr>
        <w:t xml:space="preserve"> their</w:t>
      </w:r>
      <w:r w:rsidR="00E56213">
        <w:rPr>
          <w:rFonts w:asciiTheme="minorHAnsi" w:hAnsiTheme="minorHAnsi" w:cstheme="minorHAnsi"/>
        </w:rPr>
        <w:t xml:space="preserve"> </w:t>
      </w:r>
      <w:r w:rsidR="00AF7F45">
        <w:rPr>
          <w:rFonts w:asciiTheme="minorHAnsi" w:hAnsiTheme="minorHAnsi" w:cstheme="minorHAnsi"/>
        </w:rPr>
        <w:t>a</w:t>
      </w:r>
      <w:r>
        <w:rPr>
          <w:rFonts w:asciiTheme="minorHAnsi" w:hAnsiTheme="minorHAnsi" w:cstheme="minorHAnsi"/>
        </w:rPr>
        <w:t xml:space="preserve">ttainment of </w:t>
      </w:r>
      <w:r w:rsidR="00E56213">
        <w:rPr>
          <w:rFonts w:asciiTheme="minorHAnsi" w:hAnsiTheme="minorHAnsi" w:cstheme="minorHAnsi"/>
        </w:rPr>
        <w:t xml:space="preserve"> FRACGP or FACRRM;</w:t>
      </w:r>
      <w:r>
        <w:rPr>
          <w:rFonts w:asciiTheme="minorHAnsi" w:hAnsiTheme="minorHAnsi" w:cstheme="minorHAnsi"/>
        </w:rPr>
        <w:t xml:space="preserve"> and</w:t>
      </w:r>
    </w:p>
    <w:p w14:paraId="1F6B1914" w14:textId="77777777" w:rsidR="00C954F0" w:rsidRDefault="00D06545" w:rsidP="00C954F0">
      <w:pPr>
        <w:pStyle w:val="ListParagraph"/>
        <w:numPr>
          <w:ilvl w:val="0"/>
          <w:numId w:val="35"/>
        </w:numPr>
        <w:rPr>
          <w:rFonts w:asciiTheme="minorHAnsi" w:hAnsiTheme="minorHAnsi" w:cstheme="minorHAnsi"/>
        </w:rPr>
      </w:pPr>
      <w:r>
        <w:rPr>
          <w:rFonts w:asciiTheme="minorHAnsi" w:hAnsiTheme="minorHAnsi" w:cstheme="minorHAnsi"/>
        </w:rPr>
        <w:t>general practice MBS item</w:t>
      </w:r>
      <w:r w:rsidR="00AF7F45">
        <w:rPr>
          <w:rFonts w:asciiTheme="minorHAnsi" w:hAnsiTheme="minorHAnsi" w:cstheme="minorHAnsi"/>
        </w:rPr>
        <w:t xml:space="preserve"> structure </w:t>
      </w:r>
      <w:r>
        <w:rPr>
          <w:rFonts w:asciiTheme="minorHAnsi" w:hAnsiTheme="minorHAnsi" w:cstheme="minorHAnsi"/>
        </w:rPr>
        <w:t>t</w:t>
      </w:r>
      <w:r w:rsidR="001F3E28">
        <w:rPr>
          <w:rFonts w:asciiTheme="minorHAnsi" w:hAnsiTheme="minorHAnsi" w:cstheme="minorHAnsi"/>
        </w:rPr>
        <w:t>hat has</w:t>
      </w:r>
      <w:r>
        <w:rPr>
          <w:rFonts w:asciiTheme="minorHAnsi" w:hAnsiTheme="minorHAnsi" w:cstheme="minorHAnsi"/>
        </w:rPr>
        <w:t xml:space="preserve"> </w:t>
      </w:r>
      <w:r w:rsidR="001F3E28">
        <w:rPr>
          <w:rFonts w:asciiTheme="minorHAnsi" w:hAnsiTheme="minorHAnsi" w:cstheme="minorHAnsi"/>
        </w:rPr>
        <w:t>not been</w:t>
      </w:r>
      <w:r>
        <w:rPr>
          <w:rFonts w:asciiTheme="minorHAnsi" w:hAnsiTheme="minorHAnsi" w:cstheme="minorHAnsi"/>
        </w:rPr>
        <w:t xml:space="preserve"> </w:t>
      </w:r>
      <w:r w:rsidR="001F3E28">
        <w:rPr>
          <w:rFonts w:asciiTheme="minorHAnsi" w:hAnsiTheme="minorHAnsi" w:cstheme="minorHAnsi"/>
        </w:rPr>
        <w:t xml:space="preserve">uniformly indexed over time and that has introduced claiming rights that are not linked to the attainment of </w:t>
      </w:r>
      <w:r w:rsidR="00862281">
        <w:rPr>
          <w:rFonts w:asciiTheme="minorHAnsi" w:hAnsiTheme="minorHAnsi" w:cstheme="minorHAnsi"/>
        </w:rPr>
        <w:t>FRACGP or FACRRM</w:t>
      </w:r>
      <w:r w:rsidR="001F3E28">
        <w:rPr>
          <w:rFonts w:asciiTheme="minorHAnsi" w:hAnsiTheme="minorHAnsi" w:cstheme="minorHAnsi"/>
        </w:rPr>
        <w:t>.</w:t>
      </w:r>
    </w:p>
    <w:p w14:paraId="2266FD92" w14:textId="77777777" w:rsidR="00C954F0" w:rsidRDefault="00C954F0" w:rsidP="00C954F0">
      <w:pPr>
        <w:rPr>
          <w:rFonts w:asciiTheme="minorHAnsi" w:hAnsiTheme="minorHAnsi" w:cstheme="minorHAnsi"/>
        </w:rPr>
      </w:pPr>
    </w:p>
    <w:p w14:paraId="0A874F0F" w14:textId="572ADCD7" w:rsidR="00C954F0" w:rsidRPr="00C954F0" w:rsidRDefault="0092403C" w:rsidP="00C954F0">
      <w:pPr>
        <w:rPr>
          <w:rFonts w:asciiTheme="minorHAnsi" w:hAnsiTheme="minorHAnsi" w:cstheme="minorHAnsi"/>
        </w:rPr>
      </w:pPr>
      <w:r w:rsidRPr="00C954F0">
        <w:rPr>
          <w:rFonts w:asciiTheme="minorHAnsi" w:hAnsiTheme="minorHAnsi" w:cstheme="minorHAnsi"/>
        </w:rPr>
        <w:t xml:space="preserve">While </w:t>
      </w:r>
      <w:r w:rsidR="000B50AD" w:rsidRPr="00C954F0">
        <w:rPr>
          <w:rFonts w:asciiTheme="minorHAnsi" w:hAnsiTheme="minorHAnsi" w:cstheme="minorHAnsi"/>
        </w:rPr>
        <w:t xml:space="preserve">the </w:t>
      </w:r>
      <w:r w:rsidRPr="00C954F0">
        <w:rPr>
          <w:rFonts w:asciiTheme="minorHAnsi" w:hAnsiTheme="minorHAnsi" w:cstheme="minorHAnsi"/>
        </w:rPr>
        <w:t xml:space="preserve">current settings </w:t>
      </w:r>
      <w:r w:rsidR="000B50AD" w:rsidRPr="00C954F0">
        <w:rPr>
          <w:rFonts w:asciiTheme="minorHAnsi" w:hAnsiTheme="minorHAnsi" w:cstheme="minorHAnsi"/>
        </w:rPr>
        <w:t>apply some</w:t>
      </w:r>
      <w:r w:rsidRPr="00C954F0">
        <w:rPr>
          <w:rFonts w:asciiTheme="minorHAnsi" w:hAnsiTheme="minorHAnsi" w:cstheme="minorHAnsi"/>
        </w:rPr>
        <w:t xml:space="preserve"> effective workforce distribution mechanisms</w:t>
      </w:r>
      <w:r w:rsidR="00862281" w:rsidRPr="00C954F0">
        <w:rPr>
          <w:rFonts w:asciiTheme="minorHAnsi" w:hAnsiTheme="minorHAnsi" w:cstheme="minorHAnsi"/>
        </w:rPr>
        <w:t>, their intent is limited to</w:t>
      </w:r>
      <w:r w:rsidRPr="00C954F0">
        <w:rPr>
          <w:rFonts w:asciiTheme="minorHAnsi" w:hAnsiTheme="minorHAnsi" w:cstheme="minorHAnsi"/>
        </w:rPr>
        <w:t xml:space="preserve"> </w:t>
      </w:r>
      <w:r w:rsidR="00862281" w:rsidRPr="00C954F0">
        <w:rPr>
          <w:rFonts w:asciiTheme="minorHAnsi" w:hAnsiTheme="minorHAnsi" w:cstheme="minorHAnsi"/>
        </w:rPr>
        <w:t xml:space="preserve">distributing </w:t>
      </w:r>
      <w:r w:rsidR="009C12FA" w:rsidRPr="00C954F0">
        <w:rPr>
          <w:rFonts w:asciiTheme="minorHAnsi" w:hAnsiTheme="minorHAnsi" w:cstheme="minorHAnsi"/>
        </w:rPr>
        <w:t>the current workforce</w:t>
      </w:r>
      <w:r w:rsidR="00424490" w:rsidRPr="00C954F0">
        <w:rPr>
          <w:rFonts w:asciiTheme="minorHAnsi" w:hAnsiTheme="minorHAnsi" w:cstheme="minorHAnsi"/>
        </w:rPr>
        <w:t xml:space="preserve">.  </w:t>
      </w:r>
      <w:r w:rsidR="009C12FA" w:rsidRPr="00C954F0">
        <w:rPr>
          <w:rFonts w:asciiTheme="minorHAnsi" w:hAnsiTheme="minorHAnsi" w:cstheme="minorHAnsi"/>
        </w:rPr>
        <w:t xml:space="preserve">An example is the DWS classification system, which distributes GPs, specialists and consultant physicians on the basis of local community needs that are identified according </w:t>
      </w:r>
      <w:r w:rsidR="00D13CB7" w:rsidRPr="00C954F0">
        <w:rPr>
          <w:rFonts w:asciiTheme="minorHAnsi" w:hAnsiTheme="minorHAnsi" w:cstheme="minorHAnsi"/>
        </w:rPr>
        <w:t xml:space="preserve">to the </w:t>
      </w:r>
      <w:r w:rsidR="009C12FA" w:rsidRPr="00C954F0">
        <w:rPr>
          <w:rFonts w:asciiTheme="minorHAnsi" w:hAnsiTheme="minorHAnsi" w:cstheme="minorHAnsi"/>
        </w:rPr>
        <w:t>distribution of MBS-subsidised service</w:t>
      </w:r>
      <w:r w:rsidR="00ED4EB5" w:rsidRPr="00C954F0">
        <w:rPr>
          <w:rFonts w:asciiTheme="minorHAnsi" w:hAnsiTheme="minorHAnsi" w:cstheme="minorHAnsi"/>
        </w:rPr>
        <w:t>s</w:t>
      </w:r>
      <w:r w:rsidR="009C12FA" w:rsidRPr="00C954F0">
        <w:rPr>
          <w:rFonts w:asciiTheme="minorHAnsi" w:hAnsiTheme="minorHAnsi" w:cstheme="minorHAnsi"/>
        </w:rPr>
        <w:t xml:space="preserve"> </w:t>
      </w:r>
      <w:r w:rsidR="00D13CB7" w:rsidRPr="00C954F0">
        <w:rPr>
          <w:rFonts w:asciiTheme="minorHAnsi" w:hAnsiTheme="minorHAnsi" w:cstheme="minorHAnsi"/>
        </w:rPr>
        <w:t xml:space="preserve">relative to the current </w:t>
      </w:r>
      <w:r w:rsidR="009C12FA" w:rsidRPr="00C954F0">
        <w:rPr>
          <w:rFonts w:asciiTheme="minorHAnsi" w:hAnsiTheme="minorHAnsi" w:cstheme="minorHAnsi"/>
        </w:rPr>
        <w:t>national average</w:t>
      </w:r>
      <w:r w:rsidR="005106A1" w:rsidRPr="00C954F0">
        <w:rPr>
          <w:rFonts w:asciiTheme="minorHAnsi" w:hAnsiTheme="minorHAnsi" w:cstheme="minorHAnsi"/>
        </w:rPr>
        <w:t>.</w:t>
      </w:r>
    </w:p>
    <w:p w14:paraId="5D120B31" w14:textId="04FA1F16" w:rsidR="00C62167" w:rsidRDefault="00C954F0" w:rsidP="009C12FA">
      <w:pPr>
        <w:rPr>
          <w:rFonts w:asciiTheme="minorHAnsi" w:hAnsiTheme="minorHAnsi" w:cstheme="minorHAnsi"/>
        </w:rPr>
      </w:pPr>
      <w:r>
        <w:rPr>
          <w:rFonts w:asciiTheme="minorHAnsi" w:hAnsiTheme="minorHAnsi" w:cstheme="minorHAnsi"/>
        </w:rPr>
        <w:t xml:space="preserve"> </w:t>
      </w:r>
    </w:p>
    <w:p w14:paraId="32F4BE3C" w14:textId="0C8ECB18" w:rsidR="009C12FA" w:rsidRPr="006F3273" w:rsidRDefault="005106A1" w:rsidP="009C12FA">
      <w:pPr>
        <w:rPr>
          <w:rFonts w:asciiTheme="minorHAnsi" w:hAnsiTheme="minorHAnsi" w:cstheme="minorHAnsi"/>
        </w:rPr>
      </w:pPr>
      <w:r>
        <w:rPr>
          <w:rFonts w:asciiTheme="minorHAnsi" w:hAnsiTheme="minorHAnsi" w:cstheme="minorHAnsi"/>
        </w:rPr>
        <w:t>DWS determinations are</w:t>
      </w:r>
      <w:r w:rsidR="009C12FA">
        <w:rPr>
          <w:rFonts w:asciiTheme="minorHAnsi" w:hAnsiTheme="minorHAnsi" w:cstheme="minorHAnsi"/>
        </w:rPr>
        <w:t xml:space="preserve"> effective </w:t>
      </w:r>
      <w:r>
        <w:rPr>
          <w:rFonts w:asciiTheme="minorHAnsi" w:hAnsiTheme="minorHAnsi" w:cstheme="minorHAnsi"/>
        </w:rPr>
        <w:t>for</w:t>
      </w:r>
      <w:r w:rsidR="009C12FA">
        <w:rPr>
          <w:rFonts w:asciiTheme="minorHAnsi" w:hAnsiTheme="minorHAnsi" w:cstheme="minorHAnsi"/>
        </w:rPr>
        <w:t xml:space="preserve"> identifying and addressing short term </w:t>
      </w:r>
      <w:r>
        <w:rPr>
          <w:rFonts w:asciiTheme="minorHAnsi" w:hAnsiTheme="minorHAnsi" w:cstheme="minorHAnsi"/>
        </w:rPr>
        <w:t>workforce</w:t>
      </w:r>
      <w:r w:rsidR="009C12FA">
        <w:rPr>
          <w:rFonts w:asciiTheme="minorHAnsi" w:hAnsiTheme="minorHAnsi" w:cstheme="minorHAnsi"/>
        </w:rPr>
        <w:t xml:space="preserve"> priorities for </w:t>
      </w:r>
      <w:r>
        <w:rPr>
          <w:rFonts w:asciiTheme="minorHAnsi" w:hAnsiTheme="minorHAnsi" w:cstheme="minorHAnsi"/>
        </w:rPr>
        <w:t>most fields of medicine</w:t>
      </w:r>
      <w:r w:rsidR="00E33B95">
        <w:rPr>
          <w:rFonts w:asciiTheme="minorHAnsi" w:hAnsiTheme="minorHAnsi" w:cstheme="minorHAnsi"/>
        </w:rPr>
        <w:t xml:space="preserve">.  However </w:t>
      </w:r>
      <w:r w:rsidR="00804D67">
        <w:rPr>
          <w:rFonts w:asciiTheme="minorHAnsi" w:hAnsiTheme="minorHAnsi" w:cstheme="minorHAnsi"/>
        </w:rPr>
        <w:t>this system</w:t>
      </w:r>
      <w:r w:rsidR="00E33B95">
        <w:rPr>
          <w:rFonts w:asciiTheme="minorHAnsi" w:hAnsiTheme="minorHAnsi" w:cstheme="minorHAnsi"/>
        </w:rPr>
        <w:t xml:space="preserve"> is not a workforce planning tool </w:t>
      </w:r>
      <w:r w:rsidR="00ED4EB5">
        <w:rPr>
          <w:rFonts w:asciiTheme="minorHAnsi" w:hAnsiTheme="minorHAnsi" w:cstheme="minorHAnsi"/>
        </w:rPr>
        <w:t>and does not</w:t>
      </w:r>
      <w:r w:rsidR="000D37F2">
        <w:rPr>
          <w:rFonts w:asciiTheme="minorHAnsi" w:hAnsiTheme="minorHAnsi" w:cstheme="minorHAnsi"/>
        </w:rPr>
        <w:t>:</w:t>
      </w:r>
    </w:p>
    <w:p w14:paraId="62A6A7BF" w14:textId="7F670544" w:rsidR="009C12FA" w:rsidRDefault="00ED4EB5" w:rsidP="00AA5EBF">
      <w:pPr>
        <w:pStyle w:val="ListParagraph"/>
        <w:numPr>
          <w:ilvl w:val="0"/>
          <w:numId w:val="33"/>
        </w:numPr>
        <w:rPr>
          <w:rFonts w:asciiTheme="minorHAnsi" w:hAnsiTheme="minorHAnsi" w:cstheme="minorHAnsi"/>
        </w:rPr>
      </w:pPr>
      <w:r>
        <w:rPr>
          <w:rFonts w:asciiTheme="minorHAnsi" w:hAnsiTheme="minorHAnsi" w:cstheme="minorHAnsi"/>
        </w:rPr>
        <w:t xml:space="preserve">link </w:t>
      </w:r>
      <w:r w:rsidR="009C12FA">
        <w:rPr>
          <w:rFonts w:asciiTheme="minorHAnsi" w:hAnsiTheme="minorHAnsi" w:cstheme="minorHAnsi"/>
        </w:rPr>
        <w:t>workforce shortage determinations to a defined long-term medical workforce distribution obj</w:t>
      </w:r>
      <w:r w:rsidR="00716D87">
        <w:rPr>
          <w:rFonts w:asciiTheme="minorHAnsi" w:hAnsiTheme="minorHAnsi" w:cstheme="minorHAnsi"/>
        </w:rPr>
        <w:t xml:space="preserve">ective; </w:t>
      </w:r>
    </w:p>
    <w:p w14:paraId="2F4CF27E" w14:textId="5D1AA5F7" w:rsidR="00716D87" w:rsidRDefault="00716D87" w:rsidP="00AA5EBF">
      <w:pPr>
        <w:pStyle w:val="ListParagraph"/>
        <w:numPr>
          <w:ilvl w:val="0"/>
          <w:numId w:val="33"/>
        </w:numPr>
        <w:rPr>
          <w:rFonts w:asciiTheme="minorHAnsi" w:hAnsiTheme="minorHAnsi" w:cstheme="minorHAnsi"/>
        </w:rPr>
      </w:pPr>
      <w:r>
        <w:rPr>
          <w:rFonts w:asciiTheme="minorHAnsi" w:hAnsiTheme="minorHAnsi" w:cstheme="minorHAnsi"/>
        </w:rPr>
        <w:lastRenderedPageBreak/>
        <w:t xml:space="preserve">apply considerations beyond local access to private </w:t>
      </w:r>
      <w:r w:rsidR="00D13CB7">
        <w:rPr>
          <w:rFonts w:asciiTheme="minorHAnsi" w:hAnsiTheme="minorHAnsi" w:cstheme="minorHAnsi"/>
        </w:rPr>
        <w:t>doctor</w:t>
      </w:r>
      <w:r>
        <w:rPr>
          <w:rFonts w:asciiTheme="minorHAnsi" w:hAnsiTheme="minorHAnsi" w:cstheme="minorHAnsi"/>
        </w:rPr>
        <w:t>s, meaning current needs analysis does not examine local service needs in the context of how the complete medical workforce is geographically distributed;</w:t>
      </w:r>
      <w:r w:rsidR="00ED4EB5">
        <w:rPr>
          <w:rFonts w:asciiTheme="minorHAnsi" w:hAnsiTheme="minorHAnsi" w:cstheme="minorHAnsi"/>
        </w:rPr>
        <w:t xml:space="preserve"> or</w:t>
      </w:r>
    </w:p>
    <w:p w14:paraId="64303DC6" w14:textId="7FDAC766" w:rsidR="000D37F2" w:rsidRPr="006F3273" w:rsidRDefault="000D37F2" w:rsidP="00AA5EBF">
      <w:pPr>
        <w:pStyle w:val="ListParagraph"/>
        <w:numPr>
          <w:ilvl w:val="0"/>
          <w:numId w:val="33"/>
        </w:numPr>
        <w:rPr>
          <w:rFonts w:asciiTheme="minorHAnsi" w:hAnsiTheme="minorHAnsi" w:cstheme="minorHAnsi"/>
        </w:rPr>
      </w:pPr>
      <w:r>
        <w:rPr>
          <w:rFonts w:asciiTheme="minorHAnsi" w:hAnsiTheme="minorHAnsi" w:cstheme="minorHAnsi"/>
        </w:rPr>
        <w:t>address</w:t>
      </w:r>
      <w:r w:rsidR="00D13CB7">
        <w:rPr>
          <w:rFonts w:asciiTheme="minorHAnsi" w:hAnsiTheme="minorHAnsi" w:cstheme="minorHAnsi"/>
        </w:rPr>
        <w:t xml:space="preserve">, in any long-term sense, </w:t>
      </w:r>
      <w:r w:rsidR="000B50AD">
        <w:rPr>
          <w:rFonts w:asciiTheme="minorHAnsi" w:hAnsiTheme="minorHAnsi" w:cstheme="minorHAnsi"/>
        </w:rPr>
        <w:t xml:space="preserve">system </w:t>
      </w:r>
      <w:r>
        <w:rPr>
          <w:rFonts w:asciiTheme="minorHAnsi" w:hAnsiTheme="minorHAnsi" w:cstheme="minorHAnsi"/>
        </w:rPr>
        <w:t xml:space="preserve">pressures </w:t>
      </w:r>
      <w:r w:rsidR="000B50AD">
        <w:rPr>
          <w:rFonts w:asciiTheme="minorHAnsi" w:hAnsiTheme="minorHAnsi" w:cstheme="minorHAnsi"/>
        </w:rPr>
        <w:t>that are a feature of a long-term cycle of under and oversupply</w:t>
      </w:r>
      <w:r>
        <w:rPr>
          <w:rFonts w:asciiTheme="minorHAnsi" w:hAnsiTheme="minorHAnsi" w:cstheme="minorHAnsi"/>
        </w:rPr>
        <w:t xml:space="preserve"> </w:t>
      </w:r>
      <w:r w:rsidR="005106A1">
        <w:rPr>
          <w:rFonts w:asciiTheme="minorHAnsi" w:hAnsiTheme="minorHAnsi" w:cstheme="minorHAnsi"/>
        </w:rPr>
        <w:t>of</w:t>
      </w:r>
      <w:r w:rsidR="000B50AD">
        <w:rPr>
          <w:rFonts w:asciiTheme="minorHAnsi" w:hAnsiTheme="minorHAnsi" w:cstheme="minorHAnsi"/>
        </w:rPr>
        <w:t xml:space="preserve"> appropriately qualified</w:t>
      </w:r>
      <w:r>
        <w:rPr>
          <w:rFonts w:asciiTheme="minorHAnsi" w:hAnsiTheme="minorHAnsi" w:cstheme="minorHAnsi"/>
        </w:rPr>
        <w:t xml:space="preserve"> health </w:t>
      </w:r>
      <w:r w:rsidR="005106A1">
        <w:rPr>
          <w:rFonts w:asciiTheme="minorHAnsi" w:hAnsiTheme="minorHAnsi" w:cstheme="minorHAnsi"/>
        </w:rPr>
        <w:t>professionals</w:t>
      </w:r>
      <w:r>
        <w:rPr>
          <w:rFonts w:asciiTheme="minorHAnsi" w:hAnsiTheme="minorHAnsi" w:cstheme="minorHAnsi"/>
        </w:rPr>
        <w:t xml:space="preserve">. </w:t>
      </w:r>
    </w:p>
    <w:p w14:paraId="69B10357" w14:textId="25D57076" w:rsidR="00804D67" w:rsidRDefault="00804D67" w:rsidP="000B50AD">
      <w:pPr>
        <w:rPr>
          <w:rFonts w:asciiTheme="minorHAnsi" w:hAnsiTheme="minorHAnsi" w:cstheme="minorHAnsi"/>
        </w:rPr>
      </w:pPr>
    </w:p>
    <w:p w14:paraId="234CB7EA" w14:textId="35A83B19" w:rsidR="00EF00EC" w:rsidRDefault="00716D87" w:rsidP="000B50AD">
      <w:pPr>
        <w:rPr>
          <w:rFonts w:asciiTheme="minorHAnsi" w:hAnsiTheme="minorHAnsi" w:cstheme="minorHAnsi"/>
        </w:rPr>
      </w:pPr>
      <w:r>
        <w:rPr>
          <w:rFonts w:asciiTheme="minorHAnsi" w:hAnsiTheme="minorHAnsi" w:cstheme="minorHAnsi"/>
        </w:rPr>
        <w:t xml:space="preserve">A strong case </w:t>
      </w:r>
      <w:r w:rsidR="00E86032">
        <w:rPr>
          <w:rFonts w:asciiTheme="minorHAnsi" w:hAnsiTheme="minorHAnsi" w:cstheme="minorHAnsi"/>
        </w:rPr>
        <w:t xml:space="preserve">in support of </w:t>
      </w:r>
      <w:r w:rsidR="001F3E28">
        <w:rPr>
          <w:rFonts w:asciiTheme="minorHAnsi" w:hAnsiTheme="minorHAnsi" w:cstheme="minorHAnsi"/>
        </w:rPr>
        <w:t>moving to a</w:t>
      </w:r>
      <w:r>
        <w:rPr>
          <w:rFonts w:asciiTheme="minorHAnsi" w:hAnsiTheme="minorHAnsi" w:cstheme="minorHAnsi"/>
        </w:rPr>
        <w:t xml:space="preserve"> </w:t>
      </w:r>
      <w:r w:rsidR="00ED4EB5">
        <w:rPr>
          <w:rFonts w:asciiTheme="minorHAnsi" w:hAnsiTheme="minorHAnsi" w:cstheme="minorHAnsi"/>
        </w:rPr>
        <w:t xml:space="preserve">more structured </w:t>
      </w:r>
      <w:r>
        <w:rPr>
          <w:rFonts w:asciiTheme="minorHAnsi" w:hAnsiTheme="minorHAnsi" w:cstheme="minorHAnsi"/>
        </w:rPr>
        <w:t>workforce planning approach</w:t>
      </w:r>
      <w:r w:rsidR="001F3E28">
        <w:rPr>
          <w:rFonts w:asciiTheme="minorHAnsi" w:hAnsiTheme="minorHAnsi" w:cstheme="minorHAnsi"/>
        </w:rPr>
        <w:t xml:space="preserve">, </w:t>
      </w:r>
      <w:r>
        <w:rPr>
          <w:rFonts w:asciiTheme="minorHAnsi" w:hAnsiTheme="minorHAnsi" w:cstheme="minorHAnsi"/>
        </w:rPr>
        <w:t xml:space="preserve">is made in </w:t>
      </w:r>
      <w:r w:rsidR="000B50AD" w:rsidRPr="006A6EB7">
        <w:rPr>
          <w:rFonts w:asciiTheme="minorHAnsi" w:hAnsiTheme="minorHAnsi" w:cstheme="minorHAnsi"/>
          <w:i/>
        </w:rPr>
        <w:t>Australia’s Future Workforce – Doctors</w:t>
      </w:r>
      <w:r w:rsidRPr="006F3273">
        <w:rPr>
          <w:rFonts w:asciiTheme="minorHAnsi" w:hAnsiTheme="minorHAnsi" w:cstheme="minorHAnsi"/>
        </w:rPr>
        <w:t>, which</w:t>
      </w:r>
      <w:r w:rsidR="000B50AD" w:rsidRPr="00717CFC">
        <w:rPr>
          <w:rFonts w:asciiTheme="minorHAnsi" w:hAnsiTheme="minorHAnsi" w:cstheme="minorHAnsi"/>
        </w:rPr>
        <w:t xml:space="preserve"> indicates that the workforce costs almost two thirds of health care</w:t>
      </w:r>
      <w:r w:rsidR="000B50AD">
        <w:rPr>
          <w:rFonts w:asciiTheme="minorHAnsi" w:hAnsiTheme="minorHAnsi" w:cstheme="minorHAnsi"/>
        </w:rPr>
        <w:t xml:space="preserve"> expenditure</w:t>
      </w:r>
      <w:r w:rsidR="000B50AD" w:rsidRPr="00717CFC">
        <w:rPr>
          <w:rFonts w:asciiTheme="minorHAnsi" w:hAnsiTheme="minorHAnsi" w:cstheme="minorHAnsi"/>
        </w:rPr>
        <w:t xml:space="preserve">. </w:t>
      </w:r>
      <w:r>
        <w:rPr>
          <w:rFonts w:asciiTheme="minorHAnsi" w:hAnsiTheme="minorHAnsi" w:cstheme="minorHAnsi"/>
        </w:rPr>
        <w:t xml:space="preserve"> Current settings do not sufficiently emphasis</w:t>
      </w:r>
      <w:r w:rsidR="00EF00EC">
        <w:rPr>
          <w:rFonts w:asciiTheme="minorHAnsi" w:hAnsiTheme="minorHAnsi" w:cstheme="minorHAnsi"/>
        </w:rPr>
        <w:t>e workforce planning in the context of emerging health service needs as a means</w:t>
      </w:r>
      <w:r w:rsidR="00E86032">
        <w:rPr>
          <w:rFonts w:asciiTheme="minorHAnsi" w:hAnsiTheme="minorHAnsi" w:cstheme="minorHAnsi"/>
        </w:rPr>
        <w:t xml:space="preserve"> of</w:t>
      </w:r>
      <w:r w:rsidR="00EF00EC">
        <w:rPr>
          <w:rFonts w:asciiTheme="minorHAnsi" w:hAnsiTheme="minorHAnsi" w:cstheme="minorHAnsi"/>
        </w:rPr>
        <w:t>:</w:t>
      </w:r>
    </w:p>
    <w:p w14:paraId="11536718" w14:textId="625DDC34" w:rsidR="00EF00EC" w:rsidRDefault="00E86032" w:rsidP="00AA5EBF">
      <w:pPr>
        <w:pStyle w:val="ListParagraph"/>
        <w:numPr>
          <w:ilvl w:val="0"/>
          <w:numId w:val="34"/>
        </w:numPr>
        <w:rPr>
          <w:rFonts w:asciiTheme="minorHAnsi" w:hAnsiTheme="minorHAnsi" w:cstheme="minorHAnsi"/>
        </w:rPr>
      </w:pPr>
      <w:r>
        <w:rPr>
          <w:rFonts w:asciiTheme="minorHAnsi" w:hAnsiTheme="minorHAnsi" w:cstheme="minorHAnsi"/>
        </w:rPr>
        <w:t xml:space="preserve">informing </w:t>
      </w:r>
      <w:r w:rsidR="00862281">
        <w:rPr>
          <w:rFonts w:asciiTheme="minorHAnsi" w:hAnsiTheme="minorHAnsi" w:cstheme="minorHAnsi"/>
        </w:rPr>
        <w:t xml:space="preserve">expenditure </w:t>
      </w:r>
      <w:r w:rsidR="0030656B">
        <w:rPr>
          <w:rFonts w:asciiTheme="minorHAnsi" w:hAnsiTheme="minorHAnsi" w:cstheme="minorHAnsi"/>
        </w:rPr>
        <w:t>on</w:t>
      </w:r>
      <w:r w:rsidR="00EF00EC">
        <w:rPr>
          <w:rFonts w:asciiTheme="minorHAnsi" w:hAnsiTheme="minorHAnsi" w:cstheme="minorHAnsi"/>
        </w:rPr>
        <w:t xml:space="preserve"> training health professionals; </w:t>
      </w:r>
    </w:p>
    <w:p w14:paraId="3536C28E" w14:textId="59CC19FB" w:rsidR="00EF00EC" w:rsidRDefault="00E86032" w:rsidP="00AA5EBF">
      <w:pPr>
        <w:pStyle w:val="ListParagraph"/>
        <w:numPr>
          <w:ilvl w:val="0"/>
          <w:numId w:val="34"/>
        </w:numPr>
        <w:rPr>
          <w:rFonts w:asciiTheme="minorHAnsi" w:hAnsiTheme="minorHAnsi" w:cstheme="minorHAnsi"/>
        </w:rPr>
      </w:pPr>
      <w:r>
        <w:rPr>
          <w:rFonts w:asciiTheme="minorHAnsi" w:hAnsiTheme="minorHAnsi" w:cstheme="minorHAnsi"/>
        </w:rPr>
        <w:t xml:space="preserve">structuring </w:t>
      </w:r>
      <w:r w:rsidR="00EF00EC">
        <w:rPr>
          <w:rFonts w:asciiTheme="minorHAnsi" w:hAnsiTheme="minorHAnsi" w:cstheme="minorHAnsi"/>
        </w:rPr>
        <w:t xml:space="preserve">activities that examine the value of MBS expenditure to the community, such as the current MBS Review Taskforce; and </w:t>
      </w:r>
    </w:p>
    <w:p w14:paraId="00549428" w14:textId="77777777" w:rsidR="00C954F0" w:rsidRDefault="00E86032" w:rsidP="00C954F0">
      <w:pPr>
        <w:pStyle w:val="ListParagraph"/>
        <w:numPr>
          <w:ilvl w:val="0"/>
          <w:numId w:val="34"/>
        </w:numPr>
        <w:rPr>
          <w:rFonts w:asciiTheme="minorHAnsi" w:hAnsiTheme="minorHAnsi" w:cstheme="minorHAnsi"/>
        </w:rPr>
      </w:pPr>
      <w:r>
        <w:rPr>
          <w:rFonts w:asciiTheme="minorHAnsi" w:hAnsiTheme="minorHAnsi" w:cstheme="minorHAnsi"/>
        </w:rPr>
        <w:t>matching</w:t>
      </w:r>
      <w:r w:rsidR="00EF00EC">
        <w:rPr>
          <w:rFonts w:asciiTheme="minorHAnsi" w:hAnsiTheme="minorHAnsi" w:cstheme="minorHAnsi"/>
        </w:rPr>
        <w:t xml:space="preserve"> </w:t>
      </w:r>
      <w:r w:rsidR="00EF00EC" w:rsidRPr="006F3273">
        <w:rPr>
          <w:rFonts w:asciiTheme="minorHAnsi" w:hAnsiTheme="minorHAnsi" w:cstheme="minorHAnsi"/>
        </w:rPr>
        <w:t xml:space="preserve">the supply of health professionals </w:t>
      </w:r>
      <w:r w:rsidR="00EF00EC" w:rsidRPr="001F3E28">
        <w:rPr>
          <w:rFonts w:asciiTheme="minorHAnsi" w:hAnsiTheme="minorHAnsi" w:cstheme="minorHAnsi"/>
        </w:rPr>
        <w:t>with emerging service needs</w:t>
      </w:r>
      <w:r>
        <w:rPr>
          <w:rFonts w:asciiTheme="minorHAnsi" w:hAnsiTheme="minorHAnsi" w:cstheme="minorHAnsi"/>
        </w:rPr>
        <w:t xml:space="preserve">, </w:t>
      </w:r>
      <w:r w:rsidR="00373F07">
        <w:rPr>
          <w:rFonts w:asciiTheme="minorHAnsi" w:hAnsiTheme="minorHAnsi" w:cstheme="minorHAnsi"/>
        </w:rPr>
        <w:t>which provides the basis for cost-effective, high-v</w:t>
      </w:r>
      <w:r w:rsidR="00D96668">
        <w:rPr>
          <w:rFonts w:asciiTheme="minorHAnsi" w:hAnsiTheme="minorHAnsi" w:cstheme="minorHAnsi"/>
        </w:rPr>
        <w:t>alue health care.</w:t>
      </w:r>
    </w:p>
    <w:p w14:paraId="041731B7" w14:textId="77777777" w:rsidR="00C954F0" w:rsidRDefault="00C954F0" w:rsidP="00C954F0">
      <w:pPr>
        <w:ind w:left="415"/>
        <w:rPr>
          <w:rFonts w:asciiTheme="minorHAnsi" w:hAnsiTheme="minorHAnsi" w:cstheme="minorHAnsi"/>
        </w:rPr>
      </w:pPr>
    </w:p>
    <w:p w14:paraId="2CC87526" w14:textId="29DC50DF" w:rsidR="007242EA" w:rsidRPr="00C954F0" w:rsidRDefault="00373F07" w:rsidP="00C954F0">
      <w:pPr>
        <w:rPr>
          <w:rFonts w:asciiTheme="minorHAnsi" w:hAnsiTheme="minorHAnsi" w:cstheme="minorHAnsi"/>
        </w:rPr>
      </w:pPr>
      <w:r w:rsidRPr="00C954F0">
        <w:rPr>
          <w:rFonts w:asciiTheme="minorHAnsi" w:hAnsiTheme="minorHAnsi" w:cstheme="minorHAnsi"/>
        </w:rPr>
        <w:t>W</w:t>
      </w:r>
      <w:r w:rsidR="00D96668" w:rsidRPr="00C954F0">
        <w:rPr>
          <w:rFonts w:asciiTheme="minorHAnsi" w:hAnsiTheme="minorHAnsi" w:cstheme="minorHAnsi"/>
        </w:rPr>
        <w:t xml:space="preserve">hile the importance of creating the settings to adopt a </w:t>
      </w:r>
      <w:r w:rsidRPr="00C954F0">
        <w:rPr>
          <w:rFonts w:asciiTheme="minorHAnsi" w:hAnsiTheme="minorHAnsi" w:cstheme="minorHAnsi"/>
        </w:rPr>
        <w:t xml:space="preserve">workforce planning approach cannot be </w:t>
      </w:r>
      <w:r w:rsidR="00D96668" w:rsidRPr="00C954F0">
        <w:rPr>
          <w:rFonts w:asciiTheme="minorHAnsi" w:hAnsiTheme="minorHAnsi" w:cstheme="minorHAnsi"/>
        </w:rPr>
        <w:t>over</w:t>
      </w:r>
      <w:r w:rsidRPr="00C954F0">
        <w:rPr>
          <w:rFonts w:asciiTheme="minorHAnsi" w:hAnsiTheme="minorHAnsi" w:cstheme="minorHAnsi"/>
        </w:rPr>
        <w:t xml:space="preserve">stated, </w:t>
      </w:r>
      <w:r w:rsidR="00D96668" w:rsidRPr="00C954F0">
        <w:rPr>
          <w:rFonts w:asciiTheme="minorHAnsi" w:hAnsiTheme="minorHAnsi" w:cstheme="minorHAnsi"/>
        </w:rPr>
        <w:t xml:space="preserve">preserving the current arrangements would </w:t>
      </w:r>
      <w:r w:rsidR="004E37CF" w:rsidRPr="00C954F0">
        <w:rPr>
          <w:rFonts w:asciiTheme="minorHAnsi" w:hAnsiTheme="minorHAnsi" w:cstheme="minorHAnsi"/>
        </w:rPr>
        <w:t xml:space="preserve">also </w:t>
      </w:r>
      <w:r w:rsidRPr="00C954F0">
        <w:rPr>
          <w:rFonts w:asciiTheme="minorHAnsi" w:hAnsiTheme="minorHAnsi" w:cstheme="minorHAnsi"/>
        </w:rPr>
        <w:t xml:space="preserve">mean </w:t>
      </w:r>
      <w:r w:rsidR="00D96668" w:rsidRPr="00C954F0">
        <w:rPr>
          <w:rFonts w:asciiTheme="minorHAnsi" w:hAnsiTheme="minorHAnsi" w:cstheme="minorHAnsi"/>
        </w:rPr>
        <w:t>missing an important opportunity to modernise</w:t>
      </w:r>
      <w:r w:rsidR="007242EA" w:rsidRPr="00C954F0">
        <w:rPr>
          <w:rFonts w:asciiTheme="minorHAnsi" w:hAnsiTheme="minorHAnsi" w:cstheme="minorHAnsi"/>
        </w:rPr>
        <w:t xml:space="preserve"> key </w:t>
      </w:r>
      <w:r w:rsidR="00D96668" w:rsidRPr="00C954F0">
        <w:rPr>
          <w:rFonts w:asciiTheme="minorHAnsi" w:hAnsiTheme="minorHAnsi" w:cstheme="minorHAnsi"/>
        </w:rPr>
        <w:t>workforce</w:t>
      </w:r>
      <w:r w:rsidR="007242EA" w:rsidRPr="00C954F0">
        <w:rPr>
          <w:rFonts w:asciiTheme="minorHAnsi" w:hAnsiTheme="minorHAnsi" w:cstheme="minorHAnsi"/>
        </w:rPr>
        <w:t xml:space="preserve"> distribution</w:t>
      </w:r>
      <w:r w:rsidR="00D96668" w:rsidRPr="00C954F0">
        <w:rPr>
          <w:rFonts w:asciiTheme="minorHAnsi" w:hAnsiTheme="minorHAnsi" w:cstheme="minorHAnsi"/>
        </w:rPr>
        <w:t xml:space="preserve"> programs </w:t>
      </w:r>
      <w:r w:rsidR="007242EA" w:rsidRPr="00C954F0">
        <w:rPr>
          <w:rFonts w:asciiTheme="minorHAnsi" w:hAnsiTheme="minorHAnsi" w:cstheme="minorHAnsi"/>
        </w:rPr>
        <w:t>and incentives.  T</w:t>
      </w:r>
      <w:r w:rsidR="004E37CF" w:rsidRPr="00C954F0">
        <w:rPr>
          <w:rFonts w:asciiTheme="minorHAnsi" w:hAnsiTheme="minorHAnsi" w:cstheme="minorHAnsi"/>
        </w:rPr>
        <w:t xml:space="preserve">his includes </w:t>
      </w:r>
      <w:r w:rsidR="007242EA" w:rsidRPr="00C954F0">
        <w:rPr>
          <w:rFonts w:asciiTheme="minorHAnsi" w:hAnsiTheme="minorHAnsi" w:cstheme="minorHAnsi"/>
        </w:rPr>
        <w:t>failing to take the opportunity to</w:t>
      </w:r>
      <w:r w:rsidR="00E37431" w:rsidRPr="00C954F0">
        <w:rPr>
          <w:rFonts w:asciiTheme="minorHAnsi" w:hAnsiTheme="minorHAnsi" w:cstheme="minorHAnsi"/>
        </w:rPr>
        <w:t xml:space="preserve"> either</w:t>
      </w:r>
      <w:r w:rsidR="007242EA" w:rsidRPr="00C954F0">
        <w:rPr>
          <w:rFonts w:asciiTheme="minorHAnsi" w:hAnsiTheme="minorHAnsi" w:cstheme="minorHAnsi"/>
        </w:rPr>
        <w:t>:</w:t>
      </w:r>
    </w:p>
    <w:p w14:paraId="13867D45" w14:textId="43E9CD95" w:rsidR="007242EA" w:rsidRDefault="007242EA" w:rsidP="00AA5EBF">
      <w:pPr>
        <w:pStyle w:val="ListParagraph"/>
        <w:numPr>
          <w:ilvl w:val="0"/>
          <w:numId w:val="36"/>
        </w:numPr>
        <w:rPr>
          <w:rFonts w:asciiTheme="minorHAnsi" w:hAnsiTheme="minorHAnsi" w:cstheme="minorHAnsi"/>
        </w:rPr>
      </w:pPr>
      <w:r>
        <w:rPr>
          <w:rFonts w:asciiTheme="minorHAnsi" w:hAnsiTheme="minorHAnsi" w:cstheme="minorHAnsi"/>
        </w:rPr>
        <w:t>enforce an updated and cohesive workforce distribution standard by linking current programs and incentives to the</w:t>
      </w:r>
      <w:r w:rsidR="004E37CF">
        <w:rPr>
          <w:rFonts w:asciiTheme="minorHAnsi" w:hAnsiTheme="minorHAnsi" w:cstheme="minorHAnsi"/>
        </w:rPr>
        <w:t xml:space="preserve"> latest </w:t>
      </w:r>
      <w:r>
        <w:rPr>
          <w:rFonts w:asciiTheme="minorHAnsi" w:hAnsiTheme="minorHAnsi" w:cstheme="minorHAnsi"/>
        </w:rPr>
        <w:t>remoteness area classification system</w:t>
      </w:r>
      <w:r w:rsidR="004E37CF">
        <w:rPr>
          <w:rFonts w:asciiTheme="minorHAnsi" w:hAnsiTheme="minorHAnsi" w:cstheme="minorHAnsi"/>
        </w:rPr>
        <w:t xml:space="preserve"> – the MMM</w:t>
      </w:r>
      <w:r>
        <w:rPr>
          <w:rFonts w:asciiTheme="minorHAnsi" w:hAnsiTheme="minorHAnsi" w:cstheme="minorHAnsi"/>
        </w:rPr>
        <w:t xml:space="preserve">.  Some current workforce arrangements, such as the MBS Bulk-Billing Incentive Payments, </w:t>
      </w:r>
      <w:r w:rsidR="000E1D61">
        <w:rPr>
          <w:rFonts w:asciiTheme="minorHAnsi" w:hAnsiTheme="minorHAnsi" w:cstheme="minorHAnsi"/>
        </w:rPr>
        <w:t>will lose their effectiveness</w:t>
      </w:r>
      <w:r>
        <w:rPr>
          <w:rFonts w:asciiTheme="minorHAnsi" w:hAnsiTheme="minorHAnsi" w:cstheme="minorHAnsi"/>
        </w:rPr>
        <w:t xml:space="preserve"> </w:t>
      </w:r>
      <w:r w:rsidR="000E1D61">
        <w:rPr>
          <w:rFonts w:asciiTheme="minorHAnsi" w:hAnsiTheme="minorHAnsi" w:cstheme="minorHAnsi"/>
        </w:rPr>
        <w:t>because they</w:t>
      </w:r>
      <w:r w:rsidR="004E37CF">
        <w:rPr>
          <w:rFonts w:asciiTheme="minorHAnsi" w:hAnsiTheme="minorHAnsi" w:cstheme="minorHAnsi"/>
        </w:rPr>
        <w:t xml:space="preserve"> </w:t>
      </w:r>
      <w:r w:rsidR="000E1D61">
        <w:rPr>
          <w:rFonts w:asciiTheme="minorHAnsi" w:hAnsiTheme="minorHAnsi" w:cstheme="minorHAnsi"/>
        </w:rPr>
        <w:t>will</w:t>
      </w:r>
      <w:r>
        <w:rPr>
          <w:rFonts w:asciiTheme="minorHAnsi" w:hAnsiTheme="minorHAnsi" w:cstheme="minorHAnsi"/>
        </w:rPr>
        <w:t xml:space="preserve"> misidentif</w:t>
      </w:r>
      <w:r w:rsidR="000E1D61">
        <w:rPr>
          <w:rFonts w:asciiTheme="minorHAnsi" w:hAnsiTheme="minorHAnsi" w:cstheme="minorHAnsi"/>
        </w:rPr>
        <w:t>y</w:t>
      </w:r>
      <w:r>
        <w:rPr>
          <w:rFonts w:asciiTheme="minorHAnsi" w:hAnsiTheme="minorHAnsi" w:cstheme="minorHAnsi"/>
        </w:rPr>
        <w:t xml:space="preserve"> </w:t>
      </w:r>
      <w:r w:rsidR="004E37CF">
        <w:rPr>
          <w:rFonts w:asciiTheme="minorHAnsi" w:hAnsiTheme="minorHAnsi" w:cstheme="minorHAnsi"/>
        </w:rPr>
        <w:t xml:space="preserve">local-area </w:t>
      </w:r>
      <w:r>
        <w:rPr>
          <w:rFonts w:asciiTheme="minorHAnsi" w:hAnsiTheme="minorHAnsi" w:cstheme="minorHAnsi"/>
        </w:rPr>
        <w:t xml:space="preserve">workforce priorities that are based on outdated remoteness classification systems.  </w:t>
      </w:r>
      <w:r w:rsidR="000E1D61">
        <w:rPr>
          <w:rFonts w:asciiTheme="minorHAnsi" w:hAnsiTheme="minorHAnsi" w:cstheme="minorHAnsi"/>
        </w:rPr>
        <w:t>Over time, these incentives are likely to</w:t>
      </w:r>
      <w:r w:rsidR="0021781D">
        <w:rPr>
          <w:rFonts w:asciiTheme="minorHAnsi" w:hAnsiTheme="minorHAnsi" w:cstheme="minorHAnsi"/>
        </w:rPr>
        <w:t xml:space="preserve"> </w:t>
      </w:r>
      <w:r w:rsidR="000E1D61">
        <w:rPr>
          <w:rFonts w:asciiTheme="minorHAnsi" w:hAnsiTheme="minorHAnsi" w:cstheme="minorHAnsi"/>
        </w:rPr>
        <w:t>contribute to the</w:t>
      </w:r>
      <w:r w:rsidR="0021781D">
        <w:rPr>
          <w:rFonts w:asciiTheme="minorHAnsi" w:hAnsiTheme="minorHAnsi" w:cstheme="minorHAnsi"/>
        </w:rPr>
        <w:t xml:space="preserve"> maldistribution of health professionals </w:t>
      </w:r>
      <w:r w:rsidR="000E1D61">
        <w:rPr>
          <w:rFonts w:asciiTheme="minorHAnsi" w:hAnsiTheme="minorHAnsi" w:cstheme="minorHAnsi"/>
        </w:rPr>
        <w:t xml:space="preserve">by continuing to provide </w:t>
      </w:r>
      <w:r w:rsidR="0021781D">
        <w:rPr>
          <w:rFonts w:asciiTheme="minorHAnsi" w:hAnsiTheme="minorHAnsi" w:cstheme="minorHAnsi"/>
        </w:rPr>
        <w:t xml:space="preserve">incentives </w:t>
      </w:r>
      <w:r w:rsidR="004E37CF">
        <w:rPr>
          <w:rFonts w:asciiTheme="minorHAnsi" w:hAnsiTheme="minorHAnsi" w:cstheme="minorHAnsi"/>
        </w:rPr>
        <w:t xml:space="preserve">in </w:t>
      </w:r>
      <w:r>
        <w:rPr>
          <w:rFonts w:asciiTheme="minorHAnsi" w:hAnsiTheme="minorHAnsi" w:cstheme="minorHAnsi"/>
        </w:rPr>
        <w:t>areas t</w:t>
      </w:r>
      <w:r w:rsidR="00F6327C">
        <w:rPr>
          <w:rFonts w:asciiTheme="minorHAnsi" w:hAnsiTheme="minorHAnsi" w:cstheme="minorHAnsi"/>
        </w:rPr>
        <w:t>hat are no longer underserviced; or</w:t>
      </w:r>
    </w:p>
    <w:p w14:paraId="6363095F" w14:textId="77777777" w:rsidR="00C954F0" w:rsidRDefault="0021781D" w:rsidP="00C954F0">
      <w:pPr>
        <w:pStyle w:val="ListParagraph"/>
        <w:numPr>
          <w:ilvl w:val="0"/>
          <w:numId w:val="36"/>
        </w:numPr>
        <w:rPr>
          <w:rFonts w:asciiTheme="minorHAnsi" w:hAnsiTheme="minorHAnsi" w:cstheme="minorHAnsi"/>
        </w:rPr>
      </w:pPr>
      <w:r>
        <w:rPr>
          <w:rFonts w:asciiTheme="minorHAnsi" w:hAnsiTheme="minorHAnsi" w:cstheme="minorHAnsi"/>
        </w:rPr>
        <w:t xml:space="preserve">revise the bonded medical programs – the BMP Scheme and the MRBS Scheme – </w:t>
      </w:r>
      <w:r w:rsidR="00417665">
        <w:rPr>
          <w:rFonts w:asciiTheme="minorHAnsi" w:hAnsiTheme="minorHAnsi" w:cstheme="minorHAnsi"/>
        </w:rPr>
        <w:t>to simplify</w:t>
      </w:r>
      <w:r w:rsidR="004E37CF">
        <w:rPr>
          <w:rFonts w:asciiTheme="minorHAnsi" w:hAnsiTheme="minorHAnsi" w:cstheme="minorHAnsi"/>
        </w:rPr>
        <w:t xml:space="preserve"> and standardise</w:t>
      </w:r>
      <w:r w:rsidR="00417665">
        <w:rPr>
          <w:rFonts w:asciiTheme="minorHAnsi" w:hAnsiTheme="minorHAnsi" w:cstheme="minorHAnsi"/>
        </w:rPr>
        <w:t xml:space="preserve"> return of service requirements.</w:t>
      </w:r>
    </w:p>
    <w:p w14:paraId="1FA2A207" w14:textId="77777777" w:rsidR="00C954F0" w:rsidRDefault="00C954F0" w:rsidP="00C954F0">
      <w:pPr>
        <w:rPr>
          <w:rFonts w:asciiTheme="minorHAnsi" w:hAnsiTheme="minorHAnsi" w:cstheme="minorHAnsi"/>
        </w:rPr>
      </w:pPr>
    </w:p>
    <w:p w14:paraId="7326EBDF" w14:textId="56E16313" w:rsidR="007242EA" w:rsidRPr="00C954F0" w:rsidRDefault="00417665" w:rsidP="00C954F0">
      <w:pPr>
        <w:rPr>
          <w:rFonts w:asciiTheme="minorHAnsi" w:hAnsiTheme="minorHAnsi" w:cstheme="minorHAnsi"/>
        </w:rPr>
      </w:pPr>
      <w:r w:rsidRPr="00C954F0">
        <w:rPr>
          <w:rFonts w:asciiTheme="minorHAnsi" w:hAnsiTheme="minorHAnsi" w:cstheme="minorHAnsi"/>
        </w:rPr>
        <w:t xml:space="preserve">Health could attempt to </w:t>
      </w:r>
      <w:r w:rsidR="00E37431" w:rsidRPr="00C954F0">
        <w:rPr>
          <w:rFonts w:asciiTheme="minorHAnsi" w:hAnsiTheme="minorHAnsi" w:cstheme="minorHAnsi"/>
        </w:rPr>
        <w:t>pursue amendments to the</w:t>
      </w:r>
      <w:r w:rsidRPr="00C954F0">
        <w:rPr>
          <w:rFonts w:asciiTheme="minorHAnsi" w:hAnsiTheme="minorHAnsi" w:cstheme="minorHAnsi"/>
        </w:rPr>
        <w:t xml:space="preserve"> current workforce distribution programs independently.  How</w:t>
      </w:r>
      <w:r w:rsidR="000E1D61" w:rsidRPr="00C954F0">
        <w:rPr>
          <w:rFonts w:asciiTheme="minorHAnsi" w:hAnsiTheme="minorHAnsi" w:cstheme="minorHAnsi"/>
        </w:rPr>
        <w:t>ever, t</w:t>
      </w:r>
      <w:r w:rsidR="00E37431" w:rsidRPr="00C954F0">
        <w:rPr>
          <w:rFonts w:asciiTheme="minorHAnsi" w:hAnsiTheme="minorHAnsi" w:cstheme="minorHAnsi"/>
        </w:rPr>
        <w:t xml:space="preserve">his approach would not </w:t>
      </w:r>
      <w:r w:rsidR="00902725" w:rsidRPr="00C954F0">
        <w:rPr>
          <w:rFonts w:asciiTheme="minorHAnsi" w:hAnsiTheme="minorHAnsi" w:cstheme="minorHAnsi"/>
        </w:rPr>
        <w:t>link</w:t>
      </w:r>
      <w:r w:rsidR="000E1D61" w:rsidRPr="00C954F0">
        <w:rPr>
          <w:rFonts w:asciiTheme="minorHAnsi" w:hAnsiTheme="minorHAnsi" w:cstheme="minorHAnsi"/>
        </w:rPr>
        <w:t xml:space="preserve"> the</w:t>
      </w:r>
      <w:r w:rsidR="00902725" w:rsidRPr="00C954F0">
        <w:rPr>
          <w:rFonts w:asciiTheme="minorHAnsi" w:hAnsiTheme="minorHAnsi" w:cstheme="minorHAnsi"/>
        </w:rPr>
        <w:t xml:space="preserve"> required distribution reforms to changes that provide health professionals</w:t>
      </w:r>
      <w:r w:rsidR="004E37CF" w:rsidRPr="00C954F0">
        <w:rPr>
          <w:rFonts w:asciiTheme="minorHAnsi" w:hAnsiTheme="minorHAnsi" w:cstheme="minorHAnsi"/>
        </w:rPr>
        <w:t xml:space="preserve">, particularly medical practitioners, with the best possible support </w:t>
      </w:r>
      <w:r w:rsidR="000E1D61" w:rsidRPr="00C954F0">
        <w:rPr>
          <w:rFonts w:asciiTheme="minorHAnsi" w:hAnsiTheme="minorHAnsi" w:cstheme="minorHAnsi"/>
        </w:rPr>
        <w:t>to fully qualify to the relevant standards for their vocation</w:t>
      </w:r>
      <w:r w:rsidR="004E37CF" w:rsidRPr="00C954F0">
        <w:rPr>
          <w:rFonts w:asciiTheme="minorHAnsi" w:hAnsiTheme="minorHAnsi" w:cstheme="minorHAnsi"/>
        </w:rPr>
        <w:t xml:space="preserve">. </w:t>
      </w:r>
    </w:p>
    <w:p w14:paraId="54376C73" w14:textId="77777777" w:rsidR="00C62167" w:rsidRDefault="00C62167" w:rsidP="009627B5">
      <w:pPr>
        <w:rPr>
          <w:rFonts w:asciiTheme="minorHAnsi" w:hAnsiTheme="minorHAnsi" w:cstheme="minorHAnsi"/>
        </w:rPr>
      </w:pPr>
    </w:p>
    <w:p w14:paraId="481F2E93" w14:textId="667903B5" w:rsidR="008C7EE1" w:rsidRDefault="00F20D41" w:rsidP="00AF7B16">
      <w:pPr>
        <w:rPr>
          <w:rFonts w:asciiTheme="minorHAnsi" w:hAnsiTheme="minorHAnsi" w:cstheme="minorHAnsi"/>
        </w:rPr>
      </w:pPr>
      <w:r>
        <w:rPr>
          <w:rFonts w:asciiTheme="minorHAnsi" w:hAnsiTheme="minorHAnsi" w:cstheme="minorHAnsi"/>
        </w:rPr>
        <w:t xml:space="preserve">A decision to continue the current settings </w:t>
      </w:r>
      <w:r w:rsidR="00163AF3">
        <w:rPr>
          <w:rFonts w:asciiTheme="minorHAnsi" w:hAnsiTheme="minorHAnsi" w:cstheme="minorHAnsi"/>
        </w:rPr>
        <w:t>would mean losing an opportunity to</w:t>
      </w:r>
      <w:r>
        <w:rPr>
          <w:rFonts w:asciiTheme="minorHAnsi" w:hAnsiTheme="minorHAnsi" w:cstheme="minorHAnsi"/>
        </w:rPr>
        <w:t xml:space="preserve"> </w:t>
      </w:r>
      <w:r w:rsidR="008C7EE1">
        <w:rPr>
          <w:rFonts w:asciiTheme="minorHAnsi" w:hAnsiTheme="minorHAnsi" w:cstheme="minorHAnsi"/>
        </w:rPr>
        <w:t xml:space="preserve">introduce meaningful reform to PNIP and GPRIP payments to improve their support for multidisciplinary care arrangements for disadvantaged population groups and communities that experience challenges in providing adequate access to services.  While the Government could pursue reforms to incentive payments independently of a broader workforce strategy, they lose effectiveness unless they are applied in conjunction with changes to the underlying conditions that determine the right to practise in key vocations, such as general practice. </w:t>
      </w:r>
    </w:p>
    <w:p w14:paraId="5EA1EEC4" w14:textId="77777777" w:rsidR="00417665" w:rsidRDefault="00417665" w:rsidP="00AF7B16">
      <w:pPr>
        <w:rPr>
          <w:rFonts w:asciiTheme="minorHAnsi" w:hAnsiTheme="minorHAnsi" w:cstheme="minorHAnsi"/>
        </w:rPr>
      </w:pPr>
    </w:p>
    <w:p w14:paraId="031ABBA2" w14:textId="7E10E60C" w:rsidR="00E33B95" w:rsidRDefault="00804D67" w:rsidP="00AF7B16">
      <w:pPr>
        <w:rPr>
          <w:rFonts w:asciiTheme="minorHAnsi" w:hAnsiTheme="minorHAnsi" w:cstheme="minorHAnsi"/>
        </w:rPr>
      </w:pPr>
      <w:r>
        <w:rPr>
          <w:rFonts w:asciiTheme="minorHAnsi" w:hAnsiTheme="minorHAnsi" w:cstheme="minorHAnsi"/>
        </w:rPr>
        <w:t>Continuing</w:t>
      </w:r>
      <w:r w:rsidR="00862281">
        <w:rPr>
          <w:rFonts w:asciiTheme="minorHAnsi" w:hAnsiTheme="minorHAnsi" w:cstheme="minorHAnsi"/>
        </w:rPr>
        <w:t xml:space="preserve"> the curre</w:t>
      </w:r>
      <w:r w:rsidR="00740F57">
        <w:rPr>
          <w:rFonts w:asciiTheme="minorHAnsi" w:hAnsiTheme="minorHAnsi" w:cstheme="minorHAnsi"/>
        </w:rPr>
        <w:t xml:space="preserve">nt settings would not place an additional </w:t>
      </w:r>
      <w:r w:rsidR="00862281">
        <w:rPr>
          <w:rFonts w:asciiTheme="minorHAnsi" w:hAnsiTheme="minorHAnsi" w:cstheme="minorHAnsi"/>
        </w:rPr>
        <w:t>regulatory</w:t>
      </w:r>
      <w:r>
        <w:rPr>
          <w:rFonts w:asciiTheme="minorHAnsi" w:hAnsiTheme="minorHAnsi" w:cstheme="minorHAnsi"/>
        </w:rPr>
        <w:t xml:space="preserve"> impost on the health sector</w:t>
      </w:r>
      <w:r w:rsidR="00862281">
        <w:rPr>
          <w:rFonts w:asciiTheme="minorHAnsi" w:hAnsiTheme="minorHAnsi" w:cstheme="minorHAnsi"/>
        </w:rPr>
        <w:t>.  The current settings and determinants for employing health professionals are well established and are broadly understood</w:t>
      </w:r>
      <w:r>
        <w:rPr>
          <w:rFonts w:asciiTheme="minorHAnsi" w:hAnsiTheme="minorHAnsi" w:cstheme="minorHAnsi"/>
        </w:rPr>
        <w:t xml:space="preserve">.  The Commonwealth, represented by Health and </w:t>
      </w:r>
      <w:r w:rsidR="00D13CB7">
        <w:rPr>
          <w:rFonts w:asciiTheme="minorHAnsi" w:hAnsiTheme="minorHAnsi" w:cstheme="minorHAnsi"/>
        </w:rPr>
        <w:t>the Department of Human Service</w:t>
      </w:r>
      <w:r w:rsidR="00F6327C">
        <w:rPr>
          <w:rFonts w:asciiTheme="minorHAnsi" w:hAnsiTheme="minorHAnsi" w:cstheme="minorHAnsi"/>
        </w:rPr>
        <w:t>s</w:t>
      </w:r>
      <w:r w:rsidR="00D13CB7">
        <w:rPr>
          <w:rFonts w:asciiTheme="minorHAnsi" w:hAnsiTheme="minorHAnsi" w:cstheme="minorHAnsi"/>
        </w:rPr>
        <w:t xml:space="preserve"> (</w:t>
      </w:r>
      <w:r>
        <w:rPr>
          <w:rFonts w:asciiTheme="minorHAnsi" w:hAnsiTheme="minorHAnsi" w:cstheme="minorHAnsi"/>
        </w:rPr>
        <w:t>DHS</w:t>
      </w:r>
      <w:r w:rsidR="00D13CB7">
        <w:rPr>
          <w:rFonts w:asciiTheme="minorHAnsi" w:hAnsiTheme="minorHAnsi" w:cstheme="minorHAnsi"/>
        </w:rPr>
        <w:t>)</w:t>
      </w:r>
      <w:r>
        <w:rPr>
          <w:rFonts w:asciiTheme="minorHAnsi" w:hAnsiTheme="minorHAnsi" w:cstheme="minorHAnsi"/>
        </w:rPr>
        <w:t xml:space="preserve">, would not need to modify current information or </w:t>
      </w:r>
      <w:r>
        <w:rPr>
          <w:rFonts w:asciiTheme="minorHAnsi" w:hAnsiTheme="minorHAnsi" w:cstheme="minorHAnsi"/>
        </w:rPr>
        <w:lastRenderedPageBreak/>
        <w:t xml:space="preserve">approaches to assisting the sector with understanding how current arrangements inform the recruitment, selection, employment and retention of health professionals. </w:t>
      </w:r>
    </w:p>
    <w:p w14:paraId="0CD6F3A1" w14:textId="77777777" w:rsidR="00AF7B16" w:rsidRPr="00717CFC" w:rsidRDefault="00AF7B16" w:rsidP="00AF7B16">
      <w:pPr>
        <w:rPr>
          <w:sz w:val="22"/>
          <w:szCs w:val="22"/>
        </w:rPr>
      </w:pPr>
    </w:p>
    <w:p w14:paraId="7284B843" w14:textId="77777777" w:rsidR="00AF7B16" w:rsidRPr="00D616B4" w:rsidRDefault="00AF7B16" w:rsidP="009A21F0">
      <w:pPr>
        <w:pStyle w:val="Heading3"/>
        <w:spacing w:after="0"/>
        <w:rPr>
          <w:rFonts w:asciiTheme="minorHAnsi" w:hAnsiTheme="minorHAnsi" w:cstheme="minorHAnsi"/>
          <w:b/>
        </w:rPr>
      </w:pPr>
      <w:r w:rsidRPr="0052028F">
        <w:rPr>
          <w:rFonts w:asciiTheme="minorHAnsi" w:hAnsiTheme="minorHAnsi" w:cstheme="minorHAnsi"/>
          <w:b/>
        </w:rPr>
        <w:t>Option 2:</w:t>
      </w:r>
      <w:r w:rsidRPr="00D616B4">
        <w:rPr>
          <w:rFonts w:asciiTheme="minorHAnsi" w:hAnsiTheme="minorHAnsi" w:cstheme="minorHAnsi"/>
          <w:b/>
        </w:rPr>
        <w:t xml:space="preserve"> </w:t>
      </w:r>
      <w:r w:rsidRPr="0052028F">
        <w:rPr>
          <w:rFonts w:asciiTheme="minorHAnsi" w:hAnsiTheme="minorHAnsi" w:cstheme="minorHAnsi"/>
          <w:b/>
        </w:rPr>
        <w:t>Recalibrate the general practice MBS fees without changing other policy settings</w:t>
      </w:r>
    </w:p>
    <w:p w14:paraId="29DB19D2" w14:textId="77777777" w:rsidR="009A21F0" w:rsidRDefault="009A21F0" w:rsidP="00D616B4">
      <w:pPr>
        <w:rPr>
          <w:rFonts w:asciiTheme="minorHAnsi" w:hAnsiTheme="minorHAnsi" w:cstheme="minorHAnsi"/>
          <w:b/>
        </w:rPr>
      </w:pPr>
    </w:p>
    <w:p w14:paraId="689DE17E" w14:textId="03DF5561" w:rsidR="00AF7B16" w:rsidRPr="0052028F" w:rsidRDefault="00AF7B16" w:rsidP="00D616B4">
      <w:pPr>
        <w:rPr>
          <w:rFonts w:asciiTheme="minorHAnsi" w:hAnsiTheme="minorHAnsi" w:cstheme="minorHAnsi"/>
          <w:b/>
        </w:rPr>
      </w:pPr>
      <w:r w:rsidRPr="0052028F">
        <w:rPr>
          <w:rFonts w:asciiTheme="minorHAnsi" w:hAnsiTheme="minorHAnsi" w:cstheme="minorHAnsi"/>
          <w:b/>
        </w:rPr>
        <w:t>Option Overview</w:t>
      </w:r>
    </w:p>
    <w:p w14:paraId="0BE0820F" w14:textId="6F61FD78" w:rsidR="00AF7B16" w:rsidRPr="0052028F" w:rsidRDefault="00AF7B16" w:rsidP="00AF7B16">
      <w:pPr>
        <w:rPr>
          <w:rFonts w:asciiTheme="minorHAnsi" w:hAnsiTheme="minorHAnsi" w:cstheme="minorHAnsi"/>
        </w:rPr>
      </w:pPr>
      <w:r w:rsidRPr="0052028F">
        <w:rPr>
          <w:rFonts w:asciiTheme="minorHAnsi" w:hAnsiTheme="minorHAnsi" w:cstheme="minorHAnsi"/>
        </w:rPr>
        <w:t xml:space="preserve">This option </w:t>
      </w:r>
      <w:r w:rsidR="0073203A">
        <w:rPr>
          <w:rFonts w:asciiTheme="minorHAnsi" w:hAnsiTheme="minorHAnsi" w:cstheme="minorHAnsi"/>
        </w:rPr>
        <w:t>would</w:t>
      </w:r>
      <w:r w:rsidRPr="0052028F">
        <w:rPr>
          <w:rFonts w:asciiTheme="minorHAnsi" w:hAnsiTheme="minorHAnsi" w:cstheme="minorHAnsi"/>
        </w:rPr>
        <w:t xml:space="preserve"> recalibrate the long-standing general practice MBS fee differential as an exclusive </w:t>
      </w:r>
      <w:r>
        <w:rPr>
          <w:rFonts w:asciiTheme="minorHAnsi" w:hAnsiTheme="minorHAnsi" w:cstheme="minorHAnsi"/>
        </w:rPr>
        <w:t>initiative</w:t>
      </w:r>
      <w:r w:rsidRPr="0052028F">
        <w:rPr>
          <w:rFonts w:asciiTheme="minorHAnsi" w:hAnsiTheme="minorHAnsi" w:cstheme="minorHAnsi"/>
        </w:rPr>
        <w:t xml:space="preserve">. Under this option, the recalibrated fee differential would provide a clearly defined financial incentive for doctors to attain </w:t>
      </w:r>
      <w:r w:rsidR="0073203A">
        <w:rPr>
          <w:rFonts w:asciiTheme="minorHAnsi" w:hAnsiTheme="minorHAnsi" w:cstheme="minorHAnsi"/>
        </w:rPr>
        <w:t>VR</w:t>
      </w:r>
      <w:r w:rsidRPr="0052028F">
        <w:rPr>
          <w:rFonts w:asciiTheme="minorHAnsi" w:hAnsiTheme="minorHAnsi" w:cstheme="minorHAnsi"/>
        </w:rPr>
        <w:t xml:space="preserve"> and this would be applied as an independent </w:t>
      </w:r>
      <w:r>
        <w:rPr>
          <w:rFonts w:asciiTheme="minorHAnsi" w:hAnsiTheme="minorHAnsi" w:cstheme="minorHAnsi"/>
        </w:rPr>
        <w:t>initiative</w:t>
      </w:r>
      <w:r w:rsidRPr="0052028F">
        <w:rPr>
          <w:rFonts w:asciiTheme="minorHAnsi" w:hAnsiTheme="minorHAnsi" w:cstheme="minorHAnsi"/>
        </w:rPr>
        <w:t xml:space="preserve"> in an attempt to improve the quality of private practitioners. </w:t>
      </w:r>
    </w:p>
    <w:p w14:paraId="2FB2E709" w14:textId="77777777" w:rsidR="007506D9" w:rsidRDefault="007506D9" w:rsidP="00AF7B16">
      <w:pPr>
        <w:rPr>
          <w:rFonts w:asciiTheme="minorHAnsi" w:hAnsiTheme="minorHAnsi" w:cstheme="minorHAnsi"/>
        </w:rPr>
      </w:pPr>
    </w:p>
    <w:p w14:paraId="6AEE9FCE" w14:textId="1C611D46" w:rsidR="00AF7B16" w:rsidRPr="0052028F" w:rsidRDefault="00AF7B16" w:rsidP="00AF7B16">
      <w:pPr>
        <w:rPr>
          <w:rFonts w:asciiTheme="minorHAnsi" w:hAnsiTheme="minorHAnsi" w:cstheme="minorHAnsi"/>
        </w:rPr>
      </w:pPr>
      <w:r w:rsidRPr="0052028F">
        <w:rPr>
          <w:rFonts w:asciiTheme="minorHAnsi" w:hAnsiTheme="minorHAnsi" w:cstheme="minorHAnsi"/>
        </w:rPr>
        <w:t xml:space="preserve">The MBS fee recalibration </w:t>
      </w:r>
      <w:r w:rsidR="0093321F">
        <w:rPr>
          <w:rFonts w:asciiTheme="minorHAnsi" w:hAnsiTheme="minorHAnsi" w:cstheme="minorHAnsi"/>
        </w:rPr>
        <w:t xml:space="preserve">proposed under the Strategy would </w:t>
      </w:r>
      <w:r w:rsidRPr="0052028F">
        <w:rPr>
          <w:rFonts w:asciiTheme="minorHAnsi" w:hAnsiTheme="minorHAnsi" w:cstheme="minorHAnsi"/>
        </w:rPr>
        <w:t xml:space="preserve">create a dedicated MBS item group for non-VR doctors to cover all standard and non-standard general practice attendances and pay 80 per cent of the fee that can be claimed by </w:t>
      </w:r>
      <w:r w:rsidR="009C1CF6">
        <w:rPr>
          <w:rFonts w:asciiTheme="minorHAnsi" w:hAnsiTheme="minorHAnsi" w:cstheme="minorHAnsi"/>
        </w:rPr>
        <w:t>VR</w:t>
      </w:r>
      <w:r w:rsidRPr="00717CFC">
        <w:rPr>
          <w:rFonts w:asciiTheme="minorHAnsi" w:hAnsiTheme="minorHAnsi" w:cstheme="minorHAnsi"/>
        </w:rPr>
        <w:t xml:space="preserve"> GPs.  Under the proposed changes, these items will be available to non-VR doctors who work in MM 2 to 7 areas as a means of supporting medical workforce distribution.  Non-</w:t>
      </w:r>
      <w:r w:rsidRPr="0052028F">
        <w:rPr>
          <w:rFonts w:asciiTheme="minorHAnsi" w:hAnsiTheme="minorHAnsi" w:cstheme="minorHAnsi"/>
        </w:rPr>
        <w:t xml:space="preserve">VR doctors who enter general practices in the major cities (MM1) will not have access to the new items for standard general practice attendances and will remain subject to the original MBS fees that have not been indexed for inflation. </w:t>
      </w:r>
      <w:r w:rsidR="00CC4466" w:rsidRPr="004D0C1C">
        <w:rPr>
          <w:rFonts w:asciiTheme="minorHAnsi" w:hAnsiTheme="minorHAnsi" w:cstheme="minorHAnsi"/>
          <w:lang w:eastAsia="en-AU"/>
        </w:rPr>
        <w:t xml:space="preserve">Table 2 provides further details of </w:t>
      </w:r>
      <w:r w:rsidR="001E44BC">
        <w:rPr>
          <w:rFonts w:asciiTheme="minorHAnsi" w:hAnsiTheme="minorHAnsi" w:cstheme="minorHAnsi"/>
          <w:lang w:eastAsia="en-AU"/>
        </w:rPr>
        <w:t>the GP MBS fee type by location and doctor cohort.</w:t>
      </w:r>
    </w:p>
    <w:p w14:paraId="15B62D34" w14:textId="197AF4A6" w:rsidR="00CC4466" w:rsidRDefault="00CC4466" w:rsidP="00AF7B16">
      <w:pPr>
        <w:rPr>
          <w:rFonts w:asciiTheme="minorHAnsi" w:hAnsiTheme="minorHAnsi" w:cstheme="minorHAnsi"/>
        </w:rPr>
      </w:pPr>
    </w:p>
    <w:p w14:paraId="4D6700A5" w14:textId="61BFD1BC" w:rsidR="00595193" w:rsidRPr="0052028F" w:rsidRDefault="00595193" w:rsidP="00595193">
      <w:pPr>
        <w:rPr>
          <w:rFonts w:asciiTheme="minorHAnsi" w:hAnsiTheme="minorHAnsi" w:cstheme="minorHAnsi"/>
        </w:rPr>
      </w:pPr>
      <w:r w:rsidRPr="0052028F">
        <w:rPr>
          <w:rFonts w:asciiTheme="minorHAnsi" w:hAnsiTheme="minorHAnsi" w:cstheme="minorHAnsi"/>
        </w:rPr>
        <w:t>The creation of a dedicat</w:t>
      </w:r>
      <w:r>
        <w:rPr>
          <w:rFonts w:asciiTheme="minorHAnsi" w:hAnsiTheme="minorHAnsi" w:cstheme="minorHAnsi"/>
        </w:rPr>
        <w:t>ed non-VR doctor item group would</w:t>
      </w:r>
      <w:r w:rsidRPr="0052028F">
        <w:rPr>
          <w:rFonts w:asciiTheme="minorHAnsi" w:hAnsiTheme="minorHAnsi" w:cstheme="minorHAnsi"/>
        </w:rPr>
        <w:t xml:space="preserve"> provide the basis for differentiating the fees paid to primary care doctors on the basis of their level of postgraduate qualification.  From a policy standpoint, recalibrating MBS fees in this way will:</w:t>
      </w:r>
    </w:p>
    <w:p w14:paraId="0390AB29" w14:textId="49105A66" w:rsidR="00595193" w:rsidRDefault="00595193" w:rsidP="00AA5EBF">
      <w:pPr>
        <w:numPr>
          <w:ilvl w:val="0"/>
          <w:numId w:val="12"/>
        </w:numPr>
        <w:rPr>
          <w:rFonts w:asciiTheme="minorHAnsi" w:hAnsiTheme="minorHAnsi" w:cstheme="minorHAnsi"/>
        </w:rPr>
      </w:pPr>
      <w:r w:rsidRPr="0052028F">
        <w:rPr>
          <w:rFonts w:asciiTheme="minorHAnsi" w:hAnsiTheme="minorHAnsi" w:cstheme="minorHAnsi"/>
        </w:rPr>
        <w:t>substantiate the value of postgraduate general practice qualifications</w:t>
      </w:r>
      <w:r>
        <w:rPr>
          <w:rFonts w:asciiTheme="minorHAnsi" w:hAnsiTheme="minorHAnsi" w:cstheme="minorHAnsi"/>
        </w:rPr>
        <w:t xml:space="preserve">, </w:t>
      </w:r>
      <w:r w:rsidR="001E44BC">
        <w:rPr>
          <w:rFonts w:asciiTheme="minorHAnsi" w:hAnsiTheme="minorHAnsi" w:cstheme="minorHAnsi"/>
        </w:rPr>
        <w:t>as qualified GPs</w:t>
      </w:r>
      <w:r>
        <w:rPr>
          <w:rFonts w:asciiTheme="minorHAnsi" w:hAnsiTheme="minorHAnsi" w:cstheme="minorHAnsi"/>
        </w:rPr>
        <w:t xml:space="preserve"> will be able to</w:t>
      </w:r>
      <w:r w:rsidR="001E44BC">
        <w:rPr>
          <w:rFonts w:asciiTheme="minorHAnsi" w:hAnsiTheme="minorHAnsi" w:cstheme="minorHAnsi"/>
        </w:rPr>
        <w:t xml:space="preserve"> continue</w:t>
      </w:r>
      <w:r>
        <w:rPr>
          <w:rFonts w:asciiTheme="minorHAnsi" w:hAnsiTheme="minorHAnsi" w:cstheme="minorHAnsi"/>
        </w:rPr>
        <w:t xml:space="preserve"> bill</w:t>
      </w:r>
      <w:r w:rsidR="001E44BC">
        <w:rPr>
          <w:rFonts w:asciiTheme="minorHAnsi" w:hAnsiTheme="minorHAnsi" w:cstheme="minorHAnsi"/>
        </w:rPr>
        <w:t xml:space="preserve">ing the full GP </w:t>
      </w:r>
      <w:r>
        <w:rPr>
          <w:rFonts w:asciiTheme="minorHAnsi" w:hAnsiTheme="minorHAnsi" w:cstheme="minorHAnsi"/>
        </w:rPr>
        <w:t>MBS item</w:t>
      </w:r>
      <w:r w:rsidR="001E44BC">
        <w:rPr>
          <w:rFonts w:asciiTheme="minorHAnsi" w:hAnsiTheme="minorHAnsi" w:cstheme="minorHAnsi"/>
        </w:rPr>
        <w:t>s</w:t>
      </w:r>
      <w:r>
        <w:rPr>
          <w:rFonts w:asciiTheme="minorHAnsi" w:hAnsiTheme="minorHAnsi" w:cstheme="minorHAnsi"/>
        </w:rPr>
        <w:t>;</w:t>
      </w:r>
    </w:p>
    <w:p w14:paraId="600308FA" w14:textId="0CCCD790" w:rsidR="00595193" w:rsidRDefault="00595193" w:rsidP="00AA5EBF">
      <w:pPr>
        <w:numPr>
          <w:ilvl w:val="0"/>
          <w:numId w:val="12"/>
        </w:numPr>
        <w:rPr>
          <w:rFonts w:asciiTheme="minorHAnsi" w:hAnsiTheme="minorHAnsi" w:cstheme="minorHAnsi"/>
        </w:rPr>
      </w:pPr>
      <w:r>
        <w:rPr>
          <w:rFonts w:asciiTheme="minorHAnsi" w:hAnsiTheme="minorHAnsi" w:cstheme="minorHAnsi"/>
        </w:rPr>
        <w:t>provide an opportunity to create non-VR MBS items that cover the spectrum of standard and non-standard general practice services; and</w:t>
      </w:r>
    </w:p>
    <w:p w14:paraId="0E4E1DC6" w14:textId="77777777" w:rsidR="00595193" w:rsidRDefault="00595193" w:rsidP="00AA5EBF">
      <w:pPr>
        <w:numPr>
          <w:ilvl w:val="0"/>
          <w:numId w:val="12"/>
        </w:numPr>
        <w:rPr>
          <w:rFonts w:asciiTheme="minorHAnsi" w:hAnsiTheme="minorHAnsi" w:cstheme="minorHAnsi"/>
        </w:rPr>
      </w:pPr>
      <w:r w:rsidRPr="0052028F">
        <w:rPr>
          <w:rFonts w:asciiTheme="minorHAnsi" w:hAnsiTheme="minorHAnsi" w:cstheme="minorHAnsi"/>
        </w:rPr>
        <w:t xml:space="preserve">allow for the eventual removal of the administrative OMP Programs. </w:t>
      </w:r>
    </w:p>
    <w:p w14:paraId="6198FD8A" w14:textId="0A636A26" w:rsidR="00CC4466" w:rsidRDefault="00CC4466" w:rsidP="00AF7B16">
      <w:pPr>
        <w:rPr>
          <w:rFonts w:asciiTheme="minorHAnsi" w:hAnsiTheme="minorHAnsi" w:cstheme="minorHAnsi"/>
        </w:rPr>
      </w:pPr>
    </w:p>
    <w:p w14:paraId="124CF51E" w14:textId="77777777" w:rsidR="00C954F0" w:rsidRDefault="001E44BC" w:rsidP="00CC4466">
      <w:pPr>
        <w:rPr>
          <w:rFonts w:asciiTheme="minorHAnsi" w:hAnsiTheme="minorHAnsi" w:cstheme="minorHAnsi"/>
          <w:lang w:eastAsia="en-AU"/>
        </w:rPr>
      </w:pPr>
      <w:r>
        <w:rPr>
          <w:rFonts w:asciiTheme="minorHAnsi" w:hAnsiTheme="minorHAnsi" w:cstheme="minorHAnsi"/>
          <w:lang w:eastAsia="en-AU"/>
        </w:rPr>
        <w:t xml:space="preserve">Table </w:t>
      </w:r>
      <w:r w:rsidR="009A21F0">
        <w:rPr>
          <w:rFonts w:asciiTheme="minorHAnsi" w:hAnsiTheme="minorHAnsi" w:cstheme="minorHAnsi"/>
          <w:lang w:eastAsia="en-AU"/>
        </w:rPr>
        <w:t>3</w:t>
      </w:r>
      <w:r>
        <w:rPr>
          <w:rFonts w:asciiTheme="minorHAnsi" w:hAnsiTheme="minorHAnsi" w:cstheme="minorHAnsi"/>
          <w:lang w:eastAsia="en-AU"/>
        </w:rPr>
        <w:t xml:space="preserve"> shows that the new</w:t>
      </w:r>
      <w:r w:rsidRPr="0052028F">
        <w:rPr>
          <w:rFonts w:asciiTheme="minorHAnsi" w:hAnsiTheme="minorHAnsi" w:cstheme="minorHAnsi"/>
          <w:lang w:eastAsia="en-AU"/>
        </w:rPr>
        <w:t xml:space="preserve"> non-VR MBS items</w:t>
      </w:r>
      <w:r>
        <w:rPr>
          <w:rFonts w:asciiTheme="minorHAnsi" w:hAnsiTheme="minorHAnsi" w:cstheme="minorHAnsi"/>
          <w:lang w:eastAsia="en-AU"/>
        </w:rPr>
        <w:t xml:space="preserve"> would</w:t>
      </w:r>
      <w:r w:rsidRPr="0052028F">
        <w:rPr>
          <w:rFonts w:asciiTheme="minorHAnsi" w:hAnsiTheme="minorHAnsi" w:cstheme="minorHAnsi"/>
          <w:lang w:eastAsia="en-AU"/>
        </w:rPr>
        <w:t xml:space="preserve"> mirror</w:t>
      </w:r>
      <w:r>
        <w:rPr>
          <w:rFonts w:asciiTheme="minorHAnsi" w:hAnsiTheme="minorHAnsi" w:cstheme="minorHAnsi"/>
          <w:lang w:eastAsia="en-AU"/>
        </w:rPr>
        <w:t xml:space="preserve"> standard</w:t>
      </w:r>
      <w:r w:rsidRPr="0052028F">
        <w:rPr>
          <w:rFonts w:asciiTheme="minorHAnsi" w:hAnsiTheme="minorHAnsi" w:cstheme="minorHAnsi"/>
          <w:lang w:eastAsia="en-AU"/>
        </w:rPr>
        <w:t xml:space="preserve"> and non-standard general practice attendances</w:t>
      </w:r>
      <w:r>
        <w:rPr>
          <w:rFonts w:asciiTheme="minorHAnsi" w:hAnsiTheme="minorHAnsi" w:cstheme="minorHAnsi"/>
          <w:lang w:eastAsia="en-AU"/>
        </w:rPr>
        <w:t xml:space="preserve">.  The introduction of the revised structure would mean that non-VR doctors who work under the MBS in general practice settings had the right to claim </w:t>
      </w:r>
      <w:r w:rsidRPr="0052028F">
        <w:rPr>
          <w:rFonts w:asciiTheme="minorHAnsi" w:hAnsiTheme="minorHAnsi" w:cstheme="minorHAnsi"/>
          <w:lang w:eastAsia="en-AU"/>
        </w:rPr>
        <w:t>80 per cent of the fee paid</w:t>
      </w:r>
      <w:r>
        <w:rPr>
          <w:rFonts w:asciiTheme="minorHAnsi" w:hAnsiTheme="minorHAnsi" w:cstheme="minorHAnsi"/>
          <w:lang w:eastAsia="en-AU"/>
        </w:rPr>
        <w:t xml:space="preserve"> to</w:t>
      </w:r>
      <w:r w:rsidRPr="0052028F">
        <w:rPr>
          <w:rFonts w:asciiTheme="minorHAnsi" w:hAnsiTheme="minorHAnsi" w:cstheme="minorHAnsi"/>
          <w:lang w:eastAsia="en-AU"/>
        </w:rPr>
        <w:t xml:space="preserve"> GP</w:t>
      </w:r>
      <w:r>
        <w:rPr>
          <w:rFonts w:asciiTheme="minorHAnsi" w:hAnsiTheme="minorHAnsi" w:cstheme="minorHAnsi"/>
          <w:lang w:eastAsia="en-AU"/>
        </w:rPr>
        <w:t>s</w:t>
      </w:r>
      <w:r w:rsidRPr="0052028F">
        <w:rPr>
          <w:rFonts w:asciiTheme="minorHAnsi" w:hAnsiTheme="minorHAnsi" w:cstheme="minorHAnsi"/>
          <w:lang w:eastAsia="en-AU"/>
        </w:rPr>
        <w:t xml:space="preserve"> </w:t>
      </w:r>
      <w:r>
        <w:rPr>
          <w:rFonts w:asciiTheme="minorHAnsi" w:hAnsiTheme="minorHAnsi" w:cstheme="minorHAnsi"/>
          <w:lang w:eastAsia="en-AU"/>
        </w:rPr>
        <w:t>across the scope of primary care work.</w:t>
      </w:r>
    </w:p>
    <w:p w14:paraId="6BDFCC7A" w14:textId="1B5E78CC" w:rsidR="009A21F0" w:rsidRDefault="00C954F0" w:rsidP="00CC4466">
      <w:pPr>
        <w:rPr>
          <w:rFonts w:asciiTheme="minorHAnsi" w:hAnsiTheme="minorHAnsi" w:cstheme="minorHAnsi"/>
          <w:b/>
        </w:rPr>
      </w:pPr>
      <w:r>
        <w:rPr>
          <w:rFonts w:asciiTheme="minorHAnsi" w:hAnsiTheme="minorHAnsi" w:cstheme="minorHAnsi"/>
          <w:b/>
        </w:rPr>
        <w:t xml:space="preserve"> </w:t>
      </w:r>
    </w:p>
    <w:p w14:paraId="07BA20EC" w14:textId="58054228" w:rsidR="00CC4466" w:rsidRPr="00D616B4" w:rsidRDefault="00CC4466" w:rsidP="00C954F0">
      <w:pPr>
        <w:keepNext/>
        <w:rPr>
          <w:rFonts w:asciiTheme="minorHAnsi" w:hAnsiTheme="minorHAnsi" w:cstheme="minorHAnsi"/>
        </w:rPr>
      </w:pPr>
      <w:r>
        <w:rPr>
          <w:rFonts w:asciiTheme="minorHAnsi" w:hAnsiTheme="minorHAnsi" w:cstheme="minorHAnsi"/>
          <w:b/>
        </w:rPr>
        <w:t xml:space="preserve">Table </w:t>
      </w:r>
      <w:r w:rsidR="009A21F0">
        <w:rPr>
          <w:rFonts w:asciiTheme="minorHAnsi" w:hAnsiTheme="minorHAnsi" w:cstheme="minorHAnsi"/>
          <w:b/>
        </w:rPr>
        <w:t>3</w:t>
      </w:r>
      <w:r>
        <w:rPr>
          <w:rFonts w:asciiTheme="minorHAnsi" w:hAnsiTheme="minorHAnsi" w:cstheme="minorHAnsi"/>
          <w:b/>
        </w:rPr>
        <w:t>:</w:t>
      </w:r>
      <w:r w:rsidRPr="00D616B4">
        <w:rPr>
          <w:rFonts w:asciiTheme="minorHAnsi" w:hAnsiTheme="minorHAnsi" w:cstheme="minorHAnsi"/>
        </w:rPr>
        <w:t xml:space="preserve"> </w:t>
      </w:r>
      <w:r>
        <w:rPr>
          <w:rFonts w:asciiTheme="minorHAnsi" w:hAnsiTheme="minorHAnsi" w:cstheme="minorHAnsi"/>
        </w:rPr>
        <w:t xml:space="preserve">Proposed </w:t>
      </w:r>
      <w:r w:rsidRPr="00D616B4">
        <w:rPr>
          <w:rFonts w:asciiTheme="minorHAnsi" w:hAnsiTheme="minorHAnsi" w:cstheme="minorHAnsi"/>
        </w:rPr>
        <w:t xml:space="preserve">MBS item group eligibility – non VR </w:t>
      </w:r>
      <w:r>
        <w:rPr>
          <w:rFonts w:asciiTheme="minorHAnsi" w:hAnsiTheme="minorHAnsi" w:cstheme="minorHAnsi"/>
        </w:rPr>
        <w:t>doctors</w:t>
      </w:r>
      <w:r w:rsidRPr="00D616B4">
        <w:rPr>
          <w:rFonts w:asciiTheme="minorHAnsi" w:hAnsiTheme="minorHAnsi" w:cstheme="minorHAnsi"/>
        </w:rPr>
        <w:t xml:space="preserve"> and OMPs Program participants</w:t>
      </w:r>
    </w:p>
    <w:p w14:paraId="0A8DA4A0" w14:textId="77777777" w:rsidR="00CC4466" w:rsidRPr="008168D8" w:rsidRDefault="00CC4466" w:rsidP="00C954F0">
      <w:pPr>
        <w:keepNext/>
      </w:pPr>
    </w:p>
    <w:tbl>
      <w:tblPr>
        <w:tblStyle w:val="TableGrid"/>
        <w:tblW w:w="9634" w:type="dxa"/>
        <w:tblLook w:val="04A0" w:firstRow="1" w:lastRow="0" w:firstColumn="1" w:lastColumn="0" w:noHBand="0" w:noVBand="1"/>
        <w:tblDescription w:val="MBS item group eligibility – non VR practitioners and OMPs participants"/>
      </w:tblPr>
      <w:tblGrid>
        <w:gridCol w:w="1696"/>
        <w:gridCol w:w="2071"/>
        <w:gridCol w:w="2063"/>
        <w:gridCol w:w="2059"/>
        <w:gridCol w:w="1745"/>
      </w:tblGrid>
      <w:tr w:rsidR="00CC4466" w:rsidRPr="00AD39DD" w14:paraId="2A616CC6" w14:textId="77777777" w:rsidTr="00895FB7">
        <w:trPr>
          <w:trHeight w:val="559"/>
          <w:tblHeader/>
        </w:trPr>
        <w:tc>
          <w:tcPr>
            <w:tcW w:w="1696" w:type="dxa"/>
          </w:tcPr>
          <w:p w14:paraId="76F14C03" w14:textId="77777777" w:rsidR="00CC4466" w:rsidRPr="006F3273" w:rsidRDefault="00CC4466" w:rsidP="00C954F0">
            <w:pPr>
              <w:keepNext/>
              <w:rPr>
                <w:rFonts w:asciiTheme="minorHAnsi" w:eastAsia="MS Mincho" w:hAnsiTheme="minorHAnsi" w:cstheme="minorHAnsi"/>
                <w:sz w:val="22"/>
                <w:szCs w:val="22"/>
              </w:rPr>
            </w:pPr>
            <w:r w:rsidRPr="006F3273">
              <w:rPr>
                <w:rFonts w:asciiTheme="minorHAnsi" w:eastAsia="MS Mincho" w:hAnsiTheme="minorHAnsi" w:cstheme="minorHAnsi"/>
                <w:sz w:val="22"/>
                <w:szCs w:val="22"/>
              </w:rPr>
              <w:t>Service type</w:t>
            </w:r>
          </w:p>
        </w:tc>
        <w:tc>
          <w:tcPr>
            <w:tcW w:w="2071" w:type="dxa"/>
          </w:tcPr>
          <w:p w14:paraId="21FE10A5" w14:textId="77777777" w:rsidR="00CC4466" w:rsidRPr="006F3273" w:rsidRDefault="00CC4466" w:rsidP="00C954F0">
            <w:pPr>
              <w:keepNext/>
              <w:rPr>
                <w:rFonts w:asciiTheme="minorHAnsi" w:eastAsia="MS Mincho" w:hAnsiTheme="minorHAnsi" w:cstheme="minorHAnsi"/>
                <w:sz w:val="22"/>
                <w:szCs w:val="22"/>
              </w:rPr>
            </w:pPr>
            <w:r w:rsidRPr="006F3273">
              <w:rPr>
                <w:rFonts w:asciiTheme="minorHAnsi" w:eastAsia="MS Mincho" w:hAnsiTheme="minorHAnsi" w:cstheme="minorHAnsi"/>
                <w:sz w:val="22"/>
                <w:szCs w:val="22"/>
              </w:rPr>
              <w:t>MM 1 locations</w:t>
            </w:r>
          </w:p>
        </w:tc>
        <w:tc>
          <w:tcPr>
            <w:tcW w:w="2063" w:type="dxa"/>
          </w:tcPr>
          <w:p w14:paraId="2AD13FAB" w14:textId="77777777" w:rsidR="00CC4466" w:rsidRPr="006F3273" w:rsidRDefault="00CC4466" w:rsidP="00C954F0">
            <w:pPr>
              <w:keepNext/>
              <w:rPr>
                <w:rFonts w:asciiTheme="minorHAnsi" w:eastAsia="MS Mincho" w:hAnsiTheme="minorHAnsi" w:cstheme="minorHAnsi"/>
                <w:sz w:val="22"/>
                <w:szCs w:val="22"/>
              </w:rPr>
            </w:pPr>
            <w:r w:rsidRPr="006F3273">
              <w:rPr>
                <w:rFonts w:asciiTheme="minorHAnsi" w:eastAsia="MS Mincho" w:hAnsiTheme="minorHAnsi" w:cstheme="minorHAnsi"/>
                <w:sz w:val="22"/>
                <w:szCs w:val="22"/>
              </w:rPr>
              <w:t>MM 2-7 locations</w:t>
            </w:r>
          </w:p>
        </w:tc>
        <w:tc>
          <w:tcPr>
            <w:tcW w:w="2059" w:type="dxa"/>
          </w:tcPr>
          <w:p w14:paraId="38843FAA" w14:textId="77777777" w:rsidR="00CC4466" w:rsidRPr="006F3273" w:rsidRDefault="00CC4466" w:rsidP="00C954F0">
            <w:pPr>
              <w:keepNext/>
              <w:rPr>
                <w:rFonts w:asciiTheme="minorHAnsi" w:eastAsia="MS Mincho" w:hAnsiTheme="minorHAnsi" w:cstheme="minorHAnsi"/>
                <w:sz w:val="22"/>
                <w:szCs w:val="22"/>
              </w:rPr>
            </w:pPr>
            <w:r w:rsidRPr="006F3273">
              <w:rPr>
                <w:rFonts w:asciiTheme="minorHAnsi" w:eastAsia="MS Mincho" w:hAnsiTheme="minorHAnsi" w:cstheme="minorHAnsi"/>
                <w:sz w:val="22"/>
                <w:szCs w:val="22"/>
              </w:rPr>
              <w:t>ROMPs, MOMPs and OM-OMPs Participants</w:t>
            </w:r>
          </w:p>
        </w:tc>
        <w:tc>
          <w:tcPr>
            <w:tcW w:w="1745" w:type="dxa"/>
          </w:tcPr>
          <w:p w14:paraId="448B2D9B" w14:textId="77777777" w:rsidR="00CC4466" w:rsidRPr="006F3273" w:rsidRDefault="00CC4466" w:rsidP="00C954F0">
            <w:pPr>
              <w:keepNext/>
              <w:rPr>
                <w:rFonts w:asciiTheme="minorHAnsi" w:eastAsia="MS Mincho" w:hAnsiTheme="minorHAnsi" w:cstheme="minorHAnsi"/>
                <w:sz w:val="22"/>
                <w:szCs w:val="22"/>
              </w:rPr>
            </w:pPr>
            <w:r w:rsidRPr="006F3273">
              <w:rPr>
                <w:rFonts w:asciiTheme="minorHAnsi" w:eastAsia="MS Mincho" w:hAnsiTheme="minorHAnsi" w:cstheme="minorHAnsi"/>
                <w:sz w:val="22"/>
                <w:szCs w:val="22"/>
              </w:rPr>
              <w:t>AHOMPs Participants</w:t>
            </w:r>
          </w:p>
        </w:tc>
      </w:tr>
      <w:tr w:rsidR="00CC4466" w:rsidRPr="00AD39DD" w14:paraId="0D618FEE" w14:textId="77777777" w:rsidTr="00895FB7">
        <w:trPr>
          <w:trHeight w:val="531"/>
          <w:tblHeader/>
        </w:trPr>
        <w:tc>
          <w:tcPr>
            <w:tcW w:w="1696" w:type="dxa"/>
          </w:tcPr>
          <w:p w14:paraId="7696BD1F"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Standard GP Consults</w:t>
            </w:r>
          </w:p>
        </w:tc>
        <w:tc>
          <w:tcPr>
            <w:tcW w:w="2071" w:type="dxa"/>
          </w:tcPr>
          <w:p w14:paraId="0FE23C42"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 xml:space="preserve">A2 </w:t>
            </w:r>
          </w:p>
        </w:tc>
        <w:tc>
          <w:tcPr>
            <w:tcW w:w="2063" w:type="dxa"/>
          </w:tcPr>
          <w:p w14:paraId="752E7C53"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A7.2</w:t>
            </w:r>
          </w:p>
        </w:tc>
        <w:tc>
          <w:tcPr>
            <w:tcW w:w="2059" w:type="dxa"/>
          </w:tcPr>
          <w:p w14:paraId="13647FE1"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A1</w:t>
            </w:r>
          </w:p>
        </w:tc>
        <w:tc>
          <w:tcPr>
            <w:tcW w:w="1745" w:type="dxa"/>
          </w:tcPr>
          <w:p w14:paraId="118A9ACE"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N/A</w:t>
            </w:r>
          </w:p>
        </w:tc>
      </w:tr>
      <w:tr w:rsidR="00CC4466" w:rsidRPr="00AD39DD" w14:paraId="38FA4C13" w14:textId="77777777" w:rsidTr="00895FB7">
        <w:trPr>
          <w:trHeight w:val="531"/>
          <w:tblHeader/>
        </w:trPr>
        <w:tc>
          <w:tcPr>
            <w:tcW w:w="1696" w:type="dxa"/>
          </w:tcPr>
          <w:p w14:paraId="72DB4EB0"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Prolonged Consults</w:t>
            </w:r>
          </w:p>
        </w:tc>
        <w:tc>
          <w:tcPr>
            <w:tcW w:w="2071" w:type="dxa"/>
          </w:tcPr>
          <w:p w14:paraId="62669CBD"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A7.3</w:t>
            </w:r>
          </w:p>
        </w:tc>
        <w:tc>
          <w:tcPr>
            <w:tcW w:w="2063" w:type="dxa"/>
          </w:tcPr>
          <w:p w14:paraId="1597E098"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A7.3</w:t>
            </w:r>
          </w:p>
        </w:tc>
        <w:tc>
          <w:tcPr>
            <w:tcW w:w="2059" w:type="dxa"/>
          </w:tcPr>
          <w:p w14:paraId="7E8FEA33"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A5</w:t>
            </w:r>
          </w:p>
        </w:tc>
        <w:tc>
          <w:tcPr>
            <w:tcW w:w="1745" w:type="dxa"/>
          </w:tcPr>
          <w:p w14:paraId="7218B590"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N/A</w:t>
            </w:r>
          </w:p>
        </w:tc>
      </w:tr>
      <w:tr w:rsidR="00CC4466" w:rsidRPr="00AD39DD" w14:paraId="61CAC9DB" w14:textId="77777777" w:rsidTr="00895FB7">
        <w:trPr>
          <w:trHeight w:val="531"/>
          <w:tblHeader/>
        </w:trPr>
        <w:tc>
          <w:tcPr>
            <w:tcW w:w="1696" w:type="dxa"/>
          </w:tcPr>
          <w:p w14:paraId="75454AFE"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Group Therapy</w:t>
            </w:r>
          </w:p>
        </w:tc>
        <w:tc>
          <w:tcPr>
            <w:tcW w:w="2071" w:type="dxa"/>
          </w:tcPr>
          <w:p w14:paraId="7E5AE728"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A7.4</w:t>
            </w:r>
          </w:p>
        </w:tc>
        <w:tc>
          <w:tcPr>
            <w:tcW w:w="2063" w:type="dxa"/>
          </w:tcPr>
          <w:p w14:paraId="0062F786"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A7.4</w:t>
            </w:r>
          </w:p>
        </w:tc>
        <w:tc>
          <w:tcPr>
            <w:tcW w:w="2059" w:type="dxa"/>
          </w:tcPr>
          <w:p w14:paraId="6FBE8B3F"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A6</w:t>
            </w:r>
          </w:p>
        </w:tc>
        <w:tc>
          <w:tcPr>
            <w:tcW w:w="1745" w:type="dxa"/>
          </w:tcPr>
          <w:p w14:paraId="7BF0D93C"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N/A</w:t>
            </w:r>
          </w:p>
        </w:tc>
      </w:tr>
      <w:tr w:rsidR="00CC4466" w:rsidRPr="00AD39DD" w14:paraId="439A130D" w14:textId="77777777" w:rsidTr="00895FB7">
        <w:trPr>
          <w:trHeight w:val="531"/>
          <w:tblHeader/>
        </w:trPr>
        <w:tc>
          <w:tcPr>
            <w:tcW w:w="1696" w:type="dxa"/>
          </w:tcPr>
          <w:p w14:paraId="3BAEC886"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lastRenderedPageBreak/>
              <w:t>Health Assessment</w:t>
            </w:r>
          </w:p>
        </w:tc>
        <w:tc>
          <w:tcPr>
            <w:tcW w:w="2071" w:type="dxa"/>
          </w:tcPr>
          <w:p w14:paraId="3B4FA116"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A7.5</w:t>
            </w:r>
          </w:p>
        </w:tc>
        <w:tc>
          <w:tcPr>
            <w:tcW w:w="2063" w:type="dxa"/>
          </w:tcPr>
          <w:p w14:paraId="78E38BC0"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A7.5</w:t>
            </w:r>
          </w:p>
        </w:tc>
        <w:tc>
          <w:tcPr>
            <w:tcW w:w="2059" w:type="dxa"/>
          </w:tcPr>
          <w:p w14:paraId="4C753EE2"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A14</w:t>
            </w:r>
          </w:p>
        </w:tc>
        <w:tc>
          <w:tcPr>
            <w:tcW w:w="1745" w:type="dxa"/>
          </w:tcPr>
          <w:p w14:paraId="48FA40F0"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N/A</w:t>
            </w:r>
          </w:p>
        </w:tc>
      </w:tr>
      <w:tr w:rsidR="00CC4466" w:rsidRPr="00AD39DD" w14:paraId="5B87A619" w14:textId="77777777" w:rsidTr="00895FB7">
        <w:trPr>
          <w:trHeight w:val="559"/>
          <w:tblHeader/>
        </w:trPr>
        <w:tc>
          <w:tcPr>
            <w:tcW w:w="1696" w:type="dxa"/>
          </w:tcPr>
          <w:p w14:paraId="08D9A7BA"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Chronic Disease Management</w:t>
            </w:r>
          </w:p>
        </w:tc>
        <w:tc>
          <w:tcPr>
            <w:tcW w:w="2071" w:type="dxa"/>
          </w:tcPr>
          <w:p w14:paraId="2104416C"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A7.6</w:t>
            </w:r>
          </w:p>
        </w:tc>
        <w:tc>
          <w:tcPr>
            <w:tcW w:w="2063" w:type="dxa"/>
          </w:tcPr>
          <w:p w14:paraId="3B4E7E36"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A7.6</w:t>
            </w:r>
          </w:p>
        </w:tc>
        <w:tc>
          <w:tcPr>
            <w:tcW w:w="2059" w:type="dxa"/>
          </w:tcPr>
          <w:p w14:paraId="4D4CBD60"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A15</w:t>
            </w:r>
          </w:p>
        </w:tc>
        <w:tc>
          <w:tcPr>
            <w:tcW w:w="1745" w:type="dxa"/>
          </w:tcPr>
          <w:p w14:paraId="1409EAF6"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N/A</w:t>
            </w:r>
          </w:p>
        </w:tc>
      </w:tr>
      <w:tr w:rsidR="00CC4466" w:rsidRPr="00AD39DD" w14:paraId="44057E72" w14:textId="77777777" w:rsidTr="00895FB7">
        <w:trPr>
          <w:trHeight w:val="531"/>
          <w:tblHeader/>
        </w:trPr>
        <w:tc>
          <w:tcPr>
            <w:tcW w:w="1696" w:type="dxa"/>
          </w:tcPr>
          <w:p w14:paraId="7DFBF8E6"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Medication Management</w:t>
            </w:r>
          </w:p>
        </w:tc>
        <w:tc>
          <w:tcPr>
            <w:tcW w:w="2071" w:type="dxa"/>
          </w:tcPr>
          <w:p w14:paraId="46889E5E"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A7.7</w:t>
            </w:r>
          </w:p>
        </w:tc>
        <w:tc>
          <w:tcPr>
            <w:tcW w:w="2063" w:type="dxa"/>
          </w:tcPr>
          <w:p w14:paraId="02305E15"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A7.7</w:t>
            </w:r>
          </w:p>
        </w:tc>
        <w:tc>
          <w:tcPr>
            <w:tcW w:w="2059" w:type="dxa"/>
          </w:tcPr>
          <w:p w14:paraId="14960E9E"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A17</w:t>
            </w:r>
          </w:p>
        </w:tc>
        <w:tc>
          <w:tcPr>
            <w:tcW w:w="1745" w:type="dxa"/>
          </w:tcPr>
          <w:p w14:paraId="5BBB85B6"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N/A</w:t>
            </w:r>
          </w:p>
        </w:tc>
      </w:tr>
      <w:tr w:rsidR="00CC4466" w:rsidRPr="00AD39DD" w14:paraId="32023BFA" w14:textId="77777777" w:rsidTr="00895FB7">
        <w:trPr>
          <w:trHeight w:val="531"/>
          <w:tblHeader/>
        </w:trPr>
        <w:tc>
          <w:tcPr>
            <w:tcW w:w="1696" w:type="dxa"/>
          </w:tcPr>
          <w:p w14:paraId="21D0A166"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Standard GP Consults (PIP)</w:t>
            </w:r>
          </w:p>
        </w:tc>
        <w:tc>
          <w:tcPr>
            <w:tcW w:w="2071" w:type="dxa"/>
          </w:tcPr>
          <w:p w14:paraId="5BCC928E"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A19</w:t>
            </w:r>
          </w:p>
        </w:tc>
        <w:tc>
          <w:tcPr>
            <w:tcW w:w="2063" w:type="dxa"/>
          </w:tcPr>
          <w:p w14:paraId="521F3CE2"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A7.8</w:t>
            </w:r>
          </w:p>
        </w:tc>
        <w:tc>
          <w:tcPr>
            <w:tcW w:w="2059" w:type="dxa"/>
          </w:tcPr>
          <w:p w14:paraId="136F8824"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A18</w:t>
            </w:r>
          </w:p>
        </w:tc>
        <w:tc>
          <w:tcPr>
            <w:tcW w:w="1745" w:type="dxa"/>
          </w:tcPr>
          <w:p w14:paraId="38C67EFB"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N/A</w:t>
            </w:r>
          </w:p>
        </w:tc>
      </w:tr>
      <w:tr w:rsidR="00CC4466" w:rsidRPr="00AD39DD" w14:paraId="209E3B8B" w14:textId="77777777" w:rsidTr="00895FB7">
        <w:trPr>
          <w:trHeight w:val="531"/>
          <w:tblHeader/>
        </w:trPr>
        <w:tc>
          <w:tcPr>
            <w:tcW w:w="1696" w:type="dxa"/>
          </w:tcPr>
          <w:p w14:paraId="1AC3A2AA"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Mental Health</w:t>
            </w:r>
          </w:p>
        </w:tc>
        <w:tc>
          <w:tcPr>
            <w:tcW w:w="2071" w:type="dxa"/>
          </w:tcPr>
          <w:p w14:paraId="5E441A1D"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A7.9</w:t>
            </w:r>
          </w:p>
        </w:tc>
        <w:tc>
          <w:tcPr>
            <w:tcW w:w="2063" w:type="dxa"/>
          </w:tcPr>
          <w:p w14:paraId="75AAB9E0"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A7.9</w:t>
            </w:r>
          </w:p>
        </w:tc>
        <w:tc>
          <w:tcPr>
            <w:tcW w:w="2059" w:type="dxa"/>
          </w:tcPr>
          <w:p w14:paraId="31A9C36E"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A20</w:t>
            </w:r>
          </w:p>
        </w:tc>
        <w:tc>
          <w:tcPr>
            <w:tcW w:w="1745" w:type="dxa"/>
          </w:tcPr>
          <w:p w14:paraId="58BB32F1"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N/A</w:t>
            </w:r>
          </w:p>
        </w:tc>
      </w:tr>
      <w:tr w:rsidR="00CC4466" w:rsidRPr="00AD39DD" w14:paraId="313C2153" w14:textId="77777777" w:rsidTr="00895FB7">
        <w:trPr>
          <w:trHeight w:val="531"/>
          <w:tblHeader/>
        </w:trPr>
        <w:tc>
          <w:tcPr>
            <w:tcW w:w="1696" w:type="dxa"/>
          </w:tcPr>
          <w:p w14:paraId="715EFDDD"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Standard After Hours</w:t>
            </w:r>
          </w:p>
        </w:tc>
        <w:tc>
          <w:tcPr>
            <w:tcW w:w="2071" w:type="dxa"/>
          </w:tcPr>
          <w:p w14:paraId="643DF43B"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A7.10</w:t>
            </w:r>
          </w:p>
        </w:tc>
        <w:tc>
          <w:tcPr>
            <w:tcW w:w="2063" w:type="dxa"/>
          </w:tcPr>
          <w:p w14:paraId="37CF5978"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A7.10</w:t>
            </w:r>
          </w:p>
        </w:tc>
        <w:tc>
          <w:tcPr>
            <w:tcW w:w="2059" w:type="dxa"/>
          </w:tcPr>
          <w:p w14:paraId="28A828DC"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A22</w:t>
            </w:r>
          </w:p>
        </w:tc>
        <w:tc>
          <w:tcPr>
            <w:tcW w:w="1745" w:type="dxa"/>
          </w:tcPr>
          <w:p w14:paraId="563458B6"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A22</w:t>
            </w:r>
          </w:p>
        </w:tc>
      </w:tr>
      <w:tr w:rsidR="00CC4466" w:rsidRPr="00AD39DD" w14:paraId="1C2BE2E3" w14:textId="77777777" w:rsidTr="00895FB7">
        <w:trPr>
          <w:trHeight w:val="531"/>
          <w:tblHeader/>
        </w:trPr>
        <w:tc>
          <w:tcPr>
            <w:tcW w:w="1696" w:type="dxa"/>
          </w:tcPr>
          <w:p w14:paraId="6AD73382"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Pregnancy Support</w:t>
            </w:r>
          </w:p>
        </w:tc>
        <w:tc>
          <w:tcPr>
            <w:tcW w:w="2071" w:type="dxa"/>
          </w:tcPr>
          <w:p w14:paraId="5CDFF192"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A7.11 (must meet item credentialing)</w:t>
            </w:r>
          </w:p>
        </w:tc>
        <w:tc>
          <w:tcPr>
            <w:tcW w:w="2063" w:type="dxa"/>
          </w:tcPr>
          <w:p w14:paraId="164344E2"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A7.11 (must meet item credentialing)</w:t>
            </w:r>
          </w:p>
        </w:tc>
        <w:tc>
          <w:tcPr>
            <w:tcW w:w="2059" w:type="dxa"/>
          </w:tcPr>
          <w:p w14:paraId="2DB65996"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A27 (must meet item credentialing)</w:t>
            </w:r>
          </w:p>
        </w:tc>
        <w:tc>
          <w:tcPr>
            <w:tcW w:w="1745" w:type="dxa"/>
          </w:tcPr>
          <w:p w14:paraId="47978DE8"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N/A</w:t>
            </w:r>
          </w:p>
        </w:tc>
      </w:tr>
      <w:tr w:rsidR="00CC4466" w:rsidRPr="00AD39DD" w14:paraId="7DB91285" w14:textId="77777777" w:rsidTr="00895FB7">
        <w:trPr>
          <w:trHeight w:val="821"/>
          <w:tblHeader/>
        </w:trPr>
        <w:tc>
          <w:tcPr>
            <w:tcW w:w="1696" w:type="dxa"/>
          </w:tcPr>
          <w:p w14:paraId="5AABDDA1"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Video Conference</w:t>
            </w:r>
          </w:p>
        </w:tc>
        <w:tc>
          <w:tcPr>
            <w:tcW w:w="2071" w:type="dxa"/>
          </w:tcPr>
          <w:p w14:paraId="0E62480D"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A7.12</w:t>
            </w:r>
          </w:p>
        </w:tc>
        <w:tc>
          <w:tcPr>
            <w:tcW w:w="2063" w:type="dxa"/>
          </w:tcPr>
          <w:p w14:paraId="6B72D70A"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A7.12</w:t>
            </w:r>
          </w:p>
        </w:tc>
        <w:tc>
          <w:tcPr>
            <w:tcW w:w="2059" w:type="dxa"/>
          </w:tcPr>
          <w:p w14:paraId="2FB07CF1"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A30</w:t>
            </w:r>
          </w:p>
        </w:tc>
        <w:tc>
          <w:tcPr>
            <w:tcW w:w="1745" w:type="dxa"/>
          </w:tcPr>
          <w:p w14:paraId="20B5E904" w14:textId="77777777" w:rsidR="00CC4466" w:rsidRPr="006F3273" w:rsidRDefault="00CC4466" w:rsidP="00FC2FD9">
            <w:pPr>
              <w:rPr>
                <w:rFonts w:asciiTheme="minorHAnsi" w:eastAsia="MS Mincho" w:hAnsiTheme="minorHAnsi" w:cstheme="minorHAnsi"/>
                <w:sz w:val="22"/>
                <w:szCs w:val="22"/>
              </w:rPr>
            </w:pPr>
            <w:r w:rsidRPr="006F3273">
              <w:rPr>
                <w:rFonts w:asciiTheme="minorHAnsi" w:eastAsia="MS Mincho" w:hAnsiTheme="minorHAnsi" w:cstheme="minorHAnsi"/>
                <w:sz w:val="22"/>
                <w:szCs w:val="22"/>
              </w:rPr>
              <w:t>N/A</w:t>
            </w:r>
          </w:p>
        </w:tc>
      </w:tr>
    </w:tbl>
    <w:p w14:paraId="61692769" w14:textId="2DC7E6A4" w:rsidR="00526C02" w:rsidRDefault="00526C02" w:rsidP="00526C02">
      <w:pPr>
        <w:rPr>
          <w:rFonts w:asciiTheme="minorHAnsi" w:hAnsiTheme="minorHAnsi" w:cstheme="minorHAnsi"/>
          <w:lang w:eastAsia="en-AU"/>
        </w:rPr>
      </w:pPr>
    </w:p>
    <w:p w14:paraId="1A19DF8F" w14:textId="21A64906" w:rsidR="00526C02" w:rsidRDefault="00526C02" w:rsidP="00526C02">
      <w:pPr>
        <w:rPr>
          <w:rFonts w:asciiTheme="minorHAnsi" w:hAnsiTheme="minorHAnsi" w:cstheme="minorHAnsi"/>
          <w:lang w:eastAsia="en-AU"/>
        </w:rPr>
      </w:pPr>
      <w:r>
        <w:rPr>
          <w:rFonts w:asciiTheme="minorHAnsi" w:hAnsiTheme="minorHAnsi" w:cstheme="minorHAnsi"/>
          <w:lang w:eastAsia="en-AU"/>
        </w:rPr>
        <w:t xml:space="preserve">This option also proposes </w:t>
      </w:r>
      <w:r w:rsidR="00595193">
        <w:rPr>
          <w:rFonts w:asciiTheme="minorHAnsi" w:hAnsiTheme="minorHAnsi" w:cstheme="minorHAnsi"/>
          <w:lang w:eastAsia="en-AU"/>
        </w:rPr>
        <w:t>linking the new MBS items for non-VR doctors</w:t>
      </w:r>
      <w:r>
        <w:rPr>
          <w:rFonts w:asciiTheme="minorHAnsi" w:hAnsiTheme="minorHAnsi" w:cstheme="minorHAnsi"/>
          <w:lang w:eastAsia="en-AU"/>
        </w:rPr>
        <w:t xml:space="preserve"> to future activities that index the GP MBS items.  This will:</w:t>
      </w:r>
    </w:p>
    <w:p w14:paraId="6DA22074" w14:textId="77777777" w:rsidR="00526C02" w:rsidRDefault="00526C02" w:rsidP="00AA5EBF">
      <w:pPr>
        <w:pStyle w:val="ListParagraph"/>
        <w:numPr>
          <w:ilvl w:val="0"/>
          <w:numId w:val="37"/>
        </w:numPr>
        <w:rPr>
          <w:rFonts w:asciiTheme="minorHAnsi" w:hAnsiTheme="minorHAnsi" w:cstheme="minorHAnsi"/>
          <w:lang w:eastAsia="en-AU"/>
        </w:rPr>
      </w:pPr>
      <w:r w:rsidRPr="004D0C1C">
        <w:rPr>
          <w:rFonts w:asciiTheme="minorHAnsi" w:hAnsiTheme="minorHAnsi" w:cstheme="minorHAnsi"/>
          <w:lang w:eastAsia="en-AU"/>
        </w:rPr>
        <w:t>ensure the new items maintain their relative value to the full GP MBS fees</w:t>
      </w:r>
      <w:r>
        <w:rPr>
          <w:rFonts w:asciiTheme="minorHAnsi" w:hAnsiTheme="minorHAnsi" w:cstheme="minorHAnsi"/>
          <w:lang w:eastAsia="en-AU"/>
        </w:rPr>
        <w:t>;</w:t>
      </w:r>
      <w:r w:rsidRPr="004D0C1C">
        <w:rPr>
          <w:rFonts w:asciiTheme="minorHAnsi" w:hAnsiTheme="minorHAnsi" w:cstheme="minorHAnsi"/>
          <w:lang w:eastAsia="en-AU"/>
        </w:rPr>
        <w:t xml:space="preserve"> and </w:t>
      </w:r>
    </w:p>
    <w:p w14:paraId="7FC3E21F" w14:textId="77777777" w:rsidR="00526C02" w:rsidRPr="004D0C1C" w:rsidRDefault="00526C02" w:rsidP="00AA5EBF">
      <w:pPr>
        <w:pStyle w:val="ListParagraph"/>
        <w:numPr>
          <w:ilvl w:val="0"/>
          <w:numId w:val="37"/>
        </w:numPr>
        <w:rPr>
          <w:rFonts w:asciiTheme="minorHAnsi" w:hAnsiTheme="minorHAnsi" w:cstheme="minorHAnsi"/>
          <w:lang w:eastAsia="en-AU"/>
        </w:rPr>
      </w:pPr>
      <w:r w:rsidRPr="004D0C1C">
        <w:rPr>
          <w:rFonts w:asciiTheme="minorHAnsi" w:hAnsiTheme="minorHAnsi" w:cstheme="minorHAnsi"/>
          <w:lang w:eastAsia="en-AU"/>
        </w:rPr>
        <w:t>remove potential future pressures to introduce</w:t>
      </w:r>
      <w:r>
        <w:rPr>
          <w:rFonts w:asciiTheme="minorHAnsi" w:hAnsiTheme="minorHAnsi" w:cstheme="minorHAnsi"/>
          <w:lang w:eastAsia="en-AU"/>
        </w:rPr>
        <w:t xml:space="preserve"> new</w:t>
      </w:r>
      <w:r w:rsidRPr="004D0C1C">
        <w:rPr>
          <w:rFonts w:asciiTheme="minorHAnsi" w:hAnsiTheme="minorHAnsi" w:cstheme="minorHAnsi"/>
          <w:lang w:eastAsia="en-AU"/>
        </w:rPr>
        <w:t xml:space="preserve"> OMPs Program arrangements to address workforce shortages </w:t>
      </w:r>
      <w:r>
        <w:rPr>
          <w:rFonts w:asciiTheme="minorHAnsi" w:hAnsiTheme="minorHAnsi" w:cstheme="minorHAnsi"/>
          <w:lang w:eastAsia="en-AU"/>
        </w:rPr>
        <w:t>created as a result of doctors not being remunerated through the MBS to a transparent and uniform standard.</w:t>
      </w:r>
    </w:p>
    <w:p w14:paraId="18C6B354" w14:textId="77777777" w:rsidR="00526C02" w:rsidRDefault="00526C02" w:rsidP="00526C02">
      <w:pPr>
        <w:rPr>
          <w:rFonts w:asciiTheme="minorHAnsi" w:hAnsiTheme="minorHAnsi" w:cstheme="minorHAnsi"/>
          <w:lang w:eastAsia="en-AU"/>
        </w:rPr>
      </w:pPr>
    </w:p>
    <w:p w14:paraId="19DA5EEE" w14:textId="77777777" w:rsidR="00526C02" w:rsidRDefault="00526C02" w:rsidP="00526C02">
      <w:pPr>
        <w:rPr>
          <w:rFonts w:asciiTheme="minorHAnsi" w:hAnsiTheme="minorHAnsi" w:cstheme="minorHAnsi"/>
          <w:lang w:eastAsia="en-AU"/>
        </w:rPr>
      </w:pPr>
      <w:r>
        <w:rPr>
          <w:rFonts w:asciiTheme="minorHAnsi" w:hAnsiTheme="minorHAnsi" w:cstheme="minorHAnsi"/>
          <w:lang w:eastAsia="en-AU"/>
        </w:rPr>
        <w:t xml:space="preserve">The Government would need to carefully consider GP trainees </w:t>
      </w:r>
      <w:r w:rsidRPr="0052028F">
        <w:rPr>
          <w:rFonts w:asciiTheme="minorHAnsi" w:hAnsiTheme="minorHAnsi" w:cstheme="minorHAnsi"/>
          <w:lang w:eastAsia="en-AU"/>
        </w:rPr>
        <w:t xml:space="preserve">(being doctors who are participating </w:t>
      </w:r>
      <w:r>
        <w:rPr>
          <w:rFonts w:asciiTheme="minorHAnsi" w:hAnsiTheme="minorHAnsi" w:cstheme="minorHAnsi"/>
          <w:lang w:eastAsia="en-AU"/>
        </w:rPr>
        <w:t>i</w:t>
      </w:r>
      <w:r w:rsidRPr="0052028F">
        <w:rPr>
          <w:rFonts w:asciiTheme="minorHAnsi" w:hAnsiTheme="minorHAnsi" w:cstheme="minorHAnsi"/>
          <w:lang w:eastAsia="en-AU"/>
        </w:rPr>
        <w:t xml:space="preserve">n the Australian General Practice Training </w:t>
      </w:r>
      <w:r>
        <w:rPr>
          <w:rFonts w:asciiTheme="minorHAnsi" w:hAnsiTheme="minorHAnsi" w:cstheme="minorHAnsi"/>
          <w:lang w:eastAsia="en-AU"/>
        </w:rPr>
        <w:t xml:space="preserve">(AGPT) </w:t>
      </w:r>
      <w:r w:rsidRPr="0052028F">
        <w:rPr>
          <w:rFonts w:asciiTheme="minorHAnsi" w:hAnsiTheme="minorHAnsi" w:cstheme="minorHAnsi"/>
          <w:lang w:eastAsia="en-AU"/>
        </w:rPr>
        <w:t>Program, the Remote Vocational Training Scheme or the Australian College of Rural and Remote Medicine’s Independent Training Pathway)</w:t>
      </w:r>
      <w:r>
        <w:rPr>
          <w:rFonts w:asciiTheme="minorHAnsi" w:hAnsiTheme="minorHAnsi" w:cstheme="minorHAnsi"/>
          <w:lang w:eastAsia="en-AU"/>
        </w:rPr>
        <w:t xml:space="preserve"> and current participants in the OMPs Programs.  Specifically:</w:t>
      </w:r>
    </w:p>
    <w:p w14:paraId="697899E3" w14:textId="19707C4E" w:rsidR="00526C02" w:rsidRDefault="00526C02" w:rsidP="00AA5EBF">
      <w:pPr>
        <w:pStyle w:val="ListParagraph"/>
        <w:numPr>
          <w:ilvl w:val="0"/>
          <w:numId w:val="38"/>
        </w:numPr>
        <w:rPr>
          <w:rFonts w:asciiTheme="minorHAnsi" w:hAnsiTheme="minorHAnsi" w:cstheme="minorHAnsi"/>
          <w:lang w:eastAsia="en-AU"/>
        </w:rPr>
      </w:pPr>
      <w:r>
        <w:rPr>
          <w:rFonts w:asciiTheme="minorHAnsi" w:hAnsiTheme="minorHAnsi" w:cstheme="minorHAnsi"/>
          <w:lang w:eastAsia="en-AU"/>
        </w:rPr>
        <w:t xml:space="preserve">GP trainees currently have the right to claim the full GP MBS items for their training placements.  These claiming rights have been provided because these doctors are engaged in clinical training that meets the standards set by the RACGP and/or the ACRRM and a decision to change the MBS item structure does not impact on the recognition of training.  GP trainees will therefore not be </w:t>
      </w:r>
      <w:r w:rsidR="001E44BC">
        <w:rPr>
          <w:rFonts w:asciiTheme="minorHAnsi" w:hAnsiTheme="minorHAnsi" w:cstheme="minorHAnsi"/>
          <w:lang w:eastAsia="en-AU"/>
        </w:rPr>
        <w:t>subject to a change to their current MBS item claiming rights</w:t>
      </w:r>
      <w:r>
        <w:rPr>
          <w:rFonts w:asciiTheme="minorHAnsi" w:hAnsiTheme="minorHAnsi" w:cstheme="minorHAnsi"/>
          <w:lang w:eastAsia="en-AU"/>
        </w:rPr>
        <w:t xml:space="preserve">. </w:t>
      </w:r>
    </w:p>
    <w:p w14:paraId="52B499F7" w14:textId="77777777" w:rsidR="00526C02" w:rsidRDefault="00526C02" w:rsidP="00AA5EBF">
      <w:pPr>
        <w:pStyle w:val="ListParagraph"/>
        <w:numPr>
          <w:ilvl w:val="0"/>
          <w:numId w:val="38"/>
        </w:numPr>
        <w:rPr>
          <w:rFonts w:asciiTheme="minorHAnsi" w:hAnsiTheme="minorHAnsi" w:cstheme="minorHAnsi"/>
          <w:lang w:eastAsia="en-AU"/>
        </w:rPr>
      </w:pPr>
      <w:r>
        <w:rPr>
          <w:rFonts w:asciiTheme="minorHAnsi" w:hAnsiTheme="minorHAnsi" w:cstheme="minorHAnsi"/>
          <w:lang w:eastAsia="en-AU"/>
        </w:rPr>
        <w:t>non-VR doctors participating in the OMPs Programs have committed to addressing Government-defined workforce priorities on the basis of being able to claim the full GP MBS items.  While there is evidence that some of these workforce distribution priorities have become outdated, there is a need to consider that current OMPs Program participants have made career choices in response to availability of these arrangements and should be given a sufficient time to fully qualify as GPs.</w:t>
      </w:r>
    </w:p>
    <w:p w14:paraId="03A9205E" w14:textId="570569E9" w:rsidR="00595193" w:rsidRDefault="00595193" w:rsidP="0093321F">
      <w:pPr>
        <w:rPr>
          <w:rFonts w:asciiTheme="minorHAnsi" w:hAnsiTheme="minorHAnsi" w:cstheme="minorHAnsi"/>
        </w:rPr>
      </w:pPr>
    </w:p>
    <w:p w14:paraId="742513CA" w14:textId="78F41735" w:rsidR="00595193" w:rsidRDefault="00595193" w:rsidP="001142F0">
      <w:pPr>
        <w:rPr>
          <w:rFonts w:asciiTheme="minorHAnsi" w:hAnsiTheme="minorHAnsi" w:cstheme="minorHAnsi"/>
        </w:rPr>
      </w:pPr>
      <w:r>
        <w:rPr>
          <w:rFonts w:asciiTheme="minorHAnsi" w:hAnsiTheme="minorHAnsi" w:cstheme="minorHAnsi"/>
        </w:rPr>
        <w:t>A restructured general practice MBS item structure that is linked to current geography standards (the MMM) provides the basis for the phased removal of the OMPs Programs.  Once the revised MBS item structure is enshrined in legislation, the Government would move to close the OMPs Programs to doctors entering general practice.</w:t>
      </w:r>
      <w:r w:rsidR="00595351">
        <w:rPr>
          <w:rFonts w:asciiTheme="minorHAnsi" w:hAnsiTheme="minorHAnsi" w:cstheme="minorHAnsi"/>
        </w:rPr>
        <w:t xml:space="preserve">  </w:t>
      </w:r>
      <w:r>
        <w:rPr>
          <w:rFonts w:asciiTheme="minorHAnsi" w:hAnsiTheme="minorHAnsi" w:cstheme="minorHAnsi"/>
        </w:rPr>
        <w:t>Additionally, OMPs Program participants (</w:t>
      </w:r>
      <w:r w:rsidR="00595351">
        <w:rPr>
          <w:rFonts w:asciiTheme="minorHAnsi" w:hAnsiTheme="minorHAnsi" w:cstheme="minorHAnsi"/>
        </w:rPr>
        <w:t>the final participant cohort) w</w:t>
      </w:r>
      <w:r>
        <w:rPr>
          <w:rFonts w:asciiTheme="minorHAnsi" w:hAnsiTheme="minorHAnsi" w:cstheme="minorHAnsi"/>
        </w:rPr>
        <w:t xml:space="preserve">ould be given a period of five years to attain either FRACGP or FACRRM </w:t>
      </w:r>
      <w:r>
        <w:rPr>
          <w:rFonts w:asciiTheme="minorHAnsi" w:hAnsiTheme="minorHAnsi" w:cstheme="minorHAnsi"/>
        </w:rPr>
        <w:lastRenderedPageBreak/>
        <w:t xml:space="preserve">before </w:t>
      </w:r>
      <w:r w:rsidR="00595351">
        <w:rPr>
          <w:rFonts w:asciiTheme="minorHAnsi" w:hAnsiTheme="minorHAnsi" w:cstheme="minorHAnsi"/>
        </w:rPr>
        <w:t>these arrangements are discontinued altogether.  A period of five years is deemed sufficient for the doctors in the final participant cohort to either:</w:t>
      </w:r>
    </w:p>
    <w:p w14:paraId="472B4749" w14:textId="16C0CF70" w:rsidR="00595351" w:rsidRDefault="00595351" w:rsidP="00AA5EBF">
      <w:pPr>
        <w:pStyle w:val="ListParagraph"/>
        <w:numPr>
          <w:ilvl w:val="0"/>
          <w:numId w:val="39"/>
        </w:numPr>
        <w:rPr>
          <w:rFonts w:asciiTheme="minorHAnsi" w:hAnsiTheme="minorHAnsi" w:cstheme="minorHAnsi"/>
        </w:rPr>
      </w:pPr>
      <w:r>
        <w:rPr>
          <w:rFonts w:asciiTheme="minorHAnsi" w:hAnsiTheme="minorHAnsi" w:cstheme="minorHAnsi"/>
        </w:rPr>
        <w:t xml:space="preserve">fulfil any outstanding requirements they have for meeting the VR standard (for most this will mean obtaining either a FRACGP or FACRRM qualification); or </w:t>
      </w:r>
    </w:p>
    <w:p w14:paraId="7DE2C231" w14:textId="187D733E" w:rsidR="00595351" w:rsidRDefault="00595351" w:rsidP="00AA5EBF">
      <w:pPr>
        <w:pStyle w:val="ListParagraph"/>
        <w:numPr>
          <w:ilvl w:val="0"/>
          <w:numId w:val="39"/>
        </w:numPr>
        <w:rPr>
          <w:rFonts w:asciiTheme="minorHAnsi" w:hAnsiTheme="minorHAnsi" w:cstheme="minorHAnsi"/>
        </w:rPr>
      </w:pPr>
      <w:r>
        <w:rPr>
          <w:rFonts w:asciiTheme="minorHAnsi" w:hAnsiTheme="minorHAnsi" w:cstheme="minorHAnsi"/>
        </w:rPr>
        <w:t>progress to a general practice training program, which would provide them with the right to claim the full GP MBS items while training and remove any need they may have to remain in an OMPs Program).</w:t>
      </w:r>
    </w:p>
    <w:p w14:paraId="1FBAD410" w14:textId="5AE2AF2E" w:rsidR="00595351" w:rsidRDefault="00595351" w:rsidP="001142F0">
      <w:pPr>
        <w:rPr>
          <w:rFonts w:asciiTheme="minorHAnsi" w:hAnsiTheme="minorHAnsi" w:cstheme="minorHAnsi"/>
        </w:rPr>
      </w:pPr>
    </w:p>
    <w:p w14:paraId="364FFA0B" w14:textId="4911402A" w:rsidR="007E41D0" w:rsidRPr="003815B1" w:rsidRDefault="00595351" w:rsidP="0093321F">
      <w:pPr>
        <w:rPr>
          <w:rFonts w:asciiTheme="minorHAnsi" w:hAnsiTheme="minorHAnsi" w:cstheme="minorHAnsi"/>
        </w:rPr>
      </w:pPr>
      <w:r>
        <w:rPr>
          <w:rFonts w:asciiTheme="minorHAnsi" w:hAnsiTheme="minorHAnsi" w:cstheme="minorHAnsi"/>
        </w:rPr>
        <w:t xml:space="preserve">The proposal moves away from the use of </w:t>
      </w:r>
      <w:r w:rsidR="007E41D0">
        <w:rPr>
          <w:rFonts w:asciiTheme="minorHAnsi" w:hAnsiTheme="minorHAnsi" w:cstheme="minorHAnsi"/>
        </w:rPr>
        <w:t>administrative arrangements to determine MBS item claiming rights</w:t>
      </w:r>
      <w:r>
        <w:rPr>
          <w:rFonts w:asciiTheme="minorHAnsi" w:hAnsiTheme="minorHAnsi" w:cstheme="minorHAnsi"/>
        </w:rPr>
        <w:t xml:space="preserve">.  The new standard would be </w:t>
      </w:r>
      <w:r w:rsidR="007E41D0">
        <w:rPr>
          <w:rFonts w:asciiTheme="minorHAnsi" w:hAnsiTheme="minorHAnsi" w:cstheme="minorHAnsi"/>
        </w:rPr>
        <w:t>clearly structured general practice</w:t>
      </w:r>
      <w:r>
        <w:rPr>
          <w:rFonts w:asciiTheme="minorHAnsi" w:hAnsiTheme="minorHAnsi" w:cstheme="minorHAnsi"/>
        </w:rPr>
        <w:t xml:space="preserve"> MBS</w:t>
      </w:r>
      <w:r w:rsidR="007E41D0">
        <w:rPr>
          <w:rFonts w:asciiTheme="minorHAnsi" w:hAnsiTheme="minorHAnsi" w:cstheme="minorHAnsi"/>
        </w:rPr>
        <w:t xml:space="preserve"> fees in the GMST</w:t>
      </w:r>
      <w:r>
        <w:rPr>
          <w:rFonts w:asciiTheme="minorHAnsi" w:hAnsiTheme="minorHAnsi" w:cstheme="minorHAnsi"/>
        </w:rPr>
        <w:t xml:space="preserve"> that reinforces </w:t>
      </w:r>
      <w:r w:rsidR="007E41D0">
        <w:rPr>
          <w:rFonts w:asciiTheme="minorHAnsi" w:hAnsiTheme="minorHAnsi" w:cstheme="minorHAnsi"/>
        </w:rPr>
        <w:t>the distinction between qualified GPs and non-VR doctors</w:t>
      </w:r>
      <w:r w:rsidRPr="00703D99">
        <w:rPr>
          <w:rFonts w:asciiTheme="minorHAnsi" w:hAnsiTheme="minorHAnsi" w:cstheme="minorHAnsi"/>
        </w:rPr>
        <w:t xml:space="preserve">.  </w:t>
      </w:r>
      <w:r w:rsidRPr="009B5E64">
        <w:rPr>
          <w:rFonts w:asciiTheme="minorHAnsi" w:hAnsiTheme="minorHAnsi" w:cstheme="minorHAnsi"/>
        </w:rPr>
        <w:t>This new standard</w:t>
      </w:r>
      <w:r w:rsidR="007E41D0" w:rsidRPr="009B5E64">
        <w:rPr>
          <w:rFonts w:asciiTheme="minorHAnsi" w:hAnsiTheme="minorHAnsi" w:cstheme="minorHAnsi"/>
        </w:rPr>
        <w:t xml:space="preserve"> </w:t>
      </w:r>
      <w:r w:rsidR="007E41D0" w:rsidRPr="00F74F12">
        <w:rPr>
          <w:rFonts w:asciiTheme="minorHAnsi" w:hAnsiTheme="minorHAnsi" w:cstheme="minorHAnsi"/>
        </w:rPr>
        <w:t>provide</w:t>
      </w:r>
      <w:r w:rsidRPr="00F74F12">
        <w:rPr>
          <w:rFonts w:asciiTheme="minorHAnsi" w:hAnsiTheme="minorHAnsi" w:cstheme="minorHAnsi"/>
        </w:rPr>
        <w:t>s</w:t>
      </w:r>
      <w:r w:rsidR="007E41D0" w:rsidRPr="00F74F12">
        <w:rPr>
          <w:rFonts w:asciiTheme="minorHAnsi" w:hAnsiTheme="minorHAnsi" w:cstheme="minorHAnsi"/>
        </w:rPr>
        <w:t xml:space="preserve"> the basis for ensuri</w:t>
      </w:r>
      <w:r w:rsidR="007E41D0" w:rsidRPr="003815B1">
        <w:rPr>
          <w:rFonts w:asciiTheme="minorHAnsi" w:hAnsiTheme="minorHAnsi" w:cstheme="minorHAnsi"/>
        </w:rPr>
        <w:t>ng that this distinction is carried forward whenever new general practice MBS items are created.</w:t>
      </w:r>
    </w:p>
    <w:p w14:paraId="2DF62E63" w14:textId="00BF730F" w:rsidR="00595193" w:rsidRDefault="00595193" w:rsidP="0093321F">
      <w:pPr>
        <w:rPr>
          <w:rFonts w:asciiTheme="minorHAnsi" w:hAnsiTheme="minorHAnsi" w:cstheme="minorHAnsi"/>
        </w:rPr>
      </w:pPr>
    </w:p>
    <w:p w14:paraId="55BCC2F7" w14:textId="77777777" w:rsidR="00AF7B16" w:rsidRPr="0052028F" w:rsidRDefault="00AF7B16" w:rsidP="00AF7B16">
      <w:pPr>
        <w:rPr>
          <w:rFonts w:asciiTheme="minorHAnsi" w:hAnsiTheme="minorHAnsi" w:cstheme="minorHAnsi"/>
          <w:b/>
        </w:rPr>
      </w:pPr>
      <w:r w:rsidRPr="0052028F">
        <w:rPr>
          <w:rFonts w:asciiTheme="minorHAnsi" w:hAnsiTheme="minorHAnsi" w:cstheme="minorHAnsi"/>
          <w:b/>
        </w:rPr>
        <w:t>Impacted Parties</w:t>
      </w:r>
    </w:p>
    <w:p w14:paraId="70C0F983" w14:textId="13EE5242" w:rsidR="0093321F" w:rsidRPr="0052028F" w:rsidRDefault="00AF7B16" w:rsidP="00AF7B16">
      <w:pPr>
        <w:rPr>
          <w:rFonts w:asciiTheme="minorHAnsi" w:hAnsiTheme="minorHAnsi" w:cstheme="minorHAnsi"/>
          <w:szCs w:val="20"/>
          <w:lang w:eastAsia="en-AU"/>
        </w:rPr>
      </w:pPr>
      <w:r w:rsidRPr="0052028F">
        <w:rPr>
          <w:rFonts w:asciiTheme="minorHAnsi" w:hAnsiTheme="minorHAnsi" w:cstheme="minorHAnsi"/>
          <w:szCs w:val="20"/>
          <w:lang w:eastAsia="en-AU"/>
        </w:rPr>
        <w:t xml:space="preserve">The proposed fee recalibration will impact non-VR doctors who are delivering </w:t>
      </w:r>
      <w:r w:rsidR="009C1CF6">
        <w:rPr>
          <w:rFonts w:asciiTheme="minorHAnsi" w:hAnsiTheme="minorHAnsi" w:cstheme="minorHAnsi"/>
          <w:szCs w:val="20"/>
          <w:lang w:eastAsia="en-AU"/>
        </w:rPr>
        <w:t>GP</w:t>
      </w:r>
      <w:r w:rsidRPr="0052028F">
        <w:rPr>
          <w:rFonts w:asciiTheme="minorHAnsi" w:hAnsiTheme="minorHAnsi" w:cstheme="minorHAnsi"/>
          <w:szCs w:val="20"/>
          <w:lang w:eastAsia="en-AU"/>
        </w:rPr>
        <w:t xml:space="preserve"> services and some of the more corporate </w:t>
      </w:r>
      <w:r w:rsidR="000A6184">
        <w:rPr>
          <w:rFonts w:asciiTheme="minorHAnsi" w:hAnsiTheme="minorHAnsi" w:cstheme="minorHAnsi"/>
          <w:szCs w:val="20"/>
          <w:lang w:eastAsia="en-AU"/>
        </w:rPr>
        <w:t>general practice</w:t>
      </w:r>
      <w:r w:rsidRPr="0052028F">
        <w:rPr>
          <w:rFonts w:asciiTheme="minorHAnsi" w:hAnsiTheme="minorHAnsi" w:cstheme="minorHAnsi"/>
          <w:szCs w:val="20"/>
          <w:lang w:eastAsia="en-AU"/>
        </w:rPr>
        <w:t xml:space="preserve"> arrangements that apply business models that are reliant on the recruitment of these doctors.  </w:t>
      </w:r>
      <w:r w:rsidR="009C1CF6">
        <w:rPr>
          <w:rFonts w:asciiTheme="minorHAnsi" w:hAnsiTheme="minorHAnsi" w:cstheme="minorHAnsi"/>
          <w:szCs w:val="20"/>
          <w:lang w:eastAsia="en-AU"/>
        </w:rPr>
        <w:t>Non-VR</w:t>
      </w:r>
      <w:r w:rsidRPr="0052028F">
        <w:rPr>
          <w:rFonts w:asciiTheme="minorHAnsi" w:hAnsiTheme="minorHAnsi" w:cstheme="minorHAnsi"/>
          <w:szCs w:val="20"/>
          <w:lang w:eastAsia="en-AU"/>
        </w:rPr>
        <w:t xml:space="preserve"> doctors </w:t>
      </w:r>
      <w:r w:rsidR="008747B9">
        <w:rPr>
          <w:rFonts w:asciiTheme="minorHAnsi" w:hAnsiTheme="minorHAnsi" w:cstheme="minorHAnsi"/>
          <w:szCs w:val="20"/>
          <w:lang w:eastAsia="en-AU"/>
        </w:rPr>
        <w:t xml:space="preserve">entering general practice would no longer be able to use the OMPs Programs as a mechanism to claim the full GP MBS items.  </w:t>
      </w:r>
      <w:r w:rsidR="00627A89">
        <w:rPr>
          <w:rFonts w:asciiTheme="minorHAnsi" w:hAnsiTheme="minorHAnsi" w:cstheme="minorHAnsi"/>
          <w:szCs w:val="20"/>
          <w:lang w:eastAsia="en-AU"/>
        </w:rPr>
        <w:t>Over time, the right to claim the full GP MBS items will be</w:t>
      </w:r>
      <w:r w:rsidR="008747B9">
        <w:rPr>
          <w:rFonts w:asciiTheme="minorHAnsi" w:hAnsiTheme="minorHAnsi" w:cstheme="minorHAnsi"/>
          <w:szCs w:val="20"/>
          <w:lang w:eastAsia="en-AU"/>
        </w:rPr>
        <w:t xml:space="preserve"> limited to doctors who</w:t>
      </w:r>
      <w:r w:rsidRPr="0052028F">
        <w:rPr>
          <w:rFonts w:asciiTheme="minorHAnsi" w:hAnsiTheme="minorHAnsi" w:cstheme="minorHAnsi"/>
          <w:szCs w:val="20"/>
          <w:lang w:eastAsia="en-AU"/>
        </w:rPr>
        <w:t>:</w:t>
      </w:r>
    </w:p>
    <w:p w14:paraId="4F8D35EA" w14:textId="4753AB18" w:rsidR="00AF7B16" w:rsidRDefault="008747B9" w:rsidP="00AA5EBF">
      <w:pPr>
        <w:numPr>
          <w:ilvl w:val="0"/>
          <w:numId w:val="13"/>
        </w:numPr>
        <w:contextualSpacing/>
        <w:rPr>
          <w:rFonts w:asciiTheme="minorHAnsi" w:hAnsiTheme="minorHAnsi" w:cstheme="minorHAnsi"/>
          <w:szCs w:val="20"/>
          <w:lang w:eastAsia="en-AU"/>
        </w:rPr>
      </w:pPr>
      <w:r>
        <w:rPr>
          <w:rFonts w:asciiTheme="minorHAnsi" w:hAnsiTheme="minorHAnsi" w:cstheme="minorHAnsi"/>
          <w:szCs w:val="20"/>
          <w:lang w:eastAsia="en-AU"/>
        </w:rPr>
        <w:t xml:space="preserve">are </w:t>
      </w:r>
      <w:r w:rsidR="00AF7B16" w:rsidRPr="0052028F">
        <w:rPr>
          <w:rFonts w:asciiTheme="minorHAnsi" w:hAnsiTheme="minorHAnsi" w:cstheme="minorHAnsi"/>
          <w:szCs w:val="20"/>
          <w:lang w:eastAsia="en-AU"/>
        </w:rPr>
        <w:t xml:space="preserve">working towards Fellowship qualifications through joining a </w:t>
      </w:r>
      <w:r w:rsidR="000A6184">
        <w:rPr>
          <w:rFonts w:asciiTheme="minorHAnsi" w:hAnsiTheme="minorHAnsi" w:cstheme="minorHAnsi"/>
          <w:szCs w:val="20"/>
          <w:lang w:eastAsia="en-AU"/>
        </w:rPr>
        <w:t>general practice</w:t>
      </w:r>
      <w:r w:rsidR="00AF7B16" w:rsidRPr="0052028F">
        <w:rPr>
          <w:rFonts w:asciiTheme="minorHAnsi" w:hAnsiTheme="minorHAnsi" w:cstheme="minorHAnsi"/>
          <w:szCs w:val="20"/>
          <w:lang w:eastAsia="en-AU"/>
        </w:rPr>
        <w:t xml:space="preserve"> training program recognised by either the </w:t>
      </w:r>
      <w:r>
        <w:rPr>
          <w:rFonts w:asciiTheme="minorHAnsi" w:hAnsiTheme="minorHAnsi" w:cstheme="minorHAnsi"/>
          <w:szCs w:val="20"/>
          <w:lang w:eastAsia="en-AU"/>
        </w:rPr>
        <w:t>RACGP or the ACRRM</w:t>
      </w:r>
      <w:r w:rsidR="00AF7B16" w:rsidRPr="0052028F">
        <w:rPr>
          <w:rFonts w:asciiTheme="minorHAnsi" w:hAnsiTheme="minorHAnsi" w:cstheme="minorHAnsi"/>
          <w:szCs w:val="20"/>
          <w:lang w:eastAsia="en-AU"/>
        </w:rPr>
        <w:t xml:space="preserve">.  The </w:t>
      </w:r>
      <w:r>
        <w:rPr>
          <w:rFonts w:asciiTheme="minorHAnsi" w:hAnsiTheme="minorHAnsi" w:cstheme="minorHAnsi"/>
          <w:szCs w:val="20"/>
          <w:lang w:eastAsia="en-AU"/>
        </w:rPr>
        <w:t>commencement of</w:t>
      </w:r>
      <w:r w:rsidR="00AF7B16" w:rsidRPr="0052028F">
        <w:rPr>
          <w:rFonts w:asciiTheme="minorHAnsi" w:hAnsiTheme="minorHAnsi" w:cstheme="minorHAnsi"/>
          <w:szCs w:val="20"/>
          <w:lang w:eastAsia="en-AU"/>
        </w:rPr>
        <w:t xml:space="preserve"> </w:t>
      </w:r>
      <w:r w:rsidR="008C25EB">
        <w:rPr>
          <w:rFonts w:asciiTheme="minorHAnsi" w:hAnsiTheme="minorHAnsi" w:cstheme="minorHAnsi"/>
          <w:szCs w:val="20"/>
          <w:lang w:eastAsia="en-AU"/>
        </w:rPr>
        <w:t>co</w:t>
      </w:r>
      <w:r w:rsidR="00AF7B16" w:rsidRPr="0052028F">
        <w:rPr>
          <w:rFonts w:asciiTheme="minorHAnsi" w:hAnsiTheme="minorHAnsi" w:cstheme="minorHAnsi"/>
          <w:szCs w:val="20"/>
          <w:lang w:eastAsia="en-AU"/>
        </w:rPr>
        <w:t xml:space="preserve">llege-recognised, structured training allows a </w:t>
      </w:r>
      <w:r w:rsidR="00AF7B16" w:rsidRPr="00717CFC">
        <w:rPr>
          <w:rFonts w:asciiTheme="minorHAnsi" w:hAnsiTheme="minorHAnsi" w:cstheme="minorHAnsi"/>
          <w:szCs w:val="20"/>
          <w:lang w:eastAsia="en-AU"/>
        </w:rPr>
        <w:t xml:space="preserve">doctor to claim the full </w:t>
      </w:r>
      <w:r>
        <w:rPr>
          <w:rFonts w:asciiTheme="minorHAnsi" w:hAnsiTheme="minorHAnsi" w:cstheme="minorHAnsi"/>
          <w:szCs w:val="20"/>
          <w:lang w:eastAsia="en-AU"/>
        </w:rPr>
        <w:t>GP MBS items under the GMST rules for trainees;</w:t>
      </w:r>
      <w:r w:rsidR="00AF7B16" w:rsidRPr="00717CFC">
        <w:rPr>
          <w:rFonts w:asciiTheme="minorHAnsi" w:hAnsiTheme="minorHAnsi" w:cstheme="minorHAnsi"/>
          <w:szCs w:val="20"/>
          <w:lang w:eastAsia="en-AU"/>
        </w:rPr>
        <w:t xml:space="preserve"> or</w:t>
      </w:r>
    </w:p>
    <w:p w14:paraId="775A3463" w14:textId="29A0E1F5" w:rsidR="00AF7B16" w:rsidRDefault="008747B9" w:rsidP="00AA5EBF">
      <w:pPr>
        <w:numPr>
          <w:ilvl w:val="0"/>
          <w:numId w:val="13"/>
        </w:numPr>
        <w:contextualSpacing/>
        <w:rPr>
          <w:rFonts w:asciiTheme="minorHAnsi" w:hAnsiTheme="minorHAnsi" w:cstheme="minorHAnsi"/>
          <w:szCs w:val="20"/>
          <w:lang w:eastAsia="en-AU"/>
        </w:rPr>
      </w:pPr>
      <w:r>
        <w:rPr>
          <w:rFonts w:asciiTheme="minorHAnsi" w:hAnsiTheme="minorHAnsi" w:cstheme="minorHAnsi"/>
          <w:szCs w:val="20"/>
          <w:lang w:eastAsia="en-AU"/>
        </w:rPr>
        <w:t xml:space="preserve">have </w:t>
      </w:r>
      <w:r w:rsidR="00AF7B16" w:rsidRPr="00717CFC">
        <w:rPr>
          <w:rFonts w:asciiTheme="minorHAnsi" w:hAnsiTheme="minorHAnsi" w:cstheme="minorHAnsi"/>
          <w:szCs w:val="20"/>
          <w:lang w:eastAsia="en-AU"/>
        </w:rPr>
        <w:t>attain</w:t>
      </w:r>
      <w:r>
        <w:rPr>
          <w:rFonts w:asciiTheme="minorHAnsi" w:hAnsiTheme="minorHAnsi" w:cstheme="minorHAnsi"/>
          <w:szCs w:val="20"/>
          <w:lang w:eastAsia="en-AU"/>
        </w:rPr>
        <w:t>ed</w:t>
      </w:r>
      <w:r w:rsidR="00AF7B16" w:rsidRPr="00717CFC">
        <w:rPr>
          <w:rFonts w:asciiTheme="minorHAnsi" w:hAnsiTheme="minorHAnsi" w:cstheme="minorHAnsi"/>
          <w:szCs w:val="20"/>
          <w:lang w:eastAsia="en-AU"/>
        </w:rPr>
        <w:t xml:space="preserve"> </w:t>
      </w:r>
      <w:r>
        <w:rPr>
          <w:rFonts w:asciiTheme="minorHAnsi" w:hAnsiTheme="minorHAnsi" w:cstheme="minorHAnsi"/>
          <w:szCs w:val="20"/>
          <w:lang w:eastAsia="en-AU"/>
        </w:rPr>
        <w:t>either FRACGP or FACRRM.</w:t>
      </w:r>
    </w:p>
    <w:p w14:paraId="1C094F58" w14:textId="77777777" w:rsidR="00C62167" w:rsidRPr="00717CFC" w:rsidRDefault="00C62167" w:rsidP="00C62167">
      <w:pPr>
        <w:ind w:left="720"/>
        <w:contextualSpacing/>
        <w:rPr>
          <w:rFonts w:asciiTheme="minorHAnsi" w:hAnsiTheme="minorHAnsi" w:cstheme="minorHAnsi"/>
          <w:szCs w:val="20"/>
          <w:lang w:eastAsia="en-AU"/>
        </w:rPr>
      </w:pPr>
    </w:p>
    <w:p w14:paraId="2D4256CA" w14:textId="38D65E3B" w:rsidR="00AF7B16" w:rsidRDefault="009C1CF6" w:rsidP="00811607">
      <w:pPr>
        <w:rPr>
          <w:rFonts w:asciiTheme="minorHAnsi" w:hAnsiTheme="minorHAnsi" w:cstheme="minorHAnsi"/>
          <w:szCs w:val="20"/>
          <w:lang w:eastAsia="en-AU"/>
        </w:rPr>
      </w:pPr>
      <w:r>
        <w:rPr>
          <w:rFonts w:asciiTheme="minorHAnsi" w:hAnsiTheme="minorHAnsi" w:cstheme="minorHAnsi"/>
          <w:szCs w:val="20"/>
          <w:lang w:eastAsia="en-AU"/>
        </w:rPr>
        <w:t>Non-VR</w:t>
      </w:r>
      <w:r w:rsidR="00AF7B16" w:rsidRPr="00717CFC">
        <w:rPr>
          <w:rFonts w:asciiTheme="minorHAnsi" w:hAnsiTheme="minorHAnsi" w:cstheme="minorHAnsi"/>
          <w:szCs w:val="20"/>
          <w:lang w:eastAsia="en-AU"/>
        </w:rPr>
        <w:t xml:space="preserve"> doctors will have access to MBS items that are indexed for inflation.  Indexation ensures that successive cohorts of doctors will receive the same treatment under the MBS during the non-VR stage of their career by being able to claim against MBS items </w:t>
      </w:r>
      <w:r w:rsidR="00AF7B16" w:rsidRPr="0052028F">
        <w:rPr>
          <w:rFonts w:asciiTheme="minorHAnsi" w:hAnsiTheme="minorHAnsi" w:cstheme="minorHAnsi"/>
          <w:szCs w:val="20"/>
          <w:lang w:eastAsia="en-AU"/>
        </w:rPr>
        <w:t xml:space="preserve">that retain their </w:t>
      </w:r>
      <w:r w:rsidR="001E44BC">
        <w:rPr>
          <w:rFonts w:asciiTheme="minorHAnsi" w:hAnsiTheme="minorHAnsi" w:cstheme="minorHAnsi"/>
          <w:szCs w:val="20"/>
          <w:lang w:eastAsia="en-AU"/>
        </w:rPr>
        <w:t xml:space="preserve">financial value relative to the full GP MBS items </w:t>
      </w:r>
      <w:r w:rsidR="00AF7B16" w:rsidRPr="0052028F">
        <w:rPr>
          <w:rFonts w:asciiTheme="minorHAnsi" w:hAnsiTheme="minorHAnsi" w:cstheme="minorHAnsi"/>
          <w:szCs w:val="20"/>
          <w:lang w:eastAsia="en-AU"/>
        </w:rPr>
        <w:t xml:space="preserve">over time. </w:t>
      </w:r>
    </w:p>
    <w:p w14:paraId="149102A9" w14:textId="1E92F223" w:rsidR="00C62167" w:rsidRDefault="00C62167" w:rsidP="00811607">
      <w:pPr>
        <w:rPr>
          <w:rFonts w:asciiTheme="minorHAnsi" w:hAnsiTheme="minorHAnsi" w:cstheme="minorHAnsi"/>
          <w:szCs w:val="20"/>
          <w:lang w:eastAsia="en-AU"/>
        </w:rPr>
      </w:pPr>
    </w:p>
    <w:p w14:paraId="0BD651ED" w14:textId="59C015CA" w:rsidR="00AF7B16" w:rsidRPr="0052028F" w:rsidRDefault="00AF7B16" w:rsidP="00811607">
      <w:pPr>
        <w:rPr>
          <w:rFonts w:asciiTheme="minorHAnsi" w:eastAsiaTheme="minorHAnsi" w:hAnsiTheme="minorHAnsi" w:cstheme="minorHAnsi"/>
          <w:b/>
          <w:color w:val="000000" w:themeColor="text1"/>
        </w:rPr>
      </w:pPr>
      <w:r w:rsidRPr="0052028F">
        <w:rPr>
          <w:rFonts w:asciiTheme="minorHAnsi" w:hAnsiTheme="minorHAnsi" w:cstheme="minorHAnsi"/>
          <w:szCs w:val="20"/>
          <w:lang w:eastAsia="en-AU"/>
        </w:rPr>
        <w:t>Importantly, the</w:t>
      </w:r>
      <w:r w:rsidR="00C62167">
        <w:rPr>
          <w:rFonts w:asciiTheme="minorHAnsi" w:hAnsiTheme="minorHAnsi" w:cstheme="minorHAnsi"/>
          <w:szCs w:val="20"/>
          <w:lang w:eastAsia="en-AU"/>
        </w:rPr>
        <w:t xml:space="preserve"> proposed fee recalibration would</w:t>
      </w:r>
      <w:r w:rsidRPr="0052028F">
        <w:rPr>
          <w:rFonts w:asciiTheme="minorHAnsi" w:hAnsiTheme="minorHAnsi" w:cstheme="minorHAnsi"/>
          <w:szCs w:val="20"/>
          <w:lang w:eastAsia="en-AU"/>
        </w:rPr>
        <w:t xml:space="preserve"> not change the current arrangements for qualified GPs, </w:t>
      </w:r>
      <w:r w:rsidR="00D44538" w:rsidRPr="0052028F">
        <w:rPr>
          <w:rFonts w:asciiTheme="minorHAnsi" w:hAnsiTheme="minorHAnsi" w:cstheme="minorHAnsi"/>
          <w:szCs w:val="20"/>
          <w:lang w:eastAsia="en-AU"/>
        </w:rPr>
        <w:t xml:space="preserve">GP </w:t>
      </w:r>
      <w:r w:rsidR="00D44538">
        <w:rPr>
          <w:rFonts w:asciiTheme="minorHAnsi" w:hAnsiTheme="minorHAnsi" w:cstheme="minorHAnsi"/>
          <w:szCs w:val="20"/>
          <w:lang w:eastAsia="en-AU"/>
        </w:rPr>
        <w:t>trainee</w:t>
      </w:r>
      <w:r w:rsidR="00D44538" w:rsidRPr="0052028F">
        <w:rPr>
          <w:rFonts w:asciiTheme="minorHAnsi" w:hAnsiTheme="minorHAnsi" w:cstheme="minorHAnsi"/>
          <w:szCs w:val="20"/>
          <w:lang w:eastAsia="en-AU"/>
        </w:rPr>
        <w:t>s</w:t>
      </w:r>
      <w:r w:rsidR="00D44538">
        <w:rPr>
          <w:rFonts w:asciiTheme="minorHAnsi" w:hAnsiTheme="minorHAnsi" w:cstheme="minorHAnsi"/>
          <w:szCs w:val="20"/>
          <w:lang w:eastAsia="en-AU"/>
        </w:rPr>
        <w:t xml:space="preserve">, or </w:t>
      </w:r>
      <w:r w:rsidR="008747B9">
        <w:rPr>
          <w:rFonts w:asciiTheme="minorHAnsi" w:hAnsiTheme="minorHAnsi" w:cstheme="minorHAnsi"/>
          <w:szCs w:val="20"/>
          <w:lang w:eastAsia="en-AU"/>
        </w:rPr>
        <w:t>the subset of doctors who were included on the V</w:t>
      </w:r>
      <w:r w:rsidR="00D44538">
        <w:rPr>
          <w:rFonts w:asciiTheme="minorHAnsi" w:hAnsiTheme="minorHAnsi" w:cstheme="minorHAnsi"/>
          <w:szCs w:val="20"/>
          <w:lang w:eastAsia="en-AU"/>
        </w:rPr>
        <w:t>ocational Register for General P</w:t>
      </w:r>
      <w:r w:rsidR="008747B9">
        <w:rPr>
          <w:rFonts w:asciiTheme="minorHAnsi" w:hAnsiTheme="minorHAnsi" w:cstheme="minorHAnsi"/>
          <w:szCs w:val="20"/>
          <w:lang w:eastAsia="en-AU"/>
        </w:rPr>
        <w:t xml:space="preserve">ractice before it closed in 1996 and who are not considered by the </w:t>
      </w:r>
      <w:r w:rsidR="00D44538">
        <w:rPr>
          <w:rFonts w:asciiTheme="minorHAnsi" w:hAnsiTheme="minorHAnsi" w:cstheme="minorHAnsi"/>
          <w:szCs w:val="20"/>
          <w:lang w:eastAsia="en-AU"/>
        </w:rPr>
        <w:t>Strategy.</w:t>
      </w:r>
      <w:r w:rsidRPr="0052028F">
        <w:rPr>
          <w:rFonts w:asciiTheme="minorHAnsi" w:hAnsiTheme="minorHAnsi" w:cstheme="minorHAnsi"/>
          <w:szCs w:val="20"/>
          <w:lang w:eastAsia="en-AU"/>
        </w:rPr>
        <w:t xml:space="preserve"> </w:t>
      </w:r>
    </w:p>
    <w:p w14:paraId="3C8982F7" w14:textId="14BF865F" w:rsidR="009A21F0" w:rsidRPr="006F3273" w:rsidRDefault="009A21F0" w:rsidP="006F3273">
      <w:pPr>
        <w:rPr>
          <w:rFonts w:asciiTheme="minorHAnsi" w:hAnsiTheme="minorHAnsi" w:cstheme="minorHAnsi"/>
        </w:rPr>
      </w:pPr>
    </w:p>
    <w:p w14:paraId="1A3C320C" w14:textId="77777777" w:rsidR="00AF7B16" w:rsidRPr="0052028F" w:rsidRDefault="00AF7B16" w:rsidP="00797388">
      <w:pPr>
        <w:keepNext/>
        <w:rPr>
          <w:rFonts w:asciiTheme="minorHAnsi" w:hAnsiTheme="minorHAnsi" w:cstheme="minorHAnsi"/>
          <w:b/>
        </w:rPr>
      </w:pPr>
      <w:r w:rsidRPr="0052028F">
        <w:rPr>
          <w:rFonts w:asciiTheme="minorHAnsi" w:hAnsiTheme="minorHAnsi" w:cstheme="minorHAnsi"/>
          <w:b/>
        </w:rPr>
        <w:t>Impact Analysis</w:t>
      </w:r>
    </w:p>
    <w:p w14:paraId="260BFA68" w14:textId="257E5D39" w:rsidR="00040067" w:rsidRDefault="00040067" w:rsidP="00797388">
      <w:pPr>
        <w:keepNext/>
        <w:rPr>
          <w:rFonts w:asciiTheme="minorHAnsi" w:hAnsiTheme="minorHAnsi" w:cstheme="minorHAnsi"/>
        </w:rPr>
      </w:pPr>
      <w:r>
        <w:rPr>
          <w:rFonts w:asciiTheme="minorHAnsi" w:hAnsiTheme="minorHAnsi" w:cstheme="minorHAnsi"/>
        </w:rPr>
        <w:t xml:space="preserve">The impact of this option is largely limited to non-VR doctors who practise in general practice settings.  The option addresses </w:t>
      </w:r>
      <w:r w:rsidR="00DF070C">
        <w:rPr>
          <w:rFonts w:asciiTheme="minorHAnsi" w:hAnsiTheme="minorHAnsi" w:cstheme="minorHAnsi"/>
        </w:rPr>
        <w:t xml:space="preserve">the </w:t>
      </w:r>
      <w:r>
        <w:rPr>
          <w:rFonts w:asciiTheme="minorHAnsi" w:hAnsiTheme="minorHAnsi" w:cstheme="minorHAnsi"/>
        </w:rPr>
        <w:t>maldistribution</w:t>
      </w:r>
      <w:r w:rsidR="00DF070C">
        <w:rPr>
          <w:rFonts w:asciiTheme="minorHAnsi" w:hAnsiTheme="minorHAnsi" w:cstheme="minorHAnsi"/>
        </w:rPr>
        <w:t xml:space="preserve"> of registered doctors as a key segment of the health workforce in rural and remote areas and attempts to create conditions for the Government to achieve its aspiration that all doctors who are subject to the operation of section 19AA of the HIA will obtain a postgraduate medical qualification.</w:t>
      </w:r>
    </w:p>
    <w:p w14:paraId="280981C5" w14:textId="1D3FB3FA" w:rsidR="00040067" w:rsidRDefault="00040067" w:rsidP="00811607">
      <w:pPr>
        <w:rPr>
          <w:rFonts w:asciiTheme="minorHAnsi" w:hAnsiTheme="minorHAnsi" w:cstheme="minorHAnsi"/>
        </w:rPr>
      </w:pPr>
    </w:p>
    <w:p w14:paraId="1258BE72" w14:textId="740B5D88" w:rsidR="00AF7B16" w:rsidRPr="0052028F" w:rsidRDefault="00DF070C" w:rsidP="00811607">
      <w:pPr>
        <w:rPr>
          <w:rFonts w:asciiTheme="minorHAnsi" w:eastAsiaTheme="minorHAnsi" w:hAnsiTheme="minorHAnsi" w:cstheme="minorHAnsi"/>
          <w:b/>
          <w:color w:val="000000" w:themeColor="text1"/>
        </w:rPr>
      </w:pPr>
      <w:r>
        <w:rPr>
          <w:rFonts w:asciiTheme="minorHAnsi" w:hAnsiTheme="minorHAnsi" w:cstheme="minorHAnsi"/>
        </w:rPr>
        <w:t>The Benefits of adopting this option would</w:t>
      </w:r>
      <w:r w:rsidR="00AF7B16" w:rsidRPr="00D32519">
        <w:rPr>
          <w:rFonts w:asciiTheme="minorHAnsi" w:hAnsiTheme="minorHAnsi" w:cstheme="minorHAnsi"/>
          <w:lang w:eastAsia="en-AU"/>
        </w:rPr>
        <w:t xml:space="preserve"> </w:t>
      </w:r>
      <w:r>
        <w:rPr>
          <w:rFonts w:asciiTheme="minorHAnsi" w:hAnsiTheme="minorHAnsi" w:cstheme="minorHAnsi"/>
          <w:lang w:eastAsia="en-AU"/>
        </w:rPr>
        <w:t xml:space="preserve">be </w:t>
      </w:r>
      <w:r w:rsidR="00AF7B16" w:rsidRPr="0052028F">
        <w:rPr>
          <w:rFonts w:asciiTheme="minorHAnsi" w:hAnsiTheme="minorHAnsi" w:cstheme="minorHAnsi"/>
          <w:lang w:eastAsia="en-AU"/>
        </w:rPr>
        <w:t xml:space="preserve">that: </w:t>
      </w:r>
    </w:p>
    <w:p w14:paraId="0D22A3D5" w14:textId="52ABB4FD" w:rsidR="00AF7B16" w:rsidRPr="00317A6D" w:rsidRDefault="00DF070C" w:rsidP="00AA5EBF">
      <w:pPr>
        <w:numPr>
          <w:ilvl w:val="0"/>
          <w:numId w:val="14"/>
        </w:numPr>
        <w:contextualSpacing/>
        <w:rPr>
          <w:rFonts w:asciiTheme="minorHAnsi" w:hAnsiTheme="minorHAnsi" w:cstheme="minorHAnsi"/>
          <w:lang w:eastAsia="en-AU"/>
        </w:rPr>
      </w:pPr>
      <w:r w:rsidRPr="001142F0">
        <w:rPr>
          <w:rFonts w:asciiTheme="minorHAnsi" w:hAnsiTheme="minorHAnsi" w:cstheme="minorHAnsi"/>
          <w:lang w:eastAsia="en-AU"/>
        </w:rPr>
        <w:t>n</w:t>
      </w:r>
      <w:r w:rsidR="00AF7B16" w:rsidRPr="001142F0">
        <w:rPr>
          <w:rFonts w:asciiTheme="minorHAnsi" w:hAnsiTheme="minorHAnsi" w:cstheme="minorHAnsi"/>
          <w:lang w:eastAsia="en-AU"/>
        </w:rPr>
        <w:t xml:space="preserve">on-VR </w:t>
      </w:r>
      <w:r w:rsidRPr="00317A6D">
        <w:rPr>
          <w:rFonts w:asciiTheme="minorHAnsi" w:hAnsiTheme="minorHAnsi" w:cstheme="minorHAnsi"/>
          <w:lang w:eastAsia="en-AU"/>
        </w:rPr>
        <w:t>doctor</w:t>
      </w:r>
      <w:r w:rsidR="00AF7B16" w:rsidRPr="00317A6D">
        <w:rPr>
          <w:rFonts w:asciiTheme="minorHAnsi" w:hAnsiTheme="minorHAnsi" w:cstheme="minorHAnsi"/>
          <w:lang w:eastAsia="en-AU"/>
        </w:rPr>
        <w:t xml:space="preserve"> eligibility to bill </w:t>
      </w:r>
      <w:r w:rsidR="002174C8" w:rsidRPr="00317A6D">
        <w:rPr>
          <w:rFonts w:asciiTheme="minorHAnsi" w:hAnsiTheme="minorHAnsi" w:cstheme="minorHAnsi"/>
          <w:lang w:eastAsia="en-AU"/>
        </w:rPr>
        <w:t xml:space="preserve">against </w:t>
      </w:r>
      <w:r w:rsidR="00AF7B16" w:rsidRPr="00317A6D">
        <w:rPr>
          <w:rFonts w:asciiTheme="minorHAnsi" w:hAnsiTheme="minorHAnsi" w:cstheme="minorHAnsi"/>
          <w:lang w:eastAsia="en-AU"/>
        </w:rPr>
        <w:t xml:space="preserve">the new MBS items will depend on </w:t>
      </w:r>
      <w:r w:rsidRPr="00317A6D">
        <w:rPr>
          <w:rFonts w:asciiTheme="minorHAnsi" w:hAnsiTheme="minorHAnsi" w:cstheme="minorHAnsi"/>
          <w:lang w:eastAsia="en-AU"/>
        </w:rPr>
        <w:t xml:space="preserve">the remoteness classification of the employing practice, which more directly links MBS payments to a </w:t>
      </w:r>
      <w:r w:rsidRPr="00317A6D">
        <w:rPr>
          <w:rFonts w:asciiTheme="minorHAnsi" w:hAnsiTheme="minorHAnsi" w:cstheme="minorHAnsi"/>
          <w:lang w:eastAsia="en-AU"/>
        </w:rPr>
        <w:lastRenderedPageBreak/>
        <w:t>workforce distribution structure</w:t>
      </w:r>
      <w:r w:rsidR="00AF7B16" w:rsidRPr="00317A6D">
        <w:rPr>
          <w:rFonts w:asciiTheme="minorHAnsi" w:hAnsiTheme="minorHAnsi" w:cstheme="minorHAnsi"/>
          <w:lang w:eastAsia="en-AU"/>
        </w:rPr>
        <w:t xml:space="preserve">. Non-VR </w:t>
      </w:r>
      <w:r w:rsidRPr="00317A6D">
        <w:rPr>
          <w:rFonts w:asciiTheme="minorHAnsi" w:hAnsiTheme="minorHAnsi" w:cstheme="minorHAnsi"/>
          <w:lang w:eastAsia="en-AU"/>
        </w:rPr>
        <w:t>doctor</w:t>
      </w:r>
      <w:r w:rsidR="00AF7B16" w:rsidRPr="00317A6D">
        <w:rPr>
          <w:rFonts w:asciiTheme="minorHAnsi" w:hAnsiTheme="minorHAnsi" w:cstheme="minorHAnsi"/>
          <w:lang w:eastAsia="en-AU"/>
        </w:rPr>
        <w:t>s practising in metropolitan areas (MM 1) will not be able to use all of the new items.  They will:</w:t>
      </w:r>
    </w:p>
    <w:p w14:paraId="04F3E48B" w14:textId="7D6C0BFD" w:rsidR="00AF7B16" w:rsidRPr="0052028F" w:rsidRDefault="00DF070C" w:rsidP="00AA5EBF">
      <w:pPr>
        <w:numPr>
          <w:ilvl w:val="1"/>
          <w:numId w:val="14"/>
        </w:numPr>
        <w:contextualSpacing/>
        <w:rPr>
          <w:rFonts w:asciiTheme="minorHAnsi" w:hAnsiTheme="minorHAnsi" w:cstheme="minorHAnsi"/>
          <w:lang w:eastAsia="en-AU"/>
        </w:rPr>
      </w:pPr>
      <w:r>
        <w:rPr>
          <w:rFonts w:asciiTheme="minorHAnsi" w:hAnsiTheme="minorHAnsi" w:cstheme="minorHAnsi"/>
          <w:lang w:eastAsia="en-AU"/>
        </w:rPr>
        <w:t>c</w:t>
      </w:r>
      <w:r w:rsidR="00AF7B16" w:rsidRPr="0052028F">
        <w:rPr>
          <w:rFonts w:asciiTheme="minorHAnsi" w:hAnsiTheme="minorHAnsi" w:cstheme="minorHAnsi"/>
          <w:lang w:eastAsia="en-AU"/>
        </w:rPr>
        <w:t xml:space="preserve">ontinue to </w:t>
      </w:r>
      <w:r w:rsidR="001E44BC">
        <w:rPr>
          <w:rFonts w:asciiTheme="minorHAnsi" w:hAnsiTheme="minorHAnsi" w:cstheme="minorHAnsi"/>
          <w:lang w:eastAsia="en-AU"/>
        </w:rPr>
        <w:t xml:space="preserve">claim MBS </w:t>
      </w:r>
      <w:r w:rsidR="00AF7B16" w:rsidRPr="0052028F">
        <w:rPr>
          <w:rFonts w:asciiTheme="minorHAnsi" w:hAnsiTheme="minorHAnsi" w:cstheme="minorHAnsi"/>
          <w:lang w:eastAsia="en-AU"/>
        </w:rPr>
        <w:t>items</w:t>
      </w:r>
      <w:r w:rsidR="001E44BC">
        <w:rPr>
          <w:rFonts w:asciiTheme="minorHAnsi" w:hAnsiTheme="minorHAnsi" w:cstheme="minorHAnsi"/>
          <w:lang w:eastAsia="en-AU"/>
        </w:rPr>
        <w:t xml:space="preserve"> from the A2 Group</w:t>
      </w:r>
      <w:r w:rsidR="00AF7B16" w:rsidRPr="0052028F">
        <w:rPr>
          <w:rFonts w:asciiTheme="minorHAnsi" w:hAnsiTheme="minorHAnsi" w:cstheme="minorHAnsi"/>
          <w:lang w:eastAsia="en-AU"/>
        </w:rPr>
        <w:t xml:space="preserve"> for standard </w:t>
      </w:r>
      <w:r w:rsidR="000A6184">
        <w:rPr>
          <w:rFonts w:asciiTheme="minorHAnsi" w:hAnsiTheme="minorHAnsi" w:cstheme="minorHAnsi"/>
          <w:lang w:eastAsia="en-AU"/>
        </w:rPr>
        <w:t>general practice</w:t>
      </w:r>
      <w:r w:rsidR="00AF7B16" w:rsidRPr="0052028F">
        <w:rPr>
          <w:rFonts w:asciiTheme="minorHAnsi" w:hAnsiTheme="minorHAnsi" w:cstheme="minorHAnsi"/>
          <w:lang w:eastAsia="en-AU"/>
        </w:rPr>
        <w:t xml:space="preserve"> services (</w:t>
      </w:r>
      <w:r w:rsidR="008C25EB">
        <w:rPr>
          <w:rFonts w:asciiTheme="minorHAnsi" w:hAnsiTheme="minorHAnsi" w:cstheme="minorHAnsi"/>
          <w:lang w:eastAsia="en-AU"/>
        </w:rPr>
        <w:t>these are currently worth approximately</w:t>
      </w:r>
      <w:r w:rsidR="00AF7B16" w:rsidRPr="0052028F">
        <w:rPr>
          <w:rFonts w:asciiTheme="minorHAnsi" w:hAnsiTheme="minorHAnsi" w:cstheme="minorHAnsi"/>
          <w:lang w:eastAsia="en-AU"/>
        </w:rPr>
        <w:t xml:space="preserve"> 60</w:t>
      </w:r>
      <w:r w:rsidR="008C25EB">
        <w:rPr>
          <w:rFonts w:asciiTheme="minorHAnsi" w:hAnsiTheme="minorHAnsi" w:cstheme="minorHAnsi"/>
          <w:lang w:eastAsia="en-AU"/>
        </w:rPr>
        <w:t xml:space="preserve"> per cent</w:t>
      </w:r>
      <w:r w:rsidR="00AF7B16" w:rsidRPr="0052028F">
        <w:rPr>
          <w:rFonts w:asciiTheme="minorHAnsi" w:hAnsiTheme="minorHAnsi" w:cstheme="minorHAnsi"/>
          <w:lang w:eastAsia="en-AU"/>
        </w:rPr>
        <w:t xml:space="preserve"> of the</w:t>
      </w:r>
      <w:r w:rsidR="008C25EB">
        <w:rPr>
          <w:rFonts w:asciiTheme="minorHAnsi" w:hAnsiTheme="minorHAnsi" w:cstheme="minorHAnsi"/>
          <w:lang w:eastAsia="en-AU"/>
        </w:rPr>
        <w:t xml:space="preserve"> full GP MBS items</w:t>
      </w:r>
      <w:r w:rsidR="00AF7B16" w:rsidRPr="0052028F">
        <w:rPr>
          <w:rFonts w:asciiTheme="minorHAnsi" w:hAnsiTheme="minorHAnsi" w:cstheme="minorHAnsi"/>
          <w:lang w:eastAsia="en-AU"/>
        </w:rPr>
        <w:t>);</w:t>
      </w:r>
    </w:p>
    <w:p w14:paraId="1B936AE3" w14:textId="2832A104" w:rsidR="00AF7B16" w:rsidRPr="0052028F" w:rsidRDefault="00DF070C" w:rsidP="00AA5EBF">
      <w:pPr>
        <w:numPr>
          <w:ilvl w:val="1"/>
          <w:numId w:val="14"/>
        </w:numPr>
        <w:contextualSpacing/>
        <w:rPr>
          <w:rFonts w:asciiTheme="minorHAnsi" w:hAnsiTheme="minorHAnsi" w:cstheme="minorHAnsi"/>
          <w:lang w:eastAsia="en-AU"/>
        </w:rPr>
      </w:pPr>
      <w:r>
        <w:rPr>
          <w:rFonts w:asciiTheme="minorHAnsi" w:hAnsiTheme="minorHAnsi" w:cstheme="minorHAnsi"/>
          <w:lang w:eastAsia="en-AU"/>
        </w:rPr>
        <w:t>c</w:t>
      </w:r>
      <w:r w:rsidR="00AF7B16" w:rsidRPr="0052028F">
        <w:rPr>
          <w:rFonts w:asciiTheme="minorHAnsi" w:hAnsiTheme="minorHAnsi" w:cstheme="minorHAnsi"/>
          <w:lang w:eastAsia="en-AU"/>
        </w:rPr>
        <w:t>ontinue to</w:t>
      </w:r>
      <w:r w:rsidR="001E44BC">
        <w:rPr>
          <w:rFonts w:asciiTheme="minorHAnsi" w:hAnsiTheme="minorHAnsi" w:cstheme="minorHAnsi"/>
          <w:lang w:eastAsia="en-AU"/>
        </w:rPr>
        <w:t xml:space="preserve"> claim MBS items from the</w:t>
      </w:r>
      <w:r w:rsidR="00AF7B16" w:rsidRPr="0052028F">
        <w:rPr>
          <w:rFonts w:asciiTheme="minorHAnsi" w:hAnsiTheme="minorHAnsi" w:cstheme="minorHAnsi"/>
          <w:lang w:eastAsia="en-AU"/>
        </w:rPr>
        <w:t xml:space="preserve"> A19 </w:t>
      </w:r>
      <w:r w:rsidR="001E44BC">
        <w:rPr>
          <w:rFonts w:asciiTheme="minorHAnsi" w:hAnsiTheme="minorHAnsi" w:cstheme="minorHAnsi"/>
          <w:lang w:eastAsia="en-AU"/>
        </w:rPr>
        <w:t>Group</w:t>
      </w:r>
      <w:r w:rsidR="00AF7B16" w:rsidRPr="0052028F">
        <w:rPr>
          <w:rFonts w:asciiTheme="minorHAnsi" w:hAnsiTheme="minorHAnsi" w:cstheme="minorHAnsi"/>
          <w:lang w:eastAsia="en-AU"/>
        </w:rPr>
        <w:t xml:space="preserve"> for attendances associated with Practice Incentive Payments (</w:t>
      </w:r>
      <w:r w:rsidR="008C25EB">
        <w:rPr>
          <w:rFonts w:asciiTheme="minorHAnsi" w:hAnsiTheme="minorHAnsi" w:cstheme="minorHAnsi"/>
          <w:lang w:eastAsia="en-AU"/>
        </w:rPr>
        <w:t>these are substantially less than corresponding incentive payments for services performed by qualified GPs</w:t>
      </w:r>
      <w:r w:rsidR="00AF7B16" w:rsidRPr="0052028F">
        <w:rPr>
          <w:rFonts w:asciiTheme="minorHAnsi" w:hAnsiTheme="minorHAnsi" w:cstheme="minorHAnsi"/>
          <w:lang w:eastAsia="en-AU"/>
        </w:rPr>
        <w:t xml:space="preserve">); and </w:t>
      </w:r>
    </w:p>
    <w:p w14:paraId="01783766" w14:textId="6C8ADF1A" w:rsidR="00AF7B16" w:rsidRPr="0052028F" w:rsidRDefault="001E44BC" w:rsidP="00AA5EBF">
      <w:pPr>
        <w:numPr>
          <w:ilvl w:val="1"/>
          <w:numId w:val="14"/>
        </w:numPr>
        <w:contextualSpacing/>
        <w:rPr>
          <w:rFonts w:asciiTheme="minorHAnsi" w:hAnsiTheme="minorHAnsi" w:cstheme="minorHAnsi"/>
          <w:lang w:eastAsia="en-AU"/>
        </w:rPr>
      </w:pPr>
      <w:r>
        <w:rPr>
          <w:rFonts w:asciiTheme="minorHAnsi" w:hAnsiTheme="minorHAnsi" w:cstheme="minorHAnsi"/>
          <w:lang w:eastAsia="en-AU"/>
        </w:rPr>
        <w:t>claim items from</w:t>
      </w:r>
      <w:r w:rsidR="00AF7B16" w:rsidRPr="0052028F">
        <w:rPr>
          <w:rFonts w:asciiTheme="minorHAnsi" w:hAnsiTheme="minorHAnsi" w:cstheme="minorHAnsi"/>
          <w:lang w:eastAsia="en-AU"/>
        </w:rPr>
        <w:t xml:space="preserve"> the relevant </w:t>
      </w:r>
      <w:r>
        <w:rPr>
          <w:rFonts w:asciiTheme="minorHAnsi" w:hAnsiTheme="minorHAnsi" w:cstheme="minorHAnsi"/>
          <w:lang w:eastAsia="en-AU"/>
        </w:rPr>
        <w:t xml:space="preserve">new A7 subgroups </w:t>
      </w:r>
      <w:r w:rsidR="00AF7B16" w:rsidRPr="0052028F">
        <w:rPr>
          <w:rFonts w:asciiTheme="minorHAnsi" w:hAnsiTheme="minorHAnsi" w:cstheme="minorHAnsi"/>
          <w:lang w:eastAsia="en-AU"/>
        </w:rPr>
        <w:t xml:space="preserve"> (at 8</w:t>
      </w:r>
      <w:r w:rsidR="008C25EB">
        <w:rPr>
          <w:rFonts w:asciiTheme="minorHAnsi" w:hAnsiTheme="minorHAnsi" w:cstheme="minorHAnsi"/>
          <w:lang w:eastAsia="en-AU"/>
        </w:rPr>
        <w:t>0 per cent</w:t>
      </w:r>
      <w:r w:rsidR="00AF7B16" w:rsidRPr="0052028F">
        <w:rPr>
          <w:rFonts w:asciiTheme="minorHAnsi" w:hAnsiTheme="minorHAnsi" w:cstheme="minorHAnsi"/>
          <w:lang w:eastAsia="en-AU"/>
        </w:rPr>
        <w:t xml:space="preserve"> of the VR rate)</w:t>
      </w:r>
      <w:r w:rsidR="00DF070C">
        <w:rPr>
          <w:rFonts w:asciiTheme="minorHAnsi" w:hAnsiTheme="minorHAnsi" w:cstheme="minorHAnsi"/>
          <w:lang w:eastAsia="en-AU"/>
        </w:rPr>
        <w:t xml:space="preserve"> for all other services</w:t>
      </w:r>
      <w:r w:rsidR="00317A6D">
        <w:rPr>
          <w:rFonts w:asciiTheme="minorHAnsi" w:hAnsiTheme="minorHAnsi" w:cstheme="minorHAnsi"/>
          <w:lang w:eastAsia="en-AU"/>
        </w:rPr>
        <w:t xml:space="preserve"> (including rural and remote cities</w:t>
      </w:r>
      <w:r w:rsidR="0016144A">
        <w:rPr>
          <w:rFonts w:asciiTheme="minorHAnsi" w:hAnsiTheme="minorHAnsi" w:cstheme="minorHAnsi"/>
          <w:lang w:eastAsia="en-AU"/>
        </w:rPr>
        <w:t>).</w:t>
      </w:r>
    </w:p>
    <w:p w14:paraId="303FDFAD" w14:textId="2018AC4C" w:rsidR="00040603" w:rsidRDefault="00317A6D" w:rsidP="00AA5EBF">
      <w:pPr>
        <w:numPr>
          <w:ilvl w:val="0"/>
          <w:numId w:val="14"/>
        </w:numPr>
        <w:contextualSpacing/>
        <w:rPr>
          <w:rFonts w:asciiTheme="minorHAnsi" w:hAnsiTheme="minorHAnsi" w:cstheme="minorHAnsi"/>
          <w:b/>
        </w:rPr>
      </w:pPr>
      <w:r w:rsidRPr="0052028F">
        <w:rPr>
          <w:rFonts w:asciiTheme="minorHAnsi" w:hAnsiTheme="minorHAnsi" w:cstheme="minorHAnsi"/>
          <w:lang w:eastAsia="en-AU"/>
        </w:rPr>
        <w:t xml:space="preserve">MBS fees are </w:t>
      </w:r>
      <w:r>
        <w:rPr>
          <w:rFonts w:asciiTheme="minorHAnsi" w:hAnsiTheme="minorHAnsi" w:cstheme="minorHAnsi"/>
          <w:lang w:eastAsia="en-AU"/>
        </w:rPr>
        <w:t>structured in</w:t>
      </w:r>
      <w:r w:rsidRPr="0052028F">
        <w:rPr>
          <w:rFonts w:asciiTheme="minorHAnsi" w:hAnsiTheme="minorHAnsi" w:cstheme="minorHAnsi"/>
          <w:lang w:eastAsia="en-AU"/>
        </w:rPr>
        <w:t xml:space="preserve"> a way that encourages non-VR doctors to both obtain clinical experience outside the major cities</w:t>
      </w:r>
      <w:r>
        <w:rPr>
          <w:rFonts w:asciiTheme="minorHAnsi" w:hAnsiTheme="minorHAnsi" w:cstheme="minorHAnsi"/>
          <w:lang w:eastAsia="en-AU"/>
        </w:rPr>
        <w:t xml:space="preserve"> (i.e. in </w:t>
      </w:r>
      <w:r w:rsidR="001E44BC">
        <w:rPr>
          <w:rFonts w:asciiTheme="minorHAnsi" w:hAnsiTheme="minorHAnsi" w:cstheme="minorHAnsi"/>
          <w:lang w:eastAsia="en-AU"/>
        </w:rPr>
        <w:t>MM</w:t>
      </w:r>
      <w:r>
        <w:rPr>
          <w:rFonts w:asciiTheme="minorHAnsi" w:hAnsiTheme="minorHAnsi" w:cstheme="minorHAnsi"/>
          <w:lang w:eastAsia="en-AU"/>
        </w:rPr>
        <w:t xml:space="preserve"> 2-7 locations) </w:t>
      </w:r>
      <w:r w:rsidRPr="0052028F">
        <w:rPr>
          <w:rFonts w:asciiTheme="minorHAnsi" w:hAnsiTheme="minorHAnsi" w:cstheme="minorHAnsi"/>
          <w:lang w:eastAsia="en-AU"/>
        </w:rPr>
        <w:t xml:space="preserve">and attain a postgraduate </w:t>
      </w:r>
      <w:r>
        <w:rPr>
          <w:rFonts w:asciiTheme="minorHAnsi" w:hAnsiTheme="minorHAnsi" w:cstheme="minorHAnsi"/>
          <w:lang w:eastAsia="en-AU"/>
        </w:rPr>
        <w:t xml:space="preserve">general practice qualification. </w:t>
      </w:r>
      <w:r w:rsidR="002174C8" w:rsidRPr="00317A6D">
        <w:rPr>
          <w:rFonts w:asciiTheme="minorHAnsi" w:hAnsiTheme="minorHAnsi" w:cstheme="minorHAnsi"/>
          <w:lang w:eastAsia="en-AU"/>
        </w:rPr>
        <w:t>T</w:t>
      </w:r>
      <w:r w:rsidR="00AF7B16" w:rsidRPr="00317A6D">
        <w:rPr>
          <w:rFonts w:asciiTheme="minorHAnsi" w:hAnsiTheme="minorHAnsi" w:cstheme="minorHAnsi"/>
          <w:lang w:eastAsia="en-AU"/>
        </w:rPr>
        <w:t xml:space="preserve">able </w:t>
      </w:r>
      <w:r w:rsidR="00D616B4" w:rsidRPr="00317A6D">
        <w:rPr>
          <w:rFonts w:asciiTheme="minorHAnsi" w:hAnsiTheme="minorHAnsi" w:cstheme="minorHAnsi"/>
          <w:lang w:eastAsia="en-AU"/>
        </w:rPr>
        <w:t>2</w:t>
      </w:r>
      <w:r w:rsidR="002174C8" w:rsidRPr="00317A6D">
        <w:rPr>
          <w:rFonts w:asciiTheme="minorHAnsi" w:hAnsiTheme="minorHAnsi" w:cstheme="minorHAnsi"/>
          <w:lang w:eastAsia="en-AU"/>
        </w:rPr>
        <w:t xml:space="preserve"> provides further details </w:t>
      </w:r>
      <w:r w:rsidR="00976EDB" w:rsidRPr="00317A6D">
        <w:rPr>
          <w:rFonts w:asciiTheme="minorHAnsi" w:hAnsiTheme="minorHAnsi" w:cstheme="minorHAnsi"/>
          <w:lang w:eastAsia="en-AU"/>
        </w:rPr>
        <w:t>of t</w:t>
      </w:r>
      <w:r w:rsidR="00A1117F" w:rsidRPr="00317A6D">
        <w:rPr>
          <w:rFonts w:asciiTheme="minorHAnsi" w:hAnsiTheme="minorHAnsi" w:cstheme="minorHAnsi"/>
          <w:lang w:eastAsia="en-AU"/>
        </w:rPr>
        <w:t>he</w:t>
      </w:r>
      <w:r w:rsidR="008C25EB" w:rsidRPr="00317A6D">
        <w:rPr>
          <w:rFonts w:asciiTheme="minorHAnsi" w:hAnsiTheme="minorHAnsi" w:cstheme="minorHAnsi"/>
          <w:lang w:eastAsia="en-AU"/>
        </w:rPr>
        <w:t xml:space="preserve"> </w:t>
      </w:r>
      <w:r w:rsidR="00DF070C" w:rsidRPr="00317A6D">
        <w:rPr>
          <w:rFonts w:asciiTheme="minorHAnsi" w:hAnsiTheme="minorHAnsi" w:cstheme="minorHAnsi"/>
          <w:lang w:eastAsia="en-AU"/>
        </w:rPr>
        <w:t xml:space="preserve">GP </w:t>
      </w:r>
      <w:r w:rsidR="001A3AB2" w:rsidRPr="00317A6D">
        <w:rPr>
          <w:rFonts w:asciiTheme="minorHAnsi" w:hAnsiTheme="minorHAnsi" w:cstheme="minorHAnsi"/>
          <w:lang w:eastAsia="en-AU"/>
        </w:rPr>
        <w:t>MBS fee</w:t>
      </w:r>
      <w:r w:rsidR="008C25EB" w:rsidRPr="00317A6D">
        <w:rPr>
          <w:rFonts w:asciiTheme="minorHAnsi" w:hAnsiTheme="minorHAnsi" w:cstheme="minorHAnsi"/>
          <w:lang w:eastAsia="en-AU"/>
        </w:rPr>
        <w:t xml:space="preserve"> </w:t>
      </w:r>
      <w:r w:rsidR="00A1117F" w:rsidRPr="00317A6D">
        <w:rPr>
          <w:rFonts w:asciiTheme="minorHAnsi" w:hAnsiTheme="minorHAnsi" w:cstheme="minorHAnsi"/>
          <w:lang w:eastAsia="en-AU"/>
        </w:rPr>
        <w:t>type by location.</w:t>
      </w:r>
      <w:r w:rsidR="00E835D7" w:rsidRPr="00AD1DD6" w:rsidDel="00E835D7">
        <w:rPr>
          <w:rFonts w:asciiTheme="minorHAnsi" w:hAnsiTheme="minorHAnsi" w:cstheme="minorHAnsi"/>
          <w:lang w:eastAsia="en-AU"/>
        </w:rPr>
        <w:t xml:space="preserve"> </w:t>
      </w:r>
    </w:p>
    <w:p w14:paraId="0A174F3E" w14:textId="77777777" w:rsidR="00BE3D9C" w:rsidRDefault="00BE3D9C" w:rsidP="006F3273">
      <w:pPr>
        <w:rPr>
          <w:rFonts w:asciiTheme="minorHAnsi" w:hAnsiTheme="minorHAnsi" w:cstheme="minorHAnsi"/>
          <w:lang w:eastAsia="en-AU"/>
        </w:rPr>
      </w:pPr>
    </w:p>
    <w:p w14:paraId="17D082D5" w14:textId="0720A2EF" w:rsidR="00E40497" w:rsidRDefault="00406972" w:rsidP="006F3273">
      <w:pPr>
        <w:rPr>
          <w:rFonts w:asciiTheme="minorHAnsi" w:hAnsiTheme="minorHAnsi" w:cstheme="minorHAnsi"/>
          <w:lang w:eastAsia="en-AU"/>
        </w:rPr>
      </w:pPr>
      <w:r>
        <w:rPr>
          <w:rFonts w:asciiTheme="minorHAnsi" w:hAnsiTheme="minorHAnsi" w:cstheme="minorHAnsi"/>
          <w:lang w:eastAsia="en-AU"/>
        </w:rPr>
        <w:t xml:space="preserve">This </w:t>
      </w:r>
      <w:r w:rsidR="00794C1D">
        <w:rPr>
          <w:rFonts w:asciiTheme="minorHAnsi" w:hAnsiTheme="minorHAnsi" w:cstheme="minorHAnsi"/>
          <w:lang w:eastAsia="en-AU"/>
        </w:rPr>
        <w:t>option</w:t>
      </w:r>
      <w:r>
        <w:rPr>
          <w:rFonts w:asciiTheme="minorHAnsi" w:hAnsiTheme="minorHAnsi" w:cstheme="minorHAnsi"/>
          <w:lang w:eastAsia="en-AU"/>
        </w:rPr>
        <w:t xml:space="preserve"> would introduce an immediate change to the items claimable by </w:t>
      </w:r>
      <w:r w:rsidR="00794C1D">
        <w:rPr>
          <w:rFonts w:asciiTheme="minorHAnsi" w:hAnsiTheme="minorHAnsi" w:cstheme="minorHAnsi"/>
          <w:lang w:eastAsia="en-AU"/>
        </w:rPr>
        <w:t>n</w:t>
      </w:r>
      <w:r w:rsidR="00A97F35">
        <w:rPr>
          <w:rFonts w:asciiTheme="minorHAnsi" w:hAnsiTheme="minorHAnsi" w:cstheme="minorHAnsi"/>
          <w:lang w:eastAsia="en-AU"/>
        </w:rPr>
        <w:t xml:space="preserve">on-VR doctors </w:t>
      </w:r>
      <w:r>
        <w:rPr>
          <w:rFonts w:asciiTheme="minorHAnsi" w:hAnsiTheme="minorHAnsi" w:cstheme="minorHAnsi"/>
          <w:lang w:eastAsia="en-AU"/>
        </w:rPr>
        <w:t>who currently work in primary care</w:t>
      </w:r>
      <w:r w:rsidR="00A97F35">
        <w:rPr>
          <w:rFonts w:asciiTheme="minorHAnsi" w:hAnsiTheme="minorHAnsi" w:cstheme="minorHAnsi"/>
          <w:lang w:eastAsia="en-AU"/>
        </w:rPr>
        <w:t xml:space="preserve"> outside </w:t>
      </w:r>
      <w:r>
        <w:rPr>
          <w:rFonts w:asciiTheme="minorHAnsi" w:hAnsiTheme="minorHAnsi" w:cstheme="minorHAnsi"/>
          <w:lang w:eastAsia="en-AU"/>
        </w:rPr>
        <w:t>being engaged in general practice training</w:t>
      </w:r>
      <w:r w:rsidR="00AE786A">
        <w:rPr>
          <w:rFonts w:asciiTheme="minorHAnsi" w:hAnsiTheme="minorHAnsi" w:cstheme="minorHAnsi"/>
          <w:lang w:eastAsia="en-AU"/>
        </w:rPr>
        <w:t xml:space="preserve"> or </w:t>
      </w:r>
      <w:r>
        <w:rPr>
          <w:rFonts w:asciiTheme="minorHAnsi" w:hAnsiTheme="minorHAnsi" w:cstheme="minorHAnsi"/>
          <w:lang w:eastAsia="en-AU"/>
        </w:rPr>
        <w:t xml:space="preserve">an OMPs Program.  </w:t>
      </w:r>
      <w:r w:rsidR="001E44BC">
        <w:rPr>
          <w:rFonts w:asciiTheme="minorHAnsi" w:hAnsiTheme="minorHAnsi" w:cstheme="minorHAnsi"/>
          <w:lang w:eastAsia="en-AU"/>
        </w:rPr>
        <w:t xml:space="preserve"> </w:t>
      </w:r>
      <w:r w:rsidR="000B301E">
        <w:rPr>
          <w:rFonts w:asciiTheme="minorHAnsi" w:hAnsiTheme="minorHAnsi" w:cstheme="minorHAnsi"/>
          <w:lang w:eastAsia="en-AU"/>
        </w:rPr>
        <w:t xml:space="preserve">The introduction of the new </w:t>
      </w:r>
      <w:r w:rsidR="00F74F12">
        <w:rPr>
          <w:rFonts w:asciiTheme="minorHAnsi" w:hAnsiTheme="minorHAnsi" w:cstheme="minorHAnsi"/>
          <w:lang w:eastAsia="en-AU"/>
        </w:rPr>
        <w:t xml:space="preserve">MBS item </w:t>
      </w:r>
      <w:r w:rsidR="000B301E">
        <w:rPr>
          <w:rFonts w:asciiTheme="minorHAnsi" w:hAnsiTheme="minorHAnsi" w:cstheme="minorHAnsi"/>
          <w:lang w:eastAsia="en-AU"/>
        </w:rPr>
        <w:t>structure is intended to have the most significant impacts on</w:t>
      </w:r>
      <w:r w:rsidR="00E40497">
        <w:rPr>
          <w:rFonts w:asciiTheme="minorHAnsi" w:hAnsiTheme="minorHAnsi" w:cstheme="minorHAnsi"/>
          <w:lang w:eastAsia="en-AU"/>
        </w:rPr>
        <w:t xml:space="preserve"> three cohorts of non-VR doctors:</w:t>
      </w:r>
    </w:p>
    <w:p w14:paraId="352D523D" w14:textId="7B113836" w:rsidR="00E40497" w:rsidRDefault="00F74F12" w:rsidP="00AA5EBF">
      <w:pPr>
        <w:pStyle w:val="ListParagraph"/>
        <w:numPr>
          <w:ilvl w:val="0"/>
          <w:numId w:val="45"/>
        </w:numPr>
        <w:rPr>
          <w:rFonts w:asciiTheme="minorHAnsi" w:hAnsiTheme="minorHAnsi" w:cstheme="minorHAnsi"/>
          <w:lang w:eastAsia="en-AU"/>
        </w:rPr>
      </w:pPr>
      <w:r>
        <w:rPr>
          <w:rFonts w:asciiTheme="minorHAnsi" w:hAnsiTheme="minorHAnsi" w:cstheme="minorHAnsi"/>
          <w:lang w:eastAsia="en-AU"/>
        </w:rPr>
        <w:t>doctors who are</w:t>
      </w:r>
      <w:r w:rsidR="00E40497">
        <w:rPr>
          <w:rFonts w:asciiTheme="minorHAnsi" w:hAnsiTheme="minorHAnsi" w:cstheme="minorHAnsi"/>
          <w:lang w:eastAsia="en-AU"/>
        </w:rPr>
        <w:t xml:space="preserve"> currently practising in the major cities without being engaged in formal general practice training</w:t>
      </w:r>
      <w:r w:rsidR="00E206D4">
        <w:rPr>
          <w:rFonts w:asciiTheme="minorHAnsi" w:hAnsiTheme="minorHAnsi" w:cstheme="minorHAnsi"/>
          <w:lang w:eastAsia="en-AU"/>
        </w:rPr>
        <w:t>.  T</w:t>
      </w:r>
      <w:r w:rsidR="00E40497">
        <w:rPr>
          <w:rFonts w:asciiTheme="minorHAnsi" w:hAnsiTheme="minorHAnsi" w:cstheme="minorHAnsi"/>
          <w:lang w:eastAsia="en-AU"/>
        </w:rPr>
        <w:t>hese doctors will be subject to a 20 per cent fee reduction for non-standard general practice services</w:t>
      </w:r>
      <w:r w:rsidR="00E206D4">
        <w:rPr>
          <w:rFonts w:asciiTheme="minorHAnsi" w:hAnsiTheme="minorHAnsi" w:cstheme="minorHAnsi"/>
          <w:lang w:eastAsia="en-AU"/>
        </w:rPr>
        <w:t>.</w:t>
      </w:r>
    </w:p>
    <w:p w14:paraId="25679168" w14:textId="253F5EDC" w:rsidR="00E40497" w:rsidRDefault="00F74F12" w:rsidP="00AA5EBF">
      <w:pPr>
        <w:pStyle w:val="ListParagraph"/>
        <w:numPr>
          <w:ilvl w:val="0"/>
          <w:numId w:val="45"/>
        </w:numPr>
        <w:rPr>
          <w:rFonts w:asciiTheme="minorHAnsi" w:hAnsiTheme="minorHAnsi" w:cstheme="minorHAnsi"/>
          <w:lang w:eastAsia="en-AU"/>
        </w:rPr>
      </w:pPr>
      <w:r>
        <w:rPr>
          <w:rFonts w:asciiTheme="minorHAnsi" w:hAnsiTheme="minorHAnsi" w:cstheme="minorHAnsi"/>
          <w:lang w:eastAsia="en-AU"/>
        </w:rPr>
        <w:t>doctors</w:t>
      </w:r>
      <w:r w:rsidR="00E40497">
        <w:rPr>
          <w:rFonts w:asciiTheme="minorHAnsi" w:hAnsiTheme="minorHAnsi" w:cstheme="minorHAnsi"/>
          <w:lang w:eastAsia="en-AU"/>
        </w:rPr>
        <w:t xml:space="preserve"> who are not engaged in formal training and who work in non-metropolitan areas that are not covered by an OMPs Program</w:t>
      </w:r>
      <w:r w:rsidR="00E206D4">
        <w:rPr>
          <w:rFonts w:asciiTheme="minorHAnsi" w:hAnsiTheme="minorHAnsi" w:cstheme="minorHAnsi"/>
          <w:lang w:eastAsia="en-AU"/>
        </w:rPr>
        <w:t>.  T</w:t>
      </w:r>
      <w:r w:rsidR="00E40497">
        <w:rPr>
          <w:rFonts w:asciiTheme="minorHAnsi" w:hAnsiTheme="minorHAnsi" w:cstheme="minorHAnsi"/>
          <w:lang w:eastAsia="en-AU"/>
        </w:rPr>
        <w:t xml:space="preserve">hese doctors will have a 20 per cent fee reduction for non-standard general practice services while </w:t>
      </w:r>
      <w:r w:rsidR="00E206D4">
        <w:rPr>
          <w:rFonts w:asciiTheme="minorHAnsi" w:hAnsiTheme="minorHAnsi" w:cstheme="minorHAnsi"/>
          <w:lang w:eastAsia="en-AU"/>
        </w:rPr>
        <w:t>receiving a 20 per cent fee increase for standard general practice consultations; and</w:t>
      </w:r>
    </w:p>
    <w:p w14:paraId="1657D8BA" w14:textId="21217E32" w:rsidR="00E40497" w:rsidRDefault="00E206D4" w:rsidP="00AA5EBF">
      <w:pPr>
        <w:pStyle w:val="ListParagraph"/>
        <w:numPr>
          <w:ilvl w:val="0"/>
          <w:numId w:val="45"/>
        </w:numPr>
        <w:rPr>
          <w:rFonts w:asciiTheme="minorHAnsi" w:hAnsiTheme="minorHAnsi" w:cstheme="minorHAnsi"/>
          <w:lang w:eastAsia="en-AU"/>
        </w:rPr>
      </w:pPr>
      <w:r>
        <w:rPr>
          <w:rFonts w:asciiTheme="minorHAnsi" w:hAnsiTheme="minorHAnsi" w:cstheme="minorHAnsi"/>
          <w:lang w:eastAsia="en-AU"/>
        </w:rPr>
        <w:t xml:space="preserve">new entrants, who commence their </w:t>
      </w:r>
      <w:r w:rsidR="00E40497">
        <w:rPr>
          <w:rFonts w:asciiTheme="minorHAnsi" w:hAnsiTheme="minorHAnsi" w:cstheme="minorHAnsi"/>
          <w:lang w:eastAsia="en-AU"/>
        </w:rPr>
        <w:t>general practice</w:t>
      </w:r>
      <w:r>
        <w:rPr>
          <w:rFonts w:asciiTheme="minorHAnsi" w:hAnsiTheme="minorHAnsi" w:cstheme="minorHAnsi"/>
          <w:lang w:eastAsia="en-AU"/>
        </w:rPr>
        <w:t xml:space="preserve"> career outside of formal general practice training</w:t>
      </w:r>
      <w:r w:rsidR="00E40497">
        <w:rPr>
          <w:rFonts w:asciiTheme="minorHAnsi" w:hAnsiTheme="minorHAnsi" w:cstheme="minorHAnsi"/>
          <w:lang w:eastAsia="en-AU"/>
        </w:rPr>
        <w:t xml:space="preserve"> (either from other countries or from the hospital system).</w:t>
      </w:r>
      <w:r w:rsidR="00F91182">
        <w:rPr>
          <w:rFonts w:asciiTheme="minorHAnsi" w:hAnsiTheme="minorHAnsi" w:cstheme="minorHAnsi"/>
          <w:lang w:eastAsia="en-AU"/>
        </w:rPr>
        <w:t xml:space="preserve">  These doctors wou</w:t>
      </w:r>
      <w:r>
        <w:rPr>
          <w:rFonts w:asciiTheme="minorHAnsi" w:hAnsiTheme="minorHAnsi" w:cstheme="minorHAnsi"/>
          <w:lang w:eastAsia="en-AU"/>
        </w:rPr>
        <w:t>l</w:t>
      </w:r>
      <w:r w:rsidR="00F91182">
        <w:rPr>
          <w:rFonts w:asciiTheme="minorHAnsi" w:hAnsiTheme="minorHAnsi" w:cstheme="minorHAnsi"/>
          <w:lang w:eastAsia="en-AU"/>
        </w:rPr>
        <w:t>d</w:t>
      </w:r>
      <w:r>
        <w:rPr>
          <w:rFonts w:asciiTheme="minorHAnsi" w:hAnsiTheme="minorHAnsi" w:cstheme="minorHAnsi"/>
          <w:lang w:eastAsia="en-AU"/>
        </w:rPr>
        <w:t xml:space="preserve"> commence their career </w:t>
      </w:r>
      <w:r w:rsidR="00F74F12">
        <w:rPr>
          <w:rFonts w:asciiTheme="minorHAnsi" w:hAnsiTheme="minorHAnsi" w:cstheme="minorHAnsi"/>
          <w:lang w:eastAsia="en-AU"/>
        </w:rPr>
        <w:t>under the revised MBS item structure.</w:t>
      </w:r>
    </w:p>
    <w:p w14:paraId="1B864130" w14:textId="77777777" w:rsidR="00087E15" w:rsidRDefault="00087E15" w:rsidP="0071101C">
      <w:pPr>
        <w:rPr>
          <w:rFonts w:asciiTheme="minorHAnsi" w:eastAsia="MS Mincho" w:hAnsiTheme="minorHAnsi" w:cstheme="minorHAnsi"/>
          <w:sz w:val="23"/>
        </w:rPr>
      </w:pPr>
    </w:p>
    <w:p w14:paraId="37AE53F3" w14:textId="77777777" w:rsidR="00C954F0" w:rsidRDefault="0071101C" w:rsidP="0071101C">
      <w:pPr>
        <w:rPr>
          <w:rFonts w:asciiTheme="minorHAnsi" w:hAnsiTheme="minorHAnsi" w:cstheme="minorHAnsi"/>
          <w:lang w:eastAsia="en-AU"/>
        </w:rPr>
      </w:pPr>
      <w:r w:rsidRPr="006F3273">
        <w:rPr>
          <w:rFonts w:asciiTheme="minorHAnsi" w:eastAsia="MS Mincho" w:hAnsiTheme="minorHAnsi" w:cstheme="minorHAnsi"/>
          <w:sz w:val="23"/>
        </w:rPr>
        <w:t xml:space="preserve">As stated </w:t>
      </w:r>
      <w:r w:rsidR="002E7EB0">
        <w:rPr>
          <w:rFonts w:asciiTheme="minorHAnsi" w:eastAsia="MS Mincho" w:hAnsiTheme="minorHAnsi" w:cstheme="minorHAnsi"/>
          <w:sz w:val="23"/>
        </w:rPr>
        <w:t>earlier</w:t>
      </w:r>
      <w:r w:rsidRPr="006F3273">
        <w:rPr>
          <w:rFonts w:asciiTheme="minorHAnsi" w:eastAsia="MS Mincho" w:hAnsiTheme="minorHAnsi" w:cstheme="minorHAnsi"/>
          <w:sz w:val="23"/>
        </w:rPr>
        <w:t xml:space="preserve">, </w:t>
      </w:r>
      <w:r w:rsidRPr="006F3273">
        <w:rPr>
          <w:rFonts w:asciiTheme="minorHAnsi" w:hAnsiTheme="minorHAnsi" w:cstheme="minorHAnsi"/>
          <w:lang w:eastAsia="en-AU"/>
        </w:rPr>
        <w:t xml:space="preserve">this option would include features </w:t>
      </w:r>
      <w:r>
        <w:rPr>
          <w:rFonts w:asciiTheme="minorHAnsi" w:hAnsiTheme="minorHAnsi" w:cstheme="minorHAnsi"/>
          <w:lang w:eastAsia="en-AU"/>
        </w:rPr>
        <w:t>to preserve the current</w:t>
      </w:r>
      <w:r w:rsidRPr="006F3273">
        <w:rPr>
          <w:rFonts w:asciiTheme="minorHAnsi" w:hAnsiTheme="minorHAnsi" w:cstheme="minorHAnsi"/>
          <w:lang w:eastAsia="en-AU"/>
        </w:rPr>
        <w:t xml:space="preserve"> claiming rights </w:t>
      </w:r>
      <w:r>
        <w:rPr>
          <w:rFonts w:asciiTheme="minorHAnsi" w:hAnsiTheme="minorHAnsi" w:cstheme="minorHAnsi"/>
          <w:lang w:eastAsia="en-AU"/>
        </w:rPr>
        <w:t>of</w:t>
      </w:r>
      <w:r w:rsidRPr="006F3273">
        <w:rPr>
          <w:rFonts w:asciiTheme="minorHAnsi" w:hAnsiTheme="minorHAnsi" w:cstheme="minorHAnsi"/>
          <w:lang w:eastAsia="en-AU"/>
        </w:rPr>
        <w:t xml:space="preserve"> GP trainees and </w:t>
      </w:r>
      <w:r>
        <w:rPr>
          <w:rFonts w:asciiTheme="minorHAnsi" w:hAnsiTheme="minorHAnsi" w:cstheme="minorHAnsi"/>
          <w:lang w:eastAsia="en-AU"/>
        </w:rPr>
        <w:t>to sunset</w:t>
      </w:r>
      <w:r w:rsidRPr="006F3273">
        <w:rPr>
          <w:rFonts w:asciiTheme="minorHAnsi" w:hAnsiTheme="minorHAnsi" w:cstheme="minorHAnsi"/>
          <w:lang w:eastAsia="en-AU"/>
        </w:rPr>
        <w:t xml:space="preserve"> the OMPs Program arrangements to allow pre-approved participants time to become qualified GPs.  These features preserve the claiming rights of a significant portion of the current workforce; over 6,500 general practice trainees and OMPs Program participants.</w:t>
      </w:r>
    </w:p>
    <w:p w14:paraId="5DE18B0E" w14:textId="5C83645E" w:rsidR="0071101C" w:rsidRDefault="00C954F0" w:rsidP="0071101C">
      <w:pPr>
        <w:rPr>
          <w:rFonts w:asciiTheme="minorHAnsi" w:hAnsiTheme="minorHAnsi" w:cstheme="minorHAnsi"/>
          <w:lang w:eastAsia="en-AU"/>
        </w:rPr>
      </w:pPr>
      <w:r>
        <w:rPr>
          <w:rFonts w:asciiTheme="minorHAnsi" w:hAnsiTheme="minorHAnsi" w:cstheme="minorHAnsi"/>
          <w:lang w:eastAsia="en-AU"/>
        </w:rPr>
        <w:t xml:space="preserve"> </w:t>
      </w:r>
    </w:p>
    <w:p w14:paraId="64B96313" w14:textId="3ADD0F6D" w:rsidR="00AD1DD6" w:rsidRDefault="0071101C" w:rsidP="0071101C">
      <w:pPr>
        <w:rPr>
          <w:rFonts w:asciiTheme="minorHAnsi" w:hAnsiTheme="minorHAnsi" w:cstheme="minorHAnsi"/>
          <w:highlight w:val="yellow"/>
          <w:lang w:eastAsia="en-AU"/>
        </w:rPr>
      </w:pPr>
      <w:r w:rsidRPr="006F3273">
        <w:rPr>
          <w:rFonts w:asciiTheme="minorHAnsi" w:hAnsiTheme="minorHAnsi" w:cstheme="minorHAnsi"/>
          <w:lang w:eastAsia="en-AU"/>
        </w:rPr>
        <w:t>Preserving these claiming rights would ensure that the MBS item structure is introduced with account for the current workforce and does not create an incentive for doctors to either leave general practice or attempt to relocate from underserviced communities.</w:t>
      </w:r>
      <w:r>
        <w:rPr>
          <w:rFonts w:asciiTheme="minorHAnsi" w:hAnsiTheme="minorHAnsi" w:cstheme="minorHAnsi"/>
          <w:lang w:eastAsia="en-AU"/>
        </w:rPr>
        <w:t xml:space="preserve">  </w:t>
      </w:r>
      <w:r w:rsidR="00AD1DD6" w:rsidRPr="006F3273">
        <w:rPr>
          <w:rFonts w:asciiTheme="minorHAnsi" w:hAnsiTheme="minorHAnsi" w:cstheme="minorHAnsi"/>
          <w:lang w:eastAsia="en-AU"/>
        </w:rPr>
        <w:t>When considering the final cohort of</w:t>
      </w:r>
      <w:r w:rsidRPr="00AD1DD6">
        <w:rPr>
          <w:rFonts w:asciiTheme="minorHAnsi" w:hAnsiTheme="minorHAnsi" w:cstheme="minorHAnsi"/>
          <w:lang w:eastAsia="en-AU"/>
        </w:rPr>
        <w:t xml:space="preserve"> OMPs Program participants, </w:t>
      </w:r>
      <w:r w:rsidR="00AD1DD6" w:rsidRPr="006F3273">
        <w:rPr>
          <w:rFonts w:asciiTheme="minorHAnsi" w:hAnsiTheme="minorHAnsi" w:cstheme="minorHAnsi"/>
          <w:lang w:eastAsia="en-AU"/>
        </w:rPr>
        <w:t xml:space="preserve">the Government would take steps to preserve their access to the full GP MBS items for a period of five years.  During this period, </w:t>
      </w:r>
      <w:r w:rsidR="00AD1DD6">
        <w:rPr>
          <w:rFonts w:asciiTheme="minorHAnsi" w:hAnsiTheme="minorHAnsi" w:cstheme="minorHAnsi"/>
          <w:lang w:eastAsia="en-AU"/>
        </w:rPr>
        <w:t xml:space="preserve">participants would be expected to become a </w:t>
      </w:r>
      <w:r w:rsidR="00AD1DD6" w:rsidRPr="006F3273">
        <w:rPr>
          <w:rFonts w:asciiTheme="minorHAnsi" w:hAnsiTheme="minorHAnsi" w:cstheme="minorHAnsi"/>
          <w:lang w:eastAsia="en-AU"/>
        </w:rPr>
        <w:t>qualified GP</w:t>
      </w:r>
      <w:r w:rsidR="00AD1DD6">
        <w:rPr>
          <w:rFonts w:asciiTheme="minorHAnsi" w:hAnsiTheme="minorHAnsi" w:cstheme="minorHAnsi"/>
          <w:lang w:eastAsia="en-AU"/>
        </w:rPr>
        <w:t xml:space="preserve"> or enter formal general practice training, with the related ability to claim full MBS items that are linked to their training</w:t>
      </w:r>
      <w:r w:rsidR="00AD1DD6" w:rsidRPr="006F3273">
        <w:rPr>
          <w:rFonts w:asciiTheme="minorHAnsi" w:hAnsiTheme="minorHAnsi" w:cstheme="minorHAnsi"/>
          <w:lang w:eastAsia="en-AU"/>
        </w:rPr>
        <w:t xml:space="preserve">. </w:t>
      </w:r>
    </w:p>
    <w:p w14:paraId="7B18AB6E" w14:textId="77777777" w:rsidR="00AD1DD6" w:rsidRDefault="00AD1DD6" w:rsidP="0071101C">
      <w:pPr>
        <w:rPr>
          <w:rFonts w:asciiTheme="minorHAnsi" w:hAnsiTheme="minorHAnsi" w:cstheme="minorHAnsi"/>
          <w:highlight w:val="yellow"/>
          <w:lang w:eastAsia="en-AU"/>
        </w:rPr>
      </w:pPr>
    </w:p>
    <w:p w14:paraId="1D349290" w14:textId="4DA5995F" w:rsidR="0071101C" w:rsidRDefault="00AD1DD6" w:rsidP="0071101C">
      <w:pPr>
        <w:rPr>
          <w:rFonts w:asciiTheme="minorHAnsi" w:hAnsiTheme="minorHAnsi" w:cstheme="minorHAnsi"/>
          <w:lang w:eastAsia="en-AU"/>
        </w:rPr>
      </w:pPr>
      <w:r w:rsidRPr="006F3273">
        <w:rPr>
          <w:rFonts w:asciiTheme="minorHAnsi" w:hAnsiTheme="minorHAnsi" w:cstheme="minorHAnsi"/>
          <w:lang w:eastAsia="en-AU"/>
        </w:rPr>
        <w:t>In proposing this five year timeframe, the</w:t>
      </w:r>
      <w:r w:rsidR="0016144A">
        <w:rPr>
          <w:rFonts w:asciiTheme="minorHAnsi" w:hAnsiTheme="minorHAnsi" w:cstheme="minorHAnsi"/>
          <w:lang w:eastAsia="en-AU"/>
        </w:rPr>
        <w:t xml:space="preserve"> Government has considered </w:t>
      </w:r>
      <w:r w:rsidRPr="006F3273">
        <w:rPr>
          <w:rFonts w:asciiTheme="minorHAnsi" w:hAnsiTheme="minorHAnsi" w:cstheme="minorHAnsi"/>
          <w:lang w:eastAsia="en-AU"/>
        </w:rPr>
        <w:t xml:space="preserve">the variable rate at which non-VR doctors attain Fellowship on the basis of the level of their prior clinical experience when entering general practice.  The broad standard is that doctors must obtain four years of general practice experience before completing exams for their qualification.  The Government’s five year </w:t>
      </w:r>
      <w:r w:rsidRPr="006F3273">
        <w:rPr>
          <w:rFonts w:asciiTheme="minorHAnsi" w:hAnsiTheme="minorHAnsi" w:cstheme="minorHAnsi"/>
          <w:lang w:eastAsia="en-AU"/>
        </w:rPr>
        <w:lastRenderedPageBreak/>
        <w:t xml:space="preserve">sunsetting period for the OMPs Programs would therefore provide adequate coverage to all non-VR doctors participating in these arrangements when the revised item structure is introduced. </w:t>
      </w:r>
    </w:p>
    <w:p w14:paraId="12A4BBEE" w14:textId="447BD598" w:rsidR="0071101C" w:rsidRDefault="0071101C" w:rsidP="006F3273">
      <w:pPr>
        <w:rPr>
          <w:rFonts w:asciiTheme="minorHAnsi" w:hAnsiTheme="minorHAnsi" w:cstheme="minorHAnsi"/>
          <w:lang w:eastAsia="en-AU"/>
        </w:rPr>
      </w:pPr>
    </w:p>
    <w:p w14:paraId="05191553" w14:textId="64F9A401" w:rsidR="002E7EB0" w:rsidRDefault="0071101C" w:rsidP="0071101C">
      <w:pPr>
        <w:rPr>
          <w:rFonts w:asciiTheme="minorHAnsi" w:hAnsiTheme="minorHAnsi" w:cstheme="minorHAnsi"/>
          <w:lang w:eastAsia="en-AU"/>
        </w:rPr>
      </w:pPr>
      <w:r>
        <w:rPr>
          <w:rFonts w:asciiTheme="minorHAnsi" w:hAnsiTheme="minorHAnsi" w:cstheme="minorHAnsi"/>
          <w:lang w:eastAsia="en-AU"/>
        </w:rPr>
        <w:t>The Government anticipates that the revised general practice MBS item structure will clearly incentivise the attainment of the FRACGP and FACRRM qualifications.  In behavioural terms, th</w:t>
      </w:r>
      <w:r w:rsidR="002E7EB0">
        <w:rPr>
          <w:rFonts w:asciiTheme="minorHAnsi" w:hAnsiTheme="minorHAnsi" w:cstheme="minorHAnsi"/>
          <w:lang w:eastAsia="en-AU"/>
        </w:rPr>
        <w:t>e new item structure</w:t>
      </w:r>
      <w:r>
        <w:rPr>
          <w:rFonts w:asciiTheme="minorHAnsi" w:hAnsiTheme="minorHAnsi" w:cstheme="minorHAnsi"/>
          <w:lang w:eastAsia="en-AU"/>
        </w:rPr>
        <w:t xml:space="preserve"> is expected to translate to an increase in the rate at which non-VR doctors become fully-qualified GPs in order to</w:t>
      </w:r>
      <w:r w:rsidR="002E7EB0">
        <w:rPr>
          <w:rFonts w:asciiTheme="minorHAnsi" w:hAnsiTheme="minorHAnsi" w:cstheme="minorHAnsi"/>
          <w:lang w:eastAsia="en-AU"/>
        </w:rPr>
        <w:t xml:space="preserve"> both:</w:t>
      </w:r>
    </w:p>
    <w:p w14:paraId="1AF577D4" w14:textId="5815BA0A" w:rsidR="002E7EB0" w:rsidRDefault="0071101C" w:rsidP="00AA5EBF">
      <w:pPr>
        <w:pStyle w:val="ListParagraph"/>
        <w:numPr>
          <w:ilvl w:val="0"/>
          <w:numId w:val="46"/>
        </w:numPr>
        <w:rPr>
          <w:rFonts w:asciiTheme="minorHAnsi" w:hAnsiTheme="minorHAnsi" w:cstheme="minorHAnsi"/>
          <w:lang w:eastAsia="en-AU"/>
        </w:rPr>
      </w:pPr>
      <w:r w:rsidRPr="006F3273">
        <w:rPr>
          <w:rFonts w:asciiTheme="minorHAnsi" w:hAnsiTheme="minorHAnsi" w:cstheme="minorHAnsi"/>
          <w:lang w:eastAsia="en-AU"/>
        </w:rPr>
        <w:t>attain the right to claim the full MBS items for all general practice attendances</w:t>
      </w:r>
      <w:r w:rsidR="002E7EB0">
        <w:rPr>
          <w:rFonts w:asciiTheme="minorHAnsi" w:hAnsiTheme="minorHAnsi" w:cstheme="minorHAnsi"/>
          <w:lang w:eastAsia="en-AU"/>
        </w:rPr>
        <w:t>;</w:t>
      </w:r>
      <w:r w:rsidRPr="006F3273">
        <w:rPr>
          <w:rFonts w:asciiTheme="minorHAnsi" w:hAnsiTheme="minorHAnsi" w:cstheme="minorHAnsi"/>
          <w:lang w:eastAsia="en-AU"/>
        </w:rPr>
        <w:t xml:space="preserve"> and</w:t>
      </w:r>
    </w:p>
    <w:p w14:paraId="7B87B8D7" w14:textId="548EFF41" w:rsidR="0071101C" w:rsidRPr="006F3273" w:rsidRDefault="0071101C" w:rsidP="00AA5EBF">
      <w:pPr>
        <w:pStyle w:val="ListParagraph"/>
        <w:numPr>
          <w:ilvl w:val="0"/>
          <w:numId w:val="46"/>
        </w:numPr>
        <w:rPr>
          <w:rFonts w:asciiTheme="minorHAnsi" w:hAnsiTheme="minorHAnsi" w:cstheme="minorHAnsi"/>
          <w:lang w:eastAsia="en-AU"/>
        </w:rPr>
      </w:pPr>
      <w:r w:rsidRPr="006F3273">
        <w:rPr>
          <w:rFonts w:asciiTheme="minorHAnsi" w:hAnsiTheme="minorHAnsi" w:cstheme="minorHAnsi"/>
          <w:lang w:eastAsia="en-AU"/>
        </w:rPr>
        <w:t xml:space="preserve">define their scope of clinical practice on this basis. </w:t>
      </w:r>
    </w:p>
    <w:p w14:paraId="72528F8B" w14:textId="77777777" w:rsidR="009A21F0" w:rsidRDefault="009A21F0" w:rsidP="009A21F0">
      <w:pPr>
        <w:rPr>
          <w:rFonts w:asciiTheme="minorHAnsi" w:hAnsiTheme="minorHAnsi" w:cstheme="minorHAnsi"/>
        </w:rPr>
      </w:pPr>
    </w:p>
    <w:p w14:paraId="653C8CE9" w14:textId="1976817E" w:rsidR="00BF4F8D" w:rsidRDefault="00BF4F8D" w:rsidP="006F3273">
      <w:pPr>
        <w:rPr>
          <w:rFonts w:asciiTheme="minorHAnsi" w:hAnsiTheme="minorHAnsi" w:cstheme="minorHAnsi"/>
        </w:rPr>
      </w:pPr>
      <w:r>
        <w:rPr>
          <w:rFonts w:asciiTheme="minorHAnsi" w:hAnsiTheme="minorHAnsi" w:cstheme="minorHAnsi"/>
        </w:rPr>
        <w:t>Effort will be required by medical pr</w:t>
      </w:r>
      <w:r w:rsidRPr="006F3273">
        <w:rPr>
          <w:rFonts w:asciiTheme="minorHAnsi" w:hAnsiTheme="minorHAnsi" w:cstheme="minorHAnsi"/>
        </w:rPr>
        <w:t>actices and non-VR doc</w:t>
      </w:r>
      <w:r w:rsidRPr="00703D99">
        <w:rPr>
          <w:rFonts w:asciiTheme="minorHAnsi" w:hAnsiTheme="minorHAnsi" w:cstheme="minorHAnsi"/>
        </w:rPr>
        <w:t xml:space="preserve">tors </w:t>
      </w:r>
      <w:r w:rsidRPr="006F3273">
        <w:rPr>
          <w:rFonts w:asciiTheme="minorHAnsi" w:hAnsiTheme="minorHAnsi" w:cstheme="minorHAnsi"/>
        </w:rPr>
        <w:t xml:space="preserve">to understand the changes to </w:t>
      </w:r>
      <w:r>
        <w:rPr>
          <w:rFonts w:asciiTheme="minorHAnsi" w:hAnsiTheme="minorHAnsi" w:cstheme="minorHAnsi"/>
        </w:rPr>
        <w:t>the MBS item structure</w:t>
      </w:r>
      <w:r w:rsidRPr="006F3273">
        <w:rPr>
          <w:rFonts w:asciiTheme="minorHAnsi" w:hAnsiTheme="minorHAnsi" w:cstheme="minorHAnsi"/>
        </w:rPr>
        <w:t xml:space="preserve">. </w:t>
      </w:r>
      <w:r>
        <w:rPr>
          <w:rFonts w:asciiTheme="minorHAnsi" w:hAnsiTheme="minorHAnsi" w:cstheme="minorHAnsi"/>
        </w:rPr>
        <w:t xml:space="preserve"> However, this is a standard feature of working under the MBS, as the scope of claimable items is subject to periodic change as the scope of general practice changes.  The Government, as </w:t>
      </w:r>
      <w:r w:rsidR="001E44BC">
        <w:rPr>
          <w:rFonts w:asciiTheme="minorHAnsi" w:hAnsiTheme="minorHAnsi" w:cstheme="minorHAnsi"/>
        </w:rPr>
        <w:t>represented by the Health and DHS</w:t>
      </w:r>
      <w:r>
        <w:rPr>
          <w:rFonts w:asciiTheme="minorHAnsi" w:hAnsiTheme="minorHAnsi" w:cstheme="minorHAnsi"/>
        </w:rPr>
        <w:t xml:space="preserve">, has developed effective processes for communicating MBS item changes to the sector.  These communication mechanisms would be employed to support understanding of the new MBS item structure should this option be adopted.  Employing changes of this type is not considered to fall outside of the ordinary operation of the MBS and accordingly, the introduction of this option is not anticipated to create a net change in the regulatory impact on business. </w:t>
      </w:r>
    </w:p>
    <w:p w14:paraId="5527D1F6" w14:textId="0CE3307E" w:rsidR="00CC4466" w:rsidRDefault="00CC4466" w:rsidP="006F3273">
      <w:pPr>
        <w:rPr>
          <w:rFonts w:asciiTheme="minorHAnsi" w:hAnsiTheme="minorHAnsi" w:cstheme="minorHAnsi"/>
          <w:lang w:eastAsia="en-AU"/>
        </w:rPr>
      </w:pPr>
    </w:p>
    <w:p w14:paraId="790F4AB9" w14:textId="07497188" w:rsidR="002B515E" w:rsidRDefault="002B515E" w:rsidP="006F3273">
      <w:pPr>
        <w:rPr>
          <w:rFonts w:asciiTheme="minorHAnsi" w:hAnsiTheme="minorHAnsi" w:cstheme="minorHAnsi"/>
          <w:lang w:eastAsia="en-AU"/>
        </w:rPr>
      </w:pPr>
      <w:r>
        <w:rPr>
          <w:rFonts w:asciiTheme="minorHAnsi" w:hAnsiTheme="minorHAnsi" w:cstheme="minorHAnsi"/>
          <w:lang w:eastAsia="en-AU"/>
        </w:rPr>
        <w:t xml:space="preserve">This option is centred on the medical workforce and therefore shares many limitations </w:t>
      </w:r>
      <w:r w:rsidR="001E44BC">
        <w:rPr>
          <w:rFonts w:asciiTheme="minorHAnsi" w:hAnsiTheme="minorHAnsi" w:cstheme="minorHAnsi"/>
          <w:lang w:eastAsia="en-AU"/>
        </w:rPr>
        <w:t>identified</w:t>
      </w:r>
      <w:r>
        <w:rPr>
          <w:rFonts w:asciiTheme="minorHAnsi" w:hAnsiTheme="minorHAnsi" w:cstheme="minorHAnsi"/>
          <w:lang w:eastAsia="en-AU"/>
        </w:rPr>
        <w:t xml:space="preserve"> in relation to a decision to maintain the current policy settings and program arrangements.  </w:t>
      </w:r>
      <w:r w:rsidR="001E44BC">
        <w:rPr>
          <w:rFonts w:asciiTheme="minorHAnsi" w:hAnsiTheme="minorHAnsi" w:cstheme="minorHAnsi"/>
          <w:lang w:eastAsia="en-AU"/>
        </w:rPr>
        <w:t>Specifically, this option would</w:t>
      </w:r>
      <w:r w:rsidR="009F3772">
        <w:rPr>
          <w:rFonts w:asciiTheme="minorHAnsi" w:hAnsiTheme="minorHAnsi" w:cstheme="minorHAnsi"/>
          <w:lang w:eastAsia="en-AU"/>
        </w:rPr>
        <w:t xml:space="preserve"> not address issues relating to the training and deployment of the non-medical practitioner segments of the health workforce, such as</w:t>
      </w:r>
      <w:r>
        <w:rPr>
          <w:rFonts w:asciiTheme="minorHAnsi" w:hAnsiTheme="minorHAnsi" w:cstheme="minorHAnsi"/>
          <w:lang w:eastAsia="en-AU"/>
        </w:rPr>
        <w:t>:</w:t>
      </w:r>
    </w:p>
    <w:p w14:paraId="47271342" w14:textId="755914E0" w:rsidR="002B515E" w:rsidRDefault="002B515E" w:rsidP="00AA5EBF">
      <w:pPr>
        <w:pStyle w:val="ListParagraph"/>
        <w:numPr>
          <w:ilvl w:val="0"/>
          <w:numId w:val="42"/>
        </w:numPr>
        <w:rPr>
          <w:rFonts w:asciiTheme="minorHAnsi" w:hAnsiTheme="minorHAnsi" w:cstheme="minorHAnsi"/>
          <w:lang w:eastAsia="en-AU"/>
        </w:rPr>
      </w:pPr>
      <w:r>
        <w:rPr>
          <w:rFonts w:asciiTheme="minorHAnsi" w:hAnsiTheme="minorHAnsi" w:cstheme="minorHAnsi"/>
          <w:lang w:eastAsia="en-AU"/>
        </w:rPr>
        <w:t xml:space="preserve">the </w:t>
      </w:r>
      <w:r w:rsidR="009F3772">
        <w:rPr>
          <w:rFonts w:asciiTheme="minorHAnsi" w:hAnsiTheme="minorHAnsi" w:cstheme="minorHAnsi"/>
          <w:lang w:eastAsia="en-AU"/>
        </w:rPr>
        <w:t>quality and appropriateness</w:t>
      </w:r>
      <w:r>
        <w:rPr>
          <w:rFonts w:asciiTheme="minorHAnsi" w:hAnsiTheme="minorHAnsi" w:cstheme="minorHAnsi"/>
          <w:lang w:eastAsia="en-AU"/>
        </w:rPr>
        <w:t xml:space="preserve"> vo</w:t>
      </w:r>
      <w:r w:rsidR="009F3772">
        <w:rPr>
          <w:rFonts w:asciiTheme="minorHAnsi" w:hAnsiTheme="minorHAnsi" w:cstheme="minorHAnsi"/>
          <w:lang w:eastAsia="en-AU"/>
        </w:rPr>
        <w:t>cational training for nurses or</w:t>
      </w:r>
      <w:r>
        <w:rPr>
          <w:rFonts w:asciiTheme="minorHAnsi" w:hAnsiTheme="minorHAnsi" w:cstheme="minorHAnsi"/>
          <w:lang w:eastAsia="en-AU"/>
        </w:rPr>
        <w:t xml:space="preserve"> mechanisms to increase the size of the primary care nursing workforce;</w:t>
      </w:r>
    </w:p>
    <w:p w14:paraId="7582B97A" w14:textId="6C8AFB83" w:rsidR="009F3772" w:rsidRPr="006F3273" w:rsidRDefault="009F3772" w:rsidP="00AA5EBF">
      <w:pPr>
        <w:pStyle w:val="ListParagraph"/>
        <w:numPr>
          <w:ilvl w:val="0"/>
          <w:numId w:val="42"/>
        </w:numPr>
        <w:rPr>
          <w:rFonts w:asciiTheme="minorHAnsi" w:hAnsiTheme="minorHAnsi" w:cstheme="minorHAnsi"/>
          <w:lang w:eastAsia="en-AU"/>
        </w:rPr>
      </w:pPr>
      <w:r>
        <w:rPr>
          <w:rFonts w:asciiTheme="minorHAnsi" w:hAnsiTheme="minorHAnsi" w:cstheme="minorHAnsi"/>
          <w:lang w:eastAsia="en-AU"/>
        </w:rPr>
        <w:t>the value of improving system capacity to offer team-based care;</w:t>
      </w:r>
    </w:p>
    <w:p w14:paraId="3133EF33" w14:textId="27FD106B" w:rsidR="009F3772" w:rsidRDefault="009F3772" w:rsidP="00AA5EBF">
      <w:pPr>
        <w:pStyle w:val="ListParagraph"/>
        <w:numPr>
          <w:ilvl w:val="0"/>
          <w:numId w:val="42"/>
        </w:numPr>
        <w:rPr>
          <w:rFonts w:asciiTheme="minorHAnsi" w:hAnsiTheme="minorHAnsi" w:cstheme="minorHAnsi"/>
          <w:lang w:eastAsia="en-AU"/>
        </w:rPr>
      </w:pPr>
      <w:r>
        <w:rPr>
          <w:rFonts w:asciiTheme="minorHAnsi" w:hAnsiTheme="minorHAnsi" w:cstheme="minorHAnsi"/>
          <w:lang w:eastAsia="en-AU"/>
        </w:rPr>
        <w:t>access to mental health and dental health services in rural Australia; or</w:t>
      </w:r>
    </w:p>
    <w:p w14:paraId="528DBADC" w14:textId="02C7F704" w:rsidR="009F3772" w:rsidRDefault="009F3772" w:rsidP="00AA5EBF">
      <w:pPr>
        <w:pStyle w:val="ListParagraph"/>
        <w:numPr>
          <w:ilvl w:val="0"/>
          <w:numId w:val="42"/>
        </w:numPr>
        <w:rPr>
          <w:rFonts w:asciiTheme="minorHAnsi" w:hAnsiTheme="minorHAnsi" w:cstheme="minorHAnsi"/>
          <w:lang w:eastAsia="en-AU"/>
        </w:rPr>
      </w:pPr>
      <w:r>
        <w:rPr>
          <w:rFonts w:asciiTheme="minorHAnsi" w:hAnsiTheme="minorHAnsi" w:cstheme="minorHAnsi"/>
          <w:lang w:eastAsia="en-AU"/>
        </w:rPr>
        <w:t>support for ATSIHPOs and the need to maintain improvements in the representation o</w:t>
      </w:r>
      <w:r w:rsidR="00BF4F8D">
        <w:rPr>
          <w:rFonts w:asciiTheme="minorHAnsi" w:hAnsiTheme="minorHAnsi" w:cstheme="minorHAnsi"/>
          <w:lang w:eastAsia="en-AU"/>
        </w:rPr>
        <w:t xml:space="preserve">f </w:t>
      </w:r>
      <w:r>
        <w:rPr>
          <w:rFonts w:asciiTheme="minorHAnsi" w:hAnsiTheme="minorHAnsi" w:cstheme="minorHAnsi"/>
          <w:lang w:eastAsia="en-AU"/>
        </w:rPr>
        <w:t xml:space="preserve">Aboriginal and/or Torres Strait Islanders in the health workforce. </w:t>
      </w:r>
    </w:p>
    <w:p w14:paraId="3413B170" w14:textId="722F2337" w:rsidR="00BE3D9C" w:rsidRDefault="00BE3D9C" w:rsidP="006F3273">
      <w:pPr>
        <w:rPr>
          <w:rFonts w:asciiTheme="minorHAnsi" w:hAnsiTheme="minorHAnsi" w:cstheme="minorHAnsi"/>
          <w:lang w:eastAsia="en-AU"/>
        </w:rPr>
      </w:pPr>
    </w:p>
    <w:p w14:paraId="28F4AF17" w14:textId="681A7FA6" w:rsidR="00AF7B16" w:rsidRPr="0052028F" w:rsidRDefault="009F3772">
      <w:pPr>
        <w:rPr>
          <w:rFonts w:asciiTheme="minorHAnsi" w:eastAsiaTheme="minorHAnsi" w:hAnsiTheme="minorHAnsi" w:cstheme="minorHAnsi"/>
          <w:color w:val="000000" w:themeColor="text1"/>
        </w:rPr>
      </w:pPr>
      <w:r>
        <w:rPr>
          <w:rFonts w:asciiTheme="minorHAnsi" w:hAnsiTheme="minorHAnsi" w:cstheme="minorHAnsi"/>
          <w:lang w:eastAsia="en-AU"/>
        </w:rPr>
        <w:t xml:space="preserve">Additionally, it is important to consider that this option does not introduce a systemic response to improving the quality and distribution of </w:t>
      </w:r>
      <w:r w:rsidR="001E44BC">
        <w:rPr>
          <w:rFonts w:asciiTheme="minorHAnsi" w:hAnsiTheme="minorHAnsi" w:cstheme="minorHAnsi"/>
          <w:lang w:eastAsia="en-AU"/>
        </w:rPr>
        <w:t>GPs and non-VR doctors</w:t>
      </w:r>
      <w:r>
        <w:rPr>
          <w:rFonts w:asciiTheme="minorHAnsi" w:hAnsiTheme="minorHAnsi" w:cstheme="minorHAnsi"/>
          <w:lang w:eastAsia="en-AU"/>
        </w:rPr>
        <w:t xml:space="preserve">.  A new MBS </w:t>
      </w:r>
      <w:r w:rsidR="001E44BC">
        <w:rPr>
          <w:rFonts w:asciiTheme="minorHAnsi" w:hAnsiTheme="minorHAnsi" w:cstheme="minorHAnsi"/>
          <w:lang w:eastAsia="en-AU"/>
        </w:rPr>
        <w:t xml:space="preserve">item </w:t>
      </w:r>
      <w:r>
        <w:rPr>
          <w:rFonts w:asciiTheme="minorHAnsi" w:hAnsiTheme="minorHAnsi" w:cstheme="minorHAnsi"/>
          <w:lang w:eastAsia="en-AU"/>
        </w:rPr>
        <w:t>structure does not directly change</w:t>
      </w:r>
      <w:r w:rsidR="00AF7B16" w:rsidRPr="0052028F">
        <w:rPr>
          <w:rFonts w:asciiTheme="minorHAnsi" w:eastAsiaTheme="minorHAnsi" w:hAnsiTheme="minorHAnsi" w:cstheme="minorHAnsi"/>
          <w:color w:val="000000" w:themeColor="text1"/>
        </w:rPr>
        <w:t xml:space="preserve"> the conditions under which non-VR doctors</w:t>
      </w:r>
      <w:r w:rsidR="00AF7B16">
        <w:rPr>
          <w:rFonts w:asciiTheme="minorHAnsi" w:eastAsiaTheme="minorHAnsi" w:hAnsiTheme="minorHAnsi" w:cstheme="minorHAnsi"/>
          <w:color w:val="000000" w:themeColor="text1"/>
        </w:rPr>
        <w:t>,</w:t>
      </w:r>
      <w:r>
        <w:rPr>
          <w:rFonts w:asciiTheme="minorHAnsi" w:eastAsiaTheme="minorHAnsi" w:hAnsiTheme="minorHAnsi" w:cstheme="minorHAnsi"/>
          <w:color w:val="000000" w:themeColor="text1"/>
        </w:rPr>
        <w:t xml:space="preserve"> whether Australian or overseas trained</w:t>
      </w:r>
      <w:r w:rsidR="00AF7B16">
        <w:rPr>
          <w:rFonts w:asciiTheme="minorHAnsi" w:eastAsiaTheme="minorHAnsi" w:hAnsiTheme="minorHAnsi" w:cstheme="minorHAnsi"/>
          <w:color w:val="000000" w:themeColor="text1"/>
        </w:rPr>
        <w:t>,</w:t>
      </w:r>
      <w:r w:rsidR="00AF7B16" w:rsidRPr="0052028F">
        <w:rPr>
          <w:rFonts w:asciiTheme="minorHAnsi" w:eastAsiaTheme="minorHAnsi" w:hAnsiTheme="minorHAnsi" w:cstheme="minorHAnsi"/>
          <w:color w:val="000000" w:themeColor="text1"/>
        </w:rPr>
        <w:t xml:space="preserve"> </w:t>
      </w:r>
      <w:r>
        <w:rPr>
          <w:rFonts w:asciiTheme="minorHAnsi" w:eastAsiaTheme="minorHAnsi" w:hAnsiTheme="minorHAnsi" w:cstheme="minorHAnsi"/>
          <w:color w:val="000000" w:themeColor="text1"/>
        </w:rPr>
        <w:t>can actually</w:t>
      </w:r>
      <w:r w:rsidR="00AF7B16" w:rsidRPr="0052028F">
        <w:rPr>
          <w:rFonts w:asciiTheme="minorHAnsi" w:eastAsiaTheme="minorHAnsi" w:hAnsiTheme="minorHAnsi" w:cstheme="minorHAnsi"/>
          <w:color w:val="000000" w:themeColor="text1"/>
        </w:rPr>
        <w:t xml:space="preserve"> qualify to work under the MBS.  The application of a recalibrated MBS fee </w:t>
      </w:r>
      <w:r w:rsidR="001E44BC">
        <w:rPr>
          <w:rFonts w:asciiTheme="minorHAnsi" w:eastAsiaTheme="minorHAnsi" w:hAnsiTheme="minorHAnsi" w:cstheme="minorHAnsi"/>
          <w:color w:val="000000" w:themeColor="text1"/>
        </w:rPr>
        <w:t>structure independently of changes to other Government workforce measures would</w:t>
      </w:r>
      <w:r w:rsidR="00AF7B16" w:rsidRPr="0052028F">
        <w:rPr>
          <w:rFonts w:asciiTheme="minorHAnsi" w:eastAsiaTheme="minorHAnsi" w:hAnsiTheme="minorHAnsi" w:cstheme="minorHAnsi"/>
          <w:color w:val="000000" w:themeColor="text1"/>
        </w:rPr>
        <w:t xml:space="preserve"> not:</w:t>
      </w:r>
    </w:p>
    <w:p w14:paraId="0DE8296E" w14:textId="71D9949F" w:rsidR="00F75463" w:rsidRDefault="00AF7B16" w:rsidP="00AA5EBF">
      <w:pPr>
        <w:numPr>
          <w:ilvl w:val="0"/>
          <w:numId w:val="14"/>
        </w:numPr>
        <w:contextualSpacing/>
        <w:rPr>
          <w:rFonts w:asciiTheme="minorHAnsi" w:hAnsiTheme="minorHAnsi" w:cstheme="minorHAnsi"/>
          <w:lang w:eastAsia="en-AU"/>
        </w:rPr>
      </w:pPr>
      <w:r w:rsidRPr="00811607">
        <w:rPr>
          <w:rFonts w:asciiTheme="minorHAnsi" w:hAnsiTheme="minorHAnsi" w:cstheme="minorHAnsi"/>
          <w:lang w:eastAsia="en-AU"/>
        </w:rPr>
        <w:t xml:space="preserve">address the </w:t>
      </w:r>
      <w:r w:rsidR="00F75463">
        <w:rPr>
          <w:rFonts w:asciiTheme="minorHAnsi" w:hAnsiTheme="minorHAnsi" w:cstheme="minorHAnsi"/>
          <w:lang w:eastAsia="en-AU"/>
        </w:rPr>
        <w:t xml:space="preserve">view that there are barriers to recruiting Australian-trained non-VR doctors in rural or remote communities; </w:t>
      </w:r>
    </w:p>
    <w:p w14:paraId="4DEDCD96" w14:textId="432782AF" w:rsidR="00AF7B16" w:rsidRPr="00811607" w:rsidRDefault="00F75463" w:rsidP="00AA5EBF">
      <w:pPr>
        <w:numPr>
          <w:ilvl w:val="0"/>
          <w:numId w:val="14"/>
        </w:numPr>
        <w:contextualSpacing/>
        <w:rPr>
          <w:rFonts w:asciiTheme="minorHAnsi" w:hAnsiTheme="minorHAnsi" w:cstheme="minorHAnsi"/>
          <w:lang w:eastAsia="en-AU"/>
        </w:rPr>
      </w:pPr>
      <w:r>
        <w:rPr>
          <w:rFonts w:asciiTheme="minorHAnsi" w:hAnsiTheme="minorHAnsi" w:cstheme="minorHAnsi"/>
          <w:lang w:eastAsia="en-AU"/>
        </w:rPr>
        <w:t>directly address the continued growth in the medical workforce that can be attributed to OTDs; or</w:t>
      </w:r>
    </w:p>
    <w:p w14:paraId="36F4D13A" w14:textId="5B9FF079" w:rsidR="00AF7B16" w:rsidRPr="00811607" w:rsidRDefault="00AF7B16" w:rsidP="00AA5EBF">
      <w:pPr>
        <w:numPr>
          <w:ilvl w:val="0"/>
          <w:numId w:val="14"/>
        </w:numPr>
        <w:contextualSpacing/>
        <w:rPr>
          <w:rFonts w:asciiTheme="minorHAnsi" w:hAnsiTheme="minorHAnsi" w:cstheme="minorHAnsi"/>
          <w:lang w:eastAsia="en-AU"/>
        </w:rPr>
      </w:pPr>
      <w:r w:rsidRPr="00811607">
        <w:rPr>
          <w:rFonts w:asciiTheme="minorHAnsi" w:hAnsiTheme="minorHAnsi" w:cstheme="minorHAnsi"/>
          <w:lang w:eastAsia="en-AU"/>
        </w:rPr>
        <w:t xml:space="preserve">improve the level of direct support non-VR doctors receive with attaining Fellowship qualifications and will therefore not directly increase the number of VR GPs.  While the fee differential encourages the attainment of Fellowship, it does not directly address the circumstances that influence a doctor’s chances of </w:t>
      </w:r>
      <w:r w:rsidR="001E44BC">
        <w:rPr>
          <w:rFonts w:asciiTheme="minorHAnsi" w:hAnsiTheme="minorHAnsi" w:cstheme="minorHAnsi"/>
          <w:lang w:eastAsia="en-AU"/>
        </w:rPr>
        <w:t xml:space="preserve">meeting this standard. </w:t>
      </w:r>
    </w:p>
    <w:p w14:paraId="31367574" w14:textId="77777777" w:rsidR="009F3772" w:rsidRDefault="009F3772" w:rsidP="00AF7B16">
      <w:pPr>
        <w:rPr>
          <w:rFonts w:asciiTheme="minorHAnsi" w:eastAsiaTheme="minorHAnsi" w:hAnsiTheme="minorHAnsi" w:cstheme="minorHAnsi"/>
          <w:color w:val="000000" w:themeColor="text1"/>
        </w:rPr>
      </w:pPr>
    </w:p>
    <w:p w14:paraId="23A07627" w14:textId="423D6D28" w:rsidR="00B97F8F" w:rsidRDefault="00B97F8F" w:rsidP="00B97F8F">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lastRenderedPageBreak/>
        <w:t xml:space="preserve">This option also does not revise other financial incentives, including bulk-billing payments for the MBS or incentives that are provided on the basis of the location and structure of the medical practice.  Changing the general practice item structure in isolation of reforming these other arrangements increases the risk that incentives are inconsistently applied and fail to increase the number of qualified GPs or, at minimum, improve the distribution of non-VR doctors. </w:t>
      </w:r>
    </w:p>
    <w:p w14:paraId="3F5B1A50" w14:textId="2123C1BE" w:rsidR="00B97F8F" w:rsidRDefault="00B97F8F" w:rsidP="00AF7B16">
      <w:pPr>
        <w:rPr>
          <w:rFonts w:asciiTheme="minorHAnsi" w:eastAsiaTheme="minorHAnsi" w:hAnsiTheme="minorHAnsi" w:cstheme="minorHAnsi"/>
          <w:color w:val="000000" w:themeColor="text1"/>
        </w:rPr>
      </w:pPr>
    </w:p>
    <w:p w14:paraId="61E10A86" w14:textId="594817CB" w:rsidR="00BE3D9C" w:rsidRDefault="00AF7B16" w:rsidP="008168D8">
      <w:pPr>
        <w:rPr>
          <w:rFonts w:asciiTheme="minorHAnsi" w:eastAsiaTheme="minorHAnsi" w:hAnsiTheme="minorHAnsi" w:cstheme="minorHAnsi"/>
          <w:color w:val="000000" w:themeColor="text1"/>
        </w:rPr>
      </w:pPr>
      <w:r w:rsidRPr="0052028F">
        <w:rPr>
          <w:rFonts w:asciiTheme="minorHAnsi" w:eastAsiaTheme="minorHAnsi" w:hAnsiTheme="minorHAnsi" w:cstheme="minorHAnsi"/>
          <w:color w:val="000000" w:themeColor="text1"/>
        </w:rPr>
        <w:t xml:space="preserve">While the recalibration of the fee differential is an important element in recognising the value of general practice qualifications, implementing this as a single </w:t>
      </w:r>
      <w:r>
        <w:rPr>
          <w:rFonts w:asciiTheme="minorHAnsi" w:eastAsiaTheme="minorHAnsi" w:hAnsiTheme="minorHAnsi" w:cstheme="minorHAnsi"/>
          <w:color w:val="000000" w:themeColor="text1"/>
        </w:rPr>
        <w:t>initiative</w:t>
      </w:r>
      <w:r w:rsidRPr="0052028F">
        <w:rPr>
          <w:rFonts w:asciiTheme="minorHAnsi" w:eastAsiaTheme="minorHAnsi" w:hAnsiTheme="minorHAnsi" w:cstheme="minorHAnsi"/>
          <w:color w:val="000000" w:themeColor="text1"/>
        </w:rPr>
        <w:t xml:space="preserve"> does not directly support any element of the medical workforce with satisfying the Government’s longstanding expectation that private doctors attain a postgraduate medical qualification in order to provide the highest-level of independent care under the terms of the MBS.</w:t>
      </w:r>
      <w:r>
        <w:rPr>
          <w:rFonts w:asciiTheme="minorHAnsi" w:eastAsiaTheme="minorHAnsi" w:hAnsiTheme="minorHAnsi" w:cstheme="minorHAnsi"/>
          <w:color w:val="000000" w:themeColor="text1"/>
        </w:rPr>
        <w:t xml:space="preserve"> Other initiatives</w:t>
      </w:r>
      <w:r w:rsidR="001E44BC">
        <w:rPr>
          <w:rFonts w:asciiTheme="minorHAnsi" w:eastAsiaTheme="minorHAnsi" w:hAnsiTheme="minorHAnsi" w:cstheme="minorHAnsi"/>
          <w:color w:val="000000" w:themeColor="text1"/>
        </w:rPr>
        <w:t xml:space="preserve"> proposed as part of</w:t>
      </w:r>
      <w:r>
        <w:rPr>
          <w:rFonts w:asciiTheme="minorHAnsi" w:eastAsiaTheme="minorHAnsi" w:hAnsiTheme="minorHAnsi" w:cstheme="minorHAnsi"/>
          <w:color w:val="000000" w:themeColor="text1"/>
        </w:rPr>
        <w:t xml:space="preserve"> the Strategy, such as providing financial and educational support for non-VR doctors to attain vocational registration through</w:t>
      </w:r>
      <w:r w:rsidR="00F75463">
        <w:rPr>
          <w:rFonts w:asciiTheme="minorHAnsi" w:eastAsiaTheme="minorHAnsi" w:hAnsiTheme="minorHAnsi" w:cstheme="minorHAnsi"/>
          <w:color w:val="000000" w:themeColor="text1"/>
        </w:rPr>
        <w:t xml:space="preserve"> FRACGP or FACCRM</w:t>
      </w:r>
      <w:r>
        <w:rPr>
          <w:rFonts w:asciiTheme="minorHAnsi" w:eastAsiaTheme="minorHAnsi" w:hAnsiTheme="minorHAnsi" w:cstheme="minorHAnsi"/>
          <w:color w:val="000000" w:themeColor="text1"/>
        </w:rPr>
        <w:t xml:space="preserve">, are necessary components of the strategic </w:t>
      </w:r>
      <w:r w:rsidR="001E44BC">
        <w:rPr>
          <w:rFonts w:asciiTheme="minorHAnsi" w:eastAsiaTheme="minorHAnsi" w:hAnsiTheme="minorHAnsi" w:cstheme="minorHAnsi"/>
          <w:color w:val="000000" w:themeColor="text1"/>
        </w:rPr>
        <w:t>approach</w:t>
      </w:r>
      <w:r>
        <w:rPr>
          <w:rFonts w:asciiTheme="minorHAnsi" w:eastAsiaTheme="minorHAnsi" w:hAnsiTheme="minorHAnsi" w:cstheme="minorHAnsi"/>
          <w:color w:val="000000" w:themeColor="text1"/>
        </w:rPr>
        <w:t xml:space="preserve"> to improve workforce distribution and qualifications.</w:t>
      </w:r>
      <w:r w:rsidR="00C954F0">
        <w:rPr>
          <w:rFonts w:asciiTheme="minorHAnsi" w:eastAsiaTheme="minorHAnsi" w:hAnsiTheme="minorHAnsi" w:cstheme="minorHAnsi"/>
          <w:color w:val="000000" w:themeColor="text1"/>
        </w:rPr>
        <w:t xml:space="preserve"> </w:t>
      </w:r>
    </w:p>
    <w:p w14:paraId="4B8F8979" w14:textId="77777777" w:rsidR="00F93950" w:rsidRDefault="00F93950">
      <w:pPr>
        <w:spacing w:after="160" w:line="259" w:lineRule="auto"/>
        <w:rPr>
          <w:rFonts w:asciiTheme="minorHAnsi" w:hAnsiTheme="minorHAnsi" w:cstheme="minorHAnsi"/>
          <w:b/>
          <w:bCs/>
          <w:sz w:val="26"/>
          <w:szCs w:val="26"/>
        </w:rPr>
      </w:pPr>
      <w:r>
        <w:rPr>
          <w:rFonts w:asciiTheme="minorHAnsi" w:hAnsiTheme="minorHAnsi" w:cstheme="minorHAnsi"/>
          <w:b/>
        </w:rPr>
        <w:br w:type="page"/>
      </w:r>
    </w:p>
    <w:p w14:paraId="2298E348" w14:textId="346CC35D" w:rsidR="00AF7B16" w:rsidRPr="0052028F" w:rsidRDefault="00AF7B16" w:rsidP="00040603">
      <w:pPr>
        <w:pStyle w:val="Heading3"/>
        <w:spacing w:after="0"/>
        <w:rPr>
          <w:rFonts w:asciiTheme="minorHAnsi" w:hAnsiTheme="minorHAnsi" w:cstheme="minorHAnsi"/>
          <w:b/>
        </w:rPr>
      </w:pPr>
      <w:r w:rsidRPr="0052028F">
        <w:rPr>
          <w:rFonts w:asciiTheme="minorHAnsi" w:hAnsiTheme="minorHAnsi" w:cstheme="minorHAnsi"/>
          <w:b/>
        </w:rPr>
        <w:lastRenderedPageBreak/>
        <w:t xml:space="preserve">Option 3: Implement the proposed package of </w:t>
      </w:r>
      <w:r>
        <w:rPr>
          <w:rFonts w:asciiTheme="minorHAnsi" w:hAnsiTheme="minorHAnsi" w:cstheme="minorHAnsi"/>
          <w:b/>
        </w:rPr>
        <w:t>initiative</w:t>
      </w:r>
      <w:r w:rsidRPr="0052028F">
        <w:rPr>
          <w:rFonts w:asciiTheme="minorHAnsi" w:hAnsiTheme="minorHAnsi" w:cstheme="minorHAnsi"/>
          <w:b/>
        </w:rPr>
        <w:t xml:space="preserve">s to address the identified current and future workforce policy challenges </w:t>
      </w:r>
    </w:p>
    <w:p w14:paraId="5E540FD4" w14:textId="77777777" w:rsidR="00AF7B16" w:rsidRPr="0052028F" w:rsidRDefault="00AF7B16" w:rsidP="00AF7B16">
      <w:pPr>
        <w:rPr>
          <w:rFonts w:asciiTheme="minorHAnsi" w:hAnsiTheme="minorHAnsi" w:cstheme="minorHAnsi"/>
          <w:b/>
        </w:rPr>
      </w:pPr>
      <w:r w:rsidRPr="0052028F">
        <w:rPr>
          <w:rFonts w:asciiTheme="minorHAnsi" w:hAnsiTheme="minorHAnsi" w:cstheme="minorHAnsi"/>
          <w:b/>
        </w:rPr>
        <w:br/>
        <w:t>Option Overview</w:t>
      </w:r>
    </w:p>
    <w:p w14:paraId="17F024E8" w14:textId="6A3D51B6" w:rsidR="00087E15" w:rsidRPr="00087E15" w:rsidRDefault="00087E15" w:rsidP="00087E15">
      <w:pPr>
        <w:rPr>
          <w:rFonts w:asciiTheme="minorHAnsi" w:hAnsiTheme="minorHAnsi" w:cstheme="minorHAnsi"/>
        </w:rPr>
      </w:pPr>
      <w:r w:rsidRPr="00087E15">
        <w:rPr>
          <w:rFonts w:asciiTheme="minorHAnsi" w:hAnsiTheme="minorHAnsi" w:cstheme="minorHAnsi"/>
        </w:rPr>
        <w:t>This option would implement 12 complementary initiatives under a Strategy that will collectively improve access to health services in regional, rural and remote Australia.  More detailed information on the individual measures that comprise the proposed Strategy is provided in Attach</w:t>
      </w:r>
      <w:r w:rsidR="008D0F73">
        <w:rPr>
          <w:rFonts w:asciiTheme="minorHAnsi" w:hAnsiTheme="minorHAnsi" w:cstheme="minorHAnsi"/>
        </w:rPr>
        <w:t>ment A</w:t>
      </w:r>
      <w:r w:rsidR="001E44BC">
        <w:rPr>
          <w:rFonts w:asciiTheme="minorHAnsi" w:hAnsiTheme="minorHAnsi" w:cstheme="minorHAnsi"/>
        </w:rPr>
        <w:t xml:space="preserve">.  These initiatives </w:t>
      </w:r>
      <w:r w:rsidRPr="00087E15">
        <w:rPr>
          <w:rFonts w:asciiTheme="minorHAnsi" w:hAnsiTheme="minorHAnsi" w:cstheme="minorHAnsi"/>
        </w:rPr>
        <w:t>would interact to:</w:t>
      </w:r>
    </w:p>
    <w:p w14:paraId="72C4A801" w14:textId="77777777" w:rsidR="00087E15" w:rsidRPr="00087E15" w:rsidRDefault="00087E15" w:rsidP="00AA5EBF">
      <w:pPr>
        <w:numPr>
          <w:ilvl w:val="0"/>
          <w:numId w:val="47"/>
        </w:numPr>
        <w:spacing w:after="160" w:line="259" w:lineRule="auto"/>
        <w:contextualSpacing/>
        <w:rPr>
          <w:rFonts w:asciiTheme="minorHAnsi" w:hAnsiTheme="minorHAnsi" w:cstheme="minorHAnsi"/>
          <w:color w:val="000000" w:themeColor="text1"/>
        </w:rPr>
      </w:pPr>
      <w:r w:rsidRPr="00087E15">
        <w:rPr>
          <w:rFonts w:asciiTheme="minorHAnsi" w:hAnsiTheme="minorHAnsi" w:cstheme="minorHAnsi"/>
          <w:color w:val="000000" w:themeColor="text1"/>
        </w:rPr>
        <w:t>improve linkages between primary and postgraduate medical training and long-term rural medical careers;</w:t>
      </w:r>
    </w:p>
    <w:p w14:paraId="7D6E1264" w14:textId="1634E518" w:rsidR="00087E15" w:rsidRPr="00087E15" w:rsidRDefault="00087E15" w:rsidP="00AA5EBF">
      <w:pPr>
        <w:numPr>
          <w:ilvl w:val="0"/>
          <w:numId w:val="47"/>
        </w:numPr>
        <w:spacing w:after="160" w:line="259" w:lineRule="auto"/>
        <w:contextualSpacing/>
        <w:rPr>
          <w:rFonts w:asciiTheme="minorHAnsi" w:hAnsiTheme="minorHAnsi" w:cstheme="minorHAnsi"/>
          <w:color w:val="000000" w:themeColor="text1"/>
        </w:rPr>
      </w:pPr>
      <w:r w:rsidRPr="00087E15">
        <w:rPr>
          <w:rFonts w:asciiTheme="minorHAnsi" w:hAnsiTheme="minorHAnsi" w:cstheme="minorHAnsi"/>
          <w:color w:val="000000" w:themeColor="text1"/>
        </w:rPr>
        <w:t>revise the general practice entry conditions to provide better opportunities for Australian medical graduates</w:t>
      </w:r>
      <w:r w:rsidR="001E44BC">
        <w:rPr>
          <w:rFonts w:asciiTheme="minorHAnsi" w:hAnsiTheme="minorHAnsi" w:cstheme="minorHAnsi"/>
          <w:color w:val="000000" w:themeColor="text1"/>
        </w:rPr>
        <w:t xml:space="preserve"> to pursue general practice as their</w:t>
      </w:r>
      <w:r w:rsidRPr="00087E15">
        <w:rPr>
          <w:rFonts w:asciiTheme="minorHAnsi" w:hAnsiTheme="minorHAnsi" w:cstheme="minorHAnsi"/>
          <w:color w:val="000000" w:themeColor="text1"/>
        </w:rPr>
        <w:t xml:space="preserve"> vocation;</w:t>
      </w:r>
    </w:p>
    <w:p w14:paraId="02C4730E" w14:textId="77777777" w:rsidR="00087E15" w:rsidRPr="00087E15" w:rsidRDefault="00087E15" w:rsidP="00AA5EBF">
      <w:pPr>
        <w:numPr>
          <w:ilvl w:val="0"/>
          <w:numId w:val="47"/>
        </w:numPr>
        <w:spacing w:after="160" w:line="259" w:lineRule="auto"/>
        <w:contextualSpacing/>
        <w:rPr>
          <w:rFonts w:asciiTheme="minorHAnsi" w:hAnsiTheme="minorHAnsi" w:cstheme="minorHAnsi"/>
          <w:color w:val="000000" w:themeColor="text1"/>
        </w:rPr>
      </w:pPr>
      <w:r w:rsidRPr="00087E15">
        <w:rPr>
          <w:rFonts w:asciiTheme="minorHAnsi" w:hAnsiTheme="minorHAnsi" w:cstheme="minorHAnsi"/>
          <w:color w:val="000000" w:themeColor="text1"/>
        </w:rPr>
        <w:t>streamline general practice training with additional support for non-VR doctors to qualify;</w:t>
      </w:r>
    </w:p>
    <w:p w14:paraId="457E82C7" w14:textId="77777777" w:rsidR="00087E15" w:rsidRPr="00087E15" w:rsidRDefault="00087E15" w:rsidP="00AA5EBF">
      <w:pPr>
        <w:numPr>
          <w:ilvl w:val="0"/>
          <w:numId w:val="47"/>
        </w:numPr>
        <w:spacing w:after="160" w:line="259" w:lineRule="auto"/>
        <w:contextualSpacing/>
        <w:rPr>
          <w:rFonts w:asciiTheme="minorHAnsi" w:hAnsiTheme="minorHAnsi" w:cstheme="minorHAnsi"/>
          <w:color w:val="000000" w:themeColor="text1"/>
        </w:rPr>
      </w:pPr>
      <w:r w:rsidRPr="00087E15">
        <w:rPr>
          <w:rFonts w:asciiTheme="minorHAnsi" w:hAnsiTheme="minorHAnsi" w:cstheme="minorHAnsi"/>
          <w:color w:val="000000" w:themeColor="text1"/>
        </w:rPr>
        <w:t>reconfigure the GP MBS items so that they are a driver for the Government’s aspiration that private doctors attain postgraduate qualifications and an increase in the number of GPs who are qualified to this level across Australia;</w:t>
      </w:r>
    </w:p>
    <w:p w14:paraId="216BE9F5" w14:textId="77777777" w:rsidR="00087E15" w:rsidRPr="00087E15" w:rsidRDefault="00087E15" w:rsidP="00AA5EBF">
      <w:pPr>
        <w:numPr>
          <w:ilvl w:val="0"/>
          <w:numId w:val="47"/>
        </w:numPr>
        <w:spacing w:after="160" w:line="259" w:lineRule="auto"/>
        <w:contextualSpacing/>
        <w:rPr>
          <w:rFonts w:asciiTheme="minorHAnsi" w:hAnsiTheme="minorHAnsi" w:cstheme="minorHAnsi"/>
          <w:color w:val="000000" w:themeColor="text1"/>
        </w:rPr>
      </w:pPr>
      <w:r w:rsidRPr="00087E15">
        <w:rPr>
          <w:rFonts w:asciiTheme="minorHAnsi" w:hAnsiTheme="minorHAnsi" w:cstheme="minorHAnsi"/>
          <w:color w:val="000000" w:themeColor="text1"/>
        </w:rPr>
        <w:t>apply a more direct influence on the distribution of OTDs;</w:t>
      </w:r>
    </w:p>
    <w:p w14:paraId="43FB286E" w14:textId="7D2EA59A" w:rsidR="00087E15" w:rsidRPr="00087E15" w:rsidRDefault="00087E15" w:rsidP="00AA5EBF">
      <w:pPr>
        <w:numPr>
          <w:ilvl w:val="0"/>
          <w:numId w:val="47"/>
        </w:numPr>
        <w:spacing w:after="160" w:line="259" w:lineRule="auto"/>
        <w:contextualSpacing/>
        <w:rPr>
          <w:rFonts w:asciiTheme="minorHAnsi" w:hAnsiTheme="minorHAnsi" w:cstheme="minorHAnsi"/>
          <w:color w:val="000000" w:themeColor="text1"/>
        </w:rPr>
      </w:pPr>
      <w:r w:rsidRPr="00087E15">
        <w:rPr>
          <w:rFonts w:asciiTheme="minorHAnsi" w:hAnsiTheme="minorHAnsi" w:cstheme="minorHAnsi"/>
          <w:color w:val="000000" w:themeColor="text1"/>
        </w:rPr>
        <w:t xml:space="preserve">invest in </w:t>
      </w:r>
      <w:r w:rsidR="00540260">
        <w:rPr>
          <w:rFonts w:asciiTheme="minorHAnsi" w:hAnsiTheme="minorHAnsi" w:cstheme="minorHAnsi"/>
          <w:color w:val="000000" w:themeColor="text1"/>
        </w:rPr>
        <w:t xml:space="preserve">improving </w:t>
      </w:r>
      <w:r w:rsidRPr="00087E15">
        <w:rPr>
          <w:rFonts w:asciiTheme="minorHAnsi" w:hAnsiTheme="minorHAnsi" w:cstheme="minorHAnsi"/>
          <w:color w:val="000000" w:themeColor="text1"/>
        </w:rPr>
        <w:t xml:space="preserve">access to non-medical health services; </w:t>
      </w:r>
    </w:p>
    <w:p w14:paraId="154AE84B" w14:textId="77777777" w:rsidR="00087E15" w:rsidRPr="00087E15" w:rsidRDefault="00087E15" w:rsidP="00AA5EBF">
      <w:pPr>
        <w:numPr>
          <w:ilvl w:val="0"/>
          <w:numId w:val="47"/>
        </w:numPr>
        <w:spacing w:after="160" w:line="259" w:lineRule="auto"/>
        <w:contextualSpacing/>
        <w:rPr>
          <w:rFonts w:asciiTheme="minorHAnsi" w:hAnsiTheme="minorHAnsi" w:cstheme="minorHAnsi"/>
          <w:color w:val="000000" w:themeColor="text1"/>
        </w:rPr>
      </w:pPr>
      <w:r w:rsidRPr="00087E15">
        <w:rPr>
          <w:rFonts w:asciiTheme="minorHAnsi" w:hAnsiTheme="minorHAnsi" w:cstheme="minorHAnsi"/>
          <w:color w:val="000000" w:themeColor="text1"/>
        </w:rPr>
        <w:t>reconfigure the current incentive payment programs to support the sustained delivery of affordable primary care in regional, rural and remote areas; and</w:t>
      </w:r>
    </w:p>
    <w:p w14:paraId="75BE4109" w14:textId="77777777" w:rsidR="00087E15" w:rsidRPr="00087E15" w:rsidRDefault="00087E15" w:rsidP="00AA5EBF">
      <w:pPr>
        <w:numPr>
          <w:ilvl w:val="0"/>
          <w:numId w:val="47"/>
        </w:numPr>
        <w:spacing w:after="160" w:line="259" w:lineRule="auto"/>
        <w:contextualSpacing/>
        <w:rPr>
          <w:rFonts w:asciiTheme="minorHAnsi" w:hAnsiTheme="minorHAnsi" w:cstheme="minorHAnsi"/>
          <w:color w:val="000000" w:themeColor="text1"/>
        </w:rPr>
      </w:pPr>
      <w:r w:rsidRPr="00087E15">
        <w:rPr>
          <w:rFonts w:asciiTheme="minorHAnsi" w:hAnsiTheme="minorHAnsi" w:cstheme="minorHAnsi"/>
          <w:color w:val="000000" w:themeColor="text1"/>
        </w:rPr>
        <w:t>develop and implement workforce planning tools.</w:t>
      </w:r>
    </w:p>
    <w:p w14:paraId="1ED1F487" w14:textId="77777777" w:rsidR="00087E15" w:rsidRPr="00087E15" w:rsidRDefault="00087E15" w:rsidP="00087E15">
      <w:pPr>
        <w:rPr>
          <w:rFonts w:asciiTheme="minorHAnsi" w:hAnsiTheme="minorHAnsi" w:cstheme="minorHAnsi"/>
        </w:rPr>
      </w:pPr>
    </w:p>
    <w:p w14:paraId="779E9510" w14:textId="77777777" w:rsidR="00087E15" w:rsidRPr="00087E15" w:rsidRDefault="00087E15"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 xml:space="preserve">The following explores the key interactions. </w:t>
      </w:r>
    </w:p>
    <w:p w14:paraId="19C98598" w14:textId="77777777" w:rsidR="00087E15" w:rsidRPr="00087E15" w:rsidRDefault="00087E15" w:rsidP="00087E15">
      <w:pPr>
        <w:rPr>
          <w:rFonts w:asciiTheme="minorHAnsi" w:hAnsiTheme="minorHAnsi" w:cstheme="minorHAnsi"/>
          <w:i/>
          <w:color w:val="FF0000"/>
        </w:rPr>
      </w:pPr>
    </w:p>
    <w:p w14:paraId="6316D895" w14:textId="77777777" w:rsidR="00087E15" w:rsidRPr="00087E15" w:rsidRDefault="00087E15" w:rsidP="00087E15">
      <w:pPr>
        <w:rPr>
          <w:rFonts w:asciiTheme="minorHAnsi" w:hAnsiTheme="minorHAnsi" w:cstheme="minorHAnsi"/>
          <w:i/>
          <w:color w:val="000000" w:themeColor="text1"/>
        </w:rPr>
      </w:pPr>
      <w:r w:rsidRPr="00087E15">
        <w:rPr>
          <w:rFonts w:asciiTheme="minorHAnsi" w:hAnsiTheme="minorHAnsi" w:cstheme="minorHAnsi"/>
          <w:i/>
          <w:color w:val="000000" w:themeColor="text1"/>
        </w:rPr>
        <w:t>Improve linkages between primary and postgraduate medical training and long-term rural careers.</w:t>
      </w:r>
    </w:p>
    <w:p w14:paraId="023A0AD4" w14:textId="4EED8327" w:rsidR="00087E15" w:rsidRPr="00087E15" w:rsidRDefault="00540260" w:rsidP="00087E15">
      <w:pPr>
        <w:contextualSpacing/>
        <w:rPr>
          <w:rFonts w:asciiTheme="minorHAnsi" w:hAnsiTheme="minorHAnsi" w:cstheme="minorHAnsi"/>
          <w:color w:val="000000" w:themeColor="text1"/>
          <w:lang w:eastAsia="en-AU"/>
        </w:rPr>
      </w:pPr>
      <w:r>
        <w:rPr>
          <w:rFonts w:asciiTheme="minorHAnsi" w:hAnsiTheme="minorHAnsi" w:cstheme="minorHAnsi"/>
          <w:color w:val="000000" w:themeColor="text1"/>
          <w:lang w:eastAsia="en-AU"/>
        </w:rPr>
        <w:t xml:space="preserve">If this option for </w:t>
      </w:r>
      <w:r w:rsidR="00087E15" w:rsidRPr="00087E15">
        <w:rPr>
          <w:rFonts w:asciiTheme="minorHAnsi" w:hAnsiTheme="minorHAnsi" w:cstheme="minorHAnsi"/>
          <w:color w:val="000000" w:themeColor="text1"/>
          <w:lang w:eastAsia="en-AU"/>
        </w:rPr>
        <w:t>a strategic approach</w:t>
      </w:r>
      <w:r>
        <w:rPr>
          <w:rFonts w:asciiTheme="minorHAnsi" w:hAnsiTheme="minorHAnsi" w:cstheme="minorHAnsi"/>
          <w:color w:val="000000" w:themeColor="text1"/>
          <w:lang w:eastAsia="en-AU"/>
        </w:rPr>
        <w:t xml:space="preserve"> to reforms is implemented, a primary focu</w:t>
      </w:r>
      <w:r w:rsidR="00087E15" w:rsidRPr="00087E15">
        <w:rPr>
          <w:rFonts w:asciiTheme="minorHAnsi" w:hAnsiTheme="minorHAnsi" w:cstheme="minorHAnsi"/>
          <w:color w:val="000000" w:themeColor="text1"/>
          <w:lang w:eastAsia="en-AU"/>
        </w:rPr>
        <w:t>s would be to increase training opportunities for Australian medical graduates in regional, rural and remote Australia.  This responds to evidence that doctors who train outside of the major cities are more likely to pursue a long-term medical career in regional, rural and remote Australia.  Recalibrating current training settings would be a mechanism to address medical workforce distribution concerns with Australian trained medical practitioners.</w:t>
      </w:r>
    </w:p>
    <w:p w14:paraId="07BE2908" w14:textId="77777777" w:rsidR="00087E15" w:rsidRPr="00087E15" w:rsidRDefault="00087E15" w:rsidP="00087E15">
      <w:pPr>
        <w:contextualSpacing/>
        <w:rPr>
          <w:rFonts w:asciiTheme="minorHAnsi" w:hAnsiTheme="minorHAnsi" w:cstheme="minorHAnsi"/>
          <w:color w:val="000000" w:themeColor="text1"/>
          <w:lang w:eastAsia="en-AU"/>
        </w:rPr>
      </w:pPr>
    </w:p>
    <w:p w14:paraId="2538CC5C" w14:textId="77777777" w:rsidR="00087E15" w:rsidRPr="00087E15" w:rsidRDefault="00087E15" w:rsidP="00087E15">
      <w:pPr>
        <w:contextualSpacing/>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The Government’s current workforce settings are primarily concerned with distributing placements offered through the general practice training and experience programs that are linked to the MBS access rules.  The placements are appropriate for doctors (Australian and overseas trained) who are at a stage in their medical career where they can commit to general practice as a vocation.  While some alternate arrangements are available for Australian medical graduates who are at an earlier stage in their career, there are more limited in their scope and ability to genuinely influence medical workforce distribution.</w:t>
      </w:r>
    </w:p>
    <w:p w14:paraId="0F04B597" w14:textId="77777777" w:rsidR="00087E15" w:rsidRPr="00087E15" w:rsidRDefault="00087E15" w:rsidP="00087E15">
      <w:pPr>
        <w:contextualSpacing/>
        <w:rPr>
          <w:rFonts w:asciiTheme="minorHAnsi" w:hAnsiTheme="minorHAnsi" w:cstheme="minorHAnsi"/>
          <w:color w:val="000000" w:themeColor="text1"/>
          <w:lang w:eastAsia="en-AU"/>
        </w:rPr>
      </w:pPr>
    </w:p>
    <w:p w14:paraId="4726F614" w14:textId="77777777" w:rsidR="00C954F0" w:rsidRDefault="00087E15" w:rsidP="00087E15">
      <w:pPr>
        <w:contextualSpacing/>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 xml:space="preserve">Under this option, the Murray Darling Medical Schools Network would establish a Murray Darling Medical School and offer new, rurally-based university medical school programs. Under these programs, medical students would be able to undertake the majority of their study in the Murray-Darling region of New South Wales and Victoria.  This initiative would enable many </w:t>
      </w:r>
      <w:r w:rsidRPr="00087E15">
        <w:rPr>
          <w:rFonts w:asciiTheme="minorHAnsi" w:hAnsiTheme="minorHAnsi" w:cstheme="minorHAnsi"/>
          <w:color w:val="000000" w:themeColor="text1"/>
          <w:lang w:eastAsia="en-AU"/>
        </w:rPr>
        <w:lastRenderedPageBreak/>
        <w:t>medical students to stay in their communities while they train to become a doctor, increasing their likelihood of pursue a rural career in medicine.</w:t>
      </w:r>
    </w:p>
    <w:p w14:paraId="047C6256" w14:textId="3643191B" w:rsidR="00087E15" w:rsidRPr="00087E15" w:rsidRDefault="00C954F0" w:rsidP="00087E15">
      <w:pPr>
        <w:contextualSpacing/>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 xml:space="preserve"> </w:t>
      </w:r>
    </w:p>
    <w:p w14:paraId="32D52900" w14:textId="77777777" w:rsidR="00087E15" w:rsidRPr="00087E15" w:rsidRDefault="00087E15" w:rsidP="00087E15">
      <w:pPr>
        <w:contextualSpacing/>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This option also seeks to implement measures that would place more doctors in the postgraduate training phase of their career into rural communities by:</w:t>
      </w:r>
    </w:p>
    <w:p w14:paraId="3692C1D6" w14:textId="77777777" w:rsidR="00087E15" w:rsidRPr="00087E15" w:rsidRDefault="00087E15" w:rsidP="00AA5EBF">
      <w:pPr>
        <w:numPr>
          <w:ilvl w:val="0"/>
          <w:numId w:val="50"/>
        </w:numPr>
        <w:spacing w:after="160" w:line="259" w:lineRule="auto"/>
        <w:contextualSpacing/>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revising the current bonding arrangements, so that participants would be able to complete part of their return of service when undertaking their postgraduate training in regional, rural or remote settings.  These revisions would address concerns that the current bonding arrangements do not encourage participants to consider regional, rural and remote training options (when they are available) and that participants must qualify as a GP, specialist or consultant physician before considering how to discharge their return of service obligations to the Government.</w:t>
      </w:r>
    </w:p>
    <w:p w14:paraId="37230A9B" w14:textId="31B18ECD" w:rsidR="00087E15" w:rsidRPr="00087E15" w:rsidRDefault="00087E15" w:rsidP="00AA5EBF">
      <w:pPr>
        <w:numPr>
          <w:ilvl w:val="0"/>
          <w:numId w:val="50"/>
        </w:numPr>
        <w:spacing w:after="160" w:line="259" w:lineRule="auto"/>
        <w:contextualSpacing/>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funding increased opportunities for Australian trained Juni</w:t>
      </w:r>
      <w:r w:rsidR="00540260">
        <w:rPr>
          <w:rFonts w:asciiTheme="minorHAnsi" w:hAnsiTheme="minorHAnsi" w:cstheme="minorHAnsi"/>
          <w:color w:val="000000" w:themeColor="text1"/>
          <w:lang w:eastAsia="en-AU"/>
        </w:rPr>
        <w:t>or Doctors, to work and train</w:t>
      </w:r>
      <w:r w:rsidRPr="00087E15">
        <w:rPr>
          <w:rFonts w:asciiTheme="minorHAnsi" w:hAnsiTheme="minorHAnsi" w:cstheme="minorHAnsi"/>
          <w:color w:val="000000" w:themeColor="text1"/>
          <w:lang w:eastAsia="en-AU"/>
        </w:rPr>
        <w:t xml:space="preserve"> in rural primary care and private hospital settings.  This activity wo</w:t>
      </w:r>
      <w:r w:rsidR="00540260">
        <w:rPr>
          <w:rFonts w:asciiTheme="minorHAnsi" w:hAnsiTheme="minorHAnsi" w:cstheme="minorHAnsi"/>
          <w:color w:val="000000" w:themeColor="text1"/>
          <w:lang w:eastAsia="en-AU"/>
        </w:rPr>
        <w:t xml:space="preserve">uld </w:t>
      </w:r>
      <w:r w:rsidRPr="00087E15">
        <w:rPr>
          <w:rFonts w:asciiTheme="minorHAnsi" w:hAnsiTheme="minorHAnsi" w:cstheme="minorHAnsi"/>
          <w:color w:val="000000" w:themeColor="text1"/>
          <w:lang w:eastAsia="en-AU"/>
        </w:rPr>
        <w:t>provide access to placements so that a</w:t>
      </w:r>
      <w:r w:rsidR="00540260">
        <w:rPr>
          <w:rFonts w:asciiTheme="minorHAnsi" w:hAnsiTheme="minorHAnsi" w:cstheme="minorHAnsi"/>
          <w:color w:val="000000" w:themeColor="text1"/>
          <w:lang w:eastAsia="en-AU"/>
        </w:rPr>
        <w:t xml:space="preserve"> broad range of medical students</w:t>
      </w:r>
      <w:r w:rsidRPr="00087E15">
        <w:rPr>
          <w:rFonts w:asciiTheme="minorHAnsi" w:hAnsiTheme="minorHAnsi" w:cstheme="minorHAnsi"/>
          <w:color w:val="000000" w:themeColor="text1"/>
          <w:lang w:eastAsia="en-AU"/>
        </w:rPr>
        <w:t xml:space="preserve"> could gain rural clinical experience and, in particular, experience work in a gener</w:t>
      </w:r>
      <w:r w:rsidR="00540260">
        <w:rPr>
          <w:rFonts w:asciiTheme="minorHAnsi" w:hAnsiTheme="minorHAnsi" w:cstheme="minorHAnsi"/>
          <w:color w:val="000000" w:themeColor="text1"/>
          <w:lang w:eastAsia="en-AU"/>
        </w:rPr>
        <w:t xml:space="preserve">al practice setting to inform their choice of </w:t>
      </w:r>
      <w:r w:rsidRPr="00087E15">
        <w:rPr>
          <w:rFonts w:asciiTheme="minorHAnsi" w:hAnsiTheme="minorHAnsi" w:cstheme="minorHAnsi"/>
          <w:color w:val="000000" w:themeColor="text1"/>
          <w:lang w:eastAsia="en-AU"/>
        </w:rPr>
        <w:t xml:space="preserve">postgraduate vocation. </w:t>
      </w:r>
    </w:p>
    <w:p w14:paraId="565AAA4F" w14:textId="15FB3353" w:rsidR="00087E15" w:rsidRPr="00087E15" w:rsidRDefault="00087E15" w:rsidP="00AA5EBF">
      <w:pPr>
        <w:numPr>
          <w:ilvl w:val="0"/>
          <w:numId w:val="50"/>
        </w:numPr>
        <w:spacing w:after="160" w:line="259" w:lineRule="auto"/>
        <w:contextualSpacing/>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introducing a consolidated general practice experience program, the MDRAP, which would allow non-VR doctor</w:t>
      </w:r>
      <w:r w:rsidR="00F6327C">
        <w:rPr>
          <w:rFonts w:asciiTheme="minorHAnsi" w:hAnsiTheme="minorHAnsi" w:cstheme="minorHAnsi"/>
          <w:color w:val="000000" w:themeColor="text1"/>
          <w:lang w:eastAsia="en-AU"/>
        </w:rPr>
        <w:t>s to work with MBS access in  Modified Monash (MM)</w:t>
      </w:r>
      <w:r w:rsidRPr="00087E15">
        <w:rPr>
          <w:rFonts w:asciiTheme="minorHAnsi" w:hAnsiTheme="minorHAnsi" w:cstheme="minorHAnsi"/>
          <w:color w:val="000000" w:themeColor="text1"/>
          <w:lang w:eastAsia="en-AU"/>
        </w:rPr>
        <w:t xml:space="preserve"> 2 to 7 areas.  The MDRAP would replace and broaden the scope of current experience programs, such as the RLRP, to cater to a greater number of non-VR doctors who are seeking to make general practice their vocation.  Linking the MDRAP to the MMM classification system would ensure placements are being offered in regional, rural and remote areas that are identified according to the latest geography.</w:t>
      </w:r>
    </w:p>
    <w:p w14:paraId="6F4475E8" w14:textId="77777777" w:rsidR="00087E15" w:rsidRPr="00087E15" w:rsidRDefault="00087E15" w:rsidP="00087E15">
      <w:pPr>
        <w:ind w:left="720"/>
        <w:contextualSpacing/>
        <w:rPr>
          <w:rFonts w:asciiTheme="minorHAnsi" w:hAnsiTheme="minorHAnsi" w:cstheme="minorHAnsi"/>
          <w:color w:val="000000" w:themeColor="text1"/>
          <w:lang w:eastAsia="en-AU"/>
        </w:rPr>
      </w:pPr>
    </w:p>
    <w:p w14:paraId="306C43FC" w14:textId="6EA71EBD" w:rsidR="00087E15" w:rsidRPr="00087E15" w:rsidRDefault="00087E15" w:rsidP="00087E15">
      <w:pPr>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Importantly, the current general practice training programs would</w:t>
      </w:r>
      <w:r w:rsidR="00540260">
        <w:rPr>
          <w:rFonts w:asciiTheme="minorHAnsi" w:hAnsiTheme="minorHAnsi" w:cstheme="minorHAnsi"/>
          <w:color w:val="000000" w:themeColor="text1"/>
          <w:lang w:eastAsia="en-AU"/>
        </w:rPr>
        <w:t xml:space="preserve"> also</w:t>
      </w:r>
      <w:r w:rsidR="00E87A06">
        <w:rPr>
          <w:rFonts w:asciiTheme="minorHAnsi" w:hAnsiTheme="minorHAnsi" w:cstheme="minorHAnsi"/>
          <w:color w:val="000000" w:themeColor="text1"/>
          <w:lang w:eastAsia="en-AU"/>
        </w:rPr>
        <w:t xml:space="preserve"> be</w:t>
      </w:r>
      <w:r w:rsidRPr="00087E15">
        <w:rPr>
          <w:rFonts w:asciiTheme="minorHAnsi" w:hAnsiTheme="minorHAnsi" w:cstheme="minorHAnsi"/>
          <w:color w:val="000000" w:themeColor="text1"/>
          <w:lang w:eastAsia="en-AU"/>
        </w:rPr>
        <w:t xml:space="preserve"> streamlined and placed under the administration of the RACGP and the ACRRM.  In addition to the significant benefits this carries in terms of the colleges being able to improve the link between</w:t>
      </w:r>
      <w:r w:rsidR="00540260">
        <w:rPr>
          <w:rFonts w:asciiTheme="minorHAnsi" w:hAnsiTheme="minorHAnsi" w:cstheme="minorHAnsi"/>
          <w:color w:val="000000" w:themeColor="text1"/>
          <w:lang w:eastAsia="en-AU"/>
        </w:rPr>
        <w:t xml:space="preserve"> training</w:t>
      </w:r>
      <w:r w:rsidRPr="00087E15">
        <w:rPr>
          <w:rFonts w:asciiTheme="minorHAnsi" w:hAnsiTheme="minorHAnsi" w:cstheme="minorHAnsi"/>
          <w:color w:val="000000" w:themeColor="text1"/>
          <w:lang w:eastAsia="en-AU"/>
        </w:rPr>
        <w:t xml:space="preserve"> selection processes and their respective qualification standards, Health would ensure that</w:t>
      </w:r>
      <w:r w:rsidR="00540260">
        <w:rPr>
          <w:rFonts w:asciiTheme="minorHAnsi" w:hAnsiTheme="minorHAnsi" w:cstheme="minorHAnsi"/>
          <w:color w:val="000000" w:themeColor="text1"/>
          <w:lang w:eastAsia="en-AU"/>
        </w:rPr>
        <w:t xml:space="preserve"> funding arrangements build on</w:t>
      </w:r>
      <w:r w:rsidRPr="00087E15">
        <w:rPr>
          <w:rFonts w:asciiTheme="minorHAnsi" w:hAnsiTheme="minorHAnsi" w:cstheme="minorHAnsi"/>
          <w:color w:val="000000" w:themeColor="text1"/>
          <w:lang w:eastAsia="en-AU"/>
        </w:rPr>
        <w:t xml:space="preserve"> the current standards influencing an equitable dist</w:t>
      </w:r>
      <w:r w:rsidR="00540260">
        <w:rPr>
          <w:rFonts w:asciiTheme="minorHAnsi" w:hAnsiTheme="minorHAnsi" w:cstheme="minorHAnsi"/>
          <w:color w:val="000000" w:themeColor="text1"/>
          <w:lang w:eastAsia="en-AU"/>
        </w:rPr>
        <w:t>ribution of training placements</w:t>
      </w:r>
      <w:r w:rsidRPr="00087E15">
        <w:rPr>
          <w:rFonts w:asciiTheme="minorHAnsi" w:hAnsiTheme="minorHAnsi" w:cstheme="minorHAnsi"/>
          <w:color w:val="000000" w:themeColor="text1"/>
          <w:lang w:eastAsia="en-AU"/>
        </w:rPr>
        <w:t>.  This would ensure that the significant presence of formal GP trainees in regional, rural and remote communities is maintained beyond implementation of this option.</w:t>
      </w:r>
    </w:p>
    <w:p w14:paraId="4478FA61" w14:textId="77777777" w:rsidR="00087E15" w:rsidRPr="00087E15" w:rsidRDefault="00087E15" w:rsidP="00087E15">
      <w:pPr>
        <w:rPr>
          <w:rFonts w:asciiTheme="minorHAnsi" w:hAnsiTheme="minorHAnsi" w:cstheme="minorHAnsi"/>
          <w:color w:val="000000" w:themeColor="text1"/>
          <w:lang w:eastAsia="en-AU"/>
        </w:rPr>
      </w:pPr>
    </w:p>
    <w:p w14:paraId="0EF060D7" w14:textId="77777777" w:rsidR="00C954F0" w:rsidRDefault="00087E15" w:rsidP="00087E15">
      <w:pPr>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Implementing the strategic approach proposed under this option creates the settings for introducing an end-to-end approach to rural training.  The significant emphasis on linking primary and postgraduate medical training to regional</w:t>
      </w:r>
      <w:r w:rsidR="00540260">
        <w:rPr>
          <w:rFonts w:asciiTheme="minorHAnsi" w:hAnsiTheme="minorHAnsi" w:cstheme="minorHAnsi"/>
          <w:color w:val="000000" w:themeColor="text1"/>
          <w:lang w:eastAsia="en-AU"/>
        </w:rPr>
        <w:t xml:space="preserve">, rural and remote communities would create </w:t>
      </w:r>
      <w:r w:rsidRPr="00087E15">
        <w:rPr>
          <w:rFonts w:asciiTheme="minorHAnsi" w:hAnsiTheme="minorHAnsi" w:cstheme="minorHAnsi"/>
          <w:color w:val="000000" w:themeColor="text1"/>
          <w:lang w:eastAsia="en-AU"/>
        </w:rPr>
        <w:t xml:space="preserve">the basis for improving the future distribution </w:t>
      </w:r>
      <w:r w:rsidR="00540260">
        <w:rPr>
          <w:rFonts w:asciiTheme="minorHAnsi" w:hAnsiTheme="minorHAnsi" w:cstheme="minorHAnsi"/>
          <w:color w:val="000000" w:themeColor="text1"/>
          <w:lang w:eastAsia="en-AU"/>
        </w:rPr>
        <w:t>of doctors and</w:t>
      </w:r>
      <w:r w:rsidRPr="00087E15">
        <w:rPr>
          <w:rFonts w:asciiTheme="minorHAnsi" w:hAnsiTheme="minorHAnsi" w:cstheme="minorHAnsi"/>
          <w:color w:val="000000" w:themeColor="text1"/>
          <w:lang w:eastAsia="en-AU"/>
        </w:rPr>
        <w:t xml:space="preserve"> encourages Australian medical graduates to pursue a rural</w:t>
      </w:r>
      <w:r w:rsidR="00540260">
        <w:rPr>
          <w:rFonts w:asciiTheme="minorHAnsi" w:hAnsiTheme="minorHAnsi" w:cstheme="minorHAnsi"/>
          <w:color w:val="000000" w:themeColor="text1"/>
          <w:lang w:eastAsia="en-AU"/>
        </w:rPr>
        <w:t xml:space="preserve"> general practice</w:t>
      </w:r>
      <w:r w:rsidRPr="00087E15">
        <w:rPr>
          <w:rFonts w:asciiTheme="minorHAnsi" w:hAnsiTheme="minorHAnsi" w:cstheme="minorHAnsi"/>
          <w:color w:val="000000" w:themeColor="text1"/>
          <w:lang w:eastAsia="en-AU"/>
        </w:rPr>
        <w:t xml:space="preserve"> career.</w:t>
      </w:r>
    </w:p>
    <w:p w14:paraId="7AA959FE" w14:textId="77777777" w:rsidR="00C954F0" w:rsidRDefault="00C954F0">
      <w:pPr>
        <w:spacing w:after="160" w:line="259" w:lineRule="auto"/>
        <w:rPr>
          <w:rFonts w:asciiTheme="minorHAnsi" w:hAnsiTheme="minorHAnsi" w:cstheme="minorHAnsi"/>
          <w:color w:val="000000" w:themeColor="text1"/>
          <w:lang w:eastAsia="en-AU"/>
        </w:rPr>
      </w:pPr>
      <w:r>
        <w:rPr>
          <w:rFonts w:asciiTheme="minorHAnsi" w:hAnsiTheme="minorHAnsi" w:cstheme="minorHAnsi"/>
          <w:color w:val="000000" w:themeColor="text1"/>
          <w:lang w:eastAsia="en-AU"/>
        </w:rPr>
        <w:br w:type="page"/>
      </w:r>
    </w:p>
    <w:p w14:paraId="142AE531" w14:textId="1798C659" w:rsidR="00BE3D9C" w:rsidRPr="00087E15" w:rsidRDefault="00BE3D9C" w:rsidP="00087E15">
      <w:pPr>
        <w:rPr>
          <w:rFonts w:asciiTheme="minorHAnsi" w:hAnsiTheme="minorHAnsi" w:cstheme="minorHAnsi"/>
          <w:color w:val="000000" w:themeColor="text1"/>
          <w:lang w:eastAsia="en-AU"/>
        </w:rPr>
      </w:pPr>
    </w:p>
    <w:p w14:paraId="776AB278" w14:textId="77777777" w:rsidR="00087E15" w:rsidRPr="00087E15" w:rsidRDefault="00087E15" w:rsidP="00087E15">
      <w:pPr>
        <w:rPr>
          <w:rFonts w:asciiTheme="minorHAnsi" w:hAnsiTheme="minorHAnsi" w:cstheme="minorHAnsi"/>
          <w:i/>
          <w:color w:val="000000" w:themeColor="text1"/>
          <w:lang w:eastAsia="en-AU"/>
        </w:rPr>
      </w:pPr>
      <w:r w:rsidRPr="00087E15">
        <w:rPr>
          <w:rFonts w:asciiTheme="minorHAnsi" w:hAnsiTheme="minorHAnsi" w:cstheme="minorHAnsi"/>
          <w:i/>
          <w:color w:val="000000" w:themeColor="text1"/>
        </w:rPr>
        <w:t>Revise the general practice entry conditions to provide better opportunities for Australian medical graduates to pursue general practice as a vocation.</w:t>
      </w:r>
    </w:p>
    <w:p w14:paraId="6529117E" w14:textId="77777777" w:rsidR="00087E15" w:rsidRPr="00087E15" w:rsidRDefault="00087E15" w:rsidP="00087E15">
      <w:pPr>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Measures under this option also respond to sector concerns that the current MBS eligibility rules potentially impede Australian medical graduates in choosing general practice as their vocation and delay their entry into primary care settings.  The related concern being that employers, particularly those in underserviced communities, become reliant on employing OTDs to address service gaps.</w:t>
      </w:r>
    </w:p>
    <w:p w14:paraId="7390F712" w14:textId="77777777" w:rsidR="00087E15" w:rsidRPr="00087E15" w:rsidRDefault="00087E15" w:rsidP="00087E15">
      <w:pPr>
        <w:rPr>
          <w:rFonts w:asciiTheme="minorHAnsi" w:hAnsiTheme="minorHAnsi" w:cstheme="minorHAnsi"/>
          <w:color w:val="000000" w:themeColor="text1"/>
          <w:lang w:eastAsia="en-AU"/>
        </w:rPr>
      </w:pPr>
    </w:p>
    <w:p w14:paraId="1B6367C0" w14:textId="7B7B9C01" w:rsidR="00087E15" w:rsidRPr="00087E15" w:rsidRDefault="00087E15" w:rsidP="00087E15">
      <w:pPr>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 xml:space="preserve">This option would </w:t>
      </w:r>
      <w:r w:rsidR="00540260">
        <w:rPr>
          <w:rFonts w:asciiTheme="minorHAnsi" w:hAnsiTheme="minorHAnsi" w:cstheme="minorHAnsi"/>
          <w:color w:val="000000" w:themeColor="text1"/>
          <w:lang w:eastAsia="en-AU"/>
        </w:rPr>
        <w:t xml:space="preserve">provide </w:t>
      </w:r>
      <w:r w:rsidRPr="00087E15">
        <w:rPr>
          <w:rFonts w:asciiTheme="minorHAnsi" w:hAnsiTheme="minorHAnsi" w:cstheme="minorHAnsi"/>
          <w:color w:val="000000" w:themeColor="text1"/>
          <w:lang w:eastAsia="en-AU"/>
        </w:rPr>
        <w:t>a strategic response to these concerns by:</w:t>
      </w:r>
    </w:p>
    <w:p w14:paraId="4F8FEE1E" w14:textId="6477835A" w:rsidR="00087E15" w:rsidRPr="00087E15" w:rsidRDefault="00540260" w:rsidP="00AA5EBF">
      <w:pPr>
        <w:numPr>
          <w:ilvl w:val="0"/>
          <w:numId w:val="50"/>
        </w:numPr>
        <w:spacing w:after="160" w:line="259" w:lineRule="auto"/>
        <w:contextualSpacing/>
        <w:rPr>
          <w:rFonts w:asciiTheme="minorHAnsi" w:hAnsiTheme="minorHAnsi" w:cstheme="minorHAnsi"/>
          <w:color w:val="000000" w:themeColor="text1"/>
          <w:lang w:eastAsia="en-AU"/>
        </w:rPr>
      </w:pPr>
      <w:r>
        <w:rPr>
          <w:rFonts w:asciiTheme="minorHAnsi" w:hAnsiTheme="minorHAnsi" w:cstheme="minorHAnsi"/>
          <w:color w:val="000000" w:themeColor="text1"/>
          <w:lang w:eastAsia="en-AU"/>
        </w:rPr>
        <w:t xml:space="preserve">funding </w:t>
      </w:r>
      <w:r w:rsidR="00087E15" w:rsidRPr="00087E15">
        <w:rPr>
          <w:rFonts w:asciiTheme="minorHAnsi" w:hAnsiTheme="minorHAnsi" w:cstheme="minorHAnsi"/>
          <w:color w:val="000000" w:themeColor="text1"/>
          <w:lang w:eastAsia="en-AU"/>
        </w:rPr>
        <w:t>increase</w:t>
      </w:r>
      <w:r>
        <w:rPr>
          <w:rFonts w:asciiTheme="minorHAnsi" w:hAnsiTheme="minorHAnsi" w:cstheme="minorHAnsi"/>
          <w:color w:val="000000" w:themeColor="text1"/>
          <w:lang w:eastAsia="en-AU"/>
        </w:rPr>
        <w:t>d</w:t>
      </w:r>
      <w:r w:rsidR="00087E15" w:rsidRPr="00087E15">
        <w:rPr>
          <w:rFonts w:asciiTheme="minorHAnsi" w:hAnsiTheme="minorHAnsi" w:cstheme="minorHAnsi"/>
          <w:color w:val="000000" w:themeColor="text1"/>
          <w:lang w:eastAsia="en-AU"/>
        </w:rPr>
        <w:t xml:space="preserve"> opportunities for Australian trained Junior Doctors to work and train in rural primary care settings.  This activity would provide access to placements so that a broad range of medical practitioners could gain rural clinical experience and, in particular, experience work in a general practice setting to inform a decision to choose this their postgraduate vocation. </w:t>
      </w:r>
    </w:p>
    <w:p w14:paraId="5FAEC5AB" w14:textId="1AD1525F" w:rsidR="00087E15" w:rsidRPr="00087E15" w:rsidRDefault="00087E15" w:rsidP="00AA5EBF">
      <w:pPr>
        <w:numPr>
          <w:ilvl w:val="0"/>
          <w:numId w:val="50"/>
        </w:numPr>
        <w:spacing w:after="160" w:line="259" w:lineRule="auto"/>
        <w:contextualSpacing/>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introducing a consolidated general practice experience program, the MDRAP, which would allow non-VR doctor</w:t>
      </w:r>
      <w:r w:rsidR="00F6327C">
        <w:rPr>
          <w:rFonts w:asciiTheme="minorHAnsi" w:hAnsiTheme="minorHAnsi" w:cstheme="minorHAnsi"/>
          <w:color w:val="000000" w:themeColor="text1"/>
          <w:lang w:eastAsia="en-AU"/>
        </w:rPr>
        <w:t>s to work with MBS access in MM</w:t>
      </w:r>
      <w:r w:rsidRPr="00087E15">
        <w:rPr>
          <w:rFonts w:asciiTheme="minorHAnsi" w:hAnsiTheme="minorHAnsi" w:cstheme="minorHAnsi"/>
          <w:color w:val="000000" w:themeColor="text1"/>
          <w:lang w:eastAsia="en-AU"/>
        </w:rPr>
        <w:t xml:space="preserve"> 2 to 7 areas.  The MDRAP would replace and broaden the scope of current experience programs, such as the RLRP, to cater to a greater number of non-VR doctors who are seeking to make general practice their vocation.  The introduction of the MDRAP would also present an opportunity to define appropriate supervision arrangements for </w:t>
      </w:r>
      <w:r w:rsidR="00540260">
        <w:rPr>
          <w:rFonts w:asciiTheme="minorHAnsi" w:hAnsiTheme="minorHAnsi" w:cstheme="minorHAnsi"/>
          <w:color w:val="000000" w:themeColor="text1"/>
          <w:lang w:eastAsia="en-AU"/>
        </w:rPr>
        <w:t xml:space="preserve">participant </w:t>
      </w:r>
      <w:r w:rsidRPr="00087E15">
        <w:rPr>
          <w:rFonts w:asciiTheme="minorHAnsi" w:hAnsiTheme="minorHAnsi" w:cstheme="minorHAnsi"/>
          <w:color w:val="000000" w:themeColor="text1"/>
          <w:lang w:eastAsia="en-AU"/>
        </w:rPr>
        <w:t xml:space="preserve">non-VR doctors that </w:t>
      </w:r>
      <w:r w:rsidR="00540260">
        <w:rPr>
          <w:rFonts w:asciiTheme="minorHAnsi" w:hAnsiTheme="minorHAnsi" w:cstheme="minorHAnsi"/>
          <w:color w:val="000000" w:themeColor="text1"/>
          <w:lang w:eastAsia="en-AU"/>
        </w:rPr>
        <w:t>consider their</w:t>
      </w:r>
      <w:r w:rsidRPr="00087E15">
        <w:rPr>
          <w:rFonts w:asciiTheme="minorHAnsi" w:hAnsiTheme="minorHAnsi" w:cstheme="minorHAnsi"/>
          <w:color w:val="000000" w:themeColor="text1"/>
          <w:lang w:eastAsia="en-AU"/>
        </w:rPr>
        <w:t xml:space="preserve"> level of </w:t>
      </w:r>
      <w:r w:rsidR="00540260">
        <w:rPr>
          <w:rFonts w:asciiTheme="minorHAnsi" w:hAnsiTheme="minorHAnsi" w:cstheme="minorHAnsi"/>
          <w:color w:val="000000" w:themeColor="text1"/>
          <w:lang w:eastAsia="en-AU"/>
        </w:rPr>
        <w:t xml:space="preserve">clinical </w:t>
      </w:r>
      <w:r w:rsidRPr="00087E15">
        <w:rPr>
          <w:rFonts w:asciiTheme="minorHAnsi" w:hAnsiTheme="minorHAnsi" w:cstheme="minorHAnsi"/>
          <w:color w:val="000000" w:themeColor="text1"/>
          <w:lang w:eastAsia="en-AU"/>
        </w:rPr>
        <w:t>ex</w:t>
      </w:r>
      <w:r w:rsidR="00540260">
        <w:rPr>
          <w:rFonts w:asciiTheme="minorHAnsi" w:hAnsiTheme="minorHAnsi" w:cstheme="minorHAnsi"/>
          <w:color w:val="000000" w:themeColor="text1"/>
          <w:lang w:eastAsia="en-AU"/>
        </w:rPr>
        <w:t>perience (including prior overseas work) at entry to the program</w:t>
      </w:r>
      <w:r w:rsidRPr="00087E15">
        <w:rPr>
          <w:rFonts w:asciiTheme="minorHAnsi" w:hAnsiTheme="minorHAnsi" w:cstheme="minorHAnsi"/>
          <w:color w:val="000000" w:themeColor="text1"/>
          <w:lang w:eastAsia="en-AU"/>
        </w:rPr>
        <w:t>.  This would ensure the MDRAP caters to the full variety of general practice models in regional, rural or remote ar</w:t>
      </w:r>
      <w:r w:rsidR="00540260">
        <w:rPr>
          <w:rFonts w:asciiTheme="minorHAnsi" w:hAnsiTheme="minorHAnsi" w:cstheme="minorHAnsi"/>
          <w:color w:val="000000" w:themeColor="text1"/>
          <w:lang w:eastAsia="en-AU"/>
        </w:rPr>
        <w:t>eas</w:t>
      </w:r>
      <w:r w:rsidRPr="00087E15">
        <w:rPr>
          <w:rFonts w:asciiTheme="minorHAnsi" w:hAnsiTheme="minorHAnsi" w:cstheme="minorHAnsi"/>
          <w:color w:val="000000" w:themeColor="text1"/>
          <w:lang w:eastAsia="en-AU"/>
        </w:rPr>
        <w:t xml:space="preserve">. </w:t>
      </w:r>
    </w:p>
    <w:p w14:paraId="4EE229FB" w14:textId="77777777" w:rsidR="00087E15" w:rsidRPr="00087E15" w:rsidRDefault="00087E15" w:rsidP="00087E15">
      <w:pPr>
        <w:rPr>
          <w:rFonts w:asciiTheme="minorHAnsi" w:hAnsiTheme="minorHAnsi" w:cstheme="minorHAnsi"/>
          <w:color w:val="000000" w:themeColor="text1"/>
          <w:lang w:eastAsia="en-AU"/>
        </w:rPr>
      </w:pPr>
    </w:p>
    <w:p w14:paraId="2C1729FA" w14:textId="77777777" w:rsidR="00C954F0" w:rsidRDefault="00087E15" w:rsidP="00087E15">
      <w:pPr>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These measures provide the basis for improving opportunities for Australian medical graduates without redefining the underlying MBS eligibility rules.  This ensures the new opportunities created under these measures do not undermine the Government’s expectation under section 19AA of the HIA that doctors ultimately attain postgraduate medical qualifications.</w:t>
      </w:r>
    </w:p>
    <w:p w14:paraId="78D004C1" w14:textId="713F7FCF" w:rsidR="00087E15" w:rsidRPr="00087E15" w:rsidRDefault="00C954F0" w:rsidP="00087E15">
      <w:pPr>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 xml:space="preserve"> </w:t>
      </w:r>
    </w:p>
    <w:p w14:paraId="5F535659" w14:textId="77777777" w:rsidR="00087E15" w:rsidRPr="00087E15" w:rsidRDefault="00087E15" w:rsidP="00087E15">
      <w:pPr>
        <w:rPr>
          <w:rFonts w:asciiTheme="minorHAnsi" w:hAnsiTheme="minorHAnsi" w:cstheme="minorHAnsi"/>
          <w:i/>
          <w:color w:val="000000" w:themeColor="text1"/>
        </w:rPr>
      </w:pPr>
      <w:r w:rsidRPr="00087E15">
        <w:rPr>
          <w:rFonts w:asciiTheme="minorHAnsi" w:hAnsiTheme="minorHAnsi" w:cstheme="minorHAnsi"/>
          <w:i/>
          <w:color w:val="000000" w:themeColor="text1"/>
        </w:rPr>
        <w:t>Streamline general practice training with additional support for non-VR doctors to qualify</w:t>
      </w:r>
    </w:p>
    <w:p w14:paraId="6346B5C1" w14:textId="77777777" w:rsidR="00087E15" w:rsidRPr="00087E15" w:rsidRDefault="00087E15"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 xml:space="preserve">As stated above, this option places a specific emphasis on streamlining general practice training and placing this under the administration of the RACGP and the ACRRM.  This includes providing support for non-VR doctors to attain Fellowship of one of the Colleges and thereby meet the expectations set by section 19AA of the HIA. </w:t>
      </w:r>
    </w:p>
    <w:p w14:paraId="2AB78DFF" w14:textId="77777777" w:rsidR="00087E15" w:rsidRPr="00087E15" w:rsidRDefault="00087E15" w:rsidP="00087E15">
      <w:pPr>
        <w:rPr>
          <w:rFonts w:asciiTheme="minorHAnsi" w:eastAsiaTheme="minorHAnsi" w:hAnsiTheme="minorHAnsi" w:cstheme="minorHAnsi"/>
          <w:color w:val="000000" w:themeColor="text1"/>
        </w:rPr>
      </w:pPr>
    </w:p>
    <w:p w14:paraId="5076882C" w14:textId="27B25633" w:rsidR="00087E15" w:rsidRPr="00087E15" w:rsidRDefault="00087E15" w:rsidP="00087E15">
      <w:pPr>
        <w:rPr>
          <w:rFonts w:asciiTheme="minorHAnsi" w:eastAsiaTheme="minorHAnsi" w:hAnsiTheme="minorHAnsi" w:cstheme="minorHAnsi"/>
          <w:color w:val="000000" w:themeColor="text1"/>
        </w:rPr>
      </w:pPr>
      <w:r w:rsidRPr="00087E15">
        <w:rPr>
          <w:rFonts w:asciiTheme="minorHAnsi" w:eastAsiaTheme="minorHAnsi" w:hAnsiTheme="minorHAnsi" w:cstheme="minorHAnsi"/>
          <w:color w:val="000000" w:themeColor="text1"/>
        </w:rPr>
        <w:t>By creating the conditions for streamlined training arrangements, the Government would be addressing the fact that non-VR doctors are currently attempting to qualify as GPs th</w:t>
      </w:r>
      <w:r w:rsidR="00E87A06">
        <w:rPr>
          <w:rFonts w:asciiTheme="minorHAnsi" w:eastAsiaTheme="minorHAnsi" w:hAnsiTheme="minorHAnsi" w:cstheme="minorHAnsi"/>
          <w:color w:val="000000" w:themeColor="text1"/>
        </w:rPr>
        <w:t>r</w:t>
      </w:r>
      <w:r w:rsidRPr="00087E15">
        <w:rPr>
          <w:rFonts w:asciiTheme="minorHAnsi" w:eastAsiaTheme="minorHAnsi" w:hAnsiTheme="minorHAnsi" w:cstheme="minorHAnsi"/>
          <w:color w:val="000000" w:themeColor="text1"/>
        </w:rPr>
        <w:t>ough multiple pathways.  These pathways a</w:t>
      </w:r>
      <w:r w:rsidR="00B068A6">
        <w:rPr>
          <w:rFonts w:asciiTheme="minorHAnsi" w:eastAsiaTheme="minorHAnsi" w:hAnsiTheme="minorHAnsi" w:cstheme="minorHAnsi"/>
          <w:color w:val="000000" w:themeColor="text1"/>
        </w:rPr>
        <w:t>re not uniformly linked to the c</w:t>
      </w:r>
      <w:r w:rsidRPr="00087E15">
        <w:rPr>
          <w:rFonts w:asciiTheme="minorHAnsi" w:eastAsiaTheme="minorHAnsi" w:hAnsiTheme="minorHAnsi" w:cstheme="minorHAnsi"/>
          <w:color w:val="000000" w:themeColor="text1"/>
        </w:rPr>
        <w:t>ollege standards.  The move to two pathways overseen by</w:t>
      </w:r>
      <w:r w:rsidR="00570F36">
        <w:rPr>
          <w:rFonts w:asciiTheme="minorHAnsi" w:eastAsiaTheme="minorHAnsi" w:hAnsiTheme="minorHAnsi" w:cstheme="minorHAnsi"/>
          <w:color w:val="000000" w:themeColor="text1"/>
        </w:rPr>
        <w:t xml:space="preserve"> the respective colleges would:</w:t>
      </w:r>
    </w:p>
    <w:p w14:paraId="6E52F16C" w14:textId="77777777" w:rsidR="00087E15" w:rsidRPr="00087E15" w:rsidRDefault="00087E15" w:rsidP="00AA5EBF">
      <w:pPr>
        <w:numPr>
          <w:ilvl w:val="0"/>
          <w:numId w:val="53"/>
        </w:numPr>
        <w:spacing w:after="160" w:line="259" w:lineRule="auto"/>
        <w:contextualSpacing/>
        <w:rPr>
          <w:rFonts w:asciiTheme="minorHAnsi" w:eastAsiaTheme="minorHAnsi" w:hAnsiTheme="minorHAnsi" w:cstheme="minorHAnsi"/>
          <w:color w:val="000000" w:themeColor="text1"/>
        </w:rPr>
      </w:pPr>
      <w:r w:rsidRPr="00087E15">
        <w:rPr>
          <w:rFonts w:asciiTheme="minorHAnsi" w:eastAsiaTheme="minorHAnsi" w:hAnsiTheme="minorHAnsi" w:cstheme="minorHAnsi"/>
          <w:color w:val="000000" w:themeColor="text1"/>
        </w:rPr>
        <w:t>improve the navigability of the system for non-VR doctors who are at the stage of meeting postgraduate experience requirements and considering either FRACGP or FACCRM;</w:t>
      </w:r>
    </w:p>
    <w:p w14:paraId="7F04BC95" w14:textId="77777777" w:rsidR="00087E15" w:rsidRPr="00087E15" w:rsidRDefault="00087E15" w:rsidP="00AA5EBF">
      <w:pPr>
        <w:numPr>
          <w:ilvl w:val="0"/>
          <w:numId w:val="53"/>
        </w:numPr>
        <w:spacing w:after="160" w:line="259" w:lineRule="auto"/>
        <w:contextualSpacing/>
        <w:rPr>
          <w:rFonts w:asciiTheme="minorHAnsi" w:eastAsiaTheme="minorHAnsi" w:hAnsiTheme="minorHAnsi" w:cstheme="minorHAnsi"/>
          <w:color w:val="000000" w:themeColor="text1"/>
        </w:rPr>
      </w:pPr>
      <w:r w:rsidRPr="00087E15">
        <w:rPr>
          <w:rFonts w:asciiTheme="minorHAnsi" w:eastAsiaTheme="minorHAnsi" w:hAnsiTheme="minorHAnsi" w:cstheme="minorHAnsi"/>
          <w:color w:val="000000" w:themeColor="text1"/>
        </w:rPr>
        <w:t>provide better visibility of the GP training pipeline for future workforce planning and policy development activities;</w:t>
      </w:r>
    </w:p>
    <w:p w14:paraId="73C3A62C" w14:textId="77777777" w:rsidR="00087E15" w:rsidRPr="00087E15" w:rsidRDefault="00087E15" w:rsidP="00AA5EBF">
      <w:pPr>
        <w:numPr>
          <w:ilvl w:val="0"/>
          <w:numId w:val="53"/>
        </w:numPr>
        <w:spacing w:after="160" w:line="259" w:lineRule="auto"/>
        <w:contextualSpacing/>
        <w:rPr>
          <w:rFonts w:asciiTheme="minorHAnsi" w:eastAsiaTheme="minorHAnsi" w:hAnsiTheme="minorHAnsi" w:cstheme="minorHAnsi"/>
          <w:color w:val="000000" w:themeColor="text1"/>
        </w:rPr>
      </w:pPr>
      <w:r w:rsidRPr="00087E15">
        <w:rPr>
          <w:rFonts w:asciiTheme="minorHAnsi" w:eastAsiaTheme="minorHAnsi" w:hAnsiTheme="minorHAnsi" w:cstheme="minorHAnsi"/>
          <w:color w:val="000000" w:themeColor="text1"/>
        </w:rPr>
        <w:lastRenderedPageBreak/>
        <w:t>bring general practice training into line with other vocational programs that are being provided for specialists and consultant physicians; and</w:t>
      </w:r>
    </w:p>
    <w:p w14:paraId="33CAE48A" w14:textId="77777777" w:rsidR="00087E15" w:rsidRPr="00087E15" w:rsidRDefault="00087E15" w:rsidP="00AA5EBF">
      <w:pPr>
        <w:numPr>
          <w:ilvl w:val="0"/>
          <w:numId w:val="53"/>
        </w:numPr>
        <w:spacing w:after="160" w:line="259" w:lineRule="auto"/>
        <w:contextualSpacing/>
        <w:rPr>
          <w:rFonts w:asciiTheme="minorHAnsi" w:eastAsiaTheme="minorHAnsi" w:hAnsiTheme="minorHAnsi" w:cstheme="minorHAnsi"/>
          <w:color w:val="000000" w:themeColor="text1"/>
        </w:rPr>
      </w:pPr>
      <w:r w:rsidRPr="00087E15">
        <w:rPr>
          <w:rFonts w:asciiTheme="minorHAnsi" w:eastAsiaTheme="minorHAnsi" w:hAnsiTheme="minorHAnsi" w:cstheme="minorHAnsi"/>
          <w:color w:val="000000" w:themeColor="text1"/>
        </w:rPr>
        <w:t>improve the interface between clinical experience offered in general practice settings and how doctors are assessed for the FRACGP and FACRRM qualifications.</w:t>
      </w:r>
    </w:p>
    <w:p w14:paraId="09AE5408" w14:textId="77777777" w:rsidR="00087E15" w:rsidRPr="00087E15" w:rsidRDefault="00087E15" w:rsidP="00087E15">
      <w:pPr>
        <w:ind w:left="415"/>
        <w:rPr>
          <w:rFonts w:asciiTheme="minorHAnsi" w:eastAsiaTheme="minorHAnsi" w:hAnsiTheme="minorHAnsi" w:cstheme="minorHAnsi"/>
          <w:color w:val="000000" w:themeColor="text1"/>
        </w:rPr>
      </w:pPr>
      <w:r w:rsidRPr="00087E15">
        <w:rPr>
          <w:rFonts w:asciiTheme="minorHAnsi" w:eastAsiaTheme="minorHAnsi" w:hAnsiTheme="minorHAnsi" w:cstheme="minorHAnsi"/>
          <w:color w:val="000000" w:themeColor="text1"/>
        </w:rPr>
        <w:t xml:space="preserve"> </w:t>
      </w:r>
    </w:p>
    <w:p w14:paraId="7FDA7ED5" w14:textId="611BF7B3" w:rsidR="00087E15" w:rsidRPr="00087E15" w:rsidRDefault="00087E15" w:rsidP="00087E15">
      <w:pPr>
        <w:rPr>
          <w:rFonts w:asciiTheme="minorHAnsi" w:eastAsiaTheme="minorHAnsi" w:hAnsiTheme="minorHAnsi" w:cstheme="minorHAnsi"/>
          <w:color w:val="000000" w:themeColor="text1"/>
        </w:rPr>
      </w:pPr>
      <w:r w:rsidRPr="00087E15">
        <w:rPr>
          <w:rFonts w:asciiTheme="minorHAnsi" w:eastAsiaTheme="minorHAnsi" w:hAnsiTheme="minorHAnsi" w:cstheme="minorHAnsi"/>
          <w:color w:val="000000" w:themeColor="text1"/>
        </w:rPr>
        <w:t xml:space="preserve">The Government would continue to provide funding for 1,500 training places per year under the Australian General Practice Training Program (AGPT), which will be distributed between </w:t>
      </w:r>
      <w:r w:rsidR="00B937CB">
        <w:rPr>
          <w:rFonts w:asciiTheme="minorHAnsi" w:eastAsiaTheme="minorHAnsi" w:hAnsiTheme="minorHAnsi" w:cstheme="minorHAnsi"/>
          <w:color w:val="000000" w:themeColor="text1"/>
        </w:rPr>
        <w:t xml:space="preserve">the two new college pathways.  </w:t>
      </w:r>
      <w:r w:rsidRPr="00087E15">
        <w:rPr>
          <w:rFonts w:asciiTheme="minorHAnsi" w:eastAsiaTheme="minorHAnsi" w:hAnsiTheme="minorHAnsi" w:cstheme="minorHAnsi"/>
          <w:color w:val="000000" w:themeColor="text1"/>
        </w:rPr>
        <w:t>The overall number of GP training places, both funded AGPT placements and independent training placements, would be capped.  While this cap would be administered by the RACGP and the ACRRM, it would be determined by the Department of Health and endorsed by the National Me</w:t>
      </w:r>
      <w:r w:rsidR="00B068A6">
        <w:rPr>
          <w:rFonts w:asciiTheme="minorHAnsi" w:eastAsiaTheme="minorHAnsi" w:hAnsiTheme="minorHAnsi" w:cstheme="minorHAnsi"/>
          <w:color w:val="000000" w:themeColor="text1"/>
        </w:rPr>
        <w:t xml:space="preserve">dical Training Advisory Network to ensure an appropriate distribution of GP trainees. </w:t>
      </w:r>
    </w:p>
    <w:p w14:paraId="7C40BFF7" w14:textId="77777777" w:rsidR="00087E15" w:rsidRPr="00087E15" w:rsidRDefault="00087E15" w:rsidP="00087E15">
      <w:pPr>
        <w:rPr>
          <w:rFonts w:asciiTheme="minorHAnsi" w:eastAsiaTheme="minorHAnsi" w:hAnsiTheme="minorHAnsi" w:cstheme="minorHAnsi"/>
          <w:color w:val="000000" w:themeColor="text1"/>
        </w:rPr>
      </w:pPr>
    </w:p>
    <w:p w14:paraId="5B115A0B" w14:textId="44BED2C8" w:rsidR="00087E15" w:rsidRPr="00087E15" w:rsidRDefault="00087E15" w:rsidP="00087E15">
      <w:pPr>
        <w:rPr>
          <w:rFonts w:asciiTheme="minorHAnsi" w:eastAsiaTheme="minorHAnsi" w:hAnsiTheme="minorHAnsi" w:cstheme="minorHAnsi"/>
          <w:color w:val="000000" w:themeColor="text1"/>
        </w:rPr>
      </w:pPr>
      <w:r w:rsidRPr="00087E15">
        <w:rPr>
          <w:rFonts w:asciiTheme="minorHAnsi" w:eastAsiaTheme="minorHAnsi" w:hAnsiTheme="minorHAnsi" w:cstheme="minorHAnsi"/>
          <w:color w:val="000000" w:themeColor="text1"/>
        </w:rPr>
        <w:t>The Government, through its co</w:t>
      </w:r>
      <w:r w:rsidR="00E87A06">
        <w:rPr>
          <w:rFonts w:asciiTheme="minorHAnsi" w:eastAsiaTheme="minorHAnsi" w:hAnsiTheme="minorHAnsi" w:cstheme="minorHAnsi"/>
          <w:color w:val="000000" w:themeColor="text1"/>
        </w:rPr>
        <w:t xml:space="preserve">ntinued involvement </w:t>
      </w:r>
      <w:r w:rsidRPr="00087E15">
        <w:rPr>
          <w:rFonts w:asciiTheme="minorHAnsi" w:eastAsiaTheme="minorHAnsi" w:hAnsiTheme="minorHAnsi" w:cstheme="minorHAnsi"/>
          <w:color w:val="000000" w:themeColor="text1"/>
        </w:rPr>
        <w:t>through funding</w:t>
      </w:r>
      <w:r w:rsidR="00E87A06">
        <w:rPr>
          <w:rFonts w:asciiTheme="minorHAnsi" w:eastAsiaTheme="minorHAnsi" w:hAnsiTheme="minorHAnsi" w:cstheme="minorHAnsi"/>
          <w:color w:val="000000" w:themeColor="text1"/>
        </w:rPr>
        <w:t xml:space="preserve"> training places</w:t>
      </w:r>
      <w:r w:rsidRPr="00087E15">
        <w:rPr>
          <w:rFonts w:asciiTheme="minorHAnsi" w:eastAsiaTheme="minorHAnsi" w:hAnsiTheme="minorHAnsi" w:cstheme="minorHAnsi"/>
          <w:color w:val="000000" w:themeColor="text1"/>
        </w:rPr>
        <w:t xml:space="preserve"> would ensure that general practice training does not become centralised and that appropriate standards for ensuring the distribution of training places are maintained under the streamlined program structure. </w:t>
      </w:r>
    </w:p>
    <w:p w14:paraId="43B846D1" w14:textId="77777777" w:rsidR="00087E15" w:rsidRPr="00087E15" w:rsidRDefault="00087E15" w:rsidP="00087E15">
      <w:pPr>
        <w:rPr>
          <w:rFonts w:ascii="Helvetica" w:eastAsiaTheme="minorHAnsi" w:hAnsi="Helvetica"/>
          <w:color w:val="000000" w:themeColor="text1"/>
          <w:sz w:val="20"/>
          <w:szCs w:val="20"/>
        </w:rPr>
      </w:pPr>
    </w:p>
    <w:p w14:paraId="4BA6D219" w14:textId="77777777" w:rsidR="00C954F0" w:rsidRDefault="00087E15" w:rsidP="00087E15">
      <w:pPr>
        <w:rPr>
          <w:rFonts w:asciiTheme="minorHAnsi" w:eastAsiaTheme="minorHAnsi" w:hAnsiTheme="minorHAnsi" w:cstheme="minorHAnsi"/>
          <w:color w:val="000000" w:themeColor="text1"/>
        </w:rPr>
      </w:pPr>
      <w:r w:rsidRPr="00087E15">
        <w:rPr>
          <w:rFonts w:asciiTheme="minorHAnsi" w:eastAsiaTheme="minorHAnsi" w:hAnsiTheme="minorHAnsi" w:cstheme="minorHAnsi"/>
          <w:color w:val="000000" w:themeColor="text1"/>
        </w:rPr>
        <w:t>This option also proposes an additional financial investment to deliver a one-off Fellowship Support Program between 2019 and 2023 through the Colleges.  This will provide financial support to non-VR doctors who are currently working in general practice settings with meeting outstanding requirements for attaining either the FRACGP or FACRRM qualification.  It is envisaged that this financial support would be delivered through the respective colleges and would support participants who enter the new streamlined arrangements with meeting the costs of their training.</w:t>
      </w:r>
    </w:p>
    <w:p w14:paraId="0B2A15D8" w14:textId="1F9FAC6F" w:rsidR="00BE3D9C" w:rsidRPr="00087E15" w:rsidRDefault="00C954F0" w:rsidP="00087E15">
      <w:pPr>
        <w:rPr>
          <w:rFonts w:asciiTheme="minorHAnsi" w:eastAsiaTheme="minorHAnsi" w:hAnsiTheme="minorHAnsi" w:cstheme="minorHAnsi"/>
          <w:color w:val="000000" w:themeColor="text1"/>
        </w:rPr>
      </w:pPr>
      <w:r w:rsidRPr="00087E15">
        <w:rPr>
          <w:rFonts w:asciiTheme="minorHAnsi" w:eastAsiaTheme="minorHAnsi" w:hAnsiTheme="minorHAnsi" w:cstheme="minorHAnsi"/>
          <w:color w:val="000000" w:themeColor="text1"/>
        </w:rPr>
        <w:t xml:space="preserve"> </w:t>
      </w:r>
    </w:p>
    <w:p w14:paraId="468F1D8E" w14:textId="77777777" w:rsidR="00087E15" w:rsidRPr="00087E15" w:rsidRDefault="00087E15" w:rsidP="00087E15">
      <w:pPr>
        <w:rPr>
          <w:rFonts w:asciiTheme="minorHAnsi" w:hAnsiTheme="minorHAnsi" w:cstheme="minorHAnsi"/>
          <w:i/>
          <w:color w:val="000000" w:themeColor="text1"/>
        </w:rPr>
      </w:pPr>
      <w:r w:rsidRPr="00087E15">
        <w:rPr>
          <w:rFonts w:asciiTheme="minorHAnsi" w:hAnsiTheme="minorHAnsi" w:cstheme="minorHAnsi"/>
          <w:i/>
          <w:color w:val="000000" w:themeColor="text1"/>
        </w:rPr>
        <w:t>Reconfigure the GP MBS item structure so that it is a driver for the Government’s aspiration that private doctors attain postgraduate qualifications and an increase in the number of fully qualified GPs across Australia.</w:t>
      </w:r>
    </w:p>
    <w:p w14:paraId="38C86DED" w14:textId="77777777" w:rsidR="00087E15" w:rsidRPr="00087E15" w:rsidRDefault="00087E15"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 xml:space="preserve">This option would link a recalibrated general practice MBS item structure to a reformed general practice program structure that better supports doctors with attaining qualifications.  More specifically, this option introduces systemic reform that covers the current determinants and incentives for a doctor to meet the long-term requirements of section 19AA of the HIA by attaining FRACGP or FACRRM. </w:t>
      </w:r>
    </w:p>
    <w:p w14:paraId="7C2DF18A" w14:textId="77777777" w:rsidR="00087E15" w:rsidRPr="00087E15" w:rsidRDefault="00087E15" w:rsidP="00087E15">
      <w:pPr>
        <w:rPr>
          <w:rFonts w:asciiTheme="minorHAnsi" w:hAnsiTheme="minorHAnsi" w:cstheme="minorHAnsi"/>
          <w:color w:val="000000" w:themeColor="text1"/>
        </w:rPr>
      </w:pPr>
    </w:p>
    <w:p w14:paraId="0998302D" w14:textId="77777777" w:rsidR="00087E15" w:rsidRPr="00087E15" w:rsidRDefault="00087E15"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This option proposes the recalibration of the general practice MBS item structure through the creation of a dedicated item group for non-VR doctors who practise in general practice settings.  This is the same recalibrated fee structure proposed in Option 2 and has the following features:</w:t>
      </w:r>
    </w:p>
    <w:p w14:paraId="2E7CD756" w14:textId="77777777" w:rsidR="00087E15" w:rsidRPr="00087E15" w:rsidRDefault="00087E15" w:rsidP="00AA5EBF">
      <w:pPr>
        <w:numPr>
          <w:ilvl w:val="0"/>
          <w:numId w:val="48"/>
        </w:numPr>
        <w:spacing w:after="160" w:line="259" w:lineRule="auto"/>
        <w:contextualSpacing/>
        <w:rPr>
          <w:rFonts w:asciiTheme="minorHAnsi" w:hAnsiTheme="minorHAnsi" w:cstheme="minorHAnsi"/>
          <w:color w:val="000000" w:themeColor="text1"/>
        </w:rPr>
      </w:pPr>
      <w:r w:rsidRPr="00087E15">
        <w:rPr>
          <w:rFonts w:asciiTheme="minorHAnsi" w:hAnsiTheme="minorHAnsi" w:cstheme="minorHAnsi"/>
          <w:color w:val="000000" w:themeColor="text1"/>
        </w:rPr>
        <w:t>a dedicated MBS item structure in the GMST that provides claimable fees for non-VR doctors for standard and non-standard general practice attendances;</w:t>
      </w:r>
    </w:p>
    <w:p w14:paraId="065DBF6F" w14:textId="54CC0F7F" w:rsidR="00087E15" w:rsidRPr="00087E15" w:rsidRDefault="00087E15" w:rsidP="00AA5EBF">
      <w:pPr>
        <w:numPr>
          <w:ilvl w:val="0"/>
          <w:numId w:val="48"/>
        </w:numPr>
        <w:spacing w:after="160" w:line="259" w:lineRule="auto"/>
        <w:contextualSpacing/>
        <w:rPr>
          <w:rFonts w:asciiTheme="minorHAnsi" w:hAnsiTheme="minorHAnsi" w:cstheme="minorHAnsi"/>
          <w:color w:val="000000" w:themeColor="text1"/>
        </w:rPr>
      </w:pPr>
      <w:r w:rsidRPr="00087E15">
        <w:rPr>
          <w:rFonts w:asciiTheme="minorHAnsi" w:hAnsiTheme="minorHAnsi" w:cstheme="minorHAnsi"/>
          <w:color w:val="000000" w:themeColor="text1"/>
        </w:rPr>
        <w:t>the new non-VR doctor MBS items would provide 80 per cent of the full GP fee for services provided to patients attending regional</w:t>
      </w:r>
      <w:r w:rsidR="00B068A6">
        <w:rPr>
          <w:rFonts w:asciiTheme="minorHAnsi" w:hAnsiTheme="minorHAnsi" w:cstheme="minorHAnsi"/>
          <w:color w:val="000000" w:themeColor="text1"/>
        </w:rPr>
        <w:t>, rural and remote settings (MM</w:t>
      </w:r>
      <w:r w:rsidRPr="00087E15">
        <w:rPr>
          <w:rFonts w:asciiTheme="minorHAnsi" w:hAnsiTheme="minorHAnsi" w:cstheme="minorHAnsi"/>
          <w:color w:val="000000" w:themeColor="text1"/>
        </w:rPr>
        <w:t xml:space="preserve"> 2-7 areas); and</w:t>
      </w:r>
    </w:p>
    <w:p w14:paraId="5585B9D9" w14:textId="0E69AC3E" w:rsidR="00087E15" w:rsidRPr="00087E15" w:rsidRDefault="00087E15" w:rsidP="00AA5EBF">
      <w:pPr>
        <w:numPr>
          <w:ilvl w:val="0"/>
          <w:numId w:val="48"/>
        </w:numPr>
        <w:spacing w:after="160" w:line="259" w:lineRule="auto"/>
        <w:contextualSpacing/>
        <w:rPr>
          <w:rFonts w:asciiTheme="minorHAnsi" w:hAnsiTheme="minorHAnsi" w:cstheme="minorHAnsi"/>
          <w:color w:val="000000" w:themeColor="text1"/>
        </w:rPr>
      </w:pPr>
      <w:r w:rsidRPr="00087E15">
        <w:rPr>
          <w:rFonts w:asciiTheme="minorHAnsi" w:hAnsiTheme="minorHAnsi" w:cstheme="minorHAnsi"/>
          <w:color w:val="000000" w:themeColor="text1"/>
        </w:rPr>
        <w:t xml:space="preserve">the new item structure would apply a workforce distribution incentive by limiting non-VR doctors practising in major </w:t>
      </w:r>
      <w:r w:rsidR="00B068A6">
        <w:rPr>
          <w:rFonts w:asciiTheme="minorHAnsi" w:hAnsiTheme="minorHAnsi" w:cstheme="minorHAnsi"/>
          <w:color w:val="000000" w:themeColor="text1"/>
        </w:rPr>
        <w:t>cities (MM</w:t>
      </w:r>
      <w:r w:rsidRPr="00087E15">
        <w:rPr>
          <w:rFonts w:asciiTheme="minorHAnsi" w:hAnsiTheme="minorHAnsi" w:cstheme="minorHAnsi"/>
          <w:color w:val="000000" w:themeColor="text1"/>
        </w:rPr>
        <w:t xml:space="preserve">1 areas) to claim the current A2 MBS items for standard consultations, which provide approximately 60 per cent of the fee claimable by </w:t>
      </w:r>
      <w:r w:rsidRPr="00087E15">
        <w:rPr>
          <w:rFonts w:asciiTheme="minorHAnsi" w:hAnsiTheme="minorHAnsi" w:cstheme="minorHAnsi"/>
          <w:color w:val="000000" w:themeColor="text1"/>
        </w:rPr>
        <w:lastRenderedPageBreak/>
        <w:t>qualified GPs.  These doctors would be able to claim the 80 per cent fees for non-standard consultations.</w:t>
      </w:r>
    </w:p>
    <w:p w14:paraId="0637A056" w14:textId="77777777" w:rsidR="00087E15" w:rsidRPr="00087E15" w:rsidRDefault="00087E15" w:rsidP="00087E15">
      <w:pPr>
        <w:rPr>
          <w:rFonts w:asciiTheme="minorHAnsi" w:hAnsiTheme="minorHAnsi" w:cstheme="minorHAnsi"/>
          <w:color w:val="000000" w:themeColor="text1"/>
        </w:rPr>
      </w:pPr>
    </w:p>
    <w:p w14:paraId="1F0EC94D" w14:textId="77777777" w:rsidR="00087E15" w:rsidRPr="00087E15" w:rsidRDefault="00087E15" w:rsidP="00087E15">
      <w:pPr>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The new MBS item group for non-VR doctors would be indexed at the same rate as the GP MBS items so that they maintain their relative value over time.  The recalibrated GP MBS item structure would be implemented in tandem with arrangements to preserve the current claiming rights of GP trainees and to sunset the OMPs Programs over a five year period while participants become qualified GPs.  These features would preserve the claiming rights of a significant portion of the current primary care workforce (over 6,500 doctors) and ensure that the new claiming rules primarily apply to doctors entering Australian general practice.</w:t>
      </w:r>
    </w:p>
    <w:p w14:paraId="154D6272" w14:textId="77777777" w:rsidR="00087E15" w:rsidRPr="00087E15" w:rsidRDefault="00087E15" w:rsidP="00087E15">
      <w:pPr>
        <w:rPr>
          <w:rFonts w:asciiTheme="minorHAnsi" w:hAnsiTheme="minorHAnsi" w:cstheme="minorHAnsi"/>
          <w:color w:val="000000" w:themeColor="text1"/>
          <w:lang w:eastAsia="en-AU"/>
        </w:rPr>
      </w:pPr>
    </w:p>
    <w:p w14:paraId="54C6703A" w14:textId="77777777" w:rsidR="00087E15" w:rsidRPr="00087E15" w:rsidRDefault="00087E15" w:rsidP="00087E15">
      <w:pPr>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The Government anticipates that the revised general practice MBS item structure sets a clear value on general practice qualifications and will clearly incentivise the attainment of either FRACGP or FACRRM.  In behavioural terms, the new item structure is expected to translate to an increase in the rate at which non-VR doctors become fully-qualified GPs in order to both:</w:t>
      </w:r>
    </w:p>
    <w:p w14:paraId="5BCC3F7B" w14:textId="77777777" w:rsidR="00087E15" w:rsidRPr="00087E15" w:rsidRDefault="00087E15" w:rsidP="00AA5EBF">
      <w:pPr>
        <w:numPr>
          <w:ilvl w:val="0"/>
          <w:numId w:val="46"/>
        </w:numPr>
        <w:spacing w:after="160" w:line="259" w:lineRule="auto"/>
        <w:contextualSpacing/>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attain the right to claim the full MBS items for all general practice attendances; and</w:t>
      </w:r>
    </w:p>
    <w:p w14:paraId="45AC266D" w14:textId="77777777" w:rsidR="00087E15" w:rsidRPr="00087E15" w:rsidRDefault="00087E15" w:rsidP="00AA5EBF">
      <w:pPr>
        <w:numPr>
          <w:ilvl w:val="0"/>
          <w:numId w:val="46"/>
        </w:numPr>
        <w:spacing w:after="160" w:line="259" w:lineRule="auto"/>
        <w:contextualSpacing/>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 xml:space="preserve">define their scope of clinical practice on this basis. </w:t>
      </w:r>
    </w:p>
    <w:p w14:paraId="784B0E24" w14:textId="77777777" w:rsidR="00087E15" w:rsidRPr="00087E15" w:rsidRDefault="00087E15" w:rsidP="00087E15">
      <w:pPr>
        <w:rPr>
          <w:rFonts w:asciiTheme="minorHAnsi" w:hAnsiTheme="minorHAnsi" w:cstheme="minorHAnsi"/>
          <w:color w:val="000000" w:themeColor="text1"/>
          <w:lang w:eastAsia="en-AU"/>
        </w:rPr>
      </w:pPr>
    </w:p>
    <w:p w14:paraId="726A8684" w14:textId="6AF5C763" w:rsidR="00087E15" w:rsidRPr="00087E15" w:rsidRDefault="00087E15" w:rsidP="00087E15">
      <w:pPr>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A proposal to align this as part of a broader workforce strategy provides the opportunity to align this signal that improves options for doctors to attain qualification.  This option proposes that the revised MBS item structure would be introduced with other targeted changes to existing workforce measures to assist doctors with qualifying, specifically:</w:t>
      </w:r>
    </w:p>
    <w:p w14:paraId="7BB77780" w14:textId="77777777" w:rsidR="00087E15" w:rsidRPr="00087E15" w:rsidRDefault="00087E15" w:rsidP="00AA5EBF">
      <w:pPr>
        <w:numPr>
          <w:ilvl w:val="0"/>
          <w:numId w:val="49"/>
        </w:numPr>
        <w:spacing w:after="160" w:line="259" w:lineRule="auto"/>
        <w:contextualSpacing/>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the introduction of a consolidated general practice experience program – the MDRAP – that provides more consistent clinical experience to non-VR doctors (particularly those in the earlier stages of their career) in regional, rural or remote areas;</w:t>
      </w:r>
    </w:p>
    <w:p w14:paraId="48706BF3" w14:textId="77777777" w:rsidR="00087E15" w:rsidRPr="00087E15" w:rsidRDefault="00087E15" w:rsidP="00AA5EBF">
      <w:pPr>
        <w:numPr>
          <w:ilvl w:val="0"/>
          <w:numId w:val="49"/>
        </w:numPr>
        <w:spacing w:after="160" w:line="259" w:lineRule="auto"/>
        <w:contextualSpacing/>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streamlined general practice training options that are delivered by the RACGP or the ACRRM and better linked to the respective Fellowship qualifications; and</w:t>
      </w:r>
    </w:p>
    <w:p w14:paraId="1BEA2C43" w14:textId="77777777" w:rsidR="00087E15" w:rsidRPr="00087E15" w:rsidRDefault="00087E15" w:rsidP="00AA5EBF">
      <w:pPr>
        <w:numPr>
          <w:ilvl w:val="0"/>
          <w:numId w:val="49"/>
        </w:numPr>
        <w:spacing w:after="160" w:line="259" w:lineRule="auto"/>
        <w:contextualSpacing/>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an investment to support the development of a Fellowship Support Program, to assist non-VR doctors who are not yet engaged in training to make the transition to either FRACGP or FACRRM.</w:t>
      </w:r>
    </w:p>
    <w:p w14:paraId="01B0B7CC" w14:textId="77777777" w:rsidR="00087E15" w:rsidRPr="00087E15" w:rsidRDefault="00087E15" w:rsidP="00087E15">
      <w:pPr>
        <w:rPr>
          <w:rFonts w:asciiTheme="minorHAnsi" w:hAnsiTheme="minorHAnsi" w:cstheme="minorHAnsi"/>
          <w:color w:val="000000" w:themeColor="text1"/>
          <w:lang w:eastAsia="en-AU"/>
        </w:rPr>
      </w:pPr>
    </w:p>
    <w:p w14:paraId="7387BC16" w14:textId="05349DAA" w:rsidR="00087E15" w:rsidRPr="00087E15" w:rsidRDefault="00087E15" w:rsidP="00087E15">
      <w:pPr>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 xml:space="preserve">The </w:t>
      </w:r>
      <w:r w:rsidR="00B068A6">
        <w:rPr>
          <w:rFonts w:asciiTheme="minorHAnsi" w:hAnsiTheme="minorHAnsi" w:cstheme="minorHAnsi"/>
          <w:color w:val="000000" w:themeColor="text1"/>
          <w:lang w:eastAsia="en-AU"/>
        </w:rPr>
        <w:t>cumulative introduction of the proposed</w:t>
      </w:r>
      <w:r w:rsidRPr="00087E15">
        <w:rPr>
          <w:rFonts w:asciiTheme="minorHAnsi" w:hAnsiTheme="minorHAnsi" w:cstheme="minorHAnsi"/>
          <w:color w:val="000000" w:themeColor="text1"/>
          <w:lang w:eastAsia="en-AU"/>
        </w:rPr>
        <w:t xml:space="preserve"> measures would create a situation where non-VR doctors are encouraged to qualify through financial incentives in the form of higher MBS items and an underlying suite of experience and training programs that offer a level of supervision and scope of clinical experience that is better linked to the qualification standards than the current arrangements.</w:t>
      </w:r>
    </w:p>
    <w:p w14:paraId="394793ED" w14:textId="77777777" w:rsidR="00087E15" w:rsidRPr="00087E15" w:rsidRDefault="00087E15" w:rsidP="00087E15">
      <w:pPr>
        <w:rPr>
          <w:rFonts w:asciiTheme="minorHAnsi" w:hAnsiTheme="minorHAnsi" w:cstheme="minorHAnsi"/>
          <w:i/>
          <w:color w:val="000000" w:themeColor="text1"/>
        </w:rPr>
      </w:pPr>
    </w:p>
    <w:p w14:paraId="0A02C64A" w14:textId="77777777" w:rsidR="00087E15" w:rsidRPr="00087E15" w:rsidRDefault="00087E15" w:rsidP="00087E15">
      <w:pPr>
        <w:rPr>
          <w:rFonts w:asciiTheme="minorHAnsi" w:hAnsiTheme="minorHAnsi" w:cstheme="minorHAnsi"/>
          <w:i/>
          <w:color w:val="000000" w:themeColor="text1"/>
        </w:rPr>
      </w:pPr>
      <w:r w:rsidRPr="00087E15">
        <w:rPr>
          <w:rFonts w:asciiTheme="minorHAnsi" w:hAnsiTheme="minorHAnsi" w:cstheme="minorHAnsi"/>
          <w:i/>
          <w:color w:val="000000" w:themeColor="text1"/>
        </w:rPr>
        <w:t>Apply a more direct influence on the distribution of OTDs</w:t>
      </w:r>
    </w:p>
    <w:p w14:paraId="1D69CF58" w14:textId="77777777" w:rsidR="00087E15" w:rsidRPr="00087E15" w:rsidRDefault="00087E15" w:rsidP="00087E15">
      <w:pPr>
        <w:rPr>
          <w:rFonts w:asciiTheme="minorHAnsi" w:eastAsiaTheme="minorHAnsi" w:hAnsiTheme="minorHAnsi" w:cstheme="minorHAnsi"/>
          <w:color w:val="000000" w:themeColor="text1"/>
        </w:rPr>
      </w:pPr>
      <w:r w:rsidRPr="00087E15">
        <w:rPr>
          <w:rFonts w:asciiTheme="minorHAnsi" w:eastAsiaTheme="minorHAnsi" w:hAnsiTheme="minorHAnsi" w:cstheme="minorHAnsi"/>
          <w:color w:val="000000" w:themeColor="text1"/>
        </w:rPr>
        <w:t>The current regulatory settings, particularly the MBS eligibility rules, seek to create the conditions for OTDs to be predominantly practising in underserviced communities.  The interaction of section 19AB of the HIA and the DWS classification system ensures that the primary determinant of the MBS eligibility of most OTDs is whether they are working in a capacity that addresses a defined workforce shortage or are engaged in training to meet Australia’s vocational standard.  Most OTDs will therefore be practising privately in a recognised DWS, in after-hours settings, or in supervised or formal training positions for MBS access.</w:t>
      </w:r>
    </w:p>
    <w:p w14:paraId="7F4437EF" w14:textId="77777777" w:rsidR="00087E15" w:rsidRPr="00087E15" w:rsidRDefault="00087E15" w:rsidP="00087E15">
      <w:pPr>
        <w:rPr>
          <w:rFonts w:asciiTheme="minorHAnsi" w:eastAsiaTheme="minorHAnsi" w:hAnsiTheme="minorHAnsi" w:cstheme="minorHAnsi"/>
          <w:color w:val="000000" w:themeColor="text1"/>
        </w:rPr>
      </w:pPr>
    </w:p>
    <w:p w14:paraId="7722CB46" w14:textId="77777777" w:rsidR="00087E15" w:rsidRPr="00087E15" w:rsidRDefault="00087E15" w:rsidP="00087E15">
      <w:pPr>
        <w:rPr>
          <w:rFonts w:asciiTheme="minorHAnsi" w:eastAsiaTheme="minorHAnsi" w:hAnsiTheme="minorHAnsi" w:cstheme="minorHAnsi"/>
          <w:color w:val="000000" w:themeColor="text1"/>
        </w:rPr>
      </w:pPr>
      <w:r w:rsidRPr="00087E15">
        <w:rPr>
          <w:rFonts w:asciiTheme="minorHAnsi" w:eastAsiaTheme="minorHAnsi" w:hAnsiTheme="minorHAnsi" w:cstheme="minorHAnsi"/>
          <w:color w:val="000000" w:themeColor="text1"/>
        </w:rPr>
        <w:lastRenderedPageBreak/>
        <w:t>This option would support current activities that focus on OTD distribution by reducing the number of placements offered under the Skilled Migration Program in metropolitan general practice settings.  This measure would include a reduction in the number of these positions that can be filled by OTDs by 200 per annum.</w:t>
      </w:r>
    </w:p>
    <w:p w14:paraId="0CDD3B96" w14:textId="77777777" w:rsidR="00087E15" w:rsidRPr="00087E15" w:rsidRDefault="00087E15" w:rsidP="00087E15">
      <w:pPr>
        <w:rPr>
          <w:rFonts w:asciiTheme="minorHAnsi" w:eastAsiaTheme="minorHAnsi" w:hAnsiTheme="minorHAnsi" w:cstheme="minorHAnsi"/>
          <w:color w:val="000000" w:themeColor="text1"/>
        </w:rPr>
      </w:pPr>
    </w:p>
    <w:p w14:paraId="1E43A669" w14:textId="77777777" w:rsidR="00087E15" w:rsidRPr="00087E15" w:rsidRDefault="00087E15" w:rsidP="00087E15">
      <w:pPr>
        <w:rPr>
          <w:rFonts w:asciiTheme="minorHAnsi" w:eastAsiaTheme="minorHAnsi" w:hAnsiTheme="minorHAnsi" w:cstheme="minorHAnsi"/>
          <w:color w:val="000000" w:themeColor="text1"/>
        </w:rPr>
      </w:pPr>
      <w:r w:rsidRPr="00087E15">
        <w:rPr>
          <w:rFonts w:asciiTheme="minorHAnsi" w:eastAsiaTheme="minorHAnsi" w:hAnsiTheme="minorHAnsi" w:cstheme="minorHAnsi"/>
          <w:color w:val="000000" w:themeColor="text1"/>
        </w:rPr>
        <w:t>Importantly, the reductions proposed under this measure would be limited to general practice positions that must be filled by MBS-eligible doctors.  The proposed reductions would not be extended to metropolitan hospital positions.  Structuring the reductions in this way would ensure:</w:t>
      </w:r>
    </w:p>
    <w:p w14:paraId="2453D779" w14:textId="77777777" w:rsidR="00087E15" w:rsidRPr="00087E15" w:rsidRDefault="00087E15" w:rsidP="00AA5EBF">
      <w:pPr>
        <w:numPr>
          <w:ilvl w:val="0"/>
          <w:numId w:val="54"/>
        </w:numPr>
        <w:spacing w:after="160" w:line="259" w:lineRule="auto"/>
        <w:contextualSpacing/>
        <w:rPr>
          <w:rFonts w:asciiTheme="minorHAnsi" w:eastAsiaTheme="minorHAnsi" w:hAnsiTheme="minorHAnsi" w:cstheme="minorHAnsi"/>
          <w:color w:val="000000" w:themeColor="text1"/>
        </w:rPr>
      </w:pPr>
      <w:r w:rsidRPr="00087E15">
        <w:rPr>
          <w:rFonts w:asciiTheme="minorHAnsi" w:eastAsiaTheme="minorHAnsi" w:hAnsiTheme="minorHAnsi" w:cstheme="minorHAnsi"/>
          <w:color w:val="000000" w:themeColor="text1"/>
        </w:rPr>
        <w:t>the state and territory governments will not need to modify current medical practitioner recruitment processes for hospitals; and</w:t>
      </w:r>
    </w:p>
    <w:p w14:paraId="3F7E01D1" w14:textId="77777777" w:rsidR="00087E15" w:rsidRPr="00087E15" w:rsidRDefault="00087E15" w:rsidP="00AA5EBF">
      <w:pPr>
        <w:numPr>
          <w:ilvl w:val="0"/>
          <w:numId w:val="54"/>
        </w:numPr>
        <w:spacing w:after="160" w:line="259" w:lineRule="auto"/>
        <w:contextualSpacing/>
        <w:rPr>
          <w:rFonts w:asciiTheme="minorHAnsi" w:eastAsiaTheme="minorHAnsi" w:hAnsiTheme="minorHAnsi" w:cstheme="minorHAnsi"/>
          <w:color w:val="000000" w:themeColor="text1"/>
        </w:rPr>
      </w:pPr>
      <w:r w:rsidRPr="00087E15">
        <w:rPr>
          <w:rFonts w:asciiTheme="minorHAnsi" w:eastAsiaTheme="minorHAnsi" w:hAnsiTheme="minorHAnsi" w:cstheme="minorHAnsi"/>
          <w:color w:val="000000" w:themeColor="text1"/>
        </w:rPr>
        <w:t xml:space="preserve">OTDs can continue to enter Australia for the purpose of undertaking supervised occupational training, which is generally delivered in hospital settings. </w:t>
      </w:r>
    </w:p>
    <w:p w14:paraId="601885FE" w14:textId="77777777" w:rsidR="00087E15" w:rsidRPr="00087E15" w:rsidRDefault="00087E15" w:rsidP="00087E15">
      <w:pPr>
        <w:rPr>
          <w:rFonts w:asciiTheme="minorHAnsi" w:eastAsiaTheme="minorHAnsi" w:hAnsiTheme="minorHAnsi" w:cstheme="minorHAnsi"/>
          <w:color w:val="000000" w:themeColor="text1"/>
        </w:rPr>
      </w:pPr>
    </w:p>
    <w:p w14:paraId="44CFD3D2" w14:textId="77777777" w:rsidR="00C954F0" w:rsidRDefault="00087E15" w:rsidP="00087E15">
      <w:pPr>
        <w:rPr>
          <w:rFonts w:asciiTheme="minorHAnsi" w:eastAsiaTheme="minorHAnsi" w:hAnsiTheme="minorHAnsi" w:cstheme="minorHAnsi"/>
          <w:color w:val="000000" w:themeColor="text1"/>
        </w:rPr>
      </w:pPr>
      <w:r w:rsidRPr="00087E15">
        <w:rPr>
          <w:rFonts w:asciiTheme="minorHAnsi" w:eastAsiaTheme="minorHAnsi" w:hAnsiTheme="minorHAnsi" w:cstheme="minorHAnsi"/>
          <w:color w:val="000000" w:themeColor="text1"/>
        </w:rPr>
        <w:t xml:space="preserve">This </w:t>
      </w:r>
      <w:r w:rsidR="00B068A6">
        <w:rPr>
          <w:rFonts w:asciiTheme="minorHAnsi" w:eastAsiaTheme="minorHAnsi" w:hAnsiTheme="minorHAnsi" w:cstheme="minorHAnsi"/>
          <w:color w:val="000000" w:themeColor="text1"/>
        </w:rPr>
        <w:t>part of the Strategy</w:t>
      </w:r>
      <w:r w:rsidRPr="00087E15">
        <w:rPr>
          <w:rFonts w:asciiTheme="minorHAnsi" w:eastAsiaTheme="minorHAnsi" w:hAnsiTheme="minorHAnsi" w:cstheme="minorHAnsi"/>
          <w:color w:val="000000" w:themeColor="text1"/>
        </w:rPr>
        <w:t xml:space="preserve"> would complement existing workforce distribution activities by gradually redirecting the external supply of GPs to regional, rural and remote areas.  It also mitigates the potential that some metropolitan areas might have an oversupply of private doctors.  This measure also complements other activities proposed under the Strategy, such as the recalibrated GP MBS item schedule, by more directly influencing the options available to doctors who are seeking to enter Australian general practice.</w:t>
      </w:r>
    </w:p>
    <w:p w14:paraId="541F54CF" w14:textId="6F770A37" w:rsidR="00087E15" w:rsidRPr="00087E15" w:rsidRDefault="00C954F0" w:rsidP="00087E15">
      <w:pPr>
        <w:rPr>
          <w:rFonts w:asciiTheme="minorHAnsi" w:hAnsiTheme="minorHAnsi" w:cstheme="minorHAnsi"/>
          <w:i/>
          <w:color w:val="000000" w:themeColor="text1"/>
        </w:rPr>
      </w:pPr>
      <w:r w:rsidRPr="00087E15">
        <w:rPr>
          <w:rFonts w:asciiTheme="minorHAnsi" w:hAnsiTheme="minorHAnsi" w:cstheme="minorHAnsi"/>
          <w:i/>
          <w:color w:val="000000" w:themeColor="text1"/>
        </w:rPr>
        <w:t xml:space="preserve"> </w:t>
      </w:r>
    </w:p>
    <w:p w14:paraId="51056FED" w14:textId="77777777" w:rsidR="00087E15" w:rsidRPr="00087E15" w:rsidRDefault="00087E15" w:rsidP="00087E15">
      <w:pPr>
        <w:rPr>
          <w:rFonts w:asciiTheme="minorHAnsi" w:hAnsiTheme="minorHAnsi" w:cstheme="minorHAnsi"/>
          <w:i/>
          <w:color w:val="000000" w:themeColor="text1"/>
        </w:rPr>
      </w:pPr>
      <w:r w:rsidRPr="00087E15">
        <w:rPr>
          <w:rFonts w:asciiTheme="minorHAnsi" w:hAnsiTheme="minorHAnsi" w:cstheme="minorHAnsi"/>
          <w:i/>
          <w:color w:val="000000" w:themeColor="text1"/>
        </w:rPr>
        <w:t>Invest in improving access to non-medical practitioner health services</w:t>
      </w:r>
    </w:p>
    <w:p w14:paraId="1AF2D6EC" w14:textId="77777777" w:rsidR="00087E15" w:rsidRPr="00087E15" w:rsidRDefault="00087E15"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The implementation of a strategic response to concerns about access to health services in regional, rural and remote Australia provides the scope to consider improvements to the settings for the non-medical practitioner segments of the workforce.  As part of the Strategy, the Government would take several measures to strengthen the capacity of the non-medical practitioner segments of the workforce to respond to emerging needs for services in regional or remote communities.</w:t>
      </w:r>
    </w:p>
    <w:p w14:paraId="742F3324" w14:textId="5907E63D" w:rsidR="00087E15" w:rsidRPr="00087E15" w:rsidRDefault="00087E15" w:rsidP="00087E15">
      <w:pPr>
        <w:rPr>
          <w:rFonts w:asciiTheme="minorHAnsi" w:hAnsiTheme="minorHAnsi" w:cstheme="minorHAnsi"/>
          <w:color w:val="000000" w:themeColor="text1"/>
        </w:rPr>
      </w:pPr>
    </w:p>
    <w:p w14:paraId="51C9D9B3" w14:textId="49DB6723" w:rsidR="00087E15" w:rsidRPr="00087E15" w:rsidRDefault="00087E15"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The Government proposes to fund an independent review of how nurses are currently being prepared to enter the Australian workforce.  This review would consider both national and international approaches to providing vocational training for the purpose of ascertain</w:t>
      </w:r>
      <w:r w:rsidR="00E87A06">
        <w:rPr>
          <w:rFonts w:asciiTheme="minorHAnsi" w:hAnsiTheme="minorHAnsi" w:cstheme="minorHAnsi"/>
          <w:color w:val="000000" w:themeColor="text1"/>
        </w:rPr>
        <w:t>ing</w:t>
      </w:r>
      <w:r w:rsidRPr="00087E15">
        <w:rPr>
          <w:rFonts w:asciiTheme="minorHAnsi" w:hAnsiTheme="minorHAnsi" w:cstheme="minorHAnsi"/>
          <w:color w:val="000000" w:themeColor="text1"/>
        </w:rPr>
        <w:t xml:space="preserve"> the optimum preparation of the nursing workforce.  This review process would be influenced by a Steering Committee that includes representation from the current National Nursing and Midwifery Education Advisory Network (NNMEAN) and the Department of Education.</w:t>
      </w:r>
    </w:p>
    <w:p w14:paraId="47B177FA" w14:textId="77777777" w:rsidR="00087E15" w:rsidRPr="00087E15" w:rsidRDefault="00087E15" w:rsidP="00087E15">
      <w:pPr>
        <w:rPr>
          <w:rFonts w:asciiTheme="minorHAnsi" w:hAnsiTheme="minorHAnsi" w:cstheme="minorHAnsi"/>
          <w:color w:val="000000" w:themeColor="text1"/>
        </w:rPr>
      </w:pPr>
    </w:p>
    <w:p w14:paraId="7E548463" w14:textId="768F8317" w:rsidR="00087E15" w:rsidRPr="00087E15" w:rsidRDefault="00087E15"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The Government also proposes to implement measures to strengthen the role of nurses in primary care settings so that they may contribute to team-based approaches to health care.  This would be achieved by funding the Australian College of Nurse Practitioners (ACNP) to undertake a communications strategy to improve awareness of the benefits of nurse practitioners.  The Government would also continue funding for the NiPHC so that the APNA can continue working to place nurses in primary care settings.</w:t>
      </w:r>
    </w:p>
    <w:p w14:paraId="0B67D09D" w14:textId="77777777" w:rsidR="00087E15" w:rsidRPr="00087E15" w:rsidRDefault="00087E15" w:rsidP="00087E15">
      <w:pPr>
        <w:rPr>
          <w:rFonts w:asciiTheme="minorHAnsi" w:hAnsiTheme="minorHAnsi" w:cstheme="minorHAnsi"/>
          <w:color w:val="000000" w:themeColor="text1"/>
        </w:rPr>
      </w:pPr>
    </w:p>
    <w:p w14:paraId="28BADA3F" w14:textId="5C81B07D" w:rsidR="00087E15" w:rsidRPr="00087E15" w:rsidRDefault="00087E15"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 xml:space="preserve">In addition to activities to strengthen the contribution of nurses, the Government would provide investment to expand current advocacy and planning activities to support the continued development of the Aboriginal and Torres Strait Islander Health Workforce.  This funding would specifically enable four key ATSIHPOs – the Australian Indigenous Doctors Association, the </w:t>
      </w:r>
      <w:r w:rsidRPr="00087E15">
        <w:rPr>
          <w:rFonts w:asciiTheme="minorHAnsi" w:hAnsiTheme="minorHAnsi" w:cstheme="minorHAnsi"/>
          <w:color w:val="000000" w:themeColor="text1"/>
        </w:rPr>
        <w:lastRenderedPageBreak/>
        <w:t xml:space="preserve">Congress of Aboriginal and Torres Strait Islander Nurses, Indigenous Allied Health Australia and the National Aboriginal and Torres Strait Islander Workforce Association – to continue to collectively implement strategies to improve the training, recruitment and retention of </w:t>
      </w:r>
      <w:r w:rsidR="00B068A6">
        <w:rPr>
          <w:rFonts w:asciiTheme="minorHAnsi" w:hAnsiTheme="minorHAnsi" w:cstheme="minorHAnsi"/>
          <w:color w:val="000000" w:themeColor="text1"/>
        </w:rPr>
        <w:t>Aboriginal and Torres Strait Islander</w:t>
      </w:r>
      <w:r w:rsidRPr="00087E15">
        <w:rPr>
          <w:rFonts w:asciiTheme="minorHAnsi" w:hAnsiTheme="minorHAnsi" w:cstheme="minorHAnsi"/>
          <w:color w:val="000000" w:themeColor="text1"/>
        </w:rPr>
        <w:t xml:space="preserve"> health professionals and practitioners.</w:t>
      </w:r>
    </w:p>
    <w:p w14:paraId="23537A1B" w14:textId="77777777" w:rsidR="00087E15" w:rsidRPr="00087E15" w:rsidRDefault="00087E15" w:rsidP="00087E15">
      <w:pPr>
        <w:rPr>
          <w:rFonts w:asciiTheme="minorHAnsi" w:hAnsiTheme="minorHAnsi" w:cstheme="minorHAnsi"/>
          <w:color w:val="000000" w:themeColor="text1"/>
        </w:rPr>
      </w:pPr>
    </w:p>
    <w:p w14:paraId="667B784F" w14:textId="77777777" w:rsidR="00C954F0" w:rsidRDefault="00087E15"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 xml:space="preserve">The Government would also invest in the </w:t>
      </w:r>
      <w:r w:rsidR="00B068A6">
        <w:rPr>
          <w:rFonts w:asciiTheme="minorHAnsi" w:hAnsiTheme="minorHAnsi" w:cstheme="minorHAnsi"/>
          <w:color w:val="000000" w:themeColor="text1"/>
        </w:rPr>
        <w:t>Royal Flying Doctor Service</w:t>
      </w:r>
      <w:r w:rsidR="009B24AD">
        <w:rPr>
          <w:rFonts w:asciiTheme="minorHAnsi" w:hAnsiTheme="minorHAnsi" w:cstheme="minorHAnsi"/>
          <w:color w:val="000000" w:themeColor="text1"/>
        </w:rPr>
        <w:t xml:space="preserve"> (RFDS)</w:t>
      </w:r>
      <w:r w:rsidRPr="00087E15">
        <w:rPr>
          <w:rFonts w:asciiTheme="minorHAnsi" w:hAnsiTheme="minorHAnsi" w:cstheme="minorHAnsi"/>
          <w:color w:val="000000" w:themeColor="text1"/>
        </w:rPr>
        <w:t xml:space="preserve"> as a key deliverer of health services in the most remote areas that are beyond the reach of many other health services, including those that leverage telehealth technology.  This funding would support the RFDS with continuing to perform aeromedical evacuations, to offer dental services beyond March 2019 and to introduce a mental health outreach clinic program.</w:t>
      </w:r>
    </w:p>
    <w:p w14:paraId="529C52BD" w14:textId="14323DD9" w:rsidR="00087E15" w:rsidRPr="00087E15" w:rsidRDefault="00C954F0"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 xml:space="preserve"> </w:t>
      </w:r>
    </w:p>
    <w:p w14:paraId="6C8B6652" w14:textId="77777777" w:rsidR="00C954F0" w:rsidRDefault="00087E15" w:rsidP="00C954F0">
      <w:pPr>
        <w:rPr>
          <w:rFonts w:asciiTheme="minorHAnsi" w:hAnsiTheme="minorHAnsi" w:cstheme="minorHAnsi"/>
          <w:color w:val="000000" w:themeColor="text1"/>
        </w:rPr>
      </w:pPr>
      <w:r w:rsidRPr="00087E15">
        <w:rPr>
          <w:rFonts w:asciiTheme="minorHAnsi" w:hAnsiTheme="minorHAnsi" w:cstheme="minorHAnsi"/>
          <w:color w:val="000000" w:themeColor="text1"/>
        </w:rPr>
        <w:t>These collective measures will be integral to supporting better access to non-medical health services, particularly in the most rural parts of Australia.  These measures address capacity issues that are not affected by efforts to distribute doctors and will provide a basis for improving access to team-based health interventions outside of the major cities.</w:t>
      </w:r>
    </w:p>
    <w:p w14:paraId="0AEE86A3" w14:textId="1A313358" w:rsidR="00087E15" w:rsidRPr="00087E15" w:rsidRDefault="00087E15" w:rsidP="00C954F0">
      <w:pPr>
        <w:rPr>
          <w:rFonts w:asciiTheme="minorHAnsi" w:hAnsiTheme="minorHAnsi" w:cstheme="minorHAnsi"/>
          <w:color w:val="000000" w:themeColor="text1"/>
        </w:rPr>
      </w:pPr>
      <w:r w:rsidRPr="00087E15">
        <w:rPr>
          <w:rFonts w:asciiTheme="minorHAnsi" w:hAnsiTheme="minorHAnsi" w:cstheme="minorHAnsi"/>
          <w:color w:val="000000" w:themeColor="text1"/>
        </w:rPr>
        <w:t xml:space="preserve"> </w:t>
      </w:r>
    </w:p>
    <w:p w14:paraId="7BAFDF79" w14:textId="77777777" w:rsidR="00087E15" w:rsidRPr="00087E15" w:rsidRDefault="00087E15"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In addition to recalibrating the current settings under which doctors and other health professionals are trained and are granted entry into the health system, a strategic approach would allow the government to reconsider key workforce incentives.  This would achieve better alignment between key incentives and the scope of clinical practice they were implemented to encourage.</w:t>
      </w:r>
    </w:p>
    <w:p w14:paraId="251D1101" w14:textId="77777777" w:rsidR="00087E15" w:rsidRPr="00087E15" w:rsidRDefault="00087E15" w:rsidP="00087E15">
      <w:pPr>
        <w:rPr>
          <w:rFonts w:asciiTheme="minorHAnsi" w:hAnsiTheme="minorHAnsi" w:cstheme="minorHAnsi"/>
          <w:color w:val="000000" w:themeColor="text1"/>
        </w:rPr>
      </w:pPr>
    </w:p>
    <w:p w14:paraId="67222A81" w14:textId="77777777" w:rsidR="00087E15" w:rsidRPr="00087E15" w:rsidRDefault="00087E15" w:rsidP="00087E15">
      <w:pPr>
        <w:rPr>
          <w:rFonts w:asciiTheme="minorHAnsi" w:hAnsiTheme="minorHAnsi" w:cstheme="minorHAnsi"/>
          <w:i/>
          <w:color w:val="000000" w:themeColor="text1"/>
        </w:rPr>
      </w:pPr>
      <w:r w:rsidRPr="00087E15">
        <w:rPr>
          <w:rFonts w:asciiTheme="minorHAnsi" w:hAnsiTheme="minorHAnsi" w:cstheme="minorHAnsi"/>
          <w:i/>
          <w:color w:val="000000" w:themeColor="text1"/>
        </w:rPr>
        <w:t>Reconfigure the current incentive payment programs to support the sustained delivery of affordable primary care in regional, rural and remote areas</w:t>
      </w:r>
    </w:p>
    <w:p w14:paraId="46EE8AA3" w14:textId="3715977D" w:rsidR="00087E15" w:rsidRPr="00087E15" w:rsidRDefault="00087E15"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 xml:space="preserve">As part of this proposal to adopt the Strategy, the Government would update the Rural-Bulk Billing Incentive Program </w:t>
      </w:r>
      <w:r w:rsidR="009B24AD">
        <w:rPr>
          <w:rFonts w:asciiTheme="minorHAnsi" w:hAnsiTheme="minorHAnsi" w:cstheme="minorHAnsi"/>
          <w:color w:val="000000" w:themeColor="text1"/>
        </w:rPr>
        <w:t xml:space="preserve">and the PNIP </w:t>
      </w:r>
      <w:r w:rsidRPr="00087E15">
        <w:rPr>
          <w:rFonts w:asciiTheme="minorHAnsi" w:hAnsiTheme="minorHAnsi" w:cstheme="minorHAnsi"/>
          <w:color w:val="000000" w:themeColor="text1"/>
        </w:rPr>
        <w:t>to reflect the current remoteness area classifications under the MMM.  This addresses the concern that payments are based on outdated information and will move to a state where this incentive meets its stated objective of protecting access to fully MBS –subsidised medical services in the most vulnerable rural and remote communities.</w:t>
      </w:r>
    </w:p>
    <w:p w14:paraId="48497651" w14:textId="77777777" w:rsidR="00087E15" w:rsidRPr="00087E15" w:rsidRDefault="00087E15" w:rsidP="00087E15">
      <w:pPr>
        <w:rPr>
          <w:rFonts w:asciiTheme="minorHAnsi" w:hAnsiTheme="minorHAnsi" w:cstheme="minorHAnsi"/>
          <w:color w:val="000000" w:themeColor="text1"/>
        </w:rPr>
      </w:pPr>
    </w:p>
    <w:p w14:paraId="5E22C716" w14:textId="77777777" w:rsidR="00C954F0" w:rsidRDefault="00087E15" w:rsidP="00C954F0">
      <w:pPr>
        <w:rPr>
          <w:rFonts w:asciiTheme="minorHAnsi" w:hAnsiTheme="minorHAnsi" w:cstheme="minorHAnsi"/>
          <w:color w:val="000000" w:themeColor="text1"/>
        </w:rPr>
      </w:pPr>
      <w:r w:rsidRPr="00087E15">
        <w:rPr>
          <w:rFonts w:asciiTheme="minorHAnsi" w:hAnsiTheme="minorHAnsi" w:cstheme="minorHAnsi"/>
          <w:color w:val="000000" w:themeColor="text1"/>
        </w:rPr>
        <w:t>The Government would also replace the PNIP and GPRIP arrangements with a single, consolidated arrangement – the Workforce Incentive Program (WIP).  The WIP would base incentive amounts on the current MMM remoteness area classification, with payments being delivered through Practice and Doctor Streams.</w:t>
      </w:r>
    </w:p>
    <w:p w14:paraId="30289584" w14:textId="29954272" w:rsidR="00087E15" w:rsidRPr="00087E15" w:rsidRDefault="00C954F0" w:rsidP="00C954F0">
      <w:pPr>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 xml:space="preserve"> </w:t>
      </w:r>
    </w:p>
    <w:p w14:paraId="1FFCACC4" w14:textId="77777777" w:rsidR="00087E15" w:rsidRPr="00087E15" w:rsidRDefault="00087E15" w:rsidP="00087E15">
      <w:pPr>
        <w:spacing w:line="300" w:lineRule="atLeast"/>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 xml:space="preserve">It is proposed that under the WIP: </w:t>
      </w:r>
    </w:p>
    <w:p w14:paraId="3B7C9D71" w14:textId="5C606C49" w:rsidR="00087E15" w:rsidRPr="00087E15" w:rsidRDefault="00087E15" w:rsidP="00AA5EBF">
      <w:pPr>
        <w:numPr>
          <w:ilvl w:val="0"/>
          <w:numId w:val="55"/>
        </w:numPr>
        <w:spacing w:after="160" w:line="300" w:lineRule="atLeast"/>
        <w:contextualSpacing/>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the PNIP would be re</w:t>
      </w:r>
      <w:r w:rsidR="009B24AD">
        <w:rPr>
          <w:rFonts w:asciiTheme="minorHAnsi" w:hAnsiTheme="minorHAnsi" w:cstheme="minorHAnsi"/>
          <w:color w:val="000000" w:themeColor="text1"/>
          <w:lang w:eastAsia="en-AU"/>
        </w:rPr>
        <w:t>placed with the Practice Stream.  I</w:t>
      </w:r>
      <w:r w:rsidRPr="00087E15">
        <w:rPr>
          <w:rFonts w:asciiTheme="minorHAnsi" w:hAnsiTheme="minorHAnsi" w:cstheme="minorHAnsi"/>
          <w:color w:val="000000" w:themeColor="text1"/>
          <w:lang w:eastAsia="en-AU"/>
        </w:rPr>
        <w:t xml:space="preserve">ncentives would </w:t>
      </w:r>
      <w:r w:rsidR="009B24AD">
        <w:rPr>
          <w:rFonts w:asciiTheme="minorHAnsi" w:hAnsiTheme="minorHAnsi" w:cstheme="minorHAnsi"/>
          <w:color w:val="000000" w:themeColor="text1"/>
          <w:lang w:eastAsia="en-AU"/>
        </w:rPr>
        <w:t xml:space="preserve">continue to </w:t>
      </w:r>
      <w:r w:rsidRPr="00087E15">
        <w:rPr>
          <w:rFonts w:asciiTheme="minorHAnsi" w:hAnsiTheme="minorHAnsi" w:cstheme="minorHAnsi"/>
          <w:color w:val="000000" w:themeColor="text1"/>
          <w:lang w:eastAsia="en-AU"/>
        </w:rPr>
        <w:t xml:space="preserve">be paid directly to eligible medical practices.  </w:t>
      </w:r>
      <w:r w:rsidR="009B24AD">
        <w:rPr>
          <w:rFonts w:asciiTheme="minorHAnsi" w:hAnsiTheme="minorHAnsi" w:cstheme="minorHAnsi"/>
          <w:color w:val="000000" w:themeColor="text1"/>
          <w:lang w:eastAsia="en-AU"/>
        </w:rPr>
        <w:t>Eligible practices would continue to have the</w:t>
      </w:r>
      <w:r w:rsidRPr="00087E15">
        <w:rPr>
          <w:rFonts w:asciiTheme="minorHAnsi" w:hAnsiTheme="minorHAnsi" w:cstheme="minorHAnsi"/>
          <w:color w:val="000000" w:themeColor="text1"/>
          <w:lang w:eastAsia="en-AU"/>
        </w:rPr>
        <w:t xml:space="preserve"> discretion to determine how the incentive</w:t>
      </w:r>
      <w:r w:rsidR="009B24AD">
        <w:rPr>
          <w:rFonts w:asciiTheme="minorHAnsi" w:hAnsiTheme="minorHAnsi" w:cstheme="minorHAnsi"/>
          <w:color w:val="000000" w:themeColor="text1"/>
          <w:lang w:eastAsia="en-AU"/>
        </w:rPr>
        <w:t xml:space="preserve"> payments</w:t>
      </w:r>
      <w:r w:rsidRPr="00087E15">
        <w:rPr>
          <w:rFonts w:asciiTheme="minorHAnsi" w:hAnsiTheme="minorHAnsi" w:cstheme="minorHAnsi"/>
          <w:color w:val="000000" w:themeColor="text1"/>
          <w:lang w:eastAsia="en-AU"/>
        </w:rPr>
        <w:t xml:space="preserve"> would fund additional health professionals.  This flexibility extends to the type of health professionals who will be recruited (such as a nurse or Aboriginal and Torres Strait Islander Health Worker) and whether to use the incentive to recruit multiple health professionals.</w:t>
      </w:r>
    </w:p>
    <w:p w14:paraId="36B0C168" w14:textId="33C8DD82" w:rsidR="00087E15" w:rsidRPr="00087E15" w:rsidRDefault="00087E15" w:rsidP="00AA5EBF">
      <w:pPr>
        <w:numPr>
          <w:ilvl w:val="0"/>
          <w:numId w:val="55"/>
        </w:numPr>
        <w:spacing w:after="160" w:line="300" w:lineRule="atLeast"/>
        <w:contextualSpacing/>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 xml:space="preserve">the GPRIP would transition to the Doctor Stream, with payments continuing to be made directly to doctors.  The parameters for doctors to qualify for an incentive would not change, as these were revised as part of the </w:t>
      </w:r>
      <w:r w:rsidRPr="00087E15">
        <w:rPr>
          <w:rFonts w:asciiTheme="minorHAnsi" w:hAnsiTheme="minorHAnsi" w:cstheme="minorHAnsi"/>
          <w:i/>
          <w:color w:val="000000" w:themeColor="text1"/>
          <w:lang w:eastAsia="en-AU"/>
        </w:rPr>
        <w:t>Better Targeted Rural Financial Incentives for Doctors 2015-16 Budget Measure</w:t>
      </w:r>
      <w:r w:rsidRPr="00087E15">
        <w:rPr>
          <w:rFonts w:asciiTheme="minorHAnsi" w:hAnsiTheme="minorHAnsi" w:cstheme="minorHAnsi"/>
          <w:color w:val="000000" w:themeColor="text1"/>
          <w:lang w:eastAsia="en-AU"/>
        </w:rPr>
        <w:t xml:space="preserve"> and are now </w:t>
      </w:r>
      <w:r w:rsidR="00B068A6">
        <w:rPr>
          <w:rFonts w:asciiTheme="minorHAnsi" w:hAnsiTheme="minorHAnsi" w:cstheme="minorHAnsi"/>
          <w:color w:val="000000" w:themeColor="text1"/>
          <w:lang w:eastAsia="en-AU"/>
        </w:rPr>
        <w:t xml:space="preserve">offer appropriately targeted support for recruitment into vulnerable communities. </w:t>
      </w:r>
    </w:p>
    <w:p w14:paraId="35F885F4" w14:textId="77777777" w:rsidR="00087E15" w:rsidRPr="00087E15" w:rsidRDefault="00087E15" w:rsidP="00087E15">
      <w:pPr>
        <w:rPr>
          <w:rFonts w:asciiTheme="minorHAnsi" w:hAnsiTheme="minorHAnsi" w:cstheme="minorHAnsi"/>
          <w:color w:val="000000" w:themeColor="text1"/>
        </w:rPr>
      </w:pPr>
    </w:p>
    <w:p w14:paraId="19365C0D" w14:textId="77777777" w:rsidR="00C954F0" w:rsidRDefault="00087E15"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In addition to providing more flexible arrangements to support practices with recruiting health professionals, the WIP would apply the MMM classification system as a determinant of all payments.  This would ensure a consistent approach to delivering these payments going forward.</w:t>
      </w:r>
    </w:p>
    <w:p w14:paraId="64F28871" w14:textId="2D044E23" w:rsidR="00087E15" w:rsidRPr="00087E15" w:rsidRDefault="00C954F0"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 xml:space="preserve"> </w:t>
      </w:r>
    </w:p>
    <w:p w14:paraId="476950A9" w14:textId="77777777" w:rsidR="00087E15" w:rsidRPr="00087E15" w:rsidRDefault="00087E15"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 xml:space="preserve">A revised suite of incentive payments supports the delivery of sustainable primary care in regional, rural or remote parts of Australia.  The recalibrated arrangements would also provide the type of flexible financial assistance for improving capacity to offer team-based approaches to care in underserviced areas. </w:t>
      </w:r>
    </w:p>
    <w:p w14:paraId="6B7BD846" w14:textId="07B0D435" w:rsidR="00087E15" w:rsidRPr="00087E15" w:rsidRDefault="00087E15" w:rsidP="00087E15">
      <w:pPr>
        <w:rPr>
          <w:rFonts w:asciiTheme="minorHAnsi" w:hAnsiTheme="minorHAnsi" w:cstheme="minorHAnsi"/>
          <w:i/>
          <w:color w:val="000000" w:themeColor="text1"/>
        </w:rPr>
      </w:pPr>
    </w:p>
    <w:p w14:paraId="233FA588" w14:textId="77777777" w:rsidR="00087E15" w:rsidRPr="00087E15" w:rsidRDefault="00087E15" w:rsidP="00087E15">
      <w:pPr>
        <w:rPr>
          <w:rFonts w:asciiTheme="minorHAnsi" w:hAnsiTheme="minorHAnsi" w:cstheme="minorHAnsi"/>
          <w:i/>
          <w:color w:val="000000" w:themeColor="text1"/>
        </w:rPr>
      </w:pPr>
      <w:r w:rsidRPr="00087E15">
        <w:rPr>
          <w:rFonts w:asciiTheme="minorHAnsi" w:hAnsiTheme="minorHAnsi" w:cstheme="minorHAnsi"/>
          <w:i/>
          <w:color w:val="000000" w:themeColor="text1"/>
        </w:rPr>
        <w:t>Develop and implement workforce planning tools</w:t>
      </w:r>
    </w:p>
    <w:p w14:paraId="28C5A94B" w14:textId="77777777" w:rsidR="00087E15" w:rsidRPr="00087E15" w:rsidRDefault="00087E15" w:rsidP="00087E15">
      <w:pPr>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While this option proposes several measures that are concerned with improving current training pathways and recalibrating workforce distribution programs and incentives, it also proposes developing new tools to support collaborative health workforce planning activities.  The size and composition of the health workforce is influenced by several factors that make estimates of an appropriate stable state difficult.  This option addresses this difficulty by proposing the development of better tools to inform health policy and workforce planning.  This includes:</w:t>
      </w:r>
    </w:p>
    <w:p w14:paraId="41FC786A" w14:textId="77777777" w:rsidR="00087E15" w:rsidRPr="00087E15" w:rsidRDefault="00087E15" w:rsidP="00AA5EBF">
      <w:pPr>
        <w:numPr>
          <w:ilvl w:val="0"/>
          <w:numId w:val="51"/>
        </w:numPr>
        <w:spacing w:after="160" w:line="259" w:lineRule="auto"/>
        <w:contextualSpacing/>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taking action beyond a continued reliance on current workforce distribution measures, like DWS, which are limited to resolving short-term workforce shortfalls; and</w:t>
      </w:r>
    </w:p>
    <w:p w14:paraId="0DA45001" w14:textId="77777777" w:rsidR="00087E15" w:rsidRPr="00087E15" w:rsidRDefault="00087E15" w:rsidP="00AA5EBF">
      <w:pPr>
        <w:numPr>
          <w:ilvl w:val="0"/>
          <w:numId w:val="51"/>
        </w:numPr>
        <w:spacing w:after="160" w:line="259" w:lineRule="auto"/>
        <w:contextualSpacing/>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improving capacity to analyse demands for services across the spectrum of health professions with linkages to socio-economic indicators and demographic data.</w:t>
      </w:r>
    </w:p>
    <w:p w14:paraId="778AF8F6" w14:textId="77777777" w:rsidR="00BE3D9C" w:rsidRDefault="00BE3D9C" w:rsidP="00087E15">
      <w:pPr>
        <w:rPr>
          <w:rFonts w:asciiTheme="minorHAnsi" w:hAnsiTheme="minorHAnsi" w:cstheme="minorHAnsi"/>
          <w:color w:val="000000" w:themeColor="text1"/>
          <w:lang w:eastAsia="en-AU"/>
        </w:rPr>
      </w:pPr>
    </w:p>
    <w:p w14:paraId="0D937E19" w14:textId="7AD27978" w:rsidR="00087E15" w:rsidRPr="00087E15" w:rsidRDefault="00087E15" w:rsidP="00087E15">
      <w:pPr>
        <w:rPr>
          <w:rFonts w:asciiTheme="minorHAnsi" w:hAnsiTheme="minorHAnsi" w:cstheme="minorHAnsi"/>
          <w:color w:val="000000" w:themeColor="text1"/>
        </w:rPr>
      </w:pPr>
      <w:r w:rsidRPr="00087E15">
        <w:rPr>
          <w:rFonts w:asciiTheme="minorHAnsi" w:hAnsiTheme="minorHAnsi" w:cstheme="minorHAnsi"/>
          <w:color w:val="000000" w:themeColor="text1"/>
          <w:lang w:eastAsia="en-AU"/>
        </w:rPr>
        <w:t xml:space="preserve">To achieve this, this option proposes the development of the </w:t>
      </w:r>
      <w:r w:rsidRPr="00087E15">
        <w:rPr>
          <w:rFonts w:asciiTheme="minorHAnsi" w:hAnsiTheme="minorHAnsi" w:cstheme="minorHAnsi"/>
          <w:color w:val="000000" w:themeColor="text1"/>
        </w:rPr>
        <w:t>Health Demand and Supply Utilisation Patterns (HeaDS UPP) tool.  This tool would provide access to consolidated and current data to policy makes and workforce planners.  This tool would:</w:t>
      </w:r>
    </w:p>
    <w:p w14:paraId="6E593DA7" w14:textId="77777777" w:rsidR="00087E15" w:rsidRPr="00087E15" w:rsidRDefault="00087E15" w:rsidP="00AA5EBF">
      <w:pPr>
        <w:numPr>
          <w:ilvl w:val="0"/>
          <w:numId w:val="52"/>
        </w:numPr>
        <w:spacing w:after="160" w:line="259" w:lineRule="auto"/>
        <w:contextualSpacing/>
        <w:rPr>
          <w:rFonts w:asciiTheme="minorHAnsi" w:hAnsiTheme="minorHAnsi" w:cstheme="minorHAnsi"/>
          <w:color w:val="000000" w:themeColor="text1"/>
        </w:rPr>
      </w:pPr>
      <w:r w:rsidRPr="00087E15">
        <w:rPr>
          <w:rFonts w:asciiTheme="minorHAnsi" w:hAnsiTheme="minorHAnsi" w:cstheme="minorHAnsi"/>
          <w:color w:val="000000" w:themeColor="text1"/>
        </w:rPr>
        <w:t>move beyond a simple analysis of where services provided by comparing where consumers live with where they access their health services.  This allows for the determination of meaningful health service catchment areas that could be used to inform better long-term health workforce policies and programs; and</w:t>
      </w:r>
    </w:p>
    <w:p w14:paraId="709F0ED3" w14:textId="77777777" w:rsidR="00087E15" w:rsidRPr="00087E15" w:rsidRDefault="00087E15" w:rsidP="00AA5EBF">
      <w:pPr>
        <w:numPr>
          <w:ilvl w:val="0"/>
          <w:numId w:val="52"/>
        </w:numPr>
        <w:spacing w:after="160" w:line="259" w:lineRule="auto"/>
        <w:contextualSpacing/>
        <w:rPr>
          <w:rFonts w:asciiTheme="minorHAnsi" w:hAnsiTheme="minorHAnsi" w:cstheme="minorHAnsi"/>
          <w:color w:val="000000" w:themeColor="text1"/>
        </w:rPr>
      </w:pPr>
      <w:r w:rsidRPr="00087E15">
        <w:rPr>
          <w:rFonts w:asciiTheme="minorHAnsi" w:hAnsiTheme="minorHAnsi" w:cstheme="minorHAnsi"/>
          <w:color w:val="000000" w:themeColor="text1"/>
        </w:rPr>
        <w:t>analyse demands for health services with consideration of socio-economic indicators and demographic data to inform workforce planning.</w:t>
      </w:r>
    </w:p>
    <w:p w14:paraId="2108A8DE" w14:textId="77777777" w:rsidR="00087E15" w:rsidRPr="00087E15" w:rsidRDefault="00087E15" w:rsidP="00087E15">
      <w:pPr>
        <w:rPr>
          <w:rFonts w:asciiTheme="minorHAnsi" w:hAnsiTheme="minorHAnsi" w:cstheme="minorHAnsi"/>
          <w:color w:val="000000" w:themeColor="text1"/>
        </w:rPr>
      </w:pPr>
    </w:p>
    <w:p w14:paraId="01322E59" w14:textId="77777777" w:rsidR="00C954F0" w:rsidRDefault="00087E15"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In is envisaged that this tool would bring together and map important source information such as MBS data, Admitted Patient Care data and RFDS data.  By mapping these data sources, the tool would allow planners to view health workforce information for specific geographic areas.  Information supporting the tool would be updated regularly (every 6 to 12 months) to account for changes in the composition and distribution of the health workforce.</w:t>
      </w:r>
    </w:p>
    <w:p w14:paraId="3B7B0109" w14:textId="4C5F5AFB" w:rsidR="00BE3D9C" w:rsidRPr="00087E15" w:rsidRDefault="00C954F0"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 xml:space="preserve"> </w:t>
      </w:r>
    </w:p>
    <w:p w14:paraId="7BB92552" w14:textId="77777777" w:rsidR="00087E15" w:rsidRPr="00087E15" w:rsidRDefault="00087E15" w:rsidP="00087E15">
      <w:pPr>
        <w:rPr>
          <w:rFonts w:asciiTheme="minorHAnsi" w:hAnsiTheme="minorHAnsi" w:cstheme="minorHAnsi"/>
          <w:color w:val="000000" w:themeColor="text1"/>
        </w:rPr>
      </w:pPr>
      <w:r w:rsidRPr="00087E15">
        <w:rPr>
          <w:rFonts w:asciiTheme="minorHAnsi" w:hAnsiTheme="minorHAnsi" w:cstheme="minorHAnsi"/>
          <w:color w:val="000000" w:themeColor="text1"/>
        </w:rPr>
        <w:t>The Government sees this tool as having significant potential to improve health workforce planning activities at several levels.  It is expected that the tool, once implemented, would be available to key organisations that are involved in delivering health workforce programs.  These include the Rural Workforce Agencies, the Primary Health Networks, Local Health Districts, Australia’s Specialist Medical Colleges and the State and Territory Governments.</w:t>
      </w:r>
    </w:p>
    <w:p w14:paraId="08D9C7BC" w14:textId="77777777" w:rsidR="00087E15" w:rsidRPr="00087E15" w:rsidRDefault="00087E15" w:rsidP="00087E15">
      <w:pPr>
        <w:rPr>
          <w:rFonts w:asciiTheme="minorHAnsi" w:hAnsiTheme="minorHAnsi" w:cstheme="minorHAnsi"/>
          <w:color w:val="000000" w:themeColor="text1"/>
        </w:rPr>
      </w:pPr>
    </w:p>
    <w:p w14:paraId="25D01E09" w14:textId="77777777" w:rsidR="00087E15" w:rsidRPr="00087E15" w:rsidRDefault="00087E15" w:rsidP="00087E15">
      <w:pPr>
        <w:rPr>
          <w:rFonts w:asciiTheme="minorHAnsi" w:eastAsiaTheme="minorHAnsi" w:hAnsiTheme="minorHAnsi" w:cstheme="minorHAnsi"/>
          <w:color w:val="000000" w:themeColor="text1"/>
        </w:rPr>
      </w:pPr>
      <w:r w:rsidRPr="00087E15">
        <w:rPr>
          <w:rFonts w:asciiTheme="minorHAnsi" w:eastAsiaTheme="minorHAnsi" w:hAnsiTheme="minorHAnsi" w:cstheme="minorHAnsi"/>
          <w:color w:val="000000" w:themeColor="text1"/>
        </w:rPr>
        <w:t xml:space="preserve">In addition to immediately improving the consistency of the evidence base, it is envisaged that the HeaDS UPP Tool would become the single source of consolidated information to inform </w:t>
      </w:r>
      <w:r w:rsidRPr="00087E15">
        <w:rPr>
          <w:rFonts w:asciiTheme="minorHAnsi" w:eastAsiaTheme="minorHAnsi" w:hAnsiTheme="minorHAnsi" w:cstheme="minorHAnsi"/>
          <w:color w:val="000000" w:themeColor="text1"/>
        </w:rPr>
        <w:lastRenderedPageBreak/>
        <w:t xml:space="preserve">workforce planning activities.  The tool would also have significant implications for supporting the development, implementation, monitoring and evaluation of health workforce programs and policies.  The application of the tool for these purpose will increase confidence in health program expenditure. </w:t>
      </w:r>
    </w:p>
    <w:p w14:paraId="264E52D8" w14:textId="77777777" w:rsidR="00032816" w:rsidRDefault="00032816" w:rsidP="00032816">
      <w:pPr>
        <w:rPr>
          <w:rFonts w:asciiTheme="minorHAnsi" w:hAnsiTheme="minorHAnsi" w:cstheme="minorHAnsi"/>
        </w:rPr>
      </w:pPr>
    </w:p>
    <w:p w14:paraId="34D7BFFC" w14:textId="77777777" w:rsidR="00AF7B16" w:rsidRPr="0052028F" w:rsidRDefault="00AF7B16" w:rsidP="00AF7B16">
      <w:pPr>
        <w:rPr>
          <w:rFonts w:asciiTheme="minorHAnsi" w:hAnsiTheme="minorHAnsi" w:cstheme="minorHAnsi"/>
          <w:b/>
        </w:rPr>
      </w:pPr>
      <w:r w:rsidRPr="0052028F">
        <w:rPr>
          <w:rFonts w:asciiTheme="minorHAnsi" w:hAnsiTheme="minorHAnsi" w:cstheme="minorHAnsi"/>
          <w:b/>
        </w:rPr>
        <w:t>Impacted Parties</w:t>
      </w:r>
    </w:p>
    <w:p w14:paraId="7A3D3A03" w14:textId="13B982A9" w:rsidR="008F27C6" w:rsidRDefault="008F27C6" w:rsidP="008F27C6">
      <w:pPr>
        <w:rPr>
          <w:rFonts w:asciiTheme="minorHAnsi" w:hAnsiTheme="minorHAnsi" w:cstheme="minorHAnsi"/>
        </w:rPr>
      </w:pPr>
      <w:r>
        <w:rPr>
          <w:rFonts w:asciiTheme="minorHAnsi" w:hAnsiTheme="minorHAnsi" w:cstheme="minorHAnsi"/>
        </w:rPr>
        <w:t>The following parties will be impacted:</w:t>
      </w:r>
    </w:p>
    <w:p w14:paraId="53ECFE49" w14:textId="4B6E7DDD" w:rsidR="00AF7B16" w:rsidRDefault="00A1117F" w:rsidP="00AA5EBF">
      <w:pPr>
        <w:pStyle w:val="ListParagraph"/>
        <w:numPr>
          <w:ilvl w:val="0"/>
          <w:numId w:val="57"/>
        </w:numPr>
        <w:rPr>
          <w:rFonts w:asciiTheme="minorHAnsi" w:hAnsiTheme="minorHAnsi" w:cstheme="minorHAnsi"/>
        </w:rPr>
      </w:pPr>
      <w:r>
        <w:rPr>
          <w:rFonts w:asciiTheme="minorHAnsi" w:hAnsiTheme="minorHAnsi" w:cstheme="minorHAnsi"/>
        </w:rPr>
        <w:t>h</w:t>
      </w:r>
      <w:r w:rsidR="00AF7B16" w:rsidRPr="0052028F">
        <w:rPr>
          <w:rFonts w:asciiTheme="minorHAnsi" w:hAnsiTheme="minorHAnsi" w:cstheme="minorHAnsi"/>
        </w:rPr>
        <w:t xml:space="preserve">ealth and medical community – Australian trained and overseas trained medical practitioners, post-graduate medical trainees, participants of bonding programs, general practices, primary health care employers, private sector hospital providers, nurses, nursing students, allied health practitioners, Aboriginal and Torres Strait Islander Health </w:t>
      </w:r>
      <w:r w:rsidR="00AF7B16">
        <w:rPr>
          <w:rFonts w:asciiTheme="minorHAnsi" w:hAnsiTheme="minorHAnsi" w:cstheme="minorHAnsi"/>
        </w:rPr>
        <w:t>p</w:t>
      </w:r>
      <w:r w:rsidR="00AF7B16" w:rsidRPr="0052028F">
        <w:rPr>
          <w:rFonts w:asciiTheme="minorHAnsi" w:hAnsiTheme="minorHAnsi" w:cstheme="minorHAnsi"/>
        </w:rPr>
        <w:t xml:space="preserve">ractitioners and </w:t>
      </w:r>
      <w:r w:rsidR="00AF7B16">
        <w:rPr>
          <w:rFonts w:asciiTheme="minorHAnsi" w:hAnsiTheme="minorHAnsi" w:cstheme="minorHAnsi"/>
        </w:rPr>
        <w:t>w</w:t>
      </w:r>
      <w:r w:rsidR="00AF7B16" w:rsidRPr="0052028F">
        <w:rPr>
          <w:rFonts w:asciiTheme="minorHAnsi" w:hAnsiTheme="minorHAnsi" w:cstheme="minorHAnsi"/>
        </w:rPr>
        <w:t>orkers, Rural Workforce Agencies, Primary Health Networks,</w:t>
      </w:r>
      <w:r w:rsidR="00CA3BA1">
        <w:rPr>
          <w:rFonts w:asciiTheme="minorHAnsi" w:hAnsiTheme="minorHAnsi" w:cstheme="minorHAnsi"/>
        </w:rPr>
        <w:t xml:space="preserve"> Local Health Districts.</w:t>
      </w:r>
    </w:p>
    <w:p w14:paraId="45E42B42" w14:textId="3C011BF9" w:rsidR="00AF7B16" w:rsidRPr="0052028F" w:rsidRDefault="00A1117F" w:rsidP="00AA5EBF">
      <w:pPr>
        <w:pStyle w:val="ListParagraph"/>
        <w:numPr>
          <w:ilvl w:val="0"/>
          <w:numId w:val="57"/>
        </w:numPr>
        <w:rPr>
          <w:rFonts w:asciiTheme="minorHAnsi" w:hAnsiTheme="minorHAnsi" w:cstheme="minorHAnsi"/>
        </w:rPr>
      </w:pPr>
      <w:r>
        <w:rPr>
          <w:rFonts w:asciiTheme="minorHAnsi" w:hAnsiTheme="minorHAnsi" w:cstheme="minorHAnsi"/>
        </w:rPr>
        <w:t>t</w:t>
      </w:r>
      <w:r w:rsidR="00AF7B16" w:rsidRPr="0052028F">
        <w:rPr>
          <w:rFonts w:asciiTheme="minorHAnsi" w:hAnsiTheme="minorHAnsi" w:cstheme="minorHAnsi"/>
        </w:rPr>
        <w:t>raining organisations - GP training Colleges, R</w:t>
      </w:r>
      <w:r w:rsidR="00CA3BA1">
        <w:rPr>
          <w:rFonts w:asciiTheme="minorHAnsi" w:hAnsiTheme="minorHAnsi" w:cstheme="minorHAnsi"/>
        </w:rPr>
        <w:t>egional Training Organisations.</w:t>
      </w:r>
    </w:p>
    <w:p w14:paraId="0EFC2096" w14:textId="77777777" w:rsidR="00C954F0" w:rsidRPr="00C954F0" w:rsidRDefault="00E0002F" w:rsidP="00C954F0">
      <w:pPr>
        <w:pStyle w:val="ListParagraph"/>
        <w:numPr>
          <w:ilvl w:val="0"/>
          <w:numId w:val="57"/>
        </w:numPr>
        <w:rPr>
          <w:rFonts w:asciiTheme="minorHAnsi" w:hAnsiTheme="minorHAnsi" w:cstheme="minorHAnsi"/>
          <w:b/>
        </w:rPr>
      </w:pPr>
      <w:r>
        <w:rPr>
          <w:rFonts w:asciiTheme="minorHAnsi" w:hAnsiTheme="minorHAnsi" w:cstheme="minorHAnsi"/>
        </w:rPr>
        <w:t>A</w:t>
      </w:r>
      <w:r w:rsidR="00AF7B16" w:rsidRPr="0052028F">
        <w:rPr>
          <w:rFonts w:asciiTheme="minorHAnsi" w:hAnsiTheme="minorHAnsi" w:cstheme="minorHAnsi"/>
        </w:rPr>
        <w:t>ustralian health cons</w:t>
      </w:r>
      <w:r w:rsidR="00CA3BA1">
        <w:rPr>
          <w:rFonts w:asciiTheme="minorHAnsi" w:hAnsiTheme="minorHAnsi" w:cstheme="minorHAnsi"/>
        </w:rPr>
        <w:t>umers and the broader community (indirectly impacted).</w:t>
      </w:r>
    </w:p>
    <w:p w14:paraId="46D89038" w14:textId="77777777" w:rsidR="00C954F0" w:rsidRDefault="00C954F0" w:rsidP="00C954F0">
      <w:pPr>
        <w:rPr>
          <w:rFonts w:asciiTheme="minorHAnsi" w:hAnsiTheme="minorHAnsi" w:cstheme="minorHAnsi"/>
          <w:b/>
        </w:rPr>
      </w:pPr>
    </w:p>
    <w:p w14:paraId="4C41E631" w14:textId="62F0B18E" w:rsidR="00AF7B16" w:rsidRPr="00C954F0" w:rsidRDefault="00AF7B16" w:rsidP="00C954F0">
      <w:pPr>
        <w:rPr>
          <w:rFonts w:asciiTheme="minorHAnsi" w:hAnsiTheme="minorHAnsi" w:cstheme="minorHAnsi"/>
          <w:b/>
        </w:rPr>
      </w:pPr>
      <w:r w:rsidRPr="00C954F0">
        <w:rPr>
          <w:rFonts w:asciiTheme="minorHAnsi" w:hAnsiTheme="minorHAnsi" w:cstheme="minorHAnsi"/>
          <w:b/>
        </w:rPr>
        <w:t>Impact Analysis</w:t>
      </w:r>
    </w:p>
    <w:p w14:paraId="23F1CA3C" w14:textId="21FA4B3D" w:rsidR="00005E1E" w:rsidRPr="0052028F" w:rsidRDefault="00005E1E" w:rsidP="00005E1E">
      <w:pPr>
        <w:rPr>
          <w:rFonts w:asciiTheme="minorHAnsi" w:hAnsiTheme="minorHAnsi" w:cstheme="minorHAnsi"/>
        </w:rPr>
      </w:pPr>
      <w:r w:rsidRPr="0052028F">
        <w:rPr>
          <w:rFonts w:asciiTheme="minorHAnsi" w:hAnsiTheme="minorHAnsi" w:cstheme="minorHAnsi"/>
        </w:rPr>
        <w:t>The impacts of the Strategy are significant, and include changes to:</w:t>
      </w:r>
    </w:p>
    <w:p w14:paraId="7C700B8F" w14:textId="5C71C806" w:rsidR="001931E8" w:rsidRPr="006F3273" w:rsidRDefault="00005E1E">
      <w:pPr>
        <w:pStyle w:val="ListParagraph"/>
        <w:numPr>
          <w:ilvl w:val="0"/>
          <w:numId w:val="2"/>
        </w:numPr>
        <w:rPr>
          <w:rFonts w:asciiTheme="minorHAnsi" w:hAnsiTheme="minorHAnsi" w:cstheme="minorHAnsi"/>
        </w:rPr>
      </w:pPr>
      <w:r>
        <w:rPr>
          <w:rFonts w:asciiTheme="minorHAnsi" w:hAnsiTheme="minorHAnsi" w:cstheme="minorHAnsi"/>
        </w:rPr>
        <w:t>t</w:t>
      </w:r>
      <w:r w:rsidRPr="0052028F">
        <w:rPr>
          <w:rFonts w:asciiTheme="minorHAnsi" w:hAnsiTheme="minorHAnsi" w:cstheme="minorHAnsi"/>
        </w:rPr>
        <w:t xml:space="preserve">he </w:t>
      </w:r>
      <w:r w:rsidR="001931E8">
        <w:rPr>
          <w:rFonts w:asciiTheme="minorHAnsi" w:hAnsiTheme="minorHAnsi" w:cstheme="minorHAnsi"/>
        </w:rPr>
        <w:t>way Australian medical graduates are trained, facilitating an increase in the rural focus of pre-vocational and general practice training</w:t>
      </w:r>
      <w:r w:rsidRPr="0052028F">
        <w:rPr>
          <w:rFonts w:asciiTheme="minorHAnsi" w:hAnsiTheme="minorHAnsi" w:cstheme="minorHAnsi"/>
        </w:rPr>
        <w:t>;</w:t>
      </w:r>
    </w:p>
    <w:p w14:paraId="1B57D4AE" w14:textId="14136AF2" w:rsidR="00005E1E" w:rsidRPr="0052028F" w:rsidRDefault="00005E1E" w:rsidP="00005E1E">
      <w:pPr>
        <w:pStyle w:val="ListParagraph"/>
        <w:numPr>
          <w:ilvl w:val="0"/>
          <w:numId w:val="2"/>
        </w:numPr>
        <w:rPr>
          <w:rFonts w:asciiTheme="minorHAnsi" w:hAnsiTheme="minorHAnsi" w:cstheme="minorHAnsi"/>
        </w:rPr>
      </w:pPr>
      <w:r>
        <w:rPr>
          <w:rFonts w:asciiTheme="minorHAnsi" w:hAnsiTheme="minorHAnsi" w:cstheme="minorHAnsi"/>
        </w:rPr>
        <w:t>t</w:t>
      </w:r>
      <w:r w:rsidRPr="0052028F">
        <w:rPr>
          <w:rFonts w:asciiTheme="minorHAnsi" w:hAnsiTheme="minorHAnsi" w:cstheme="minorHAnsi"/>
        </w:rPr>
        <w:t>he structure of the GP workforce and h</w:t>
      </w:r>
      <w:r>
        <w:rPr>
          <w:rFonts w:asciiTheme="minorHAnsi" w:hAnsiTheme="minorHAnsi" w:cstheme="minorHAnsi"/>
        </w:rPr>
        <w:t>ow it is funded through the MBS</w:t>
      </w:r>
      <w:r w:rsidR="001931E8">
        <w:rPr>
          <w:rFonts w:asciiTheme="minorHAnsi" w:hAnsiTheme="minorHAnsi" w:cstheme="minorHAnsi"/>
        </w:rPr>
        <w:t>;</w:t>
      </w:r>
    </w:p>
    <w:p w14:paraId="1386E9A3" w14:textId="47FA7472" w:rsidR="00005E1E" w:rsidRPr="0052028F" w:rsidRDefault="00005E1E" w:rsidP="00005E1E">
      <w:pPr>
        <w:pStyle w:val="ListParagraph"/>
        <w:numPr>
          <w:ilvl w:val="0"/>
          <w:numId w:val="2"/>
        </w:numPr>
        <w:rPr>
          <w:rFonts w:asciiTheme="minorHAnsi" w:hAnsiTheme="minorHAnsi" w:cstheme="minorHAnsi"/>
        </w:rPr>
      </w:pPr>
      <w:r>
        <w:rPr>
          <w:rFonts w:asciiTheme="minorHAnsi" w:hAnsiTheme="minorHAnsi" w:cstheme="minorHAnsi"/>
        </w:rPr>
        <w:t>m</w:t>
      </w:r>
      <w:r w:rsidRPr="0052028F">
        <w:rPr>
          <w:rFonts w:asciiTheme="minorHAnsi" w:hAnsiTheme="minorHAnsi" w:cstheme="minorHAnsi"/>
        </w:rPr>
        <w:t xml:space="preserve">anagement of the pathways from </w:t>
      </w:r>
      <w:r w:rsidR="00F00496">
        <w:rPr>
          <w:rFonts w:asciiTheme="minorHAnsi" w:hAnsiTheme="minorHAnsi" w:cstheme="minorHAnsi"/>
        </w:rPr>
        <w:t>attainment of primary medical degree</w:t>
      </w:r>
      <w:r w:rsidRPr="0052028F">
        <w:rPr>
          <w:rFonts w:asciiTheme="minorHAnsi" w:hAnsiTheme="minorHAnsi" w:cstheme="minorHAnsi"/>
        </w:rPr>
        <w:t xml:space="preserve"> to specialist GP stat</w:t>
      </w:r>
      <w:r>
        <w:rPr>
          <w:rFonts w:asciiTheme="minorHAnsi" w:hAnsiTheme="minorHAnsi" w:cstheme="minorHAnsi"/>
        </w:rPr>
        <w:t>us</w:t>
      </w:r>
      <w:r w:rsidR="001931E8">
        <w:rPr>
          <w:rFonts w:asciiTheme="minorHAnsi" w:hAnsiTheme="minorHAnsi" w:cstheme="minorHAnsi"/>
        </w:rPr>
        <w:t>;</w:t>
      </w:r>
    </w:p>
    <w:p w14:paraId="39BDBE33" w14:textId="6E520B88" w:rsidR="00005E1E" w:rsidRPr="0052028F" w:rsidRDefault="00005E1E" w:rsidP="00005E1E">
      <w:pPr>
        <w:pStyle w:val="ListParagraph"/>
        <w:numPr>
          <w:ilvl w:val="0"/>
          <w:numId w:val="2"/>
        </w:numPr>
        <w:rPr>
          <w:rFonts w:asciiTheme="minorHAnsi" w:hAnsiTheme="minorHAnsi" w:cstheme="minorHAnsi"/>
        </w:rPr>
      </w:pPr>
      <w:r>
        <w:rPr>
          <w:rFonts w:asciiTheme="minorHAnsi" w:hAnsiTheme="minorHAnsi" w:cstheme="minorHAnsi"/>
        </w:rPr>
        <w:t>t</w:t>
      </w:r>
      <w:r w:rsidRPr="0052028F">
        <w:rPr>
          <w:rFonts w:asciiTheme="minorHAnsi" w:hAnsiTheme="minorHAnsi" w:cstheme="minorHAnsi"/>
        </w:rPr>
        <w:t>he ways in which health and medical practitioners are enc</w:t>
      </w:r>
      <w:r>
        <w:rPr>
          <w:rFonts w:asciiTheme="minorHAnsi" w:hAnsiTheme="minorHAnsi" w:cstheme="minorHAnsi"/>
        </w:rPr>
        <w:t xml:space="preserve">ouraged and supported to </w:t>
      </w:r>
      <w:r w:rsidRPr="00E0002F">
        <w:rPr>
          <w:rFonts w:asciiTheme="minorHAnsi" w:hAnsiTheme="minorHAnsi" w:cstheme="minorHAnsi"/>
        </w:rPr>
        <w:t>practise</w:t>
      </w:r>
      <w:r w:rsidRPr="0052028F">
        <w:rPr>
          <w:rFonts w:asciiTheme="minorHAnsi" w:hAnsiTheme="minorHAnsi" w:cstheme="minorHAnsi"/>
        </w:rPr>
        <w:t xml:space="preserve"> in s</w:t>
      </w:r>
      <w:r>
        <w:rPr>
          <w:rFonts w:asciiTheme="minorHAnsi" w:hAnsiTheme="minorHAnsi" w:cstheme="minorHAnsi"/>
        </w:rPr>
        <w:t>pecified rural and remote areas</w:t>
      </w:r>
      <w:r w:rsidR="001931E8">
        <w:rPr>
          <w:rFonts w:asciiTheme="minorHAnsi" w:hAnsiTheme="minorHAnsi" w:cstheme="minorHAnsi"/>
        </w:rPr>
        <w:t>;</w:t>
      </w:r>
      <w:r w:rsidRPr="0052028F">
        <w:rPr>
          <w:rFonts w:asciiTheme="minorHAnsi" w:hAnsiTheme="minorHAnsi" w:cstheme="minorHAnsi"/>
        </w:rPr>
        <w:t xml:space="preserve"> and</w:t>
      </w:r>
    </w:p>
    <w:p w14:paraId="3F3675E8" w14:textId="50A70D3F" w:rsidR="00005E1E" w:rsidRDefault="00005E1E" w:rsidP="00005E1E">
      <w:pPr>
        <w:pStyle w:val="ListParagraph"/>
        <w:numPr>
          <w:ilvl w:val="0"/>
          <w:numId w:val="2"/>
        </w:numPr>
        <w:rPr>
          <w:rFonts w:asciiTheme="minorHAnsi" w:hAnsiTheme="minorHAnsi" w:cstheme="minorHAnsi"/>
        </w:rPr>
      </w:pPr>
      <w:r w:rsidRPr="0004757D">
        <w:rPr>
          <w:rFonts w:asciiTheme="minorHAnsi" w:hAnsiTheme="minorHAnsi" w:cstheme="minorHAnsi"/>
        </w:rPr>
        <w:t xml:space="preserve">the capacity of primary health care providers to </w:t>
      </w:r>
      <w:r w:rsidR="001931E8">
        <w:rPr>
          <w:rFonts w:asciiTheme="minorHAnsi" w:hAnsiTheme="minorHAnsi" w:cstheme="minorHAnsi"/>
        </w:rPr>
        <w:t>develop multidisciplinary</w:t>
      </w:r>
      <w:r w:rsidRPr="0004757D">
        <w:rPr>
          <w:rFonts w:asciiTheme="minorHAnsi" w:hAnsiTheme="minorHAnsi" w:cstheme="minorHAnsi"/>
        </w:rPr>
        <w:t xml:space="preserve"> and team-based models of care.</w:t>
      </w:r>
    </w:p>
    <w:p w14:paraId="669F2F96" w14:textId="529EF82D" w:rsidR="004D59B4" w:rsidRDefault="004D59B4" w:rsidP="00005E1E">
      <w:pPr>
        <w:rPr>
          <w:rFonts w:asciiTheme="minorHAnsi" w:hAnsiTheme="minorHAnsi" w:cstheme="minorHAnsi"/>
        </w:rPr>
      </w:pPr>
    </w:p>
    <w:p w14:paraId="01349181" w14:textId="1D01E97F" w:rsidR="0083727F" w:rsidRDefault="004D59B4" w:rsidP="004D59B4">
      <w:pPr>
        <w:rPr>
          <w:rFonts w:asciiTheme="minorHAnsi" w:hAnsiTheme="minorHAnsi" w:cstheme="minorHAnsi"/>
          <w:color w:val="000000" w:themeColor="text1"/>
          <w:lang w:eastAsia="en-AU"/>
        </w:rPr>
      </w:pPr>
      <w:r w:rsidRPr="00087E15">
        <w:rPr>
          <w:rFonts w:asciiTheme="minorHAnsi" w:hAnsiTheme="minorHAnsi" w:cstheme="minorHAnsi"/>
          <w:color w:val="000000" w:themeColor="text1"/>
          <w:lang w:eastAsia="en-AU"/>
        </w:rPr>
        <w:t>The Government anticipates t</w:t>
      </w:r>
      <w:r w:rsidR="0083727F">
        <w:rPr>
          <w:rFonts w:asciiTheme="minorHAnsi" w:hAnsiTheme="minorHAnsi" w:cstheme="minorHAnsi"/>
          <w:color w:val="000000" w:themeColor="text1"/>
          <w:lang w:eastAsia="en-AU"/>
        </w:rPr>
        <w:t>hat the revised GP</w:t>
      </w:r>
      <w:r w:rsidRPr="00087E15">
        <w:rPr>
          <w:rFonts w:asciiTheme="minorHAnsi" w:hAnsiTheme="minorHAnsi" w:cstheme="minorHAnsi"/>
          <w:color w:val="000000" w:themeColor="text1"/>
          <w:lang w:eastAsia="en-AU"/>
        </w:rPr>
        <w:t xml:space="preserve"> MBS item structure </w:t>
      </w:r>
      <w:r>
        <w:rPr>
          <w:rFonts w:asciiTheme="minorHAnsi" w:hAnsiTheme="minorHAnsi" w:cstheme="minorHAnsi"/>
          <w:color w:val="000000" w:themeColor="text1"/>
          <w:lang w:eastAsia="en-AU"/>
        </w:rPr>
        <w:t xml:space="preserve">will </w:t>
      </w:r>
      <w:r w:rsidR="0083727F">
        <w:rPr>
          <w:rFonts w:asciiTheme="minorHAnsi" w:hAnsiTheme="minorHAnsi" w:cstheme="minorHAnsi"/>
          <w:color w:val="000000" w:themeColor="text1"/>
          <w:lang w:eastAsia="en-AU"/>
        </w:rPr>
        <w:t>provide an immediate financial incentive to attain Fellowship and will result</w:t>
      </w:r>
      <w:r>
        <w:rPr>
          <w:rFonts w:asciiTheme="minorHAnsi" w:hAnsiTheme="minorHAnsi" w:cstheme="minorHAnsi"/>
          <w:color w:val="000000" w:themeColor="text1"/>
          <w:lang w:eastAsia="en-AU"/>
        </w:rPr>
        <w:t xml:space="preserve"> in</w:t>
      </w:r>
      <w:r w:rsidRPr="00087E15">
        <w:rPr>
          <w:rFonts w:asciiTheme="minorHAnsi" w:hAnsiTheme="minorHAnsi" w:cstheme="minorHAnsi"/>
          <w:color w:val="000000" w:themeColor="text1"/>
          <w:lang w:eastAsia="en-AU"/>
        </w:rPr>
        <w:t xml:space="preserve"> an increase in the rate at which non-VR doctors </w:t>
      </w:r>
      <w:r w:rsidR="0083727F">
        <w:rPr>
          <w:rFonts w:asciiTheme="minorHAnsi" w:hAnsiTheme="minorHAnsi" w:cstheme="minorHAnsi"/>
          <w:color w:val="000000" w:themeColor="text1"/>
          <w:lang w:eastAsia="en-AU"/>
        </w:rPr>
        <w:t xml:space="preserve">seek to </w:t>
      </w:r>
      <w:r w:rsidRPr="00087E15">
        <w:rPr>
          <w:rFonts w:asciiTheme="minorHAnsi" w:hAnsiTheme="minorHAnsi" w:cstheme="minorHAnsi"/>
          <w:color w:val="000000" w:themeColor="text1"/>
          <w:lang w:eastAsia="en-AU"/>
        </w:rPr>
        <w:t>become fully</w:t>
      </w:r>
      <w:r>
        <w:rPr>
          <w:rFonts w:asciiTheme="minorHAnsi" w:hAnsiTheme="minorHAnsi" w:cstheme="minorHAnsi"/>
          <w:color w:val="000000" w:themeColor="text1"/>
          <w:lang w:eastAsia="en-AU"/>
        </w:rPr>
        <w:t>-qualified GPs.</w:t>
      </w:r>
      <w:r w:rsidR="0083727F">
        <w:rPr>
          <w:rFonts w:asciiTheme="minorHAnsi" w:hAnsiTheme="minorHAnsi" w:cstheme="minorHAnsi"/>
          <w:color w:val="000000" w:themeColor="text1"/>
          <w:lang w:eastAsia="en-AU"/>
        </w:rPr>
        <w:t xml:space="preserve">  The Government also expects that an increased rate of doctors attaining qualifications will be realised under this option because the revised item structure is being introduced with a more navigable pathway to qualifying that features:</w:t>
      </w:r>
    </w:p>
    <w:p w14:paraId="6D676A5A" w14:textId="14F42454" w:rsidR="0083727F" w:rsidRDefault="0083727F" w:rsidP="00AA5EBF">
      <w:pPr>
        <w:pStyle w:val="ListParagraph"/>
        <w:numPr>
          <w:ilvl w:val="0"/>
          <w:numId w:val="59"/>
        </w:numPr>
        <w:rPr>
          <w:rFonts w:asciiTheme="minorHAnsi" w:hAnsiTheme="minorHAnsi" w:cstheme="minorHAnsi"/>
          <w:color w:val="000000" w:themeColor="text1"/>
          <w:lang w:eastAsia="en-AU"/>
        </w:rPr>
      </w:pPr>
      <w:r>
        <w:rPr>
          <w:rFonts w:asciiTheme="minorHAnsi" w:hAnsiTheme="minorHAnsi" w:cstheme="minorHAnsi"/>
          <w:color w:val="000000" w:themeColor="text1"/>
          <w:lang w:eastAsia="en-AU"/>
        </w:rPr>
        <w:t>streamlined, college-led general practice training; and</w:t>
      </w:r>
    </w:p>
    <w:p w14:paraId="2EEEBD77" w14:textId="01B97DB3" w:rsidR="004D59B4" w:rsidRDefault="0083727F" w:rsidP="00AA5EBF">
      <w:pPr>
        <w:pStyle w:val="ListParagraph"/>
        <w:numPr>
          <w:ilvl w:val="0"/>
          <w:numId w:val="59"/>
        </w:numPr>
        <w:rPr>
          <w:rFonts w:asciiTheme="minorHAnsi" w:hAnsiTheme="minorHAnsi" w:cstheme="minorHAnsi"/>
          <w:color w:val="000000" w:themeColor="text1"/>
          <w:lang w:eastAsia="en-AU"/>
        </w:rPr>
      </w:pPr>
      <w:r w:rsidRPr="006F3273">
        <w:rPr>
          <w:rFonts w:asciiTheme="minorHAnsi" w:hAnsiTheme="minorHAnsi" w:cstheme="minorHAnsi"/>
          <w:color w:val="000000" w:themeColor="text1"/>
          <w:lang w:eastAsia="en-AU"/>
        </w:rPr>
        <w:t>a single experience program (the MDRAP</w:t>
      </w:r>
      <w:r>
        <w:rPr>
          <w:rFonts w:asciiTheme="minorHAnsi" w:hAnsiTheme="minorHAnsi" w:cstheme="minorHAnsi"/>
          <w:color w:val="000000" w:themeColor="text1"/>
          <w:lang w:eastAsia="en-AU"/>
        </w:rPr>
        <w:t>) with the broad scope to accommodate different cohorts of non-VR doctors seeking clinical experience.</w:t>
      </w:r>
    </w:p>
    <w:p w14:paraId="4417F8C7" w14:textId="16F1EB40" w:rsidR="0083727F" w:rsidRDefault="0083727F">
      <w:pPr>
        <w:rPr>
          <w:rFonts w:asciiTheme="minorHAnsi" w:hAnsiTheme="minorHAnsi" w:cstheme="minorHAnsi"/>
          <w:color w:val="000000" w:themeColor="text1"/>
          <w:lang w:eastAsia="en-AU"/>
        </w:rPr>
      </w:pPr>
    </w:p>
    <w:p w14:paraId="3D436CB2" w14:textId="2A1D79E3" w:rsidR="0083727F" w:rsidRDefault="0083727F">
      <w:pPr>
        <w:rPr>
          <w:rFonts w:asciiTheme="minorHAnsi" w:hAnsiTheme="minorHAnsi" w:cstheme="minorHAnsi"/>
          <w:color w:val="000000" w:themeColor="text1"/>
          <w:lang w:eastAsia="en-AU"/>
        </w:rPr>
      </w:pPr>
      <w:r>
        <w:rPr>
          <w:rFonts w:asciiTheme="minorHAnsi" w:hAnsiTheme="minorHAnsi" w:cstheme="minorHAnsi"/>
          <w:color w:val="000000" w:themeColor="text1"/>
          <w:lang w:eastAsia="en-AU"/>
        </w:rPr>
        <w:t>As the reforms to the GP MBS item structure are being introduced with arrangements that preserve current claiming arrangements for GP trainees and OMPs Program participants, the Government does not anticipate that the collective reforms will result in unintended changes to the current distribution of doctors.  GPs and non-VR doctors who have made a commitment to attaining qualifications, including those gaining experience outside of the major cities, will</w:t>
      </w:r>
      <w:r w:rsidR="00B27505">
        <w:rPr>
          <w:rFonts w:asciiTheme="minorHAnsi" w:hAnsiTheme="minorHAnsi" w:cstheme="minorHAnsi"/>
          <w:color w:val="000000" w:themeColor="text1"/>
          <w:lang w:eastAsia="en-AU"/>
        </w:rPr>
        <w:t xml:space="preserve"> continue to have access to the full GP MBS items with time to meet outstanding requirements for FRACGP or FACCRM.</w:t>
      </w:r>
    </w:p>
    <w:p w14:paraId="47D9CE49" w14:textId="77777777" w:rsidR="00BE3D9C" w:rsidRDefault="00BE3D9C">
      <w:pPr>
        <w:rPr>
          <w:rFonts w:asciiTheme="minorHAnsi" w:hAnsiTheme="minorHAnsi" w:cstheme="minorHAnsi"/>
          <w:color w:val="000000" w:themeColor="text1"/>
          <w:lang w:eastAsia="en-AU"/>
        </w:rPr>
      </w:pPr>
    </w:p>
    <w:p w14:paraId="4351040A" w14:textId="6DC5B7AC" w:rsidR="0083727F" w:rsidRDefault="00B27505">
      <w:pPr>
        <w:rPr>
          <w:rFonts w:asciiTheme="minorHAnsi" w:hAnsiTheme="minorHAnsi" w:cstheme="minorHAnsi"/>
          <w:color w:val="000000" w:themeColor="text1"/>
          <w:lang w:eastAsia="en-AU"/>
        </w:rPr>
      </w:pPr>
      <w:r>
        <w:rPr>
          <w:rFonts w:asciiTheme="minorHAnsi" w:hAnsiTheme="minorHAnsi" w:cstheme="minorHAnsi"/>
          <w:color w:val="000000" w:themeColor="text1"/>
          <w:lang w:eastAsia="en-AU"/>
        </w:rPr>
        <w:t xml:space="preserve">In addition to changing the GP MBS item structure and underlying training and experience programs, the Government expects that the Strategy will address the perceived barriers to </w:t>
      </w:r>
      <w:r>
        <w:rPr>
          <w:rFonts w:asciiTheme="minorHAnsi" w:hAnsiTheme="minorHAnsi" w:cstheme="minorHAnsi"/>
          <w:color w:val="000000" w:themeColor="text1"/>
          <w:lang w:eastAsia="en-AU"/>
        </w:rPr>
        <w:lastRenderedPageBreak/>
        <w:t>recruiting Australian medical gradua</w:t>
      </w:r>
      <w:r w:rsidR="00037185">
        <w:rPr>
          <w:rFonts w:asciiTheme="minorHAnsi" w:hAnsiTheme="minorHAnsi" w:cstheme="minorHAnsi"/>
          <w:color w:val="000000" w:themeColor="text1"/>
          <w:lang w:eastAsia="en-AU"/>
        </w:rPr>
        <w:t>tes into general practice.  While the long-term career aspirations of medical students and junior doctors are hard to measure, the MDRAP is expected to be instrumental in improving opportunities for Australian medical graduates to satisfy the MBS eligibility rules and either:</w:t>
      </w:r>
    </w:p>
    <w:p w14:paraId="55243865" w14:textId="5CE3BEB0" w:rsidR="00037185" w:rsidRDefault="00B42566" w:rsidP="00AA5EBF">
      <w:pPr>
        <w:pStyle w:val="ListParagraph"/>
        <w:numPr>
          <w:ilvl w:val="0"/>
          <w:numId w:val="60"/>
        </w:numPr>
        <w:rPr>
          <w:rFonts w:asciiTheme="minorHAnsi" w:hAnsiTheme="minorHAnsi" w:cstheme="minorHAnsi"/>
          <w:color w:val="000000" w:themeColor="text1"/>
          <w:lang w:eastAsia="en-AU"/>
        </w:rPr>
      </w:pPr>
      <w:r>
        <w:rPr>
          <w:rFonts w:asciiTheme="minorHAnsi" w:hAnsiTheme="minorHAnsi" w:cstheme="minorHAnsi"/>
          <w:color w:val="000000" w:themeColor="text1"/>
          <w:lang w:eastAsia="en-AU"/>
        </w:rPr>
        <w:t>experience general practice at a pre-vocational level as a means of informing their choice of medical specialisation; or</w:t>
      </w:r>
    </w:p>
    <w:p w14:paraId="281740C1" w14:textId="7D0DE96E" w:rsidR="00B42566" w:rsidRDefault="00B42566" w:rsidP="00AA5EBF">
      <w:pPr>
        <w:pStyle w:val="ListParagraph"/>
        <w:numPr>
          <w:ilvl w:val="0"/>
          <w:numId w:val="60"/>
        </w:numPr>
        <w:rPr>
          <w:rFonts w:asciiTheme="minorHAnsi" w:hAnsiTheme="minorHAnsi" w:cstheme="minorHAnsi"/>
          <w:color w:val="000000" w:themeColor="text1"/>
          <w:lang w:eastAsia="en-AU"/>
        </w:rPr>
      </w:pPr>
      <w:r>
        <w:rPr>
          <w:rFonts w:asciiTheme="minorHAnsi" w:hAnsiTheme="minorHAnsi" w:cstheme="minorHAnsi"/>
          <w:color w:val="000000" w:themeColor="text1"/>
          <w:lang w:eastAsia="en-AU"/>
        </w:rPr>
        <w:t>move from the Australian hospital system into supervised general practice as a career step towards general practice training.</w:t>
      </w:r>
    </w:p>
    <w:p w14:paraId="19C12CDB" w14:textId="37FE0F9B" w:rsidR="00B42566" w:rsidRDefault="00B42566">
      <w:pPr>
        <w:rPr>
          <w:rFonts w:asciiTheme="minorHAnsi" w:hAnsiTheme="minorHAnsi" w:cstheme="minorHAnsi"/>
          <w:color w:val="000000" w:themeColor="text1"/>
          <w:lang w:eastAsia="en-AU"/>
        </w:rPr>
      </w:pPr>
    </w:p>
    <w:p w14:paraId="62E9E3B8" w14:textId="77777777" w:rsidR="00C954F0" w:rsidRDefault="0066668F" w:rsidP="00005E1E">
      <w:pPr>
        <w:rPr>
          <w:rFonts w:asciiTheme="minorHAnsi" w:hAnsiTheme="minorHAnsi" w:cstheme="minorHAnsi"/>
        </w:rPr>
      </w:pPr>
      <w:r>
        <w:rPr>
          <w:rFonts w:asciiTheme="minorHAnsi" w:hAnsiTheme="minorHAnsi" w:cstheme="minorHAnsi"/>
        </w:rPr>
        <w:t>The Government also expects that the recalibration of the GP MBS item structure in tandem with updated other workforce distribution mechanisms is expected to improve the distribution of the primary care workforce.</w:t>
      </w:r>
    </w:p>
    <w:p w14:paraId="5E8EC7F2" w14:textId="71805280" w:rsidR="00B937CB" w:rsidRDefault="00C954F0" w:rsidP="00005E1E">
      <w:pPr>
        <w:rPr>
          <w:rFonts w:asciiTheme="minorHAnsi" w:hAnsiTheme="minorHAnsi" w:cstheme="minorHAnsi"/>
        </w:rPr>
      </w:pPr>
      <w:r>
        <w:rPr>
          <w:rFonts w:asciiTheme="minorHAnsi" w:hAnsiTheme="minorHAnsi" w:cstheme="minorHAnsi"/>
        </w:rPr>
        <w:t xml:space="preserve"> </w:t>
      </w:r>
    </w:p>
    <w:p w14:paraId="4BCA68CA" w14:textId="0D384042" w:rsidR="004D59B4" w:rsidRDefault="001931E8" w:rsidP="00005E1E">
      <w:pPr>
        <w:rPr>
          <w:rFonts w:asciiTheme="minorHAnsi" w:hAnsiTheme="minorHAnsi" w:cstheme="minorHAnsi"/>
        </w:rPr>
      </w:pPr>
      <w:r>
        <w:rPr>
          <w:rFonts w:asciiTheme="minorHAnsi" w:hAnsiTheme="minorHAnsi" w:cstheme="minorHAnsi"/>
        </w:rPr>
        <w:t>The Government recognises that</w:t>
      </w:r>
      <w:r w:rsidR="0066668F">
        <w:rPr>
          <w:rFonts w:asciiTheme="minorHAnsi" w:hAnsiTheme="minorHAnsi" w:cstheme="minorHAnsi"/>
        </w:rPr>
        <w:t xml:space="preserve"> the Strategy does not directly address the fact that</w:t>
      </w:r>
      <w:r>
        <w:rPr>
          <w:rFonts w:asciiTheme="minorHAnsi" w:hAnsiTheme="minorHAnsi" w:cstheme="minorHAnsi"/>
        </w:rPr>
        <w:t xml:space="preserve"> many rural communities are not of sufficient size to sustain a primary care clinic in addition to public hospital infrastructure.  The Government has previously introduced a separate measure under the exemption provisions for section 19(2) of the HIA that allows services performed by hospital employees in smaller communities to qualify for MBS items.  Doctors are generally restricted from claiming MBS items for services they have been funded to provide and the MBS items provided through this measure are used to fund the expansion of services</w:t>
      </w:r>
      <w:r w:rsidR="004D59B4">
        <w:rPr>
          <w:rFonts w:asciiTheme="minorHAnsi" w:hAnsiTheme="minorHAnsi" w:cstheme="minorHAnsi"/>
        </w:rPr>
        <w:t xml:space="preserve"> (including nursing and allied health services)</w:t>
      </w:r>
      <w:r w:rsidR="00B27505">
        <w:rPr>
          <w:rFonts w:asciiTheme="minorHAnsi" w:hAnsiTheme="minorHAnsi" w:cstheme="minorHAnsi"/>
        </w:rPr>
        <w:t xml:space="preserve"> in these smaller communities.</w:t>
      </w:r>
    </w:p>
    <w:p w14:paraId="4F82C50C" w14:textId="77777777" w:rsidR="004D59B4" w:rsidRDefault="004D59B4" w:rsidP="00005E1E">
      <w:pPr>
        <w:rPr>
          <w:rFonts w:asciiTheme="minorHAnsi" w:hAnsiTheme="minorHAnsi" w:cstheme="minorHAnsi"/>
        </w:rPr>
      </w:pPr>
    </w:p>
    <w:p w14:paraId="5D05A2CF" w14:textId="09CC5BE6" w:rsidR="001931E8" w:rsidRDefault="001931E8" w:rsidP="00005E1E">
      <w:pPr>
        <w:rPr>
          <w:rFonts w:asciiTheme="minorHAnsi" w:hAnsiTheme="minorHAnsi" w:cstheme="minorHAnsi"/>
        </w:rPr>
      </w:pPr>
      <w:r>
        <w:rPr>
          <w:rFonts w:asciiTheme="minorHAnsi" w:hAnsiTheme="minorHAnsi" w:cstheme="minorHAnsi"/>
        </w:rPr>
        <w:t>The Strategy will indirectly support the intent of this section 19(2) by;</w:t>
      </w:r>
    </w:p>
    <w:p w14:paraId="7FEE3B60" w14:textId="7F446C30" w:rsidR="001931E8" w:rsidRDefault="001931E8" w:rsidP="00AA5EBF">
      <w:pPr>
        <w:pStyle w:val="ListParagraph"/>
        <w:numPr>
          <w:ilvl w:val="0"/>
          <w:numId w:val="58"/>
        </w:numPr>
        <w:rPr>
          <w:rFonts w:asciiTheme="minorHAnsi" w:hAnsiTheme="minorHAnsi" w:cstheme="minorHAnsi"/>
        </w:rPr>
      </w:pPr>
      <w:r>
        <w:rPr>
          <w:rFonts w:asciiTheme="minorHAnsi" w:hAnsiTheme="minorHAnsi" w:cstheme="minorHAnsi"/>
        </w:rPr>
        <w:t>encouraging more doctors to attain general practice qualifications, which means they would qualify for consideration under the 19(2) exemption for rural communities if they are working in eligible state and territory infrastructure; and</w:t>
      </w:r>
    </w:p>
    <w:p w14:paraId="7EF75E20" w14:textId="6ED3B477" w:rsidR="001931E8" w:rsidRPr="006F3273" w:rsidRDefault="004D59B4" w:rsidP="00AA5EBF">
      <w:pPr>
        <w:pStyle w:val="ListParagraph"/>
        <w:numPr>
          <w:ilvl w:val="0"/>
          <w:numId w:val="58"/>
        </w:numPr>
        <w:rPr>
          <w:rFonts w:asciiTheme="minorHAnsi" w:hAnsiTheme="minorHAnsi" w:cstheme="minorHAnsi"/>
        </w:rPr>
      </w:pPr>
      <w:r>
        <w:rPr>
          <w:rFonts w:asciiTheme="minorHAnsi" w:hAnsiTheme="minorHAnsi" w:cstheme="minorHAnsi"/>
        </w:rPr>
        <w:t>introducing the conditions for preparing nurses and allied health professionals to work in the types of team-based care settings that the 19(2) exemption provision encourages.</w:t>
      </w:r>
    </w:p>
    <w:p w14:paraId="417BF2B5" w14:textId="77777777" w:rsidR="00B937CB" w:rsidRDefault="00B937CB" w:rsidP="00B068A6">
      <w:pPr>
        <w:rPr>
          <w:rFonts w:asciiTheme="minorHAnsi" w:hAnsiTheme="minorHAnsi" w:cstheme="minorHAnsi"/>
        </w:rPr>
      </w:pPr>
    </w:p>
    <w:p w14:paraId="2D5152EB" w14:textId="0BBD9911" w:rsidR="0066668F" w:rsidRDefault="00B937CB" w:rsidP="00005E1E">
      <w:pPr>
        <w:rPr>
          <w:rFonts w:asciiTheme="minorHAnsi" w:hAnsiTheme="minorHAnsi" w:cstheme="minorHAnsi"/>
        </w:rPr>
      </w:pPr>
      <w:r>
        <w:rPr>
          <w:rFonts w:asciiTheme="minorHAnsi" w:hAnsiTheme="minorHAnsi" w:cstheme="minorHAnsi"/>
        </w:rPr>
        <w:t xml:space="preserve">In addition to improving support for medical practitioners, the Government expects that the Strategy would create </w:t>
      </w:r>
      <w:r w:rsidR="009B24AD">
        <w:rPr>
          <w:rFonts w:asciiTheme="minorHAnsi" w:hAnsiTheme="minorHAnsi" w:cstheme="minorHAnsi"/>
        </w:rPr>
        <w:t>the conditions for developing</w:t>
      </w:r>
      <w:r>
        <w:rPr>
          <w:rFonts w:asciiTheme="minorHAnsi" w:hAnsiTheme="minorHAnsi" w:cstheme="minorHAnsi"/>
        </w:rPr>
        <w:t xml:space="preserve"> a stronger nursing and allied health workforce in rural communities. </w:t>
      </w:r>
      <w:r w:rsidR="0066668F">
        <w:rPr>
          <w:rFonts w:asciiTheme="minorHAnsi" w:hAnsiTheme="minorHAnsi" w:cstheme="minorHAnsi"/>
        </w:rPr>
        <w:t xml:space="preserve"> The proposed increases in funding to support the nursing workforce, the work of the ATSIHPOs, and the outreach work of the RFDS will improve capacity to deliver key non-medical practitioner services in the most vulnerable communities. </w:t>
      </w:r>
    </w:p>
    <w:p w14:paraId="491C2175" w14:textId="77777777" w:rsidR="00BE3D9C" w:rsidRDefault="0066668F" w:rsidP="00005E1E">
      <w:pPr>
        <w:rPr>
          <w:rFonts w:asciiTheme="minorHAnsi" w:hAnsiTheme="minorHAnsi" w:cstheme="minorHAnsi"/>
        </w:rPr>
      </w:pPr>
      <w:r>
        <w:rPr>
          <w:rFonts w:asciiTheme="minorHAnsi" w:hAnsiTheme="minorHAnsi" w:cstheme="minorHAnsi"/>
        </w:rPr>
        <w:t>The streamlining of GP training and the introduction of the MDRAP will not impose direct regulatory change on medical practitioners.</w:t>
      </w:r>
      <w:bookmarkStart w:id="0" w:name="_GoBack"/>
      <w:r>
        <w:rPr>
          <w:rFonts w:asciiTheme="minorHAnsi" w:hAnsiTheme="minorHAnsi" w:cstheme="minorHAnsi"/>
        </w:rPr>
        <w:t xml:space="preserve">  </w:t>
      </w:r>
    </w:p>
    <w:p w14:paraId="0A2D7062" w14:textId="77777777" w:rsidR="006521E2" w:rsidRDefault="006521E2" w:rsidP="00005E1E">
      <w:pPr>
        <w:rPr>
          <w:rFonts w:asciiTheme="minorHAnsi" w:hAnsiTheme="minorHAnsi" w:cstheme="minorHAnsi"/>
        </w:rPr>
      </w:pPr>
    </w:p>
    <w:bookmarkEnd w:id="0"/>
    <w:p w14:paraId="10A7E534" w14:textId="607BD87F" w:rsidR="0066668F" w:rsidRDefault="00BE3D9C" w:rsidP="00005E1E">
      <w:pPr>
        <w:rPr>
          <w:rFonts w:asciiTheme="minorHAnsi" w:hAnsiTheme="minorHAnsi" w:cstheme="minorHAnsi"/>
        </w:rPr>
      </w:pPr>
      <w:r>
        <w:rPr>
          <w:rFonts w:asciiTheme="minorHAnsi" w:hAnsiTheme="minorHAnsi" w:cstheme="minorHAnsi"/>
        </w:rPr>
        <w:t>T</w:t>
      </w:r>
      <w:r w:rsidR="0066668F">
        <w:rPr>
          <w:rFonts w:asciiTheme="minorHAnsi" w:hAnsiTheme="minorHAnsi" w:cstheme="minorHAnsi"/>
        </w:rPr>
        <w:t>hese measures represent a reconfiguration o</w:t>
      </w:r>
      <w:r>
        <w:rPr>
          <w:rFonts w:asciiTheme="minorHAnsi" w:hAnsiTheme="minorHAnsi" w:cstheme="minorHAnsi"/>
        </w:rPr>
        <w:t>f the general practice programs and</w:t>
      </w:r>
      <w:r w:rsidR="0066668F">
        <w:rPr>
          <w:rFonts w:asciiTheme="minorHAnsi" w:hAnsiTheme="minorHAnsi" w:cstheme="minorHAnsi"/>
        </w:rPr>
        <w:t xml:space="preserve"> the underlying MBS eligibility rules are not changing.  Sections 19AA and 19AB of the HIA will continue to apply in the same way to the same cohorts of doctors, meaning there will be no cohorts of non-VR doctors who would lose MBS eligibility as a direct result of the reformed program structure.</w:t>
      </w:r>
    </w:p>
    <w:p w14:paraId="7F7451D2" w14:textId="38940C90" w:rsidR="0066668F" w:rsidRDefault="0066668F" w:rsidP="00005E1E">
      <w:pPr>
        <w:rPr>
          <w:rFonts w:asciiTheme="minorHAnsi" w:hAnsiTheme="minorHAnsi" w:cstheme="minorHAnsi"/>
        </w:rPr>
      </w:pPr>
    </w:p>
    <w:p w14:paraId="64A251B7" w14:textId="2F207631" w:rsidR="0066668F" w:rsidRDefault="0066668F" w:rsidP="00005E1E">
      <w:pPr>
        <w:rPr>
          <w:rFonts w:asciiTheme="minorHAnsi" w:hAnsiTheme="minorHAnsi" w:cstheme="minorHAnsi"/>
        </w:rPr>
      </w:pPr>
      <w:r>
        <w:rPr>
          <w:rFonts w:asciiTheme="minorHAnsi" w:hAnsiTheme="minorHAnsi" w:cstheme="minorHAnsi"/>
        </w:rPr>
        <w:t>While doctors who registered after 1 November 1996 would continue to be expected to attain postgraduate qualifications (FRACGP or FACRRM for those working in general practice), the reformed program structure proposed by the strategy will:</w:t>
      </w:r>
    </w:p>
    <w:p w14:paraId="7B5931E9" w14:textId="7D99D3A2" w:rsidR="0066668F" w:rsidRDefault="0066668F" w:rsidP="00AA5EBF">
      <w:pPr>
        <w:pStyle w:val="ListParagraph"/>
        <w:numPr>
          <w:ilvl w:val="0"/>
          <w:numId w:val="61"/>
        </w:numPr>
        <w:rPr>
          <w:rFonts w:asciiTheme="minorHAnsi" w:hAnsiTheme="minorHAnsi" w:cstheme="minorHAnsi"/>
        </w:rPr>
      </w:pPr>
      <w:r>
        <w:rPr>
          <w:rFonts w:asciiTheme="minorHAnsi" w:hAnsiTheme="minorHAnsi" w:cstheme="minorHAnsi"/>
        </w:rPr>
        <w:t>improve navigability of the steps required to qualify; and</w:t>
      </w:r>
    </w:p>
    <w:p w14:paraId="1158ECA2" w14:textId="1F7063DD" w:rsidR="0066668F" w:rsidRDefault="00570F36" w:rsidP="00AA5EBF">
      <w:pPr>
        <w:pStyle w:val="ListParagraph"/>
        <w:numPr>
          <w:ilvl w:val="0"/>
          <w:numId w:val="61"/>
        </w:numPr>
        <w:rPr>
          <w:rFonts w:asciiTheme="minorHAnsi" w:hAnsiTheme="minorHAnsi" w:cstheme="minorHAnsi"/>
        </w:rPr>
      </w:pPr>
      <w:r>
        <w:rPr>
          <w:rFonts w:asciiTheme="minorHAnsi" w:hAnsiTheme="minorHAnsi" w:cstheme="minorHAnsi"/>
        </w:rPr>
        <w:lastRenderedPageBreak/>
        <w:t>allow the RACGP and the ACCRM to better link formal training to the standards for attaining their respective qualifications.</w:t>
      </w:r>
    </w:p>
    <w:p w14:paraId="29E1DB60" w14:textId="25C56B7D" w:rsidR="0066668F" w:rsidRDefault="0066668F">
      <w:pPr>
        <w:rPr>
          <w:rFonts w:asciiTheme="minorHAnsi" w:hAnsiTheme="minorHAnsi" w:cstheme="minorHAnsi"/>
        </w:rPr>
      </w:pPr>
    </w:p>
    <w:p w14:paraId="719E119B" w14:textId="716F9736" w:rsidR="00570F36" w:rsidRDefault="00570F36">
      <w:pPr>
        <w:rPr>
          <w:rFonts w:asciiTheme="minorHAnsi" w:hAnsiTheme="minorHAnsi" w:cstheme="minorHAnsi"/>
        </w:rPr>
      </w:pPr>
      <w:r>
        <w:rPr>
          <w:rFonts w:asciiTheme="minorHAnsi" w:hAnsiTheme="minorHAnsi" w:cstheme="minorHAnsi"/>
        </w:rPr>
        <w:t>The recalibrated MBS item structure will introduce an immediate change to the claimable MBS items for non-VR doctors who practise outside of formal general practice training or an OMPs Program.  This impact will apply to three cohorts of non-VR doctors:</w:t>
      </w:r>
    </w:p>
    <w:p w14:paraId="30C37E6E" w14:textId="77777777" w:rsidR="00570F36" w:rsidRDefault="00570F36" w:rsidP="00AA5EBF">
      <w:pPr>
        <w:pStyle w:val="ListParagraph"/>
        <w:numPr>
          <w:ilvl w:val="0"/>
          <w:numId w:val="62"/>
        </w:numPr>
        <w:rPr>
          <w:rFonts w:asciiTheme="minorHAnsi" w:hAnsiTheme="minorHAnsi" w:cstheme="minorHAnsi"/>
          <w:lang w:eastAsia="en-AU"/>
        </w:rPr>
      </w:pPr>
      <w:r>
        <w:rPr>
          <w:rFonts w:asciiTheme="minorHAnsi" w:hAnsiTheme="minorHAnsi" w:cstheme="minorHAnsi"/>
          <w:lang w:eastAsia="en-AU"/>
        </w:rPr>
        <w:t>doctors who are currently practising in the major cities without being engaged in formal general practice training.  These doctors will be subject to a 20 per cent fee reduction for non-standard general practice services.</w:t>
      </w:r>
    </w:p>
    <w:p w14:paraId="56D61AD3" w14:textId="77777777" w:rsidR="00570F36" w:rsidRDefault="00570F36" w:rsidP="00AA5EBF">
      <w:pPr>
        <w:pStyle w:val="ListParagraph"/>
        <w:numPr>
          <w:ilvl w:val="0"/>
          <w:numId w:val="62"/>
        </w:numPr>
        <w:rPr>
          <w:rFonts w:asciiTheme="minorHAnsi" w:hAnsiTheme="minorHAnsi" w:cstheme="minorHAnsi"/>
          <w:lang w:eastAsia="en-AU"/>
        </w:rPr>
      </w:pPr>
      <w:r>
        <w:rPr>
          <w:rFonts w:asciiTheme="minorHAnsi" w:hAnsiTheme="minorHAnsi" w:cstheme="minorHAnsi"/>
          <w:lang w:eastAsia="en-AU"/>
        </w:rPr>
        <w:t>doctors who are not engaged in formal training and who work in non-metropolitan areas that are not covered by an OMPs Program.  These doctors will have a 20 per cent fee reduction for non-standard general practice services while receiving a 20 per cent fee increase for standard general practice consultations; and</w:t>
      </w:r>
    </w:p>
    <w:p w14:paraId="6ECFFAD3" w14:textId="77777777" w:rsidR="00570F36" w:rsidRDefault="00570F36" w:rsidP="00AA5EBF">
      <w:pPr>
        <w:pStyle w:val="ListParagraph"/>
        <w:numPr>
          <w:ilvl w:val="0"/>
          <w:numId w:val="62"/>
        </w:numPr>
        <w:rPr>
          <w:rFonts w:asciiTheme="minorHAnsi" w:hAnsiTheme="minorHAnsi" w:cstheme="minorHAnsi"/>
          <w:lang w:eastAsia="en-AU"/>
        </w:rPr>
      </w:pPr>
      <w:r>
        <w:rPr>
          <w:rFonts w:asciiTheme="minorHAnsi" w:hAnsiTheme="minorHAnsi" w:cstheme="minorHAnsi"/>
          <w:lang w:eastAsia="en-AU"/>
        </w:rPr>
        <w:t>new entrants, who commence their general practice career outside of formal general practice training (either from other countries or from the hospital system).  These doctors will commence their career under the revised MBS item structure.</w:t>
      </w:r>
    </w:p>
    <w:p w14:paraId="0C05649F" w14:textId="561B6EA8" w:rsidR="00570F36" w:rsidRDefault="00570F36">
      <w:pPr>
        <w:rPr>
          <w:rFonts w:asciiTheme="minorHAnsi" w:hAnsiTheme="minorHAnsi" w:cstheme="minorHAnsi"/>
        </w:rPr>
      </w:pPr>
    </w:p>
    <w:p w14:paraId="3FFD9A9A" w14:textId="0BC3C649" w:rsidR="00570F36" w:rsidRDefault="00570F36" w:rsidP="00570F36">
      <w:pPr>
        <w:rPr>
          <w:rFonts w:asciiTheme="minorHAnsi" w:hAnsiTheme="minorHAnsi" w:cstheme="minorHAnsi"/>
        </w:rPr>
      </w:pPr>
      <w:r>
        <w:rPr>
          <w:rFonts w:asciiTheme="minorHAnsi" w:hAnsiTheme="minorHAnsi" w:cstheme="minorHAnsi"/>
        </w:rPr>
        <w:t>Effort will be required by medical pr</w:t>
      </w:r>
      <w:r w:rsidRPr="00AA0552">
        <w:rPr>
          <w:rFonts w:asciiTheme="minorHAnsi" w:hAnsiTheme="minorHAnsi" w:cstheme="minorHAnsi"/>
        </w:rPr>
        <w:t>actices and non-VR doc</w:t>
      </w:r>
      <w:r w:rsidRPr="00703D99">
        <w:rPr>
          <w:rFonts w:asciiTheme="minorHAnsi" w:hAnsiTheme="minorHAnsi" w:cstheme="minorHAnsi"/>
        </w:rPr>
        <w:t xml:space="preserve">tors </w:t>
      </w:r>
      <w:r w:rsidRPr="00AA0552">
        <w:rPr>
          <w:rFonts w:asciiTheme="minorHAnsi" w:hAnsiTheme="minorHAnsi" w:cstheme="minorHAnsi"/>
        </w:rPr>
        <w:t xml:space="preserve">to understand the changes to </w:t>
      </w:r>
      <w:r>
        <w:rPr>
          <w:rFonts w:asciiTheme="minorHAnsi" w:hAnsiTheme="minorHAnsi" w:cstheme="minorHAnsi"/>
        </w:rPr>
        <w:t xml:space="preserve">the MBS item structure and the revisions to the rural bulk-billing incentives.  However, this is a standard feature of working under the MBS, as the scope of claimable items is subject to periodic change as the scope of general practice changes.  Employing changes of this type is not considered to fall outside of the ordinary operation of the MBS and accordingly, the introduction of this option is not anticipated to create a net change in the regulatory impact on business. </w:t>
      </w:r>
    </w:p>
    <w:p w14:paraId="6CEDEAF7" w14:textId="7E8FA4C8" w:rsidR="00570F36" w:rsidRPr="006F3273" w:rsidRDefault="00570F36">
      <w:pPr>
        <w:rPr>
          <w:rFonts w:asciiTheme="minorHAnsi" w:hAnsiTheme="minorHAnsi" w:cstheme="minorHAnsi"/>
        </w:rPr>
      </w:pPr>
    </w:p>
    <w:p w14:paraId="18AE6386" w14:textId="235A0241" w:rsidR="00B068A6" w:rsidRPr="006F3273" w:rsidRDefault="0066668F" w:rsidP="00B068A6">
      <w:pPr>
        <w:rPr>
          <w:rFonts w:asciiTheme="minorHAnsi" w:hAnsiTheme="minorHAnsi" w:cstheme="minorHAnsi"/>
        </w:rPr>
      </w:pPr>
      <w:r>
        <w:rPr>
          <w:rFonts w:asciiTheme="minorHAnsi" w:hAnsiTheme="minorHAnsi" w:cstheme="minorHAnsi"/>
        </w:rPr>
        <w:t xml:space="preserve">The Government is satisfied that the creation of the Murray Darling Medical School will not produce net changes to regulation.  The entry standards for primary medical training are not changing and it is assumed </w:t>
      </w:r>
      <w:r w:rsidR="00B068A6" w:rsidRPr="006F3273">
        <w:rPr>
          <w:rFonts w:asciiTheme="minorHAnsi" w:hAnsiTheme="minorHAnsi" w:cstheme="minorHAnsi"/>
        </w:rPr>
        <w:t>if students did not undertake the training through the Murray Darling Medical School they would do so at another school where the compliance requirements would be comparable.</w:t>
      </w:r>
    </w:p>
    <w:p w14:paraId="752CD28F" w14:textId="2CF4A5D8" w:rsidR="00B068A6" w:rsidRDefault="00B068A6" w:rsidP="00B068A6">
      <w:pPr>
        <w:rPr>
          <w:rFonts w:asciiTheme="minorHAnsi" w:hAnsiTheme="minorHAnsi" w:cstheme="minorHAnsi"/>
        </w:rPr>
      </w:pPr>
    </w:p>
    <w:p w14:paraId="408B1454" w14:textId="5979FBEE" w:rsidR="0066668F" w:rsidRDefault="00570F36" w:rsidP="00B068A6">
      <w:pPr>
        <w:rPr>
          <w:rFonts w:asciiTheme="minorHAnsi" w:hAnsiTheme="minorHAnsi" w:cstheme="minorHAnsi"/>
        </w:rPr>
      </w:pPr>
      <w:r>
        <w:rPr>
          <w:rFonts w:asciiTheme="minorHAnsi" w:hAnsiTheme="minorHAnsi" w:cstheme="minorHAnsi"/>
        </w:rPr>
        <w:t>There is also no net regulatory impact created by the proposed:</w:t>
      </w:r>
    </w:p>
    <w:p w14:paraId="5C381CAC" w14:textId="4F6E4947" w:rsidR="0066668F" w:rsidRPr="006F3273" w:rsidRDefault="00570F36" w:rsidP="00AA5EBF">
      <w:pPr>
        <w:pStyle w:val="ListParagraph"/>
        <w:numPr>
          <w:ilvl w:val="0"/>
          <w:numId w:val="63"/>
        </w:numPr>
        <w:rPr>
          <w:rFonts w:asciiTheme="minorHAnsi" w:hAnsiTheme="minorHAnsi" w:cstheme="minorHAnsi"/>
        </w:rPr>
      </w:pPr>
      <w:r w:rsidRPr="00570F36">
        <w:rPr>
          <w:rFonts w:asciiTheme="minorHAnsi" w:hAnsiTheme="minorHAnsi" w:cstheme="minorHAnsi"/>
        </w:rPr>
        <w:t xml:space="preserve">introduction of the </w:t>
      </w:r>
      <w:r w:rsidRPr="006F3273">
        <w:rPr>
          <w:rFonts w:ascii="Calibri" w:hAnsi="Calibri" w:cs="Calibri"/>
          <w:bCs/>
        </w:rPr>
        <w:t>HeaDS UPP tool</w:t>
      </w:r>
      <w:r>
        <w:rPr>
          <w:rFonts w:ascii="Calibri" w:hAnsi="Calibri" w:cs="Calibri"/>
          <w:bCs/>
        </w:rPr>
        <w:t>;</w:t>
      </w:r>
    </w:p>
    <w:p w14:paraId="54FDFC43" w14:textId="7D5995E4" w:rsidR="00570F36" w:rsidRPr="006F3273" w:rsidRDefault="00570F36" w:rsidP="00AA5EBF">
      <w:pPr>
        <w:pStyle w:val="ListParagraph"/>
        <w:numPr>
          <w:ilvl w:val="0"/>
          <w:numId w:val="63"/>
        </w:numPr>
        <w:rPr>
          <w:rFonts w:asciiTheme="minorHAnsi" w:hAnsiTheme="minorHAnsi" w:cstheme="minorHAnsi"/>
        </w:rPr>
      </w:pPr>
      <w:r>
        <w:rPr>
          <w:rFonts w:ascii="Calibri" w:hAnsi="Calibri" w:cs="Calibri"/>
          <w:bCs/>
        </w:rPr>
        <w:t xml:space="preserve">funding </w:t>
      </w:r>
      <w:r w:rsidR="004C6A6F">
        <w:rPr>
          <w:rFonts w:ascii="Calibri" w:hAnsi="Calibri" w:cs="Calibri"/>
          <w:bCs/>
        </w:rPr>
        <w:t>an independent review of training for nurses, noting that the outcomes of the review cannot be pre-empted; or</w:t>
      </w:r>
    </w:p>
    <w:p w14:paraId="103BEE58" w14:textId="63612DE7" w:rsidR="00570F36" w:rsidRPr="00570F36" w:rsidRDefault="004C6A6F" w:rsidP="00AA5EBF">
      <w:pPr>
        <w:pStyle w:val="ListParagraph"/>
        <w:numPr>
          <w:ilvl w:val="0"/>
          <w:numId w:val="63"/>
        </w:numPr>
        <w:rPr>
          <w:rFonts w:asciiTheme="minorHAnsi" w:hAnsiTheme="minorHAnsi" w:cstheme="minorHAnsi"/>
        </w:rPr>
      </w:pPr>
      <w:r>
        <w:rPr>
          <w:rFonts w:asciiTheme="minorHAnsi" w:hAnsiTheme="minorHAnsi" w:cstheme="minorHAnsi"/>
        </w:rPr>
        <w:t>the proposal to continue</w:t>
      </w:r>
      <w:r w:rsidR="00570F36">
        <w:rPr>
          <w:rFonts w:asciiTheme="minorHAnsi" w:hAnsiTheme="minorHAnsi" w:cstheme="minorHAnsi"/>
        </w:rPr>
        <w:t xml:space="preserve"> funding</w:t>
      </w:r>
      <w:r>
        <w:rPr>
          <w:rFonts w:asciiTheme="minorHAnsi" w:hAnsiTheme="minorHAnsi" w:cstheme="minorHAnsi"/>
        </w:rPr>
        <w:t xml:space="preserve"> for the ACNP, the ATSIHPOs and the RFDS.</w:t>
      </w:r>
      <w:r w:rsidR="00570F36">
        <w:rPr>
          <w:rFonts w:asciiTheme="minorHAnsi" w:hAnsiTheme="minorHAnsi" w:cstheme="minorHAnsi"/>
        </w:rPr>
        <w:t xml:space="preserve"> </w:t>
      </w:r>
    </w:p>
    <w:p w14:paraId="4D134971" w14:textId="0483BE18" w:rsidR="0066668F" w:rsidRDefault="0066668F" w:rsidP="00B068A6">
      <w:pPr>
        <w:rPr>
          <w:rFonts w:asciiTheme="minorHAnsi" w:hAnsiTheme="minorHAnsi" w:cstheme="minorHAnsi"/>
        </w:rPr>
      </w:pPr>
    </w:p>
    <w:p w14:paraId="4D203E90" w14:textId="71364FA2" w:rsidR="0066668F" w:rsidRDefault="00E027D6" w:rsidP="00B068A6">
      <w:pPr>
        <w:rPr>
          <w:rFonts w:asciiTheme="minorHAnsi" w:hAnsiTheme="minorHAnsi" w:cstheme="minorHAnsi"/>
        </w:rPr>
      </w:pPr>
      <w:r>
        <w:rPr>
          <w:rFonts w:asciiTheme="minorHAnsi" w:hAnsiTheme="minorHAnsi" w:cstheme="minorHAnsi"/>
        </w:rPr>
        <w:t xml:space="preserve">As the Strategy is primarily concerned with recalibrating and extending existing workforce programs and policy settings, there is limited risk that the reforms will not have their intended impact.  As set out above, several activities being proposed under the Strategy correct unintended consequences created by existing programs. </w:t>
      </w:r>
    </w:p>
    <w:p w14:paraId="36235F45" w14:textId="77777777" w:rsidR="00E027D6" w:rsidRDefault="00E027D6" w:rsidP="00B068A6">
      <w:pPr>
        <w:rPr>
          <w:rFonts w:asciiTheme="minorHAnsi" w:hAnsiTheme="minorHAnsi" w:cstheme="minorHAnsi"/>
        </w:rPr>
      </w:pPr>
    </w:p>
    <w:p w14:paraId="0C804182" w14:textId="12B598CC" w:rsidR="00E027D6" w:rsidRPr="006F3273" w:rsidRDefault="00D42118">
      <w:pPr>
        <w:rPr>
          <w:rFonts w:asciiTheme="minorHAnsi" w:hAnsiTheme="minorHAnsi" w:cstheme="minorHAnsi"/>
        </w:rPr>
      </w:pPr>
      <w:r>
        <w:rPr>
          <w:rFonts w:asciiTheme="minorHAnsi" w:hAnsiTheme="minorHAnsi" w:cstheme="minorHAnsi"/>
        </w:rPr>
        <w:t>In addition, the Strategy proposed the development and introduction of</w:t>
      </w:r>
      <w:r w:rsidRPr="00D42118">
        <w:rPr>
          <w:rFonts w:ascii="Calibri" w:hAnsi="Calibri" w:cs="Calibri"/>
          <w:bCs/>
        </w:rPr>
        <w:t xml:space="preserve"> </w:t>
      </w:r>
      <w:r>
        <w:rPr>
          <w:rFonts w:ascii="Calibri" w:hAnsi="Calibri" w:cs="Calibri"/>
          <w:bCs/>
        </w:rPr>
        <w:t xml:space="preserve">the </w:t>
      </w:r>
      <w:r w:rsidRPr="00AA0552">
        <w:rPr>
          <w:rFonts w:ascii="Calibri" w:hAnsi="Calibri" w:cs="Calibri"/>
          <w:bCs/>
        </w:rPr>
        <w:t>HeaDS UPP</w:t>
      </w:r>
      <w:r>
        <w:rPr>
          <w:rFonts w:ascii="Calibri" w:hAnsi="Calibri" w:cs="Calibri"/>
          <w:bCs/>
        </w:rPr>
        <w:t xml:space="preserve"> tool</w:t>
      </w:r>
      <w:r>
        <w:rPr>
          <w:rFonts w:asciiTheme="minorHAnsi" w:hAnsiTheme="minorHAnsi" w:cstheme="minorHAnsi"/>
        </w:rPr>
        <w:t xml:space="preserve">, which will offer the comprehensive workforce data set required to plan the future workforce.  The Government expects that this tool will be the basis for identifying more optimal health and medical practitioner workforces in terms of size, composition and geographic distribution.  The tool will provide the basis for considering the workforce according to geographically identified </w:t>
      </w:r>
      <w:r>
        <w:rPr>
          <w:rFonts w:asciiTheme="minorHAnsi" w:hAnsiTheme="minorHAnsi" w:cstheme="minorHAnsi"/>
        </w:rPr>
        <w:lastRenderedPageBreak/>
        <w:t xml:space="preserve">population needs for services and support collaborative planning to meet emerging service needs at the local community level. </w:t>
      </w:r>
    </w:p>
    <w:p w14:paraId="0D315D2F" w14:textId="6B86C632" w:rsidR="00AF7B16" w:rsidRPr="0052028F" w:rsidRDefault="00AF7B16" w:rsidP="00AF7B16">
      <w:pPr>
        <w:pStyle w:val="Heading2"/>
        <w:rPr>
          <w:rFonts w:asciiTheme="minorHAnsi" w:hAnsiTheme="minorHAnsi" w:cstheme="minorHAnsi"/>
        </w:rPr>
      </w:pPr>
      <w:r w:rsidRPr="0052028F">
        <w:rPr>
          <w:rFonts w:asciiTheme="minorHAnsi" w:hAnsiTheme="minorHAnsi" w:cstheme="minorHAnsi"/>
        </w:rPr>
        <w:t>Consultation</w:t>
      </w:r>
    </w:p>
    <w:p w14:paraId="39D09CFB" w14:textId="77777777" w:rsidR="00AF7B16" w:rsidRPr="0052028F" w:rsidRDefault="00AF7B16" w:rsidP="00AF7B16">
      <w:pPr>
        <w:rPr>
          <w:rFonts w:asciiTheme="minorHAnsi" w:hAnsiTheme="minorHAnsi" w:cstheme="minorHAnsi"/>
          <w:b/>
        </w:rPr>
      </w:pPr>
      <w:r w:rsidRPr="0052028F">
        <w:rPr>
          <w:rFonts w:asciiTheme="minorHAnsi" w:hAnsiTheme="minorHAnsi" w:cstheme="minorHAnsi"/>
          <w:b/>
        </w:rPr>
        <w:t>Nature of consultation</w:t>
      </w:r>
    </w:p>
    <w:p w14:paraId="132318E9" w14:textId="3F134109" w:rsidR="00AF7B16" w:rsidRDefault="00AF7B16" w:rsidP="00AF7B16">
      <w:pPr>
        <w:rPr>
          <w:rFonts w:asciiTheme="minorHAnsi" w:hAnsiTheme="minorHAnsi" w:cstheme="minorHAnsi"/>
        </w:rPr>
      </w:pPr>
      <w:r>
        <w:rPr>
          <w:rFonts w:asciiTheme="minorHAnsi" w:hAnsiTheme="minorHAnsi" w:cstheme="minorHAnsi"/>
        </w:rPr>
        <w:t xml:space="preserve">The Minister for Health, </w:t>
      </w:r>
      <w:r w:rsidR="00E63A64">
        <w:rPr>
          <w:rFonts w:asciiTheme="minorHAnsi" w:hAnsiTheme="minorHAnsi" w:cstheme="minorHAnsi"/>
        </w:rPr>
        <w:t xml:space="preserve">The Hon </w:t>
      </w:r>
      <w:r>
        <w:rPr>
          <w:rFonts w:asciiTheme="minorHAnsi" w:hAnsiTheme="minorHAnsi" w:cstheme="minorHAnsi"/>
        </w:rPr>
        <w:t>Greg</w:t>
      </w:r>
      <w:r w:rsidRPr="000E1560">
        <w:rPr>
          <w:rFonts w:asciiTheme="minorHAnsi" w:hAnsiTheme="minorHAnsi" w:cstheme="minorHAnsi"/>
        </w:rPr>
        <w:t xml:space="preserve"> Hunt</w:t>
      </w:r>
      <w:r w:rsidR="00E63A64">
        <w:rPr>
          <w:rFonts w:asciiTheme="minorHAnsi" w:hAnsiTheme="minorHAnsi" w:cstheme="minorHAnsi"/>
        </w:rPr>
        <w:t xml:space="preserve"> MP</w:t>
      </w:r>
      <w:r>
        <w:rPr>
          <w:rFonts w:asciiTheme="minorHAnsi" w:hAnsiTheme="minorHAnsi" w:cstheme="minorHAnsi"/>
        </w:rPr>
        <w:t>,</w:t>
      </w:r>
      <w:r w:rsidRPr="000E1560">
        <w:rPr>
          <w:rFonts w:asciiTheme="minorHAnsi" w:hAnsiTheme="minorHAnsi" w:cstheme="minorHAnsi"/>
        </w:rPr>
        <w:t xml:space="preserve"> publicly </w:t>
      </w:r>
      <w:r w:rsidRPr="0052028F">
        <w:rPr>
          <w:rFonts w:asciiTheme="minorHAnsi" w:hAnsiTheme="minorHAnsi" w:cstheme="minorHAnsi"/>
        </w:rPr>
        <w:t>announced the transition of general practice training to the GP Colleges at the RACGP’s annual conference</w:t>
      </w:r>
      <w:r w:rsidR="007A027D">
        <w:rPr>
          <w:rFonts w:asciiTheme="minorHAnsi" w:hAnsiTheme="minorHAnsi" w:cstheme="minorHAnsi"/>
        </w:rPr>
        <w:t>,</w:t>
      </w:r>
      <w:r w:rsidRPr="0052028F">
        <w:rPr>
          <w:rFonts w:asciiTheme="minorHAnsi" w:hAnsiTheme="minorHAnsi" w:cstheme="minorHAnsi"/>
        </w:rPr>
        <w:t xml:space="preserve"> ‘GP17</w:t>
      </w:r>
      <w:r w:rsidR="007A027D">
        <w:rPr>
          <w:rFonts w:asciiTheme="minorHAnsi" w:hAnsiTheme="minorHAnsi" w:cstheme="minorHAnsi"/>
        </w:rPr>
        <w:t>,</w:t>
      </w:r>
      <w:r w:rsidRPr="0052028F">
        <w:rPr>
          <w:rFonts w:asciiTheme="minorHAnsi" w:hAnsiTheme="minorHAnsi" w:cstheme="minorHAnsi"/>
        </w:rPr>
        <w:t xml:space="preserve">’ on </w:t>
      </w:r>
      <w:r w:rsidR="006521E2">
        <w:rPr>
          <w:rFonts w:asciiTheme="minorHAnsi" w:hAnsiTheme="minorHAnsi" w:cstheme="minorHAnsi"/>
        </w:rPr>
        <w:br/>
      </w:r>
      <w:r w:rsidRPr="0052028F">
        <w:rPr>
          <w:rFonts w:asciiTheme="minorHAnsi" w:hAnsiTheme="minorHAnsi" w:cstheme="minorHAnsi"/>
        </w:rPr>
        <w:t>27 October 2017. This announcement was met with strong support from members.</w:t>
      </w:r>
    </w:p>
    <w:p w14:paraId="447F6050" w14:textId="77777777" w:rsidR="00AF7B16" w:rsidRPr="0052028F" w:rsidRDefault="00AF7B16" w:rsidP="00AF7B16">
      <w:pPr>
        <w:rPr>
          <w:rFonts w:asciiTheme="minorHAnsi" w:hAnsiTheme="minorHAnsi" w:cstheme="minorHAnsi"/>
        </w:rPr>
      </w:pPr>
    </w:p>
    <w:p w14:paraId="659EA358" w14:textId="54098136" w:rsidR="00AF7B16" w:rsidRDefault="00AF7B16" w:rsidP="00AF7B16">
      <w:pPr>
        <w:rPr>
          <w:rFonts w:asciiTheme="minorHAnsi" w:hAnsiTheme="minorHAnsi" w:cstheme="minorHAnsi"/>
        </w:rPr>
      </w:pPr>
      <w:r>
        <w:rPr>
          <w:rFonts w:asciiTheme="minorHAnsi" w:hAnsiTheme="minorHAnsi" w:cstheme="minorHAnsi"/>
        </w:rPr>
        <w:t xml:space="preserve">Development of the Strategy has been informed through both formal and informal stakeholder engagements. A series of targeted discussions via teleconference and face-to-face meetings has occurred with key stakeholders </w:t>
      </w:r>
      <w:r w:rsidR="004F40C8" w:rsidRPr="004D59B4">
        <w:rPr>
          <w:rFonts w:asciiTheme="minorHAnsi" w:hAnsiTheme="minorHAnsi" w:cstheme="minorHAnsi"/>
        </w:rPr>
        <w:t>and peak representative bodies</w:t>
      </w:r>
      <w:r w:rsidR="004F40C8">
        <w:rPr>
          <w:rFonts w:asciiTheme="minorHAnsi" w:hAnsiTheme="minorHAnsi" w:cstheme="minorHAnsi"/>
        </w:rPr>
        <w:t xml:space="preserve"> </w:t>
      </w:r>
      <w:r>
        <w:rPr>
          <w:rFonts w:asciiTheme="minorHAnsi" w:hAnsiTheme="minorHAnsi" w:cstheme="minorHAnsi"/>
        </w:rPr>
        <w:t xml:space="preserve">to test the policy parameters of the Strategy. Consultations have contributed significantly to the design of the proposed initiatives. Ongoing stakeholder engagement is critical to the success of the Strategy and will continue throughout the implementation phase and beyond. </w:t>
      </w:r>
    </w:p>
    <w:p w14:paraId="6CDD50B9" w14:textId="77777777" w:rsidR="009A21F0" w:rsidRDefault="009A21F0" w:rsidP="00AF7B16">
      <w:pPr>
        <w:rPr>
          <w:rFonts w:asciiTheme="minorHAnsi" w:hAnsiTheme="minorHAnsi" w:cstheme="minorHAnsi"/>
        </w:rPr>
      </w:pPr>
    </w:p>
    <w:p w14:paraId="5809BDC8" w14:textId="77777777" w:rsidR="00AF7B16" w:rsidRPr="006A6EB7" w:rsidRDefault="00AF7B16" w:rsidP="00AF7B16">
      <w:pPr>
        <w:rPr>
          <w:rFonts w:asciiTheme="minorHAnsi" w:hAnsiTheme="minorHAnsi" w:cstheme="minorHAnsi"/>
          <w:b/>
        </w:rPr>
      </w:pPr>
      <w:r w:rsidRPr="006A6EB7">
        <w:rPr>
          <w:rFonts w:asciiTheme="minorHAnsi" w:hAnsiTheme="minorHAnsi" w:cstheme="minorHAnsi"/>
          <w:b/>
        </w:rPr>
        <w:t>Impacted Parties</w:t>
      </w:r>
    </w:p>
    <w:p w14:paraId="7DAC12E6" w14:textId="77777777" w:rsidR="0070770D" w:rsidRDefault="00AF7B16" w:rsidP="00860726">
      <w:pPr>
        <w:rPr>
          <w:rFonts w:asciiTheme="minorHAnsi" w:hAnsiTheme="minorHAnsi" w:cstheme="minorHAnsi"/>
        </w:rPr>
      </w:pPr>
      <w:r w:rsidRPr="00860726">
        <w:rPr>
          <w:rFonts w:asciiTheme="minorHAnsi" w:hAnsiTheme="minorHAnsi" w:cstheme="minorHAnsi"/>
        </w:rPr>
        <w:t xml:space="preserve">Stakeholders consulted </w:t>
      </w:r>
      <w:r w:rsidR="0070770D">
        <w:rPr>
          <w:rFonts w:asciiTheme="minorHAnsi" w:hAnsiTheme="minorHAnsi" w:cstheme="minorHAnsi"/>
        </w:rPr>
        <w:t>include:</w:t>
      </w:r>
    </w:p>
    <w:p w14:paraId="6806D8B5" w14:textId="58C6F44A" w:rsidR="0070770D" w:rsidRDefault="0070770D" w:rsidP="006320A5">
      <w:pPr>
        <w:pStyle w:val="ListParagraph"/>
        <w:numPr>
          <w:ilvl w:val="0"/>
          <w:numId w:val="3"/>
        </w:numPr>
        <w:rPr>
          <w:rFonts w:asciiTheme="minorHAnsi" w:hAnsiTheme="minorHAnsi" w:cstheme="minorHAnsi"/>
        </w:rPr>
      </w:pPr>
      <w:r w:rsidRPr="0070770D">
        <w:rPr>
          <w:rFonts w:asciiTheme="minorHAnsi" w:hAnsiTheme="minorHAnsi" w:cstheme="minorHAnsi"/>
        </w:rPr>
        <w:t xml:space="preserve">Australian Medical Association </w:t>
      </w:r>
    </w:p>
    <w:p w14:paraId="275CB648" w14:textId="3D1C5FE0" w:rsidR="00AF7B16" w:rsidRPr="0070770D" w:rsidRDefault="00AF7B16" w:rsidP="006320A5">
      <w:pPr>
        <w:pStyle w:val="ListParagraph"/>
        <w:numPr>
          <w:ilvl w:val="0"/>
          <w:numId w:val="3"/>
        </w:numPr>
        <w:rPr>
          <w:rFonts w:asciiTheme="minorHAnsi" w:hAnsiTheme="minorHAnsi" w:cstheme="minorHAnsi"/>
        </w:rPr>
      </w:pPr>
      <w:r w:rsidRPr="0070770D">
        <w:rPr>
          <w:rFonts w:asciiTheme="minorHAnsi" w:hAnsiTheme="minorHAnsi" w:cstheme="minorHAnsi"/>
        </w:rPr>
        <w:t xml:space="preserve">Royal Australian College of General Practitioners </w:t>
      </w:r>
    </w:p>
    <w:p w14:paraId="2AC9AC7E" w14:textId="0A2CFFC4" w:rsidR="00AF7B16" w:rsidRDefault="00AF7B16" w:rsidP="00AF7B16">
      <w:pPr>
        <w:numPr>
          <w:ilvl w:val="0"/>
          <w:numId w:val="3"/>
        </w:numPr>
        <w:rPr>
          <w:rFonts w:asciiTheme="minorHAnsi" w:hAnsiTheme="minorHAnsi" w:cstheme="minorHAnsi"/>
        </w:rPr>
      </w:pPr>
      <w:r w:rsidRPr="0052028F">
        <w:rPr>
          <w:rFonts w:asciiTheme="minorHAnsi" w:hAnsiTheme="minorHAnsi" w:cstheme="minorHAnsi"/>
        </w:rPr>
        <w:t>Australian College of Rural and Remote Medicine</w:t>
      </w:r>
      <w:r>
        <w:rPr>
          <w:rFonts w:asciiTheme="minorHAnsi" w:hAnsiTheme="minorHAnsi" w:cstheme="minorHAnsi"/>
        </w:rPr>
        <w:t xml:space="preserve"> </w:t>
      </w:r>
    </w:p>
    <w:p w14:paraId="15EB2A6E" w14:textId="58511E40" w:rsidR="00AF7B16" w:rsidRDefault="00AF7B16" w:rsidP="00AF7B16">
      <w:pPr>
        <w:numPr>
          <w:ilvl w:val="0"/>
          <w:numId w:val="3"/>
        </w:numPr>
        <w:rPr>
          <w:rFonts w:asciiTheme="minorHAnsi" w:hAnsiTheme="minorHAnsi" w:cstheme="minorHAnsi"/>
        </w:rPr>
      </w:pPr>
      <w:r w:rsidRPr="009004FB">
        <w:rPr>
          <w:rFonts w:asciiTheme="minorHAnsi" w:hAnsiTheme="minorHAnsi" w:cstheme="minorHAnsi"/>
        </w:rPr>
        <w:t>Rural Doctors Association of Australia</w:t>
      </w:r>
      <w:r>
        <w:rPr>
          <w:rFonts w:asciiTheme="minorHAnsi" w:hAnsiTheme="minorHAnsi" w:cstheme="minorHAnsi"/>
        </w:rPr>
        <w:t xml:space="preserve"> </w:t>
      </w:r>
    </w:p>
    <w:p w14:paraId="79C76A77" w14:textId="77777777" w:rsidR="00AF7B16" w:rsidRPr="0052028F" w:rsidRDefault="00AF7B16" w:rsidP="00AF7B16">
      <w:pPr>
        <w:numPr>
          <w:ilvl w:val="0"/>
          <w:numId w:val="3"/>
        </w:numPr>
        <w:rPr>
          <w:rFonts w:asciiTheme="minorHAnsi" w:hAnsiTheme="minorHAnsi" w:cstheme="minorHAnsi"/>
        </w:rPr>
      </w:pPr>
      <w:r w:rsidRPr="009004FB">
        <w:rPr>
          <w:rFonts w:asciiTheme="minorHAnsi" w:hAnsiTheme="minorHAnsi" w:cstheme="minorHAnsi"/>
        </w:rPr>
        <w:t xml:space="preserve">National Rural Health Alliance </w:t>
      </w:r>
    </w:p>
    <w:p w14:paraId="724C5362" w14:textId="77777777" w:rsidR="00AF7B16" w:rsidRPr="0052028F" w:rsidRDefault="00AF7B16" w:rsidP="00AF7B16">
      <w:pPr>
        <w:numPr>
          <w:ilvl w:val="0"/>
          <w:numId w:val="3"/>
        </w:numPr>
        <w:rPr>
          <w:rFonts w:asciiTheme="minorHAnsi" w:hAnsiTheme="minorHAnsi" w:cstheme="minorHAnsi"/>
        </w:rPr>
      </w:pPr>
      <w:r w:rsidRPr="0052028F">
        <w:rPr>
          <w:rFonts w:asciiTheme="minorHAnsi" w:hAnsiTheme="minorHAnsi" w:cstheme="minorHAnsi"/>
        </w:rPr>
        <w:t>Australian Medical Association Students Association</w:t>
      </w:r>
    </w:p>
    <w:p w14:paraId="7527D60D" w14:textId="77777777" w:rsidR="00AF7B16" w:rsidRPr="0052028F" w:rsidRDefault="00AF7B16" w:rsidP="00AF7B16">
      <w:pPr>
        <w:numPr>
          <w:ilvl w:val="0"/>
          <w:numId w:val="3"/>
        </w:numPr>
        <w:rPr>
          <w:rFonts w:asciiTheme="minorHAnsi" w:hAnsiTheme="minorHAnsi" w:cstheme="minorHAnsi"/>
        </w:rPr>
      </w:pPr>
      <w:r w:rsidRPr="0052028F">
        <w:rPr>
          <w:rFonts w:asciiTheme="minorHAnsi" w:hAnsiTheme="minorHAnsi" w:cstheme="minorHAnsi"/>
        </w:rPr>
        <w:t>Australian Council of Doctors in Training</w:t>
      </w:r>
    </w:p>
    <w:p w14:paraId="144BAFE1" w14:textId="77777777" w:rsidR="00AF7B16" w:rsidRPr="0052028F" w:rsidRDefault="00AF7B16" w:rsidP="00AF7B16">
      <w:pPr>
        <w:numPr>
          <w:ilvl w:val="0"/>
          <w:numId w:val="3"/>
        </w:numPr>
        <w:rPr>
          <w:rFonts w:asciiTheme="minorHAnsi" w:hAnsiTheme="minorHAnsi" w:cstheme="minorHAnsi"/>
        </w:rPr>
      </w:pPr>
      <w:r w:rsidRPr="0052028F">
        <w:rPr>
          <w:rFonts w:asciiTheme="minorHAnsi" w:hAnsiTheme="minorHAnsi" w:cstheme="minorHAnsi"/>
        </w:rPr>
        <w:t>General Practice Supervisors Association</w:t>
      </w:r>
    </w:p>
    <w:p w14:paraId="36A707A8" w14:textId="77777777" w:rsidR="00AF7B16" w:rsidRPr="0052028F" w:rsidRDefault="00AF7B16" w:rsidP="00AF7B16">
      <w:pPr>
        <w:numPr>
          <w:ilvl w:val="0"/>
          <w:numId w:val="3"/>
        </w:numPr>
        <w:rPr>
          <w:rFonts w:asciiTheme="minorHAnsi" w:hAnsiTheme="minorHAnsi" w:cstheme="minorHAnsi"/>
        </w:rPr>
      </w:pPr>
      <w:r w:rsidRPr="0052028F">
        <w:rPr>
          <w:rFonts w:asciiTheme="minorHAnsi" w:hAnsiTheme="minorHAnsi" w:cstheme="minorHAnsi"/>
        </w:rPr>
        <w:t>Rural Workforce Agencies</w:t>
      </w:r>
    </w:p>
    <w:p w14:paraId="40DD855C" w14:textId="77777777" w:rsidR="00AF7B16" w:rsidRPr="0052028F" w:rsidRDefault="00AF7B16" w:rsidP="00AF7B16">
      <w:pPr>
        <w:numPr>
          <w:ilvl w:val="0"/>
          <w:numId w:val="3"/>
        </w:numPr>
        <w:rPr>
          <w:rFonts w:asciiTheme="minorHAnsi" w:hAnsiTheme="minorHAnsi" w:cstheme="minorHAnsi"/>
        </w:rPr>
      </w:pPr>
      <w:r w:rsidRPr="0052028F">
        <w:rPr>
          <w:rFonts w:asciiTheme="minorHAnsi" w:hAnsiTheme="minorHAnsi" w:cstheme="minorHAnsi"/>
        </w:rPr>
        <w:t>Rural Health Commissioner</w:t>
      </w:r>
    </w:p>
    <w:p w14:paraId="0D51DF49" w14:textId="77777777" w:rsidR="00AF7B16" w:rsidRPr="0052028F" w:rsidRDefault="00AF7B16" w:rsidP="00AF7B16">
      <w:pPr>
        <w:numPr>
          <w:ilvl w:val="0"/>
          <w:numId w:val="3"/>
        </w:numPr>
        <w:rPr>
          <w:rFonts w:asciiTheme="minorHAnsi" w:hAnsiTheme="minorHAnsi" w:cstheme="minorHAnsi"/>
        </w:rPr>
      </w:pPr>
      <w:r w:rsidRPr="0052028F">
        <w:rPr>
          <w:rFonts w:asciiTheme="minorHAnsi" w:hAnsiTheme="minorHAnsi" w:cstheme="minorHAnsi"/>
        </w:rPr>
        <w:t>Allied Health Professionals Association</w:t>
      </w:r>
    </w:p>
    <w:p w14:paraId="18EFA43A" w14:textId="77777777" w:rsidR="00AF7B16" w:rsidRPr="0052028F" w:rsidRDefault="00AF7B16" w:rsidP="00AF7B16">
      <w:pPr>
        <w:numPr>
          <w:ilvl w:val="0"/>
          <w:numId w:val="3"/>
        </w:numPr>
        <w:rPr>
          <w:rFonts w:asciiTheme="minorHAnsi" w:hAnsiTheme="minorHAnsi" w:cstheme="minorHAnsi"/>
        </w:rPr>
      </w:pPr>
      <w:r w:rsidRPr="0052028F">
        <w:rPr>
          <w:rFonts w:asciiTheme="minorHAnsi" w:hAnsiTheme="minorHAnsi" w:cstheme="minorHAnsi"/>
        </w:rPr>
        <w:t>National Medical Training Advisory Network</w:t>
      </w:r>
    </w:p>
    <w:p w14:paraId="3C7BFB18" w14:textId="05D18AD7" w:rsidR="00AF7B16" w:rsidRPr="0052028F" w:rsidRDefault="00AF7B16" w:rsidP="00AF7B16">
      <w:pPr>
        <w:numPr>
          <w:ilvl w:val="0"/>
          <w:numId w:val="3"/>
        </w:numPr>
        <w:rPr>
          <w:rFonts w:asciiTheme="minorHAnsi" w:hAnsiTheme="minorHAnsi" w:cstheme="minorHAnsi"/>
        </w:rPr>
      </w:pPr>
      <w:r w:rsidRPr="0052028F">
        <w:rPr>
          <w:rFonts w:asciiTheme="minorHAnsi" w:hAnsiTheme="minorHAnsi" w:cstheme="minorHAnsi"/>
        </w:rPr>
        <w:t>S</w:t>
      </w:r>
      <w:r w:rsidR="00E63A64">
        <w:rPr>
          <w:rFonts w:asciiTheme="minorHAnsi" w:hAnsiTheme="minorHAnsi" w:cstheme="minorHAnsi"/>
        </w:rPr>
        <w:t>tates and territory governments</w:t>
      </w:r>
    </w:p>
    <w:p w14:paraId="1EE9C1BD" w14:textId="77777777" w:rsidR="00040603" w:rsidRDefault="00040603" w:rsidP="00AF7B16">
      <w:pPr>
        <w:pStyle w:val="Heading2"/>
        <w:spacing w:before="0" w:after="0"/>
        <w:rPr>
          <w:rFonts w:asciiTheme="minorHAnsi" w:hAnsiTheme="minorHAnsi" w:cstheme="minorHAnsi"/>
          <w:b w:val="0"/>
          <w:sz w:val="24"/>
          <w:szCs w:val="24"/>
        </w:rPr>
      </w:pPr>
    </w:p>
    <w:p w14:paraId="2A9B5EFA" w14:textId="77777777" w:rsidR="004F40C8" w:rsidRPr="00B068A6" w:rsidRDefault="004F40C8" w:rsidP="004F40C8">
      <w:pPr>
        <w:pStyle w:val="Heading2"/>
        <w:spacing w:before="0" w:after="0"/>
        <w:rPr>
          <w:rFonts w:asciiTheme="minorHAnsi" w:hAnsiTheme="minorHAnsi" w:cstheme="minorHAnsi"/>
          <w:sz w:val="24"/>
          <w:szCs w:val="24"/>
        </w:rPr>
      </w:pPr>
      <w:r w:rsidRPr="00B068A6">
        <w:rPr>
          <w:rFonts w:asciiTheme="minorHAnsi" w:hAnsiTheme="minorHAnsi" w:cstheme="minorHAnsi"/>
          <w:sz w:val="24"/>
          <w:szCs w:val="24"/>
        </w:rPr>
        <w:t>Key stakeholder feedback</w:t>
      </w:r>
    </w:p>
    <w:p w14:paraId="25975731" w14:textId="77777777" w:rsidR="004F40C8" w:rsidRPr="00F93950" w:rsidRDefault="004F40C8" w:rsidP="00F93950">
      <w:pPr>
        <w:rPr>
          <w:rFonts w:asciiTheme="minorHAnsi" w:hAnsiTheme="minorHAnsi" w:cstheme="minorHAnsi"/>
        </w:rPr>
      </w:pPr>
      <w:r w:rsidRPr="00F93950">
        <w:rPr>
          <w:rFonts w:asciiTheme="minorHAnsi" w:hAnsiTheme="minorHAnsi" w:cstheme="minorHAnsi"/>
        </w:rPr>
        <w:t>Stakeholders, including the AMA, RACGP, ACRRM and the RDAA, have provided their in-principle support for the Strategy. Health has responded to concerns raised by stakeholders and has worked to resolve issues, specifically:</w:t>
      </w:r>
    </w:p>
    <w:p w14:paraId="0787C606" w14:textId="77777777" w:rsidR="004F40C8" w:rsidRPr="00F93950" w:rsidRDefault="004F40C8" w:rsidP="00AA5EBF">
      <w:pPr>
        <w:pStyle w:val="ListParagraph"/>
        <w:numPr>
          <w:ilvl w:val="0"/>
          <w:numId w:val="64"/>
        </w:numPr>
        <w:rPr>
          <w:rFonts w:asciiTheme="minorHAnsi" w:hAnsiTheme="minorHAnsi" w:cstheme="minorHAnsi"/>
        </w:rPr>
      </w:pPr>
      <w:r w:rsidRPr="00F93950">
        <w:rPr>
          <w:rFonts w:asciiTheme="minorHAnsi" w:hAnsiTheme="minorHAnsi" w:cstheme="minorHAnsi"/>
          <w:u w:val="single"/>
        </w:rPr>
        <w:t>Tiering of the GP Medicare rebate</w:t>
      </w:r>
      <w:r w:rsidRPr="00F93950">
        <w:rPr>
          <w:rFonts w:asciiTheme="minorHAnsi" w:hAnsiTheme="minorHAnsi" w:cstheme="minorHAnsi"/>
          <w:bCs/>
          <w:iCs/>
        </w:rPr>
        <w:t xml:space="preserve"> - </w:t>
      </w:r>
      <w:r w:rsidRPr="00F93950">
        <w:rPr>
          <w:rFonts w:asciiTheme="minorHAnsi" w:hAnsiTheme="minorHAnsi" w:cstheme="minorHAnsi"/>
        </w:rPr>
        <w:t>the original proposal for the Strategy was to establish a three-tiered GP Medicare rebate with VR doctors being eligible to claim the full (100 per cent) GP MBS items, non-VR doctors only 80 per cent of the items, and GP Registrars only 90 per cent.  Feedback from the AMA and RACGP expressed concern in relation to the impact on GP Registrars, so agreement was reached on a two-tiered model.</w:t>
      </w:r>
    </w:p>
    <w:p w14:paraId="36EDFFBD" w14:textId="4F153009" w:rsidR="004F40C8" w:rsidRPr="00F93950" w:rsidRDefault="004F40C8" w:rsidP="00AA5EBF">
      <w:pPr>
        <w:pStyle w:val="ListParagraph"/>
        <w:numPr>
          <w:ilvl w:val="0"/>
          <w:numId w:val="64"/>
        </w:numPr>
        <w:rPr>
          <w:rFonts w:asciiTheme="minorHAnsi" w:hAnsiTheme="minorHAnsi" w:cstheme="minorHAnsi"/>
        </w:rPr>
      </w:pPr>
      <w:r w:rsidRPr="00F93950">
        <w:rPr>
          <w:rFonts w:asciiTheme="minorHAnsi" w:hAnsiTheme="minorHAnsi" w:cstheme="minorHAnsi"/>
          <w:u w:val="single"/>
        </w:rPr>
        <w:t>Impact on GPs from discontinuation of the OMPs Programs</w:t>
      </w:r>
      <w:r w:rsidRPr="00F93950">
        <w:rPr>
          <w:rFonts w:asciiTheme="minorHAnsi" w:hAnsiTheme="minorHAnsi" w:cstheme="minorHAnsi"/>
        </w:rPr>
        <w:t xml:space="preserve"> - </w:t>
      </w:r>
      <w:r w:rsidR="00B068A6" w:rsidRPr="00F93950">
        <w:rPr>
          <w:rFonts w:asciiTheme="minorHAnsi" w:hAnsiTheme="minorHAnsi" w:cstheme="minorHAnsi"/>
        </w:rPr>
        <w:t>d</w:t>
      </w:r>
      <w:r w:rsidRPr="00F93950">
        <w:rPr>
          <w:rFonts w:asciiTheme="minorHAnsi" w:hAnsiTheme="minorHAnsi" w:cstheme="minorHAnsi"/>
        </w:rPr>
        <w:t>uring consultation, the AMA raised concerns around the grandfathering period for the MBS rebate changes. Following consultation, the initial four year grandfathering period</w:t>
      </w:r>
      <w:r w:rsidR="00087E15" w:rsidRPr="00F93950">
        <w:rPr>
          <w:rFonts w:asciiTheme="minorHAnsi" w:hAnsiTheme="minorHAnsi" w:cstheme="minorHAnsi"/>
        </w:rPr>
        <w:t xml:space="preserve"> </w:t>
      </w:r>
      <w:r w:rsidRPr="00F93950">
        <w:rPr>
          <w:rFonts w:asciiTheme="minorHAnsi" w:hAnsiTheme="minorHAnsi" w:cstheme="minorHAnsi"/>
        </w:rPr>
        <w:t xml:space="preserve">was extended to five years. This period of should allow sufficient time for non- VR GPs on the OMPs Programs </w:t>
      </w:r>
      <w:r w:rsidRPr="00F93950">
        <w:rPr>
          <w:rFonts w:asciiTheme="minorHAnsi" w:hAnsiTheme="minorHAnsi" w:cstheme="minorHAnsi"/>
        </w:rPr>
        <w:lastRenderedPageBreak/>
        <w:t xml:space="preserve">to attain </w:t>
      </w:r>
      <w:r w:rsidRPr="00F93950">
        <w:rPr>
          <w:rFonts w:asciiTheme="minorHAnsi" w:hAnsiTheme="minorHAnsi" w:cstheme="minorHAnsi"/>
          <w:lang w:eastAsia="en-AU"/>
        </w:rPr>
        <w:t xml:space="preserve">FRACGP and FACRRM qualifications without </w:t>
      </w:r>
      <w:r w:rsidRPr="00F93950">
        <w:rPr>
          <w:rFonts w:asciiTheme="minorHAnsi" w:hAnsiTheme="minorHAnsi" w:cstheme="minorHAnsi"/>
        </w:rPr>
        <w:t>impacting on the service scope of individual practices or the MBS claiming rights of non-VR GPs.</w:t>
      </w:r>
    </w:p>
    <w:p w14:paraId="3A4D1D4E" w14:textId="77777777" w:rsidR="00AF7B16" w:rsidRPr="0052028F" w:rsidRDefault="00AF7B16" w:rsidP="00AF7B16">
      <w:pPr>
        <w:pStyle w:val="Heading2"/>
        <w:rPr>
          <w:rFonts w:asciiTheme="minorHAnsi" w:hAnsiTheme="minorHAnsi" w:cstheme="minorHAnsi"/>
        </w:rPr>
      </w:pPr>
      <w:r w:rsidRPr="00B068A6">
        <w:rPr>
          <w:rFonts w:asciiTheme="minorHAnsi" w:hAnsiTheme="minorHAnsi" w:cstheme="minorHAnsi"/>
        </w:rPr>
        <w:t>Preferred Option</w:t>
      </w:r>
    </w:p>
    <w:p w14:paraId="3B6A0769" w14:textId="77777777" w:rsidR="00AF7B16" w:rsidRPr="00F93950" w:rsidRDefault="00AF7B16" w:rsidP="00F93950">
      <w:pPr>
        <w:rPr>
          <w:rFonts w:asciiTheme="minorHAnsi" w:hAnsiTheme="minorHAnsi" w:cstheme="minorHAnsi"/>
        </w:rPr>
      </w:pPr>
      <w:r w:rsidRPr="00F93950">
        <w:rPr>
          <w:rFonts w:asciiTheme="minorHAnsi" w:hAnsiTheme="minorHAnsi" w:cstheme="minorHAnsi"/>
        </w:rPr>
        <w:t>In order to adequately address the current workforce policy challenges as outlined in this document, Option 3 is the preferred option.</w:t>
      </w:r>
    </w:p>
    <w:p w14:paraId="5AA9E35F" w14:textId="77777777" w:rsidR="00AF7B16" w:rsidRPr="006A6EB7" w:rsidRDefault="00AF7B16" w:rsidP="00AF7B16">
      <w:pPr>
        <w:pStyle w:val="Heading2"/>
        <w:rPr>
          <w:rFonts w:ascii="Calibri" w:hAnsi="Calibri" w:cs="Calibri"/>
        </w:rPr>
      </w:pPr>
      <w:r w:rsidRPr="006A6EB7">
        <w:rPr>
          <w:rFonts w:ascii="Calibri" w:hAnsi="Calibri" w:cs="Calibri"/>
        </w:rPr>
        <w:t>Implementation</w:t>
      </w:r>
    </w:p>
    <w:p w14:paraId="428493A5" w14:textId="43D7535C" w:rsidR="00AF7B16" w:rsidRDefault="00AF7B16" w:rsidP="00F93950">
      <w:pPr>
        <w:rPr>
          <w:rFonts w:asciiTheme="minorHAnsi" w:hAnsiTheme="minorHAnsi" w:cstheme="minorHAnsi"/>
        </w:rPr>
      </w:pPr>
      <w:r w:rsidRPr="00F93950">
        <w:rPr>
          <w:rFonts w:asciiTheme="minorHAnsi" w:hAnsiTheme="minorHAnsi" w:cstheme="minorHAnsi"/>
        </w:rPr>
        <w:t xml:space="preserve">A Project Management Office (PMO) will be established to oversee administration, coordinate and manage the implementation of the Strategy and its initiatives. Specifically, the objective of </w:t>
      </w:r>
      <w:r w:rsidR="00E63A64" w:rsidRPr="00F93950">
        <w:rPr>
          <w:rFonts w:asciiTheme="minorHAnsi" w:hAnsiTheme="minorHAnsi" w:cstheme="minorHAnsi"/>
        </w:rPr>
        <w:t xml:space="preserve">the </w:t>
      </w:r>
      <w:r w:rsidRPr="00F93950">
        <w:rPr>
          <w:rFonts w:asciiTheme="minorHAnsi" w:hAnsiTheme="minorHAnsi" w:cstheme="minorHAnsi"/>
        </w:rPr>
        <w:t xml:space="preserve">PMO will be to implement and support a project management methodology to enable the delivery of Budget measures on time, within scope, to budget and to a high quality. The PMO will provide a standardised set of project tools and support to project teams in undertaking a project management approach. The PMO will support strategic alignment of projects and provide the Executive with appropriate oversight through </w:t>
      </w:r>
      <w:r w:rsidR="009A76FA" w:rsidRPr="00F93950">
        <w:rPr>
          <w:rFonts w:asciiTheme="minorHAnsi" w:hAnsiTheme="minorHAnsi" w:cstheme="minorHAnsi"/>
        </w:rPr>
        <w:t xml:space="preserve">the </w:t>
      </w:r>
      <w:r w:rsidRPr="00F93950">
        <w:rPr>
          <w:rFonts w:asciiTheme="minorHAnsi" w:hAnsiTheme="minorHAnsi" w:cstheme="minorHAnsi"/>
        </w:rPr>
        <w:t>establish</w:t>
      </w:r>
      <w:r w:rsidR="009A76FA" w:rsidRPr="00F93950">
        <w:rPr>
          <w:rFonts w:asciiTheme="minorHAnsi" w:hAnsiTheme="minorHAnsi" w:cstheme="minorHAnsi"/>
        </w:rPr>
        <w:t>ment of and support for</w:t>
      </w:r>
      <w:r w:rsidRPr="00F93950">
        <w:rPr>
          <w:rFonts w:asciiTheme="minorHAnsi" w:hAnsiTheme="minorHAnsi" w:cstheme="minorHAnsi"/>
        </w:rPr>
        <w:t xml:space="preserve"> appropriate governance arrangements – the Executive Governance Committee (EGC) and </w:t>
      </w:r>
      <w:r w:rsidR="009A76FA" w:rsidRPr="00F93950">
        <w:rPr>
          <w:rFonts w:asciiTheme="minorHAnsi" w:hAnsiTheme="minorHAnsi" w:cstheme="minorHAnsi"/>
        </w:rPr>
        <w:t xml:space="preserve">the </w:t>
      </w:r>
      <w:r w:rsidRPr="00F93950">
        <w:rPr>
          <w:rFonts w:asciiTheme="minorHAnsi" w:hAnsiTheme="minorHAnsi" w:cstheme="minorHAnsi"/>
        </w:rPr>
        <w:t>Implementation Working Group.</w:t>
      </w:r>
    </w:p>
    <w:p w14:paraId="36A5D3B4" w14:textId="77777777" w:rsidR="00F93950" w:rsidRPr="00F93950" w:rsidRDefault="00F93950" w:rsidP="00F93950">
      <w:pPr>
        <w:rPr>
          <w:rFonts w:asciiTheme="minorHAnsi" w:hAnsiTheme="minorHAnsi" w:cstheme="minorHAnsi"/>
        </w:rPr>
      </w:pPr>
    </w:p>
    <w:p w14:paraId="7320FC80" w14:textId="13E376E0" w:rsidR="00AF7B16" w:rsidRPr="00F93950" w:rsidRDefault="00AF7B16" w:rsidP="00F93950">
      <w:pPr>
        <w:rPr>
          <w:rFonts w:asciiTheme="minorHAnsi" w:hAnsiTheme="minorHAnsi" w:cstheme="minorHAnsi"/>
        </w:rPr>
      </w:pPr>
      <w:r w:rsidRPr="00F93950">
        <w:rPr>
          <w:rFonts w:asciiTheme="minorHAnsi" w:hAnsiTheme="minorHAnsi" w:cstheme="minorHAnsi"/>
        </w:rPr>
        <w:t>The EGC will provide strategic direction and high level endorsement on the agreed portfolio of projects for the Health Workforce Division</w:t>
      </w:r>
      <w:r w:rsidR="001A3AB2" w:rsidRPr="00F93950">
        <w:rPr>
          <w:rFonts w:asciiTheme="minorHAnsi" w:hAnsiTheme="minorHAnsi" w:cstheme="minorHAnsi"/>
        </w:rPr>
        <w:t xml:space="preserve"> of </w:t>
      </w:r>
      <w:r w:rsidR="009A76FA" w:rsidRPr="00F93950">
        <w:rPr>
          <w:rFonts w:asciiTheme="minorHAnsi" w:hAnsiTheme="minorHAnsi" w:cstheme="minorHAnsi"/>
        </w:rPr>
        <w:t>Health</w:t>
      </w:r>
      <w:r w:rsidRPr="00F93950">
        <w:rPr>
          <w:rFonts w:asciiTheme="minorHAnsi" w:hAnsiTheme="minorHAnsi" w:cstheme="minorHAnsi"/>
        </w:rPr>
        <w:t xml:space="preserve">. The </w:t>
      </w:r>
      <w:r w:rsidR="009A76FA" w:rsidRPr="00F93950">
        <w:rPr>
          <w:rFonts w:asciiTheme="minorHAnsi" w:hAnsiTheme="minorHAnsi" w:cstheme="minorHAnsi"/>
        </w:rPr>
        <w:t>EGC</w:t>
      </w:r>
      <w:r w:rsidRPr="00F93950">
        <w:rPr>
          <w:rFonts w:asciiTheme="minorHAnsi" w:hAnsiTheme="minorHAnsi" w:cstheme="minorHAnsi"/>
        </w:rPr>
        <w:t xml:space="preserve"> </w:t>
      </w:r>
      <w:r w:rsidR="00FB2EB6" w:rsidRPr="00F93950">
        <w:rPr>
          <w:rFonts w:asciiTheme="minorHAnsi" w:hAnsiTheme="minorHAnsi" w:cstheme="minorHAnsi"/>
        </w:rPr>
        <w:t xml:space="preserve">already </w:t>
      </w:r>
      <w:r w:rsidRPr="00F93950">
        <w:rPr>
          <w:rFonts w:asciiTheme="minorHAnsi" w:hAnsiTheme="minorHAnsi" w:cstheme="minorHAnsi"/>
        </w:rPr>
        <w:t>provides strategic advice and guidance to Project Sponsors and Project Managers. Members of the EGC include all Senior</w:t>
      </w:r>
      <w:r>
        <w:rPr>
          <w:rFonts w:ascii="Calibri" w:hAnsi="Calibri" w:cs="Calibri"/>
          <w:b/>
          <w:bCs/>
        </w:rPr>
        <w:t xml:space="preserve"> </w:t>
      </w:r>
      <w:r w:rsidRPr="00F93950">
        <w:rPr>
          <w:rFonts w:asciiTheme="minorHAnsi" w:hAnsiTheme="minorHAnsi" w:cstheme="minorHAnsi"/>
        </w:rPr>
        <w:t>Executives within Health Workforce Division as well as an independent Senior Executive Service (SES) member from Program As</w:t>
      </w:r>
      <w:r w:rsidR="00FB2EB6" w:rsidRPr="00F93950">
        <w:rPr>
          <w:rFonts w:asciiTheme="minorHAnsi" w:hAnsiTheme="minorHAnsi" w:cstheme="minorHAnsi"/>
        </w:rPr>
        <w:t xml:space="preserve">surance Committee Establishment within </w:t>
      </w:r>
      <w:r w:rsidR="001A3AB2" w:rsidRPr="00F93950">
        <w:rPr>
          <w:rFonts w:asciiTheme="minorHAnsi" w:hAnsiTheme="minorHAnsi" w:cstheme="minorHAnsi"/>
        </w:rPr>
        <w:t>Health</w:t>
      </w:r>
      <w:r w:rsidR="00FB2EB6" w:rsidRPr="00F93950">
        <w:rPr>
          <w:rFonts w:asciiTheme="minorHAnsi" w:hAnsiTheme="minorHAnsi" w:cstheme="minorHAnsi"/>
        </w:rPr>
        <w:t>.</w:t>
      </w:r>
    </w:p>
    <w:p w14:paraId="5383B95A" w14:textId="77777777" w:rsidR="00AF7B16" w:rsidRPr="00F93950" w:rsidRDefault="00AF7B16" w:rsidP="00F93950">
      <w:pPr>
        <w:rPr>
          <w:rFonts w:asciiTheme="minorHAnsi" w:hAnsiTheme="minorHAnsi" w:cstheme="minorHAnsi"/>
        </w:rPr>
      </w:pPr>
    </w:p>
    <w:p w14:paraId="7F6A9F76" w14:textId="77777777" w:rsidR="00AF7B16" w:rsidRPr="00F93950" w:rsidRDefault="00AF7B16" w:rsidP="00F93950">
      <w:pPr>
        <w:rPr>
          <w:rFonts w:asciiTheme="minorHAnsi" w:hAnsiTheme="minorHAnsi" w:cstheme="minorHAnsi"/>
        </w:rPr>
      </w:pPr>
      <w:r w:rsidRPr="00F93950">
        <w:rPr>
          <w:rFonts w:asciiTheme="minorHAnsi" w:hAnsiTheme="minorHAnsi" w:cstheme="minorHAnsi"/>
        </w:rPr>
        <w:t xml:space="preserve">A Regulation Taskforce will also be established during implementation of Strategy initiatives that have regulatory components. The Taskforce will monitor, provide advice on, and manage any legislative issues and risks. </w:t>
      </w:r>
    </w:p>
    <w:p w14:paraId="3874760B" w14:textId="77777777" w:rsidR="00AF7B16" w:rsidRPr="00F93950" w:rsidRDefault="00AF7B16" w:rsidP="00F93950">
      <w:pPr>
        <w:rPr>
          <w:rFonts w:asciiTheme="minorHAnsi" w:hAnsiTheme="minorHAnsi" w:cstheme="minorHAnsi"/>
          <w:sz w:val="22"/>
          <w:szCs w:val="22"/>
        </w:rPr>
      </w:pPr>
    </w:p>
    <w:p w14:paraId="5FCE3783" w14:textId="77777777" w:rsidR="00FB2EB6" w:rsidRPr="00F93950" w:rsidRDefault="00AF7B16" w:rsidP="00F93950">
      <w:pPr>
        <w:rPr>
          <w:rFonts w:asciiTheme="minorHAnsi" w:hAnsiTheme="minorHAnsi" w:cstheme="minorHAnsi"/>
        </w:rPr>
      </w:pPr>
      <w:r w:rsidRPr="00F93950">
        <w:rPr>
          <w:rFonts w:asciiTheme="minorHAnsi" w:hAnsiTheme="minorHAnsi" w:cstheme="minorHAnsi"/>
        </w:rPr>
        <w:t>Evaluation of the Strategy is a key part of its implementation.</w:t>
      </w:r>
      <w:r w:rsidR="00FB2EB6" w:rsidRPr="00F93950">
        <w:rPr>
          <w:rFonts w:asciiTheme="minorHAnsi" w:hAnsiTheme="minorHAnsi" w:cstheme="minorHAnsi"/>
        </w:rPr>
        <w:t xml:space="preserve"> The evaluation will:</w:t>
      </w:r>
    </w:p>
    <w:p w14:paraId="6B7B5336" w14:textId="49BC1B1F" w:rsidR="00AF7B16" w:rsidRPr="00F93950" w:rsidRDefault="00FB2EB6" w:rsidP="00AA5EBF">
      <w:pPr>
        <w:pStyle w:val="ListParagraph"/>
        <w:numPr>
          <w:ilvl w:val="0"/>
          <w:numId w:val="65"/>
        </w:numPr>
        <w:rPr>
          <w:rFonts w:asciiTheme="minorHAnsi" w:eastAsiaTheme="minorHAnsi" w:hAnsiTheme="minorHAnsi" w:cstheme="minorHAnsi"/>
        </w:rPr>
      </w:pPr>
      <w:r w:rsidRPr="00F93950">
        <w:rPr>
          <w:rFonts w:asciiTheme="minorHAnsi" w:hAnsiTheme="minorHAnsi" w:cstheme="minorHAnsi"/>
        </w:rPr>
        <w:t>e</w:t>
      </w:r>
      <w:r w:rsidR="00AF7B16" w:rsidRPr="00F93950">
        <w:rPr>
          <w:rFonts w:asciiTheme="minorHAnsi" w:hAnsiTheme="minorHAnsi" w:cstheme="minorHAnsi"/>
        </w:rPr>
        <w:t xml:space="preserve">stablish the right performance indicators to </w:t>
      </w:r>
      <w:r w:rsidRPr="00F93950">
        <w:rPr>
          <w:rFonts w:asciiTheme="minorHAnsi" w:hAnsiTheme="minorHAnsi" w:cstheme="minorHAnsi"/>
        </w:rPr>
        <w:t xml:space="preserve">assess </w:t>
      </w:r>
      <w:r w:rsidR="00AF7B16" w:rsidRPr="00F93950">
        <w:rPr>
          <w:rFonts w:asciiTheme="minorHAnsi" w:hAnsiTheme="minorHAnsi" w:cstheme="minorHAnsi"/>
        </w:rPr>
        <w:t xml:space="preserve">whether the objectives of regulatory change in the Strategy </w:t>
      </w:r>
      <w:r w:rsidR="003F24CE" w:rsidRPr="00F93950">
        <w:rPr>
          <w:rFonts w:asciiTheme="minorHAnsi" w:hAnsiTheme="minorHAnsi" w:cstheme="minorHAnsi"/>
        </w:rPr>
        <w:t>have been</w:t>
      </w:r>
      <w:r w:rsidR="00AF7B16" w:rsidRPr="00F93950">
        <w:rPr>
          <w:rFonts w:asciiTheme="minorHAnsi" w:hAnsiTheme="minorHAnsi" w:cstheme="minorHAnsi"/>
        </w:rPr>
        <w:t xml:space="preserve"> achieved, and to inform ongoing decision-making, including:</w:t>
      </w:r>
    </w:p>
    <w:p w14:paraId="753420B2" w14:textId="6D6B633D" w:rsidR="00AF7B16" w:rsidRDefault="00AF7B16" w:rsidP="00AF7B16">
      <w:pPr>
        <w:pStyle w:val="CommentText"/>
        <w:ind w:left="1440" w:hanging="360"/>
        <w:rPr>
          <w:rFonts w:ascii="Calibri" w:hAnsi="Calibri" w:cs="Calibri"/>
          <w:b/>
          <w:bCs/>
          <w:sz w:val="24"/>
          <w:szCs w:val="24"/>
        </w:rPr>
      </w:pPr>
      <w:r>
        <w:rPr>
          <w:rFonts w:ascii="Courier New" w:hAnsi="Courier New" w:cs="Courier New"/>
          <w:sz w:val="24"/>
          <w:szCs w:val="24"/>
        </w:rPr>
        <w:t>o</w:t>
      </w:r>
      <w:r>
        <w:rPr>
          <w:sz w:val="14"/>
          <w:szCs w:val="14"/>
        </w:rPr>
        <w:t xml:space="preserve">   </w:t>
      </w:r>
      <w:r w:rsidR="00FB2EB6">
        <w:rPr>
          <w:rFonts w:ascii="Calibri" w:hAnsi="Calibri" w:cs="Calibri"/>
          <w:sz w:val="24"/>
          <w:szCs w:val="24"/>
        </w:rPr>
        <w:t>the n</w:t>
      </w:r>
      <w:r>
        <w:rPr>
          <w:rFonts w:ascii="Calibri" w:hAnsi="Calibri" w:cs="Calibri"/>
          <w:sz w:val="24"/>
          <w:szCs w:val="24"/>
        </w:rPr>
        <w:t>umbers of OTDs entering Australia annually</w:t>
      </w:r>
      <w:r w:rsidR="007935B6">
        <w:rPr>
          <w:rFonts w:ascii="Calibri" w:hAnsi="Calibri" w:cs="Calibri"/>
          <w:sz w:val="24"/>
          <w:szCs w:val="24"/>
        </w:rPr>
        <w:t>;</w:t>
      </w:r>
    </w:p>
    <w:p w14:paraId="6BD74406" w14:textId="2C1C94D7" w:rsidR="00AF7B16" w:rsidRDefault="00AF7B16" w:rsidP="00AF7B16">
      <w:pPr>
        <w:pStyle w:val="CommentText"/>
        <w:ind w:left="1440" w:hanging="360"/>
        <w:rPr>
          <w:rFonts w:ascii="Calibri" w:hAnsi="Calibri" w:cs="Calibri"/>
          <w:b/>
          <w:bCs/>
          <w:sz w:val="24"/>
          <w:szCs w:val="24"/>
        </w:rPr>
      </w:pPr>
      <w:r>
        <w:rPr>
          <w:rFonts w:ascii="Courier New" w:hAnsi="Courier New" w:cs="Courier New"/>
          <w:sz w:val="24"/>
          <w:szCs w:val="24"/>
        </w:rPr>
        <w:t>o</w:t>
      </w:r>
      <w:r>
        <w:rPr>
          <w:sz w:val="14"/>
          <w:szCs w:val="14"/>
        </w:rPr>
        <w:t xml:space="preserve">   </w:t>
      </w:r>
      <w:r w:rsidR="00FB2EB6">
        <w:rPr>
          <w:rFonts w:ascii="Calibri" w:hAnsi="Calibri" w:cs="Calibri"/>
          <w:sz w:val="24"/>
          <w:szCs w:val="24"/>
        </w:rPr>
        <w:t>a m</w:t>
      </w:r>
      <w:r>
        <w:rPr>
          <w:rFonts w:ascii="Calibri" w:hAnsi="Calibri" w:cs="Calibri"/>
          <w:sz w:val="24"/>
          <w:szCs w:val="24"/>
        </w:rPr>
        <w:t>easur</w:t>
      </w:r>
      <w:r w:rsidR="00FB2EB6">
        <w:rPr>
          <w:rFonts w:ascii="Calibri" w:hAnsi="Calibri" w:cs="Calibri"/>
          <w:sz w:val="24"/>
          <w:szCs w:val="24"/>
        </w:rPr>
        <w:t>ement of</w:t>
      </w:r>
      <w:r>
        <w:rPr>
          <w:rFonts w:ascii="Calibri" w:hAnsi="Calibri" w:cs="Calibri"/>
          <w:sz w:val="24"/>
          <w:szCs w:val="24"/>
        </w:rPr>
        <w:t xml:space="preserve"> the distribution of doct</w:t>
      </w:r>
      <w:r w:rsidR="007935B6">
        <w:rPr>
          <w:rFonts w:ascii="Calibri" w:hAnsi="Calibri" w:cs="Calibri"/>
          <w:sz w:val="24"/>
          <w:szCs w:val="24"/>
        </w:rPr>
        <w:t>ors according to workforce need;</w:t>
      </w:r>
    </w:p>
    <w:p w14:paraId="3C5981A8" w14:textId="045C1D54" w:rsidR="00AF7B16" w:rsidRDefault="00AF7B16" w:rsidP="00AF7B16">
      <w:pPr>
        <w:pStyle w:val="CommentText"/>
        <w:ind w:left="1440" w:hanging="360"/>
        <w:rPr>
          <w:rFonts w:ascii="Calibri" w:hAnsi="Calibri" w:cs="Calibri"/>
          <w:b/>
          <w:bCs/>
          <w:sz w:val="24"/>
          <w:szCs w:val="24"/>
        </w:rPr>
      </w:pPr>
      <w:r>
        <w:rPr>
          <w:rFonts w:ascii="Courier New" w:hAnsi="Courier New" w:cs="Courier New"/>
          <w:sz w:val="24"/>
          <w:szCs w:val="24"/>
        </w:rPr>
        <w:t>o</w:t>
      </w:r>
      <w:r>
        <w:rPr>
          <w:sz w:val="14"/>
          <w:szCs w:val="14"/>
        </w:rPr>
        <w:t xml:space="preserve">   </w:t>
      </w:r>
      <w:r w:rsidR="00FB2EB6">
        <w:rPr>
          <w:rFonts w:ascii="Calibri" w:hAnsi="Calibri" w:cs="Calibri"/>
          <w:sz w:val="24"/>
          <w:szCs w:val="24"/>
        </w:rPr>
        <w:t>the e</w:t>
      </w:r>
      <w:r>
        <w:rPr>
          <w:rFonts w:ascii="Calibri" w:hAnsi="Calibri" w:cs="Calibri"/>
          <w:sz w:val="24"/>
          <w:szCs w:val="24"/>
        </w:rPr>
        <w:t>xtent of billing a</w:t>
      </w:r>
      <w:r w:rsidR="007935B6">
        <w:rPr>
          <w:rFonts w:ascii="Calibri" w:hAnsi="Calibri" w:cs="Calibri"/>
          <w:sz w:val="24"/>
          <w:szCs w:val="24"/>
        </w:rPr>
        <w:t>gainst certain MBS item numbers;</w:t>
      </w:r>
      <w:r>
        <w:rPr>
          <w:rFonts w:ascii="Calibri" w:hAnsi="Calibri" w:cs="Calibri"/>
          <w:sz w:val="24"/>
          <w:szCs w:val="24"/>
        </w:rPr>
        <w:t xml:space="preserve"> </w:t>
      </w:r>
    </w:p>
    <w:p w14:paraId="50CFDE06" w14:textId="5B8B5AD0" w:rsidR="00AF7B16" w:rsidRDefault="00AF7B16" w:rsidP="00AF7B16">
      <w:pPr>
        <w:pStyle w:val="CommentText"/>
        <w:ind w:left="1440" w:hanging="360"/>
        <w:rPr>
          <w:rFonts w:ascii="Calibri" w:hAnsi="Calibri" w:cs="Calibri"/>
          <w:b/>
          <w:bCs/>
          <w:sz w:val="24"/>
          <w:szCs w:val="24"/>
        </w:rPr>
      </w:pPr>
      <w:r>
        <w:rPr>
          <w:rFonts w:ascii="Courier New" w:hAnsi="Courier New" w:cs="Courier New"/>
          <w:sz w:val="24"/>
          <w:szCs w:val="24"/>
        </w:rPr>
        <w:t>o</w:t>
      </w:r>
      <w:r>
        <w:rPr>
          <w:sz w:val="14"/>
          <w:szCs w:val="14"/>
        </w:rPr>
        <w:t xml:space="preserve">   </w:t>
      </w:r>
      <w:r w:rsidR="00FB2EB6">
        <w:rPr>
          <w:rFonts w:ascii="Calibri" w:hAnsi="Calibri" w:cs="Calibri"/>
          <w:sz w:val="24"/>
          <w:szCs w:val="24"/>
        </w:rPr>
        <w:t>the n</w:t>
      </w:r>
      <w:r>
        <w:rPr>
          <w:rFonts w:ascii="Calibri" w:hAnsi="Calibri" w:cs="Calibri"/>
          <w:sz w:val="24"/>
          <w:szCs w:val="24"/>
        </w:rPr>
        <w:t xml:space="preserve">umber and proportion </w:t>
      </w:r>
      <w:r w:rsidR="007935B6">
        <w:rPr>
          <w:rFonts w:ascii="Calibri" w:hAnsi="Calibri" w:cs="Calibri"/>
          <w:sz w:val="24"/>
          <w:szCs w:val="24"/>
        </w:rPr>
        <w:t>of non-VR doctors who attain VR;</w:t>
      </w:r>
      <w:r>
        <w:rPr>
          <w:rFonts w:ascii="Calibri" w:hAnsi="Calibri" w:cs="Calibri"/>
          <w:sz w:val="24"/>
          <w:szCs w:val="24"/>
        </w:rPr>
        <w:t xml:space="preserve"> </w:t>
      </w:r>
    </w:p>
    <w:p w14:paraId="51857DC5" w14:textId="6766B14D" w:rsidR="00AF7B16" w:rsidRDefault="00AF7B16" w:rsidP="00AF7B16">
      <w:pPr>
        <w:pStyle w:val="CommentText"/>
        <w:ind w:left="1440" w:hanging="360"/>
        <w:rPr>
          <w:rFonts w:ascii="Calibri" w:hAnsi="Calibri" w:cs="Calibri"/>
          <w:b/>
          <w:bCs/>
          <w:sz w:val="24"/>
          <w:szCs w:val="24"/>
        </w:rPr>
      </w:pPr>
      <w:r>
        <w:rPr>
          <w:rFonts w:ascii="Courier New" w:hAnsi="Courier New" w:cs="Courier New"/>
          <w:sz w:val="24"/>
          <w:szCs w:val="24"/>
        </w:rPr>
        <w:t>o</w:t>
      </w:r>
      <w:r>
        <w:rPr>
          <w:sz w:val="14"/>
          <w:szCs w:val="14"/>
        </w:rPr>
        <w:t xml:space="preserve">   </w:t>
      </w:r>
      <w:r w:rsidR="00FB2EB6">
        <w:rPr>
          <w:rFonts w:ascii="Calibri" w:hAnsi="Calibri" w:cs="Calibri"/>
          <w:sz w:val="24"/>
          <w:szCs w:val="24"/>
        </w:rPr>
        <w:t>the n</w:t>
      </w:r>
      <w:r>
        <w:rPr>
          <w:rFonts w:ascii="Calibri" w:hAnsi="Calibri" w:cs="Calibri"/>
          <w:sz w:val="24"/>
          <w:szCs w:val="24"/>
        </w:rPr>
        <w:t>umber of registrations for and successful com</w:t>
      </w:r>
      <w:r w:rsidR="003F24CE">
        <w:rPr>
          <w:rFonts w:ascii="Calibri" w:hAnsi="Calibri" w:cs="Calibri"/>
          <w:sz w:val="24"/>
          <w:szCs w:val="24"/>
        </w:rPr>
        <w:t>pletions of bonded programs and o</w:t>
      </w:r>
      <w:r w:rsidR="007935B6">
        <w:rPr>
          <w:rFonts w:ascii="Calibri" w:hAnsi="Calibri" w:cs="Calibri"/>
          <w:sz w:val="24"/>
          <w:szCs w:val="24"/>
        </w:rPr>
        <w:t>ther targeted training programs;</w:t>
      </w:r>
      <w:r>
        <w:rPr>
          <w:rFonts w:ascii="Calibri" w:hAnsi="Calibri" w:cs="Calibri"/>
          <w:sz w:val="24"/>
          <w:szCs w:val="24"/>
        </w:rPr>
        <w:t xml:space="preserve"> and </w:t>
      </w:r>
    </w:p>
    <w:p w14:paraId="10AED221" w14:textId="77777777" w:rsidR="00C954F0" w:rsidRDefault="00AF7B16" w:rsidP="00C954F0">
      <w:pPr>
        <w:pStyle w:val="CommentText"/>
        <w:ind w:left="1440" w:hanging="360"/>
        <w:rPr>
          <w:rFonts w:ascii="Calibri" w:hAnsi="Calibri" w:cs="Calibri"/>
          <w:sz w:val="24"/>
          <w:szCs w:val="24"/>
        </w:rPr>
      </w:pPr>
      <w:r>
        <w:rPr>
          <w:rFonts w:ascii="Courier New" w:hAnsi="Courier New" w:cs="Courier New"/>
          <w:sz w:val="24"/>
          <w:szCs w:val="24"/>
        </w:rPr>
        <w:t>o</w:t>
      </w:r>
      <w:r>
        <w:rPr>
          <w:sz w:val="14"/>
          <w:szCs w:val="14"/>
        </w:rPr>
        <w:t xml:space="preserve">   </w:t>
      </w:r>
      <w:r w:rsidR="00FB2EB6">
        <w:rPr>
          <w:rFonts w:ascii="Calibri" w:hAnsi="Calibri" w:cs="Calibri"/>
          <w:sz w:val="24"/>
          <w:szCs w:val="24"/>
        </w:rPr>
        <w:t>the n</w:t>
      </w:r>
      <w:r>
        <w:rPr>
          <w:rFonts w:ascii="Calibri" w:hAnsi="Calibri" w:cs="Calibri"/>
          <w:sz w:val="24"/>
          <w:szCs w:val="24"/>
        </w:rPr>
        <w:t>umber of multi-disciplinary primary health care settings established.</w:t>
      </w:r>
    </w:p>
    <w:p w14:paraId="31436469" w14:textId="52BBFB91" w:rsidR="00C954F0" w:rsidRPr="00C954F0" w:rsidRDefault="00FB2EB6" w:rsidP="00C954F0">
      <w:pPr>
        <w:pStyle w:val="ListParagraph"/>
        <w:numPr>
          <w:ilvl w:val="0"/>
          <w:numId w:val="65"/>
        </w:numPr>
        <w:rPr>
          <w:rFonts w:asciiTheme="minorHAnsi" w:hAnsiTheme="minorHAnsi" w:cstheme="minorHAnsi"/>
        </w:rPr>
      </w:pPr>
      <w:r w:rsidRPr="00C954F0">
        <w:rPr>
          <w:rFonts w:asciiTheme="minorHAnsi" w:hAnsiTheme="minorHAnsi" w:cstheme="minorHAnsi"/>
        </w:rPr>
        <w:t>i</w:t>
      </w:r>
      <w:r w:rsidR="00AF7B16" w:rsidRPr="00C954F0">
        <w:rPr>
          <w:rFonts w:asciiTheme="minorHAnsi" w:hAnsiTheme="minorHAnsi" w:cstheme="minorHAnsi"/>
        </w:rPr>
        <w:t>nform future decision-making around possible further initiatives to improve the quality and equity of distribution of medical services in regional locations</w:t>
      </w:r>
      <w:r w:rsidR="007935B6" w:rsidRPr="00C954F0">
        <w:rPr>
          <w:rFonts w:asciiTheme="minorHAnsi" w:hAnsiTheme="minorHAnsi" w:cstheme="minorHAnsi"/>
        </w:rPr>
        <w:t>;</w:t>
      </w:r>
    </w:p>
    <w:p w14:paraId="631F87E6" w14:textId="2100A840" w:rsidR="00C954F0" w:rsidRPr="00C954F0" w:rsidRDefault="00FB2EB6" w:rsidP="00C954F0">
      <w:pPr>
        <w:pStyle w:val="ListParagraph"/>
        <w:numPr>
          <w:ilvl w:val="0"/>
          <w:numId w:val="65"/>
        </w:numPr>
      </w:pPr>
      <w:r w:rsidRPr="00C954F0">
        <w:rPr>
          <w:rFonts w:asciiTheme="minorHAnsi" w:hAnsiTheme="minorHAnsi" w:cstheme="minorHAnsi"/>
        </w:rPr>
        <w:t>i</w:t>
      </w:r>
      <w:r w:rsidR="00AF7B16" w:rsidRPr="00C954F0">
        <w:rPr>
          <w:rFonts w:asciiTheme="minorHAnsi" w:hAnsiTheme="minorHAnsi" w:cstheme="minorHAnsi"/>
        </w:rPr>
        <w:t>nform the design and implementation of initiatives</w:t>
      </w:r>
      <w:r w:rsidR="003F24CE" w:rsidRPr="00C954F0">
        <w:rPr>
          <w:rFonts w:asciiTheme="minorHAnsi" w:hAnsiTheme="minorHAnsi" w:cstheme="minorHAnsi"/>
        </w:rPr>
        <w:t>,</w:t>
      </w:r>
      <w:r w:rsidR="00AF7B16" w:rsidRPr="00C954F0">
        <w:rPr>
          <w:rFonts w:asciiTheme="minorHAnsi" w:hAnsiTheme="minorHAnsi" w:cstheme="minorHAnsi"/>
        </w:rPr>
        <w:t xml:space="preserve"> including identifying any gaps and dependencies</w:t>
      </w:r>
      <w:r w:rsidR="007935B6" w:rsidRPr="00C954F0">
        <w:rPr>
          <w:rFonts w:asciiTheme="minorHAnsi" w:hAnsiTheme="minorHAnsi" w:cstheme="minorHAnsi"/>
        </w:rPr>
        <w:t>;</w:t>
      </w:r>
    </w:p>
    <w:p w14:paraId="124ADF64" w14:textId="6535FC5E" w:rsidR="00F93950" w:rsidRPr="00C954F0" w:rsidRDefault="00FB2EB6" w:rsidP="00C954F0">
      <w:pPr>
        <w:pStyle w:val="ListParagraph"/>
        <w:numPr>
          <w:ilvl w:val="0"/>
          <w:numId w:val="65"/>
        </w:numPr>
        <w:rPr>
          <w:rFonts w:asciiTheme="minorHAnsi" w:hAnsiTheme="minorHAnsi" w:cstheme="minorHAnsi"/>
        </w:rPr>
      </w:pPr>
      <w:r w:rsidRPr="00C954F0">
        <w:rPr>
          <w:rFonts w:asciiTheme="minorHAnsi" w:hAnsiTheme="minorHAnsi" w:cstheme="minorHAnsi"/>
        </w:rPr>
        <w:t>p</w:t>
      </w:r>
      <w:r w:rsidR="00AF7B16" w:rsidRPr="00C954F0">
        <w:rPr>
          <w:rFonts w:asciiTheme="minorHAnsi" w:hAnsiTheme="minorHAnsi" w:cstheme="minorHAnsi"/>
        </w:rPr>
        <w:t>rovide a consistent framework to enable comparisons within and across initiatives</w:t>
      </w:r>
      <w:r w:rsidR="007935B6" w:rsidRPr="00C954F0">
        <w:rPr>
          <w:rFonts w:asciiTheme="minorHAnsi" w:hAnsiTheme="minorHAnsi" w:cstheme="minorHAnsi"/>
        </w:rPr>
        <w:t>;</w:t>
      </w:r>
    </w:p>
    <w:p w14:paraId="78AFF720" w14:textId="77777777" w:rsidR="00F93950" w:rsidRDefault="00FB2EB6" w:rsidP="00AA5EBF">
      <w:pPr>
        <w:pStyle w:val="ListParagraph"/>
        <w:numPr>
          <w:ilvl w:val="0"/>
          <w:numId w:val="20"/>
        </w:numPr>
        <w:rPr>
          <w:rFonts w:asciiTheme="minorHAnsi" w:hAnsiTheme="minorHAnsi" w:cstheme="minorHAnsi"/>
        </w:rPr>
      </w:pPr>
      <w:r w:rsidRPr="00F93950">
        <w:rPr>
          <w:rFonts w:asciiTheme="minorHAnsi" w:hAnsiTheme="minorHAnsi" w:cstheme="minorHAnsi"/>
        </w:rPr>
        <w:t>s</w:t>
      </w:r>
      <w:r w:rsidR="00AF7B16" w:rsidRPr="00F93950">
        <w:rPr>
          <w:rFonts w:asciiTheme="minorHAnsi" w:hAnsiTheme="minorHAnsi" w:cstheme="minorHAnsi"/>
        </w:rPr>
        <w:t>upport increasing the scale to incorporate all health workforce programs</w:t>
      </w:r>
      <w:r w:rsidRPr="00F93950">
        <w:rPr>
          <w:rFonts w:asciiTheme="minorHAnsi" w:hAnsiTheme="minorHAnsi" w:cstheme="minorHAnsi"/>
        </w:rPr>
        <w:t xml:space="preserve"> in order</w:t>
      </w:r>
      <w:r w:rsidR="00AF7B16" w:rsidRPr="00F93950">
        <w:rPr>
          <w:rFonts w:asciiTheme="minorHAnsi" w:hAnsiTheme="minorHAnsi" w:cstheme="minorHAnsi"/>
        </w:rPr>
        <w:t xml:space="preserve"> to provide a</w:t>
      </w:r>
      <w:r w:rsidR="003F24CE" w:rsidRPr="00F93950">
        <w:rPr>
          <w:rFonts w:asciiTheme="minorHAnsi" w:hAnsiTheme="minorHAnsi" w:cstheme="minorHAnsi"/>
        </w:rPr>
        <w:t xml:space="preserve"> </w:t>
      </w:r>
      <w:r w:rsidR="00AF7B16" w:rsidRPr="00F93950">
        <w:rPr>
          <w:rFonts w:asciiTheme="minorHAnsi" w:hAnsiTheme="minorHAnsi" w:cstheme="minorHAnsi"/>
        </w:rPr>
        <w:t>whole</w:t>
      </w:r>
      <w:r w:rsidR="003F24CE" w:rsidRPr="00F93950">
        <w:rPr>
          <w:rFonts w:asciiTheme="minorHAnsi" w:hAnsiTheme="minorHAnsi" w:cstheme="minorHAnsi"/>
        </w:rPr>
        <w:t>-</w:t>
      </w:r>
      <w:r w:rsidR="00AF7B16" w:rsidRPr="00F93950">
        <w:rPr>
          <w:rFonts w:asciiTheme="minorHAnsi" w:hAnsiTheme="minorHAnsi" w:cstheme="minorHAnsi"/>
        </w:rPr>
        <w:t>of</w:t>
      </w:r>
      <w:r w:rsidR="003F24CE" w:rsidRPr="00F93950">
        <w:rPr>
          <w:rFonts w:asciiTheme="minorHAnsi" w:hAnsiTheme="minorHAnsi" w:cstheme="minorHAnsi"/>
        </w:rPr>
        <w:t>-</w:t>
      </w:r>
      <w:r w:rsidR="005C1F06" w:rsidRPr="00F93950">
        <w:rPr>
          <w:rFonts w:asciiTheme="minorHAnsi" w:hAnsiTheme="minorHAnsi" w:cstheme="minorHAnsi"/>
        </w:rPr>
        <w:t xml:space="preserve">Program </w:t>
      </w:r>
      <w:r w:rsidR="007935B6" w:rsidRPr="00F93950">
        <w:rPr>
          <w:rFonts w:asciiTheme="minorHAnsi" w:hAnsiTheme="minorHAnsi" w:cstheme="minorHAnsi"/>
        </w:rPr>
        <w:t>perspective;</w:t>
      </w:r>
    </w:p>
    <w:p w14:paraId="469B0C99" w14:textId="77777777" w:rsidR="00F93950" w:rsidRDefault="00FB2EB6" w:rsidP="00AA5EBF">
      <w:pPr>
        <w:pStyle w:val="ListParagraph"/>
        <w:numPr>
          <w:ilvl w:val="0"/>
          <w:numId w:val="20"/>
        </w:numPr>
        <w:rPr>
          <w:rFonts w:asciiTheme="minorHAnsi" w:hAnsiTheme="minorHAnsi" w:cstheme="minorHAnsi"/>
        </w:rPr>
      </w:pPr>
      <w:r w:rsidRPr="00F93950">
        <w:rPr>
          <w:rFonts w:asciiTheme="minorHAnsi" w:hAnsiTheme="minorHAnsi" w:cstheme="minorHAnsi"/>
        </w:rPr>
        <w:lastRenderedPageBreak/>
        <w:t>i</w:t>
      </w:r>
      <w:r w:rsidR="00AF7B16" w:rsidRPr="00F93950">
        <w:rPr>
          <w:rFonts w:asciiTheme="minorHAnsi" w:hAnsiTheme="minorHAnsi" w:cstheme="minorHAnsi"/>
        </w:rPr>
        <w:t>nform new policy proposal</w:t>
      </w:r>
      <w:r w:rsidRPr="00F93950">
        <w:rPr>
          <w:rFonts w:asciiTheme="minorHAnsi" w:hAnsiTheme="minorHAnsi" w:cstheme="minorHAnsi"/>
        </w:rPr>
        <w:t>s</w:t>
      </w:r>
      <w:r w:rsidR="00AF7B16" w:rsidRPr="00F93950">
        <w:rPr>
          <w:rFonts w:asciiTheme="minorHAnsi" w:hAnsiTheme="minorHAnsi" w:cstheme="minorHAnsi"/>
        </w:rPr>
        <w:t xml:space="preserve"> (NPP</w:t>
      </w:r>
      <w:r w:rsidRPr="00F93950">
        <w:rPr>
          <w:rFonts w:asciiTheme="minorHAnsi" w:hAnsiTheme="minorHAnsi" w:cstheme="minorHAnsi"/>
        </w:rPr>
        <w:t>s</w:t>
      </w:r>
      <w:r w:rsidR="00AF7B16" w:rsidRPr="00F93950">
        <w:rPr>
          <w:rFonts w:asciiTheme="minorHAnsi" w:hAnsiTheme="minorHAnsi" w:cstheme="minorHAnsi"/>
        </w:rPr>
        <w:t xml:space="preserve">) </w:t>
      </w:r>
      <w:r w:rsidR="007935B6" w:rsidRPr="00F93950">
        <w:rPr>
          <w:rFonts w:asciiTheme="minorHAnsi" w:hAnsiTheme="minorHAnsi" w:cstheme="minorHAnsi"/>
        </w:rPr>
        <w:t>and future strategy development;</w:t>
      </w:r>
    </w:p>
    <w:p w14:paraId="501AF135" w14:textId="77777777" w:rsidR="00F93950" w:rsidRDefault="00AF7B16" w:rsidP="00AA5EBF">
      <w:pPr>
        <w:pStyle w:val="ListParagraph"/>
        <w:numPr>
          <w:ilvl w:val="0"/>
          <w:numId w:val="20"/>
        </w:numPr>
        <w:rPr>
          <w:rFonts w:asciiTheme="minorHAnsi" w:hAnsiTheme="minorHAnsi" w:cstheme="minorHAnsi"/>
        </w:rPr>
      </w:pPr>
      <w:r w:rsidRPr="00F93950">
        <w:rPr>
          <w:rFonts w:asciiTheme="minorHAnsi" w:hAnsiTheme="minorHAnsi" w:cstheme="minorHAnsi"/>
        </w:rPr>
        <w:t xml:space="preserve">provide an effective engagement tool </w:t>
      </w:r>
      <w:r w:rsidR="007935B6" w:rsidRPr="00F93950">
        <w:rPr>
          <w:rFonts w:asciiTheme="minorHAnsi" w:hAnsiTheme="minorHAnsi" w:cstheme="minorHAnsi"/>
        </w:rPr>
        <w:t>for government and stakeholders;</w:t>
      </w:r>
      <w:r w:rsidRPr="00F93950">
        <w:rPr>
          <w:rFonts w:asciiTheme="minorHAnsi" w:hAnsiTheme="minorHAnsi" w:cstheme="minorHAnsi"/>
        </w:rPr>
        <w:t xml:space="preserve"> and</w:t>
      </w:r>
    </w:p>
    <w:p w14:paraId="7EC9B37A" w14:textId="510536FA" w:rsidR="00AF7B16" w:rsidRPr="00F93950" w:rsidRDefault="00FB2EB6" w:rsidP="00AA5EBF">
      <w:pPr>
        <w:pStyle w:val="ListParagraph"/>
        <w:numPr>
          <w:ilvl w:val="0"/>
          <w:numId w:val="20"/>
        </w:numPr>
        <w:rPr>
          <w:rFonts w:asciiTheme="minorHAnsi" w:hAnsiTheme="minorHAnsi" w:cstheme="minorHAnsi"/>
        </w:rPr>
      </w:pPr>
      <w:r w:rsidRPr="00F93950">
        <w:rPr>
          <w:rFonts w:asciiTheme="minorHAnsi" w:hAnsiTheme="minorHAnsi" w:cstheme="minorHAnsi"/>
        </w:rPr>
        <w:t>e</w:t>
      </w:r>
      <w:r w:rsidR="00AF7B16" w:rsidRPr="00F93950">
        <w:rPr>
          <w:rFonts w:asciiTheme="minorHAnsi" w:hAnsiTheme="minorHAnsi" w:cstheme="minorHAnsi"/>
        </w:rPr>
        <w:t>nsure a focus on workforce and community outcomes.</w:t>
      </w:r>
    </w:p>
    <w:p w14:paraId="1AF74FD3" w14:textId="77777777" w:rsidR="00AF7B16" w:rsidRDefault="00AF7B16" w:rsidP="00F93950">
      <w:pPr>
        <w:rPr>
          <w:sz w:val="22"/>
          <w:szCs w:val="22"/>
        </w:rPr>
      </w:pPr>
    </w:p>
    <w:p w14:paraId="1CBE18E9" w14:textId="6DB30B1D" w:rsidR="00AF7B16" w:rsidRPr="00F93950" w:rsidRDefault="00AF7B16" w:rsidP="00F93950">
      <w:pPr>
        <w:rPr>
          <w:rFonts w:asciiTheme="minorHAnsi" w:hAnsiTheme="minorHAnsi" w:cstheme="minorHAnsi"/>
        </w:rPr>
      </w:pPr>
      <w:r w:rsidRPr="00F93950">
        <w:rPr>
          <w:rFonts w:asciiTheme="minorHAnsi" w:hAnsiTheme="minorHAnsi" w:cstheme="minorHAnsi"/>
        </w:rPr>
        <w:t>At the highest level, the evaluation will assess the success of the Strategy against the two core objectives of supporting a well-distributed health workforce across Australia, and improving the quality of the Australian health workforce. Through the Strategy</w:t>
      </w:r>
      <w:r w:rsidR="00670163" w:rsidRPr="00F93950">
        <w:rPr>
          <w:rFonts w:asciiTheme="minorHAnsi" w:hAnsiTheme="minorHAnsi" w:cstheme="minorHAnsi"/>
        </w:rPr>
        <w:t>,</w:t>
      </w:r>
      <w:r w:rsidRPr="00F93950">
        <w:rPr>
          <w:rFonts w:asciiTheme="minorHAnsi" w:hAnsiTheme="minorHAnsi" w:cstheme="minorHAnsi"/>
        </w:rPr>
        <w:t xml:space="preserve"> effective investment in workforce programs will improve the distribution of the health workforce by increasing</w:t>
      </w:r>
      <w:r w:rsidR="001240B9" w:rsidRPr="00F93950">
        <w:rPr>
          <w:rFonts w:asciiTheme="minorHAnsi" w:hAnsiTheme="minorHAnsi" w:cstheme="minorHAnsi"/>
        </w:rPr>
        <w:t xml:space="preserve"> the</w:t>
      </w:r>
      <w:r w:rsidRPr="00F93950">
        <w:rPr>
          <w:rFonts w:asciiTheme="minorHAnsi" w:hAnsiTheme="minorHAnsi" w:cstheme="minorHAnsi"/>
        </w:rPr>
        <w:t xml:space="preserve">: </w:t>
      </w:r>
    </w:p>
    <w:p w14:paraId="43CE7285" w14:textId="0E24F415" w:rsidR="00AF7B16" w:rsidRPr="00F93950" w:rsidRDefault="00AF7B16" w:rsidP="00AA5EBF">
      <w:pPr>
        <w:pStyle w:val="ListParagraph"/>
        <w:numPr>
          <w:ilvl w:val="0"/>
          <w:numId w:val="66"/>
        </w:numPr>
        <w:rPr>
          <w:rFonts w:asciiTheme="minorHAnsi" w:hAnsiTheme="minorHAnsi" w:cstheme="minorHAnsi"/>
        </w:rPr>
      </w:pPr>
      <w:r w:rsidRPr="00F93950">
        <w:rPr>
          <w:rFonts w:asciiTheme="minorHAnsi" w:hAnsiTheme="minorHAnsi" w:cstheme="minorHAnsi"/>
        </w:rPr>
        <w:t xml:space="preserve">number of GPs and medical practitioners training towards </w:t>
      </w:r>
      <w:r w:rsidR="003F24CE" w:rsidRPr="00F93950">
        <w:rPr>
          <w:rFonts w:asciiTheme="minorHAnsi" w:hAnsiTheme="minorHAnsi" w:cstheme="minorHAnsi"/>
        </w:rPr>
        <w:t>F</w:t>
      </w:r>
      <w:r w:rsidRPr="00F93950">
        <w:rPr>
          <w:rFonts w:asciiTheme="minorHAnsi" w:hAnsiTheme="minorHAnsi" w:cstheme="minorHAnsi"/>
        </w:rPr>
        <w:t>ellowship under a</w:t>
      </w:r>
      <w:r w:rsidR="007935B6" w:rsidRPr="00F93950">
        <w:rPr>
          <w:rFonts w:asciiTheme="minorHAnsi" w:hAnsiTheme="minorHAnsi" w:cstheme="minorHAnsi"/>
        </w:rPr>
        <w:t>n accredited GP College program;</w:t>
      </w:r>
    </w:p>
    <w:p w14:paraId="620C23EB" w14:textId="6934AE8C" w:rsidR="00AF7B16" w:rsidRPr="00F93950" w:rsidRDefault="00AF7B16" w:rsidP="00AA5EBF">
      <w:pPr>
        <w:pStyle w:val="ListParagraph"/>
        <w:numPr>
          <w:ilvl w:val="0"/>
          <w:numId w:val="66"/>
        </w:numPr>
        <w:rPr>
          <w:rFonts w:asciiTheme="minorHAnsi" w:hAnsiTheme="minorHAnsi" w:cstheme="minorHAnsi"/>
        </w:rPr>
      </w:pPr>
      <w:r w:rsidRPr="00F93950">
        <w:rPr>
          <w:rFonts w:asciiTheme="minorHAnsi" w:hAnsiTheme="minorHAnsi" w:cstheme="minorHAnsi"/>
        </w:rPr>
        <w:t>number of non-gener</w:t>
      </w:r>
      <w:r w:rsidR="005C1F06" w:rsidRPr="00F93950">
        <w:rPr>
          <w:rFonts w:asciiTheme="minorHAnsi" w:hAnsiTheme="minorHAnsi" w:cstheme="minorHAnsi"/>
        </w:rPr>
        <w:t>al practice medical speciali</w:t>
      </w:r>
      <w:r w:rsidR="007935B6" w:rsidRPr="00F93950">
        <w:rPr>
          <w:rFonts w:asciiTheme="minorHAnsi" w:hAnsiTheme="minorHAnsi" w:cstheme="minorHAnsi"/>
        </w:rPr>
        <w:t>sts;</w:t>
      </w:r>
    </w:p>
    <w:p w14:paraId="06CAD2C7" w14:textId="3572ADEF" w:rsidR="00AF7B16" w:rsidRPr="00F93950" w:rsidRDefault="00AF7B16" w:rsidP="00AA5EBF">
      <w:pPr>
        <w:pStyle w:val="ListParagraph"/>
        <w:numPr>
          <w:ilvl w:val="0"/>
          <w:numId w:val="66"/>
        </w:numPr>
        <w:rPr>
          <w:rFonts w:asciiTheme="minorHAnsi" w:hAnsiTheme="minorHAnsi" w:cstheme="minorHAnsi"/>
        </w:rPr>
      </w:pPr>
      <w:r w:rsidRPr="00F93950">
        <w:rPr>
          <w:rFonts w:asciiTheme="minorHAnsi" w:hAnsiTheme="minorHAnsi" w:cstheme="minorHAnsi"/>
        </w:rPr>
        <w:t>number of nurses working in general practices</w:t>
      </w:r>
      <w:r w:rsidR="007935B6" w:rsidRPr="00F93950">
        <w:rPr>
          <w:rFonts w:asciiTheme="minorHAnsi" w:hAnsiTheme="minorHAnsi" w:cstheme="minorHAnsi"/>
        </w:rPr>
        <w:t>;</w:t>
      </w:r>
      <w:r w:rsidR="005C1F06" w:rsidRPr="00F93950">
        <w:rPr>
          <w:rFonts w:asciiTheme="minorHAnsi" w:hAnsiTheme="minorHAnsi" w:cstheme="minorHAnsi"/>
        </w:rPr>
        <w:t xml:space="preserve"> </w:t>
      </w:r>
      <w:r w:rsidRPr="00F93950">
        <w:rPr>
          <w:rFonts w:asciiTheme="minorHAnsi" w:hAnsiTheme="minorHAnsi" w:cstheme="minorHAnsi"/>
        </w:rPr>
        <w:t>and</w:t>
      </w:r>
    </w:p>
    <w:p w14:paraId="2E04DF0E" w14:textId="75953522" w:rsidR="00AF7B16" w:rsidRPr="00F93950" w:rsidRDefault="00AF7B16" w:rsidP="00AA5EBF">
      <w:pPr>
        <w:pStyle w:val="ListParagraph"/>
        <w:numPr>
          <w:ilvl w:val="0"/>
          <w:numId w:val="66"/>
        </w:numPr>
        <w:rPr>
          <w:rFonts w:asciiTheme="minorHAnsi" w:hAnsiTheme="minorHAnsi" w:cstheme="minorHAnsi"/>
        </w:rPr>
      </w:pPr>
      <w:r w:rsidRPr="00F93950">
        <w:rPr>
          <w:rFonts w:asciiTheme="minorHAnsi" w:hAnsiTheme="minorHAnsi" w:cstheme="minorHAnsi"/>
        </w:rPr>
        <w:t>number of allied health practitioners.</w:t>
      </w:r>
    </w:p>
    <w:p w14:paraId="0BEDEFDC" w14:textId="77777777" w:rsidR="00AF7B16" w:rsidRPr="002A4AE0" w:rsidRDefault="00AF7B16" w:rsidP="00AF7B16"/>
    <w:p w14:paraId="4217813F" w14:textId="5E9A3A04" w:rsidR="00AF7B16" w:rsidRPr="00F93950" w:rsidRDefault="00AF7B16" w:rsidP="00F93950">
      <w:pPr>
        <w:rPr>
          <w:rFonts w:asciiTheme="minorHAnsi" w:hAnsiTheme="minorHAnsi" w:cstheme="minorHAnsi"/>
        </w:rPr>
      </w:pPr>
      <w:r w:rsidRPr="00F93950">
        <w:rPr>
          <w:rFonts w:asciiTheme="minorHAnsi" w:hAnsiTheme="minorHAnsi" w:cstheme="minorHAnsi"/>
        </w:rPr>
        <w:t>The Strategy aims to ensure Australians have access to high quality services provided by qualified health practitioners through training delivered in all areas of Australia, by increasing</w:t>
      </w:r>
      <w:r w:rsidR="001240B9" w:rsidRPr="00F93950">
        <w:rPr>
          <w:rFonts w:asciiTheme="minorHAnsi" w:hAnsiTheme="minorHAnsi" w:cstheme="minorHAnsi"/>
        </w:rPr>
        <w:t xml:space="preserve"> the</w:t>
      </w:r>
      <w:r w:rsidRPr="00F93950">
        <w:rPr>
          <w:rFonts w:asciiTheme="minorHAnsi" w:hAnsiTheme="minorHAnsi" w:cstheme="minorHAnsi"/>
        </w:rPr>
        <w:t>:</w:t>
      </w:r>
    </w:p>
    <w:p w14:paraId="1AC61BD1" w14:textId="36F41B53" w:rsidR="00AF7B16" w:rsidRPr="00F93950" w:rsidRDefault="00AF7B16" w:rsidP="00AA5EBF">
      <w:pPr>
        <w:pStyle w:val="ListParagraph"/>
        <w:numPr>
          <w:ilvl w:val="0"/>
          <w:numId w:val="67"/>
        </w:numPr>
        <w:rPr>
          <w:rFonts w:asciiTheme="minorHAnsi" w:hAnsiTheme="minorHAnsi" w:cstheme="minorHAnsi"/>
        </w:rPr>
      </w:pPr>
      <w:r w:rsidRPr="00F93950">
        <w:rPr>
          <w:rFonts w:asciiTheme="minorHAnsi" w:hAnsiTheme="minorHAnsi" w:cstheme="minorHAnsi"/>
        </w:rPr>
        <w:t>percentage of medical practitioners working in general practice with fellowship of either of the GP Colleges</w:t>
      </w:r>
      <w:r w:rsidR="007935B6" w:rsidRPr="00F93950">
        <w:rPr>
          <w:rFonts w:asciiTheme="minorHAnsi" w:hAnsiTheme="minorHAnsi" w:cstheme="minorHAnsi"/>
        </w:rPr>
        <w:t>;</w:t>
      </w:r>
    </w:p>
    <w:p w14:paraId="3D25D0CE" w14:textId="569BA2E5" w:rsidR="00AF7B16" w:rsidRPr="00F93950" w:rsidRDefault="00AF7B16" w:rsidP="00AA5EBF">
      <w:pPr>
        <w:pStyle w:val="ListParagraph"/>
        <w:numPr>
          <w:ilvl w:val="0"/>
          <w:numId w:val="67"/>
        </w:numPr>
        <w:rPr>
          <w:rFonts w:asciiTheme="minorHAnsi" w:hAnsiTheme="minorHAnsi" w:cstheme="minorHAnsi"/>
        </w:rPr>
      </w:pPr>
      <w:r w:rsidRPr="00F93950">
        <w:rPr>
          <w:rFonts w:asciiTheme="minorHAnsi" w:hAnsiTheme="minorHAnsi" w:cstheme="minorHAnsi"/>
        </w:rPr>
        <w:t xml:space="preserve">percentage of general practice training </w:t>
      </w:r>
      <w:r w:rsidR="003F24CE" w:rsidRPr="00F93950">
        <w:rPr>
          <w:rFonts w:asciiTheme="minorHAnsi" w:hAnsiTheme="minorHAnsi" w:cstheme="minorHAnsi"/>
        </w:rPr>
        <w:t xml:space="preserve">being undertaken </w:t>
      </w:r>
      <w:r w:rsidRPr="00F93950">
        <w:rPr>
          <w:rFonts w:asciiTheme="minorHAnsi" w:hAnsiTheme="minorHAnsi" w:cstheme="minorHAnsi"/>
        </w:rPr>
        <w:t>outside major cities</w:t>
      </w:r>
      <w:r w:rsidR="007935B6" w:rsidRPr="00F93950">
        <w:rPr>
          <w:rFonts w:asciiTheme="minorHAnsi" w:hAnsiTheme="minorHAnsi" w:cstheme="minorHAnsi"/>
        </w:rPr>
        <w:t>;</w:t>
      </w:r>
      <w:r w:rsidRPr="00F93950">
        <w:rPr>
          <w:rFonts w:asciiTheme="minorHAnsi" w:hAnsiTheme="minorHAnsi" w:cstheme="minorHAnsi"/>
        </w:rPr>
        <w:t xml:space="preserve"> and </w:t>
      </w:r>
    </w:p>
    <w:p w14:paraId="6EC84B4B" w14:textId="429240C6" w:rsidR="00AF7B16" w:rsidRPr="00F93950" w:rsidRDefault="00AF7B16" w:rsidP="00AA5EBF">
      <w:pPr>
        <w:pStyle w:val="ListParagraph"/>
        <w:numPr>
          <w:ilvl w:val="0"/>
          <w:numId w:val="67"/>
        </w:numPr>
        <w:rPr>
          <w:rFonts w:asciiTheme="minorHAnsi" w:hAnsiTheme="minorHAnsi" w:cstheme="minorHAnsi"/>
        </w:rPr>
      </w:pPr>
      <w:r w:rsidRPr="00F93950">
        <w:rPr>
          <w:rFonts w:asciiTheme="minorHAnsi" w:hAnsiTheme="minorHAnsi" w:cstheme="minorHAnsi"/>
        </w:rPr>
        <w:t>proportion of Specialist Training program activity in rural areas.</w:t>
      </w:r>
    </w:p>
    <w:p w14:paraId="14FD81FF" w14:textId="77777777" w:rsidR="00AF7B16" w:rsidRPr="00F93950" w:rsidRDefault="00AF7B16" w:rsidP="00F93950">
      <w:pPr>
        <w:rPr>
          <w:rFonts w:asciiTheme="minorHAnsi" w:hAnsiTheme="minorHAnsi" w:cstheme="minorHAnsi"/>
        </w:rPr>
      </w:pPr>
    </w:p>
    <w:p w14:paraId="5C70CFF4" w14:textId="1593A9B8" w:rsidR="00AF7B16" w:rsidRPr="00F93950" w:rsidRDefault="00AF7B16" w:rsidP="00F93950">
      <w:pPr>
        <w:rPr>
          <w:rFonts w:asciiTheme="minorHAnsi" w:hAnsiTheme="minorHAnsi" w:cstheme="minorHAnsi"/>
        </w:rPr>
      </w:pPr>
      <w:r w:rsidRPr="00F93950">
        <w:rPr>
          <w:rFonts w:asciiTheme="minorHAnsi" w:hAnsiTheme="minorHAnsi" w:cstheme="minorHAnsi"/>
        </w:rPr>
        <w:t xml:space="preserve">It is critical that the evaluation of the Strategy is conducted to a consistently high standard; this will be achieved by ensuring that evaluation of each initiative under the Strategy operates under a single framework. An overarching Evaluation Framework (the Framework) will be developed that will inform and be informed by the development of Monitoring and Evaluation Plans for each initiative. A data strategy will also be developed to target and streamline data capture and ensure data and information is available </w:t>
      </w:r>
      <w:r w:rsidR="00F6327C" w:rsidRPr="00F93950">
        <w:rPr>
          <w:rFonts w:asciiTheme="minorHAnsi" w:hAnsiTheme="minorHAnsi" w:cstheme="minorHAnsi"/>
        </w:rPr>
        <w:t xml:space="preserve">for </w:t>
      </w:r>
      <w:r w:rsidRPr="00F93950">
        <w:rPr>
          <w:rFonts w:asciiTheme="minorHAnsi" w:hAnsiTheme="minorHAnsi" w:cstheme="minorHAnsi"/>
        </w:rPr>
        <w:t xml:space="preserve">quantitative and qualitative evaluation questions. </w:t>
      </w:r>
    </w:p>
    <w:p w14:paraId="6EE6A5F2" w14:textId="77777777" w:rsidR="00AF7B16" w:rsidRPr="00F93950" w:rsidRDefault="00AF7B16" w:rsidP="00F93950">
      <w:pPr>
        <w:rPr>
          <w:rFonts w:asciiTheme="minorHAnsi" w:hAnsiTheme="minorHAnsi" w:cstheme="minorHAnsi"/>
        </w:rPr>
      </w:pPr>
    </w:p>
    <w:p w14:paraId="30C9ADC9" w14:textId="58DF6703" w:rsidR="00AF7B16" w:rsidRPr="00F93950" w:rsidRDefault="00AF7B16" w:rsidP="00F93950">
      <w:pPr>
        <w:rPr>
          <w:rFonts w:asciiTheme="minorHAnsi" w:hAnsiTheme="minorHAnsi" w:cstheme="minorHAnsi"/>
        </w:rPr>
      </w:pPr>
      <w:r w:rsidRPr="00F93950">
        <w:rPr>
          <w:rFonts w:asciiTheme="minorHAnsi" w:hAnsiTheme="minorHAnsi" w:cstheme="minorHAnsi"/>
        </w:rPr>
        <w:t xml:space="preserve">The monitoring and evaluation plans will be designed to meet the specific requirements of each initiative while maintaining a coherent measurement system around a common output and outcome framework. </w:t>
      </w:r>
      <w:r w:rsidR="00F6327C" w:rsidRPr="00F93950">
        <w:rPr>
          <w:rFonts w:asciiTheme="minorHAnsi" w:hAnsiTheme="minorHAnsi" w:cstheme="minorHAnsi"/>
        </w:rPr>
        <w:t xml:space="preserve"> </w:t>
      </w:r>
      <w:r w:rsidRPr="00F93950">
        <w:rPr>
          <w:rFonts w:asciiTheme="minorHAnsi" w:hAnsiTheme="minorHAnsi" w:cstheme="minorHAnsi"/>
        </w:rPr>
        <w:t xml:space="preserve">This approach will improve consistency and coordination of monitoring and evaluation efforts across the initiatives, and effectively link to the data strategy and the overarching Framework. </w:t>
      </w:r>
      <w:r w:rsidR="00F6327C" w:rsidRPr="00F93950">
        <w:rPr>
          <w:rFonts w:asciiTheme="minorHAnsi" w:hAnsiTheme="minorHAnsi" w:cstheme="minorHAnsi"/>
        </w:rPr>
        <w:t xml:space="preserve"> </w:t>
      </w:r>
      <w:r w:rsidRPr="00F93950">
        <w:rPr>
          <w:rFonts w:asciiTheme="minorHAnsi" w:hAnsiTheme="minorHAnsi" w:cstheme="minorHAnsi"/>
        </w:rPr>
        <w:t>Importantly, this evaluation approach will focus on establishing both a regular reporting schedule for long term evaluation, as well as data tools, e.g. the HeaDS</w:t>
      </w:r>
      <w:r w:rsidR="003F24CE" w:rsidRPr="00F93950">
        <w:rPr>
          <w:rFonts w:asciiTheme="minorHAnsi" w:hAnsiTheme="minorHAnsi" w:cstheme="minorHAnsi"/>
        </w:rPr>
        <w:t xml:space="preserve"> </w:t>
      </w:r>
      <w:r w:rsidRPr="00F93950">
        <w:rPr>
          <w:rFonts w:asciiTheme="minorHAnsi" w:hAnsiTheme="minorHAnsi" w:cstheme="minorHAnsi"/>
        </w:rPr>
        <w:t>U</w:t>
      </w:r>
      <w:r w:rsidR="003F24CE" w:rsidRPr="00F93950">
        <w:rPr>
          <w:rFonts w:asciiTheme="minorHAnsi" w:hAnsiTheme="minorHAnsi" w:cstheme="minorHAnsi"/>
        </w:rPr>
        <w:t>P</w:t>
      </w:r>
      <w:r w:rsidRPr="00F93950">
        <w:rPr>
          <w:rFonts w:asciiTheme="minorHAnsi" w:hAnsiTheme="minorHAnsi" w:cstheme="minorHAnsi"/>
        </w:rPr>
        <w:t>P tool, to support ad-hoc monitoring of the initiatives and the Strategy as a whole. Ongoing monitoring will allow the Government to fine tune policy issues and promptly mitigate any risks as/if they arise.</w:t>
      </w:r>
    </w:p>
    <w:p w14:paraId="441CD7B4" w14:textId="77777777" w:rsidR="00AF7B16" w:rsidRPr="00F13AFA" w:rsidRDefault="00AF7B16" w:rsidP="00AF7B16">
      <w:pPr>
        <w:rPr>
          <w:rFonts w:asciiTheme="minorHAnsi" w:hAnsiTheme="minorHAnsi" w:cstheme="minorHAnsi"/>
        </w:rPr>
      </w:pPr>
      <w:r w:rsidRPr="00F13AFA">
        <w:rPr>
          <w:rFonts w:asciiTheme="minorHAnsi" w:hAnsiTheme="minorHAnsi" w:cstheme="minorHAnsi"/>
        </w:rPr>
        <w:br w:type="page"/>
      </w:r>
    </w:p>
    <w:p w14:paraId="218BEC82" w14:textId="77777777" w:rsidR="00AF7B16" w:rsidRPr="00F13AFA" w:rsidRDefault="00AF7B16" w:rsidP="00AF7B16">
      <w:pPr>
        <w:jc w:val="right"/>
        <w:rPr>
          <w:rFonts w:asciiTheme="minorHAnsi" w:hAnsiTheme="minorHAnsi" w:cstheme="minorHAnsi"/>
          <w:b/>
          <w:sz w:val="32"/>
          <w:szCs w:val="32"/>
        </w:rPr>
      </w:pPr>
      <w:r w:rsidRPr="00F13AFA">
        <w:rPr>
          <w:rFonts w:asciiTheme="minorHAnsi" w:hAnsiTheme="minorHAnsi" w:cstheme="minorHAnsi"/>
          <w:b/>
          <w:sz w:val="32"/>
          <w:szCs w:val="32"/>
        </w:rPr>
        <w:lastRenderedPageBreak/>
        <w:t>Appendix 1</w:t>
      </w:r>
    </w:p>
    <w:p w14:paraId="0FFD0215" w14:textId="77777777" w:rsidR="00AF7B16" w:rsidRPr="00F13AFA" w:rsidRDefault="00AF7B16" w:rsidP="00AF7B16">
      <w:pPr>
        <w:pStyle w:val="Heading2"/>
        <w:rPr>
          <w:rFonts w:asciiTheme="minorHAnsi" w:hAnsiTheme="minorHAnsi" w:cstheme="minorHAnsi"/>
        </w:rPr>
      </w:pPr>
    </w:p>
    <w:p w14:paraId="7845A4B6" w14:textId="77777777" w:rsidR="00AF7B16" w:rsidRPr="00F13AFA" w:rsidRDefault="00AF7B16" w:rsidP="00AF7B16">
      <w:pPr>
        <w:pStyle w:val="Heading1"/>
        <w:spacing w:after="0"/>
        <w:rPr>
          <w:rFonts w:asciiTheme="minorHAnsi" w:hAnsiTheme="minorHAnsi" w:cstheme="minorHAnsi"/>
          <w:sz w:val="24"/>
          <w:szCs w:val="24"/>
        </w:rPr>
      </w:pPr>
      <w:r w:rsidRPr="00F13AFA">
        <w:rPr>
          <w:rFonts w:asciiTheme="minorHAnsi" w:hAnsiTheme="minorHAnsi" w:cstheme="minorHAnsi"/>
          <w:sz w:val="24"/>
          <w:szCs w:val="24"/>
        </w:rPr>
        <w:t>Regulatory Burden Estimate (RBE) Table</w:t>
      </w:r>
    </w:p>
    <w:p w14:paraId="22CCC617" w14:textId="77777777" w:rsidR="00AF7B16" w:rsidRPr="00F13AFA" w:rsidRDefault="00AF7B16" w:rsidP="00AF7B16">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gulatory Burden and Cost Offset (RBCO) Estimate Table"/>
      </w:tblPr>
      <w:tblGrid>
        <w:gridCol w:w="1889"/>
        <w:gridCol w:w="1684"/>
        <w:gridCol w:w="2222"/>
        <w:gridCol w:w="1993"/>
        <w:gridCol w:w="1534"/>
      </w:tblGrid>
      <w:tr w:rsidR="00AF7B16" w:rsidRPr="00117720" w14:paraId="14C7B2A7" w14:textId="77777777" w:rsidTr="00352990">
        <w:trPr>
          <w:trHeight w:val="296"/>
        </w:trPr>
        <w:tc>
          <w:tcPr>
            <w:tcW w:w="9322" w:type="dxa"/>
            <w:gridSpan w:val="5"/>
            <w:shd w:val="clear" w:color="auto" w:fill="DEEAF6" w:themeFill="accent1" w:themeFillTint="33"/>
            <w:noWrap/>
            <w:vAlign w:val="center"/>
          </w:tcPr>
          <w:p w14:paraId="24D83075" w14:textId="77777777" w:rsidR="00AF7B16" w:rsidRPr="00F13AFA" w:rsidRDefault="00AF7B16" w:rsidP="00352990">
            <w:pPr>
              <w:keepLines/>
              <w:rPr>
                <w:rFonts w:asciiTheme="minorHAnsi" w:eastAsiaTheme="majorEastAsia" w:hAnsiTheme="minorHAnsi" w:cstheme="minorHAnsi"/>
                <w:b/>
                <w:bCs/>
                <w:iCs/>
                <w:sz w:val="22"/>
              </w:rPr>
            </w:pPr>
            <w:r w:rsidRPr="00F13AFA">
              <w:rPr>
                <w:rFonts w:asciiTheme="minorHAnsi" w:hAnsiTheme="minorHAnsi" w:cstheme="minorHAnsi"/>
                <w:b/>
              </w:rPr>
              <w:t>Average Annual Regulatory Costs (from business as usual)</w:t>
            </w:r>
          </w:p>
        </w:tc>
      </w:tr>
      <w:tr w:rsidR="00AF7B16" w:rsidRPr="00117720" w14:paraId="16AC9182" w14:textId="77777777" w:rsidTr="00352990">
        <w:trPr>
          <w:trHeight w:val="296"/>
        </w:trPr>
        <w:tc>
          <w:tcPr>
            <w:tcW w:w="1889" w:type="dxa"/>
            <w:shd w:val="clear" w:color="auto" w:fill="DEEAF6" w:themeFill="accent1" w:themeFillTint="33"/>
            <w:noWrap/>
          </w:tcPr>
          <w:p w14:paraId="4C1D6258" w14:textId="77777777" w:rsidR="00AF7B16" w:rsidRPr="000E1560" w:rsidRDefault="00AF7B16" w:rsidP="00352990">
            <w:pPr>
              <w:pStyle w:val="ListParagraph"/>
              <w:spacing w:after="120"/>
              <w:ind w:left="0"/>
              <w:contextualSpacing w:val="0"/>
              <w:rPr>
                <w:rFonts w:asciiTheme="minorHAnsi" w:hAnsiTheme="minorHAnsi" w:cstheme="minorHAnsi"/>
                <w:b/>
                <w:bCs/>
                <w:sz w:val="22"/>
              </w:rPr>
            </w:pPr>
            <w:r w:rsidRPr="000E1560">
              <w:rPr>
                <w:rFonts w:asciiTheme="minorHAnsi" w:hAnsiTheme="minorHAnsi" w:cstheme="minorHAnsi"/>
                <w:b/>
                <w:bCs/>
                <w:sz w:val="22"/>
              </w:rPr>
              <w:t>Change in Costs ($m)</w:t>
            </w:r>
          </w:p>
        </w:tc>
        <w:tc>
          <w:tcPr>
            <w:tcW w:w="1684" w:type="dxa"/>
            <w:shd w:val="clear" w:color="auto" w:fill="DEEAF6" w:themeFill="accent1" w:themeFillTint="33"/>
            <w:noWrap/>
          </w:tcPr>
          <w:p w14:paraId="1E52B438" w14:textId="77777777" w:rsidR="00AF7B16" w:rsidRPr="000E1560" w:rsidRDefault="00AF7B16" w:rsidP="00352990">
            <w:pPr>
              <w:keepLines/>
              <w:rPr>
                <w:rFonts w:asciiTheme="minorHAnsi" w:hAnsiTheme="minorHAnsi" w:cstheme="minorHAnsi"/>
                <w:b/>
                <w:sz w:val="22"/>
              </w:rPr>
            </w:pPr>
            <w:r w:rsidRPr="000E1560">
              <w:rPr>
                <w:rFonts w:asciiTheme="minorHAnsi" w:hAnsiTheme="minorHAnsi" w:cstheme="minorHAnsi"/>
                <w:b/>
                <w:sz w:val="22"/>
              </w:rPr>
              <w:t>Business</w:t>
            </w:r>
          </w:p>
        </w:tc>
        <w:tc>
          <w:tcPr>
            <w:tcW w:w="2222" w:type="dxa"/>
            <w:shd w:val="clear" w:color="auto" w:fill="DEEAF6" w:themeFill="accent1" w:themeFillTint="33"/>
            <w:noWrap/>
          </w:tcPr>
          <w:p w14:paraId="65D8918C" w14:textId="77777777" w:rsidR="00AF7B16" w:rsidRPr="000E1560" w:rsidRDefault="00AF7B16" w:rsidP="00352990">
            <w:pPr>
              <w:keepLines/>
              <w:rPr>
                <w:rFonts w:asciiTheme="minorHAnsi" w:hAnsiTheme="minorHAnsi" w:cstheme="minorHAnsi"/>
                <w:b/>
                <w:sz w:val="22"/>
              </w:rPr>
            </w:pPr>
            <w:r w:rsidRPr="000E1560">
              <w:rPr>
                <w:rFonts w:asciiTheme="minorHAnsi" w:eastAsiaTheme="majorEastAsia" w:hAnsiTheme="minorHAnsi" w:cstheme="minorHAnsi"/>
                <w:b/>
                <w:bCs/>
                <w:iCs/>
                <w:sz w:val="22"/>
              </w:rPr>
              <w:t>Community Organisations</w:t>
            </w:r>
          </w:p>
        </w:tc>
        <w:tc>
          <w:tcPr>
            <w:tcW w:w="1993" w:type="dxa"/>
            <w:shd w:val="clear" w:color="auto" w:fill="DEEAF6" w:themeFill="accent1" w:themeFillTint="33"/>
            <w:noWrap/>
          </w:tcPr>
          <w:p w14:paraId="40549375" w14:textId="77777777" w:rsidR="00AF7B16" w:rsidRPr="000E1560" w:rsidRDefault="00AF7B16" w:rsidP="00352990">
            <w:pPr>
              <w:keepLines/>
              <w:rPr>
                <w:rFonts w:asciiTheme="minorHAnsi" w:hAnsiTheme="minorHAnsi" w:cstheme="minorHAnsi"/>
                <w:b/>
                <w:sz w:val="22"/>
              </w:rPr>
            </w:pPr>
            <w:r w:rsidRPr="000E1560">
              <w:rPr>
                <w:rFonts w:asciiTheme="minorHAnsi" w:hAnsiTheme="minorHAnsi" w:cstheme="minorHAnsi"/>
                <w:b/>
                <w:sz w:val="22"/>
              </w:rPr>
              <w:t>Individuals</w:t>
            </w:r>
          </w:p>
        </w:tc>
        <w:tc>
          <w:tcPr>
            <w:tcW w:w="1534" w:type="dxa"/>
            <w:shd w:val="clear" w:color="auto" w:fill="DEEAF6" w:themeFill="accent1" w:themeFillTint="33"/>
            <w:noWrap/>
          </w:tcPr>
          <w:p w14:paraId="07A9C30D" w14:textId="77777777" w:rsidR="00AF7B16" w:rsidRPr="000E1560" w:rsidRDefault="00AF7B16" w:rsidP="00352990">
            <w:pPr>
              <w:keepLines/>
              <w:rPr>
                <w:rFonts w:asciiTheme="minorHAnsi" w:hAnsiTheme="minorHAnsi" w:cstheme="minorHAnsi"/>
                <w:b/>
                <w:sz w:val="22"/>
              </w:rPr>
            </w:pPr>
            <w:r w:rsidRPr="000E1560">
              <w:rPr>
                <w:rFonts w:asciiTheme="minorHAnsi" w:eastAsiaTheme="majorEastAsia" w:hAnsiTheme="minorHAnsi" w:cstheme="minorHAnsi"/>
                <w:b/>
                <w:bCs/>
                <w:iCs/>
                <w:sz w:val="22"/>
              </w:rPr>
              <w:t>Total change in cost</w:t>
            </w:r>
          </w:p>
        </w:tc>
      </w:tr>
      <w:tr w:rsidR="00AF7B16" w:rsidRPr="00117720" w14:paraId="02DB1C17" w14:textId="77777777" w:rsidTr="00352990">
        <w:trPr>
          <w:trHeight w:val="296"/>
        </w:trPr>
        <w:tc>
          <w:tcPr>
            <w:tcW w:w="1889" w:type="dxa"/>
            <w:noWrap/>
            <w:vAlign w:val="center"/>
          </w:tcPr>
          <w:p w14:paraId="7556DC26" w14:textId="77777777" w:rsidR="00AF7B16" w:rsidRPr="000E1560" w:rsidRDefault="00AF7B16" w:rsidP="00352990">
            <w:pPr>
              <w:pStyle w:val="ListParagraph"/>
              <w:spacing w:after="120"/>
              <w:ind w:left="0"/>
              <w:contextualSpacing w:val="0"/>
              <w:rPr>
                <w:rFonts w:asciiTheme="minorHAnsi" w:hAnsiTheme="minorHAnsi" w:cstheme="minorHAnsi"/>
                <w:b/>
                <w:bCs/>
                <w:sz w:val="22"/>
              </w:rPr>
            </w:pPr>
            <w:r w:rsidRPr="000E1560">
              <w:rPr>
                <w:rFonts w:asciiTheme="minorHAnsi" w:hAnsiTheme="minorHAnsi" w:cstheme="minorHAnsi"/>
                <w:b/>
                <w:bCs/>
                <w:sz w:val="22"/>
              </w:rPr>
              <w:t>Total by Sector</w:t>
            </w:r>
          </w:p>
        </w:tc>
        <w:tc>
          <w:tcPr>
            <w:tcW w:w="1684" w:type="dxa"/>
            <w:noWrap/>
            <w:vAlign w:val="center"/>
          </w:tcPr>
          <w:p w14:paraId="2048994A" w14:textId="77777777" w:rsidR="00AF7B16" w:rsidRPr="000E1560" w:rsidRDefault="00AF7B16" w:rsidP="00352990">
            <w:pPr>
              <w:keepLines/>
              <w:rPr>
                <w:rFonts w:asciiTheme="minorHAnsi" w:eastAsiaTheme="majorEastAsia" w:hAnsiTheme="minorHAnsi" w:cstheme="minorHAnsi"/>
                <w:bCs/>
                <w:iCs/>
                <w:sz w:val="22"/>
              </w:rPr>
            </w:pPr>
            <w:r w:rsidRPr="000E1560">
              <w:rPr>
                <w:rFonts w:asciiTheme="minorHAnsi" w:hAnsiTheme="minorHAnsi" w:cstheme="minorHAnsi"/>
                <w:sz w:val="22"/>
              </w:rPr>
              <w:t>$0.008</w:t>
            </w:r>
          </w:p>
        </w:tc>
        <w:tc>
          <w:tcPr>
            <w:tcW w:w="2222" w:type="dxa"/>
            <w:noWrap/>
            <w:vAlign w:val="center"/>
          </w:tcPr>
          <w:p w14:paraId="1C2D6C8C" w14:textId="77777777" w:rsidR="00AF7B16" w:rsidRPr="000E1560" w:rsidRDefault="00AF7B16" w:rsidP="00352990">
            <w:pPr>
              <w:keepLines/>
              <w:rPr>
                <w:rFonts w:asciiTheme="minorHAnsi" w:eastAsiaTheme="majorEastAsia" w:hAnsiTheme="minorHAnsi" w:cstheme="minorHAnsi"/>
                <w:bCs/>
                <w:iCs/>
                <w:sz w:val="22"/>
              </w:rPr>
            </w:pPr>
            <w:r w:rsidRPr="000E1560">
              <w:rPr>
                <w:rFonts w:asciiTheme="minorHAnsi" w:hAnsiTheme="minorHAnsi" w:cstheme="minorHAnsi"/>
                <w:sz w:val="22"/>
              </w:rPr>
              <w:t>$0.003</w:t>
            </w:r>
          </w:p>
        </w:tc>
        <w:tc>
          <w:tcPr>
            <w:tcW w:w="1993" w:type="dxa"/>
            <w:noWrap/>
            <w:vAlign w:val="center"/>
          </w:tcPr>
          <w:p w14:paraId="15AA0756" w14:textId="77777777" w:rsidR="00AF7B16" w:rsidRPr="000E1560" w:rsidRDefault="00AF7B16" w:rsidP="00352990">
            <w:pPr>
              <w:keepLines/>
              <w:rPr>
                <w:rFonts w:asciiTheme="minorHAnsi" w:eastAsiaTheme="majorEastAsia" w:hAnsiTheme="minorHAnsi" w:cstheme="minorHAnsi"/>
                <w:bCs/>
                <w:iCs/>
                <w:sz w:val="22"/>
              </w:rPr>
            </w:pPr>
            <w:r w:rsidRPr="000E1560">
              <w:rPr>
                <w:rFonts w:asciiTheme="minorHAnsi" w:hAnsiTheme="minorHAnsi" w:cstheme="minorHAnsi"/>
                <w:sz w:val="22"/>
              </w:rPr>
              <w:t>$0.558</w:t>
            </w:r>
          </w:p>
        </w:tc>
        <w:tc>
          <w:tcPr>
            <w:tcW w:w="1534" w:type="dxa"/>
            <w:noWrap/>
            <w:vAlign w:val="center"/>
          </w:tcPr>
          <w:p w14:paraId="36E824DE" w14:textId="77777777" w:rsidR="00AF7B16" w:rsidRPr="000E1560" w:rsidRDefault="00AF7B16" w:rsidP="00352990">
            <w:pPr>
              <w:keepLines/>
              <w:rPr>
                <w:rFonts w:asciiTheme="minorHAnsi" w:eastAsiaTheme="majorEastAsia" w:hAnsiTheme="minorHAnsi" w:cstheme="minorHAnsi"/>
                <w:bCs/>
                <w:iCs/>
                <w:sz w:val="22"/>
              </w:rPr>
            </w:pPr>
            <w:r w:rsidRPr="000E1560">
              <w:rPr>
                <w:rFonts w:asciiTheme="minorHAnsi" w:hAnsiTheme="minorHAnsi" w:cstheme="minorHAnsi"/>
                <w:sz w:val="22"/>
              </w:rPr>
              <w:t>$0.569</w:t>
            </w:r>
          </w:p>
        </w:tc>
      </w:tr>
    </w:tbl>
    <w:p w14:paraId="2AD13DC1" w14:textId="77777777" w:rsidR="00AF7B16" w:rsidRPr="000E1560" w:rsidRDefault="00AF7B16" w:rsidP="00AF7B16">
      <w:pPr>
        <w:pStyle w:val="Heading2"/>
        <w:spacing w:before="0" w:after="0"/>
        <w:rPr>
          <w:rFonts w:asciiTheme="minorHAnsi" w:hAnsiTheme="minorHAnsi" w:cstheme="minorHAnsi"/>
          <w:b w:val="0"/>
          <w:sz w:val="20"/>
          <w:szCs w:val="20"/>
        </w:rPr>
      </w:pPr>
    </w:p>
    <w:p w14:paraId="383ACCB7" w14:textId="77777777" w:rsidR="00AF7B16" w:rsidRPr="000E1560" w:rsidRDefault="00AF7B16" w:rsidP="00AF7B16">
      <w:pPr>
        <w:rPr>
          <w:rFonts w:asciiTheme="minorHAnsi" w:hAnsiTheme="minorHAnsi" w:cstheme="minorHAnsi"/>
          <w:i/>
          <w:color w:val="000000" w:themeColor="text1"/>
          <w:sz w:val="20"/>
          <w:szCs w:val="20"/>
        </w:rPr>
      </w:pPr>
      <w:r w:rsidRPr="000E1560">
        <w:rPr>
          <w:rFonts w:asciiTheme="minorHAnsi" w:hAnsiTheme="minorHAnsi" w:cstheme="minorHAnsi"/>
          <w:i/>
          <w:color w:val="000000" w:themeColor="text1"/>
          <w:sz w:val="20"/>
          <w:szCs w:val="20"/>
        </w:rPr>
        <w:t>Please also consider the offsets for the regulatory costs associated with the proposal. If no offset has been identified, has the Deputy Secretary or delegate warranted that the net regulatory target will be met by the end of the relevant reporting period?</w:t>
      </w:r>
    </w:p>
    <w:p w14:paraId="42CC4A6B" w14:textId="77777777" w:rsidR="00AF7B16" w:rsidRPr="000E1560" w:rsidRDefault="00AF7B16" w:rsidP="00AF7B16">
      <w:pPr>
        <w:rPr>
          <w:rFonts w:asciiTheme="minorHAnsi" w:hAnsiTheme="minorHAnsi" w:cstheme="minorHAnsi"/>
        </w:rPr>
      </w:pPr>
    </w:p>
    <w:p w14:paraId="324FBEB8" w14:textId="77777777" w:rsidR="00AF7B16" w:rsidRPr="000E1560" w:rsidRDefault="00AF7B16" w:rsidP="00AF7B16">
      <w:pPr>
        <w:rPr>
          <w:rFonts w:asciiTheme="minorHAnsi" w:hAnsiTheme="minorHAnsi" w:cstheme="minorHAnsi"/>
        </w:rPr>
      </w:pPr>
    </w:p>
    <w:p w14:paraId="38545623" w14:textId="77777777" w:rsidR="00AF7B16" w:rsidRPr="000E1560" w:rsidRDefault="00AF7B16" w:rsidP="00AF7B16">
      <w:pPr>
        <w:keepLines/>
        <w:spacing w:before="200" w:after="60"/>
        <w:rPr>
          <w:rFonts w:asciiTheme="minorHAnsi" w:hAnsiTheme="minorHAnsi" w:cstheme="minorHAnsi"/>
          <w:b/>
          <w:sz w:val="22"/>
          <w:szCs w:val="22"/>
        </w:rPr>
      </w:pPr>
      <w:r w:rsidRPr="000E1560">
        <w:rPr>
          <w:rFonts w:asciiTheme="minorHAnsi" w:hAnsiTheme="minorHAnsi" w:cstheme="minorHAnsi"/>
          <w:b/>
          <w:sz w:val="22"/>
          <w:szCs w:val="22"/>
        </w:rPr>
        <w:t xml:space="preserve">Are all new costs offset? </w:t>
      </w:r>
    </w:p>
    <w:p w14:paraId="16794686" w14:textId="77777777" w:rsidR="00AF7B16" w:rsidRPr="000E1560" w:rsidRDefault="00AF7B16" w:rsidP="00AF7B16">
      <w:pPr>
        <w:pStyle w:val="ListParagraph"/>
        <w:tabs>
          <w:tab w:val="left" w:pos="2835"/>
          <w:tab w:val="left" w:pos="5954"/>
        </w:tabs>
        <w:spacing w:after="60"/>
        <w:ind w:left="0"/>
        <w:contextualSpacing w:val="0"/>
        <w:rPr>
          <w:rFonts w:asciiTheme="minorHAnsi" w:hAnsiTheme="minorHAnsi" w:cstheme="minorHAnsi"/>
          <w:sz w:val="22"/>
          <w:szCs w:val="22"/>
        </w:rPr>
      </w:pPr>
      <w:r w:rsidRPr="000E1560">
        <w:rPr>
          <w:rFonts w:asciiTheme="minorHAnsi" w:hAnsiTheme="minorHAnsi" w:cstheme="minorHAnsi"/>
          <w:sz w:val="22"/>
          <w:szCs w:val="22"/>
        </w:rPr>
        <w:sym w:font="Wingdings" w:char="F071"/>
      </w:r>
      <w:r w:rsidRPr="000E1560">
        <w:rPr>
          <w:rFonts w:asciiTheme="minorHAnsi" w:hAnsiTheme="minorHAnsi" w:cstheme="minorHAnsi"/>
          <w:sz w:val="22"/>
          <w:szCs w:val="22"/>
        </w:rPr>
        <w:t xml:space="preserve"> Yes, costs are offset, </w:t>
      </w:r>
      <w:r w:rsidRPr="000E1560">
        <w:rPr>
          <w:rFonts w:asciiTheme="minorHAnsi" w:hAnsiTheme="minorHAnsi" w:cstheme="minorHAnsi"/>
          <w:b/>
          <w:i/>
          <w:sz w:val="22"/>
          <w:szCs w:val="22"/>
        </w:rPr>
        <w:t>please provide information below</w:t>
      </w:r>
    </w:p>
    <w:p w14:paraId="459332EF" w14:textId="77777777" w:rsidR="00AF7B16" w:rsidRPr="000E1560" w:rsidRDefault="00AF7B16" w:rsidP="00AF7B16">
      <w:pPr>
        <w:pStyle w:val="ListParagraph"/>
        <w:tabs>
          <w:tab w:val="left" w:pos="2835"/>
          <w:tab w:val="left" w:pos="5954"/>
        </w:tabs>
        <w:spacing w:after="60"/>
        <w:ind w:left="0"/>
        <w:contextualSpacing w:val="0"/>
        <w:rPr>
          <w:rFonts w:asciiTheme="minorHAnsi" w:hAnsiTheme="minorHAnsi" w:cstheme="minorHAnsi"/>
          <w:sz w:val="22"/>
          <w:szCs w:val="22"/>
        </w:rPr>
      </w:pPr>
      <w:r w:rsidRPr="000E1560">
        <w:rPr>
          <w:rFonts w:asciiTheme="minorHAnsi" w:hAnsiTheme="minorHAnsi" w:cstheme="minorHAnsi"/>
          <w:sz w:val="22"/>
          <w:szCs w:val="22"/>
        </w:rPr>
        <w:sym w:font="Wingdings" w:char="F071"/>
      </w:r>
      <w:r w:rsidRPr="000E1560">
        <w:rPr>
          <w:rFonts w:asciiTheme="minorHAnsi" w:hAnsiTheme="minorHAnsi" w:cstheme="minorHAnsi"/>
          <w:sz w:val="22"/>
          <w:szCs w:val="22"/>
        </w:rPr>
        <w:t xml:space="preserve"> Deregulatory, no offsets required</w:t>
      </w:r>
    </w:p>
    <w:p w14:paraId="3B15D3C4" w14:textId="77777777" w:rsidR="00AF7B16" w:rsidRPr="000E1560" w:rsidRDefault="00AF7B16" w:rsidP="00AF7B16">
      <w:pPr>
        <w:pStyle w:val="ListParagraph"/>
        <w:tabs>
          <w:tab w:val="left" w:pos="2694"/>
          <w:tab w:val="left" w:pos="3544"/>
        </w:tabs>
        <w:spacing w:after="120"/>
        <w:ind w:left="0"/>
        <w:contextualSpacing w:val="0"/>
        <w:rPr>
          <w:rFonts w:asciiTheme="minorHAnsi" w:hAnsiTheme="minorHAnsi" w:cstheme="minorHAnsi"/>
          <w:b/>
          <w:sz w:val="22"/>
          <w:szCs w:val="22"/>
        </w:rPr>
      </w:pPr>
      <w:r w:rsidRPr="000E1560">
        <w:rPr>
          <w:rFonts w:asciiTheme="minorHAnsi" w:hAnsiTheme="minorHAnsi" w:cstheme="minorHAnsi"/>
          <w:b/>
          <w:sz w:val="22"/>
          <w:szCs w:val="22"/>
        </w:rPr>
        <w:t xml:space="preserve">Total (Change in costs - cost offset) ($ million): </w:t>
      </w:r>
      <w:r w:rsidRPr="000E1560">
        <w:rPr>
          <w:rFonts w:asciiTheme="minorHAnsi" w:hAnsiTheme="minorHAnsi" w:cstheme="minorHAnsi"/>
          <w:sz w:val="22"/>
          <w:szCs w:val="22"/>
        </w:rPr>
        <w:t>$</w:t>
      </w:r>
    </w:p>
    <w:p w14:paraId="4F69D0FB" w14:textId="77777777" w:rsidR="00AF7B16" w:rsidRPr="000E1560" w:rsidRDefault="00AF7B16" w:rsidP="00AF7B16">
      <w:pPr>
        <w:rPr>
          <w:rFonts w:asciiTheme="minorHAnsi" w:hAnsiTheme="minorHAnsi" w:cstheme="minorHAnsi"/>
          <w:b/>
          <w:sz w:val="22"/>
          <w:szCs w:val="22"/>
        </w:rPr>
      </w:pPr>
    </w:p>
    <w:p w14:paraId="298311AA" w14:textId="77777777" w:rsidR="00AF7B16" w:rsidRPr="000E1560" w:rsidRDefault="00AF7B16" w:rsidP="00AF7B16">
      <w:pPr>
        <w:rPr>
          <w:rFonts w:asciiTheme="minorHAnsi" w:hAnsiTheme="minorHAnsi" w:cstheme="minorHAnsi"/>
        </w:rPr>
      </w:pPr>
      <w:r w:rsidRPr="000E1560">
        <w:rPr>
          <w:rFonts w:asciiTheme="minorHAnsi" w:hAnsiTheme="minorHAnsi" w:cstheme="minorHAnsi"/>
          <w:b/>
        </w:rPr>
        <w:t xml:space="preserve">What are the offsets for increases in regulatory costs associated with this proposal? </w:t>
      </w:r>
    </w:p>
    <w:p w14:paraId="2449707D" w14:textId="77777777" w:rsidR="00AF7B16" w:rsidRPr="000E1560" w:rsidRDefault="00AF7B16" w:rsidP="00AF7B16">
      <w:pPr>
        <w:rPr>
          <w:rFonts w:asciiTheme="minorHAnsi" w:hAnsiTheme="minorHAnsi" w:cstheme="minorHAnsi"/>
          <w:i/>
          <w:iCs/>
        </w:rPr>
      </w:pPr>
    </w:p>
    <w:p w14:paraId="306D3B0F" w14:textId="77777777" w:rsidR="00AF7B16" w:rsidRPr="000E1560" w:rsidRDefault="00AF7B16" w:rsidP="00AF7B16">
      <w:pPr>
        <w:rPr>
          <w:rFonts w:asciiTheme="minorHAnsi" w:hAnsiTheme="minorHAnsi" w:cstheme="minorHAnsi"/>
          <w:iCs/>
        </w:rPr>
      </w:pPr>
      <w:r w:rsidRPr="000E1560">
        <w:rPr>
          <w:rFonts w:asciiTheme="minorHAnsi" w:hAnsiTheme="minorHAnsi" w:cstheme="minorHAnsi"/>
          <w:iCs/>
        </w:rPr>
        <w:t>A regulatory offset has not been identified. However, Health is seeking to pursue net reductions in compliance costs and will work with affected stakeholders and across Government to identify regulatory burden reductions where appropriate.</w:t>
      </w:r>
    </w:p>
    <w:p w14:paraId="697F8B82" w14:textId="77777777" w:rsidR="00AF7B16" w:rsidRPr="000E1560" w:rsidRDefault="00AF7B16" w:rsidP="00AF7B16">
      <w:pPr>
        <w:rPr>
          <w:rFonts w:asciiTheme="minorHAnsi" w:hAnsiTheme="minorHAnsi" w:cstheme="minorHAnsi"/>
        </w:rPr>
      </w:pPr>
      <w:r w:rsidRPr="000E1560">
        <w:rPr>
          <w:rFonts w:asciiTheme="minorHAnsi" w:hAnsiTheme="minorHAnsi" w:cstheme="minorHAnsi"/>
        </w:rPr>
        <w:br w:type="page"/>
      </w:r>
    </w:p>
    <w:p w14:paraId="5D17EAFE" w14:textId="77777777" w:rsidR="00AF7B16" w:rsidRPr="000E1560" w:rsidRDefault="00AF7B16" w:rsidP="00AF7B16">
      <w:pPr>
        <w:jc w:val="right"/>
        <w:rPr>
          <w:rFonts w:asciiTheme="minorHAnsi" w:hAnsiTheme="minorHAnsi" w:cstheme="minorHAnsi"/>
          <w:b/>
        </w:rPr>
      </w:pPr>
      <w:r w:rsidRPr="000E1560">
        <w:rPr>
          <w:rFonts w:asciiTheme="minorHAnsi" w:hAnsiTheme="minorHAnsi" w:cstheme="minorHAnsi"/>
          <w:b/>
        </w:rPr>
        <w:lastRenderedPageBreak/>
        <w:t xml:space="preserve">Attachment A </w:t>
      </w:r>
    </w:p>
    <w:p w14:paraId="799EFA45" w14:textId="77777777" w:rsidR="00AF7B16" w:rsidRPr="000E1560" w:rsidRDefault="00AF7B16" w:rsidP="00AF7B16">
      <w:pPr>
        <w:rPr>
          <w:rFonts w:asciiTheme="minorHAnsi" w:hAnsiTheme="minorHAnsi" w:cstheme="minorHAnsi"/>
          <w:b/>
        </w:rPr>
      </w:pPr>
    </w:p>
    <w:p w14:paraId="62F42DC3" w14:textId="77777777" w:rsidR="00AF7B16" w:rsidRPr="000E1560" w:rsidRDefault="00AF7B16" w:rsidP="00AF7B16">
      <w:pPr>
        <w:rPr>
          <w:rFonts w:asciiTheme="minorHAnsi" w:hAnsiTheme="minorHAnsi" w:cstheme="minorHAnsi"/>
          <w:b/>
          <w:sz w:val="28"/>
          <w:szCs w:val="28"/>
        </w:rPr>
      </w:pPr>
      <w:r w:rsidRPr="000E1560">
        <w:rPr>
          <w:rFonts w:asciiTheme="minorHAnsi" w:hAnsiTheme="minorHAnsi" w:cstheme="minorHAnsi"/>
          <w:b/>
          <w:sz w:val="28"/>
          <w:szCs w:val="28"/>
        </w:rPr>
        <w:t xml:space="preserve">Commonwealth Health Workforce Strategy 2018-19 Budget </w:t>
      </w:r>
      <w:r>
        <w:rPr>
          <w:rFonts w:asciiTheme="minorHAnsi" w:hAnsiTheme="minorHAnsi" w:cstheme="minorHAnsi"/>
          <w:b/>
          <w:sz w:val="28"/>
          <w:szCs w:val="28"/>
        </w:rPr>
        <w:t>Initiative</w:t>
      </w:r>
      <w:r w:rsidRPr="000E1560">
        <w:rPr>
          <w:rFonts w:asciiTheme="minorHAnsi" w:hAnsiTheme="minorHAnsi" w:cstheme="minorHAnsi"/>
          <w:b/>
          <w:sz w:val="28"/>
          <w:szCs w:val="28"/>
        </w:rPr>
        <w:t>s and associated regulatory impact</w:t>
      </w:r>
    </w:p>
    <w:p w14:paraId="5E379318" w14:textId="7B695793" w:rsidR="00876A7C" w:rsidRDefault="00876A7C" w:rsidP="00AF7B16">
      <w:pPr>
        <w:rPr>
          <w:rFonts w:asciiTheme="minorHAnsi" w:hAnsiTheme="minorHAnsi" w:cstheme="minorHAnsi"/>
          <w:b/>
        </w:rPr>
      </w:pPr>
    </w:p>
    <w:p w14:paraId="45FF965C" w14:textId="77777777" w:rsidR="00AF7B16" w:rsidRPr="00EA4A69" w:rsidRDefault="00AF7B16" w:rsidP="00AF7B16">
      <w:pPr>
        <w:rPr>
          <w:rFonts w:asciiTheme="minorHAnsi" w:hAnsiTheme="minorHAnsi" w:cstheme="minorHAnsi"/>
          <w:b/>
          <w:i/>
        </w:rPr>
      </w:pPr>
      <w:r w:rsidRPr="000E1560">
        <w:rPr>
          <w:rFonts w:asciiTheme="minorHAnsi" w:hAnsiTheme="minorHAnsi" w:cstheme="minorHAnsi"/>
          <w:b/>
        </w:rPr>
        <w:t>Improving Access to Training in Rural Areas and the Private Sector through Junior</w:t>
      </w:r>
      <w:r w:rsidRPr="000E1560">
        <w:rPr>
          <w:rFonts w:asciiTheme="minorHAnsi" w:hAnsiTheme="minorHAnsi" w:cstheme="minorHAnsi"/>
          <w:i/>
        </w:rPr>
        <w:t xml:space="preserve"> </w:t>
      </w:r>
      <w:r w:rsidRPr="000E1560">
        <w:rPr>
          <w:rFonts w:asciiTheme="minorHAnsi" w:hAnsiTheme="minorHAnsi" w:cstheme="minorHAnsi"/>
          <w:b/>
        </w:rPr>
        <w:t>Doctor Training</w:t>
      </w:r>
      <w:r w:rsidRPr="000E1560">
        <w:rPr>
          <w:rFonts w:asciiTheme="minorHAnsi" w:hAnsiTheme="minorHAnsi" w:cstheme="minorHAnsi"/>
          <w:b/>
          <w:i/>
        </w:rPr>
        <w:t xml:space="preserve"> </w:t>
      </w:r>
    </w:p>
    <w:p w14:paraId="7A638D5E" w14:textId="5B7B2E7C" w:rsidR="00AF7B16" w:rsidRDefault="00AF7B16" w:rsidP="00AF7B16">
      <w:pPr>
        <w:rPr>
          <w:rFonts w:asciiTheme="minorHAnsi" w:hAnsiTheme="minorHAnsi" w:cstheme="minorHAnsi"/>
        </w:rPr>
      </w:pPr>
      <w:r>
        <w:rPr>
          <w:rFonts w:asciiTheme="minorHAnsi" w:hAnsiTheme="minorHAnsi" w:cstheme="minorHAnsi"/>
        </w:rPr>
        <w:t>Doctors that receive vocational training in rural and remote areas are more likely to continue providing services in those areas. In addition, there is currently a large concentration of junior doctors in public metropolitan hospitals who find it hard to access pathways for further training. Th</w:t>
      </w:r>
      <w:r w:rsidR="007A36E7">
        <w:rPr>
          <w:rFonts w:asciiTheme="minorHAnsi" w:hAnsiTheme="minorHAnsi" w:cstheme="minorHAnsi"/>
        </w:rPr>
        <w:t>e</w:t>
      </w:r>
      <w:r>
        <w:rPr>
          <w:rFonts w:asciiTheme="minorHAnsi" w:hAnsiTheme="minorHAnsi" w:cstheme="minorHAnsi"/>
        </w:rPr>
        <w:t xml:space="preserve"> Junior Doctor initiative aims to create more opportunities for these doctors to move out of metropolitan hospitals and work and train in rural primary care. </w:t>
      </w:r>
    </w:p>
    <w:p w14:paraId="58335BA3" w14:textId="77777777" w:rsidR="00AF7B16" w:rsidRDefault="00AF7B16" w:rsidP="00AF7B16">
      <w:pPr>
        <w:rPr>
          <w:rFonts w:asciiTheme="minorHAnsi" w:hAnsiTheme="minorHAnsi" w:cstheme="minorHAnsi"/>
        </w:rPr>
      </w:pPr>
    </w:p>
    <w:p w14:paraId="454F6C3C" w14:textId="77777777" w:rsidR="00AF7B16" w:rsidRDefault="00AF7B16" w:rsidP="00AF7B16">
      <w:pPr>
        <w:rPr>
          <w:rFonts w:asciiTheme="minorHAnsi" w:hAnsiTheme="minorHAnsi" w:cstheme="minorHAnsi"/>
        </w:rPr>
      </w:pPr>
      <w:r w:rsidRPr="00EA4A69">
        <w:rPr>
          <w:rFonts w:asciiTheme="minorHAnsi" w:hAnsiTheme="minorHAnsi" w:cstheme="minorHAnsi"/>
        </w:rPr>
        <w:t>Th</w:t>
      </w:r>
      <w:r>
        <w:rPr>
          <w:rFonts w:asciiTheme="minorHAnsi" w:hAnsiTheme="minorHAnsi" w:cstheme="minorHAnsi"/>
        </w:rPr>
        <w:t>e</w:t>
      </w:r>
      <w:r w:rsidRPr="00EA4A69">
        <w:rPr>
          <w:rFonts w:asciiTheme="minorHAnsi" w:hAnsiTheme="minorHAnsi" w:cstheme="minorHAnsi"/>
        </w:rPr>
        <w:t xml:space="preserve"> </w:t>
      </w:r>
      <w:r>
        <w:rPr>
          <w:rFonts w:asciiTheme="minorHAnsi" w:hAnsiTheme="minorHAnsi" w:cstheme="minorHAnsi"/>
        </w:rPr>
        <w:t>Junior Doctor initiative</w:t>
      </w:r>
      <w:r w:rsidRPr="00EA4A69">
        <w:rPr>
          <w:rFonts w:asciiTheme="minorHAnsi" w:hAnsiTheme="minorHAnsi" w:cstheme="minorHAnsi"/>
        </w:rPr>
        <w:t xml:space="preserve"> will consolidate </w:t>
      </w:r>
      <w:r>
        <w:rPr>
          <w:rFonts w:asciiTheme="minorHAnsi" w:hAnsiTheme="minorHAnsi" w:cstheme="minorHAnsi"/>
        </w:rPr>
        <w:t xml:space="preserve">and build upon </w:t>
      </w:r>
      <w:r w:rsidRPr="00EA4A69">
        <w:rPr>
          <w:rFonts w:asciiTheme="minorHAnsi" w:hAnsiTheme="minorHAnsi" w:cstheme="minorHAnsi"/>
        </w:rPr>
        <w:t xml:space="preserve">existing Commonwealth junior doctor programs into one that provides education and support for junior doctors (including non-VR doctors) to train and </w:t>
      </w:r>
      <w:r w:rsidRPr="00040603">
        <w:rPr>
          <w:rFonts w:asciiTheme="minorHAnsi" w:hAnsiTheme="minorHAnsi" w:cstheme="minorHAnsi"/>
        </w:rPr>
        <w:t>practise</w:t>
      </w:r>
      <w:r w:rsidRPr="00EA4A69">
        <w:rPr>
          <w:rFonts w:asciiTheme="minorHAnsi" w:hAnsiTheme="minorHAnsi" w:cstheme="minorHAnsi"/>
        </w:rPr>
        <w:t xml:space="preserve"> in private practice and rural and remote settings.</w:t>
      </w:r>
      <w:r>
        <w:rPr>
          <w:rFonts w:asciiTheme="minorHAnsi" w:hAnsiTheme="minorHAnsi" w:cstheme="minorHAnsi"/>
        </w:rPr>
        <w:t xml:space="preserve"> This new initiative will create two new streams to support training in rural primary care and in private hospitals:</w:t>
      </w:r>
    </w:p>
    <w:p w14:paraId="12F8027B" w14:textId="77777777" w:rsidR="00AF7B16" w:rsidRDefault="00AF7B16" w:rsidP="00AF7B16">
      <w:pPr>
        <w:rPr>
          <w:rFonts w:asciiTheme="minorHAnsi" w:hAnsiTheme="minorHAnsi" w:cstheme="minorHAnsi"/>
        </w:rPr>
      </w:pPr>
    </w:p>
    <w:p w14:paraId="4F83E380" w14:textId="77777777" w:rsidR="00AF7B16" w:rsidRPr="004B698C" w:rsidRDefault="00AF7B16" w:rsidP="00AA5EBF">
      <w:pPr>
        <w:pStyle w:val="ListParagraph"/>
        <w:numPr>
          <w:ilvl w:val="0"/>
          <w:numId w:val="17"/>
        </w:numPr>
        <w:rPr>
          <w:rFonts w:asciiTheme="minorHAnsi" w:hAnsiTheme="minorHAnsi" w:cstheme="minorHAnsi"/>
        </w:rPr>
      </w:pPr>
      <w:r w:rsidRPr="004B698C">
        <w:rPr>
          <w:rFonts w:asciiTheme="minorHAnsi" w:hAnsiTheme="minorHAnsi" w:cstheme="minorHAnsi"/>
          <w:b/>
        </w:rPr>
        <w:t>Rural Primary Care Stream</w:t>
      </w:r>
      <w:r w:rsidRPr="004B698C">
        <w:rPr>
          <w:rFonts w:asciiTheme="minorHAnsi" w:hAnsiTheme="minorHAnsi" w:cstheme="minorHAnsi"/>
        </w:rPr>
        <w:t xml:space="preserve"> – funding for educational support for junior doctors working and training in rural primary care settings</w:t>
      </w:r>
    </w:p>
    <w:p w14:paraId="11BB95E5" w14:textId="77777777" w:rsidR="00AF7B16" w:rsidRPr="004B698C" w:rsidRDefault="00AF7B16" w:rsidP="00AA5EBF">
      <w:pPr>
        <w:pStyle w:val="ListParagraph"/>
        <w:numPr>
          <w:ilvl w:val="0"/>
          <w:numId w:val="17"/>
        </w:numPr>
        <w:rPr>
          <w:rFonts w:asciiTheme="minorHAnsi" w:hAnsiTheme="minorHAnsi" w:cstheme="minorHAnsi"/>
        </w:rPr>
      </w:pPr>
      <w:r w:rsidRPr="004B698C">
        <w:rPr>
          <w:rFonts w:asciiTheme="minorHAnsi" w:hAnsiTheme="minorHAnsi" w:cstheme="minorHAnsi"/>
          <w:b/>
        </w:rPr>
        <w:t>Private Hosp</w:t>
      </w:r>
      <w:r>
        <w:rPr>
          <w:rFonts w:asciiTheme="minorHAnsi" w:hAnsiTheme="minorHAnsi" w:cstheme="minorHAnsi"/>
          <w:b/>
        </w:rPr>
        <w:t>i</w:t>
      </w:r>
      <w:r w:rsidRPr="004B698C">
        <w:rPr>
          <w:rFonts w:asciiTheme="minorHAnsi" w:hAnsiTheme="minorHAnsi" w:cstheme="minorHAnsi"/>
          <w:b/>
        </w:rPr>
        <w:t>tal Stream</w:t>
      </w:r>
      <w:r w:rsidRPr="004B698C">
        <w:rPr>
          <w:rFonts w:asciiTheme="minorHAnsi" w:hAnsiTheme="minorHAnsi" w:cstheme="minorHAnsi"/>
        </w:rPr>
        <w:t xml:space="preserve"> – salary support for junior doctors working in private hospitals.</w:t>
      </w:r>
      <w:r w:rsidRPr="004B698C">
        <w:rPr>
          <w:rFonts w:asciiTheme="minorHAnsi" w:hAnsiTheme="minorHAnsi" w:cstheme="minorHAnsi"/>
        </w:rPr>
        <w:br/>
      </w:r>
    </w:p>
    <w:p w14:paraId="64723759" w14:textId="77777777" w:rsidR="00AF7B16" w:rsidRDefault="00AF7B16" w:rsidP="00AF7B16">
      <w:pPr>
        <w:rPr>
          <w:rFonts w:asciiTheme="minorHAnsi" w:hAnsiTheme="minorHAnsi" w:cstheme="minorHAnsi"/>
        </w:rPr>
      </w:pPr>
      <w:r>
        <w:rPr>
          <w:rFonts w:asciiTheme="minorHAnsi" w:hAnsiTheme="minorHAnsi" w:cstheme="minorHAnsi"/>
        </w:rPr>
        <w:t>Programs that will be consolidated from January 2019 include the Commonwealth Medical Internships, the Junior Medical Officer Program, and the Rural Junior Doctor Training Innovation Fund.</w:t>
      </w:r>
    </w:p>
    <w:p w14:paraId="0CC24447" w14:textId="77777777" w:rsidR="00AF7B16" w:rsidRDefault="00AF7B16" w:rsidP="00AF7B16">
      <w:pPr>
        <w:rPr>
          <w:rFonts w:asciiTheme="minorHAnsi" w:hAnsiTheme="minorHAnsi" w:cstheme="minorHAnsi"/>
        </w:rPr>
      </w:pPr>
    </w:p>
    <w:p w14:paraId="13C1FD56" w14:textId="77777777" w:rsidR="00AF7B16" w:rsidRDefault="00AF7B16" w:rsidP="00AF7B16">
      <w:pPr>
        <w:rPr>
          <w:rFonts w:asciiTheme="minorHAnsi" w:hAnsiTheme="minorHAnsi" w:cstheme="minorHAnsi"/>
        </w:rPr>
      </w:pPr>
      <w:r>
        <w:rPr>
          <w:rFonts w:asciiTheme="minorHAnsi" w:hAnsiTheme="minorHAnsi" w:cstheme="minorHAnsi"/>
        </w:rPr>
        <w:t>An additional investment of $63.6 million over four years from 1 July 2018 will be provided for this initiative. This will bring the total investment to over $174 million from January 2019. The existing Rural Junior Doctor Training Innovation Fund will continue under the new initiative.</w:t>
      </w:r>
    </w:p>
    <w:p w14:paraId="14207FCC" w14:textId="77777777" w:rsidR="00AF7B16" w:rsidRDefault="00AF7B16" w:rsidP="00AF7B16">
      <w:pPr>
        <w:rPr>
          <w:rFonts w:asciiTheme="minorHAnsi" w:hAnsiTheme="minorHAnsi" w:cstheme="minorHAnsi"/>
        </w:rPr>
      </w:pPr>
    </w:p>
    <w:p w14:paraId="3DD36763" w14:textId="77777777" w:rsidR="00AF7B16" w:rsidRDefault="00AF7B16" w:rsidP="00AF7B16">
      <w:pPr>
        <w:rPr>
          <w:rFonts w:asciiTheme="minorHAnsi" w:hAnsiTheme="minorHAnsi" w:cstheme="minorHAnsi"/>
        </w:rPr>
      </w:pPr>
      <w:r>
        <w:rPr>
          <w:rFonts w:asciiTheme="minorHAnsi" w:hAnsiTheme="minorHAnsi" w:cstheme="minorHAnsi"/>
        </w:rPr>
        <w:t>The Rural Primary Care Stream will support up to 240 postgraduate Years 1 and 2 junior doctors to rotate into rural general practice by providing funds to support training and supervision. The Rural Primary Care Stream will also provide financial support for training and supervision to around 300 Postgraduate Years 3 to 5 junior doctors working in general practices. This funding will help junior doctors gain vocational registration through fellowship.</w:t>
      </w:r>
    </w:p>
    <w:p w14:paraId="7232163B" w14:textId="77777777" w:rsidR="00AF7B16" w:rsidRDefault="00AF7B16" w:rsidP="00AF7B16">
      <w:pPr>
        <w:rPr>
          <w:rFonts w:asciiTheme="minorHAnsi" w:hAnsiTheme="minorHAnsi" w:cstheme="minorHAnsi"/>
        </w:rPr>
      </w:pPr>
    </w:p>
    <w:p w14:paraId="2A8E7787" w14:textId="1E3B9143" w:rsidR="00A10DBC" w:rsidRDefault="0077121E" w:rsidP="00AF7B16">
      <w:pPr>
        <w:rPr>
          <w:rFonts w:asciiTheme="minorHAnsi" w:hAnsiTheme="minorHAnsi" w:cstheme="minorHAnsi"/>
        </w:rPr>
      </w:pPr>
      <w:r>
        <w:rPr>
          <w:rFonts w:asciiTheme="minorHAnsi" w:hAnsiTheme="minorHAnsi" w:cstheme="minorHAnsi"/>
        </w:rPr>
        <w:t>Around 40 per cent</w:t>
      </w:r>
      <w:r w:rsidR="00AF7B16">
        <w:rPr>
          <w:rFonts w:asciiTheme="minorHAnsi" w:hAnsiTheme="minorHAnsi" w:cstheme="minorHAnsi"/>
        </w:rPr>
        <w:t xml:space="preserve"> of </w:t>
      </w:r>
      <w:r w:rsidR="00AF7B16" w:rsidRPr="00E0002F">
        <w:rPr>
          <w:rFonts w:asciiTheme="minorHAnsi" w:hAnsiTheme="minorHAnsi" w:cstheme="minorHAnsi"/>
        </w:rPr>
        <w:t>hospitalisations</w:t>
      </w:r>
      <w:r w:rsidR="00AF7B16">
        <w:rPr>
          <w:rFonts w:asciiTheme="minorHAnsi" w:hAnsiTheme="minorHAnsi" w:cstheme="minorHAnsi"/>
        </w:rPr>
        <w:t xml:space="preserve"> in Australia are in private hospitals. The Private Hospital Stream aims to address a forecast shortage of around 1,000 advanced training places by 2030 by </w:t>
      </w:r>
      <w:r w:rsidR="00AF7B16" w:rsidRPr="00E0002F">
        <w:rPr>
          <w:rFonts w:asciiTheme="minorHAnsi" w:hAnsiTheme="minorHAnsi" w:cstheme="minorHAnsi"/>
        </w:rPr>
        <w:t>maximising</w:t>
      </w:r>
      <w:r w:rsidR="00AF7B16">
        <w:rPr>
          <w:rFonts w:asciiTheme="minorHAnsi" w:hAnsiTheme="minorHAnsi" w:cstheme="minorHAnsi"/>
        </w:rPr>
        <w:t xml:space="preserve"> the opportunity to increase training capacity in the private hospital sector. The Private Hospital Stream will ensure new doctors can access quality training in this part of the health system and will provide salary support to junior doctors working in private hospitals, including up to 100 internships in 2019 and up to 115 places in 2020. The Private Hospital Stream will also support Postgraduate Years 2 and 3 training placements that will be open to a broad range of medical graduates.</w:t>
      </w:r>
      <w:r w:rsidR="00C954F0">
        <w:rPr>
          <w:rFonts w:asciiTheme="minorHAnsi" w:hAnsiTheme="minorHAnsi" w:cstheme="minorHAnsi"/>
        </w:rPr>
        <w:t xml:space="preserve"> </w:t>
      </w:r>
    </w:p>
    <w:p w14:paraId="2CB67521" w14:textId="6278A458" w:rsidR="00AF7B16" w:rsidRPr="009C1034" w:rsidRDefault="00AF7B16" w:rsidP="00C954F0">
      <w:pPr>
        <w:keepNext/>
        <w:keepLines/>
        <w:rPr>
          <w:rFonts w:asciiTheme="minorHAnsi" w:hAnsiTheme="minorHAnsi" w:cstheme="minorHAnsi"/>
        </w:rPr>
      </w:pPr>
      <w:r w:rsidRPr="009C1034">
        <w:rPr>
          <w:rFonts w:asciiTheme="minorHAnsi" w:hAnsiTheme="minorHAnsi" w:cstheme="minorHAnsi"/>
        </w:rPr>
        <w:lastRenderedPageBreak/>
        <w:t xml:space="preserve">The </w:t>
      </w:r>
      <w:r w:rsidR="00D47BFD">
        <w:rPr>
          <w:rFonts w:asciiTheme="minorHAnsi" w:hAnsiTheme="minorHAnsi" w:cstheme="minorHAnsi"/>
        </w:rPr>
        <w:t xml:space="preserve">regulatory and other </w:t>
      </w:r>
      <w:r w:rsidRPr="009C1034">
        <w:rPr>
          <w:rFonts w:asciiTheme="minorHAnsi" w:hAnsiTheme="minorHAnsi" w:cstheme="minorHAnsi"/>
        </w:rPr>
        <w:t>impact</w:t>
      </w:r>
      <w:r>
        <w:rPr>
          <w:rFonts w:asciiTheme="minorHAnsi" w:hAnsiTheme="minorHAnsi" w:cstheme="minorHAnsi"/>
        </w:rPr>
        <w:t>s</w:t>
      </w:r>
      <w:r w:rsidRPr="009C1034">
        <w:rPr>
          <w:rFonts w:asciiTheme="minorHAnsi" w:hAnsiTheme="minorHAnsi" w:cstheme="minorHAnsi"/>
        </w:rPr>
        <w:t xml:space="preserve"> of this </w:t>
      </w:r>
      <w:r>
        <w:rPr>
          <w:rFonts w:asciiTheme="minorHAnsi" w:hAnsiTheme="minorHAnsi" w:cstheme="minorHAnsi"/>
        </w:rPr>
        <w:t>initiative</w:t>
      </w:r>
      <w:r w:rsidRPr="009C1034">
        <w:rPr>
          <w:rFonts w:asciiTheme="minorHAnsi" w:hAnsiTheme="minorHAnsi" w:cstheme="minorHAnsi"/>
        </w:rPr>
        <w:t xml:space="preserve"> include:</w:t>
      </w:r>
    </w:p>
    <w:p w14:paraId="6EB82B42" w14:textId="77777777" w:rsidR="00AF7B16" w:rsidRPr="009C1034" w:rsidRDefault="00AF7B16" w:rsidP="00C954F0">
      <w:pPr>
        <w:pStyle w:val="ListParagraph"/>
        <w:keepNext/>
        <w:keepLines/>
        <w:numPr>
          <w:ilvl w:val="0"/>
          <w:numId w:val="5"/>
        </w:numPr>
        <w:rPr>
          <w:rFonts w:asciiTheme="minorHAnsi" w:hAnsiTheme="minorHAnsi" w:cstheme="minorHAnsi"/>
        </w:rPr>
      </w:pPr>
      <w:r w:rsidRPr="009C1034">
        <w:rPr>
          <w:rFonts w:asciiTheme="minorHAnsi" w:hAnsiTheme="minorHAnsi" w:cstheme="minorHAnsi"/>
        </w:rPr>
        <w:t xml:space="preserve">Patients in rural, regional and remote areas are expected to benefit from increased delivery of health services and a more stable, locally trained workforce. </w:t>
      </w:r>
    </w:p>
    <w:p w14:paraId="2A606CA1" w14:textId="77777777" w:rsidR="00AF7B16" w:rsidRPr="009C1034" w:rsidRDefault="00AF7B16" w:rsidP="00C954F0">
      <w:pPr>
        <w:pStyle w:val="ListParagraph"/>
        <w:keepNext/>
        <w:keepLines/>
        <w:numPr>
          <w:ilvl w:val="0"/>
          <w:numId w:val="5"/>
        </w:numPr>
        <w:rPr>
          <w:rFonts w:asciiTheme="minorHAnsi" w:hAnsiTheme="minorHAnsi" w:cstheme="minorHAnsi"/>
        </w:rPr>
      </w:pPr>
      <w:r w:rsidRPr="009C1034">
        <w:rPr>
          <w:rFonts w:asciiTheme="minorHAnsi" w:hAnsiTheme="minorHAnsi" w:cstheme="minorHAnsi"/>
        </w:rPr>
        <w:t xml:space="preserve">Private sector hospital providers will benefit from continued Commonwealth investment in postgraduate training places. This will assist them to build their future medical workforce, as well as provide high quality health services to patients. </w:t>
      </w:r>
    </w:p>
    <w:p w14:paraId="50341476" w14:textId="3F654126" w:rsidR="00AF7B16" w:rsidRDefault="00AF7B16" w:rsidP="00AF7B16">
      <w:pPr>
        <w:pStyle w:val="ListParagraph"/>
        <w:numPr>
          <w:ilvl w:val="0"/>
          <w:numId w:val="5"/>
        </w:numPr>
        <w:rPr>
          <w:rFonts w:asciiTheme="minorHAnsi" w:hAnsiTheme="minorHAnsi" w:cstheme="minorHAnsi"/>
        </w:rPr>
      </w:pPr>
      <w:r w:rsidRPr="009C1034">
        <w:rPr>
          <w:rFonts w:asciiTheme="minorHAnsi" w:hAnsiTheme="minorHAnsi" w:cstheme="minorHAnsi"/>
        </w:rPr>
        <w:t>This proposal will benefit future doctors by expanding training opportunities in areas of community need. It will help to ensure Australia has the required training capacity for the next generation of doctors and will broaden the scope of training to new settings.</w:t>
      </w:r>
    </w:p>
    <w:p w14:paraId="7901C0A4" w14:textId="0EB533E0" w:rsidR="00AF7B16" w:rsidRPr="005C1F06" w:rsidRDefault="005C1F06" w:rsidP="005C1F06">
      <w:pPr>
        <w:pStyle w:val="ListParagraph"/>
        <w:numPr>
          <w:ilvl w:val="0"/>
          <w:numId w:val="5"/>
        </w:numPr>
        <w:rPr>
          <w:rFonts w:asciiTheme="minorHAnsi" w:hAnsiTheme="minorHAnsi" w:cstheme="minorHAnsi"/>
          <w:b/>
        </w:rPr>
      </w:pPr>
      <w:r w:rsidRPr="005C1F06">
        <w:rPr>
          <w:rFonts w:asciiTheme="minorHAnsi" w:hAnsiTheme="minorHAnsi" w:cstheme="minorHAnsi"/>
        </w:rPr>
        <w:t>There are no identified changes in regulatory impact for business or individuals arising from this initiative</w:t>
      </w:r>
    </w:p>
    <w:p w14:paraId="18E8D1CC" w14:textId="77777777" w:rsidR="005C1F06" w:rsidRDefault="005C1F06" w:rsidP="00AF7B16">
      <w:pPr>
        <w:rPr>
          <w:rFonts w:asciiTheme="minorHAnsi" w:hAnsiTheme="minorHAnsi" w:cstheme="minorHAnsi"/>
          <w:b/>
        </w:rPr>
      </w:pPr>
    </w:p>
    <w:p w14:paraId="5348423F" w14:textId="714C586A" w:rsidR="00AF7B16" w:rsidRPr="009C1034" w:rsidRDefault="00AF7B16" w:rsidP="00AF7B16">
      <w:pPr>
        <w:rPr>
          <w:rFonts w:asciiTheme="minorHAnsi" w:hAnsiTheme="minorHAnsi" w:cstheme="minorHAnsi"/>
        </w:rPr>
      </w:pPr>
      <w:r w:rsidRPr="009C1034">
        <w:rPr>
          <w:rFonts w:asciiTheme="minorHAnsi" w:hAnsiTheme="minorHAnsi" w:cstheme="minorHAnsi"/>
          <w:b/>
        </w:rPr>
        <w:t>Improved Access to Australian Trained General Practitioners and Quality</w:t>
      </w:r>
      <w:r w:rsidRPr="009C1034">
        <w:rPr>
          <w:rFonts w:asciiTheme="minorHAnsi" w:hAnsiTheme="minorHAnsi" w:cstheme="minorHAnsi"/>
          <w:i/>
        </w:rPr>
        <w:t xml:space="preserve"> </w:t>
      </w:r>
      <w:r w:rsidRPr="009C1034">
        <w:rPr>
          <w:rFonts w:asciiTheme="minorHAnsi" w:hAnsiTheme="minorHAnsi" w:cstheme="minorHAnsi"/>
          <w:b/>
        </w:rPr>
        <w:t xml:space="preserve">Care </w:t>
      </w:r>
    </w:p>
    <w:p w14:paraId="16224FAB" w14:textId="7F000181" w:rsidR="00AF7B16" w:rsidRPr="0043062A" w:rsidRDefault="00AF7B16" w:rsidP="00AF7B16">
      <w:pPr>
        <w:rPr>
          <w:rFonts w:asciiTheme="minorHAnsi" w:hAnsiTheme="minorHAnsi" w:cstheme="minorHAnsi"/>
        </w:rPr>
      </w:pPr>
      <w:r w:rsidRPr="009C1034">
        <w:rPr>
          <w:rFonts w:asciiTheme="minorHAnsi" w:hAnsiTheme="minorHAnsi" w:cstheme="minorHAnsi"/>
        </w:rPr>
        <w:t>Th</w:t>
      </w:r>
      <w:r>
        <w:rPr>
          <w:rFonts w:asciiTheme="minorHAnsi" w:hAnsiTheme="minorHAnsi" w:cstheme="minorHAnsi"/>
        </w:rPr>
        <w:t xml:space="preserve">e Improved </w:t>
      </w:r>
      <w:r w:rsidRPr="009C1034">
        <w:rPr>
          <w:rFonts w:asciiTheme="minorHAnsi" w:hAnsiTheme="minorHAnsi" w:cstheme="minorHAnsi"/>
        </w:rPr>
        <w:t>Access to Australian Trained General Practitioners and Quality Care</w:t>
      </w:r>
      <w:r>
        <w:rPr>
          <w:rFonts w:asciiTheme="minorHAnsi" w:hAnsiTheme="minorHAnsi" w:cstheme="minorHAnsi"/>
        </w:rPr>
        <w:t xml:space="preserve"> (Improved Access) initiative</w:t>
      </w:r>
      <w:r w:rsidRPr="009110BE">
        <w:rPr>
          <w:rFonts w:asciiTheme="minorHAnsi" w:hAnsiTheme="minorHAnsi" w:cstheme="minorHAnsi"/>
        </w:rPr>
        <w:t xml:space="preserve"> will </w:t>
      </w:r>
      <w:r>
        <w:rPr>
          <w:rFonts w:asciiTheme="minorHAnsi" w:hAnsiTheme="minorHAnsi" w:cstheme="minorHAnsi"/>
        </w:rPr>
        <w:t xml:space="preserve">streamline nine existing general practice training and qualification pathways to simplify and support non-VR doctors </w:t>
      </w:r>
      <w:r w:rsidR="007A36E7">
        <w:rPr>
          <w:rFonts w:asciiTheme="minorHAnsi" w:hAnsiTheme="minorHAnsi" w:cstheme="minorHAnsi"/>
        </w:rPr>
        <w:t xml:space="preserve">to </w:t>
      </w:r>
      <w:r>
        <w:rPr>
          <w:rFonts w:asciiTheme="minorHAnsi" w:hAnsiTheme="minorHAnsi" w:cstheme="minorHAnsi"/>
        </w:rPr>
        <w:t xml:space="preserve">attain specialist GP Fellowship. The Improved Access initiative will support existing non-VR doctors to qualify as a VR GP through a targeted Fellowship Support Program. The initiative will </w:t>
      </w:r>
      <w:r w:rsidRPr="009110BE">
        <w:rPr>
          <w:rFonts w:asciiTheme="minorHAnsi" w:hAnsiTheme="minorHAnsi" w:cstheme="minorHAnsi"/>
        </w:rPr>
        <w:t xml:space="preserve">redesign the MBS GP rebate structure to pay lower rebates to non-VR doctors in recognition of the quality generated through </w:t>
      </w:r>
      <w:r>
        <w:rPr>
          <w:rFonts w:asciiTheme="minorHAnsi" w:hAnsiTheme="minorHAnsi" w:cstheme="minorHAnsi"/>
        </w:rPr>
        <w:t>GP specialist training.</w:t>
      </w:r>
      <w:r w:rsidRPr="0043062A">
        <w:rPr>
          <w:rFonts w:asciiTheme="minorHAnsi" w:hAnsiTheme="minorHAnsi" w:cstheme="minorHAnsi"/>
        </w:rPr>
        <w:t xml:space="preserve"> </w:t>
      </w:r>
      <w:r w:rsidRPr="0043062A">
        <w:rPr>
          <w:rFonts w:asciiTheme="minorHAnsi" w:hAnsiTheme="minorHAnsi" w:cstheme="minorHAnsi"/>
        </w:rPr>
        <w:br/>
      </w:r>
    </w:p>
    <w:p w14:paraId="3D57125C" w14:textId="77777777" w:rsidR="00AF7B16" w:rsidRPr="00717CFC" w:rsidRDefault="00AF7B16" w:rsidP="00AF7B16">
      <w:pPr>
        <w:rPr>
          <w:rFonts w:asciiTheme="minorHAnsi" w:hAnsiTheme="minorHAnsi" w:cstheme="minorHAnsi"/>
        </w:rPr>
      </w:pPr>
      <w:r w:rsidRPr="00717CFC">
        <w:rPr>
          <w:rFonts w:asciiTheme="minorHAnsi" w:hAnsiTheme="minorHAnsi" w:cstheme="minorHAnsi"/>
        </w:rPr>
        <w:t>The regulatory and other impacts of this initiative include:</w:t>
      </w:r>
    </w:p>
    <w:p w14:paraId="506838F3" w14:textId="77777777" w:rsidR="00AF7B16" w:rsidRPr="00717CFC" w:rsidRDefault="00AF7B16" w:rsidP="00AF7B16">
      <w:pPr>
        <w:pStyle w:val="ListParagraph"/>
        <w:numPr>
          <w:ilvl w:val="0"/>
          <w:numId w:val="6"/>
        </w:numPr>
        <w:rPr>
          <w:rFonts w:asciiTheme="minorHAnsi" w:hAnsiTheme="minorHAnsi" w:cstheme="minorHAnsi"/>
        </w:rPr>
      </w:pPr>
      <w:r w:rsidRPr="00717CFC">
        <w:rPr>
          <w:rFonts w:asciiTheme="minorHAnsi" w:hAnsiTheme="minorHAnsi" w:cstheme="minorHAnsi"/>
        </w:rPr>
        <w:t>Legislative change to:</w:t>
      </w:r>
    </w:p>
    <w:p w14:paraId="495DA0D6" w14:textId="77777777" w:rsidR="00AF7B16" w:rsidRPr="00717CFC" w:rsidRDefault="00AF7B16" w:rsidP="00AF7B16">
      <w:pPr>
        <w:pStyle w:val="ListParagraph"/>
        <w:numPr>
          <w:ilvl w:val="1"/>
          <w:numId w:val="6"/>
        </w:numPr>
        <w:rPr>
          <w:rFonts w:asciiTheme="minorHAnsi" w:hAnsiTheme="minorHAnsi" w:cstheme="minorHAnsi"/>
        </w:rPr>
      </w:pPr>
      <w:r w:rsidRPr="00717CFC">
        <w:rPr>
          <w:rFonts w:asciiTheme="minorHAnsi" w:hAnsiTheme="minorHAnsi" w:cstheme="minorHAnsi"/>
        </w:rPr>
        <w:t>tier GP MBS rebates;</w:t>
      </w:r>
    </w:p>
    <w:p w14:paraId="27F0146D" w14:textId="77777777" w:rsidR="00AF7B16" w:rsidRPr="00717CFC" w:rsidRDefault="00AF7B16" w:rsidP="00AF7B16">
      <w:pPr>
        <w:pStyle w:val="ListParagraph"/>
        <w:numPr>
          <w:ilvl w:val="1"/>
          <w:numId w:val="6"/>
        </w:numPr>
        <w:rPr>
          <w:rFonts w:asciiTheme="minorHAnsi" w:hAnsiTheme="minorHAnsi" w:cstheme="minorHAnsi"/>
        </w:rPr>
      </w:pPr>
      <w:r w:rsidRPr="00717CFC">
        <w:rPr>
          <w:rFonts w:asciiTheme="minorHAnsi" w:hAnsiTheme="minorHAnsi" w:cstheme="minorHAnsi"/>
        </w:rPr>
        <w:t>discontinue OMPs programs;</w:t>
      </w:r>
    </w:p>
    <w:p w14:paraId="404C558A" w14:textId="77777777" w:rsidR="00AF7B16" w:rsidRDefault="00AF7B16" w:rsidP="00AF7B16">
      <w:pPr>
        <w:pStyle w:val="ListParagraph"/>
        <w:numPr>
          <w:ilvl w:val="1"/>
          <w:numId w:val="6"/>
        </w:numPr>
        <w:rPr>
          <w:rFonts w:asciiTheme="minorHAnsi" w:hAnsiTheme="minorHAnsi" w:cstheme="minorHAnsi"/>
        </w:rPr>
      </w:pPr>
      <w:r w:rsidRPr="00717CFC">
        <w:rPr>
          <w:rFonts w:asciiTheme="minorHAnsi" w:hAnsiTheme="minorHAnsi" w:cstheme="minorHAnsi"/>
        </w:rPr>
        <w:t xml:space="preserve">ensure bulk-billing incentives intended for rural and remote areas are based on up-to-date </w:t>
      </w:r>
      <w:r>
        <w:rPr>
          <w:rFonts w:asciiTheme="minorHAnsi" w:hAnsiTheme="minorHAnsi" w:cstheme="minorHAnsi"/>
        </w:rPr>
        <w:t>geographic eligibility criteria under the MMM remoteness classification, and are not accessible in metropolitan areas; and,</w:t>
      </w:r>
    </w:p>
    <w:p w14:paraId="4B7A74F6" w14:textId="77777777" w:rsidR="00AF7B16" w:rsidRDefault="00AF7B16" w:rsidP="00AF7B16">
      <w:pPr>
        <w:pStyle w:val="ListParagraph"/>
        <w:numPr>
          <w:ilvl w:val="1"/>
          <w:numId w:val="6"/>
        </w:numPr>
        <w:rPr>
          <w:rFonts w:asciiTheme="minorHAnsi" w:hAnsiTheme="minorHAnsi" w:cstheme="minorHAnsi"/>
        </w:rPr>
      </w:pPr>
      <w:r w:rsidRPr="0043062A">
        <w:rPr>
          <w:rFonts w:asciiTheme="minorHAnsi" w:hAnsiTheme="minorHAnsi" w:cstheme="minorHAnsi"/>
        </w:rPr>
        <w:t>simplify bonding program administration arrangements</w:t>
      </w:r>
      <w:r>
        <w:rPr>
          <w:rFonts w:asciiTheme="minorHAnsi" w:hAnsiTheme="minorHAnsi" w:cstheme="minorHAnsi"/>
        </w:rPr>
        <w:t>.</w:t>
      </w:r>
    </w:p>
    <w:p w14:paraId="33E5D570" w14:textId="6D60C689" w:rsidR="00AF7B16" w:rsidRPr="0043062A" w:rsidRDefault="00AF7B16" w:rsidP="00AF7B16">
      <w:pPr>
        <w:pStyle w:val="ListParagraph"/>
        <w:numPr>
          <w:ilvl w:val="0"/>
          <w:numId w:val="6"/>
        </w:numPr>
        <w:rPr>
          <w:rFonts w:asciiTheme="minorHAnsi" w:hAnsiTheme="minorHAnsi" w:cstheme="minorHAnsi"/>
        </w:rPr>
      </w:pPr>
      <w:r w:rsidRPr="0043062A">
        <w:rPr>
          <w:rFonts w:asciiTheme="minorHAnsi" w:hAnsiTheme="minorHAnsi" w:cstheme="minorHAnsi"/>
        </w:rPr>
        <w:t xml:space="preserve">support </w:t>
      </w:r>
      <w:r w:rsidR="007A36E7">
        <w:rPr>
          <w:rFonts w:asciiTheme="minorHAnsi" w:hAnsiTheme="minorHAnsi" w:cstheme="minorHAnsi"/>
        </w:rPr>
        <w:t xml:space="preserve">for </w:t>
      </w:r>
      <w:r w:rsidRPr="0043062A">
        <w:rPr>
          <w:rFonts w:asciiTheme="minorHAnsi" w:hAnsiTheme="minorHAnsi" w:cstheme="minorHAnsi"/>
        </w:rPr>
        <w:t xml:space="preserve">GP Colleges (RACGP and ACRRM) to assume responsibility </w:t>
      </w:r>
      <w:r>
        <w:rPr>
          <w:rFonts w:asciiTheme="minorHAnsi" w:hAnsiTheme="minorHAnsi" w:cstheme="minorHAnsi"/>
        </w:rPr>
        <w:t>f</w:t>
      </w:r>
      <w:r w:rsidRPr="0043062A">
        <w:rPr>
          <w:rFonts w:asciiTheme="minorHAnsi" w:hAnsiTheme="minorHAnsi" w:cstheme="minorHAnsi"/>
        </w:rPr>
        <w:t>o</w:t>
      </w:r>
      <w:r>
        <w:rPr>
          <w:rFonts w:asciiTheme="minorHAnsi" w:hAnsiTheme="minorHAnsi" w:cstheme="minorHAnsi"/>
        </w:rPr>
        <w:t>r</w:t>
      </w:r>
      <w:r w:rsidRPr="0043062A">
        <w:rPr>
          <w:rFonts w:asciiTheme="minorHAnsi" w:hAnsiTheme="minorHAnsi" w:cstheme="minorHAnsi"/>
        </w:rPr>
        <w:t xml:space="preserve"> GP specialist training pathways;</w:t>
      </w:r>
      <w:r>
        <w:rPr>
          <w:rFonts w:asciiTheme="minorHAnsi" w:hAnsiTheme="minorHAnsi" w:cstheme="minorHAnsi"/>
        </w:rPr>
        <w:t xml:space="preserve"> g</w:t>
      </w:r>
      <w:r w:rsidRPr="0043062A">
        <w:rPr>
          <w:rFonts w:asciiTheme="minorHAnsi" w:hAnsiTheme="minorHAnsi" w:cstheme="minorHAnsi"/>
        </w:rPr>
        <w:t xml:space="preserve">eneral practices and non-VR doctors will no longer be eligible to make applications for OMP programs.  This will remove an extra administrative step in the provider number process.  </w:t>
      </w:r>
    </w:p>
    <w:p w14:paraId="0895F4EE" w14:textId="366A2ADB" w:rsidR="00D47BFD" w:rsidRPr="0043062A" w:rsidRDefault="00D47BFD" w:rsidP="00D47BFD">
      <w:pPr>
        <w:pStyle w:val="ListParagraph"/>
        <w:numPr>
          <w:ilvl w:val="0"/>
          <w:numId w:val="6"/>
        </w:numPr>
        <w:rPr>
          <w:rFonts w:asciiTheme="minorHAnsi" w:hAnsiTheme="minorHAnsi" w:cstheme="minorHAnsi"/>
        </w:rPr>
      </w:pPr>
      <w:r w:rsidRPr="0043062A">
        <w:rPr>
          <w:rFonts w:asciiTheme="minorHAnsi" w:hAnsiTheme="minorHAnsi" w:cstheme="minorHAnsi"/>
        </w:rPr>
        <w:t xml:space="preserve">Individual (non-VR) doctors will be impacted by the reduction in the amount of money they receive through Medicare for individual consultations.  Medical practices may choose to charge a co-payment from the patient to meet this gap. Over time, the financial incentives are expected to encourage more </w:t>
      </w:r>
      <w:r w:rsidR="007A36E7">
        <w:rPr>
          <w:rFonts w:asciiTheme="minorHAnsi" w:hAnsiTheme="minorHAnsi" w:cstheme="minorHAnsi"/>
        </w:rPr>
        <w:t xml:space="preserve">non-VR </w:t>
      </w:r>
      <w:r w:rsidRPr="0043062A">
        <w:rPr>
          <w:rFonts w:asciiTheme="minorHAnsi" w:hAnsiTheme="minorHAnsi" w:cstheme="minorHAnsi"/>
        </w:rPr>
        <w:t xml:space="preserve">medical practitioners to seek specialist status, resulting in more high quality GPs being available in regional, rural and remote areas.  </w:t>
      </w:r>
    </w:p>
    <w:p w14:paraId="08830091" w14:textId="77777777" w:rsidR="00C954F0" w:rsidRDefault="00AF7B16" w:rsidP="00C954F0">
      <w:pPr>
        <w:pStyle w:val="ListParagraph"/>
        <w:numPr>
          <w:ilvl w:val="0"/>
          <w:numId w:val="6"/>
        </w:numPr>
        <w:rPr>
          <w:rFonts w:asciiTheme="minorHAnsi" w:hAnsiTheme="minorHAnsi" w:cstheme="minorHAnsi"/>
          <w:b/>
        </w:rPr>
      </w:pPr>
      <w:r w:rsidRPr="0043062A">
        <w:rPr>
          <w:rFonts w:asciiTheme="minorHAnsi" w:hAnsiTheme="minorHAnsi" w:cstheme="minorHAnsi"/>
        </w:rPr>
        <w:t>Practices and non-VR doctors will need to take some time to understand the changes to claimable items</w:t>
      </w:r>
      <w:r w:rsidR="00D47BFD">
        <w:rPr>
          <w:rFonts w:asciiTheme="minorHAnsi" w:hAnsiTheme="minorHAnsi" w:cstheme="minorHAnsi"/>
        </w:rPr>
        <w:t xml:space="preserve">. </w:t>
      </w:r>
      <w:r w:rsidR="00A969CD">
        <w:rPr>
          <w:rFonts w:asciiTheme="minorHAnsi" w:hAnsiTheme="minorHAnsi" w:cstheme="minorHAnsi"/>
        </w:rPr>
        <w:t>H</w:t>
      </w:r>
      <w:r w:rsidR="00A969CD" w:rsidRPr="0043062A">
        <w:rPr>
          <w:rFonts w:asciiTheme="minorHAnsi" w:hAnsiTheme="minorHAnsi" w:cstheme="minorHAnsi"/>
        </w:rPr>
        <w:t>owever</w:t>
      </w:r>
      <w:r w:rsidR="00A969CD">
        <w:rPr>
          <w:rFonts w:asciiTheme="minorHAnsi" w:hAnsiTheme="minorHAnsi" w:cstheme="minorHAnsi"/>
        </w:rPr>
        <w:t>,</w:t>
      </w:r>
      <w:r w:rsidR="00A969CD" w:rsidRPr="0043062A">
        <w:rPr>
          <w:rFonts w:asciiTheme="minorHAnsi" w:hAnsiTheme="minorHAnsi" w:cstheme="minorHAnsi"/>
        </w:rPr>
        <w:t xml:space="preserve"> this is not considered to be out of the ordinary and </w:t>
      </w:r>
      <w:r w:rsidR="00A969CD">
        <w:rPr>
          <w:rFonts w:asciiTheme="minorHAnsi" w:hAnsiTheme="minorHAnsi" w:cstheme="minorHAnsi"/>
        </w:rPr>
        <w:t>accordingly, no net change in the regulatory impact on business is anticipated</w:t>
      </w:r>
      <w:r w:rsidR="00A969CD" w:rsidRPr="0043062A">
        <w:rPr>
          <w:rFonts w:asciiTheme="minorHAnsi" w:hAnsiTheme="minorHAnsi" w:cstheme="minorHAnsi"/>
        </w:rPr>
        <w:t>.</w:t>
      </w:r>
      <w:r w:rsidR="00C954F0" w:rsidRPr="0043062A">
        <w:rPr>
          <w:rFonts w:asciiTheme="minorHAnsi" w:hAnsiTheme="minorHAnsi" w:cstheme="minorHAnsi"/>
          <w:b/>
        </w:rPr>
        <w:t xml:space="preserve"> </w:t>
      </w:r>
    </w:p>
    <w:p w14:paraId="7708F3C1" w14:textId="77777777" w:rsidR="00C954F0" w:rsidRDefault="00C954F0">
      <w:pPr>
        <w:spacing w:after="160" w:line="259" w:lineRule="auto"/>
        <w:rPr>
          <w:rFonts w:asciiTheme="minorHAnsi" w:hAnsiTheme="minorHAnsi" w:cstheme="minorHAnsi"/>
          <w:b/>
        </w:rPr>
      </w:pPr>
      <w:r>
        <w:rPr>
          <w:rFonts w:asciiTheme="minorHAnsi" w:hAnsiTheme="minorHAnsi" w:cstheme="minorHAnsi"/>
          <w:b/>
        </w:rPr>
        <w:br w:type="page"/>
      </w:r>
    </w:p>
    <w:p w14:paraId="6266B146" w14:textId="24B9629D" w:rsidR="00AF7B16" w:rsidRPr="00C954F0" w:rsidRDefault="00AF7B16" w:rsidP="00C954F0">
      <w:pPr>
        <w:rPr>
          <w:rFonts w:asciiTheme="minorHAnsi" w:hAnsiTheme="minorHAnsi" w:cstheme="minorHAnsi"/>
        </w:rPr>
      </w:pPr>
      <w:r w:rsidRPr="00C954F0">
        <w:rPr>
          <w:rFonts w:asciiTheme="minorHAnsi" w:hAnsiTheme="minorHAnsi" w:cstheme="minorHAnsi"/>
          <w:b/>
        </w:rPr>
        <w:lastRenderedPageBreak/>
        <w:t>Streamlining and Controlling General Practice Training to Produce Australian trained GPs for Where They are Needed</w:t>
      </w:r>
      <w:r w:rsidRPr="00C954F0">
        <w:rPr>
          <w:rFonts w:asciiTheme="minorHAnsi" w:hAnsiTheme="minorHAnsi" w:cstheme="minorHAnsi"/>
        </w:rPr>
        <w:t xml:space="preserve"> </w:t>
      </w:r>
    </w:p>
    <w:p w14:paraId="0E3C608C" w14:textId="7F186FBE" w:rsidR="00AF7B16" w:rsidRDefault="00AF7B16" w:rsidP="00AF7B16">
      <w:pPr>
        <w:rPr>
          <w:rFonts w:asciiTheme="minorHAnsi" w:hAnsiTheme="minorHAnsi" w:cstheme="minorHAnsi"/>
        </w:rPr>
      </w:pPr>
      <w:r>
        <w:rPr>
          <w:rFonts w:asciiTheme="minorHAnsi" w:hAnsiTheme="minorHAnsi" w:cstheme="minorHAnsi"/>
        </w:rPr>
        <w:t xml:space="preserve">There are currently around 4,900 non-VR doctors in Australia and </w:t>
      </w:r>
      <w:r w:rsidR="00274A1C">
        <w:rPr>
          <w:rFonts w:asciiTheme="minorHAnsi" w:hAnsiTheme="minorHAnsi" w:cstheme="minorHAnsi"/>
        </w:rPr>
        <w:t>approximately</w:t>
      </w:r>
      <w:r w:rsidR="00D44538">
        <w:rPr>
          <w:rFonts w:asciiTheme="minorHAnsi" w:hAnsiTheme="minorHAnsi" w:cstheme="minorHAnsi"/>
        </w:rPr>
        <w:t xml:space="preserve"> 39</w:t>
      </w:r>
      <w:r w:rsidR="0077121E">
        <w:rPr>
          <w:rFonts w:asciiTheme="minorHAnsi" w:hAnsiTheme="minorHAnsi" w:cstheme="minorHAnsi"/>
        </w:rPr>
        <w:t xml:space="preserve"> per cent</w:t>
      </w:r>
      <w:r>
        <w:rPr>
          <w:rFonts w:asciiTheme="minorHAnsi" w:hAnsiTheme="minorHAnsi" w:cstheme="minorHAnsi"/>
        </w:rPr>
        <w:t xml:space="preserve"> of these currently work in rural and regional areas. </w:t>
      </w:r>
      <w:r w:rsidRPr="0043062A">
        <w:rPr>
          <w:rFonts w:asciiTheme="minorHAnsi" w:hAnsiTheme="minorHAnsi" w:cstheme="minorHAnsi"/>
        </w:rPr>
        <w:t>Th</w:t>
      </w:r>
      <w:r>
        <w:rPr>
          <w:rFonts w:asciiTheme="minorHAnsi" w:hAnsiTheme="minorHAnsi" w:cstheme="minorHAnsi"/>
        </w:rPr>
        <w:t xml:space="preserve">e </w:t>
      </w:r>
      <w:r w:rsidRPr="0052028F">
        <w:rPr>
          <w:rFonts w:asciiTheme="minorHAnsi" w:hAnsiTheme="minorHAnsi" w:cstheme="minorHAnsi"/>
        </w:rPr>
        <w:t xml:space="preserve">Streamlining and Controlling General Practice Training to Produce Australian trained GPs for Where They are </w:t>
      </w:r>
      <w:r w:rsidRPr="00717CFC">
        <w:rPr>
          <w:rFonts w:asciiTheme="minorHAnsi" w:hAnsiTheme="minorHAnsi" w:cstheme="minorHAnsi"/>
        </w:rPr>
        <w:t xml:space="preserve">Needed (Streamlining GP Training) initiative will support non-VR doctors to gain </w:t>
      </w:r>
      <w:r w:rsidR="00E3723A">
        <w:rPr>
          <w:rFonts w:asciiTheme="minorHAnsi" w:hAnsiTheme="minorHAnsi" w:cstheme="minorHAnsi"/>
        </w:rPr>
        <w:t xml:space="preserve">VR through </w:t>
      </w:r>
      <w:r w:rsidRPr="00717CFC">
        <w:rPr>
          <w:rFonts w:asciiTheme="minorHAnsi" w:hAnsiTheme="minorHAnsi" w:cstheme="minorHAnsi"/>
        </w:rPr>
        <w:t xml:space="preserve">GP fellowship and ensure the rural and remote communities that these doctors service have access to specialist GPs trained to the same standard as elsewhere in Australia. To achieve this, the Streamlining GP Training initiative will simplify existing GP training pathways and provide support through a targeted Fellowship Support Program. The initiative will also enable the Commonwealth to better regulate the number of entrants to the GP workforce via a cap on fellowship training places, starting from 2019. The cap will be regularly reviewed, determined by </w:t>
      </w:r>
      <w:r>
        <w:rPr>
          <w:rFonts w:asciiTheme="minorHAnsi" w:hAnsiTheme="minorHAnsi" w:cstheme="minorHAnsi"/>
        </w:rPr>
        <w:t xml:space="preserve">Health, and endorsed by the National Medical Training Advisory Network. </w:t>
      </w:r>
    </w:p>
    <w:p w14:paraId="3D50A437" w14:textId="77777777" w:rsidR="00AF7B16" w:rsidRDefault="00AF7B16" w:rsidP="00AF7B16">
      <w:pPr>
        <w:rPr>
          <w:rFonts w:asciiTheme="minorHAnsi" w:hAnsiTheme="minorHAnsi" w:cstheme="minorHAnsi"/>
        </w:rPr>
      </w:pPr>
    </w:p>
    <w:p w14:paraId="59B8A526" w14:textId="4CE8C478" w:rsidR="00AF7B16" w:rsidRDefault="00AF7B16" w:rsidP="00AF7B16">
      <w:pPr>
        <w:rPr>
          <w:rFonts w:asciiTheme="minorHAnsi" w:hAnsiTheme="minorHAnsi" w:cstheme="minorHAnsi"/>
        </w:rPr>
      </w:pPr>
      <w:r>
        <w:rPr>
          <w:rFonts w:asciiTheme="minorHAnsi" w:hAnsiTheme="minorHAnsi" w:cstheme="minorHAnsi"/>
        </w:rPr>
        <w:t xml:space="preserve">The Streamlining GP Training initiative will </w:t>
      </w:r>
      <w:r w:rsidRPr="00040603">
        <w:rPr>
          <w:rFonts w:asciiTheme="minorHAnsi" w:hAnsiTheme="minorHAnsi" w:cstheme="minorHAnsi"/>
        </w:rPr>
        <w:t>rationalise</w:t>
      </w:r>
      <w:r>
        <w:rPr>
          <w:rFonts w:asciiTheme="minorHAnsi" w:hAnsiTheme="minorHAnsi" w:cstheme="minorHAnsi"/>
        </w:rPr>
        <w:t xml:space="preserve"> nine current pathways into two fellowship pathways that will be delivered through the RACGP and the ACRRM. Medical practitioners enrolled in the program will be able</w:t>
      </w:r>
      <w:r w:rsidR="0077121E">
        <w:rPr>
          <w:rFonts w:asciiTheme="minorHAnsi" w:hAnsiTheme="minorHAnsi" w:cstheme="minorHAnsi"/>
        </w:rPr>
        <w:t xml:space="preserve"> to access the higher tier (100 per cent</w:t>
      </w:r>
      <w:r>
        <w:rPr>
          <w:rFonts w:asciiTheme="minorHAnsi" w:hAnsiTheme="minorHAnsi" w:cstheme="minorHAnsi"/>
        </w:rPr>
        <w:t>) MBS items during training. Medical practitioners are not obligated to attain GP fellowship of either the RACGP or the ACRRM; however, those that have not attained fellowship by 1 July 2</w:t>
      </w:r>
      <w:r w:rsidR="0077121E">
        <w:rPr>
          <w:rFonts w:asciiTheme="minorHAnsi" w:hAnsiTheme="minorHAnsi" w:cstheme="minorHAnsi"/>
        </w:rPr>
        <w:t>023 will only have access to 80 per cent</w:t>
      </w:r>
      <w:r>
        <w:rPr>
          <w:rFonts w:asciiTheme="minorHAnsi" w:hAnsiTheme="minorHAnsi" w:cstheme="minorHAnsi"/>
        </w:rPr>
        <w:t xml:space="preserve"> of the </w:t>
      </w:r>
      <w:r w:rsidR="00A969CD">
        <w:rPr>
          <w:rFonts w:asciiTheme="minorHAnsi" w:hAnsiTheme="minorHAnsi" w:cstheme="minorHAnsi"/>
        </w:rPr>
        <w:t xml:space="preserve">full rate for </w:t>
      </w:r>
      <w:r>
        <w:rPr>
          <w:rFonts w:asciiTheme="minorHAnsi" w:hAnsiTheme="minorHAnsi" w:cstheme="minorHAnsi"/>
        </w:rPr>
        <w:t>MBS GP items, i.e. will not have access to the higher MBS tier.</w:t>
      </w:r>
    </w:p>
    <w:p w14:paraId="1BA49479" w14:textId="77777777" w:rsidR="00AF7B16" w:rsidRDefault="00AF7B16" w:rsidP="00AF7B16">
      <w:pPr>
        <w:rPr>
          <w:rFonts w:asciiTheme="minorHAnsi" w:hAnsiTheme="minorHAnsi" w:cstheme="minorHAnsi"/>
        </w:rPr>
      </w:pPr>
    </w:p>
    <w:p w14:paraId="13E0AE7E" w14:textId="5720BF89" w:rsidR="00AF7B16" w:rsidRPr="00717CFC" w:rsidRDefault="00AF7B16" w:rsidP="00AF7B16">
      <w:pPr>
        <w:rPr>
          <w:rFonts w:asciiTheme="minorHAnsi" w:hAnsiTheme="minorHAnsi" w:cstheme="minorHAnsi"/>
        </w:rPr>
      </w:pPr>
      <w:r>
        <w:rPr>
          <w:rFonts w:asciiTheme="minorHAnsi" w:hAnsiTheme="minorHAnsi" w:cstheme="minorHAnsi"/>
        </w:rPr>
        <w:t xml:space="preserve">An additional investment of $82.6 million over four years from 2018 will support the Fellowship Support Program. The streamlined pathways will come into effect on 1 January 2019 and be delivered between 2019 and </w:t>
      </w:r>
      <w:r w:rsidR="001A3AB2">
        <w:rPr>
          <w:rFonts w:asciiTheme="minorHAnsi" w:hAnsiTheme="minorHAnsi" w:cstheme="minorHAnsi"/>
        </w:rPr>
        <w:t>2023. Transition from the AGPT P</w:t>
      </w:r>
      <w:r w:rsidRPr="00717CFC">
        <w:rPr>
          <w:rFonts w:asciiTheme="minorHAnsi" w:hAnsiTheme="minorHAnsi" w:cstheme="minorHAnsi"/>
        </w:rPr>
        <w:t xml:space="preserve">rogram to the GP college pathways will be staged between 2019 and 2021. The RACGP and ACRRM will hold full responsibility </w:t>
      </w:r>
      <w:r w:rsidR="00956496">
        <w:rPr>
          <w:rFonts w:asciiTheme="minorHAnsi" w:hAnsiTheme="minorHAnsi" w:cstheme="minorHAnsi"/>
        </w:rPr>
        <w:t xml:space="preserve">for Fellowship training pathways </w:t>
      </w:r>
      <w:r w:rsidR="001A3AB2">
        <w:rPr>
          <w:rFonts w:asciiTheme="minorHAnsi" w:hAnsiTheme="minorHAnsi" w:cstheme="minorHAnsi"/>
        </w:rPr>
        <w:t>by 2022. Trainees on the AGPT P</w:t>
      </w:r>
      <w:r w:rsidRPr="00717CFC">
        <w:rPr>
          <w:rFonts w:asciiTheme="minorHAnsi" w:hAnsiTheme="minorHAnsi" w:cstheme="minorHAnsi"/>
        </w:rPr>
        <w:t>rogram, the Remote Vocational Training Scheme, and the ACRRM Independent Pathway will be able to continue to train without any material impact. The 3GA programs that currently allow n</w:t>
      </w:r>
      <w:r w:rsidR="00956496">
        <w:rPr>
          <w:rFonts w:asciiTheme="minorHAnsi" w:hAnsiTheme="minorHAnsi" w:cstheme="minorHAnsi"/>
        </w:rPr>
        <w:t>on-VR doctors pursuing F</w:t>
      </w:r>
      <w:r w:rsidRPr="00717CFC">
        <w:rPr>
          <w:rFonts w:asciiTheme="minorHAnsi" w:hAnsiTheme="minorHAnsi" w:cstheme="minorHAnsi"/>
        </w:rPr>
        <w:t>ellowship to access MBS GP items under these programs will cease by 30 June 2023.</w:t>
      </w:r>
    </w:p>
    <w:p w14:paraId="2D92C4A8" w14:textId="77777777" w:rsidR="00AF7B16" w:rsidRPr="00717CFC" w:rsidRDefault="00AF7B16" w:rsidP="00AF7B16">
      <w:pPr>
        <w:rPr>
          <w:rFonts w:asciiTheme="minorHAnsi" w:hAnsiTheme="minorHAnsi" w:cstheme="minorHAnsi"/>
        </w:rPr>
      </w:pPr>
    </w:p>
    <w:p w14:paraId="728F334D" w14:textId="3BECEC50" w:rsidR="00AF7B16" w:rsidRPr="00717CFC" w:rsidRDefault="00AF7B16" w:rsidP="00AF7B16">
      <w:pPr>
        <w:rPr>
          <w:rFonts w:asciiTheme="minorHAnsi" w:hAnsiTheme="minorHAnsi" w:cstheme="minorHAnsi"/>
        </w:rPr>
      </w:pPr>
      <w:r w:rsidRPr="00717CFC">
        <w:rPr>
          <w:rFonts w:asciiTheme="minorHAnsi" w:hAnsiTheme="minorHAnsi" w:cstheme="minorHAnsi"/>
        </w:rPr>
        <w:t>The Commonwealth wi</w:t>
      </w:r>
      <w:r w:rsidR="001A3AB2">
        <w:rPr>
          <w:rFonts w:asciiTheme="minorHAnsi" w:hAnsiTheme="minorHAnsi" w:cstheme="minorHAnsi"/>
        </w:rPr>
        <w:t>ll continue to fund 1,500 AGPT P</w:t>
      </w:r>
      <w:r w:rsidRPr="00717CFC">
        <w:rPr>
          <w:rFonts w:asciiTheme="minorHAnsi" w:hAnsiTheme="minorHAnsi" w:cstheme="minorHAnsi"/>
        </w:rPr>
        <w:t xml:space="preserve">rogram training places per year across the two college pathways, and will fund an additional 100 Rural Generalist places from 2021. Targets for the distribution of training places across regional, rural and remote areas will ensure a continued focus on GP workforce distribution in these areas. </w:t>
      </w:r>
    </w:p>
    <w:p w14:paraId="7AAFFBBE" w14:textId="77777777" w:rsidR="00AF7B16" w:rsidRPr="00717CFC" w:rsidRDefault="00AF7B16" w:rsidP="00AF7B16">
      <w:pPr>
        <w:rPr>
          <w:rFonts w:asciiTheme="minorHAnsi" w:hAnsiTheme="minorHAnsi" w:cstheme="minorHAnsi"/>
        </w:rPr>
      </w:pPr>
    </w:p>
    <w:p w14:paraId="4C59A215" w14:textId="67EB5E57" w:rsidR="00AF7B16" w:rsidRDefault="00AF7B16" w:rsidP="00AF7B16">
      <w:pPr>
        <w:rPr>
          <w:rFonts w:asciiTheme="minorHAnsi" w:hAnsiTheme="minorHAnsi" w:cstheme="minorHAnsi"/>
        </w:rPr>
      </w:pPr>
      <w:r w:rsidRPr="00717CFC">
        <w:rPr>
          <w:rFonts w:asciiTheme="minorHAnsi" w:hAnsiTheme="minorHAnsi" w:cstheme="minorHAnsi"/>
        </w:rPr>
        <w:t xml:space="preserve">The regulatory and other impacts of </w:t>
      </w:r>
      <w:r w:rsidRPr="0043062A">
        <w:rPr>
          <w:rFonts w:asciiTheme="minorHAnsi" w:hAnsiTheme="minorHAnsi" w:cstheme="minorHAnsi"/>
        </w:rPr>
        <w:t xml:space="preserve">this </w:t>
      </w:r>
      <w:r>
        <w:rPr>
          <w:rFonts w:asciiTheme="minorHAnsi" w:hAnsiTheme="minorHAnsi" w:cstheme="minorHAnsi"/>
        </w:rPr>
        <w:t>initiative</w:t>
      </w:r>
      <w:r w:rsidRPr="0043062A">
        <w:rPr>
          <w:rFonts w:asciiTheme="minorHAnsi" w:hAnsiTheme="minorHAnsi" w:cstheme="minorHAnsi"/>
        </w:rPr>
        <w:t xml:space="preserve"> include:</w:t>
      </w:r>
    </w:p>
    <w:p w14:paraId="25ABD56C" w14:textId="637204C4" w:rsidR="00AF7B16" w:rsidRPr="0043062A" w:rsidRDefault="00AF7B16" w:rsidP="00AF7B16">
      <w:pPr>
        <w:pStyle w:val="ListParagraph"/>
        <w:numPr>
          <w:ilvl w:val="0"/>
          <w:numId w:val="7"/>
        </w:numPr>
        <w:rPr>
          <w:rFonts w:asciiTheme="minorHAnsi" w:hAnsiTheme="minorHAnsi" w:cstheme="minorHAnsi"/>
        </w:rPr>
      </w:pPr>
      <w:r w:rsidRPr="0043062A">
        <w:rPr>
          <w:rFonts w:asciiTheme="minorHAnsi" w:hAnsiTheme="minorHAnsi" w:cstheme="minorHAnsi"/>
        </w:rPr>
        <w:t xml:space="preserve">GP Colleges will be required to take on significant additional responsibility for the delivery of GP training, bringing them in line with other profession-regulated medical specialty training programs. Contracts in place with Regional Training Organisations and Remote Vocational Training Scheme Ltd, who currently deliver the Commonwealth-funded training pathways, </w:t>
      </w:r>
      <w:r w:rsidR="00956496">
        <w:rPr>
          <w:rFonts w:asciiTheme="minorHAnsi" w:hAnsiTheme="minorHAnsi" w:cstheme="minorHAnsi"/>
        </w:rPr>
        <w:t>will</w:t>
      </w:r>
      <w:r w:rsidRPr="0043062A">
        <w:rPr>
          <w:rFonts w:asciiTheme="minorHAnsi" w:hAnsiTheme="minorHAnsi" w:cstheme="minorHAnsi"/>
        </w:rPr>
        <w:t xml:space="preserve"> be novated to the Colleges over time.</w:t>
      </w:r>
    </w:p>
    <w:p w14:paraId="4C276940" w14:textId="1C10DCB7" w:rsidR="00AF7B16" w:rsidRDefault="00AF7B16" w:rsidP="00AF7B16">
      <w:pPr>
        <w:pStyle w:val="ListParagraph"/>
        <w:numPr>
          <w:ilvl w:val="0"/>
          <w:numId w:val="7"/>
        </w:numPr>
        <w:rPr>
          <w:rFonts w:asciiTheme="minorHAnsi" w:hAnsiTheme="minorHAnsi" w:cstheme="minorHAnsi"/>
        </w:rPr>
      </w:pPr>
      <w:r w:rsidRPr="0043062A">
        <w:rPr>
          <w:rFonts w:asciiTheme="minorHAnsi" w:hAnsiTheme="minorHAnsi" w:cstheme="minorHAnsi"/>
        </w:rPr>
        <w:t xml:space="preserve">All medical practitioners seeking to attain College Fellowship and Specialist GP status (and therefore </w:t>
      </w:r>
      <w:r w:rsidR="00E3723A">
        <w:rPr>
          <w:rFonts w:asciiTheme="minorHAnsi" w:hAnsiTheme="minorHAnsi" w:cstheme="minorHAnsi"/>
        </w:rPr>
        <w:t>VR</w:t>
      </w:r>
      <w:r w:rsidRPr="0043062A">
        <w:rPr>
          <w:rFonts w:asciiTheme="minorHAnsi" w:hAnsiTheme="minorHAnsi" w:cstheme="minorHAnsi"/>
        </w:rPr>
        <w:t xml:space="preserve">) will be subject to the new streamlined Fellowship pathway arrangements. </w:t>
      </w:r>
    </w:p>
    <w:p w14:paraId="1EFD8E00" w14:textId="3062D939" w:rsidR="00AF7B16" w:rsidRDefault="00AF7B16" w:rsidP="00AF7B16">
      <w:pPr>
        <w:pStyle w:val="ListParagraph"/>
        <w:numPr>
          <w:ilvl w:val="0"/>
          <w:numId w:val="7"/>
        </w:numPr>
        <w:rPr>
          <w:rFonts w:asciiTheme="minorHAnsi" w:hAnsiTheme="minorHAnsi" w:cstheme="minorHAnsi"/>
        </w:rPr>
      </w:pPr>
      <w:r w:rsidRPr="0043062A">
        <w:rPr>
          <w:rFonts w:asciiTheme="minorHAnsi" w:hAnsiTheme="minorHAnsi" w:cstheme="minorHAnsi"/>
        </w:rPr>
        <w:lastRenderedPageBreak/>
        <w:t xml:space="preserve">Current non-VR </w:t>
      </w:r>
      <w:r>
        <w:rPr>
          <w:rFonts w:asciiTheme="minorHAnsi" w:hAnsiTheme="minorHAnsi" w:cstheme="minorHAnsi"/>
        </w:rPr>
        <w:t>GPs</w:t>
      </w:r>
      <w:r w:rsidRPr="0052028F">
        <w:rPr>
          <w:rFonts w:asciiTheme="minorHAnsi" w:hAnsiTheme="minorHAnsi" w:cstheme="minorHAnsi"/>
        </w:rPr>
        <w:t xml:space="preserve"> </w:t>
      </w:r>
      <w:r w:rsidR="00BB76E4">
        <w:rPr>
          <w:rFonts w:asciiTheme="minorHAnsi" w:hAnsiTheme="minorHAnsi" w:cstheme="minorHAnsi"/>
        </w:rPr>
        <w:t>will be able</w:t>
      </w:r>
      <w:r w:rsidRPr="0052028F">
        <w:rPr>
          <w:rFonts w:asciiTheme="minorHAnsi" w:hAnsiTheme="minorHAnsi" w:cstheme="minorHAnsi"/>
        </w:rPr>
        <w:t xml:space="preserve"> to take advantage of the one-off GP training assistance funding provided through the </w:t>
      </w:r>
      <w:r>
        <w:rPr>
          <w:rFonts w:asciiTheme="minorHAnsi" w:hAnsiTheme="minorHAnsi" w:cstheme="minorHAnsi"/>
        </w:rPr>
        <w:t>initiative, which is</w:t>
      </w:r>
      <w:r w:rsidRPr="0052028F">
        <w:rPr>
          <w:rFonts w:asciiTheme="minorHAnsi" w:hAnsiTheme="minorHAnsi" w:cstheme="minorHAnsi"/>
        </w:rPr>
        <w:t xml:space="preserve"> designed to support them to gain vocational recognition.</w:t>
      </w:r>
    </w:p>
    <w:p w14:paraId="0E10FB42" w14:textId="02ADDEA8" w:rsidR="00956496" w:rsidRPr="0052028F" w:rsidRDefault="00956496" w:rsidP="00AF7B16">
      <w:pPr>
        <w:pStyle w:val="ListParagraph"/>
        <w:numPr>
          <w:ilvl w:val="0"/>
          <w:numId w:val="7"/>
        </w:numPr>
        <w:rPr>
          <w:rFonts w:asciiTheme="minorHAnsi" w:hAnsiTheme="minorHAnsi" w:cstheme="minorHAnsi"/>
        </w:rPr>
      </w:pPr>
      <w:r>
        <w:rPr>
          <w:rFonts w:asciiTheme="minorHAnsi" w:hAnsiTheme="minorHAnsi" w:cstheme="minorHAnsi"/>
        </w:rPr>
        <w:t>Whil</w:t>
      </w:r>
      <w:r w:rsidR="00E3723A">
        <w:rPr>
          <w:rFonts w:asciiTheme="minorHAnsi" w:hAnsiTheme="minorHAnsi" w:cstheme="minorHAnsi"/>
        </w:rPr>
        <w:t>e</w:t>
      </w:r>
      <w:r>
        <w:rPr>
          <w:rFonts w:asciiTheme="minorHAnsi" w:hAnsiTheme="minorHAnsi" w:cstheme="minorHAnsi"/>
        </w:rPr>
        <w:t xml:space="preserve"> there will be some reduction in red tape through the rationalization of nine training pathways into two, this will approximately be balanced out by the increase in compliance requirements resulting from an increase in the number of training places. Consequently, no net changes in red tape are anticipated.</w:t>
      </w:r>
    </w:p>
    <w:p w14:paraId="003D5000" w14:textId="77777777" w:rsidR="00AF7B16" w:rsidRPr="0052028F" w:rsidRDefault="00AF7B16" w:rsidP="00AF7B16">
      <w:pPr>
        <w:tabs>
          <w:tab w:val="left" w:pos="2555"/>
        </w:tabs>
        <w:rPr>
          <w:rFonts w:asciiTheme="minorHAnsi" w:hAnsiTheme="minorHAnsi" w:cstheme="minorHAnsi"/>
          <w:b/>
          <w:i/>
        </w:rPr>
      </w:pPr>
      <w:r>
        <w:rPr>
          <w:rFonts w:asciiTheme="minorHAnsi" w:hAnsiTheme="minorHAnsi" w:cstheme="minorHAnsi"/>
          <w:b/>
          <w:i/>
        </w:rPr>
        <w:tab/>
      </w:r>
    </w:p>
    <w:p w14:paraId="4B32B3BE" w14:textId="77777777" w:rsidR="00AF7B16" w:rsidRPr="0052028F" w:rsidRDefault="00AF7B16" w:rsidP="00AF7B16">
      <w:pPr>
        <w:rPr>
          <w:rFonts w:asciiTheme="minorHAnsi" w:hAnsiTheme="minorHAnsi" w:cstheme="minorHAnsi"/>
        </w:rPr>
      </w:pPr>
      <w:r w:rsidRPr="0052028F">
        <w:rPr>
          <w:rFonts w:asciiTheme="minorHAnsi" w:hAnsiTheme="minorHAnsi" w:cstheme="minorHAnsi"/>
          <w:b/>
        </w:rPr>
        <w:t>Educating the Nurse of the</w:t>
      </w:r>
      <w:r w:rsidRPr="0052028F">
        <w:rPr>
          <w:rFonts w:asciiTheme="minorHAnsi" w:hAnsiTheme="minorHAnsi" w:cstheme="minorHAnsi"/>
          <w:i/>
        </w:rPr>
        <w:t xml:space="preserve"> </w:t>
      </w:r>
      <w:r w:rsidRPr="0052028F">
        <w:rPr>
          <w:rFonts w:asciiTheme="minorHAnsi" w:hAnsiTheme="minorHAnsi" w:cstheme="minorHAnsi"/>
          <w:b/>
        </w:rPr>
        <w:t>Future</w:t>
      </w:r>
      <w:r w:rsidRPr="0052028F">
        <w:rPr>
          <w:rFonts w:asciiTheme="minorHAnsi" w:hAnsiTheme="minorHAnsi" w:cstheme="minorHAnsi"/>
        </w:rPr>
        <w:t xml:space="preserve"> </w:t>
      </w:r>
    </w:p>
    <w:p w14:paraId="73264C26" w14:textId="4EA651BC" w:rsidR="00AF7B16" w:rsidRDefault="00AF7B16" w:rsidP="00AF7B16">
      <w:pPr>
        <w:rPr>
          <w:rFonts w:asciiTheme="minorHAnsi" w:hAnsiTheme="minorHAnsi" w:cstheme="minorHAnsi"/>
        </w:rPr>
      </w:pPr>
      <w:r>
        <w:rPr>
          <w:rFonts w:asciiTheme="minorHAnsi" w:hAnsiTheme="minorHAnsi" w:cstheme="minorHAnsi"/>
        </w:rPr>
        <w:t xml:space="preserve">Primary health care is often the first point of contact people have with the healthcare system. The nursing workforce, including nurse practitioners, has the skills and experience to meet many health care needs. It is a central part of the delivery of team-based and multi-disciplinary health care, especially for people with chronic and/or complex conditions, </w:t>
      </w:r>
      <w:r w:rsidR="00E3723A">
        <w:rPr>
          <w:rFonts w:asciiTheme="minorHAnsi" w:hAnsiTheme="minorHAnsi" w:cstheme="minorHAnsi"/>
        </w:rPr>
        <w:t>including</w:t>
      </w:r>
      <w:r>
        <w:rPr>
          <w:rFonts w:asciiTheme="minorHAnsi" w:hAnsiTheme="minorHAnsi" w:cstheme="minorHAnsi"/>
        </w:rPr>
        <w:t xml:space="preserve"> those in rural and remote communities. </w:t>
      </w:r>
      <w:r w:rsidRPr="0052028F">
        <w:rPr>
          <w:rFonts w:asciiTheme="minorHAnsi" w:hAnsiTheme="minorHAnsi" w:cstheme="minorHAnsi"/>
        </w:rPr>
        <w:t>Th</w:t>
      </w:r>
      <w:r>
        <w:rPr>
          <w:rFonts w:asciiTheme="minorHAnsi" w:hAnsiTheme="minorHAnsi" w:cstheme="minorHAnsi"/>
        </w:rPr>
        <w:t>e</w:t>
      </w:r>
      <w:r w:rsidRPr="0052028F">
        <w:rPr>
          <w:rFonts w:asciiTheme="minorHAnsi" w:hAnsiTheme="minorHAnsi" w:cstheme="minorHAnsi"/>
        </w:rPr>
        <w:t xml:space="preserve"> </w:t>
      </w:r>
      <w:r w:rsidRPr="00E3723A">
        <w:rPr>
          <w:rFonts w:asciiTheme="minorHAnsi" w:hAnsiTheme="minorHAnsi" w:cstheme="minorHAnsi"/>
        </w:rPr>
        <w:t>Educating the Nurse of the Future</w:t>
      </w:r>
      <w:r w:rsidRPr="00B72DE3">
        <w:rPr>
          <w:rFonts w:asciiTheme="minorHAnsi" w:hAnsiTheme="minorHAnsi" w:cstheme="minorHAnsi"/>
        </w:rPr>
        <w:t xml:space="preserve"> </w:t>
      </w:r>
      <w:r>
        <w:rPr>
          <w:rFonts w:asciiTheme="minorHAnsi" w:hAnsiTheme="minorHAnsi" w:cstheme="minorHAnsi"/>
        </w:rPr>
        <w:t>initiative aims to harness the skills of the nursing workforce in order to strengthen frontline delivery and</w:t>
      </w:r>
      <w:r w:rsidRPr="0052028F">
        <w:rPr>
          <w:rFonts w:asciiTheme="minorHAnsi" w:hAnsiTheme="minorHAnsi" w:cstheme="minorHAnsi"/>
        </w:rPr>
        <w:t xml:space="preserve"> </w:t>
      </w:r>
      <w:r>
        <w:rPr>
          <w:rFonts w:asciiTheme="minorHAnsi" w:hAnsiTheme="minorHAnsi" w:cstheme="minorHAnsi"/>
        </w:rPr>
        <w:t xml:space="preserve">provide support to GPs meeting complex care needs. </w:t>
      </w:r>
    </w:p>
    <w:p w14:paraId="1F444B03" w14:textId="77777777" w:rsidR="00AF7B16" w:rsidRDefault="00AF7B16" w:rsidP="00AF7B16">
      <w:pPr>
        <w:rPr>
          <w:rFonts w:asciiTheme="minorHAnsi" w:hAnsiTheme="minorHAnsi" w:cstheme="minorHAnsi"/>
        </w:rPr>
      </w:pPr>
    </w:p>
    <w:p w14:paraId="19FE79A6" w14:textId="1A9E1B19" w:rsidR="00AF7B16" w:rsidRPr="00717CFC" w:rsidRDefault="00AF7B16" w:rsidP="00AF7B16">
      <w:pPr>
        <w:rPr>
          <w:rFonts w:asciiTheme="minorHAnsi" w:hAnsiTheme="minorHAnsi" w:cstheme="minorHAnsi"/>
        </w:rPr>
      </w:pPr>
      <w:r>
        <w:rPr>
          <w:rFonts w:asciiTheme="minorHAnsi" w:hAnsiTheme="minorHAnsi" w:cstheme="minorHAnsi"/>
        </w:rPr>
        <w:t xml:space="preserve">The Educating the Nurse of the Future initiative will support nurses to move to primary care, and test new, innovative ways to deliver care. The initiative will benefit both metropolitan and rural and remote nursing services and comprises three components: </w:t>
      </w:r>
      <w:r w:rsidRPr="00EE5365">
        <w:rPr>
          <w:rFonts w:asciiTheme="minorHAnsi" w:hAnsiTheme="minorHAnsi" w:cstheme="minorHAnsi"/>
        </w:rPr>
        <w:t xml:space="preserve">the </w:t>
      </w:r>
      <w:r w:rsidRPr="00EE5365">
        <w:rPr>
          <w:rFonts w:asciiTheme="minorHAnsi" w:hAnsiTheme="minorHAnsi" w:cstheme="minorHAnsi"/>
          <w:b/>
        </w:rPr>
        <w:t>Nursing in Primary Health Care (NiPHC)</w:t>
      </w:r>
      <w:r w:rsidRPr="0052028F">
        <w:rPr>
          <w:rFonts w:asciiTheme="minorHAnsi" w:hAnsiTheme="minorHAnsi" w:cstheme="minorHAnsi"/>
        </w:rPr>
        <w:t xml:space="preserve"> program</w:t>
      </w:r>
      <w:r w:rsidR="00E3723A">
        <w:rPr>
          <w:rFonts w:asciiTheme="minorHAnsi" w:hAnsiTheme="minorHAnsi" w:cstheme="minorHAnsi"/>
        </w:rPr>
        <w:t>;</w:t>
      </w:r>
      <w:r w:rsidRPr="0052028F">
        <w:rPr>
          <w:rFonts w:asciiTheme="minorHAnsi" w:hAnsiTheme="minorHAnsi" w:cstheme="minorHAnsi"/>
        </w:rPr>
        <w:t xml:space="preserve"> the </w:t>
      </w:r>
      <w:r w:rsidRPr="00EE5365">
        <w:rPr>
          <w:rFonts w:asciiTheme="minorHAnsi" w:hAnsiTheme="minorHAnsi" w:cstheme="minorHAnsi"/>
          <w:b/>
        </w:rPr>
        <w:t>Raising Awareness of the Role</w:t>
      </w:r>
      <w:r w:rsidRPr="0052028F">
        <w:rPr>
          <w:rFonts w:asciiTheme="minorHAnsi" w:hAnsiTheme="minorHAnsi" w:cstheme="minorHAnsi"/>
        </w:rPr>
        <w:t xml:space="preserve"> </w:t>
      </w:r>
      <w:r w:rsidRPr="0052028F">
        <w:rPr>
          <w:rFonts w:asciiTheme="minorHAnsi" w:hAnsiTheme="minorHAnsi" w:cstheme="minorHAnsi"/>
          <w:b/>
        </w:rPr>
        <w:t>(Raising Awareness</w:t>
      </w:r>
      <w:r>
        <w:rPr>
          <w:rFonts w:asciiTheme="minorHAnsi" w:hAnsiTheme="minorHAnsi" w:cstheme="minorHAnsi"/>
        </w:rPr>
        <w:t xml:space="preserve">) </w:t>
      </w:r>
      <w:r w:rsidRPr="0052028F">
        <w:rPr>
          <w:rFonts w:asciiTheme="minorHAnsi" w:hAnsiTheme="minorHAnsi" w:cstheme="minorHAnsi"/>
        </w:rPr>
        <w:t>project</w:t>
      </w:r>
      <w:r w:rsidR="00E3723A">
        <w:rPr>
          <w:rFonts w:asciiTheme="minorHAnsi" w:hAnsiTheme="minorHAnsi" w:cstheme="minorHAnsi"/>
        </w:rPr>
        <w:t>;</w:t>
      </w:r>
      <w:r w:rsidRPr="0052028F">
        <w:rPr>
          <w:rFonts w:asciiTheme="minorHAnsi" w:hAnsiTheme="minorHAnsi" w:cstheme="minorHAnsi"/>
        </w:rPr>
        <w:t xml:space="preserve"> </w:t>
      </w:r>
      <w:r w:rsidRPr="00717CFC">
        <w:rPr>
          <w:rFonts w:asciiTheme="minorHAnsi" w:hAnsiTheme="minorHAnsi" w:cstheme="minorHAnsi"/>
        </w:rPr>
        <w:t>and</w:t>
      </w:r>
      <w:r w:rsidR="00E3723A">
        <w:rPr>
          <w:rFonts w:asciiTheme="minorHAnsi" w:hAnsiTheme="minorHAnsi" w:cstheme="minorHAnsi"/>
        </w:rPr>
        <w:t>,</w:t>
      </w:r>
      <w:r w:rsidRPr="00717CFC">
        <w:rPr>
          <w:rFonts w:asciiTheme="minorHAnsi" w:hAnsiTheme="minorHAnsi" w:cstheme="minorHAnsi"/>
        </w:rPr>
        <w:t xml:space="preserve"> the </w:t>
      </w:r>
      <w:r w:rsidRPr="00717CFC">
        <w:rPr>
          <w:rFonts w:asciiTheme="minorHAnsi" w:hAnsiTheme="minorHAnsi" w:cstheme="minorHAnsi"/>
          <w:b/>
        </w:rPr>
        <w:t>Independent Review of current preparation of nurses entering the Australian health workforce</w:t>
      </w:r>
      <w:r w:rsidRPr="00717CFC">
        <w:rPr>
          <w:rFonts w:asciiTheme="minorHAnsi" w:hAnsiTheme="minorHAnsi" w:cstheme="minorHAnsi"/>
        </w:rPr>
        <w:t xml:space="preserve"> (the Independent Review).</w:t>
      </w:r>
    </w:p>
    <w:p w14:paraId="528D9AB0" w14:textId="77777777" w:rsidR="00AF7B16" w:rsidRPr="00717CFC" w:rsidRDefault="00AF7B16" w:rsidP="00AF7B16">
      <w:pPr>
        <w:rPr>
          <w:rFonts w:asciiTheme="minorHAnsi" w:hAnsiTheme="minorHAnsi" w:cstheme="minorHAnsi"/>
        </w:rPr>
      </w:pPr>
    </w:p>
    <w:p w14:paraId="1D74336C" w14:textId="74282AA7" w:rsidR="00AF7B16" w:rsidRDefault="00AF7B16" w:rsidP="00AF7B16">
      <w:pPr>
        <w:rPr>
          <w:rFonts w:asciiTheme="minorHAnsi" w:hAnsiTheme="minorHAnsi" w:cstheme="minorHAnsi"/>
        </w:rPr>
      </w:pPr>
      <w:r w:rsidRPr="00717CFC">
        <w:rPr>
          <w:rFonts w:asciiTheme="minorHAnsi" w:hAnsiTheme="minorHAnsi" w:cstheme="minorHAnsi"/>
        </w:rPr>
        <w:t xml:space="preserve">The </w:t>
      </w:r>
      <w:r w:rsidRPr="00717CFC">
        <w:rPr>
          <w:rFonts w:asciiTheme="minorHAnsi" w:hAnsiTheme="minorHAnsi" w:cstheme="minorHAnsi"/>
          <w:b/>
        </w:rPr>
        <w:t xml:space="preserve">NiPHC </w:t>
      </w:r>
      <w:r w:rsidRPr="00717CFC">
        <w:rPr>
          <w:rFonts w:asciiTheme="minorHAnsi" w:hAnsiTheme="minorHAnsi" w:cstheme="minorHAnsi"/>
        </w:rPr>
        <w:t>program will fund training and mentoring to support nurses to transition to primary health care, as well as target training in areas of clinical need to support nurses working in regional and rural areas.</w:t>
      </w:r>
      <w:r w:rsidRPr="00717CFC">
        <w:rPr>
          <w:rFonts w:asciiTheme="minorHAnsi" w:hAnsiTheme="minorHAnsi" w:cstheme="minorHAnsi"/>
          <w:b/>
        </w:rPr>
        <w:t xml:space="preserve"> </w:t>
      </w:r>
      <w:r w:rsidRPr="00717CFC">
        <w:rPr>
          <w:rFonts w:asciiTheme="minorHAnsi" w:hAnsiTheme="minorHAnsi" w:cstheme="minorHAnsi"/>
        </w:rPr>
        <w:t xml:space="preserve">The NiPHC will aim to promote employment </w:t>
      </w:r>
      <w:r>
        <w:rPr>
          <w:rFonts w:asciiTheme="minorHAnsi" w:hAnsiTheme="minorHAnsi" w:cstheme="minorHAnsi"/>
        </w:rPr>
        <w:t xml:space="preserve">and build capacity by recruiting around 250 nurses to transition to primary health care. It will also work to support  around 15 primary health care organisations to implement nurse-delivered models of care to service local patients, and support training in clinical areas of need through approximately 70 two-day face-to-face training workshops in rural and urban locations. The NiPHC </w:t>
      </w:r>
      <w:r w:rsidRPr="0052028F">
        <w:rPr>
          <w:rFonts w:asciiTheme="minorHAnsi" w:hAnsiTheme="minorHAnsi" w:cstheme="minorHAnsi"/>
        </w:rPr>
        <w:t>will commence from 1 July 2018.</w:t>
      </w:r>
    </w:p>
    <w:p w14:paraId="0DE575C7" w14:textId="77777777" w:rsidR="00AF7B16" w:rsidRDefault="00AF7B16" w:rsidP="00AF7B16">
      <w:pPr>
        <w:rPr>
          <w:rFonts w:asciiTheme="minorHAnsi" w:hAnsiTheme="minorHAnsi" w:cstheme="minorHAnsi"/>
        </w:rPr>
      </w:pPr>
    </w:p>
    <w:p w14:paraId="36E407F8" w14:textId="77777777" w:rsidR="00AF7B16" w:rsidRDefault="00AF7B16" w:rsidP="00AF7B16">
      <w:pPr>
        <w:rPr>
          <w:rFonts w:asciiTheme="minorHAnsi" w:hAnsiTheme="minorHAnsi" w:cstheme="minorHAnsi"/>
        </w:rPr>
      </w:pPr>
      <w:r>
        <w:rPr>
          <w:rFonts w:asciiTheme="minorHAnsi" w:hAnsiTheme="minorHAnsi" w:cstheme="minorHAnsi"/>
        </w:rPr>
        <w:t xml:space="preserve">The </w:t>
      </w:r>
      <w:r w:rsidRPr="0052028F">
        <w:rPr>
          <w:rFonts w:asciiTheme="minorHAnsi" w:hAnsiTheme="minorHAnsi" w:cstheme="minorHAnsi"/>
          <w:b/>
        </w:rPr>
        <w:t>Raising Awareness</w:t>
      </w:r>
      <w:r>
        <w:rPr>
          <w:rFonts w:asciiTheme="minorHAnsi" w:hAnsiTheme="minorHAnsi" w:cstheme="minorHAnsi"/>
        </w:rPr>
        <w:t xml:space="preserve"> project </w:t>
      </w:r>
      <w:r w:rsidRPr="0052028F">
        <w:rPr>
          <w:rFonts w:asciiTheme="minorHAnsi" w:hAnsiTheme="minorHAnsi" w:cstheme="minorHAnsi"/>
        </w:rPr>
        <w:t xml:space="preserve">will </w:t>
      </w:r>
      <w:r>
        <w:rPr>
          <w:rFonts w:asciiTheme="minorHAnsi" w:hAnsiTheme="minorHAnsi" w:cstheme="minorHAnsi"/>
        </w:rPr>
        <w:t>promote the benefits, profile and role of the nurse practitioner through a number of communication activities.</w:t>
      </w:r>
    </w:p>
    <w:p w14:paraId="6512832B" w14:textId="77777777" w:rsidR="00AF7B16" w:rsidRDefault="00AF7B16" w:rsidP="00AF7B16">
      <w:pPr>
        <w:rPr>
          <w:rFonts w:asciiTheme="minorHAnsi" w:hAnsiTheme="minorHAnsi" w:cstheme="minorHAnsi"/>
        </w:rPr>
      </w:pPr>
    </w:p>
    <w:p w14:paraId="123EECCE" w14:textId="77777777" w:rsidR="00AF7B16" w:rsidRDefault="00AF7B16" w:rsidP="00AF7B16">
      <w:pPr>
        <w:rPr>
          <w:rFonts w:asciiTheme="minorHAnsi" w:hAnsiTheme="minorHAnsi" w:cstheme="minorHAnsi"/>
        </w:rPr>
      </w:pPr>
      <w:r>
        <w:rPr>
          <w:rFonts w:asciiTheme="minorHAnsi" w:hAnsiTheme="minorHAnsi" w:cstheme="minorHAnsi"/>
        </w:rPr>
        <w:t xml:space="preserve">The </w:t>
      </w:r>
      <w:r w:rsidRPr="0052028F">
        <w:rPr>
          <w:rFonts w:asciiTheme="minorHAnsi" w:hAnsiTheme="minorHAnsi" w:cstheme="minorHAnsi"/>
          <w:b/>
        </w:rPr>
        <w:t>Independent Review</w:t>
      </w:r>
      <w:r>
        <w:rPr>
          <w:rFonts w:asciiTheme="minorHAnsi" w:hAnsiTheme="minorHAnsi" w:cstheme="minorHAnsi"/>
        </w:rPr>
        <w:t xml:space="preserve"> will </w:t>
      </w:r>
      <w:r w:rsidRPr="0052028F">
        <w:rPr>
          <w:rFonts w:asciiTheme="minorHAnsi" w:hAnsiTheme="minorHAnsi" w:cstheme="minorHAnsi"/>
        </w:rPr>
        <w:t xml:space="preserve">fund </w:t>
      </w:r>
      <w:r>
        <w:rPr>
          <w:rFonts w:asciiTheme="minorHAnsi" w:hAnsiTheme="minorHAnsi" w:cstheme="minorHAnsi"/>
        </w:rPr>
        <w:t>a</w:t>
      </w:r>
      <w:r w:rsidRPr="0052028F">
        <w:rPr>
          <w:rFonts w:asciiTheme="minorHAnsi" w:hAnsiTheme="minorHAnsi" w:cstheme="minorHAnsi"/>
        </w:rPr>
        <w:t xml:space="preserve"> review of the current undergraduate preparation of nurses in Australia, and facilitate a renewal of undergraduate nursing education programs so that graduating nurses effectively meet the current and future health needs of the Australian community. </w:t>
      </w:r>
      <w:r>
        <w:rPr>
          <w:rFonts w:asciiTheme="minorHAnsi" w:hAnsiTheme="minorHAnsi" w:cstheme="minorHAnsi"/>
        </w:rPr>
        <w:t>The review will consider national and international trends and consult extensively with consumers and representatives from the health, aged care, disability, education, and regulatory sectors. It will also look at student selection factors and how pathways can shape future careers.</w:t>
      </w:r>
    </w:p>
    <w:p w14:paraId="4C648E6F" w14:textId="77777777" w:rsidR="00AF7B16" w:rsidRPr="0052028F" w:rsidRDefault="00AF7B16" w:rsidP="00182885">
      <w:pPr>
        <w:tabs>
          <w:tab w:val="left" w:pos="567"/>
        </w:tabs>
        <w:rPr>
          <w:rFonts w:asciiTheme="minorHAnsi" w:hAnsiTheme="minorHAnsi" w:cstheme="minorHAnsi"/>
        </w:rPr>
      </w:pPr>
      <w:r>
        <w:rPr>
          <w:rFonts w:asciiTheme="minorHAnsi" w:hAnsiTheme="minorHAnsi" w:cstheme="minorHAnsi"/>
        </w:rPr>
        <w:t xml:space="preserve">An additional investment of approximately $8.3 million over four years will be provided to the Australian Primary Health Care Nurses Association to deliver the </w:t>
      </w:r>
      <w:r w:rsidRPr="0052028F">
        <w:rPr>
          <w:rFonts w:asciiTheme="minorHAnsi" w:hAnsiTheme="minorHAnsi" w:cstheme="minorHAnsi"/>
          <w:b/>
        </w:rPr>
        <w:t xml:space="preserve">NiPHC </w:t>
      </w:r>
      <w:r>
        <w:rPr>
          <w:rFonts w:asciiTheme="minorHAnsi" w:hAnsiTheme="minorHAnsi" w:cstheme="minorHAnsi"/>
        </w:rPr>
        <w:t xml:space="preserve">program. Up to $350,000 over 12 months will be provided to the Australian College of Nurse Practitioners (ACNP) to deliver the Raising Awareness project. Funding is also provided for the Independent Review. </w:t>
      </w:r>
    </w:p>
    <w:p w14:paraId="48B913E3" w14:textId="77777777" w:rsidR="00AF7B16" w:rsidRPr="0052028F" w:rsidRDefault="00AF7B16" w:rsidP="00AF7B16">
      <w:pPr>
        <w:rPr>
          <w:rFonts w:asciiTheme="minorHAnsi" w:hAnsiTheme="minorHAnsi" w:cstheme="minorHAnsi"/>
        </w:rPr>
      </w:pPr>
    </w:p>
    <w:p w14:paraId="7F3CC3F4" w14:textId="77777777" w:rsidR="00AF7B16" w:rsidRPr="0052028F" w:rsidRDefault="00AF7B16" w:rsidP="00AF7B16">
      <w:pPr>
        <w:rPr>
          <w:rFonts w:asciiTheme="minorHAnsi" w:hAnsiTheme="minorHAnsi" w:cstheme="minorHAnsi"/>
        </w:rPr>
      </w:pPr>
      <w:r w:rsidRPr="0052028F">
        <w:rPr>
          <w:rFonts w:asciiTheme="minorHAnsi" w:hAnsiTheme="minorHAnsi" w:cstheme="minorHAnsi"/>
        </w:rPr>
        <w:t xml:space="preserve">The </w:t>
      </w:r>
      <w:r w:rsidRPr="00717CFC">
        <w:rPr>
          <w:rFonts w:asciiTheme="minorHAnsi" w:hAnsiTheme="minorHAnsi" w:cstheme="minorHAnsi"/>
        </w:rPr>
        <w:t xml:space="preserve">regulatory and other impacts </w:t>
      </w:r>
      <w:r w:rsidRPr="0052028F">
        <w:rPr>
          <w:rFonts w:asciiTheme="minorHAnsi" w:hAnsiTheme="minorHAnsi" w:cstheme="minorHAnsi"/>
        </w:rPr>
        <w:t xml:space="preserve">of this </w:t>
      </w:r>
      <w:r>
        <w:rPr>
          <w:rFonts w:asciiTheme="minorHAnsi" w:hAnsiTheme="minorHAnsi" w:cstheme="minorHAnsi"/>
        </w:rPr>
        <w:t>initiative</w:t>
      </w:r>
      <w:r w:rsidRPr="0052028F">
        <w:rPr>
          <w:rFonts w:asciiTheme="minorHAnsi" w:hAnsiTheme="minorHAnsi" w:cstheme="minorHAnsi"/>
        </w:rPr>
        <w:t xml:space="preserve"> include:</w:t>
      </w:r>
    </w:p>
    <w:p w14:paraId="59365556" w14:textId="77777777" w:rsidR="00AF7B16" w:rsidRPr="0052028F" w:rsidRDefault="00AF7B16" w:rsidP="00AF7B16">
      <w:pPr>
        <w:pStyle w:val="ListParagraph"/>
        <w:numPr>
          <w:ilvl w:val="0"/>
          <w:numId w:val="4"/>
        </w:numPr>
        <w:rPr>
          <w:rFonts w:asciiTheme="minorHAnsi" w:hAnsiTheme="minorHAnsi" w:cstheme="minorHAnsi"/>
        </w:rPr>
      </w:pPr>
      <w:r w:rsidRPr="0052028F">
        <w:rPr>
          <w:rFonts w:asciiTheme="minorHAnsi" w:hAnsiTheme="minorHAnsi" w:cstheme="minorHAnsi"/>
        </w:rPr>
        <w:t xml:space="preserve">The Australian community will be positively affected through access to nursing services delivered by an appropriately educated workforce.  </w:t>
      </w:r>
    </w:p>
    <w:p w14:paraId="14749B16" w14:textId="77777777" w:rsidR="00AF7B16" w:rsidRPr="0052028F" w:rsidRDefault="00AF7B16" w:rsidP="00AF7B16">
      <w:pPr>
        <w:pStyle w:val="ListParagraph"/>
        <w:numPr>
          <w:ilvl w:val="0"/>
          <w:numId w:val="4"/>
        </w:numPr>
        <w:rPr>
          <w:rFonts w:asciiTheme="minorHAnsi" w:hAnsiTheme="minorHAnsi" w:cstheme="minorHAnsi"/>
        </w:rPr>
      </w:pPr>
      <w:r w:rsidRPr="0052028F">
        <w:rPr>
          <w:rFonts w:asciiTheme="minorHAnsi" w:hAnsiTheme="minorHAnsi" w:cstheme="minorHAnsi"/>
        </w:rPr>
        <w:t xml:space="preserve">The tertiary education sector may be affected; however, the impact is dependent on the outcomes of the Review. </w:t>
      </w:r>
    </w:p>
    <w:p w14:paraId="586E6279" w14:textId="42EEF884" w:rsidR="00AF7B16" w:rsidRDefault="00AF7B16" w:rsidP="00AF7B16">
      <w:pPr>
        <w:pStyle w:val="ListParagraph"/>
        <w:numPr>
          <w:ilvl w:val="0"/>
          <w:numId w:val="4"/>
        </w:numPr>
        <w:rPr>
          <w:rFonts w:asciiTheme="minorHAnsi" w:hAnsiTheme="minorHAnsi" w:cstheme="minorHAnsi"/>
        </w:rPr>
      </w:pPr>
      <w:r w:rsidRPr="0052028F">
        <w:rPr>
          <w:rFonts w:asciiTheme="minorHAnsi" w:hAnsiTheme="minorHAnsi" w:cstheme="minorHAnsi"/>
        </w:rPr>
        <w:t>Employers of nurses will be positively affected through access to a nursing workforce which is fit</w:t>
      </w:r>
      <w:r>
        <w:rPr>
          <w:rFonts w:asciiTheme="minorHAnsi" w:hAnsiTheme="minorHAnsi" w:cstheme="minorHAnsi"/>
        </w:rPr>
        <w:t>-</w:t>
      </w:r>
      <w:r w:rsidRPr="0052028F">
        <w:rPr>
          <w:rFonts w:asciiTheme="minorHAnsi" w:hAnsiTheme="minorHAnsi" w:cstheme="minorHAnsi"/>
        </w:rPr>
        <w:t>for</w:t>
      </w:r>
      <w:r>
        <w:rPr>
          <w:rFonts w:asciiTheme="minorHAnsi" w:hAnsiTheme="minorHAnsi" w:cstheme="minorHAnsi"/>
        </w:rPr>
        <w:t>-</w:t>
      </w:r>
      <w:r w:rsidRPr="0052028F">
        <w:rPr>
          <w:rFonts w:asciiTheme="minorHAnsi" w:hAnsiTheme="minorHAnsi" w:cstheme="minorHAnsi"/>
        </w:rPr>
        <w:t>purpose.</w:t>
      </w:r>
    </w:p>
    <w:p w14:paraId="64C0C0FC" w14:textId="202A5091" w:rsidR="00635F27" w:rsidRDefault="00635F27" w:rsidP="00AF7B16">
      <w:pPr>
        <w:pStyle w:val="ListParagraph"/>
        <w:numPr>
          <w:ilvl w:val="0"/>
          <w:numId w:val="4"/>
        </w:numPr>
        <w:rPr>
          <w:rFonts w:asciiTheme="minorHAnsi" w:hAnsiTheme="minorHAnsi" w:cstheme="minorHAnsi"/>
        </w:rPr>
      </w:pPr>
      <w:r>
        <w:rPr>
          <w:rFonts w:asciiTheme="minorHAnsi" w:hAnsiTheme="minorHAnsi" w:cstheme="minorHAnsi"/>
        </w:rPr>
        <w:t>Noting that participation in the training will not be necessary to satisfy a regulatory requirement, it will not represent a red tape impost on individuals. Accordingly, no</w:t>
      </w:r>
      <w:r w:rsidR="00B55EFA">
        <w:rPr>
          <w:rFonts w:asciiTheme="minorHAnsi" w:hAnsiTheme="minorHAnsi" w:cstheme="minorHAnsi"/>
        </w:rPr>
        <w:t xml:space="preserve"> net changes in</w:t>
      </w:r>
      <w:r>
        <w:rPr>
          <w:rFonts w:asciiTheme="minorHAnsi" w:hAnsiTheme="minorHAnsi" w:cstheme="minorHAnsi"/>
        </w:rPr>
        <w:t xml:space="preserve"> re</w:t>
      </w:r>
      <w:r w:rsidR="00B55EFA">
        <w:rPr>
          <w:rFonts w:asciiTheme="minorHAnsi" w:hAnsiTheme="minorHAnsi" w:cstheme="minorHAnsi"/>
        </w:rPr>
        <w:t>gulation</w:t>
      </w:r>
      <w:r>
        <w:rPr>
          <w:rFonts w:asciiTheme="minorHAnsi" w:hAnsiTheme="minorHAnsi" w:cstheme="minorHAnsi"/>
        </w:rPr>
        <w:t xml:space="preserve"> are anticipated.</w:t>
      </w:r>
    </w:p>
    <w:p w14:paraId="1DC4A0BD" w14:textId="77777777" w:rsidR="00AF7B16" w:rsidRDefault="00AF7B16" w:rsidP="00AF7B16">
      <w:pPr>
        <w:rPr>
          <w:rFonts w:asciiTheme="minorHAnsi" w:hAnsiTheme="minorHAnsi" w:cstheme="minorHAnsi"/>
        </w:rPr>
      </w:pPr>
    </w:p>
    <w:p w14:paraId="1B5731E7" w14:textId="77777777" w:rsidR="00AF7B16" w:rsidRPr="002B7B32" w:rsidRDefault="00AF7B16" w:rsidP="00AF7B16">
      <w:pPr>
        <w:rPr>
          <w:rFonts w:asciiTheme="minorHAnsi" w:hAnsiTheme="minorHAnsi" w:cstheme="minorHAnsi"/>
        </w:rPr>
      </w:pPr>
      <w:r w:rsidRPr="002B7B32">
        <w:rPr>
          <w:rFonts w:asciiTheme="minorHAnsi" w:hAnsiTheme="minorHAnsi" w:cstheme="minorHAnsi"/>
          <w:b/>
        </w:rPr>
        <w:t>Controlling Supply of Overseas Trained Doctors (OTDs)</w:t>
      </w:r>
    </w:p>
    <w:p w14:paraId="7B222A14" w14:textId="7249A494" w:rsidR="00AF7B16" w:rsidRPr="002B7B32" w:rsidRDefault="00AF7B16" w:rsidP="00AF7B16">
      <w:pPr>
        <w:rPr>
          <w:rFonts w:asciiTheme="minorHAnsi" w:hAnsiTheme="minorHAnsi" w:cstheme="minorHAnsi"/>
        </w:rPr>
      </w:pPr>
      <w:r w:rsidRPr="002B7B32">
        <w:rPr>
          <w:rFonts w:asciiTheme="minorHAnsi" w:hAnsiTheme="minorHAnsi" w:cstheme="minorHAnsi"/>
        </w:rPr>
        <w:t xml:space="preserve">This </w:t>
      </w:r>
      <w:r>
        <w:rPr>
          <w:rFonts w:asciiTheme="minorHAnsi" w:hAnsiTheme="minorHAnsi" w:cstheme="minorHAnsi"/>
        </w:rPr>
        <w:t>initiative</w:t>
      </w:r>
      <w:r w:rsidRPr="002B7B32">
        <w:rPr>
          <w:rFonts w:asciiTheme="minorHAnsi" w:hAnsiTheme="minorHAnsi" w:cstheme="minorHAnsi"/>
        </w:rPr>
        <w:t xml:space="preserve"> will better target OTDs to areas of workforce need and reduce the number of OTDs entering Australia through the skilled migration program</w:t>
      </w:r>
      <w:r w:rsidR="00B55EFA">
        <w:rPr>
          <w:rFonts w:asciiTheme="minorHAnsi" w:hAnsiTheme="minorHAnsi" w:cstheme="minorHAnsi"/>
        </w:rPr>
        <w:t xml:space="preserve">, in order </w:t>
      </w:r>
      <w:r w:rsidRPr="002B7B32">
        <w:rPr>
          <w:rFonts w:asciiTheme="minorHAnsi" w:hAnsiTheme="minorHAnsi" w:cstheme="minorHAnsi"/>
        </w:rPr>
        <w:t>to better regulate supply.  Changes to the skilled migration occupation lists will occur</w:t>
      </w:r>
      <w:r w:rsidR="00B55EFA">
        <w:rPr>
          <w:rFonts w:asciiTheme="minorHAnsi" w:hAnsiTheme="minorHAnsi" w:cstheme="minorHAnsi"/>
        </w:rPr>
        <w:t>,</w:t>
      </w:r>
      <w:r w:rsidRPr="002B7B32">
        <w:rPr>
          <w:rFonts w:asciiTheme="minorHAnsi" w:hAnsiTheme="minorHAnsi" w:cstheme="minorHAnsi"/>
        </w:rPr>
        <w:t xml:space="preserve"> </w:t>
      </w:r>
      <w:r w:rsidR="00B55EFA">
        <w:rPr>
          <w:rFonts w:asciiTheme="minorHAnsi" w:hAnsiTheme="minorHAnsi" w:cstheme="minorHAnsi"/>
        </w:rPr>
        <w:t>as</w:t>
      </w:r>
      <w:r w:rsidRPr="002B7B32">
        <w:rPr>
          <w:rFonts w:asciiTheme="minorHAnsi" w:hAnsiTheme="minorHAnsi" w:cstheme="minorHAnsi"/>
        </w:rPr>
        <w:t xml:space="preserve"> required, as part of the regular process </w:t>
      </w:r>
      <w:r w:rsidR="00B55EFA">
        <w:rPr>
          <w:rFonts w:asciiTheme="minorHAnsi" w:hAnsiTheme="minorHAnsi" w:cstheme="minorHAnsi"/>
        </w:rPr>
        <w:t>to update</w:t>
      </w:r>
      <w:r w:rsidRPr="002B7B32">
        <w:rPr>
          <w:rFonts w:asciiTheme="minorHAnsi" w:hAnsiTheme="minorHAnsi" w:cstheme="minorHAnsi"/>
        </w:rPr>
        <w:t xml:space="preserve"> these lists.</w:t>
      </w:r>
    </w:p>
    <w:p w14:paraId="68B54630" w14:textId="77777777" w:rsidR="00AF7B16" w:rsidRPr="002B7B32" w:rsidRDefault="00AF7B16" w:rsidP="00AF7B16">
      <w:pPr>
        <w:rPr>
          <w:rFonts w:asciiTheme="minorHAnsi" w:hAnsiTheme="minorHAnsi" w:cstheme="minorHAnsi"/>
        </w:rPr>
      </w:pPr>
    </w:p>
    <w:p w14:paraId="0D528245" w14:textId="3EDAC37E" w:rsidR="00AF7B16" w:rsidRDefault="00AF7B16" w:rsidP="00AF7B16">
      <w:pPr>
        <w:rPr>
          <w:rFonts w:asciiTheme="minorHAnsi" w:hAnsiTheme="minorHAnsi" w:cstheme="minorHAnsi"/>
        </w:rPr>
      </w:pPr>
      <w:r w:rsidRPr="002B7B32">
        <w:rPr>
          <w:rFonts w:asciiTheme="minorHAnsi" w:hAnsiTheme="minorHAnsi" w:cstheme="minorHAnsi"/>
        </w:rPr>
        <w:t xml:space="preserve">The regulatory </w:t>
      </w:r>
      <w:r w:rsidR="00B55EFA">
        <w:rPr>
          <w:rFonts w:asciiTheme="minorHAnsi" w:hAnsiTheme="minorHAnsi" w:cstheme="minorHAnsi"/>
        </w:rPr>
        <w:t xml:space="preserve">and other </w:t>
      </w:r>
      <w:r w:rsidRPr="002B7B32">
        <w:rPr>
          <w:rFonts w:asciiTheme="minorHAnsi" w:hAnsiTheme="minorHAnsi" w:cstheme="minorHAnsi"/>
        </w:rPr>
        <w:t>impact</w:t>
      </w:r>
      <w:r w:rsidR="00B55EFA">
        <w:rPr>
          <w:rFonts w:asciiTheme="minorHAnsi" w:hAnsiTheme="minorHAnsi" w:cstheme="minorHAnsi"/>
        </w:rPr>
        <w:t>s</w:t>
      </w:r>
      <w:r w:rsidRPr="002B7B32">
        <w:rPr>
          <w:rFonts w:asciiTheme="minorHAnsi" w:hAnsiTheme="minorHAnsi" w:cstheme="minorHAnsi"/>
        </w:rPr>
        <w:t xml:space="preserve"> of this </w:t>
      </w:r>
      <w:r>
        <w:rPr>
          <w:rFonts w:asciiTheme="minorHAnsi" w:hAnsiTheme="minorHAnsi" w:cstheme="minorHAnsi"/>
        </w:rPr>
        <w:t>initiative</w:t>
      </w:r>
      <w:r w:rsidRPr="002B7B32">
        <w:rPr>
          <w:rFonts w:asciiTheme="minorHAnsi" w:hAnsiTheme="minorHAnsi" w:cstheme="minorHAnsi"/>
        </w:rPr>
        <w:t xml:space="preserve"> include:</w:t>
      </w:r>
    </w:p>
    <w:p w14:paraId="315C5AF2" w14:textId="0CD91E4D" w:rsidR="00AF7B16" w:rsidRPr="002B7B32" w:rsidRDefault="008D29FB" w:rsidP="00AF7B16">
      <w:pPr>
        <w:pStyle w:val="ListParagraph"/>
        <w:numPr>
          <w:ilvl w:val="0"/>
          <w:numId w:val="8"/>
        </w:numPr>
        <w:rPr>
          <w:rFonts w:asciiTheme="minorHAnsi" w:hAnsiTheme="minorHAnsi" w:cstheme="minorHAnsi"/>
        </w:rPr>
      </w:pPr>
      <w:r>
        <w:rPr>
          <w:rFonts w:asciiTheme="minorHAnsi" w:hAnsiTheme="minorHAnsi" w:cstheme="minorHAnsi"/>
        </w:rPr>
        <w:t>g</w:t>
      </w:r>
      <w:r w:rsidR="00AF7B16" w:rsidRPr="002B7B32">
        <w:rPr>
          <w:rFonts w:asciiTheme="minorHAnsi" w:hAnsiTheme="minorHAnsi" w:cstheme="minorHAnsi"/>
        </w:rPr>
        <w:t>eneral practices who intend to engage an OTD will be required to submit an application with their local Regional Workforce Agency (RWA)</w:t>
      </w:r>
      <w:r w:rsidR="00B55EFA">
        <w:rPr>
          <w:rFonts w:asciiTheme="minorHAnsi" w:hAnsiTheme="minorHAnsi" w:cstheme="minorHAnsi"/>
        </w:rPr>
        <w:t>,</w:t>
      </w:r>
      <w:r w:rsidR="00AF7B16" w:rsidRPr="002B7B32">
        <w:rPr>
          <w:rFonts w:asciiTheme="minorHAnsi" w:hAnsiTheme="minorHAnsi" w:cstheme="minorHAnsi"/>
        </w:rPr>
        <w:t xml:space="preserve"> requesting certification </w:t>
      </w:r>
      <w:r w:rsidR="00B55EFA">
        <w:rPr>
          <w:rFonts w:asciiTheme="minorHAnsi" w:hAnsiTheme="minorHAnsi" w:cstheme="minorHAnsi"/>
        </w:rPr>
        <w:t>of</w:t>
      </w:r>
      <w:r w:rsidR="00AF7B16" w:rsidRPr="002B7B32">
        <w:rPr>
          <w:rFonts w:asciiTheme="minorHAnsi" w:hAnsiTheme="minorHAnsi" w:cstheme="minorHAnsi"/>
        </w:rPr>
        <w:t xml:space="preserve"> the proposed vacant position.  There will be no costs imposed on businesses for this assessment process except administrative costs associated with completing the application form. </w:t>
      </w:r>
    </w:p>
    <w:p w14:paraId="3F19D380" w14:textId="1784B68D" w:rsidR="00AF7B16" w:rsidRDefault="00AF7B16" w:rsidP="00AF7B16">
      <w:pPr>
        <w:pStyle w:val="ListParagraph"/>
        <w:numPr>
          <w:ilvl w:val="0"/>
          <w:numId w:val="8"/>
        </w:numPr>
        <w:rPr>
          <w:rFonts w:asciiTheme="minorHAnsi" w:hAnsiTheme="minorHAnsi" w:cstheme="minorHAnsi"/>
        </w:rPr>
      </w:pPr>
      <w:r w:rsidRPr="002B7B32">
        <w:rPr>
          <w:rFonts w:asciiTheme="minorHAnsi" w:hAnsiTheme="minorHAnsi" w:cstheme="minorHAnsi"/>
        </w:rPr>
        <w:t>RWAs will be required to assess if a position falls within an area of workforce shortage and will either certify the position or reject the application.  RWAs will provide benefit to patients through improved, independent, evidence-based management and distribution of incoming OTDs into areas of workforce shortage</w:t>
      </w:r>
      <w:r>
        <w:rPr>
          <w:rFonts w:asciiTheme="minorHAnsi" w:hAnsiTheme="minorHAnsi" w:cstheme="minorHAnsi"/>
        </w:rPr>
        <w:t>,</w:t>
      </w:r>
      <w:r w:rsidRPr="002B7B32">
        <w:rPr>
          <w:rFonts w:asciiTheme="minorHAnsi" w:hAnsiTheme="minorHAnsi" w:cstheme="minorHAnsi"/>
        </w:rPr>
        <w:t xml:space="preserve"> thereby providing greater access to health care for patients, particularly in regional areas.</w:t>
      </w:r>
    </w:p>
    <w:p w14:paraId="595BF0C0" w14:textId="5BCBE0B6" w:rsidR="00635F27" w:rsidRPr="002B7B32" w:rsidRDefault="009F0498" w:rsidP="00AF7B16">
      <w:pPr>
        <w:pStyle w:val="ListParagraph"/>
        <w:numPr>
          <w:ilvl w:val="0"/>
          <w:numId w:val="8"/>
        </w:numPr>
        <w:rPr>
          <w:rFonts w:asciiTheme="minorHAnsi" w:hAnsiTheme="minorHAnsi" w:cstheme="minorHAnsi"/>
        </w:rPr>
      </w:pPr>
      <w:r>
        <w:rPr>
          <w:rFonts w:asciiTheme="minorHAnsi" w:hAnsiTheme="minorHAnsi" w:cstheme="minorHAnsi"/>
        </w:rPr>
        <w:t>s</w:t>
      </w:r>
      <w:r w:rsidR="00635F27">
        <w:rPr>
          <w:rFonts w:asciiTheme="minorHAnsi" w:hAnsiTheme="minorHAnsi" w:cstheme="minorHAnsi"/>
        </w:rPr>
        <w:t xml:space="preserve">killed migration occupation lists are regularly updated from time to time and will incorporate any changes reflecting medical practitioner occupations. As this exercise is undertaken by government (Home Affairs), no red tape implications are applicable. </w:t>
      </w:r>
      <w:r w:rsidR="00B55EFA">
        <w:rPr>
          <w:rFonts w:asciiTheme="minorHAnsi" w:hAnsiTheme="minorHAnsi" w:cstheme="minorHAnsi"/>
        </w:rPr>
        <w:t>Approximately 200</w:t>
      </w:r>
      <w:r w:rsidR="00635F27">
        <w:rPr>
          <w:rFonts w:asciiTheme="minorHAnsi" w:hAnsiTheme="minorHAnsi" w:cstheme="minorHAnsi"/>
        </w:rPr>
        <w:t xml:space="preserve"> individuals seeking to migrate as doctors </w:t>
      </w:r>
      <w:r w:rsidR="00B55EFA">
        <w:rPr>
          <w:rFonts w:asciiTheme="minorHAnsi" w:hAnsiTheme="minorHAnsi" w:cstheme="minorHAnsi"/>
        </w:rPr>
        <w:t xml:space="preserve">annually </w:t>
      </w:r>
      <w:r w:rsidR="00635F27">
        <w:rPr>
          <w:rFonts w:asciiTheme="minorHAnsi" w:hAnsiTheme="minorHAnsi" w:cstheme="minorHAnsi"/>
        </w:rPr>
        <w:t>will no longer</w:t>
      </w:r>
      <w:r w:rsidR="00B55EFA">
        <w:rPr>
          <w:rFonts w:asciiTheme="minorHAnsi" w:hAnsiTheme="minorHAnsi" w:cstheme="minorHAnsi"/>
        </w:rPr>
        <w:t xml:space="preserve"> be eligible for grant of visas and, consequently, will no longer be required to complete migration application documentation.</w:t>
      </w:r>
      <w:r w:rsidR="00813FD8">
        <w:rPr>
          <w:rFonts w:asciiTheme="minorHAnsi" w:hAnsiTheme="minorHAnsi" w:cstheme="minorHAnsi"/>
        </w:rPr>
        <w:t xml:space="preserve"> </w:t>
      </w:r>
      <w:r w:rsidR="00B55EFA">
        <w:rPr>
          <w:rFonts w:asciiTheme="minorHAnsi" w:hAnsiTheme="minorHAnsi" w:cstheme="minorHAnsi"/>
        </w:rPr>
        <w:t xml:space="preserve">The savings in red tape associated with this measure have been estimated and are included in </w:t>
      </w:r>
      <w:r w:rsidR="002A2749">
        <w:rPr>
          <w:rFonts w:asciiTheme="minorHAnsi" w:hAnsiTheme="minorHAnsi" w:cstheme="minorHAnsi"/>
          <w:u w:val="single"/>
        </w:rPr>
        <w:t>Attachment A</w:t>
      </w:r>
      <w:r w:rsidR="00B55EFA">
        <w:rPr>
          <w:rFonts w:asciiTheme="minorHAnsi" w:hAnsiTheme="minorHAnsi" w:cstheme="minorHAnsi"/>
        </w:rPr>
        <w:t>.</w:t>
      </w:r>
      <w:r w:rsidR="00635F27">
        <w:rPr>
          <w:rFonts w:asciiTheme="minorHAnsi" w:hAnsiTheme="minorHAnsi" w:cstheme="minorHAnsi"/>
        </w:rPr>
        <w:t xml:space="preserve"> </w:t>
      </w:r>
    </w:p>
    <w:p w14:paraId="5CD3AA51" w14:textId="77777777" w:rsidR="00AF7B16" w:rsidRPr="002B7B32" w:rsidRDefault="00AF7B16" w:rsidP="00AF7B16">
      <w:pPr>
        <w:rPr>
          <w:rFonts w:asciiTheme="minorHAnsi" w:hAnsiTheme="minorHAnsi" w:cstheme="minorHAnsi"/>
        </w:rPr>
      </w:pPr>
    </w:p>
    <w:p w14:paraId="3F39D6F1" w14:textId="77777777" w:rsidR="00AF7B16" w:rsidRPr="002B7B32" w:rsidRDefault="00AF7B16" w:rsidP="00AF7B16">
      <w:pPr>
        <w:rPr>
          <w:rFonts w:asciiTheme="minorHAnsi" w:hAnsiTheme="minorHAnsi" w:cstheme="minorHAnsi"/>
        </w:rPr>
      </w:pPr>
      <w:r w:rsidRPr="002B7B32">
        <w:rPr>
          <w:rFonts w:asciiTheme="minorHAnsi" w:hAnsiTheme="minorHAnsi" w:cstheme="minorHAnsi"/>
          <w:b/>
        </w:rPr>
        <w:t>Addressing Doctor Shortages Across Rural and Remote Areas by Enhancing Bonded Programs</w:t>
      </w:r>
    </w:p>
    <w:p w14:paraId="28F7BC82" w14:textId="3B01FCF5" w:rsidR="00AF7B16" w:rsidRDefault="00AF7B16" w:rsidP="00AF7B16">
      <w:pPr>
        <w:rPr>
          <w:rFonts w:asciiTheme="minorHAnsi" w:hAnsiTheme="minorHAnsi" w:cstheme="minorHAnsi"/>
        </w:rPr>
      </w:pPr>
      <w:r>
        <w:rPr>
          <w:rFonts w:asciiTheme="minorHAnsi" w:hAnsiTheme="minorHAnsi" w:cstheme="minorHAnsi"/>
        </w:rPr>
        <w:t>Australia faces a potential oversupply of medical practitioners but still has areas of doctor shortage, especially in rural and remote areas. Bonded programs are designed to address this issue by providing incentives for more doctors to work and stay in areas of need. Current bonded medical programs provide students with a medical place in re</w:t>
      </w:r>
      <w:r w:rsidR="001A3AB2">
        <w:rPr>
          <w:rFonts w:asciiTheme="minorHAnsi" w:hAnsiTheme="minorHAnsi" w:cstheme="minorHAnsi"/>
        </w:rPr>
        <w:t>turn for a commitment to practis</w:t>
      </w:r>
      <w:r>
        <w:rPr>
          <w:rFonts w:asciiTheme="minorHAnsi" w:hAnsiTheme="minorHAnsi" w:cstheme="minorHAnsi"/>
        </w:rPr>
        <w:t xml:space="preserve">e in areas of workforce shortage for a specified period. </w:t>
      </w:r>
    </w:p>
    <w:p w14:paraId="4307A2B7" w14:textId="77777777" w:rsidR="00AF7B16" w:rsidRDefault="00AF7B16" w:rsidP="00AF7B16">
      <w:pPr>
        <w:rPr>
          <w:rFonts w:asciiTheme="minorHAnsi" w:hAnsiTheme="minorHAnsi" w:cstheme="minorHAnsi"/>
        </w:rPr>
      </w:pPr>
    </w:p>
    <w:p w14:paraId="16FA1801" w14:textId="7A03DF78" w:rsidR="00AF7B16" w:rsidRDefault="00AF7B16" w:rsidP="00AF7B16">
      <w:pPr>
        <w:rPr>
          <w:rFonts w:asciiTheme="minorHAnsi" w:hAnsiTheme="minorHAnsi" w:cstheme="minorHAnsi"/>
        </w:rPr>
      </w:pPr>
      <w:r w:rsidRPr="002B7B32">
        <w:rPr>
          <w:rFonts w:asciiTheme="minorHAnsi" w:hAnsiTheme="minorHAnsi" w:cstheme="minorHAnsi"/>
        </w:rPr>
        <w:t xml:space="preserve">The </w:t>
      </w:r>
      <w:r w:rsidRPr="00D45733">
        <w:rPr>
          <w:rFonts w:asciiTheme="minorHAnsi" w:hAnsiTheme="minorHAnsi" w:cstheme="minorHAnsi"/>
          <w:b/>
        </w:rPr>
        <w:t xml:space="preserve">Addressing Doctor Shortages </w:t>
      </w:r>
      <w:r w:rsidR="00040603" w:rsidRPr="00D45733">
        <w:rPr>
          <w:rFonts w:asciiTheme="minorHAnsi" w:hAnsiTheme="minorHAnsi" w:cstheme="minorHAnsi"/>
          <w:b/>
        </w:rPr>
        <w:t>across</w:t>
      </w:r>
      <w:r w:rsidRPr="00D45733">
        <w:rPr>
          <w:rFonts w:asciiTheme="minorHAnsi" w:hAnsiTheme="minorHAnsi" w:cstheme="minorHAnsi"/>
          <w:b/>
        </w:rPr>
        <w:t xml:space="preserve"> Rural and Remote Areas by Enhancing Bonded Programs </w:t>
      </w:r>
      <w:r w:rsidRPr="0052028F">
        <w:rPr>
          <w:rFonts w:asciiTheme="minorHAnsi" w:hAnsiTheme="minorHAnsi" w:cstheme="minorHAnsi"/>
        </w:rPr>
        <w:t>(Bonded Programs)</w:t>
      </w:r>
      <w:r>
        <w:rPr>
          <w:rFonts w:asciiTheme="minorHAnsi" w:hAnsiTheme="minorHAnsi" w:cstheme="minorHAnsi"/>
        </w:rPr>
        <w:t xml:space="preserve"> initiative</w:t>
      </w:r>
      <w:r w:rsidRPr="002B7B32">
        <w:rPr>
          <w:rFonts w:asciiTheme="minorHAnsi" w:hAnsiTheme="minorHAnsi" w:cstheme="minorHAnsi"/>
        </w:rPr>
        <w:t xml:space="preserve"> will increase program participation and completion rates </w:t>
      </w:r>
      <w:r w:rsidRPr="00B72DE3">
        <w:rPr>
          <w:rFonts w:asciiTheme="minorHAnsi" w:hAnsiTheme="minorHAnsi" w:cstheme="minorHAnsi"/>
        </w:rPr>
        <w:t>and deliver higher numbers of VR GPs to areas of workforce shortage</w:t>
      </w:r>
      <w:r>
        <w:rPr>
          <w:rFonts w:asciiTheme="minorHAnsi" w:hAnsiTheme="minorHAnsi" w:cstheme="minorHAnsi"/>
        </w:rPr>
        <w:t xml:space="preserve"> by delivering a more </w:t>
      </w:r>
      <w:r>
        <w:rPr>
          <w:rFonts w:asciiTheme="minorHAnsi" w:hAnsiTheme="minorHAnsi" w:cstheme="minorHAnsi"/>
        </w:rPr>
        <w:lastRenderedPageBreak/>
        <w:t xml:space="preserve">flexible system of engagement. The new system will simplify administrative arrangements </w:t>
      </w:r>
      <w:r w:rsidRPr="0043062A">
        <w:rPr>
          <w:rFonts w:asciiTheme="minorHAnsi" w:hAnsiTheme="minorHAnsi" w:cstheme="minorHAnsi"/>
        </w:rPr>
        <w:t xml:space="preserve">by moving from </w:t>
      </w:r>
      <w:r>
        <w:rPr>
          <w:rFonts w:asciiTheme="minorHAnsi" w:hAnsiTheme="minorHAnsi" w:cstheme="minorHAnsi"/>
        </w:rPr>
        <w:t xml:space="preserve">complex </w:t>
      </w:r>
      <w:r w:rsidRPr="0043062A">
        <w:rPr>
          <w:rFonts w:asciiTheme="minorHAnsi" w:hAnsiTheme="minorHAnsi" w:cstheme="minorHAnsi"/>
        </w:rPr>
        <w:t>individual contract arrangements to a legislated program, establishing a new</w:t>
      </w:r>
      <w:r>
        <w:rPr>
          <w:rFonts w:asciiTheme="minorHAnsi" w:hAnsiTheme="minorHAnsi" w:cstheme="minorHAnsi"/>
        </w:rPr>
        <w:t>, consistent</w:t>
      </w:r>
      <w:r w:rsidRPr="0043062A">
        <w:rPr>
          <w:rFonts w:asciiTheme="minorHAnsi" w:hAnsiTheme="minorHAnsi" w:cstheme="minorHAnsi"/>
        </w:rPr>
        <w:t xml:space="preserve"> three year return of service obligation (RoSO), and by developing interactive online tools to better support bonded students and doctors to manage their bonded arrangements</w:t>
      </w:r>
      <w:r>
        <w:rPr>
          <w:rFonts w:asciiTheme="minorHAnsi" w:hAnsiTheme="minorHAnsi" w:cstheme="minorHAnsi"/>
        </w:rPr>
        <w:t>.</w:t>
      </w:r>
    </w:p>
    <w:p w14:paraId="1377A9D2" w14:textId="77777777" w:rsidR="00AF7B16" w:rsidRDefault="00AF7B16" w:rsidP="00AF7B16">
      <w:pPr>
        <w:rPr>
          <w:rFonts w:asciiTheme="minorHAnsi" w:hAnsiTheme="minorHAnsi" w:cstheme="minorHAnsi"/>
        </w:rPr>
      </w:pPr>
    </w:p>
    <w:p w14:paraId="70BA8D64" w14:textId="7DABDB09" w:rsidR="00AF7B16" w:rsidRPr="0052028F" w:rsidRDefault="00AF7B16" w:rsidP="00AF7B16">
      <w:pPr>
        <w:rPr>
          <w:rFonts w:asciiTheme="minorHAnsi" w:hAnsiTheme="minorHAnsi" w:cstheme="minorHAnsi"/>
        </w:rPr>
      </w:pPr>
      <w:r>
        <w:rPr>
          <w:rFonts w:asciiTheme="minorHAnsi" w:hAnsiTheme="minorHAnsi" w:cstheme="minorHAnsi"/>
        </w:rPr>
        <w:t>New medical school students entering a bonded program will participate under the new arrangements from 1 January 2020. Approximately 9,000 students and doctors who currently participate in the existing Bonded Medical Places (BMP) and Medical Rural Bonded Scholarship (MRBS) Scheme will be eligible to access the new arrangements.</w:t>
      </w:r>
      <w:r w:rsidR="00B55EFA">
        <w:rPr>
          <w:rFonts w:asciiTheme="minorHAnsi" w:hAnsiTheme="minorHAnsi" w:cstheme="minorHAnsi"/>
        </w:rPr>
        <w:t xml:space="preserve"> </w:t>
      </w:r>
    </w:p>
    <w:p w14:paraId="3FCF26B2" w14:textId="77777777" w:rsidR="00AF7B16" w:rsidRDefault="00AF7B16" w:rsidP="00AF7B16">
      <w:pPr>
        <w:rPr>
          <w:rFonts w:asciiTheme="minorHAnsi" w:hAnsiTheme="minorHAnsi" w:cstheme="minorHAnsi"/>
        </w:rPr>
      </w:pPr>
    </w:p>
    <w:p w14:paraId="090C4DC3" w14:textId="7A2E8E70" w:rsidR="00AF7B16" w:rsidRPr="0052028F" w:rsidRDefault="00AF7B16" w:rsidP="00AF7B16">
      <w:pPr>
        <w:rPr>
          <w:rFonts w:asciiTheme="minorHAnsi" w:hAnsiTheme="minorHAnsi" w:cstheme="minorHAnsi"/>
        </w:rPr>
      </w:pPr>
      <w:r>
        <w:rPr>
          <w:rFonts w:asciiTheme="minorHAnsi" w:hAnsiTheme="minorHAnsi" w:cstheme="minorHAnsi"/>
        </w:rPr>
        <w:t xml:space="preserve">An investment of $20.2 million over four years from 2018-19 will support the reforms under the Bonded Programs. </w:t>
      </w:r>
      <w:r w:rsidRPr="0052028F">
        <w:rPr>
          <w:rFonts w:asciiTheme="minorHAnsi" w:hAnsiTheme="minorHAnsi" w:cstheme="minorHAnsi"/>
        </w:rPr>
        <w:t xml:space="preserve">Australians living and working in regional, rural and remote areas will </w:t>
      </w:r>
      <w:r>
        <w:rPr>
          <w:rFonts w:asciiTheme="minorHAnsi" w:hAnsiTheme="minorHAnsi" w:cstheme="minorHAnsi"/>
        </w:rPr>
        <w:t>benefit from this initiative through</w:t>
      </w:r>
      <w:r w:rsidRPr="0052028F">
        <w:rPr>
          <w:rFonts w:asciiTheme="minorHAnsi" w:hAnsiTheme="minorHAnsi" w:cstheme="minorHAnsi"/>
        </w:rPr>
        <w:t xml:space="preserve"> increased access to VR GPs</w:t>
      </w:r>
      <w:r>
        <w:rPr>
          <w:rFonts w:asciiTheme="minorHAnsi" w:hAnsiTheme="minorHAnsi" w:cstheme="minorHAnsi"/>
        </w:rPr>
        <w:t>.</w:t>
      </w:r>
      <w:r w:rsidR="00B55EFA">
        <w:rPr>
          <w:rFonts w:asciiTheme="minorHAnsi" w:hAnsiTheme="minorHAnsi" w:cstheme="minorHAnsi"/>
        </w:rPr>
        <w:t xml:space="preserve"> No net changes in regulatory impact are anticipated from this measure.</w:t>
      </w:r>
    </w:p>
    <w:p w14:paraId="380FF62D" w14:textId="77777777" w:rsidR="00AF7B16" w:rsidRPr="0052028F" w:rsidRDefault="00AF7B16" w:rsidP="00AF7B16">
      <w:pPr>
        <w:rPr>
          <w:rFonts w:asciiTheme="minorHAnsi" w:hAnsiTheme="minorHAnsi" w:cstheme="minorHAnsi"/>
        </w:rPr>
      </w:pPr>
    </w:p>
    <w:p w14:paraId="5763E900" w14:textId="77777777" w:rsidR="00AF7B16" w:rsidRPr="0052028F" w:rsidRDefault="00AF7B16" w:rsidP="00AF7B16">
      <w:pPr>
        <w:rPr>
          <w:rFonts w:asciiTheme="minorHAnsi" w:hAnsiTheme="minorHAnsi" w:cstheme="minorHAnsi"/>
        </w:rPr>
      </w:pPr>
      <w:r w:rsidRPr="0052028F">
        <w:rPr>
          <w:rFonts w:asciiTheme="minorHAnsi" w:hAnsiTheme="minorHAnsi" w:cstheme="minorHAnsi"/>
          <w:b/>
        </w:rPr>
        <w:t>Supporting Rural and Remote Areas through Improved Targeting of Rural Bulk Billing Incentives</w:t>
      </w:r>
      <w:r w:rsidRPr="0052028F">
        <w:rPr>
          <w:rFonts w:asciiTheme="minorHAnsi" w:hAnsiTheme="minorHAnsi" w:cstheme="minorHAnsi"/>
        </w:rPr>
        <w:t xml:space="preserve"> </w:t>
      </w:r>
    </w:p>
    <w:p w14:paraId="2EEE77DF" w14:textId="12AF7565" w:rsidR="00AF7B16" w:rsidRPr="006A6EB7" w:rsidRDefault="00AF7B16" w:rsidP="00AF7B16">
      <w:pPr>
        <w:rPr>
          <w:rFonts w:asciiTheme="minorHAnsi" w:hAnsiTheme="minorHAnsi" w:cstheme="minorHAnsi"/>
          <w:strike/>
          <w:color w:val="FF0000"/>
        </w:rPr>
      </w:pPr>
      <w:r w:rsidRPr="00B55EFA">
        <w:rPr>
          <w:rFonts w:asciiTheme="minorHAnsi" w:hAnsiTheme="minorHAnsi" w:cstheme="minorHAnsi"/>
        </w:rPr>
        <w:t>The Supporting Rural and Remote Areas through Improved Targeting of Rural Bulk Billing Incentives (Bulk</w:t>
      </w:r>
      <w:r>
        <w:rPr>
          <w:rFonts w:asciiTheme="minorHAnsi" w:hAnsiTheme="minorHAnsi" w:cstheme="minorHAnsi"/>
        </w:rPr>
        <w:t xml:space="preserve"> Billing) program aims to ensure that bulk billing incentives intended for </w:t>
      </w:r>
      <w:r w:rsidRPr="00717CFC">
        <w:rPr>
          <w:rFonts w:asciiTheme="minorHAnsi" w:hAnsiTheme="minorHAnsi" w:cstheme="minorHAnsi"/>
        </w:rPr>
        <w:t xml:space="preserve">vulnerable populations in rural and remote areas (MBS items 10991, 64991 and 74991) are restricted to only those areas. These items are targeted to vulnerable patient groups, such as people with concession cards and children under 16 years of age in rural and remote </w:t>
      </w:r>
      <w:r w:rsidR="00680324">
        <w:rPr>
          <w:rFonts w:asciiTheme="minorHAnsi" w:hAnsiTheme="minorHAnsi" w:cstheme="minorHAnsi"/>
        </w:rPr>
        <w:t>locations</w:t>
      </w:r>
      <w:r w:rsidRPr="00717CFC">
        <w:rPr>
          <w:rFonts w:asciiTheme="minorHAnsi" w:hAnsiTheme="minorHAnsi" w:cstheme="minorHAnsi"/>
        </w:rPr>
        <w:t xml:space="preserve">. The incentive will update </w:t>
      </w:r>
      <w:r>
        <w:rPr>
          <w:rFonts w:asciiTheme="minorHAnsi" w:hAnsiTheme="minorHAnsi" w:cstheme="minorHAnsi"/>
        </w:rPr>
        <w:t>the eligibility requirements of the MBS items from Rural Remote and Metropolitan Areas (RRMA) 3-7 to MM remoteness classification 2-7.</w:t>
      </w:r>
      <w:r w:rsidRPr="006A6EB7">
        <w:rPr>
          <w:rFonts w:asciiTheme="minorHAnsi" w:hAnsiTheme="minorHAnsi" w:cstheme="minorHAnsi"/>
          <w:strike/>
          <w:color w:val="FF0000"/>
        </w:rPr>
        <w:t xml:space="preserve"> </w:t>
      </w:r>
    </w:p>
    <w:p w14:paraId="0D797BCF" w14:textId="77777777" w:rsidR="00AF7B16" w:rsidRDefault="00AF7B16" w:rsidP="00AF7B16">
      <w:pPr>
        <w:rPr>
          <w:rFonts w:asciiTheme="minorHAnsi" w:hAnsiTheme="minorHAnsi" w:cstheme="minorHAnsi"/>
        </w:rPr>
      </w:pPr>
    </w:p>
    <w:p w14:paraId="088F66DB" w14:textId="77777777" w:rsidR="00AF7B16" w:rsidRPr="00717CFC" w:rsidRDefault="00AF7B16" w:rsidP="00AF7B16">
      <w:pPr>
        <w:rPr>
          <w:rFonts w:asciiTheme="minorHAnsi" w:hAnsiTheme="minorHAnsi" w:cstheme="minorHAnsi"/>
        </w:rPr>
      </w:pPr>
      <w:r>
        <w:rPr>
          <w:rFonts w:asciiTheme="minorHAnsi" w:hAnsiTheme="minorHAnsi" w:cstheme="minorHAnsi"/>
        </w:rPr>
        <w:t xml:space="preserve">Under this incentive, around 2,100 additional doctors in rural communities will have access to the rural bulk billing MBS items. A number of areas will lose access to the bulk billing incentives under this initiative. Importantly, use of the outdated classification system for the current incentive program has resulted in these areas having access to, but not a current need for, these items. Some of these areas currently have the highest concentration of doctors in Australia. Other areas have experienced major city growth since 1991 and now have populations greater </w:t>
      </w:r>
      <w:r w:rsidRPr="00717CFC">
        <w:rPr>
          <w:rFonts w:asciiTheme="minorHAnsi" w:hAnsiTheme="minorHAnsi" w:cstheme="minorHAnsi"/>
        </w:rPr>
        <w:t xml:space="preserve">than 20,000. </w:t>
      </w:r>
    </w:p>
    <w:p w14:paraId="00698AF2" w14:textId="77777777" w:rsidR="00AF7B16" w:rsidRPr="00717CFC" w:rsidRDefault="00AF7B16" w:rsidP="00AF7B16">
      <w:pPr>
        <w:rPr>
          <w:rFonts w:asciiTheme="minorHAnsi" w:hAnsiTheme="minorHAnsi" w:cstheme="minorHAnsi"/>
        </w:rPr>
      </w:pPr>
    </w:p>
    <w:p w14:paraId="6C041FE8" w14:textId="2D92F20E" w:rsidR="00AF7B16" w:rsidRDefault="00AF7B16" w:rsidP="00AF7B16">
      <w:pPr>
        <w:rPr>
          <w:rFonts w:asciiTheme="minorHAnsi" w:hAnsiTheme="minorHAnsi" w:cstheme="minorHAnsi"/>
        </w:rPr>
      </w:pPr>
      <w:r w:rsidRPr="00717CFC">
        <w:rPr>
          <w:rFonts w:asciiTheme="minorHAnsi" w:hAnsiTheme="minorHAnsi" w:cstheme="minorHAnsi"/>
        </w:rPr>
        <w:t xml:space="preserve">An impact of this initiative is that approximately 7,000 doctors in major cities that billed against items 10991, 64991 and 74991 will no longer be eligible to do so. </w:t>
      </w:r>
    </w:p>
    <w:p w14:paraId="12C367FB" w14:textId="624138D5" w:rsidR="00F759DF" w:rsidRPr="00717CFC" w:rsidRDefault="00F759DF" w:rsidP="00AF7B16">
      <w:pPr>
        <w:rPr>
          <w:rFonts w:asciiTheme="minorHAnsi" w:hAnsiTheme="minorHAnsi" w:cstheme="minorHAnsi"/>
        </w:rPr>
      </w:pPr>
      <w:r>
        <w:rPr>
          <w:rFonts w:asciiTheme="minorHAnsi" w:hAnsiTheme="minorHAnsi" w:cstheme="minorHAnsi"/>
        </w:rPr>
        <w:t>No net changes in regulatory impact for businesses are anticipated as the management of changes to MBS item numbers is considered a business-as-usual activity for GP practices. Similarly, there are no changes in net impact for individuals (doctors) since an item number need be allocated against each service provided under Medicare and only some item numbers eligible to be claimed against will change.</w:t>
      </w:r>
    </w:p>
    <w:p w14:paraId="176474FB" w14:textId="77777777" w:rsidR="00040603" w:rsidRDefault="00040603" w:rsidP="00AF7B16">
      <w:pPr>
        <w:rPr>
          <w:rFonts w:asciiTheme="minorHAnsi" w:hAnsiTheme="minorHAnsi" w:cstheme="minorHAnsi"/>
          <w:b/>
        </w:rPr>
      </w:pPr>
    </w:p>
    <w:p w14:paraId="0B555B58" w14:textId="77777777" w:rsidR="00AF7B16" w:rsidRPr="00717CFC" w:rsidRDefault="00AF7B16" w:rsidP="00AF7B16">
      <w:pPr>
        <w:rPr>
          <w:rFonts w:asciiTheme="minorHAnsi" w:hAnsiTheme="minorHAnsi" w:cstheme="minorHAnsi"/>
        </w:rPr>
      </w:pPr>
      <w:r w:rsidRPr="00717CFC">
        <w:rPr>
          <w:rFonts w:asciiTheme="minorHAnsi" w:hAnsiTheme="minorHAnsi" w:cstheme="minorHAnsi"/>
          <w:b/>
        </w:rPr>
        <w:t>Improved Workforce Distribution through a Health Demand and Supply Planning (HeaDS UPP) Tool</w:t>
      </w:r>
      <w:r w:rsidRPr="00717CFC">
        <w:rPr>
          <w:rFonts w:asciiTheme="minorHAnsi" w:hAnsiTheme="minorHAnsi" w:cstheme="minorHAnsi"/>
        </w:rPr>
        <w:t xml:space="preserve"> </w:t>
      </w:r>
    </w:p>
    <w:p w14:paraId="649DE34F" w14:textId="64AA4785" w:rsidR="00AF7B16" w:rsidRPr="0052028F" w:rsidRDefault="00680324" w:rsidP="00AF7B16">
      <w:pPr>
        <w:rPr>
          <w:rFonts w:asciiTheme="minorHAnsi" w:hAnsiTheme="minorHAnsi" w:cstheme="minorHAnsi"/>
        </w:rPr>
      </w:pPr>
      <w:r>
        <w:rPr>
          <w:rFonts w:asciiTheme="minorHAnsi" w:hAnsiTheme="minorHAnsi" w:cstheme="minorHAnsi"/>
        </w:rPr>
        <w:t xml:space="preserve">Australian </w:t>
      </w:r>
      <w:r w:rsidR="00AF7B16" w:rsidRPr="00717CFC">
        <w:rPr>
          <w:rFonts w:asciiTheme="minorHAnsi" w:hAnsiTheme="minorHAnsi" w:cstheme="minorHAnsi"/>
        </w:rPr>
        <w:t>doctors</w:t>
      </w:r>
      <w:r>
        <w:rPr>
          <w:rFonts w:asciiTheme="minorHAnsi" w:hAnsiTheme="minorHAnsi" w:cstheme="minorHAnsi"/>
        </w:rPr>
        <w:t xml:space="preserve"> are </w:t>
      </w:r>
      <w:r w:rsidR="00AF7B16" w:rsidRPr="00717CFC">
        <w:rPr>
          <w:rFonts w:asciiTheme="minorHAnsi" w:hAnsiTheme="minorHAnsi" w:cstheme="minorHAnsi"/>
        </w:rPr>
        <w:t xml:space="preserve">not </w:t>
      </w:r>
      <w:r>
        <w:rPr>
          <w:rFonts w:asciiTheme="minorHAnsi" w:hAnsiTheme="minorHAnsi" w:cstheme="minorHAnsi"/>
        </w:rPr>
        <w:t>optimally</w:t>
      </w:r>
      <w:r w:rsidR="00AF7B16" w:rsidRPr="00717CFC">
        <w:rPr>
          <w:rFonts w:asciiTheme="minorHAnsi" w:hAnsiTheme="minorHAnsi" w:cstheme="minorHAnsi"/>
        </w:rPr>
        <w:t xml:space="preserve"> distributed according to local need. The HeaDS UPP tool will help address this maldistribution by delivering a health workforce analysis and planning tool that generate</w:t>
      </w:r>
      <w:r>
        <w:rPr>
          <w:rFonts w:asciiTheme="minorHAnsi" w:hAnsiTheme="minorHAnsi" w:cstheme="minorHAnsi"/>
        </w:rPr>
        <w:t>s</w:t>
      </w:r>
      <w:r w:rsidR="00AF7B16" w:rsidRPr="00717CFC">
        <w:rPr>
          <w:rFonts w:asciiTheme="minorHAnsi" w:hAnsiTheme="minorHAnsi" w:cstheme="minorHAnsi"/>
        </w:rPr>
        <w:t xml:space="preserve"> </w:t>
      </w:r>
      <w:r w:rsidR="00AF7B16" w:rsidRPr="0052028F">
        <w:rPr>
          <w:rFonts w:asciiTheme="minorHAnsi" w:hAnsiTheme="minorHAnsi" w:cstheme="minorHAnsi"/>
        </w:rPr>
        <w:t>data to enable analysis o</w:t>
      </w:r>
      <w:r w:rsidR="00AF7B16">
        <w:rPr>
          <w:rFonts w:asciiTheme="minorHAnsi" w:hAnsiTheme="minorHAnsi" w:cstheme="minorHAnsi"/>
        </w:rPr>
        <w:t>f</w:t>
      </w:r>
      <w:r w:rsidR="00AF7B16" w:rsidRPr="0052028F">
        <w:rPr>
          <w:rFonts w:asciiTheme="minorHAnsi" w:hAnsiTheme="minorHAnsi" w:cstheme="minorHAnsi"/>
        </w:rPr>
        <w:t xml:space="preserve"> the health service needs of the community, the workforce </w:t>
      </w:r>
      <w:r w:rsidR="00AF7B16" w:rsidRPr="0052028F">
        <w:rPr>
          <w:rFonts w:asciiTheme="minorHAnsi" w:hAnsiTheme="minorHAnsi" w:cstheme="minorHAnsi"/>
        </w:rPr>
        <w:lastRenderedPageBreak/>
        <w:t>required to meet that need, and the gaps in existing workforce capacity.  The tool will be used by local, regional, jurisdictional and national workforce planners to inform workforce planning.</w:t>
      </w:r>
    </w:p>
    <w:p w14:paraId="18262B36" w14:textId="77777777" w:rsidR="00AF7B16" w:rsidRDefault="00AF7B16" w:rsidP="00AF7B16">
      <w:pPr>
        <w:rPr>
          <w:rFonts w:asciiTheme="minorHAnsi" w:hAnsiTheme="minorHAnsi" w:cstheme="minorHAnsi"/>
        </w:rPr>
      </w:pPr>
    </w:p>
    <w:p w14:paraId="0B548479" w14:textId="3F5353D0" w:rsidR="00AF7B16" w:rsidRDefault="00AF7B16" w:rsidP="00AF7B16">
      <w:pPr>
        <w:rPr>
          <w:rFonts w:asciiTheme="minorHAnsi" w:hAnsiTheme="minorHAnsi" w:cstheme="minorHAnsi"/>
        </w:rPr>
      </w:pPr>
      <w:r>
        <w:rPr>
          <w:rFonts w:asciiTheme="minorHAnsi" w:hAnsiTheme="minorHAnsi" w:cstheme="minorHAnsi"/>
        </w:rPr>
        <w:t>The tool will bring together important source information such as MBS data, Admitted Patient Care data, and Royal Flying Doctor Service data</w:t>
      </w:r>
      <w:r w:rsidR="00680324">
        <w:rPr>
          <w:rFonts w:asciiTheme="minorHAnsi" w:hAnsiTheme="minorHAnsi" w:cstheme="minorHAnsi"/>
        </w:rPr>
        <w:t>. It will then</w:t>
      </w:r>
      <w:r>
        <w:rPr>
          <w:rFonts w:asciiTheme="minorHAnsi" w:hAnsiTheme="minorHAnsi" w:cstheme="minorHAnsi"/>
        </w:rPr>
        <w:t xml:space="preserve"> map them according to geographical regions, including newly created GP Catchment areas. GP Catchment areas are a custom-designed geography constructed using the Australian Statistical Geographical Standard and </w:t>
      </w:r>
      <w:r w:rsidR="00680324">
        <w:rPr>
          <w:rFonts w:asciiTheme="minorHAnsi" w:hAnsiTheme="minorHAnsi" w:cstheme="minorHAnsi"/>
        </w:rPr>
        <w:t xml:space="preserve">are </w:t>
      </w:r>
      <w:r>
        <w:rPr>
          <w:rFonts w:asciiTheme="minorHAnsi" w:hAnsiTheme="minorHAnsi" w:cstheme="minorHAnsi"/>
        </w:rPr>
        <w:t>based on a number of factors including patient flows, workforce, rurality, and topography. There are 829 non-overlapping GP Catchment areas. The HeaDS UPP tool will be updated every six to 12 months with new information and functionality.</w:t>
      </w:r>
    </w:p>
    <w:p w14:paraId="446ABEDE" w14:textId="77777777" w:rsidR="00AF7B16" w:rsidRDefault="00AF7B16" w:rsidP="00AF7B16">
      <w:pPr>
        <w:rPr>
          <w:rFonts w:asciiTheme="minorHAnsi" w:hAnsiTheme="minorHAnsi" w:cstheme="minorHAnsi"/>
        </w:rPr>
      </w:pPr>
    </w:p>
    <w:p w14:paraId="4E292B3B" w14:textId="77777777" w:rsidR="00AF7B16" w:rsidRDefault="00AF7B16" w:rsidP="00AF7B16">
      <w:pPr>
        <w:rPr>
          <w:rFonts w:asciiTheme="minorHAnsi" w:hAnsiTheme="minorHAnsi" w:cstheme="minorHAnsi"/>
        </w:rPr>
      </w:pPr>
      <w:r>
        <w:rPr>
          <w:rFonts w:asciiTheme="minorHAnsi" w:hAnsiTheme="minorHAnsi" w:cstheme="minorHAnsi"/>
        </w:rPr>
        <w:t xml:space="preserve">Rural Workforce Agencies will use the tool in their assessment of applications from OTDs under the </w:t>
      </w:r>
      <w:r w:rsidRPr="0052028F">
        <w:rPr>
          <w:rFonts w:asciiTheme="minorHAnsi" w:hAnsiTheme="minorHAnsi" w:cstheme="minorHAnsi"/>
          <w:i/>
        </w:rPr>
        <w:t>Visas for General Practitioners – targeting areas of doctor shortage</w:t>
      </w:r>
      <w:r>
        <w:rPr>
          <w:rFonts w:asciiTheme="minorHAnsi" w:hAnsiTheme="minorHAnsi" w:cstheme="minorHAnsi"/>
        </w:rPr>
        <w:t xml:space="preserve"> initiative. An investment of $14.4 million over four years from 2018-19 will support the creation of the HeaDS UPP tool.</w:t>
      </w:r>
    </w:p>
    <w:p w14:paraId="1C6C5572" w14:textId="77777777" w:rsidR="00AF7B16" w:rsidRPr="0052028F" w:rsidRDefault="00AF7B16" w:rsidP="00AF7B16">
      <w:pPr>
        <w:rPr>
          <w:rFonts w:asciiTheme="minorHAnsi" w:hAnsiTheme="minorHAnsi" w:cstheme="minorHAnsi"/>
        </w:rPr>
      </w:pPr>
    </w:p>
    <w:p w14:paraId="0316B62F" w14:textId="24283D55" w:rsidR="00AF7B16" w:rsidRDefault="00AF7B16" w:rsidP="00AF7B16">
      <w:pPr>
        <w:rPr>
          <w:rFonts w:asciiTheme="minorHAnsi" w:hAnsiTheme="minorHAnsi" w:cstheme="minorHAnsi"/>
        </w:rPr>
      </w:pPr>
      <w:r w:rsidRPr="0052028F">
        <w:rPr>
          <w:rFonts w:asciiTheme="minorHAnsi" w:hAnsiTheme="minorHAnsi" w:cstheme="minorHAnsi"/>
        </w:rPr>
        <w:t xml:space="preserve">The </w:t>
      </w:r>
      <w:r w:rsidRPr="00717CFC">
        <w:rPr>
          <w:rFonts w:asciiTheme="minorHAnsi" w:hAnsiTheme="minorHAnsi" w:cstheme="minorHAnsi"/>
        </w:rPr>
        <w:t>regulatory and other impacts of this initiative include:</w:t>
      </w:r>
    </w:p>
    <w:p w14:paraId="1957CC4B" w14:textId="7A24470C" w:rsidR="00AF7B16" w:rsidRPr="0052028F" w:rsidRDefault="00AF7B16" w:rsidP="00AF7B16">
      <w:pPr>
        <w:pStyle w:val="ListParagraph"/>
        <w:numPr>
          <w:ilvl w:val="0"/>
          <w:numId w:val="9"/>
        </w:numPr>
        <w:rPr>
          <w:rFonts w:asciiTheme="minorHAnsi" w:hAnsiTheme="minorHAnsi" w:cstheme="minorHAnsi"/>
        </w:rPr>
      </w:pPr>
      <w:r w:rsidRPr="0052028F">
        <w:rPr>
          <w:rFonts w:asciiTheme="minorHAnsi" w:hAnsiTheme="minorHAnsi" w:cstheme="minorHAnsi"/>
        </w:rPr>
        <w:t>the H</w:t>
      </w:r>
      <w:r w:rsidR="003815B1">
        <w:rPr>
          <w:rFonts w:asciiTheme="minorHAnsi" w:hAnsiTheme="minorHAnsi" w:cstheme="minorHAnsi"/>
        </w:rPr>
        <w:t>ea</w:t>
      </w:r>
      <w:r w:rsidRPr="0052028F">
        <w:rPr>
          <w:rFonts w:asciiTheme="minorHAnsi" w:hAnsiTheme="minorHAnsi" w:cstheme="minorHAnsi"/>
        </w:rPr>
        <w:t xml:space="preserve">DS UPP Tool will </w:t>
      </w:r>
      <w:r w:rsidR="00680324">
        <w:rPr>
          <w:rFonts w:asciiTheme="minorHAnsi" w:hAnsiTheme="minorHAnsi" w:cstheme="minorHAnsi"/>
        </w:rPr>
        <w:t xml:space="preserve">be available to </w:t>
      </w:r>
      <w:r w:rsidR="00680324" w:rsidRPr="0052028F">
        <w:rPr>
          <w:rFonts w:asciiTheme="minorHAnsi" w:hAnsiTheme="minorHAnsi" w:cstheme="minorHAnsi"/>
        </w:rPr>
        <w:t>Australian Government policy makers</w:t>
      </w:r>
      <w:r w:rsidR="00680324">
        <w:rPr>
          <w:rFonts w:asciiTheme="minorHAnsi" w:hAnsiTheme="minorHAnsi" w:cstheme="minorHAnsi"/>
        </w:rPr>
        <w:t xml:space="preserve"> and </w:t>
      </w:r>
      <w:r w:rsidR="00680324" w:rsidRPr="0052028F">
        <w:rPr>
          <w:rFonts w:asciiTheme="minorHAnsi" w:hAnsiTheme="minorHAnsi" w:cstheme="minorHAnsi"/>
        </w:rPr>
        <w:t xml:space="preserve"> </w:t>
      </w:r>
      <w:r w:rsidRPr="0052028F">
        <w:rPr>
          <w:rFonts w:asciiTheme="minorHAnsi" w:hAnsiTheme="minorHAnsi" w:cstheme="minorHAnsi"/>
        </w:rPr>
        <w:t>organisations with a health distribution planning role and</w:t>
      </w:r>
      <w:r>
        <w:rPr>
          <w:rFonts w:asciiTheme="minorHAnsi" w:hAnsiTheme="minorHAnsi" w:cstheme="minorHAnsi"/>
        </w:rPr>
        <w:t>;</w:t>
      </w:r>
    </w:p>
    <w:p w14:paraId="58451AF6" w14:textId="4AD4B4F6" w:rsidR="00AF7B16" w:rsidRPr="00717CFC" w:rsidRDefault="00AF7B16" w:rsidP="00AF7B16">
      <w:pPr>
        <w:pStyle w:val="ListParagraph"/>
        <w:numPr>
          <w:ilvl w:val="0"/>
          <w:numId w:val="9"/>
        </w:numPr>
        <w:rPr>
          <w:rFonts w:asciiTheme="minorHAnsi" w:hAnsiTheme="minorHAnsi" w:cstheme="minorHAnsi"/>
        </w:rPr>
      </w:pPr>
      <w:r w:rsidRPr="0052028F">
        <w:rPr>
          <w:rFonts w:asciiTheme="minorHAnsi" w:hAnsiTheme="minorHAnsi" w:cstheme="minorHAnsi"/>
        </w:rPr>
        <w:t xml:space="preserve">Health consumers, particularly those in rural and remote </w:t>
      </w:r>
      <w:r w:rsidRPr="00717CFC">
        <w:rPr>
          <w:rFonts w:asciiTheme="minorHAnsi" w:hAnsiTheme="minorHAnsi" w:cstheme="minorHAnsi"/>
        </w:rPr>
        <w:t xml:space="preserve">areas and current DWSs, will benefit from improved distribution of the primary health care workforce resulting from the use of information accessed through the HEADS UPP Tool; </w:t>
      </w:r>
    </w:p>
    <w:p w14:paraId="6E28254F" w14:textId="112B9D3A" w:rsidR="00AF7B16" w:rsidRDefault="00AF7B16" w:rsidP="00AF7B16">
      <w:pPr>
        <w:pStyle w:val="ListParagraph"/>
        <w:numPr>
          <w:ilvl w:val="0"/>
          <w:numId w:val="9"/>
        </w:numPr>
        <w:rPr>
          <w:rFonts w:asciiTheme="minorHAnsi" w:hAnsiTheme="minorHAnsi" w:cstheme="minorHAnsi"/>
        </w:rPr>
      </w:pPr>
      <w:r w:rsidRPr="00717CFC">
        <w:rPr>
          <w:rFonts w:asciiTheme="minorHAnsi" w:hAnsiTheme="minorHAnsi" w:cstheme="minorHAnsi"/>
        </w:rPr>
        <w:t>Health professionals may be impacted by resulting policy reforms to improv</w:t>
      </w:r>
      <w:r w:rsidR="00680324">
        <w:rPr>
          <w:rFonts w:asciiTheme="minorHAnsi" w:hAnsiTheme="minorHAnsi" w:cstheme="minorHAnsi"/>
        </w:rPr>
        <w:t xml:space="preserve">e health workforce distribution; </w:t>
      </w:r>
    </w:p>
    <w:p w14:paraId="386F88E3" w14:textId="0F151332" w:rsidR="00FB5DEB" w:rsidRPr="00717CFC" w:rsidRDefault="00FB5DEB" w:rsidP="00AF7B16">
      <w:pPr>
        <w:pStyle w:val="ListParagraph"/>
        <w:numPr>
          <w:ilvl w:val="0"/>
          <w:numId w:val="9"/>
        </w:numPr>
        <w:rPr>
          <w:rFonts w:asciiTheme="minorHAnsi" w:hAnsiTheme="minorHAnsi" w:cstheme="minorHAnsi"/>
        </w:rPr>
      </w:pPr>
      <w:r>
        <w:rPr>
          <w:rFonts w:asciiTheme="minorHAnsi" w:hAnsiTheme="minorHAnsi" w:cstheme="minorHAnsi"/>
        </w:rPr>
        <w:t>There are no identified red tape implications for business or individuals from this measure.</w:t>
      </w:r>
    </w:p>
    <w:p w14:paraId="152C2EA7" w14:textId="77777777" w:rsidR="00AF7B16" w:rsidRPr="00717CFC" w:rsidRDefault="00AF7B16" w:rsidP="00AF7B16">
      <w:pPr>
        <w:rPr>
          <w:rFonts w:asciiTheme="minorHAnsi" w:hAnsiTheme="minorHAnsi" w:cstheme="minorHAnsi"/>
          <w:b/>
        </w:rPr>
      </w:pPr>
    </w:p>
    <w:p w14:paraId="5B068652" w14:textId="77777777" w:rsidR="00AF7B16" w:rsidRPr="00717CFC" w:rsidRDefault="00AF7B16" w:rsidP="00AF7B16">
      <w:pPr>
        <w:rPr>
          <w:rFonts w:asciiTheme="minorHAnsi" w:hAnsiTheme="minorHAnsi" w:cstheme="minorHAnsi"/>
        </w:rPr>
      </w:pPr>
      <w:r w:rsidRPr="00717CFC">
        <w:rPr>
          <w:rFonts w:asciiTheme="minorHAnsi" w:hAnsiTheme="minorHAnsi" w:cstheme="minorHAnsi"/>
          <w:b/>
        </w:rPr>
        <w:t>Workforce Incentive Program</w:t>
      </w:r>
      <w:r w:rsidRPr="006A6EB7">
        <w:rPr>
          <w:rFonts w:asciiTheme="minorHAnsi" w:hAnsiTheme="minorHAnsi" w:cstheme="minorHAnsi"/>
          <w:b/>
        </w:rPr>
        <w:t xml:space="preserve"> (WIP)</w:t>
      </w:r>
    </w:p>
    <w:p w14:paraId="245BE6D6" w14:textId="51ED768F" w:rsidR="00AF7B16" w:rsidRDefault="00AF7B16" w:rsidP="00AF7B16">
      <w:pPr>
        <w:rPr>
          <w:rFonts w:asciiTheme="minorHAnsi" w:hAnsiTheme="minorHAnsi" w:cstheme="minorHAnsi"/>
        </w:rPr>
      </w:pPr>
      <w:r w:rsidRPr="00717CFC">
        <w:rPr>
          <w:rFonts w:asciiTheme="minorHAnsi" w:hAnsiTheme="minorHAnsi" w:cstheme="minorHAnsi"/>
        </w:rPr>
        <w:t xml:space="preserve">The WIP incentive aims to encourage the workforce to deliver primary </w:t>
      </w:r>
      <w:r>
        <w:rPr>
          <w:rFonts w:asciiTheme="minorHAnsi" w:hAnsiTheme="minorHAnsi" w:cstheme="minorHAnsi"/>
        </w:rPr>
        <w:t>care services in</w:t>
      </w:r>
      <w:r w:rsidRPr="0052028F">
        <w:rPr>
          <w:rFonts w:asciiTheme="minorHAnsi" w:hAnsiTheme="minorHAnsi" w:cstheme="minorHAnsi"/>
        </w:rPr>
        <w:t xml:space="preserve"> </w:t>
      </w:r>
      <w:r>
        <w:rPr>
          <w:rFonts w:asciiTheme="minorHAnsi" w:hAnsiTheme="minorHAnsi" w:cstheme="minorHAnsi"/>
        </w:rPr>
        <w:t xml:space="preserve">regional, </w:t>
      </w:r>
      <w:r w:rsidRPr="0052028F">
        <w:rPr>
          <w:rFonts w:asciiTheme="minorHAnsi" w:hAnsiTheme="minorHAnsi" w:cstheme="minorHAnsi"/>
        </w:rPr>
        <w:t xml:space="preserve">rural and </w:t>
      </w:r>
      <w:r w:rsidRPr="00717CFC">
        <w:rPr>
          <w:rFonts w:asciiTheme="minorHAnsi" w:hAnsiTheme="minorHAnsi" w:cstheme="minorHAnsi"/>
        </w:rPr>
        <w:t xml:space="preserve">remote areas that have difficulty attracting and retaining a health workforce. The initiative will support </w:t>
      </w:r>
      <w:r w:rsidRPr="0052028F">
        <w:rPr>
          <w:rFonts w:asciiTheme="minorHAnsi" w:hAnsiTheme="minorHAnsi" w:cstheme="minorHAnsi"/>
        </w:rPr>
        <w:t xml:space="preserve">growth of team-based and multidisciplinary care models in primary health care settings </w:t>
      </w:r>
      <w:r>
        <w:rPr>
          <w:rFonts w:asciiTheme="minorHAnsi" w:hAnsiTheme="minorHAnsi" w:cstheme="minorHAnsi"/>
        </w:rPr>
        <w:t>in areas of need so that they can</w:t>
      </w:r>
      <w:r w:rsidRPr="0052028F">
        <w:rPr>
          <w:rFonts w:asciiTheme="minorHAnsi" w:hAnsiTheme="minorHAnsi" w:cstheme="minorHAnsi"/>
        </w:rPr>
        <w:t xml:space="preserve"> better respond to complex and chronic health conditions.</w:t>
      </w:r>
      <w:r>
        <w:rPr>
          <w:rFonts w:asciiTheme="minorHAnsi" w:hAnsiTheme="minorHAnsi" w:cstheme="minorHAnsi"/>
        </w:rPr>
        <w:t xml:space="preserve"> To do this, the WIP will </w:t>
      </w:r>
      <w:r w:rsidRPr="00B72DE3">
        <w:rPr>
          <w:rFonts w:asciiTheme="minorHAnsi" w:hAnsiTheme="minorHAnsi" w:cstheme="minorHAnsi"/>
        </w:rPr>
        <w:t>streamline existing GP, nursing and all</w:t>
      </w:r>
      <w:r>
        <w:rPr>
          <w:rFonts w:asciiTheme="minorHAnsi" w:hAnsiTheme="minorHAnsi" w:cstheme="minorHAnsi"/>
        </w:rPr>
        <w:t>ied health incentive programs and provide financial incentives to support GPs to engage nurses, Aboriginal and Torres Strait Islander Health Workers/Practitioners and other allied health professionals. Incentive payment levels will be determined using the MMM geographic classification.</w:t>
      </w:r>
    </w:p>
    <w:p w14:paraId="0A29198B" w14:textId="491BC7C9" w:rsidR="00040603" w:rsidRDefault="00AF7B16" w:rsidP="00AF7B16">
      <w:pPr>
        <w:rPr>
          <w:rFonts w:asciiTheme="minorHAnsi" w:hAnsiTheme="minorHAnsi" w:cstheme="minorHAnsi"/>
        </w:rPr>
      </w:pPr>
      <w:r>
        <w:rPr>
          <w:rFonts w:asciiTheme="minorHAnsi" w:hAnsiTheme="minorHAnsi" w:cstheme="minorHAnsi"/>
        </w:rPr>
        <w:t xml:space="preserve">Additional funding of $181.9 million over four years will be provided through the WIP as a single workforce incentive payments program. The WIP will replace the Practice Nurse Incentive Program (PNIP) and the General Practice Rural Incentives Program (GPRIP) from 1 July 2019. It will be delivered through two streams: the </w:t>
      </w:r>
      <w:r w:rsidRPr="00680324">
        <w:rPr>
          <w:rFonts w:asciiTheme="minorHAnsi" w:hAnsiTheme="minorHAnsi" w:cstheme="minorHAnsi"/>
          <w:b/>
        </w:rPr>
        <w:t>Doctor Stream</w:t>
      </w:r>
      <w:r>
        <w:rPr>
          <w:rFonts w:asciiTheme="minorHAnsi" w:hAnsiTheme="minorHAnsi" w:cstheme="minorHAnsi"/>
        </w:rPr>
        <w:t xml:space="preserve"> and the </w:t>
      </w:r>
      <w:r w:rsidRPr="00680324">
        <w:rPr>
          <w:rFonts w:asciiTheme="minorHAnsi" w:hAnsiTheme="minorHAnsi" w:cstheme="minorHAnsi"/>
          <w:b/>
        </w:rPr>
        <w:t>Practice Stream</w:t>
      </w:r>
      <w:r>
        <w:rPr>
          <w:rFonts w:asciiTheme="minorHAnsi" w:hAnsiTheme="minorHAnsi" w:cstheme="minorHAnsi"/>
        </w:rPr>
        <w:t xml:space="preserve">. </w:t>
      </w:r>
      <w:r w:rsidRPr="0052028F">
        <w:rPr>
          <w:rFonts w:asciiTheme="minorHAnsi" w:hAnsiTheme="minorHAnsi" w:cstheme="minorHAnsi"/>
        </w:rPr>
        <w:br/>
      </w:r>
    </w:p>
    <w:p w14:paraId="40CDC521" w14:textId="0D21E406" w:rsidR="00AF7B16" w:rsidRDefault="00AF7B16" w:rsidP="00AF7B16">
      <w:pPr>
        <w:rPr>
          <w:rFonts w:asciiTheme="minorHAnsi" w:hAnsiTheme="minorHAnsi" w:cstheme="minorHAnsi"/>
        </w:rPr>
      </w:pPr>
      <w:r w:rsidRPr="0052028F">
        <w:rPr>
          <w:rFonts w:asciiTheme="minorHAnsi" w:hAnsiTheme="minorHAnsi" w:cstheme="minorHAnsi"/>
        </w:rPr>
        <w:t>The regulatory</w:t>
      </w:r>
      <w:r>
        <w:rPr>
          <w:rFonts w:asciiTheme="minorHAnsi" w:hAnsiTheme="minorHAnsi" w:cstheme="minorHAnsi"/>
        </w:rPr>
        <w:t xml:space="preserve"> and other</w:t>
      </w:r>
      <w:r w:rsidRPr="0052028F">
        <w:rPr>
          <w:rFonts w:asciiTheme="minorHAnsi" w:hAnsiTheme="minorHAnsi" w:cstheme="minorHAnsi"/>
        </w:rPr>
        <w:t xml:space="preserve"> impact</w:t>
      </w:r>
      <w:r>
        <w:rPr>
          <w:rFonts w:asciiTheme="minorHAnsi" w:hAnsiTheme="minorHAnsi" w:cstheme="minorHAnsi"/>
        </w:rPr>
        <w:t>s</w:t>
      </w:r>
      <w:r w:rsidRPr="0052028F">
        <w:rPr>
          <w:rFonts w:asciiTheme="minorHAnsi" w:hAnsiTheme="minorHAnsi" w:cstheme="minorHAnsi"/>
        </w:rPr>
        <w:t xml:space="preserve"> of this </w:t>
      </w:r>
      <w:r>
        <w:rPr>
          <w:rFonts w:asciiTheme="minorHAnsi" w:hAnsiTheme="minorHAnsi" w:cstheme="minorHAnsi"/>
        </w:rPr>
        <w:t>incentive</w:t>
      </w:r>
      <w:r w:rsidRPr="0052028F">
        <w:rPr>
          <w:rFonts w:asciiTheme="minorHAnsi" w:hAnsiTheme="minorHAnsi" w:cstheme="minorHAnsi"/>
        </w:rPr>
        <w:t xml:space="preserve"> include:</w:t>
      </w:r>
    </w:p>
    <w:p w14:paraId="31104F91" w14:textId="0FB5902E" w:rsidR="00AF7B16" w:rsidRPr="00717CFC" w:rsidRDefault="008D29FB" w:rsidP="00AF7B16">
      <w:pPr>
        <w:pStyle w:val="ListParagraph"/>
        <w:numPr>
          <w:ilvl w:val="0"/>
          <w:numId w:val="10"/>
        </w:numPr>
        <w:rPr>
          <w:rFonts w:asciiTheme="minorHAnsi" w:hAnsiTheme="minorHAnsi" w:cstheme="minorHAnsi"/>
        </w:rPr>
      </w:pPr>
      <w:r>
        <w:rPr>
          <w:rFonts w:asciiTheme="minorHAnsi" w:hAnsiTheme="minorHAnsi" w:cstheme="minorHAnsi"/>
        </w:rPr>
        <w:t>r</w:t>
      </w:r>
      <w:r w:rsidR="00AF7B16" w:rsidRPr="0052028F">
        <w:rPr>
          <w:rFonts w:asciiTheme="minorHAnsi" w:hAnsiTheme="minorHAnsi" w:cstheme="minorHAnsi"/>
        </w:rPr>
        <w:t xml:space="preserve">egional, rural and remote communities will </w:t>
      </w:r>
      <w:r w:rsidR="00AF7B16">
        <w:rPr>
          <w:rFonts w:asciiTheme="minorHAnsi" w:hAnsiTheme="minorHAnsi" w:cstheme="minorHAnsi"/>
        </w:rPr>
        <w:t>have</w:t>
      </w:r>
      <w:r w:rsidR="00AF7B16" w:rsidRPr="0052028F">
        <w:rPr>
          <w:rFonts w:asciiTheme="minorHAnsi" w:hAnsiTheme="minorHAnsi" w:cstheme="minorHAnsi"/>
        </w:rPr>
        <w:t xml:space="preserve"> increased access to multidisciplinary primary health care</w:t>
      </w:r>
      <w:r w:rsidR="00AF7B16">
        <w:rPr>
          <w:rFonts w:asciiTheme="minorHAnsi" w:hAnsiTheme="minorHAnsi" w:cstheme="minorHAnsi"/>
        </w:rPr>
        <w:t xml:space="preserve"> through the </w:t>
      </w:r>
      <w:r w:rsidR="00AF7B16" w:rsidRPr="00680324">
        <w:rPr>
          <w:rFonts w:asciiTheme="minorHAnsi" w:hAnsiTheme="minorHAnsi" w:cstheme="minorHAnsi"/>
        </w:rPr>
        <w:t>Practice Stream</w:t>
      </w:r>
      <w:r w:rsidR="00AF7B16">
        <w:rPr>
          <w:rFonts w:asciiTheme="minorHAnsi" w:hAnsiTheme="minorHAnsi" w:cstheme="minorHAnsi"/>
        </w:rPr>
        <w:t xml:space="preserve"> of the initiative. Under the </w:t>
      </w:r>
      <w:r w:rsidR="00AF7B16" w:rsidRPr="00680324">
        <w:rPr>
          <w:rFonts w:asciiTheme="minorHAnsi" w:hAnsiTheme="minorHAnsi" w:cstheme="minorHAnsi"/>
        </w:rPr>
        <w:t>Practice Stream</w:t>
      </w:r>
      <w:r w:rsidR="00AF7B16">
        <w:rPr>
          <w:rFonts w:asciiTheme="minorHAnsi" w:hAnsiTheme="minorHAnsi" w:cstheme="minorHAnsi"/>
        </w:rPr>
        <w:t xml:space="preserve">, </w:t>
      </w:r>
      <w:r w:rsidR="00AF7B16" w:rsidRPr="00717CFC">
        <w:rPr>
          <w:rFonts w:asciiTheme="minorHAnsi" w:hAnsiTheme="minorHAnsi" w:cstheme="minorHAnsi"/>
        </w:rPr>
        <w:t>eligible practices can receive incentive payments of up to $125,000 per year. A rural loading will be applied to practices located in MM</w:t>
      </w:r>
      <w:r w:rsidR="00680324">
        <w:rPr>
          <w:rFonts w:asciiTheme="minorHAnsi" w:hAnsiTheme="minorHAnsi" w:cstheme="minorHAnsi"/>
        </w:rPr>
        <w:t xml:space="preserve"> </w:t>
      </w:r>
      <w:r w:rsidR="00AF7B16" w:rsidRPr="00717CFC">
        <w:rPr>
          <w:rFonts w:asciiTheme="minorHAnsi" w:hAnsiTheme="minorHAnsi" w:cstheme="minorHAnsi"/>
        </w:rPr>
        <w:t>3-7.</w:t>
      </w:r>
    </w:p>
    <w:p w14:paraId="59C93994" w14:textId="540DB36F" w:rsidR="00AF7B16" w:rsidRDefault="008D29FB" w:rsidP="00AF7B16">
      <w:pPr>
        <w:pStyle w:val="ListParagraph"/>
        <w:numPr>
          <w:ilvl w:val="0"/>
          <w:numId w:val="10"/>
        </w:numPr>
        <w:rPr>
          <w:rFonts w:asciiTheme="minorHAnsi" w:hAnsiTheme="minorHAnsi" w:cstheme="minorHAnsi"/>
        </w:rPr>
      </w:pPr>
      <w:r>
        <w:rPr>
          <w:rFonts w:asciiTheme="minorHAnsi" w:hAnsiTheme="minorHAnsi" w:cstheme="minorHAnsi"/>
        </w:rPr>
        <w:t>e</w:t>
      </w:r>
      <w:r w:rsidR="00AF7B16" w:rsidRPr="00717CFC">
        <w:rPr>
          <w:rFonts w:asciiTheme="minorHAnsi" w:hAnsiTheme="minorHAnsi" w:cstheme="minorHAnsi"/>
        </w:rPr>
        <w:t>ligible medical practitioners located in MM 3-7 can receive an annual payment of between $45,000 and $60,</w:t>
      </w:r>
      <w:r w:rsidR="00AF7B16">
        <w:rPr>
          <w:rFonts w:asciiTheme="minorHAnsi" w:hAnsiTheme="minorHAnsi" w:cstheme="minorHAnsi"/>
        </w:rPr>
        <w:t>000</w:t>
      </w:r>
      <w:r w:rsidR="00680324">
        <w:rPr>
          <w:rFonts w:asciiTheme="minorHAnsi" w:hAnsiTheme="minorHAnsi" w:cstheme="minorHAnsi"/>
        </w:rPr>
        <w:t>,</w:t>
      </w:r>
      <w:r w:rsidR="00AF7B16">
        <w:rPr>
          <w:rFonts w:asciiTheme="minorHAnsi" w:hAnsiTheme="minorHAnsi" w:cstheme="minorHAnsi"/>
        </w:rPr>
        <w:t xml:space="preserve"> depending on location. These financial incentive </w:t>
      </w:r>
      <w:r w:rsidR="00AF7B16">
        <w:rPr>
          <w:rFonts w:asciiTheme="minorHAnsi" w:hAnsiTheme="minorHAnsi" w:cstheme="minorHAnsi"/>
        </w:rPr>
        <w:lastRenderedPageBreak/>
        <w:t>payments will increase the capacity of p</w:t>
      </w:r>
      <w:r w:rsidR="00AF7B16" w:rsidRPr="0052028F">
        <w:rPr>
          <w:rFonts w:asciiTheme="minorHAnsi" w:hAnsiTheme="minorHAnsi" w:cstheme="minorHAnsi"/>
        </w:rPr>
        <w:t>rimary care practices to employ nursing and allied health professionals.</w:t>
      </w:r>
    </w:p>
    <w:p w14:paraId="6891913D" w14:textId="49CC3A7E" w:rsidR="00680324" w:rsidRPr="006B3B38" w:rsidRDefault="008D29FB" w:rsidP="006B3B38">
      <w:pPr>
        <w:pStyle w:val="ListParagraph"/>
        <w:numPr>
          <w:ilvl w:val="0"/>
          <w:numId w:val="10"/>
        </w:numPr>
        <w:rPr>
          <w:rFonts w:asciiTheme="minorHAnsi" w:hAnsiTheme="minorHAnsi" w:cstheme="minorHAnsi"/>
        </w:rPr>
      </w:pPr>
      <w:r>
        <w:rPr>
          <w:rFonts w:asciiTheme="minorHAnsi" w:hAnsiTheme="minorHAnsi" w:cstheme="minorHAnsi"/>
        </w:rPr>
        <w:t>d</w:t>
      </w:r>
      <w:r w:rsidR="00AF7B16" w:rsidRPr="00B72DE3">
        <w:rPr>
          <w:rFonts w:asciiTheme="minorHAnsi" w:hAnsiTheme="minorHAnsi" w:cstheme="minorHAnsi"/>
        </w:rPr>
        <w:t>octors, nurses, allied health practitioners and Aboriginal and Torres Strait Islander Health Practitioners and/or workers, including non-dispensing pharmacists</w:t>
      </w:r>
      <w:r w:rsidR="00AF7B16">
        <w:rPr>
          <w:rFonts w:asciiTheme="minorHAnsi" w:hAnsiTheme="minorHAnsi" w:cstheme="minorHAnsi"/>
        </w:rPr>
        <w:t>,</w:t>
      </w:r>
      <w:r w:rsidR="00AF7B16" w:rsidRPr="00B72DE3">
        <w:rPr>
          <w:rFonts w:asciiTheme="minorHAnsi" w:hAnsiTheme="minorHAnsi" w:cstheme="minorHAnsi"/>
        </w:rPr>
        <w:t xml:space="preserve"> will be impacted through increased opportunities and support to practi</w:t>
      </w:r>
      <w:r w:rsidR="00F20D41">
        <w:rPr>
          <w:rFonts w:asciiTheme="minorHAnsi" w:hAnsiTheme="minorHAnsi" w:cstheme="minorHAnsi"/>
        </w:rPr>
        <w:t>s</w:t>
      </w:r>
      <w:r w:rsidR="00AF7B16" w:rsidRPr="00B72DE3">
        <w:rPr>
          <w:rFonts w:asciiTheme="minorHAnsi" w:hAnsiTheme="minorHAnsi" w:cstheme="minorHAnsi"/>
        </w:rPr>
        <w:t xml:space="preserve">e in rural and remote areas. </w:t>
      </w:r>
    </w:p>
    <w:p w14:paraId="3EFD37DA" w14:textId="77777777" w:rsidR="00AF7B16" w:rsidRPr="0052028F" w:rsidRDefault="00AF7B16" w:rsidP="00AF7B16">
      <w:pPr>
        <w:rPr>
          <w:rFonts w:asciiTheme="minorHAnsi" w:hAnsiTheme="minorHAnsi" w:cstheme="minorHAnsi"/>
        </w:rPr>
      </w:pPr>
    </w:p>
    <w:p w14:paraId="13547B77" w14:textId="77777777" w:rsidR="00AF7B16" w:rsidRPr="0052028F" w:rsidRDefault="00AF7B16" w:rsidP="00AF7B16">
      <w:pPr>
        <w:rPr>
          <w:rFonts w:asciiTheme="minorHAnsi" w:hAnsiTheme="minorHAnsi" w:cstheme="minorHAnsi"/>
        </w:rPr>
      </w:pPr>
      <w:r w:rsidRPr="0052028F">
        <w:rPr>
          <w:rFonts w:asciiTheme="minorHAnsi" w:hAnsiTheme="minorHAnsi" w:cstheme="minorHAnsi"/>
          <w:b/>
        </w:rPr>
        <w:t>Guaranteeing Rural and Remote Access to Dental, Mental Health Services and Emergency Aeromedical Services through the Royal Flying Doctor Service</w:t>
      </w:r>
      <w:r w:rsidRPr="0052028F">
        <w:rPr>
          <w:rFonts w:asciiTheme="minorHAnsi" w:hAnsiTheme="minorHAnsi" w:cstheme="minorHAnsi"/>
        </w:rPr>
        <w:t xml:space="preserve"> </w:t>
      </w:r>
    </w:p>
    <w:p w14:paraId="2B1152D5" w14:textId="516F5DDA" w:rsidR="00AF7B16" w:rsidRPr="0052028F" w:rsidRDefault="00AF7B16" w:rsidP="00AF7B16">
      <w:pPr>
        <w:rPr>
          <w:rFonts w:asciiTheme="minorHAnsi" w:hAnsiTheme="minorHAnsi" w:cstheme="minorHAnsi"/>
        </w:rPr>
      </w:pPr>
      <w:r w:rsidRPr="0052028F">
        <w:rPr>
          <w:rFonts w:asciiTheme="minorHAnsi" w:hAnsiTheme="minorHAnsi" w:cstheme="minorHAnsi"/>
        </w:rPr>
        <w:t xml:space="preserve">This </w:t>
      </w:r>
      <w:r>
        <w:rPr>
          <w:rFonts w:asciiTheme="minorHAnsi" w:hAnsiTheme="minorHAnsi" w:cstheme="minorHAnsi"/>
        </w:rPr>
        <w:t>in</w:t>
      </w:r>
      <w:r w:rsidR="00680324">
        <w:rPr>
          <w:rFonts w:asciiTheme="minorHAnsi" w:hAnsiTheme="minorHAnsi" w:cstheme="minorHAnsi"/>
        </w:rPr>
        <w:t>itiative</w:t>
      </w:r>
      <w:r w:rsidRPr="0052028F">
        <w:rPr>
          <w:rFonts w:asciiTheme="minorHAnsi" w:hAnsiTheme="minorHAnsi" w:cstheme="minorHAnsi"/>
        </w:rPr>
        <w:t xml:space="preserve"> </w:t>
      </w:r>
      <w:r>
        <w:rPr>
          <w:rFonts w:asciiTheme="minorHAnsi" w:hAnsiTheme="minorHAnsi" w:cstheme="minorHAnsi"/>
        </w:rPr>
        <w:t xml:space="preserve">aims to support the provision of much needed health services to people living in some of Australia’s most remote locations. </w:t>
      </w:r>
      <w:r w:rsidR="00680324">
        <w:rPr>
          <w:rFonts w:asciiTheme="minorHAnsi" w:hAnsiTheme="minorHAnsi" w:cstheme="minorHAnsi"/>
        </w:rPr>
        <w:t>It</w:t>
      </w:r>
      <w:r>
        <w:rPr>
          <w:rFonts w:asciiTheme="minorHAnsi" w:hAnsiTheme="minorHAnsi" w:cstheme="minorHAnsi"/>
        </w:rPr>
        <w:t xml:space="preserve"> </w:t>
      </w:r>
      <w:r w:rsidRPr="0052028F">
        <w:rPr>
          <w:rFonts w:asciiTheme="minorHAnsi" w:hAnsiTheme="minorHAnsi" w:cstheme="minorHAnsi"/>
        </w:rPr>
        <w:t xml:space="preserve">will provide additional capacity to the Royal Flying Doctor Service </w:t>
      </w:r>
      <w:r>
        <w:rPr>
          <w:rFonts w:asciiTheme="minorHAnsi" w:hAnsiTheme="minorHAnsi" w:cstheme="minorHAnsi"/>
        </w:rPr>
        <w:t xml:space="preserve">(RFDS) </w:t>
      </w:r>
      <w:r w:rsidRPr="0052028F">
        <w:rPr>
          <w:rFonts w:asciiTheme="minorHAnsi" w:hAnsiTheme="minorHAnsi" w:cstheme="minorHAnsi"/>
        </w:rPr>
        <w:t>to increase the availability of dental services, deliver mental health services and ensure the reach of ambulance services in rural and remote Australia.</w:t>
      </w:r>
    </w:p>
    <w:p w14:paraId="52A37D9C" w14:textId="77777777" w:rsidR="00AF7B16" w:rsidRDefault="00AF7B16" w:rsidP="00AF7B16">
      <w:pPr>
        <w:rPr>
          <w:rFonts w:asciiTheme="minorHAnsi" w:hAnsiTheme="minorHAnsi" w:cstheme="minorHAnsi"/>
        </w:rPr>
      </w:pPr>
    </w:p>
    <w:p w14:paraId="6516A768" w14:textId="77777777" w:rsidR="00AF7B16" w:rsidRDefault="00AF7B16" w:rsidP="00AF7B16">
      <w:pPr>
        <w:rPr>
          <w:rFonts w:asciiTheme="minorHAnsi" w:hAnsiTheme="minorHAnsi" w:cstheme="minorHAnsi"/>
        </w:rPr>
      </w:pPr>
      <w:r>
        <w:rPr>
          <w:rFonts w:asciiTheme="minorHAnsi" w:hAnsiTheme="minorHAnsi" w:cstheme="minorHAnsi"/>
        </w:rPr>
        <w:t>An additional investment of $84.1 million has been provided to the RFDS to support ongoing aeromedical evacuations, extension of dental services beyond March 2019, and the introduction of mental health services. The mental health services include the establishment of a new Mental Health Outreach Clinic program that will provide needed services in areas where there are none and where telehealth technology is not available or is too costly. These mental health services will be available from 1 January 2019.</w:t>
      </w:r>
    </w:p>
    <w:p w14:paraId="3121238A" w14:textId="77777777" w:rsidR="00AF7B16" w:rsidRDefault="00AF7B16" w:rsidP="00AF7B16">
      <w:pPr>
        <w:rPr>
          <w:rFonts w:asciiTheme="minorHAnsi" w:hAnsiTheme="minorHAnsi" w:cstheme="minorHAnsi"/>
        </w:rPr>
      </w:pPr>
    </w:p>
    <w:p w14:paraId="5F5D280B" w14:textId="77777777" w:rsidR="00AF7B16" w:rsidRPr="00717CFC" w:rsidRDefault="00AF7B16" w:rsidP="00AF7B16">
      <w:pPr>
        <w:rPr>
          <w:rFonts w:asciiTheme="minorHAnsi" w:hAnsiTheme="minorHAnsi" w:cstheme="minorHAnsi"/>
        </w:rPr>
      </w:pPr>
      <w:r>
        <w:rPr>
          <w:rFonts w:asciiTheme="minorHAnsi" w:hAnsiTheme="minorHAnsi" w:cstheme="minorHAnsi"/>
        </w:rPr>
        <w:t xml:space="preserve">This investment brings funding to a total of $327 million over four years for the RFDS to deliver these services, as well as other services such as primary health clinics. The RFDS provided approximately 42,000 patient consultations at primary health clinics across Australia in the 2016-17 </w:t>
      </w:r>
      <w:r w:rsidRPr="00717CFC">
        <w:rPr>
          <w:rFonts w:asciiTheme="minorHAnsi" w:hAnsiTheme="minorHAnsi" w:cstheme="minorHAnsi"/>
        </w:rPr>
        <w:t>financial year.</w:t>
      </w:r>
    </w:p>
    <w:p w14:paraId="13D60FB5" w14:textId="77777777" w:rsidR="00AF7B16" w:rsidRPr="00717CFC" w:rsidRDefault="00AF7B16" w:rsidP="00AF7B16">
      <w:pPr>
        <w:rPr>
          <w:rFonts w:asciiTheme="minorHAnsi" w:hAnsiTheme="minorHAnsi" w:cstheme="minorHAnsi"/>
        </w:rPr>
      </w:pPr>
      <w:r w:rsidRPr="00717CFC">
        <w:rPr>
          <w:rFonts w:asciiTheme="minorHAnsi" w:hAnsiTheme="minorHAnsi" w:cstheme="minorHAnsi"/>
        </w:rPr>
        <w:t xml:space="preserve"> </w:t>
      </w:r>
    </w:p>
    <w:p w14:paraId="162540D6" w14:textId="2F7D4EBB" w:rsidR="00AF7B16" w:rsidRDefault="00AF7B16" w:rsidP="00AF7B16">
      <w:pPr>
        <w:rPr>
          <w:rFonts w:asciiTheme="minorHAnsi" w:hAnsiTheme="minorHAnsi" w:cstheme="minorHAnsi"/>
        </w:rPr>
      </w:pPr>
      <w:r w:rsidRPr="00717CFC">
        <w:rPr>
          <w:rFonts w:asciiTheme="minorHAnsi" w:hAnsiTheme="minorHAnsi" w:cstheme="minorHAnsi"/>
        </w:rPr>
        <w:t>The impact of this initiative is that patients in rural and remote areas, who would otherwise not have access to these health services, will benefit through the increased availability of RFDS emergency aeromedical services, the introduction of mental health multidisciplinary outreach clinics and the continuation of outreach dental services.</w:t>
      </w:r>
    </w:p>
    <w:p w14:paraId="75421CBE" w14:textId="259626E9" w:rsidR="00FB5DEB" w:rsidRDefault="00FB5DEB" w:rsidP="00AF7B16">
      <w:pPr>
        <w:rPr>
          <w:rFonts w:asciiTheme="minorHAnsi" w:hAnsiTheme="minorHAnsi" w:cstheme="minorHAnsi"/>
        </w:rPr>
      </w:pPr>
    </w:p>
    <w:p w14:paraId="0C5F799C" w14:textId="15C6610D" w:rsidR="00FB5DEB" w:rsidRPr="00717CFC" w:rsidRDefault="00FB5DEB" w:rsidP="00AF7B16">
      <w:pPr>
        <w:rPr>
          <w:rFonts w:asciiTheme="minorHAnsi" w:hAnsiTheme="minorHAnsi" w:cstheme="minorHAnsi"/>
        </w:rPr>
      </w:pPr>
      <w:r>
        <w:rPr>
          <w:rFonts w:asciiTheme="minorHAnsi" w:hAnsiTheme="minorHAnsi" w:cstheme="minorHAnsi"/>
        </w:rPr>
        <w:t>There are no identified red tape implications arising from this initiative.</w:t>
      </w:r>
    </w:p>
    <w:p w14:paraId="2E35206B" w14:textId="77777777" w:rsidR="00AF7B16" w:rsidRPr="00717CFC" w:rsidRDefault="00AF7B16" w:rsidP="00AF7B16">
      <w:pPr>
        <w:rPr>
          <w:rFonts w:asciiTheme="minorHAnsi" w:hAnsiTheme="minorHAnsi" w:cstheme="minorHAnsi"/>
        </w:rPr>
      </w:pPr>
    </w:p>
    <w:p w14:paraId="47297812" w14:textId="77777777" w:rsidR="00AF7B16" w:rsidRPr="00717CFC" w:rsidRDefault="00AF7B16" w:rsidP="00AF7B16">
      <w:pPr>
        <w:rPr>
          <w:rFonts w:asciiTheme="minorHAnsi" w:hAnsiTheme="minorHAnsi" w:cstheme="minorHAnsi"/>
        </w:rPr>
      </w:pPr>
      <w:r w:rsidRPr="00717CFC">
        <w:rPr>
          <w:rFonts w:asciiTheme="minorHAnsi" w:hAnsiTheme="minorHAnsi" w:cstheme="minorHAnsi"/>
          <w:b/>
        </w:rPr>
        <w:t>Continuation and Expansion of Support for Aboriginal and Torres Strait Islander Health Professional Organisations</w:t>
      </w:r>
      <w:r w:rsidRPr="00717CFC">
        <w:rPr>
          <w:rFonts w:asciiTheme="minorHAnsi" w:hAnsiTheme="minorHAnsi" w:cstheme="minorHAnsi"/>
        </w:rPr>
        <w:t xml:space="preserve"> </w:t>
      </w:r>
    </w:p>
    <w:p w14:paraId="1CF02428" w14:textId="72A701B1" w:rsidR="00AF7B16" w:rsidRDefault="00AF7B16" w:rsidP="00AF7B16">
      <w:pPr>
        <w:rPr>
          <w:rFonts w:asciiTheme="minorHAnsi" w:hAnsiTheme="minorHAnsi" w:cstheme="minorHAnsi"/>
        </w:rPr>
      </w:pPr>
      <w:r w:rsidRPr="00717CFC">
        <w:rPr>
          <w:rFonts w:asciiTheme="minorHAnsi" w:hAnsiTheme="minorHAnsi" w:cstheme="minorHAnsi"/>
        </w:rPr>
        <w:t xml:space="preserve">Aboriginal and Torres Strait </w:t>
      </w:r>
      <w:r w:rsidRPr="0052028F">
        <w:rPr>
          <w:rFonts w:asciiTheme="minorHAnsi" w:hAnsiTheme="minorHAnsi" w:cstheme="minorHAnsi"/>
        </w:rPr>
        <w:t xml:space="preserve">Islander Health Professional Organisations </w:t>
      </w:r>
      <w:r>
        <w:rPr>
          <w:rFonts w:asciiTheme="minorHAnsi" w:hAnsiTheme="minorHAnsi" w:cstheme="minorHAnsi"/>
        </w:rPr>
        <w:t xml:space="preserve">(ATSIHPO) are professional organisations that play a key role in increasing the number of people in the indigenous health workforce and support them in their careers. The increase in workforce leads to improved health outcomes for </w:t>
      </w:r>
      <w:r w:rsidRPr="0052028F">
        <w:rPr>
          <w:rFonts w:asciiTheme="minorHAnsi" w:hAnsiTheme="minorHAnsi" w:cstheme="minorHAnsi"/>
        </w:rPr>
        <w:t>Aboriginal and Torres Strait Islander people</w:t>
      </w:r>
      <w:r>
        <w:rPr>
          <w:rFonts w:asciiTheme="minorHAnsi" w:hAnsiTheme="minorHAnsi" w:cstheme="minorHAnsi"/>
        </w:rPr>
        <w:t>.</w:t>
      </w:r>
    </w:p>
    <w:p w14:paraId="65C599DC" w14:textId="77777777" w:rsidR="00040603" w:rsidRDefault="00040603" w:rsidP="00AF7B16">
      <w:pPr>
        <w:rPr>
          <w:rFonts w:asciiTheme="minorHAnsi" w:hAnsiTheme="minorHAnsi" w:cstheme="minorHAnsi"/>
        </w:rPr>
      </w:pPr>
    </w:p>
    <w:p w14:paraId="17C87C5D" w14:textId="3D3D76F4" w:rsidR="00AF7B16" w:rsidRDefault="00040603" w:rsidP="00AF7B16">
      <w:pPr>
        <w:rPr>
          <w:rFonts w:asciiTheme="minorHAnsi" w:hAnsiTheme="minorHAnsi" w:cstheme="minorHAnsi"/>
        </w:rPr>
      </w:pPr>
      <w:r>
        <w:rPr>
          <w:rFonts w:asciiTheme="minorHAnsi" w:hAnsiTheme="minorHAnsi" w:cstheme="minorHAnsi"/>
        </w:rPr>
        <w:t>ATSIHPOs also provide</w:t>
      </w:r>
      <w:r w:rsidR="00AF7B16">
        <w:rPr>
          <w:rFonts w:asciiTheme="minorHAnsi" w:hAnsiTheme="minorHAnsi" w:cstheme="minorHAnsi"/>
        </w:rPr>
        <w:t xml:space="preserve"> support to the broader workforce by being active in the quality of health workforce planning. ATSIPOs develop and implement strategies that:</w:t>
      </w:r>
    </w:p>
    <w:p w14:paraId="0157C8E4" w14:textId="650CB218" w:rsidR="00AF7B16" w:rsidRPr="00D6146D" w:rsidRDefault="008D29FB" w:rsidP="00860726">
      <w:pPr>
        <w:pStyle w:val="ListParagraph"/>
        <w:numPr>
          <w:ilvl w:val="0"/>
          <w:numId w:val="11"/>
        </w:numPr>
        <w:ind w:left="714" w:hanging="357"/>
        <w:rPr>
          <w:rFonts w:asciiTheme="minorHAnsi" w:hAnsiTheme="minorHAnsi" w:cstheme="minorHAnsi"/>
        </w:rPr>
      </w:pPr>
      <w:r>
        <w:rPr>
          <w:rFonts w:asciiTheme="minorHAnsi" w:hAnsiTheme="minorHAnsi" w:cstheme="minorHAnsi"/>
        </w:rPr>
        <w:t>i</w:t>
      </w:r>
      <w:r w:rsidR="00AF7B16" w:rsidRPr="00D6146D">
        <w:rPr>
          <w:rFonts w:asciiTheme="minorHAnsi" w:hAnsiTheme="minorHAnsi" w:cstheme="minorHAnsi"/>
        </w:rPr>
        <w:t xml:space="preserve">mprove the </w:t>
      </w:r>
      <w:r w:rsidR="00AF7B16">
        <w:rPr>
          <w:rFonts w:asciiTheme="minorHAnsi" w:hAnsiTheme="minorHAnsi" w:cstheme="minorHAnsi"/>
        </w:rPr>
        <w:t xml:space="preserve">skills and capacity, as well as the </w:t>
      </w:r>
      <w:r w:rsidR="00AF7B16" w:rsidRPr="00D6146D">
        <w:rPr>
          <w:rFonts w:asciiTheme="minorHAnsi" w:hAnsiTheme="minorHAnsi" w:cstheme="minorHAnsi"/>
        </w:rPr>
        <w:t>recruitment and retention</w:t>
      </w:r>
      <w:r w:rsidR="00AF7B16">
        <w:rPr>
          <w:rFonts w:asciiTheme="minorHAnsi" w:hAnsiTheme="minorHAnsi" w:cstheme="minorHAnsi"/>
        </w:rPr>
        <w:t>,</w:t>
      </w:r>
      <w:r w:rsidR="00AF7B16" w:rsidRPr="00D6146D">
        <w:rPr>
          <w:rFonts w:asciiTheme="minorHAnsi" w:hAnsiTheme="minorHAnsi" w:cstheme="minorHAnsi"/>
        </w:rPr>
        <w:t xml:space="preserve"> of Aboriginal and Torres Strait Islander health professionals in clinical and non-clinical roles across all health disciplines</w:t>
      </w:r>
      <w:r>
        <w:rPr>
          <w:rFonts w:asciiTheme="minorHAnsi" w:hAnsiTheme="minorHAnsi" w:cstheme="minorHAnsi"/>
        </w:rPr>
        <w:t>.</w:t>
      </w:r>
    </w:p>
    <w:p w14:paraId="1FC282C9" w14:textId="2C47E09D" w:rsidR="00AF7B16" w:rsidRPr="00D6146D" w:rsidRDefault="008D29FB" w:rsidP="00860726">
      <w:pPr>
        <w:pStyle w:val="ListParagraph"/>
        <w:numPr>
          <w:ilvl w:val="0"/>
          <w:numId w:val="11"/>
        </w:numPr>
        <w:ind w:left="714" w:hanging="357"/>
        <w:rPr>
          <w:rFonts w:asciiTheme="minorHAnsi" w:hAnsiTheme="minorHAnsi" w:cstheme="minorHAnsi"/>
        </w:rPr>
      </w:pPr>
      <w:r>
        <w:rPr>
          <w:rFonts w:asciiTheme="minorHAnsi" w:hAnsiTheme="minorHAnsi" w:cstheme="minorHAnsi"/>
        </w:rPr>
        <w:t>p</w:t>
      </w:r>
      <w:r w:rsidR="00AF7B16" w:rsidRPr="00D6146D">
        <w:rPr>
          <w:rFonts w:asciiTheme="minorHAnsi" w:hAnsiTheme="minorHAnsi" w:cstheme="minorHAnsi"/>
        </w:rPr>
        <w:t>romote culturally safe and responsive environments for Aboriginal and Torres Strait Islander health consumers and health professionals</w:t>
      </w:r>
      <w:r>
        <w:rPr>
          <w:rFonts w:asciiTheme="minorHAnsi" w:hAnsiTheme="minorHAnsi" w:cstheme="minorHAnsi"/>
        </w:rPr>
        <w:t>.</w:t>
      </w:r>
    </w:p>
    <w:p w14:paraId="04201617" w14:textId="3106C2BA" w:rsidR="00AF7B16" w:rsidRPr="00D6146D" w:rsidRDefault="00AF7B16" w:rsidP="00860726">
      <w:pPr>
        <w:pStyle w:val="ListParagraph"/>
        <w:numPr>
          <w:ilvl w:val="0"/>
          <w:numId w:val="11"/>
        </w:numPr>
        <w:ind w:left="714" w:hanging="357"/>
        <w:rPr>
          <w:rFonts w:asciiTheme="minorHAnsi" w:hAnsiTheme="minorHAnsi" w:cstheme="minorHAnsi"/>
        </w:rPr>
      </w:pPr>
      <w:r w:rsidRPr="00D6146D">
        <w:rPr>
          <w:rFonts w:asciiTheme="minorHAnsi" w:hAnsiTheme="minorHAnsi" w:cstheme="minorHAnsi"/>
        </w:rPr>
        <w:lastRenderedPageBreak/>
        <w:t>Increase the number of Aboriginal and Torres Strait Islander students studying for health qualifications</w:t>
      </w:r>
      <w:r w:rsidR="008D29FB">
        <w:rPr>
          <w:rFonts w:asciiTheme="minorHAnsi" w:hAnsiTheme="minorHAnsi" w:cstheme="minorHAnsi"/>
        </w:rPr>
        <w:t>,</w:t>
      </w:r>
      <w:r w:rsidRPr="00D6146D">
        <w:rPr>
          <w:rFonts w:asciiTheme="minorHAnsi" w:hAnsiTheme="minorHAnsi" w:cstheme="minorHAnsi"/>
        </w:rPr>
        <w:t xml:space="preserve"> and</w:t>
      </w:r>
    </w:p>
    <w:p w14:paraId="5DFC30C1" w14:textId="77777777" w:rsidR="00AF7B16" w:rsidRPr="00D6146D" w:rsidRDefault="00AF7B16" w:rsidP="00860726">
      <w:pPr>
        <w:pStyle w:val="ListParagraph"/>
        <w:numPr>
          <w:ilvl w:val="0"/>
          <w:numId w:val="11"/>
        </w:numPr>
        <w:ind w:left="714" w:hanging="357"/>
        <w:rPr>
          <w:rFonts w:asciiTheme="minorHAnsi" w:hAnsiTheme="minorHAnsi" w:cstheme="minorHAnsi"/>
        </w:rPr>
      </w:pPr>
      <w:r w:rsidRPr="00D6146D">
        <w:rPr>
          <w:rFonts w:asciiTheme="minorHAnsi" w:hAnsiTheme="minorHAnsi" w:cstheme="minorHAnsi"/>
        </w:rPr>
        <w:t>Improve completion and employment rates for Aboriginal and Torres Strait Islander health students.</w:t>
      </w:r>
    </w:p>
    <w:p w14:paraId="2EE74DBE" w14:textId="77777777" w:rsidR="00AF7B16" w:rsidRDefault="00AF7B16" w:rsidP="00AF7B16">
      <w:pPr>
        <w:rPr>
          <w:rFonts w:asciiTheme="minorHAnsi" w:hAnsiTheme="minorHAnsi" w:cstheme="minorHAnsi"/>
        </w:rPr>
      </w:pPr>
    </w:p>
    <w:p w14:paraId="7A9E4A49" w14:textId="11A660C4" w:rsidR="00AF7B16" w:rsidRDefault="00AF7B16" w:rsidP="00AF7B16">
      <w:pPr>
        <w:rPr>
          <w:rFonts w:asciiTheme="minorHAnsi" w:hAnsiTheme="minorHAnsi" w:cstheme="minorHAnsi"/>
        </w:rPr>
      </w:pPr>
      <w:r w:rsidRPr="0052028F">
        <w:rPr>
          <w:rFonts w:asciiTheme="minorHAnsi" w:hAnsiTheme="minorHAnsi" w:cstheme="minorHAnsi"/>
        </w:rPr>
        <w:t xml:space="preserve">This </w:t>
      </w:r>
      <w:r>
        <w:rPr>
          <w:rFonts w:asciiTheme="minorHAnsi" w:hAnsiTheme="minorHAnsi" w:cstheme="minorHAnsi"/>
        </w:rPr>
        <w:t>initiative</w:t>
      </w:r>
      <w:r w:rsidRPr="0052028F">
        <w:rPr>
          <w:rFonts w:asciiTheme="minorHAnsi" w:hAnsiTheme="minorHAnsi" w:cstheme="minorHAnsi"/>
        </w:rPr>
        <w:t xml:space="preserve"> will provide</w:t>
      </w:r>
      <w:r>
        <w:rPr>
          <w:rFonts w:asciiTheme="minorHAnsi" w:hAnsiTheme="minorHAnsi" w:cstheme="minorHAnsi"/>
        </w:rPr>
        <w:t xml:space="preserve"> funding to</w:t>
      </w:r>
      <w:r w:rsidRPr="0052028F">
        <w:rPr>
          <w:rFonts w:asciiTheme="minorHAnsi" w:hAnsiTheme="minorHAnsi" w:cstheme="minorHAnsi"/>
        </w:rPr>
        <w:t xml:space="preserve"> four existing Aboriginal and Torres Strait Islander Health Professional Organisations </w:t>
      </w:r>
      <w:r>
        <w:rPr>
          <w:rFonts w:asciiTheme="minorHAnsi" w:hAnsiTheme="minorHAnsi" w:cstheme="minorHAnsi"/>
        </w:rPr>
        <w:t xml:space="preserve">so they can continue </w:t>
      </w:r>
      <w:r w:rsidRPr="0052028F">
        <w:rPr>
          <w:rFonts w:asciiTheme="minorHAnsi" w:hAnsiTheme="minorHAnsi" w:cstheme="minorHAnsi"/>
        </w:rPr>
        <w:t xml:space="preserve">to support the Aboriginal and Torres Strait Islander </w:t>
      </w:r>
      <w:r>
        <w:rPr>
          <w:rFonts w:asciiTheme="minorHAnsi" w:hAnsiTheme="minorHAnsi" w:cstheme="minorHAnsi"/>
        </w:rPr>
        <w:t>h</w:t>
      </w:r>
      <w:r w:rsidRPr="0052028F">
        <w:rPr>
          <w:rFonts w:asciiTheme="minorHAnsi" w:hAnsiTheme="minorHAnsi" w:cstheme="minorHAnsi"/>
        </w:rPr>
        <w:t>ealth workforce</w:t>
      </w:r>
      <w:r>
        <w:rPr>
          <w:rFonts w:asciiTheme="minorHAnsi" w:hAnsiTheme="minorHAnsi" w:cstheme="minorHAnsi"/>
        </w:rPr>
        <w:t xml:space="preserve">, and expand their activities </w:t>
      </w:r>
      <w:r w:rsidRPr="0052028F">
        <w:rPr>
          <w:rFonts w:asciiTheme="minorHAnsi" w:hAnsiTheme="minorHAnsi" w:cstheme="minorHAnsi"/>
        </w:rPr>
        <w:t xml:space="preserve">to </w:t>
      </w:r>
      <w:r>
        <w:rPr>
          <w:rFonts w:asciiTheme="minorHAnsi" w:hAnsiTheme="minorHAnsi" w:cstheme="minorHAnsi"/>
        </w:rPr>
        <w:t>meet the increasing demands on their services. The four organisations are:</w:t>
      </w:r>
    </w:p>
    <w:p w14:paraId="2594D1AD" w14:textId="54BBB5F7" w:rsidR="00AF7B16" w:rsidRPr="00D6146D" w:rsidRDefault="00AF7B16" w:rsidP="00AA5EBF">
      <w:pPr>
        <w:pStyle w:val="ListParagraph"/>
        <w:numPr>
          <w:ilvl w:val="0"/>
          <w:numId w:val="18"/>
        </w:numPr>
        <w:rPr>
          <w:rFonts w:asciiTheme="minorHAnsi" w:hAnsiTheme="minorHAnsi" w:cstheme="minorHAnsi"/>
        </w:rPr>
      </w:pPr>
      <w:r w:rsidRPr="00D6146D">
        <w:rPr>
          <w:rFonts w:asciiTheme="minorHAnsi" w:hAnsiTheme="minorHAnsi" w:cstheme="minorHAnsi"/>
        </w:rPr>
        <w:t>Australian Indigenous Doctor’s Association</w:t>
      </w:r>
    </w:p>
    <w:p w14:paraId="593C96C3" w14:textId="0CB42F63" w:rsidR="00AF7B16" w:rsidRPr="00D6146D" w:rsidRDefault="00AF7B16" w:rsidP="00AA5EBF">
      <w:pPr>
        <w:pStyle w:val="ListParagraph"/>
        <w:numPr>
          <w:ilvl w:val="0"/>
          <w:numId w:val="18"/>
        </w:numPr>
        <w:rPr>
          <w:rFonts w:asciiTheme="minorHAnsi" w:hAnsiTheme="minorHAnsi" w:cstheme="minorHAnsi"/>
        </w:rPr>
      </w:pPr>
      <w:r w:rsidRPr="00D6146D">
        <w:rPr>
          <w:rFonts w:asciiTheme="minorHAnsi" w:hAnsiTheme="minorHAnsi" w:cstheme="minorHAnsi"/>
        </w:rPr>
        <w:t>Congress of Aboriginal and Torres Strait Islander Nurses and Midwives</w:t>
      </w:r>
    </w:p>
    <w:p w14:paraId="0470AA88" w14:textId="080DA8D7" w:rsidR="00AF7B16" w:rsidRPr="00D6146D" w:rsidRDefault="00AF7B16" w:rsidP="00AA5EBF">
      <w:pPr>
        <w:pStyle w:val="ListParagraph"/>
        <w:numPr>
          <w:ilvl w:val="0"/>
          <w:numId w:val="18"/>
        </w:numPr>
        <w:rPr>
          <w:rFonts w:asciiTheme="minorHAnsi" w:hAnsiTheme="minorHAnsi" w:cstheme="minorHAnsi"/>
        </w:rPr>
      </w:pPr>
      <w:r w:rsidRPr="00D6146D">
        <w:rPr>
          <w:rFonts w:asciiTheme="minorHAnsi" w:hAnsiTheme="minorHAnsi" w:cstheme="minorHAnsi"/>
        </w:rPr>
        <w:t>Indigenous Allied Health Australia</w:t>
      </w:r>
    </w:p>
    <w:p w14:paraId="714AE843" w14:textId="77777777" w:rsidR="00AF7B16" w:rsidRPr="00717CFC" w:rsidRDefault="00AF7B16" w:rsidP="00AA5EBF">
      <w:pPr>
        <w:pStyle w:val="ListParagraph"/>
        <w:numPr>
          <w:ilvl w:val="0"/>
          <w:numId w:val="18"/>
        </w:numPr>
        <w:rPr>
          <w:rFonts w:asciiTheme="minorHAnsi" w:hAnsiTheme="minorHAnsi" w:cstheme="minorHAnsi"/>
        </w:rPr>
      </w:pPr>
      <w:r w:rsidRPr="00D6146D">
        <w:rPr>
          <w:rFonts w:asciiTheme="minorHAnsi" w:hAnsiTheme="minorHAnsi" w:cstheme="minorHAnsi"/>
        </w:rPr>
        <w:t xml:space="preserve">National Aboriginal and Torres Strait </w:t>
      </w:r>
      <w:r w:rsidRPr="00717CFC">
        <w:rPr>
          <w:rFonts w:asciiTheme="minorHAnsi" w:hAnsiTheme="minorHAnsi" w:cstheme="minorHAnsi"/>
        </w:rPr>
        <w:t>Islander Health Worker Association.</w:t>
      </w:r>
    </w:p>
    <w:p w14:paraId="61BD4FC5" w14:textId="77777777" w:rsidR="00AF7B16" w:rsidRDefault="00AF7B16" w:rsidP="00AF7B16">
      <w:pPr>
        <w:rPr>
          <w:rFonts w:asciiTheme="minorHAnsi" w:hAnsiTheme="minorHAnsi" w:cstheme="minorHAnsi"/>
        </w:rPr>
      </w:pPr>
    </w:p>
    <w:p w14:paraId="36AA151B" w14:textId="77777777" w:rsidR="00AF7B16" w:rsidRDefault="00AF7B16" w:rsidP="00AF7B16">
      <w:pPr>
        <w:rPr>
          <w:rFonts w:asciiTheme="minorHAnsi" w:hAnsiTheme="minorHAnsi" w:cstheme="minorHAnsi"/>
        </w:rPr>
      </w:pPr>
      <w:r>
        <w:rPr>
          <w:rFonts w:asciiTheme="minorHAnsi" w:hAnsiTheme="minorHAnsi" w:cstheme="minorHAnsi"/>
        </w:rPr>
        <w:t xml:space="preserve">An additional $33.4 million will be provided over four years from 1 July 2018 to the four organisations to continue and expand their work.  The activities under this initiative will focus on improving cultural safety, professional development and mentoring, developing leadership, and student engagement and support. This funding signifies an increase in investment in core funding for ATSIHPOs by $1.6 million a year. </w:t>
      </w:r>
    </w:p>
    <w:p w14:paraId="35F86CCC" w14:textId="77777777" w:rsidR="00AF7B16" w:rsidRPr="0052028F" w:rsidRDefault="00AF7B16" w:rsidP="00AF7B16">
      <w:pPr>
        <w:rPr>
          <w:rFonts w:asciiTheme="minorHAnsi" w:hAnsiTheme="minorHAnsi" w:cstheme="minorHAnsi"/>
        </w:rPr>
      </w:pPr>
    </w:p>
    <w:p w14:paraId="48541EEE" w14:textId="0EA6532B" w:rsidR="00AF7B16" w:rsidRPr="00717CFC" w:rsidRDefault="00AF7B16" w:rsidP="00860726">
      <w:pPr>
        <w:tabs>
          <w:tab w:val="left" w:pos="426"/>
        </w:tabs>
        <w:rPr>
          <w:rFonts w:asciiTheme="minorHAnsi" w:hAnsiTheme="minorHAnsi" w:cstheme="minorHAnsi"/>
        </w:rPr>
      </w:pPr>
      <w:r w:rsidRPr="0052028F">
        <w:rPr>
          <w:rFonts w:asciiTheme="minorHAnsi" w:hAnsiTheme="minorHAnsi" w:cstheme="minorHAnsi"/>
        </w:rPr>
        <w:t>The impact</w:t>
      </w:r>
      <w:r>
        <w:rPr>
          <w:rFonts w:asciiTheme="minorHAnsi" w:hAnsiTheme="minorHAnsi" w:cstheme="minorHAnsi"/>
        </w:rPr>
        <w:t>s</w:t>
      </w:r>
      <w:r w:rsidRPr="0052028F">
        <w:rPr>
          <w:rFonts w:asciiTheme="minorHAnsi" w:hAnsiTheme="minorHAnsi" w:cstheme="minorHAnsi"/>
        </w:rPr>
        <w:t xml:space="preserve"> of this </w:t>
      </w:r>
      <w:r>
        <w:rPr>
          <w:rFonts w:asciiTheme="minorHAnsi" w:hAnsiTheme="minorHAnsi" w:cstheme="minorHAnsi"/>
        </w:rPr>
        <w:t>initiative</w:t>
      </w:r>
      <w:r w:rsidRPr="0052028F">
        <w:rPr>
          <w:rFonts w:asciiTheme="minorHAnsi" w:hAnsiTheme="minorHAnsi" w:cstheme="minorHAnsi"/>
        </w:rPr>
        <w:t xml:space="preserve"> include</w:t>
      </w:r>
      <w:r>
        <w:rPr>
          <w:rFonts w:asciiTheme="minorHAnsi" w:hAnsiTheme="minorHAnsi" w:cstheme="minorHAnsi"/>
        </w:rPr>
        <w:t xml:space="preserve"> a </w:t>
      </w:r>
      <w:r w:rsidRPr="0052028F">
        <w:rPr>
          <w:rFonts w:asciiTheme="minorHAnsi" w:hAnsiTheme="minorHAnsi" w:cstheme="minorHAnsi"/>
        </w:rPr>
        <w:t xml:space="preserve">benefit </w:t>
      </w:r>
      <w:r>
        <w:rPr>
          <w:rFonts w:asciiTheme="minorHAnsi" w:hAnsiTheme="minorHAnsi" w:cstheme="minorHAnsi"/>
        </w:rPr>
        <w:t xml:space="preserve">to </w:t>
      </w:r>
      <w:r w:rsidRPr="0052028F">
        <w:rPr>
          <w:rFonts w:asciiTheme="minorHAnsi" w:hAnsiTheme="minorHAnsi" w:cstheme="minorHAnsi"/>
        </w:rPr>
        <w:t xml:space="preserve">Aboriginal and Torres Strait Islander people </w:t>
      </w:r>
      <w:r>
        <w:rPr>
          <w:rFonts w:asciiTheme="minorHAnsi" w:hAnsiTheme="minorHAnsi" w:cstheme="minorHAnsi"/>
        </w:rPr>
        <w:t>through</w:t>
      </w:r>
      <w:r w:rsidRPr="0052028F">
        <w:rPr>
          <w:rFonts w:asciiTheme="minorHAnsi" w:hAnsiTheme="minorHAnsi" w:cstheme="minorHAnsi"/>
        </w:rPr>
        <w:t xml:space="preserve"> </w:t>
      </w:r>
      <w:r>
        <w:rPr>
          <w:rFonts w:asciiTheme="minorHAnsi" w:hAnsiTheme="minorHAnsi" w:cstheme="minorHAnsi"/>
        </w:rPr>
        <w:t xml:space="preserve">support to these four organisations to meet increased demand on their services. In </w:t>
      </w:r>
      <w:r w:rsidRPr="00717CFC">
        <w:rPr>
          <w:rFonts w:asciiTheme="minorHAnsi" w:hAnsiTheme="minorHAnsi" w:cstheme="minorHAnsi"/>
        </w:rPr>
        <w:t>addition, ATSIHPOs will be supported to provide Aboriginal and Torres Strait Islander people</w:t>
      </w:r>
      <w:r w:rsidRPr="00717CFC" w:rsidDel="00DA39C2">
        <w:rPr>
          <w:rFonts w:asciiTheme="minorHAnsi" w:hAnsiTheme="minorHAnsi" w:cstheme="minorHAnsi"/>
        </w:rPr>
        <w:t xml:space="preserve"> </w:t>
      </w:r>
      <w:r w:rsidRPr="00717CFC">
        <w:rPr>
          <w:rFonts w:asciiTheme="minorHAnsi" w:hAnsiTheme="minorHAnsi" w:cstheme="minorHAnsi"/>
        </w:rPr>
        <w:t>with better access to appropriate and culturally safe health care.</w:t>
      </w:r>
      <w:r w:rsidR="00304441">
        <w:rPr>
          <w:rFonts w:asciiTheme="minorHAnsi" w:hAnsiTheme="minorHAnsi" w:cstheme="minorHAnsi"/>
        </w:rPr>
        <w:t xml:space="preserve"> </w:t>
      </w:r>
      <w:r w:rsidR="00FB5DEB">
        <w:rPr>
          <w:rFonts w:asciiTheme="minorHAnsi" w:hAnsiTheme="minorHAnsi" w:cstheme="minorHAnsi"/>
        </w:rPr>
        <w:t>There are no identified changes in regulatory burden arising from this measure.</w:t>
      </w:r>
    </w:p>
    <w:p w14:paraId="5E3376E3" w14:textId="77777777" w:rsidR="00280050" w:rsidRDefault="00280050"/>
    <w:sectPr w:rsidR="00280050" w:rsidSect="00352990">
      <w:headerReference w:type="even" r:id="rId10"/>
      <w:headerReference w:type="default" r:id="rId11"/>
      <w:footerReference w:type="even" r:id="rId12"/>
      <w:footerReference w:type="default" r:id="rId13"/>
      <w:headerReference w:type="first" r:id="rId14"/>
      <w:footerReference w:type="first" r:id="rId15"/>
      <w:pgSz w:w="11906" w:h="16838" w:code="9"/>
      <w:pgMar w:top="1559" w:right="1134" w:bottom="709" w:left="1276" w:header="425"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B40BE" w14:textId="77777777" w:rsidR="00EB42D7" w:rsidRDefault="00EB42D7" w:rsidP="00AF7B16">
      <w:r>
        <w:separator/>
      </w:r>
    </w:p>
  </w:endnote>
  <w:endnote w:type="continuationSeparator" w:id="0">
    <w:p w14:paraId="54DEAA02" w14:textId="77777777" w:rsidR="00EB42D7" w:rsidRDefault="00EB42D7" w:rsidP="00AF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3A05" w14:textId="77777777" w:rsidR="00672A50" w:rsidRDefault="00672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8AD86" w14:textId="7F623739" w:rsidR="00797388" w:rsidRPr="00BF3FF5" w:rsidRDefault="00797388" w:rsidP="00352990">
    <w:pPr>
      <w:pStyle w:val="Footer"/>
      <w:pBdr>
        <w:top w:val="single" w:sz="4" w:space="1" w:color="auto"/>
      </w:pBdr>
      <w:tabs>
        <w:tab w:val="clear" w:pos="4513"/>
        <w:tab w:val="clear" w:pos="9026"/>
      </w:tabs>
      <w:jc w:val="center"/>
      <w:rPr>
        <w:sz w:val="16"/>
        <w:szCs w:val="16"/>
      </w:rPr>
    </w:pPr>
    <w:r w:rsidRPr="00BF3FF5">
      <w:rPr>
        <w:sz w:val="16"/>
        <w:szCs w:val="16"/>
      </w:rPr>
      <w:t xml:space="preserve">Page </w:t>
    </w:r>
    <w:r w:rsidRPr="00BF3FF5">
      <w:rPr>
        <w:sz w:val="16"/>
        <w:szCs w:val="16"/>
      </w:rPr>
      <w:fldChar w:fldCharType="begin"/>
    </w:r>
    <w:r w:rsidRPr="00BF3FF5">
      <w:rPr>
        <w:sz w:val="16"/>
        <w:szCs w:val="16"/>
      </w:rPr>
      <w:instrText xml:space="preserve"> PAGE  \* Arabic  \* MERGEFORMAT </w:instrText>
    </w:r>
    <w:r w:rsidRPr="00BF3FF5">
      <w:rPr>
        <w:sz w:val="16"/>
        <w:szCs w:val="16"/>
      </w:rPr>
      <w:fldChar w:fldCharType="separate"/>
    </w:r>
    <w:r w:rsidR="00672A50">
      <w:rPr>
        <w:noProof/>
        <w:sz w:val="16"/>
        <w:szCs w:val="16"/>
      </w:rPr>
      <w:t>33</w:t>
    </w:r>
    <w:r w:rsidRPr="00BF3FF5">
      <w:rPr>
        <w:sz w:val="16"/>
        <w:szCs w:val="16"/>
      </w:rPr>
      <w:fldChar w:fldCharType="end"/>
    </w:r>
    <w:r w:rsidRPr="00BF3FF5">
      <w:rPr>
        <w:sz w:val="16"/>
        <w:szCs w:val="16"/>
      </w:rPr>
      <w:t xml:space="preserve"> of </w:t>
    </w:r>
    <w:r w:rsidRPr="00BF3FF5">
      <w:rPr>
        <w:sz w:val="16"/>
        <w:szCs w:val="16"/>
      </w:rPr>
      <w:fldChar w:fldCharType="begin"/>
    </w:r>
    <w:r w:rsidRPr="00BF3FF5">
      <w:rPr>
        <w:sz w:val="16"/>
        <w:szCs w:val="16"/>
      </w:rPr>
      <w:instrText xml:space="preserve"> NUMPAGES  \* Arabic  \* MERGEFORMAT </w:instrText>
    </w:r>
    <w:r w:rsidRPr="00BF3FF5">
      <w:rPr>
        <w:sz w:val="16"/>
        <w:szCs w:val="16"/>
      </w:rPr>
      <w:fldChar w:fldCharType="separate"/>
    </w:r>
    <w:r w:rsidR="00672A50">
      <w:rPr>
        <w:noProof/>
        <w:sz w:val="16"/>
        <w:szCs w:val="16"/>
      </w:rPr>
      <w:t>46</w:t>
    </w:r>
    <w:r w:rsidRPr="00BF3FF5">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3502F" w14:textId="77777777" w:rsidR="00672A50" w:rsidRDefault="00672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B1D69" w14:textId="77777777" w:rsidR="00EB42D7" w:rsidRDefault="00EB42D7" w:rsidP="00AF7B16">
      <w:r>
        <w:separator/>
      </w:r>
    </w:p>
  </w:footnote>
  <w:footnote w:type="continuationSeparator" w:id="0">
    <w:p w14:paraId="4F2745A0" w14:textId="77777777" w:rsidR="00EB42D7" w:rsidRDefault="00EB42D7" w:rsidP="00AF7B16">
      <w:r>
        <w:continuationSeparator/>
      </w:r>
    </w:p>
  </w:footnote>
  <w:footnote w:id="1">
    <w:p w14:paraId="6BCF63D4" w14:textId="77777777" w:rsidR="00797388" w:rsidRDefault="00797388" w:rsidP="00AF7B16">
      <w:pPr>
        <w:pStyle w:val="CommentText"/>
      </w:pPr>
      <w:r>
        <w:rPr>
          <w:rStyle w:val="FootnoteReference"/>
        </w:rPr>
        <w:footnoteRef/>
      </w:r>
      <w:r>
        <w:t xml:space="preserve"> </w:t>
      </w:r>
      <w:r w:rsidRPr="00926805">
        <w:t>https://meteor.aihw.gov.au/content/index.phtml/itemId/629963</w:t>
      </w:r>
    </w:p>
    <w:p w14:paraId="0E35B447" w14:textId="77777777" w:rsidR="00797388" w:rsidRPr="00507EE2" w:rsidRDefault="00797388" w:rsidP="00AF7B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83F64" w14:textId="77777777" w:rsidR="00672A50" w:rsidRDefault="00672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41ABA" w14:textId="77777777" w:rsidR="00797388" w:rsidRDefault="00797388" w:rsidP="00AA5EBF">
    <w:pPr>
      <w:pStyle w:val="Header"/>
      <w:jc w:val="center"/>
    </w:pPr>
    <w:r>
      <w:rPr>
        <w:noProof/>
      </w:rPr>
      <w:drawing>
        <wp:inline distT="0" distB="0" distL="0" distR="0" wp14:anchorId="5D67A15D" wp14:editId="69125746">
          <wp:extent cx="1476375" cy="977900"/>
          <wp:effectExtent l="0" t="0" r="9525" b="0"/>
          <wp:docPr id="4" name="Picture 4" title="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977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8B8B" w14:textId="77777777" w:rsidR="00672A50" w:rsidRDefault="00672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4B8"/>
    <w:multiLevelType w:val="hybridMultilevel"/>
    <w:tmpl w:val="DC4AC5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CD649D"/>
    <w:multiLevelType w:val="hybridMultilevel"/>
    <w:tmpl w:val="418C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11AE0"/>
    <w:multiLevelType w:val="hybridMultilevel"/>
    <w:tmpl w:val="8D0447F4"/>
    <w:lvl w:ilvl="0" w:tplc="0C090001">
      <w:start w:val="1"/>
      <w:numFmt w:val="bullet"/>
      <w:lvlText w:val=""/>
      <w:lvlJc w:val="left"/>
      <w:pPr>
        <w:ind w:left="886" w:hanging="360"/>
      </w:pPr>
      <w:rPr>
        <w:rFonts w:ascii="Symbol" w:hAnsi="Symbol" w:hint="default"/>
      </w:rPr>
    </w:lvl>
    <w:lvl w:ilvl="1" w:tplc="0C090003" w:tentative="1">
      <w:start w:val="1"/>
      <w:numFmt w:val="bullet"/>
      <w:lvlText w:val="o"/>
      <w:lvlJc w:val="left"/>
      <w:pPr>
        <w:ind w:left="1606" w:hanging="360"/>
      </w:pPr>
      <w:rPr>
        <w:rFonts w:ascii="Courier New" w:hAnsi="Courier New" w:cs="Courier New" w:hint="default"/>
      </w:rPr>
    </w:lvl>
    <w:lvl w:ilvl="2" w:tplc="0C090005" w:tentative="1">
      <w:start w:val="1"/>
      <w:numFmt w:val="bullet"/>
      <w:lvlText w:val=""/>
      <w:lvlJc w:val="left"/>
      <w:pPr>
        <w:ind w:left="2326" w:hanging="360"/>
      </w:pPr>
      <w:rPr>
        <w:rFonts w:ascii="Wingdings" w:hAnsi="Wingdings" w:hint="default"/>
      </w:rPr>
    </w:lvl>
    <w:lvl w:ilvl="3" w:tplc="0C090001" w:tentative="1">
      <w:start w:val="1"/>
      <w:numFmt w:val="bullet"/>
      <w:lvlText w:val=""/>
      <w:lvlJc w:val="left"/>
      <w:pPr>
        <w:ind w:left="3046" w:hanging="360"/>
      </w:pPr>
      <w:rPr>
        <w:rFonts w:ascii="Symbol" w:hAnsi="Symbol" w:hint="default"/>
      </w:rPr>
    </w:lvl>
    <w:lvl w:ilvl="4" w:tplc="0C090003" w:tentative="1">
      <w:start w:val="1"/>
      <w:numFmt w:val="bullet"/>
      <w:lvlText w:val="o"/>
      <w:lvlJc w:val="left"/>
      <w:pPr>
        <w:ind w:left="3766" w:hanging="360"/>
      </w:pPr>
      <w:rPr>
        <w:rFonts w:ascii="Courier New" w:hAnsi="Courier New" w:cs="Courier New" w:hint="default"/>
      </w:rPr>
    </w:lvl>
    <w:lvl w:ilvl="5" w:tplc="0C090005" w:tentative="1">
      <w:start w:val="1"/>
      <w:numFmt w:val="bullet"/>
      <w:lvlText w:val=""/>
      <w:lvlJc w:val="left"/>
      <w:pPr>
        <w:ind w:left="4486" w:hanging="360"/>
      </w:pPr>
      <w:rPr>
        <w:rFonts w:ascii="Wingdings" w:hAnsi="Wingdings" w:hint="default"/>
      </w:rPr>
    </w:lvl>
    <w:lvl w:ilvl="6" w:tplc="0C090001" w:tentative="1">
      <w:start w:val="1"/>
      <w:numFmt w:val="bullet"/>
      <w:lvlText w:val=""/>
      <w:lvlJc w:val="left"/>
      <w:pPr>
        <w:ind w:left="5206" w:hanging="360"/>
      </w:pPr>
      <w:rPr>
        <w:rFonts w:ascii="Symbol" w:hAnsi="Symbol" w:hint="default"/>
      </w:rPr>
    </w:lvl>
    <w:lvl w:ilvl="7" w:tplc="0C090003" w:tentative="1">
      <w:start w:val="1"/>
      <w:numFmt w:val="bullet"/>
      <w:lvlText w:val="o"/>
      <w:lvlJc w:val="left"/>
      <w:pPr>
        <w:ind w:left="5926" w:hanging="360"/>
      </w:pPr>
      <w:rPr>
        <w:rFonts w:ascii="Courier New" w:hAnsi="Courier New" w:cs="Courier New" w:hint="default"/>
      </w:rPr>
    </w:lvl>
    <w:lvl w:ilvl="8" w:tplc="0C090005" w:tentative="1">
      <w:start w:val="1"/>
      <w:numFmt w:val="bullet"/>
      <w:lvlText w:val=""/>
      <w:lvlJc w:val="left"/>
      <w:pPr>
        <w:ind w:left="6646" w:hanging="360"/>
      </w:pPr>
      <w:rPr>
        <w:rFonts w:ascii="Wingdings" w:hAnsi="Wingdings" w:hint="default"/>
      </w:rPr>
    </w:lvl>
  </w:abstractNum>
  <w:abstractNum w:abstractNumId="3" w15:restartNumberingAfterBreak="0">
    <w:nsid w:val="05BB07CA"/>
    <w:multiLevelType w:val="hybridMultilevel"/>
    <w:tmpl w:val="CA00D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3B1BEA"/>
    <w:multiLevelType w:val="hybridMultilevel"/>
    <w:tmpl w:val="10620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734210"/>
    <w:multiLevelType w:val="hybridMultilevel"/>
    <w:tmpl w:val="EAD46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DB3759"/>
    <w:multiLevelType w:val="hybridMultilevel"/>
    <w:tmpl w:val="0EC4C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F801FA"/>
    <w:multiLevelType w:val="hybridMultilevel"/>
    <w:tmpl w:val="27A07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4A3582"/>
    <w:multiLevelType w:val="hybridMultilevel"/>
    <w:tmpl w:val="D88886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6B2EA8"/>
    <w:multiLevelType w:val="hybridMultilevel"/>
    <w:tmpl w:val="4D0E7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B36363"/>
    <w:multiLevelType w:val="hybridMultilevel"/>
    <w:tmpl w:val="4CC6D0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01036E"/>
    <w:multiLevelType w:val="hybridMultilevel"/>
    <w:tmpl w:val="A41C793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2" w15:restartNumberingAfterBreak="0">
    <w:nsid w:val="194F13FB"/>
    <w:multiLevelType w:val="hybridMultilevel"/>
    <w:tmpl w:val="916C6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AD437C"/>
    <w:multiLevelType w:val="hybridMultilevel"/>
    <w:tmpl w:val="59163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4402F9"/>
    <w:multiLevelType w:val="hybridMultilevel"/>
    <w:tmpl w:val="C7500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B56BD4"/>
    <w:multiLevelType w:val="hybridMultilevel"/>
    <w:tmpl w:val="E8B62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A255CC"/>
    <w:multiLevelType w:val="hybridMultilevel"/>
    <w:tmpl w:val="86C81D9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7" w15:restartNumberingAfterBreak="0">
    <w:nsid w:val="245171B5"/>
    <w:multiLevelType w:val="hybridMultilevel"/>
    <w:tmpl w:val="FD4C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7B3CDE"/>
    <w:multiLevelType w:val="hybridMultilevel"/>
    <w:tmpl w:val="9DB47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2B2B16"/>
    <w:multiLevelType w:val="hybridMultilevel"/>
    <w:tmpl w:val="61B00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4829B5"/>
    <w:multiLevelType w:val="hybridMultilevel"/>
    <w:tmpl w:val="753619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28864953"/>
    <w:multiLevelType w:val="hybridMultilevel"/>
    <w:tmpl w:val="6D4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0E1412"/>
    <w:multiLevelType w:val="hybridMultilevel"/>
    <w:tmpl w:val="35BA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BD5485"/>
    <w:multiLevelType w:val="hybridMultilevel"/>
    <w:tmpl w:val="4F168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B5066"/>
    <w:multiLevelType w:val="hybridMultilevel"/>
    <w:tmpl w:val="44C6E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424C77"/>
    <w:multiLevelType w:val="hybridMultilevel"/>
    <w:tmpl w:val="4EAA2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E52AAB"/>
    <w:multiLevelType w:val="hybridMultilevel"/>
    <w:tmpl w:val="2A7AD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787A5B"/>
    <w:multiLevelType w:val="hybridMultilevel"/>
    <w:tmpl w:val="7DA8013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8" w15:restartNumberingAfterBreak="0">
    <w:nsid w:val="36B32EAA"/>
    <w:multiLevelType w:val="hybridMultilevel"/>
    <w:tmpl w:val="89E0E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FD7D71"/>
    <w:multiLevelType w:val="hybridMultilevel"/>
    <w:tmpl w:val="628E7A9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0" w15:restartNumberingAfterBreak="0">
    <w:nsid w:val="3C2C3163"/>
    <w:multiLevelType w:val="hybridMultilevel"/>
    <w:tmpl w:val="BE626B7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1" w15:restartNumberingAfterBreak="0">
    <w:nsid w:val="3F7F3DDD"/>
    <w:multiLevelType w:val="hybridMultilevel"/>
    <w:tmpl w:val="F600E2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43D628EE"/>
    <w:multiLevelType w:val="hybridMultilevel"/>
    <w:tmpl w:val="F698D92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3" w15:restartNumberingAfterBreak="0">
    <w:nsid w:val="47B41776"/>
    <w:multiLevelType w:val="hybridMultilevel"/>
    <w:tmpl w:val="E0C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920706"/>
    <w:multiLevelType w:val="hybridMultilevel"/>
    <w:tmpl w:val="3AE6D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4E95610E"/>
    <w:multiLevelType w:val="hybridMultilevel"/>
    <w:tmpl w:val="38BE2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5240F2"/>
    <w:multiLevelType w:val="hybridMultilevel"/>
    <w:tmpl w:val="2AF41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827308"/>
    <w:multiLevelType w:val="hybridMultilevel"/>
    <w:tmpl w:val="9E48D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58340B"/>
    <w:multiLevelType w:val="hybridMultilevel"/>
    <w:tmpl w:val="A9944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3D5494"/>
    <w:multiLevelType w:val="hybridMultilevel"/>
    <w:tmpl w:val="00CC0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A7C15B1"/>
    <w:multiLevelType w:val="hybridMultilevel"/>
    <w:tmpl w:val="D17AE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AE0805"/>
    <w:multiLevelType w:val="hybridMultilevel"/>
    <w:tmpl w:val="AB707A9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2" w15:restartNumberingAfterBreak="0">
    <w:nsid w:val="5DB356A1"/>
    <w:multiLevelType w:val="hybridMultilevel"/>
    <w:tmpl w:val="3442308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3" w15:restartNumberingAfterBreak="0">
    <w:nsid w:val="5DEC7BBD"/>
    <w:multiLevelType w:val="hybridMultilevel"/>
    <w:tmpl w:val="C8A4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104B30"/>
    <w:multiLevelType w:val="hybridMultilevel"/>
    <w:tmpl w:val="826C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28748B"/>
    <w:multiLevelType w:val="hybridMultilevel"/>
    <w:tmpl w:val="8FBC9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5772B1"/>
    <w:multiLevelType w:val="hybridMultilevel"/>
    <w:tmpl w:val="86C48E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29D66CB"/>
    <w:multiLevelType w:val="hybridMultilevel"/>
    <w:tmpl w:val="D88886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530F51"/>
    <w:multiLevelType w:val="hybridMultilevel"/>
    <w:tmpl w:val="86DC1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D33889"/>
    <w:multiLevelType w:val="hybridMultilevel"/>
    <w:tmpl w:val="4FE8F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59B3D69"/>
    <w:multiLevelType w:val="hybridMultilevel"/>
    <w:tmpl w:val="6B2AB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72955EC"/>
    <w:multiLevelType w:val="hybridMultilevel"/>
    <w:tmpl w:val="133AE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84C782A"/>
    <w:multiLevelType w:val="hybridMultilevel"/>
    <w:tmpl w:val="792AD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8AF4F96"/>
    <w:multiLevelType w:val="multilevel"/>
    <w:tmpl w:val="0D3C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A602ED0"/>
    <w:multiLevelType w:val="hybridMultilevel"/>
    <w:tmpl w:val="60341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A8E0E14"/>
    <w:multiLevelType w:val="hybridMultilevel"/>
    <w:tmpl w:val="708AD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226452"/>
    <w:multiLevelType w:val="hybridMultilevel"/>
    <w:tmpl w:val="D1541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9C276E"/>
    <w:multiLevelType w:val="hybridMultilevel"/>
    <w:tmpl w:val="CA966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28C2FEA"/>
    <w:multiLevelType w:val="hybridMultilevel"/>
    <w:tmpl w:val="C8E4596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59" w15:restartNumberingAfterBreak="0">
    <w:nsid w:val="73EF6755"/>
    <w:multiLevelType w:val="hybridMultilevel"/>
    <w:tmpl w:val="0BE80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3F2658C"/>
    <w:multiLevelType w:val="hybridMultilevel"/>
    <w:tmpl w:val="26D8B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5A007C"/>
    <w:multiLevelType w:val="hybridMultilevel"/>
    <w:tmpl w:val="8E3C0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676637D"/>
    <w:multiLevelType w:val="hybridMultilevel"/>
    <w:tmpl w:val="E08A906C"/>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3" w15:restartNumberingAfterBreak="0">
    <w:nsid w:val="777339DC"/>
    <w:multiLevelType w:val="hybridMultilevel"/>
    <w:tmpl w:val="FB8E1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B542A8C"/>
    <w:multiLevelType w:val="hybridMultilevel"/>
    <w:tmpl w:val="F0685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65" w15:restartNumberingAfterBreak="0">
    <w:nsid w:val="7D8816FA"/>
    <w:multiLevelType w:val="hybridMultilevel"/>
    <w:tmpl w:val="8C1E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FCC0C59"/>
    <w:multiLevelType w:val="hybridMultilevel"/>
    <w:tmpl w:val="E62EF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9"/>
  </w:num>
  <w:num w:numId="3">
    <w:abstractNumId w:val="64"/>
  </w:num>
  <w:num w:numId="4">
    <w:abstractNumId w:val="36"/>
  </w:num>
  <w:num w:numId="5">
    <w:abstractNumId w:val="12"/>
  </w:num>
  <w:num w:numId="6">
    <w:abstractNumId w:val="46"/>
  </w:num>
  <w:num w:numId="7">
    <w:abstractNumId w:val="22"/>
  </w:num>
  <w:num w:numId="8">
    <w:abstractNumId w:val="39"/>
  </w:num>
  <w:num w:numId="9">
    <w:abstractNumId w:val="14"/>
  </w:num>
  <w:num w:numId="10">
    <w:abstractNumId w:val="44"/>
  </w:num>
  <w:num w:numId="11">
    <w:abstractNumId w:val="3"/>
  </w:num>
  <w:num w:numId="12">
    <w:abstractNumId w:val="34"/>
  </w:num>
  <w:num w:numId="13">
    <w:abstractNumId w:val="63"/>
  </w:num>
  <w:num w:numId="14">
    <w:abstractNumId w:val="19"/>
  </w:num>
  <w:num w:numId="15">
    <w:abstractNumId w:val="48"/>
  </w:num>
  <w:num w:numId="16">
    <w:abstractNumId w:val="53"/>
  </w:num>
  <w:num w:numId="17">
    <w:abstractNumId w:val="6"/>
  </w:num>
  <w:num w:numId="18">
    <w:abstractNumId w:val="55"/>
  </w:num>
  <w:num w:numId="19">
    <w:abstractNumId w:val="17"/>
  </w:num>
  <w:num w:numId="20">
    <w:abstractNumId w:val="65"/>
  </w:num>
  <w:num w:numId="21">
    <w:abstractNumId w:val="15"/>
  </w:num>
  <w:num w:numId="22">
    <w:abstractNumId w:val="62"/>
  </w:num>
  <w:num w:numId="23">
    <w:abstractNumId w:val="60"/>
  </w:num>
  <w:num w:numId="24">
    <w:abstractNumId w:val="20"/>
  </w:num>
  <w:num w:numId="25">
    <w:abstractNumId w:val="31"/>
  </w:num>
  <w:num w:numId="26">
    <w:abstractNumId w:val="26"/>
  </w:num>
  <w:num w:numId="27">
    <w:abstractNumId w:val="25"/>
  </w:num>
  <w:num w:numId="28">
    <w:abstractNumId w:val="37"/>
  </w:num>
  <w:num w:numId="29">
    <w:abstractNumId w:val="18"/>
  </w:num>
  <w:num w:numId="30">
    <w:abstractNumId w:val="0"/>
  </w:num>
  <w:num w:numId="31">
    <w:abstractNumId w:val="9"/>
  </w:num>
  <w:num w:numId="32">
    <w:abstractNumId w:val="54"/>
  </w:num>
  <w:num w:numId="33">
    <w:abstractNumId w:val="45"/>
  </w:num>
  <w:num w:numId="34">
    <w:abstractNumId w:val="27"/>
  </w:num>
  <w:num w:numId="35">
    <w:abstractNumId w:val="35"/>
  </w:num>
  <w:num w:numId="36">
    <w:abstractNumId w:val="56"/>
  </w:num>
  <w:num w:numId="37">
    <w:abstractNumId w:val="42"/>
  </w:num>
  <w:num w:numId="38">
    <w:abstractNumId w:val="49"/>
  </w:num>
  <w:num w:numId="39">
    <w:abstractNumId w:val="66"/>
  </w:num>
  <w:num w:numId="40">
    <w:abstractNumId w:val="58"/>
  </w:num>
  <w:num w:numId="41">
    <w:abstractNumId w:val="29"/>
  </w:num>
  <w:num w:numId="42">
    <w:abstractNumId w:val="4"/>
  </w:num>
  <w:num w:numId="43">
    <w:abstractNumId w:val="38"/>
  </w:num>
  <w:num w:numId="44">
    <w:abstractNumId w:val="52"/>
  </w:num>
  <w:num w:numId="45">
    <w:abstractNumId w:val="57"/>
  </w:num>
  <w:num w:numId="46">
    <w:abstractNumId w:val="32"/>
  </w:num>
  <w:num w:numId="47">
    <w:abstractNumId w:val="21"/>
  </w:num>
  <w:num w:numId="48">
    <w:abstractNumId w:val="40"/>
  </w:num>
  <w:num w:numId="49">
    <w:abstractNumId w:val="24"/>
  </w:num>
  <w:num w:numId="50">
    <w:abstractNumId w:val="13"/>
  </w:num>
  <w:num w:numId="51">
    <w:abstractNumId w:val="2"/>
  </w:num>
  <w:num w:numId="52">
    <w:abstractNumId w:val="41"/>
  </w:num>
  <w:num w:numId="53">
    <w:abstractNumId w:val="16"/>
  </w:num>
  <w:num w:numId="54">
    <w:abstractNumId w:val="30"/>
  </w:num>
  <w:num w:numId="55">
    <w:abstractNumId w:val="1"/>
  </w:num>
  <w:num w:numId="56">
    <w:abstractNumId w:val="61"/>
  </w:num>
  <w:num w:numId="57">
    <w:abstractNumId w:val="47"/>
  </w:num>
  <w:num w:numId="58">
    <w:abstractNumId w:val="51"/>
  </w:num>
  <w:num w:numId="59">
    <w:abstractNumId w:val="23"/>
  </w:num>
  <w:num w:numId="60">
    <w:abstractNumId w:val="43"/>
  </w:num>
  <w:num w:numId="61">
    <w:abstractNumId w:val="11"/>
  </w:num>
  <w:num w:numId="62">
    <w:abstractNumId w:val="8"/>
  </w:num>
  <w:num w:numId="63">
    <w:abstractNumId w:val="50"/>
  </w:num>
  <w:num w:numId="64">
    <w:abstractNumId w:val="5"/>
  </w:num>
  <w:num w:numId="65">
    <w:abstractNumId w:val="33"/>
  </w:num>
  <w:num w:numId="66">
    <w:abstractNumId w:val="28"/>
  </w:num>
  <w:num w:numId="67">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16"/>
    <w:rsid w:val="00005E1E"/>
    <w:rsid w:val="00020D09"/>
    <w:rsid w:val="00032468"/>
    <w:rsid w:val="00032816"/>
    <w:rsid w:val="0003291B"/>
    <w:rsid w:val="00037185"/>
    <w:rsid w:val="00040067"/>
    <w:rsid w:val="00040603"/>
    <w:rsid w:val="00042E4C"/>
    <w:rsid w:val="000616B7"/>
    <w:rsid w:val="000649A5"/>
    <w:rsid w:val="000745E5"/>
    <w:rsid w:val="000779C1"/>
    <w:rsid w:val="00082C5F"/>
    <w:rsid w:val="0008449B"/>
    <w:rsid w:val="00087E15"/>
    <w:rsid w:val="000900D4"/>
    <w:rsid w:val="00097D21"/>
    <w:rsid w:val="000A318E"/>
    <w:rsid w:val="000A6184"/>
    <w:rsid w:val="000B301E"/>
    <w:rsid w:val="000B50AD"/>
    <w:rsid w:val="000D37F2"/>
    <w:rsid w:val="000E0112"/>
    <w:rsid w:val="000E0297"/>
    <w:rsid w:val="000E0606"/>
    <w:rsid w:val="000E0A7E"/>
    <w:rsid w:val="000E1D61"/>
    <w:rsid w:val="000F232F"/>
    <w:rsid w:val="000F33A3"/>
    <w:rsid w:val="001110A5"/>
    <w:rsid w:val="001142F0"/>
    <w:rsid w:val="001240B9"/>
    <w:rsid w:val="00134683"/>
    <w:rsid w:val="00146A7A"/>
    <w:rsid w:val="0016144A"/>
    <w:rsid w:val="00163AF3"/>
    <w:rsid w:val="001646FE"/>
    <w:rsid w:val="0018196D"/>
    <w:rsid w:val="00182885"/>
    <w:rsid w:val="00190946"/>
    <w:rsid w:val="001931E8"/>
    <w:rsid w:val="00195BC9"/>
    <w:rsid w:val="001A3AB2"/>
    <w:rsid w:val="001A609E"/>
    <w:rsid w:val="001B1392"/>
    <w:rsid w:val="001B4776"/>
    <w:rsid w:val="001B6A5C"/>
    <w:rsid w:val="001B6F2B"/>
    <w:rsid w:val="001B72BE"/>
    <w:rsid w:val="001D4177"/>
    <w:rsid w:val="001D5412"/>
    <w:rsid w:val="001E44BC"/>
    <w:rsid w:val="001F3E28"/>
    <w:rsid w:val="0020693D"/>
    <w:rsid w:val="002174C8"/>
    <w:rsid w:val="0021781D"/>
    <w:rsid w:val="0025667A"/>
    <w:rsid w:val="00261CB9"/>
    <w:rsid w:val="00265AEB"/>
    <w:rsid w:val="002679F6"/>
    <w:rsid w:val="00272264"/>
    <w:rsid w:val="00274A1C"/>
    <w:rsid w:val="00276759"/>
    <w:rsid w:val="00280050"/>
    <w:rsid w:val="00291211"/>
    <w:rsid w:val="00292269"/>
    <w:rsid w:val="00296F13"/>
    <w:rsid w:val="002A2749"/>
    <w:rsid w:val="002A628B"/>
    <w:rsid w:val="002B515E"/>
    <w:rsid w:val="002D2F9F"/>
    <w:rsid w:val="002D565F"/>
    <w:rsid w:val="002E0E1D"/>
    <w:rsid w:val="002E33D2"/>
    <w:rsid w:val="002E7EB0"/>
    <w:rsid w:val="002F1F7A"/>
    <w:rsid w:val="00301C1E"/>
    <w:rsid w:val="00304441"/>
    <w:rsid w:val="0030656B"/>
    <w:rsid w:val="00317A6D"/>
    <w:rsid w:val="00321A18"/>
    <w:rsid w:val="00322090"/>
    <w:rsid w:val="00324814"/>
    <w:rsid w:val="00325801"/>
    <w:rsid w:val="00350C68"/>
    <w:rsid w:val="00352990"/>
    <w:rsid w:val="00354400"/>
    <w:rsid w:val="00363B18"/>
    <w:rsid w:val="003645F6"/>
    <w:rsid w:val="00373F07"/>
    <w:rsid w:val="00374945"/>
    <w:rsid w:val="003764CC"/>
    <w:rsid w:val="003815B1"/>
    <w:rsid w:val="0038250C"/>
    <w:rsid w:val="003B1E51"/>
    <w:rsid w:val="003E36F8"/>
    <w:rsid w:val="003E41B5"/>
    <w:rsid w:val="003E4624"/>
    <w:rsid w:val="003F24CE"/>
    <w:rsid w:val="00406972"/>
    <w:rsid w:val="00410DDC"/>
    <w:rsid w:val="00412945"/>
    <w:rsid w:val="00417665"/>
    <w:rsid w:val="00421B97"/>
    <w:rsid w:val="00424490"/>
    <w:rsid w:val="004276B7"/>
    <w:rsid w:val="00430F1D"/>
    <w:rsid w:val="0046374A"/>
    <w:rsid w:val="00472461"/>
    <w:rsid w:val="004915F0"/>
    <w:rsid w:val="00494D03"/>
    <w:rsid w:val="004A4314"/>
    <w:rsid w:val="004A4763"/>
    <w:rsid w:val="004B3890"/>
    <w:rsid w:val="004C3190"/>
    <w:rsid w:val="004C5645"/>
    <w:rsid w:val="004C6A6F"/>
    <w:rsid w:val="004D59B4"/>
    <w:rsid w:val="004E37CF"/>
    <w:rsid w:val="004E6DE0"/>
    <w:rsid w:val="004F40C8"/>
    <w:rsid w:val="005106A1"/>
    <w:rsid w:val="00516077"/>
    <w:rsid w:val="00521D4B"/>
    <w:rsid w:val="00522F1E"/>
    <w:rsid w:val="0052597E"/>
    <w:rsid w:val="00526C02"/>
    <w:rsid w:val="00532072"/>
    <w:rsid w:val="005330B1"/>
    <w:rsid w:val="00540260"/>
    <w:rsid w:val="00553CB6"/>
    <w:rsid w:val="0056408F"/>
    <w:rsid w:val="00570F36"/>
    <w:rsid w:val="0057652A"/>
    <w:rsid w:val="00595193"/>
    <w:rsid w:val="00595351"/>
    <w:rsid w:val="005A4B63"/>
    <w:rsid w:val="005A71ED"/>
    <w:rsid w:val="005B7436"/>
    <w:rsid w:val="005C1F06"/>
    <w:rsid w:val="005C363A"/>
    <w:rsid w:val="005D2D78"/>
    <w:rsid w:val="005D4610"/>
    <w:rsid w:val="005E1441"/>
    <w:rsid w:val="005F1910"/>
    <w:rsid w:val="00605CF4"/>
    <w:rsid w:val="0060604B"/>
    <w:rsid w:val="006125FA"/>
    <w:rsid w:val="00627A89"/>
    <w:rsid w:val="006320A5"/>
    <w:rsid w:val="00635112"/>
    <w:rsid w:val="00635F27"/>
    <w:rsid w:val="00636814"/>
    <w:rsid w:val="00636C51"/>
    <w:rsid w:val="006464B8"/>
    <w:rsid w:val="006521E2"/>
    <w:rsid w:val="0065323A"/>
    <w:rsid w:val="00653357"/>
    <w:rsid w:val="00656883"/>
    <w:rsid w:val="0066603C"/>
    <w:rsid w:val="0066668F"/>
    <w:rsid w:val="00670163"/>
    <w:rsid w:val="00672A50"/>
    <w:rsid w:val="00680324"/>
    <w:rsid w:val="006824FB"/>
    <w:rsid w:val="0068349F"/>
    <w:rsid w:val="00683B10"/>
    <w:rsid w:val="006A4D19"/>
    <w:rsid w:val="006B3B38"/>
    <w:rsid w:val="006C64E3"/>
    <w:rsid w:val="006D06F3"/>
    <w:rsid w:val="006D678F"/>
    <w:rsid w:val="006E46F7"/>
    <w:rsid w:val="006E5A8E"/>
    <w:rsid w:val="006F3273"/>
    <w:rsid w:val="006F5F6A"/>
    <w:rsid w:val="00703D99"/>
    <w:rsid w:val="0070764A"/>
    <w:rsid w:val="0070770D"/>
    <w:rsid w:val="0071101C"/>
    <w:rsid w:val="00714A0D"/>
    <w:rsid w:val="00716D87"/>
    <w:rsid w:val="007242EA"/>
    <w:rsid w:val="0073203A"/>
    <w:rsid w:val="00735B8C"/>
    <w:rsid w:val="00740A83"/>
    <w:rsid w:val="00740F57"/>
    <w:rsid w:val="0074244F"/>
    <w:rsid w:val="007460E0"/>
    <w:rsid w:val="00746949"/>
    <w:rsid w:val="007506D9"/>
    <w:rsid w:val="00757458"/>
    <w:rsid w:val="007638D5"/>
    <w:rsid w:val="00770199"/>
    <w:rsid w:val="007706AF"/>
    <w:rsid w:val="0077121E"/>
    <w:rsid w:val="007770BA"/>
    <w:rsid w:val="007807CB"/>
    <w:rsid w:val="00783CB1"/>
    <w:rsid w:val="00787378"/>
    <w:rsid w:val="007935B6"/>
    <w:rsid w:val="00794C1D"/>
    <w:rsid w:val="0079668C"/>
    <w:rsid w:val="00797388"/>
    <w:rsid w:val="007A027D"/>
    <w:rsid w:val="007A36E7"/>
    <w:rsid w:val="007B45ED"/>
    <w:rsid w:val="007D7A30"/>
    <w:rsid w:val="007E41D0"/>
    <w:rsid w:val="007E62DB"/>
    <w:rsid w:val="007F671E"/>
    <w:rsid w:val="00804D67"/>
    <w:rsid w:val="00805F74"/>
    <w:rsid w:val="00811607"/>
    <w:rsid w:val="008131F5"/>
    <w:rsid w:val="00813FD8"/>
    <w:rsid w:val="008162A7"/>
    <w:rsid w:val="008168D8"/>
    <w:rsid w:val="00820374"/>
    <w:rsid w:val="00833A78"/>
    <w:rsid w:val="008345C5"/>
    <w:rsid w:val="0083727F"/>
    <w:rsid w:val="0084069D"/>
    <w:rsid w:val="00845D1C"/>
    <w:rsid w:val="008465EE"/>
    <w:rsid w:val="0085049A"/>
    <w:rsid w:val="00857FA2"/>
    <w:rsid w:val="00860726"/>
    <w:rsid w:val="00862281"/>
    <w:rsid w:val="00863CF6"/>
    <w:rsid w:val="00867BDE"/>
    <w:rsid w:val="008747B9"/>
    <w:rsid w:val="00876A7C"/>
    <w:rsid w:val="008830F9"/>
    <w:rsid w:val="008859BB"/>
    <w:rsid w:val="00895FB7"/>
    <w:rsid w:val="008C1852"/>
    <w:rsid w:val="008C25EB"/>
    <w:rsid w:val="008C53E6"/>
    <w:rsid w:val="008C7497"/>
    <w:rsid w:val="008C7EE1"/>
    <w:rsid w:val="008D0F73"/>
    <w:rsid w:val="008D29FB"/>
    <w:rsid w:val="008E08FD"/>
    <w:rsid w:val="008F27C6"/>
    <w:rsid w:val="008F49E2"/>
    <w:rsid w:val="00900B9F"/>
    <w:rsid w:val="00902725"/>
    <w:rsid w:val="009216AB"/>
    <w:rsid w:val="0092403C"/>
    <w:rsid w:val="00931AF1"/>
    <w:rsid w:val="0093321F"/>
    <w:rsid w:val="009377E3"/>
    <w:rsid w:val="009402B4"/>
    <w:rsid w:val="00940996"/>
    <w:rsid w:val="009426AD"/>
    <w:rsid w:val="009463DF"/>
    <w:rsid w:val="00956496"/>
    <w:rsid w:val="00962023"/>
    <w:rsid w:val="009627B5"/>
    <w:rsid w:val="00966720"/>
    <w:rsid w:val="00972910"/>
    <w:rsid w:val="00976EDB"/>
    <w:rsid w:val="0099547E"/>
    <w:rsid w:val="00995D8B"/>
    <w:rsid w:val="00995DA2"/>
    <w:rsid w:val="009A21F0"/>
    <w:rsid w:val="009A5E0E"/>
    <w:rsid w:val="009A76FA"/>
    <w:rsid w:val="009B09A2"/>
    <w:rsid w:val="009B24AD"/>
    <w:rsid w:val="009B3510"/>
    <w:rsid w:val="009B52BD"/>
    <w:rsid w:val="009B5E64"/>
    <w:rsid w:val="009B5F9B"/>
    <w:rsid w:val="009B78E3"/>
    <w:rsid w:val="009C12FA"/>
    <w:rsid w:val="009C1CF6"/>
    <w:rsid w:val="009C1D19"/>
    <w:rsid w:val="009D6D97"/>
    <w:rsid w:val="009F0498"/>
    <w:rsid w:val="009F2C3B"/>
    <w:rsid w:val="009F3772"/>
    <w:rsid w:val="00A055A0"/>
    <w:rsid w:val="00A069AC"/>
    <w:rsid w:val="00A108A1"/>
    <w:rsid w:val="00A10DBC"/>
    <w:rsid w:val="00A1117F"/>
    <w:rsid w:val="00A540DC"/>
    <w:rsid w:val="00A56494"/>
    <w:rsid w:val="00A7372B"/>
    <w:rsid w:val="00A76C6A"/>
    <w:rsid w:val="00A81AB5"/>
    <w:rsid w:val="00A9173E"/>
    <w:rsid w:val="00A92CE4"/>
    <w:rsid w:val="00A969CD"/>
    <w:rsid w:val="00A97F35"/>
    <w:rsid w:val="00AA5EBF"/>
    <w:rsid w:val="00AD1DD6"/>
    <w:rsid w:val="00AE786A"/>
    <w:rsid w:val="00AF7B16"/>
    <w:rsid w:val="00AF7F45"/>
    <w:rsid w:val="00B0537E"/>
    <w:rsid w:val="00B068A6"/>
    <w:rsid w:val="00B27505"/>
    <w:rsid w:val="00B35994"/>
    <w:rsid w:val="00B35F0F"/>
    <w:rsid w:val="00B42566"/>
    <w:rsid w:val="00B46026"/>
    <w:rsid w:val="00B50C5B"/>
    <w:rsid w:val="00B51542"/>
    <w:rsid w:val="00B559A0"/>
    <w:rsid w:val="00B55EFA"/>
    <w:rsid w:val="00B60E1C"/>
    <w:rsid w:val="00B611AB"/>
    <w:rsid w:val="00B6373E"/>
    <w:rsid w:val="00B67673"/>
    <w:rsid w:val="00B7619F"/>
    <w:rsid w:val="00B809CC"/>
    <w:rsid w:val="00B937CB"/>
    <w:rsid w:val="00B973E4"/>
    <w:rsid w:val="00B97F8F"/>
    <w:rsid w:val="00BA6FBA"/>
    <w:rsid w:val="00BB2BDB"/>
    <w:rsid w:val="00BB4D7F"/>
    <w:rsid w:val="00BB678B"/>
    <w:rsid w:val="00BB76E4"/>
    <w:rsid w:val="00BC035A"/>
    <w:rsid w:val="00BC4FE1"/>
    <w:rsid w:val="00BC5D5F"/>
    <w:rsid w:val="00BD03A1"/>
    <w:rsid w:val="00BD61E4"/>
    <w:rsid w:val="00BE3D9C"/>
    <w:rsid w:val="00BF4F8D"/>
    <w:rsid w:val="00C2369F"/>
    <w:rsid w:val="00C27B6F"/>
    <w:rsid w:val="00C34A22"/>
    <w:rsid w:val="00C471A1"/>
    <w:rsid w:val="00C62167"/>
    <w:rsid w:val="00C64D8B"/>
    <w:rsid w:val="00C65C43"/>
    <w:rsid w:val="00C6739E"/>
    <w:rsid w:val="00C86067"/>
    <w:rsid w:val="00C954F0"/>
    <w:rsid w:val="00CA24D0"/>
    <w:rsid w:val="00CA3853"/>
    <w:rsid w:val="00CA3BA1"/>
    <w:rsid w:val="00CB0A41"/>
    <w:rsid w:val="00CB68F7"/>
    <w:rsid w:val="00CB74EE"/>
    <w:rsid w:val="00CC036D"/>
    <w:rsid w:val="00CC32E0"/>
    <w:rsid w:val="00CC4466"/>
    <w:rsid w:val="00CC7913"/>
    <w:rsid w:val="00CD16B2"/>
    <w:rsid w:val="00CD38EA"/>
    <w:rsid w:val="00CE3A6E"/>
    <w:rsid w:val="00CF0C32"/>
    <w:rsid w:val="00CF6738"/>
    <w:rsid w:val="00D05701"/>
    <w:rsid w:val="00D06545"/>
    <w:rsid w:val="00D13CB7"/>
    <w:rsid w:val="00D25039"/>
    <w:rsid w:val="00D26876"/>
    <w:rsid w:val="00D31ABE"/>
    <w:rsid w:val="00D42118"/>
    <w:rsid w:val="00D44538"/>
    <w:rsid w:val="00D47BFD"/>
    <w:rsid w:val="00D55D4D"/>
    <w:rsid w:val="00D616B4"/>
    <w:rsid w:val="00D61CF1"/>
    <w:rsid w:val="00D62029"/>
    <w:rsid w:val="00D80625"/>
    <w:rsid w:val="00D84B56"/>
    <w:rsid w:val="00D96668"/>
    <w:rsid w:val="00D96ED8"/>
    <w:rsid w:val="00DA11CA"/>
    <w:rsid w:val="00DB27D8"/>
    <w:rsid w:val="00DD7CAB"/>
    <w:rsid w:val="00DF070C"/>
    <w:rsid w:val="00E0002F"/>
    <w:rsid w:val="00E027D6"/>
    <w:rsid w:val="00E12100"/>
    <w:rsid w:val="00E206D4"/>
    <w:rsid w:val="00E2586A"/>
    <w:rsid w:val="00E27388"/>
    <w:rsid w:val="00E33B95"/>
    <w:rsid w:val="00E35FC4"/>
    <w:rsid w:val="00E3723A"/>
    <w:rsid w:val="00E37431"/>
    <w:rsid w:val="00E40497"/>
    <w:rsid w:val="00E412AB"/>
    <w:rsid w:val="00E54B5F"/>
    <w:rsid w:val="00E56213"/>
    <w:rsid w:val="00E62E77"/>
    <w:rsid w:val="00E63A64"/>
    <w:rsid w:val="00E6561C"/>
    <w:rsid w:val="00E70764"/>
    <w:rsid w:val="00E835D7"/>
    <w:rsid w:val="00E83A67"/>
    <w:rsid w:val="00E8475B"/>
    <w:rsid w:val="00E85CC2"/>
    <w:rsid w:val="00E86032"/>
    <w:rsid w:val="00E87A06"/>
    <w:rsid w:val="00E97BAA"/>
    <w:rsid w:val="00EB42D7"/>
    <w:rsid w:val="00EC3492"/>
    <w:rsid w:val="00ED3C46"/>
    <w:rsid w:val="00ED4EB5"/>
    <w:rsid w:val="00ED76A4"/>
    <w:rsid w:val="00EE6669"/>
    <w:rsid w:val="00EF00EC"/>
    <w:rsid w:val="00EF17BC"/>
    <w:rsid w:val="00F00496"/>
    <w:rsid w:val="00F01766"/>
    <w:rsid w:val="00F14D6C"/>
    <w:rsid w:val="00F20D41"/>
    <w:rsid w:val="00F27995"/>
    <w:rsid w:val="00F31414"/>
    <w:rsid w:val="00F439DA"/>
    <w:rsid w:val="00F52C99"/>
    <w:rsid w:val="00F54574"/>
    <w:rsid w:val="00F6327C"/>
    <w:rsid w:val="00F74F12"/>
    <w:rsid w:val="00F75463"/>
    <w:rsid w:val="00F759DF"/>
    <w:rsid w:val="00F815D0"/>
    <w:rsid w:val="00F90411"/>
    <w:rsid w:val="00F91182"/>
    <w:rsid w:val="00F93950"/>
    <w:rsid w:val="00F941E3"/>
    <w:rsid w:val="00F94A1B"/>
    <w:rsid w:val="00F9771F"/>
    <w:rsid w:val="00FB2EB6"/>
    <w:rsid w:val="00FB5DEB"/>
    <w:rsid w:val="00FB7C56"/>
    <w:rsid w:val="00FC2FD9"/>
    <w:rsid w:val="00FC5CB7"/>
    <w:rsid w:val="00FF4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E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B16"/>
    <w:pPr>
      <w:spacing w:after="0" w:line="240" w:lineRule="auto"/>
    </w:pPr>
    <w:rPr>
      <w:rFonts w:eastAsia="Times New Roman"/>
    </w:rPr>
  </w:style>
  <w:style w:type="paragraph" w:styleId="Heading1">
    <w:name w:val="heading 1"/>
    <w:aliases w:val="Heading 1 Cab"/>
    <w:basedOn w:val="Normal"/>
    <w:next w:val="Normal"/>
    <w:link w:val="Heading1Char"/>
    <w:uiPriority w:val="4"/>
    <w:qFormat/>
    <w:rsid w:val="00AF7B16"/>
    <w:pPr>
      <w:keepNext/>
      <w:spacing w:before="240" w:after="60"/>
      <w:outlineLvl w:val="0"/>
    </w:pPr>
    <w:rPr>
      <w:rFonts w:cs="Arial"/>
      <w:b/>
      <w:bCs/>
      <w:kern w:val="28"/>
      <w:sz w:val="32"/>
      <w:szCs w:val="32"/>
    </w:rPr>
  </w:style>
  <w:style w:type="paragraph" w:styleId="Heading2">
    <w:name w:val="heading 2"/>
    <w:basedOn w:val="Normal"/>
    <w:next w:val="Normal"/>
    <w:link w:val="Heading2Char"/>
    <w:qFormat/>
    <w:rsid w:val="00AF7B16"/>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F7B16"/>
    <w:pPr>
      <w:keepNext/>
      <w:spacing w:before="240" w:after="60"/>
      <w:outlineLvl w:val="2"/>
    </w:pPr>
    <w:rPr>
      <w:rFonts w:cs="Arial"/>
      <w:bCs/>
      <w:sz w:val="26"/>
      <w:szCs w:val="26"/>
    </w:rPr>
  </w:style>
  <w:style w:type="paragraph" w:styleId="Heading4">
    <w:name w:val="heading 4"/>
    <w:basedOn w:val="Normal"/>
    <w:next w:val="Normal"/>
    <w:link w:val="Heading4Char"/>
    <w:qFormat/>
    <w:rsid w:val="00AF7B16"/>
    <w:pPr>
      <w:keepNext/>
      <w:spacing w:before="240" w:after="60"/>
      <w:outlineLvl w:val="3"/>
    </w:pPr>
    <w:rPr>
      <w:rFonts w:ascii="Arial" w:hAnsi="Arial"/>
      <w:bCs/>
      <w:sz w:val="28"/>
      <w:szCs w:val="28"/>
    </w:rPr>
  </w:style>
  <w:style w:type="paragraph" w:styleId="Heading5">
    <w:name w:val="heading 5"/>
    <w:basedOn w:val="Normal"/>
    <w:next w:val="Normal"/>
    <w:link w:val="Heading5Char"/>
    <w:qFormat/>
    <w:rsid w:val="00AF7B16"/>
    <w:pPr>
      <w:keepNext/>
      <w:spacing w:before="240" w:after="60"/>
      <w:outlineLvl w:val="4"/>
    </w:pPr>
    <w:rPr>
      <w:b/>
      <w:bCs/>
      <w:iCs/>
      <w:szCs w:val="26"/>
    </w:rPr>
  </w:style>
  <w:style w:type="paragraph" w:styleId="Heading6">
    <w:name w:val="heading 6"/>
    <w:basedOn w:val="Normal"/>
    <w:next w:val="Normal"/>
    <w:link w:val="Heading6Char"/>
    <w:qFormat/>
    <w:rsid w:val="00AF7B16"/>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ab Char"/>
    <w:basedOn w:val="DefaultParagraphFont"/>
    <w:link w:val="Heading1"/>
    <w:uiPriority w:val="4"/>
    <w:rsid w:val="00AF7B16"/>
    <w:rPr>
      <w:rFonts w:eastAsia="Times New Roman" w:cs="Arial"/>
      <w:b/>
      <w:bCs/>
      <w:kern w:val="28"/>
      <w:sz w:val="32"/>
      <w:szCs w:val="32"/>
      <w:lang w:val="en-US"/>
    </w:rPr>
  </w:style>
  <w:style w:type="character" w:customStyle="1" w:styleId="Heading2Char">
    <w:name w:val="Heading 2 Char"/>
    <w:basedOn w:val="DefaultParagraphFont"/>
    <w:link w:val="Heading2"/>
    <w:rsid w:val="00AF7B16"/>
    <w:rPr>
      <w:rFonts w:eastAsia="Times New Roman" w:cs="Arial"/>
      <w:b/>
      <w:bCs/>
      <w:iCs/>
      <w:sz w:val="28"/>
      <w:szCs w:val="28"/>
      <w:lang w:val="en-US"/>
    </w:rPr>
  </w:style>
  <w:style w:type="character" w:customStyle="1" w:styleId="Heading3Char">
    <w:name w:val="Heading 3 Char"/>
    <w:basedOn w:val="DefaultParagraphFont"/>
    <w:link w:val="Heading3"/>
    <w:rsid w:val="00AF7B16"/>
    <w:rPr>
      <w:rFonts w:eastAsia="Times New Roman" w:cs="Arial"/>
      <w:bCs/>
      <w:sz w:val="26"/>
      <w:szCs w:val="26"/>
      <w:lang w:val="en-US"/>
    </w:rPr>
  </w:style>
  <w:style w:type="character" w:customStyle="1" w:styleId="Heading4Char">
    <w:name w:val="Heading 4 Char"/>
    <w:basedOn w:val="DefaultParagraphFont"/>
    <w:link w:val="Heading4"/>
    <w:rsid w:val="00AF7B16"/>
    <w:rPr>
      <w:rFonts w:ascii="Arial" w:eastAsia="Times New Roman" w:hAnsi="Arial"/>
      <w:bCs/>
      <w:sz w:val="28"/>
      <w:szCs w:val="28"/>
      <w:lang w:val="en-US"/>
    </w:rPr>
  </w:style>
  <w:style w:type="character" w:customStyle="1" w:styleId="Heading5Char">
    <w:name w:val="Heading 5 Char"/>
    <w:basedOn w:val="DefaultParagraphFont"/>
    <w:link w:val="Heading5"/>
    <w:rsid w:val="00AF7B16"/>
    <w:rPr>
      <w:rFonts w:eastAsia="Times New Roman"/>
      <w:b/>
      <w:bCs/>
      <w:iCs/>
      <w:szCs w:val="26"/>
      <w:lang w:val="en-US"/>
    </w:rPr>
  </w:style>
  <w:style w:type="character" w:customStyle="1" w:styleId="Heading6Char">
    <w:name w:val="Heading 6 Char"/>
    <w:basedOn w:val="DefaultParagraphFont"/>
    <w:link w:val="Heading6"/>
    <w:rsid w:val="00AF7B16"/>
    <w:rPr>
      <w:rFonts w:eastAsia="Times New Roman"/>
      <w:b/>
      <w:bCs/>
      <w:i/>
      <w:szCs w:val="22"/>
      <w:lang w:val="en-US"/>
    </w:rPr>
  </w:style>
  <w:style w:type="character" w:styleId="Emphasis">
    <w:name w:val="Emphasis"/>
    <w:basedOn w:val="DefaultParagraphFont"/>
    <w:uiPriority w:val="20"/>
    <w:qFormat/>
    <w:rsid w:val="00AF7B16"/>
    <w:rPr>
      <w:i/>
      <w:iCs/>
    </w:rPr>
  </w:style>
  <w:style w:type="character" w:styleId="Strong">
    <w:name w:val="Strong"/>
    <w:basedOn w:val="DefaultParagraphFont"/>
    <w:qFormat/>
    <w:rsid w:val="00AF7B16"/>
    <w:rPr>
      <w:b/>
      <w:bCs/>
    </w:rPr>
  </w:style>
  <w:style w:type="paragraph" w:styleId="Subtitle">
    <w:name w:val="Subtitle"/>
    <w:basedOn w:val="Normal"/>
    <w:next w:val="Normal"/>
    <w:link w:val="SubtitleChar"/>
    <w:qFormat/>
    <w:rsid w:val="00AF7B16"/>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F7B16"/>
    <w:rPr>
      <w:rFonts w:asciiTheme="majorHAnsi" w:eastAsiaTheme="majorEastAsia" w:hAnsiTheme="majorHAnsi" w:cstheme="majorBidi"/>
      <w:iCs/>
      <w:spacing w:val="15"/>
      <w:lang w:val="en-US"/>
    </w:rPr>
  </w:style>
  <w:style w:type="paragraph" w:styleId="Title">
    <w:name w:val="Title"/>
    <w:basedOn w:val="Normal"/>
    <w:next w:val="Normal"/>
    <w:link w:val="TitleChar"/>
    <w:qFormat/>
    <w:rsid w:val="00AF7B16"/>
    <w:pPr>
      <w:pBdr>
        <w:bottom w:val="single" w:sz="8" w:space="4" w:color="5B9BD5"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F7B16"/>
    <w:rPr>
      <w:rFonts w:ascii="Arial" w:eastAsiaTheme="majorEastAsia" w:hAnsi="Arial" w:cstheme="majorBidi"/>
      <w:b/>
      <w:kern w:val="28"/>
      <w:sz w:val="32"/>
      <w:szCs w:val="52"/>
      <w:lang w:val="en-US"/>
    </w:rPr>
  </w:style>
  <w:style w:type="paragraph" w:styleId="NoSpacing">
    <w:name w:val="No Spacing"/>
    <w:uiPriority w:val="1"/>
    <w:qFormat/>
    <w:rsid w:val="00AF7B16"/>
    <w:pPr>
      <w:spacing w:after="0" w:line="240" w:lineRule="auto"/>
    </w:pPr>
    <w:rPr>
      <w:rFonts w:eastAsia="Times New Roman"/>
    </w:rPr>
  </w:style>
  <w:style w:type="character" w:styleId="SubtleEmphasis">
    <w:name w:val="Subtle Emphasis"/>
    <w:basedOn w:val="DefaultParagraphFont"/>
    <w:uiPriority w:val="19"/>
    <w:qFormat/>
    <w:rsid w:val="00AF7B16"/>
    <w:rPr>
      <w:i/>
      <w:iCs/>
      <w:color w:val="808080" w:themeColor="text1" w:themeTint="7F"/>
    </w:rPr>
  </w:style>
  <w:style w:type="character" w:styleId="IntenseEmphasis">
    <w:name w:val="Intense Emphasis"/>
    <w:basedOn w:val="DefaultParagraphFont"/>
    <w:uiPriority w:val="21"/>
    <w:qFormat/>
    <w:rsid w:val="00AF7B16"/>
    <w:rPr>
      <w:b/>
      <w:bCs/>
      <w:i/>
      <w:iCs/>
      <w:color w:val="5B9BD5" w:themeColor="accent1"/>
    </w:rPr>
  </w:style>
  <w:style w:type="paragraph" w:styleId="Quote">
    <w:name w:val="Quote"/>
    <w:basedOn w:val="Normal"/>
    <w:next w:val="Normal"/>
    <w:link w:val="QuoteChar"/>
    <w:uiPriority w:val="29"/>
    <w:qFormat/>
    <w:rsid w:val="00AF7B16"/>
    <w:rPr>
      <w:i/>
      <w:iCs/>
      <w:color w:val="000000" w:themeColor="text1"/>
    </w:rPr>
  </w:style>
  <w:style w:type="character" w:customStyle="1" w:styleId="QuoteChar">
    <w:name w:val="Quote Char"/>
    <w:basedOn w:val="DefaultParagraphFont"/>
    <w:link w:val="Quote"/>
    <w:uiPriority w:val="29"/>
    <w:rsid w:val="00AF7B16"/>
    <w:rPr>
      <w:rFonts w:eastAsia="Times New Roman"/>
      <w:i/>
      <w:iCs/>
      <w:color w:val="000000" w:themeColor="text1"/>
      <w:lang w:val="en-US"/>
    </w:rPr>
  </w:style>
  <w:style w:type="paragraph" w:styleId="IntenseQuote">
    <w:name w:val="Intense Quote"/>
    <w:basedOn w:val="Normal"/>
    <w:next w:val="Normal"/>
    <w:link w:val="IntenseQuoteChar"/>
    <w:uiPriority w:val="30"/>
    <w:qFormat/>
    <w:rsid w:val="00AF7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F7B16"/>
    <w:rPr>
      <w:rFonts w:eastAsia="Times New Roman"/>
      <w:b/>
      <w:bCs/>
      <w:i/>
      <w:iCs/>
      <w:color w:val="5B9BD5" w:themeColor="accent1"/>
      <w:lang w:val="en-US"/>
    </w:rPr>
  </w:style>
  <w:style w:type="character" w:styleId="SubtleReference">
    <w:name w:val="Subtle Reference"/>
    <w:basedOn w:val="DefaultParagraphFont"/>
    <w:uiPriority w:val="31"/>
    <w:qFormat/>
    <w:rsid w:val="00AF7B16"/>
    <w:rPr>
      <w:smallCaps/>
      <w:color w:val="ED7D31" w:themeColor="accent2"/>
      <w:u w:val="single"/>
    </w:rPr>
  </w:style>
  <w:style w:type="character" w:styleId="IntenseReference">
    <w:name w:val="Intense Reference"/>
    <w:basedOn w:val="DefaultParagraphFont"/>
    <w:uiPriority w:val="32"/>
    <w:qFormat/>
    <w:rsid w:val="00AF7B16"/>
    <w:rPr>
      <w:b/>
      <w:bCs/>
      <w:i/>
      <w:smallCaps/>
      <w:color w:val="ED7D31" w:themeColor="accent2"/>
      <w:spacing w:val="5"/>
      <w:u w:val="none"/>
    </w:rPr>
  </w:style>
  <w:style w:type="character" w:styleId="BookTitle">
    <w:name w:val="Book Title"/>
    <w:basedOn w:val="DefaultParagraphFont"/>
    <w:uiPriority w:val="33"/>
    <w:qFormat/>
    <w:rsid w:val="00AF7B16"/>
    <w:rPr>
      <w:b/>
      <w:bCs/>
      <w:smallCaps/>
      <w:spacing w:val="5"/>
    </w:rPr>
  </w:style>
  <w:style w:type="paragraph" w:styleId="ListParagraph">
    <w:name w:val="List Paragraph"/>
    <w:aliases w:val="List Paragraph1,Recommendation,List Paragraph11,List Bullet Cab,CAB - List Bullet,Bullet Point,Bullet point,Bulletr List Paragraph,Content descriptions,FooterText,L,List Bullet 1,List Paragraph2,List Paragraph21,Listeafsnit1,リスト段落"/>
    <w:basedOn w:val="Normal"/>
    <w:link w:val="ListParagraphChar"/>
    <w:uiPriority w:val="34"/>
    <w:qFormat/>
    <w:rsid w:val="00AF7B16"/>
    <w:pPr>
      <w:ind w:left="720"/>
      <w:contextualSpacing/>
    </w:pPr>
  </w:style>
  <w:style w:type="paragraph" w:styleId="Header">
    <w:name w:val="header"/>
    <w:basedOn w:val="Normal"/>
    <w:link w:val="HeaderChar"/>
    <w:uiPriority w:val="99"/>
    <w:rsid w:val="00AF7B16"/>
    <w:pPr>
      <w:tabs>
        <w:tab w:val="center" w:pos="4153"/>
        <w:tab w:val="right" w:pos="8306"/>
      </w:tabs>
      <w:spacing w:before="120" w:after="120"/>
    </w:pPr>
    <w:rPr>
      <w:rFonts w:ascii="Arial" w:hAnsi="Arial"/>
      <w:szCs w:val="20"/>
      <w:lang w:eastAsia="en-AU"/>
    </w:rPr>
  </w:style>
  <w:style w:type="character" w:customStyle="1" w:styleId="HeaderChar">
    <w:name w:val="Header Char"/>
    <w:basedOn w:val="DefaultParagraphFont"/>
    <w:link w:val="Header"/>
    <w:uiPriority w:val="99"/>
    <w:rsid w:val="00AF7B16"/>
    <w:rPr>
      <w:rFonts w:ascii="Arial" w:eastAsia="Times New Roman" w:hAnsi="Arial"/>
      <w:szCs w:val="20"/>
      <w:lang w:eastAsia="en-AU"/>
    </w:rPr>
  </w:style>
  <w:style w:type="paragraph" w:styleId="Footer">
    <w:name w:val="footer"/>
    <w:basedOn w:val="Normal"/>
    <w:link w:val="FooterChar"/>
    <w:rsid w:val="00AF7B16"/>
    <w:pPr>
      <w:tabs>
        <w:tab w:val="center" w:pos="4513"/>
        <w:tab w:val="right" w:pos="9026"/>
      </w:tabs>
    </w:pPr>
  </w:style>
  <w:style w:type="character" w:customStyle="1" w:styleId="FooterChar">
    <w:name w:val="Footer Char"/>
    <w:basedOn w:val="DefaultParagraphFont"/>
    <w:link w:val="Footer"/>
    <w:rsid w:val="00AF7B16"/>
    <w:rPr>
      <w:rFonts w:eastAsia="Times New Roman"/>
      <w:lang w:val="en-US"/>
    </w:rPr>
  </w:style>
  <w:style w:type="character" w:customStyle="1" w:styleId="ListParagraphChar">
    <w:name w:val="List Paragraph Char"/>
    <w:aliases w:val="List Paragraph1 Char,Recommendation Char,List Paragraph11 Char,List Bullet Cab Char,CAB - List Bullet Char,Bullet Point Char,Bullet point Char,Bulletr List Paragraph Char,Content descriptions Char,FooterText Char,L Char,リスト段落 Char"/>
    <w:basedOn w:val="DefaultParagraphFont"/>
    <w:link w:val="ListParagraph"/>
    <w:uiPriority w:val="34"/>
    <w:locked/>
    <w:rsid w:val="00AF7B16"/>
    <w:rPr>
      <w:rFonts w:eastAsia="Times New Roman"/>
      <w:lang w:val="en-US"/>
    </w:rPr>
  </w:style>
  <w:style w:type="paragraph" w:styleId="BalloonText">
    <w:name w:val="Balloon Text"/>
    <w:basedOn w:val="Normal"/>
    <w:link w:val="BalloonTextChar"/>
    <w:rsid w:val="00AF7B16"/>
    <w:rPr>
      <w:rFonts w:ascii="Tahoma" w:hAnsi="Tahoma" w:cs="Tahoma"/>
      <w:sz w:val="16"/>
      <w:szCs w:val="16"/>
    </w:rPr>
  </w:style>
  <w:style w:type="character" w:customStyle="1" w:styleId="BalloonTextChar">
    <w:name w:val="Balloon Text Char"/>
    <w:basedOn w:val="DefaultParagraphFont"/>
    <w:link w:val="BalloonText"/>
    <w:rsid w:val="00AF7B16"/>
    <w:rPr>
      <w:rFonts w:ascii="Tahoma" w:eastAsia="Times New Roman" w:hAnsi="Tahoma" w:cs="Tahoma"/>
      <w:sz w:val="16"/>
      <w:szCs w:val="16"/>
      <w:lang w:val="en-US"/>
    </w:rPr>
  </w:style>
  <w:style w:type="paragraph" w:customStyle="1" w:styleId="CAB-NumberedParagraph">
    <w:name w:val="CAB - Numbered Paragraph"/>
    <w:basedOn w:val="Normal"/>
    <w:uiPriority w:val="98"/>
    <w:rsid w:val="00AF7B16"/>
    <w:pPr>
      <w:spacing w:after="200" w:line="276" w:lineRule="auto"/>
      <w:ind w:left="567" w:hanging="567"/>
    </w:pPr>
    <w:rPr>
      <w:rFonts w:ascii="Arial" w:eastAsiaTheme="minorHAnsi" w:hAnsi="Arial" w:cstheme="minorBidi"/>
      <w:sz w:val="22"/>
      <w:szCs w:val="22"/>
    </w:rPr>
  </w:style>
  <w:style w:type="character" w:styleId="CommentReference">
    <w:name w:val="annotation reference"/>
    <w:basedOn w:val="DefaultParagraphFont"/>
    <w:uiPriority w:val="99"/>
    <w:rsid w:val="00AF7B16"/>
    <w:rPr>
      <w:sz w:val="16"/>
      <w:szCs w:val="16"/>
    </w:rPr>
  </w:style>
  <w:style w:type="paragraph" w:styleId="CommentText">
    <w:name w:val="annotation text"/>
    <w:basedOn w:val="Normal"/>
    <w:link w:val="CommentTextChar"/>
    <w:uiPriority w:val="99"/>
    <w:rsid w:val="00AF7B16"/>
    <w:rPr>
      <w:sz w:val="20"/>
      <w:szCs w:val="20"/>
    </w:rPr>
  </w:style>
  <w:style w:type="character" w:customStyle="1" w:styleId="CommentTextChar">
    <w:name w:val="Comment Text Char"/>
    <w:basedOn w:val="DefaultParagraphFont"/>
    <w:link w:val="CommentText"/>
    <w:uiPriority w:val="99"/>
    <w:rsid w:val="00AF7B16"/>
    <w:rPr>
      <w:rFonts w:eastAsia="Times New Roman"/>
      <w:sz w:val="20"/>
      <w:szCs w:val="20"/>
      <w:lang w:val="en-US"/>
    </w:rPr>
  </w:style>
  <w:style w:type="paragraph" w:styleId="CommentSubject">
    <w:name w:val="annotation subject"/>
    <w:basedOn w:val="CommentText"/>
    <w:next w:val="CommentText"/>
    <w:link w:val="CommentSubjectChar"/>
    <w:rsid w:val="00AF7B16"/>
    <w:rPr>
      <w:b/>
      <w:bCs/>
    </w:rPr>
  </w:style>
  <w:style w:type="character" w:customStyle="1" w:styleId="CommentSubjectChar">
    <w:name w:val="Comment Subject Char"/>
    <w:basedOn w:val="CommentTextChar"/>
    <w:link w:val="CommentSubject"/>
    <w:rsid w:val="00AF7B16"/>
    <w:rPr>
      <w:rFonts w:eastAsia="Times New Roman"/>
      <w:b/>
      <w:bCs/>
      <w:sz w:val="20"/>
      <w:szCs w:val="20"/>
      <w:lang w:val="en-US"/>
    </w:rPr>
  </w:style>
  <w:style w:type="character" w:styleId="Hyperlink">
    <w:name w:val="Hyperlink"/>
    <w:basedOn w:val="DefaultParagraphFont"/>
    <w:rsid w:val="00AF7B16"/>
    <w:rPr>
      <w:color w:val="0563C1" w:themeColor="hyperlink"/>
      <w:u w:val="single"/>
    </w:rPr>
  </w:style>
  <w:style w:type="paragraph" w:styleId="Revision">
    <w:name w:val="Revision"/>
    <w:hidden/>
    <w:uiPriority w:val="99"/>
    <w:semiHidden/>
    <w:rsid w:val="00AF7B16"/>
    <w:pPr>
      <w:spacing w:after="0" w:line="240" w:lineRule="auto"/>
    </w:pPr>
    <w:rPr>
      <w:rFonts w:eastAsia="Times New Roman"/>
      <w:lang w:val="en-US"/>
    </w:rPr>
  </w:style>
  <w:style w:type="paragraph" w:customStyle="1" w:styleId="note">
    <w:name w:val="note"/>
    <w:basedOn w:val="Normal"/>
    <w:rsid w:val="00AF7B16"/>
    <w:pPr>
      <w:spacing w:before="100" w:beforeAutospacing="1" w:after="100" w:afterAutospacing="1"/>
    </w:pPr>
    <w:rPr>
      <w:lang w:eastAsia="en-AU"/>
    </w:rPr>
  </w:style>
  <w:style w:type="paragraph" w:styleId="FootnoteText">
    <w:name w:val="footnote text"/>
    <w:basedOn w:val="Normal"/>
    <w:link w:val="FootnoteTextChar"/>
    <w:unhideWhenUsed/>
    <w:rsid w:val="00AF7B16"/>
    <w:rPr>
      <w:sz w:val="20"/>
      <w:szCs w:val="20"/>
    </w:rPr>
  </w:style>
  <w:style w:type="character" w:customStyle="1" w:styleId="FootnoteTextChar">
    <w:name w:val="Footnote Text Char"/>
    <w:basedOn w:val="DefaultParagraphFont"/>
    <w:link w:val="FootnoteText"/>
    <w:rsid w:val="00AF7B16"/>
    <w:rPr>
      <w:rFonts w:eastAsia="Times New Roman"/>
      <w:sz w:val="20"/>
      <w:szCs w:val="20"/>
      <w:lang w:val="en-US"/>
    </w:rPr>
  </w:style>
  <w:style w:type="character" w:styleId="FootnoteReference">
    <w:name w:val="footnote reference"/>
    <w:basedOn w:val="DefaultParagraphFont"/>
    <w:unhideWhenUsed/>
    <w:rsid w:val="00AF7B16"/>
    <w:rPr>
      <w:vertAlign w:val="superscript"/>
    </w:rPr>
  </w:style>
  <w:style w:type="character" w:styleId="FollowedHyperlink">
    <w:name w:val="FollowedHyperlink"/>
    <w:basedOn w:val="DefaultParagraphFont"/>
    <w:semiHidden/>
    <w:unhideWhenUsed/>
    <w:rsid w:val="00AF7B16"/>
    <w:rPr>
      <w:color w:val="954F72" w:themeColor="followedHyperlink"/>
      <w:u w:val="single"/>
    </w:rPr>
  </w:style>
  <w:style w:type="table" w:styleId="TableGrid">
    <w:name w:val="Table Grid"/>
    <w:basedOn w:val="TableNormal"/>
    <w:uiPriority w:val="39"/>
    <w:rsid w:val="00AF7B16"/>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552">
      <w:bodyDiv w:val="1"/>
      <w:marLeft w:val="0"/>
      <w:marRight w:val="0"/>
      <w:marTop w:val="0"/>
      <w:marBottom w:val="0"/>
      <w:divBdr>
        <w:top w:val="none" w:sz="0" w:space="0" w:color="auto"/>
        <w:left w:val="none" w:sz="0" w:space="0" w:color="auto"/>
        <w:bottom w:val="none" w:sz="0" w:space="0" w:color="auto"/>
        <w:right w:val="none" w:sz="0" w:space="0" w:color="auto"/>
      </w:divBdr>
    </w:div>
    <w:div w:id="107359738">
      <w:bodyDiv w:val="1"/>
      <w:marLeft w:val="0"/>
      <w:marRight w:val="0"/>
      <w:marTop w:val="0"/>
      <w:marBottom w:val="0"/>
      <w:divBdr>
        <w:top w:val="none" w:sz="0" w:space="0" w:color="auto"/>
        <w:left w:val="none" w:sz="0" w:space="0" w:color="auto"/>
        <w:bottom w:val="none" w:sz="0" w:space="0" w:color="auto"/>
        <w:right w:val="none" w:sz="0" w:space="0" w:color="auto"/>
      </w:divBdr>
    </w:div>
    <w:div w:id="731082978">
      <w:bodyDiv w:val="1"/>
      <w:marLeft w:val="0"/>
      <w:marRight w:val="0"/>
      <w:marTop w:val="0"/>
      <w:marBottom w:val="0"/>
      <w:divBdr>
        <w:top w:val="none" w:sz="0" w:space="0" w:color="auto"/>
        <w:left w:val="none" w:sz="0" w:space="0" w:color="auto"/>
        <w:bottom w:val="none" w:sz="0" w:space="0" w:color="auto"/>
        <w:right w:val="none" w:sz="0" w:space="0" w:color="auto"/>
      </w:divBdr>
    </w:div>
    <w:div w:id="20655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8AAC-FE6C-4992-A2E6-AF306FC8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20026</Words>
  <Characters>114152</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2019-03-07T03:54:00Z</dcterms:created>
  <dcterms:modified xsi:type="dcterms:W3CDTF">2019-03-07T03:54:00Z</dcterms:modified>
</cp:coreProperties>
</file>