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571" w:rsidRPr="005D7471" w:rsidRDefault="001F4C23" w:rsidP="003C228D">
      <w:pPr>
        <w:spacing w:before="0" w:after="1920" w:line="276" w:lineRule="auto"/>
        <w:ind w:left="-2098"/>
        <w:rPr>
          <w:rFonts w:eastAsiaTheme="majorEastAsia"/>
        </w:rPr>
      </w:pPr>
      <w:r w:rsidRPr="005D7471">
        <w:rPr>
          <w:rFonts w:eastAsiaTheme="majorEastAsia"/>
          <w:noProof/>
        </w:rPr>
        <w:drawing>
          <wp:inline distT="0" distB="0" distL="0" distR="0" wp14:anchorId="2A02DB8C" wp14:editId="4AAD4953">
            <wp:extent cx="2813304" cy="643128"/>
            <wp:effectExtent l="0" t="0" r="6350" b="5080"/>
            <wp:docPr id="2" name="Picture 2" descr="Australian Government Department of Immigration and Border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13304" cy="643128"/>
                    </a:xfrm>
                    <a:prstGeom prst="rect">
                      <a:avLst/>
                    </a:prstGeom>
                  </pic:spPr>
                </pic:pic>
              </a:graphicData>
            </a:graphic>
          </wp:inline>
        </w:drawing>
      </w:r>
    </w:p>
    <w:p w:rsidR="00907D76" w:rsidRDefault="00D106B5" w:rsidP="003C228D">
      <w:pPr>
        <w:spacing w:before="0" w:after="0" w:line="276" w:lineRule="auto"/>
        <w:rPr>
          <w:rStyle w:val="BookTitle"/>
          <w:sz w:val="56"/>
        </w:rPr>
      </w:pPr>
      <w:r w:rsidRPr="005D7471">
        <w:rPr>
          <w:rStyle w:val="BookTitle"/>
          <w:sz w:val="56"/>
        </w:rPr>
        <w:t>Temporary Work (Skilled) Migration (Subclass 457)</w:t>
      </w:r>
      <w:r w:rsidR="00C662C2" w:rsidRPr="005D7471">
        <w:rPr>
          <w:rStyle w:val="BookTitle"/>
          <w:sz w:val="56"/>
        </w:rPr>
        <w:t xml:space="preserve"> </w:t>
      </w:r>
      <w:r w:rsidRPr="005D7471">
        <w:rPr>
          <w:rStyle w:val="BookTitle"/>
          <w:sz w:val="56"/>
        </w:rPr>
        <w:t xml:space="preserve">Programme </w:t>
      </w:r>
    </w:p>
    <w:p w:rsidR="00494FD1" w:rsidRPr="005D7471" w:rsidRDefault="00907D76" w:rsidP="003C228D">
      <w:pPr>
        <w:spacing w:before="0" w:after="0" w:line="276" w:lineRule="auto"/>
        <w:rPr>
          <w:rStyle w:val="BookTitle"/>
          <w:b w:val="0"/>
          <w:sz w:val="56"/>
        </w:rPr>
      </w:pPr>
      <w:r>
        <w:rPr>
          <w:rStyle w:val="BookTitle"/>
          <w:sz w:val="56"/>
        </w:rPr>
        <w:t>Legislative amendments in 2013</w:t>
      </w:r>
      <w:r w:rsidR="00D106B5" w:rsidRPr="005D7471">
        <w:rPr>
          <w:rStyle w:val="BookTitle"/>
          <w:sz w:val="56"/>
        </w:rPr>
        <w:br/>
      </w:r>
      <w:r w:rsidR="009C0F50">
        <w:rPr>
          <w:rStyle w:val="BookTitle"/>
          <w:b w:val="0"/>
          <w:sz w:val="56"/>
        </w:rPr>
        <w:t xml:space="preserve">Post Implementation </w:t>
      </w:r>
      <w:r w:rsidR="00D106B5" w:rsidRPr="005D7471">
        <w:rPr>
          <w:rStyle w:val="BookTitle"/>
          <w:b w:val="0"/>
          <w:sz w:val="56"/>
        </w:rPr>
        <w:t xml:space="preserve">Review </w:t>
      </w:r>
    </w:p>
    <w:p w:rsidR="003C54BB" w:rsidRPr="005D7471" w:rsidRDefault="003C54BB" w:rsidP="003C228D">
      <w:pPr>
        <w:spacing w:line="276" w:lineRule="auto"/>
      </w:pPr>
      <w:bookmarkStart w:id="0" w:name="_Toc380054885"/>
    </w:p>
    <w:p w:rsidR="00AC317E" w:rsidRPr="005D7471" w:rsidRDefault="00AC317E" w:rsidP="003C228D">
      <w:pPr>
        <w:spacing w:line="276" w:lineRule="auto"/>
        <w:sectPr w:rsidR="00AC317E" w:rsidRPr="005D7471" w:rsidSect="001F4C23">
          <w:headerReference w:type="even" r:id="rId10"/>
          <w:headerReference w:type="default" r:id="rId11"/>
          <w:footerReference w:type="default" r:id="rId12"/>
          <w:headerReference w:type="first" r:id="rId13"/>
          <w:type w:val="continuous"/>
          <w:pgSz w:w="11907" w:h="16839" w:code="9"/>
          <w:pgMar w:top="2325" w:right="2098" w:bottom="1418" w:left="2098" w:header="567" w:footer="1134" w:gutter="0"/>
          <w:cols w:space="720"/>
          <w:docGrid w:linePitch="360"/>
        </w:sectPr>
      </w:pPr>
    </w:p>
    <w:bookmarkEnd w:id="0" w:displacedByCustomXml="next"/>
    <w:sdt>
      <w:sdtPr>
        <w:rPr>
          <w:rFonts w:eastAsia="Times New Roman" w:cs="Times New Roman"/>
          <w:bCs w:val="0"/>
          <w:color w:val="auto"/>
          <w:sz w:val="20"/>
          <w:szCs w:val="20"/>
          <w:lang w:val="en-AU" w:eastAsia="en-AU"/>
        </w:rPr>
        <w:id w:val="878448928"/>
        <w:docPartObj>
          <w:docPartGallery w:val="Table of Contents"/>
          <w:docPartUnique/>
        </w:docPartObj>
      </w:sdtPr>
      <w:sdtEndPr>
        <w:rPr>
          <w:noProof/>
        </w:rPr>
      </w:sdtEndPr>
      <w:sdtContent>
        <w:p w:rsidR="00E837B9" w:rsidRPr="005D7471" w:rsidRDefault="00E837B9" w:rsidP="003C228D">
          <w:pPr>
            <w:pStyle w:val="TOCHeading"/>
          </w:pPr>
          <w:r w:rsidRPr="005D7471">
            <w:t>Table of Contents</w:t>
          </w:r>
        </w:p>
        <w:p w:rsidR="000C563F" w:rsidRDefault="00E837B9">
          <w:pPr>
            <w:pStyle w:val="TOC1"/>
            <w:rPr>
              <w:rFonts w:asciiTheme="minorHAnsi" w:eastAsiaTheme="minorEastAsia" w:hAnsiTheme="minorHAnsi" w:cstheme="minorBidi"/>
              <w:sz w:val="22"/>
              <w:szCs w:val="22"/>
              <w:lang w:val="en-AU" w:eastAsia="en-AU"/>
            </w:rPr>
          </w:pPr>
          <w:r w:rsidRPr="005D7471">
            <w:fldChar w:fldCharType="begin"/>
          </w:r>
          <w:r w:rsidRPr="005D7471">
            <w:instrText xml:space="preserve"> TOC \o "1-3" \h \z \u </w:instrText>
          </w:r>
          <w:r w:rsidRPr="005D7471">
            <w:fldChar w:fldCharType="separate"/>
          </w:r>
          <w:hyperlink w:anchor="_Toc444499104" w:history="1">
            <w:r w:rsidR="000C563F" w:rsidRPr="009874A1">
              <w:rPr>
                <w:rStyle w:val="Hyperlink"/>
              </w:rPr>
              <w:t>Purpose</w:t>
            </w:r>
            <w:r w:rsidR="000C563F">
              <w:rPr>
                <w:webHidden/>
              </w:rPr>
              <w:tab/>
            </w:r>
            <w:r w:rsidR="000C563F">
              <w:rPr>
                <w:webHidden/>
              </w:rPr>
              <w:fldChar w:fldCharType="begin"/>
            </w:r>
            <w:r w:rsidR="000C563F">
              <w:rPr>
                <w:webHidden/>
              </w:rPr>
              <w:instrText xml:space="preserve"> PAGEREF _Toc444499104 \h </w:instrText>
            </w:r>
            <w:r w:rsidR="000C563F">
              <w:rPr>
                <w:webHidden/>
              </w:rPr>
            </w:r>
            <w:r w:rsidR="000C563F">
              <w:rPr>
                <w:webHidden/>
              </w:rPr>
              <w:fldChar w:fldCharType="separate"/>
            </w:r>
            <w:r w:rsidR="0037385E">
              <w:rPr>
                <w:webHidden/>
              </w:rPr>
              <w:t>4</w:t>
            </w:r>
            <w:r w:rsidR="000C563F">
              <w:rPr>
                <w:webHidden/>
              </w:rPr>
              <w:fldChar w:fldCharType="end"/>
            </w:r>
          </w:hyperlink>
        </w:p>
        <w:p w:rsidR="000C563F" w:rsidRDefault="005D45DD">
          <w:pPr>
            <w:pStyle w:val="TOC1"/>
            <w:rPr>
              <w:rFonts w:asciiTheme="minorHAnsi" w:eastAsiaTheme="minorEastAsia" w:hAnsiTheme="minorHAnsi" w:cstheme="minorBidi"/>
              <w:sz w:val="22"/>
              <w:szCs w:val="22"/>
              <w:lang w:val="en-AU" w:eastAsia="en-AU"/>
            </w:rPr>
          </w:pPr>
          <w:hyperlink w:anchor="_Toc444499105" w:history="1">
            <w:r w:rsidR="000C563F" w:rsidRPr="009874A1">
              <w:rPr>
                <w:rStyle w:val="Hyperlink"/>
              </w:rPr>
              <w:t>The 457 Programme</w:t>
            </w:r>
            <w:r w:rsidR="000C563F">
              <w:rPr>
                <w:webHidden/>
              </w:rPr>
              <w:tab/>
            </w:r>
            <w:r w:rsidR="000C563F">
              <w:rPr>
                <w:webHidden/>
              </w:rPr>
              <w:fldChar w:fldCharType="begin"/>
            </w:r>
            <w:r w:rsidR="000C563F">
              <w:rPr>
                <w:webHidden/>
              </w:rPr>
              <w:instrText xml:space="preserve"> PAGEREF _Toc444499105 \h </w:instrText>
            </w:r>
            <w:r w:rsidR="000C563F">
              <w:rPr>
                <w:webHidden/>
              </w:rPr>
            </w:r>
            <w:r w:rsidR="000C563F">
              <w:rPr>
                <w:webHidden/>
              </w:rPr>
              <w:fldChar w:fldCharType="separate"/>
            </w:r>
            <w:r w:rsidR="0037385E">
              <w:rPr>
                <w:webHidden/>
              </w:rPr>
              <w:t>5</w:t>
            </w:r>
            <w:r w:rsidR="000C563F">
              <w:rPr>
                <w:webHidden/>
              </w:rPr>
              <w:fldChar w:fldCharType="end"/>
            </w:r>
          </w:hyperlink>
        </w:p>
        <w:p w:rsidR="000C563F" w:rsidRDefault="005D45DD">
          <w:pPr>
            <w:pStyle w:val="TOC2"/>
            <w:tabs>
              <w:tab w:val="right" w:leader="dot" w:pos="8665"/>
            </w:tabs>
            <w:rPr>
              <w:rFonts w:asciiTheme="minorHAnsi" w:eastAsiaTheme="minorEastAsia" w:hAnsiTheme="minorHAnsi" w:cstheme="minorBidi"/>
              <w:sz w:val="22"/>
              <w:szCs w:val="22"/>
              <w:lang w:val="en-AU" w:eastAsia="en-AU"/>
            </w:rPr>
          </w:pPr>
          <w:hyperlink w:anchor="_Toc444499106" w:history="1">
            <w:r w:rsidR="000C563F" w:rsidRPr="009874A1">
              <w:rPr>
                <w:rStyle w:val="Hyperlink"/>
              </w:rPr>
              <w:t>Overview</w:t>
            </w:r>
            <w:r w:rsidR="000C563F">
              <w:rPr>
                <w:webHidden/>
              </w:rPr>
              <w:tab/>
            </w:r>
            <w:r w:rsidR="000C563F">
              <w:rPr>
                <w:webHidden/>
              </w:rPr>
              <w:fldChar w:fldCharType="begin"/>
            </w:r>
            <w:r w:rsidR="000C563F">
              <w:rPr>
                <w:webHidden/>
              </w:rPr>
              <w:instrText xml:space="preserve"> PAGEREF _Toc444499106 \h </w:instrText>
            </w:r>
            <w:r w:rsidR="000C563F">
              <w:rPr>
                <w:webHidden/>
              </w:rPr>
            </w:r>
            <w:r w:rsidR="000C563F">
              <w:rPr>
                <w:webHidden/>
              </w:rPr>
              <w:fldChar w:fldCharType="separate"/>
            </w:r>
            <w:r w:rsidR="0037385E">
              <w:rPr>
                <w:webHidden/>
              </w:rPr>
              <w:t>5</w:t>
            </w:r>
            <w:r w:rsidR="000C563F">
              <w:rPr>
                <w:webHidden/>
              </w:rPr>
              <w:fldChar w:fldCharType="end"/>
            </w:r>
          </w:hyperlink>
        </w:p>
        <w:p w:rsidR="000C563F" w:rsidRDefault="005D45DD">
          <w:pPr>
            <w:pStyle w:val="TOC2"/>
            <w:tabs>
              <w:tab w:val="right" w:leader="dot" w:pos="8665"/>
            </w:tabs>
            <w:rPr>
              <w:rFonts w:asciiTheme="minorHAnsi" w:eastAsiaTheme="minorEastAsia" w:hAnsiTheme="minorHAnsi" w:cstheme="minorBidi"/>
              <w:sz w:val="22"/>
              <w:szCs w:val="22"/>
              <w:lang w:val="en-AU" w:eastAsia="en-AU"/>
            </w:rPr>
          </w:pPr>
          <w:hyperlink w:anchor="_Toc444499107" w:history="1">
            <w:r w:rsidR="000C563F" w:rsidRPr="009874A1">
              <w:rPr>
                <w:rStyle w:val="Hyperlink"/>
              </w:rPr>
              <w:t>Businesses affected by reforms to the 457 programme</w:t>
            </w:r>
            <w:r w:rsidR="000C563F">
              <w:rPr>
                <w:webHidden/>
              </w:rPr>
              <w:tab/>
            </w:r>
            <w:r w:rsidR="000C563F">
              <w:rPr>
                <w:webHidden/>
              </w:rPr>
              <w:fldChar w:fldCharType="begin"/>
            </w:r>
            <w:r w:rsidR="000C563F">
              <w:rPr>
                <w:webHidden/>
              </w:rPr>
              <w:instrText xml:space="preserve"> PAGEREF _Toc444499107 \h </w:instrText>
            </w:r>
            <w:r w:rsidR="000C563F">
              <w:rPr>
                <w:webHidden/>
              </w:rPr>
            </w:r>
            <w:r w:rsidR="000C563F">
              <w:rPr>
                <w:webHidden/>
              </w:rPr>
              <w:fldChar w:fldCharType="separate"/>
            </w:r>
            <w:r w:rsidR="0037385E">
              <w:rPr>
                <w:webHidden/>
              </w:rPr>
              <w:t>5</w:t>
            </w:r>
            <w:r w:rsidR="000C563F">
              <w:rPr>
                <w:webHidden/>
              </w:rPr>
              <w:fldChar w:fldCharType="end"/>
            </w:r>
          </w:hyperlink>
        </w:p>
        <w:p w:rsidR="000C563F" w:rsidRDefault="005D45DD">
          <w:pPr>
            <w:pStyle w:val="TOC2"/>
            <w:tabs>
              <w:tab w:val="right" w:leader="dot" w:pos="8665"/>
            </w:tabs>
            <w:rPr>
              <w:rFonts w:asciiTheme="minorHAnsi" w:eastAsiaTheme="minorEastAsia" w:hAnsiTheme="minorHAnsi" w:cstheme="minorBidi"/>
              <w:sz w:val="22"/>
              <w:szCs w:val="22"/>
              <w:lang w:val="en-AU" w:eastAsia="en-AU"/>
            </w:rPr>
          </w:pPr>
          <w:hyperlink w:anchor="_Toc444499108" w:history="1">
            <w:r w:rsidR="000C563F" w:rsidRPr="009874A1">
              <w:rPr>
                <w:rStyle w:val="Hyperlink"/>
              </w:rPr>
              <w:t>Impact of the programme on the Australian labour market</w:t>
            </w:r>
            <w:r w:rsidR="000C563F">
              <w:rPr>
                <w:webHidden/>
              </w:rPr>
              <w:tab/>
            </w:r>
            <w:r w:rsidR="000C563F">
              <w:rPr>
                <w:webHidden/>
              </w:rPr>
              <w:fldChar w:fldCharType="begin"/>
            </w:r>
            <w:r w:rsidR="000C563F">
              <w:rPr>
                <w:webHidden/>
              </w:rPr>
              <w:instrText xml:space="preserve"> PAGEREF _Toc444499108 \h </w:instrText>
            </w:r>
            <w:r w:rsidR="000C563F">
              <w:rPr>
                <w:webHidden/>
              </w:rPr>
            </w:r>
            <w:r w:rsidR="000C563F">
              <w:rPr>
                <w:webHidden/>
              </w:rPr>
              <w:fldChar w:fldCharType="separate"/>
            </w:r>
            <w:r w:rsidR="0037385E">
              <w:rPr>
                <w:webHidden/>
              </w:rPr>
              <w:t>5</w:t>
            </w:r>
            <w:r w:rsidR="000C563F">
              <w:rPr>
                <w:webHidden/>
              </w:rPr>
              <w:fldChar w:fldCharType="end"/>
            </w:r>
          </w:hyperlink>
        </w:p>
        <w:p w:rsidR="000C563F" w:rsidRDefault="005D45DD">
          <w:pPr>
            <w:pStyle w:val="TOC1"/>
            <w:rPr>
              <w:rFonts w:asciiTheme="minorHAnsi" w:eastAsiaTheme="minorEastAsia" w:hAnsiTheme="minorHAnsi" w:cstheme="minorBidi"/>
              <w:sz w:val="22"/>
              <w:szCs w:val="22"/>
              <w:lang w:val="en-AU" w:eastAsia="en-AU"/>
            </w:rPr>
          </w:pPr>
          <w:hyperlink w:anchor="_Toc444499110" w:history="1">
            <w:r w:rsidR="000C563F" w:rsidRPr="009874A1">
              <w:rPr>
                <w:rStyle w:val="Hyperlink"/>
              </w:rPr>
              <w:t>2013 Legislative amendments</w:t>
            </w:r>
            <w:r w:rsidR="000C563F">
              <w:rPr>
                <w:webHidden/>
              </w:rPr>
              <w:tab/>
            </w:r>
            <w:r w:rsidR="000C563F">
              <w:rPr>
                <w:webHidden/>
              </w:rPr>
              <w:fldChar w:fldCharType="begin"/>
            </w:r>
            <w:r w:rsidR="000C563F">
              <w:rPr>
                <w:webHidden/>
              </w:rPr>
              <w:instrText xml:space="preserve"> PAGEREF _Toc444499110 \h </w:instrText>
            </w:r>
            <w:r w:rsidR="000C563F">
              <w:rPr>
                <w:webHidden/>
              </w:rPr>
            </w:r>
            <w:r w:rsidR="000C563F">
              <w:rPr>
                <w:webHidden/>
              </w:rPr>
              <w:fldChar w:fldCharType="separate"/>
            </w:r>
            <w:r w:rsidR="0037385E">
              <w:rPr>
                <w:webHidden/>
              </w:rPr>
              <w:t>6</w:t>
            </w:r>
            <w:r w:rsidR="000C563F">
              <w:rPr>
                <w:webHidden/>
              </w:rPr>
              <w:fldChar w:fldCharType="end"/>
            </w:r>
          </w:hyperlink>
        </w:p>
        <w:p w:rsidR="000C563F" w:rsidRDefault="005D45DD">
          <w:pPr>
            <w:pStyle w:val="TOC2"/>
            <w:tabs>
              <w:tab w:val="right" w:leader="dot" w:pos="8665"/>
            </w:tabs>
            <w:rPr>
              <w:rFonts w:asciiTheme="minorHAnsi" w:eastAsiaTheme="minorEastAsia" w:hAnsiTheme="minorHAnsi" w:cstheme="minorBidi"/>
              <w:sz w:val="22"/>
              <w:szCs w:val="22"/>
              <w:lang w:val="en-AU" w:eastAsia="en-AU"/>
            </w:rPr>
          </w:pPr>
          <w:hyperlink w:anchor="_Toc444499111" w:history="1">
            <w:r w:rsidR="000C563F" w:rsidRPr="009874A1">
              <w:rPr>
                <w:rStyle w:val="Hyperlink"/>
              </w:rPr>
              <w:t>What was the problem these amendments intended to solve?</w:t>
            </w:r>
            <w:r w:rsidR="000C563F">
              <w:rPr>
                <w:webHidden/>
              </w:rPr>
              <w:tab/>
            </w:r>
            <w:r w:rsidR="000C563F">
              <w:rPr>
                <w:webHidden/>
              </w:rPr>
              <w:fldChar w:fldCharType="begin"/>
            </w:r>
            <w:r w:rsidR="000C563F">
              <w:rPr>
                <w:webHidden/>
              </w:rPr>
              <w:instrText xml:space="preserve"> PAGEREF _Toc444499111 \h </w:instrText>
            </w:r>
            <w:r w:rsidR="000C563F">
              <w:rPr>
                <w:webHidden/>
              </w:rPr>
            </w:r>
            <w:r w:rsidR="000C563F">
              <w:rPr>
                <w:webHidden/>
              </w:rPr>
              <w:fldChar w:fldCharType="separate"/>
            </w:r>
            <w:r w:rsidR="0037385E">
              <w:rPr>
                <w:webHidden/>
              </w:rPr>
              <w:t>6</w:t>
            </w:r>
            <w:r w:rsidR="000C563F">
              <w:rPr>
                <w:webHidden/>
              </w:rPr>
              <w:fldChar w:fldCharType="end"/>
            </w:r>
          </w:hyperlink>
        </w:p>
        <w:p w:rsidR="000C563F" w:rsidRDefault="005D45DD">
          <w:pPr>
            <w:pStyle w:val="TOC2"/>
            <w:tabs>
              <w:tab w:val="right" w:leader="dot" w:pos="8665"/>
            </w:tabs>
            <w:rPr>
              <w:rFonts w:asciiTheme="minorHAnsi" w:eastAsiaTheme="minorEastAsia" w:hAnsiTheme="minorHAnsi" w:cstheme="minorBidi"/>
              <w:sz w:val="22"/>
              <w:szCs w:val="22"/>
              <w:lang w:val="en-AU" w:eastAsia="en-AU"/>
            </w:rPr>
          </w:pPr>
          <w:hyperlink w:anchor="_Toc444499112" w:history="1">
            <w:r w:rsidR="000C563F" w:rsidRPr="009874A1">
              <w:rPr>
                <w:rStyle w:val="Hyperlink"/>
              </w:rPr>
              <w:t>Why was Government action needed?</w:t>
            </w:r>
            <w:r w:rsidR="000C563F">
              <w:rPr>
                <w:webHidden/>
              </w:rPr>
              <w:tab/>
            </w:r>
            <w:r w:rsidR="000C563F">
              <w:rPr>
                <w:webHidden/>
              </w:rPr>
              <w:fldChar w:fldCharType="begin"/>
            </w:r>
            <w:r w:rsidR="000C563F">
              <w:rPr>
                <w:webHidden/>
              </w:rPr>
              <w:instrText xml:space="preserve"> PAGEREF _Toc444499112 \h </w:instrText>
            </w:r>
            <w:r w:rsidR="000C563F">
              <w:rPr>
                <w:webHidden/>
              </w:rPr>
            </w:r>
            <w:r w:rsidR="000C563F">
              <w:rPr>
                <w:webHidden/>
              </w:rPr>
              <w:fldChar w:fldCharType="separate"/>
            </w:r>
            <w:r w:rsidR="0037385E">
              <w:rPr>
                <w:webHidden/>
              </w:rPr>
              <w:t>7</w:t>
            </w:r>
            <w:r w:rsidR="000C563F">
              <w:rPr>
                <w:webHidden/>
              </w:rPr>
              <w:fldChar w:fldCharType="end"/>
            </w:r>
          </w:hyperlink>
        </w:p>
        <w:p w:rsidR="000C563F" w:rsidRDefault="005D45DD">
          <w:pPr>
            <w:pStyle w:val="TOC2"/>
            <w:tabs>
              <w:tab w:val="right" w:leader="dot" w:pos="8665"/>
            </w:tabs>
            <w:rPr>
              <w:rFonts w:asciiTheme="minorHAnsi" w:eastAsiaTheme="minorEastAsia" w:hAnsiTheme="minorHAnsi" w:cstheme="minorBidi"/>
              <w:sz w:val="22"/>
              <w:szCs w:val="22"/>
              <w:lang w:val="en-AU" w:eastAsia="en-AU"/>
            </w:rPr>
          </w:pPr>
          <w:hyperlink w:anchor="_Toc444499113" w:history="1">
            <w:r w:rsidR="000C563F" w:rsidRPr="009874A1">
              <w:rPr>
                <w:rStyle w:val="Hyperlink"/>
              </w:rPr>
              <w:t>What options were considered?</w:t>
            </w:r>
            <w:r w:rsidR="000C563F">
              <w:rPr>
                <w:webHidden/>
              </w:rPr>
              <w:tab/>
            </w:r>
            <w:r w:rsidR="000C563F">
              <w:rPr>
                <w:webHidden/>
              </w:rPr>
              <w:fldChar w:fldCharType="begin"/>
            </w:r>
            <w:r w:rsidR="000C563F">
              <w:rPr>
                <w:webHidden/>
              </w:rPr>
              <w:instrText xml:space="preserve"> PAGEREF _Toc444499113 \h </w:instrText>
            </w:r>
            <w:r w:rsidR="000C563F">
              <w:rPr>
                <w:webHidden/>
              </w:rPr>
            </w:r>
            <w:r w:rsidR="000C563F">
              <w:rPr>
                <w:webHidden/>
              </w:rPr>
              <w:fldChar w:fldCharType="separate"/>
            </w:r>
            <w:r w:rsidR="0037385E">
              <w:rPr>
                <w:webHidden/>
              </w:rPr>
              <w:t>7</w:t>
            </w:r>
            <w:r w:rsidR="000C563F">
              <w:rPr>
                <w:webHidden/>
              </w:rPr>
              <w:fldChar w:fldCharType="end"/>
            </w:r>
          </w:hyperlink>
        </w:p>
        <w:p w:rsidR="000C563F" w:rsidRDefault="005D45DD">
          <w:pPr>
            <w:pStyle w:val="TOC1"/>
            <w:rPr>
              <w:rFonts w:asciiTheme="minorHAnsi" w:eastAsiaTheme="minorEastAsia" w:hAnsiTheme="minorHAnsi" w:cstheme="minorBidi"/>
              <w:sz w:val="22"/>
              <w:szCs w:val="22"/>
              <w:lang w:val="en-AU" w:eastAsia="en-AU"/>
            </w:rPr>
          </w:pPr>
          <w:hyperlink w:anchor="_Toc444499114" w:history="1">
            <w:r w:rsidR="000C563F" w:rsidRPr="009874A1">
              <w:rPr>
                <w:rStyle w:val="Hyperlink"/>
              </w:rPr>
              <w:t>Consultation</w:t>
            </w:r>
            <w:r w:rsidR="000C563F">
              <w:rPr>
                <w:webHidden/>
              </w:rPr>
              <w:tab/>
            </w:r>
            <w:r w:rsidR="000C563F">
              <w:rPr>
                <w:webHidden/>
              </w:rPr>
              <w:fldChar w:fldCharType="begin"/>
            </w:r>
            <w:r w:rsidR="000C563F">
              <w:rPr>
                <w:webHidden/>
              </w:rPr>
              <w:instrText xml:space="preserve"> PAGEREF _Toc444499114 \h </w:instrText>
            </w:r>
            <w:r w:rsidR="000C563F">
              <w:rPr>
                <w:webHidden/>
              </w:rPr>
            </w:r>
            <w:r w:rsidR="000C563F">
              <w:rPr>
                <w:webHidden/>
              </w:rPr>
              <w:fldChar w:fldCharType="separate"/>
            </w:r>
            <w:r w:rsidR="0037385E">
              <w:rPr>
                <w:webHidden/>
              </w:rPr>
              <w:t>9</w:t>
            </w:r>
            <w:r w:rsidR="000C563F">
              <w:rPr>
                <w:webHidden/>
              </w:rPr>
              <w:fldChar w:fldCharType="end"/>
            </w:r>
          </w:hyperlink>
        </w:p>
        <w:p w:rsidR="000C563F" w:rsidRDefault="005D45DD">
          <w:pPr>
            <w:pStyle w:val="TOC2"/>
            <w:tabs>
              <w:tab w:val="right" w:leader="dot" w:pos="8665"/>
            </w:tabs>
            <w:rPr>
              <w:rFonts w:asciiTheme="minorHAnsi" w:eastAsiaTheme="minorEastAsia" w:hAnsiTheme="minorHAnsi" w:cstheme="minorBidi"/>
              <w:sz w:val="22"/>
              <w:szCs w:val="22"/>
              <w:lang w:val="en-AU" w:eastAsia="en-AU"/>
            </w:rPr>
          </w:pPr>
          <w:hyperlink w:anchor="_Toc444499115" w:history="1">
            <w:r w:rsidR="000C563F" w:rsidRPr="009874A1">
              <w:rPr>
                <w:rStyle w:val="Hyperlink"/>
              </w:rPr>
              <w:t>The 2014 Integrity Review</w:t>
            </w:r>
            <w:r w:rsidR="000C563F">
              <w:rPr>
                <w:webHidden/>
              </w:rPr>
              <w:tab/>
            </w:r>
            <w:r w:rsidR="000C563F">
              <w:rPr>
                <w:webHidden/>
              </w:rPr>
              <w:fldChar w:fldCharType="begin"/>
            </w:r>
            <w:r w:rsidR="000C563F">
              <w:rPr>
                <w:webHidden/>
              </w:rPr>
              <w:instrText xml:space="preserve"> PAGEREF _Toc444499115 \h </w:instrText>
            </w:r>
            <w:r w:rsidR="000C563F">
              <w:rPr>
                <w:webHidden/>
              </w:rPr>
            </w:r>
            <w:r w:rsidR="000C563F">
              <w:rPr>
                <w:webHidden/>
              </w:rPr>
              <w:fldChar w:fldCharType="separate"/>
            </w:r>
            <w:r w:rsidR="0037385E">
              <w:rPr>
                <w:webHidden/>
              </w:rPr>
              <w:t>9</w:t>
            </w:r>
            <w:r w:rsidR="000C563F">
              <w:rPr>
                <w:webHidden/>
              </w:rPr>
              <w:fldChar w:fldCharType="end"/>
            </w:r>
          </w:hyperlink>
        </w:p>
        <w:p w:rsidR="000C563F" w:rsidRDefault="005D45DD">
          <w:pPr>
            <w:pStyle w:val="TOC2"/>
            <w:tabs>
              <w:tab w:val="right" w:leader="dot" w:pos="8665"/>
            </w:tabs>
            <w:rPr>
              <w:rFonts w:asciiTheme="minorHAnsi" w:eastAsiaTheme="minorEastAsia" w:hAnsiTheme="minorHAnsi" w:cstheme="minorBidi"/>
              <w:sz w:val="22"/>
              <w:szCs w:val="22"/>
              <w:lang w:val="en-AU" w:eastAsia="en-AU"/>
            </w:rPr>
          </w:pPr>
          <w:hyperlink w:anchor="_Toc444499116" w:history="1">
            <w:r w:rsidR="000C563F" w:rsidRPr="009874A1">
              <w:rPr>
                <w:rStyle w:val="Hyperlink"/>
              </w:rPr>
              <w:t>2014 survey of 457 sponsors</w:t>
            </w:r>
            <w:r w:rsidR="000C563F">
              <w:rPr>
                <w:webHidden/>
              </w:rPr>
              <w:tab/>
            </w:r>
            <w:r w:rsidR="000C563F">
              <w:rPr>
                <w:webHidden/>
              </w:rPr>
              <w:fldChar w:fldCharType="begin"/>
            </w:r>
            <w:r w:rsidR="000C563F">
              <w:rPr>
                <w:webHidden/>
              </w:rPr>
              <w:instrText xml:space="preserve"> PAGEREF _Toc444499116 \h </w:instrText>
            </w:r>
            <w:r w:rsidR="000C563F">
              <w:rPr>
                <w:webHidden/>
              </w:rPr>
            </w:r>
            <w:r w:rsidR="000C563F">
              <w:rPr>
                <w:webHidden/>
              </w:rPr>
              <w:fldChar w:fldCharType="separate"/>
            </w:r>
            <w:r w:rsidR="0037385E">
              <w:rPr>
                <w:webHidden/>
              </w:rPr>
              <w:t>9</w:t>
            </w:r>
            <w:r w:rsidR="000C563F">
              <w:rPr>
                <w:webHidden/>
              </w:rPr>
              <w:fldChar w:fldCharType="end"/>
            </w:r>
          </w:hyperlink>
        </w:p>
        <w:p w:rsidR="000C563F" w:rsidRDefault="005D45DD">
          <w:pPr>
            <w:pStyle w:val="TOC1"/>
            <w:rPr>
              <w:rFonts w:asciiTheme="minorHAnsi" w:eastAsiaTheme="minorEastAsia" w:hAnsiTheme="minorHAnsi" w:cstheme="minorBidi"/>
              <w:sz w:val="22"/>
              <w:szCs w:val="22"/>
              <w:lang w:val="en-AU" w:eastAsia="en-AU"/>
            </w:rPr>
          </w:pPr>
          <w:hyperlink w:anchor="_Toc444499117" w:history="1">
            <w:r w:rsidR="000C563F" w:rsidRPr="009874A1">
              <w:rPr>
                <w:rStyle w:val="Hyperlink"/>
              </w:rPr>
              <w:t>Impact Analysis</w:t>
            </w:r>
            <w:r w:rsidR="000C563F">
              <w:rPr>
                <w:webHidden/>
              </w:rPr>
              <w:tab/>
            </w:r>
            <w:r w:rsidR="000C563F">
              <w:rPr>
                <w:webHidden/>
              </w:rPr>
              <w:fldChar w:fldCharType="begin"/>
            </w:r>
            <w:r w:rsidR="000C563F">
              <w:rPr>
                <w:webHidden/>
              </w:rPr>
              <w:instrText xml:space="preserve"> PAGEREF _Toc444499117 \h </w:instrText>
            </w:r>
            <w:r w:rsidR="000C563F">
              <w:rPr>
                <w:webHidden/>
              </w:rPr>
            </w:r>
            <w:r w:rsidR="000C563F">
              <w:rPr>
                <w:webHidden/>
              </w:rPr>
              <w:fldChar w:fldCharType="separate"/>
            </w:r>
            <w:r w:rsidR="0037385E">
              <w:rPr>
                <w:webHidden/>
              </w:rPr>
              <w:t>11</w:t>
            </w:r>
            <w:r w:rsidR="000C563F">
              <w:rPr>
                <w:webHidden/>
              </w:rPr>
              <w:fldChar w:fldCharType="end"/>
            </w:r>
          </w:hyperlink>
        </w:p>
        <w:p w:rsidR="000C563F" w:rsidRDefault="005D45DD">
          <w:pPr>
            <w:pStyle w:val="TOC2"/>
            <w:tabs>
              <w:tab w:val="right" w:leader="dot" w:pos="8665"/>
            </w:tabs>
            <w:rPr>
              <w:rFonts w:asciiTheme="minorHAnsi" w:eastAsiaTheme="minorEastAsia" w:hAnsiTheme="minorHAnsi" w:cstheme="minorBidi"/>
              <w:sz w:val="22"/>
              <w:szCs w:val="22"/>
              <w:lang w:val="en-AU" w:eastAsia="en-AU"/>
            </w:rPr>
          </w:pPr>
          <w:hyperlink w:anchor="_Toc444499118" w:history="1">
            <w:r w:rsidR="000C563F" w:rsidRPr="009874A1">
              <w:rPr>
                <w:rStyle w:val="Hyperlink"/>
              </w:rPr>
              <w:t>General impact on programme outcomes and trends</w:t>
            </w:r>
            <w:r w:rsidR="000C563F">
              <w:rPr>
                <w:webHidden/>
              </w:rPr>
              <w:tab/>
            </w:r>
            <w:r w:rsidR="000C563F">
              <w:rPr>
                <w:webHidden/>
              </w:rPr>
              <w:fldChar w:fldCharType="begin"/>
            </w:r>
            <w:r w:rsidR="000C563F">
              <w:rPr>
                <w:webHidden/>
              </w:rPr>
              <w:instrText xml:space="preserve"> PAGEREF _Toc444499118 \h </w:instrText>
            </w:r>
            <w:r w:rsidR="000C563F">
              <w:rPr>
                <w:webHidden/>
              </w:rPr>
            </w:r>
            <w:r w:rsidR="000C563F">
              <w:rPr>
                <w:webHidden/>
              </w:rPr>
              <w:fldChar w:fldCharType="separate"/>
            </w:r>
            <w:r w:rsidR="0037385E">
              <w:rPr>
                <w:webHidden/>
              </w:rPr>
              <w:t>11</w:t>
            </w:r>
            <w:r w:rsidR="000C563F">
              <w:rPr>
                <w:webHidden/>
              </w:rPr>
              <w:fldChar w:fldCharType="end"/>
            </w:r>
          </w:hyperlink>
        </w:p>
        <w:p w:rsidR="000C563F" w:rsidRDefault="005D45DD">
          <w:pPr>
            <w:pStyle w:val="TOC2"/>
            <w:tabs>
              <w:tab w:val="left" w:pos="660"/>
              <w:tab w:val="right" w:leader="dot" w:pos="8665"/>
            </w:tabs>
            <w:rPr>
              <w:rFonts w:asciiTheme="minorHAnsi" w:eastAsiaTheme="minorEastAsia" w:hAnsiTheme="minorHAnsi" w:cstheme="minorBidi"/>
              <w:sz w:val="22"/>
              <w:szCs w:val="22"/>
              <w:lang w:val="en-AU" w:eastAsia="en-AU"/>
            </w:rPr>
          </w:pPr>
          <w:hyperlink w:anchor="_Toc444499119" w:history="1">
            <w:r w:rsidR="000C563F" w:rsidRPr="009874A1">
              <w:rPr>
                <w:rStyle w:val="Hyperlink"/>
              </w:rPr>
              <w:t>1.</w:t>
            </w:r>
            <w:r w:rsidR="000C563F">
              <w:rPr>
                <w:rFonts w:asciiTheme="minorHAnsi" w:eastAsiaTheme="minorEastAsia" w:hAnsiTheme="minorHAnsi" w:cstheme="minorBidi"/>
                <w:sz w:val="22"/>
                <w:szCs w:val="22"/>
                <w:lang w:val="en-AU" w:eastAsia="en-AU"/>
              </w:rPr>
              <w:tab/>
            </w:r>
            <w:r w:rsidR="000C563F" w:rsidRPr="009874A1">
              <w:rPr>
                <w:rStyle w:val="Hyperlink"/>
              </w:rPr>
              <w:t>Training obligations</w:t>
            </w:r>
            <w:r w:rsidR="000C563F">
              <w:rPr>
                <w:webHidden/>
              </w:rPr>
              <w:tab/>
            </w:r>
            <w:r w:rsidR="000C563F">
              <w:rPr>
                <w:webHidden/>
              </w:rPr>
              <w:fldChar w:fldCharType="begin"/>
            </w:r>
            <w:r w:rsidR="000C563F">
              <w:rPr>
                <w:webHidden/>
              </w:rPr>
              <w:instrText xml:space="preserve"> PAGEREF _Toc444499119 \h </w:instrText>
            </w:r>
            <w:r w:rsidR="000C563F">
              <w:rPr>
                <w:webHidden/>
              </w:rPr>
            </w:r>
            <w:r w:rsidR="000C563F">
              <w:rPr>
                <w:webHidden/>
              </w:rPr>
              <w:fldChar w:fldCharType="separate"/>
            </w:r>
            <w:r w:rsidR="0037385E">
              <w:rPr>
                <w:webHidden/>
              </w:rPr>
              <w:t>11</w:t>
            </w:r>
            <w:r w:rsidR="000C563F">
              <w:rPr>
                <w:webHidden/>
              </w:rPr>
              <w:fldChar w:fldCharType="end"/>
            </w:r>
          </w:hyperlink>
        </w:p>
        <w:p w:rsidR="000C563F" w:rsidRDefault="005D45DD">
          <w:pPr>
            <w:pStyle w:val="TOC2"/>
            <w:tabs>
              <w:tab w:val="right" w:leader="dot" w:pos="8665"/>
            </w:tabs>
            <w:rPr>
              <w:rFonts w:asciiTheme="minorHAnsi" w:eastAsiaTheme="minorEastAsia" w:hAnsiTheme="minorHAnsi" w:cstheme="minorBidi"/>
              <w:sz w:val="22"/>
              <w:szCs w:val="22"/>
              <w:lang w:val="en-AU" w:eastAsia="en-AU"/>
            </w:rPr>
          </w:pPr>
          <w:hyperlink w:anchor="_Toc444499120" w:history="1">
            <w:r w:rsidR="000C563F" w:rsidRPr="009874A1">
              <w:rPr>
                <w:rStyle w:val="Hyperlink"/>
              </w:rPr>
              <w:t>Impacts</w:t>
            </w:r>
            <w:r w:rsidR="000C563F">
              <w:rPr>
                <w:webHidden/>
              </w:rPr>
              <w:tab/>
            </w:r>
            <w:r w:rsidR="000C563F">
              <w:rPr>
                <w:webHidden/>
              </w:rPr>
              <w:fldChar w:fldCharType="begin"/>
            </w:r>
            <w:r w:rsidR="000C563F">
              <w:rPr>
                <w:webHidden/>
              </w:rPr>
              <w:instrText xml:space="preserve"> PAGEREF _Toc444499120 \h </w:instrText>
            </w:r>
            <w:r w:rsidR="000C563F">
              <w:rPr>
                <w:webHidden/>
              </w:rPr>
            </w:r>
            <w:r w:rsidR="000C563F">
              <w:rPr>
                <w:webHidden/>
              </w:rPr>
              <w:fldChar w:fldCharType="separate"/>
            </w:r>
            <w:r w:rsidR="0037385E">
              <w:rPr>
                <w:webHidden/>
              </w:rPr>
              <w:t>12</w:t>
            </w:r>
            <w:r w:rsidR="000C563F">
              <w:rPr>
                <w:webHidden/>
              </w:rPr>
              <w:fldChar w:fldCharType="end"/>
            </w:r>
          </w:hyperlink>
        </w:p>
        <w:p w:rsidR="000C563F" w:rsidRDefault="005D45DD">
          <w:pPr>
            <w:pStyle w:val="TOC3"/>
            <w:tabs>
              <w:tab w:val="right" w:leader="dot" w:pos="8665"/>
            </w:tabs>
            <w:rPr>
              <w:rFonts w:asciiTheme="minorHAnsi" w:eastAsiaTheme="minorEastAsia" w:hAnsiTheme="minorHAnsi" w:cstheme="minorBidi"/>
              <w:sz w:val="22"/>
              <w:szCs w:val="22"/>
              <w:lang w:val="en-AU" w:eastAsia="en-AU"/>
            </w:rPr>
          </w:pPr>
          <w:hyperlink w:anchor="_Toc444499121" w:history="1">
            <w:r w:rsidR="000C563F" w:rsidRPr="009874A1">
              <w:rPr>
                <w:rStyle w:val="Hyperlink"/>
              </w:rPr>
              <w:t>Sponsors affected by the obligation to keep records of training</w:t>
            </w:r>
            <w:r w:rsidR="000C563F">
              <w:rPr>
                <w:webHidden/>
              </w:rPr>
              <w:tab/>
            </w:r>
            <w:r w:rsidR="000C563F">
              <w:rPr>
                <w:webHidden/>
              </w:rPr>
              <w:fldChar w:fldCharType="begin"/>
            </w:r>
            <w:r w:rsidR="000C563F">
              <w:rPr>
                <w:webHidden/>
              </w:rPr>
              <w:instrText xml:space="preserve"> PAGEREF _Toc444499121 \h </w:instrText>
            </w:r>
            <w:r w:rsidR="000C563F">
              <w:rPr>
                <w:webHidden/>
              </w:rPr>
            </w:r>
            <w:r w:rsidR="000C563F">
              <w:rPr>
                <w:webHidden/>
              </w:rPr>
              <w:fldChar w:fldCharType="separate"/>
            </w:r>
            <w:r w:rsidR="0037385E">
              <w:rPr>
                <w:webHidden/>
              </w:rPr>
              <w:t>12</w:t>
            </w:r>
            <w:r w:rsidR="000C563F">
              <w:rPr>
                <w:webHidden/>
              </w:rPr>
              <w:fldChar w:fldCharType="end"/>
            </w:r>
          </w:hyperlink>
        </w:p>
        <w:p w:rsidR="000C563F" w:rsidRDefault="005D45DD">
          <w:pPr>
            <w:pStyle w:val="TOC3"/>
            <w:tabs>
              <w:tab w:val="right" w:leader="dot" w:pos="8665"/>
            </w:tabs>
            <w:rPr>
              <w:rFonts w:asciiTheme="minorHAnsi" w:eastAsiaTheme="minorEastAsia" w:hAnsiTheme="minorHAnsi" w:cstheme="minorBidi"/>
              <w:sz w:val="22"/>
              <w:szCs w:val="22"/>
              <w:lang w:val="en-AU" w:eastAsia="en-AU"/>
            </w:rPr>
          </w:pPr>
          <w:hyperlink w:anchor="_Toc444499122" w:history="1">
            <w:r w:rsidR="000C563F" w:rsidRPr="009874A1">
              <w:rPr>
                <w:rStyle w:val="Hyperlink"/>
              </w:rPr>
              <w:t>Sponsors affected by the obligation to honour training commitments</w:t>
            </w:r>
            <w:r w:rsidR="000C563F">
              <w:rPr>
                <w:webHidden/>
              </w:rPr>
              <w:tab/>
            </w:r>
            <w:r w:rsidR="000C563F">
              <w:rPr>
                <w:webHidden/>
              </w:rPr>
              <w:fldChar w:fldCharType="begin"/>
            </w:r>
            <w:r w:rsidR="000C563F">
              <w:rPr>
                <w:webHidden/>
              </w:rPr>
              <w:instrText xml:space="preserve"> PAGEREF _Toc444499122 \h </w:instrText>
            </w:r>
            <w:r w:rsidR="000C563F">
              <w:rPr>
                <w:webHidden/>
              </w:rPr>
            </w:r>
            <w:r w:rsidR="000C563F">
              <w:rPr>
                <w:webHidden/>
              </w:rPr>
              <w:fldChar w:fldCharType="separate"/>
            </w:r>
            <w:r w:rsidR="0037385E">
              <w:rPr>
                <w:webHidden/>
              </w:rPr>
              <w:t>12</w:t>
            </w:r>
            <w:r w:rsidR="000C563F">
              <w:rPr>
                <w:webHidden/>
              </w:rPr>
              <w:fldChar w:fldCharType="end"/>
            </w:r>
          </w:hyperlink>
        </w:p>
        <w:p w:rsidR="000C563F" w:rsidRDefault="005D45DD">
          <w:pPr>
            <w:pStyle w:val="TOC3"/>
            <w:tabs>
              <w:tab w:val="right" w:leader="dot" w:pos="8665"/>
            </w:tabs>
            <w:rPr>
              <w:rFonts w:asciiTheme="minorHAnsi" w:eastAsiaTheme="minorEastAsia" w:hAnsiTheme="minorHAnsi" w:cstheme="minorBidi"/>
              <w:sz w:val="22"/>
              <w:szCs w:val="22"/>
              <w:lang w:val="en-AU" w:eastAsia="en-AU"/>
            </w:rPr>
          </w:pPr>
          <w:hyperlink w:anchor="_Toc444499123" w:history="1">
            <w:r w:rsidR="000C563F" w:rsidRPr="009874A1">
              <w:rPr>
                <w:rStyle w:val="Hyperlink"/>
              </w:rPr>
              <w:t>Regulatory Impact</w:t>
            </w:r>
            <w:r w:rsidR="000C563F">
              <w:rPr>
                <w:webHidden/>
              </w:rPr>
              <w:tab/>
            </w:r>
            <w:r w:rsidR="000C563F">
              <w:rPr>
                <w:webHidden/>
              </w:rPr>
              <w:fldChar w:fldCharType="begin"/>
            </w:r>
            <w:r w:rsidR="000C563F">
              <w:rPr>
                <w:webHidden/>
              </w:rPr>
              <w:instrText xml:space="preserve"> PAGEREF _Toc444499123 \h </w:instrText>
            </w:r>
            <w:r w:rsidR="000C563F">
              <w:rPr>
                <w:webHidden/>
              </w:rPr>
            </w:r>
            <w:r w:rsidR="000C563F">
              <w:rPr>
                <w:webHidden/>
              </w:rPr>
              <w:fldChar w:fldCharType="separate"/>
            </w:r>
            <w:r w:rsidR="0037385E">
              <w:rPr>
                <w:webHidden/>
              </w:rPr>
              <w:t>12</w:t>
            </w:r>
            <w:r w:rsidR="000C563F">
              <w:rPr>
                <w:webHidden/>
              </w:rPr>
              <w:fldChar w:fldCharType="end"/>
            </w:r>
          </w:hyperlink>
        </w:p>
        <w:p w:rsidR="000C563F" w:rsidRDefault="005D45DD">
          <w:pPr>
            <w:pStyle w:val="TOC3"/>
            <w:tabs>
              <w:tab w:val="right" w:leader="dot" w:pos="8665"/>
            </w:tabs>
            <w:rPr>
              <w:rFonts w:asciiTheme="minorHAnsi" w:eastAsiaTheme="minorEastAsia" w:hAnsiTheme="minorHAnsi" w:cstheme="minorBidi"/>
              <w:sz w:val="22"/>
              <w:szCs w:val="22"/>
              <w:lang w:val="en-AU" w:eastAsia="en-AU"/>
            </w:rPr>
          </w:pPr>
          <w:hyperlink w:anchor="_Toc444499124" w:history="1">
            <w:r w:rsidR="000C563F" w:rsidRPr="009874A1">
              <w:rPr>
                <w:rStyle w:val="Hyperlink"/>
              </w:rPr>
              <w:t>Consultation</w:t>
            </w:r>
            <w:r w:rsidR="000C563F">
              <w:rPr>
                <w:webHidden/>
              </w:rPr>
              <w:tab/>
            </w:r>
            <w:r w:rsidR="000C563F">
              <w:rPr>
                <w:webHidden/>
              </w:rPr>
              <w:fldChar w:fldCharType="begin"/>
            </w:r>
            <w:r w:rsidR="000C563F">
              <w:rPr>
                <w:webHidden/>
              </w:rPr>
              <w:instrText xml:space="preserve"> PAGEREF _Toc444499124 \h </w:instrText>
            </w:r>
            <w:r w:rsidR="000C563F">
              <w:rPr>
                <w:webHidden/>
              </w:rPr>
            </w:r>
            <w:r w:rsidR="000C563F">
              <w:rPr>
                <w:webHidden/>
              </w:rPr>
              <w:fldChar w:fldCharType="separate"/>
            </w:r>
            <w:r w:rsidR="0037385E">
              <w:rPr>
                <w:webHidden/>
              </w:rPr>
              <w:t>13</w:t>
            </w:r>
            <w:r w:rsidR="000C563F">
              <w:rPr>
                <w:webHidden/>
              </w:rPr>
              <w:fldChar w:fldCharType="end"/>
            </w:r>
          </w:hyperlink>
        </w:p>
        <w:p w:rsidR="000C563F" w:rsidRDefault="005D45DD">
          <w:pPr>
            <w:pStyle w:val="TOC3"/>
            <w:tabs>
              <w:tab w:val="right" w:leader="dot" w:pos="8665"/>
            </w:tabs>
            <w:rPr>
              <w:rFonts w:asciiTheme="minorHAnsi" w:eastAsiaTheme="minorEastAsia" w:hAnsiTheme="minorHAnsi" w:cstheme="minorBidi"/>
              <w:sz w:val="22"/>
              <w:szCs w:val="22"/>
              <w:lang w:val="en-AU" w:eastAsia="en-AU"/>
            </w:rPr>
          </w:pPr>
          <w:hyperlink w:anchor="_Toc444499125" w:history="1">
            <w:r w:rsidR="000C563F" w:rsidRPr="009874A1">
              <w:rPr>
                <w:rStyle w:val="Hyperlink"/>
              </w:rPr>
              <w:t>Findings—net benefit</w:t>
            </w:r>
            <w:r w:rsidR="000C563F">
              <w:rPr>
                <w:webHidden/>
              </w:rPr>
              <w:tab/>
            </w:r>
            <w:r w:rsidR="000C563F">
              <w:rPr>
                <w:webHidden/>
              </w:rPr>
              <w:fldChar w:fldCharType="begin"/>
            </w:r>
            <w:r w:rsidR="000C563F">
              <w:rPr>
                <w:webHidden/>
              </w:rPr>
              <w:instrText xml:space="preserve"> PAGEREF _Toc444499125 \h </w:instrText>
            </w:r>
            <w:r w:rsidR="000C563F">
              <w:rPr>
                <w:webHidden/>
              </w:rPr>
            </w:r>
            <w:r w:rsidR="000C563F">
              <w:rPr>
                <w:webHidden/>
              </w:rPr>
              <w:fldChar w:fldCharType="separate"/>
            </w:r>
            <w:r w:rsidR="0037385E">
              <w:rPr>
                <w:webHidden/>
              </w:rPr>
              <w:t>13</w:t>
            </w:r>
            <w:r w:rsidR="000C563F">
              <w:rPr>
                <w:webHidden/>
              </w:rPr>
              <w:fldChar w:fldCharType="end"/>
            </w:r>
          </w:hyperlink>
        </w:p>
        <w:p w:rsidR="000C563F" w:rsidRDefault="005D45DD">
          <w:pPr>
            <w:pStyle w:val="TOC2"/>
            <w:tabs>
              <w:tab w:val="left" w:pos="660"/>
              <w:tab w:val="right" w:leader="dot" w:pos="8665"/>
            </w:tabs>
            <w:rPr>
              <w:rFonts w:asciiTheme="minorHAnsi" w:eastAsiaTheme="minorEastAsia" w:hAnsiTheme="minorHAnsi" w:cstheme="minorBidi"/>
              <w:sz w:val="22"/>
              <w:szCs w:val="22"/>
              <w:lang w:val="en-AU" w:eastAsia="en-AU"/>
            </w:rPr>
          </w:pPr>
          <w:hyperlink w:anchor="_Toc444499126" w:history="1">
            <w:r w:rsidR="000C563F" w:rsidRPr="009874A1">
              <w:rPr>
                <w:rStyle w:val="Hyperlink"/>
              </w:rPr>
              <w:t>2.</w:t>
            </w:r>
            <w:r w:rsidR="000C563F">
              <w:rPr>
                <w:rFonts w:asciiTheme="minorHAnsi" w:eastAsiaTheme="minorEastAsia" w:hAnsiTheme="minorHAnsi" w:cstheme="minorBidi"/>
                <w:sz w:val="22"/>
                <w:szCs w:val="22"/>
                <w:lang w:val="en-AU" w:eastAsia="en-AU"/>
              </w:rPr>
              <w:tab/>
            </w:r>
            <w:r w:rsidR="000C563F" w:rsidRPr="009874A1">
              <w:rPr>
                <w:rStyle w:val="Hyperlink"/>
              </w:rPr>
              <w:t>Genuine position</w:t>
            </w:r>
            <w:r w:rsidR="000C563F">
              <w:rPr>
                <w:webHidden/>
              </w:rPr>
              <w:tab/>
            </w:r>
            <w:r w:rsidR="000C563F">
              <w:rPr>
                <w:webHidden/>
              </w:rPr>
              <w:fldChar w:fldCharType="begin"/>
            </w:r>
            <w:r w:rsidR="000C563F">
              <w:rPr>
                <w:webHidden/>
              </w:rPr>
              <w:instrText xml:space="preserve"> PAGEREF _Toc444499126 \h </w:instrText>
            </w:r>
            <w:r w:rsidR="000C563F">
              <w:rPr>
                <w:webHidden/>
              </w:rPr>
            </w:r>
            <w:r w:rsidR="000C563F">
              <w:rPr>
                <w:webHidden/>
              </w:rPr>
              <w:fldChar w:fldCharType="separate"/>
            </w:r>
            <w:r w:rsidR="0037385E">
              <w:rPr>
                <w:webHidden/>
              </w:rPr>
              <w:t>13</w:t>
            </w:r>
            <w:r w:rsidR="000C563F">
              <w:rPr>
                <w:webHidden/>
              </w:rPr>
              <w:fldChar w:fldCharType="end"/>
            </w:r>
          </w:hyperlink>
        </w:p>
        <w:p w:rsidR="000C563F" w:rsidRDefault="005D45DD">
          <w:pPr>
            <w:pStyle w:val="TOC2"/>
            <w:tabs>
              <w:tab w:val="right" w:leader="dot" w:pos="8665"/>
            </w:tabs>
            <w:rPr>
              <w:rFonts w:asciiTheme="minorHAnsi" w:eastAsiaTheme="minorEastAsia" w:hAnsiTheme="minorHAnsi" w:cstheme="minorBidi"/>
              <w:sz w:val="22"/>
              <w:szCs w:val="22"/>
              <w:lang w:val="en-AU" w:eastAsia="en-AU"/>
            </w:rPr>
          </w:pPr>
          <w:hyperlink w:anchor="_Toc444499127" w:history="1">
            <w:r w:rsidR="000C563F" w:rsidRPr="009874A1">
              <w:rPr>
                <w:rStyle w:val="Hyperlink"/>
              </w:rPr>
              <w:t>Impacts</w:t>
            </w:r>
            <w:r w:rsidR="000C563F">
              <w:rPr>
                <w:webHidden/>
              </w:rPr>
              <w:tab/>
            </w:r>
            <w:r w:rsidR="000C563F">
              <w:rPr>
                <w:webHidden/>
              </w:rPr>
              <w:fldChar w:fldCharType="begin"/>
            </w:r>
            <w:r w:rsidR="000C563F">
              <w:rPr>
                <w:webHidden/>
              </w:rPr>
              <w:instrText xml:space="preserve"> PAGEREF _Toc444499127 \h </w:instrText>
            </w:r>
            <w:r w:rsidR="000C563F">
              <w:rPr>
                <w:webHidden/>
              </w:rPr>
            </w:r>
            <w:r w:rsidR="000C563F">
              <w:rPr>
                <w:webHidden/>
              </w:rPr>
              <w:fldChar w:fldCharType="separate"/>
            </w:r>
            <w:r w:rsidR="0037385E">
              <w:rPr>
                <w:webHidden/>
              </w:rPr>
              <w:t>14</w:t>
            </w:r>
            <w:r w:rsidR="000C563F">
              <w:rPr>
                <w:webHidden/>
              </w:rPr>
              <w:fldChar w:fldCharType="end"/>
            </w:r>
          </w:hyperlink>
        </w:p>
        <w:p w:rsidR="000C563F" w:rsidRDefault="005D45DD">
          <w:pPr>
            <w:pStyle w:val="TOC3"/>
            <w:tabs>
              <w:tab w:val="right" w:leader="dot" w:pos="8665"/>
            </w:tabs>
            <w:rPr>
              <w:rFonts w:asciiTheme="minorHAnsi" w:eastAsiaTheme="minorEastAsia" w:hAnsiTheme="minorHAnsi" w:cstheme="minorBidi"/>
              <w:sz w:val="22"/>
              <w:szCs w:val="22"/>
              <w:lang w:val="en-AU" w:eastAsia="en-AU"/>
            </w:rPr>
          </w:pPr>
          <w:hyperlink w:anchor="_Toc444499128" w:history="1">
            <w:r w:rsidR="000C563F" w:rsidRPr="009874A1">
              <w:rPr>
                <w:rStyle w:val="Hyperlink"/>
              </w:rPr>
              <w:t>Sponsors affected by the genuine position amendment</w:t>
            </w:r>
            <w:r w:rsidR="000C563F">
              <w:rPr>
                <w:webHidden/>
              </w:rPr>
              <w:tab/>
            </w:r>
            <w:r w:rsidR="000C563F">
              <w:rPr>
                <w:webHidden/>
              </w:rPr>
              <w:fldChar w:fldCharType="begin"/>
            </w:r>
            <w:r w:rsidR="000C563F">
              <w:rPr>
                <w:webHidden/>
              </w:rPr>
              <w:instrText xml:space="preserve"> PAGEREF _Toc444499128 \h </w:instrText>
            </w:r>
            <w:r w:rsidR="000C563F">
              <w:rPr>
                <w:webHidden/>
              </w:rPr>
            </w:r>
            <w:r w:rsidR="000C563F">
              <w:rPr>
                <w:webHidden/>
              </w:rPr>
              <w:fldChar w:fldCharType="separate"/>
            </w:r>
            <w:r w:rsidR="0037385E">
              <w:rPr>
                <w:webHidden/>
              </w:rPr>
              <w:t>14</w:t>
            </w:r>
            <w:r w:rsidR="000C563F">
              <w:rPr>
                <w:webHidden/>
              </w:rPr>
              <w:fldChar w:fldCharType="end"/>
            </w:r>
          </w:hyperlink>
        </w:p>
        <w:p w:rsidR="000C563F" w:rsidRDefault="005D45DD">
          <w:pPr>
            <w:pStyle w:val="TOC3"/>
            <w:tabs>
              <w:tab w:val="right" w:leader="dot" w:pos="8665"/>
            </w:tabs>
            <w:rPr>
              <w:rFonts w:asciiTheme="minorHAnsi" w:eastAsiaTheme="minorEastAsia" w:hAnsiTheme="minorHAnsi" w:cstheme="minorBidi"/>
              <w:sz w:val="22"/>
              <w:szCs w:val="22"/>
              <w:lang w:val="en-AU" w:eastAsia="en-AU"/>
            </w:rPr>
          </w:pPr>
          <w:hyperlink w:anchor="_Toc444499129" w:history="1">
            <w:r w:rsidR="000C563F" w:rsidRPr="009874A1">
              <w:rPr>
                <w:rStyle w:val="Hyperlink"/>
              </w:rPr>
              <w:t>Regulatory Impact</w:t>
            </w:r>
            <w:r w:rsidR="000C563F">
              <w:rPr>
                <w:webHidden/>
              </w:rPr>
              <w:tab/>
            </w:r>
            <w:r w:rsidR="000C563F">
              <w:rPr>
                <w:webHidden/>
              </w:rPr>
              <w:fldChar w:fldCharType="begin"/>
            </w:r>
            <w:r w:rsidR="000C563F">
              <w:rPr>
                <w:webHidden/>
              </w:rPr>
              <w:instrText xml:space="preserve"> PAGEREF _Toc444499129 \h </w:instrText>
            </w:r>
            <w:r w:rsidR="000C563F">
              <w:rPr>
                <w:webHidden/>
              </w:rPr>
            </w:r>
            <w:r w:rsidR="000C563F">
              <w:rPr>
                <w:webHidden/>
              </w:rPr>
              <w:fldChar w:fldCharType="separate"/>
            </w:r>
            <w:r w:rsidR="0037385E">
              <w:rPr>
                <w:webHidden/>
              </w:rPr>
              <w:t>14</w:t>
            </w:r>
            <w:r w:rsidR="000C563F">
              <w:rPr>
                <w:webHidden/>
              </w:rPr>
              <w:fldChar w:fldCharType="end"/>
            </w:r>
          </w:hyperlink>
        </w:p>
        <w:p w:rsidR="000C563F" w:rsidRDefault="005D45DD">
          <w:pPr>
            <w:pStyle w:val="TOC3"/>
            <w:tabs>
              <w:tab w:val="right" w:leader="dot" w:pos="8665"/>
            </w:tabs>
            <w:rPr>
              <w:rFonts w:asciiTheme="minorHAnsi" w:eastAsiaTheme="minorEastAsia" w:hAnsiTheme="minorHAnsi" w:cstheme="minorBidi"/>
              <w:sz w:val="22"/>
              <w:szCs w:val="22"/>
              <w:lang w:val="en-AU" w:eastAsia="en-AU"/>
            </w:rPr>
          </w:pPr>
          <w:hyperlink w:anchor="_Toc444499130" w:history="1">
            <w:r w:rsidR="000C563F" w:rsidRPr="009874A1">
              <w:rPr>
                <w:rStyle w:val="Hyperlink"/>
              </w:rPr>
              <w:t>Consultation</w:t>
            </w:r>
            <w:r w:rsidR="000C563F">
              <w:rPr>
                <w:webHidden/>
              </w:rPr>
              <w:tab/>
            </w:r>
            <w:r w:rsidR="000C563F">
              <w:rPr>
                <w:webHidden/>
              </w:rPr>
              <w:fldChar w:fldCharType="begin"/>
            </w:r>
            <w:r w:rsidR="000C563F">
              <w:rPr>
                <w:webHidden/>
              </w:rPr>
              <w:instrText xml:space="preserve"> PAGEREF _Toc444499130 \h </w:instrText>
            </w:r>
            <w:r w:rsidR="000C563F">
              <w:rPr>
                <w:webHidden/>
              </w:rPr>
            </w:r>
            <w:r w:rsidR="000C563F">
              <w:rPr>
                <w:webHidden/>
              </w:rPr>
              <w:fldChar w:fldCharType="separate"/>
            </w:r>
            <w:r w:rsidR="0037385E">
              <w:rPr>
                <w:webHidden/>
              </w:rPr>
              <w:t>15</w:t>
            </w:r>
            <w:r w:rsidR="000C563F">
              <w:rPr>
                <w:webHidden/>
              </w:rPr>
              <w:fldChar w:fldCharType="end"/>
            </w:r>
          </w:hyperlink>
        </w:p>
        <w:p w:rsidR="000C563F" w:rsidRDefault="005D45DD">
          <w:pPr>
            <w:pStyle w:val="TOC3"/>
            <w:tabs>
              <w:tab w:val="right" w:leader="dot" w:pos="8665"/>
            </w:tabs>
            <w:rPr>
              <w:rFonts w:asciiTheme="minorHAnsi" w:eastAsiaTheme="minorEastAsia" w:hAnsiTheme="minorHAnsi" w:cstheme="minorBidi"/>
              <w:sz w:val="22"/>
              <w:szCs w:val="22"/>
              <w:lang w:val="en-AU" w:eastAsia="en-AU"/>
            </w:rPr>
          </w:pPr>
          <w:hyperlink w:anchor="_Toc444499132" w:history="1">
            <w:r w:rsidR="000C563F" w:rsidRPr="009874A1">
              <w:rPr>
                <w:rStyle w:val="Hyperlink"/>
              </w:rPr>
              <w:t>Findings—net benefit</w:t>
            </w:r>
            <w:r w:rsidR="000C563F">
              <w:rPr>
                <w:webHidden/>
              </w:rPr>
              <w:tab/>
            </w:r>
            <w:r w:rsidR="000C563F">
              <w:rPr>
                <w:webHidden/>
              </w:rPr>
              <w:fldChar w:fldCharType="begin"/>
            </w:r>
            <w:r w:rsidR="000C563F">
              <w:rPr>
                <w:webHidden/>
              </w:rPr>
              <w:instrText xml:space="preserve"> PAGEREF _Toc444499132 \h </w:instrText>
            </w:r>
            <w:r w:rsidR="000C563F">
              <w:rPr>
                <w:webHidden/>
              </w:rPr>
            </w:r>
            <w:r w:rsidR="000C563F">
              <w:rPr>
                <w:webHidden/>
              </w:rPr>
              <w:fldChar w:fldCharType="separate"/>
            </w:r>
            <w:r w:rsidR="0037385E">
              <w:rPr>
                <w:webHidden/>
              </w:rPr>
              <w:t>16</w:t>
            </w:r>
            <w:r w:rsidR="000C563F">
              <w:rPr>
                <w:webHidden/>
              </w:rPr>
              <w:fldChar w:fldCharType="end"/>
            </w:r>
          </w:hyperlink>
        </w:p>
        <w:p w:rsidR="000C563F" w:rsidRDefault="005D45DD">
          <w:pPr>
            <w:pStyle w:val="TOC2"/>
            <w:tabs>
              <w:tab w:val="left" w:pos="660"/>
              <w:tab w:val="right" w:leader="dot" w:pos="8665"/>
            </w:tabs>
            <w:rPr>
              <w:rFonts w:asciiTheme="minorHAnsi" w:eastAsiaTheme="minorEastAsia" w:hAnsiTheme="minorHAnsi" w:cstheme="minorBidi"/>
              <w:sz w:val="22"/>
              <w:szCs w:val="22"/>
              <w:lang w:val="en-AU" w:eastAsia="en-AU"/>
            </w:rPr>
          </w:pPr>
          <w:hyperlink w:anchor="_Toc444499133" w:history="1">
            <w:r w:rsidR="000C563F" w:rsidRPr="009874A1">
              <w:rPr>
                <w:rStyle w:val="Hyperlink"/>
              </w:rPr>
              <w:t>3.</w:t>
            </w:r>
            <w:r w:rsidR="000C563F">
              <w:rPr>
                <w:rFonts w:asciiTheme="minorHAnsi" w:eastAsiaTheme="minorEastAsia" w:hAnsiTheme="minorHAnsi" w:cstheme="minorBidi"/>
                <w:sz w:val="22"/>
                <w:szCs w:val="22"/>
                <w:lang w:val="en-AU" w:eastAsia="en-AU"/>
              </w:rPr>
              <w:tab/>
            </w:r>
            <w:r w:rsidR="000C563F" w:rsidRPr="009874A1">
              <w:rPr>
                <w:rStyle w:val="Hyperlink"/>
              </w:rPr>
              <w:t>English language exemptions</w:t>
            </w:r>
            <w:r w:rsidR="000C563F">
              <w:rPr>
                <w:webHidden/>
              </w:rPr>
              <w:tab/>
            </w:r>
            <w:r w:rsidR="000C563F">
              <w:rPr>
                <w:webHidden/>
              </w:rPr>
              <w:fldChar w:fldCharType="begin"/>
            </w:r>
            <w:r w:rsidR="000C563F">
              <w:rPr>
                <w:webHidden/>
              </w:rPr>
              <w:instrText xml:space="preserve"> PAGEREF _Toc444499133 \h </w:instrText>
            </w:r>
            <w:r w:rsidR="000C563F">
              <w:rPr>
                <w:webHidden/>
              </w:rPr>
            </w:r>
            <w:r w:rsidR="000C563F">
              <w:rPr>
                <w:webHidden/>
              </w:rPr>
              <w:fldChar w:fldCharType="separate"/>
            </w:r>
            <w:r w:rsidR="0037385E">
              <w:rPr>
                <w:webHidden/>
              </w:rPr>
              <w:t>16</w:t>
            </w:r>
            <w:r w:rsidR="000C563F">
              <w:rPr>
                <w:webHidden/>
              </w:rPr>
              <w:fldChar w:fldCharType="end"/>
            </w:r>
          </w:hyperlink>
        </w:p>
        <w:p w:rsidR="000C563F" w:rsidRDefault="005D45DD">
          <w:pPr>
            <w:pStyle w:val="TOC2"/>
            <w:tabs>
              <w:tab w:val="right" w:leader="dot" w:pos="8665"/>
            </w:tabs>
            <w:rPr>
              <w:rFonts w:asciiTheme="minorHAnsi" w:eastAsiaTheme="minorEastAsia" w:hAnsiTheme="minorHAnsi" w:cstheme="minorBidi"/>
              <w:sz w:val="22"/>
              <w:szCs w:val="22"/>
              <w:lang w:val="en-AU" w:eastAsia="en-AU"/>
            </w:rPr>
          </w:pPr>
          <w:hyperlink w:anchor="_Toc444499134" w:history="1">
            <w:r w:rsidR="000C563F" w:rsidRPr="009874A1">
              <w:rPr>
                <w:rStyle w:val="Hyperlink"/>
              </w:rPr>
              <w:t>Impacts</w:t>
            </w:r>
            <w:r w:rsidR="000C563F">
              <w:rPr>
                <w:webHidden/>
              </w:rPr>
              <w:tab/>
            </w:r>
            <w:r w:rsidR="000C563F">
              <w:rPr>
                <w:webHidden/>
              </w:rPr>
              <w:fldChar w:fldCharType="begin"/>
            </w:r>
            <w:r w:rsidR="000C563F">
              <w:rPr>
                <w:webHidden/>
              </w:rPr>
              <w:instrText xml:space="preserve"> PAGEREF _Toc444499134 \h </w:instrText>
            </w:r>
            <w:r w:rsidR="000C563F">
              <w:rPr>
                <w:webHidden/>
              </w:rPr>
            </w:r>
            <w:r w:rsidR="000C563F">
              <w:rPr>
                <w:webHidden/>
              </w:rPr>
              <w:fldChar w:fldCharType="separate"/>
            </w:r>
            <w:r w:rsidR="0037385E">
              <w:rPr>
                <w:webHidden/>
              </w:rPr>
              <w:t>16</w:t>
            </w:r>
            <w:r w:rsidR="000C563F">
              <w:rPr>
                <w:webHidden/>
              </w:rPr>
              <w:fldChar w:fldCharType="end"/>
            </w:r>
          </w:hyperlink>
        </w:p>
        <w:p w:rsidR="000C563F" w:rsidRDefault="005D45DD">
          <w:pPr>
            <w:pStyle w:val="TOC3"/>
            <w:tabs>
              <w:tab w:val="right" w:leader="dot" w:pos="8665"/>
            </w:tabs>
            <w:rPr>
              <w:rFonts w:asciiTheme="minorHAnsi" w:eastAsiaTheme="minorEastAsia" w:hAnsiTheme="minorHAnsi" w:cstheme="minorBidi"/>
              <w:sz w:val="22"/>
              <w:szCs w:val="22"/>
              <w:lang w:val="en-AU" w:eastAsia="en-AU"/>
            </w:rPr>
          </w:pPr>
          <w:hyperlink w:anchor="_Toc444499135" w:history="1">
            <w:r w:rsidR="000C563F" w:rsidRPr="009874A1">
              <w:rPr>
                <w:rStyle w:val="Hyperlink"/>
              </w:rPr>
              <w:t>Applicants affected by changes to English language exemptions</w:t>
            </w:r>
            <w:r w:rsidR="000C563F">
              <w:rPr>
                <w:webHidden/>
              </w:rPr>
              <w:tab/>
            </w:r>
            <w:r w:rsidR="000C563F">
              <w:rPr>
                <w:webHidden/>
              </w:rPr>
              <w:fldChar w:fldCharType="begin"/>
            </w:r>
            <w:r w:rsidR="000C563F">
              <w:rPr>
                <w:webHidden/>
              </w:rPr>
              <w:instrText xml:space="preserve"> PAGEREF _Toc444499135 \h </w:instrText>
            </w:r>
            <w:r w:rsidR="000C563F">
              <w:rPr>
                <w:webHidden/>
              </w:rPr>
            </w:r>
            <w:r w:rsidR="000C563F">
              <w:rPr>
                <w:webHidden/>
              </w:rPr>
              <w:fldChar w:fldCharType="separate"/>
            </w:r>
            <w:r w:rsidR="0037385E">
              <w:rPr>
                <w:webHidden/>
              </w:rPr>
              <w:t>16</w:t>
            </w:r>
            <w:r w:rsidR="000C563F">
              <w:rPr>
                <w:webHidden/>
              </w:rPr>
              <w:fldChar w:fldCharType="end"/>
            </w:r>
          </w:hyperlink>
        </w:p>
        <w:p w:rsidR="000C563F" w:rsidRDefault="005D45DD">
          <w:pPr>
            <w:pStyle w:val="TOC3"/>
            <w:tabs>
              <w:tab w:val="right" w:leader="dot" w:pos="8665"/>
            </w:tabs>
            <w:rPr>
              <w:rFonts w:asciiTheme="minorHAnsi" w:eastAsiaTheme="minorEastAsia" w:hAnsiTheme="minorHAnsi" w:cstheme="minorBidi"/>
              <w:sz w:val="22"/>
              <w:szCs w:val="22"/>
              <w:lang w:val="en-AU" w:eastAsia="en-AU"/>
            </w:rPr>
          </w:pPr>
          <w:hyperlink w:anchor="_Toc444499136" w:history="1">
            <w:r w:rsidR="000C563F" w:rsidRPr="009874A1">
              <w:rPr>
                <w:rStyle w:val="Hyperlink"/>
              </w:rPr>
              <w:t>Regulatory Impact</w:t>
            </w:r>
            <w:r w:rsidR="000C563F">
              <w:rPr>
                <w:webHidden/>
              </w:rPr>
              <w:tab/>
            </w:r>
            <w:r w:rsidR="000C563F">
              <w:rPr>
                <w:webHidden/>
              </w:rPr>
              <w:fldChar w:fldCharType="begin"/>
            </w:r>
            <w:r w:rsidR="000C563F">
              <w:rPr>
                <w:webHidden/>
              </w:rPr>
              <w:instrText xml:space="preserve"> PAGEREF _Toc444499136 \h </w:instrText>
            </w:r>
            <w:r w:rsidR="000C563F">
              <w:rPr>
                <w:webHidden/>
              </w:rPr>
            </w:r>
            <w:r w:rsidR="000C563F">
              <w:rPr>
                <w:webHidden/>
              </w:rPr>
              <w:fldChar w:fldCharType="separate"/>
            </w:r>
            <w:r w:rsidR="0037385E">
              <w:rPr>
                <w:webHidden/>
              </w:rPr>
              <w:t>16</w:t>
            </w:r>
            <w:r w:rsidR="000C563F">
              <w:rPr>
                <w:webHidden/>
              </w:rPr>
              <w:fldChar w:fldCharType="end"/>
            </w:r>
          </w:hyperlink>
        </w:p>
        <w:p w:rsidR="000C563F" w:rsidRDefault="005D45DD">
          <w:pPr>
            <w:pStyle w:val="TOC3"/>
            <w:tabs>
              <w:tab w:val="right" w:leader="dot" w:pos="8665"/>
            </w:tabs>
            <w:rPr>
              <w:rFonts w:asciiTheme="minorHAnsi" w:eastAsiaTheme="minorEastAsia" w:hAnsiTheme="minorHAnsi" w:cstheme="minorBidi"/>
              <w:sz w:val="22"/>
              <w:szCs w:val="22"/>
              <w:lang w:val="en-AU" w:eastAsia="en-AU"/>
            </w:rPr>
          </w:pPr>
          <w:hyperlink w:anchor="_Toc444499137" w:history="1">
            <w:r w:rsidR="000C563F" w:rsidRPr="009874A1">
              <w:rPr>
                <w:rStyle w:val="Hyperlink"/>
              </w:rPr>
              <w:t>Consultation</w:t>
            </w:r>
            <w:r w:rsidR="000C563F">
              <w:rPr>
                <w:webHidden/>
              </w:rPr>
              <w:tab/>
            </w:r>
            <w:r w:rsidR="000C563F">
              <w:rPr>
                <w:webHidden/>
              </w:rPr>
              <w:fldChar w:fldCharType="begin"/>
            </w:r>
            <w:r w:rsidR="000C563F">
              <w:rPr>
                <w:webHidden/>
              </w:rPr>
              <w:instrText xml:space="preserve"> PAGEREF _Toc444499137 \h </w:instrText>
            </w:r>
            <w:r w:rsidR="000C563F">
              <w:rPr>
                <w:webHidden/>
              </w:rPr>
            </w:r>
            <w:r w:rsidR="000C563F">
              <w:rPr>
                <w:webHidden/>
              </w:rPr>
              <w:fldChar w:fldCharType="separate"/>
            </w:r>
            <w:r w:rsidR="0037385E">
              <w:rPr>
                <w:webHidden/>
              </w:rPr>
              <w:t>17</w:t>
            </w:r>
            <w:r w:rsidR="000C563F">
              <w:rPr>
                <w:webHidden/>
              </w:rPr>
              <w:fldChar w:fldCharType="end"/>
            </w:r>
          </w:hyperlink>
        </w:p>
        <w:p w:rsidR="000C563F" w:rsidRDefault="005D45DD">
          <w:pPr>
            <w:pStyle w:val="TOC3"/>
            <w:tabs>
              <w:tab w:val="right" w:leader="dot" w:pos="8665"/>
            </w:tabs>
            <w:rPr>
              <w:rFonts w:asciiTheme="minorHAnsi" w:eastAsiaTheme="minorEastAsia" w:hAnsiTheme="minorHAnsi" w:cstheme="minorBidi"/>
              <w:sz w:val="22"/>
              <w:szCs w:val="22"/>
              <w:lang w:val="en-AU" w:eastAsia="en-AU"/>
            </w:rPr>
          </w:pPr>
          <w:hyperlink w:anchor="_Toc444499138" w:history="1">
            <w:r w:rsidR="000C563F" w:rsidRPr="009874A1">
              <w:rPr>
                <w:rStyle w:val="Hyperlink"/>
              </w:rPr>
              <w:t>Findings—net benefit</w:t>
            </w:r>
            <w:r w:rsidR="000C563F">
              <w:rPr>
                <w:webHidden/>
              </w:rPr>
              <w:tab/>
            </w:r>
            <w:r w:rsidR="000C563F">
              <w:rPr>
                <w:webHidden/>
              </w:rPr>
              <w:fldChar w:fldCharType="begin"/>
            </w:r>
            <w:r w:rsidR="000C563F">
              <w:rPr>
                <w:webHidden/>
              </w:rPr>
              <w:instrText xml:space="preserve"> PAGEREF _Toc444499138 \h </w:instrText>
            </w:r>
            <w:r w:rsidR="000C563F">
              <w:rPr>
                <w:webHidden/>
              </w:rPr>
            </w:r>
            <w:r w:rsidR="000C563F">
              <w:rPr>
                <w:webHidden/>
              </w:rPr>
              <w:fldChar w:fldCharType="separate"/>
            </w:r>
            <w:r w:rsidR="0037385E">
              <w:rPr>
                <w:webHidden/>
              </w:rPr>
              <w:t>17</w:t>
            </w:r>
            <w:r w:rsidR="000C563F">
              <w:rPr>
                <w:webHidden/>
              </w:rPr>
              <w:fldChar w:fldCharType="end"/>
            </w:r>
          </w:hyperlink>
        </w:p>
        <w:p w:rsidR="000C563F" w:rsidRDefault="005D45DD">
          <w:pPr>
            <w:pStyle w:val="TOC2"/>
            <w:tabs>
              <w:tab w:val="left" w:pos="660"/>
              <w:tab w:val="right" w:leader="dot" w:pos="8665"/>
            </w:tabs>
            <w:rPr>
              <w:rFonts w:asciiTheme="minorHAnsi" w:eastAsiaTheme="minorEastAsia" w:hAnsiTheme="minorHAnsi" w:cstheme="minorBidi"/>
              <w:sz w:val="22"/>
              <w:szCs w:val="22"/>
              <w:lang w:val="en-AU" w:eastAsia="en-AU"/>
            </w:rPr>
          </w:pPr>
          <w:hyperlink w:anchor="_Toc444499139" w:history="1">
            <w:r w:rsidR="000C563F" w:rsidRPr="009874A1">
              <w:rPr>
                <w:rStyle w:val="Hyperlink"/>
              </w:rPr>
              <w:t>4.</w:t>
            </w:r>
            <w:r w:rsidR="000C563F">
              <w:rPr>
                <w:rFonts w:asciiTheme="minorHAnsi" w:eastAsiaTheme="minorEastAsia" w:hAnsiTheme="minorHAnsi" w:cstheme="minorBidi"/>
                <w:sz w:val="22"/>
                <w:szCs w:val="22"/>
                <w:lang w:val="en-AU" w:eastAsia="en-AU"/>
              </w:rPr>
              <w:tab/>
            </w:r>
            <w:r w:rsidR="000C563F" w:rsidRPr="009874A1">
              <w:rPr>
                <w:rStyle w:val="Hyperlink"/>
              </w:rPr>
              <w:t>Labour market testing (LMT)</w:t>
            </w:r>
            <w:r w:rsidR="000C563F">
              <w:rPr>
                <w:webHidden/>
              </w:rPr>
              <w:tab/>
            </w:r>
            <w:r w:rsidR="000C563F">
              <w:rPr>
                <w:webHidden/>
              </w:rPr>
              <w:fldChar w:fldCharType="begin"/>
            </w:r>
            <w:r w:rsidR="000C563F">
              <w:rPr>
                <w:webHidden/>
              </w:rPr>
              <w:instrText xml:space="preserve"> PAGEREF _Toc444499139 \h </w:instrText>
            </w:r>
            <w:r w:rsidR="000C563F">
              <w:rPr>
                <w:webHidden/>
              </w:rPr>
            </w:r>
            <w:r w:rsidR="000C563F">
              <w:rPr>
                <w:webHidden/>
              </w:rPr>
              <w:fldChar w:fldCharType="separate"/>
            </w:r>
            <w:r w:rsidR="0037385E">
              <w:rPr>
                <w:webHidden/>
              </w:rPr>
              <w:t>18</w:t>
            </w:r>
            <w:r w:rsidR="000C563F">
              <w:rPr>
                <w:webHidden/>
              </w:rPr>
              <w:fldChar w:fldCharType="end"/>
            </w:r>
          </w:hyperlink>
        </w:p>
        <w:p w:rsidR="000C563F" w:rsidRDefault="005D45DD">
          <w:pPr>
            <w:pStyle w:val="TOC2"/>
            <w:tabs>
              <w:tab w:val="right" w:leader="dot" w:pos="8665"/>
            </w:tabs>
            <w:rPr>
              <w:rFonts w:asciiTheme="minorHAnsi" w:eastAsiaTheme="minorEastAsia" w:hAnsiTheme="minorHAnsi" w:cstheme="minorBidi"/>
              <w:sz w:val="22"/>
              <w:szCs w:val="22"/>
              <w:lang w:val="en-AU" w:eastAsia="en-AU"/>
            </w:rPr>
          </w:pPr>
          <w:hyperlink w:anchor="_Toc444499140" w:history="1">
            <w:r w:rsidR="000C563F" w:rsidRPr="009874A1">
              <w:rPr>
                <w:rStyle w:val="Hyperlink"/>
              </w:rPr>
              <w:t>Impacts</w:t>
            </w:r>
            <w:r w:rsidR="000C563F">
              <w:rPr>
                <w:webHidden/>
              </w:rPr>
              <w:tab/>
            </w:r>
            <w:r w:rsidR="000C563F">
              <w:rPr>
                <w:webHidden/>
              </w:rPr>
              <w:fldChar w:fldCharType="begin"/>
            </w:r>
            <w:r w:rsidR="000C563F">
              <w:rPr>
                <w:webHidden/>
              </w:rPr>
              <w:instrText xml:space="preserve"> PAGEREF _Toc444499140 \h </w:instrText>
            </w:r>
            <w:r w:rsidR="000C563F">
              <w:rPr>
                <w:webHidden/>
              </w:rPr>
            </w:r>
            <w:r w:rsidR="000C563F">
              <w:rPr>
                <w:webHidden/>
              </w:rPr>
              <w:fldChar w:fldCharType="separate"/>
            </w:r>
            <w:r w:rsidR="0037385E">
              <w:rPr>
                <w:webHidden/>
              </w:rPr>
              <w:t>18</w:t>
            </w:r>
            <w:r w:rsidR="000C563F">
              <w:rPr>
                <w:webHidden/>
              </w:rPr>
              <w:fldChar w:fldCharType="end"/>
            </w:r>
          </w:hyperlink>
        </w:p>
        <w:p w:rsidR="000C563F" w:rsidRDefault="005D45DD">
          <w:pPr>
            <w:pStyle w:val="TOC3"/>
            <w:tabs>
              <w:tab w:val="right" w:leader="dot" w:pos="8665"/>
            </w:tabs>
            <w:rPr>
              <w:rFonts w:asciiTheme="minorHAnsi" w:eastAsiaTheme="minorEastAsia" w:hAnsiTheme="minorHAnsi" w:cstheme="minorBidi"/>
              <w:sz w:val="22"/>
              <w:szCs w:val="22"/>
              <w:lang w:val="en-AU" w:eastAsia="en-AU"/>
            </w:rPr>
          </w:pPr>
          <w:hyperlink w:anchor="_Toc444499141" w:history="1">
            <w:r w:rsidR="000C563F" w:rsidRPr="009874A1">
              <w:rPr>
                <w:rStyle w:val="Hyperlink"/>
              </w:rPr>
              <w:t>Sponsors affected by LMT</w:t>
            </w:r>
            <w:r w:rsidR="000C563F">
              <w:rPr>
                <w:webHidden/>
              </w:rPr>
              <w:tab/>
            </w:r>
            <w:r w:rsidR="000C563F">
              <w:rPr>
                <w:webHidden/>
              </w:rPr>
              <w:fldChar w:fldCharType="begin"/>
            </w:r>
            <w:r w:rsidR="000C563F">
              <w:rPr>
                <w:webHidden/>
              </w:rPr>
              <w:instrText xml:space="preserve"> PAGEREF _Toc444499141 \h </w:instrText>
            </w:r>
            <w:r w:rsidR="000C563F">
              <w:rPr>
                <w:webHidden/>
              </w:rPr>
            </w:r>
            <w:r w:rsidR="000C563F">
              <w:rPr>
                <w:webHidden/>
              </w:rPr>
              <w:fldChar w:fldCharType="separate"/>
            </w:r>
            <w:r w:rsidR="0037385E">
              <w:rPr>
                <w:webHidden/>
              </w:rPr>
              <w:t>18</w:t>
            </w:r>
            <w:r w:rsidR="000C563F">
              <w:rPr>
                <w:webHidden/>
              </w:rPr>
              <w:fldChar w:fldCharType="end"/>
            </w:r>
          </w:hyperlink>
        </w:p>
        <w:p w:rsidR="000C563F" w:rsidRDefault="005D45DD">
          <w:pPr>
            <w:pStyle w:val="TOC3"/>
            <w:tabs>
              <w:tab w:val="right" w:leader="dot" w:pos="8665"/>
            </w:tabs>
            <w:rPr>
              <w:rFonts w:asciiTheme="minorHAnsi" w:eastAsiaTheme="minorEastAsia" w:hAnsiTheme="minorHAnsi" w:cstheme="minorBidi"/>
              <w:sz w:val="22"/>
              <w:szCs w:val="22"/>
              <w:lang w:val="en-AU" w:eastAsia="en-AU"/>
            </w:rPr>
          </w:pPr>
          <w:hyperlink w:anchor="_Toc444499142" w:history="1">
            <w:r w:rsidR="000C563F" w:rsidRPr="009874A1">
              <w:rPr>
                <w:rStyle w:val="Hyperlink"/>
              </w:rPr>
              <w:t>Regulatory Impact</w:t>
            </w:r>
            <w:r w:rsidR="000C563F">
              <w:rPr>
                <w:webHidden/>
              </w:rPr>
              <w:tab/>
            </w:r>
            <w:r w:rsidR="000C563F">
              <w:rPr>
                <w:webHidden/>
              </w:rPr>
              <w:fldChar w:fldCharType="begin"/>
            </w:r>
            <w:r w:rsidR="000C563F">
              <w:rPr>
                <w:webHidden/>
              </w:rPr>
              <w:instrText xml:space="preserve"> PAGEREF _Toc444499142 \h </w:instrText>
            </w:r>
            <w:r w:rsidR="000C563F">
              <w:rPr>
                <w:webHidden/>
              </w:rPr>
            </w:r>
            <w:r w:rsidR="000C563F">
              <w:rPr>
                <w:webHidden/>
              </w:rPr>
              <w:fldChar w:fldCharType="separate"/>
            </w:r>
            <w:r w:rsidR="0037385E">
              <w:rPr>
                <w:webHidden/>
              </w:rPr>
              <w:t>19</w:t>
            </w:r>
            <w:r w:rsidR="000C563F">
              <w:rPr>
                <w:webHidden/>
              </w:rPr>
              <w:fldChar w:fldCharType="end"/>
            </w:r>
          </w:hyperlink>
        </w:p>
        <w:p w:rsidR="000C563F" w:rsidRDefault="005D45DD">
          <w:pPr>
            <w:pStyle w:val="TOC3"/>
            <w:tabs>
              <w:tab w:val="right" w:leader="dot" w:pos="8665"/>
            </w:tabs>
            <w:rPr>
              <w:rFonts w:asciiTheme="minorHAnsi" w:eastAsiaTheme="minorEastAsia" w:hAnsiTheme="minorHAnsi" w:cstheme="minorBidi"/>
              <w:sz w:val="22"/>
              <w:szCs w:val="22"/>
              <w:lang w:val="en-AU" w:eastAsia="en-AU"/>
            </w:rPr>
          </w:pPr>
          <w:hyperlink w:anchor="_Toc444499143" w:history="1">
            <w:r w:rsidR="000C563F" w:rsidRPr="009874A1">
              <w:rPr>
                <w:rStyle w:val="Hyperlink"/>
              </w:rPr>
              <w:t>Consultation</w:t>
            </w:r>
            <w:r w:rsidR="000C563F">
              <w:rPr>
                <w:webHidden/>
              </w:rPr>
              <w:tab/>
            </w:r>
            <w:r w:rsidR="000C563F">
              <w:rPr>
                <w:webHidden/>
              </w:rPr>
              <w:fldChar w:fldCharType="begin"/>
            </w:r>
            <w:r w:rsidR="000C563F">
              <w:rPr>
                <w:webHidden/>
              </w:rPr>
              <w:instrText xml:space="preserve"> PAGEREF _Toc444499143 \h </w:instrText>
            </w:r>
            <w:r w:rsidR="000C563F">
              <w:rPr>
                <w:webHidden/>
              </w:rPr>
            </w:r>
            <w:r w:rsidR="000C563F">
              <w:rPr>
                <w:webHidden/>
              </w:rPr>
              <w:fldChar w:fldCharType="separate"/>
            </w:r>
            <w:r w:rsidR="0037385E">
              <w:rPr>
                <w:webHidden/>
              </w:rPr>
              <w:t>19</w:t>
            </w:r>
            <w:r w:rsidR="000C563F">
              <w:rPr>
                <w:webHidden/>
              </w:rPr>
              <w:fldChar w:fldCharType="end"/>
            </w:r>
          </w:hyperlink>
        </w:p>
        <w:p w:rsidR="000C563F" w:rsidRDefault="005D45DD">
          <w:pPr>
            <w:pStyle w:val="TOC3"/>
            <w:tabs>
              <w:tab w:val="right" w:leader="dot" w:pos="8665"/>
            </w:tabs>
            <w:rPr>
              <w:rFonts w:asciiTheme="minorHAnsi" w:eastAsiaTheme="minorEastAsia" w:hAnsiTheme="minorHAnsi" w:cstheme="minorBidi"/>
              <w:sz w:val="22"/>
              <w:szCs w:val="22"/>
              <w:lang w:val="en-AU" w:eastAsia="en-AU"/>
            </w:rPr>
          </w:pPr>
          <w:hyperlink w:anchor="_Toc444499144" w:history="1">
            <w:r w:rsidR="000C563F" w:rsidRPr="009874A1">
              <w:rPr>
                <w:rStyle w:val="Hyperlink"/>
              </w:rPr>
              <w:t>Findings—net benefit</w:t>
            </w:r>
            <w:r w:rsidR="000C563F">
              <w:rPr>
                <w:webHidden/>
              </w:rPr>
              <w:tab/>
            </w:r>
            <w:r w:rsidR="000C563F">
              <w:rPr>
                <w:webHidden/>
              </w:rPr>
              <w:fldChar w:fldCharType="begin"/>
            </w:r>
            <w:r w:rsidR="000C563F">
              <w:rPr>
                <w:webHidden/>
              </w:rPr>
              <w:instrText xml:space="preserve"> PAGEREF _Toc444499144 \h </w:instrText>
            </w:r>
            <w:r w:rsidR="000C563F">
              <w:rPr>
                <w:webHidden/>
              </w:rPr>
            </w:r>
            <w:r w:rsidR="000C563F">
              <w:rPr>
                <w:webHidden/>
              </w:rPr>
              <w:fldChar w:fldCharType="separate"/>
            </w:r>
            <w:r w:rsidR="0037385E">
              <w:rPr>
                <w:webHidden/>
              </w:rPr>
              <w:t>19</w:t>
            </w:r>
            <w:r w:rsidR="000C563F">
              <w:rPr>
                <w:webHidden/>
              </w:rPr>
              <w:fldChar w:fldCharType="end"/>
            </w:r>
          </w:hyperlink>
        </w:p>
        <w:p w:rsidR="000C563F" w:rsidRDefault="005D45DD">
          <w:pPr>
            <w:pStyle w:val="TOC1"/>
            <w:rPr>
              <w:rFonts w:asciiTheme="minorHAnsi" w:eastAsiaTheme="minorEastAsia" w:hAnsiTheme="minorHAnsi" w:cstheme="minorBidi"/>
              <w:sz w:val="22"/>
              <w:szCs w:val="22"/>
              <w:lang w:val="en-AU" w:eastAsia="en-AU"/>
            </w:rPr>
          </w:pPr>
          <w:hyperlink w:anchor="_Toc444499145" w:history="1">
            <w:r w:rsidR="000C563F" w:rsidRPr="009874A1">
              <w:rPr>
                <w:rStyle w:val="Hyperlink"/>
              </w:rPr>
              <w:t>Conclusion</w:t>
            </w:r>
            <w:r w:rsidR="000C563F">
              <w:rPr>
                <w:webHidden/>
              </w:rPr>
              <w:tab/>
            </w:r>
            <w:r w:rsidR="000C563F">
              <w:rPr>
                <w:webHidden/>
              </w:rPr>
              <w:fldChar w:fldCharType="begin"/>
            </w:r>
            <w:r w:rsidR="000C563F">
              <w:rPr>
                <w:webHidden/>
              </w:rPr>
              <w:instrText xml:space="preserve"> PAGEREF _Toc444499145 \h </w:instrText>
            </w:r>
            <w:r w:rsidR="000C563F">
              <w:rPr>
                <w:webHidden/>
              </w:rPr>
            </w:r>
            <w:r w:rsidR="000C563F">
              <w:rPr>
                <w:webHidden/>
              </w:rPr>
              <w:fldChar w:fldCharType="separate"/>
            </w:r>
            <w:r w:rsidR="0037385E">
              <w:rPr>
                <w:webHidden/>
              </w:rPr>
              <w:t>20</w:t>
            </w:r>
            <w:r w:rsidR="000C563F">
              <w:rPr>
                <w:webHidden/>
              </w:rPr>
              <w:fldChar w:fldCharType="end"/>
            </w:r>
          </w:hyperlink>
        </w:p>
        <w:p w:rsidR="000C563F" w:rsidRDefault="005D45DD">
          <w:pPr>
            <w:pStyle w:val="TOC1"/>
            <w:rPr>
              <w:rFonts w:asciiTheme="minorHAnsi" w:eastAsiaTheme="minorEastAsia" w:hAnsiTheme="minorHAnsi" w:cstheme="minorBidi"/>
              <w:sz w:val="22"/>
              <w:szCs w:val="22"/>
              <w:lang w:val="en-AU" w:eastAsia="en-AU"/>
            </w:rPr>
          </w:pPr>
          <w:hyperlink w:anchor="_Toc444499146" w:history="1">
            <w:r w:rsidR="000C563F" w:rsidRPr="009874A1">
              <w:rPr>
                <w:rStyle w:val="Hyperlink"/>
              </w:rPr>
              <w:t>Appendix 1 – The 457 Programme</w:t>
            </w:r>
            <w:r w:rsidR="000C563F">
              <w:rPr>
                <w:webHidden/>
              </w:rPr>
              <w:tab/>
            </w:r>
            <w:r w:rsidR="000C563F">
              <w:rPr>
                <w:webHidden/>
              </w:rPr>
              <w:fldChar w:fldCharType="begin"/>
            </w:r>
            <w:r w:rsidR="000C563F">
              <w:rPr>
                <w:webHidden/>
              </w:rPr>
              <w:instrText xml:space="preserve"> PAGEREF _Toc444499146 \h </w:instrText>
            </w:r>
            <w:r w:rsidR="000C563F">
              <w:rPr>
                <w:webHidden/>
              </w:rPr>
            </w:r>
            <w:r w:rsidR="000C563F">
              <w:rPr>
                <w:webHidden/>
              </w:rPr>
              <w:fldChar w:fldCharType="separate"/>
            </w:r>
            <w:r w:rsidR="0037385E">
              <w:rPr>
                <w:webHidden/>
              </w:rPr>
              <w:t>22</w:t>
            </w:r>
            <w:r w:rsidR="000C563F">
              <w:rPr>
                <w:webHidden/>
              </w:rPr>
              <w:fldChar w:fldCharType="end"/>
            </w:r>
          </w:hyperlink>
        </w:p>
        <w:p w:rsidR="000C563F" w:rsidRDefault="005D45DD">
          <w:pPr>
            <w:pStyle w:val="TOC1"/>
            <w:rPr>
              <w:rFonts w:asciiTheme="minorHAnsi" w:eastAsiaTheme="minorEastAsia" w:hAnsiTheme="minorHAnsi" w:cstheme="minorBidi"/>
              <w:sz w:val="22"/>
              <w:szCs w:val="22"/>
              <w:lang w:val="en-AU" w:eastAsia="en-AU"/>
            </w:rPr>
          </w:pPr>
          <w:hyperlink w:anchor="_Toc444499147" w:history="1">
            <w:r w:rsidR="000C563F" w:rsidRPr="009874A1">
              <w:rPr>
                <w:rStyle w:val="Hyperlink"/>
              </w:rPr>
              <w:t>Appendix 2 – Labour market testing</w:t>
            </w:r>
            <w:r w:rsidR="000C563F">
              <w:rPr>
                <w:webHidden/>
              </w:rPr>
              <w:tab/>
            </w:r>
            <w:r w:rsidR="000C563F">
              <w:rPr>
                <w:webHidden/>
              </w:rPr>
              <w:fldChar w:fldCharType="begin"/>
            </w:r>
            <w:r w:rsidR="000C563F">
              <w:rPr>
                <w:webHidden/>
              </w:rPr>
              <w:instrText xml:space="preserve"> PAGEREF _Toc444499147 \h </w:instrText>
            </w:r>
            <w:r w:rsidR="000C563F">
              <w:rPr>
                <w:webHidden/>
              </w:rPr>
            </w:r>
            <w:r w:rsidR="000C563F">
              <w:rPr>
                <w:webHidden/>
              </w:rPr>
              <w:fldChar w:fldCharType="separate"/>
            </w:r>
            <w:r w:rsidR="0037385E">
              <w:rPr>
                <w:webHidden/>
              </w:rPr>
              <w:t>24</w:t>
            </w:r>
            <w:r w:rsidR="000C563F">
              <w:rPr>
                <w:webHidden/>
              </w:rPr>
              <w:fldChar w:fldCharType="end"/>
            </w:r>
          </w:hyperlink>
        </w:p>
        <w:p w:rsidR="00E837B9" w:rsidRPr="005D7471" w:rsidRDefault="00E837B9" w:rsidP="003C228D">
          <w:pPr>
            <w:spacing w:before="100" w:beforeAutospacing="1" w:after="100" w:afterAutospacing="1" w:line="276" w:lineRule="auto"/>
            <w:rPr>
              <w:noProof/>
            </w:rPr>
          </w:pPr>
          <w:r w:rsidRPr="005D7471">
            <w:fldChar w:fldCharType="end"/>
          </w:r>
        </w:p>
      </w:sdtContent>
    </w:sdt>
    <w:p w:rsidR="0059384F" w:rsidRPr="005D7471" w:rsidRDefault="0059384F" w:rsidP="003C228D">
      <w:pPr>
        <w:spacing w:before="0" w:after="200" w:line="276" w:lineRule="auto"/>
        <w:rPr>
          <w:rFonts w:eastAsiaTheme="majorEastAsia" w:cstheme="majorBidi"/>
          <w:bCs/>
          <w:color w:val="034EA2" w:themeColor="accent1"/>
          <w:sz w:val="40"/>
          <w:szCs w:val="28"/>
        </w:rPr>
      </w:pPr>
      <w:bookmarkStart w:id="1" w:name="_Toc430181377"/>
      <w:r w:rsidRPr="005D7471">
        <w:br w:type="page"/>
      </w:r>
    </w:p>
    <w:p w:rsidR="00907D76" w:rsidRPr="005D7471" w:rsidRDefault="00907D76" w:rsidP="003C228D">
      <w:pPr>
        <w:pStyle w:val="Heading1"/>
        <w:spacing w:line="276" w:lineRule="auto"/>
      </w:pPr>
      <w:bookmarkStart w:id="2" w:name="_Toc444499104"/>
      <w:r>
        <w:lastRenderedPageBreak/>
        <w:t>Purpose</w:t>
      </w:r>
      <w:bookmarkEnd w:id="2"/>
      <w:r w:rsidRPr="005D7471">
        <w:t xml:space="preserve"> </w:t>
      </w:r>
    </w:p>
    <w:p w:rsidR="004E066D" w:rsidRDefault="00907D76" w:rsidP="003C228D">
      <w:pPr>
        <w:spacing w:line="276" w:lineRule="auto"/>
      </w:pPr>
      <w:r>
        <w:t xml:space="preserve">The purpose of this document is to assess </w:t>
      </w:r>
      <w:r w:rsidR="004E066D">
        <w:t xml:space="preserve">the effectiveness of </w:t>
      </w:r>
      <w:r w:rsidR="00225738">
        <w:t xml:space="preserve">four </w:t>
      </w:r>
      <w:r w:rsidR="004E066D">
        <w:t xml:space="preserve">legislative amendments to the </w:t>
      </w:r>
      <w:r w:rsidR="004E066D" w:rsidRPr="005D7471">
        <w:t xml:space="preserve">Temporary Work (Skilled) Migration (Subclass 457) Programme (457 programme) </w:t>
      </w:r>
      <w:r w:rsidR="004E066D">
        <w:t>in 2013 in accordance with P</w:t>
      </w:r>
      <w:r w:rsidR="009C7C4A">
        <w:t xml:space="preserve">ost Implementation Review </w:t>
      </w:r>
      <w:r w:rsidR="004E066D">
        <w:t>requirements of the Office of Best Practice Regulation</w:t>
      </w:r>
      <w:r w:rsidR="00E654A4">
        <w:t xml:space="preserve"> (OBPR)</w:t>
      </w:r>
      <w:r w:rsidR="004E066D">
        <w:t>.</w:t>
      </w:r>
      <w:r w:rsidR="006C52A7">
        <w:rPr>
          <w:rStyle w:val="FootnoteReference"/>
        </w:rPr>
        <w:footnoteReference w:id="1"/>
      </w:r>
    </w:p>
    <w:p w:rsidR="00225738" w:rsidRDefault="004E066D" w:rsidP="003C228D">
      <w:pPr>
        <w:spacing w:line="276" w:lineRule="auto"/>
      </w:pPr>
      <w:r>
        <w:t xml:space="preserve">The amendments </w:t>
      </w:r>
      <w:r w:rsidR="000B227E">
        <w:t xml:space="preserve">being assessed </w:t>
      </w:r>
      <w:r w:rsidR="00225738">
        <w:t>were contained</w:t>
      </w:r>
      <w:r>
        <w:t xml:space="preserve"> in the </w:t>
      </w:r>
      <w:r w:rsidRPr="005D7471">
        <w:rPr>
          <w:i/>
        </w:rPr>
        <w:t>Migration Amendment (Temporary Sponsored Visas) Act 2013</w:t>
      </w:r>
      <w:r>
        <w:rPr>
          <w:i/>
        </w:rPr>
        <w:t xml:space="preserve"> </w:t>
      </w:r>
      <w:r w:rsidRPr="000B227E">
        <w:t xml:space="preserve">and </w:t>
      </w:r>
      <w:r w:rsidR="00225738" w:rsidRPr="000B227E">
        <w:t>the</w:t>
      </w:r>
      <w:r w:rsidR="00225738">
        <w:rPr>
          <w:i/>
        </w:rPr>
        <w:t xml:space="preserve"> </w:t>
      </w:r>
      <w:r w:rsidR="00225738" w:rsidRPr="005D7471">
        <w:t>Migration Legislation Amendment Regulation 20</w:t>
      </w:r>
      <w:r w:rsidR="00E24AE8">
        <w:t>13 (No. 3, </w:t>
      </w:r>
      <w:r w:rsidR="00225738" w:rsidRPr="005D7471">
        <w:t>F2013L01229)</w:t>
      </w:r>
      <w:r w:rsidR="001B32DB">
        <w:t xml:space="preserve"> and introduced:</w:t>
      </w:r>
    </w:p>
    <w:p w:rsidR="004E066D" w:rsidRPr="005D7471" w:rsidRDefault="00225738" w:rsidP="00B07663">
      <w:pPr>
        <w:pStyle w:val="ListNumber"/>
        <w:numPr>
          <w:ilvl w:val="0"/>
          <w:numId w:val="25"/>
        </w:numPr>
        <w:spacing w:line="276" w:lineRule="auto"/>
      </w:pPr>
      <w:r>
        <w:t>an</w:t>
      </w:r>
      <w:r w:rsidR="004E066D" w:rsidRPr="005D7471">
        <w:t xml:space="preserve"> obligation for sponsors to keep records of training and to honour their commitment to contribute towards training Australians</w:t>
      </w:r>
    </w:p>
    <w:p w:rsidR="004E066D" w:rsidRPr="005D7471" w:rsidRDefault="004E066D" w:rsidP="003C228D">
      <w:pPr>
        <w:pStyle w:val="ListNumber"/>
        <w:numPr>
          <w:ilvl w:val="0"/>
          <w:numId w:val="25"/>
        </w:numPr>
        <w:spacing w:line="276" w:lineRule="auto"/>
      </w:pPr>
      <w:r w:rsidRPr="005D7471">
        <w:t>a genuineness test to assess the position’s validity to the nominated occupation</w:t>
      </w:r>
    </w:p>
    <w:p w:rsidR="004E066D" w:rsidRPr="005D7471" w:rsidRDefault="004E066D" w:rsidP="003C228D">
      <w:pPr>
        <w:pStyle w:val="ListNumber"/>
        <w:numPr>
          <w:ilvl w:val="0"/>
          <w:numId w:val="25"/>
        </w:numPr>
        <w:spacing w:line="276" w:lineRule="auto"/>
      </w:pPr>
      <w:r w:rsidRPr="005D7471">
        <w:t>changes to the occupation based exemptions to the English language provisions</w:t>
      </w:r>
    </w:p>
    <w:p w:rsidR="004E066D" w:rsidRPr="005D7471" w:rsidRDefault="004E066D" w:rsidP="003C228D">
      <w:pPr>
        <w:pStyle w:val="ListNumber"/>
        <w:numPr>
          <w:ilvl w:val="0"/>
          <w:numId w:val="25"/>
        </w:numPr>
        <w:spacing w:line="276" w:lineRule="auto"/>
      </w:pPr>
      <w:r w:rsidRPr="005D7471">
        <w:t>L</w:t>
      </w:r>
      <w:r>
        <w:t xml:space="preserve">abour </w:t>
      </w:r>
      <w:r w:rsidRPr="005D7471">
        <w:t>M</w:t>
      </w:r>
      <w:r>
        <w:t xml:space="preserve">arket </w:t>
      </w:r>
      <w:r w:rsidRPr="005D7471">
        <w:t>T</w:t>
      </w:r>
      <w:r>
        <w:t>esting (LMT)</w:t>
      </w:r>
      <w:r w:rsidRPr="005D7471">
        <w:t>.</w:t>
      </w:r>
    </w:p>
    <w:p w:rsidR="003C39C5" w:rsidRDefault="00225738" w:rsidP="003C228D">
      <w:pPr>
        <w:spacing w:line="276" w:lineRule="auto"/>
      </w:pPr>
      <w:r>
        <w:t xml:space="preserve">The first three amendments came into effect on 1 July 2013, while LMT came into effect on </w:t>
      </w:r>
      <w:r w:rsidR="004A23CF">
        <w:t>23 </w:t>
      </w:r>
      <w:r w:rsidRPr="005D7471">
        <w:t>November</w:t>
      </w:r>
      <w:r>
        <w:t xml:space="preserve"> 2013.</w:t>
      </w:r>
    </w:p>
    <w:p w:rsidR="003C39C5" w:rsidRPr="003C39C5" w:rsidRDefault="003C39C5" w:rsidP="003C228D">
      <w:pPr>
        <w:spacing w:line="276" w:lineRule="auto"/>
      </w:pPr>
    </w:p>
    <w:p w:rsidR="00E654A4" w:rsidRDefault="00E654A4">
      <w:pPr>
        <w:spacing w:before="0" w:after="200" w:line="276" w:lineRule="auto"/>
        <w:rPr>
          <w:rFonts w:eastAsiaTheme="majorEastAsia" w:cstheme="majorBidi"/>
          <w:bCs/>
          <w:color w:val="034EA2" w:themeColor="accent1"/>
          <w:sz w:val="40"/>
          <w:szCs w:val="28"/>
        </w:rPr>
      </w:pPr>
      <w:r>
        <w:br w:type="page"/>
      </w:r>
    </w:p>
    <w:p w:rsidR="003C39C5" w:rsidRPr="005D7471" w:rsidRDefault="003C39C5" w:rsidP="003C228D">
      <w:pPr>
        <w:pStyle w:val="Heading1"/>
        <w:spacing w:line="276" w:lineRule="auto"/>
      </w:pPr>
      <w:bookmarkStart w:id="3" w:name="_Toc444499105"/>
      <w:r w:rsidRPr="005D7471">
        <w:lastRenderedPageBreak/>
        <w:t>The 457 Programme</w:t>
      </w:r>
      <w:bookmarkEnd w:id="3"/>
      <w:r w:rsidRPr="005D7471">
        <w:t xml:space="preserve"> </w:t>
      </w:r>
    </w:p>
    <w:p w:rsidR="003C39C5" w:rsidRPr="005D7471" w:rsidRDefault="003C39C5" w:rsidP="003C228D">
      <w:pPr>
        <w:pStyle w:val="Heading2"/>
      </w:pPr>
      <w:bookmarkStart w:id="4" w:name="_Toc444499106"/>
      <w:r w:rsidRPr="005D7471">
        <w:t>Overview</w:t>
      </w:r>
      <w:bookmarkEnd w:id="4"/>
    </w:p>
    <w:p w:rsidR="003C39C5" w:rsidRDefault="003C39C5" w:rsidP="003C228D">
      <w:pPr>
        <w:pStyle w:val="Bulletlist-level1"/>
        <w:numPr>
          <w:ilvl w:val="0"/>
          <w:numId w:val="0"/>
        </w:numPr>
        <w:spacing w:line="276" w:lineRule="auto"/>
      </w:pPr>
      <w:r w:rsidRPr="005D7471">
        <w:t>T</w:t>
      </w:r>
      <w:r w:rsidR="000224C6">
        <w:t xml:space="preserve">he </w:t>
      </w:r>
      <w:r w:rsidR="004A23CF">
        <w:t>457 </w:t>
      </w:r>
      <w:r w:rsidR="000224C6">
        <w:t>programme</w:t>
      </w:r>
      <w:r w:rsidRPr="005D7471">
        <w:t xml:space="preserve"> is a temporary visa programme designed to benefit Australia’s economy. It </w:t>
      </w:r>
      <w:r>
        <w:t xml:space="preserve">is a demand driven programme which </w:t>
      </w:r>
      <w:r w:rsidRPr="005D7471">
        <w:t>enable</w:t>
      </w:r>
      <w:r>
        <w:t>s</w:t>
      </w:r>
      <w:r w:rsidRPr="005D7471">
        <w:t xml:space="preserve"> reputable businesses to sponsor a skilled overseas worker</w:t>
      </w:r>
      <w:r w:rsidR="004A23CF">
        <w:t xml:space="preserve"> where </w:t>
      </w:r>
      <w:r w:rsidRPr="005D7471">
        <w:t>they cannot find an appropriately skilled Australian citizen or permanent resident to fill a skilled position</w:t>
      </w:r>
      <w:r w:rsidR="00FB1930">
        <w:t xml:space="preserve">. The </w:t>
      </w:r>
      <w:r>
        <w:t xml:space="preserve">programme </w:t>
      </w:r>
      <w:r w:rsidR="0025183C">
        <w:t>supports</w:t>
      </w:r>
      <w:r w:rsidRPr="005D7471">
        <w:t xml:space="preserve"> Australian businesses to meet their full economic potential by limiting the impact of skill shortages</w:t>
      </w:r>
      <w:r>
        <w:t xml:space="preserve"> and </w:t>
      </w:r>
      <w:r w:rsidR="004A23CF">
        <w:t xml:space="preserve">helps </w:t>
      </w:r>
      <w:r w:rsidRPr="005D7471">
        <w:t>overseas businesses to expand their business activities to Australia and fulfil contracts in Australia</w:t>
      </w:r>
      <w:r w:rsidR="004A23CF">
        <w:t xml:space="preserve">. </w:t>
      </w:r>
      <w:r>
        <w:t xml:space="preserve">The </w:t>
      </w:r>
      <w:r w:rsidR="00FB1930">
        <w:t xml:space="preserve">457 </w:t>
      </w:r>
      <w:r>
        <w:t xml:space="preserve">programme also </w:t>
      </w:r>
      <w:r w:rsidRPr="005D7471">
        <w:t>facilitates Australia’s international trade in services obligations</w:t>
      </w:r>
      <w:r>
        <w:t xml:space="preserve">. </w:t>
      </w:r>
    </w:p>
    <w:p w:rsidR="003C39C5" w:rsidRDefault="003C39C5" w:rsidP="003C228D">
      <w:pPr>
        <w:pStyle w:val="Bulletlist-level1"/>
        <w:numPr>
          <w:ilvl w:val="0"/>
          <w:numId w:val="0"/>
        </w:numPr>
        <w:spacing w:line="276" w:lineRule="auto"/>
      </w:pPr>
    </w:p>
    <w:p w:rsidR="003C39C5" w:rsidRPr="005D7471" w:rsidRDefault="003C39C5" w:rsidP="003C228D">
      <w:pPr>
        <w:pStyle w:val="Bulletlist-level1"/>
        <w:numPr>
          <w:ilvl w:val="0"/>
          <w:numId w:val="0"/>
        </w:numPr>
        <w:spacing w:line="276" w:lineRule="auto"/>
      </w:pPr>
      <w:r>
        <w:t>S</w:t>
      </w:r>
      <w:r w:rsidRPr="005D7471">
        <w:t xml:space="preserve">killed migrants </w:t>
      </w:r>
      <w:r>
        <w:t xml:space="preserve">are able </w:t>
      </w:r>
      <w:r w:rsidRPr="005D7471">
        <w:t>to work in Australia for up to four</w:t>
      </w:r>
      <w:r>
        <w:t xml:space="preserve"> years. Sponsors must ensure that </w:t>
      </w:r>
      <w:r w:rsidRPr="005D7471">
        <w:t xml:space="preserve">the working conditions of sponsored </w:t>
      </w:r>
      <w:r w:rsidR="004A23CF">
        <w:t xml:space="preserve">457 </w:t>
      </w:r>
      <w:r w:rsidRPr="005D7471">
        <w:t xml:space="preserve">visa holders are not less favourable than those provided to Australians, and </w:t>
      </w:r>
      <w:r w:rsidR="004A23CF">
        <w:t xml:space="preserve">that </w:t>
      </w:r>
      <w:r w:rsidRPr="005D7471">
        <w:t>overseas workers are not mistreated.</w:t>
      </w:r>
      <w:r>
        <w:t xml:space="preserve"> The </w:t>
      </w:r>
      <w:r w:rsidR="004A23CF">
        <w:t xml:space="preserve">457 </w:t>
      </w:r>
      <w:r>
        <w:t xml:space="preserve">programme </w:t>
      </w:r>
      <w:r w:rsidRPr="005D7471">
        <w:t>provides a visa pathway to permanent employer sponsored visa options after probationary periods of employment.</w:t>
      </w:r>
    </w:p>
    <w:p w:rsidR="003C39C5" w:rsidRPr="005D7471" w:rsidRDefault="003C39C5" w:rsidP="003C228D">
      <w:pPr>
        <w:pStyle w:val="Heading2"/>
      </w:pPr>
      <w:bookmarkStart w:id="5" w:name="_Toc430181388"/>
      <w:bookmarkStart w:id="6" w:name="_Toc444499107"/>
      <w:r w:rsidRPr="005D7471">
        <w:t>Businesses affected by reforms to the 457 programme</w:t>
      </w:r>
      <w:bookmarkEnd w:id="5"/>
      <w:bookmarkEnd w:id="6"/>
    </w:p>
    <w:p w:rsidR="003C39C5" w:rsidRPr="00A9416B" w:rsidRDefault="00335381" w:rsidP="003C228D">
      <w:pPr>
        <w:spacing w:line="276" w:lineRule="auto"/>
      </w:pPr>
      <w:r>
        <w:t>In June 2013, t</w:t>
      </w:r>
      <w:r w:rsidR="003C39C5" w:rsidRPr="005D7471">
        <w:t>here were 2,079,666 actively trading businesses, including 815,368 employing busi</w:t>
      </w:r>
      <w:r>
        <w:t>nesses in Australia</w:t>
      </w:r>
      <w:r w:rsidR="003C39C5" w:rsidRPr="005D7471">
        <w:rPr>
          <w:rStyle w:val="FootnoteReference"/>
        </w:rPr>
        <w:footnoteReference w:id="2"/>
      </w:r>
      <w:r w:rsidR="003C39C5" w:rsidRPr="005D7471">
        <w:t>. At 30 June 2013, there were 30,090 active 457 sponsors, a small percentage of which were Government business enterprises and overseas businesses</w:t>
      </w:r>
      <w:r w:rsidR="00A73F41">
        <w:t>.</w:t>
      </w:r>
      <w:r w:rsidR="003C39C5" w:rsidRPr="005D7471">
        <w:rPr>
          <w:rStyle w:val="FootnoteReference"/>
        </w:rPr>
        <w:footnoteReference w:id="3"/>
      </w:r>
      <w:r w:rsidR="003C39C5" w:rsidRPr="005D7471">
        <w:t xml:space="preserve"> </w:t>
      </w:r>
      <w:r>
        <w:t>The </w:t>
      </w:r>
      <w:r w:rsidR="003C39C5">
        <w:t>r</w:t>
      </w:r>
      <w:r w:rsidR="003C39C5" w:rsidRPr="005D7471">
        <w:t>egulatory changes to the 457 programme affect</w:t>
      </w:r>
      <w:r w:rsidR="003C39C5">
        <w:t>ed</w:t>
      </w:r>
      <w:r w:rsidR="003C39C5" w:rsidRPr="005D7471">
        <w:t xml:space="preserve"> less than four per cent of Australian employers.</w:t>
      </w:r>
      <w:r w:rsidR="003C39C5">
        <w:rPr>
          <w:rStyle w:val="FootnoteReference"/>
        </w:rPr>
        <w:footnoteReference w:id="4"/>
      </w:r>
    </w:p>
    <w:p w:rsidR="003C39C5" w:rsidRPr="005D7471" w:rsidRDefault="003C39C5" w:rsidP="003C228D">
      <w:pPr>
        <w:pStyle w:val="Heading2"/>
      </w:pPr>
      <w:bookmarkStart w:id="7" w:name="_Toc430181389"/>
      <w:bookmarkStart w:id="8" w:name="_Toc444499108"/>
      <w:r w:rsidRPr="005D7471">
        <w:t>Impact of the programme on the Australian labour market</w:t>
      </w:r>
      <w:bookmarkEnd w:id="7"/>
      <w:bookmarkEnd w:id="8"/>
      <w:r w:rsidRPr="005D7471">
        <w:t xml:space="preserve"> </w:t>
      </w:r>
    </w:p>
    <w:p w:rsidR="003C39C5" w:rsidRPr="005D7471" w:rsidRDefault="003C39C5" w:rsidP="003C228D">
      <w:pPr>
        <w:spacing w:before="60" w:after="0" w:line="276" w:lineRule="auto"/>
      </w:pPr>
      <w:r w:rsidRPr="00A9416B">
        <w:rPr>
          <w:bCs/>
        </w:rPr>
        <w:t>Primary sponsored 457 visa holders represented less than one per cent of the Australian workforce of 11,573,100 at 31 May 2014</w:t>
      </w:r>
      <w:r>
        <w:rPr>
          <w:bCs/>
        </w:rPr>
        <w:t>.</w:t>
      </w:r>
      <w:r w:rsidRPr="00A9416B">
        <w:rPr>
          <w:rStyle w:val="FootnoteReference"/>
          <w:bCs/>
        </w:rPr>
        <w:footnoteReference w:id="5"/>
      </w:r>
      <w:r>
        <w:rPr>
          <w:bCs/>
        </w:rPr>
        <w:t xml:space="preserve"> </w:t>
      </w:r>
      <w:r w:rsidRPr="005D7471">
        <w:t>The low percentage of 457 workers in any given occupation suggests it is unlikely that the terms and conditions of employment in Au</w:t>
      </w:r>
      <w:r>
        <w:t>stralia are affected by the 457 </w:t>
      </w:r>
      <w:r w:rsidRPr="005D7471">
        <w:t xml:space="preserve">programme. </w:t>
      </w:r>
    </w:p>
    <w:p w:rsidR="003C39C5" w:rsidRPr="00A9416B" w:rsidRDefault="003C39C5" w:rsidP="003C228D">
      <w:pPr>
        <w:pStyle w:val="Heading3"/>
        <w:rPr>
          <w:rFonts w:eastAsia="Times New Roman" w:cs="Times New Roman"/>
          <w:bCs w:val="0"/>
          <w:color w:val="auto"/>
          <w:sz w:val="20"/>
          <w:szCs w:val="20"/>
        </w:rPr>
      </w:pPr>
      <w:bookmarkStart w:id="9" w:name="_Toc442348311"/>
      <w:bookmarkStart w:id="10" w:name="_Toc442348381"/>
      <w:bookmarkStart w:id="11" w:name="_Toc442693592"/>
      <w:bookmarkStart w:id="12" w:name="_Toc442695166"/>
      <w:bookmarkStart w:id="13" w:name="_Toc444499109"/>
      <w:r>
        <w:rPr>
          <w:rFonts w:eastAsia="Times New Roman" w:cs="Times New Roman"/>
          <w:bCs w:val="0"/>
          <w:color w:val="auto"/>
          <w:sz w:val="20"/>
          <w:szCs w:val="20"/>
        </w:rPr>
        <w:t>Further information on th</w:t>
      </w:r>
      <w:r w:rsidR="00335381">
        <w:rPr>
          <w:rFonts w:eastAsia="Times New Roman" w:cs="Times New Roman"/>
          <w:bCs w:val="0"/>
          <w:color w:val="auto"/>
          <w:sz w:val="20"/>
          <w:szCs w:val="20"/>
        </w:rPr>
        <w:t>e 457 p</w:t>
      </w:r>
      <w:r w:rsidR="00F50F78">
        <w:rPr>
          <w:rFonts w:eastAsia="Times New Roman" w:cs="Times New Roman"/>
          <w:bCs w:val="0"/>
          <w:color w:val="auto"/>
          <w:sz w:val="20"/>
          <w:szCs w:val="20"/>
        </w:rPr>
        <w:t>rogramme is at Appendix 1</w:t>
      </w:r>
      <w:r>
        <w:rPr>
          <w:rFonts w:eastAsia="Times New Roman" w:cs="Times New Roman"/>
          <w:bCs w:val="0"/>
          <w:color w:val="auto"/>
          <w:sz w:val="20"/>
          <w:szCs w:val="20"/>
        </w:rPr>
        <w:t>.</w:t>
      </w:r>
      <w:bookmarkEnd w:id="9"/>
      <w:bookmarkEnd w:id="10"/>
      <w:bookmarkEnd w:id="11"/>
      <w:bookmarkEnd w:id="12"/>
      <w:bookmarkEnd w:id="13"/>
    </w:p>
    <w:p w:rsidR="003C39C5" w:rsidRPr="003C39C5" w:rsidRDefault="003C39C5" w:rsidP="003C228D">
      <w:pPr>
        <w:spacing w:line="276" w:lineRule="auto"/>
      </w:pPr>
    </w:p>
    <w:p w:rsidR="00E654A4" w:rsidRDefault="00E654A4">
      <w:pPr>
        <w:spacing w:before="0" w:after="200" w:line="276" w:lineRule="auto"/>
        <w:rPr>
          <w:rFonts w:eastAsiaTheme="majorEastAsia" w:cstheme="majorBidi"/>
          <w:bCs/>
          <w:color w:val="034EA2" w:themeColor="accent1"/>
          <w:sz w:val="40"/>
          <w:szCs w:val="28"/>
        </w:rPr>
      </w:pPr>
      <w:bookmarkStart w:id="14" w:name="_Toc430181383"/>
      <w:bookmarkEnd w:id="1"/>
      <w:r>
        <w:br w:type="page"/>
      </w:r>
    </w:p>
    <w:p w:rsidR="00D106B5" w:rsidRPr="005D7471" w:rsidRDefault="00CF24B4" w:rsidP="003C228D">
      <w:pPr>
        <w:pStyle w:val="Heading1"/>
        <w:spacing w:line="276" w:lineRule="auto"/>
      </w:pPr>
      <w:bookmarkStart w:id="15" w:name="_Toc444499110"/>
      <w:r w:rsidRPr="005D7471">
        <w:lastRenderedPageBreak/>
        <w:t xml:space="preserve">2013 </w:t>
      </w:r>
      <w:r w:rsidR="00D106B5" w:rsidRPr="005D7471">
        <w:t xml:space="preserve">Legislative </w:t>
      </w:r>
      <w:r w:rsidR="009107BB" w:rsidRPr="005D7471">
        <w:t>a</w:t>
      </w:r>
      <w:r w:rsidR="00D106B5" w:rsidRPr="005D7471">
        <w:t>mendments</w:t>
      </w:r>
      <w:bookmarkEnd w:id="15"/>
      <w:r w:rsidR="00D106B5" w:rsidRPr="005D7471">
        <w:t xml:space="preserve"> </w:t>
      </w:r>
      <w:bookmarkEnd w:id="14"/>
    </w:p>
    <w:p w:rsidR="00D106B5" w:rsidRPr="005D7471" w:rsidRDefault="00D106B5" w:rsidP="003C228D">
      <w:pPr>
        <w:pStyle w:val="Heading2"/>
      </w:pPr>
      <w:bookmarkStart w:id="16" w:name="_Toc430181384"/>
      <w:bookmarkStart w:id="17" w:name="_Toc444499111"/>
      <w:r w:rsidRPr="005D7471">
        <w:t>What was the probl</w:t>
      </w:r>
      <w:r w:rsidR="0030429A" w:rsidRPr="005D7471">
        <w:t xml:space="preserve">em these amendments intended to </w:t>
      </w:r>
      <w:r w:rsidRPr="005D7471">
        <w:t>solve?</w:t>
      </w:r>
      <w:bookmarkEnd w:id="16"/>
      <w:bookmarkEnd w:id="17"/>
    </w:p>
    <w:p w:rsidR="00C74D14" w:rsidRPr="005D7471" w:rsidRDefault="00C74D14" w:rsidP="003C228D">
      <w:pPr>
        <w:spacing w:line="276" w:lineRule="auto"/>
      </w:pPr>
      <w:r w:rsidRPr="005D7471">
        <w:t xml:space="preserve">These reforms resulted from evidence that suggested some employers might be: </w:t>
      </w:r>
    </w:p>
    <w:p w:rsidR="00C74D14" w:rsidRPr="005D7471" w:rsidRDefault="00C74D14" w:rsidP="003C228D">
      <w:pPr>
        <w:pStyle w:val="Bulletlist-level1"/>
        <w:spacing w:line="276" w:lineRule="auto"/>
      </w:pPr>
      <w:r w:rsidRPr="005D7471">
        <w:t xml:space="preserve">sourcing </w:t>
      </w:r>
      <w:r w:rsidR="006E5A60" w:rsidRPr="005D7471">
        <w:t>overseas</w:t>
      </w:r>
      <w:r w:rsidRPr="005D7471">
        <w:t xml:space="preserve"> skilled labour </w:t>
      </w:r>
      <w:r w:rsidR="006E5A60" w:rsidRPr="005D7471">
        <w:t>w</w:t>
      </w:r>
      <w:r w:rsidRPr="005D7471">
        <w:t xml:space="preserve">ithout first checking the availability of </w:t>
      </w:r>
      <w:r w:rsidR="006E5A60" w:rsidRPr="005D7471">
        <w:t xml:space="preserve">Australian </w:t>
      </w:r>
      <w:r w:rsidRPr="005D7471">
        <w:t>labour</w:t>
      </w:r>
    </w:p>
    <w:p w:rsidR="00C74D14" w:rsidRPr="005D7471" w:rsidRDefault="00C74D14" w:rsidP="003C228D">
      <w:pPr>
        <w:pStyle w:val="Bulletlist-level1"/>
        <w:spacing w:line="276" w:lineRule="auto"/>
      </w:pPr>
      <w:r w:rsidRPr="005D7471">
        <w:t>creating positions for the sole purpose of</w:t>
      </w:r>
      <w:r w:rsidRPr="005D7471">
        <w:rPr>
          <w:rFonts w:cs="Arial"/>
        </w:rPr>
        <w:t xml:space="preserve"> nominating a specific visa applicant</w:t>
      </w:r>
    </w:p>
    <w:p w:rsidR="00C74D14" w:rsidRPr="005D7471" w:rsidRDefault="00C74D14" w:rsidP="003C228D">
      <w:pPr>
        <w:pStyle w:val="Bulletlist-level1"/>
        <w:spacing w:line="276" w:lineRule="auto"/>
      </w:pPr>
      <w:proofErr w:type="gramStart"/>
      <w:r w:rsidRPr="005D7471">
        <w:t>misrepresenting</w:t>
      </w:r>
      <w:proofErr w:type="gramEnd"/>
      <w:r w:rsidRPr="005D7471">
        <w:t xml:space="preserve"> the duties of positions to facilitate visas for applicants who </w:t>
      </w:r>
      <w:r w:rsidR="00C11CA7" w:rsidRPr="005D7471">
        <w:t>were not otherwise eligible (</w:t>
      </w:r>
      <w:r w:rsidR="00F94587" w:rsidRPr="005D7471">
        <w:t>e.g.</w:t>
      </w:r>
      <w:r w:rsidR="00C11CA7" w:rsidRPr="005D7471">
        <w:t xml:space="preserve"> </w:t>
      </w:r>
      <w:r w:rsidRPr="005D7471">
        <w:t>did not meet the skill or English language requirements for the actual occupation</w:t>
      </w:r>
      <w:r w:rsidR="00C11CA7" w:rsidRPr="005D7471">
        <w:t>)</w:t>
      </w:r>
      <w:r w:rsidRPr="005D7471">
        <w:t>.</w:t>
      </w:r>
    </w:p>
    <w:p w:rsidR="00C74D14" w:rsidRPr="005D7471" w:rsidRDefault="00020133" w:rsidP="003C228D">
      <w:pPr>
        <w:spacing w:line="276" w:lineRule="auto"/>
      </w:pPr>
      <w:r>
        <w:t>T</w:t>
      </w:r>
      <w:r w:rsidR="00C74D14" w:rsidRPr="005D7471">
        <w:t>hese actions are not in</w:t>
      </w:r>
      <w:r w:rsidR="00757F97">
        <w:t>-</w:t>
      </w:r>
      <w:r w:rsidR="004A23CF">
        <w:t>line with the intention</w:t>
      </w:r>
      <w:r w:rsidR="00C74D14" w:rsidRPr="005D7471">
        <w:t xml:space="preserve"> of the 457 programme and might disadvantage Australian workers.</w:t>
      </w:r>
    </w:p>
    <w:p w:rsidR="00D106B5" w:rsidRPr="005D7471" w:rsidRDefault="009D320F" w:rsidP="003C228D">
      <w:pPr>
        <w:spacing w:line="276" w:lineRule="auto"/>
      </w:pPr>
      <w:r>
        <w:t>A</w:t>
      </w:r>
      <w:r w:rsidR="00D106B5" w:rsidRPr="005D7471">
        <w:t xml:space="preserve">nalysis of </w:t>
      </w:r>
      <w:r>
        <w:t xml:space="preserve">457 visa </w:t>
      </w:r>
      <w:r w:rsidR="00D106B5" w:rsidRPr="005D7471">
        <w:t>application</w:t>
      </w:r>
      <w:r>
        <w:t>s</w:t>
      </w:r>
      <w:r w:rsidR="00D106B5" w:rsidRPr="005D7471">
        <w:t xml:space="preserve"> </w:t>
      </w:r>
      <w:r w:rsidR="00C74D14" w:rsidRPr="005D7471">
        <w:t>between 2009 and 2012</w:t>
      </w:r>
      <w:r w:rsidR="00D106B5" w:rsidRPr="005D7471">
        <w:t xml:space="preserve"> identified an increasing disconnect between the rate that applications were being lodged and variations in unemployment data published by the </w:t>
      </w:r>
      <w:r>
        <w:t>Australia Bureau of Statistics (</w:t>
      </w:r>
      <w:r w:rsidR="00D106B5" w:rsidRPr="005D7471">
        <w:t>ABS</w:t>
      </w:r>
      <w:r>
        <w:t>)</w:t>
      </w:r>
      <w:r w:rsidR="00D106B5" w:rsidRPr="005D7471">
        <w:t>.</w:t>
      </w:r>
      <w:r w:rsidR="008233A8" w:rsidRPr="008233A8">
        <w:rPr>
          <w:rStyle w:val="FootnoteReference"/>
        </w:rPr>
        <w:t xml:space="preserve"> </w:t>
      </w:r>
      <w:r w:rsidR="008233A8" w:rsidRPr="005D7471">
        <w:rPr>
          <w:rStyle w:val="FootnoteReference"/>
        </w:rPr>
        <w:footnoteReference w:id="6"/>
      </w:r>
      <w:r w:rsidR="00F552C3" w:rsidRPr="005D7471">
        <w:t xml:space="preserve"> </w:t>
      </w:r>
      <w:r w:rsidR="00D106B5" w:rsidRPr="005D7471">
        <w:t>Further analysis indicated a signi</w:t>
      </w:r>
      <w:r w:rsidR="0017093C" w:rsidRPr="005D7471">
        <w:t>ficant component of this growth</w:t>
      </w:r>
      <w:r w:rsidR="00D106B5" w:rsidRPr="005D7471">
        <w:t>:</w:t>
      </w:r>
    </w:p>
    <w:p w:rsidR="00D106B5" w:rsidRPr="005D7471" w:rsidRDefault="0017093C" w:rsidP="003C228D">
      <w:pPr>
        <w:pStyle w:val="Bulletlist-level1"/>
        <w:spacing w:line="276" w:lineRule="auto"/>
      </w:pPr>
      <w:r w:rsidRPr="005D7471">
        <w:t>was</w:t>
      </w:r>
      <w:r w:rsidR="008233A8">
        <w:t xml:space="preserve"> </w:t>
      </w:r>
      <w:r w:rsidR="00D106B5" w:rsidRPr="005D7471">
        <w:t>in industries and regions not experiencing skills shortages</w:t>
      </w:r>
      <w:r w:rsidR="008233A8">
        <w:t xml:space="preserve"> and therefore not consistent with broader labour market conditions</w:t>
      </w:r>
      <w:r w:rsidR="008233A8" w:rsidRPr="005D7471">
        <w:rPr>
          <w:rStyle w:val="FootnoteReference"/>
        </w:rPr>
        <w:footnoteReference w:id="7"/>
      </w:r>
    </w:p>
    <w:p w:rsidR="00D106B5" w:rsidRPr="005D7471" w:rsidRDefault="0017093C" w:rsidP="003C228D">
      <w:pPr>
        <w:pStyle w:val="Bulletlist-level1"/>
        <w:spacing w:line="276" w:lineRule="auto"/>
      </w:pPr>
      <w:r w:rsidRPr="005D7471">
        <w:t xml:space="preserve">resulted from </w:t>
      </w:r>
      <w:r w:rsidR="00D106B5" w:rsidRPr="005D7471">
        <w:t xml:space="preserve">applications lodged by people who were in Australia on working holiday and student visas </w:t>
      </w:r>
    </w:p>
    <w:p w:rsidR="00D106B5" w:rsidRPr="005D7471" w:rsidRDefault="0017093C" w:rsidP="003C228D">
      <w:pPr>
        <w:pStyle w:val="Bulletlist-level1"/>
        <w:spacing w:line="276" w:lineRule="auto"/>
      </w:pPr>
      <w:proofErr w:type="gramStart"/>
      <w:r w:rsidRPr="005D7471">
        <w:t>occurred</w:t>
      </w:r>
      <w:proofErr w:type="gramEnd"/>
      <w:r w:rsidRPr="005D7471">
        <w:t xml:space="preserve"> </w:t>
      </w:r>
      <w:r w:rsidR="00D106B5" w:rsidRPr="005D7471">
        <w:t xml:space="preserve">in the occupations of Program and Project Administrators and Specialist Managers (not elsewhere classified), </w:t>
      </w:r>
      <w:r w:rsidR="000A1384" w:rsidRPr="005D7471">
        <w:t xml:space="preserve">many </w:t>
      </w:r>
      <w:r w:rsidR="00D106B5" w:rsidRPr="005D7471">
        <w:t>of w</w:t>
      </w:r>
      <w:r w:rsidR="003B6A62">
        <w:t>hom</w:t>
      </w:r>
      <w:r w:rsidR="00D106B5" w:rsidRPr="005D7471">
        <w:t xml:space="preserve"> were </w:t>
      </w:r>
      <w:r w:rsidR="00F12030" w:rsidRPr="005D7471">
        <w:t>in Australia</w:t>
      </w:r>
      <w:r w:rsidR="00D106B5" w:rsidRPr="005D7471">
        <w:t xml:space="preserve"> when nominated.</w:t>
      </w:r>
    </w:p>
    <w:p w:rsidR="00CA42CF" w:rsidRPr="005D7471" w:rsidRDefault="009D320F" w:rsidP="003C228D">
      <w:pPr>
        <w:spacing w:line="276" w:lineRule="auto"/>
      </w:pPr>
      <w:r>
        <w:t>T</w:t>
      </w:r>
      <w:r w:rsidR="0017093C" w:rsidRPr="005D7471">
        <w:t>he descriptions for Program and Project Administrators and Specialist Managers (not elsewhere classified) in the Australia and New Zealand Standard Classification of Occupations (ANZSCO)</w:t>
      </w:r>
      <w:r w:rsidR="0017093C" w:rsidRPr="005D7471">
        <w:rPr>
          <w:rStyle w:val="FootnoteReference"/>
        </w:rPr>
        <w:footnoteReference w:id="8"/>
      </w:r>
      <w:r w:rsidR="0017093C" w:rsidRPr="005D7471">
        <w:t xml:space="preserve"> are general in nature. </w:t>
      </w:r>
      <w:r w:rsidR="00545622">
        <w:t>This broad framing of these occupations</w:t>
      </w:r>
      <w:r w:rsidR="009107BB" w:rsidRPr="005D7471">
        <w:t xml:space="preserve"> m</w:t>
      </w:r>
      <w:r w:rsidR="0017093C" w:rsidRPr="005D7471">
        <w:t>a</w:t>
      </w:r>
      <w:r w:rsidR="009107BB" w:rsidRPr="005D7471">
        <w:t>de</w:t>
      </w:r>
      <w:r w:rsidR="0017093C" w:rsidRPr="005D7471">
        <w:t xml:space="preserve"> it possible to use the</w:t>
      </w:r>
      <w:r>
        <w:t xml:space="preserve"> </w:t>
      </w:r>
      <w:r w:rsidR="00CC19B4" w:rsidRPr="005D7471">
        <w:t>titles</w:t>
      </w:r>
      <w:r w:rsidR="0017093C" w:rsidRPr="005D7471">
        <w:t xml:space="preserve"> for a multitude of job roles</w:t>
      </w:r>
      <w:r w:rsidR="00CC19B4" w:rsidRPr="005D7471">
        <w:t>,</w:t>
      </w:r>
      <w:r w:rsidR="0017093C" w:rsidRPr="005D7471">
        <w:t xml:space="preserve"> including </w:t>
      </w:r>
      <w:r w:rsidR="00CC19B4" w:rsidRPr="005D7471">
        <w:t>those</w:t>
      </w:r>
      <w:r w:rsidR="0017093C" w:rsidRPr="005D7471">
        <w:t xml:space="preserve"> </w:t>
      </w:r>
      <w:r w:rsidR="00545622">
        <w:t xml:space="preserve">that would </w:t>
      </w:r>
      <w:r w:rsidR="0017093C" w:rsidRPr="005D7471">
        <w:t xml:space="preserve">not </w:t>
      </w:r>
      <w:r w:rsidR="00545622">
        <w:t xml:space="preserve">otherwise have been </w:t>
      </w:r>
      <w:r w:rsidR="0017093C" w:rsidRPr="005D7471">
        <w:t>considered s</w:t>
      </w:r>
      <w:r w:rsidR="00545622">
        <w:t>ufficiently skilled for the 457 </w:t>
      </w:r>
      <w:r w:rsidR="0017093C" w:rsidRPr="005D7471">
        <w:t xml:space="preserve">programme. </w:t>
      </w:r>
      <w:r>
        <w:t>T</w:t>
      </w:r>
      <w:r w:rsidR="00CA42CF" w:rsidRPr="005D7471">
        <w:t>here was a</w:t>
      </w:r>
      <w:r w:rsidR="004F5AA3" w:rsidRPr="005D7471">
        <w:t xml:space="preserve"> high prevalence of nominations for</w:t>
      </w:r>
      <w:r w:rsidR="00D106B5" w:rsidRPr="005D7471">
        <w:t xml:space="preserve"> </w:t>
      </w:r>
      <w:r w:rsidR="00545622">
        <w:t xml:space="preserve">the </w:t>
      </w:r>
      <w:r w:rsidR="00CA42CF" w:rsidRPr="005D7471">
        <w:t>occupations</w:t>
      </w:r>
      <w:r w:rsidR="00545622">
        <w:t xml:space="preserve"> of </w:t>
      </w:r>
      <w:r w:rsidR="00545622" w:rsidRPr="005D7471">
        <w:t>Program and Project Administrators and Specialist Managers</w:t>
      </w:r>
      <w:r w:rsidR="00D106B5" w:rsidRPr="005D7471">
        <w:t xml:space="preserve"> </w:t>
      </w:r>
      <w:r w:rsidR="0017093C" w:rsidRPr="005D7471">
        <w:t>in industries</w:t>
      </w:r>
      <w:r w:rsidR="004F5AA3" w:rsidRPr="005D7471">
        <w:t xml:space="preserve"> that predominantly employ </w:t>
      </w:r>
      <w:r w:rsidR="00975C38">
        <w:t>trade</w:t>
      </w:r>
      <w:r w:rsidR="0017093C" w:rsidRPr="005D7471">
        <w:t xml:space="preserve"> </w:t>
      </w:r>
      <w:r w:rsidR="004F5AA3" w:rsidRPr="005D7471">
        <w:t>workers</w:t>
      </w:r>
      <w:r w:rsidR="00CA42CF" w:rsidRPr="005D7471">
        <w:t>.</w:t>
      </w:r>
    </w:p>
    <w:p w:rsidR="00D479BA" w:rsidRPr="005D7471" w:rsidRDefault="00975C38" w:rsidP="003C228D">
      <w:pPr>
        <w:spacing w:before="0" w:after="200" w:line="276" w:lineRule="auto"/>
      </w:pPr>
      <w:r>
        <w:t>The Department also identified concerns with</w:t>
      </w:r>
      <w:r w:rsidR="00D106B5" w:rsidRPr="005D7471">
        <w:t xml:space="preserve"> a small number of businesses</w:t>
      </w:r>
      <w:r w:rsidR="00A83317" w:rsidRPr="005D7471">
        <w:t xml:space="preserve"> </w:t>
      </w:r>
      <w:r w:rsidR="00D106B5" w:rsidRPr="005D7471">
        <w:t>with links to overseas businesses</w:t>
      </w:r>
      <w:r w:rsidR="00F730DC" w:rsidRPr="005D7471">
        <w:t>,</w:t>
      </w:r>
      <w:r w:rsidR="00D106B5" w:rsidRPr="005D7471">
        <w:t xml:space="preserve"> </w:t>
      </w:r>
      <w:r w:rsidR="00F730DC" w:rsidRPr="005D7471">
        <w:t xml:space="preserve">which </w:t>
      </w:r>
      <w:r w:rsidR="00D106B5" w:rsidRPr="005D7471">
        <w:t>appeared to be using the 457 programme to r</w:t>
      </w:r>
      <w:r w:rsidR="00E84B0A" w:rsidRPr="005D7471">
        <w:t>ecruit large numbers of workers</w:t>
      </w:r>
      <w:r w:rsidR="00D106B5" w:rsidRPr="005D7471">
        <w:t xml:space="preserve"> from their home countries. In comparison, these companies engaged few Australian workers.</w:t>
      </w:r>
      <w:bookmarkStart w:id="18" w:name="_Toc430181385"/>
    </w:p>
    <w:p w:rsidR="00E654A4" w:rsidRDefault="00E654A4">
      <w:pPr>
        <w:spacing w:before="0" w:after="200" w:line="276" w:lineRule="auto"/>
        <w:rPr>
          <w:rFonts w:eastAsiaTheme="majorEastAsia" w:cstheme="majorBidi"/>
          <w:color w:val="007BC3" w:themeColor="accent2"/>
          <w:sz w:val="32"/>
          <w:szCs w:val="26"/>
        </w:rPr>
      </w:pPr>
      <w:r>
        <w:br w:type="page"/>
      </w:r>
    </w:p>
    <w:p w:rsidR="00D106B5" w:rsidRPr="005D7471" w:rsidRDefault="00D106B5" w:rsidP="003C228D">
      <w:pPr>
        <w:pStyle w:val="Heading2"/>
      </w:pPr>
      <w:bookmarkStart w:id="19" w:name="_Toc444499112"/>
      <w:r w:rsidRPr="005D7471">
        <w:lastRenderedPageBreak/>
        <w:t xml:space="preserve">Why was </w:t>
      </w:r>
      <w:r w:rsidR="00CC19B4" w:rsidRPr="005D7471">
        <w:t>G</w:t>
      </w:r>
      <w:r w:rsidRPr="005D7471">
        <w:t>overnment action needed?</w:t>
      </w:r>
      <w:bookmarkEnd w:id="18"/>
      <w:bookmarkEnd w:id="19"/>
    </w:p>
    <w:p w:rsidR="00D106B5" w:rsidRPr="005D7471" w:rsidRDefault="00D106B5" w:rsidP="003C228D">
      <w:pPr>
        <w:spacing w:line="276" w:lineRule="auto"/>
      </w:pPr>
      <w:r w:rsidRPr="005D7471">
        <w:t xml:space="preserve">Scrutiny of existing visa requirements and sponsorship obligations indicated existing legislation did not </w:t>
      </w:r>
      <w:r w:rsidR="00C92745" w:rsidRPr="005D7471">
        <w:t>always</w:t>
      </w:r>
      <w:r w:rsidRPr="005D7471">
        <w:t xml:space="preserve"> </w:t>
      </w:r>
      <w:r w:rsidR="009A2EC1" w:rsidRPr="005D7471">
        <w:t>allow</w:t>
      </w:r>
      <w:r w:rsidRPr="005D7471">
        <w:t xml:space="preserve"> the Department</w:t>
      </w:r>
      <w:r w:rsidR="009A2EC1" w:rsidRPr="005D7471">
        <w:t xml:space="preserve"> </w:t>
      </w:r>
      <w:r w:rsidRPr="005D7471">
        <w:t xml:space="preserve">to </w:t>
      </w:r>
      <w:r w:rsidR="00C92745" w:rsidRPr="005D7471">
        <w:t xml:space="preserve">appropriately </w:t>
      </w:r>
      <w:r w:rsidRPr="005D7471">
        <w:t xml:space="preserve">respond </w:t>
      </w:r>
      <w:r w:rsidR="009A2EC1" w:rsidRPr="005D7471">
        <w:t xml:space="preserve">where client behaviour </w:t>
      </w:r>
      <w:r w:rsidR="00C92745" w:rsidRPr="005D7471">
        <w:t>w</w:t>
      </w:r>
      <w:r w:rsidR="003874B1">
        <w:t xml:space="preserve">as not </w:t>
      </w:r>
      <w:proofErr w:type="spellStart"/>
      <w:r w:rsidR="003874B1">
        <w:t>in</w:t>
      </w:r>
      <w:r w:rsidR="003874B1">
        <w:noBreakHyphen/>
      </w:r>
      <w:r w:rsidR="00055C21" w:rsidRPr="005D7471">
        <w:t>line</w:t>
      </w:r>
      <w:proofErr w:type="spellEnd"/>
      <w:r w:rsidR="003A1AA0">
        <w:t xml:space="preserve"> with the intention</w:t>
      </w:r>
      <w:r w:rsidR="009A2EC1" w:rsidRPr="005D7471">
        <w:t xml:space="preserve"> of the programme</w:t>
      </w:r>
      <w:r w:rsidR="001940E2" w:rsidRPr="005D7471">
        <w:t>.</w:t>
      </w:r>
      <w:r w:rsidR="009A2EC1" w:rsidRPr="005D7471">
        <w:t xml:space="preserve"> </w:t>
      </w:r>
      <w:r w:rsidR="006A0122">
        <w:t>Of particular concern was t</w:t>
      </w:r>
      <w:r w:rsidRPr="005D7471">
        <w:t>h</w:t>
      </w:r>
      <w:r w:rsidR="00373009">
        <w:t xml:space="preserve">e legal enforceability of </w:t>
      </w:r>
      <w:r w:rsidR="006A0122">
        <w:t xml:space="preserve">the following </w:t>
      </w:r>
      <w:r w:rsidR="00373009">
        <w:t>th</w:t>
      </w:r>
      <w:r w:rsidR="006A0122">
        <w:t>ree provisions in the 457 programme</w:t>
      </w:r>
      <w:r w:rsidRPr="005D7471">
        <w:t>:</w:t>
      </w:r>
    </w:p>
    <w:p w:rsidR="00697DED" w:rsidRPr="005D7471" w:rsidRDefault="009D320F" w:rsidP="003C228D">
      <w:pPr>
        <w:pStyle w:val="Bulletlist-level1"/>
        <w:spacing w:line="276" w:lineRule="auto"/>
      </w:pPr>
      <w:r>
        <w:t xml:space="preserve">the </w:t>
      </w:r>
      <w:r w:rsidR="00697DED" w:rsidRPr="005D7471">
        <w:t>sponsor commitment to continue to contribute to</w:t>
      </w:r>
      <w:r w:rsidR="00CC19B4" w:rsidRPr="005D7471">
        <w:t>wards</w:t>
      </w:r>
      <w:r w:rsidR="00697DED" w:rsidRPr="005D7471">
        <w:t xml:space="preserve"> training Australians</w:t>
      </w:r>
    </w:p>
    <w:p w:rsidR="00697DED" w:rsidRPr="005D7471" w:rsidRDefault="009D320F" w:rsidP="003C228D">
      <w:pPr>
        <w:pStyle w:val="Bulletlist-level1"/>
        <w:spacing w:line="276" w:lineRule="auto"/>
      </w:pPr>
      <w:r>
        <w:t xml:space="preserve">the </w:t>
      </w:r>
      <w:r w:rsidR="00697DED" w:rsidRPr="005D7471">
        <w:t xml:space="preserve">sponsor </w:t>
      </w:r>
      <w:r w:rsidR="00CC19B4" w:rsidRPr="005D7471">
        <w:t>certifying</w:t>
      </w:r>
      <w:r w:rsidR="00697DED" w:rsidRPr="005D7471">
        <w:t xml:space="preserve"> </w:t>
      </w:r>
      <w:r w:rsidR="00CC19B4" w:rsidRPr="005D7471">
        <w:t xml:space="preserve">the nominee’s qualifications and experience, aligning to the occupation’s </w:t>
      </w:r>
      <w:r w:rsidR="00697DED" w:rsidRPr="005D7471">
        <w:t>tasks as defined in ANZSCO</w:t>
      </w:r>
      <w:r w:rsidR="00CC19B4" w:rsidRPr="005D7471">
        <w:t xml:space="preserve"> </w:t>
      </w:r>
    </w:p>
    <w:p w:rsidR="00D106B5" w:rsidRPr="005D7471" w:rsidRDefault="009D320F" w:rsidP="003C228D">
      <w:pPr>
        <w:pStyle w:val="Bulletlist-level1"/>
        <w:spacing w:line="276" w:lineRule="auto"/>
      </w:pPr>
      <w:proofErr w:type="gramStart"/>
      <w:r>
        <w:t>the</w:t>
      </w:r>
      <w:proofErr w:type="gramEnd"/>
      <w:r>
        <w:t xml:space="preserve"> </w:t>
      </w:r>
      <w:r w:rsidR="00D106B5" w:rsidRPr="005D7471">
        <w:t xml:space="preserve">employer </w:t>
      </w:r>
      <w:r w:rsidR="002B5D03" w:rsidRPr="005D7471">
        <w:t>attest</w:t>
      </w:r>
      <w:r w:rsidR="00CC19B4" w:rsidRPr="005D7471">
        <w:t>ing</w:t>
      </w:r>
      <w:r w:rsidR="002B5D03" w:rsidRPr="005D7471">
        <w:t xml:space="preserve"> to </w:t>
      </w:r>
      <w:r w:rsidR="00D106B5" w:rsidRPr="005D7471">
        <w:t>a strong record of, or demonstrated commitment to</w:t>
      </w:r>
      <w:r w:rsidR="00E647A7" w:rsidRPr="005D7471">
        <w:t>,</w:t>
      </w:r>
      <w:r w:rsidR="00D106B5" w:rsidRPr="005D7471">
        <w:t xml:space="preserve"> employing </w:t>
      </w:r>
      <w:r w:rsidR="00571430" w:rsidRPr="005D7471">
        <w:t>local labour and non–</w:t>
      </w:r>
      <w:r w:rsidR="00D106B5" w:rsidRPr="005D7471">
        <w:t>disc</w:t>
      </w:r>
      <w:r w:rsidR="00697DED" w:rsidRPr="005D7471">
        <w:t>riminatory employment practices</w:t>
      </w:r>
      <w:r w:rsidR="00D106B5" w:rsidRPr="005D7471">
        <w:t>.</w:t>
      </w:r>
    </w:p>
    <w:p w:rsidR="00D106B5" w:rsidRPr="005D7471" w:rsidRDefault="00D106B5" w:rsidP="003C228D">
      <w:pPr>
        <w:spacing w:line="276" w:lineRule="auto"/>
      </w:pPr>
      <w:r w:rsidRPr="005D7471">
        <w:t>As long as the</w:t>
      </w:r>
      <w:r w:rsidR="00697DED" w:rsidRPr="005D7471">
        <w:t xml:space="preserve"> commitment, certification and</w:t>
      </w:r>
      <w:r w:rsidRPr="005D7471">
        <w:t xml:space="preserve"> attestation were made, the existing legislation did not allow the Department to refuse an application or cancel a sponsorship</w:t>
      </w:r>
      <w:r w:rsidR="00BE3DF4" w:rsidRPr="005D7471">
        <w:t xml:space="preserve"> if </w:t>
      </w:r>
      <w:r w:rsidR="00C61699" w:rsidRPr="005D7471">
        <w:t xml:space="preserve">there were </w:t>
      </w:r>
      <w:r w:rsidRPr="005D7471">
        <w:t>concerns as to the validity of a sponsor’s statements.</w:t>
      </w:r>
    </w:p>
    <w:p w:rsidR="00D106B5" w:rsidRPr="005D7471" w:rsidRDefault="00D106B5" w:rsidP="003C228D">
      <w:pPr>
        <w:spacing w:line="276" w:lineRule="auto"/>
      </w:pPr>
      <w:r w:rsidRPr="005D7471">
        <w:t>To mitigate possible risks within the 457 programme</w:t>
      </w:r>
      <w:r w:rsidR="002B5D03" w:rsidRPr="005D7471">
        <w:t>,</w:t>
      </w:r>
      <w:r w:rsidRPr="005D7471">
        <w:t xml:space="preserve"> measures were introduced to:</w:t>
      </w:r>
    </w:p>
    <w:p w:rsidR="001940E2" w:rsidRPr="005D7471" w:rsidRDefault="001940E2" w:rsidP="003C228D">
      <w:pPr>
        <w:pStyle w:val="ListParagraph"/>
        <w:numPr>
          <w:ilvl w:val="0"/>
          <w:numId w:val="5"/>
        </w:numPr>
        <w:spacing w:after="60" w:line="276" w:lineRule="auto"/>
      </w:pPr>
      <w:r w:rsidRPr="005D7471">
        <w:t>legally obligate sponsors to contribut</w:t>
      </w:r>
      <w:r w:rsidR="00C61699" w:rsidRPr="005D7471">
        <w:t>e</w:t>
      </w:r>
      <w:r w:rsidRPr="005D7471">
        <w:t xml:space="preserve"> to</w:t>
      </w:r>
      <w:r w:rsidR="00D17648" w:rsidRPr="005D7471">
        <w:t>wards</w:t>
      </w:r>
      <w:r w:rsidRPr="005D7471">
        <w:t xml:space="preserve"> training Australians</w:t>
      </w:r>
      <w:r w:rsidR="00D17648" w:rsidRPr="005D7471">
        <w:t>,</w:t>
      </w:r>
      <w:r w:rsidRPr="005D7471">
        <w:t xml:space="preserve"> while</w:t>
      </w:r>
      <w:r w:rsidR="00C61699" w:rsidRPr="005D7471">
        <w:t xml:space="preserve"> continuing to</w:t>
      </w:r>
      <w:r w:rsidRPr="005D7471">
        <w:t xml:space="preserve"> access the programme</w:t>
      </w:r>
    </w:p>
    <w:p w:rsidR="00D106B5" w:rsidRPr="005D7471" w:rsidRDefault="00A832C1" w:rsidP="003C228D">
      <w:pPr>
        <w:pStyle w:val="ListParagraph"/>
        <w:numPr>
          <w:ilvl w:val="0"/>
          <w:numId w:val="5"/>
        </w:numPr>
        <w:spacing w:after="60" w:line="276" w:lineRule="auto"/>
      </w:pPr>
      <w:r w:rsidRPr="005D7471">
        <w:t>verify nominated positions were genuine</w:t>
      </w:r>
    </w:p>
    <w:p w:rsidR="001940E2" w:rsidRDefault="000D2A94" w:rsidP="003C228D">
      <w:pPr>
        <w:pStyle w:val="ListParagraph"/>
        <w:numPr>
          <w:ilvl w:val="0"/>
          <w:numId w:val="5"/>
        </w:numPr>
        <w:spacing w:after="60" w:line="276" w:lineRule="auto"/>
      </w:pPr>
      <w:r>
        <w:t xml:space="preserve">remove occupation based </w:t>
      </w:r>
      <w:r w:rsidR="001940E2" w:rsidRPr="005D7471">
        <w:t xml:space="preserve">English language </w:t>
      </w:r>
      <w:r>
        <w:t>exemptions to prevent circumventing of English language requirements</w:t>
      </w:r>
    </w:p>
    <w:p w:rsidR="00F50F78" w:rsidRDefault="000D2A94" w:rsidP="003C228D">
      <w:pPr>
        <w:pStyle w:val="ListParagraph"/>
        <w:numPr>
          <w:ilvl w:val="0"/>
          <w:numId w:val="5"/>
        </w:numPr>
        <w:spacing w:after="60" w:line="276" w:lineRule="auto"/>
      </w:pPr>
      <w:proofErr w:type="gramStart"/>
      <w:r>
        <w:t>require</w:t>
      </w:r>
      <w:proofErr w:type="gramEnd"/>
      <w:r>
        <w:t xml:space="preserve"> </w:t>
      </w:r>
      <w:r w:rsidRPr="005D7471">
        <w:t>employers to provide evidence they had tested the Australian labour market prior to sponsoring a worker under the 457 programme</w:t>
      </w:r>
      <w:bookmarkStart w:id="20" w:name="_Toc430181386"/>
      <w:r w:rsidR="004A23CF">
        <w:t>.</w:t>
      </w:r>
    </w:p>
    <w:p w:rsidR="00D106B5" w:rsidRPr="005D7471" w:rsidRDefault="00D106B5" w:rsidP="003C228D">
      <w:pPr>
        <w:pStyle w:val="Heading2"/>
      </w:pPr>
      <w:bookmarkStart w:id="21" w:name="_Toc444499113"/>
      <w:r w:rsidRPr="005D7471">
        <w:t>What options were considered?</w:t>
      </w:r>
      <w:bookmarkEnd w:id="20"/>
      <w:bookmarkEnd w:id="21"/>
    </w:p>
    <w:p w:rsidR="00D106B5" w:rsidRPr="005D7471" w:rsidRDefault="00B65A5A" w:rsidP="003C228D">
      <w:pPr>
        <w:spacing w:line="276" w:lineRule="auto"/>
      </w:pPr>
      <w:r w:rsidRPr="005D7471">
        <w:t xml:space="preserve">In addition to </w:t>
      </w:r>
      <w:r w:rsidR="00A16EFE" w:rsidRPr="005D7471">
        <w:t xml:space="preserve">the four </w:t>
      </w:r>
      <w:r w:rsidRPr="005D7471">
        <w:t>options</w:t>
      </w:r>
      <w:r w:rsidR="00A16EFE" w:rsidRPr="005D7471">
        <w:t xml:space="preserve"> implemented in 2013</w:t>
      </w:r>
      <w:r w:rsidR="002B5D03" w:rsidRPr="005D7471">
        <w:t>,</w:t>
      </w:r>
      <w:r w:rsidRPr="005D7471">
        <w:t xml:space="preserve"> there were two options </w:t>
      </w:r>
      <w:r w:rsidR="002B5D03" w:rsidRPr="005D7471">
        <w:t>that did</w:t>
      </w:r>
      <w:r w:rsidRPr="005D7471">
        <w:t xml:space="preserve"> not progress due to concerns raised by stakeholders during consultation in October 2012. </w:t>
      </w:r>
      <w:r w:rsidR="00D106B5" w:rsidRPr="005D7471">
        <w:t>Consultation forums included:</w:t>
      </w:r>
    </w:p>
    <w:p w:rsidR="00D106B5" w:rsidRPr="005D7471" w:rsidRDefault="00055C21" w:rsidP="003C228D">
      <w:pPr>
        <w:pStyle w:val="Bulletlist-level1"/>
        <w:spacing w:line="276" w:lineRule="auto"/>
      </w:pPr>
      <w:r w:rsidRPr="005D7471">
        <w:t>D</w:t>
      </w:r>
      <w:r w:rsidR="00D106B5" w:rsidRPr="005D7471">
        <w:t>epartmental</w:t>
      </w:r>
      <w:r w:rsidR="002B5D03" w:rsidRPr="005D7471">
        <w:t>:</w:t>
      </w:r>
      <w:r w:rsidR="00D106B5" w:rsidRPr="005D7471">
        <w:t xml:space="preserve"> workshop with representatives from policy, legal, client services</w:t>
      </w:r>
      <w:r w:rsidR="002B5D03" w:rsidRPr="005D7471">
        <w:t>,</w:t>
      </w:r>
      <w:r w:rsidR="00D106B5" w:rsidRPr="005D7471">
        <w:t xml:space="preserve"> and operational integrity</w:t>
      </w:r>
    </w:p>
    <w:p w:rsidR="00D106B5" w:rsidRPr="005D7471" w:rsidRDefault="00055C21" w:rsidP="003C228D">
      <w:pPr>
        <w:pStyle w:val="Bulletlist-level1"/>
        <w:spacing w:line="276" w:lineRule="auto"/>
      </w:pPr>
      <w:r w:rsidRPr="005D7471">
        <w:t>O</w:t>
      </w:r>
      <w:r w:rsidR="00D106B5" w:rsidRPr="005D7471">
        <w:t xml:space="preserve">ther Commonwealth </w:t>
      </w:r>
      <w:r w:rsidR="002B5D03" w:rsidRPr="005D7471">
        <w:t>agencies:</w:t>
      </w:r>
      <w:r w:rsidR="00571430" w:rsidRPr="005D7471">
        <w:t xml:space="preserve"> inter–</w:t>
      </w:r>
      <w:r w:rsidR="00D106B5" w:rsidRPr="005D7471">
        <w:t>departmental committee (IDC)</w:t>
      </w:r>
    </w:p>
    <w:p w:rsidR="00D106B5" w:rsidRPr="005D7471" w:rsidRDefault="00055C21" w:rsidP="003C228D">
      <w:pPr>
        <w:pStyle w:val="Bulletlist-level1"/>
        <w:spacing w:line="276" w:lineRule="auto"/>
      </w:pPr>
      <w:r w:rsidRPr="005D7471">
        <w:t>S</w:t>
      </w:r>
      <w:r w:rsidR="005F5C20" w:rsidRPr="005D7471">
        <w:t>tate and Territory G</w:t>
      </w:r>
      <w:r w:rsidR="00D106B5" w:rsidRPr="005D7471">
        <w:t>overnments</w:t>
      </w:r>
      <w:r w:rsidR="002B5D03" w:rsidRPr="005D7471">
        <w:t>:</w:t>
      </w:r>
      <w:r w:rsidR="00697DED" w:rsidRPr="005D7471">
        <w:t xml:space="preserve"> </w:t>
      </w:r>
      <w:r w:rsidR="00D106B5" w:rsidRPr="005D7471">
        <w:t>Senior Migration Officials Group (SMOG)</w:t>
      </w:r>
    </w:p>
    <w:p w:rsidR="00D106B5" w:rsidRPr="005D7471" w:rsidRDefault="00055C21" w:rsidP="003C228D">
      <w:pPr>
        <w:pStyle w:val="Bulletlist-level1"/>
        <w:spacing w:line="276" w:lineRule="auto"/>
      </w:pPr>
      <w:r w:rsidRPr="005D7471">
        <w:t>I</w:t>
      </w:r>
      <w:r w:rsidR="00D106B5" w:rsidRPr="005D7471">
        <w:t>ndustry and union associations</w:t>
      </w:r>
      <w:r w:rsidR="004F6A0E" w:rsidRPr="005D7471">
        <w:t>:</w:t>
      </w:r>
      <w:r w:rsidR="00D106B5" w:rsidRPr="005D7471">
        <w:t xml:space="preserve"> Minist</w:t>
      </w:r>
      <w:r w:rsidR="00373009">
        <w:t>erial</w:t>
      </w:r>
      <w:r w:rsidR="00D106B5" w:rsidRPr="005D7471">
        <w:t xml:space="preserve"> Advisory </w:t>
      </w:r>
      <w:r w:rsidR="006608E2" w:rsidRPr="005D7471">
        <w:t>Co</w:t>
      </w:r>
      <w:r w:rsidR="006608E2">
        <w:t xml:space="preserve">uncil </w:t>
      </w:r>
      <w:r w:rsidR="00D106B5" w:rsidRPr="005D7471">
        <w:t>on Skilled Migration (MACSM).</w:t>
      </w:r>
    </w:p>
    <w:p w:rsidR="002B5D03" w:rsidRPr="005D7471" w:rsidRDefault="00D106B5" w:rsidP="003C228D">
      <w:pPr>
        <w:spacing w:line="276" w:lineRule="auto"/>
      </w:pPr>
      <w:r w:rsidRPr="005D7471">
        <w:t>During late July and August 2013, the Department also undertook targeted consultations seeking stakeho</w:t>
      </w:r>
      <w:r w:rsidR="009247F8">
        <w:t xml:space="preserve">lder views on implementation of </w:t>
      </w:r>
      <w:r w:rsidRPr="005D7471">
        <w:t>LMT.</w:t>
      </w:r>
      <w:r w:rsidR="00F552C3" w:rsidRPr="005D7471">
        <w:t xml:space="preserve">  </w:t>
      </w:r>
    </w:p>
    <w:p w:rsidR="00D106B5" w:rsidRPr="005D7471" w:rsidRDefault="00B65A5A" w:rsidP="003C228D">
      <w:pPr>
        <w:spacing w:line="276" w:lineRule="auto"/>
      </w:pPr>
      <w:r w:rsidRPr="005D7471">
        <w:t>The</w:t>
      </w:r>
      <w:r w:rsidR="00A16EFE" w:rsidRPr="005D7471">
        <w:t xml:space="preserve"> </w:t>
      </w:r>
      <w:r w:rsidR="00D106B5" w:rsidRPr="005D7471">
        <w:t>two</w:t>
      </w:r>
      <w:r w:rsidR="00A16EFE" w:rsidRPr="005D7471">
        <w:t xml:space="preserve"> </w:t>
      </w:r>
      <w:r w:rsidR="00D106B5" w:rsidRPr="005D7471">
        <w:t>provisions</w:t>
      </w:r>
      <w:r w:rsidR="00A16EFE" w:rsidRPr="005D7471">
        <w:t xml:space="preserve"> that were </w:t>
      </w:r>
      <w:r w:rsidR="00373009">
        <w:t>considered</w:t>
      </w:r>
      <w:r w:rsidR="00373009" w:rsidRPr="005D7471">
        <w:t xml:space="preserve"> </w:t>
      </w:r>
      <w:r w:rsidR="00A16EFE" w:rsidRPr="005D7471">
        <w:t>but</w:t>
      </w:r>
      <w:r w:rsidR="00D106B5" w:rsidRPr="005D7471">
        <w:t xml:space="preserve"> not progressed</w:t>
      </w:r>
      <w:r w:rsidRPr="005D7471">
        <w:t xml:space="preserve"> were</w:t>
      </w:r>
      <w:r w:rsidR="00D106B5" w:rsidRPr="005D7471">
        <w:t xml:space="preserve">: </w:t>
      </w:r>
    </w:p>
    <w:p w:rsidR="00D106B5" w:rsidRPr="005D7471" w:rsidRDefault="00D106B5" w:rsidP="003C228D">
      <w:pPr>
        <w:pStyle w:val="ListParagraph"/>
        <w:numPr>
          <w:ilvl w:val="0"/>
          <w:numId w:val="18"/>
        </w:numPr>
        <w:spacing w:line="276" w:lineRule="auto"/>
        <w:rPr>
          <w:b/>
        </w:rPr>
      </w:pPr>
      <w:r w:rsidRPr="005D7471">
        <w:rPr>
          <w:b/>
        </w:rPr>
        <w:t>Making the employer attestation of their commitment to employing Australians a binding commitment under the sponsor obligation framework</w:t>
      </w:r>
    </w:p>
    <w:p w:rsidR="00D106B5" w:rsidRPr="005D7471" w:rsidRDefault="00D17648" w:rsidP="003C228D">
      <w:pPr>
        <w:spacing w:line="276" w:lineRule="auto"/>
        <w:ind w:left="360"/>
      </w:pPr>
      <w:r w:rsidRPr="005D7471">
        <w:t>As part of the sponsor obligation framework, t</w:t>
      </w:r>
      <w:r w:rsidR="00D106B5" w:rsidRPr="005D7471">
        <w:t>he Department initially proposed</w:t>
      </w:r>
      <w:r w:rsidRPr="005D7471">
        <w:t xml:space="preserve"> binding sponsors to their commitment of</w:t>
      </w:r>
      <w:r w:rsidR="00D106B5" w:rsidRPr="005D7471">
        <w:t xml:space="preserve"> a strong record</w:t>
      </w:r>
      <w:r w:rsidRPr="005D7471">
        <w:t>,</w:t>
      </w:r>
      <w:r w:rsidR="00D106B5" w:rsidRPr="005D7471">
        <w:t xml:space="preserve"> or </w:t>
      </w:r>
      <w:r w:rsidRPr="005D7471">
        <w:t xml:space="preserve">dedication </w:t>
      </w:r>
      <w:r w:rsidR="00D106B5" w:rsidRPr="005D7471">
        <w:t>to,</w:t>
      </w:r>
      <w:r w:rsidR="00571430" w:rsidRPr="005D7471">
        <w:t xml:space="preserve"> employing local labour and non</w:t>
      </w:r>
      <w:r w:rsidR="00FD2F8D" w:rsidRPr="005D7471">
        <w:t>–</w:t>
      </w:r>
      <w:r w:rsidR="00D106B5" w:rsidRPr="005D7471">
        <w:t>discriminatory employment practices.</w:t>
      </w:r>
    </w:p>
    <w:p w:rsidR="008B4648" w:rsidRDefault="00D106B5" w:rsidP="003C228D">
      <w:pPr>
        <w:spacing w:line="276" w:lineRule="auto"/>
        <w:ind w:left="360"/>
      </w:pPr>
      <w:r w:rsidRPr="005D7471">
        <w:t>An alternate option of introducing a binding obligation to enable the Department to take action if sponsors engage in discriminatory recruitment practices was considered feasible.</w:t>
      </w:r>
      <w:r w:rsidR="009D6FA7">
        <w:t xml:space="preserve"> </w:t>
      </w:r>
      <w:r w:rsidRPr="005D7471">
        <w:t xml:space="preserve">However, this option was later withdrawn when it was decided to introduce LMT. </w:t>
      </w:r>
    </w:p>
    <w:p w:rsidR="008B4648" w:rsidRDefault="008B4648">
      <w:pPr>
        <w:spacing w:before="0" w:after="200" w:line="276" w:lineRule="auto"/>
      </w:pPr>
      <w:r>
        <w:br w:type="page"/>
      </w:r>
    </w:p>
    <w:p w:rsidR="00D106B5" w:rsidRPr="005D7471" w:rsidRDefault="00D106B5" w:rsidP="003C228D">
      <w:pPr>
        <w:spacing w:line="276" w:lineRule="auto"/>
        <w:ind w:left="360"/>
      </w:pPr>
    </w:p>
    <w:p w:rsidR="00D106B5" w:rsidRPr="005D7471" w:rsidRDefault="00D106B5" w:rsidP="003C228D">
      <w:pPr>
        <w:pStyle w:val="ListParagraph"/>
        <w:numPr>
          <w:ilvl w:val="0"/>
          <w:numId w:val="18"/>
        </w:numPr>
        <w:spacing w:line="276" w:lineRule="auto"/>
        <w:rPr>
          <w:b/>
        </w:rPr>
      </w:pPr>
      <w:r w:rsidRPr="005D7471">
        <w:rPr>
          <w:b/>
        </w:rPr>
        <w:t>Removing occupations of concern from the 457 programme list of eligible occupations</w:t>
      </w:r>
    </w:p>
    <w:p w:rsidR="00D106B5" w:rsidRPr="005D7471" w:rsidRDefault="00D106B5" w:rsidP="003C228D">
      <w:pPr>
        <w:spacing w:line="276" w:lineRule="auto"/>
        <w:ind w:left="360"/>
      </w:pPr>
      <w:r w:rsidRPr="005D7471">
        <w:t xml:space="preserve">Noting the issues with the </w:t>
      </w:r>
      <w:r w:rsidR="00310A3E" w:rsidRPr="005D7471">
        <w:t>Program and Project Adminis</w:t>
      </w:r>
      <w:r w:rsidR="00E97C14" w:rsidRPr="005D7471">
        <w:t>t</w:t>
      </w:r>
      <w:r w:rsidR="009D6FA7">
        <w:t xml:space="preserve">rators and Specialist Managers </w:t>
      </w:r>
      <w:r w:rsidR="00310A3E" w:rsidRPr="005D7471">
        <w:t xml:space="preserve">(not elsewhere classified) </w:t>
      </w:r>
      <w:r w:rsidRPr="005D7471">
        <w:t>occupations, the Department initially proposed removing them from the list of eligible occupations.</w:t>
      </w:r>
      <w:r w:rsidR="00F552C3" w:rsidRPr="005D7471">
        <w:t xml:space="preserve"> </w:t>
      </w:r>
      <w:r w:rsidRPr="005D7471">
        <w:t>However, this was reviewed due to</w:t>
      </w:r>
      <w:r w:rsidR="006E5A60" w:rsidRPr="005D7471">
        <w:t xml:space="preserve"> stakeholder</w:t>
      </w:r>
      <w:r w:rsidRPr="005D7471">
        <w:t xml:space="preserve"> concerns about restricting access by employers who were legitimately sponsoring workers </w:t>
      </w:r>
      <w:r w:rsidR="00E93D42" w:rsidRPr="005D7471">
        <w:t>with these occupations</w:t>
      </w:r>
      <w:r w:rsidRPr="005D7471">
        <w:t xml:space="preserve">. </w:t>
      </w:r>
    </w:p>
    <w:p w:rsidR="00D106B5" w:rsidRPr="005D7471" w:rsidRDefault="00D106B5" w:rsidP="003C228D">
      <w:pPr>
        <w:spacing w:line="276" w:lineRule="auto"/>
        <w:ind w:left="360"/>
      </w:pPr>
      <w:r w:rsidRPr="005D7471">
        <w:t>This issue was addressed by changing policy settings to make skill assessments for these occupations mandatory</w:t>
      </w:r>
      <w:r w:rsidR="006E5A60" w:rsidRPr="005D7471">
        <w:t>, introducing</w:t>
      </w:r>
      <w:r w:rsidR="009203AD">
        <w:t xml:space="preserve"> the genuine position amendment</w:t>
      </w:r>
      <w:r w:rsidR="00E93D42" w:rsidRPr="005D7471">
        <w:t>,</w:t>
      </w:r>
      <w:r w:rsidRPr="005D7471">
        <w:t xml:space="preserve"> and changing the exemptions to the English language provisions.</w:t>
      </w:r>
    </w:p>
    <w:p w:rsidR="00AB6919" w:rsidRDefault="00AB6919" w:rsidP="003C228D">
      <w:pPr>
        <w:spacing w:before="0" w:after="200" w:line="276" w:lineRule="auto"/>
      </w:pPr>
      <w:bookmarkStart w:id="22" w:name="_Toc430181387"/>
      <w:r w:rsidRPr="005D7471">
        <w:br w:type="page"/>
      </w:r>
    </w:p>
    <w:p w:rsidR="00D106B5" w:rsidRPr="005D7471" w:rsidRDefault="00A16EFE" w:rsidP="003C228D">
      <w:pPr>
        <w:pStyle w:val="Heading1"/>
        <w:spacing w:line="276" w:lineRule="auto"/>
      </w:pPr>
      <w:bookmarkStart w:id="23" w:name="_Toc444499114"/>
      <w:r w:rsidRPr="005D7471">
        <w:lastRenderedPageBreak/>
        <w:t>Consultation</w:t>
      </w:r>
      <w:bookmarkEnd w:id="22"/>
      <w:bookmarkEnd w:id="23"/>
      <w:r w:rsidR="00D106B5" w:rsidRPr="005D7471">
        <w:t xml:space="preserve"> </w:t>
      </w:r>
    </w:p>
    <w:p w:rsidR="00A16EFE" w:rsidRPr="005D7471" w:rsidRDefault="007C73CD" w:rsidP="003C228D">
      <w:pPr>
        <w:spacing w:line="276" w:lineRule="auto"/>
      </w:pPr>
      <w:bookmarkStart w:id="24" w:name="_Toc430181390"/>
      <w:r w:rsidRPr="005D7471">
        <w:t>S</w:t>
      </w:r>
      <w:r w:rsidR="00A16EFE" w:rsidRPr="005D7471">
        <w:t>takeholders</w:t>
      </w:r>
      <w:r w:rsidRPr="005D7471">
        <w:t xml:space="preserve"> were consulted</w:t>
      </w:r>
      <w:r w:rsidR="00A16EFE" w:rsidRPr="005D7471">
        <w:t xml:space="preserve"> on the impact of the 2013 legislative amendments to the </w:t>
      </w:r>
      <w:r w:rsidR="004A23CF">
        <w:t>457 </w:t>
      </w:r>
      <w:r w:rsidR="00A16EFE" w:rsidRPr="005D7471">
        <w:t xml:space="preserve">programme </w:t>
      </w:r>
      <w:r w:rsidRPr="005D7471">
        <w:t>visa</w:t>
      </w:r>
      <w:r w:rsidR="00082856" w:rsidRPr="005D7471">
        <w:t xml:space="preserve"> </w:t>
      </w:r>
      <w:r w:rsidR="00E93D42" w:rsidRPr="005D7471">
        <w:t>as part of</w:t>
      </w:r>
      <w:r w:rsidR="005861C3" w:rsidRPr="005D7471">
        <w:t xml:space="preserve"> an independent review</w:t>
      </w:r>
      <w:r w:rsidR="00794D2A">
        <w:t xml:space="preserve"> and </w:t>
      </w:r>
      <w:r w:rsidR="005861C3" w:rsidRPr="005D7471">
        <w:t xml:space="preserve">a </w:t>
      </w:r>
      <w:r w:rsidR="00A16EFE" w:rsidRPr="005D7471">
        <w:t>surve</w:t>
      </w:r>
      <w:r w:rsidR="002E26E4" w:rsidRPr="005D7471">
        <w:t xml:space="preserve">y </w:t>
      </w:r>
      <w:r w:rsidR="00A16EFE" w:rsidRPr="005D7471">
        <w:t>of</w:t>
      </w:r>
      <w:r w:rsidRPr="005D7471">
        <w:t xml:space="preserve"> </w:t>
      </w:r>
      <w:r w:rsidR="00A16EFE" w:rsidRPr="005D7471">
        <w:t xml:space="preserve">457 sponsors. </w:t>
      </w:r>
      <w:r w:rsidR="00B65A5A" w:rsidRPr="005D7471">
        <w:t>This</w:t>
      </w:r>
      <w:r w:rsidR="00794D2A">
        <w:t> </w:t>
      </w:r>
      <w:r w:rsidR="00B65A5A" w:rsidRPr="005D7471">
        <w:t>section provides general information on the review and survey</w:t>
      </w:r>
      <w:r w:rsidR="00B5751E">
        <w:t xml:space="preserve">. Specific feedback on the </w:t>
      </w:r>
      <w:r w:rsidR="00794D2A">
        <w:t xml:space="preserve">four </w:t>
      </w:r>
      <w:r w:rsidR="00B5751E">
        <w:t>amendments is considered</w:t>
      </w:r>
      <w:r w:rsidR="00082856" w:rsidRPr="005D7471">
        <w:t xml:space="preserve"> when analysing the</w:t>
      </w:r>
      <w:r w:rsidR="00B5751E">
        <w:t>ir</w:t>
      </w:r>
      <w:r w:rsidR="00082856" w:rsidRPr="005D7471">
        <w:t xml:space="preserve"> impact</w:t>
      </w:r>
      <w:r w:rsidR="00B65A5A" w:rsidRPr="005D7471">
        <w:t>.</w:t>
      </w:r>
    </w:p>
    <w:p w:rsidR="00D106B5" w:rsidRPr="005D7471" w:rsidRDefault="00A16EFE" w:rsidP="003C228D">
      <w:pPr>
        <w:pStyle w:val="Heading2"/>
      </w:pPr>
      <w:bookmarkStart w:id="25" w:name="_Toc444499115"/>
      <w:r w:rsidRPr="005D7471">
        <w:t>T</w:t>
      </w:r>
      <w:r w:rsidR="00D106B5" w:rsidRPr="005D7471">
        <w:t xml:space="preserve">he 2014 </w:t>
      </w:r>
      <w:r w:rsidR="003B6DFF">
        <w:t>I</w:t>
      </w:r>
      <w:r w:rsidR="00D106B5" w:rsidRPr="005D7471">
        <w:t xml:space="preserve">ntegrity </w:t>
      </w:r>
      <w:r w:rsidR="003B6DFF">
        <w:t>R</w:t>
      </w:r>
      <w:r w:rsidR="00D106B5" w:rsidRPr="005D7471">
        <w:t>eview</w:t>
      </w:r>
      <w:bookmarkEnd w:id="25"/>
      <w:r w:rsidR="00D106B5" w:rsidRPr="005D7471">
        <w:t xml:space="preserve"> </w:t>
      </w:r>
      <w:bookmarkEnd w:id="24"/>
    </w:p>
    <w:p w:rsidR="00D106B5" w:rsidRPr="005D7471" w:rsidRDefault="00D106B5" w:rsidP="003C228D">
      <w:pPr>
        <w:spacing w:line="276" w:lineRule="auto"/>
      </w:pPr>
      <w:r w:rsidRPr="005D7471">
        <w:t xml:space="preserve">In February 2014, the Australian </w:t>
      </w:r>
      <w:r w:rsidR="00B655B0">
        <w:t>Government commissioned</w:t>
      </w:r>
      <w:r w:rsidRPr="005D7471">
        <w:t xml:space="preserve"> the Independent Review into </w:t>
      </w:r>
      <w:r w:rsidR="005861C3" w:rsidRPr="005D7471">
        <w:t>I</w:t>
      </w:r>
      <w:r w:rsidRPr="005D7471">
        <w:t xml:space="preserve">ntegrity in the </w:t>
      </w:r>
      <w:r w:rsidR="00055C21" w:rsidRPr="005D7471">
        <w:t xml:space="preserve">Subclass </w:t>
      </w:r>
      <w:r w:rsidRPr="005D7471">
        <w:t xml:space="preserve">457 </w:t>
      </w:r>
      <w:r w:rsidR="00055C21" w:rsidRPr="005D7471">
        <w:t>P</w:t>
      </w:r>
      <w:r w:rsidRPr="005D7471">
        <w:t>rogramme (the 457 Integrity Revi</w:t>
      </w:r>
      <w:r w:rsidR="005354BE">
        <w:t xml:space="preserve">ew). The review panel’s report: </w:t>
      </w:r>
      <w:r w:rsidRPr="005D7471">
        <w:rPr>
          <w:i/>
        </w:rPr>
        <w:t>Robust New Foundations – A Streamlined, Transparent and Responsive System for the 457 Programme,</w:t>
      </w:r>
      <w:r w:rsidRPr="005D7471">
        <w:t xml:space="preserve"> released </w:t>
      </w:r>
      <w:r w:rsidR="005354BE">
        <w:t xml:space="preserve">on </w:t>
      </w:r>
      <w:r w:rsidRPr="005D7471">
        <w:t>10 September 2014, is a comprehensive source of information on stakeholder views about the programme.</w:t>
      </w:r>
      <w:r w:rsidR="00B5751E">
        <w:rPr>
          <w:rStyle w:val="FootnoteReference"/>
        </w:rPr>
        <w:footnoteReference w:id="9"/>
      </w:r>
    </w:p>
    <w:p w:rsidR="005861C3" w:rsidRPr="005D7471" w:rsidRDefault="00D106B5" w:rsidP="003C228D">
      <w:pPr>
        <w:spacing w:line="276" w:lineRule="auto"/>
        <w:rPr>
          <w:rFonts w:eastAsiaTheme="minorHAnsi"/>
          <w:lang w:eastAsia="en-US"/>
        </w:rPr>
      </w:pPr>
      <w:r w:rsidRPr="005D7471">
        <w:t xml:space="preserve">The terms of reference for the 457 Integrity Review </w:t>
      </w:r>
      <w:r w:rsidR="00A81164">
        <w:t>required</w:t>
      </w:r>
      <w:r w:rsidR="00A81164" w:rsidRPr="005D7471">
        <w:t xml:space="preserve"> </w:t>
      </w:r>
      <w:r w:rsidR="00B655B0">
        <w:t>examining the integrity of the 457 </w:t>
      </w:r>
      <w:r w:rsidRPr="005D7471">
        <w:t>programme in the context of reforms made to t</w:t>
      </w:r>
      <w:r w:rsidR="002E26E4" w:rsidRPr="005D7471">
        <w:t>he programme over recent years</w:t>
      </w:r>
      <w:r w:rsidR="00B5751E">
        <w:t xml:space="preserve">, including the </w:t>
      </w:r>
      <w:r w:rsidR="00794D2A">
        <w:t xml:space="preserve">four </w:t>
      </w:r>
      <w:r w:rsidR="00B5751E">
        <w:t>amendments being assessed</w:t>
      </w:r>
      <w:r w:rsidRPr="005D7471">
        <w:t>.</w:t>
      </w:r>
    </w:p>
    <w:p w:rsidR="00E21863" w:rsidRPr="005D7471" w:rsidRDefault="00571430" w:rsidP="003C228D">
      <w:pPr>
        <w:spacing w:line="276" w:lineRule="auto"/>
        <w:rPr>
          <w:rFonts w:eastAsiaTheme="majorEastAsia" w:cstheme="majorBidi"/>
          <w:color w:val="007BC3" w:themeColor="accent2"/>
          <w:sz w:val="32"/>
          <w:szCs w:val="26"/>
        </w:rPr>
      </w:pPr>
      <w:r w:rsidRPr="005D7471">
        <w:rPr>
          <w:rFonts w:eastAsiaTheme="minorHAnsi"/>
          <w:lang w:eastAsia="en-US"/>
        </w:rPr>
        <w:t xml:space="preserve">The panel </w:t>
      </w:r>
      <w:r w:rsidR="00B5751E" w:rsidRPr="005D7471">
        <w:t xml:space="preserve">met with over 150 stakeholders </w:t>
      </w:r>
      <w:r w:rsidR="00EE142F">
        <w:t xml:space="preserve">through </w:t>
      </w:r>
      <w:r w:rsidR="00EE142F">
        <w:rPr>
          <w:rFonts w:eastAsiaTheme="minorHAnsi"/>
          <w:lang w:eastAsia="en-US"/>
        </w:rPr>
        <w:t>f</w:t>
      </w:r>
      <w:r w:rsidR="00EE142F" w:rsidRPr="005D7471">
        <w:rPr>
          <w:rFonts w:eastAsiaTheme="minorHAnsi"/>
          <w:lang w:eastAsia="en-US"/>
        </w:rPr>
        <w:t>ace–to–face meetings</w:t>
      </w:r>
      <w:r w:rsidR="00EE142F">
        <w:rPr>
          <w:rFonts w:eastAsiaTheme="minorHAnsi"/>
          <w:lang w:eastAsia="en-US"/>
        </w:rPr>
        <w:t xml:space="preserve"> and d</w:t>
      </w:r>
      <w:r w:rsidR="00EE142F" w:rsidRPr="005D7471">
        <w:rPr>
          <w:rFonts w:eastAsiaTheme="minorHAnsi"/>
          <w:lang w:eastAsia="en-US"/>
        </w:rPr>
        <w:t>iscussion forums in capital cities</w:t>
      </w:r>
      <w:r w:rsidR="00EE142F">
        <w:t xml:space="preserve"> </w:t>
      </w:r>
      <w:r w:rsidR="00B5751E" w:rsidRPr="005D7471">
        <w:t>and received 189 written submissions</w:t>
      </w:r>
      <w:r w:rsidR="00EE142F">
        <w:t>.</w:t>
      </w:r>
      <w:r w:rsidR="00EE142F">
        <w:rPr>
          <w:rStyle w:val="FootnoteReference"/>
        </w:rPr>
        <w:footnoteReference w:id="10"/>
      </w:r>
      <w:r w:rsidR="00EE142F">
        <w:rPr>
          <w:rFonts w:eastAsiaTheme="minorHAnsi"/>
          <w:lang w:eastAsia="en-US"/>
        </w:rPr>
        <w:t xml:space="preserve"> </w:t>
      </w:r>
      <w:r w:rsidR="00B5751E">
        <w:t>T</w:t>
      </w:r>
      <w:r w:rsidR="00D106B5" w:rsidRPr="005D7471">
        <w:t xml:space="preserve">he panel </w:t>
      </w:r>
      <w:r w:rsidR="00B5751E">
        <w:t xml:space="preserve">also </w:t>
      </w:r>
      <w:r w:rsidR="00D106B5" w:rsidRPr="005D7471">
        <w:t xml:space="preserve">used social media to invite comment, including a post on the Migration Blog and facilitating a live chat with the public </w:t>
      </w:r>
      <w:r w:rsidR="005861C3" w:rsidRPr="005D7471">
        <w:t>on</w:t>
      </w:r>
      <w:r w:rsidR="00D106B5" w:rsidRPr="005D7471">
        <w:t xml:space="preserve"> the </w:t>
      </w:r>
      <w:r w:rsidR="00F94587" w:rsidRPr="005D7471">
        <w:t>D</w:t>
      </w:r>
      <w:r w:rsidR="00D106B5" w:rsidRPr="005D7471">
        <w:t>epartment</w:t>
      </w:r>
      <w:r w:rsidR="00F94587" w:rsidRPr="005D7471">
        <w:t>’</w:t>
      </w:r>
      <w:r w:rsidR="00D106B5" w:rsidRPr="005D7471">
        <w:t>s Facebook page.</w:t>
      </w:r>
      <w:bookmarkStart w:id="26" w:name="_Toc430181391"/>
    </w:p>
    <w:p w:rsidR="00D106B5" w:rsidRPr="005D7471" w:rsidRDefault="00D106B5" w:rsidP="003C228D">
      <w:pPr>
        <w:pStyle w:val="Heading2"/>
      </w:pPr>
      <w:bookmarkStart w:id="27" w:name="_Toc444499116"/>
      <w:r w:rsidRPr="005D7471">
        <w:t xml:space="preserve">2014 </w:t>
      </w:r>
      <w:r w:rsidR="00CF24B4" w:rsidRPr="005D7471">
        <w:t>s</w:t>
      </w:r>
      <w:r w:rsidRPr="005D7471">
        <w:t xml:space="preserve">urvey of 457 </w:t>
      </w:r>
      <w:r w:rsidR="00CF24B4" w:rsidRPr="005D7471">
        <w:t>s</w:t>
      </w:r>
      <w:r w:rsidRPr="005D7471">
        <w:t>ponsors</w:t>
      </w:r>
      <w:bookmarkEnd w:id="26"/>
      <w:bookmarkEnd w:id="27"/>
      <w:r w:rsidRPr="005D7471">
        <w:t xml:space="preserve"> </w:t>
      </w:r>
    </w:p>
    <w:p w:rsidR="00D106B5" w:rsidRPr="005D7471" w:rsidRDefault="00D106B5" w:rsidP="003C228D">
      <w:pPr>
        <w:spacing w:line="276" w:lineRule="auto"/>
      </w:pPr>
      <w:r w:rsidRPr="005D7471">
        <w:t xml:space="preserve">To supplement </w:t>
      </w:r>
      <w:r w:rsidR="00EE142F">
        <w:t>consultation</w:t>
      </w:r>
      <w:r w:rsidR="000B5656">
        <w:t xml:space="preserve"> about the impact of the amendments</w:t>
      </w:r>
      <w:r w:rsidRPr="005D7471">
        <w:t xml:space="preserve">, the Department surveyed Australian </w:t>
      </w:r>
      <w:r w:rsidR="00EE142F">
        <w:t xml:space="preserve">457 </w:t>
      </w:r>
      <w:r w:rsidRPr="005D7471">
        <w:t>business sponsors in April</w:t>
      </w:r>
      <w:r w:rsidR="00193B20" w:rsidRPr="005D7471">
        <w:t xml:space="preserve"> and </w:t>
      </w:r>
      <w:r w:rsidRPr="005D7471">
        <w:t>May 2014.</w:t>
      </w:r>
      <w:r w:rsidR="00F552C3" w:rsidRPr="005D7471">
        <w:t xml:space="preserve"> </w:t>
      </w:r>
      <w:r w:rsidRPr="005D7471">
        <w:t>This survey sought information from sponsors about the effect of regulatory reforms to gauge their lev</w:t>
      </w:r>
      <w:r w:rsidR="00B655B0">
        <w:t>el of satisfaction with the 457 </w:t>
      </w:r>
      <w:r w:rsidRPr="005D7471">
        <w:t xml:space="preserve">programme. Some </w:t>
      </w:r>
      <w:r w:rsidR="00EE142F">
        <w:t xml:space="preserve">survey </w:t>
      </w:r>
      <w:r w:rsidRPr="005D7471">
        <w:t xml:space="preserve">questions replicated questions of a broader 457 </w:t>
      </w:r>
      <w:r w:rsidR="00EE142F" w:rsidRPr="005D7471">
        <w:t xml:space="preserve">survey </w:t>
      </w:r>
      <w:r w:rsidRPr="005D7471">
        <w:t>in 2012</w:t>
      </w:r>
      <w:r w:rsidR="00EE142F">
        <w:t>.</w:t>
      </w:r>
      <w:r w:rsidRPr="005D7471">
        <w:rPr>
          <w:rStyle w:val="FootnoteReference"/>
        </w:rPr>
        <w:footnoteReference w:id="11"/>
      </w:r>
      <w:r w:rsidRPr="005D7471">
        <w:t xml:space="preserve"> </w:t>
      </w:r>
    </w:p>
    <w:p w:rsidR="00D106B5" w:rsidRPr="005D7471" w:rsidRDefault="00D106B5" w:rsidP="003C228D">
      <w:pPr>
        <w:spacing w:line="276" w:lineRule="auto"/>
      </w:pPr>
      <w:r w:rsidRPr="005D7471">
        <w:t>Approximately 84</w:t>
      </w:r>
      <w:r w:rsidR="004D4035" w:rsidRPr="005D7471">
        <w:t xml:space="preserve"> per cent</w:t>
      </w:r>
      <w:r w:rsidRPr="005D7471">
        <w:t xml:space="preserve"> of </w:t>
      </w:r>
      <w:r w:rsidR="00DD3D9E">
        <w:t xml:space="preserve">the 305 </w:t>
      </w:r>
      <w:r w:rsidRPr="005D7471">
        <w:t>respondents were person</w:t>
      </w:r>
      <w:r w:rsidR="00B655B0">
        <w:t>ally involved in nominating 457 </w:t>
      </w:r>
      <w:r w:rsidRPr="005D7471">
        <w:t>visa holders before and after July 2013</w:t>
      </w:r>
      <w:r w:rsidR="004D4035" w:rsidRPr="005D7471">
        <w:t>,</w:t>
      </w:r>
      <w:r w:rsidRPr="005D7471">
        <w:t xml:space="preserve"> and provided comparative comments on changes.</w:t>
      </w:r>
      <w:r w:rsidR="00CF24B4" w:rsidRPr="005D7471">
        <w:t xml:space="preserve"> </w:t>
      </w:r>
      <w:r w:rsidRPr="005D7471">
        <w:t>As</w:t>
      </w:r>
      <w:r w:rsidR="000B5656">
        <w:t> </w:t>
      </w:r>
      <w:r w:rsidR="00E76EF1" w:rsidRPr="005D7471">
        <w:t>shown in table 1</w:t>
      </w:r>
      <w:r w:rsidR="000B5656">
        <w:t>,</w:t>
      </w:r>
      <w:r w:rsidRPr="005D7471">
        <w:t xml:space="preserve"> </w:t>
      </w:r>
      <w:r w:rsidR="000B5656">
        <w:t>the majority of respondents were small businesses</w:t>
      </w:r>
      <w:r w:rsidRPr="005D7471">
        <w:t>.</w:t>
      </w:r>
    </w:p>
    <w:p w:rsidR="00D106B5" w:rsidRPr="005D7471" w:rsidRDefault="00D106B5" w:rsidP="003C228D">
      <w:pPr>
        <w:pStyle w:val="Caption"/>
        <w:spacing w:line="276" w:lineRule="auto"/>
      </w:pPr>
      <w:r w:rsidRPr="005D7471">
        <w:t>Table 1</w:t>
      </w:r>
      <w:r w:rsidR="00A341C8" w:rsidRPr="005D7471">
        <w:t>:</w:t>
      </w:r>
      <w:r w:rsidRPr="005D7471">
        <w:t xml:space="preserve"> Survey respondents by size of business</w:t>
      </w:r>
    </w:p>
    <w:tbl>
      <w:tblPr>
        <w:tblStyle w:val="TableGrid"/>
        <w:tblW w:w="8647" w:type="dxa"/>
        <w:tblInd w:w="108" w:type="dxa"/>
        <w:tblLook w:val="04A0" w:firstRow="1" w:lastRow="0" w:firstColumn="1" w:lastColumn="0" w:noHBand="0" w:noVBand="1"/>
      </w:tblPr>
      <w:tblGrid>
        <w:gridCol w:w="1701"/>
        <w:gridCol w:w="2315"/>
        <w:gridCol w:w="2315"/>
        <w:gridCol w:w="2316"/>
      </w:tblGrid>
      <w:tr w:rsidR="00D106B5" w:rsidRPr="005D7471" w:rsidTr="005D45DD">
        <w:trPr>
          <w:trHeight w:val="487"/>
          <w:tblHeader/>
        </w:trPr>
        <w:tc>
          <w:tcPr>
            <w:tcW w:w="1701" w:type="dxa"/>
            <w:shd w:val="clear" w:color="auto" w:fill="336699"/>
            <w:vAlign w:val="center"/>
          </w:tcPr>
          <w:p w:rsidR="00D106B5" w:rsidRPr="005D7471" w:rsidRDefault="00D106B5" w:rsidP="003C228D">
            <w:pPr>
              <w:spacing w:before="0" w:after="0" w:line="276" w:lineRule="auto"/>
              <w:rPr>
                <w:b/>
                <w:color w:val="FFFFFF" w:themeColor="background1"/>
              </w:rPr>
            </w:pPr>
            <w:r w:rsidRPr="005D7471">
              <w:rPr>
                <w:b/>
                <w:color w:val="FFFFFF" w:themeColor="background1"/>
              </w:rPr>
              <w:t xml:space="preserve">Business </w:t>
            </w:r>
            <w:r w:rsidR="00E47275" w:rsidRPr="005D7471">
              <w:rPr>
                <w:b/>
                <w:color w:val="FFFFFF" w:themeColor="background1"/>
              </w:rPr>
              <w:t>s</w:t>
            </w:r>
            <w:r w:rsidRPr="005D7471">
              <w:rPr>
                <w:b/>
                <w:color w:val="FFFFFF" w:themeColor="background1"/>
              </w:rPr>
              <w:t>ize</w:t>
            </w:r>
          </w:p>
        </w:tc>
        <w:tc>
          <w:tcPr>
            <w:tcW w:w="2315" w:type="dxa"/>
            <w:shd w:val="clear" w:color="auto" w:fill="336699"/>
            <w:vAlign w:val="center"/>
          </w:tcPr>
          <w:p w:rsidR="00D106B5" w:rsidRPr="005D7471" w:rsidRDefault="00D106B5" w:rsidP="003C228D">
            <w:pPr>
              <w:spacing w:before="0" w:after="0" w:line="276" w:lineRule="auto"/>
              <w:rPr>
                <w:b/>
                <w:color w:val="FFFFFF" w:themeColor="background1"/>
              </w:rPr>
            </w:pPr>
            <w:r w:rsidRPr="005D7471">
              <w:rPr>
                <w:b/>
                <w:color w:val="FFFFFF" w:themeColor="background1"/>
              </w:rPr>
              <w:t>Number of employees</w:t>
            </w:r>
          </w:p>
        </w:tc>
        <w:tc>
          <w:tcPr>
            <w:tcW w:w="2315" w:type="dxa"/>
            <w:shd w:val="clear" w:color="auto" w:fill="336699"/>
            <w:vAlign w:val="center"/>
          </w:tcPr>
          <w:p w:rsidR="00D106B5" w:rsidRPr="005D7471" w:rsidRDefault="00D106B5" w:rsidP="003C228D">
            <w:pPr>
              <w:spacing w:before="0" w:after="0" w:line="276" w:lineRule="auto"/>
              <w:rPr>
                <w:b/>
                <w:color w:val="FFFFFF" w:themeColor="background1"/>
              </w:rPr>
            </w:pPr>
            <w:r w:rsidRPr="005D7471">
              <w:rPr>
                <w:b/>
                <w:color w:val="FFFFFF" w:themeColor="background1"/>
              </w:rPr>
              <w:t xml:space="preserve">Number of </w:t>
            </w:r>
            <w:r w:rsidR="00E47275" w:rsidRPr="005D7471">
              <w:rPr>
                <w:b/>
                <w:color w:val="FFFFFF" w:themeColor="background1"/>
              </w:rPr>
              <w:t>s</w:t>
            </w:r>
            <w:r w:rsidRPr="005D7471">
              <w:rPr>
                <w:b/>
                <w:color w:val="FFFFFF" w:themeColor="background1"/>
              </w:rPr>
              <w:t>ponsors</w:t>
            </w:r>
          </w:p>
        </w:tc>
        <w:tc>
          <w:tcPr>
            <w:tcW w:w="2316" w:type="dxa"/>
            <w:shd w:val="clear" w:color="auto" w:fill="336699"/>
            <w:vAlign w:val="center"/>
          </w:tcPr>
          <w:p w:rsidR="00D106B5" w:rsidRPr="005D7471" w:rsidRDefault="00D106B5" w:rsidP="003C228D">
            <w:pPr>
              <w:spacing w:before="0" w:after="0" w:line="276" w:lineRule="auto"/>
              <w:rPr>
                <w:b/>
                <w:color w:val="FFFFFF" w:themeColor="background1"/>
              </w:rPr>
            </w:pPr>
            <w:r w:rsidRPr="005D7471">
              <w:rPr>
                <w:b/>
                <w:color w:val="FFFFFF" w:themeColor="background1"/>
              </w:rPr>
              <w:t>% Total</w:t>
            </w:r>
          </w:p>
        </w:tc>
      </w:tr>
      <w:tr w:rsidR="00D106B5" w:rsidRPr="005D7471" w:rsidTr="00B52CA2">
        <w:trPr>
          <w:trHeight w:val="310"/>
        </w:trPr>
        <w:tc>
          <w:tcPr>
            <w:tcW w:w="1701" w:type="dxa"/>
            <w:vAlign w:val="center"/>
          </w:tcPr>
          <w:p w:rsidR="00D106B5" w:rsidRPr="005D7471" w:rsidRDefault="00D106B5" w:rsidP="003C228D">
            <w:pPr>
              <w:spacing w:before="0" w:after="0" w:line="276" w:lineRule="auto"/>
            </w:pPr>
            <w:r w:rsidRPr="005D7471">
              <w:t>Small</w:t>
            </w:r>
          </w:p>
        </w:tc>
        <w:tc>
          <w:tcPr>
            <w:tcW w:w="2315" w:type="dxa"/>
            <w:vAlign w:val="center"/>
          </w:tcPr>
          <w:p w:rsidR="00D106B5" w:rsidRPr="005D7471" w:rsidRDefault="00D106B5" w:rsidP="003C228D">
            <w:pPr>
              <w:spacing w:before="0" w:after="0" w:line="276" w:lineRule="auto"/>
            </w:pPr>
            <w:r w:rsidRPr="005D7471">
              <w:t>less than 20</w:t>
            </w:r>
          </w:p>
        </w:tc>
        <w:tc>
          <w:tcPr>
            <w:tcW w:w="2315" w:type="dxa"/>
            <w:vAlign w:val="center"/>
          </w:tcPr>
          <w:p w:rsidR="00D106B5" w:rsidRPr="005D7471" w:rsidRDefault="00D106B5" w:rsidP="003C228D">
            <w:pPr>
              <w:spacing w:before="0" w:after="0" w:line="276" w:lineRule="auto"/>
            </w:pPr>
            <w:r w:rsidRPr="005D7471">
              <w:t>190</w:t>
            </w:r>
          </w:p>
        </w:tc>
        <w:tc>
          <w:tcPr>
            <w:tcW w:w="2316" w:type="dxa"/>
            <w:vAlign w:val="center"/>
          </w:tcPr>
          <w:p w:rsidR="00D106B5" w:rsidRPr="005D7471" w:rsidRDefault="00D106B5" w:rsidP="003C228D">
            <w:pPr>
              <w:spacing w:before="0" w:after="0" w:line="276" w:lineRule="auto"/>
            </w:pPr>
            <w:r w:rsidRPr="005D7471">
              <w:t>62%</w:t>
            </w:r>
          </w:p>
        </w:tc>
      </w:tr>
      <w:tr w:rsidR="00D106B5" w:rsidRPr="005D7471" w:rsidTr="00B52CA2">
        <w:trPr>
          <w:trHeight w:val="310"/>
        </w:trPr>
        <w:tc>
          <w:tcPr>
            <w:tcW w:w="1701" w:type="dxa"/>
            <w:tcBorders>
              <w:bottom w:val="single" w:sz="4" w:space="0" w:color="auto"/>
            </w:tcBorders>
            <w:vAlign w:val="center"/>
          </w:tcPr>
          <w:p w:rsidR="00D106B5" w:rsidRPr="005D7471" w:rsidRDefault="00D106B5" w:rsidP="003C228D">
            <w:pPr>
              <w:spacing w:before="0" w:after="0" w:line="276" w:lineRule="auto"/>
            </w:pPr>
            <w:r w:rsidRPr="005D7471">
              <w:t>Medium</w:t>
            </w:r>
          </w:p>
        </w:tc>
        <w:tc>
          <w:tcPr>
            <w:tcW w:w="2315" w:type="dxa"/>
            <w:tcBorders>
              <w:bottom w:val="single" w:sz="4" w:space="0" w:color="auto"/>
            </w:tcBorders>
            <w:vAlign w:val="center"/>
          </w:tcPr>
          <w:p w:rsidR="00D106B5" w:rsidRPr="005D7471" w:rsidRDefault="00D106B5" w:rsidP="003C228D">
            <w:pPr>
              <w:spacing w:before="0" w:after="0" w:line="276" w:lineRule="auto"/>
            </w:pPr>
            <w:r w:rsidRPr="005D7471">
              <w:t>20 to 199</w:t>
            </w:r>
          </w:p>
        </w:tc>
        <w:tc>
          <w:tcPr>
            <w:tcW w:w="2315" w:type="dxa"/>
            <w:vAlign w:val="center"/>
          </w:tcPr>
          <w:p w:rsidR="00D106B5" w:rsidRPr="005D7471" w:rsidRDefault="00D106B5" w:rsidP="003C228D">
            <w:pPr>
              <w:spacing w:before="0" w:after="0" w:line="276" w:lineRule="auto"/>
            </w:pPr>
            <w:r w:rsidRPr="005D7471">
              <w:t>82</w:t>
            </w:r>
          </w:p>
        </w:tc>
        <w:tc>
          <w:tcPr>
            <w:tcW w:w="2316" w:type="dxa"/>
            <w:tcBorders>
              <w:bottom w:val="single" w:sz="4" w:space="0" w:color="auto"/>
            </w:tcBorders>
            <w:vAlign w:val="center"/>
          </w:tcPr>
          <w:p w:rsidR="00D106B5" w:rsidRPr="005D7471" w:rsidRDefault="00D106B5" w:rsidP="003C228D">
            <w:pPr>
              <w:spacing w:before="0" w:after="0" w:line="276" w:lineRule="auto"/>
            </w:pPr>
            <w:r w:rsidRPr="005D7471">
              <w:t>27%</w:t>
            </w:r>
          </w:p>
        </w:tc>
      </w:tr>
      <w:tr w:rsidR="00D106B5" w:rsidRPr="005D7471" w:rsidTr="00B52CA2">
        <w:trPr>
          <w:trHeight w:val="310"/>
        </w:trPr>
        <w:tc>
          <w:tcPr>
            <w:tcW w:w="1701" w:type="dxa"/>
            <w:tcBorders>
              <w:bottom w:val="single" w:sz="4" w:space="0" w:color="auto"/>
            </w:tcBorders>
            <w:vAlign w:val="center"/>
          </w:tcPr>
          <w:p w:rsidR="00D106B5" w:rsidRPr="005D7471" w:rsidRDefault="00D106B5" w:rsidP="003C228D">
            <w:pPr>
              <w:spacing w:before="0" w:after="0" w:line="276" w:lineRule="auto"/>
            </w:pPr>
            <w:r w:rsidRPr="005D7471">
              <w:t>Large</w:t>
            </w:r>
          </w:p>
        </w:tc>
        <w:tc>
          <w:tcPr>
            <w:tcW w:w="2315" w:type="dxa"/>
            <w:tcBorders>
              <w:bottom w:val="single" w:sz="4" w:space="0" w:color="auto"/>
            </w:tcBorders>
            <w:vAlign w:val="center"/>
          </w:tcPr>
          <w:p w:rsidR="00D106B5" w:rsidRPr="005D7471" w:rsidRDefault="00D106B5" w:rsidP="003C228D">
            <w:pPr>
              <w:spacing w:before="0" w:after="0" w:line="276" w:lineRule="auto"/>
            </w:pPr>
            <w:r w:rsidRPr="005D7471">
              <w:t>200 or more</w:t>
            </w:r>
          </w:p>
        </w:tc>
        <w:tc>
          <w:tcPr>
            <w:tcW w:w="2315" w:type="dxa"/>
            <w:tcBorders>
              <w:bottom w:val="single" w:sz="4" w:space="0" w:color="auto"/>
            </w:tcBorders>
            <w:vAlign w:val="center"/>
          </w:tcPr>
          <w:p w:rsidR="00D106B5" w:rsidRPr="005D7471" w:rsidRDefault="00D106B5" w:rsidP="003C228D">
            <w:pPr>
              <w:spacing w:before="0" w:after="0" w:line="276" w:lineRule="auto"/>
            </w:pPr>
            <w:r w:rsidRPr="005D7471">
              <w:t>33</w:t>
            </w:r>
          </w:p>
        </w:tc>
        <w:tc>
          <w:tcPr>
            <w:tcW w:w="2316" w:type="dxa"/>
            <w:tcBorders>
              <w:bottom w:val="single" w:sz="4" w:space="0" w:color="auto"/>
            </w:tcBorders>
            <w:vAlign w:val="center"/>
          </w:tcPr>
          <w:p w:rsidR="00D106B5" w:rsidRPr="005D7471" w:rsidRDefault="00D106B5" w:rsidP="003C228D">
            <w:pPr>
              <w:spacing w:before="0" w:after="0" w:line="276" w:lineRule="auto"/>
            </w:pPr>
            <w:r w:rsidRPr="005D7471">
              <w:t>11%</w:t>
            </w:r>
          </w:p>
        </w:tc>
      </w:tr>
      <w:tr w:rsidR="00D106B5" w:rsidRPr="005D7471" w:rsidTr="00B52CA2">
        <w:trPr>
          <w:trHeight w:val="310"/>
        </w:trPr>
        <w:tc>
          <w:tcPr>
            <w:tcW w:w="1701" w:type="dxa"/>
            <w:tcBorders>
              <w:top w:val="single" w:sz="4" w:space="0" w:color="auto"/>
              <w:left w:val="nil"/>
              <w:bottom w:val="nil"/>
              <w:right w:val="nil"/>
            </w:tcBorders>
            <w:vAlign w:val="center"/>
          </w:tcPr>
          <w:p w:rsidR="00D106B5" w:rsidRPr="005D7471" w:rsidRDefault="00D106B5" w:rsidP="003C228D">
            <w:pPr>
              <w:spacing w:before="0" w:after="0" w:line="276" w:lineRule="auto"/>
            </w:pPr>
          </w:p>
        </w:tc>
        <w:tc>
          <w:tcPr>
            <w:tcW w:w="2315" w:type="dxa"/>
            <w:tcBorders>
              <w:top w:val="single" w:sz="4" w:space="0" w:color="auto"/>
              <w:left w:val="nil"/>
              <w:bottom w:val="nil"/>
              <w:right w:val="single" w:sz="4" w:space="0" w:color="auto"/>
            </w:tcBorders>
            <w:vAlign w:val="center"/>
          </w:tcPr>
          <w:p w:rsidR="00D106B5" w:rsidRPr="005D7471" w:rsidRDefault="00D106B5" w:rsidP="003C228D">
            <w:pPr>
              <w:spacing w:before="0" w:after="0" w:line="276" w:lineRule="auto"/>
            </w:pPr>
          </w:p>
        </w:tc>
        <w:tc>
          <w:tcPr>
            <w:tcW w:w="2315" w:type="dxa"/>
            <w:tcBorders>
              <w:left w:val="single" w:sz="4" w:space="0" w:color="auto"/>
              <w:right w:val="single" w:sz="4" w:space="0" w:color="auto"/>
            </w:tcBorders>
            <w:vAlign w:val="center"/>
          </w:tcPr>
          <w:p w:rsidR="00D106B5" w:rsidRPr="005D7471" w:rsidRDefault="00D106B5" w:rsidP="003C228D">
            <w:pPr>
              <w:spacing w:before="0" w:after="0" w:line="276" w:lineRule="auto"/>
            </w:pPr>
            <w:r w:rsidRPr="005D7471">
              <w:t>305</w:t>
            </w:r>
          </w:p>
        </w:tc>
        <w:tc>
          <w:tcPr>
            <w:tcW w:w="2316" w:type="dxa"/>
            <w:tcBorders>
              <w:top w:val="single" w:sz="4" w:space="0" w:color="auto"/>
              <w:left w:val="single" w:sz="4" w:space="0" w:color="auto"/>
              <w:bottom w:val="nil"/>
              <w:right w:val="nil"/>
            </w:tcBorders>
            <w:vAlign w:val="center"/>
          </w:tcPr>
          <w:p w:rsidR="00D106B5" w:rsidRPr="005D7471" w:rsidRDefault="00D106B5" w:rsidP="003C228D">
            <w:pPr>
              <w:spacing w:before="0" w:after="0" w:line="276" w:lineRule="auto"/>
            </w:pPr>
          </w:p>
        </w:tc>
      </w:tr>
    </w:tbl>
    <w:p w:rsidR="00D106B5" w:rsidRPr="005D7471" w:rsidRDefault="00D106B5" w:rsidP="003C228D">
      <w:pPr>
        <w:spacing w:line="276" w:lineRule="auto"/>
      </w:pPr>
      <w:r w:rsidRPr="005D7471">
        <w:lastRenderedPageBreak/>
        <w:t>These business size proportions are similar to those of the</w:t>
      </w:r>
      <w:r w:rsidR="000B5656">
        <w:t xml:space="preserve"> 457</w:t>
      </w:r>
      <w:r w:rsidRPr="005D7471">
        <w:t xml:space="preserve"> sponsor population</w:t>
      </w:r>
      <w:r w:rsidR="005354BE">
        <w:t>.</w:t>
      </w:r>
      <w:r w:rsidR="008262A7">
        <w:t xml:space="preserve"> </w:t>
      </w:r>
      <w:r w:rsidR="000B5656">
        <w:t>A</w:t>
      </w:r>
      <w:r w:rsidR="008262A7">
        <w:t>t 31 March </w:t>
      </w:r>
      <w:r w:rsidRPr="005D7471">
        <w:t>2014 the population of active 457 sponsors c</w:t>
      </w:r>
      <w:r w:rsidR="008262A7">
        <w:t xml:space="preserve">onsisted of 65 per cent small, </w:t>
      </w:r>
      <w:r w:rsidRPr="005D7471">
        <w:t>28 per cent medium and</w:t>
      </w:r>
      <w:r w:rsidR="00E84B0A" w:rsidRPr="005D7471">
        <w:t xml:space="preserve"> seven</w:t>
      </w:r>
      <w:r w:rsidRPr="005D7471">
        <w:t xml:space="preserve"> per cent large businesses.</w:t>
      </w:r>
    </w:p>
    <w:p w:rsidR="00D106B5" w:rsidRPr="005D7471" w:rsidRDefault="00D106B5" w:rsidP="003C228D">
      <w:pPr>
        <w:spacing w:line="276" w:lineRule="auto"/>
      </w:pPr>
      <w:r w:rsidRPr="005D7471">
        <w:t xml:space="preserve">While only 11 per cent of respondents were large businesses, almost 30 per cent of respondents reported a payroll </w:t>
      </w:r>
      <w:r w:rsidR="004D4035" w:rsidRPr="005D7471">
        <w:t xml:space="preserve">of </w:t>
      </w:r>
      <w:r w:rsidRPr="005D7471">
        <w:t>more than $1 million per year</w:t>
      </w:r>
      <w:r w:rsidR="00D03E46" w:rsidRPr="005D7471">
        <w:t>.</w:t>
      </w:r>
      <w:r w:rsidRPr="005D7471">
        <w:t xml:space="preserve"> </w:t>
      </w:r>
      <w:r w:rsidR="00D03E46" w:rsidRPr="005D7471">
        <w:t>M</w:t>
      </w:r>
      <w:r w:rsidRPr="005D7471">
        <w:t xml:space="preserve">ore than 50 per cent </w:t>
      </w:r>
      <w:r w:rsidR="00D03E46" w:rsidRPr="005D7471">
        <w:t xml:space="preserve">of respondents </w:t>
      </w:r>
      <w:r w:rsidRPr="005D7471">
        <w:t>indicated their turnover was more than $1 million.</w:t>
      </w:r>
    </w:p>
    <w:p w:rsidR="00AB6919" w:rsidRPr="005D7471" w:rsidRDefault="00AB6919" w:rsidP="003C228D">
      <w:pPr>
        <w:spacing w:before="0" w:after="200" w:line="276" w:lineRule="auto"/>
        <w:rPr>
          <w:rFonts w:eastAsiaTheme="majorEastAsia" w:cstheme="majorBidi"/>
          <w:bCs/>
          <w:color w:val="034EA2" w:themeColor="accent1"/>
          <w:sz w:val="40"/>
          <w:szCs w:val="28"/>
        </w:rPr>
      </w:pPr>
      <w:r w:rsidRPr="005D7471">
        <w:br w:type="page"/>
      </w:r>
    </w:p>
    <w:p w:rsidR="00A16EFE" w:rsidRPr="005D7471" w:rsidRDefault="00A16EFE" w:rsidP="003C228D">
      <w:pPr>
        <w:pStyle w:val="Heading1"/>
        <w:spacing w:line="276" w:lineRule="auto"/>
      </w:pPr>
      <w:bookmarkStart w:id="28" w:name="_Toc444499117"/>
      <w:r w:rsidRPr="005D7471">
        <w:lastRenderedPageBreak/>
        <w:t>Impact Analysis</w:t>
      </w:r>
      <w:bookmarkEnd w:id="28"/>
      <w:r w:rsidRPr="005D7471">
        <w:t xml:space="preserve"> </w:t>
      </w:r>
    </w:p>
    <w:p w:rsidR="00D106B5" w:rsidRPr="005D7471" w:rsidRDefault="00A16EFE" w:rsidP="003C228D">
      <w:pPr>
        <w:pStyle w:val="Heading2"/>
      </w:pPr>
      <w:bookmarkStart w:id="29" w:name="_Toc430181392"/>
      <w:bookmarkStart w:id="30" w:name="_Toc444499118"/>
      <w:r w:rsidRPr="005D7471">
        <w:t>General impact on</w:t>
      </w:r>
      <w:r w:rsidR="00D106B5" w:rsidRPr="005D7471">
        <w:t xml:space="preserve"> programme outcomes and trends</w:t>
      </w:r>
      <w:bookmarkEnd w:id="29"/>
      <w:bookmarkEnd w:id="30"/>
    </w:p>
    <w:p w:rsidR="00242804" w:rsidRPr="005D7471" w:rsidRDefault="00242804" w:rsidP="003C228D">
      <w:pPr>
        <w:spacing w:line="276" w:lineRule="auto"/>
      </w:pPr>
      <w:r w:rsidRPr="005D7471">
        <w:t xml:space="preserve">As </w:t>
      </w:r>
      <w:r w:rsidR="00E76EF1" w:rsidRPr="005D7471">
        <w:t>shown in table 2</w:t>
      </w:r>
      <w:r w:rsidRPr="005D7471">
        <w:t xml:space="preserve">, the number of nominations and </w:t>
      </w:r>
      <w:r w:rsidR="00E84B0A" w:rsidRPr="005D7471">
        <w:t xml:space="preserve">primary visa </w:t>
      </w:r>
      <w:r w:rsidRPr="005D7471">
        <w:t>applications lodged and the number of</w:t>
      </w:r>
      <w:r w:rsidR="00E84B0A" w:rsidRPr="005D7471">
        <w:t xml:space="preserve"> primary</w:t>
      </w:r>
      <w:r w:rsidRPr="005D7471">
        <w:t xml:space="preserve"> visas granted in</w:t>
      </w:r>
      <w:r w:rsidR="0083435A" w:rsidRPr="005D7471">
        <w:t xml:space="preserve"> </w:t>
      </w:r>
      <w:r w:rsidRPr="005D7471">
        <w:t>2013</w:t>
      </w:r>
      <w:r w:rsidR="00B155C1" w:rsidRPr="005D7471">
        <w:t>–</w:t>
      </w:r>
      <w:r w:rsidR="00292F8B" w:rsidRPr="005D7471">
        <w:t>14</w:t>
      </w:r>
      <w:r w:rsidR="00E97C14" w:rsidRPr="005D7471">
        <w:t xml:space="preserve"> </w:t>
      </w:r>
      <w:r w:rsidRPr="005D7471">
        <w:t>fell noticeably from levels in</w:t>
      </w:r>
      <w:r w:rsidR="0083435A" w:rsidRPr="005D7471">
        <w:t xml:space="preserve"> </w:t>
      </w:r>
      <w:r w:rsidRPr="005D7471">
        <w:t>2012</w:t>
      </w:r>
      <w:r w:rsidR="000B5656">
        <w:noBreakHyphen/>
      </w:r>
      <w:r w:rsidRPr="005D7471">
        <w:t>13.</w:t>
      </w:r>
    </w:p>
    <w:p w:rsidR="00242804" w:rsidRPr="005D7471" w:rsidRDefault="00242804" w:rsidP="003C228D">
      <w:pPr>
        <w:pStyle w:val="Caption"/>
        <w:spacing w:line="276" w:lineRule="auto"/>
      </w:pPr>
      <w:r w:rsidRPr="005D7471">
        <w:t xml:space="preserve">Table </w:t>
      </w:r>
      <w:r w:rsidR="00E76EF1" w:rsidRPr="005D7471">
        <w:t>2</w:t>
      </w:r>
      <w:r w:rsidR="00A341C8" w:rsidRPr="005D7471">
        <w:t>:</w:t>
      </w:r>
      <w:r w:rsidRPr="005D7471">
        <w:t xml:space="preserve"> Application</w:t>
      </w:r>
      <w:r w:rsidR="00E84B0A" w:rsidRPr="005D7471">
        <w:t>s</w:t>
      </w:r>
      <w:r w:rsidRPr="005D7471">
        <w:t xml:space="preserve"> and </w:t>
      </w:r>
      <w:r w:rsidR="00E84B0A" w:rsidRPr="005D7471">
        <w:t xml:space="preserve">visa </w:t>
      </w:r>
      <w:r w:rsidRPr="005D7471">
        <w:t>grant trends 2011</w:t>
      </w:r>
      <w:r w:rsidR="004D4035" w:rsidRPr="005D7471">
        <w:t>–</w:t>
      </w:r>
      <w:r w:rsidRPr="005D7471">
        <w:t>12 to 2013</w:t>
      </w:r>
      <w:r w:rsidR="004D4035" w:rsidRPr="005D7471">
        <w:t>–</w:t>
      </w:r>
      <w:r w:rsidRPr="005D7471">
        <w:t>14</w:t>
      </w:r>
    </w:p>
    <w:tbl>
      <w:tblPr>
        <w:tblStyle w:val="TableGrid"/>
        <w:tblW w:w="0" w:type="auto"/>
        <w:tblInd w:w="108" w:type="dxa"/>
        <w:tblLook w:val="04A0" w:firstRow="1" w:lastRow="0" w:firstColumn="1" w:lastColumn="0" w:noHBand="0" w:noVBand="1"/>
      </w:tblPr>
      <w:tblGrid>
        <w:gridCol w:w="2658"/>
        <w:gridCol w:w="1378"/>
        <w:gridCol w:w="1416"/>
        <w:gridCol w:w="1417"/>
        <w:gridCol w:w="1778"/>
      </w:tblGrid>
      <w:tr w:rsidR="00242804" w:rsidRPr="005D7471" w:rsidTr="005D45DD">
        <w:trPr>
          <w:tblHeader/>
        </w:trPr>
        <w:tc>
          <w:tcPr>
            <w:tcW w:w="2658" w:type="dxa"/>
            <w:shd w:val="clear" w:color="auto" w:fill="336699"/>
            <w:vAlign w:val="center"/>
          </w:tcPr>
          <w:p w:rsidR="00242804" w:rsidRPr="005D7471" w:rsidRDefault="00242804" w:rsidP="003C228D">
            <w:pPr>
              <w:spacing w:before="0" w:after="0" w:line="276" w:lineRule="auto"/>
              <w:rPr>
                <w:b/>
                <w:color w:val="FFFFFF" w:themeColor="background1"/>
              </w:rPr>
            </w:pPr>
            <w:r w:rsidRPr="005D7471">
              <w:rPr>
                <w:b/>
                <w:color w:val="FFFFFF" w:themeColor="background1"/>
              </w:rPr>
              <w:t>Measure</w:t>
            </w:r>
          </w:p>
        </w:tc>
        <w:tc>
          <w:tcPr>
            <w:tcW w:w="1378" w:type="dxa"/>
            <w:shd w:val="clear" w:color="auto" w:fill="336699"/>
            <w:vAlign w:val="center"/>
          </w:tcPr>
          <w:p w:rsidR="00242804" w:rsidRPr="005D7471" w:rsidRDefault="00242804" w:rsidP="003C228D">
            <w:pPr>
              <w:spacing w:before="0" w:after="0" w:line="276" w:lineRule="auto"/>
              <w:rPr>
                <w:b/>
                <w:color w:val="FFFFFF" w:themeColor="background1"/>
              </w:rPr>
            </w:pPr>
            <w:r w:rsidRPr="005D7471">
              <w:rPr>
                <w:b/>
                <w:color w:val="FFFFFF" w:themeColor="background1"/>
              </w:rPr>
              <w:t>2011</w:t>
            </w:r>
            <w:r w:rsidR="009B203D" w:rsidRPr="005D7471">
              <w:rPr>
                <w:b/>
                <w:color w:val="FFFFFF" w:themeColor="background1"/>
              </w:rPr>
              <w:t>–</w:t>
            </w:r>
            <w:r w:rsidRPr="005D7471">
              <w:rPr>
                <w:b/>
                <w:color w:val="FFFFFF" w:themeColor="background1"/>
              </w:rPr>
              <w:t>12</w:t>
            </w:r>
          </w:p>
        </w:tc>
        <w:tc>
          <w:tcPr>
            <w:tcW w:w="1416" w:type="dxa"/>
            <w:shd w:val="clear" w:color="auto" w:fill="336699"/>
            <w:vAlign w:val="center"/>
          </w:tcPr>
          <w:p w:rsidR="00242804" w:rsidRPr="005D7471" w:rsidRDefault="00242804" w:rsidP="003C228D">
            <w:pPr>
              <w:spacing w:before="0" w:after="0" w:line="276" w:lineRule="auto"/>
              <w:rPr>
                <w:b/>
                <w:color w:val="FFFFFF" w:themeColor="background1"/>
              </w:rPr>
            </w:pPr>
            <w:r w:rsidRPr="005D7471">
              <w:rPr>
                <w:b/>
                <w:color w:val="FFFFFF" w:themeColor="background1"/>
              </w:rPr>
              <w:t>2012</w:t>
            </w:r>
            <w:r w:rsidR="009B203D" w:rsidRPr="005D7471">
              <w:rPr>
                <w:b/>
                <w:color w:val="FFFFFF" w:themeColor="background1"/>
              </w:rPr>
              <w:t>–</w:t>
            </w:r>
            <w:r w:rsidRPr="005D7471">
              <w:rPr>
                <w:b/>
                <w:color w:val="FFFFFF" w:themeColor="background1"/>
              </w:rPr>
              <w:t>13</w:t>
            </w:r>
          </w:p>
        </w:tc>
        <w:tc>
          <w:tcPr>
            <w:tcW w:w="1417" w:type="dxa"/>
            <w:shd w:val="clear" w:color="auto" w:fill="336699"/>
            <w:vAlign w:val="center"/>
          </w:tcPr>
          <w:p w:rsidR="00242804" w:rsidRPr="005D7471" w:rsidRDefault="00242804" w:rsidP="003C228D">
            <w:pPr>
              <w:spacing w:before="0" w:after="0" w:line="276" w:lineRule="auto"/>
              <w:rPr>
                <w:b/>
                <w:color w:val="FFFFFF" w:themeColor="background1"/>
              </w:rPr>
            </w:pPr>
            <w:r w:rsidRPr="005D7471">
              <w:rPr>
                <w:b/>
                <w:color w:val="FFFFFF" w:themeColor="background1"/>
              </w:rPr>
              <w:t>2013</w:t>
            </w:r>
            <w:r w:rsidR="009B203D" w:rsidRPr="005D7471">
              <w:rPr>
                <w:b/>
                <w:color w:val="FFFFFF" w:themeColor="background1"/>
              </w:rPr>
              <w:t>–</w:t>
            </w:r>
            <w:r w:rsidRPr="005D7471">
              <w:rPr>
                <w:b/>
                <w:color w:val="FFFFFF" w:themeColor="background1"/>
              </w:rPr>
              <w:t>14</w:t>
            </w:r>
          </w:p>
        </w:tc>
        <w:tc>
          <w:tcPr>
            <w:tcW w:w="1778" w:type="dxa"/>
            <w:shd w:val="clear" w:color="auto" w:fill="336699"/>
            <w:vAlign w:val="center"/>
          </w:tcPr>
          <w:p w:rsidR="00242804" w:rsidRPr="005D7471" w:rsidRDefault="00B155C1" w:rsidP="003C228D">
            <w:pPr>
              <w:spacing w:before="0" w:after="0" w:line="276" w:lineRule="auto"/>
              <w:rPr>
                <w:b/>
                <w:color w:val="FFFFFF" w:themeColor="background1"/>
              </w:rPr>
            </w:pPr>
            <w:r w:rsidRPr="005D7471">
              <w:rPr>
                <w:b/>
                <w:color w:val="FFFFFF" w:themeColor="background1"/>
              </w:rPr>
              <w:t>% difference between</w:t>
            </w:r>
            <w:r w:rsidRPr="005D7471">
              <w:rPr>
                <w:b/>
                <w:color w:val="FFFFFF" w:themeColor="background1"/>
              </w:rPr>
              <w:br/>
            </w:r>
            <w:r w:rsidR="00242804" w:rsidRPr="005D7471">
              <w:rPr>
                <w:b/>
                <w:color w:val="FFFFFF" w:themeColor="background1"/>
              </w:rPr>
              <w:t>2012</w:t>
            </w:r>
            <w:r w:rsidR="009B203D" w:rsidRPr="005D7471">
              <w:rPr>
                <w:b/>
                <w:color w:val="FFFFFF" w:themeColor="background1"/>
              </w:rPr>
              <w:t>–</w:t>
            </w:r>
            <w:r w:rsidRPr="005D7471">
              <w:rPr>
                <w:b/>
                <w:color w:val="FFFFFF" w:themeColor="background1"/>
              </w:rPr>
              <w:t>13</w:t>
            </w:r>
            <w:r w:rsidRPr="005D7471">
              <w:rPr>
                <w:b/>
                <w:color w:val="FFFFFF" w:themeColor="background1"/>
              </w:rPr>
              <w:br/>
            </w:r>
            <w:r w:rsidR="00242804" w:rsidRPr="005D7471">
              <w:rPr>
                <w:b/>
                <w:color w:val="FFFFFF" w:themeColor="background1"/>
              </w:rPr>
              <w:t>and 2013</w:t>
            </w:r>
            <w:r w:rsidR="009B203D" w:rsidRPr="005D7471">
              <w:rPr>
                <w:b/>
                <w:color w:val="FFFFFF" w:themeColor="background1"/>
              </w:rPr>
              <w:t>–</w:t>
            </w:r>
            <w:r w:rsidR="00242804" w:rsidRPr="005D7471">
              <w:rPr>
                <w:b/>
                <w:color w:val="FFFFFF" w:themeColor="background1"/>
              </w:rPr>
              <w:t>14</w:t>
            </w:r>
          </w:p>
        </w:tc>
      </w:tr>
      <w:tr w:rsidR="00242804" w:rsidRPr="005D7471" w:rsidTr="00993F0D">
        <w:trPr>
          <w:trHeight w:val="283"/>
        </w:trPr>
        <w:tc>
          <w:tcPr>
            <w:tcW w:w="2658" w:type="dxa"/>
            <w:vAlign w:val="center"/>
          </w:tcPr>
          <w:p w:rsidR="00242804" w:rsidRPr="005D7471" w:rsidRDefault="00242804" w:rsidP="003C228D">
            <w:pPr>
              <w:spacing w:before="0" w:after="0" w:line="276" w:lineRule="auto"/>
            </w:pPr>
            <w:r w:rsidRPr="005D7471">
              <w:t>Nominations lodged</w:t>
            </w:r>
          </w:p>
        </w:tc>
        <w:tc>
          <w:tcPr>
            <w:tcW w:w="1378" w:type="dxa"/>
            <w:vAlign w:val="center"/>
          </w:tcPr>
          <w:p w:rsidR="00242804" w:rsidRPr="005D7471" w:rsidRDefault="00242804" w:rsidP="003C228D">
            <w:pPr>
              <w:spacing w:before="0" w:after="0" w:line="276" w:lineRule="auto"/>
            </w:pPr>
            <w:r w:rsidRPr="005D7471">
              <w:t>85,141</w:t>
            </w:r>
          </w:p>
        </w:tc>
        <w:tc>
          <w:tcPr>
            <w:tcW w:w="1416" w:type="dxa"/>
            <w:vAlign w:val="center"/>
          </w:tcPr>
          <w:p w:rsidR="00242804" w:rsidRPr="005D7471" w:rsidRDefault="00242804" w:rsidP="003C228D">
            <w:pPr>
              <w:spacing w:before="0" w:after="0" w:line="276" w:lineRule="auto"/>
            </w:pPr>
            <w:r w:rsidRPr="005D7471">
              <w:t>95,637</w:t>
            </w:r>
          </w:p>
        </w:tc>
        <w:tc>
          <w:tcPr>
            <w:tcW w:w="1417" w:type="dxa"/>
            <w:vAlign w:val="center"/>
          </w:tcPr>
          <w:p w:rsidR="00242804" w:rsidRPr="005D7471" w:rsidRDefault="00242804" w:rsidP="003C228D">
            <w:pPr>
              <w:spacing w:before="0" w:after="0" w:line="276" w:lineRule="auto"/>
            </w:pPr>
            <w:r w:rsidRPr="005D7471">
              <w:t>65,173</w:t>
            </w:r>
          </w:p>
        </w:tc>
        <w:tc>
          <w:tcPr>
            <w:tcW w:w="1778" w:type="dxa"/>
            <w:vAlign w:val="center"/>
          </w:tcPr>
          <w:p w:rsidR="00242804" w:rsidRPr="005D7471" w:rsidRDefault="00242804" w:rsidP="003C228D">
            <w:pPr>
              <w:spacing w:before="0" w:after="0" w:line="276" w:lineRule="auto"/>
            </w:pPr>
            <w:r w:rsidRPr="005D7471">
              <w:t>-31.9%</w:t>
            </w:r>
          </w:p>
        </w:tc>
      </w:tr>
      <w:tr w:rsidR="00242804" w:rsidRPr="005D7471" w:rsidTr="00993F0D">
        <w:trPr>
          <w:trHeight w:val="283"/>
        </w:trPr>
        <w:tc>
          <w:tcPr>
            <w:tcW w:w="2658" w:type="dxa"/>
            <w:vAlign w:val="center"/>
          </w:tcPr>
          <w:p w:rsidR="00242804" w:rsidRPr="005D7471" w:rsidRDefault="00242804" w:rsidP="003C228D">
            <w:pPr>
              <w:spacing w:before="0" w:after="0" w:line="276" w:lineRule="auto"/>
            </w:pPr>
            <w:r w:rsidRPr="005D7471">
              <w:t>Visa applicati</w:t>
            </w:r>
            <w:r w:rsidR="009B203D" w:rsidRPr="005D7471">
              <w:t>ons lodged</w:t>
            </w:r>
            <w:r w:rsidRPr="005D7471">
              <w:t>*</w:t>
            </w:r>
          </w:p>
        </w:tc>
        <w:tc>
          <w:tcPr>
            <w:tcW w:w="1378" w:type="dxa"/>
            <w:vAlign w:val="center"/>
          </w:tcPr>
          <w:p w:rsidR="00242804" w:rsidRPr="005D7471" w:rsidRDefault="00242804" w:rsidP="003C228D">
            <w:pPr>
              <w:spacing w:before="0" w:after="0" w:line="276" w:lineRule="auto"/>
            </w:pPr>
            <w:r w:rsidRPr="005D7471">
              <w:t>71,839</w:t>
            </w:r>
          </w:p>
        </w:tc>
        <w:tc>
          <w:tcPr>
            <w:tcW w:w="1416" w:type="dxa"/>
            <w:vAlign w:val="center"/>
          </w:tcPr>
          <w:p w:rsidR="00242804" w:rsidRPr="005D7471" w:rsidRDefault="00242804" w:rsidP="003C228D">
            <w:pPr>
              <w:spacing w:before="0" w:after="0" w:line="276" w:lineRule="auto"/>
            </w:pPr>
            <w:r w:rsidRPr="005D7471">
              <w:t>81,547</w:t>
            </w:r>
          </w:p>
        </w:tc>
        <w:tc>
          <w:tcPr>
            <w:tcW w:w="1417" w:type="dxa"/>
            <w:vAlign w:val="center"/>
          </w:tcPr>
          <w:p w:rsidR="00242804" w:rsidRPr="005D7471" w:rsidRDefault="00242804" w:rsidP="003C228D">
            <w:pPr>
              <w:spacing w:before="0" w:after="0" w:line="276" w:lineRule="auto"/>
            </w:pPr>
            <w:r w:rsidRPr="005D7471">
              <w:t>49,145</w:t>
            </w:r>
          </w:p>
        </w:tc>
        <w:tc>
          <w:tcPr>
            <w:tcW w:w="1778" w:type="dxa"/>
            <w:vAlign w:val="center"/>
          </w:tcPr>
          <w:p w:rsidR="00242804" w:rsidRPr="005D7471" w:rsidRDefault="00242804" w:rsidP="003C228D">
            <w:pPr>
              <w:spacing w:before="0" w:after="0" w:line="276" w:lineRule="auto"/>
            </w:pPr>
            <w:r w:rsidRPr="005D7471">
              <w:t>-39.7%</w:t>
            </w:r>
          </w:p>
        </w:tc>
      </w:tr>
      <w:tr w:rsidR="00242804" w:rsidRPr="005D7471" w:rsidTr="00993F0D">
        <w:trPr>
          <w:trHeight w:val="283"/>
        </w:trPr>
        <w:tc>
          <w:tcPr>
            <w:tcW w:w="2658" w:type="dxa"/>
            <w:vAlign w:val="center"/>
          </w:tcPr>
          <w:p w:rsidR="00242804" w:rsidRPr="005D7471" w:rsidRDefault="00242804" w:rsidP="003C228D">
            <w:pPr>
              <w:spacing w:before="0" w:after="0" w:line="276" w:lineRule="auto"/>
            </w:pPr>
            <w:r w:rsidRPr="005D7471">
              <w:t>Visa grants*</w:t>
            </w:r>
            <w:r w:rsidR="00F213F8" w:rsidRPr="005D7471">
              <w:rPr>
                <w:rStyle w:val="FootnoteReference"/>
              </w:rPr>
              <w:footnoteReference w:id="12"/>
            </w:r>
          </w:p>
        </w:tc>
        <w:tc>
          <w:tcPr>
            <w:tcW w:w="1378" w:type="dxa"/>
            <w:vAlign w:val="center"/>
          </w:tcPr>
          <w:p w:rsidR="00242804" w:rsidRPr="005D7471" w:rsidRDefault="00242804" w:rsidP="003C228D">
            <w:pPr>
              <w:spacing w:before="0" w:after="0" w:line="276" w:lineRule="auto"/>
            </w:pPr>
            <w:r w:rsidRPr="005D7471">
              <w:t>68,310</w:t>
            </w:r>
          </w:p>
        </w:tc>
        <w:tc>
          <w:tcPr>
            <w:tcW w:w="1416" w:type="dxa"/>
            <w:vAlign w:val="center"/>
          </w:tcPr>
          <w:p w:rsidR="00242804" w:rsidRPr="005D7471" w:rsidRDefault="00242804" w:rsidP="003C228D">
            <w:pPr>
              <w:spacing w:before="0" w:after="0" w:line="276" w:lineRule="auto"/>
            </w:pPr>
            <w:r w:rsidRPr="005D7471">
              <w:t>68,480</w:t>
            </w:r>
          </w:p>
        </w:tc>
        <w:tc>
          <w:tcPr>
            <w:tcW w:w="1417" w:type="dxa"/>
            <w:vAlign w:val="center"/>
          </w:tcPr>
          <w:p w:rsidR="00242804" w:rsidRPr="005D7471" w:rsidRDefault="00242804" w:rsidP="003C228D">
            <w:pPr>
              <w:spacing w:before="0" w:after="0" w:line="276" w:lineRule="auto"/>
            </w:pPr>
            <w:r w:rsidRPr="005D7471">
              <w:t>51,939</w:t>
            </w:r>
          </w:p>
        </w:tc>
        <w:tc>
          <w:tcPr>
            <w:tcW w:w="1778" w:type="dxa"/>
            <w:vAlign w:val="center"/>
          </w:tcPr>
          <w:p w:rsidR="00242804" w:rsidRPr="005D7471" w:rsidRDefault="00242804" w:rsidP="003C228D">
            <w:pPr>
              <w:spacing w:before="0" w:after="0" w:line="276" w:lineRule="auto"/>
            </w:pPr>
            <w:r w:rsidRPr="005D7471">
              <w:t>-24.2%</w:t>
            </w:r>
          </w:p>
        </w:tc>
      </w:tr>
    </w:tbl>
    <w:p w:rsidR="00242804" w:rsidRPr="005D7471" w:rsidRDefault="00242804" w:rsidP="003C228D">
      <w:pPr>
        <w:spacing w:before="0" w:line="276" w:lineRule="auto"/>
        <w:rPr>
          <w:sz w:val="16"/>
          <w:szCs w:val="16"/>
        </w:rPr>
      </w:pPr>
      <w:r w:rsidRPr="005D7471">
        <w:rPr>
          <w:sz w:val="16"/>
          <w:szCs w:val="16"/>
        </w:rPr>
        <w:t>* Includes primary visas only – excludes visa applications/grants for secondary applicants such as family members</w:t>
      </w:r>
    </w:p>
    <w:p w:rsidR="00111C55" w:rsidRPr="005D7471" w:rsidRDefault="0076151E" w:rsidP="003C228D">
      <w:pPr>
        <w:spacing w:line="276" w:lineRule="auto"/>
      </w:pPr>
      <w:r>
        <w:t>S</w:t>
      </w:r>
      <w:r w:rsidR="00111C55" w:rsidRPr="005D7471">
        <w:t>ome of th</w:t>
      </w:r>
      <w:r w:rsidR="00F30933" w:rsidRPr="005D7471">
        <w:t>is</w:t>
      </w:r>
      <w:r w:rsidR="00111C55" w:rsidRPr="005D7471">
        <w:t xml:space="preserve"> reduction might be attributable to the unemployment rate, which fluctuated between 5.</w:t>
      </w:r>
      <w:r w:rsidR="000D703F" w:rsidRPr="005D7471">
        <w:t>6</w:t>
      </w:r>
      <w:r w:rsidR="00111C55" w:rsidRPr="005D7471">
        <w:t xml:space="preserve"> and 6</w:t>
      </w:r>
      <w:r w:rsidR="000D703F" w:rsidRPr="005D7471">
        <w:t>.1</w:t>
      </w:r>
      <w:r w:rsidR="00111C55" w:rsidRPr="005D7471">
        <w:t xml:space="preserve"> per cent in</w:t>
      </w:r>
      <w:r w:rsidR="00B96C78" w:rsidRPr="005D7471">
        <w:t xml:space="preserve"> </w:t>
      </w:r>
      <w:r w:rsidR="00111C55" w:rsidRPr="005D7471">
        <w:t>2013</w:t>
      </w:r>
      <w:r w:rsidR="00D03E46" w:rsidRPr="005D7471">
        <w:t>–</w:t>
      </w:r>
      <w:r w:rsidR="00111C55" w:rsidRPr="005D7471">
        <w:t>1</w:t>
      </w:r>
      <w:r w:rsidR="00805273">
        <w:t>4</w:t>
      </w:r>
      <w:r>
        <w:t>.</w:t>
      </w:r>
      <w:r w:rsidRPr="005D7471">
        <w:rPr>
          <w:rStyle w:val="FootnoteReference"/>
        </w:rPr>
        <w:footnoteReference w:id="13"/>
      </w:r>
      <w:r>
        <w:t xml:space="preserve"> The </w:t>
      </w:r>
      <w:r w:rsidR="00111C55" w:rsidRPr="005D7471">
        <w:t>reforms</w:t>
      </w:r>
      <w:r w:rsidR="00F30933" w:rsidRPr="005D7471">
        <w:t xml:space="preserve"> to the 457 programme</w:t>
      </w:r>
      <w:r w:rsidR="00111C55" w:rsidRPr="005D7471">
        <w:t xml:space="preserve"> in 2013</w:t>
      </w:r>
      <w:r>
        <w:t xml:space="preserve"> </w:t>
      </w:r>
      <w:r w:rsidR="00372A66">
        <w:t xml:space="preserve">appear to </w:t>
      </w:r>
      <w:r>
        <w:t>also have contributed by limiting access to the programme but this impact cannot be</w:t>
      </w:r>
      <w:r w:rsidR="004B2657">
        <w:t xml:space="preserve"> specifically</w:t>
      </w:r>
      <w:r>
        <w:t xml:space="preserve"> quantified</w:t>
      </w:r>
      <w:r w:rsidR="00725CA4" w:rsidRPr="005D7471">
        <w:t>.</w:t>
      </w:r>
      <w:r w:rsidR="00111C55" w:rsidRPr="005D7471">
        <w:t xml:space="preserve"> </w:t>
      </w:r>
    </w:p>
    <w:p w:rsidR="00D106B5" w:rsidRPr="005D7471" w:rsidRDefault="00D106B5" w:rsidP="003C228D">
      <w:pPr>
        <w:pStyle w:val="Heading2"/>
        <w:numPr>
          <w:ilvl w:val="0"/>
          <w:numId w:val="31"/>
        </w:numPr>
      </w:pPr>
      <w:bookmarkStart w:id="31" w:name="_Toc430181394"/>
      <w:bookmarkStart w:id="32" w:name="_Toc444499119"/>
      <w:r w:rsidRPr="005D7471">
        <w:t xml:space="preserve">Training </w:t>
      </w:r>
      <w:r w:rsidR="00CF24B4" w:rsidRPr="005D7471">
        <w:t>o</w:t>
      </w:r>
      <w:r w:rsidRPr="005D7471">
        <w:t>bligations</w:t>
      </w:r>
      <w:bookmarkEnd w:id="31"/>
      <w:bookmarkEnd w:id="32"/>
    </w:p>
    <w:p w:rsidR="00D106B5" w:rsidRPr="005D7471" w:rsidRDefault="00EC66F0" w:rsidP="003C228D">
      <w:pPr>
        <w:spacing w:line="276" w:lineRule="auto"/>
      </w:pPr>
      <w:r w:rsidRPr="005D7471">
        <w:t>Since 2009</w:t>
      </w:r>
      <w:r w:rsidR="00381425" w:rsidRPr="005D7471">
        <w:t>,</w:t>
      </w:r>
      <w:r w:rsidRPr="005D7471">
        <w:t xml:space="preserve"> 457 sponsor</w:t>
      </w:r>
      <w:r w:rsidR="00746281">
        <w:t>s</w:t>
      </w:r>
      <w:r w:rsidRPr="005D7471">
        <w:t xml:space="preserve"> have been required </w:t>
      </w:r>
      <w:r w:rsidR="00D106B5" w:rsidRPr="005D7471">
        <w:t xml:space="preserve">to </w:t>
      </w:r>
      <w:r w:rsidR="0087371B" w:rsidRPr="005D7471">
        <w:t>d</w:t>
      </w:r>
      <w:r w:rsidR="00D106B5" w:rsidRPr="005D7471">
        <w:t xml:space="preserve">emonstrate </w:t>
      </w:r>
      <w:r w:rsidR="0087371B" w:rsidRPr="005D7471">
        <w:t xml:space="preserve">recent expenditure on </w:t>
      </w:r>
      <w:r w:rsidR="00B24393" w:rsidRPr="005D7471">
        <w:t xml:space="preserve">training Australians </w:t>
      </w:r>
      <w:r w:rsidR="0087371B" w:rsidRPr="005D7471">
        <w:t>equivalent to</w:t>
      </w:r>
      <w:r w:rsidR="00647019" w:rsidRPr="005D7471">
        <w:t xml:space="preserve"> one of two benchmarks:</w:t>
      </w:r>
    </w:p>
    <w:tbl>
      <w:tblPr>
        <w:tblStyle w:val="TableGrid"/>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521"/>
      </w:tblGrid>
      <w:tr w:rsidR="00D106B5" w:rsidRPr="005D7471" w:rsidTr="001F77C1">
        <w:tc>
          <w:tcPr>
            <w:tcW w:w="2376" w:type="dxa"/>
          </w:tcPr>
          <w:p w:rsidR="00D106B5" w:rsidRPr="005D7471" w:rsidRDefault="001F77C1" w:rsidP="003C228D">
            <w:pPr>
              <w:spacing w:line="276" w:lineRule="auto"/>
            </w:pPr>
            <w:r w:rsidRPr="005D7471">
              <w:t>T</w:t>
            </w:r>
            <w:r w:rsidR="00D106B5" w:rsidRPr="005D7471">
              <w:t xml:space="preserve">raining </w:t>
            </w:r>
            <w:r w:rsidRPr="005D7471">
              <w:t>B</w:t>
            </w:r>
            <w:r w:rsidR="00D106B5" w:rsidRPr="005D7471">
              <w:t>enchmark A</w:t>
            </w:r>
            <w:r w:rsidR="00D03E46" w:rsidRPr="005D7471">
              <w:t>:</w:t>
            </w:r>
          </w:p>
        </w:tc>
        <w:tc>
          <w:tcPr>
            <w:tcW w:w="6521" w:type="dxa"/>
          </w:tcPr>
          <w:p w:rsidR="00D106B5" w:rsidRPr="005D7471" w:rsidRDefault="00D106B5" w:rsidP="003C228D">
            <w:pPr>
              <w:spacing w:line="276" w:lineRule="auto"/>
            </w:pPr>
            <w:proofErr w:type="gramStart"/>
            <w:r w:rsidRPr="005D7471">
              <w:t>two</w:t>
            </w:r>
            <w:proofErr w:type="gramEnd"/>
            <w:r w:rsidRPr="005D7471">
              <w:t xml:space="preserve"> per cent of their annual payroll</w:t>
            </w:r>
            <w:r w:rsidR="0087371B" w:rsidRPr="005D7471">
              <w:t xml:space="preserve"> in payment to</w:t>
            </w:r>
            <w:r w:rsidR="008248C1" w:rsidRPr="005D7471">
              <w:t xml:space="preserve"> a fund that provide</w:t>
            </w:r>
            <w:r w:rsidR="008E2B31" w:rsidRPr="005D7471">
              <w:t>d</w:t>
            </w:r>
            <w:r w:rsidR="008248C1" w:rsidRPr="005D7471">
              <w:t xml:space="preserve"> training</w:t>
            </w:r>
            <w:r w:rsidR="00512BF7" w:rsidRPr="005D7471">
              <w:t xml:space="preserve"> to Australian</w:t>
            </w:r>
            <w:r w:rsidR="008E2B31" w:rsidRPr="005D7471">
              <w:t>s</w:t>
            </w:r>
            <w:r w:rsidR="008248C1" w:rsidRPr="005D7471">
              <w:t xml:space="preserve"> in their </w:t>
            </w:r>
            <w:r w:rsidRPr="005D7471">
              <w:t>industry</w:t>
            </w:r>
            <w:r w:rsidR="00647019" w:rsidRPr="005D7471">
              <w:t>.</w:t>
            </w:r>
          </w:p>
        </w:tc>
      </w:tr>
      <w:tr w:rsidR="00D106B5" w:rsidRPr="005D7471" w:rsidTr="001F77C1">
        <w:tc>
          <w:tcPr>
            <w:tcW w:w="2376" w:type="dxa"/>
          </w:tcPr>
          <w:p w:rsidR="00D106B5" w:rsidRPr="005D7471" w:rsidRDefault="001F77C1" w:rsidP="003C228D">
            <w:pPr>
              <w:spacing w:line="276" w:lineRule="auto"/>
            </w:pPr>
            <w:r w:rsidRPr="005D7471">
              <w:t>T</w:t>
            </w:r>
            <w:r w:rsidR="00D106B5" w:rsidRPr="005D7471">
              <w:t xml:space="preserve">raining </w:t>
            </w:r>
            <w:r w:rsidRPr="005D7471">
              <w:t>B</w:t>
            </w:r>
            <w:r w:rsidR="00D106B5" w:rsidRPr="005D7471">
              <w:t>enchmark B</w:t>
            </w:r>
            <w:r w:rsidR="00D03E46" w:rsidRPr="005D7471">
              <w:t>:</w:t>
            </w:r>
          </w:p>
        </w:tc>
        <w:tc>
          <w:tcPr>
            <w:tcW w:w="6521" w:type="dxa"/>
          </w:tcPr>
          <w:p w:rsidR="00D106B5" w:rsidRPr="005D7471" w:rsidRDefault="00D106B5" w:rsidP="003C228D">
            <w:pPr>
              <w:spacing w:line="276" w:lineRule="auto"/>
            </w:pPr>
            <w:proofErr w:type="gramStart"/>
            <w:r w:rsidRPr="005D7471">
              <w:t>one</w:t>
            </w:r>
            <w:proofErr w:type="gramEnd"/>
            <w:r w:rsidRPr="005D7471">
              <w:t xml:space="preserve"> per cent or more of their annual payroll on the provision of training to their Australian employees.</w:t>
            </w:r>
          </w:p>
        </w:tc>
      </w:tr>
    </w:tbl>
    <w:p w:rsidR="007C33DD" w:rsidRPr="005D7471" w:rsidRDefault="00D03E46" w:rsidP="003C228D">
      <w:pPr>
        <w:spacing w:line="276" w:lineRule="auto"/>
      </w:pPr>
      <w:r w:rsidRPr="005D7471">
        <w:t>While</w:t>
      </w:r>
      <w:r w:rsidR="00B655B0">
        <w:t xml:space="preserve"> </w:t>
      </w:r>
      <w:r w:rsidRPr="005D7471">
        <w:t>a 457 sponsor,</w:t>
      </w:r>
      <w:r w:rsidR="00B56581" w:rsidRPr="005D7471">
        <w:t xml:space="preserve"> businesses were required to</w:t>
      </w:r>
      <w:r w:rsidR="00704D1A" w:rsidRPr="005D7471">
        <w:t xml:space="preserve"> demonstrate a</w:t>
      </w:r>
      <w:r w:rsidR="00B56581" w:rsidRPr="005D7471">
        <w:t xml:space="preserve"> commit</w:t>
      </w:r>
      <w:r w:rsidR="00704D1A" w:rsidRPr="005D7471">
        <w:t>ment towards</w:t>
      </w:r>
      <w:r w:rsidR="00B56581" w:rsidRPr="005D7471">
        <w:t xml:space="preserve"> maintaining this level of </w:t>
      </w:r>
      <w:r w:rsidR="004147AA" w:rsidRPr="005D7471">
        <w:t xml:space="preserve">training </w:t>
      </w:r>
      <w:r w:rsidR="00B56581" w:rsidRPr="005D7471">
        <w:t>expenditure</w:t>
      </w:r>
      <w:r w:rsidRPr="005D7471">
        <w:t>.</w:t>
      </w:r>
      <w:r w:rsidR="004D6751" w:rsidRPr="005D7471">
        <w:t xml:space="preserve"> </w:t>
      </w:r>
      <w:r w:rsidR="00746281">
        <w:t>U</w:t>
      </w:r>
      <w:r w:rsidR="00512BF7" w:rsidRPr="005D7471">
        <w:t>nless a sponsor was</w:t>
      </w:r>
      <w:r w:rsidR="00D479BA" w:rsidRPr="005D7471">
        <w:t xml:space="preserve"> </w:t>
      </w:r>
      <w:r w:rsidR="00512BF7" w:rsidRPr="005D7471">
        <w:t xml:space="preserve">already financially contributing to training Australians at </w:t>
      </w:r>
      <w:r w:rsidR="00B56581" w:rsidRPr="005D7471">
        <w:t>the training benchmark</w:t>
      </w:r>
      <w:r w:rsidR="0014228F" w:rsidRPr="005D7471">
        <w:t xml:space="preserve"> level,</w:t>
      </w:r>
      <w:r w:rsidR="00512BF7" w:rsidRPr="005D7471">
        <w:t xml:space="preserve"> </w:t>
      </w:r>
      <w:r w:rsidR="00203DD3">
        <w:t xml:space="preserve">they incurred additional training costs </w:t>
      </w:r>
      <w:r w:rsidR="00B56581" w:rsidRPr="005D7471">
        <w:t>to sponsor</w:t>
      </w:r>
      <w:r w:rsidR="001A6326" w:rsidRPr="005D7471">
        <w:t xml:space="preserve"> a </w:t>
      </w:r>
      <w:r w:rsidR="00B56581" w:rsidRPr="005D7471">
        <w:t xml:space="preserve">skilled </w:t>
      </w:r>
      <w:r w:rsidR="001A6326" w:rsidRPr="005D7471">
        <w:t>worker</w:t>
      </w:r>
      <w:r w:rsidR="00B56581" w:rsidRPr="005D7471">
        <w:t xml:space="preserve"> from overseas</w:t>
      </w:r>
      <w:r w:rsidR="0014228F" w:rsidRPr="005D7471">
        <w:t>.</w:t>
      </w:r>
    </w:p>
    <w:p w:rsidR="004147AA" w:rsidRDefault="00E85FF6" w:rsidP="003C228D">
      <w:pPr>
        <w:spacing w:line="276" w:lineRule="auto"/>
      </w:pPr>
      <w:r w:rsidRPr="005D7471">
        <w:t>The intention of th</w:t>
      </w:r>
      <w:r w:rsidR="00746281">
        <w:t>e training benchmarks</w:t>
      </w:r>
      <w:r w:rsidRPr="005D7471">
        <w:t xml:space="preserve"> </w:t>
      </w:r>
      <w:r w:rsidR="0014228F" w:rsidRPr="005D7471">
        <w:t>was</w:t>
      </w:r>
      <w:r w:rsidRPr="005D7471">
        <w:t xml:space="preserve"> </w:t>
      </w:r>
      <w:r w:rsidR="000D17D9" w:rsidRPr="005D7471">
        <w:t xml:space="preserve">to </w:t>
      </w:r>
      <w:r w:rsidR="004147AA">
        <w:t xml:space="preserve">encourage employers to invest in the training of Australian workers and consider </w:t>
      </w:r>
      <w:r w:rsidR="004147AA" w:rsidRPr="005D7471">
        <w:t>upskill</w:t>
      </w:r>
      <w:r w:rsidR="004147AA">
        <w:t>ing</w:t>
      </w:r>
      <w:r w:rsidR="004147AA" w:rsidRPr="005D7471">
        <w:t xml:space="preserve"> an Australian employee</w:t>
      </w:r>
      <w:r w:rsidR="004147AA">
        <w:t xml:space="preserve"> before </w:t>
      </w:r>
      <w:r w:rsidR="000D17D9" w:rsidRPr="005D7471">
        <w:t xml:space="preserve">seeking </w:t>
      </w:r>
      <w:r w:rsidR="004147AA">
        <w:t xml:space="preserve">an </w:t>
      </w:r>
      <w:r w:rsidR="000D17D9" w:rsidRPr="005D7471">
        <w:t>oversea</w:t>
      </w:r>
      <w:r w:rsidR="004147AA">
        <w:t>s</w:t>
      </w:r>
      <w:r w:rsidR="000D17D9" w:rsidRPr="005D7471">
        <w:t xml:space="preserve"> worker.</w:t>
      </w:r>
      <w:r w:rsidR="0014228F" w:rsidRPr="005D7471">
        <w:t xml:space="preserve"> </w:t>
      </w:r>
      <w:r w:rsidR="00897331">
        <w:t xml:space="preserve">Although there was no evidence of non-compliance, </w:t>
      </w:r>
      <w:r w:rsidR="00231CD8" w:rsidRPr="005D7471">
        <w:t>the</w:t>
      </w:r>
      <w:r w:rsidR="00797B7B" w:rsidRPr="005D7471">
        <w:t xml:space="preserve"> </w:t>
      </w:r>
      <w:r w:rsidR="00231CD8" w:rsidRPr="005D7471">
        <w:t xml:space="preserve">Department </w:t>
      </w:r>
      <w:r w:rsidR="00746281">
        <w:t xml:space="preserve">could not </w:t>
      </w:r>
      <w:r w:rsidR="00BD4744" w:rsidRPr="005D7471">
        <w:t>take any a</w:t>
      </w:r>
      <w:r w:rsidR="00231CD8" w:rsidRPr="005D7471">
        <w:t>ction</w:t>
      </w:r>
      <w:r w:rsidR="00BD4744" w:rsidRPr="005D7471">
        <w:t xml:space="preserve"> if</w:t>
      </w:r>
      <w:r w:rsidR="00897331">
        <w:t xml:space="preserve"> a business </w:t>
      </w:r>
      <w:r w:rsidR="008A2220" w:rsidRPr="005D7471">
        <w:t>failed to</w:t>
      </w:r>
      <w:r w:rsidR="00231CD8" w:rsidRPr="005D7471">
        <w:t xml:space="preserve"> </w:t>
      </w:r>
      <w:r w:rsidR="00897331">
        <w:t>maintain their training expenditure after being approved as a sponsor.</w:t>
      </w:r>
    </w:p>
    <w:p w:rsidR="00D106B5" w:rsidRPr="005D7471" w:rsidRDefault="008248C1" w:rsidP="003C228D">
      <w:pPr>
        <w:spacing w:line="276" w:lineRule="auto"/>
      </w:pPr>
      <w:r w:rsidRPr="005D7471">
        <w:t>In</w:t>
      </w:r>
      <w:r w:rsidR="00797B7B" w:rsidRPr="005D7471">
        <w:t xml:space="preserve"> July 2013</w:t>
      </w:r>
      <w:r w:rsidR="008B5FE9" w:rsidRPr="005D7471">
        <w:t>,</w:t>
      </w:r>
      <w:r w:rsidR="00797B7B" w:rsidRPr="005D7471">
        <w:t xml:space="preserve"> the honour</w:t>
      </w:r>
      <w:r w:rsidR="00B155C1" w:rsidRPr="005D7471">
        <w:t>–</w:t>
      </w:r>
      <w:r w:rsidR="00797B7B" w:rsidRPr="005D7471">
        <w:t xml:space="preserve">bound commitment </w:t>
      </w:r>
      <w:r w:rsidR="00897331">
        <w:t xml:space="preserve">was changed </w:t>
      </w:r>
      <w:r w:rsidR="00797B7B" w:rsidRPr="005D7471">
        <w:t>to a legally binding obligation that</w:t>
      </w:r>
      <w:r w:rsidR="00651C3C">
        <w:t xml:space="preserve"> required sponsors</w:t>
      </w:r>
      <w:r w:rsidR="00D106B5" w:rsidRPr="005D7471">
        <w:t xml:space="preserve">: </w:t>
      </w:r>
    </w:p>
    <w:p w:rsidR="00D106B5" w:rsidRPr="005D7471" w:rsidRDefault="00D106B5" w:rsidP="003C228D">
      <w:pPr>
        <w:pStyle w:val="Bulletlist-level1"/>
        <w:spacing w:line="276" w:lineRule="auto"/>
      </w:pPr>
      <w:r w:rsidRPr="005D7471">
        <w:t>to keep records of training expenditure</w:t>
      </w:r>
    </w:p>
    <w:p w:rsidR="00D106B5" w:rsidRDefault="00651C3C" w:rsidP="003C228D">
      <w:pPr>
        <w:pStyle w:val="Bulletlist-level1"/>
        <w:spacing w:line="276" w:lineRule="auto"/>
        <w:ind w:right="170"/>
      </w:pPr>
      <w:proofErr w:type="gramStart"/>
      <w:r>
        <w:t>to</w:t>
      </w:r>
      <w:proofErr w:type="gramEnd"/>
      <w:r>
        <w:t xml:space="preserve"> </w:t>
      </w:r>
      <w:r w:rsidR="00D106B5" w:rsidRPr="005D7471">
        <w:t>continue</w:t>
      </w:r>
      <w:r w:rsidR="00275132">
        <w:t xml:space="preserve"> to</w:t>
      </w:r>
      <w:r w:rsidR="008A2220" w:rsidRPr="005D7471">
        <w:t xml:space="preserve"> financially contribut</w:t>
      </w:r>
      <w:r w:rsidR="00275132">
        <w:t>e</w:t>
      </w:r>
      <w:r w:rsidR="008A2220" w:rsidRPr="005D7471">
        <w:t xml:space="preserve"> towards</w:t>
      </w:r>
      <w:r w:rsidR="00D106B5" w:rsidRPr="005D7471">
        <w:t xml:space="preserve"> training Australians.</w:t>
      </w:r>
    </w:p>
    <w:p w:rsidR="00747664" w:rsidRDefault="00747664" w:rsidP="00747664">
      <w:pPr>
        <w:pStyle w:val="Bulletlist-level1"/>
        <w:numPr>
          <w:ilvl w:val="0"/>
          <w:numId w:val="0"/>
        </w:numPr>
        <w:spacing w:line="276" w:lineRule="auto"/>
        <w:ind w:right="170"/>
      </w:pPr>
    </w:p>
    <w:p w:rsidR="00747664" w:rsidRDefault="00747664" w:rsidP="00747664">
      <w:pPr>
        <w:pStyle w:val="Bullet-level1"/>
        <w:numPr>
          <w:ilvl w:val="0"/>
          <w:numId w:val="0"/>
        </w:numPr>
      </w:pPr>
      <w:r>
        <w:lastRenderedPageBreak/>
        <w:t>It should be noted, there was no evidence of non-compliance with the honour-bound commitment prior to this change.</w:t>
      </w:r>
    </w:p>
    <w:p w:rsidR="00747664" w:rsidRPr="005D7471" w:rsidRDefault="00747664" w:rsidP="00747664">
      <w:pPr>
        <w:pStyle w:val="Bulletlist-level1"/>
        <w:numPr>
          <w:ilvl w:val="0"/>
          <w:numId w:val="0"/>
        </w:numPr>
        <w:spacing w:line="276" w:lineRule="auto"/>
        <w:ind w:right="170"/>
      </w:pPr>
    </w:p>
    <w:p w:rsidR="00CA6558" w:rsidRDefault="00CA6558" w:rsidP="00CA6558">
      <w:pPr>
        <w:pStyle w:val="Heading2"/>
      </w:pPr>
      <w:bookmarkStart w:id="33" w:name="_Toc444499120"/>
      <w:bookmarkStart w:id="34" w:name="_Toc430935415"/>
      <w:bookmarkStart w:id="35" w:name="_Toc430937132"/>
      <w:r>
        <w:t>Impacts</w:t>
      </w:r>
      <w:bookmarkEnd w:id="33"/>
    </w:p>
    <w:p w:rsidR="00C57BDF" w:rsidRPr="005D7471" w:rsidRDefault="000704E5" w:rsidP="003C228D">
      <w:pPr>
        <w:pStyle w:val="Heading3"/>
        <w:spacing w:before="360" w:beforeAutospacing="0"/>
      </w:pPr>
      <w:bookmarkStart w:id="36" w:name="_Toc444499121"/>
      <w:r w:rsidRPr="005D7471">
        <w:t>Sponsors affected by</w:t>
      </w:r>
      <w:r w:rsidR="00242804" w:rsidRPr="005D7471">
        <w:t xml:space="preserve"> the obligation to k</w:t>
      </w:r>
      <w:r w:rsidR="00C57BDF" w:rsidRPr="005D7471">
        <w:t>eep records</w:t>
      </w:r>
      <w:r w:rsidR="00242804" w:rsidRPr="005D7471">
        <w:t xml:space="preserve"> of training</w:t>
      </w:r>
      <w:bookmarkEnd w:id="34"/>
      <w:bookmarkEnd w:id="35"/>
      <w:bookmarkEnd w:id="36"/>
    </w:p>
    <w:p w:rsidR="00D106B5" w:rsidRPr="005D7471" w:rsidRDefault="00797B7B" w:rsidP="003C228D">
      <w:pPr>
        <w:spacing w:line="276" w:lineRule="auto"/>
      </w:pPr>
      <w:r w:rsidRPr="005D7471">
        <w:t xml:space="preserve">Since July </w:t>
      </w:r>
      <w:r w:rsidR="000704E5" w:rsidRPr="005D7471">
        <w:t>2013</w:t>
      </w:r>
      <w:r w:rsidR="008A2220" w:rsidRPr="005D7471">
        <w:t>,</w:t>
      </w:r>
      <w:r w:rsidR="000704E5" w:rsidRPr="005D7471">
        <w:t xml:space="preserve"> </w:t>
      </w:r>
      <w:r w:rsidR="00D106B5" w:rsidRPr="005D7471">
        <w:t>sponsors</w:t>
      </w:r>
      <w:r w:rsidR="00D63C5F" w:rsidRPr="005D7471">
        <w:t xml:space="preserve"> have been legally bound to </w:t>
      </w:r>
      <w:r w:rsidRPr="005D7471">
        <w:t>ke</w:t>
      </w:r>
      <w:r w:rsidR="008A2220" w:rsidRPr="005D7471">
        <w:t>ep</w:t>
      </w:r>
      <w:r w:rsidR="00D106B5" w:rsidRPr="005D7471">
        <w:t xml:space="preserve"> records</w:t>
      </w:r>
      <w:r w:rsidRPr="005D7471">
        <w:t xml:space="preserve"> of </w:t>
      </w:r>
      <w:r w:rsidR="00E86444" w:rsidRPr="005D7471">
        <w:t>expenditure</w:t>
      </w:r>
      <w:r w:rsidR="00D63C5F" w:rsidRPr="005D7471">
        <w:t xml:space="preserve"> related to </w:t>
      </w:r>
      <w:r w:rsidRPr="005D7471">
        <w:t>training Australians</w:t>
      </w:r>
      <w:r w:rsidR="008A2220" w:rsidRPr="005D7471">
        <w:t>. This</w:t>
      </w:r>
      <w:r w:rsidR="00D63C5F" w:rsidRPr="005D7471">
        <w:t xml:space="preserve"> </w:t>
      </w:r>
      <w:r w:rsidR="007E5E3B">
        <w:t>allows</w:t>
      </w:r>
      <w:r w:rsidR="00CB67A1" w:rsidRPr="005D7471">
        <w:t xml:space="preserve"> the Department to assess whether </w:t>
      </w:r>
      <w:r w:rsidR="00275132">
        <w:t>sponsors</w:t>
      </w:r>
      <w:r w:rsidRPr="005D7471">
        <w:t xml:space="preserve"> me</w:t>
      </w:r>
      <w:r w:rsidR="00275132">
        <w:t>e</w:t>
      </w:r>
      <w:r w:rsidRPr="005D7471">
        <w:t>t</w:t>
      </w:r>
      <w:r w:rsidR="00D63C5F" w:rsidRPr="005D7471">
        <w:t xml:space="preserve"> the new</w:t>
      </w:r>
      <w:r w:rsidRPr="005D7471">
        <w:t xml:space="preserve"> training obligation. </w:t>
      </w:r>
      <w:r w:rsidR="00D03E46" w:rsidRPr="005D7471">
        <w:t>Compliant r</w:t>
      </w:r>
      <w:r w:rsidR="00D106B5" w:rsidRPr="005D7471">
        <w:t>ecords</w:t>
      </w:r>
      <w:r w:rsidR="00D03E46" w:rsidRPr="005D7471">
        <w:t xml:space="preserve"> </w:t>
      </w:r>
      <w:r w:rsidR="00D106B5" w:rsidRPr="005D7471">
        <w:t xml:space="preserve">consist of </w:t>
      </w:r>
      <w:r w:rsidR="0046125C" w:rsidRPr="005D7471">
        <w:t>receipts show</w:t>
      </w:r>
      <w:r w:rsidR="00F4055B">
        <w:t>ing</w:t>
      </w:r>
      <w:r w:rsidR="0046125C" w:rsidRPr="005D7471">
        <w:t xml:space="preserve"> </w:t>
      </w:r>
      <w:r w:rsidR="00D106B5" w:rsidRPr="005D7471">
        <w:t>payments</w:t>
      </w:r>
      <w:r w:rsidR="0046125C" w:rsidRPr="005D7471">
        <w:t xml:space="preserve"> </w:t>
      </w:r>
      <w:r w:rsidR="00D106B5" w:rsidRPr="005D7471">
        <w:t xml:space="preserve">equating to </w:t>
      </w:r>
      <w:r w:rsidR="00B655B0">
        <w:t>two per </w:t>
      </w:r>
      <w:r w:rsidR="00D106B5" w:rsidRPr="005D7471">
        <w:t>cent of the business</w:t>
      </w:r>
      <w:r w:rsidR="00D03E46" w:rsidRPr="005D7471">
        <w:t>’</w:t>
      </w:r>
      <w:r w:rsidR="00D106B5" w:rsidRPr="005D7471">
        <w:t xml:space="preserve"> payroll to industry training</w:t>
      </w:r>
      <w:r w:rsidR="0046125C" w:rsidRPr="005D7471">
        <w:t xml:space="preserve"> for Australians</w:t>
      </w:r>
      <w:r w:rsidR="00DB493C" w:rsidRPr="005D7471">
        <w:t>;</w:t>
      </w:r>
      <w:r w:rsidR="00D106B5" w:rsidRPr="005D7471">
        <w:t xml:space="preserve"> or one per cent on training the business’ Australian employees. </w:t>
      </w:r>
    </w:p>
    <w:p w:rsidR="00C57BDF" w:rsidRPr="005D7471" w:rsidRDefault="00D106B5" w:rsidP="003C228D">
      <w:pPr>
        <w:spacing w:line="276" w:lineRule="auto"/>
        <w:rPr>
          <w:rFonts w:cs="Arial"/>
        </w:rPr>
      </w:pPr>
      <w:r w:rsidRPr="005D7471">
        <w:t xml:space="preserve">Noting that </w:t>
      </w:r>
      <w:r w:rsidR="00DB493C" w:rsidRPr="005D7471">
        <w:t xml:space="preserve">expense </w:t>
      </w:r>
      <w:r w:rsidRPr="005D7471">
        <w:t>rec</w:t>
      </w:r>
      <w:r w:rsidR="006C17F6" w:rsidRPr="005D7471">
        <w:t xml:space="preserve">eipts </w:t>
      </w:r>
      <w:r w:rsidRPr="005D7471">
        <w:t>must be retained for taxation purposes, the</w:t>
      </w:r>
      <w:r w:rsidR="000704E5" w:rsidRPr="005D7471">
        <w:t xml:space="preserve"> </w:t>
      </w:r>
      <w:r w:rsidR="007E5E3B">
        <w:t xml:space="preserve">training record keeping amendment required the business to show that training </w:t>
      </w:r>
      <w:r w:rsidR="0046125C" w:rsidRPr="005D7471">
        <w:t>expenditure r</w:t>
      </w:r>
      <w:r w:rsidR="00BB7D59" w:rsidRPr="005D7471">
        <w:t xml:space="preserve">elated to training Australians. </w:t>
      </w:r>
      <w:r w:rsidRPr="005D7471">
        <w:rPr>
          <w:rFonts w:cs="Arial"/>
        </w:rPr>
        <w:t>The amount of time spent</w:t>
      </w:r>
      <w:r w:rsidR="0043142E" w:rsidRPr="005D7471">
        <w:rPr>
          <w:rFonts w:cs="Arial"/>
        </w:rPr>
        <w:t xml:space="preserve"> to develop and maintain these records</w:t>
      </w:r>
      <w:r w:rsidRPr="005D7471">
        <w:rPr>
          <w:rFonts w:cs="Arial"/>
        </w:rPr>
        <w:t xml:space="preserve"> would</w:t>
      </w:r>
      <w:r w:rsidR="006C17F6" w:rsidRPr="005D7471">
        <w:rPr>
          <w:rFonts w:cs="Arial"/>
        </w:rPr>
        <w:t xml:space="preserve"> vary</w:t>
      </w:r>
      <w:r w:rsidRPr="005D7471">
        <w:rPr>
          <w:rFonts w:cs="Arial"/>
        </w:rPr>
        <w:t xml:space="preserve"> depend</w:t>
      </w:r>
      <w:r w:rsidR="006C17F6" w:rsidRPr="005D7471">
        <w:rPr>
          <w:rFonts w:cs="Arial"/>
        </w:rPr>
        <w:t>ing</w:t>
      </w:r>
      <w:r w:rsidRPr="005D7471">
        <w:rPr>
          <w:rFonts w:cs="Arial"/>
        </w:rPr>
        <w:t xml:space="preserve"> on the </w:t>
      </w:r>
      <w:r w:rsidR="0043142E" w:rsidRPr="005D7471">
        <w:rPr>
          <w:rFonts w:cs="Arial"/>
        </w:rPr>
        <w:t>c</w:t>
      </w:r>
      <w:r w:rsidR="006C17F6" w:rsidRPr="005D7471">
        <w:rPr>
          <w:rFonts w:cs="Arial"/>
        </w:rPr>
        <w:t>ircumstances</w:t>
      </w:r>
      <w:r w:rsidR="00DF31E1" w:rsidRPr="005D7471">
        <w:rPr>
          <w:rFonts w:cs="Arial"/>
        </w:rPr>
        <w:t>,</w:t>
      </w:r>
      <w:r w:rsidR="006C17F6" w:rsidRPr="005D7471">
        <w:rPr>
          <w:rFonts w:cs="Arial"/>
        </w:rPr>
        <w:t xml:space="preserve"> </w:t>
      </w:r>
      <w:r w:rsidR="0046125C" w:rsidRPr="005D7471">
        <w:rPr>
          <w:rFonts w:cs="Arial"/>
        </w:rPr>
        <w:t>and</w:t>
      </w:r>
      <w:r w:rsidR="0043142E" w:rsidRPr="005D7471">
        <w:rPr>
          <w:rFonts w:cs="Arial"/>
        </w:rPr>
        <w:t xml:space="preserve"> </w:t>
      </w:r>
      <w:r w:rsidRPr="005D7471">
        <w:rPr>
          <w:rFonts w:cs="Arial"/>
        </w:rPr>
        <w:t xml:space="preserve">might be more difficult for sponsors who employ and train a mix of both Australian and overseas workers. </w:t>
      </w:r>
    </w:p>
    <w:p w:rsidR="00C57BDF" w:rsidRPr="005D7471" w:rsidRDefault="000704E5" w:rsidP="003C228D">
      <w:pPr>
        <w:pStyle w:val="Heading3"/>
        <w:spacing w:before="360" w:beforeAutospacing="0"/>
      </w:pPr>
      <w:bookmarkStart w:id="37" w:name="_Toc430935416"/>
      <w:bookmarkStart w:id="38" w:name="_Toc430937133"/>
      <w:bookmarkStart w:id="39" w:name="_Toc444499122"/>
      <w:r w:rsidRPr="005D7471">
        <w:t xml:space="preserve">Sponsors affected by </w:t>
      </w:r>
      <w:r w:rsidR="00242804" w:rsidRPr="005D7471">
        <w:t xml:space="preserve">the obligation to </w:t>
      </w:r>
      <w:r w:rsidR="00F420DA" w:rsidRPr="005D7471">
        <w:t>honour</w:t>
      </w:r>
      <w:r w:rsidRPr="005D7471">
        <w:t xml:space="preserve"> </w:t>
      </w:r>
      <w:r w:rsidR="00C57BDF" w:rsidRPr="005D7471">
        <w:t>training</w:t>
      </w:r>
      <w:r w:rsidRPr="005D7471">
        <w:t xml:space="preserve"> commitment</w:t>
      </w:r>
      <w:r w:rsidR="00F420DA" w:rsidRPr="005D7471">
        <w:t>s</w:t>
      </w:r>
      <w:bookmarkEnd w:id="37"/>
      <w:bookmarkEnd w:id="38"/>
      <w:bookmarkEnd w:id="39"/>
    </w:p>
    <w:p w:rsidR="006774C2" w:rsidRPr="005D7471" w:rsidRDefault="006774C2" w:rsidP="003C228D">
      <w:pPr>
        <w:spacing w:line="276" w:lineRule="auto"/>
      </w:pPr>
      <w:r w:rsidRPr="005D7471">
        <w:rPr>
          <w:rFonts w:cs="Arial"/>
        </w:rPr>
        <w:t xml:space="preserve">The training obligations introduced in July 2013 </w:t>
      </w:r>
      <w:r w:rsidR="00571430" w:rsidRPr="005D7471">
        <w:t>changed the previous honour–</w:t>
      </w:r>
      <w:r w:rsidRPr="005D7471">
        <w:t xml:space="preserve">bound commitment to a legally binding obligation that can be enforced by the Department.  </w:t>
      </w:r>
    </w:p>
    <w:p w:rsidR="000C6994" w:rsidRPr="005D7471" w:rsidRDefault="00651940" w:rsidP="003C228D">
      <w:pPr>
        <w:spacing w:line="276" w:lineRule="auto"/>
        <w:rPr>
          <w:color w:val="1F497D"/>
        </w:rPr>
      </w:pPr>
      <w:r w:rsidRPr="005D7471">
        <w:rPr>
          <w:rFonts w:cs="Arial"/>
        </w:rPr>
        <w:t>In</w:t>
      </w:r>
      <w:r w:rsidR="00193B20" w:rsidRPr="005D7471">
        <w:rPr>
          <w:rFonts w:cs="Arial"/>
        </w:rPr>
        <w:t xml:space="preserve"> </w:t>
      </w:r>
      <w:r w:rsidR="009B743C" w:rsidRPr="005D7471">
        <w:rPr>
          <w:rFonts w:cs="Arial"/>
        </w:rPr>
        <w:t>2013</w:t>
      </w:r>
      <w:r w:rsidR="00B155C1" w:rsidRPr="005D7471">
        <w:rPr>
          <w:rFonts w:cs="Arial"/>
        </w:rPr>
        <w:t>–</w:t>
      </w:r>
      <w:r w:rsidR="009B743C" w:rsidRPr="005D7471">
        <w:rPr>
          <w:rFonts w:cs="Arial"/>
        </w:rPr>
        <w:t>14</w:t>
      </w:r>
      <w:r w:rsidR="00B521FF" w:rsidRPr="005D7471">
        <w:rPr>
          <w:rFonts w:cs="Arial"/>
        </w:rPr>
        <w:t>,</w:t>
      </w:r>
      <w:r w:rsidR="009B743C" w:rsidRPr="005D7471">
        <w:rPr>
          <w:rFonts w:cs="Arial"/>
        </w:rPr>
        <w:t xml:space="preserve"> approximately 12</w:t>
      </w:r>
      <w:r w:rsidRPr="005D7471">
        <w:rPr>
          <w:rFonts w:cs="Arial"/>
        </w:rPr>
        <w:t xml:space="preserve"> per cent of applications for</w:t>
      </w:r>
      <w:r w:rsidR="009B743C" w:rsidRPr="005D7471">
        <w:rPr>
          <w:rFonts w:cs="Arial"/>
        </w:rPr>
        <w:t xml:space="preserve"> approval as a </w:t>
      </w:r>
      <w:r w:rsidRPr="005D7471">
        <w:rPr>
          <w:rFonts w:cs="Arial"/>
        </w:rPr>
        <w:t>sponsor</w:t>
      </w:r>
      <w:r w:rsidR="009B743C" w:rsidRPr="005D7471">
        <w:rPr>
          <w:rFonts w:cs="Arial"/>
        </w:rPr>
        <w:t xml:space="preserve"> were from previously approved sponsors</w:t>
      </w:r>
      <w:r w:rsidRPr="005D7471">
        <w:rPr>
          <w:rFonts w:cs="Arial"/>
        </w:rPr>
        <w:t xml:space="preserve">, a total of </w:t>
      </w:r>
      <w:r w:rsidR="009B743C" w:rsidRPr="005D7471">
        <w:rPr>
          <w:rFonts w:cs="Arial"/>
        </w:rPr>
        <w:t>1</w:t>
      </w:r>
      <w:r w:rsidR="00B655B0">
        <w:rPr>
          <w:rFonts w:cs="Arial"/>
        </w:rPr>
        <w:t>,</w:t>
      </w:r>
      <w:r w:rsidR="009B743C" w:rsidRPr="005D7471">
        <w:rPr>
          <w:rFonts w:cs="Arial"/>
        </w:rPr>
        <w:t>786 of 15</w:t>
      </w:r>
      <w:r w:rsidR="00D03E46" w:rsidRPr="005D7471">
        <w:rPr>
          <w:rFonts w:cs="Arial"/>
        </w:rPr>
        <w:t>,</w:t>
      </w:r>
      <w:r w:rsidR="009B743C" w:rsidRPr="005D7471">
        <w:rPr>
          <w:rFonts w:cs="Arial"/>
        </w:rPr>
        <w:t>363</w:t>
      </w:r>
      <w:r w:rsidRPr="005D7471">
        <w:rPr>
          <w:rFonts w:cs="Arial"/>
        </w:rPr>
        <w:t xml:space="preserve"> applications</w:t>
      </w:r>
      <w:r w:rsidR="00974A31" w:rsidRPr="005D7471">
        <w:rPr>
          <w:rFonts w:cs="Arial"/>
        </w:rPr>
        <w:t>.</w:t>
      </w:r>
      <w:r w:rsidR="006D75F3" w:rsidRPr="005D7471">
        <w:rPr>
          <w:rStyle w:val="FootnoteReference"/>
        </w:rPr>
        <w:footnoteReference w:id="14"/>
      </w:r>
      <w:r w:rsidR="00D91BB6" w:rsidRPr="005D7471">
        <w:rPr>
          <w:rFonts w:cs="Arial"/>
        </w:rPr>
        <w:t xml:space="preserve"> On this basis</w:t>
      </w:r>
      <w:r w:rsidR="00A121DA" w:rsidRPr="005D7471">
        <w:rPr>
          <w:rFonts w:cs="Arial"/>
        </w:rPr>
        <w:t xml:space="preserve"> and</w:t>
      </w:r>
      <w:r w:rsidR="00557F80" w:rsidRPr="005D7471">
        <w:rPr>
          <w:rFonts w:cs="Arial"/>
        </w:rPr>
        <w:t xml:space="preserve"> given no</w:t>
      </w:r>
      <w:r w:rsidR="00557F80" w:rsidRPr="005D7471">
        <w:t xml:space="preserve"> </w:t>
      </w:r>
      <w:r w:rsidR="00557F80" w:rsidRPr="005D7471">
        <w:rPr>
          <w:rFonts w:cs="Arial"/>
        </w:rPr>
        <w:t>evidence of previous non</w:t>
      </w:r>
      <w:r w:rsidR="00571430" w:rsidRPr="005D7471">
        <w:rPr>
          <w:rFonts w:cs="Arial"/>
        </w:rPr>
        <w:t>–compliance with the honour–</w:t>
      </w:r>
      <w:r w:rsidR="00557F80" w:rsidRPr="005D7471">
        <w:rPr>
          <w:rFonts w:cs="Arial"/>
        </w:rPr>
        <w:t>bound commitment prior to this change</w:t>
      </w:r>
      <w:r w:rsidR="00807B73" w:rsidRPr="005D7471">
        <w:rPr>
          <w:rFonts w:cs="Arial"/>
        </w:rPr>
        <w:t xml:space="preserve">, </w:t>
      </w:r>
      <w:r w:rsidR="000C6994" w:rsidRPr="005D7471">
        <w:rPr>
          <w:rFonts w:cs="Arial"/>
        </w:rPr>
        <w:t>it is estimated that a maximum of 1</w:t>
      </w:r>
      <w:r w:rsidR="00B655B0">
        <w:rPr>
          <w:rFonts w:cs="Arial"/>
        </w:rPr>
        <w:t>,</w:t>
      </w:r>
      <w:r w:rsidR="000C6994" w:rsidRPr="005D7471">
        <w:rPr>
          <w:rFonts w:cs="Arial"/>
        </w:rPr>
        <w:t>800 sponsors per year might be required to provide training expenditure records on renewal of sponsorship.</w:t>
      </w:r>
    </w:p>
    <w:p w:rsidR="00DB6DB8" w:rsidRPr="005D7471" w:rsidRDefault="0008591E" w:rsidP="003C228D">
      <w:pPr>
        <w:spacing w:line="276" w:lineRule="auto"/>
      </w:pPr>
      <w:r w:rsidRPr="005D7471">
        <w:rPr>
          <w:rFonts w:cs="Arial"/>
        </w:rPr>
        <w:t>T</w:t>
      </w:r>
      <w:r w:rsidR="00DC69EB" w:rsidRPr="005D7471">
        <w:rPr>
          <w:rFonts w:cs="Arial"/>
        </w:rPr>
        <w:t xml:space="preserve">he </w:t>
      </w:r>
      <w:r w:rsidR="00B44282" w:rsidRPr="005D7471">
        <w:rPr>
          <w:rFonts w:cs="Arial"/>
        </w:rPr>
        <w:t>D</w:t>
      </w:r>
      <w:r w:rsidR="00DC69EB" w:rsidRPr="005D7471">
        <w:rPr>
          <w:rFonts w:cs="Arial"/>
        </w:rPr>
        <w:t>epartment monit</w:t>
      </w:r>
      <w:r w:rsidR="009A32B2" w:rsidRPr="005D7471">
        <w:t>ored 2</w:t>
      </w:r>
      <w:r w:rsidR="00B655B0">
        <w:t>,</w:t>
      </w:r>
      <w:r w:rsidR="009A32B2" w:rsidRPr="005D7471">
        <w:t>223</w:t>
      </w:r>
      <w:r w:rsidR="00DC69EB" w:rsidRPr="005D7471">
        <w:t xml:space="preserve"> </w:t>
      </w:r>
      <w:r w:rsidR="009A32B2" w:rsidRPr="005D7471">
        <w:t>sponsors in 2013</w:t>
      </w:r>
      <w:r w:rsidR="00B155C1" w:rsidRPr="005D7471">
        <w:t>–</w:t>
      </w:r>
      <w:r w:rsidR="009A32B2" w:rsidRPr="005D7471">
        <w:t>14</w:t>
      </w:r>
      <w:r w:rsidR="006D75F3" w:rsidRPr="005D7471">
        <w:rPr>
          <w:rStyle w:val="FootnoteReference"/>
        </w:rPr>
        <w:footnoteReference w:id="15"/>
      </w:r>
      <w:r w:rsidR="009A32B2" w:rsidRPr="005D7471">
        <w:t xml:space="preserve"> and </w:t>
      </w:r>
      <w:r w:rsidR="00860143" w:rsidRPr="005D7471">
        <w:t>2</w:t>
      </w:r>
      <w:r w:rsidR="00B655B0">
        <w:t>,</w:t>
      </w:r>
      <w:r w:rsidR="00860143" w:rsidRPr="005D7471">
        <w:t>199</w:t>
      </w:r>
      <w:r w:rsidR="00F31414" w:rsidRPr="005D7471">
        <w:t xml:space="preserve"> sponsors in 2014</w:t>
      </w:r>
      <w:r w:rsidR="00B155C1" w:rsidRPr="005D7471">
        <w:t>–</w:t>
      </w:r>
      <w:r w:rsidR="00F31414" w:rsidRPr="005D7471">
        <w:t>15</w:t>
      </w:r>
      <w:r w:rsidR="00974A31" w:rsidRPr="005D7471">
        <w:t>.</w:t>
      </w:r>
      <w:r w:rsidR="006D75F3" w:rsidRPr="005D7471">
        <w:rPr>
          <w:rStyle w:val="FootnoteReference"/>
        </w:rPr>
        <w:footnoteReference w:id="16"/>
      </w:r>
      <w:r w:rsidR="004E2D4F" w:rsidRPr="005D7471">
        <w:t xml:space="preserve"> However sponsors were not monitored for compliance with training obligation</w:t>
      </w:r>
      <w:r w:rsidR="00B8403B">
        <w:t>s</w:t>
      </w:r>
      <w:r w:rsidR="004E2D4F" w:rsidRPr="005D7471">
        <w:t xml:space="preserve"> in 2013</w:t>
      </w:r>
      <w:r w:rsidR="00B155C1" w:rsidRPr="005D7471">
        <w:t>–</w:t>
      </w:r>
      <w:r w:rsidR="00B655B0">
        <w:t xml:space="preserve">14 </w:t>
      </w:r>
      <w:r w:rsidR="00203DD3">
        <w:t>as the obligations required a minimum</w:t>
      </w:r>
      <w:r w:rsidR="004B2657">
        <w:t xml:space="preserve"> of</w:t>
      </w:r>
      <w:r w:rsidR="00203DD3">
        <w:t xml:space="preserve"> 12 months to pass before a sponsor</w:t>
      </w:r>
      <w:r w:rsidR="003F5B0A">
        <w:t>’s compliance could be assessed</w:t>
      </w:r>
      <w:r w:rsidR="004E2D4F" w:rsidRPr="005D7471">
        <w:t>. In 2014</w:t>
      </w:r>
      <w:r w:rsidR="00B155C1" w:rsidRPr="005D7471">
        <w:t>–</w:t>
      </w:r>
      <w:r w:rsidR="004E2D4F" w:rsidRPr="005D7471">
        <w:t>15 the Department did not commence monitoring of th</w:t>
      </w:r>
      <w:r w:rsidR="00203DD3">
        <w:t>ese</w:t>
      </w:r>
      <w:r w:rsidR="004E2D4F" w:rsidRPr="005D7471">
        <w:t xml:space="preserve"> obli</w:t>
      </w:r>
      <w:r w:rsidR="004A4F58">
        <w:t>gation</w:t>
      </w:r>
      <w:r w:rsidR="00203DD3">
        <w:t>s</w:t>
      </w:r>
      <w:r w:rsidR="004A4F58">
        <w:t xml:space="preserve"> given the 457 Integrity R</w:t>
      </w:r>
      <w:r w:rsidR="004E2D4F" w:rsidRPr="005D7471">
        <w:t>eview</w:t>
      </w:r>
      <w:r w:rsidR="0013107F">
        <w:t>’s</w:t>
      </w:r>
      <w:r w:rsidR="004E2D4F" w:rsidRPr="005D7471">
        <w:t xml:space="preserve"> consideration of related issues. </w:t>
      </w:r>
      <w:r w:rsidR="006166BD" w:rsidRPr="005D7471">
        <w:t>At 31 December 2014, the Department had not recorded any instances of non–compliance relating to training obligations.</w:t>
      </w:r>
    </w:p>
    <w:p w:rsidR="002A3129" w:rsidRPr="005D7471" w:rsidRDefault="00CA6558" w:rsidP="003C228D">
      <w:pPr>
        <w:pStyle w:val="Heading3"/>
        <w:spacing w:before="360" w:beforeAutospacing="0"/>
      </w:pPr>
      <w:bookmarkStart w:id="40" w:name="_Toc444499123"/>
      <w:bookmarkStart w:id="41" w:name="_Toc430935417"/>
      <w:bookmarkStart w:id="42" w:name="_Toc430937134"/>
      <w:r>
        <w:t xml:space="preserve">Regulatory </w:t>
      </w:r>
      <w:r w:rsidR="002A3129" w:rsidRPr="005D7471">
        <w:t>Impact</w:t>
      </w:r>
      <w:bookmarkEnd w:id="40"/>
    </w:p>
    <w:bookmarkEnd w:id="41"/>
    <w:bookmarkEnd w:id="42"/>
    <w:p w:rsidR="00EC2BEE" w:rsidRPr="005D7471" w:rsidRDefault="003F0FE3" w:rsidP="003C228D">
      <w:pPr>
        <w:spacing w:line="276" w:lineRule="auto"/>
      </w:pPr>
      <w:r w:rsidRPr="005D7471">
        <w:t xml:space="preserve">As shown in table </w:t>
      </w:r>
      <w:r w:rsidR="00E76EF1" w:rsidRPr="005D7471">
        <w:t>3</w:t>
      </w:r>
      <w:r w:rsidRPr="005D7471">
        <w:t xml:space="preserve"> the regulatory </w:t>
      </w:r>
      <w:r w:rsidR="00B8403B">
        <w:t>costs</w:t>
      </w:r>
      <w:r w:rsidR="00B8403B" w:rsidRPr="005D7471">
        <w:t xml:space="preserve"> </w:t>
      </w:r>
      <w:r w:rsidRPr="005D7471">
        <w:t>resulting from the implementation of training obligations from July 2013 was $0.19 million per year.</w:t>
      </w:r>
      <w:r w:rsidR="00EC2BEE" w:rsidRPr="005D7471">
        <w:rPr>
          <w:rStyle w:val="FootnoteReference"/>
        </w:rPr>
        <w:footnoteReference w:id="17"/>
      </w:r>
    </w:p>
    <w:p w:rsidR="00517902" w:rsidRDefault="00517902">
      <w:pPr>
        <w:spacing w:before="0" w:after="200" w:line="276" w:lineRule="auto"/>
        <w:rPr>
          <w:b/>
          <w:bCs/>
          <w:color w:val="007BC3" w:themeColor="accent2"/>
          <w:sz w:val="18"/>
          <w:szCs w:val="18"/>
        </w:rPr>
      </w:pPr>
      <w:r>
        <w:br w:type="page"/>
      </w:r>
    </w:p>
    <w:p w:rsidR="003F0FE3" w:rsidRPr="005D7471" w:rsidRDefault="003F0FE3" w:rsidP="003C228D">
      <w:pPr>
        <w:pStyle w:val="Caption"/>
        <w:spacing w:line="276" w:lineRule="auto"/>
      </w:pPr>
      <w:r w:rsidRPr="005D7471">
        <w:lastRenderedPageBreak/>
        <w:t xml:space="preserve">Table </w:t>
      </w:r>
      <w:r w:rsidR="00E76EF1" w:rsidRPr="005D7471">
        <w:t>3</w:t>
      </w:r>
      <w:r w:rsidR="00B96C78" w:rsidRPr="005D7471">
        <w:t>:</w:t>
      </w:r>
      <w:r w:rsidRPr="005D7471">
        <w:t xml:space="preserve"> Regulatory costs</w:t>
      </w:r>
      <w:r w:rsidR="00B96C78" w:rsidRPr="005D7471">
        <w:t xml:space="preserve"> of</w:t>
      </w:r>
      <w:r w:rsidRPr="005D7471">
        <w:t xml:space="preserve"> </w:t>
      </w:r>
      <w:r w:rsidR="00D03E46" w:rsidRPr="005D7471">
        <w:t>t</w:t>
      </w:r>
      <w:r w:rsidRPr="005D7471">
        <w:t xml:space="preserve">raining obligations </w:t>
      </w:r>
    </w:p>
    <w:tbl>
      <w:tblPr>
        <w:tblStyle w:val="LightList-Accent2"/>
        <w:tblW w:w="8647" w:type="dxa"/>
        <w:tblInd w:w="108" w:type="dxa"/>
        <w:tblLayout w:type="fixed"/>
        <w:tblLook w:val="04A0" w:firstRow="1" w:lastRow="0" w:firstColumn="1" w:lastColumn="0" w:noHBand="0" w:noVBand="1"/>
        <w:tblCaption w:val="Regulatory burden and cost offset estimate table example"/>
        <w:tblDescription w:val="Shows an example of how to fill in the regulatory burden and cost offset estimate table for a deregulatory proposal."/>
      </w:tblPr>
      <w:tblGrid>
        <w:gridCol w:w="1757"/>
        <w:gridCol w:w="1758"/>
        <w:gridCol w:w="1758"/>
        <w:gridCol w:w="1758"/>
        <w:gridCol w:w="1616"/>
      </w:tblGrid>
      <w:tr w:rsidR="003F0FE3" w:rsidRPr="005D7471" w:rsidTr="005D45DD">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647" w:type="dxa"/>
            <w:gridSpan w:val="5"/>
            <w:noWrap/>
          </w:tcPr>
          <w:p w:rsidR="003F0FE3" w:rsidRPr="005D7471" w:rsidRDefault="003F0FE3" w:rsidP="003C228D">
            <w:pPr>
              <w:pStyle w:val="TableText"/>
              <w:spacing w:line="276" w:lineRule="auto"/>
              <w:rPr>
                <w:bCs/>
              </w:rPr>
            </w:pPr>
            <w:r w:rsidRPr="005D7471">
              <w:t>Average annual regulatory costs (from business as usual)</w:t>
            </w:r>
          </w:p>
        </w:tc>
      </w:tr>
      <w:tr w:rsidR="003F0FE3" w:rsidRPr="005D7471" w:rsidTr="002E6A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57" w:type="dxa"/>
            <w:noWrap/>
            <w:vAlign w:val="center"/>
          </w:tcPr>
          <w:p w:rsidR="003F0FE3" w:rsidRPr="005D7471" w:rsidRDefault="003F0FE3" w:rsidP="003C228D">
            <w:pPr>
              <w:pStyle w:val="TableText"/>
              <w:spacing w:line="276" w:lineRule="auto"/>
              <w:rPr>
                <w:b w:val="0"/>
                <w:bCs/>
              </w:rPr>
            </w:pPr>
            <w:r w:rsidRPr="005D7471">
              <w:rPr>
                <w:b w:val="0"/>
              </w:rPr>
              <w:t>Change in costs</w:t>
            </w:r>
            <w:r w:rsidRPr="005D7471">
              <w:rPr>
                <w:rFonts w:cs="Calibri"/>
                <w:b w:val="0"/>
                <w:iCs/>
              </w:rPr>
              <w:t xml:space="preserve"> ($ million)</w:t>
            </w:r>
          </w:p>
        </w:tc>
        <w:tc>
          <w:tcPr>
            <w:tcW w:w="1758" w:type="dxa"/>
            <w:noWrap/>
            <w:vAlign w:val="center"/>
          </w:tcPr>
          <w:p w:rsidR="003F0FE3" w:rsidRPr="005D7471" w:rsidRDefault="003F0FE3" w:rsidP="003C228D">
            <w:pPr>
              <w:pStyle w:val="TableText"/>
              <w:spacing w:line="276" w:lineRule="auto"/>
              <w:cnfStyle w:val="000000100000" w:firstRow="0" w:lastRow="0" w:firstColumn="0" w:lastColumn="0" w:oddVBand="0" w:evenVBand="0" w:oddHBand="1" w:evenHBand="0" w:firstRowFirstColumn="0" w:firstRowLastColumn="0" w:lastRowFirstColumn="0" w:lastRowLastColumn="0"/>
            </w:pPr>
            <w:r w:rsidRPr="005D7471">
              <w:t>Business</w:t>
            </w:r>
          </w:p>
        </w:tc>
        <w:tc>
          <w:tcPr>
            <w:tcW w:w="1758" w:type="dxa"/>
            <w:noWrap/>
            <w:vAlign w:val="center"/>
          </w:tcPr>
          <w:p w:rsidR="003F0FE3" w:rsidRPr="005D7471" w:rsidRDefault="003F0FE3" w:rsidP="003C228D">
            <w:pPr>
              <w:pStyle w:val="TableText"/>
              <w:spacing w:line="276" w:lineRule="auto"/>
              <w:cnfStyle w:val="000000100000" w:firstRow="0" w:lastRow="0" w:firstColumn="0" w:lastColumn="0" w:oddVBand="0" w:evenVBand="0" w:oddHBand="1" w:evenHBand="0" w:firstRowFirstColumn="0" w:firstRowLastColumn="0" w:lastRowFirstColumn="0" w:lastRowLastColumn="0"/>
            </w:pPr>
            <w:r w:rsidRPr="005D7471">
              <w:rPr>
                <w:rFonts w:cs="Calibri"/>
                <w:iCs/>
              </w:rPr>
              <w:t>Community organisations</w:t>
            </w:r>
          </w:p>
        </w:tc>
        <w:tc>
          <w:tcPr>
            <w:tcW w:w="1758" w:type="dxa"/>
            <w:noWrap/>
            <w:vAlign w:val="center"/>
          </w:tcPr>
          <w:p w:rsidR="003F0FE3" w:rsidRPr="005D7471" w:rsidRDefault="003F0FE3" w:rsidP="003C228D">
            <w:pPr>
              <w:pStyle w:val="TableText"/>
              <w:spacing w:line="276" w:lineRule="auto"/>
              <w:cnfStyle w:val="000000100000" w:firstRow="0" w:lastRow="0" w:firstColumn="0" w:lastColumn="0" w:oddVBand="0" w:evenVBand="0" w:oddHBand="1" w:evenHBand="0" w:firstRowFirstColumn="0" w:firstRowLastColumn="0" w:lastRowFirstColumn="0" w:lastRowLastColumn="0"/>
            </w:pPr>
            <w:r w:rsidRPr="005D7471">
              <w:t>Individuals</w:t>
            </w:r>
          </w:p>
        </w:tc>
        <w:tc>
          <w:tcPr>
            <w:tcW w:w="1616" w:type="dxa"/>
            <w:noWrap/>
            <w:vAlign w:val="center"/>
          </w:tcPr>
          <w:p w:rsidR="003F0FE3" w:rsidRPr="005D7471" w:rsidRDefault="003F0FE3" w:rsidP="003C228D">
            <w:pPr>
              <w:pStyle w:val="TableText"/>
              <w:spacing w:line="276" w:lineRule="auto"/>
              <w:cnfStyle w:val="000000100000" w:firstRow="0" w:lastRow="0" w:firstColumn="0" w:lastColumn="0" w:oddVBand="0" w:evenVBand="0" w:oddHBand="1" w:evenHBand="0" w:firstRowFirstColumn="0" w:firstRowLastColumn="0" w:lastRowFirstColumn="0" w:lastRowLastColumn="0"/>
            </w:pPr>
            <w:r w:rsidRPr="005D7471">
              <w:rPr>
                <w:rFonts w:cs="Calibri"/>
                <w:iCs/>
              </w:rPr>
              <w:t>Total change in cost</w:t>
            </w:r>
          </w:p>
        </w:tc>
      </w:tr>
      <w:tr w:rsidR="003F0FE3" w:rsidRPr="005D7471" w:rsidTr="002E6AAF">
        <w:trPr>
          <w:trHeight w:val="300"/>
        </w:trPr>
        <w:tc>
          <w:tcPr>
            <w:cnfStyle w:val="001000000000" w:firstRow="0" w:lastRow="0" w:firstColumn="1" w:lastColumn="0" w:oddVBand="0" w:evenVBand="0" w:oddHBand="0" w:evenHBand="0" w:firstRowFirstColumn="0" w:firstRowLastColumn="0" w:lastRowFirstColumn="0" w:lastRowLastColumn="0"/>
            <w:tcW w:w="1757" w:type="dxa"/>
            <w:noWrap/>
            <w:vAlign w:val="center"/>
          </w:tcPr>
          <w:p w:rsidR="003F0FE3" w:rsidRPr="005D7471" w:rsidRDefault="003F0FE3" w:rsidP="003C228D">
            <w:pPr>
              <w:pStyle w:val="TableText"/>
              <w:spacing w:line="276" w:lineRule="auto"/>
              <w:rPr>
                <w:b w:val="0"/>
                <w:bCs/>
              </w:rPr>
            </w:pPr>
            <w:r w:rsidRPr="005D7471">
              <w:rPr>
                <w:b w:val="0"/>
              </w:rPr>
              <w:t xml:space="preserve">Training </w:t>
            </w:r>
            <w:r w:rsidR="00340FA2" w:rsidRPr="005D7471">
              <w:rPr>
                <w:b w:val="0"/>
              </w:rPr>
              <w:t>o</w:t>
            </w:r>
            <w:r w:rsidRPr="005D7471">
              <w:rPr>
                <w:b w:val="0"/>
              </w:rPr>
              <w:t>bligation</w:t>
            </w:r>
          </w:p>
        </w:tc>
        <w:tc>
          <w:tcPr>
            <w:tcW w:w="1758" w:type="dxa"/>
            <w:noWrap/>
            <w:vAlign w:val="center"/>
          </w:tcPr>
          <w:p w:rsidR="003F0FE3" w:rsidRPr="005D7471" w:rsidRDefault="003F0FE3" w:rsidP="003C228D">
            <w:pPr>
              <w:pStyle w:val="TableText"/>
              <w:spacing w:line="276" w:lineRule="auto"/>
              <w:cnfStyle w:val="000000000000" w:firstRow="0" w:lastRow="0" w:firstColumn="0" w:lastColumn="0" w:oddVBand="0" w:evenVBand="0" w:oddHBand="0" w:evenHBand="0" w:firstRowFirstColumn="0" w:firstRowLastColumn="0" w:lastRowFirstColumn="0" w:lastRowLastColumn="0"/>
              <w:rPr>
                <w:rFonts w:cs="Calibri"/>
                <w:iCs/>
              </w:rPr>
            </w:pPr>
            <w:r w:rsidRPr="005D7471">
              <w:t>$0.19</w:t>
            </w:r>
          </w:p>
        </w:tc>
        <w:tc>
          <w:tcPr>
            <w:tcW w:w="1758" w:type="dxa"/>
            <w:noWrap/>
            <w:vAlign w:val="center"/>
          </w:tcPr>
          <w:p w:rsidR="003F0FE3" w:rsidRPr="005D7471" w:rsidRDefault="003F0FE3" w:rsidP="003C228D">
            <w:pPr>
              <w:pStyle w:val="TableText"/>
              <w:spacing w:line="276" w:lineRule="auto"/>
              <w:cnfStyle w:val="000000000000" w:firstRow="0" w:lastRow="0" w:firstColumn="0" w:lastColumn="0" w:oddVBand="0" w:evenVBand="0" w:oddHBand="0" w:evenHBand="0" w:firstRowFirstColumn="0" w:firstRowLastColumn="0" w:lastRowFirstColumn="0" w:lastRowLastColumn="0"/>
              <w:rPr>
                <w:rFonts w:cs="Calibri"/>
                <w:iCs/>
              </w:rPr>
            </w:pPr>
            <w:r w:rsidRPr="005D7471">
              <w:t>$0</w:t>
            </w:r>
          </w:p>
        </w:tc>
        <w:tc>
          <w:tcPr>
            <w:tcW w:w="1758" w:type="dxa"/>
            <w:noWrap/>
            <w:vAlign w:val="center"/>
          </w:tcPr>
          <w:p w:rsidR="003F0FE3" w:rsidRPr="005D7471" w:rsidRDefault="003F0FE3" w:rsidP="003C228D">
            <w:pPr>
              <w:pStyle w:val="TableText"/>
              <w:spacing w:line="276" w:lineRule="auto"/>
              <w:cnfStyle w:val="000000000000" w:firstRow="0" w:lastRow="0" w:firstColumn="0" w:lastColumn="0" w:oddVBand="0" w:evenVBand="0" w:oddHBand="0" w:evenHBand="0" w:firstRowFirstColumn="0" w:firstRowLastColumn="0" w:lastRowFirstColumn="0" w:lastRowLastColumn="0"/>
              <w:rPr>
                <w:rFonts w:cs="Calibri"/>
                <w:iCs/>
              </w:rPr>
            </w:pPr>
            <w:r w:rsidRPr="005D7471">
              <w:t>$0</w:t>
            </w:r>
          </w:p>
        </w:tc>
        <w:tc>
          <w:tcPr>
            <w:tcW w:w="1616" w:type="dxa"/>
            <w:noWrap/>
            <w:vAlign w:val="center"/>
          </w:tcPr>
          <w:p w:rsidR="003F0FE3" w:rsidRPr="005D7471" w:rsidRDefault="003F0FE3" w:rsidP="003C228D">
            <w:pPr>
              <w:pStyle w:val="TableText"/>
              <w:spacing w:line="276" w:lineRule="auto"/>
              <w:cnfStyle w:val="000000000000" w:firstRow="0" w:lastRow="0" w:firstColumn="0" w:lastColumn="0" w:oddVBand="0" w:evenVBand="0" w:oddHBand="0" w:evenHBand="0" w:firstRowFirstColumn="0" w:firstRowLastColumn="0" w:lastRowFirstColumn="0" w:lastRowLastColumn="0"/>
              <w:rPr>
                <w:rFonts w:cs="Calibri"/>
                <w:iCs/>
              </w:rPr>
            </w:pPr>
            <w:r w:rsidRPr="005D7471">
              <w:t>$0.19</w:t>
            </w:r>
          </w:p>
        </w:tc>
      </w:tr>
    </w:tbl>
    <w:p w:rsidR="00D5336C" w:rsidRPr="005D7471" w:rsidRDefault="00D5336C" w:rsidP="003C228D">
      <w:pPr>
        <w:pStyle w:val="Heading3"/>
        <w:spacing w:before="360" w:beforeAutospacing="0"/>
      </w:pPr>
      <w:bookmarkStart w:id="43" w:name="_Toc444499124"/>
      <w:r w:rsidRPr="005D7471">
        <w:t>Consultation</w:t>
      </w:r>
      <w:bookmarkEnd w:id="43"/>
    </w:p>
    <w:p w:rsidR="00817D46" w:rsidRPr="005D7471" w:rsidRDefault="00817D46" w:rsidP="003C228D">
      <w:pPr>
        <w:spacing w:line="276" w:lineRule="auto"/>
        <w:rPr>
          <w:rFonts w:cs="Arial"/>
        </w:rPr>
      </w:pPr>
      <w:r w:rsidRPr="005D7471">
        <w:rPr>
          <w:rFonts w:cs="Arial"/>
        </w:rPr>
        <w:t xml:space="preserve">In the 2014 survey, 10.3 per cent of respondents indicated they would like the training requirement changed. However, the survey did not seek details on how they would like it to be changed. </w:t>
      </w:r>
    </w:p>
    <w:p w:rsidR="00E70EA3" w:rsidRDefault="000D6E18" w:rsidP="003C228D">
      <w:pPr>
        <w:spacing w:line="276" w:lineRule="auto"/>
        <w:rPr>
          <w:rFonts w:cs="Arial"/>
        </w:rPr>
      </w:pPr>
      <w:r>
        <w:t>T</w:t>
      </w:r>
      <w:r w:rsidR="00D5336C" w:rsidRPr="005D7471">
        <w:rPr>
          <w:rFonts w:cs="Arial"/>
        </w:rPr>
        <w:t xml:space="preserve">he </w:t>
      </w:r>
      <w:r>
        <w:rPr>
          <w:rFonts w:cs="Arial"/>
        </w:rPr>
        <w:t xml:space="preserve">457 Integrity Review </w:t>
      </w:r>
      <w:r w:rsidR="00D5336C" w:rsidRPr="005D7471">
        <w:rPr>
          <w:rFonts w:cs="Arial"/>
        </w:rPr>
        <w:t>found that</w:t>
      </w:r>
      <w:r w:rsidR="00E70EA3">
        <w:rPr>
          <w:rFonts w:cs="Arial"/>
        </w:rPr>
        <w:t>:</w:t>
      </w:r>
    </w:p>
    <w:p w:rsidR="00D5336C" w:rsidRPr="005D7471" w:rsidRDefault="00D5336C" w:rsidP="003C228D">
      <w:pPr>
        <w:spacing w:line="276" w:lineRule="auto"/>
        <w:ind w:left="284"/>
        <w:rPr>
          <w:rFonts w:cs="Arial"/>
          <w:i/>
        </w:rPr>
      </w:pPr>
      <w:r w:rsidRPr="005D7471">
        <w:rPr>
          <w:rFonts w:cs="Arial"/>
          <w:i/>
        </w:rPr>
        <w:t>‘</w:t>
      </w:r>
      <w:proofErr w:type="gramStart"/>
      <w:r w:rsidRPr="006C52A7">
        <w:rPr>
          <w:rFonts w:cs="Arial"/>
          <w:i/>
        </w:rPr>
        <w:t>there</w:t>
      </w:r>
      <w:proofErr w:type="gramEnd"/>
      <w:r w:rsidRPr="006C52A7">
        <w:rPr>
          <w:rFonts w:cs="Arial"/>
          <w:i/>
        </w:rPr>
        <w:t xml:space="preserve"> was strong support for the principle that employers who wish to sponsor 457 visa holders make some form of contribution to training Australians in return</w:t>
      </w:r>
      <w:r w:rsidRPr="005D7471">
        <w:rPr>
          <w:rFonts w:cs="Arial"/>
        </w:rPr>
        <w:t>.’</w:t>
      </w:r>
      <w:r w:rsidRPr="005D7471">
        <w:rPr>
          <w:rStyle w:val="FootnoteReference"/>
        </w:rPr>
        <w:footnoteReference w:id="18"/>
      </w:r>
    </w:p>
    <w:p w:rsidR="00D5336C" w:rsidRDefault="00D5336C" w:rsidP="003C228D">
      <w:pPr>
        <w:spacing w:line="276" w:lineRule="auto"/>
        <w:rPr>
          <w:rFonts w:cs="Arial"/>
        </w:rPr>
      </w:pPr>
      <w:r w:rsidRPr="005D7471">
        <w:rPr>
          <w:rFonts w:cs="Arial"/>
        </w:rPr>
        <w:t>The review noted that generally sponsors, while not opposed to contributing to training, thought the existing benchmarks were unnecessarily complex and inappropriate, particularly when applied equally to small businesses. The review recommended the current training benchmarks, which require payments based on a percentage of the business payroll, be replaced by an annual training fund contribution based on each 457 visa holder sponsored, with the contributions scaled according to size of business.</w:t>
      </w:r>
      <w:r w:rsidR="00853396">
        <w:rPr>
          <w:rFonts w:cs="Arial"/>
        </w:rPr>
        <w:t xml:space="preserve"> </w:t>
      </w:r>
      <w:r w:rsidR="006166BD">
        <w:rPr>
          <w:rFonts w:cs="Arial"/>
        </w:rPr>
        <w:t xml:space="preserve">This </w:t>
      </w:r>
      <w:r w:rsidR="00991EF0">
        <w:rPr>
          <w:rFonts w:cs="Arial"/>
        </w:rPr>
        <w:t xml:space="preserve">recommendation was accepted by </w:t>
      </w:r>
      <w:r w:rsidR="003B6DFF">
        <w:rPr>
          <w:rFonts w:cs="Arial"/>
        </w:rPr>
        <w:t>the g</w:t>
      </w:r>
      <w:r w:rsidR="006166BD">
        <w:rPr>
          <w:rFonts w:cs="Arial"/>
        </w:rPr>
        <w:t>overnment, and the details relating to a</w:t>
      </w:r>
      <w:r w:rsidR="00CF518E">
        <w:rPr>
          <w:rFonts w:cs="Arial"/>
        </w:rPr>
        <w:t xml:space="preserve"> new</w:t>
      </w:r>
      <w:r w:rsidR="006166BD">
        <w:rPr>
          <w:rFonts w:cs="Arial"/>
        </w:rPr>
        <w:t xml:space="preserve"> training fund contribution model were being finalised</w:t>
      </w:r>
      <w:r w:rsidR="00991EF0">
        <w:rPr>
          <w:rFonts w:cs="Arial"/>
        </w:rPr>
        <w:t xml:space="preserve"> as at 31 January </w:t>
      </w:r>
      <w:r w:rsidR="00853396">
        <w:rPr>
          <w:rFonts w:cs="Arial"/>
        </w:rPr>
        <w:t>2016</w:t>
      </w:r>
      <w:r w:rsidR="006166BD">
        <w:rPr>
          <w:rFonts w:cs="Arial"/>
        </w:rPr>
        <w:t>.</w:t>
      </w:r>
    </w:p>
    <w:p w:rsidR="00DB77DB" w:rsidRPr="005D7471" w:rsidRDefault="00DB77DB" w:rsidP="003C228D">
      <w:pPr>
        <w:pStyle w:val="Heading3"/>
        <w:spacing w:before="360" w:beforeAutospacing="0"/>
      </w:pPr>
      <w:bookmarkStart w:id="44" w:name="_Toc444499125"/>
      <w:r w:rsidRPr="005D7471">
        <w:t>Findings</w:t>
      </w:r>
      <w:r w:rsidR="00AD5A6B" w:rsidRPr="005D7471">
        <w:t>—</w:t>
      </w:r>
      <w:r w:rsidRPr="005D7471">
        <w:t>net benefit</w:t>
      </w:r>
      <w:bookmarkEnd w:id="44"/>
    </w:p>
    <w:p w:rsidR="008E294D" w:rsidRPr="005D7471" w:rsidRDefault="000D6E18" w:rsidP="003C228D">
      <w:pPr>
        <w:spacing w:line="276" w:lineRule="auto"/>
      </w:pPr>
      <w:r>
        <w:t>The amendment</w:t>
      </w:r>
      <w:r w:rsidR="00EC1C51">
        <w:t>s</w:t>
      </w:r>
      <w:r>
        <w:t xml:space="preserve"> to legally oblig</w:t>
      </w:r>
      <w:r w:rsidR="00EC1C51">
        <w:t>ate</w:t>
      </w:r>
      <w:r>
        <w:t xml:space="preserve"> sponsors to continue to financially contribute towards training Australians</w:t>
      </w:r>
      <w:r w:rsidR="00EC1C51">
        <w:t xml:space="preserve"> while employing a 457 worker </w:t>
      </w:r>
      <w:r w:rsidR="00244C0E" w:rsidRPr="005D7471">
        <w:t>enable</w:t>
      </w:r>
      <w:r w:rsidR="00817D46">
        <w:t>d</w:t>
      </w:r>
      <w:r w:rsidR="00244C0E" w:rsidRPr="005D7471">
        <w:t xml:space="preserve"> the </w:t>
      </w:r>
      <w:r w:rsidR="00233CCA" w:rsidRPr="005D7471">
        <w:t xml:space="preserve">Department to take action </w:t>
      </w:r>
      <w:r w:rsidR="00EC1C51">
        <w:t>i</w:t>
      </w:r>
      <w:r w:rsidR="00817D46">
        <w:t>n the case of</w:t>
      </w:r>
      <w:r w:rsidR="00EC1C51">
        <w:t xml:space="preserve"> non-compliance. This was not possible before the amendments. An enforcement mechanism improves the effectiveness of the training requirement </w:t>
      </w:r>
      <w:r w:rsidR="008F7D35">
        <w:t>although it is not clear if compliance has changed</w:t>
      </w:r>
      <w:r w:rsidR="00747664">
        <w:t xml:space="preserve"> given that there is no evidence of previous non-compliance with the honour-bound training commitments</w:t>
      </w:r>
      <w:r w:rsidR="00EC1C51">
        <w:t>.</w:t>
      </w:r>
      <w:r w:rsidR="00052C45">
        <w:t xml:space="preserve"> </w:t>
      </w:r>
      <w:r w:rsidR="008E294D">
        <w:t xml:space="preserve">This has been at the cost of </w:t>
      </w:r>
      <w:r w:rsidR="00233CCA" w:rsidRPr="005D7471">
        <w:t>$0.19 million per year</w:t>
      </w:r>
      <w:r w:rsidR="008E294D">
        <w:t xml:space="preserve"> in regulatory impact on business</w:t>
      </w:r>
      <w:r w:rsidR="00233CCA" w:rsidRPr="005D7471">
        <w:t>.</w:t>
      </w:r>
    </w:p>
    <w:p w:rsidR="000003C3" w:rsidRPr="005D7471" w:rsidRDefault="00B450F1" w:rsidP="003C228D">
      <w:pPr>
        <w:spacing w:line="276" w:lineRule="auto"/>
      </w:pPr>
      <w:r w:rsidRPr="005D7471">
        <w:rPr>
          <w:rFonts w:cs="Arial"/>
        </w:rPr>
        <w:t>S</w:t>
      </w:r>
      <w:r w:rsidR="00D5336C" w:rsidRPr="005D7471">
        <w:rPr>
          <w:rFonts w:cs="Arial"/>
        </w:rPr>
        <w:t>takeholders supported the principle that employers accessing the 457 programme make some form of contribution to training Australians in return.</w:t>
      </w:r>
      <w:r w:rsidR="000003C3" w:rsidRPr="005D7471">
        <w:rPr>
          <w:rFonts w:cs="Arial"/>
        </w:rPr>
        <w:t xml:space="preserve"> </w:t>
      </w:r>
    </w:p>
    <w:p w:rsidR="00310340" w:rsidRPr="005D7471" w:rsidRDefault="00310340" w:rsidP="003C228D">
      <w:pPr>
        <w:pStyle w:val="Heading2"/>
        <w:numPr>
          <w:ilvl w:val="0"/>
          <w:numId w:val="31"/>
        </w:numPr>
      </w:pPr>
      <w:bookmarkStart w:id="45" w:name="_Toc444499126"/>
      <w:r w:rsidRPr="005D7471">
        <w:t xml:space="preserve">Genuine </w:t>
      </w:r>
      <w:r w:rsidR="00F420DA" w:rsidRPr="005D7471">
        <w:t>p</w:t>
      </w:r>
      <w:r w:rsidRPr="005D7471">
        <w:t>osition</w:t>
      </w:r>
      <w:bookmarkEnd w:id="45"/>
    </w:p>
    <w:p w:rsidR="003D64F2" w:rsidRPr="005D7471" w:rsidRDefault="00DD1F46" w:rsidP="003C228D">
      <w:pPr>
        <w:spacing w:line="276" w:lineRule="auto"/>
      </w:pPr>
      <w:r w:rsidRPr="005D7471">
        <w:t>In 2009</w:t>
      </w:r>
      <w:r w:rsidR="00AD5A6B" w:rsidRPr="005D7471">
        <w:t>,</w:t>
      </w:r>
      <w:r w:rsidRPr="005D7471">
        <w:t xml:space="preserve"> streamlined nomination provisions were implemented to reduce red tape for employers. </w:t>
      </w:r>
      <w:proofErr w:type="gramStart"/>
      <w:r w:rsidR="00EC1C51">
        <w:t xml:space="preserve">This enabled </w:t>
      </w:r>
      <w:r w:rsidRPr="005D7471">
        <w:t>sponsors</w:t>
      </w:r>
      <w:proofErr w:type="gramEnd"/>
      <w:r w:rsidRPr="005D7471">
        <w:t xml:space="preserve"> to certify some requirements</w:t>
      </w:r>
      <w:r w:rsidR="00EC1C51">
        <w:t xml:space="preserve"> were met</w:t>
      </w:r>
      <w:r w:rsidRPr="005D7471">
        <w:t>, such as the skill level of the position and visa applicant</w:t>
      </w:r>
      <w:r w:rsidR="00C704C3" w:rsidRPr="005D7471">
        <w:t>.</w:t>
      </w:r>
      <w:r w:rsidRPr="005D7471">
        <w:t xml:space="preserve"> However, </w:t>
      </w:r>
      <w:r w:rsidR="003D64F2" w:rsidRPr="005D7471">
        <w:t xml:space="preserve">the Department </w:t>
      </w:r>
      <w:r w:rsidR="00EC1C51">
        <w:t xml:space="preserve">was not able </w:t>
      </w:r>
      <w:r w:rsidR="003D64F2" w:rsidRPr="005D7471">
        <w:t xml:space="preserve">to refuse </w:t>
      </w:r>
      <w:r w:rsidR="00E21D5A" w:rsidRPr="005D7471">
        <w:t xml:space="preserve">457 visa </w:t>
      </w:r>
      <w:r w:rsidR="003D64F2" w:rsidRPr="005D7471">
        <w:t>nominations whe</w:t>
      </w:r>
      <w:r w:rsidRPr="005D7471">
        <w:t>n</w:t>
      </w:r>
      <w:r w:rsidR="003D64F2" w:rsidRPr="005D7471">
        <w:t xml:space="preserve"> </w:t>
      </w:r>
      <w:r w:rsidRPr="005D7471">
        <w:t xml:space="preserve">these certifications were inaccurate. For example, a nomination could not be refused when evidence indicated </w:t>
      </w:r>
      <w:r w:rsidR="003D64F2" w:rsidRPr="005D7471">
        <w:t>a low</w:t>
      </w:r>
      <w:r w:rsidR="00E21D5A" w:rsidRPr="005D7471">
        <w:t>,</w:t>
      </w:r>
      <w:r w:rsidR="00571430" w:rsidRPr="005D7471">
        <w:t xml:space="preserve"> or semi–</w:t>
      </w:r>
      <w:r w:rsidR="003D64F2" w:rsidRPr="005D7471">
        <w:t xml:space="preserve">skilled position had been </w:t>
      </w:r>
      <w:r w:rsidR="00E21D5A" w:rsidRPr="005D7471">
        <w:t>embellished</w:t>
      </w:r>
      <w:r w:rsidR="003D64F2" w:rsidRPr="005D7471">
        <w:t xml:space="preserve"> to appear more skilled</w:t>
      </w:r>
      <w:r w:rsidR="00E21D5A" w:rsidRPr="005D7471">
        <w:t>,</w:t>
      </w:r>
      <w:r w:rsidR="003D64F2" w:rsidRPr="005D7471">
        <w:t xml:space="preserve"> or created specifically to engage the visa applicant</w:t>
      </w:r>
      <w:r w:rsidR="000361A9" w:rsidRPr="005D7471">
        <w:t>.</w:t>
      </w:r>
    </w:p>
    <w:p w:rsidR="00DD1F46" w:rsidRPr="005D7471" w:rsidRDefault="00E21D5A" w:rsidP="003C228D">
      <w:pPr>
        <w:spacing w:line="276" w:lineRule="auto"/>
      </w:pPr>
      <w:r w:rsidRPr="005D7471">
        <w:lastRenderedPageBreak/>
        <w:t>To rectify this issue, the Department int</w:t>
      </w:r>
      <w:r w:rsidR="00EE3737" w:rsidRPr="005D7471">
        <w:t>roduced</w:t>
      </w:r>
      <w:r w:rsidRPr="005D7471">
        <w:t xml:space="preserve"> </w:t>
      </w:r>
      <w:r w:rsidR="00CB05B4">
        <w:t xml:space="preserve">the </w:t>
      </w:r>
      <w:r w:rsidR="003D64F2" w:rsidRPr="005D7471">
        <w:t>genuine</w:t>
      </w:r>
      <w:r w:rsidRPr="005D7471">
        <w:t xml:space="preserve"> position </w:t>
      </w:r>
      <w:r w:rsidR="00CB05B4">
        <w:t>amendment</w:t>
      </w:r>
      <w:r w:rsidR="00817D46" w:rsidRPr="00817D46">
        <w:t xml:space="preserve"> </w:t>
      </w:r>
      <w:r w:rsidR="00817D46" w:rsidRPr="005D7471">
        <w:t>in 2013</w:t>
      </w:r>
      <w:r w:rsidRPr="005D7471">
        <w:t>.</w:t>
      </w:r>
      <w:r w:rsidR="003D64F2" w:rsidRPr="005D7471">
        <w:t xml:space="preserve"> </w:t>
      </w:r>
      <w:r w:rsidRPr="005D7471">
        <w:t>This</w:t>
      </w:r>
      <w:r w:rsidR="00817D46">
        <w:t> </w:t>
      </w:r>
      <w:r w:rsidRPr="005D7471">
        <w:t>genuineness test</w:t>
      </w:r>
      <w:r w:rsidR="003D64F2" w:rsidRPr="005D7471">
        <w:t xml:space="preserve"> en</w:t>
      </w:r>
      <w:r w:rsidR="00AD59E4" w:rsidRPr="005D7471">
        <w:t>able</w:t>
      </w:r>
      <w:r w:rsidRPr="005D7471">
        <w:t>d</w:t>
      </w:r>
      <w:r w:rsidR="00AD59E4" w:rsidRPr="005D7471">
        <w:t xml:space="preserve"> the Department to refuse nominations when there was evidence</w:t>
      </w:r>
      <w:r w:rsidR="003D64F2" w:rsidRPr="005D7471">
        <w:t xml:space="preserve"> the </w:t>
      </w:r>
      <w:r w:rsidR="00C11CA7" w:rsidRPr="005D7471">
        <w:t>position</w:t>
      </w:r>
      <w:r w:rsidRPr="005D7471">
        <w:t xml:space="preserve"> was</w:t>
      </w:r>
      <w:r w:rsidR="00C11CA7" w:rsidRPr="005D7471">
        <w:t xml:space="preserve"> created for the sole purpose of nominating a specific visa applicant</w:t>
      </w:r>
      <w:r w:rsidRPr="005D7471">
        <w:t>,</w:t>
      </w:r>
      <w:r w:rsidR="00C11CA7" w:rsidRPr="005D7471">
        <w:t xml:space="preserve"> or the duties had been misrepresented to facilitate a visa for an applicant who was not otherwise eligible. </w:t>
      </w:r>
    </w:p>
    <w:p w:rsidR="000361A9" w:rsidRPr="005D7471" w:rsidRDefault="00EE3737" w:rsidP="00203DD3">
      <w:pPr>
        <w:spacing w:line="276" w:lineRule="auto"/>
      </w:pPr>
      <w:r w:rsidRPr="005D7471">
        <w:t>Additionally,</w:t>
      </w:r>
      <w:r w:rsidR="00DD1F46" w:rsidRPr="005D7471">
        <w:t xml:space="preserve"> the genuine positio</w:t>
      </w:r>
      <w:r w:rsidR="00CA0A7D">
        <w:t>n amendment was</w:t>
      </w:r>
      <w:r w:rsidR="00DD1F46" w:rsidRPr="005D7471">
        <w:t xml:space="preserve"> introduced </w:t>
      </w:r>
      <w:r w:rsidR="000361A9" w:rsidRPr="005D7471">
        <w:t>to deter and respond to</w:t>
      </w:r>
      <w:r w:rsidR="006228D5" w:rsidRPr="005D7471">
        <w:t xml:space="preserve"> an increase in</w:t>
      </w:r>
      <w:r w:rsidR="00AD59E4" w:rsidRPr="005D7471">
        <w:t xml:space="preserve"> nominations where</w:t>
      </w:r>
      <w:r w:rsidR="00006EDD" w:rsidRPr="005D7471">
        <w:t xml:space="preserve"> it was suspected that</w:t>
      </w:r>
      <w:r w:rsidR="00AD59E4" w:rsidRPr="005D7471">
        <w:t xml:space="preserve"> the </w:t>
      </w:r>
      <w:r w:rsidR="000361A9" w:rsidRPr="005D7471">
        <w:t xml:space="preserve">duties </w:t>
      </w:r>
      <w:r w:rsidR="00AD59E4" w:rsidRPr="005D7471">
        <w:t>of positions were misrepresented</w:t>
      </w:r>
      <w:r w:rsidR="000361A9" w:rsidRPr="005D7471">
        <w:t xml:space="preserve"> in two occupations: Program and Project Administrators and Specialist Managers (not elsewhere classified).</w:t>
      </w:r>
    </w:p>
    <w:p w:rsidR="00CA6558" w:rsidRDefault="00CA6558" w:rsidP="00CA6558">
      <w:pPr>
        <w:pStyle w:val="Heading2"/>
      </w:pPr>
      <w:bookmarkStart w:id="46" w:name="_Toc444499127"/>
      <w:bookmarkStart w:id="47" w:name="_Toc430935420"/>
      <w:bookmarkStart w:id="48" w:name="_Toc430937137"/>
      <w:r>
        <w:t>Impacts</w:t>
      </w:r>
      <w:bookmarkEnd w:id="46"/>
    </w:p>
    <w:p w:rsidR="00310340" w:rsidRPr="005D7471" w:rsidRDefault="007A1DBD" w:rsidP="003C228D">
      <w:pPr>
        <w:pStyle w:val="Heading3"/>
        <w:spacing w:before="360" w:beforeAutospacing="0"/>
      </w:pPr>
      <w:bookmarkStart w:id="49" w:name="_Toc444499128"/>
      <w:r w:rsidRPr="005D7471">
        <w:t xml:space="preserve">Sponsors affected by the genuine position </w:t>
      </w:r>
      <w:bookmarkEnd w:id="47"/>
      <w:bookmarkEnd w:id="48"/>
      <w:r w:rsidR="002961B1">
        <w:t>amendment</w:t>
      </w:r>
      <w:bookmarkEnd w:id="49"/>
    </w:p>
    <w:p w:rsidR="00E20AC2" w:rsidRPr="005D7471" w:rsidRDefault="007A1DBD" w:rsidP="003C228D">
      <w:pPr>
        <w:spacing w:line="276" w:lineRule="auto"/>
      </w:pPr>
      <w:r w:rsidRPr="005D7471">
        <w:t>To reduce the</w:t>
      </w:r>
      <w:r w:rsidR="005C1034" w:rsidRPr="005D7471">
        <w:t xml:space="preserve"> potential</w:t>
      </w:r>
      <w:r w:rsidRPr="005D7471">
        <w:t xml:space="preserve"> </w:t>
      </w:r>
      <w:r w:rsidR="000040FB" w:rsidRPr="005D7471">
        <w:t xml:space="preserve">impact from introducing additional requirements for </w:t>
      </w:r>
      <w:r w:rsidR="00B271B4" w:rsidRPr="005D7471">
        <w:t>457</w:t>
      </w:r>
      <w:r w:rsidR="000040FB" w:rsidRPr="005D7471">
        <w:t xml:space="preserve"> nominations </w:t>
      </w:r>
      <w:r w:rsidR="00414D36" w:rsidRPr="005D7471">
        <w:t>as part of the</w:t>
      </w:r>
      <w:r w:rsidR="008045DE">
        <w:t xml:space="preserve"> genuine position </w:t>
      </w:r>
      <w:r w:rsidR="006B0036">
        <w:t>amendment</w:t>
      </w:r>
      <w:r w:rsidR="00414D36" w:rsidRPr="005D7471">
        <w:t>, evidence</w:t>
      </w:r>
      <w:r w:rsidR="000040FB" w:rsidRPr="005D7471">
        <w:t xml:space="preserve"> </w:t>
      </w:r>
      <w:r w:rsidR="00B271B4" w:rsidRPr="005D7471">
        <w:t>wa</w:t>
      </w:r>
      <w:r w:rsidR="000040FB" w:rsidRPr="005D7471">
        <w:t>s only</w:t>
      </w:r>
      <w:r w:rsidRPr="005D7471">
        <w:t xml:space="preserve"> requ</w:t>
      </w:r>
      <w:r w:rsidR="00B271B4" w:rsidRPr="005D7471">
        <w:t>ired</w:t>
      </w:r>
      <w:r w:rsidR="000040FB" w:rsidRPr="005D7471">
        <w:t xml:space="preserve"> </w:t>
      </w:r>
      <w:r w:rsidR="00B271B4" w:rsidRPr="005D7471">
        <w:t xml:space="preserve">if there </w:t>
      </w:r>
      <w:r w:rsidR="00E20AC2" w:rsidRPr="005D7471">
        <w:t xml:space="preserve">were </w:t>
      </w:r>
      <w:r w:rsidR="002F3F8E" w:rsidRPr="005D7471">
        <w:t>suspicions regarding the accuracy of</w:t>
      </w:r>
      <w:r w:rsidR="00E20AC2" w:rsidRPr="005D7471">
        <w:t xml:space="preserve"> ce</w:t>
      </w:r>
      <w:r w:rsidR="002F3F8E" w:rsidRPr="005D7471">
        <w:t>rtifications made by the sponsor. In particular</w:t>
      </w:r>
      <w:r w:rsidR="00275132">
        <w:t xml:space="preserve"> to ensure that</w:t>
      </w:r>
      <w:r w:rsidR="00E20AC2" w:rsidRPr="005D7471">
        <w:t>:</w:t>
      </w:r>
    </w:p>
    <w:p w:rsidR="00E20AC2" w:rsidRPr="005D7471" w:rsidRDefault="00E20AC2" w:rsidP="003C228D">
      <w:pPr>
        <w:pStyle w:val="Bulletlist-level1"/>
        <w:spacing w:line="276" w:lineRule="auto"/>
      </w:pPr>
      <w:r w:rsidRPr="005D7471">
        <w:t xml:space="preserve">position </w:t>
      </w:r>
      <w:r w:rsidR="00414D36" w:rsidRPr="005D7471">
        <w:t xml:space="preserve">tasks </w:t>
      </w:r>
      <w:r w:rsidRPr="005D7471">
        <w:t>significant</w:t>
      </w:r>
      <w:r w:rsidR="00414D36" w:rsidRPr="005D7471">
        <w:t>ly aligned to</w:t>
      </w:r>
      <w:r w:rsidRPr="005D7471">
        <w:t xml:space="preserve"> </w:t>
      </w:r>
      <w:r w:rsidR="002F3F8E" w:rsidRPr="005D7471">
        <w:t xml:space="preserve">an eligible </w:t>
      </w:r>
      <w:r w:rsidRPr="005D7471">
        <w:t>skilled occupation</w:t>
      </w:r>
    </w:p>
    <w:p w:rsidR="002F3F8E" w:rsidRPr="005D7471" w:rsidRDefault="00414D36" w:rsidP="003C228D">
      <w:pPr>
        <w:pStyle w:val="Bulletlist-level1"/>
        <w:spacing w:line="276" w:lineRule="auto"/>
      </w:pPr>
      <w:proofErr w:type="gramStart"/>
      <w:r w:rsidRPr="005D7471">
        <w:t>nominee’s</w:t>
      </w:r>
      <w:proofErr w:type="gramEnd"/>
      <w:r w:rsidRPr="005D7471">
        <w:t xml:space="preserve"> </w:t>
      </w:r>
      <w:r w:rsidR="002F3F8E" w:rsidRPr="005D7471">
        <w:t xml:space="preserve">qualifications and experience </w:t>
      </w:r>
      <w:r w:rsidRPr="005D7471">
        <w:t>were</w:t>
      </w:r>
      <w:r w:rsidR="002F3F8E" w:rsidRPr="005D7471">
        <w:t xml:space="preserve"> commensurate with those required to work in that occupation in Australia.</w:t>
      </w:r>
    </w:p>
    <w:p w:rsidR="002F3F8E" w:rsidRPr="005D7471" w:rsidRDefault="00091CD2" w:rsidP="003C228D">
      <w:pPr>
        <w:spacing w:line="276" w:lineRule="auto"/>
        <w:rPr>
          <w:rFonts w:cs="Arial"/>
        </w:rPr>
      </w:pPr>
      <w:bookmarkStart w:id="50" w:name="_Toc430935422"/>
      <w:bookmarkStart w:id="51" w:name="_Toc430937139"/>
      <w:r w:rsidRPr="005D7471">
        <w:rPr>
          <w:rFonts w:cs="Arial"/>
        </w:rPr>
        <w:t>I</w:t>
      </w:r>
      <w:r w:rsidR="005D2118" w:rsidRPr="005D7471">
        <w:rPr>
          <w:rFonts w:cs="Arial"/>
        </w:rPr>
        <w:t>f sponsors</w:t>
      </w:r>
      <w:r w:rsidR="002F3F8E" w:rsidRPr="005D7471">
        <w:rPr>
          <w:rFonts w:cs="Arial"/>
        </w:rPr>
        <w:t xml:space="preserve"> accurately assessed the tasks of the position and skills of the proposed visa holders</w:t>
      </w:r>
      <w:r w:rsidR="00414D36" w:rsidRPr="005D7471">
        <w:rPr>
          <w:rFonts w:cs="Arial"/>
        </w:rPr>
        <w:t>,</w:t>
      </w:r>
      <w:r w:rsidR="009203AD">
        <w:rPr>
          <w:rFonts w:cs="Arial"/>
        </w:rPr>
        <w:t xml:space="preserve"> the genuine position amendment</w:t>
      </w:r>
      <w:r w:rsidR="002F3F8E" w:rsidRPr="005D7471">
        <w:rPr>
          <w:rFonts w:cs="Arial"/>
        </w:rPr>
        <w:t xml:space="preserve"> would not have any impact</w:t>
      </w:r>
      <w:r w:rsidR="009D45E7" w:rsidRPr="005D7471">
        <w:rPr>
          <w:rFonts w:cs="Arial"/>
        </w:rPr>
        <w:t>.</w:t>
      </w:r>
    </w:p>
    <w:p w:rsidR="00310340" w:rsidRPr="005D7471" w:rsidRDefault="00CA6558" w:rsidP="003C228D">
      <w:pPr>
        <w:pStyle w:val="Heading3"/>
        <w:spacing w:before="360" w:beforeAutospacing="0"/>
      </w:pPr>
      <w:bookmarkStart w:id="52" w:name="_Toc444499129"/>
      <w:bookmarkEnd w:id="50"/>
      <w:bookmarkEnd w:id="51"/>
      <w:r>
        <w:t xml:space="preserve">Regulatory </w:t>
      </w:r>
      <w:r w:rsidR="00FE68AC" w:rsidRPr="005D7471">
        <w:t>Impact</w:t>
      </w:r>
      <w:bookmarkEnd w:id="52"/>
    </w:p>
    <w:p w:rsidR="00EC2BEE" w:rsidRPr="005D7471" w:rsidRDefault="00120ABF" w:rsidP="003C228D">
      <w:pPr>
        <w:spacing w:line="276" w:lineRule="auto"/>
      </w:pPr>
      <w:r w:rsidRPr="005D7471">
        <w:rPr>
          <w:rFonts w:cs="Arial"/>
        </w:rPr>
        <w:t xml:space="preserve">In the 2014 survey, </w:t>
      </w:r>
      <w:r w:rsidR="00091CD2" w:rsidRPr="005D7471">
        <w:t xml:space="preserve">18 per cent of respondents </w:t>
      </w:r>
      <w:r>
        <w:t xml:space="preserve">indicated they </w:t>
      </w:r>
      <w:r w:rsidR="00091CD2" w:rsidRPr="005D7471">
        <w:t>were required to provide additional evidence in relation to</w:t>
      </w:r>
      <w:r w:rsidR="009203AD">
        <w:t xml:space="preserve"> the genuine position amendment</w:t>
      </w:r>
      <w:r w:rsidR="00414D36" w:rsidRPr="005D7471">
        <w:t>.</w:t>
      </w:r>
      <w:r w:rsidR="00091CD2" w:rsidRPr="005D7471">
        <w:t xml:space="preserve"> </w:t>
      </w:r>
      <w:r w:rsidR="00414D36" w:rsidRPr="005D7471">
        <w:t xml:space="preserve">However, </w:t>
      </w:r>
      <w:r w:rsidR="00091CD2" w:rsidRPr="005D7471">
        <w:t xml:space="preserve">this impact </w:t>
      </w:r>
      <w:r w:rsidR="00414D36" w:rsidRPr="005D7471">
        <w:t xml:space="preserve">only </w:t>
      </w:r>
      <w:r w:rsidR="00651818" w:rsidRPr="005D7471">
        <w:t>occur</w:t>
      </w:r>
      <w:r w:rsidR="00414D36" w:rsidRPr="005D7471">
        <w:t>red</w:t>
      </w:r>
      <w:r w:rsidR="00651818" w:rsidRPr="005D7471">
        <w:t xml:space="preserve"> </w:t>
      </w:r>
      <w:r w:rsidR="00414D36" w:rsidRPr="005D7471">
        <w:t>if there was</w:t>
      </w:r>
      <w:r w:rsidR="00571430" w:rsidRPr="005D7471">
        <w:t xml:space="preserve"> a suspicion of non</w:t>
      </w:r>
      <w:r w:rsidR="00D20D95" w:rsidRPr="005D7471">
        <w:t>–</w:t>
      </w:r>
      <w:r w:rsidR="00651818" w:rsidRPr="005D7471">
        <w:t>compliance with the regulation</w:t>
      </w:r>
      <w:r w:rsidR="00EC2BEE" w:rsidRPr="005D7471">
        <w:t xml:space="preserve">. </w:t>
      </w:r>
      <w:r w:rsidR="00777DD6">
        <w:t>As such, t</w:t>
      </w:r>
      <w:r w:rsidR="0099525B" w:rsidRPr="005D7471">
        <w:t>he regulatory impact of these costs</w:t>
      </w:r>
      <w:r w:rsidR="00EC2BEE" w:rsidRPr="005D7471">
        <w:t xml:space="preserve"> is</w:t>
      </w:r>
      <w:r w:rsidR="0099525B" w:rsidRPr="005D7471">
        <w:t xml:space="preserve"> excluded </w:t>
      </w:r>
      <w:r w:rsidR="00651818" w:rsidRPr="005D7471">
        <w:t>under</w:t>
      </w:r>
      <w:r w:rsidR="00091CD2" w:rsidRPr="005D7471">
        <w:t xml:space="preserve"> requirements of </w:t>
      </w:r>
      <w:r w:rsidR="009E010F" w:rsidRPr="005D7471">
        <w:t xml:space="preserve">the </w:t>
      </w:r>
      <w:r w:rsidR="003B6DFF">
        <w:t>g</w:t>
      </w:r>
      <w:r w:rsidR="009E010F" w:rsidRPr="005D7471">
        <w:t>overnment’s Regulatory Burden Measurement Framework</w:t>
      </w:r>
      <w:r w:rsidR="00EC2BEE" w:rsidRPr="005D7471">
        <w:t xml:space="preserve"> (i</w:t>
      </w:r>
      <w:r w:rsidR="00414D36" w:rsidRPr="005D7471">
        <w:t>.</w:t>
      </w:r>
      <w:r w:rsidR="00EC2BEE" w:rsidRPr="005D7471">
        <w:t>e. the regulatory impact resulting from</w:t>
      </w:r>
      <w:r w:rsidR="009203AD">
        <w:t xml:space="preserve"> the genuine position amendment</w:t>
      </w:r>
      <w:r w:rsidR="00EC2BEE" w:rsidRPr="005D7471">
        <w:t xml:space="preserve"> is nil).</w:t>
      </w:r>
    </w:p>
    <w:p w:rsidR="009E010F" w:rsidRPr="005D7471" w:rsidRDefault="00386FCE" w:rsidP="003C228D">
      <w:pPr>
        <w:spacing w:line="276" w:lineRule="auto"/>
      </w:pPr>
      <w:r w:rsidRPr="005D7471">
        <w:t xml:space="preserve">As shown in </w:t>
      </w:r>
      <w:r w:rsidR="00193B20" w:rsidRPr="005D7471">
        <w:t>t</w:t>
      </w:r>
      <w:r w:rsidR="00F12030" w:rsidRPr="005D7471">
        <w:t xml:space="preserve">able </w:t>
      </w:r>
      <w:r w:rsidR="00E76EF1" w:rsidRPr="005D7471">
        <w:t>5</w:t>
      </w:r>
      <w:r w:rsidRPr="005D7471">
        <w:t>,</w:t>
      </w:r>
      <w:r w:rsidR="00F12030" w:rsidRPr="005D7471">
        <w:t xml:space="preserve"> the number of visas granted in the occupations</w:t>
      </w:r>
      <w:r w:rsidR="009E010F" w:rsidRPr="005D7471">
        <w:t xml:space="preserve"> Program and Project Administrators and Specialist Managers (not elsewhere classified) </w:t>
      </w:r>
      <w:r w:rsidRPr="005D7471">
        <w:t xml:space="preserve">reduced </w:t>
      </w:r>
      <w:r w:rsidR="00911813" w:rsidRPr="005D7471">
        <w:t>after</w:t>
      </w:r>
      <w:r w:rsidRPr="005D7471">
        <w:t xml:space="preserve"> 2013</w:t>
      </w:r>
      <w:r w:rsidR="00F12030" w:rsidRPr="005D7471">
        <w:t>.</w:t>
      </w:r>
      <w:r w:rsidRPr="005D7471">
        <w:t xml:space="preserve"> </w:t>
      </w:r>
    </w:p>
    <w:p w:rsidR="00F12030" w:rsidRPr="005D7471" w:rsidRDefault="00F12030" w:rsidP="003C228D">
      <w:pPr>
        <w:pStyle w:val="Caption"/>
        <w:spacing w:line="276" w:lineRule="auto"/>
      </w:pPr>
      <w:r w:rsidRPr="005D7471">
        <w:t xml:space="preserve">Table </w:t>
      </w:r>
      <w:r w:rsidR="00E76EF1" w:rsidRPr="005D7471">
        <w:t>5</w:t>
      </w:r>
      <w:r w:rsidR="00193B20" w:rsidRPr="005D7471">
        <w:t>:</w:t>
      </w:r>
      <w:r w:rsidRPr="005D7471">
        <w:t xml:space="preserve"> Primary visa grants to Program/Project Administrators and Specialist Managers </w:t>
      </w:r>
      <w:r w:rsidR="00414D36" w:rsidRPr="005D7471">
        <w:t>(</w:t>
      </w:r>
      <w:r w:rsidRPr="005D7471">
        <w:t>not elsewhere classified</w:t>
      </w:r>
      <w:r w:rsidR="00414D36" w:rsidRPr="005D7471">
        <w:t>)</w:t>
      </w:r>
      <w:r w:rsidR="006D75F3" w:rsidRPr="005D7471">
        <w:rPr>
          <w:rStyle w:val="FootnoteReference"/>
        </w:rPr>
        <w:footnoteReference w:id="19"/>
      </w:r>
    </w:p>
    <w:tbl>
      <w:tblPr>
        <w:tblStyle w:val="TableGrid"/>
        <w:tblW w:w="8656" w:type="dxa"/>
        <w:tblInd w:w="108" w:type="dxa"/>
        <w:tblLook w:val="04A0" w:firstRow="1" w:lastRow="0" w:firstColumn="1" w:lastColumn="0" w:noHBand="0" w:noVBand="1"/>
      </w:tblPr>
      <w:tblGrid>
        <w:gridCol w:w="2658"/>
        <w:gridCol w:w="999"/>
        <w:gridCol w:w="1000"/>
        <w:gridCol w:w="1000"/>
        <w:gridCol w:w="999"/>
        <w:gridCol w:w="1000"/>
        <w:gridCol w:w="1000"/>
      </w:tblGrid>
      <w:tr w:rsidR="00263D37" w:rsidRPr="005D7471" w:rsidTr="005D45DD">
        <w:trPr>
          <w:tblHeader/>
        </w:trPr>
        <w:tc>
          <w:tcPr>
            <w:tcW w:w="2658" w:type="dxa"/>
            <w:shd w:val="clear" w:color="auto" w:fill="336699"/>
            <w:vAlign w:val="center"/>
          </w:tcPr>
          <w:p w:rsidR="00263D37" w:rsidRPr="005D7471" w:rsidRDefault="00263D37" w:rsidP="003C228D">
            <w:pPr>
              <w:spacing w:before="0" w:after="0" w:line="276" w:lineRule="auto"/>
              <w:rPr>
                <w:b/>
                <w:color w:val="FFFFFF" w:themeColor="background1"/>
              </w:rPr>
            </w:pPr>
            <w:r w:rsidRPr="005D7471">
              <w:rPr>
                <w:b/>
                <w:color w:val="FFFFFF" w:themeColor="background1"/>
              </w:rPr>
              <w:t>Programme year (financial year)</w:t>
            </w:r>
          </w:p>
        </w:tc>
        <w:tc>
          <w:tcPr>
            <w:tcW w:w="999" w:type="dxa"/>
            <w:shd w:val="clear" w:color="auto" w:fill="336699"/>
            <w:vAlign w:val="center"/>
          </w:tcPr>
          <w:p w:rsidR="00263D37" w:rsidRPr="005D7471" w:rsidRDefault="00263D37" w:rsidP="003C228D">
            <w:pPr>
              <w:spacing w:before="0" w:after="0" w:line="276" w:lineRule="auto"/>
              <w:rPr>
                <w:b/>
                <w:color w:val="FFFFFF" w:themeColor="background1"/>
              </w:rPr>
            </w:pPr>
            <w:r w:rsidRPr="005D7471">
              <w:rPr>
                <w:b/>
                <w:color w:val="FFFFFF" w:themeColor="background1"/>
              </w:rPr>
              <w:t>2009–10</w:t>
            </w:r>
          </w:p>
        </w:tc>
        <w:tc>
          <w:tcPr>
            <w:tcW w:w="1000" w:type="dxa"/>
            <w:shd w:val="clear" w:color="auto" w:fill="336699"/>
            <w:vAlign w:val="center"/>
          </w:tcPr>
          <w:p w:rsidR="00263D37" w:rsidRPr="005D7471" w:rsidRDefault="00263D37" w:rsidP="003C228D">
            <w:pPr>
              <w:spacing w:before="0" w:after="0" w:line="276" w:lineRule="auto"/>
              <w:rPr>
                <w:b/>
                <w:color w:val="FFFFFF" w:themeColor="background1"/>
              </w:rPr>
            </w:pPr>
            <w:r w:rsidRPr="005D7471">
              <w:rPr>
                <w:b/>
                <w:color w:val="FFFFFF" w:themeColor="background1"/>
              </w:rPr>
              <w:t>2010–11</w:t>
            </w:r>
          </w:p>
        </w:tc>
        <w:tc>
          <w:tcPr>
            <w:tcW w:w="1000" w:type="dxa"/>
            <w:shd w:val="clear" w:color="auto" w:fill="336699"/>
            <w:vAlign w:val="center"/>
          </w:tcPr>
          <w:p w:rsidR="00263D37" w:rsidRPr="005D7471" w:rsidRDefault="00263D37" w:rsidP="003C228D">
            <w:pPr>
              <w:spacing w:before="0" w:after="0" w:line="276" w:lineRule="auto"/>
              <w:rPr>
                <w:b/>
                <w:color w:val="FFFFFF" w:themeColor="background1"/>
              </w:rPr>
            </w:pPr>
            <w:r w:rsidRPr="005D7471">
              <w:rPr>
                <w:b/>
                <w:color w:val="FFFFFF" w:themeColor="background1"/>
              </w:rPr>
              <w:t>2011–12</w:t>
            </w:r>
          </w:p>
        </w:tc>
        <w:tc>
          <w:tcPr>
            <w:tcW w:w="999" w:type="dxa"/>
            <w:shd w:val="clear" w:color="auto" w:fill="336699"/>
            <w:vAlign w:val="center"/>
          </w:tcPr>
          <w:p w:rsidR="00263D37" w:rsidRPr="005D7471" w:rsidRDefault="00263D37" w:rsidP="003C228D">
            <w:pPr>
              <w:spacing w:before="0" w:after="0" w:line="276" w:lineRule="auto"/>
              <w:rPr>
                <w:b/>
                <w:color w:val="FFFFFF" w:themeColor="background1"/>
              </w:rPr>
            </w:pPr>
            <w:r w:rsidRPr="005D7471">
              <w:rPr>
                <w:b/>
                <w:color w:val="FFFFFF" w:themeColor="background1"/>
              </w:rPr>
              <w:t>2012–13</w:t>
            </w:r>
          </w:p>
        </w:tc>
        <w:tc>
          <w:tcPr>
            <w:tcW w:w="1000" w:type="dxa"/>
            <w:shd w:val="clear" w:color="auto" w:fill="336699"/>
            <w:vAlign w:val="center"/>
          </w:tcPr>
          <w:p w:rsidR="00263D37" w:rsidRPr="005D7471" w:rsidRDefault="00263D37" w:rsidP="003C228D">
            <w:pPr>
              <w:spacing w:before="0" w:after="0" w:line="276" w:lineRule="auto"/>
              <w:rPr>
                <w:b/>
                <w:color w:val="FFFFFF" w:themeColor="background1"/>
              </w:rPr>
            </w:pPr>
            <w:r w:rsidRPr="005D7471">
              <w:rPr>
                <w:b/>
                <w:color w:val="FFFFFF" w:themeColor="background1"/>
              </w:rPr>
              <w:t>2013–14</w:t>
            </w:r>
          </w:p>
        </w:tc>
        <w:tc>
          <w:tcPr>
            <w:tcW w:w="1000" w:type="dxa"/>
            <w:shd w:val="clear" w:color="auto" w:fill="336699"/>
            <w:vAlign w:val="center"/>
          </w:tcPr>
          <w:p w:rsidR="00263D37" w:rsidRPr="005D7471" w:rsidRDefault="00263D37" w:rsidP="003C228D">
            <w:pPr>
              <w:spacing w:before="0" w:after="0" w:line="276" w:lineRule="auto"/>
              <w:rPr>
                <w:b/>
                <w:color w:val="FFFFFF" w:themeColor="background1"/>
              </w:rPr>
            </w:pPr>
            <w:r w:rsidRPr="005D7471">
              <w:rPr>
                <w:b/>
                <w:color w:val="FFFFFF" w:themeColor="background1"/>
              </w:rPr>
              <w:t>To 31 Dec 2014</w:t>
            </w:r>
          </w:p>
        </w:tc>
      </w:tr>
      <w:tr w:rsidR="00263D37" w:rsidRPr="005D7471" w:rsidTr="005354BE">
        <w:trPr>
          <w:trHeight w:val="283"/>
        </w:trPr>
        <w:tc>
          <w:tcPr>
            <w:tcW w:w="8656" w:type="dxa"/>
            <w:gridSpan w:val="7"/>
            <w:vAlign w:val="center"/>
          </w:tcPr>
          <w:p w:rsidR="00263D37" w:rsidRPr="005D7471" w:rsidRDefault="00263D37" w:rsidP="003C228D">
            <w:pPr>
              <w:spacing w:before="0" w:after="0" w:line="276" w:lineRule="auto"/>
              <w:rPr>
                <w:b/>
              </w:rPr>
            </w:pPr>
            <w:r w:rsidRPr="005D7471">
              <w:rPr>
                <w:b/>
              </w:rPr>
              <w:t>Program or Project Administrator</w:t>
            </w:r>
          </w:p>
        </w:tc>
      </w:tr>
      <w:tr w:rsidR="00263D37" w:rsidRPr="005D7471" w:rsidTr="00263D37">
        <w:trPr>
          <w:trHeight w:val="283"/>
        </w:trPr>
        <w:tc>
          <w:tcPr>
            <w:tcW w:w="2658" w:type="dxa"/>
            <w:vAlign w:val="center"/>
          </w:tcPr>
          <w:p w:rsidR="00263D37" w:rsidRPr="005D7471" w:rsidRDefault="00263D37" w:rsidP="003C228D">
            <w:pPr>
              <w:spacing w:before="0" w:after="0" w:line="276" w:lineRule="auto"/>
            </w:pPr>
            <w:r w:rsidRPr="005D7471">
              <w:t>Number of primary visas granted</w:t>
            </w:r>
          </w:p>
        </w:tc>
        <w:tc>
          <w:tcPr>
            <w:tcW w:w="999" w:type="dxa"/>
            <w:vAlign w:val="center"/>
          </w:tcPr>
          <w:p w:rsidR="00263D37" w:rsidRPr="005D7471" w:rsidRDefault="00263D37" w:rsidP="003C228D">
            <w:pPr>
              <w:spacing w:before="0" w:after="0" w:line="276" w:lineRule="auto"/>
            </w:pPr>
            <w:r w:rsidRPr="005D7471">
              <w:t>728</w:t>
            </w:r>
          </w:p>
        </w:tc>
        <w:tc>
          <w:tcPr>
            <w:tcW w:w="1000" w:type="dxa"/>
            <w:vAlign w:val="center"/>
          </w:tcPr>
          <w:p w:rsidR="00263D37" w:rsidRPr="005D7471" w:rsidRDefault="00263D37" w:rsidP="003C228D">
            <w:pPr>
              <w:spacing w:before="0" w:after="0" w:line="276" w:lineRule="auto"/>
            </w:pPr>
            <w:r w:rsidRPr="005D7471">
              <w:t>1,184</w:t>
            </w:r>
          </w:p>
        </w:tc>
        <w:tc>
          <w:tcPr>
            <w:tcW w:w="1000" w:type="dxa"/>
            <w:vAlign w:val="center"/>
          </w:tcPr>
          <w:p w:rsidR="00263D37" w:rsidRPr="005D7471" w:rsidRDefault="00263D37" w:rsidP="003C228D">
            <w:pPr>
              <w:spacing w:before="0" w:after="0" w:line="276" w:lineRule="auto"/>
            </w:pPr>
            <w:r w:rsidRPr="005D7471">
              <w:t>2,152</w:t>
            </w:r>
          </w:p>
        </w:tc>
        <w:tc>
          <w:tcPr>
            <w:tcW w:w="999" w:type="dxa"/>
            <w:vAlign w:val="center"/>
          </w:tcPr>
          <w:p w:rsidR="00263D37" w:rsidRPr="005D7471" w:rsidRDefault="00263D37" w:rsidP="003C228D">
            <w:pPr>
              <w:spacing w:before="0" w:after="0" w:line="276" w:lineRule="auto"/>
            </w:pPr>
            <w:r w:rsidRPr="005D7471">
              <w:t>2,167</w:t>
            </w:r>
          </w:p>
        </w:tc>
        <w:tc>
          <w:tcPr>
            <w:tcW w:w="1000" w:type="dxa"/>
            <w:vAlign w:val="center"/>
          </w:tcPr>
          <w:p w:rsidR="00263D37" w:rsidRPr="005D7471" w:rsidRDefault="00263D37" w:rsidP="003C228D">
            <w:pPr>
              <w:spacing w:before="0" w:after="0" w:line="276" w:lineRule="auto"/>
            </w:pPr>
            <w:r w:rsidRPr="005D7471">
              <w:t>586</w:t>
            </w:r>
          </w:p>
        </w:tc>
        <w:tc>
          <w:tcPr>
            <w:tcW w:w="1000" w:type="dxa"/>
            <w:vAlign w:val="center"/>
          </w:tcPr>
          <w:p w:rsidR="00263D37" w:rsidRPr="005D7471" w:rsidRDefault="00263D37" w:rsidP="003C228D">
            <w:pPr>
              <w:spacing w:before="0" w:after="0" w:line="276" w:lineRule="auto"/>
            </w:pPr>
            <w:r w:rsidRPr="005D7471">
              <w:t>118</w:t>
            </w:r>
          </w:p>
        </w:tc>
      </w:tr>
      <w:tr w:rsidR="00263D37" w:rsidRPr="005D7471" w:rsidTr="00263D37">
        <w:trPr>
          <w:trHeight w:val="283"/>
        </w:trPr>
        <w:tc>
          <w:tcPr>
            <w:tcW w:w="2658" w:type="dxa"/>
            <w:vAlign w:val="center"/>
          </w:tcPr>
          <w:p w:rsidR="00263D37" w:rsidRPr="005D7471" w:rsidRDefault="00263D37" w:rsidP="003C228D">
            <w:pPr>
              <w:spacing w:before="0" w:after="0" w:line="276" w:lineRule="auto"/>
            </w:pPr>
            <w:r w:rsidRPr="005D7471">
              <w:t>% of Total primary visas granted</w:t>
            </w:r>
          </w:p>
        </w:tc>
        <w:tc>
          <w:tcPr>
            <w:tcW w:w="999" w:type="dxa"/>
            <w:vAlign w:val="center"/>
          </w:tcPr>
          <w:p w:rsidR="00263D37" w:rsidRPr="005D7471" w:rsidRDefault="00263D37" w:rsidP="003C228D">
            <w:pPr>
              <w:spacing w:before="0" w:after="0" w:line="276" w:lineRule="auto"/>
            </w:pPr>
            <w:r w:rsidRPr="005D7471">
              <w:t>2%</w:t>
            </w:r>
          </w:p>
        </w:tc>
        <w:tc>
          <w:tcPr>
            <w:tcW w:w="1000" w:type="dxa"/>
            <w:vAlign w:val="center"/>
          </w:tcPr>
          <w:p w:rsidR="00263D37" w:rsidRPr="005D7471" w:rsidRDefault="00263D37" w:rsidP="003C228D">
            <w:pPr>
              <w:spacing w:before="0" w:after="0" w:line="276" w:lineRule="auto"/>
            </w:pPr>
            <w:r w:rsidRPr="005D7471">
              <w:t>2%</w:t>
            </w:r>
          </w:p>
        </w:tc>
        <w:tc>
          <w:tcPr>
            <w:tcW w:w="1000" w:type="dxa"/>
            <w:vAlign w:val="center"/>
          </w:tcPr>
          <w:p w:rsidR="00263D37" w:rsidRPr="005D7471" w:rsidRDefault="00263D37" w:rsidP="003C228D">
            <w:pPr>
              <w:spacing w:before="0" w:after="0" w:line="276" w:lineRule="auto"/>
            </w:pPr>
            <w:r w:rsidRPr="005D7471">
              <w:t>3%</w:t>
            </w:r>
          </w:p>
        </w:tc>
        <w:tc>
          <w:tcPr>
            <w:tcW w:w="999" w:type="dxa"/>
            <w:vAlign w:val="center"/>
          </w:tcPr>
          <w:p w:rsidR="00263D37" w:rsidRPr="005D7471" w:rsidRDefault="00263D37" w:rsidP="003C228D">
            <w:pPr>
              <w:spacing w:before="0" w:after="0" w:line="276" w:lineRule="auto"/>
            </w:pPr>
            <w:r w:rsidRPr="005D7471">
              <w:t>3%</w:t>
            </w:r>
          </w:p>
        </w:tc>
        <w:tc>
          <w:tcPr>
            <w:tcW w:w="1000" w:type="dxa"/>
            <w:vAlign w:val="center"/>
          </w:tcPr>
          <w:p w:rsidR="00263D37" w:rsidRPr="005D7471" w:rsidRDefault="00263D37" w:rsidP="003C228D">
            <w:pPr>
              <w:spacing w:before="0" w:after="0" w:line="276" w:lineRule="auto"/>
            </w:pPr>
            <w:r w:rsidRPr="005D7471">
              <w:t>1%</w:t>
            </w:r>
          </w:p>
        </w:tc>
        <w:tc>
          <w:tcPr>
            <w:tcW w:w="1000" w:type="dxa"/>
            <w:vAlign w:val="center"/>
          </w:tcPr>
          <w:p w:rsidR="00263D37" w:rsidRPr="005D7471" w:rsidRDefault="008C0A40" w:rsidP="003C228D">
            <w:pPr>
              <w:spacing w:before="0" w:after="0" w:line="276" w:lineRule="auto"/>
            </w:pPr>
            <w:r>
              <w:t>Less than 1</w:t>
            </w:r>
            <w:r w:rsidR="00263D37" w:rsidRPr="005D7471">
              <w:t>%</w:t>
            </w:r>
          </w:p>
        </w:tc>
      </w:tr>
      <w:tr w:rsidR="00263D37" w:rsidRPr="005D7471" w:rsidTr="005354BE">
        <w:trPr>
          <w:trHeight w:val="283"/>
        </w:trPr>
        <w:tc>
          <w:tcPr>
            <w:tcW w:w="8656" w:type="dxa"/>
            <w:gridSpan w:val="7"/>
            <w:vAlign w:val="center"/>
          </w:tcPr>
          <w:p w:rsidR="00263D37" w:rsidRPr="005D7471" w:rsidRDefault="00263D37" w:rsidP="003C228D">
            <w:pPr>
              <w:spacing w:before="0" w:after="0" w:line="276" w:lineRule="auto"/>
              <w:rPr>
                <w:b/>
              </w:rPr>
            </w:pPr>
            <w:r w:rsidRPr="005D7471">
              <w:rPr>
                <w:b/>
              </w:rPr>
              <w:t>Specialist Managers not elsewhere classified</w:t>
            </w:r>
          </w:p>
        </w:tc>
      </w:tr>
      <w:tr w:rsidR="00263D37" w:rsidRPr="005D7471" w:rsidTr="00263D37">
        <w:trPr>
          <w:trHeight w:val="283"/>
        </w:trPr>
        <w:tc>
          <w:tcPr>
            <w:tcW w:w="2658" w:type="dxa"/>
            <w:vAlign w:val="center"/>
          </w:tcPr>
          <w:p w:rsidR="00263D37" w:rsidRPr="005D7471" w:rsidRDefault="00263D37" w:rsidP="003C228D">
            <w:pPr>
              <w:spacing w:before="0" w:after="0" w:line="276" w:lineRule="auto"/>
            </w:pPr>
            <w:r w:rsidRPr="005D7471">
              <w:t>Number of primary visas granted</w:t>
            </w:r>
          </w:p>
        </w:tc>
        <w:tc>
          <w:tcPr>
            <w:tcW w:w="999" w:type="dxa"/>
            <w:vAlign w:val="center"/>
          </w:tcPr>
          <w:p w:rsidR="00263D37" w:rsidRPr="005D7471" w:rsidRDefault="00263D37" w:rsidP="003C228D">
            <w:pPr>
              <w:spacing w:before="0" w:after="0" w:line="276" w:lineRule="auto"/>
            </w:pPr>
            <w:r w:rsidRPr="005D7471">
              <w:t>1,035</w:t>
            </w:r>
          </w:p>
        </w:tc>
        <w:tc>
          <w:tcPr>
            <w:tcW w:w="1000" w:type="dxa"/>
            <w:vAlign w:val="center"/>
          </w:tcPr>
          <w:p w:rsidR="00263D37" w:rsidRPr="005D7471" w:rsidRDefault="00263D37" w:rsidP="003C228D">
            <w:pPr>
              <w:spacing w:before="0" w:after="0" w:line="276" w:lineRule="auto"/>
            </w:pPr>
            <w:r w:rsidRPr="005D7471">
              <w:t>1,189</w:t>
            </w:r>
          </w:p>
        </w:tc>
        <w:tc>
          <w:tcPr>
            <w:tcW w:w="1000" w:type="dxa"/>
            <w:vAlign w:val="center"/>
          </w:tcPr>
          <w:p w:rsidR="00263D37" w:rsidRPr="005D7471" w:rsidRDefault="00263D37" w:rsidP="003C228D">
            <w:pPr>
              <w:spacing w:before="0" w:after="0" w:line="276" w:lineRule="auto"/>
            </w:pPr>
            <w:r w:rsidRPr="005D7471">
              <w:t>1,651</w:t>
            </w:r>
          </w:p>
        </w:tc>
        <w:tc>
          <w:tcPr>
            <w:tcW w:w="999" w:type="dxa"/>
            <w:vAlign w:val="center"/>
          </w:tcPr>
          <w:p w:rsidR="00263D37" w:rsidRPr="005D7471" w:rsidRDefault="00263D37" w:rsidP="003C228D">
            <w:pPr>
              <w:spacing w:before="0" w:after="0" w:line="276" w:lineRule="auto"/>
            </w:pPr>
            <w:r w:rsidRPr="005D7471">
              <w:t>1,243</w:t>
            </w:r>
          </w:p>
        </w:tc>
        <w:tc>
          <w:tcPr>
            <w:tcW w:w="1000" w:type="dxa"/>
            <w:vAlign w:val="center"/>
          </w:tcPr>
          <w:p w:rsidR="00263D37" w:rsidRPr="005D7471" w:rsidRDefault="00263D37" w:rsidP="003C228D">
            <w:pPr>
              <w:spacing w:before="0" w:after="0" w:line="276" w:lineRule="auto"/>
            </w:pPr>
            <w:r w:rsidRPr="005D7471">
              <w:t>317</w:t>
            </w:r>
          </w:p>
        </w:tc>
        <w:tc>
          <w:tcPr>
            <w:tcW w:w="1000" w:type="dxa"/>
            <w:vAlign w:val="center"/>
          </w:tcPr>
          <w:p w:rsidR="00263D37" w:rsidRPr="005D7471" w:rsidRDefault="00263D37" w:rsidP="003C228D">
            <w:pPr>
              <w:spacing w:before="0" w:after="0" w:line="276" w:lineRule="auto"/>
            </w:pPr>
            <w:r w:rsidRPr="005D7471">
              <w:t>119</w:t>
            </w:r>
          </w:p>
        </w:tc>
      </w:tr>
      <w:tr w:rsidR="00263D37" w:rsidRPr="005D7471" w:rsidTr="00263D37">
        <w:trPr>
          <w:trHeight w:val="283"/>
        </w:trPr>
        <w:tc>
          <w:tcPr>
            <w:tcW w:w="2658" w:type="dxa"/>
            <w:vAlign w:val="center"/>
          </w:tcPr>
          <w:p w:rsidR="00263D37" w:rsidRPr="005D7471" w:rsidRDefault="00263D37" w:rsidP="003C228D">
            <w:pPr>
              <w:spacing w:before="0" w:after="0" w:line="276" w:lineRule="auto"/>
            </w:pPr>
            <w:r w:rsidRPr="005D7471">
              <w:t>% of Total primary visas granted</w:t>
            </w:r>
          </w:p>
        </w:tc>
        <w:tc>
          <w:tcPr>
            <w:tcW w:w="999" w:type="dxa"/>
            <w:vAlign w:val="center"/>
          </w:tcPr>
          <w:p w:rsidR="00263D37" w:rsidRPr="005D7471" w:rsidRDefault="00263D37" w:rsidP="003C228D">
            <w:pPr>
              <w:spacing w:before="0" w:after="0" w:line="276" w:lineRule="auto"/>
            </w:pPr>
            <w:r w:rsidRPr="005D7471">
              <w:t>3%</w:t>
            </w:r>
          </w:p>
        </w:tc>
        <w:tc>
          <w:tcPr>
            <w:tcW w:w="1000" w:type="dxa"/>
            <w:vAlign w:val="center"/>
          </w:tcPr>
          <w:p w:rsidR="00263D37" w:rsidRPr="005D7471" w:rsidRDefault="00263D37" w:rsidP="003C228D">
            <w:pPr>
              <w:spacing w:before="0" w:after="0" w:line="276" w:lineRule="auto"/>
            </w:pPr>
            <w:r w:rsidRPr="005D7471">
              <w:t>2%</w:t>
            </w:r>
          </w:p>
        </w:tc>
        <w:tc>
          <w:tcPr>
            <w:tcW w:w="1000" w:type="dxa"/>
            <w:vAlign w:val="center"/>
          </w:tcPr>
          <w:p w:rsidR="00263D37" w:rsidRPr="005D7471" w:rsidRDefault="00263D37" w:rsidP="003C228D">
            <w:pPr>
              <w:spacing w:before="0" w:after="0" w:line="276" w:lineRule="auto"/>
            </w:pPr>
            <w:r w:rsidRPr="005D7471">
              <w:t>2%</w:t>
            </w:r>
          </w:p>
        </w:tc>
        <w:tc>
          <w:tcPr>
            <w:tcW w:w="999" w:type="dxa"/>
            <w:vAlign w:val="center"/>
          </w:tcPr>
          <w:p w:rsidR="00263D37" w:rsidRPr="005D7471" w:rsidRDefault="00263D37" w:rsidP="003C228D">
            <w:pPr>
              <w:spacing w:before="0" w:after="0" w:line="276" w:lineRule="auto"/>
            </w:pPr>
            <w:r w:rsidRPr="005D7471">
              <w:t>2%</w:t>
            </w:r>
          </w:p>
        </w:tc>
        <w:tc>
          <w:tcPr>
            <w:tcW w:w="1000" w:type="dxa"/>
            <w:vAlign w:val="center"/>
          </w:tcPr>
          <w:p w:rsidR="00263D37" w:rsidRPr="005D7471" w:rsidRDefault="00263D37" w:rsidP="003C228D">
            <w:pPr>
              <w:spacing w:before="0" w:after="0" w:line="276" w:lineRule="auto"/>
            </w:pPr>
            <w:r w:rsidRPr="005D7471">
              <w:t>1%</w:t>
            </w:r>
          </w:p>
        </w:tc>
        <w:tc>
          <w:tcPr>
            <w:tcW w:w="1000" w:type="dxa"/>
            <w:vAlign w:val="center"/>
          </w:tcPr>
          <w:p w:rsidR="00263D37" w:rsidRPr="005D7471" w:rsidRDefault="008C0A40" w:rsidP="003C228D">
            <w:pPr>
              <w:spacing w:before="0" w:after="0" w:line="276" w:lineRule="auto"/>
            </w:pPr>
            <w:r>
              <w:t>Less than 1</w:t>
            </w:r>
            <w:r w:rsidRPr="005D7471">
              <w:t>%</w:t>
            </w:r>
          </w:p>
        </w:tc>
      </w:tr>
    </w:tbl>
    <w:p w:rsidR="000A2E07" w:rsidRPr="005D7471" w:rsidRDefault="009E010F" w:rsidP="003C228D">
      <w:pPr>
        <w:spacing w:line="276" w:lineRule="auto"/>
      </w:pPr>
      <w:r w:rsidRPr="005D7471">
        <w:lastRenderedPageBreak/>
        <w:t>This</w:t>
      </w:r>
      <w:r w:rsidR="00AD59E4" w:rsidRPr="005D7471">
        <w:t xml:space="preserve"> reduction in visa grants</w:t>
      </w:r>
      <w:r w:rsidRPr="005D7471">
        <w:t xml:space="preserve"> </w:t>
      </w:r>
      <w:r w:rsidR="00120ABF">
        <w:t xml:space="preserve">may </w:t>
      </w:r>
      <w:r w:rsidR="000A2E07" w:rsidRPr="005D7471">
        <w:t xml:space="preserve">be </w:t>
      </w:r>
      <w:r w:rsidRPr="005D7471">
        <w:t>partially</w:t>
      </w:r>
      <w:r w:rsidR="000A2E07" w:rsidRPr="005D7471">
        <w:t xml:space="preserve"> </w:t>
      </w:r>
      <w:r w:rsidRPr="005D7471">
        <w:t>attributed to</w:t>
      </w:r>
      <w:r w:rsidR="009203AD">
        <w:t xml:space="preserve"> the genuine position amendment </w:t>
      </w:r>
      <w:r w:rsidR="00120ABF">
        <w:t>but cannot be</w:t>
      </w:r>
      <w:r w:rsidR="004B2657">
        <w:t xml:space="preserve"> specifically</w:t>
      </w:r>
      <w:r w:rsidR="00120ABF">
        <w:t xml:space="preserve"> quantified</w:t>
      </w:r>
      <w:r w:rsidR="000A2E07" w:rsidRPr="005D7471">
        <w:t xml:space="preserve">. </w:t>
      </w:r>
      <w:r w:rsidR="00120ABF">
        <w:t>O</w:t>
      </w:r>
      <w:r w:rsidRPr="005D7471">
        <w:t>ther amendments implemented in July 2013</w:t>
      </w:r>
      <w:r w:rsidR="00016453" w:rsidRPr="005D7471">
        <w:t>,</w:t>
      </w:r>
      <w:r w:rsidR="000A2E07" w:rsidRPr="005D7471">
        <w:t xml:space="preserve"> such as</w:t>
      </w:r>
      <w:r w:rsidR="006E36B7" w:rsidRPr="005D7471">
        <w:t xml:space="preserve"> </w:t>
      </w:r>
      <w:r w:rsidR="000A2E07" w:rsidRPr="005D7471">
        <w:t xml:space="preserve">changed English language exemptions and new mandatory skill assessments for applicants in these two occupations </w:t>
      </w:r>
      <w:r w:rsidR="009075A0" w:rsidRPr="005D7471">
        <w:t xml:space="preserve">may </w:t>
      </w:r>
      <w:r w:rsidR="00016453" w:rsidRPr="005D7471">
        <w:t xml:space="preserve">have </w:t>
      </w:r>
      <w:r w:rsidR="006E36B7" w:rsidRPr="005D7471">
        <w:t>also</w:t>
      </w:r>
      <w:r w:rsidR="00016453" w:rsidRPr="005D7471">
        <w:t xml:space="preserve"> </w:t>
      </w:r>
      <w:r w:rsidR="006E36B7" w:rsidRPr="005D7471">
        <w:t>contributed to this outcome</w:t>
      </w:r>
      <w:r w:rsidRPr="005D7471">
        <w:t>.</w:t>
      </w:r>
    </w:p>
    <w:p w:rsidR="008E16B5" w:rsidRPr="005D7471" w:rsidRDefault="00120ABF" w:rsidP="003C228D">
      <w:pPr>
        <w:spacing w:line="276" w:lineRule="auto"/>
        <w:rPr>
          <w:rFonts w:cs="Arial"/>
        </w:rPr>
      </w:pPr>
      <w:r>
        <w:t>T</w:t>
      </w:r>
      <w:r w:rsidR="00874C8A" w:rsidRPr="005D7471">
        <w:t>he</w:t>
      </w:r>
      <w:r w:rsidR="00FE0B43" w:rsidRPr="005D7471">
        <w:t xml:space="preserve"> genuine position</w:t>
      </w:r>
      <w:r w:rsidR="00052C45">
        <w:t xml:space="preserve"> amendment</w:t>
      </w:r>
      <w:r>
        <w:t xml:space="preserve"> </w:t>
      </w:r>
      <w:r w:rsidR="006806D2">
        <w:t>was</w:t>
      </w:r>
      <w:r w:rsidR="006806D2" w:rsidRPr="005D7471">
        <w:t xml:space="preserve"> </w:t>
      </w:r>
      <w:r w:rsidR="00E811AD">
        <w:t xml:space="preserve">also </w:t>
      </w:r>
      <w:r w:rsidR="007C217A" w:rsidRPr="005D7471">
        <w:t xml:space="preserve">applied to </w:t>
      </w:r>
      <w:r w:rsidR="00E811AD">
        <w:t xml:space="preserve">other </w:t>
      </w:r>
      <w:r w:rsidR="007C217A" w:rsidRPr="005D7471">
        <w:t>occupation</w:t>
      </w:r>
      <w:r w:rsidR="009075A0" w:rsidRPr="005D7471">
        <w:t>s</w:t>
      </w:r>
      <w:r w:rsidR="004C1C51">
        <w:t xml:space="preserve"> where there was</w:t>
      </w:r>
      <w:r w:rsidR="007C217A" w:rsidRPr="005D7471">
        <w:t xml:space="preserve"> sufficient reason to believe </w:t>
      </w:r>
      <w:r w:rsidR="00310340" w:rsidRPr="005D7471">
        <w:t>duties of a lower skilled occupation have been misrepresented to g</w:t>
      </w:r>
      <w:r w:rsidR="007C217A" w:rsidRPr="005D7471">
        <w:t>ain access to the 457 programme</w:t>
      </w:r>
      <w:r w:rsidR="009075A0" w:rsidRPr="005D7471">
        <w:t>,</w:t>
      </w:r>
      <w:r w:rsidR="007C217A" w:rsidRPr="005D7471">
        <w:t xml:space="preserve"> or </w:t>
      </w:r>
      <w:r w:rsidR="00310340" w:rsidRPr="005D7471">
        <w:rPr>
          <w:rFonts w:cs="Arial"/>
        </w:rPr>
        <w:t xml:space="preserve">the position was created for the sole purpose of attaining a visa without a corresponding business need. </w:t>
      </w:r>
    </w:p>
    <w:p w:rsidR="00920CFB" w:rsidRPr="005D7471" w:rsidRDefault="008E16B5" w:rsidP="003C228D">
      <w:pPr>
        <w:spacing w:line="276" w:lineRule="auto"/>
      </w:pPr>
      <w:r w:rsidRPr="005D7471">
        <w:t xml:space="preserve">The following </w:t>
      </w:r>
      <w:r w:rsidR="002B4A19" w:rsidRPr="005D7471">
        <w:t>graph</w:t>
      </w:r>
      <w:r w:rsidRPr="005D7471">
        <w:t xml:space="preserve"> show</w:t>
      </w:r>
      <w:r w:rsidR="002B4A19" w:rsidRPr="005D7471">
        <w:t>s</w:t>
      </w:r>
      <w:r w:rsidRPr="005D7471">
        <w:t xml:space="preserve"> the total rate of refusals and withdrawals increased as a percentage of nominations finalised in the 2013</w:t>
      </w:r>
      <w:r w:rsidR="00D20D95" w:rsidRPr="005D7471">
        <w:t>–</w:t>
      </w:r>
      <w:r w:rsidRPr="005D7471">
        <w:t>14 programme year.</w:t>
      </w:r>
    </w:p>
    <w:p w:rsidR="00F52B95" w:rsidRPr="005D7471" w:rsidRDefault="00D94ADA" w:rsidP="003C228D">
      <w:pPr>
        <w:pStyle w:val="Caption"/>
        <w:spacing w:line="276" w:lineRule="auto"/>
      </w:pPr>
      <w:r w:rsidRPr="005D7471">
        <w:rPr>
          <w:noProof/>
        </w:rPr>
        <w:drawing>
          <wp:anchor distT="0" distB="0" distL="114300" distR="114300" simplePos="0" relativeHeight="251660288" behindDoc="0" locked="0" layoutInCell="1" allowOverlap="1" wp14:anchorId="04BE6B66" wp14:editId="182AE9EB">
            <wp:simplePos x="0" y="0"/>
            <wp:positionH relativeFrom="column">
              <wp:posOffset>-55880</wp:posOffset>
            </wp:positionH>
            <wp:positionV relativeFrom="paragraph">
              <wp:posOffset>325755</wp:posOffset>
            </wp:positionV>
            <wp:extent cx="5508625" cy="2042795"/>
            <wp:effectExtent l="0" t="0" r="0" b="0"/>
            <wp:wrapSquare wrapText="bothSides"/>
            <wp:docPr id="11" name="Picture 11" descr="The graph shows the total rate of refusals and withdrawals increased as a percentage of nominations finalised in five programme years.&#10;&#10;In 2009-10 the rate was 8.20 per cent of 40,000 nominations&#10;In 2010-11 the rate was 5.71 per cent of 60,000 nominations&#10;In 2011-12 the rate was 3.66 per cent of 88,000 nominations&#10;In 2012-13 the rate was 3.54 per cent of 89,000 nominations&#10;In 2013-14 the rate was 9.76 per cent of 70,000 nominations " title="Nominations rate of refusals/withdrawals as a percentage of decisions final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08625" cy="2042795"/>
                    </a:xfrm>
                    <a:prstGeom prst="rect">
                      <a:avLst/>
                    </a:prstGeom>
                    <a:noFill/>
                    <a:ln>
                      <a:noFill/>
                    </a:ln>
                  </pic:spPr>
                </pic:pic>
              </a:graphicData>
            </a:graphic>
            <wp14:sizeRelH relativeFrom="page">
              <wp14:pctWidth>0</wp14:pctWidth>
            </wp14:sizeRelH>
            <wp14:sizeRelV relativeFrom="page">
              <wp14:pctHeight>0</wp14:pctHeight>
            </wp14:sizeRelV>
          </wp:anchor>
        </w:drawing>
      </w:r>
      <w:r w:rsidR="002B4A19" w:rsidRPr="005D7471">
        <w:t>Graph</w:t>
      </w:r>
      <w:r w:rsidR="00F52B95" w:rsidRPr="005D7471">
        <w:t xml:space="preserve"> </w:t>
      </w:r>
      <w:r w:rsidR="002B4A19" w:rsidRPr="005D7471">
        <w:t>1</w:t>
      </w:r>
      <w:r w:rsidR="00193B20" w:rsidRPr="005D7471">
        <w:t>:</w:t>
      </w:r>
      <w:r w:rsidR="00F52B95" w:rsidRPr="005D7471">
        <w:t xml:space="preserve"> </w:t>
      </w:r>
      <w:r w:rsidR="00860143" w:rsidRPr="005D7471">
        <w:t>Subclass 457 n</w:t>
      </w:r>
      <w:r w:rsidR="002B4A19" w:rsidRPr="005D7471">
        <w:t>ominations</w:t>
      </w:r>
      <w:r w:rsidR="00A341C8" w:rsidRPr="005D7471">
        <w:t xml:space="preserve"> </w:t>
      </w:r>
      <w:r w:rsidR="00860143" w:rsidRPr="005D7471">
        <w:t>finalised and percentage of nominations refused or withdrawn</w:t>
      </w:r>
      <w:r w:rsidR="00860143" w:rsidRPr="005D7471">
        <w:rPr>
          <w:rStyle w:val="FootnoteReference"/>
        </w:rPr>
        <w:footnoteReference w:id="20"/>
      </w:r>
    </w:p>
    <w:p w:rsidR="008E16B5" w:rsidRPr="005D7471" w:rsidRDefault="00D94ADA" w:rsidP="003C228D">
      <w:pPr>
        <w:spacing w:before="240" w:line="276" w:lineRule="auto"/>
      </w:pPr>
      <w:r w:rsidRPr="005D7471">
        <w:br/>
      </w:r>
      <w:r w:rsidR="008E16B5" w:rsidRPr="005D7471">
        <w:t xml:space="preserve">This </w:t>
      </w:r>
      <w:r w:rsidR="00062DBB" w:rsidRPr="005D7471">
        <w:t>graph</w:t>
      </w:r>
      <w:r w:rsidR="008E16B5" w:rsidRPr="005D7471">
        <w:t xml:space="preserve"> suggests</w:t>
      </w:r>
      <w:r w:rsidR="002B4A19" w:rsidRPr="005D7471">
        <w:t xml:space="preserve"> the</w:t>
      </w:r>
      <w:r w:rsidR="00052C45">
        <w:t xml:space="preserve"> genuine position amendment</w:t>
      </w:r>
      <w:r w:rsidR="008E16B5" w:rsidRPr="005D7471">
        <w:t xml:space="preserve"> i</w:t>
      </w:r>
      <w:r w:rsidR="002B4A19" w:rsidRPr="005D7471">
        <w:t>mplemented</w:t>
      </w:r>
      <w:r w:rsidR="008E16B5" w:rsidRPr="005D7471">
        <w:t xml:space="preserve"> in July 2013</w:t>
      </w:r>
      <w:r w:rsidR="00016453" w:rsidRPr="005D7471">
        <w:t>,</w:t>
      </w:r>
      <w:r w:rsidR="008E16B5" w:rsidRPr="005D7471">
        <w:t xml:space="preserve"> </w:t>
      </w:r>
      <w:r w:rsidR="00F52B95" w:rsidRPr="005D7471">
        <w:t>a</w:t>
      </w:r>
      <w:r w:rsidR="008E16B5" w:rsidRPr="005D7471">
        <w:t>ffect</w:t>
      </w:r>
      <w:r w:rsidR="00F52B95" w:rsidRPr="005D7471">
        <w:t>ed</w:t>
      </w:r>
      <w:r w:rsidR="008E16B5" w:rsidRPr="005D7471">
        <w:t xml:space="preserve"> the number of nominations refused</w:t>
      </w:r>
      <w:r w:rsidR="0079527E" w:rsidRPr="005D7471">
        <w:t>/withdrawn</w:t>
      </w:r>
      <w:r w:rsidR="00E811AD">
        <w:t xml:space="preserve"> but this impact cannot be</w:t>
      </w:r>
      <w:r w:rsidR="004B2657">
        <w:t xml:space="preserve"> specifically</w:t>
      </w:r>
      <w:r w:rsidR="00E811AD">
        <w:t xml:space="preserve"> quantified</w:t>
      </w:r>
      <w:r w:rsidR="008E16B5" w:rsidRPr="005D7471">
        <w:t xml:space="preserve">. </w:t>
      </w:r>
      <w:r w:rsidR="00062DBB" w:rsidRPr="005D7471">
        <w:t>Other changes made on 1 July 2013 may have also contributed to</w:t>
      </w:r>
      <w:r w:rsidR="008E16B5" w:rsidRPr="005D7471">
        <w:t xml:space="preserve"> </w:t>
      </w:r>
      <w:r w:rsidR="002B4A19" w:rsidRPr="005D7471">
        <w:t>t</w:t>
      </w:r>
      <w:r w:rsidR="008E16B5" w:rsidRPr="005D7471">
        <w:t>he increase</w:t>
      </w:r>
      <w:r w:rsidR="006760A4" w:rsidRPr="005D7471">
        <w:t>, i</w:t>
      </w:r>
      <w:r w:rsidR="00062DBB" w:rsidRPr="005D7471">
        <w:t>ncluding:</w:t>
      </w:r>
      <w:r w:rsidR="008E16B5" w:rsidRPr="005D7471">
        <w:t xml:space="preserve"> </w:t>
      </w:r>
    </w:p>
    <w:p w:rsidR="008E16B5" w:rsidRPr="005D7471" w:rsidRDefault="00275132" w:rsidP="003C228D">
      <w:pPr>
        <w:pStyle w:val="Bulletlist-level1"/>
        <w:spacing w:line="276" w:lineRule="auto"/>
        <w:rPr>
          <w:rFonts w:cs="Arial"/>
        </w:rPr>
      </w:pPr>
      <w:r>
        <w:rPr>
          <w:rFonts w:cs="Arial"/>
        </w:rPr>
        <w:t>LMT</w:t>
      </w:r>
      <w:r w:rsidR="008E16B5" w:rsidRPr="005D7471">
        <w:rPr>
          <w:rFonts w:cs="Arial"/>
        </w:rPr>
        <w:t xml:space="preserve"> provisions </w:t>
      </w:r>
    </w:p>
    <w:p w:rsidR="008E16B5" w:rsidRPr="005D7471" w:rsidRDefault="00062DBB" w:rsidP="003C228D">
      <w:pPr>
        <w:pStyle w:val="Bulletlist-level1"/>
        <w:spacing w:line="276" w:lineRule="auto"/>
        <w:rPr>
          <w:rFonts w:cs="Arial"/>
        </w:rPr>
      </w:pPr>
      <w:proofErr w:type="gramStart"/>
      <w:r w:rsidRPr="005D7471">
        <w:rPr>
          <w:rFonts w:cs="Arial"/>
        </w:rPr>
        <w:t>exclusions</w:t>
      </w:r>
      <w:proofErr w:type="gramEnd"/>
      <w:r w:rsidRPr="005D7471">
        <w:rPr>
          <w:rFonts w:cs="Arial"/>
        </w:rPr>
        <w:t xml:space="preserve"> for</w:t>
      </w:r>
      <w:r w:rsidR="008E16B5" w:rsidRPr="005D7471">
        <w:rPr>
          <w:rFonts w:cs="Arial"/>
        </w:rPr>
        <w:t xml:space="preserve"> fast food or takeaway food businesses from nominating in the occupation</w:t>
      </w:r>
      <w:r w:rsidR="002B6F7F" w:rsidRPr="005D7471">
        <w:rPr>
          <w:rFonts w:cs="Arial"/>
        </w:rPr>
        <w:t>s of</w:t>
      </w:r>
      <w:r w:rsidR="008E16B5" w:rsidRPr="005D7471">
        <w:rPr>
          <w:rFonts w:cs="Arial"/>
        </w:rPr>
        <w:t xml:space="preserve"> Chef or Cook</w:t>
      </w:r>
      <w:r w:rsidR="000D0AD8" w:rsidRPr="005D7471">
        <w:rPr>
          <w:rFonts w:cs="Arial"/>
        </w:rPr>
        <w:t>.</w:t>
      </w:r>
    </w:p>
    <w:p w:rsidR="001E0D38" w:rsidRPr="005D7471" w:rsidRDefault="008323B3" w:rsidP="003C228D">
      <w:pPr>
        <w:pStyle w:val="Heading3"/>
        <w:spacing w:before="360" w:beforeAutospacing="0"/>
      </w:pPr>
      <w:bookmarkStart w:id="53" w:name="_Toc444499130"/>
      <w:r w:rsidRPr="005D7471">
        <w:t>Consultation</w:t>
      </w:r>
      <w:bookmarkEnd w:id="53"/>
    </w:p>
    <w:p w:rsidR="00611CD7" w:rsidRPr="005D7471" w:rsidRDefault="00611CD7" w:rsidP="003C228D">
      <w:pPr>
        <w:spacing w:after="0" w:line="276" w:lineRule="auto"/>
        <w:rPr>
          <w:rFonts w:cs="Arial"/>
        </w:rPr>
      </w:pPr>
      <w:r w:rsidRPr="005D7471">
        <w:rPr>
          <w:rFonts w:cs="Arial"/>
        </w:rPr>
        <w:t xml:space="preserve">The 2014 survey identified 15 per cent of respondents who thought the 2013 changes were not reasonable. Respondents were asked which specific </w:t>
      </w:r>
      <w:r w:rsidR="00F43C9D">
        <w:rPr>
          <w:rFonts w:cs="Arial"/>
        </w:rPr>
        <w:t>changes they found unreasonable;</w:t>
      </w:r>
      <w:r w:rsidRPr="005D7471">
        <w:rPr>
          <w:rFonts w:cs="Arial"/>
        </w:rPr>
        <w:t xml:space="preserve"> however</w:t>
      </w:r>
      <w:r w:rsidR="00F43C9D">
        <w:rPr>
          <w:rFonts w:cs="Arial"/>
        </w:rPr>
        <w:t>,</w:t>
      </w:r>
      <w:r w:rsidRPr="005D7471">
        <w:rPr>
          <w:rFonts w:cs="Arial"/>
        </w:rPr>
        <w:t xml:space="preserve"> </w:t>
      </w:r>
      <w:r w:rsidR="00FA65F2">
        <w:rPr>
          <w:rFonts w:cs="Arial"/>
        </w:rPr>
        <w:t xml:space="preserve">the </w:t>
      </w:r>
      <w:r w:rsidRPr="005D7471">
        <w:rPr>
          <w:rFonts w:cs="Arial"/>
        </w:rPr>
        <w:t>g</w:t>
      </w:r>
      <w:r w:rsidR="00FA65F2">
        <w:rPr>
          <w:rFonts w:cs="Arial"/>
        </w:rPr>
        <w:t xml:space="preserve">enuine position amendment was </w:t>
      </w:r>
      <w:r w:rsidRPr="005D7471">
        <w:rPr>
          <w:rFonts w:cs="Arial"/>
        </w:rPr>
        <w:t xml:space="preserve">not identified as part of this exercise. </w:t>
      </w:r>
    </w:p>
    <w:p w:rsidR="001E0D38" w:rsidRPr="005D7471" w:rsidRDefault="00611CD7" w:rsidP="003C228D">
      <w:pPr>
        <w:spacing w:line="276" w:lineRule="auto"/>
        <w:rPr>
          <w:rFonts w:cs="Arial"/>
        </w:rPr>
      </w:pPr>
      <w:r>
        <w:rPr>
          <w:rFonts w:cs="Arial"/>
        </w:rPr>
        <w:t>T</w:t>
      </w:r>
      <w:r w:rsidR="001E0D38" w:rsidRPr="005D7471">
        <w:rPr>
          <w:rFonts w:cs="Arial"/>
        </w:rPr>
        <w:t xml:space="preserve">he </w:t>
      </w:r>
      <w:r w:rsidR="00105A9B" w:rsidRPr="005D7471">
        <w:rPr>
          <w:rFonts w:cs="Arial"/>
        </w:rPr>
        <w:t>457 Integrity R</w:t>
      </w:r>
      <w:r w:rsidR="001E0D38" w:rsidRPr="005D7471">
        <w:rPr>
          <w:rFonts w:cs="Arial"/>
        </w:rPr>
        <w:t>eview noted that:</w:t>
      </w:r>
    </w:p>
    <w:p w:rsidR="001E0D38" w:rsidRPr="005D7471" w:rsidRDefault="001E0D38" w:rsidP="003C228D">
      <w:pPr>
        <w:spacing w:line="276" w:lineRule="auto"/>
        <w:ind w:left="284"/>
      </w:pPr>
      <w:r w:rsidRPr="00805273">
        <w:rPr>
          <w:rFonts w:cs="Arial"/>
        </w:rPr>
        <w:t>‘</w:t>
      </w:r>
      <w:r w:rsidRPr="006C52A7">
        <w:rPr>
          <w:rFonts w:cs="Arial"/>
          <w:i/>
        </w:rPr>
        <w:t>Many stakeholders consider this requirement to be highly ef</w:t>
      </w:r>
      <w:r w:rsidR="00D20D95" w:rsidRPr="006C52A7">
        <w:rPr>
          <w:rFonts w:cs="Arial"/>
          <w:i/>
        </w:rPr>
        <w:t>fective as it provides</w:t>
      </w:r>
      <w:r w:rsidR="00D20D95" w:rsidRPr="006C52A7">
        <w:rPr>
          <w:rFonts w:cs="Arial"/>
          <w:i/>
        </w:rPr>
        <w:br/>
      </w:r>
      <w:r w:rsidR="00571430" w:rsidRPr="006C52A7">
        <w:rPr>
          <w:rFonts w:cs="Arial"/>
          <w:i/>
        </w:rPr>
        <w:t>decision</w:t>
      </w:r>
      <w:r w:rsidR="00D20D95" w:rsidRPr="006C52A7">
        <w:rPr>
          <w:rFonts w:cs="Arial"/>
          <w:i/>
        </w:rPr>
        <w:t>–</w:t>
      </w:r>
      <w:r w:rsidRPr="006C52A7">
        <w:rPr>
          <w:rFonts w:cs="Arial"/>
          <w:i/>
        </w:rPr>
        <w:t>makers with a valuable tool with whic</w:t>
      </w:r>
      <w:r w:rsidR="00D20D95" w:rsidRPr="006C52A7">
        <w:rPr>
          <w:rFonts w:cs="Arial"/>
          <w:i/>
        </w:rPr>
        <w:t>h to query dubious nominations.</w:t>
      </w:r>
      <w:r w:rsidR="00D20D95" w:rsidRPr="006C52A7">
        <w:rPr>
          <w:rFonts w:cs="Arial"/>
          <w:i/>
        </w:rPr>
        <w:br/>
      </w:r>
      <w:r w:rsidRPr="006C52A7">
        <w:rPr>
          <w:rFonts w:cs="Arial"/>
          <w:i/>
        </w:rPr>
        <w:t>However, concerns have been raised by some stakeholders that thi</w:t>
      </w:r>
      <w:r w:rsidR="00571430" w:rsidRPr="006C52A7">
        <w:rPr>
          <w:rFonts w:cs="Arial"/>
          <w:i/>
        </w:rPr>
        <w:t>s requirement provides decision</w:t>
      </w:r>
      <w:r w:rsidR="00D20D95" w:rsidRPr="006C52A7">
        <w:rPr>
          <w:rFonts w:cs="Arial"/>
          <w:i/>
        </w:rPr>
        <w:t>–</w:t>
      </w:r>
      <w:r w:rsidRPr="006C52A7">
        <w:rPr>
          <w:rFonts w:cs="Arial"/>
          <w:i/>
        </w:rPr>
        <w:t>makers with too much discretion</w:t>
      </w:r>
      <w:r w:rsidRPr="005D7471">
        <w:t>.’</w:t>
      </w:r>
      <w:r w:rsidRPr="005D7471">
        <w:rPr>
          <w:rStyle w:val="FootnoteReference"/>
        </w:rPr>
        <w:footnoteReference w:id="21"/>
      </w:r>
    </w:p>
    <w:p w:rsidR="003C228D" w:rsidRPr="003C228D" w:rsidRDefault="000D025A" w:rsidP="00861B7F">
      <w:pPr>
        <w:pStyle w:val="Heading3"/>
        <w:spacing w:before="360" w:beforeAutospacing="0"/>
        <w:rPr>
          <w:rFonts w:eastAsia="Times New Roman" w:cs="Arial"/>
          <w:bCs w:val="0"/>
          <w:color w:val="auto"/>
          <w:sz w:val="20"/>
          <w:szCs w:val="20"/>
        </w:rPr>
      </w:pPr>
      <w:bookmarkStart w:id="54" w:name="_Toc442276610"/>
      <w:bookmarkStart w:id="55" w:name="_Toc442348331"/>
      <w:bookmarkStart w:id="56" w:name="_Toc442348401"/>
      <w:bookmarkStart w:id="57" w:name="_Toc442693614"/>
      <w:bookmarkStart w:id="58" w:name="_Toc442695188"/>
      <w:bookmarkStart w:id="59" w:name="_Toc444499131"/>
      <w:r w:rsidRPr="003C228D">
        <w:rPr>
          <w:rFonts w:eastAsia="Times New Roman" w:cs="Arial"/>
          <w:bCs w:val="0"/>
          <w:color w:val="auto"/>
          <w:sz w:val="20"/>
          <w:szCs w:val="20"/>
        </w:rPr>
        <w:t>The review panel</w:t>
      </w:r>
      <w:r w:rsidR="001E0D38" w:rsidRPr="003C228D">
        <w:rPr>
          <w:rFonts w:eastAsia="Times New Roman" w:cs="Arial"/>
          <w:bCs w:val="0"/>
          <w:color w:val="auto"/>
          <w:sz w:val="20"/>
          <w:szCs w:val="20"/>
        </w:rPr>
        <w:t xml:space="preserve"> </w:t>
      </w:r>
      <w:r w:rsidRPr="003C228D">
        <w:rPr>
          <w:rFonts w:eastAsia="Times New Roman" w:cs="Arial"/>
          <w:bCs w:val="0"/>
          <w:color w:val="auto"/>
          <w:sz w:val="20"/>
          <w:szCs w:val="20"/>
        </w:rPr>
        <w:t>support</w:t>
      </w:r>
      <w:r w:rsidR="00611CD7" w:rsidRPr="003C228D">
        <w:rPr>
          <w:rFonts w:eastAsia="Times New Roman" w:cs="Arial"/>
          <w:bCs w:val="0"/>
          <w:color w:val="auto"/>
          <w:sz w:val="20"/>
          <w:szCs w:val="20"/>
        </w:rPr>
        <w:t>ed</w:t>
      </w:r>
      <w:r w:rsidRPr="003C228D">
        <w:rPr>
          <w:rFonts w:eastAsia="Times New Roman" w:cs="Arial"/>
          <w:bCs w:val="0"/>
          <w:color w:val="auto"/>
          <w:sz w:val="20"/>
          <w:szCs w:val="20"/>
        </w:rPr>
        <w:t xml:space="preserve"> </w:t>
      </w:r>
      <w:r w:rsidR="00F31891">
        <w:rPr>
          <w:rFonts w:eastAsia="Times New Roman" w:cs="Arial"/>
          <w:bCs w:val="0"/>
          <w:color w:val="auto"/>
          <w:sz w:val="20"/>
          <w:szCs w:val="20"/>
        </w:rPr>
        <w:t>the genuine position amendment</w:t>
      </w:r>
      <w:r w:rsidR="003B733F" w:rsidRPr="003C228D">
        <w:rPr>
          <w:rFonts w:eastAsia="Times New Roman" w:cs="Arial"/>
          <w:bCs w:val="0"/>
          <w:color w:val="auto"/>
          <w:sz w:val="20"/>
          <w:szCs w:val="20"/>
        </w:rPr>
        <w:t xml:space="preserve"> and recommended that decision makers be given targeted training and that they invite further information from the sponsor before </w:t>
      </w:r>
      <w:r w:rsidR="003B733F" w:rsidRPr="003C228D">
        <w:rPr>
          <w:rFonts w:eastAsia="Times New Roman" w:cs="Arial"/>
          <w:bCs w:val="0"/>
          <w:color w:val="auto"/>
          <w:sz w:val="20"/>
          <w:szCs w:val="20"/>
        </w:rPr>
        <w:lastRenderedPageBreak/>
        <w:t>refusing a nomination on genuine position grounds.</w:t>
      </w:r>
      <w:r w:rsidR="003B733F" w:rsidRPr="00861B7F">
        <w:rPr>
          <w:rStyle w:val="FootnoteReference"/>
          <w:rFonts w:eastAsia="Times New Roman"/>
          <w:bCs w:val="0"/>
          <w:color w:val="auto"/>
          <w:sz w:val="20"/>
          <w:szCs w:val="20"/>
        </w:rPr>
        <w:footnoteReference w:id="22"/>
      </w:r>
      <w:r w:rsidR="00861B7F" w:rsidRPr="00861B7F">
        <w:rPr>
          <w:rStyle w:val="FootnoteReference"/>
          <w:rFonts w:eastAsia="Times New Roman"/>
          <w:bCs w:val="0"/>
          <w:color w:val="auto"/>
          <w:sz w:val="20"/>
          <w:szCs w:val="20"/>
        </w:rPr>
        <w:t xml:space="preserve"> </w:t>
      </w:r>
      <w:r w:rsidR="003B733F" w:rsidRPr="003C228D">
        <w:rPr>
          <w:rFonts w:eastAsia="Times New Roman" w:cs="Arial"/>
          <w:bCs w:val="0"/>
          <w:color w:val="auto"/>
          <w:sz w:val="20"/>
          <w:szCs w:val="20"/>
        </w:rPr>
        <w:t>These recommendations were implemented in late 2015.</w:t>
      </w:r>
      <w:bookmarkEnd w:id="54"/>
      <w:bookmarkEnd w:id="55"/>
      <w:bookmarkEnd w:id="56"/>
      <w:bookmarkEnd w:id="57"/>
      <w:bookmarkEnd w:id="58"/>
      <w:bookmarkEnd w:id="59"/>
    </w:p>
    <w:p w:rsidR="00FE68AC" w:rsidRPr="005D7471" w:rsidRDefault="00FE68AC" w:rsidP="003C228D">
      <w:pPr>
        <w:pStyle w:val="Heading3"/>
        <w:spacing w:before="360" w:beforeAutospacing="0"/>
      </w:pPr>
      <w:bookmarkStart w:id="60" w:name="_Toc444499132"/>
      <w:r w:rsidRPr="005D7471">
        <w:t>Findings</w:t>
      </w:r>
      <w:r w:rsidR="004F6467" w:rsidRPr="005D7471">
        <w:t>—</w:t>
      </w:r>
      <w:r w:rsidRPr="005D7471">
        <w:t>net benefit</w:t>
      </w:r>
      <w:bookmarkEnd w:id="60"/>
    </w:p>
    <w:p w:rsidR="00B3457C" w:rsidRDefault="009346E0" w:rsidP="003C228D">
      <w:pPr>
        <w:spacing w:line="276" w:lineRule="auto"/>
      </w:pPr>
      <w:r>
        <w:t>The genuine position amendment has</w:t>
      </w:r>
      <w:r w:rsidR="00B3457C">
        <w:t xml:space="preserve"> improved the integrity of the 457 programme by limiting opportunities for sponsor</w:t>
      </w:r>
      <w:r w:rsidR="00B3457C" w:rsidRPr="005D7471">
        <w:t>s to misrepresent the duties of occupations</w:t>
      </w:r>
      <w:r w:rsidR="00B3457C">
        <w:t xml:space="preserve"> or create a </w:t>
      </w:r>
      <w:r w:rsidR="00B3457C" w:rsidRPr="005D7471">
        <w:rPr>
          <w:rFonts w:cs="Arial"/>
        </w:rPr>
        <w:t>position for the sole purpose of attaining a visa without a corresponding business need</w:t>
      </w:r>
      <w:r w:rsidR="00B3457C">
        <w:t xml:space="preserve">. </w:t>
      </w:r>
      <w:r>
        <w:t xml:space="preserve">The amendment </w:t>
      </w:r>
      <w:r w:rsidR="004B2657">
        <w:t>appears to have</w:t>
      </w:r>
      <w:r w:rsidR="004B2657" w:rsidRPr="005D7471">
        <w:t xml:space="preserve"> </w:t>
      </w:r>
      <w:r w:rsidR="00A424F4" w:rsidRPr="005D7471">
        <w:t>contributed to a reduction in visa grants</w:t>
      </w:r>
      <w:r w:rsidR="00D1707C">
        <w:t xml:space="preserve">, particularly in </w:t>
      </w:r>
      <w:r w:rsidR="00D1707C" w:rsidRPr="005D7471">
        <w:t>the occupations Program and Project Administrators and Specialist Managers (not elsewhere classified)</w:t>
      </w:r>
      <w:r w:rsidR="00680147" w:rsidRPr="005D7471">
        <w:t>.</w:t>
      </w:r>
    </w:p>
    <w:p w:rsidR="00BE59C7" w:rsidRPr="005D7471" w:rsidRDefault="00BE59C7" w:rsidP="003C228D">
      <w:pPr>
        <w:pStyle w:val="Heading2"/>
        <w:numPr>
          <w:ilvl w:val="0"/>
          <w:numId w:val="31"/>
        </w:numPr>
      </w:pPr>
      <w:bookmarkStart w:id="61" w:name="_Toc430181396"/>
      <w:bookmarkStart w:id="62" w:name="_Toc444499133"/>
      <w:r w:rsidRPr="005D7471">
        <w:t xml:space="preserve">English </w:t>
      </w:r>
      <w:r w:rsidR="00F420DA" w:rsidRPr="005D7471">
        <w:t>l</w:t>
      </w:r>
      <w:r w:rsidRPr="005D7471">
        <w:t xml:space="preserve">anguage </w:t>
      </w:r>
      <w:r w:rsidR="00F420DA" w:rsidRPr="005D7471">
        <w:t>e</w:t>
      </w:r>
      <w:r w:rsidRPr="005D7471">
        <w:t>xemptions</w:t>
      </w:r>
      <w:bookmarkEnd w:id="61"/>
      <w:bookmarkEnd w:id="62"/>
    </w:p>
    <w:p w:rsidR="00372C78" w:rsidRPr="005D7471" w:rsidRDefault="00202F9D" w:rsidP="003C228D">
      <w:pPr>
        <w:spacing w:line="276" w:lineRule="auto"/>
        <w:rPr>
          <w:rFonts w:cs="Arial"/>
        </w:rPr>
      </w:pPr>
      <w:r w:rsidRPr="005D7471">
        <w:t>The English language req</w:t>
      </w:r>
      <w:r w:rsidR="00551EAB" w:rsidRPr="005D7471">
        <w:t>uirement was introduced in 2007 to</w:t>
      </w:r>
      <w:r w:rsidRPr="005D7471">
        <w:t xml:space="preserve"> provid</w:t>
      </w:r>
      <w:r w:rsidR="00551EAB" w:rsidRPr="005D7471">
        <w:t>e</w:t>
      </w:r>
      <w:r w:rsidRPr="005D7471">
        <w:t xml:space="preserve"> protection to 457 visa holders by helping them to understand their rights, minimis</w:t>
      </w:r>
      <w:r w:rsidR="00551EAB" w:rsidRPr="005D7471">
        <w:t>e</w:t>
      </w:r>
      <w:r w:rsidRPr="005D7471">
        <w:t xml:space="preserve"> the risk of occupational health and safety</w:t>
      </w:r>
      <w:r w:rsidR="00BA481A" w:rsidRPr="005D7471">
        <w:t xml:space="preserve"> (OH&amp;S)</w:t>
      </w:r>
      <w:r w:rsidRPr="005D7471">
        <w:t xml:space="preserve"> incidents in the workplace</w:t>
      </w:r>
      <w:r w:rsidR="00F22C7D" w:rsidRPr="005D7471">
        <w:t>,</w:t>
      </w:r>
      <w:r w:rsidR="00925A08">
        <w:t xml:space="preserve"> and facilitate </w:t>
      </w:r>
      <w:r w:rsidRPr="005D7471">
        <w:t>participation in Australian society.</w:t>
      </w:r>
      <w:r w:rsidR="002168B8">
        <w:t xml:space="preserve"> </w:t>
      </w:r>
      <w:r w:rsidR="00F51739" w:rsidRPr="005D7471">
        <w:t xml:space="preserve">Unless a 457 visa applicant </w:t>
      </w:r>
      <w:r w:rsidR="00FB2DED" w:rsidRPr="005D7471">
        <w:t>wa</w:t>
      </w:r>
      <w:r w:rsidR="00F51739" w:rsidRPr="005D7471">
        <w:t>s exempt from the English language provisions</w:t>
      </w:r>
      <w:r w:rsidR="004741F9">
        <w:t>,</w:t>
      </w:r>
      <w:r w:rsidR="002168B8">
        <w:rPr>
          <w:rStyle w:val="FootnoteReference"/>
        </w:rPr>
        <w:footnoteReference w:id="23"/>
      </w:r>
      <w:r w:rsidR="00F51739" w:rsidRPr="005D7471">
        <w:t xml:space="preserve"> they </w:t>
      </w:r>
      <w:r w:rsidR="00C43FEF" w:rsidRPr="005D7471">
        <w:t>were</w:t>
      </w:r>
      <w:r w:rsidR="00F51739" w:rsidRPr="005D7471">
        <w:t xml:space="preserve"> required to </w:t>
      </w:r>
      <w:r w:rsidR="00C43FEF" w:rsidRPr="005D7471">
        <w:t>provide test results t</w:t>
      </w:r>
      <w:r w:rsidR="00F22C7D" w:rsidRPr="005D7471">
        <w:t>o</w:t>
      </w:r>
      <w:r w:rsidR="00C43FEF" w:rsidRPr="005D7471">
        <w:t xml:space="preserve"> </w:t>
      </w:r>
      <w:r w:rsidR="00F51739" w:rsidRPr="005D7471">
        <w:t>demonstrat</w:t>
      </w:r>
      <w:r w:rsidR="00F22C7D" w:rsidRPr="005D7471">
        <w:t>e</w:t>
      </w:r>
      <w:r w:rsidR="00F51739" w:rsidRPr="005D7471">
        <w:t xml:space="preserve"> the</w:t>
      </w:r>
      <w:r w:rsidR="00F22C7D" w:rsidRPr="005D7471">
        <w:t>ir</w:t>
      </w:r>
      <w:r w:rsidR="00F51739" w:rsidRPr="005D7471">
        <w:t xml:space="preserve"> </w:t>
      </w:r>
      <w:r w:rsidR="00F22C7D" w:rsidRPr="005D7471">
        <w:t>ability</w:t>
      </w:r>
      <w:r w:rsidR="00F51739" w:rsidRPr="005D7471">
        <w:t xml:space="preserve"> to ade</w:t>
      </w:r>
      <w:r w:rsidR="00E97C14" w:rsidRPr="005D7471">
        <w:t>quately communicate in English.</w:t>
      </w:r>
      <w:r w:rsidR="002168B8">
        <w:rPr>
          <w:rStyle w:val="FootnoteReference"/>
        </w:rPr>
        <w:footnoteReference w:id="24"/>
      </w:r>
    </w:p>
    <w:p w:rsidR="00372C78" w:rsidRPr="005D7471" w:rsidRDefault="006D363A" w:rsidP="003C228D">
      <w:pPr>
        <w:spacing w:line="276" w:lineRule="auto"/>
      </w:pPr>
      <w:r w:rsidRPr="00983816">
        <w:t>Applicants in most occupations (other than occupations with a high OH&amp;S risk or immigration non-compliance risk, predominantly technicians and trades workers) were not required to provide evidence of English proficiency unless this was a requirement of registration/licensing in the occupation.</w:t>
      </w:r>
      <w:r>
        <w:t xml:space="preserve"> </w:t>
      </w:r>
      <w:r w:rsidR="00372C78" w:rsidRPr="005D7471">
        <w:t>The</w:t>
      </w:r>
      <w:r>
        <w:t>se</w:t>
      </w:r>
      <w:r w:rsidR="00372C78" w:rsidRPr="005D7471">
        <w:t xml:space="preserve"> </w:t>
      </w:r>
      <w:r w:rsidR="00A74EA6">
        <w:t>occupation based exemptions had</w:t>
      </w:r>
      <w:r w:rsidR="00372C78" w:rsidRPr="005D7471">
        <w:t xml:space="preserve"> remained relatively constant since 2007.</w:t>
      </w:r>
    </w:p>
    <w:p w:rsidR="00551EAB" w:rsidRPr="005D7471" w:rsidRDefault="00551EAB" w:rsidP="003C228D">
      <w:pPr>
        <w:spacing w:line="276" w:lineRule="auto"/>
      </w:pPr>
      <w:r w:rsidRPr="005D7471">
        <w:t>In 2013</w:t>
      </w:r>
      <w:r w:rsidR="00745D9A" w:rsidRPr="005D7471">
        <w:t>,</w:t>
      </w:r>
      <w:r w:rsidRPr="005D7471">
        <w:t xml:space="preserve"> the occupation based English language exemptions were removed</w:t>
      </w:r>
      <w:r w:rsidR="00745D9A" w:rsidRPr="005D7471">
        <w:t>.</w:t>
      </w:r>
      <w:r w:rsidRPr="005D7471">
        <w:t xml:space="preserve"> </w:t>
      </w:r>
      <w:r w:rsidR="00745D9A" w:rsidRPr="005D7471">
        <w:t>This was to</w:t>
      </w:r>
      <w:r w:rsidRPr="005D7471">
        <w:t xml:space="preserve"> address concerns applicants were</w:t>
      </w:r>
      <w:r w:rsidRPr="005D7471">
        <w:rPr>
          <w:rFonts w:cs="Arial"/>
        </w:rPr>
        <w:t xml:space="preserve"> circumventing the English language requirements by misrepresenting the duties of a technician or trade worker</w:t>
      </w:r>
      <w:r w:rsidR="00603B3E">
        <w:rPr>
          <w:rFonts w:cs="Arial"/>
        </w:rPr>
        <w:t xml:space="preserve"> by using general </w:t>
      </w:r>
      <w:r w:rsidRPr="005D7471">
        <w:rPr>
          <w:rFonts w:cs="Arial"/>
        </w:rPr>
        <w:t xml:space="preserve">occupations such as </w:t>
      </w:r>
      <w:r w:rsidRPr="005D7471">
        <w:t>Program and Project Administrators and Specialist Managers (not elsewhere classified).</w:t>
      </w:r>
    </w:p>
    <w:p w:rsidR="00DA2F5D" w:rsidRDefault="00DA2F5D" w:rsidP="00DA2F5D">
      <w:pPr>
        <w:pStyle w:val="Heading2"/>
      </w:pPr>
      <w:bookmarkStart w:id="63" w:name="_Toc444499134"/>
      <w:bookmarkStart w:id="64" w:name="_Toc430935424"/>
      <w:bookmarkStart w:id="65" w:name="_Toc430937141"/>
      <w:r>
        <w:t>Impacts</w:t>
      </w:r>
      <w:bookmarkEnd w:id="63"/>
    </w:p>
    <w:p w:rsidR="00BE59C7" w:rsidRPr="005D7471" w:rsidRDefault="00FF1E8A" w:rsidP="003C228D">
      <w:pPr>
        <w:pStyle w:val="Heading3"/>
        <w:spacing w:before="360" w:beforeAutospacing="0"/>
      </w:pPr>
      <w:bookmarkStart w:id="66" w:name="_Toc444499135"/>
      <w:r w:rsidRPr="005D7471">
        <w:t>Applicants affected by changes to English language exemptions</w:t>
      </w:r>
      <w:bookmarkEnd w:id="64"/>
      <w:bookmarkEnd w:id="65"/>
      <w:bookmarkEnd w:id="66"/>
    </w:p>
    <w:p w:rsidR="0038783A" w:rsidRPr="005D7471" w:rsidRDefault="002168B8" w:rsidP="003C228D">
      <w:pPr>
        <w:spacing w:line="276" w:lineRule="auto"/>
      </w:pPr>
      <w:r>
        <w:t>Since</w:t>
      </w:r>
      <w:r w:rsidRPr="005D7471">
        <w:t xml:space="preserve"> </w:t>
      </w:r>
      <w:r w:rsidR="00FF1E8A" w:rsidRPr="005D7471">
        <w:t>1 July 2013, some applicants previously exempt from the English language provisions on the basis of their nominated occupation</w:t>
      </w:r>
      <w:r w:rsidR="00745D9A" w:rsidRPr="005D7471">
        <w:t>,</w:t>
      </w:r>
      <w:r w:rsidR="00FF1E8A" w:rsidRPr="005D7471">
        <w:t xml:space="preserve"> </w:t>
      </w:r>
      <w:r w:rsidR="00C43FEF" w:rsidRPr="005D7471">
        <w:t>have been required to</w:t>
      </w:r>
      <w:r w:rsidR="00FF1E8A" w:rsidRPr="005D7471">
        <w:t xml:space="preserve"> </w:t>
      </w:r>
      <w:r w:rsidRPr="005D7471">
        <w:t xml:space="preserve">provide test results </w:t>
      </w:r>
      <w:r>
        <w:t xml:space="preserve">to </w:t>
      </w:r>
      <w:r w:rsidR="00A7035D" w:rsidRPr="005D7471">
        <w:t>demonstrate</w:t>
      </w:r>
      <w:r w:rsidR="00FF1E8A" w:rsidRPr="005D7471">
        <w:t xml:space="preserve"> </w:t>
      </w:r>
      <w:r>
        <w:t xml:space="preserve">their </w:t>
      </w:r>
      <w:r w:rsidR="00FF1E8A" w:rsidRPr="005D7471">
        <w:t>English</w:t>
      </w:r>
      <w:r w:rsidR="00EC755D" w:rsidRPr="005D7471">
        <w:t xml:space="preserve"> language </w:t>
      </w:r>
      <w:r>
        <w:t>ability</w:t>
      </w:r>
      <w:r w:rsidR="00EC755D" w:rsidRPr="005D7471">
        <w:t>.</w:t>
      </w:r>
    </w:p>
    <w:p w:rsidR="00FD2F8D" w:rsidRPr="005D7471" w:rsidRDefault="00042D20" w:rsidP="003C228D">
      <w:pPr>
        <w:spacing w:line="276" w:lineRule="auto"/>
        <w:rPr>
          <w:rFonts w:cs="Arial"/>
        </w:rPr>
      </w:pPr>
      <w:r w:rsidRPr="005D7471">
        <w:rPr>
          <w:rFonts w:cs="Arial"/>
        </w:rPr>
        <w:t>In 2012</w:t>
      </w:r>
      <w:r w:rsidR="00D20D95" w:rsidRPr="005D7471">
        <w:rPr>
          <w:rFonts w:cs="Arial"/>
        </w:rPr>
        <w:t>–</w:t>
      </w:r>
      <w:r w:rsidRPr="005D7471">
        <w:rPr>
          <w:rFonts w:cs="Arial"/>
        </w:rPr>
        <w:t>13</w:t>
      </w:r>
      <w:r w:rsidR="00745D9A" w:rsidRPr="005D7471">
        <w:rPr>
          <w:rFonts w:cs="Arial"/>
        </w:rPr>
        <w:t>,</w:t>
      </w:r>
      <w:r w:rsidRPr="005D7471">
        <w:rPr>
          <w:rFonts w:cs="Arial"/>
        </w:rPr>
        <w:t xml:space="preserve"> approximately</w:t>
      </w:r>
      <w:r w:rsidR="006930AE" w:rsidRPr="005D7471">
        <w:rPr>
          <w:rFonts w:cs="Arial"/>
        </w:rPr>
        <w:t xml:space="preserve"> 16</w:t>
      </w:r>
      <w:r w:rsidRPr="005D7471">
        <w:rPr>
          <w:rFonts w:cs="Arial"/>
        </w:rPr>
        <w:t xml:space="preserve"> per cent of </w:t>
      </w:r>
      <w:r w:rsidR="00E02071" w:rsidRPr="005D7471">
        <w:rPr>
          <w:rFonts w:cs="Arial"/>
        </w:rPr>
        <w:t xml:space="preserve">primary </w:t>
      </w:r>
      <w:r w:rsidRPr="005D7471">
        <w:rPr>
          <w:rFonts w:cs="Arial"/>
        </w:rPr>
        <w:t>visa applicants</w:t>
      </w:r>
      <w:r w:rsidR="00C34923">
        <w:rPr>
          <w:rFonts w:cs="Arial"/>
        </w:rPr>
        <w:t xml:space="preserve"> </w:t>
      </w:r>
      <w:r w:rsidR="00C34923" w:rsidRPr="005D7471">
        <w:rPr>
          <w:rFonts w:cs="Arial"/>
        </w:rPr>
        <w:t>were required to demonstrate English language ability either by providing test results or evidence that they have completed study in English</w:t>
      </w:r>
      <w:r w:rsidR="00C34923">
        <w:rPr>
          <w:rFonts w:cs="Arial"/>
        </w:rPr>
        <w:t>.</w:t>
      </w:r>
      <w:r w:rsidR="006D75F3" w:rsidRPr="005D7471">
        <w:rPr>
          <w:rStyle w:val="FootnoteReference"/>
        </w:rPr>
        <w:footnoteReference w:id="25"/>
      </w:r>
    </w:p>
    <w:p w:rsidR="00EC755D" w:rsidRPr="005D7471" w:rsidRDefault="00EC755D" w:rsidP="003C228D">
      <w:pPr>
        <w:spacing w:line="276" w:lineRule="auto"/>
        <w:rPr>
          <w:rFonts w:cs="Arial"/>
        </w:rPr>
      </w:pPr>
      <w:r w:rsidRPr="005D7471">
        <w:t>Data on whether an applicant was exempt from English language provisions</w:t>
      </w:r>
      <w:r w:rsidR="00745D9A" w:rsidRPr="005D7471">
        <w:t>,</w:t>
      </w:r>
      <w:r w:rsidRPr="005D7471">
        <w:t xml:space="preserve"> or provided English language test results was not captured by </w:t>
      </w:r>
      <w:r w:rsidR="00745D9A" w:rsidRPr="005D7471">
        <w:t xml:space="preserve">the </w:t>
      </w:r>
      <w:r w:rsidR="00472B26" w:rsidRPr="005D7471">
        <w:t>D</w:t>
      </w:r>
      <w:r w:rsidRPr="005D7471">
        <w:t>epartment</w:t>
      </w:r>
      <w:r w:rsidR="00745D9A" w:rsidRPr="005D7471">
        <w:t>’s</w:t>
      </w:r>
      <w:r w:rsidRPr="005D7471">
        <w:t xml:space="preserve"> systems. </w:t>
      </w:r>
    </w:p>
    <w:p w:rsidR="00BE59C7" w:rsidRPr="005D7471" w:rsidRDefault="00DA2F5D" w:rsidP="003C228D">
      <w:pPr>
        <w:pStyle w:val="Heading3"/>
        <w:spacing w:before="360" w:beforeAutospacing="0"/>
      </w:pPr>
      <w:bookmarkStart w:id="67" w:name="_Toc444499136"/>
      <w:r>
        <w:t xml:space="preserve">Regulatory </w:t>
      </w:r>
      <w:r w:rsidR="00C74E02" w:rsidRPr="005D7471">
        <w:t>Impact</w:t>
      </w:r>
      <w:bookmarkEnd w:id="67"/>
    </w:p>
    <w:p w:rsidR="003F0FE3" w:rsidRPr="005D7471" w:rsidRDefault="003F0FE3" w:rsidP="003C228D">
      <w:pPr>
        <w:spacing w:line="276" w:lineRule="auto"/>
      </w:pPr>
      <w:r w:rsidRPr="005D7471">
        <w:lastRenderedPageBreak/>
        <w:t xml:space="preserve">As shown in table </w:t>
      </w:r>
      <w:r w:rsidR="00E76EF1" w:rsidRPr="005D7471">
        <w:t>6</w:t>
      </w:r>
      <w:r w:rsidR="00745D9A" w:rsidRPr="005D7471">
        <w:t>,</w:t>
      </w:r>
      <w:r w:rsidRPr="005D7471">
        <w:t xml:space="preserve"> the regulatory impact to 457 visa applicants resulting from changes to the English language exemptions implemented in 2013 was $6.06</w:t>
      </w:r>
      <w:r w:rsidRPr="005D7471">
        <w:rPr>
          <w:color w:val="FF0000"/>
        </w:rPr>
        <w:t xml:space="preserve"> </w:t>
      </w:r>
      <w:r w:rsidRPr="005D7471">
        <w:t>million per year.</w:t>
      </w:r>
      <w:r w:rsidR="000A2E07" w:rsidRPr="005D7471">
        <w:rPr>
          <w:rStyle w:val="FootnoteReference"/>
        </w:rPr>
        <w:footnoteReference w:id="26"/>
      </w:r>
    </w:p>
    <w:p w:rsidR="003F0FE3" w:rsidRPr="005D7471" w:rsidRDefault="003F0FE3" w:rsidP="003C228D">
      <w:pPr>
        <w:pStyle w:val="Caption"/>
        <w:spacing w:line="276" w:lineRule="auto"/>
      </w:pPr>
      <w:r w:rsidRPr="005D7471">
        <w:t xml:space="preserve">Table </w:t>
      </w:r>
      <w:r w:rsidR="00E76EF1" w:rsidRPr="005D7471">
        <w:t>6</w:t>
      </w:r>
      <w:r w:rsidR="0065502B" w:rsidRPr="005D7471">
        <w:t>:</w:t>
      </w:r>
      <w:r w:rsidR="00053111" w:rsidRPr="005D7471">
        <w:t xml:space="preserve"> </w:t>
      </w:r>
      <w:r w:rsidRPr="005D7471">
        <w:t xml:space="preserve">Regulatory costs </w:t>
      </w:r>
      <w:r w:rsidR="0065502B" w:rsidRPr="005D7471">
        <w:t>of</w:t>
      </w:r>
      <w:r w:rsidRPr="005D7471">
        <w:t xml:space="preserve"> </w:t>
      </w:r>
      <w:r w:rsidR="0028068A" w:rsidRPr="005D7471">
        <w:t>English language exemptions</w:t>
      </w:r>
      <w:r w:rsidRPr="005D7471">
        <w:t xml:space="preserve"> </w:t>
      </w:r>
    </w:p>
    <w:tbl>
      <w:tblPr>
        <w:tblStyle w:val="LightList-Accent2"/>
        <w:tblW w:w="8763" w:type="dxa"/>
        <w:tblLayout w:type="fixed"/>
        <w:tblLook w:val="04A0" w:firstRow="1" w:lastRow="0" w:firstColumn="1" w:lastColumn="0" w:noHBand="0" w:noVBand="1"/>
        <w:tblCaption w:val="Regulatory burden and cost offset estimate table example"/>
        <w:tblDescription w:val="Shows an example of how to fill in the regulatory burden and cost offset estimate table for a deregulatory proposal."/>
      </w:tblPr>
      <w:tblGrid>
        <w:gridCol w:w="1752"/>
        <w:gridCol w:w="1753"/>
        <w:gridCol w:w="1752"/>
        <w:gridCol w:w="1753"/>
        <w:gridCol w:w="1753"/>
      </w:tblGrid>
      <w:tr w:rsidR="003F0FE3" w:rsidRPr="005D7471" w:rsidTr="005D45DD">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763" w:type="dxa"/>
            <w:gridSpan w:val="5"/>
            <w:noWrap/>
          </w:tcPr>
          <w:p w:rsidR="003F0FE3" w:rsidRPr="005D7471" w:rsidRDefault="003F0FE3" w:rsidP="003C228D">
            <w:pPr>
              <w:pStyle w:val="TableText"/>
              <w:spacing w:line="276" w:lineRule="auto"/>
              <w:rPr>
                <w:bCs/>
              </w:rPr>
            </w:pPr>
            <w:r w:rsidRPr="005D7471">
              <w:t>Average annual regulatory costs (from business as usual)</w:t>
            </w:r>
          </w:p>
        </w:tc>
      </w:tr>
      <w:tr w:rsidR="003F0FE3" w:rsidRPr="005D7471" w:rsidTr="00D102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52" w:type="dxa"/>
            <w:noWrap/>
          </w:tcPr>
          <w:p w:rsidR="003F0FE3" w:rsidRPr="005D7471" w:rsidRDefault="003F0FE3" w:rsidP="003C228D">
            <w:pPr>
              <w:pStyle w:val="TableText"/>
              <w:spacing w:line="276" w:lineRule="auto"/>
              <w:rPr>
                <w:b w:val="0"/>
                <w:bCs/>
              </w:rPr>
            </w:pPr>
            <w:r w:rsidRPr="005D7471">
              <w:rPr>
                <w:b w:val="0"/>
              </w:rPr>
              <w:t>Change in costs</w:t>
            </w:r>
            <w:r w:rsidRPr="005D7471">
              <w:rPr>
                <w:rFonts w:cs="Calibri"/>
                <w:b w:val="0"/>
                <w:iCs/>
              </w:rPr>
              <w:t xml:space="preserve"> ($ million)</w:t>
            </w:r>
          </w:p>
        </w:tc>
        <w:tc>
          <w:tcPr>
            <w:tcW w:w="1753" w:type="dxa"/>
            <w:noWrap/>
          </w:tcPr>
          <w:p w:rsidR="003F0FE3" w:rsidRPr="005D7471" w:rsidRDefault="003F0FE3" w:rsidP="003C228D">
            <w:pPr>
              <w:pStyle w:val="TableText"/>
              <w:spacing w:line="276" w:lineRule="auto"/>
              <w:cnfStyle w:val="000000100000" w:firstRow="0" w:lastRow="0" w:firstColumn="0" w:lastColumn="0" w:oddVBand="0" w:evenVBand="0" w:oddHBand="1" w:evenHBand="0" w:firstRowFirstColumn="0" w:firstRowLastColumn="0" w:lastRowFirstColumn="0" w:lastRowLastColumn="0"/>
            </w:pPr>
            <w:r w:rsidRPr="005D7471">
              <w:t>Business</w:t>
            </w:r>
          </w:p>
        </w:tc>
        <w:tc>
          <w:tcPr>
            <w:tcW w:w="1752" w:type="dxa"/>
            <w:noWrap/>
          </w:tcPr>
          <w:p w:rsidR="003F0FE3" w:rsidRPr="005D7471" w:rsidRDefault="003F0FE3" w:rsidP="003C228D">
            <w:pPr>
              <w:pStyle w:val="TableText"/>
              <w:spacing w:line="276" w:lineRule="auto"/>
              <w:cnfStyle w:val="000000100000" w:firstRow="0" w:lastRow="0" w:firstColumn="0" w:lastColumn="0" w:oddVBand="0" w:evenVBand="0" w:oddHBand="1" w:evenHBand="0" w:firstRowFirstColumn="0" w:firstRowLastColumn="0" w:lastRowFirstColumn="0" w:lastRowLastColumn="0"/>
            </w:pPr>
            <w:r w:rsidRPr="005D7471">
              <w:rPr>
                <w:rFonts w:cs="Calibri"/>
                <w:iCs/>
              </w:rPr>
              <w:t>Community organisations</w:t>
            </w:r>
          </w:p>
        </w:tc>
        <w:tc>
          <w:tcPr>
            <w:tcW w:w="1753" w:type="dxa"/>
            <w:noWrap/>
          </w:tcPr>
          <w:p w:rsidR="003F0FE3" w:rsidRPr="005D7471" w:rsidRDefault="003F0FE3" w:rsidP="003C228D">
            <w:pPr>
              <w:pStyle w:val="TableText"/>
              <w:spacing w:line="276" w:lineRule="auto"/>
              <w:cnfStyle w:val="000000100000" w:firstRow="0" w:lastRow="0" w:firstColumn="0" w:lastColumn="0" w:oddVBand="0" w:evenVBand="0" w:oddHBand="1" w:evenHBand="0" w:firstRowFirstColumn="0" w:firstRowLastColumn="0" w:lastRowFirstColumn="0" w:lastRowLastColumn="0"/>
            </w:pPr>
            <w:r w:rsidRPr="005D7471">
              <w:t>Individuals</w:t>
            </w:r>
          </w:p>
        </w:tc>
        <w:tc>
          <w:tcPr>
            <w:tcW w:w="1753" w:type="dxa"/>
            <w:noWrap/>
          </w:tcPr>
          <w:p w:rsidR="003F0FE3" w:rsidRPr="005D7471" w:rsidRDefault="003F0FE3" w:rsidP="003C228D">
            <w:pPr>
              <w:pStyle w:val="TableText"/>
              <w:spacing w:line="276" w:lineRule="auto"/>
              <w:cnfStyle w:val="000000100000" w:firstRow="0" w:lastRow="0" w:firstColumn="0" w:lastColumn="0" w:oddVBand="0" w:evenVBand="0" w:oddHBand="1" w:evenHBand="0" w:firstRowFirstColumn="0" w:firstRowLastColumn="0" w:lastRowFirstColumn="0" w:lastRowLastColumn="0"/>
            </w:pPr>
            <w:r w:rsidRPr="005D7471">
              <w:rPr>
                <w:rFonts w:cs="Calibri"/>
                <w:iCs/>
              </w:rPr>
              <w:t>Total change in cost</w:t>
            </w:r>
          </w:p>
        </w:tc>
      </w:tr>
      <w:tr w:rsidR="003F0FE3" w:rsidRPr="005D7471" w:rsidTr="00D102F1">
        <w:trPr>
          <w:trHeight w:val="300"/>
        </w:trPr>
        <w:tc>
          <w:tcPr>
            <w:cnfStyle w:val="001000000000" w:firstRow="0" w:lastRow="0" w:firstColumn="1" w:lastColumn="0" w:oddVBand="0" w:evenVBand="0" w:oddHBand="0" w:evenHBand="0" w:firstRowFirstColumn="0" w:firstRowLastColumn="0" w:lastRowFirstColumn="0" w:lastRowLastColumn="0"/>
            <w:tcW w:w="1752" w:type="dxa"/>
            <w:noWrap/>
          </w:tcPr>
          <w:p w:rsidR="003F0FE3" w:rsidRPr="005D7471" w:rsidRDefault="003F0FE3" w:rsidP="003C228D">
            <w:pPr>
              <w:pStyle w:val="TableText"/>
              <w:spacing w:line="276" w:lineRule="auto"/>
              <w:rPr>
                <w:b w:val="0"/>
              </w:rPr>
            </w:pPr>
            <w:r w:rsidRPr="005D7471">
              <w:rPr>
                <w:b w:val="0"/>
              </w:rPr>
              <w:t xml:space="preserve">English </w:t>
            </w:r>
            <w:r w:rsidR="00745D9A" w:rsidRPr="005D7471">
              <w:rPr>
                <w:b w:val="0"/>
              </w:rPr>
              <w:t>l</w:t>
            </w:r>
            <w:r w:rsidRPr="005D7471">
              <w:rPr>
                <w:b w:val="0"/>
              </w:rPr>
              <w:t xml:space="preserve">anguage </w:t>
            </w:r>
            <w:r w:rsidR="00745D9A" w:rsidRPr="005D7471">
              <w:rPr>
                <w:b w:val="0"/>
              </w:rPr>
              <w:t>e</w:t>
            </w:r>
            <w:r w:rsidRPr="005D7471">
              <w:rPr>
                <w:b w:val="0"/>
              </w:rPr>
              <w:t>xemptions</w:t>
            </w:r>
          </w:p>
        </w:tc>
        <w:tc>
          <w:tcPr>
            <w:tcW w:w="1753" w:type="dxa"/>
            <w:noWrap/>
          </w:tcPr>
          <w:p w:rsidR="003F0FE3" w:rsidRPr="005D7471" w:rsidRDefault="003F0FE3" w:rsidP="003C228D">
            <w:pPr>
              <w:pStyle w:val="TableText"/>
              <w:spacing w:line="276" w:lineRule="auto"/>
              <w:cnfStyle w:val="000000000000" w:firstRow="0" w:lastRow="0" w:firstColumn="0" w:lastColumn="0" w:oddVBand="0" w:evenVBand="0" w:oddHBand="0" w:evenHBand="0" w:firstRowFirstColumn="0" w:firstRowLastColumn="0" w:lastRowFirstColumn="0" w:lastRowLastColumn="0"/>
            </w:pPr>
            <w:r w:rsidRPr="005D7471">
              <w:t>$0</w:t>
            </w:r>
          </w:p>
        </w:tc>
        <w:tc>
          <w:tcPr>
            <w:tcW w:w="1752" w:type="dxa"/>
            <w:noWrap/>
          </w:tcPr>
          <w:p w:rsidR="003F0FE3" w:rsidRPr="005D7471" w:rsidRDefault="003F0FE3" w:rsidP="003C228D">
            <w:pPr>
              <w:pStyle w:val="TableText"/>
              <w:spacing w:line="276" w:lineRule="auto"/>
              <w:cnfStyle w:val="000000000000" w:firstRow="0" w:lastRow="0" w:firstColumn="0" w:lastColumn="0" w:oddVBand="0" w:evenVBand="0" w:oddHBand="0" w:evenHBand="0" w:firstRowFirstColumn="0" w:firstRowLastColumn="0" w:lastRowFirstColumn="0" w:lastRowLastColumn="0"/>
            </w:pPr>
            <w:r w:rsidRPr="005D7471">
              <w:t>$0</w:t>
            </w:r>
          </w:p>
        </w:tc>
        <w:tc>
          <w:tcPr>
            <w:tcW w:w="1753" w:type="dxa"/>
            <w:noWrap/>
          </w:tcPr>
          <w:p w:rsidR="003F0FE3" w:rsidRPr="005D7471" w:rsidRDefault="003F0FE3" w:rsidP="003C228D">
            <w:pPr>
              <w:pStyle w:val="TableText"/>
              <w:spacing w:line="276" w:lineRule="auto"/>
              <w:cnfStyle w:val="000000000000" w:firstRow="0" w:lastRow="0" w:firstColumn="0" w:lastColumn="0" w:oddVBand="0" w:evenVBand="0" w:oddHBand="0" w:evenHBand="0" w:firstRowFirstColumn="0" w:firstRowLastColumn="0" w:lastRowFirstColumn="0" w:lastRowLastColumn="0"/>
            </w:pPr>
            <w:r w:rsidRPr="005D7471">
              <w:t>$6.06</w:t>
            </w:r>
          </w:p>
        </w:tc>
        <w:tc>
          <w:tcPr>
            <w:tcW w:w="1753" w:type="dxa"/>
            <w:noWrap/>
          </w:tcPr>
          <w:p w:rsidR="003F0FE3" w:rsidRPr="005D7471" w:rsidRDefault="003F0FE3" w:rsidP="003C228D">
            <w:pPr>
              <w:pStyle w:val="TableText"/>
              <w:spacing w:line="276" w:lineRule="auto"/>
              <w:cnfStyle w:val="000000000000" w:firstRow="0" w:lastRow="0" w:firstColumn="0" w:lastColumn="0" w:oddVBand="0" w:evenVBand="0" w:oddHBand="0" w:evenHBand="0" w:firstRowFirstColumn="0" w:firstRowLastColumn="0" w:lastRowFirstColumn="0" w:lastRowLastColumn="0"/>
            </w:pPr>
            <w:r w:rsidRPr="005D7471">
              <w:t>$6.06</w:t>
            </w:r>
          </w:p>
        </w:tc>
      </w:tr>
    </w:tbl>
    <w:p w:rsidR="00D10854" w:rsidRPr="005D7471" w:rsidRDefault="009548CE" w:rsidP="003C228D">
      <w:pPr>
        <w:spacing w:line="276" w:lineRule="auto"/>
      </w:pPr>
      <w:r w:rsidRPr="005D7471">
        <w:t xml:space="preserve">While there is an additional cost to some applicants, </w:t>
      </w:r>
      <w:r w:rsidR="00D10854" w:rsidRPr="005D7471">
        <w:t xml:space="preserve">changes to the English language exemptions </w:t>
      </w:r>
      <w:r w:rsidR="006806D2">
        <w:t xml:space="preserve">appear to have </w:t>
      </w:r>
      <w:r w:rsidR="00D10854" w:rsidRPr="005D7471">
        <w:t xml:space="preserve">contributed to the reduction in the number of visas granted in the two occupations of concern: Program and Project Administrators and Specialist Managers (not elsewhere classified) shown in </w:t>
      </w:r>
      <w:r w:rsidR="00EB61CC" w:rsidRPr="005D7471">
        <w:t>t</w:t>
      </w:r>
      <w:r w:rsidR="00D10854" w:rsidRPr="005D7471">
        <w:t xml:space="preserve">able </w:t>
      </w:r>
      <w:r w:rsidR="000A2E07" w:rsidRPr="005D7471">
        <w:t>5</w:t>
      </w:r>
      <w:r w:rsidR="00D10854" w:rsidRPr="005D7471">
        <w:t>.</w:t>
      </w:r>
    </w:p>
    <w:p w:rsidR="008323B3" w:rsidRPr="005D7471" w:rsidRDefault="008323B3" w:rsidP="003C228D">
      <w:pPr>
        <w:pStyle w:val="Heading3"/>
        <w:spacing w:before="360" w:beforeAutospacing="0"/>
      </w:pPr>
      <w:bookmarkStart w:id="68" w:name="_Toc444499137"/>
      <w:r w:rsidRPr="005D7471">
        <w:t>Consultation</w:t>
      </w:r>
      <w:bookmarkEnd w:id="68"/>
    </w:p>
    <w:p w:rsidR="008323B3" w:rsidRPr="005D7471" w:rsidRDefault="008323B3" w:rsidP="003C228D">
      <w:pPr>
        <w:spacing w:line="276" w:lineRule="auto"/>
        <w:rPr>
          <w:rFonts w:cs="Arial"/>
        </w:rPr>
      </w:pPr>
      <w:r w:rsidRPr="005D7471">
        <w:t>The 457 Integrity Review</w:t>
      </w:r>
      <w:r w:rsidR="0009513E" w:rsidRPr="005D7471">
        <w:t xml:space="preserve"> </w:t>
      </w:r>
      <w:r w:rsidRPr="005D7471">
        <w:rPr>
          <w:rFonts w:cs="Arial"/>
        </w:rPr>
        <w:t>noted that:</w:t>
      </w:r>
    </w:p>
    <w:p w:rsidR="00AA0457" w:rsidRPr="006C52A7" w:rsidRDefault="00805273" w:rsidP="003C228D">
      <w:pPr>
        <w:spacing w:line="276" w:lineRule="auto"/>
        <w:ind w:left="284"/>
        <w:rPr>
          <w:rFonts w:cs="Arial"/>
          <w:i/>
        </w:rPr>
      </w:pPr>
      <w:r>
        <w:rPr>
          <w:rFonts w:cs="Arial"/>
        </w:rPr>
        <w:t>‘</w:t>
      </w:r>
      <w:r w:rsidR="008323B3" w:rsidRPr="006C52A7">
        <w:rPr>
          <w:i/>
        </w:rPr>
        <w:t xml:space="preserve">Stakeholders who support the retention of the current English language requirements state that it should not be lowered, because it is critical in ensuring good </w:t>
      </w:r>
      <w:r w:rsidR="00F7226D" w:rsidRPr="006C52A7">
        <w:rPr>
          <w:i/>
        </w:rPr>
        <w:t>OH&amp;S</w:t>
      </w:r>
      <w:r w:rsidR="00E97C14" w:rsidRPr="006C52A7">
        <w:rPr>
          <w:i/>
        </w:rPr>
        <w:t xml:space="preserve"> in the workplace, </w:t>
      </w:r>
      <w:r w:rsidR="00E97C14" w:rsidRPr="006C52A7">
        <w:rPr>
          <w:i/>
        </w:rPr>
        <w:br/>
      </w:r>
      <w:r w:rsidR="008323B3" w:rsidRPr="006C52A7">
        <w:rPr>
          <w:i/>
        </w:rPr>
        <w:t>in understanding work rights, and in reducing the potential for exploitation in the workforce. Some have also argued that the English language requirements enhance the productivity and long term employability of 457 visa holders.</w:t>
      </w:r>
    </w:p>
    <w:p w:rsidR="008323B3" w:rsidRPr="005D7471" w:rsidRDefault="001D411A" w:rsidP="003C228D">
      <w:pPr>
        <w:spacing w:line="276" w:lineRule="auto"/>
        <w:ind w:left="284"/>
        <w:rPr>
          <w:i/>
        </w:rPr>
      </w:pPr>
      <w:r w:rsidRPr="006C52A7">
        <w:rPr>
          <w:rFonts w:cs="Arial"/>
          <w:i/>
        </w:rPr>
        <w:t>Many stakeholders have advocated an exemption to English language requirement for certain occupations. There is support for an occupation based exemption for those occupations in ANZSCO Major Groups 1 and 2. Stakeholders have particularly argued that</w:t>
      </w:r>
      <w:r w:rsidR="0009513E" w:rsidRPr="006C52A7">
        <w:rPr>
          <w:rFonts w:cs="Arial"/>
          <w:i/>
        </w:rPr>
        <w:t xml:space="preserve"> the </w:t>
      </w:r>
      <w:r w:rsidRPr="006C52A7">
        <w:rPr>
          <w:rFonts w:cs="Arial"/>
          <w:i/>
        </w:rPr>
        <w:t>occupation</w:t>
      </w:r>
      <w:r w:rsidR="0009513E" w:rsidRPr="006C52A7">
        <w:rPr>
          <w:rFonts w:cs="Arial"/>
          <w:i/>
        </w:rPr>
        <w:t>s</w:t>
      </w:r>
      <w:r w:rsidRPr="006C52A7">
        <w:rPr>
          <w:rFonts w:cs="Arial"/>
          <w:i/>
        </w:rPr>
        <w:t xml:space="preserve"> of academic/researcher, where 457 visa applicants have taught, published and/or studied in English, should be exempt from </w:t>
      </w:r>
      <w:r w:rsidR="00E9170A">
        <w:rPr>
          <w:rFonts w:cs="Arial"/>
          <w:i/>
        </w:rPr>
        <w:t xml:space="preserve">English language requirements. </w:t>
      </w:r>
      <w:r w:rsidRPr="006C52A7">
        <w:rPr>
          <w:rFonts w:cs="Arial"/>
          <w:i/>
        </w:rPr>
        <w:t xml:space="preserve">Feedback also indicates that it may be appropriate for concessions to the English language requirements to be permitted where </w:t>
      </w:r>
      <w:r w:rsidR="00F7226D" w:rsidRPr="006C52A7">
        <w:rPr>
          <w:rFonts w:cs="Arial"/>
          <w:i/>
        </w:rPr>
        <w:t>appropriate</w:t>
      </w:r>
      <w:r w:rsidRPr="006C52A7">
        <w:rPr>
          <w:rFonts w:cs="Arial"/>
          <w:i/>
        </w:rPr>
        <w:t>, thus providing greater flexibility on an occupational basis</w:t>
      </w:r>
      <w:r w:rsidR="00807B73" w:rsidRPr="006C52A7">
        <w:rPr>
          <w:rFonts w:cs="Arial"/>
        </w:rPr>
        <w:t>.</w:t>
      </w:r>
      <w:r w:rsidR="006608E2">
        <w:rPr>
          <w:rFonts w:cs="Arial"/>
        </w:rPr>
        <w:t>’</w:t>
      </w:r>
      <w:r w:rsidR="008323B3" w:rsidRPr="006C52A7">
        <w:rPr>
          <w:rStyle w:val="FootnoteReference"/>
        </w:rPr>
        <w:footnoteReference w:id="27"/>
      </w:r>
    </w:p>
    <w:p w:rsidR="00C74E02" w:rsidRPr="005D7471" w:rsidRDefault="00C74E02" w:rsidP="003C228D">
      <w:pPr>
        <w:pStyle w:val="Heading3"/>
        <w:spacing w:before="360" w:beforeAutospacing="0"/>
      </w:pPr>
      <w:bookmarkStart w:id="69" w:name="_Toc444499138"/>
      <w:r w:rsidRPr="005D7471">
        <w:t>Findings</w:t>
      </w:r>
      <w:r w:rsidR="00441CF9" w:rsidRPr="005D7471">
        <w:t>—</w:t>
      </w:r>
      <w:r w:rsidRPr="005D7471">
        <w:t>net benefit</w:t>
      </w:r>
      <w:bookmarkEnd w:id="69"/>
    </w:p>
    <w:p w:rsidR="00292EEF" w:rsidRDefault="00BE2569" w:rsidP="003C228D">
      <w:pPr>
        <w:spacing w:line="276" w:lineRule="auto"/>
      </w:pPr>
      <w:r>
        <w:t>T</w:t>
      </w:r>
      <w:r w:rsidRPr="005D7471">
        <w:t xml:space="preserve">he </w:t>
      </w:r>
      <w:r>
        <w:t xml:space="preserve">removal of </w:t>
      </w:r>
      <w:r w:rsidRPr="005D7471">
        <w:t xml:space="preserve">occupation based English language exemptions </w:t>
      </w:r>
      <w:r w:rsidR="006806D2">
        <w:t xml:space="preserve">appears to </w:t>
      </w:r>
      <w:r w:rsidR="008E294D">
        <w:t>ha</w:t>
      </w:r>
      <w:r w:rsidR="006806D2">
        <w:t>ve</w:t>
      </w:r>
      <w:r w:rsidR="008E294D">
        <w:t xml:space="preserve"> </w:t>
      </w:r>
      <w:r w:rsidR="00226DE1">
        <w:t xml:space="preserve">prevented </w:t>
      </w:r>
      <w:r w:rsidR="008E294D">
        <w:t xml:space="preserve">sponsors </w:t>
      </w:r>
      <w:r w:rsidR="00226DE1">
        <w:t xml:space="preserve">from </w:t>
      </w:r>
      <w:r w:rsidR="00603B3E">
        <w:t>c</w:t>
      </w:r>
      <w:r w:rsidR="008E294D">
        <w:t>ircumvent</w:t>
      </w:r>
      <w:r w:rsidR="00226DE1">
        <w:t>ing</w:t>
      </w:r>
      <w:r w:rsidR="00603B3E">
        <w:t xml:space="preserve"> English language requirements </w:t>
      </w:r>
      <w:r w:rsidRPr="005D7471">
        <w:rPr>
          <w:rFonts w:cs="Arial"/>
        </w:rPr>
        <w:t xml:space="preserve">by misrepresenting the duties of </w:t>
      </w:r>
      <w:r w:rsidR="00E01CD4">
        <w:rPr>
          <w:rFonts w:cs="Arial"/>
        </w:rPr>
        <w:t xml:space="preserve">a nominated position. </w:t>
      </w:r>
      <w:r w:rsidR="00603B3E">
        <w:rPr>
          <w:rFonts w:cs="Arial"/>
        </w:rPr>
        <w:t>This is suggested by the decline in</w:t>
      </w:r>
      <w:r w:rsidR="00603B3E" w:rsidRPr="00603B3E">
        <w:t xml:space="preserve"> </w:t>
      </w:r>
      <w:r w:rsidR="00603B3E" w:rsidRPr="005D7471">
        <w:t>positions nominated in the occupations of Program and Project Administrators and Specialist Managers (not elsewhere classified)</w:t>
      </w:r>
      <w:r w:rsidR="00747664">
        <w:t xml:space="preserve"> shown in table 5</w:t>
      </w:r>
      <w:r w:rsidRPr="005D7471">
        <w:t>.</w:t>
      </w:r>
      <w:r w:rsidR="00E01CD4">
        <w:t xml:space="preserve"> </w:t>
      </w:r>
      <w:r w:rsidR="008E294D">
        <w:t xml:space="preserve">This </w:t>
      </w:r>
      <w:r w:rsidR="00226DE1">
        <w:t xml:space="preserve">integrity mechanism </w:t>
      </w:r>
      <w:r w:rsidR="008E294D">
        <w:t xml:space="preserve">has been at the cost of </w:t>
      </w:r>
      <w:r w:rsidR="008E294D" w:rsidRPr="005D7471">
        <w:t>$6.06 million per year</w:t>
      </w:r>
      <w:r w:rsidR="008E294D" w:rsidRPr="005D7471" w:rsidDel="00BE2569">
        <w:t xml:space="preserve"> </w:t>
      </w:r>
      <w:r w:rsidR="008E294D">
        <w:t xml:space="preserve">in </w:t>
      </w:r>
      <w:r w:rsidR="004B4BC2" w:rsidRPr="005D7471">
        <w:t xml:space="preserve">regulatory impact </w:t>
      </w:r>
      <w:r w:rsidR="008E294D">
        <w:t>on</w:t>
      </w:r>
      <w:r w:rsidR="001169A2">
        <w:t xml:space="preserve"> 457 </w:t>
      </w:r>
      <w:r w:rsidR="004B4BC2" w:rsidRPr="005D7471">
        <w:t>visa applicants</w:t>
      </w:r>
      <w:r w:rsidR="00E01CD4">
        <w:t xml:space="preserve"> and</w:t>
      </w:r>
      <w:r w:rsidR="005F17FA" w:rsidRPr="005D7471">
        <w:t xml:space="preserve"> </w:t>
      </w:r>
      <w:r w:rsidR="00226DE1">
        <w:t>is not support</w:t>
      </w:r>
      <w:r w:rsidR="005951B9">
        <w:t>ed</w:t>
      </w:r>
      <w:r w:rsidR="00226DE1">
        <w:t xml:space="preserve"> by all stakeholders</w:t>
      </w:r>
      <w:r w:rsidR="005F17FA" w:rsidRPr="005D7471">
        <w:t>.</w:t>
      </w:r>
    </w:p>
    <w:p w:rsidR="00292EEF" w:rsidRDefault="00292EEF">
      <w:pPr>
        <w:spacing w:before="0" w:after="200" w:line="276" w:lineRule="auto"/>
      </w:pPr>
      <w:r>
        <w:br w:type="page"/>
      </w:r>
    </w:p>
    <w:p w:rsidR="00CE6E15" w:rsidRPr="005D7471" w:rsidRDefault="00F420DA" w:rsidP="003C228D">
      <w:pPr>
        <w:pStyle w:val="Heading2"/>
        <w:numPr>
          <w:ilvl w:val="0"/>
          <w:numId w:val="31"/>
        </w:numPr>
      </w:pPr>
      <w:bookmarkStart w:id="70" w:name="_Toc430181397"/>
      <w:bookmarkStart w:id="71" w:name="_Toc444499139"/>
      <w:r w:rsidRPr="005D7471">
        <w:lastRenderedPageBreak/>
        <w:t>Labour market t</w:t>
      </w:r>
      <w:r w:rsidR="00CE6E15" w:rsidRPr="005D7471">
        <w:t>esting</w:t>
      </w:r>
      <w:bookmarkEnd w:id="70"/>
      <w:r w:rsidR="00441CF9" w:rsidRPr="005D7471">
        <w:t xml:space="preserve"> (LMT)</w:t>
      </w:r>
      <w:bookmarkEnd w:id="71"/>
    </w:p>
    <w:p w:rsidR="00CE6E15" w:rsidRDefault="00CE6E15" w:rsidP="003C228D">
      <w:pPr>
        <w:spacing w:line="276" w:lineRule="auto"/>
      </w:pPr>
      <w:r w:rsidRPr="005D7471">
        <w:t>To address concerns some sponsors were accessing the 457 programme without giving due consideration to the Australian labour market</w:t>
      </w:r>
      <w:r w:rsidR="00213355" w:rsidRPr="005D7471">
        <w:t xml:space="preserve">, the November 2013 amendments </w:t>
      </w:r>
      <w:r w:rsidRPr="005D7471">
        <w:t>requir</w:t>
      </w:r>
      <w:r w:rsidR="00874C8A" w:rsidRPr="005D7471">
        <w:t>e</w:t>
      </w:r>
      <w:r w:rsidR="00FF1B37" w:rsidRPr="005D7471">
        <w:t>d</w:t>
      </w:r>
      <w:r w:rsidRPr="005D7471">
        <w:t xml:space="preserve"> employers to </w:t>
      </w:r>
      <w:r w:rsidR="001341EF" w:rsidRPr="005D7471">
        <w:t>provide evidence they had tested the Australian labo</w:t>
      </w:r>
      <w:r w:rsidR="000E233E">
        <w:t>ur market prior to sponsoring a </w:t>
      </w:r>
      <w:r w:rsidR="001341EF" w:rsidRPr="005D7471">
        <w:t>worker under the 457 programme.</w:t>
      </w:r>
    </w:p>
    <w:p w:rsidR="008A5839" w:rsidRPr="005D7471" w:rsidRDefault="00BB5620" w:rsidP="003C228D">
      <w:pPr>
        <w:spacing w:line="276" w:lineRule="auto"/>
      </w:pPr>
      <w:r w:rsidRPr="005D7471">
        <w:t>The</w:t>
      </w:r>
      <w:r w:rsidR="00CE6E15" w:rsidRPr="005D7471">
        <w:t xml:space="preserve"> </w:t>
      </w:r>
      <w:r w:rsidR="00CE6E15" w:rsidRPr="005D7471">
        <w:rPr>
          <w:i/>
        </w:rPr>
        <w:t>Migration Amendment (Temp</w:t>
      </w:r>
      <w:r w:rsidRPr="005D7471">
        <w:rPr>
          <w:i/>
        </w:rPr>
        <w:t>orary Sponsored Visas) Act 2013</w:t>
      </w:r>
      <w:r w:rsidR="008A5839" w:rsidRPr="005D7471">
        <w:t xml:space="preserve"> initially</w:t>
      </w:r>
      <w:r w:rsidRPr="005D7471">
        <w:t xml:space="preserve"> proposed </w:t>
      </w:r>
      <w:r w:rsidR="00441CF9" w:rsidRPr="005D7471">
        <w:t xml:space="preserve">mandatory </w:t>
      </w:r>
      <w:r w:rsidRPr="005D7471">
        <w:t>LMT for all technician and trade workers</w:t>
      </w:r>
      <w:r w:rsidR="00441CF9" w:rsidRPr="005D7471">
        <w:t>,</w:t>
      </w:r>
      <w:r w:rsidRPr="005D7471">
        <w:t xml:space="preserve"> with discretion to apply </w:t>
      </w:r>
      <w:r w:rsidR="008A5839" w:rsidRPr="005D7471">
        <w:t>them to other occupations.</w:t>
      </w:r>
      <w:r w:rsidR="00FD6469">
        <w:t xml:space="preserve"> </w:t>
      </w:r>
      <w:r w:rsidR="008A5839" w:rsidRPr="005D7471">
        <w:t>This</w:t>
      </w:r>
      <w:r w:rsidRPr="005D7471">
        <w:t xml:space="preserve"> </w:t>
      </w:r>
      <w:r w:rsidR="00CE6E15" w:rsidRPr="005D7471">
        <w:t>generated considerable debate in the House of Representatives</w:t>
      </w:r>
      <w:r w:rsidR="00441CF9" w:rsidRPr="005D7471">
        <w:t>.</w:t>
      </w:r>
      <w:r w:rsidR="00CE6E15" w:rsidRPr="005D7471">
        <w:t xml:space="preserve"> </w:t>
      </w:r>
      <w:r w:rsidR="00441CF9" w:rsidRPr="005D7471">
        <w:t>F</w:t>
      </w:r>
      <w:r w:rsidR="00CE6E15" w:rsidRPr="005D7471">
        <w:t xml:space="preserve">inal </w:t>
      </w:r>
      <w:r w:rsidR="003D4A66">
        <w:t xml:space="preserve">amendments provided </w:t>
      </w:r>
      <w:r w:rsidR="00441CF9" w:rsidRPr="005D7471">
        <w:t>for:</w:t>
      </w:r>
    </w:p>
    <w:p w:rsidR="00533D05" w:rsidRPr="005D7471" w:rsidRDefault="008A5839" w:rsidP="003C228D">
      <w:pPr>
        <w:pStyle w:val="Bulletlist-level1"/>
        <w:spacing w:after="0" w:line="276" w:lineRule="auto"/>
        <w:rPr>
          <w:rFonts w:cs="Arial"/>
        </w:rPr>
      </w:pPr>
      <w:r w:rsidRPr="005D7471">
        <w:t xml:space="preserve">mandatory </w:t>
      </w:r>
      <w:r w:rsidR="00CE6E15" w:rsidRPr="005D7471">
        <w:t>LMT</w:t>
      </w:r>
      <w:r w:rsidRPr="005D7471">
        <w:t xml:space="preserve"> </w:t>
      </w:r>
      <w:r w:rsidR="00CE6E15" w:rsidRPr="005D7471">
        <w:t>for engineering and nursing occupations</w:t>
      </w:r>
    </w:p>
    <w:p w:rsidR="008A5839" w:rsidRPr="005D7471" w:rsidRDefault="008A5839" w:rsidP="003C228D">
      <w:pPr>
        <w:pStyle w:val="Bulletlist-level1"/>
        <w:spacing w:after="0" w:line="276" w:lineRule="auto"/>
        <w:rPr>
          <w:rFonts w:cs="Arial"/>
        </w:rPr>
      </w:pPr>
      <w:proofErr w:type="gramStart"/>
      <w:r w:rsidRPr="005D7471">
        <w:t>legally</w:t>
      </w:r>
      <w:proofErr w:type="gramEnd"/>
      <w:r w:rsidRPr="005D7471">
        <w:t xml:space="preserve"> binding exceptions i</w:t>
      </w:r>
      <w:r w:rsidR="00CE6E15" w:rsidRPr="005D7471">
        <w:t xml:space="preserve">f the nomination was for a </w:t>
      </w:r>
      <w:r w:rsidR="00441CF9" w:rsidRPr="005D7471">
        <w:t>W</w:t>
      </w:r>
      <w:r w:rsidR="00CE6E15" w:rsidRPr="005D7471">
        <w:t>ork</w:t>
      </w:r>
      <w:r w:rsidR="00BB5620" w:rsidRPr="005D7471">
        <w:t xml:space="preserve">ing </w:t>
      </w:r>
      <w:r w:rsidR="00441CF9" w:rsidRPr="005D7471">
        <w:t>H</w:t>
      </w:r>
      <w:r w:rsidR="00BB5620" w:rsidRPr="005D7471">
        <w:t>oliday visa</w:t>
      </w:r>
      <w:r w:rsidR="003D4A66">
        <w:t xml:space="preserve"> </w:t>
      </w:r>
      <w:r w:rsidR="00441CF9" w:rsidRPr="005D7471">
        <w:t>(subclass 417)</w:t>
      </w:r>
      <w:r w:rsidR="00BB5620" w:rsidRPr="005D7471">
        <w:t xml:space="preserve"> </w:t>
      </w:r>
      <w:r w:rsidR="00CE6E15" w:rsidRPr="005D7471">
        <w:t>employed in the agricultural secto</w:t>
      </w:r>
      <w:r w:rsidR="00441CF9" w:rsidRPr="005D7471">
        <w:t>r.</w:t>
      </w:r>
    </w:p>
    <w:p w:rsidR="00321501" w:rsidRPr="005D7471" w:rsidRDefault="00783056" w:rsidP="003C228D">
      <w:pPr>
        <w:spacing w:after="0" w:line="276" w:lineRule="auto"/>
        <w:rPr>
          <w:rFonts w:cs="Arial"/>
        </w:rPr>
      </w:pPr>
      <w:r w:rsidRPr="005D7471">
        <w:rPr>
          <w:rFonts w:cs="Arial"/>
        </w:rPr>
        <w:t>The LMT provisions implemented o</w:t>
      </w:r>
      <w:r w:rsidR="00321501" w:rsidRPr="005D7471">
        <w:rPr>
          <w:rFonts w:cs="Arial"/>
        </w:rPr>
        <w:t>n 2</w:t>
      </w:r>
      <w:r w:rsidRPr="005D7471">
        <w:rPr>
          <w:rFonts w:cs="Arial"/>
        </w:rPr>
        <w:t>3</w:t>
      </w:r>
      <w:r w:rsidR="00321501" w:rsidRPr="005D7471">
        <w:rPr>
          <w:rFonts w:cs="Arial"/>
        </w:rPr>
        <w:t xml:space="preserve"> November 2013</w:t>
      </w:r>
      <w:r w:rsidR="00533D05" w:rsidRPr="005D7471">
        <w:rPr>
          <w:rFonts w:cs="Arial"/>
        </w:rPr>
        <w:t xml:space="preserve"> apply predominantly to technicians, trades workers, engineers</w:t>
      </w:r>
      <w:r w:rsidR="00441CF9" w:rsidRPr="005D7471">
        <w:rPr>
          <w:rFonts w:cs="Arial"/>
        </w:rPr>
        <w:t>,</w:t>
      </w:r>
      <w:r w:rsidR="00533D05" w:rsidRPr="005D7471">
        <w:rPr>
          <w:rFonts w:cs="Arial"/>
        </w:rPr>
        <w:t xml:space="preserve"> and nurses. </w:t>
      </w:r>
      <w:r w:rsidR="00B635BF" w:rsidRPr="005D7471">
        <w:rPr>
          <w:rFonts w:cs="Arial"/>
        </w:rPr>
        <w:t>Other</w:t>
      </w:r>
      <w:r w:rsidR="0023526F" w:rsidRPr="005D7471">
        <w:rPr>
          <w:rFonts w:cs="Arial"/>
        </w:rPr>
        <w:t xml:space="preserve"> mandatory</w:t>
      </w:r>
      <w:r w:rsidR="00B635BF" w:rsidRPr="005D7471">
        <w:rPr>
          <w:rFonts w:cs="Arial"/>
        </w:rPr>
        <w:t xml:space="preserve"> e</w:t>
      </w:r>
      <w:r w:rsidR="00533D05" w:rsidRPr="005D7471">
        <w:rPr>
          <w:rFonts w:cs="Arial"/>
        </w:rPr>
        <w:t>xemptions</w:t>
      </w:r>
      <w:r w:rsidR="00C36079">
        <w:rPr>
          <w:rFonts w:cs="Arial"/>
        </w:rPr>
        <w:t xml:space="preserve"> </w:t>
      </w:r>
      <w:r w:rsidR="00533D05" w:rsidRPr="005D7471">
        <w:rPr>
          <w:rFonts w:cs="Arial"/>
        </w:rPr>
        <w:t>included</w:t>
      </w:r>
      <w:r w:rsidR="00321501" w:rsidRPr="005D7471">
        <w:rPr>
          <w:rFonts w:cs="Arial"/>
        </w:rPr>
        <w:t>:</w:t>
      </w:r>
    </w:p>
    <w:p w:rsidR="00321501" w:rsidRPr="005D7471" w:rsidRDefault="00321501" w:rsidP="003C228D">
      <w:pPr>
        <w:pStyle w:val="Bullet-level1"/>
        <w:spacing w:line="276" w:lineRule="auto"/>
      </w:pPr>
      <w:r w:rsidRPr="005D7471">
        <w:t xml:space="preserve">nominations under </w:t>
      </w:r>
      <w:r w:rsidR="00B635BF" w:rsidRPr="005D7471">
        <w:t>l</w:t>
      </w:r>
      <w:r w:rsidRPr="005D7471">
        <w:t xml:space="preserve">abour </w:t>
      </w:r>
      <w:r w:rsidR="00B635BF" w:rsidRPr="005D7471">
        <w:t xml:space="preserve">agreements (the Australian labour market </w:t>
      </w:r>
      <w:r w:rsidR="0023526F" w:rsidRPr="005D7471">
        <w:t>was</w:t>
      </w:r>
      <w:r w:rsidR="00B635BF" w:rsidRPr="005D7471">
        <w:t xml:space="preserve"> considered when </w:t>
      </w:r>
      <w:r w:rsidR="0023526F" w:rsidRPr="005D7471">
        <w:t xml:space="preserve">these </w:t>
      </w:r>
      <w:r w:rsidR="00B635BF" w:rsidRPr="005D7471">
        <w:t>agreements</w:t>
      </w:r>
      <w:r w:rsidR="0023526F" w:rsidRPr="005D7471">
        <w:t xml:space="preserve"> were negotiated</w:t>
      </w:r>
      <w:r w:rsidR="00B635BF" w:rsidRPr="005D7471">
        <w:t>)</w:t>
      </w:r>
    </w:p>
    <w:p w:rsidR="00321501" w:rsidRPr="005D7471" w:rsidRDefault="00321501" w:rsidP="003C228D">
      <w:pPr>
        <w:pStyle w:val="Bullet-level1"/>
        <w:spacing w:line="276" w:lineRule="auto"/>
      </w:pPr>
      <w:r w:rsidRPr="005D7471">
        <w:t xml:space="preserve">in the event </w:t>
      </w:r>
      <w:r w:rsidR="004028F5" w:rsidRPr="005D7471">
        <w:t>of</w:t>
      </w:r>
      <w:r w:rsidRPr="005D7471">
        <w:t xml:space="preserve"> a major </w:t>
      </w:r>
      <w:r w:rsidR="004028F5" w:rsidRPr="005D7471">
        <w:t>disaster</w:t>
      </w:r>
      <w:r w:rsidR="003D4A66">
        <w:t xml:space="preserve"> declared by </w:t>
      </w:r>
      <w:r w:rsidR="003D4A66" w:rsidRPr="005D7471">
        <w:t>the Minister</w:t>
      </w:r>
    </w:p>
    <w:p w:rsidR="00321501" w:rsidRPr="005D7471" w:rsidRDefault="00B635BF" w:rsidP="003C228D">
      <w:pPr>
        <w:pStyle w:val="Bullet-level1"/>
        <w:spacing w:line="276" w:lineRule="auto"/>
      </w:pPr>
      <w:proofErr w:type="gramStart"/>
      <w:r w:rsidRPr="005D7471">
        <w:t>nominations</w:t>
      </w:r>
      <w:proofErr w:type="gramEnd"/>
      <w:r w:rsidRPr="005D7471">
        <w:t xml:space="preserve"> where LMT would be inconsistent with international trade obligations of Australia</w:t>
      </w:r>
      <w:r w:rsidR="00321501" w:rsidRPr="005D7471">
        <w:t>.</w:t>
      </w:r>
    </w:p>
    <w:p w:rsidR="00DA2F5D" w:rsidRDefault="00DA2F5D" w:rsidP="00DA2F5D">
      <w:pPr>
        <w:pStyle w:val="Heading2"/>
      </w:pPr>
      <w:bookmarkStart w:id="72" w:name="_Toc444499140"/>
      <w:bookmarkStart w:id="73" w:name="_Toc430935428"/>
      <w:bookmarkStart w:id="74" w:name="_Toc430937145"/>
      <w:r>
        <w:t>Impacts</w:t>
      </w:r>
      <w:bookmarkEnd w:id="72"/>
    </w:p>
    <w:p w:rsidR="00CE6E15" w:rsidRPr="005D7471" w:rsidRDefault="00213355" w:rsidP="003C228D">
      <w:pPr>
        <w:pStyle w:val="Heading3"/>
        <w:spacing w:before="360" w:beforeAutospacing="0"/>
      </w:pPr>
      <w:bookmarkStart w:id="75" w:name="_Toc444499141"/>
      <w:r w:rsidRPr="005D7471">
        <w:t>Sponsors affected by LMT</w:t>
      </w:r>
      <w:bookmarkEnd w:id="73"/>
      <w:bookmarkEnd w:id="74"/>
      <w:bookmarkEnd w:id="75"/>
    </w:p>
    <w:p w:rsidR="003A6AB6" w:rsidRPr="005D7471" w:rsidRDefault="00213355" w:rsidP="003C228D">
      <w:pPr>
        <w:spacing w:line="276" w:lineRule="auto"/>
      </w:pPr>
      <w:r w:rsidRPr="005D7471">
        <w:t>LMT provisions apply to nominations received on or after 2</w:t>
      </w:r>
      <w:r w:rsidR="00783056" w:rsidRPr="005D7471">
        <w:t>3</w:t>
      </w:r>
      <w:r w:rsidRPr="005D7471">
        <w:t xml:space="preserve"> November 2013</w:t>
      </w:r>
      <w:r w:rsidR="00053111" w:rsidRPr="005D7471">
        <w:t xml:space="preserve">. Sponsors were </w:t>
      </w:r>
      <w:r w:rsidR="003A6AB6" w:rsidRPr="005D7471">
        <w:t>require</w:t>
      </w:r>
      <w:r w:rsidR="00FF1B37" w:rsidRPr="005D7471">
        <w:t>d</w:t>
      </w:r>
      <w:r w:rsidR="003A6AB6" w:rsidRPr="005D7471">
        <w:t xml:space="preserve"> to familiarise themselves with </w:t>
      </w:r>
      <w:r w:rsidR="00053111" w:rsidRPr="005D7471">
        <w:t xml:space="preserve">exemption </w:t>
      </w:r>
      <w:r w:rsidR="003A6AB6" w:rsidRPr="005D7471">
        <w:t xml:space="preserve">information to determine whether </w:t>
      </w:r>
      <w:r w:rsidR="00053111" w:rsidRPr="005D7471">
        <w:t xml:space="preserve">LMT </w:t>
      </w:r>
      <w:r w:rsidR="003A6AB6" w:rsidRPr="005D7471">
        <w:t>requirement</w:t>
      </w:r>
      <w:r w:rsidR="00053111" w:rsidRPr="005D7471">
        <w:t>s</w:t>
      </w:r>
      <w:r w:rsidR="003A6AB6" w:rsidRPr="005D7471">
        <w:t xml:space="preserve"> applied</w:t>
      </w:r>
      <w:r w:rsidR="00FF1B37" w:rsidRPr="005D7471">
        <w:t xml:space="preserve"> </w:t>
      </w:r>
      <w:r w:rsidR="00FD6469">
        <w:rPr>
          <w:rFonts w:cs="Arial"/>
        </w:rPr>
        <w:t>(see Appendix 2</w:t>
      </w:r>
      <w:r w:rsidR="00053111" w:rsidRPr="005D7471">
        <w:rPr>
          <w:rFonts w:cs="Arial"/>
        </w:rPr>
        <w:t>).</w:t>
      </w:r>
      <w:r w:rsidR="00053111" w:rsidRPr="005D7471">
        <w:rPr>
          <w:rFonts w:cs="Arial"/>
          <w:i/>
        </w:rPr>
        <w:t xml:space="preserve"> </w:t>
      </w:r>
      <w:r w:rsidR="00FF1B37" w:rsidRPr="005D7471">
        <w:t xml:space="preserve">This </w:t>
      </w:r>
      <w:r w:rsidR="003A6AB6" w:rsidRPr="005D7471">
        <w:t>impact</w:t>
      </w:r>
      <w:r w:rsidR="00FF1B37" w:rsidRPr="005D7471">
        <w:t>ed</w:t>
      </w:r>
      <w:r w:rsidR="003A6AB6" w:rsidRPr="005D7471">
        <w:t xml:space="preserve"> </w:t>
      </w:r>
      <w:r w:rsidR="00053111" w:rsidRPr="005D7471">
        <w:t xml:space="preserve">approximately </w:t>
      </w:r>
      <w:r w:rsidR="003A6AB6" w:rsidRPr="005D7471">
        <w:t>33</w:t>
      </w:r>
      <w:r w:rsidR="00053111" w:rsidRPr="005D7471">
        <w:t>,</w:t>
      </w:r>
      <w:r w:rsidR="003A6AB6" w:rsidRPr="005D7471">
        <w:t xml:space="preserve">000 business sponsors </w:t>
      </w:r>
      <w:r w:rsidR="00053111" w:rsidRPr="005D7471">
        <w:t>each year</w:t>
      </w:r>
      <w:r w:rsidR="00FF1B37" w:rsidRPr="005D7471">
        <w:t>.</w:t>
      </w:r>
      <w:r w:rsidR="00CE2162">
        <w:rPr>
          <w:rStyle w:val="FootnoteReference"/>
        </w:rPr>
        <w:footnoteReference w:id="28"/>
      </w:r>
    </w:p>
    <w:p w:rsidR="00213355" w:rsidRPr="005D7471" w:rsidRDefault="00020133" w:rsidP="003C228D">
      <w:pPr>
        <w:spacing w:line="276" w:lineRule="auto"/>
      </w:pPr>
      <w:r>
        <w:t>A</w:t>
      </w:r>
      <w:r w:rsidR="00FF1B37" w:rsidRPr="005D7471">
        <w:t xml:space="preserve">bout </w:t>
      </w:r>
      <w:r w:rsidR="00FB1F04" w:rsidRPr="005D7471">
        <w:t>20</w:t>
      </w:r>
      <w:r w:rsidR="00053111" w:rsidRPr="005D7471">
        <w:t>,</w:t>
      </w:r>
      <w:r w:rsidR="00FF1B37" w:rsidRPr="005D7471">
        <w:t>000</w:t>
      </w:r>
      <w:r w:rsidR="00213355" w:rsidRPr="005D7471">
        <w:t xml:space="preserve"> </w:t>
      </w:r>
      <w:r w:rsidR="00053111" w:rsidRPr="005D7471">
        <w:t xml:space="preserve">sponsors </w:t>
      </w:r>
      <w:r w:rsidR="003D4A66">
        <w:t xml:space="preserve">were required </w:t>
      </w:r>
      <w:r w:rsidR="00053111" w:rsidRPr="005D7471">
        <w:t xml:space="preserve">to provide evidence of LMT from </w:t>
      </w:r>
      <w:r w:rsidR="00213355" w:rsidRPr="005D7471">
        <w:t>23 November 2013</w:t>
      </w:r>
      <w:r w:rsidR="00FF1B37" w:rsidRPr="005D7471">
        <w:t xml:space="preserve"> to</w:t>
      </w:r>
      <w:r w:rsidR="00213355" w:rsidRPr="005D7471">
        <w:t xml:space="preserve"> 31 December 2014</w:t>
      </w:r>
      <w:r w:rsidR="00BD29E2">
        <w:t>.</w:t>
      </w:r>
      <w:r w:rsidR="00BD29E2">
        <w:rPr>
          <w:rStyle w:val="FootnoteReference"/>
        </w:rPr>
        <w:footnoteReference w:id="29"/>
      </w:r>
    </w:p>
    <w:p w:rsidR="00CE6E15" w:rsidRPr="005D7471" w:rsidRDefault="00DA2F5D" w:rsidP="003C228D">
      <w:pPr>
        <w:pStyle w:val="Heading3"/>
        <w:spacing w:before="360" w:beforeAutospacing="0"/>
      </w:pPr>
      <w:bookmarkStart w:id="76" w:name="_Toc444499142"/>
      <w:r>
        <w:t xml:space="preserve">Regulatory </w:t>
      </w:r>
      <w:r w:rsidR="00783056" w:rsidRPr="005D7471">
        <w:t>Impact</w:t>
      </w:r>
      <w:bookmarkEnd w:id="76"/>
    </w:p>
    <w:p w:rsidR="00EC2BEE" w:rsidRPr="005D7471" w:rsidRDefault="003F0FE3" w:rsidP="003C228D">
      <w:pPr>
        <w:spacing w:line="276" w:lineRule="auto"/>
        <w:rPr>
          <w:color w:val="FF0000"/>
        </w:rPr>
      </w:pPr>
      <w:r w:rsidRPr="005D7471">
        <w:t xml:space="preserve">As shown in table </w:t>
      </w:r>
      <w:r w:rsidR="00E76EF1" w:rsidRPr="005D7471">
        <w:t>9</w:t>
      </w:r>
      <w:r w:rsidRPr="005D7471">
        <w:t xml:space="preserve"> the regulatory impact resulting from </w:t>
      </w:r>
      <w:r w:rsidR="00E76EF1" w:rsidRPr="005D7471">
        <w:t xml:space="preserve">LMT provisions implemented in 2013 was $4.17 million per </w:t>
      </w:r>
      <w:r w:rsidR="00807B73" w:rsidRPr="005D7471">
        <w:t>year.</w:t>
      </w:r>
      <w:r w:rsidR="00EC2BEE" w:rsidRPr="005D7471">
        <w:rPr>
          <w:rStyle w:val="FootnoteReference"/>
        </w:rPr>
        <w:footnoteReference w:id="30"/>
      </w:r>
    </w:p>
    <w:p w:rsidR="003F0FE3" w:rsidRPr="005D7471" w:rsidRDefault="003F0FE3" w:rsidP="003C228D">
      <w:pPr>
        <w:pStyle w:val="Caption"/>
        <w:spacing w:line="276" w:lineRule="auto"/>
      </w:pPr>
      <w:r w:rsidRPr="005D7471">
        <w:t xml:space="preserve">Table </w:t>
      </w:r>
      <w:r w:rsidR="00E76EF1" w:rsidRPr="005D7471">
        <w:t>9</w:t>
      </w:r>
      <w:r w:rsidR="00BE4EC4" w:rsidRPr="005D7471">
        <w:t>:</w:t>
      </w:r>
      <w:r w:rsidRPr="005D7471">
        <w:t xml:space="preserve"> Regulatory costs </w:t>
      </w:r>
      <w:r w:rsidR="00BE4EC4" w:rsidRPr="005D7471">
        <w:t>of</w:t>
      </w:r>
      <w:r w:rsidRPr="005D7471">
        <w:t xml:space="preserve"> </w:t>
      </w:r>
      <w:r w:rsidR="00E76EF1" w:rsidRPr="005D7471">
        <w:t>LMT</w:t>
      </w:r>
      <w:r w:rsidRPr="005D7471">
        <w:t xml:space="preserve"> </w:t>
      </w:r>
    </w:p>
    <w:tbl>
      <w:tblPr>
        <w:tblStyle w:val="LightList-Accent2"/>
        <w:tblW w:w="8647" w:type="dxa"/>
        <w:tblInd w:w="108" w:type="dxa"/>
        <w:tblLayout w:type="fixed"/>
        <w:tblLook w:val="04A0" w:firstRow="1" w:lastRow="0" w:firstColumn="1" w:lastColumn="0" w:noHBand="0" w:noVBand="1"/>
        <w:tblCaption w:val="Regulatory burden and cost offset estimate table example"/>
        <w:tblDescription w:val="Shows an example of how to fill in the regulatory burden and cost offset estimate table for a deregulatory proposal."/>
      </w:tblPr>
      <w:tblGrid>
        <w:gridCol w:w="1757"/>
        <w:gridCol w:w="1758"/>
        <w:gridCol w:w="1758"/>
        <w:gridCol w:w="1758"/>
        <w:gridCol w:w="1616"/>
      </w:tblGrid>
      <w:tr w:rsidR="00ED06E4" w:rsidRPr="005D7471" w:rsidTr="005D45DD">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647" w:type="dxa"/>
            <w:gridSpan w:val="5"/>
            <w:noWrap/>
          </w:tcPr>
          <w:p w:rsidR="00ED06E4" w:rsidRPr="005D7471" w:rsidRDefault="00ED06E4" w:rsidP="003C228D">
            <w:pPr>
              <w:pStyle w:val="TableText"/>
              <w:spacing w:line="276" w:lineRule="auto"/>
              <w:rPr>
                <w:bCs/>
              </w:rPr>
            </w:pPr>
            <w:r w:rsidRPr="005D7471">
              <w:t>Average annual regulatory costs (from business as usual)</w:t>
            </w:r>
          </w:p>
        </w:tc>
      </w:tr>
      <w:tr w:rsidR="00ED06E4" w:rsidRPr="005D7471" w:rsidTr="005354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57" w:type="dxa"/>
            <w:noWrap/>
            <w:vAlign w:val="center"/>
          </w:tcPr>
          <w:p w:rsidR="00ED06E4" w:rsidRPr="005D7471" w:rsidRDefault="00ED06E4" w:rsidP="003C228D">
            <w:pPr>
              <w:pStyle w:val="TableText"/>
              <w:spacing w:line="276" w:lineRule="auto"/>
              <w:rPr>
                <w:b w:val="0"/>
                <w:bCs/>
              </w:rPr>
            </w:pPr>
            <w:r w:rsidRPr="005D7471">
              <w:rPr>
                <w:b w:val="0"/>
              </w:rPr>
              <w:t>Change in costs</w:t>
            </w:r>
            <w:r w:rsidRPr="005D7471">
              <w:rPr>
                <w:rFonts w:cs="Calibri"/>
                <w:b w:val="0"/>
                <w:iCs/>
              </w:rPr>
              <w:t xml:space="preserve"> ($ million)</w:t>
            </w:r>
          </w:p>
        </w:tc>
        <w:tc>
          <w:tcPr>
            <w:tcW w:w="1758" w:type="dxa"/>
            <w:noWrap/>
            <w:vAlign w:val="center"/>
          </w:tcPr>
          <w:p w:rsidR="00ED06E4" w:rsidRPr="005D7471" w:rsidRDefault="00ED06E4" w:rsidP="003C228D">
            <w:pPr>
              <w:pStyle w:val="TableText"/>
              <w:spacing w:line="276" w:lineRule="auto"/>
              <w:cnfStyle w:val="000000100000" w:firstRow="0" w:lastRow="0" w:firstColumn="0" w:lastColumn="0" w:oddVBand="0" w:evenVBand="0" w:oddHBand="1" w:evenHBand="0" w:firstRowFirstColumn="0" w:firstRowLastColumn="0" w:lastRowFirstColumn="0" w:lastRowLastColumn="0"/>
            </w:pPr>
            <w:r w:rsidRPr="005D7471">
              <w:t>Business</w:t>
            </w:r>
          </w:p>
        </w:tc>
        <w:tc>
          <w:tcPr>
            <w:tcW w:w="1758" w:type="dxa"/>
            <w:noWrap/>
            <w:vAlign w:val="center"/>
          </w:tcPr>
          <w:p w:rsidR="00ED06E4" w:rsidRPr="005D7471" w:rsidRDefault="00ED06E4" w:rsidP="003C228D">
            <w:pPr>
              <w:pStyle w:val="TableText"/>
              <w:spacing w:line="276" w:lineRule="auto"/>
              <w:cnfStyle w:val="000000100000" w:firstRow="0" w:lastRow="0" w:firstColumn="0" w:lastColumn="0" w:oddVBand="0" w:evenVBand="0" w:oddHBand="1" w:evenHBand="0" w:firstRowFirstColumn="0" w:firstRowLastColumn="0" w:lastRowFirstColumn="0" w:lastRowLastColumn="0"/>
            </w:pPr>
            <w:r w:rsidRPr="005D7471">
              <w:rPr>
                <w:rFonts w:cs="Calibri"/>
                <w:iCs/>
              </w:rPr>
              <w:t>Community organisations</w:t>
            </w:r>
          </w:p>
        </w:tc>
        <w:tc>
          <w:tcPr>
            <w:tcW w:w="1758" w:type="dxa"/>
            <w:noWrap/>
            <w:vAlign w:val="center"/>
          </w:tcPr>
          <w:p w:rsidR="00ED06E4" w:rsidRPr="005D7471" w:rsidRDefault="00ED06E4" w:rsidP="003C228D">
            <w:pPr>
              <w:pStyle w:val="TableText"/>
              <w:spacing w:line="276" w:lineRule="auto"/>
              <w:cnfStyle w:val="000000100000" w:firstRow="0" w:lastRow="0" w:firstColumn="0" w:lastColumn="0" w:oddVBand="0" w:evenVBand="0" w:oddHBand="1" w:evenHBand="0" w:firstRowFirstColumn="0" w:firstRowLastColumn="0" w:lastRowFirstColumn="0" w:lastRowLastColumn="0"/>
            </w:pPr>
            <w:r w:rsidRPr="005D7471">
              <w:t>Individuals</w:t>
            </w:r>
          </w:p>
        </w:tc>
        <w:tc>
          <w:tcPr>
            <w:tcW w:w="1616" w:type="dxa"/>
            <w:noWrap/>
            <w:vAlign w:val="center"/>
          </w:tcPr>
          <w:p w:rsidR="00ED06E4" w:rsidRPr="005D7471" w:rsidRDefault="00ED06E4" w:rsidP="003C228D">
            <w:pPr>
              <w:pStyle w:val="TableText"/>
              <w:spacing w:line="276" w:lineRule="auto"/>
              <w:cnfStyle w:val="000000100000" w:firstRow="0" w:lastRow="0" w:firstColumn="0" w:lastColumn="0" w:oddVBand="0" w:evenVBand="0" w:oddHBand="1" w:evenHBand="0" w:firstRowFirstColumn="0" w:firstRowLastColumn="0" w:lastRowFirstColumn="0" w:lastRowLastColumn="0"/>
            </w:pPr>
            <w:r w:rsidRPr="005D7471">
              <w:rPr>
                <w:rFonts w:cs="Calibri"/>
                <w:iCs/>
              </w:rPr>
              <w:t>Total change in cost</w:t>
            </w:r>
          </w:p>
        </w:tc>
      </w:tr>
      <w:tr w:rsidR="00ED06E4" w:rsidRPr="005D7471" w:rsidTr="005354BE">
        <w:trPr>
          <w:trHeight w:val="300"/>
        </w:trPr>
        <w:tc>
          <w:tcPr>
            <w:cnfStyle w:val="001000000000" w:firstRow="0" w:lastRow="0" w:firstColumn="1" w:lastColumn="0" w:oddVBand="0" w:evenVBand="0" w:oddHBand="0" w:evenHBand="0" w:firstRowFirstColumn="0" w:firstRowLastColumn="0" w:lastRowFirstColumn="0" w:lastRowLastColumn="0"/>
            <w:tcW w:w="1757" w:type="dxa"/>
            <w:noWrap/>
            <w:vAlign w:val="center"/>
          </w:tcPr>
          <w:p w:rsidR="00ED06E4" w:rsidRPr="005D7471" w:rsidRDefault="00ED06E4" w:rsidP="003C228D">
            <w:pPr>
              <w:pStyle w:val="TableText"/>
              <w:spacing w:line="276" w:lineRule="auto"/>
              <w:rPr>
                <w:b w:val="0"/>
                <w:bCs/>
              </w:rPr>
            </w:pPr>
            <w:r w:rsidRPr="005D7471">
              <w:rPr>
                <w:b w:val="0"/>
              </w:rPr>
              <w:t xml:space="preserve">Labour market </w:t>
            </w:r>
            <w:r w:rsidRPr="005D7471">
              <w:rPr>
                <w:b w:val="0"/>
              </w:rPr>
              <w:lastRenderedPageBreak/>
              <w:t>testing</w:t>
            </w:r>
          </w:p>
        </w:tc>
        <w:tc>
          <w:tcPr>
            <w:tcW w:w="1758" w:type="dxa"/>
            <w:noWrap/>
            <w:vAlign w:val="center"/>
          </w:tcPr>
          <w:p w:rsidR="00ED06E4" w:rsidRPr="005D7471" w:rsidRDefault="00ED06E4" w:rsidP="003C228D">
            <w:pPr>
              <w:pStyle w:val="TableText"/>
              <w:spacing w:line="276" w:lineRule="auto"/>
              <w:cnfStyle w:val="000000000000" w:firstRow="0" w:lastRow="0" w:firstColumn="0" w:lastColumn="0" w:oddVBand="0" w:evenVBand="0" w:oddHBand="0" w:evenHBand="0" w:firstRowFirstColumn="0" w:firstRowLastColumn="0" w:lastRowFirstColumn="0" w:lastRowLastColumn="0"/>
              <w:rPr>
                <w:rFonts w:cs="Calibri"/>
                <w:iCs/>
              </w:rPr>
            </w:pPr>
            <w:r w:rsidRPr="005D7471">
              <w:lastRenderedPageBreak/>
              <w:t>$4.17</w:t>
            </w:r>
          </w:p>
        </w:tc>
        <w:tc>
          <w:tcPr>
            <w:tcW w:w="1758" w:type="dxa"/>
            <w:noWrap/>
            <w:vAlign w:val="center"/>
          </w:tcPr>
          <w:p w:rsidR="00ED06E4" w:rsidRPr="005D7471" w:rsidRDefault="00ED06E4" w:rsidP="003C228D">
            <w:pPr>
              <w:pStyle w:val="TableText"/>
              <w:spacing w:line="276" w:lineRule="auto"/>
              <w:cnfStyle w:val="000000000000" w:firstRow="0" w:lastRow="0" w:firstColumn="0" w:lastColumn="0" w:oddVBand="0" w:evenVBand="0" w:oddHBand="0" w:evenHBand="0" w:firstRowFirstColumn="0" w:firstRowLastColumn="0" w:lastRowFirstColumn="0" w:lastRowLastColumn="0"/>
              <w:rPr>
                <w:rFonts w:cs="Calibri"/>
                <w:iCs/>
              </w:rPr>
            </w:pPr>
            <w:r w:rsidRPr="005D7471">
              <w:t>$0</w:t>
            </w:r>
          </w:p>
        </w:tc>
        <w:tc>
          <w:tcPr>
            <w:tcW w:w="1758" w:type="dxa"/>
            <w:noWrap/>
            <w:vAlign w:val="center"/>
          </w:tcPr>
          <w:p w:rsidR="00ED06E4" w:rsidRPr="005D7471" w:rsidRDefault="00ED06E4" w:rsidP="003C228D">
            <w:pPr>
              <w:pStyle w:val="TableText"/>
              <w:spacing w:line="276" w:lineRule="auto"/>
              <w:cnfStyle w:val="000000000000" w:firstRow="0" w:lastRow="0" w:firstColumn="0" w:lastColumn="0" w:oddVBand="0" w:evenVBand="0" w:oddHBand="0" w:evenHBand="0" w:firstRowFirstColumn="0" w:firstRowLastColumn="0" w:lastRowFirstColumn="0" w:lastRowLastColumn="0"/>
              <w:rPr>
                <w:rFonts w:cs="Calibri"/>
                <w:iCs/>
              </w:rPr>
            </w:pPr>
            <w:r w:rsidRPr="005D7471">
              <w:t>$0</w:t>
            </w:r>
          </w:p>
        </w:tc>
        <w:tc>
          <w:tcPr>
            <w:tcW w:w="1616" w:type="dxa"/>
            <w:noWrap/>
            <w:vAlign w:val="center"/>
          </w:tcPr>
          <w:p w:rsidR="00ED06E4" w:rsidRPr="005D7471" w:rsidRDefault="00ED06E4" w:rsidP="003C228D">
            <w:pPr>
              <w:pStyle w:val="TableText"/>
              <w:spacing w:line="276" w:lineRule="auto"/>
              <w:cnfStyle w:val="000000000000" w:firstRow="0" w:lastRow="0" w:firstColumn="0" w:lastColumn="0" w:oddVBand="0" w:evenVBand="0" w:oddHBand="0" w:evenHBand="0" w:firstRowFirstColumn="0" w:firstRowLastColumn="0" w:lastRowFirstColumn="0" w:lastRowLastColumn="0"/>
              <w:rPr>
                <w:rFonts w:cs="Calibri"/>
                <w:iCs/>
              </w:rPr>
            </w:pPr>
            <w:r w:rsidRPr="005D7471">
              <w:t>$4.17</w:t>
            </w:r>
          </w:p>
        </w:tc>
      </w:tr>
    </w:tbl>
    <w:p w:rsidR="002973F0" w:rsidRPr="005D7471" w:rsidRDefault="002973F0" w:rsidP="003C228D">
      <w:pPr>
        <w:pStyle w:val="Heading3"/>
        <w:spacing w:before="360" w:beforeAutospacing="0"/>
      </w:pPr>
      <w:bookmarkStart w:id="77" w:name="_Toc444499143"/>
      <w:bookmarkStart w:id="78" w:name="_Toc430935430"/>
      <w:bookmarkStart w:id="79" w:name="_Toc430937147"/>
      <w:r w:rsidRPr="005D7471">
        <w:lastRenderedPageBreak/>
        <w:t>Consultation</w:t>
      </w:r>
      <w:bookmarkEnd w:id="77"/>
    </w:p>
    <w:p w:rsidR="005E16A1" w:rsidRPr="005D7471" w:rsidRDefault="005E16A1" w:rsidP="003C228D">
      <w:pPr>
        <w:spacing w:line="276" w:lineRule="auto"/>
        <w:rPr>
          <w:rFonts w:cs="Arial"/>
        </w:rPr>
      </w:pPr>
      <w:r w:rsidRPr="005D7471">
        <w:rPr>
          <w:rFonts w:cs="Arial"/>
        </w:rPr>
        <w:t xml:space="preserve">In the 2014 survey, 13.8 per cent </w:t>
      </w:r>
      <w:r>
        <w:rPr>
          <w:rFonts w:cs="Arial"/>
        </w:rPr>
        <w:t xml:space="preserve">of respondents </w:t>
      </w:r>
      <w:r w:rsidRPr="005D7471">
        <w:rPr>
          <w:rFonts w:cs="Arial"/>
        </w:rPr>
        <w:t xml:space="preserve">indicated they would change LMT. A further eight per cent had concerns about the level of evidence required in support of the application and the time it takes to engage an employee on a 457 visa. </w:t>
      </w:r>
    </w:p>
    <w:p w:rsidR="00FD6469" w:rsidRDefault="002973F0" w:rsidP="0088148D">
      <w:pPr>
        <w:spacing w:line="276" w:lineRule="auto"/>
      </w:pPr>
      <w:r w:rsidRPr="005D7471">
        <w:rPr>
          <w:rFonts w:cs="Arial"/>
        </w:rPr>
        <w:t xml:space="preserve">There has been a mixed reaction to </w:t>
      </w:r>
      <w:r w:rsidR="00F6659A">
        <w:rPr>
          <w:rFonts w:cs="Arial"/>
        </w:rPr>
        <w:t xml:space="preserve">the </w:t>
      </w:r>
      <w:r w:rsidRPr="005D7471">
        <w:rPr>
          <w:rFonts w:cs="Arial"/>
        </w:rPr>
        <w:t xml:space="preserve">LMT provisions. </w:t>
      </w:r>
      <w:r w:rsidR="00F6659A">
        <w:rPr>
          <w:rFonts w:cs="Arial"/>
        </w:rPr>
        <w:t>T</w:t>
      </w:r>
      <w:r w:rsidRPr="005D7471">
        <w:rPr>
          <w:rFonts w:cs="Arial"/>
        </w:rPr>
        <w:t xml:space="preserve">he </w:t>
      </w:r>
      <w:r w:rsidR="00F6659A">
        <w:rPr>
          <w:rFonts w:cs="Arial"/>
        </w:rPr>
        <w:t>457 Integrity Review r</w:t>
      </w:r>
      <w:r w:rsidRPr="005D7471">
        <w:rPr>
          <w:rFonts w:cs="Arial"/>
        </w:rPr>
        <w:t>ecommended that LMT be abolished</w:t>
      </w:r>
      <w:r w:rsidR="000E233E">
        <w:rPr>
          <w:rFonts w:cs="Arial"/>
        </w:rPr>
        <w:t xml:space="preserve"> from the 457 programme</w:t>
      </w:r>
      <w:r w:rsidR="004872B3">
        <w:rPr>
          <w:rFonts w:cs="Arial"/>
        </w:rPr>
        <w:t xml:space="preserve">. </w:t>
      </w:r>
      <w:r w:rsidR="00F6659A">
        <w:rPr>
          <w:rFonts w:cs="Arial"/>
        </w:rPr>
        <w:t xml:space="preserve">The </w:t>
      </w:r>
      <w:r w:rsidRPr="005D7471">
        <w:rPr>
          <w:rFonts w:cs="Arial"/>
        </w:rPr>
        <w:t xml:space="preserve">review noted </w:t>
      </w:r>
      <w:r w:rsidR="00F6659A">
        <w:rPr>
          <w:rFonts w:cs="Arial"/>
        </w:rPr>
        <w:t xml:space="preserve">that </w:t>
      </w:r>
      <w:r w:rsidRPr="005D7471">
        <w:rPr>
          <w:rFonts w:cs="Arial"/>
        </w:rPr>
        <w:t>business</w:t>
      </w:r>
      <w:r w:rsidR="00F6659A">
        <w:rPr>
          <w:rFonts w:cs="Arial"/>
        </w:rPr>
        <w:t>es</w:t>
      </w:r>
      <w:r w:rsidRPr="005D7471">
        <w:rPr>
          <w:rFonts w:cs="Arial"/>
        </w:rPr>
        <w:t xml:space="preserve"> generally did not support LMT</w:t>
      </w:r>
      <w:r w:rsidR="004872B3">
        <w:rPr>
          <w:rFonts w:cs="Arial"/>
        </w:rPr>
        <w:t xml:space="preserve"> as they viewed it as an additional and ineffective regulatory burden. T</w:t>
      </w:r>
      <w:r w:rsidR="00F6659A">
        <w:rPr>
          <w:rFonts w:cs="Arial"/>
        </w:rPr>
        <w:t xml:space="preserve">hose </w:t>
      </w:r>
      <w:r w:rsidR="004A6860">
        <w:rPr>
          <w:rFonts w:cs="Arial"/>
        </w:rPr>
        <w:t xml:space="preserve">stakeholders </w:t>
      </w:r>
      <w:r w:rsidR="00E97C14" w:rsidRPr="005D7471">
        <w:rPr>
          <w:rFonts w:cs="Arial"/>
        </w:rPr>
        <w:t xml:space="preserve">who </w:t>
      </w:r>
      <w:r w:rsidR="00F6659A">
        <w:rPr>
          <w:rFonts w:cs="Arial"/>
        </w:rPr>
        <w:t>did</w:t>
      </w:r>
      <w:r w:rsidR="004872B3">
        <w:rPr>
          <w:rFonts w:cs="Arial"/>
        </w:rPr>
        <w:t xml:space="preserve"> support LMT</w:t>
      </w:r>
      <w:r w:rsidR="00F6659A">
        <w:rPr>
          <w:rFonts w:cs="Arial"/>
        </w:rPr>
        <w:t xml:space="preserve"> </w:t>
      </w:r>
      <w:r w:rsidRPr="005D7471">
        <w:t>had concerns that</w:t>
      </w:r>
      <w:r w:rsidR="00FD6469">
        <w:t>:</w:t>
      </w:r>
    </w:p>
    <w:p w:rsidR="002973F0" w:rsidRPr="00FD6469" w:rsidRDefault="004872B3" w:rsidP="0088148D">
      <w:pPr>
        <w:spacing w:line="276" w:lineRule="auto"/>
        <w:ind w:left="720"/>
        <w:rPr>
          <w:i/>
        </w:rPr>
      </w:pPr>
      <w:r w:rsidRPr="0088148D">
        <w:rPr>
          <w:i/>
        </w:rPr>
        <w:t>“</w:t>
      </w:r>
      <w:proofErr w:type="gramStart"/>
      <w:r w:rsidR="002973F0" w:rsidRPr="0088148D">
        <w:rPr>
          <w:i/>
        </w:rPr>
        <w:t>the</w:t>
      </w:r>
      <w:proofErr w:type="gramEnd"/>
      <w:r w:rsidR="002973F0" w:rsidRPr="0088148D">
        <w:t xml:space="preserve"> r</w:t>
      </w:r>
      <w:r w:rsidR="002973F0" w:rsidRPr="00FD6469">
        <w:rPr>
          <w:rFonts w:cs="Arial"/>
          <w:i/>
        </w:rPr>
        <w:t>equirement is poorly constructed and not stringent enough to ensure Australian workers have priority for</w:t>
      </w:r>
      <w:r w:rsidR="00807B73" w:rsidRPr="00FD6469">
        <w:rPr>
          <w:rFonts w:cs="Arial"/>
          <w:i/>
        </w:rPr>
        <w:t xml:space="preserve"> employment in Australian jobs</w:t>
      </w:r>
      <w:r w:rsidR="003344F0" w:rsidRPr="00FD6469">
        <w:rPr>
          <w:rFonts w:cs="Arial"/>
          <w:i/>
        </w:rPr>
        <w:t>”</w:t>
      </w:r>
      <w:r w:rsidR="00807B73" w:rsidRPr="00FD6469">
        <w:rPr>
          <w:rFonts w:cs="Arial"/>
          <w:i/>
        </w:rPr>
        <w:t>.</w:t>
      </w:r>
      <w:r w:rsidR="002973F0" w:rsidRPr="00FD6469">
        <w:rPr>
          <w:rStyle w:val="FootnoteReference"/>
        </w:rPr>
        <w:footnoteReference w:id="31"/>
      </w:r>
    </w:p>
    <w:p w:rsidR="00783056" w:rsidRPr="005D7471" w:rsidRDefault="00783056" w:rsidP="003C228D">
      <w:pPr>
        <w:pStyle w:val="Heading3"/>
        <w:spacing w:before="360" w:beforeAutospacing="0"/>
      </w:pPr>
      <w:bookmarkStart w:id="80" w:name="_Toc444499144"/>
      <w:r w:rsidRPr="005D7471">
        <w:t>Findings</w:t>
      </w:r>
      <w:r w:rsidR="007A6096" w:rsidRPr="005D7471">
        <w:t>—</w:t>
      </w:r>
      <w:r w:rsidRPr="005D7471">
        <w:t>net benefit</w:t>
      </w:r>
      <w:bookmarkEnd w:id="78"/>
      <w:bookmarkEnd w:id="79"/>
      <w:bookmarkEnd w:id="80"/>
    </w:p>
    <w:p w:rsidR="00DA2F5D" w:rsidRDefault="00757F97" w:rsidP="003C228D">
      <w:pPr>
        <w:spacing w:line="276" w:lineRule="auto"/>
      </w:pPr>
      <w:bookmarkStart w:id="81" w:name="_Toc430181398"/>
      <w:r>
        <w:t xml:space="preserve">As noted by the recent 457 Integrity Review, employer conducted LMT is </w:t>
      </w:r>
      <w:r w:rsidR="00C92AB4">
        <w:t xml:space="preserve">ineffective </w:t>
      </w:r>
      <w:r w:rsidR="008D5536">
        <w:t xml:space="preserve">and </w:t>
      </w:r>
      <w:r w:rsidR="008D0A50">
        <w:t>its contribution</w:t>
      </w:r>
      <w:r w:rsidR="00C92AB4" w:rsidRPr="008D0A50">
        <w:t xml:space="preserve"> to integrity and compliance in the 457 programme</w:t>
      </w:r>
      <w:r w:rsidR="008D0A50">
        <w:t xml:space="preserve"> is unclear</w:t>
      </w:r>
      <w:r w:rsidR="00C92AB4" w:rsidRPr="008D0A50">
        <w:t>.</w:t>
      </w:r>
      <w:r w:rsidR="006D3EEC">
        <w:t xml:space="preserve"> </w:t>
      </w:r>
      <w:r w:rsidR="00DA2F5D">
        <w:t xml:space="preserve">The 457 Integrity Review was also critical of the LMT </w:t>
      </w:r>
      <w:r w:rsidR="00FE56FF">
        <w:t>requirement</w:t>
      </w:r>
      <w:r w:rsidR="00DA2F5D">
        <w:t xml:space="preserve"> in the 457 programme finding </w:t>
      </w:r>
      <w:r w:rsidR="00FE56FF">
        <w:t xml:space="preserve">it </w:t>
      </w:r>
      <w:r w:rsidR="00DA2F5D">
        <w:t xml:space="preserve">to be </w:t>
      </w:r>
      <w:r w:rsidR="00DA2F5D">
        <w:rPr>
          <w:rFonts w:cs="Arial"/>
        </w:rPr>
        <w:t>costly for</w:t>
      </w:r>
      <w:r w:rsidR="00B23241">
        <w:rPr>
          <w:rFonts w:cs="Arial"/>
        </w:rPr>
        <w:t xml:space="preserve"> sponsors and unnecessary red tape. The </w:t>
      </w:r>
      <w:r w:rsidR="00DA2F5D">
        <w:rPr>
          <w:rFonts w:cs="Arial"/>
        </w:rPr>
        <w:t>government noted this recommendation and remains committed to ensuring that Australians have priority in the labour market.</w:t>
      </w:r>
    </w:p>
    <w:p w:rsidR="00C4165B" w:rsidRDefault="00C4165B">
      <w:pPr>
        <w:spacing w:before="0" w:after="200" w:line="276" w:lineRule="auto"/>
      </w:pPr>
      <w:r>
        <w:br w:type="page"/>
      </w:r>
    </w:p>
    <w:p w:rsidR="00CE6E15" w:rsidRPr="005D7471" w:rsidRDefault="00CE6E15" w:rsidP="003C228D">
      <w:pPr>
        <w:pStyle w:val="Heading1"/>
        <w:spacing w:line="276" w:lineRule="auto"/>
      </w:pPr>
      <w:bookmarkStart w:id="82" w:name="_Toc444499145"/>
      <w:r w:rsidRPr="005D7471">
        <w:lastRenderedPageBreak/>
        <w:t>Conclusion</w:t>
      </w:r>
      <w:bookmarkEnd w:id="81"/>
      <w:bookmarkEnd w:id="82"/>
      <w:r w:rsidRPr="005D7471">
        <w:t xml:space="preserve"> </w:t>
      </w:r>
    </w:p>
    <w:p w:rsidR="00BE140E" w:rsidRPr="005D7471" w:rsidRDefault="007A6096" w:rsidP="003C228D">
      <w:pPr>
        <w:spacing w:line="276" w:lineRule="auto"/>
      </w:pPr>
      <w:r w:rsidRPr="005D7471">
        <w:t>T</w:t>
      </w:r>
      <w:r w:rsidR="001369BC" w:rsidRPr="005D7471">
        <w:t xml:space="preserve">able 10 </w:t>
      </w:r>
      <w:r w:rsidRPr="005D7471">
        <w:t xml:space="preserve">demonstrates </w:t>
      </w:r>
      <w:r w:rsidR="001369BC" w:rsidRPr="005D7471">
        <w:t>the total regulatory impact for the four provisions</w:t>
      </w:r>
      <w:r w:rsidR="004A23CF">
        <w:t xml:space="preserve"> under the 457 </w:t>
      </w:r>
      <w:r w:rsidRPr="005D7471">
        <w:t>programme</w:t>
      </w:r>
      <w:r w:rsidR="001369BC" w:rsidRPr="005D7471">
        <w:t xml:space="preserve"> was $10.42 million per year.</w:t>
      </w:r>
      <w:r w:rsidR="00BE140E" w:rsidRPr="005D7471">
        <w:rPr>
          <w:rStyle w:val="FootnoteReference"/>
        </w:rPr>
        <w:footnoteReference w:id="32"/>
      </w:r>
    </w:p>
    <w:p w:rsidR="003E7BEB" w:rsidRPr="005D7471" w:rsidRDefault="003E7BEB" w:rsidP="003C228D">
      <w:pPr>
        <w:pStyle w:val="Caption"/>
        <w:spacing w:line="276" w:lineRule="auto"/>
      </w:pPr>
      <w:r w:rsidRPr="005D7471">
        <w:t xml:space="preserve">Table </w:t>
      </w:r>
      <w:r w:rsidR="001369BC" w:rsidRPr="005D7471">
        <w:t>10</w:t>
      </w:r>
      <w:r w:rsidR="00BE4EC4" w:rsidRPr="005D7471">
        <w:t>:</w:t>
      </w:r>
      <w:r w:rsidRPr="005D7471">
        <w:t xml:space="preserve"> </w:t>
      </w:r>
      <w:r w:rsidR="001369BC" w:rsidRPr="005D7471">
        <w:t xml:space="preserve">Summary of </w:t>
      </w:r>
      <w:r w:rsidR="007A6096" w:rsidRPr="005D7471">
        <w:t>r</w:t>
      </w:r>
      <w:r w:rsidRPr="005D7471">
        <w:t xml:space="preserve">egulatory costs  </w:t>
      </w:r>
    </w:p>
    <w:tbl>
      <w:tblPr>
        <w:tblStyle w:val="LightList-Accent2"/>
        <w:tblW w:w="8755" w:type="dxa"/>
        <w:tblLayout w:type="fixed"/>
        <w:tblLook w:val="04A0" w:firstRow="1" w:lastRow="0" w:firstColumn="1" w:lastColumn="0" w:noHBand="0" w:noVBand="1"/>
        <w:tblCaption w:val="Regulatory burden and cost offset estimate table example"/>
        <w:tblDescription w:val="Shows an example of how to fill in the regulatory burden and cost offset estimate table for a deregulatory proposal."/>
      </w:tblPr>
      <w:tblGrid>
        <w:gridCol w:w="1751"/>
        <w:gridCol w:w="1751"/>
        <w:gridCol w:w="1751"/>
        <w:gridCol w:w="1751"/>
        <w:gridCol w:w="1751"/>
      </w:tblGrid>
      <w:tr w:rsidR="003E7BEB" w:rsidRPr="005D7471" w:rsidTr="005D45DD">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755" w:type="dxa"/>
            <w:gridSpan w:val="5"/>
            <w:noWrap/>
          </w:tcPr>
          <w:p w:rsidR="003E7BEB" w:rsidRPr="005D7471" w:rsidRDefault="003E7BEB" w:rsidP="003C228D">
            <w:pPr>
              <w:pStyle w:val="TableText"/>
              <w:spacing w:line="276" w:lineRule="auto"/>
              <w:rPr>
                <w:bCs/>
              </w:rPr>
            </w:pPr>
            <w:r w:rsidRPr="005D7471">
              <w:t>Average annual regulatory costs (from business as usual)</w:t>
            </w:r>
          </w:p>
        </w:tc>
      </w:tr>
      <w:tr w:rsidR="003E7BEB" w:rsidRPr="005D7471" w:rsidTr="009833AC">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751" w:type="dxa"/>
            <w:noWrap/>
          </w:tcPr>
          <w:p w:rsidR="003E7BEB" w:rsidRPr="005D7471" w:rsidRDefault="003E7BEB" w:rsidP="003C228D">
            <w:pPr>
              <w:pStyle w:val="TableText"/>
              <w:spacing w:line="276" w:lineRule="auto"/>
              <w:rPr>
                <w:b w:val="0"/>
                <w:bCs/>
              </w:rPr>
            </w:pPr>
            <w:r w:rsidRPr="005D7471">
              <w:rPr>
                <w:b w:val="0"/>
              </w:rPr>
              <w:t>Change in costs</w:t>
            </w:r>
            <w:r w:rsidRPr="005D7471">
              <w:rPr>
                <w:rFonts w:cs="Calibri"/>
                <w:b w:val="0"/>
                <w:iCs/>
              </w:rPr>
              <w:t xml:space="preserve"> ($ million)</w:t>
            </w:r>
          </w:p>
        </w:tc>
        <w:tc>
          <w:tcPr>
            <w:tcW w:w="1751" w:type="dxa"/>
            <w:noWrap/>
          </w:tcPr>
          <w:p w:rsidR="003E7BEB" w:rsidRPr="005D7471" w:rsidRDefault="003E7BEB" w:rsidP="003C228D">
            <w:pPr>
              <w:pStyle w:val="TableText"/>
              <w:spacing w:line="276" w:lineRule="auto"/>
              <w:cnfStyle w:val="000000100000" w:firstRow="0" w:lastRow="0" w:firstColumn="0" w:lastColumn="0" w:oddVBand="0" w:evenVBand="0" w:oddHBand="1" w:evenHBand="0" w:firstRowFirstColumn="0" w:firstRowLastColumn="0" w:lastRowFirstColumn="0" w:lastRowLastColumn="0"/>
            </w:pPr>
            <w:r w:rsidRPr="005D7471">
              <w:t>Business</w:t>
            </w:r>
          </w:p>
        </w:tc>
        <w:tc>
          <w:tcPr>
            <w:tcW w:w="1751" w:type="dxa"/>
            <w:noWrap/>
          </w:tcPr>
          <w:p w:rsidR="003E7BEB" w:rsidRPr="005D7471" w:rsidRDefault="003E7BEB" w:rsidP="003C228D">
            <w:pPr>
              <w:pStyle w:val="TableText"/>
              <w:spacing w:line="276" w:lineRule="auto"/>
              <w:cnfStyle w:val="000000100000" w:firstRow="0" w:lastRow="0" w:firstColumn="0" w:lastColumn="0" w:oddVBand="0" w:evenVBand="0" w:oddHBand="1" w:evenHBand="0" w:firstRowFirstColumn="0" w:firstRowLastColumn="0" w:lastRowFirstColumn="0" w:lastRowLastColumn="0"/>
            </w:pPr>
            <w:r w:rsidRPr="005D7471">
              <w:rPr>
                <w:rFonts w:cs="Calibri"/>
                <w:iCs/>
              </w:rPr>
              <w:t>Community organisations</w:t>
            </w:r>
          </w:p>
        </w:tc>
        <w:tc>
          <w:tcPr>
            <w:tcW w:w="1751" w:type="dxa"/>
            <w:noWrap/>
          </w:tcPr>
          <w:p w:rsidR="003E7BEB" w:rsidRPr="005D7471" w:rsidRDefault="003E7BEB" w:rsidP="003C228D">
            <w:pPr>
              <w:pStyle w:val="TableText"/>
              <w:spacing w:line="276" w:lineRule="auto"/>
              <w:cnfStyle w:val="000000100000" w:firstRow="0" w:lastRow="0" w:firstColumn="0" w:lastColumn="0" w:oddVBand="0" w:evenVBand="0" w:oddHBand="1" w:evenHBand="0" w:firstRowFirstColumn="0" w:firstRowLastColumn="0" w:lastRowFirstColumn="0" w:lastRowLastColumn="0"/>
            </w:pPr>
            <w:r w:rsidRPr="005D7471">
              <w:t>Individuals</w:t>
            </w:r>
          </w:p>
        </w:tc>
        <w:tc>
          <w:tcPr>
            <w:tcW w:w="1751" w:type="dxa"/>
            <w:noWrap/>
          </w:tcPr>
          <w:p w:rsidR="003E7BEB" w:rsidRPr="005D7471" w:rsidRDefault="003E7BEB" w:rsidP="003C228D">
            <w:pPr>
              <w:pStyle w:val="TableText"/>
              <w:spacing w:line="276" w:lineRule="auto"/>
              <w:cnfStyle w:val="000000100000" w:firstRow="0" w:lastRow="0" w:firstColumn="0" w:lastColumn="0" w:oddVBand="0" w:evenVBand="0" w:oddHBand="1" w:evenHBand="0" w:firstRowFirstColumn="0" w:firstRowLastColumn="0" w:lastRowFirstColumn="0" w:lastRowLastColumn="0"/>
            </w:pPr>
            <w:r w:rsidRPr="005D7471">
              <w:rPr>
                <w:rFonts w:cs="Calibri"/>
                <w:iCs/>
              </w:rPr>
              <w:t>Total change in cost</w:t>
            </w:r>
          </w:p>
        </w:tc>
      </w:tr>
      <w:tr w:rsidR="003E7BEB" w:rsidRPr="005D7471" w:rsidTr="009833AC">
        <w:trPr>
          <w:trHeight w:val="300"/>
        </w:trPr>
        <w:tc>
          <w:tcPr>
            <w:cnfStyle w:val="001000000000" w:firstRow="0" w:lastRow="0" w:firstColumn="1" w:lastColumn="0" w:oddVBand="0" w:evenVBand="0" w:oddHBand="0" w:evenHBand="0" w:firstRowFirstColumn="0" w:firstRowLastColumn="0" w:lastRowFirstColumn="0" w:lastRowLastColumn="0"/>
            <w:tcW w:w="1751" w:type="dxa"/>
            <w:noWrap/>
          </w:tcPr>
          <w:p w:rsidR="003E7BEB" w:rsidRPr="005D7471" w:rsidRDefault="003E7BEB" w:rsidP="003C228D">
            <w:pPr>
              <w:pStyle w:val="TableText"/>
              <w:spacing w:line="276" w:lineRule="auto"/>
              <w:rPr>
                <w:b w:val="0"/>
                <w:bCs/>
              </w:rPr>
            </w:pPr>
            <w:r w:rsidRPr="005D7471">
              <w:rPr>
                <w:b w:val="0"/>
              </w:rPr>
              <w:t xml:space="preserve">Training </w:t>
            </w:r>
            <w:r w:rsidR="007A6096" w:rsidRPr="005D7471">
              <w:rPr>
                <w:b w:val="0"/>
              </w:rPr>
              <w:t>o</w:t>
            </w:r>
            <w:r w:rsidRPr="005D7471">
              <w:rPr>
                <w:b w:val="0"/>
              </w:rPr>
              <w:t>bligation</w:t>
            </w:r>
          </w:p>
        </w:tc>
        <w:tc>
          <w:tcPr>
            <w:tcW w:w="1751" w:type="dxa"/>
            <w:noWrap/>
          </w:tcPr>
          <w:p w:rsidR="003E7BEB" w:rsidRPr="005D7471" w:rsidRDefault="003E7BEB" w:rsidP="003C228D">
            <w:pPr>
              <w:pStyle w:val="TableText"/>
              <w:spacing w:line="276" w:lineRule="auto"/>
              <w:cnfStyle w:val="000000000000" w:firstRow="0" w:lastRow="0" w:firstColumn="0" w:lastColumn="0" w:oddVBand="0" w:evenVBand="0" w:oddHBand="0" w:evenHBand="0" w:firstRowFirstColumn="0" w:firstRowLastColumn="0" w:lastRowFirstColumn="0" w:lastRowLastColumn="0"/>
              <w:rPr>
                <w:rFonts w:cs="Calibri"/>
                <w:iCs/>
              </w:rPr>
            </w:pPr>
            <w:r w:rsidRPr="005D7471">
              <w:t>$0.19</w:t>
            </w:r>
          </w:p>
        </w:tc>
        <w:tc>
          <w:tcPr>
            <w:tcW w:w="1751" w:type="dxa"/>
            <w:noWrap/>
          </w:tcPr>
          <w:p w:rsidR="003E7BEB" w:rsidRPr="005D7471" w:rsidRDefault="003E7BEB" w:rsidP="003C228D">
            <w:pPr>
              <w:pStyle w:val="TableText"/>
              <w:spacing w:line="276" w:lineRule="auto"/>
              <w:cnfStyle w:val="000000000000" w:firstRow="0" w:lastRow="0" w:firstColumn="0" w:lastColumn="0" w:oddVBand="0" w:evenVBand="0" w:oddHBand="0" w:evenHBand="0" w:firstRowFirstColumn="0" w:firstRowLastColumn="0" w:lastRowFirstColumn="0" w:lastRowLastColumn="0"/>
              <w:rPr>
                <w:rFonts w:cs="Calibri"/>
                <w:iCs/>
              </w:rPr>
            </w:pPr>
            <w:r w:rsidRPr="005D7471">
              <w:t>$0</w:t>
            </w:r>
          </w:p>
        </w:tc>
        <w:tc>
          <w:tcPr>
            <w:tcW w:w="1751" w:type="dxa"/>
            <w:noWrap/>
          </w:tcPr>
          <w:p w:rsidR="003E7BEB" w:rsidRPr="005D7471" w:rsidRDefault="003E7BEB" w:rsidP="003C228D">
            <w:pPr>
              <w:pStyle w:val="TableText"/>
              <w:spacing w:line="276" w:lineRule="auto"/>
              <w:cnfStyle w:val="000000000000" w:firstRow="0" w:lastRow="0" w:firstColumn="0" w:lastColumn="0" w:oddVBand="0" w:evenVBand="0" w:oddHBand="0" w:evenHBand="0" w:firstRowFirstColumn="0" w:firstRowLastColumn="0" w:lastRowFirstColumn="0" w:lastRowLastColumn="0"/>
              <w:rPr>
                <w:rFonts w:cs="Calibri"/>
                <w:iCs/>
              </w:rPr>
            </w:pPr>
            <w:r w:rsidRPr="005D7471">
              <w:t>$0</w:t>
            </w:r>
          </w:p>
        </w:tc>
        <w:tc>
          <w:tcPr>
            <w:tcW w:w="1751" w:type="dxa"/>
            <w:noWrap/>
          </w:tcPr>
          <w:p w:rsidR="003E7BEB" w:rsidRPr="005D7471" w:rsidRDefault="003E7BEB" w:rsidP="003C228D">
            <w:pPr>
              <w:pStyle w:val="TableText"/>
              <w:spacing w:line="276" w:lineRule="auto"/>
              <w:cnfStyle w:val="000000000000" w:firstRow="0" w:lastRow="0" w:firstColumn="0" w:lastColumn="0" w:oddVBand="0" w:evenVBand="0" w:oddHBand="0" w:evenHBand="0" w:firstRowFirstColumn="0" w:firstRowLastColumn="0" w:lastRowFirstColumn="0" w:lastRowLastColumn="0"/>
              <w:rPr>
                <w:rFonts w:cs="Calibri"/>
                <w:iCs/>
              </w:rPr>
            </w:pPr>
            <w:r w:rsidRPr="005D7471">
              <w:t>$0.19</w:t>
            </w:r>
          </w:p>
        </w:tc>
      </w:tr>
      <w:tr w:rsidR="003E7BEB" w:rsidRPr="005D7471" w:rsidTr="009833A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51" w:type="dxa"/>
            <w:noWrap/>
          </w:tcPr>
          <w:p w:rsidR="003E7BEB" w:rsidRPr="005D7471" w:rsidRDefault="003E7BEB" w:rsidP="003C228D">
            <w:pPr>
              <w:pStyle w:val="TableText"/>
              <w:spacing w:line="276" w:lineRule="auto"/>
              <w:rPr>
                <w:b w:val="0"/>
              </w:rPr>
            </w:pPr>
            <w:r w:rsidRPr="005D7471">
              <w:rPr>
                <w:b w:val="0"/>
              </w:rPr>
              <w:t xml:space="preserve">Genuine </w:t>
            </w:r>
            <w:r w:rsidR="007A6096" w:rsidRPr="005D7471">
              <w:rPr>
                <w:b w:val="0"/>
              </w:rPr>
              <w:t>p</w:t>
            </w:r>
            <w:r w:rsidRPr="005D7471">
              <w:rPr>
                <w:b w:val="0"/>
              </w:rPr>
              <w:t>osition</w:t>
            </w:r>
          </w:p>
        </w:tc>
        <w:tc>
          <w:tcPr>
            <w:tcW w:w="1751" w:type="dxa"/>
            <w:noWrap/>
          </w:tcPr>
          <w:p w:rsidR="003E7BEB" w:rsidRPr="005D7471" w:rsidRDefault="003E7BEB" w:rsidP="003C228D">
            <w:pPr>
              <w:pStyle w:val="TableText"/>
              <w:spacing w:line="276" w:lineRule="auto"/>
              <w:cnfStyle w:val="000000100000" w:firstRow="0" w:lastRow="0" w:firstColumn="0" w:lastColumn="0" w:oddVBand="0" w:evenVBand="0" w:oddHBand="1" w:evenHBand="0" w:firstRowFirstColumn="0" w:firstRowLastColumn="0" w:lastRowFirstColumn="0" w:lastRowLastColumn="0"/>
            </w:pPr>
            <w:r w:rsidRPr="005D7471">
              <w:t>$0</w:t>
            </w:r>
          </w:p>
        </w:tc>
        <w:tc>
          <w:tcPr>
            <w:tcW w:w="1751" w:type="dxa"/>
            <w:noWrap/>
          </w:tcPr>
          <w:p w:rsidR="003E7BEB" w:rsidRPr="005D7471" w:rsidRDefault="003E7BEB" w:rsidP="003C228D">
            <w:pPr>
              <w:pStyle w:val="TableText"/>
              <w:spacing w:line="276" w:lineRule="auto"/>
              <w:cnfStyle w:val="000000100000" w:firstRow="0" w:lastRow="0" w:firstColumn="0" w:lastColumn="0" w:oddVBand="0" w:evenVBand="0" w:oddHBand="1" w:evenHBand="0" w:firstRowFirstColumn="0" w:firstRowLastColumn="0" w:lastRowFirstColumn="0" w:lastRowLastColumn="0"/>
            </w:pPr>
            <w:r w:rsidRPr="005D7471">
              <w:t>$0</w:t>
            </w:r>
          </w:p>
        </w:tc>
        <w:tc>
          <w:tcPr>
            <w:tcW w:w="1751" w:type="dxa"/>
            <w:noWrap/>
          </w:tcPr>
          <w:p w:rsidR="003E7BEB" w:rsidRPr="005D7471" w:rsidRDefault="003E7BEB" w:rsidP="003C228D">
            <w:pPr>
              <w:pStyle w:val="TableText"/>
              <w:spacing w:line="276" w:lineRule="auto"/>
              <w:cnfStyle w:val="000000100000" w:firstRow="0" w:lastRow="0" w:firstColumn="0" w:lastColumn="0" w:oddVBand="0" w:evenVBand="0" w:oddHBand="1" w:evenHBand="0" w:firstRowFirstColumn="0" w:firstRowLastColumn="0" w:lastRowFirstColumn="0" w:lastRowLastColumn="0"/>
            </w:pPr>
            <w:r w:rsidRPr="005D7471">
              <w:t>$0</w:t>
            </w:r>
          </w:p>
        </w:tc>
        <w:tc>
          <w:tcPr>
            <w:tcW w:w="1751" w:type="dxa"/>
            <w:noWrap/>
          </w:tcPr>
          <w:p w:rsidR="003E7BEB" w:rsidRPr="005D7471" w:rsidRDefault="003E7BEB" w:rsidP="003C228D">
            <w:pPr>
              <w:pStyle w:val="TableText"/>
              <w:spacing w:line="276" w:lineRule="auto"/>
              <w:cnfStyle w:val="000000100000" w:firstRow="0" w:lastRow="0" w:firstColumn="0" w:lastColumn="0" w:oddVBand="0" w:evenVBand="0" w:oddHBand="1" w:evenHBand="0" w:firstRowFirstColumn="0" w:firstRowLastColumn="0" w:lastRowFirstColumn="0" w:lastRowLastColumn="0"/>
            </w:pPr>
            <w:r w:rsidRPr="005D7471">
              <w:t>$0</w:t>
            </w:r>
          </w:p>
        </w:tc>
      </w:tr>
      <w:tr w:rsidR="003E7BEB" w:rsidRPr="005D7471" w:rsidTr="009833AC">
        <w:trPr>
          <w:trHeight w:val="300"/>
        </w:trPr>
        <w:tc>
          <w:tcPr>
            <w:cnfStyle w:val="001000000000" w:firstRow="0" w:lastRow="0" w:firstColumn="1" w:lastColumn="0" w:oddVBand="0" w:evenVBand="0" w:oddHBand="0" w:evenHBand="0" w:firstRowFirstColumn="0" w:firstRowLastColumn="0" w:lastRowFirstColumn="0" w:lastRowLastColumn="0"/>
            <w:tcW w:w="1751" w:type="dxa"/>
            <w:noWrap/>
          </w:tcPr>
          <w:p w:rsidR="003E7BEB" w:rsidRPr="005D7471" w:rsidRDefault="003E7BEB" w:rsidP="003C228D">
            <w:pPr>
              <w:pStyle w:val="TableText"/>
              <w:spacing w:line="276" w:lineRule="auto"/>
              <w:rPr>
                <w:b w:val="0"/>
              </w:rPr>
            </w:pPr>
            <w:r w:rsidRPr="005D7471">
              <w:rPr>
                <w:b w:val="0"/>
              </w:rPr>
              <w:t xml:space="preserve">English </w:t>
            </w:r>
            <w:r w:rsidR="007A6096" w:rsidRPr="005D7471">
              <w:rPr>
                <w:b w:val="0"/>
              </w:rPr>
              <w:t>l</w:t>
            </w:r>
            <w:r w:rsidRPr="005D7471">
              <w:rPr>
                <w:b w:val="0"/>
              </w:rPr>
              <w:t xml:space="preserve">anguage </w:t>
            </w:r>
            <w:r w:rsidR="007A6096" w:rsidRPr="005D7471">
              <w:rPr>
                <w:b w:val="0"/>
              </w:rPr>
              <w:t>e</w:t>
            </w:r>
            <w:r w:rsidRPr="005D7471">
              <w:rPr>
                <w:b w:val="0"/>
              </w:rPr>
              <w:t>xemptions</w:t>
            </w:r>
          </w:p>
        </w:tc>
        <w:tc>
          <w:tcPr>
            <w:tcW w:w="1751" w:type="dxa"/>
            <w:noWrap/>
          </w:tcPr>
          <w:p w:rsidR="003E7BEB" w:rsidRPr="005D7471" w:rsidRDefault="003E7BEB" w:rsidP="003C228D">
            <w:pPr>
              <w:pStyle w:val="TableText"/>
              <w:spacing w:line="276" w:lineRule="auto"/>
              <w:cnfStyle w:val="000000000000" w:firstRow="0" w:lastRow="0" w:firstColumn="0" w:lastColumn="0" w:oddVBand="0" w:evenVBand="0" w:oddHBand="0" w:evenHBand="0" w:firstRowFirstColumn="0" w:firstRowLastColumn="0" w:lastRowFirstColumn="0" w:lastRowLastColumn="0"/>
            </w:pPr>
            <w:r w:rsidRPr="005D7471">
              <w:t>$0</w:t>
            </w:r>
          </w:p>
        </w:tc>
        <w:tc>
          <w:tcPr>
            <w:tcW w:w="1751" w:type="dxa"/>
            <w:noWrap/>
          </w:tcPr>
          <w:p w:rsidR="003E7BEB" w:rsidRPr="005D7471" w:rsidRDefault="003E7BEB" w:rsidP="003C228D">
            <w:pPr>
              <w:pStyle w:val="TableText"/>
              <w:spacing w:line="276" w:lineRule="auto"/>
              <w:cnfStyle w:val="000000000000" w:firstRow="0" w:lastRow="0" w:firstColumn="0" w:lastColumn="0" w:oddVBand="0" w:evenVBand="0" w:oddHBand="0" w:evenHBand="0" w:firstRowFirstColumn="0" w:firstRowLastColumn="0" w:lastRowFirstColumn="0" w:lastRowLastColumn="0"/>
            </w:pPr>
            <w:r w:rsidRPr="005D7471">
              <w:t>$0</w:t>
            </w:r>
          </w:p>
        </w:tc>
        <w:tc>
          <w:tcPr>
            <w:tcW w:w="1751" w:type="dxa"/>
            <w:noWrap/>
          </w:tcPr>
          <w:p w:rsidR="003E7BEB" w:rsidRPr="005D7471" w:rsidRDefault="003E7BEB" w:rsidP="003C228D">
            <w:pPr>
              <w:pStyle w:val="TableText"/>
              <w:spacing w:line="276" w:lineRule="auto"/>
              <w:cnfStyle w:val="000000000000" w:firstRow="0" w:lastRow="0" w:firstColumn="0" w:lastColumn="0" w:oddVBand="0" w:evenVBand="0" w:oddHBand="0" w:evenHBand="0" w:firstRowFirstColumn="0" w:firstRowLastColumn="0" w:lastRowFirstColumn="0" w:lastRowLastColumn="0"/>
            </w:pPr>
            <w:r w:rsidRPr="005D7471">
              <w:t>$6.06</w:t>
            </w:r>
          </w:p>
        </w:tc>
        <w:tc>
          <w:tcPr>
            <w:tcW w:w="1751" w:type="dxa"/>
            <w:noWrap/>
          </w:tcPr>
          <w:p w:rsidR="003E7BEB" w:rsidRPr="005D7471" w:rsidRDefault="003E7BEB" w:rsidP="003C228D">
            <w:pPr>
              <w:pStyle w:val="TableText"/>
              <w:spacing w:line="276" w:lineRule="auto"/>
              <w:cnfStyle w:val="000000000000" w:firstRow="0" w:lastRow="0" w:firstColumn="0" w:lastColumn="0" w:oddVBand="0" w:evenVBand="0" w:oddHBand="0" w:evenHBand="0" w:firstRowFirstColumn="0" w:firstRowLastColumn="0" w:lastRowFirstColumn="0" w:lastRowLastColumn="0"/>
            </w:pPr>
            <w:r w:rsidRPr="005D7471">
              <w:t>$6.06</w:t>
            </w:r>
          </w:p>
        </w:tc>
      </w:tr>
      <w:tr w:rsidR="003E7BEB" w:rsidRPr="005D7471" w:rsidTr="009833A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51" w:type="dxa"/>
            <w:noWrap/>
          </w:tcPr>
          <w:p w:rsidR="003E7BEB" w:rsidRPr="005D7471" w:rsidRDefault="003E7BEB" w:rsidP="003C228D">
            <w:pPr>
              <w:pStyle w:val="TableText"/>
              <w:spacing w:line="276" w:lineRule="auto"/>
              <w:rPr>
                <w:b w:val="0"/>
              </w:rPr>
            </w:pPr>
            <w:r w:rsidRPr="005D7471">
              <w:rPr>
                <w:b w:val="0"/>
              </w:rPr>
              <w:t xml:space="preserve">Labour </w:t>
            </w:r>
            <w:r w:rsidR="007A6096" w:rsidRPr="005D7471">
              <w:rPr>
                <w:b w:val="0"/>
              </w:rPr>
              <w:t>m</w:t>
            </w:r>
            <w:r w:rsidRPr="005D7471">
              <w:rPr>
                <w:b w:val="0"/>
              </w:rPr>
              <w:t xml:space="preserve">arket </w:t>
            </w:r>
            <w:r w:rsidR="007A6096" w:rsidRPr="005D7471">
              <w:rPr>
                <w:b w:val="0"/>
              </w:rPr>
              <w:t>t</w:t>
            </w:r>
            <w:r w:rsidRPr="005D7471">
              <w:rPr>
                <w:b w:val="0"/>
              </w:rPr>
              <w:t>esting</w:t>
            </w:r>
          </w:p>
        </w:tc>
        <w:tc>
          <w:tcPr>
            <w:tcW w:w="1751" w:type="dxa"/>
            <w:noWrap/>
          </w:tcPr>
          <w:p w:rsidR="003E7BEB" w:rsidRPr="005D7471" w:rsidRDefault="003E7BEB" w:rsidP="003C228D">
            <w:pPr>
              <w:pStyle w:val="TableText"/>
              <w:spacing w:line="276" w:lineRule="auto"/>
              <w:cnfStyle w:val="000000100000" w:firstRow="0" w:lastRow="0" w:firstColumn="0" w:lastColumn="0" w:oddVBand="0" w:evenVBand="0" w:oddHBand="1" w:evenHBand="0" w:firstRowFirstColumn="0" w:firstRowLastColumn="0" w:lastRowFirstColumn="0" w:lastRowLastColumn="0"/>
            </w:pPr>
            <w:r w:rsidRPr="005D7471">
              <w:t>$4.17</w:t>
            </w:r>
          </w:p>
        </w:tc>
        <w:tc>
          <w:tcPr>
            <w:tcW w:w="1751" w:type="dxa"/>
            <w:noWrap/>
          </w:tcPr>
          <w:p w:rsidR="003E7BEB" w:rsidRPr="005D7471" w:rsidRDefault="003E7BEB" w:rsidP="003C228D">
            <w:pPr>
              <w:pStyle w:val="TableText"/>
              <w:spacing w:line="276" w:lineRule="auto"/>
              <w:cnfStyle w:val="000000100000" w:firstRow="0" w:lastRow="0" w:firstColumn="0" w:lastColumn="0" w:oddVBand="0" w:evenVBand="0" w:oddHBand="1" w:evenHBand="0" w:firstRowFirstColumn="0" w:firstRowLastColumn="0" w:lastRowFirstColumn="0" w:lastRowLastColumn="0"/>
            </w:pPr>
            <w:r w:rsidRPr="005D7471">
              <w:t>$0</w:t>
            </w:r>
          </w:p>
        </w:tc>
        <w:tc>
          <w:tcPr>
            <w:tcW w:w="1751" w:type="dxa"/>
            <w:noWrap/>
          </w:tcPr>
          <w:p w:rsidR="003E7BEB" w:rsidRPr="005D7471" w:rsidRDefault="003E7BEB" w:rsidP="003C228D">
            <w:pPr>
              <w:pStyle w:val="TableText"/>
              <w:spacing w:line="276" w:lineRule="auto"/>
              <w:cnfStyle w:val="000000100000" w:firstRow="0" w:lastRow="0" w:firstColumn="0" w:lastColumn="0" w:oddVBand="0" w:evenVBand="0" w:oddHBand="1" w:evenHBand="0" w:firstRowFirstColumn="0" w:firstRowLastColumn="0" w:lastRowFirstColumn="0" w:lastRowLastColumn="0"/>
            </w:pPr>
            <w:r w:rsidRPr="005D7471">
              <w:t>$0</w:t>
            </w:r>
          </w:p>
        </w:tc>
        <w:tc>
          <w:tcPr>
            <w:tcW w:w="1751" w:type="dxa"/>
            <w:noWrap/>
          </w:tcPr>
          <w:p w:rsidR="003E7BEB" w:rsidRPr="005D7471" w:rsidRDefault="003E7BEB" w:rsidP="003C228D">
            <w:pPr>
              <w:pStyle w:val="TableText"/>
              <w:spacing w:line="276" w:lineRule="auto"/>
              <w:cnfStyle w:val="000000100000" w:firstRow="0" w:lastRow="0" w:firstColumn="0" w:lastColumn="0" w:oddVBand="0" w:evenVBand="0" w:oddHBand="1" w:evenHBand="0" w:firstRowFirstColumn="0" w:firstRowLastColumn="0" w:lastRowFirstColumn="0" w:lastRowLastColumn="0"/>
            </w:pPr>
            <w:r w:rsidRPr="005D7471">
              <w:t>$4.17</w:t>
            </w:r>
          </w:p>
        </w:tc>
      </w:tr>
      <w:tr w:rsidR="003E7BEB" w:rsidRPr="005D7471" w:rsidTr="009833AC">
        <w:trPr>
          <w:trHeight w:val="300"/>
        </w:trPr>
        <w:tc>
          <w:tcPr>
            <w:cnfStyle w:val="001000000000" w:firstRow="0" w:lastRow="0" w:firstColumn="1" w:lastColumn="0" w:oddVBand="0" w:evenVBand="0" w:oddHBand="0" w:evenHBand="0" w:firstRowFirstColumn="0" w:firstRowLastColumn="0" w:lastRowFirstColumn="0" w:lastRowLastColumn="0"/>
            <w:tcW w:w="1751" w:type="dxa"/>
            <w:noWrap/>
          </w:tcPr>
          <w:p w:rsidR="003E7BEB" w:rsidRPr="005D7471" w:rsidRDefault="007A6096" w:rsidP="003C228D">
            <w:pPr>
              <w:pStyle w:val="TableText"/>
              <w:spacing w:line="276" w:lineRule="auto"/>
            </w:pPr>
            <w:r w:rsidRPr="005D7471">
              <w:t>Total</w:t>
            </w:r>
          </w:p>
        </w:tc>
        <w:tc>
          <w:tcPr>
            <w:tcW w:w="1751" w:type="dxa"/>
            <w:noWrap/>
          </w:tcPr>
          <w:p w:rsidR="003E7BEB" w:rsidRPr="005D7471" w:rsidRDefault="003E7BEB" w:rsidP="003C228D">
            <w:pPr>
              <w:pStyle w:val="TableText"/>
              <w:spacing w:line="276" w:lineRule="auto"/>
              <w:cnfStyle w:val="000000000000" w:firstRow="0" w:lastRow="0" w:firstColumn="0" w:lastColumn="0" w:oddVBand="0" w:evenVBand="0" w:oddHBand="0" w:evenHBand="0" w:firstRowFirstColumn="0" w:firstRowLastColumn="0" w:lastRowFirstColumn="0" w:lastRowLastColumn="0"/>
              <w:rPr>
                <w:b/>
              </w:rPr>
            </w:pPr>
            <w:r w:rsidRPr="005D7471">
              <w:rPr>
                <w:b/>
              </w:rPr>
              <w:t>$4.36</w:t>
            </w:r>
          </w:p>
        </w:tc>
        <w:tc>
          <w:tcPr>
            <w:tcW w:w="1751" w:type="dxa"/>
            <w:noWrap/>
          </w:tcPr>
          <w:p w:rsidR="003E7BEB" w:rsidRPr="005D7471" w:rsidRDefault="003E7BEB" w:rsidP="003C228D">
            <w:pPr>
              <w:pStyle w:val="TableText"/>
              <w:spacing w:line="276" w:lineRule="auto"/>
              <w:cnfStyle w:val="000000000000" w:firstRow="0" w:lastRow="0" w:firstColumn="0" w:lastColumn="0" w:oddVBand="0" w:evenVBand="0" w:oddHBand="0" w:evenHBand="0" w:firstRowFirstColumn="0" w:firstRowLastColumn="0" w:lastRowFirstColumn="0" w:lastRowLastColumn="0"/>
              <w:rPr>
                <w:b/>
              </w:rPr>
            </w:pPr>
            <w:r w:rsidRPr="005D7471">
              <w:rPr>
                <w:b/>
              </w:rPr>
              <w:t>$0</w:t>
            </w:r>
          </w:p>
        </w:tc>
        <w:tc>
          <w:tcPr>
            <w:tcW w:w="1751" w:type="dxa"/>
            <w:noWrap/>
          </w:tcPr>
          <w:p w:rsidR="003E7BEB" w:rsidRPr="005D7471" w:rsidRDefault="003E7BEB" w:rsidP="003C228D">
            <w:pPr>
              <w:pStyle w:val="TableText"/>
              <w:spacing w:line="276" w:lineRule="auto"/>
              <w:cnfStyle w:val="000000000000" w:firstRow="0" w:lastRow="0" w:firstColumn="0" w:lastColumn="0" w:oddVBand="0" w:evenVBand="0" w:oddHBand="0" w:evenHBand="0" w:firstRowFirstColumn="0" w:firstRowLastColumn="0" w:lastRowFirstColumn="0" w:lastRowLastColumn="0"/>
              <w:rPr>
                <w:b/>
              </w:rPr>
            </w:pPr>
            <w:r w:rsidRPr="005D7471">
              <w:rPr>
                <w:b/>
              </w:rPr>
              <w:t>$6.06</w:t>
            </w:r>
          </w:p>
        </w:tc>
        <w:tc>
          <w:tcPr>
            <w:tcW w:w="1751" w:type="dxa"/>
            <w:noWrap/>
          </w:tcPr>
          <w:p w:rsidR="003E7BEB" w:rsidRPr="005D7471" w:rsidRDefault="003E7BEB" w:rsidP="003C228D">
            <w:pPr>
              <w:pStyle w:val="TableText"/>
              <w:spacing w:line="276" w:lineRule="auto"/>
              <w:cnfStyle w:val="000000000000" w:firstRow="0" w:lastRow="0" w:firstColumn="0" w:lastColumn="0" w:oddVBand="0" w:evenVBand="0" w:oddHBand="0" w:evenHBand="0" w:firstRowFirstColumn="0" w:firstRowLastColumn="0" w:lastRowFirstColumn="0" w:lastRowLastColumn="0"/>
              <w:rPr>
                <w:b/>
              </w:rPr>
            </w:pPr>
            <w:r w:rsidRPr="005D7471">
              <w:rPr>
                <w:b/>
              </w:rPr>
              <w:t>$10.42</w:t>
            </w:r>
          </w:p>
        </w:tc>
      </w:tr>
    </w:tbl>
    <w:p w:rsidR="0033672D" w:rsidRDefault="0033672D" w:rsidP="003C228D">
      <w:pPr>
        <w:spacing w:line="276" w:lineRule="auto"/>
      </w:pPr>
      <w:bookmarkStart w:id="83" w:name="_Toc423417313"/>
    </w:p>
    <w:p w:rsidR="00410DBD" w:rsidRPr="005D7471" w:rsidRDefault="00B3457C" w:rsidP="003C228D">
      <w:pPr>
        <w:spacing w:line="276" w:lineRule="auto"/>
      </w:pPr>
      <w:r>
        <w:t>T</w:t>
      </w:r>
      <w:r w:rsidR="0047401E" w:rsidRPr="005D7471">
        <w:t>he introduction of legally binding training obligation</w:t>
      </w:r>
      <w:r w:rsidR="00CC7051">
        <w:t>s</w:t>
      </w:r>
      <w:r w:rsidR="008F7D35">
        <w:t xml:space="preserve"> </w:t>
      </w:r>
      <w:r w:rsidR="0033672D">
        <w:t xml:space="preserve">for sponsors seeking to access the 457 programme was intended to ensure sponsor commitment to a continued contribution towards the training of Australians. The training obligations </w:t>
      </w:r>
      <w:r w:rsidR="00EB540D">
        <w:t xml:space="preserve">have </w:t>
      </w:r>
      <w:r w:rsidR="008F7D35">
        <w:t>provide</w:t>
      </w:r>
      <w:r w:rsidR="006608E2">
        <w:t>d</w:t>
      </w:r>
      <w:r w:rsidR="0033672D">
        <w:t xml:space="preserve"> a new</w:t>
      </w:r>
      <w:r w:rsidR="008F7D35">
        <w:t xml:space="preserve"> enforcement mechanism </w:t>
      </w:r>
      <w:r w:rsidR="00542267">
        <w:t>for the Department</w:t>
      </w:r>
      <w:r w:rsidR="00C01140">
        <w:t>.</w:t>
      </w:r>
      <w:r w:rsidR="00542267">
        <w:t xml:space="preserve"> </w:t>
      </w:r>
      <w:r w:rsidR="00C01140">
        <w:t>As there is no evidence of previous non-compliance with the honour-bound training commitments it is not clear that compliance has improved with the introduction of legally binding training obligation. There has been stakeholder support for the principle that employers accessing the 457 programme make a contribution to the training of Australians in return</w:t>
      </w:r>
      <w:r w:rsidR="0037385E">
        <w:t>.</w:t>
      </w:r>
    </w:p>
    <w:p w:rsidR="00CC7D02" w:rsidRDefault="00C61827" w:rsidP="003C228D">
      <w:pPr>
        <w:spacing w:line="276" w:lineRule="auto"/>
      </w:pPr>
      <w:r w:rsidRPr="005D7471">
        <w:t xml:space="preserve">The </w:t>
      </w:r>
      <w:r w:rsidR="00644A25">
        <w:t xml:space="preserve">introduction of the </w:t>
      </w:r>
      <w:r w:rsidRPr="005D7471">
        <w:t>genuine position</w:t>
      </w:r>
      <w:r w:rsidR="00FD6469">
        <w:t xml:space="preserve"> amendment </w:t>
      </w:r>
      <w:r w:rsidR="00CC7D02">
        <w:t xml:space="preserve">has </w:t>
      </w:r>
      <w:r>
        <w:t>im</w:t>
      </w:r>
      <w:r w:rsidR="00CC7D02">
        <w:t>proved the integrity of the 457 </w:t>
      </w:r>
      <w:r>
        <w:t>programme by limiting opportunities for sponsor</w:t>
      </w:r>
      <w:r w:rsidRPr="005D7471">
        <w:t>s to misrepresent the duties of occupations</w:t>
      </w:r>
      <w:r>
        <w:t xml:space="preserve"> or create a </w:t>
      </w:r>
      <w:r w:rsidRPr="005D7471">
        <w:rPr>
          <w:rFonts w:cs="Arial"/>
        </w:rPr>
        <w:t>position for the sole purpose of attaining a visa without a corresponding business need</w:t>
      </w:r>
      <w:r w:rsidR="00FD6469">
        <w:t xml:space="preserve">. </w:t>
      </w:r>
      <w:r w:rsidR="00CC7D02">
        <w:t>The amendment</w:t>
      </w:r>
      <w:r w:rsidR="009A0B08">
        <w:t xml:space="preserve"> appear</w:t>
      </w:r>
      <w:r w:rsidR="00CC7D02">
        <w:t>s</w:t>
      </w:r>
      <w:r w:rsidR="003A4FD2">
        <w:t xml:space="preserve"> to </w:t>
      </w:r>
      <w:r>
        <w:t xml:space="preserve">have </w:t>
      </w:r>
      <w:r w:rsidR="00CC7D02">
        <w:t xml:space="preserve">successfully </w:t>
      </w:r>
      <w:r>
        <w:t xml:space="preserve">contributed to a reduction in visas granted in </w:t>
      </w:r>
      <w:r w:rsidR="0048282F" w:rsidRPr="005D7471">
        <w:t>the occupations of Program and Project Administrators and Specialist Managers</w:t>
      </w:r>
      <w:r w:rsidR="00ED60FB" w:rsidRPr="005D7471">
        <w:t xml:space="preserve"> </w:t>
      </w:r>
      <w:r w:rsidR="00967204" w:rsidRPr="005D7471">
        <w:t>(not elsewhere classified)</w:t>
      </w:r>
      <w:r w:rsidR="00ED60FB" w:rsidRPr="005D7471">
        <w:t>.</w:t>
      </w:r>
      <w:r w:rsidR="00C34923">
        <w:t xml:space="preserve"> </w:t>
      </w:r>
    </w:p>
    <w:p w:rsidR="007755F0" w:rsidRDefault="00CC7D02" w:rsidP="003C228D">
      <w:pPr>
        <w:spacing w:line="276" w:lineRule="auto"/>
      </w:pPr>
      <w:r>
        <w:t xml:space="preserve">The intent of the removal of the English language occupation exemptions was to prevent the circumventing of the English language requirements in the 457 programme. The amendments appear to have been successful in preventing sponsors from circumventing the English language requirements by misrepresenting the duties of a nominated person. </w:t>
      </w:r>
      <w:proofErr w:type="gramStart"/>
      <w:r>
        <w:t xml:space="preserve">As with </w:t>
      </w:r>
      <w:r w:rsidR="007755F0">
        <w:t>the genuine position amendment,</w:t>
      </w:r>
      <w:r>
        <w:t xml:space="preserve"> the success of this integrity reform is suggested by the decline in positions nominated in the occupations </w:t>
      </w:r>
      <w:r w:rsidRPr="005D7471">
        <w:t>of Program and Project Administrators and Specialist Managers (not elsewhere classified).</w:t>
      </w:r>
      <w:proofErr w:type="gramEnd"/>
      <w:r>
        <w:t xml:space="preserve"> </w:t>
      </w:r>
      <w:r w:rsidR="0048177E">
        <w:t>However, it should be noted that this reduction could be attributed to many factors</w:t>
      </w:r>
      <w:r w:rsidR="00D66EA4">
        <w:t>.</w:t>
      </w:r>
    </w:p>
    <w:p w:rsidR="00C34923" w:rsidRDefault="007755F0" w:rsidP="003C228D">
      <w:pPr>
        <w:spacing w:line="276" w:lineRule="auto"/>
      </w:pPr>
      <w:r>
        <w:lastRenderedPageBreak/>
        <w:t xml:space="preserve">The English language requirements in the 457 programme have been further refined in response to stakeholder feedback received </w:t>
      </w:r>
      <w:r w:rsidR="00CC7051">
        <w:t>during the 457 Integrity R</w:t>
      </w:r>
      <w:r>
        <w:t xml:space="preserve">eview. In line with recommendations of this review </w:t>
      </w:r>
      <w:r w:rsidR="00C34923">
        <w:rPr>
          <w:rFonts w:cs="Arial"/>
        </w:rPr>
        <w:t>greater flexibility</w:t>
      </w:r>
      <w:r>
        <w:rPr>
          <w:rFonts w:cs="Arial"/>
        </w:rPr>
        <w:t xml:space="preserve"> was introduced to the </w:t>
      </w:r>
      <w:r w:rsidR="00C34923">
        <w:rPr>
          <w:rFonts w:cs="Arial"/>
        </w:rPr>
        <w:t>English language requirements</w:t>
      </w:r>
      <w:r>
        <w:rPr>
          <w:rFonts w:cs="Arial"/>
        </w:rPr>
        <w:t xml:space="preserve"> in April 2015</w:t>
      </w:r>
      <w:r w:rsidR="00C34923">
        <w:rPr>
          <w:rFonts w:cs="Arial"/>
        </w:rPr>
        <w:t>.</w:t>
      </w:r>
      <w:r w:rsidR="0048177E">
        <w:rPr>
          <w:rFonts w:cs="Arial"/>
        </w:rPr>
        <w:t xml:space="preserve"> Overall, while the provisions introduced in July 2013 have strengthened the English language requirements, the more flexible arrangements implemented in April 2015 as a result of the 457</w:t>
      </w:r>
      <w:r w:rsidR="00FF6572">
        <w:rPr>
          <w:rFonts w:cs="Arial"/>
        </w:rPr>
        <w:t> </w:t>
      </w:r>
      <w:r w:rsidR="0048177E">
        <w:rPr>
          <w:rFonts w:cs="Arial"/>
        </w:rPr>
        <w:t>Integrity Review have provided a more streamlined approach.</w:t>
      </w:r>
    </w:p>
    <w:p w:rsidR="008D05A8" w:rsidRDefault="005337A0" w:rsidP="00931F98">
      <w:pPr>
        <w:spacing w:before="0" w:after="200" w:line="276" w:lineRule="auto"/>
      </w:pPr>
      <w:r>
        <w:t xml:space="preserve">The LMT requirement was introduced into the 457 programme to ensure that sponsors did not source overseas labour without first checking the availability of Australian labour. </w:t>
      </w:r>
      <w:r w:rsidR="00DD5F66">
        <w:t>The</w:t>
      </w:r>
      <w:r w:rsidR="00931F98">
        <w:t xml:space="preserve"> </w:t>
      </w:r>
      <w:r w:rsidR="00C34923">
        <w:t xml:space="preserve">effectiveness of </w:t>
      </w:r>
      <w:r w:rsidR="004F0981">
        <w:t xml:space="preserve">the </w:t>
      </w:r>
      <w:r w:rsidR="00C34923" w:rsidRPr="005D7471">
        <w:t xml:space="preserve">LMT </w:t>
      </w:r>
      <w:r w:rsidR="00C34923">
        <w:t xml:space="preserve">amendments in </w:t>
      </w:r>
      <w:r w:rsidR="00C34923" w:rsidRPr="005D7471">
        <w:t>deter</w:t>
      </w:r>
      <w:r w:rsidR="00C34923">
        <w:t>ring</w:t>
      </w:r>
      <w:r w:rsidR="00C34923" w:rsidRPr="005D7471">
        <w:t xml:space="preserve"> sponsors from engaging 457 visa holders without giving due consideration to the Australian labour market</w:t>
      </w:r>
      <w:r w:rsidR="00C34923">
        <w:t xml:space="preserve"> has been limited</w:t>
      </w:r>
      <w:r w:rsidR="00FD6469">
        <w:t>.</w:t>
      </w:r>
      <w:r w:rsidR="00A91DFB">
        <w:t xml:space="preserve"> </w:t>
      </w:r>
      <w:r w:rsidR="002B233F">
        <w:t>LMT</w:t>
      </w:r>
      <w:r w:rsidR="00931F98" w:rsidRPr="00931F98">
        <w:t xml:space="preserve"> is only a small component of the 457 programme regulatory structure and is estimated to apply to less than one third of current nominations</w:t>
      </w:r>
      <w:r w:rsidR="00931F98">
        <w:t xml:space="preserve">. </w:t>
      </w:r>
    </w:p>
    <w:p w:rsidR="00C34923" w:rsidRPr="006C52A7" w:rsidRDefault="00C34923" w:rsidP="003C228D">
      <w:pPr>
        <w:spacing w:line="276" w:lineRule="auto"/>
        <w:rPr>
          <w:b/>
        </w:rPr>
      </w:pPr>
      <w:r>
        <w:t>There is broad stakeholder criticism of LMT</w:t>
      </w:r>
      <w:r w:rsidR="005337A0">
        <w:t>, that it is unnecessary, i</w:t>
      </w:r>
      <w:r w:rsidR="00644A25">
        <w:t>neffective</w:t>
      </w:r>
      <w:r w:rsidR="005337A0">
        <w:t xml:space="preserve"> and costly</w:t>
      </w:r>
      <w:r w:rsidR="00644A25">
        <w:t xml:space="preserve"> </w:t>
      </w:r>
      <w:r>
        <w:t xml:space="preserve">red tape or </w:t>
      </w:r>
      <w:r w:rsidRPr="005D7471">
        <w:t>not stringent enough to afford preference to Australian workers.</w:t>
      </w:r>
      <w:r w:rsidR="005337A0">
        <w:t xml:space="preserve"> </w:t>
      </w:r>
    </w:p>
    <w:p w:rsidR="00C179D5" w:rsidRPr="005D7471" w:rsidRDefault="00C179D5" w:rsidP="003C228D">
      <w:pPr>
        <w:spacing w:before="0" w:after="200" w:line="276" w:lineRule="auto"/>
        <w:rPr>
          <w:rFonts w:eastAsiaTheme="majorEastAsia" w:cstheme="majorBidi"/>
          <w:color w:val="007BC3" w:themeColor="accent2"/>
          <w:sz w:val="32"/>
          <w:szCs w:val="26"/>
        </w:rPr>
      </w:pPr>
      <w:r w:rsidRPr="005D7471">
        <w:br w:type="page"/>
      </w:r>
    </w:p>
    <w:p w:rsidR="003C39C5" w:rsidRDefault="003C39C5" w:rsidP="003C228D">
      <w:pPr>
        <w:pStyle w:val="Heading1"/>
        <w:spacing w:line="276" w:lineRule="auto"/>
      </w:pPr>
      <w:bookmarkStart w:id="84" w:name="_Toc444499146"/>
      <w:r w:rsidRPr="005D7471">
        <w:lastRenderedPageBreak/>
        <w:t>Ap</w:t>
      </w:r>
      <w:r>
        <w:t>pendix 1</w:t>
      </w:r>
      <w:r w:rsidRPr="005D7471">
        <w:t xml:space="preserve"> – </w:t>
      </w:r>
      <w:r>
        <w:t>The 457 Programme</w:t>
      </w:r>
      <w:bookmarkEnd w:id="84"/>
    </w:p>
    <w:p w:rsidR="00F54892" w:rsidRPr="00F50F78" w:rsidRDefault="00F54892" w:rsidP="003C228D">
      <w:pPr>
        <w:pStyle w:val="Pa15"/>
        <w:spacing w:before="340" w:after="100" w:line="276" w:lineRule="auto"/>
        <w:rPr>
          <w:rFonts w:cs="HelveticaNeueLT Std"/>
          <w:color w:val="003667"/>
          <w:sz w:val="30"/>
          <w:szCs w:val="30"/>
        </w:rPr>
      </w:pPr>
      <w:r w:rsidRPr="00F50F78">
        <w:rPr>
          <w:rFonts w:cs="HelveticaNeueLT Std"/>
          <w:color w:val="003667"/>
          <w:sz w:val="30"/>
          <w:szCs w:val="30"/>
        </w:rPr>
        <w:t>The application process</w:t>
      </w:r>
    </w:p>
    <w:p w:rsidR="00F54892" w:rsidRPr="005D7471" w:rsidRDefault="00F54892" w:rsidP="003C228D">
      <w:pPr>
        <w:spacing w:line="276" w:lineRule="auto"/>
      </w:pPr>
      <w:r w:rsidRPr="005D7471">
        <w:t>The 457 programme consists of a three–stage application process:</w:t>
      </w:r>
    </w:p>
    <w:p w:rsidR="00F54892" w:rsidRPr="005D7471" w:rsidRDefault="00F54892" w:rsidP="003C228D">
      <w:pPr>
        <w:pStyle w:val="ListNumber"/>
        <w:numPr>
          <w:ilvl w:val="0"/>
          <w:numId w:val="7"/>
        </w:numPr>
        <w:spacing w:line="276" w:lineRule="auto"/>
      </w:pPr>
      <w:r w:rsidRPr="00AD33B9">
        <w:rPr>
          <w:b/>
        </w:rPr>
        <w:t>Sponsorship</w:t>
      </w:r>
      <w:r w:rsidRPr="005D7471">
        <w:t>: the attributes of Australian or overseas businesses are assessed against specific requirements to check the legitimacy and reputation of the business. For example, Australian sponsors are required to demonstrate that they are lawfully operating and com</w:t>
      </w:r>
      <w:r>
        <w:t>mitted to training Australians.</w:t>
      </w:r>
      <w:r w:rsidR="004A23CF">
        <w:t xml:space="preserve"> </w:t>
      </w:r>
      <w:r w:rsidRPr="005D7471">
        <w:t>Sponsorship approvals generally last for five years.</w:t>
      </w:r>
      <w:r w:rsidR="00FD6469" w:rsidRPr="00FD6469">
        <w:rPr>
          <w:rStyle w:val="FootnoteReference"/>
        </w:rPr>
        <w:t xml:space="preserve"> </w:t>
      </w:r>
      <w:r w:rsidR="00FD6469" w:rsidRPr="005D7471">
        <w:rPr>
          <w:rStyle w:val="FootnoteReference"/>
        </w:rPr>
        <w:footnoteReference w:id="33"/>
      </w:r>
    </w:p>
    <w:p w:rsidR="00F54892" w:rsidRPr="005D7471" w:rsidRDefault="00F54892" w:rsidP="003C228D">
      <w:pPr>
        <w:pStyle w:val="ListNumber"/>
        <w:spacing w:line="276" w:lineRule="auto"/>
      </w:pPr>
      <w:r w:rsidRPr="00AD33B9">
        <w:rPr>
          <w:b/>
        </w:rPr>
        <w:t>Nomination</w:t>
      </w:r>
      <w:r w:rsidRPr="005D7471">
        <w:t xml:space="preserve">: the attributes of the position are assessed against criteria aimed at ensuring it is genuinely skilled and the employment conditions are no less favourable than those provided to Australians. A nomination must be lodged by an approved sponsor for each position they plan to fill with a visa holder. </w:t>
      </w:r>
    </w:p>
    <w:p w:rsidR="00F54892" w:rsidRPr="005D7471" w:rsidRDefault="00F54892" w:rsidP="003C228D">
      <w:pPr>
        <w:pStyle w:val="ListNumber"/>
        <w:spacing w:line="276" w:lineRule="auto"/>
      </w:pPr>
      <w:r w:rsidRPr="00AD33B9">
        <w:rPr>
          <w:b/>
        </w:rPr>
        <w:t>Visa</w:t>
      </w:r>
      <w:r w:rsidRPr="005D7471">
        <w:t>: the attributes of the main visa applicant and their family members are assessed against relevant requirements such as skill, English, character,</w:t>
      </w:r>
      <w:r w:rsidR="003B1741">
        <w:t xml:space="preserve"> </w:t>
      </w:r>
      <w:r w:rsidRPr="005D7471">
        <w:t xml:space="preserve">and health provisions. </w:t>
      </w:r>
    </w:p>
    <w:p w:rsidR="00F54892" w:rsidRPr="00F50F78" w:rsidRDefault="00F54892" w:rsidP="003C228D">
      <w:pPr>
        <w:pStyle w:val="Pa15"/>
        <w:spacing w:before="340" w:after="100" w:line="276" w:lineRule="auto"/>
        <w:rPr>
          <w:rFonts w:cs="HelveticaNeueLT Std"/>
          <w:color w:val="003667"/>
          <w:sz w:val="30"/>
          <w:szCs w:val="30"/>
        </w:rPr>
      </w:pPr>
      <w:bookmarkStart w:id="85" w:name="_Toc430937115"/>
      <w:r w:rsidRPr="00F50F78">
        <w:rPr>
          <w:rFonts w:cs="HelveticaNeueLT Std"/>
          <w:color w:val="003667"/>
          <w:sz w:val="30"/>
          <w:szCs w:val="30"/>
        </w:rPr>
        <w:t>Sponsor obligations</w:t>
      </w:r>
      <w:bookmarkEnd w:id="85"/>
    </w:p>
    <w:p w:rsidR="00F54892" w:rsidRPr="005D7471" w:rsidRDefault="00F54892" w:rsidP="003C228D">
      <w:pPr>
        <w:spacing w:before="0" w:line="276" w:lineRule="auto"/>
      </w:pPr>
      <w:r w:rsidRPr="005D7471">
        <w:t xml:space="preserve">The application process is supported by an enforceable sponsorship framework, which details </w:t>
      </w:r>
      <w:r>
        <w:t xml:space="preserve">obligations </w:t>
      </w:r>
      <w:r w:rsidRPr="005D7471">
        <w:t xml:space="preserve">a sponsor must satisfy. </w:t>
      </w:r>
    </w:p>
    <w:p w:rsidR="00F54892" w:rsidRPr="005D7471" w:rsidRDefault="00FD6469" w:rsidP="003C228D">
      <w:pPr>
        <w:spacing w:line="276" w:lineRule="auto"/>
      </w:pPr>
      <w:r>
        <w:t>The Department</w:t>
      </w:r>
      <w:r w:rsidR="00F54892" w:rsidRPr="005D7471">
        <w:t xml:space="preserve"> monitors sponsors to assess whether they are complying with obligations. If it is found that a sponsor did not meet an obligation, the Department has some discretion based on the circumstances of the case to: </w:t>
      </w:r>
    </w:p>
    <w:p w:rsidR="00F54892" w:rsidRPr="005D7471" w:rsidRDefault="00F54892" w:rsidP="003C228D">
      <w:pPr>
        <w:pStyle w:val="Bulletlist-level1"/>
        <w:spacing w:line="276" w:lineRule="auto"/>
      </w:pPr>
      <w:r w:rsidRPr="005D7471">
        <w:t>issue a warning notice</w:t>
      </w:r>
    </w:p>
    <w:p w:rsidR="00F54892" w:rsidRPr="005D7471" w:rsidRDefault="00F54892" w:rsidP="003C228D">
      <w:pPr>
        <w:pStyle w:val="Bulletlist-level1"/>
        <w:spacing w:line="276" w:lineRule="auto"/>
      </w:pPr>
      <w:r w:rsidRPr="005D7471">
        <w:t>temporarily bar the sponsor from nominating more 457 programme applicants</w:t>
      </w:r>
    </w:p>
    <w:p w:rsidR="00F54892" w:rsidRPr="005D7471" w:rsidRDefault="00F54892" w:rsidP="003C228D">
      <w:pPr>
        <w:pStyle w:val="Bulletlist-level1"/>
        <w:spacing w:line="276" w:lineRule="auto"/>
      </w:pPr>
      <w:r w:rsidRPr="005D7471">
        <w:t xml:space="preserve">cancel the sponsorship and bar the sponsor from reapplying for up to five years </w:t>
      </w:r>
    </w:p>
    <w:p w:rsidR="00F54892" w:rsidRPr="005D7471" w:rsidRDefault="00F54892" w:rsidP="003C228D">
      <w:pPr>
        <w:pStyle w:val="Bulletlist-level1"/>
        <w:spacing w:line="276" w:lineRule="auto"/>
      </w:pPr>
      <w:r w:rsidRPr="005D7471">
        <w:t>financially penalise the sponsor via an infringement notice</w:t>
      </w:r>
    </w:p>
    <w:p w:rsidR="00F50F78" w:rsidRPr="00F50F78" w:rsidRDefault="00F54892" w:rsidP="003C228D">
      <w:pPr>
        <w:pStyle w:val="Default"/>
        <w:numPr>
          <w:ilvl w:val="0"/>
          <w:numId w:val="11"/>
        </w:numPr>
        <w:spacing w:line="276" w:lineRule="auto"/>
        <w:ind w:left="360" w:hanging="360"/>
        <w:rPr>
          <w:rFonts w:ascii="Arial" w:hAnsi="Arial" w:cs="Arial"/>
          <w:color w:val="221E1F"/>
          <w:sz w:val="20"/>
          <w:szCs w:val="20"/>
        </w:rPr>
      </w:pPr>
      <w:proofErr w:type="gramStart"/>
      <w:r w:rsidRPr="00F50F78">
        <w:rPr>
          <w:rFonts w:ascii="Arial" w:hAnsi="Arial" w:cs="Arial"/>
          <w:color w:val="221E1F"/>
          <w:sz w:val="20"/>
          <w:szCs w:val="20"/>
        </w:rPr>
        <w:t>seek</w:t>
      </w:r>
      <w:proofErr w:type="gramEnd"/>
      <w:r w:rsidRPr="00F50F78">
        <w:rPr>
          <w:rFonts w:ascii="Arial" w:hAnsi="Arial" w:cs="Arial"/>
          <w:color w:val="221E1F"/>
          <w:sz w:val="20"/>
          <w:szCs w:val="20"/>
        </w:rPr>
        <w:t xml:space="preserve"> a court order for a higher penalty.</w:t>
      </w:r>
    </w:p>
    <w:p w:rsidR="00F54892" w:rsidRPr="00F50F78" w:rsidRDefault="00F54892" w:rsidP="003C228D">
      <w:pPr>
        <w:pStyle w:val="Pa15"/>
        <w:spacing w:before="340" w:after="100" w:line="276" w:lineRule="auto"/>
        <w:rPr>
          <w:rFonts w:cs="HelveticaNeueLT Std"/>
          <w:color w:val="003667"/>
          <w:sz w:val="30"/>
          <w:szCs w:val="30"/>
        </w:rPr>
      </w:pPr>
      <w:r w:rsidRPr="00F50F78">
        <w:rPr>
          <w:rFonts w:cs="HelveticaNeueLT Std"/>
          <w:color w:val="003667"/>
          <w:sz w:val="30"/>
          <w:szCs w:val="30"/>
        </w:rPr>
        <w:t>Occupations in the 457 Programme</w:t>
      </w:r>
    </w:p>
    <w:p w:rsidR="00F54892" w:rsidRPr="005D7471" w:rsidRDefault="00F54892" w:rsidP="003C228D">
      <w:pPr>
        <w:spacing w:after="120" w:line="276" w:lineRule="auto"/>
      </w:pPr>
      <w:r w:rsidRPr="005D7471">
        <w:t>At 30 June 2011 five occupations employed a workforce consisting of more than 10 per cent of 457 primary visa holders</w:t>
      </w:r>
      <w:r w:rsidRPr="005D7471">
        <w:rPr>
          <w:rStyle w:val="FootnoteReference"/>
        </w:rPr>
        <w:footnoteReference w:id="34"/>
      </w:r>
      <w:r w:rsidRPr="005D7471">
        <w:t>:</w:t>
      </w:r>
    </w:p>
    <w:p w:rsidR="00F54892" w:rsidRPr="005D7471" w:rsidRDefault="00F54892" w:rsidP="003C228D">
      <w:pPr>
        <w:spacing w:before="0" w:after="0" w:line="276" w:lineRule="auto"/>
        <w:ind w:left="720"/>
      </w:pPr>
      <w:r w:rsidRPr="005D7471">
        <w:t>Other Engineering Professionals</w:t>
      </w:r>
      <w:r w:rsidR="005D45DD">
        <w:tab/>
      </w:r>
      <w:bookmarkStart w:id="86" w:name="_GoBack"/>
      <w:bookmarkEnd w:id="86"/>
      <w:r w:rsidR="005D45DD">
        <w:tab/>
      </w:r>
      <w:r w:rsidR="005D45DD">
        <w:tab/>
      </w:r>
      <w:r w:rsidR="005D45DD">
        <w:tab/>
      </w:r>
      <w:r w:rsidRPr="005D7471">
        <w:t>16.3%</w:t>
      </w:r>
    </w:p>
    <w:p w:rsidR="00F54892" w:rsidRPr="005D7471" w:rsidRDefault="00F54892" w:rsidP="003C228D">
      <w:pPr>
        <w:spacing w:before="0" w:after="0" w:line="276" w:lineRule="auto"/>
        <w:ind w:left="720"/>
      </w:pPr>
      <w:r w:rsidRPr="005D7471">
        <w:t>Mechanical Engineering Draftspersons and Technicians</w:t>
      </w:r>
      <w:r w:rsidRPr="005D7471">
        <w:tab/>
        <w:t>15.0%</w:t>
      </w:r>
    </w:p>
    <w:p w:rsidR="00F54892" w:rsidRPr="005D7471" w:rsidRDefault="00F54892" w:rsidP="003C228D">
      <w:pPr>
        <w:spacing w:before="0" w:after="0" w:line="276" w:lineRule="auto"/>
        <w:ind w:left="720"/>
      </w:pPr>
      <w:r w:rsidRPr="005D7471">
        <w:t>Chemical and Materials Engineers</w:t>
      </w:r>
      <w:r w:rsidRPr="005D7471">
        <w:tab/>
      </w:r>
      <w:r w:rsidRPr="005D7471">
        <w:tab/>
      </w:r>
      <w:r w:rsidRPr="005D7471">
        <w:tab/>
        <w:t>11.1%</w:t>
      </w:r>
    </w:p>
    <w:p w:rsidR="00F54892" w:rsidRPr="005D7471" w:rsidRDefault="00F54892" w:rsidP="003C228D">
      <w:pPr>
        <w:spacing w:before="0" w:after="0" w:line="276" w:lineRule="auto"/>
        <w:ind w:left="720"/>
      </w:pPr>
      <w:r w:rsidRPr="005D7471">
        <w:t>Geologists, Geophysicists and Hydrogeologists</w:t>
      </w:r>
      <w:r w:rsidRPr="005D7471">
        <w:tab/>
      </w:r>
      <w:r w:rsidRPr="005D7471">
        <w:tab/>
        <w:t>10.6%</w:t>
      </w:r>
    </w:p>
    <w:p w:rsidR="00F54892" w:rsidRDefault="00F54892" w:rsidP="003C228D">
      <w:pPr>
        <w:spacing w:before="0" w:after="0" w:line="276" w:lineRule="auto"/>
        <w:ind w:left="720"/>
      </w:pPr>
      <w:r w:rsidRPr="005D7471">
        <w:t>Other Information and Organisation Professionals</w:t>
      </w:r>
      <w:r w:rsidRPr="005D7471">
        <w:tab/>
        <w:t>10.4%</w:t>
      </w:r>
    </w:p>
    <w:p w:rsidR="00F50F78" w:rsidRDefault="00F50F78" w:rsidP="003C228D">
      <w:pPr>
        <w:spacing w:before="0" w:after="0" w:line="276" w:lineRule="auto"/>
        <w:ind w:left="720"/>
      </w:pPr>
    </w:p>
    <w:p w:rsidR="00F50F78" w:rsidRDefault="00F50F78" w:rsidP="003C228D">
      <w:pPr>
        <w:spacing w:before="0" w:after="0" w:line="276" w:lineRule="auto"/>
      </w:pPr>
    </w:p>
    <w:p w:rsidR="00F50F78" w:rsidRPr="00F50F78" w:rsidRDefault="00F50F78" w:rsidP="003C228D">
      <w:pPr>
        <w:pStyle w:val="Pa15"/>
        <w:spacing w:before="340" w:after="100" w:line="276" w:lineRule="auto"/>
        <w:rPr>
          <w:rFonts w:cs="HelveticaNeueLT Std"/>
          <w:color w:val="003667"/>
          <w:sz w:val="30"/>
          <w:szCs w:val="30"/>
        </w:rPr>
      </w:pPr>
      <w:r w:rsidRPr="00F50F78">
        <w:rPr>
          <w:rFonts w:cs="HelveticaNeueLT Std"/>
          <w:color w:val="003667"/>
          <w:sz w:val="30"/>
          <w:szCs w:val="30"/>
        </w:rPr>
        <w:lastRenderedPageBreak/>
        <w:t>Programme review</w:t>
      </w:r>
    </w:p>
    <w:p w:rsidR="00F50F78" w:rsidRPr="00F54892" w:rsidRDefault="004A23CF" w:rsidP="003C228D">
      <w:pPr>
        <w:spacing w:before="0" w:line="276" w:lineRule="auto"/>
      </w:pPr>
      <w:r>
        <w:t xml:space="preserve">The </w:t>
      </w:r>
      <w:r w:rsidR="00FD6469">
        <w:t>D</w:t>
      </w:r>
      <w:r w:rsidR="00F50F78" w:rsidRPr="00F50F78">
        <w:t>epartm</w:t>
      </w:r>
      <w:r w:rsidR="00F50F78" w:rsidRPr="005D7471">
        <w:t>ent regularly reviews visa programmes</w:t>
      </w:r>
      <w:r w:rsidR="00AB23BC">
        <w:t>, including the 457 programme,</w:t>
      </w:r>
      <w:r w:rsidR="00F50F78" w:rsidRPr="005D7471">
        <w:t xml:space="preserve"> to identify and manage emerging risks</w:t>
      </w:r>
      <w:r w:rsidR="00F50F78">
        <w:t>, including through ongoing feedback from programme delivery areas and programme trends analysis in the context of broader labour market conditions</w:t>
      </w:r>
      <w:r w:rsidR="000A180D">
        <w:t>.</w:t>
      </w:r>
    </w:p>
    <w:p w:rsidR="003C39C5" w:rsidRDefault="003C39C5" w:rsidP="003C228D">
      <w:pPr>
        <w:spacing w:before="0" w:after="200" w:line="276" w:lineRule="auto"/>
        <w:rPr>
          <w:rFonts w:eastAsiaTheme="majorEastAsia" w:cstheme="majorBidi"/>
          <w:bCs/>
          <w:color w:val="034EA2" w:themeColor="accent1"/>
          <w:sz w:val="40"/>
          <w:szCs w:val="28"/>
        </w:rPr>
      </w:pPr>
      <w:r>
        <w:br w:type="page"/>
      </w:r>
    </w:p>
    <w:p w:rsidR="00151B33" w:rsidRPr="005D7471" w:rsidRDefault="00151B33" w:rsidP="003C228D">
      <w:pPr>
        <w:pStyle w:val="Heading1"/>
        <w:spacing w:line="276" w:lineRule="auto"/>
      </w:pPr>
      <w:bookmarkStart w:id="87" w:name="_Toc444499147"/>
      <w:r w:rsidRPr="005D7471">
        <w:lastRenderedPageBreak/>
        <w:t>Ap</w:t>
      </w:r>
      <w:r w:rsidR="003C39C5">
        <w:t>pendix 2</w:t>
      </w:r>
      <w:r w:rsidRPr="005D7471">
        <w:t xml:space="preserve"> – </w:t>
      </w:r>
      <w:r w:rsidR="00083415" w:rsidRPr="00083415">
        <w:t>Labour market testing</w:t>
      </w:r>
      <w:bookmarkEnd w:id="87"/>
      <w:r w:rsidR="00083415" w:rsidRPr="00083415" w:rsidDel="00083415">
        <w:t xml:space="preserve"> </w:t>
      </w:r>
      <w:bookmarkEnd w:id="83"/>
    </w:p>
    <w:p w:rsidR="00151B33" w:rsidRPr="005D7471" w:rsidRDefault="00151B33" w:rsidP="003C228D">
      <w:pPr>
        <w:spacing w:line="276" w:lineRule="auto"/>
      </w:pPr>
      <w:bookmarkStart w:id="88" w:name="_Toc410312489"/>
      <w:bookmarkStart w:id="89" w:name="_Toc410377157"/>
      <w:bookmarkStart w:id="90" w:name="_Toc410805174"/>
      <w:bookmarkStart w:id="91" w:name="_Toc410888722"/>
      <w:bookmarkStart w:id="92" w:name="_Toc410993610"/>
      <w:bookmarkStart w:id="93" w:name="_Toc411521516"/>
      <w:bookmarkStart w:id="94" w:name="_Toc411846275"/>
      <w:r w:rsidRPr="005D7471">
        <w:t>Source: Booklet 9</w:t>
      </w:r>
      <w:r w:rsidR="00BE4EC4" w:rsidRPr="005D7471">
        <w:t>:</w:t>
      </w:r>
      <w:r w:rsidRPr="005D7471">
        <w:t xml:space="preserve"> Temporary Work (Skilled) (subclass 457 visa)</w:t>
      </w:r>
      <w:bookmarkEnd w:id="88"/>
      <w:bookmarkEnd w:id="89"/>
      <w:bookmarkEnd w:id="90"/>
      <w:bookmarkEnd w:id="91"/>
      <w:bookmarkEnd w:id="92"/>
      <w:bookmarkEnd w:id="93"/>
      <w:bookmarkEnd w:id="94"/>
      <w:r w:rsidR="00083415">
        <w:rPr>
          <w:rStyle w:val="FootnoteReference"/>
        </w:rPr>
        <w:footnoteReference w:id="35"/>
      </w:r>
    </w:p>
    <w:p w:rsidR="00151B33" w:rsidRPr="005D7471" w:rsidRDefault="00151B33" w:rsidP="003C228D">
      <w:pPr>
        <w:pStyle w:val="Pa11"/>
        <w:spacing w:before="440" w:after="220" w:line="276" w:lineRule="auto"/>
        <w:rPr>
          <w:rFonts w:cs="HelveticaNeueLT Std"/>
          <w:color w:val="221E1F"/>
          <w:sz w:val="36"/>
          <w:szCs w:val="36"/>
        </w:rPr>
      </w:pPr>
      <w:r w:rsidRPr="005D7471">
        <w:rPr>
          <w:rFonts w:cs="HelveticaNeueLT Std"/>
          <w:b/>
          <w:bCs/>
          <w:color w:val="221E1F"/>
          <w:sz w:val="36"/>
          <w:szCs w:val="36"/>
        </w:rPr>
        <w:t xml:space="preserve">Labour market testing </w:t>
      </w:r>
      <w:r w:rsidR="000A180D">
        <w:rPr>
          <w:rFonts w:cs="HelveticaNeueLT Std"/>
          <w:b/>
          <w:bCs/>
          <w:color w:val="221E1F"/>
          <w:sz w:val="36"/>
          <w:szCs w:val="36"/>
        </w:rPr>
        <w:t>(LMT)</w:t>
      </w:r>
    </w:p>
    <w:p w:rsidR="00151B33" w:rsidRPr="005D7471" w:rsidRDefault="000A180D" w:rsidP="003C228D">
      <w:pPr>
        <w:pStyle w:val="Pa2"/>
        <w:spacing w:after="100" w:line="276" w:lineRule="auto"/>
        <w:rPr>
          <w:rFonts w:ascii="Arial" w:hAnsi="Arial" w:cs="Arial"/>
          <w:color w:val="221E1F"/>
          <w:sz w:val="20"/>
          <w:szCs w:val="20"/>
        </w:rPr>
      </w:pPr>
      <w:r>
        <w:rPr>
          <w:rFonts w:ascii="Arial" w:hAnsi="Arial" w:cs="Arial"/>
          <w:color w:val="221E1F"/>
          <w:sz w:val="20"/>
          <w:szCs w:val="20"/>
        </w:rPr>
        <w:t>The LMT</w:t>
      </w:r>
      <w:r w:rsidR="00151B33" w:rsidRPr="005D7471">
        <w:rPr>
          <w:rFonts w:ascii="Arial" w:hAnsi="Arial" w:cs="Arial"/>
          <w:color w:val="221E1F"/>
          <w:sz w:val="20"/>
          <w:szCs w:val="20"/>
        </w:rPr>
        <w:t xml:space="preserve"> requirement applies to </w:t>
      </w:r>
      <w:proofErr w:type="gramStart"/>
      <w:r w:rsidR="00151B33" w:rsidRPr="005D7471">
        <w:rPr>
          <w:rFonts w:ascii="Arial" w:hAnsi="Arial" w:cs="Arial"/>
          <w:color w:val="221E1F"/>
          <w:sz w:val="20"/>
          <w:szCs w:val="20"/>
        </w:rPr>
        <w:t>approved</w:t>
      </w:r>
      <w:proofErr w:type="gramEnd"/>
      <w:r w:rsidR="00151B33" w:rsidRPr="005D7471">
        <w:rPr>
          <w:rFonts w:ascii="Arial" w:hAnsi="Arial" w:cs="Arial"/>
          <w:color w:val="221E1F"/>
          <w:sz w:val="20"/>
          <w:szCs w:val="20"/>
        </w:rPr>
        <w:t xml:space="preserve"> standard business sponsors and does not apply to nominations lodged by parties to a labour agreement. </w:t>
      </w:r>
    </w:p>
    <w:p w:rsidR="00151B33" w:rsidRPr="005D7471" w:rsidRDefault="00151B33" w:rsidP="003C228D">
      <w:pPr>
        <w:pStyle w:val="Pa2"/>
        <w:spacing w:after="100" w:line="276" w:lineRule="auto"/>
        <w:rPr>
          <w:rFonts w:ascii="Arial" w:hAnsi="Arial" w:cs="Arial"/>
          <w:color w:val="221E1F"/>
          <w:sz w:val="20"/>
          <w:szCs w:val="20"/>
        </w:rPr>
      </w:pPr>
      <w:r w:rsidRPr="005D7471">
        <w:rPr>
          <w:rFonts w:ascii="Arial" w:hAnsi="Arial" w:cs="Arial"/>
          <w:color w:val="221E1F"/>
          <w:sz w:val="20"/>
          <w:szCs w:val="20"/>
        </w:rPr>
        <w:t xml:space="preserve">Standard business sponsors are required to test the local labour market before lodging a nomination and must provide information with their nomination about their attempts to recruit Australian workers and how they have determined on the basis of these attempts that there is no suitably qualified and experienced Australian citizen, Australian permanent resident or eligible temporary visa holder available to fill the position. </w:t>
      </w:r>
    </w:p>
    <w:p w:rsidR="00151B33" w:rsidRPr="005D7471" w:rsidRDefault="00151B33" w:rsidP="003C228D">
      <w:pPr>
        <w:pStyle w:val="Pa15"/>
        <w:spacing w:before="340" w:after="100" w:line="276" w:lineRule="auto"/>
        <w:rPr>
          <w:rFonts w:cs="HelveticaNeueLT Std"/>
          <w:color w:val="003667"/>
          <w:sz w:val="30"/>
          <w:szCs w:val="30"/>
        </w:rPr>
      </w:pPr>
      <w:r w:rsidRPr="005D7471">
        <w:rPr>
          <w:rFonts w:cs="HelveticaNeueLT Std"/>
          <w:color w:val="003667"/>
          <w:sz w:val="30"/>
          <w:szCs w:val="30"/>
        </w:rPr>
        <w:t xml:space="preserve">Eligible temporary visa holders </w:t>
      </w:r>
    </w:p>
    <w:p w:rsidR="00151B33" w:rsidRPr="005D7471" w:rsidRDefault="00151B33" w:rsidP="003C228D">
      <w:pPr>
        <w:pStyle w:val="Pa2"/>
        <w:spacing w:line="276" w:lineRule="auto"/>
        <w:rPr>
          <w:rFonts w:ascii="Arial" w:hAnsi="Arial" w:cs="Arial"/>
          <w:color w:val="221E1F"/>
          <w:sz w:val="20"/>
          <w:szCs w:val="20"/>
        </w:rPr>
      </w:pPr>
      <w:r w:rsidRPr="005D7471">
        <w:rPr>
          <w:rFonts w:ascii="Arial" w:hAnsi="Arial" w:cs="Arial"/>
          <w:color w:val="221E1F"/>
          <w:sz w:val="20"/>
          <w:szCs w:val="20"/>
        </w:rPr>
        <w:t xml:space="preserve">A person is an eligible temporary visa holder in relation to a nomination if, at the time the nomination is made: </w:t>
      </w:r>
    </w:p>
    <w:p w:rsidR="00151B33" w:rsidRPr="005D7471" w:rsidRDefault="00151B33" w:rsidP="003C228D">
      <w:pPr>
        <w:pStyle w:val="Default"/>
        <w:numPr>
          <w:ilvl w:val="0"/>
          <w:numId w:val="11"/>
        </w:numPr>
        <w:spacing w:line="276" w:lineRule="auto"/>
        <w:ind w:left="360" w:hanging="360"/>
        <w:rPr>
          <w:rFonts w:ascii="Arial" w:hAnsi="Arial" w:cs="Arial"/>
          <w:color w:val="221E1F"/>
          <w:sz w:val="20"/>
          <w:szCs w:val="20"/>
        </w:rPr>
      </w:pPr>
      <w:r w:rsidRPr="005D7471">
        <w:rPr>
          <w:rFonts w:ascii="Arial" w:hAnsi="Arial" w:cs="Arial"/>
          <w:color w:val="221E1F"/>
          <w:sz w:val="20"/>
          <w:szCs w:val="20"/>
        </w:rPr>
        <w:t xml:space="preserve">the person is the holder of a Working Holiday Maker (subclass 417) visa or a Work and Holiday (subclass 462) visa, and </w:t>
      </w:r>
    </w:p>
    <w:p w:rsidR="00151B33" w:rsidRPr="005D7471" w:rsidRDefault="00151B33" w:rsidP="003C228D">
      <w:pPr>
        <w:pStyle w:val="Default"/>
        <w:numPr>
          <w:ilvl w:val="0"/>
          <w:numId w:val="11"/>
        </w:numPr>
        <w:spacing w:line="276" w:lineRule="auto"/>
        <w:ind w:left="360" w:hanging="360"/>
        <w:rPr>
          <w:rFonts w:ascii="Arial" w:hAnsi="Arial" w:cs="Arial"/>
          <w:color w:val="221E1F"/>
          <w:sz w:val="20"/>
          <w:szCs w:val="20"/>
        </w:rPr>
      </w:pPr>
      <w:r w:rsidRPr="005D7471">
        <w:rPr>
          <w:rFonts w:ascii="Arial" w:hAnsi="Arial" w:cs="Arial"/>
          <w:color w:val="221E1F"/>
          <w:sz w:val="20"/>
          <w:szCs w:val="20"/>
        </w:rPr>
        <w:t xml:space="preserve">the person is employed in the agricultural sector by the nominating employer (or an associated entity of that business), and </w:t>
      </w:r>
    </w:p>
    <w:p w:rsidR="00151B33" w:rsidRPr="005D7471" w:rsidRDefault="00151B33" w:rsidP="003C228D">
      <w:pPr>
        <w:pStyle w:val="Default"/>
        <w:numPr>
          <w:ilvl w:val="0"/>
          <w:numId w:val="11"/>
        </w:numPr>
        <w:spacing w:line="276" w:lineRule="auto"/>
        <w:ind w:left="360" w:hanging="360"/>
        <w:rPr>
          <w:rFonts w:ascii="Arial" w:hAnsi="Arial" w:cs="Arial"/>
          <w:color w:val="221E1F"/>
          <w:sz w:val="20"/>
          <w:szCs w:val="20"/>
        </w:rPr>
      </w:pPr>
      <w:proofErr w:type="gramStart"/>
      <w:r w:rsidRPr="005D7471">
        <w:rPr>
          <w:rFonts w:ascii="Arial" w:hAnsi="Arial" w:cs="Arial"/>
          <w:color w:val="221E1F"/>
          <w:sz w:val="20"/>
          <w:szCs w:val="20"/>
        </w:rPr>
        <w:t>the</w:t>
      </w:r>
      <w:proofErr w:type="gramEnd"/>
      <w:r w:rsidRPr="005D7471">
        <w:rPr>
          <w:rFonts w:ascii="Arial" w:hAnsi="Arial" w:cs="Arial"/>
          <w:color w:val="221E1F"/>
          <w:sz w:val="20"/>
          <w:szCs w:val="20"/>
        </w:rPr>
        <w:t xml:space="preserve"> temporary visa does not prohibit the person from performing that employment. </w:t>
      </w:r>
    </w:p>
    <w:p w:rsidR="00151B33" w:rsidRPr="005D7471" w:rsidRDefault="00151B33" w:rsidP="003C228D">
      <w:pPr>
        <w:pStyle w:val="Pa15"/>
        <w:spacing w:before="340" w:after="100" w:line="276" w:lineRule="auto"/>
        <w:rPr>
          <w:rFonts w:cs="HelveticaNeueLT Std"/>
          <w:color w:val="003667"/>
          <w:sz w:val="30"/>
          <w:szCs w:val="30"/>
        </w:rPr>
      </w:pPr>
      <w:r w:rsidRPr="005D7471">
        <w:rPr>
          <w:rFonts w:cs="HelveticaNeueLT Std"/>
          <w:color w:val="003667"/>
          <w:sz w:val="30"/>
          <w:szCs w:val="30"/>
        </w:rPr>
        <w:t xml:space="preserve">International trade obligations </w:t>
      </w:r>
    </w:p>
    <w:p w:rsidR="00151B33" w:rsidRPr="005D7471" w:rsidRDefault="00151B33" w:rsidP="003C228D">
      <w:pPr>
        <w:pStyle w:val="Pa2"/>
        <w:spacing w:line="276" w:lineRule="auto"/>
        <w:rPr>
          <w:rFonts w:ascii="Arial" w:hAnsi="Arial" w:cs="Arial"/>
          <w:color w:val="221E1F"/>
          <w:sz w:val="20"/>
          <w:szCs w:val="20"/>
        </w:rPr>
      </w:pPr>
      <w:r w:rsidRPr="005D7471">
        <w:rPr>
          <w:rFonts w:ascii="Arial" w:hAnsi="Arial" w:cs="Arial"/>
          <w:color w:val="221E1F"/>
          <w:sz w:val="20"/>
          <w:szCs w:val="20"/>
        </w:rPr>
        <w:t xml:space="preserve">LMT will not need to occur where it would conflict with Australia’s international trade obligations, in any of the following circumstances: </w:t>
      </w:r>
    </w:p>
    <w:p w:rsidR="00151B33" w:rsidRPr="005D7471" w:rsidRDefault="00151B33" w:rsidP="003C228D">
      <w:pPr>
        <w:pStyle w:val="Default"/>
        <w:numPr>
          <w:ilvl w:val="0"/>
          <w:numId w:val="12"/>
        </w:numPr>
        <w:spacing w:line="276" w:lineRule="auto"/>
        <w:ind w:left="340" w:hanging="340"/>
        <w:rPr>
          <w:rFonts w:ascii="Arial" w:hAnsi="Arial" w:cs="Arial"/>
          <w:color w:val="221E1F"/>
          <w:sz w:val="20"/>
          <w:szCs w:val="20"/>
        </w:rPr>
      </w:pPr>
      <w:r w:rsidRPr="005D7471">
        <w:rPr>
          <w:rFonts w:ascii="Arial" w:hAnsi="Arial" w:cs="Arial"/>
          <w:color w:val="221E1F"/>
          <w:sz w:val="20"/>
          <w:szCs w:val="20"/>
        </w:rPr>
        <w:t xml:space="preserve">The worker you nominate is a citizen of Chile or Thailand, or a citizen/permanent resident of New Zealand. </w:t>
      </w:r>
    </w:p>
    <w:p w:rsidR="00151B33" w:rsidRPr="005D7471" w:rsidRDefault="00151B33" w:rsidP="003C228D">
      <w:pPr>
        <w:pStyle w:val="Default"/>
        <w:numPr>
          <w:ilvl w:val="0"/>
          <w:numId w:val="12"/>
        </w:numPr>
        <w:spacing w:line="276" w:lineRule="auto"/>
        <w:ind w:left="340" w:hanging="340"/>
        <w:rPr>
          <w:rFonts w:ascii="Arial" w:hAnsi="Arial" w:cs="Arial"/>
          <w:color w:val="221E1F"/>
          <w:sz w:val="20"/>
          <w:szCs w:val="20"/>
        </w:rPr>
      </w:pPr>
      <w:r w:rsidRPr="005D7471">
        <w:rPr>
          <w:rFonts w:ascii="Arial" w:hAnsi="Arial" w:cs="Arial"/>
          <w:color w:val="221E1F"/>
          <w:sz w:val="20"/>
          <w:szCs w:val="20"/>
        </w:rPr>
        <w:t xml:space="preserve">The worker you nominate is a current employee of a business that is an associated entity of your business that is located in an Association of Southeast Asian Nations (ASEAN) country (Brunei, Myanmar, Cambodia, Indonesia, Laos, Malaysia, Philippines, Singapore, Thailand and Vietnam), Chile or New Zealand. </w:t>
      </w:r>
    </w:p>
    <w:p w:rsidR="00151B33" w:rsidRPr="005D7471" w:rsidRDefault="00151B33" w:rsidP="003C228D">
      <w:pPr>
        <w:pStyle w:val="Default"/>
        <w:numPr>
          <w:ilvl w:val="0"/>
          <w:numId w:val="12"/>
        </w:numPr>
        <w:spacing w:line="276" w:lineRule="auto"/>
        <w:ind w:left="340" w:hanging="340"/>
        <w:rPr>
          <w:rFonts w:ascii="Arial" w:hAnsi="Arial" w:cs="Arial"/>
          <w:color w:val="221E1F"/>
          <w:sz w:val="20"/>
          <w:szCs w:val="20"/>
        </w:rPr>
      </w:pPr>
      <w:r w:rsidRPr="005D7471">
        <w:rPr>
          <w:rFonts w:ascii="Arial" w:hAnsi="Arial" w:cs="Arial"/>
          <w:color w:val="221E1F"/>
          <w:sz w:val="20"/>
          <w:szCs w:val="20"/>
        </w:rPr>
        <w:t xml:space="preserve">The worker you nominate is a current employee of an associated entity of your business who operates in a country that is a member of the World Trade Organization, where the nominated occupation is listed on the Department’s website as an Executive or Senior Manager and the nominee will be responsible for the entire or a substantial part of your company’s operations in Australia. </w:t>
      </w:r>
    </w:p>
    <w:p w:rsidR="00151B33" w:rsidRPr="005D7471" w:rsidRDefault="00151B33" w:rsidP="003C228D">
      <w:pPr>
        <w:pStyle w:val="Default"/>
        <w:numPr>
          <w:ilvl w:val="0"/>
          <w:numId w:val="12"/>
        </w:numPr>
        <w:spacing w:line="276" w:lineRule="auto"/>
        <w:ind w:left="340" w:hanging="340"/>
        <w:rPr>
          <w:rFonts w:ascii="Arial" w:hAnsi="Arial" w:cs="Arial"/>
          <w:color w:val="221E1F"/>
          <w:sz w:val="20"/>
          <w:szCs w:val="20"/>
        </w:rPr>
      </w:pPr>
      <w:r w:rsidRPr="005D7471">
        <w:rPr>
          <w:rFonts w:ascii="Arial" w:hAnsi="Arial" w:cs="Arial"/>
          <w:color w:val="221E1F"/>
          <w:sz w:val="20"/>
          <w:szCs w:val="20"/>
        </w:rPr>
        <w:t xml:space="preserve">Your business currently operates in a World Trade Organization member country and is seeking to establish a business in Australia, where the nominated occupation is listed on the Department’s website as an Executive or Senior Manager. </w:t>
      </w:r>
    </w:p>
    <w:p w:rsidR="00151B33" w:rsidRPr="005D7471" w:rsidRDefault="00151B33" w:rsidP="003C228D">
      <w:pPr>
        <w:pStyle w:val="Default"/>
        <w:numPr>
          <w:ilvl w:val="0"/>
          <w:numId w:val="12"/>
        </w:numPr>
        <w:spacing w:line="276" w:lineRule="auto"/>
        <w:ind w:left="340" w:hanging="340"/>
        <w:rPr>
          <w:rFonts w:ascii="Arial" w:hAnsi="Arial" w:cs="Arial"/>
          <w:color w:val="221E1F"/>
          <w:sz w:val="20"/>
          <w:szCs w:val="20"/>
        </w:rPr>
      </w:pPr>
      <w:r w:rsidRPr="005D7471">
        <w:rPr>
          <w:rFonts w:ascii="Arial" w:hAnsi="Arial" w:cs="Arial"/>
          <w:color w:val="221E1F"/>
          <w:sz w:val="20"/>
          <w:szCs w:val="20"/>
        </w:rPr>
        <w:t>The worker you nominate is a citizen of a World Trade Organization member country and has worked</w:t>
      </w:r>
      <w:r w:rsidR="00571430" w:rsidRPr="005D7471">
        <w:rPr>
          <w:rFonts w:ascii="Arial" w:hAnsi="Arial" w:cs="Arial"/>
          <w:color w:val="221E1F"/>
          <w:sz w:val="20"/>
          <w:szCs w:val="20"/>
        </w:rPr>
        <w:t xml:space="preserve"> for you in Australia on a full–</w:t>
      </w:r>
      <w:r w:rsidRPr="005D7471">
        <w:rPr>
          <w:rFonts w:ascii="Arial" w:hAnsi="Arial" w:cs="Arial"/>
          <w:color w:val="221E1F"/>
          <w:sz w:val="20"/>
          <w:szCs w:val="20"/>
        </w:rPr>
        <w:t xml:space="preserve">time basis for the last </w:t>
      </w:r>
      <w:r w:rsidR="00BE4EC4" w:rsidRPr="005D7471">
        <w:rPr>
          <w:rFonts w:ascii="Arial" w:hAnsi="Arial" w:cs="Arial"/>
          <w:color w:val="221E1F"/>
          <w:sz w:val="20"/>
          <w:szCs w:val="20"/>
        </w:rPr>
        <w:t>two</w:t>
      </w:r>
      <w:r w:rsidRPr="005D7471">
        <w:rPr>
          <w:rFonts w:ascii="Arial" w:hAnsi="Arial" w:cs="Arial"/>
          <w:color w:val="221E1F"/>
          <w:sz w:val="20"/>
          <w:szCs w:val="20"/>
        </w:rPr>
        <w:t xml:space="preserve"> years. </w:t>
      </w:r>
    </w:p>
    <w:p w:rsidR="00F91C06" w:rsidRDefault="00F91C06" w:rsidP="003C228D">
      <w:pPr>
        <w:autoSpaceDE w:val="0"/>
        <w:autoSpaceDN w:val="0"/>
        <w:adjustRightInd w:val="0"/>
        <w:spacing w:before="0" w:after="0" w:line="276" w:lineRule="auto"/>
        <w:rPr>
          <w:rFonts w:eastAsiaTheme="minorHAnsi" w:cs="Arial"/>
          <w:color w:val="221E1F"/>
          <w:lang w:eastAsia="en-US"/>
        </w:rPr>
      </w:pPr>
    </w:p>
    <w:p w:rsidR="00083415" w:rsidRPr="00CB1AA0" w:rsidRDefault="00083415" w:rsidP="003C228D">
      <w:pPr>
        <w:autoSpaceDE w:val="0"/>
        <w:autoSpaceDN w:val="0"/>
        <w:adjustRightInd w:val="0"/>
        <w:spacing w:before="0" w:after="0" w:line="276" w:lineRule="auto"/>
        <w:rPr>
          <w:rFonts w:cs="Arial"/>
          <w:color w:val="221E1F"/>
        </w:rPr>
      </w:pPr>
      <w:r w:rsidRPr="00CB1AA0">
        <w:rPr>
          <w:rFonts w:eastAsiaTheme="minorHAnsi" w:cs="Arial"/>
          <w:color w:val="221E1F"/>
          <w:lang w:eastAsia="en-US"/>
        </w:rPr>
        <w:lastRenderedPageBreak/>
        <w:t>For further information on the occupations which are considered to be Executives or Senior Managers for</w:t>
      </w:r>
      <w:r w:rsidR="00CB1AA0" w:rsidRPr="00CB1AA0">
        <w:rPr>
          <w:rFonts w:eastAsiaTheme="minorHAnsi" w:cs="Arial"/>
          <w:color w:val="221E1F"/>
          <w:lang w:eastAsia="en-US"/>
        </w:rPr>
        <w:t xml:space="preserve"> </w:t>
      </w:r>
      <w:r w:rsidRPr="00CB1AA0">
        <w:rPr>
          <w:rFonts w:eastAsiaTheme="minorHAnsi" w:cs="Arial"/>
          <w:color w:val="221E1F"/>
          <w:lang w:eastAsia="en-US"/>
        </w:rPr>
        <w:t>the purposes of Australia’s international trade o</w:t>
      </w:r>
      <w:r w:rsidR="00F91C06">
        <w:rPr>
          <w:rFonts w:eastAsiaTheme="minorHAnsi" w:cs="Arial"/>
          <w:color w:val="221E1F"/>
          <w:lang w:eastAsia="en-US"/>
        </w:rPr>
        <w:t>bligations please refer to the D</w:t>
      </w:r>
      <w:r w:rsidRPr="00CB1AA0">
        <w:rPr>
          <w:rFonts w:eastAsiaTheme="minorHAnsi" w:cs="Arial"/>
          <w:color w:val="221E1F"/>
          <w:lang w:eastAsia="en-US"/>
        </w:rPr>
        <w:t>epartment’s website</w:t>
      </w:r>
      <w:r w:rsidR="00480888">
        <w:rPr>
          <w:rFonts w:eastAsiaTheme="minorHAnsi" w:cs="Arial"/>
          <w:color w:val="221E1F"/>
          <w:lang w:eastAsia="en-US"/>
        </w:rPr>
        <w:t>:</w:t>
      </w:r>
      <w:r w:rsidR="00480888">
        <w:rPr>
          <w:rFonts w:cs="Arial"/>
          <w:color w:val="221E1F"/>
        </w:rPr>
        <w:t xml:space="preserve"> </w:t>
      </w:r>
      <w:r w:rsidRPr="00CB1AA0">
        <w:rPr>
          <w:rFonts w:eastAsiaTheme="minorHAnsi" w:cs="Arial"/>
          <w:color w:val="221E1F"/>
          <w:lang w:eastAsia="en-US"/>
        </w:rPr>
        <w:t>www.border.gov.au/trav/visa-1/457-</w:t>
      </w:r>
    </w:p>
    <w:p w:rsidR="00083415" w:rsidRDefault="00083415" w:rsidP="003C228D">
      <w:pPr>
        <w:pStyle w:val="Pa2"/>
        <w:spacing w:line="276" w:lineRule="auto"/>
        <w:rPr>
          <w:rFonts w:ascii="Arial" w:hAnsi="Arial" w:cs="Arial"/>
          <w:color w:val="221E1F"/>
          <w:sz w:val="20"/>
          <w:szCs w:val="20"/>
        </w:rPr>
      </w:pPr>
    </w:p>
    <w:p w:rsidR="00CB1AA0" w:rsidRPr="00480888" w:rsidRDefault="00083415" w:rsidP="003C228D">
      <w:pPr>
        <w:autoSpaceDE w:val="0"/>
        <w:autoSpaceDN w:val="0"/>
        <w:adjustRightInd w:val="0"/>
        <w:spacing w:before="0" w:after="0" w:line="276" w:lineRule="auto"/>
        <w:rPr>
          <w:rFonts w:eastAsiaTheme="minorHAnsi" w:cs="Arial"/>
          <w:color w:val="221E1F"/>
          <w:lang w:eastAsia="en-US"/>
        </w:rPr>
      </w:pPr>
      <w:r w:rsidRPr="006C52A7">
        <w:rPr>
          <w:rFonts w:eastAsiaTheme="minorHAnsi" w:cs="Arial"/>
          <w:color w:val="221E1F"/>
          <w:lang w:eastAsia="en-US"/>
        </w:rPr>
        <w:t>Countries which are members of the World Trade Organization are lis</w:t>
      </w:r>
      <w:r w:rsidR="00F91C06">
        <w:rPr>
          <w:rFonts w:eastAsiaTheme="minorHAnsi" w:cs="Arial"/>
          <w:color w:val="221E1F"/>
          <w:lang w:eastAsia="en-US"/>
        </w:rPr>
        <w:t>ted on the D</w:t>
      </w:r>
      <w:r w:rsidR="00CB1AA0" w:rsidRPr="006C52A7">
        <w:rPr>
          <w:rFonts w:eastAsiaTheme="minorHAnsi" w:cs="Arial"/>
          <w:color w:val="221E1F"/>
          <w:lang w:eastAsia="en-US"/>
        </w:rPr>
        <w:t>epartment’s website</w:t>
      </w:r>
      <w:r w:rsidR="00480888">
        <w:rPr>
          <w:rFonts w:eastAsiaTheme="minorHAnsi" w:cs="Arial"/>
          <w:color w:val="221E1F"/>
          <w:lang w:eastAsia="en-US"/>
        </w:rPr>
        <w:t xml:space="preserve">: </w:t>
      </w:r>
      <w:r w:rsidRPr="006C52A7">
        <w:rPr>
          <w:rFonts w:eastAsiaTheme="minorHAnsi" w:cs="Arial"/>
          <w:color w:val="221E1F"/>
          <w:lang w:eastAsia="en-US"/>
        </w:rPr>
        <w:t>www.border.gov.au/trav/visa-1/457-</w:t>
      </w:r>
      <w:r w:rsidRPr="00083415" w:rsidDel="00083415">
        <w:rPr>
          <w:rFonts w:cs="Arial"/>
          <w:color w:val="221E1F"/>
        </w:rPr>
        <w:t xml:space="preserve"> </w:t>
      </w:r>
      <w:r w:rsidR="00CB1AA0">
        <w:rPr>
          <w:rFonts w:cs="Arial"/>
          <w:color w:val="221E1F"/>
        </w:rPr>
        <w:br/>
      </w:r>
    </w:p>
    <w:p w:rsidR="00151B33" w:rsidRPr="005D7471" w:rsidRDefault="00151B33" w:rsidP="003C228D">
      <w:pPr>
        <w:pStyle w:val="Pa2"/>
        <w:spacing w:line="276" w:lineRule="auto"/>
        <w:rPr>
          <w:rFonts w:cs="HelveticaNeueLT Std"/>
          <w:color w:val="003667"/>
          <w:sz w:val="30"/>
          <w:szCs w:val="30"/>
        </w:rPr>
      </w:pPr>
      <w:r w:rsidRPr="005D7471">
        <w:rPr>
          <w:rFonts w:cs="HelveticaNeueLT Std"/>
          <w:color w:val="003667"/>
          <w:sz w:val="30"/>
          <w:szCs w:val="30"/>
        </w:rPr>
        <w:t xml:space="preserve">Occupation based exemptions from LMT </w:t>
      </w:r>
    </w:p>
    <w:p w:rsidR="00151B33" w:rsidRPr="005D7471" w:rsidRDefault="00151B33" w:rsidP="00480888">
      <w:pPr>
        <w:autoSpaceDE w:val="0"/>
        <w:autoSpaceDN w:val="0"/>
        <w:adjustRightInd w:val="0"/>
        <w:spacing w:before="0" w:after="0" w:line="276" w:lineRule="auto"/>
        <w:rPr>
          <w:rFonts w:eastAsiaTheme="minorHAnsi" w:cs="Arial"/>
          <w:color w:val="221E1F"/>
          <w:lang w:eastAsia="en-US"/>
        </w:rPr>
      </w:pPr>
      <w:r w:rsidRPr="005D7471">
        <w:rPr>
          <w:rFonts w:eastAsiaTheme="minorHAnsi" w:cs="Arial"/>
          <w:color w:val="221E1F"/>
          <w:lang w:eastAsia="en-US"/>
        </w:rPr>
        <w:t xml:space="preserve">If an international trade obligation does not apply to the nomination, there may still be an exemption from the requirement to provide evidence of labour market testing depending on the occupation that is being nominated. For a full list of occupations for which LMT is required, refer to the </w:t>
      </w:r>
      <w:r w:rsidR="00F91C06">
        <w:rPr>
          <w:rFonts w:eastAsiaTheme="minorHAnsi" w:cs="Arial"/>
          <w:color w:val="221E1F"/>
          <w:lang w:eastAsia="en-US"/>
        </w:rPr>
        <w:t>D</w:t>
      </w:r>
      <w:r w:rsidRPr="005D7471">
        <w:rPr>
          <w:rFonts w:eastAsiaTheme="minorHAnsi" w:cs="Arial"/>
          <w:color w:val="221E1F"/>
          <w:lang w:eastAsia="en-US"/>
        </w:rPr>
        <w:t>epartment’s website</w:t>
      </w:r>
      <w:r w:rsidR="00480888">
        <w:rPr>
          <w:rFonts w:eastAsiaTheme="minorHAnsi" w:cs="Arial"/>
          <w:color w:val="221E1F"/>
          <w:lang w:eastAsia="en-US"/>
        </w:rPr>
        <w:t xml:space="preserve">: </w:t>
      </w:r>
      <w:r w:rsidR="00083415" w:rsidRPr="006C52A7">
        <w:rPr>
          <w:rFonts w:eastAsiaTheme="minorHAnsi" w:cs="Arial"/>
          <w:color w:val="221E1F"/>
          <w:lang w:eastAsia="en-US"/>
        </w:rPr>
        <w:t>www.border.gov.au/trav/visa-1/457-</w:t>
      </w:r>
    </w:p>
    <w:p w:rsidR="00151B33" w:rsidRPr="005D7471" w:rsidRDefault="00151B33" w:rsidP="003C228D">
      <w:pPr>
        <w:autoSpaceDE w:val="0"/>
        <w:autoSpaceDN w:val="0"/>
        <w:adjustRightInd w:val="0"/>
        <w:spacing w:before="340" w:after="100" w:line="276" w:lineRule="auto"/>
        <w:rPr>
          <w:rFonts w:ascii="HelveticaNeueLT Std" w:eastAsiaTheme="minorHAnsi" w:hAnsi="HelveticaNeueLT Std" w:cs="HelveticaNeueLT Std"/>
          <w:color w:val="003667"/>
          <w:sz w:val="30"/>
          <w:szCs w:val="30"/>
          <w:lang w:eastAsia="en-US"/>
        </w:rPr>
      </w:pPr>
      <w:r w:rsidRPr="005D7471">
        <w:rPr>
          <w:rFonts w:ascii="HelveticaNeueLT Std" w:eastAsiaTheme="minorHAnsi" w:hAnsi="HelveticaNeueLT Std" w:cs="HelveticaNeueLT Std"/>
          <w:color w:val="003667"/>
          <w:sz w:val="30"/>
          <w:szCs w:val="30"/>
          <w:lang w:eastAsia="en-US"/>
        </w:rPr>
        <w:t xml:space="preserve">Major disasters </w:t>
      </w:r>
    </w:p>
    <w:p w:rsidR="00151B33" w:rsidRPr="005D7471" w:rsidRDefault="00151B33" w:rsidP="003C228D">
      <w:pPr>
        <w:autoSpaceDE w:val="0"/>
        <w:autoSpaceDN w:val="0"/>
        <w:adjustRightInd w:val="0"/>
        <w:spacing w:before="0" w:after="100" w:line="276" w:lineRule="auto"/>
        <w:rPr>
          <w:rFonts w:eastAsiaTheme="minorHAnsi" w:cs="Arial"/>
          <w:color w:val="221E1F"/>
          <w:lang w:eastAsia="en-US"/>
        </w:rPr>
      </w:pPr>
      <w:r w:rsidRPr="005D7471">
        <w:rPr>
          <w:rFonts w:eastAsiaTheme="minorHAnsi" w:cs="Arial"/>
          <w:color w:val="221E1F"/>
          <w:lang w:eastAsia="en-US"/>
        </w:rPr>
        <w:t>If a major disaster has occurred in Australia an exem</w:t>
      </w:r>
      <w:r w:rsidR="00F91C06">
        <w:rPr>
          <w:rFonts w:eastAsiaTheme="minorHAnsi" w:cs="Arial"/>
          <w:color w:val="221E1F"/>
          <w:lang w:eastAsia="en-US"/>
        </w:rPr>
        <w:t>ption from LMT</w:t>
      </w:r>
      <w:r w:rsidRPr="005D7471">
        <w:rPr>
          <w:rFonts w:eastAsiaTheme="minorHAnsi" w:cs="Arial"/>
          <w:color w:val="221E1F"/>
          <w:lang w:eastAsia="en-US"/>
        </w:rPr>
        <w:t xml:space="preserve"> may be provided in order to assist disaster relief or recovery. This exemption can only be granted, in writing, by the Minister for Immigration and Border Protection. </w:t>
      </w:r>
    </w:p>
    <w:p w:rsidR="00151B33" w:rsidRPr="005D7471" w:rsidRDefault="00151B33" w:rsidP="003C228D">
      <w:pPr>
        <w:autoSpaceDE w:val="0"/>
        <w:autoSpaceDN w:val="0"/>
        <w:adjustRightInd w:val="0"/>
        <w:spacing w:before="340" w:after="100" w:line="276" w:lineRule="auto"/>
        <w:rPr>
          <w:rFonts w:ascii="HelveticaNeueLT Std" w:eastAsiaTheme="minorHAnsi" w:hAnsi="HelveticaNeueLT Std" w:cs="HelveticaNeueLT Std"/>
          <w:color w:val="003667"/>
          <w:sz w:val="30"/>
          <w:szCs w:val="30"/>
          <w:lang w:eastAsia="en-US"/>
        </w:rPr>
      </w:pPr>
      <w:r w:rsidRPr="005D7471">
        <w:rPr>
          <w:rFonts w:ascii="HelveticaNeueLT Std" w:eastAsiaTheme="minorHAnsi" w:hAnsi="HelveticaNeueLT Std" w:cs="HelveticaNeueLT Std"/>
          <w:color w:val="003667"/>
          <w:sz w:val="30"/>
          <w:szCs w:val="30"/>
          <w:lang w:eastAsia="en-US"/>
        </w:rPr>
        <w:t xml:space="preserve">Period in which LMT must have been undertaken </w:t>
      </w:r>
    </w:p>
    <w:p w:rsidR="00151B33" w:rsidRPr="005D7471" w:rsidRDefault="00F91C06" w:rsidP="003C228D">
      <w:pPr>
        <w:autoSpaceDE w:val="0"/>
        <w:autoSpaceDN w:val="0"/>
        <w:adjustRightInd w:val="0"/>
        <w:spacing w:before="0" w:after="100" w:line="276" w:lineRule="auto"/>
        <w:rPr>
          <w:rFonts w:eastAsiaTheme="minorHAnsi" w:cs="Arial"/>
          <w:color w:val="221E1F"/>
          <w:lang w:eastAsia="en-US"/>
        </w:rPr>
      </w:pPr>
      <w:r>
        <w:rPr>
          <w:rFonts w:eastAsiaTheme="minorHAnsi" w:cs="Arial"/>
          <w:color w:val="221E1F"/>
          <w:lang w:eastAsia="en-US"/>
        </w:rPr>
        <w:t>LMT</w:t>
      </w:r>
      <w:r w:rsidR="00151B33" w:rsidRPr="005D7471">
        <w:rPr>
          <w:rFonts w:eastAsiaTheme="minorHAnsi" w:cs="Arial"/>
          <w:color w:val="221E1F"/>
          <w:lang w:eastAsia="en-US"/>
        </w:rPr>
        <w:t xml:space="preserve"> must have been undertaken within the previous 12 months before lodging a nomination. </w:t>
      </w:r>
    </w:p>
    <w:p w:rsidR="00151B33" w:rsidRPr="005D7471" w:rsidRDefault="00151B33" w:rsidP="003C228D">
      <w:pPr>
        <w:autoSpaceDE w:val="0"/>
        <w:autoSpaceDN w:val="0"/>
        <w:adjustRightInd w:val="0"/>
        <w:spacing w:before="340" w:after="100" w:line="276" w:lineRule="auto"/>
        <w:rPr>
          <w:rFonts w:ascii="HelveticaNeueLT Std" w:eastAsiaTheme="minorHAnsi" w:hAnsi="HelveticaNeueLT Std" w:cs="HelveticaNeueLT Std"/>
          <w:color w:val="003667"/>
          <w:sz w:val="30"/>
          <w:szCs w:val="30"/>
          <w:lang w:eastAsia="en-US"/>
        </w:rPr>
      </w:pPr>
      <w:r w:rsidRPr="005D7471">
        <w:rPr>
          <w:rFonts w:ascii="HelveticaNeueLT Std" w:eastAsiaTheme="minorHAnsi" w:hAnsi="HelveticaNeueLT Std" w:cs="HelveticaNeueLT Std"/>
          <w:color w:val="003667"/>
          <w:sz w:val="30"/>
          <w:szCs w:val="30"/>
          <w:lang w:eastAsia="en-US"/>
        </w:rPr>
        <w:t xml:space="preserve">Evidence of LMT </w:t>
      </w:r>
    </w:p>
    <w:p w:rsidR="00151B33" w:rsidRPr="005D7471" w:rsidRDefault="00151B33" w:rsidP="003C228D">
      <w:pPr>
        <w:autoSpaceDE w:val="0"/>
        <w:autoSpaceDN w:val="0"/>
        <w:adjustRightInd w:val="0"/>
        <w:spacing w:before="0" w:after="100" w:line="276" w:lineRule="auto"/>
        <w:rPr>
          <w:rFonts w:eastAsiaTheme="minorHAnsi" w:cs="Arial"/>
          <w:color w:val="221E1F"/>
          <w:lang w:eastAsia="en-US"/>
        </w:rPr>
      </w:pPr>
      <w:r w:rsidRPr="005D7471">
        <w:rPr>
          <w:rFonts w:eastAsiaTheme="minorHAnsi" w:cs="Arial"/>
          <w:color w:val="221E1F"/>
          <w:lang w:eastAsia="en-US"/>
        </w:rPr>
        <w:t xml:space="preserve">If you are not exempt from the LMT requirement, you must provide evidence of having tested the Australian labour market within the 12 months prior to lodging the nomination. This evidence must be provided at the time you lodge the nomination. If you do not attach this evidence to your application it cannot be approved and will be refused. </w:t>
      </w:r>
    </w:p>
    <w:p w:rsidR="00151B33" w:rsidRPr="005D7471" w:rsidRDefault="00151B33" w:rsidP="003C228D">
      <w:pPr>
        <w:autoSpaceDE w:val="0"/>
        <w:autoSpaceDN w:val="0"/>
        <w:adjustRightInd w:val="0"/>
        <w:spacing w:before="340" w:after="100" w:line="276" w:lineRule="auto"/>
        <w:rPr>
          <w:rFonts w:ascii="HelveticaNeueLT Std" w:eastAsiaTheme="minorHAnsi" w:hAnsi="HelveticaNeueLT Std" w:cs="HelveticaNeueLT Std"/>
          <w:color w:val="003667"/>
          <w:sz w:val="30"/>
          <w:szCs w:val="30"/>
          <w:lang w:eastAsia="en-US"/>
        </w:rPr>
      </w:pPr>
      <w:r w:rsidRPr="005D7471">
        <w:rPr>
          <w:rFonts w:ascii="HelveticaNeueLT Std" w:eastAsiaTheme="minorHAnsi" w:hAnsi="HelveticaNeueLT Std" w:cs="HelveticaNeueLT Std"/>
          <w:color w:val="003667"/>
          <w:sz w:val="30"/>
          <w:szCs w:val="30"/>
          <w:lang w:eastAsia="en-US"/>
        </w:rPr>
        <w:t xml:space="preserve">Mandatory evidence </w:t>
      </w:r>
    </w:p>
    <w:p w:rsidR="00151B33" w:rsidRPr="005D7471" w:rsidRDefault="00151B33" w:rsidP="003C228D">
      <w:pPr>
        <w:autoSpaceDE w:val="0"/>
        <w:autoSpaceDN w:val="0"/>
        <w:adjustRightInd w:val="0"/>
        <w:spacing w:before="0" w:after="100" w:line="276" w:lineRule="auto"/>
        <w:rPr>
          <w:rFonts w:eastAsiaTheme="minorHAnsi" w:cs="Arial"/>
          <w:color w:val="221E1F"/>
          <w:lang w:eastAsia="en-US"/>
        </w:rPr>
      </w:pPr>
      <w:r w:rsidRPr="005D7471">
        <w:rPr>
          <w:rFonts w:eastAsiaTheme="minorHAnsi" w:cs="Arial"/>
          <w:color w:val="221E1F"/>
          <w:lang w:eastAsia="en-US"/>
        </w:rPr>
        <w:t xml:space="preserve">You must provide information with the nomination about your attempts to recruit Australians, including the details and expenses of any advertising you conducted. </w:t>
      </w:r>
    </w:p>
    <w:p w:rsidR="00151B33" w:rsidRPr="006C52A7" w:rsidRDefault="00151B33" w:rsidP="003C228D">
      <w:pPr>
        <w:autoSpaceDE w:val="0"/>
        <w:autoSpaceDN w:val="0"/>
        <w:adjustRightInd w:val="0"/>
        <w:spacing w:before="0" w:after="100" w:line="276" w:lineRule="auto"/>
        <w:rPr>
          <w:rFonts w:eastAsiaTheme="minorHAnsi" w:cs="Arial"/>
          <w:color w:val="221E1F"/>
          <w:lang w:eastAsia="en-US"/>
        </w:rPr>
      </w:pPr>
      <w:r w:rsidRPr="005D7471">
        <w:rPr>
          <w:rFonts w:eastAsiaTheme="minorHAnsi" w:cs="Arial"/>
          <w:color w:val="221E1F"/>
          <w:lang w:eastAsia="en-US"/>
        </w:rPr>
        <w:t xml:space="preserve">You can complete the domestic recruitment table as evidence of your recruitment activities and attach it to your nomination. A copy of the table is available on the </w:t>
      </w:r>
      <w:r w:rsidR="00113998">
        <w:rPr>
          <w:rFonts w:eastAsiaTheme="minorHAnsi" w:cs="Arial"/>
          <w:color w:val="221E1F"/>
          <w:lang w:eastAsia="en-US"/>
        </w:rPr>
        <w:t>D</w:t>
      </w:r>
      <w:r w:rsidRPr="005D7471">
        <w:rPr>
          <w:rFonts w:eastAsiaTheme="minorHAnsi" w:cs="Arial"/>
          <w:color w:val="221E1F"/>
          <w:lang w:eastAsia="en-US"/>
        </w:rPr>
        <w:t>epartment’s website</w:t>
      </w:r>
      <w:r w:rsidR="00480888">
        <w:rPr>
          <w:rFonts w:eastAsiaTheme="minorHAnsi" w:cs="Arial"/>
          <w:color w:val="221E1F"/>
          <w:lang w:eastAsia="en-US"/>
        </w:rPr>
        <w:t xml:space="preserve">: </w:t>
      </w:r>
      <w:r w:rsidR="00083415" w:rsidRPr="006C52A7">
        <w:rPr>
          <w:rFonts w:eastAsiaTheme="minorHAnsi" w:cs="Arial"/>
          <w:color w:val="221E1F"/>
          <w:lang w:eastAsia="en-US"/>
        </w:rPr>
        <w:t>www.border.gov.au/trav/visa-1/457-</w:t>
      </w:r>
      <w:r w:rsidRPr="006C52A7">
        <w:rPr>
          <w:rFonts w:eastAsiaTheme="minorHAnsi" w:cs="Arial"/>
          <w:color w:val="221E1F"/>
          <w:lang w:eastAsia="en-US"/>
        </w:rPr>
        <w:t xml:space="preserve"> </w:t>
      </w:r>
    </w:p>
    <w:p w:rsidR="00151B33" w:rsidRPr="005D7471" w:rsidRDefault="00151B33" w:rsidP="003C228D">
      <w:pPr>
        <w:autoSpaceDE w:val="0"/>
        <w:autoSpaceDN w:val="0"/>
        <w:adjustRightInd w:val="0"/>
        <w:spacing w:before="340" w:after="100" w:line="276" w:lineRule="auto"/>
        <w:rPr>
          <w:rFonts w:ascii="HelveticaNeueLT Std" w:eastAsiaTheme="minorHAnsi" w:hAnsi="HelveticaNeueLT Std" w:cs="HelveticaNeueLT Std"/>
          <w:color w:val="003667"/>
          <w:sz w:val="30"/>
          <w:szCs w:val="30"/>
          <w:lang w:eastAsia="en-US"/>
        </w:rPr>
      </w:pPr>
      <w:r w:rsidRPr="005D7471">
        <w:rPr>
          <w:rFonts w:ascii="HelveticaNeueLT Std" w:eastAsiaTheme="minorHAnsi" w:hAnsi="HelveticaNeueLT Std" w:cs="HelveticaNeueLT Std"/>
          <w:color w:val="003667"/>
          <w:sz w:val="30"/>
          <w:szCs w:val="30"/>
          <w:lang w:eastAsia="en-US"/>
        </w:rPr>
        <w:t xml:space="preserve">Optional evidence </w:t>
      </w:r>
    </w:p>
    <w:p w:rsidR="00151B33" w:rsidRPr="005D7471" w:rsidRDefault="00151B33" w:rsidP="003C228D">
      <w:pPr>
        <w:autoSpaceDE w:val="0"/>
        <w:autoSpaceDN w:val="0"/>
        <w:adjustRightInd w:val="0"/>
        <w:spacing w:before="0" w:after="100" w:line="276" w:lineRule="auto"/>
        <w:rPr>
          <w:rFonts w:eastAsiaTheme="minorHAnsi" w:cs="Arial"/>
          <w:color w:val="221E1F"/>
          <w:lang w:eastAsia="en-US"/>
        </w:rPr>
      </w:pPr>
      <w:r w:rsidRPr="005D7471">
        <w:rPr>
          <w:rFonts w:eastAsiaTheme="minorHAnsi" w:cs="Arial"/>
          <w:color w:val="221E1F"/>
          <w:lang w:eastAsia="en-US"/>
        </w:rPr>
        <w:t xml:space="preserve">You may wish to provide other information and evidence about your attempts to recruit Australians, such as labour market research, expressions of support from Government employment agencies or information about your participation in job and career expositions. </w:t>
      </w:r>
    </w:p>
    <w:p w:rsidR="00F50F78" w:rsidRDefault="00F50F78" w:rsidP="003C228D">
      <w:pPr>
        <w:spacing w:before="0" w:after="200" w:line="276" w:lineRule="auto"/>
        <w:rPr>
          <w:rFonts w:ascii="HelveticaNeueLT Std" w:eastAsiaTheme="minorHAnsi" w:hAnsi="HelveticaNeueLT Std" w:cs="HelveticaNeueLT Std"/>
          <w:color w:val="003667"/>
          <w:sz w:val="30"/>
          <w:szCs w:val="30"/>
          <w:lang w:eastAsia="en-US"/>
        </w:rPr>
      </w:pPr>
      <w:r>
        <w:rPr>
          <w:rFonts w:ascii="HelveticaNeueLT Std" w:eastAsiaTheme="minorHAnsi" w:hAnsi="HelveticaNeueLT Std" w:cs="HelveticaNeueLT Std"/>
          <w:color w:val="003667"/>
          <w:sz w:val="30"/>
          <w:szCs w:val="30"/>
          <w:lang w:eastAsia="en-US"/>
        </w:rPr>
        <w:br w:type="page"/>
      </w:r>
    </w:p>
    <w:p w:rsidR="00151B33" w:rsidRPr="005D7471" w:rsidRDefault="00151B33" w:rsidP="003C228D">
      <w:pPr>
        <w:autoSpaceDE w:val="0"/>
        <w:autoSpaceDN w:val="0"/>
        <w:adjustRightInd w:val="0"/>
        <w:spacing w:before="340" w:after="100" w:line="276" w:lineRule="auto"/>
        <w:rPr>
          <w:rFonts w:ascii="HelveticaNeueLT Std" w:eastAsiaTheme="minorHAnsi" w:hAnsi="HelveticaNeueLT Std" w:cs="HelveticaNeueLT Std"/>
          <w:color w:val="003667"/>
          <w:sz w:val="30"/>
          <w:szCs w:val="30"/>
          <w:lang w:eastAsia="en-US"/>
        </w:rPr>
      </w:pPr>
      <w:r w:rsidRPr="005D7471">
        <w:rPr>
          <w:rFonts w:ascii="HelveticaNeueLT Std" w:eastAsiaTheme="minorHAnsi" w:hAnsi="HelveticaNeueLT Std" w:cs="HelveticaNeueLT Std"/>
          <w:color w:val="003667"/>
          <w:sz w:val="30"/>
          <w:szCs w:val="30"/>
          <w:lang w:eastAsia="en-US"/>
        </w:rPr>
        <w:lastRenderedPageBreak/>
        <w:t xml:space="preserve">Redundancies or retrenchments </w:t>
      </w:r>
    </w:p>
    <w:p w:rsidR="00151B33" w:rsidRPr="005D7471" w:rsidRDefault="00151B33" w:rsidP="003C228D">
      <w:pPr>
        <w:autoSpaceDE w:val="0"/>
        <w:autoSpaceDN w:val="0"/>
        <w:adjustRightInd w:val="0"/>
        <w:spacing w:before="0" w:after="100" w:line="276" w:lineRule="auto"/>
        <w:rPr>
          <w:rFonts w:eastAsiaTheme="minorHAnsi" w:cs="Arial"/>
          <w:color w:val="221E1F"/>
          <w:lang w:eastAsia="en-US"/>
        </w:rPr>
      </w:pPr>
      <w:r w:rsidRPr="005D7471">
        <w:rPr>
          <w:rFonts w:eastAsiaTheme="minorHAnsi" w:cs="Arial"/>
          <w:color w:val="221E1F"/>
          <w:lang w:eastAsia="en-US"/>
        </w:rPr>
        <w:t xml:space="preserve">If an Australian citizen or permanent resident has been retrenched or made redundant in your business, or an associated entity of your business, within the </w:t>
      </w:r>
      <w:r w:rsidR="00356912" w:rsidRPr="005D7471">
        <w:rPr>
          <w:rFonts w:eastAsiaTheme="minorHAnsi" w:cs="Arial"/>
          <w:color w:val="221E1F"/>
          <w:lang w:eastAsia="en-US"/>
        </w:rPr>
        <w:t xml:space="preserve">four </w:t>
      </w:r>
      <w:r w:rsidRPr="005D7471">
        <w:rPr>
          <w:rFonts w:eastAsiaTheme="minorHAnsi" w:cs="Arial"/>
          <w:color w:val="221E1F"/>
          <w:lang w:eastAsia="en-US"/>
        </w:rPr>
        <w:t xml:space="preserve">months prior to lodging a nomination, you must also provide information about those redundancies or retrenchments. </w:t>
      </w:r>
    </w:p>
    <w:p w:rsidR="00151B33" w:rsidRDefault="00151B33" w:rsidP="003C228D">
      <w:pPr>
        <w:spacing w:line="276" w:lineRule="auto"/>
      </w:pPr>
      <w:r w:rsidRPr="005D7471">
        <w:rPr>
          <w:rFonts w:eastAsiaTheme="minorHAnsi" w:cs="Arial"/>
          <w:color w:val="221E1F"/>
          <w:lang w:eastAsia="en-US"/>
        </w:rPr>
        <w:t>You must have undertaken LMT after those redundancies or retrenchments, and you must provide information and evidence of that labour market testing with your nomination.</w:t>
      </w:r>
      <w:r w:rsidR="00B104D8" w:rsidRPr="005D7471" w:rsidDel="00B104D8">
        <w:rPr>
          <w:rFonts w:eastAsiaTheme="minorHAnsi" w:cs="Arial"/>
          <w:color w:val="221E1F"/>
          <w:lang w:eastAsia="en-US"/>
        </w:rPr>
        <w:t xml:space="preserve"> </w:t>
      </w:r>
    </w:p>
    <w:sectPr w:rsidR="00151B33" w:rsidSect="001F4C23">
      <w:headerReference w:type="even" r:id="rId15"/>
      <w:headerReference w:type="default" r:id="rId16"/>
      <w:headerReference w:type="first" r:id="rId17"/>
      <w:pgSz w:w="11907" w:h="16839" w:code="9"/>
      <w:pgMar w:top="1134" w:right="1134" w:bottom="1418" w:left="2098" w:header="567"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54D" w:rsidRDefault="00F8654D" w:rsidP="005269A5">
      <w:r>
        <w:separator/>
      </w:r>
    </w:p>
  </w:endnote>
  <w:endnote w:type="continuationSeparator" w:id="0">
    <w:p w:rsidR="00F8654D" w:rsidRDefault="00F8654D" w:rsidP="00526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54D" w:rsidRDefault="00F8654D">
    <w:pPr>
      <w:pStyle w:val="Footer"/>
    </w:pPr>
    <w:r>
      <w:t xml:space="preserve">457 Programme Post Implementation Review – 2013 Legislative Amendments | </w:t>
    </w:r>
    <w:r w:rsidRPr="00E97E0F">
      <w:fldChar w:fldCharType="begin"/>
    </w:r>
    <w:r w:rsidRPr="00E97E0F">
      <w:instrText xml:space="preserve"> PAGE   \* MERGEFORMAT </w:instrText>
    </w:r>
    <w:r w:rsidRPr="00E97E0F">
      <w:fldChar w:fldCharType="separate"/>
    </w:r>
    <w:r w:rsidR="005D45DD">
      <w:rPr>
        <w:noProof/>
      </w:rPr>
      <w:t>2</w:t>
    </w:r>
    <w:r w:rsidRPr="00E97E0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54D" w:rsidRDefault="00F8654D" w:rsidP="005269A5">
      <w:r>
        <w:separator/>
      </w:r>
    </w:p>
  </w:footnote>
  <w:footnote w:type="continuationSeparator" w:id="0">
    <w:p w:rsidR="00F8654D" w:rsidRDefault="00F8654D" w:rsidP="005269A5">
      <w:r>
        <w:continuationSeparator/>
      </w:r>
    </w:p>
  </w:footnote>
  <w:footnote w:id="1">
    <w:p w:rsidR="00F8654D" w:rsidRDefault="00F8654D">
      <w:pPr>
        <w:pStyle w:val="FootnoteText"/>
      </w:pPr>
      <w:r>
        <w:rPr>
          <w:rStyle w:val="FootnoteReference"/>
        </w:rPr>
        <w:footnoteRef/>
      </w:r>
      <w:r>
        <w:t xml:space="preserve"> </w:t>
      </w:r>
      <w:r w:rsidRPr="006C52A7">
        <w:rPr>
          <w:sz w:val="16"/>
          <w:szCs w:val="16"/>
        </w:rPr>
        <w:t>See the OBPR website: http://ris.dpmc.gov.au/summary-compliance-reporting/post-implementation-reviews/</w:t>
      </w:r>
    </w:p>
  </w:footnote>
  <w:footnote w:id="2">
    <w:p w:rsidR="00F8654D" w:rsidRPr="00A9416B" w:rsidRDefault="00F8654D" w:rsidP="003C39C5">
      <w:pPr>
        <w:pStyle w:val="FootnoteText"/>
        <w:rPr>
          <w:sz w:val="16"/>
          <w:szCs w:val="16"/>
        </w:rPr>
      </w:pPr>
      <w:r w:rsidRPr="0050620E">
        <w:rPr>
          <w:rStyle w:val="FootnoteReference"/>
        </w:rPr>
        <w:footnoteRef/>
      </w:r>
      <w:r w:rsidRPr="00A9416B">
        <w:t xml:space="preserve"> </w:t>
      </w:r>
      <w:r w:rsidRPr="00A9416B">
        <w:rPr>
          <w:sz w:val="16"/>
          <w:szCs w:val="16"/>
        </w:rPr>
        <w:t>Australian Bureau of Statistics 8165.0 – Counts of Australian Businesses, including Entries and Exits, June 2009 to June 2013</w:t>
      </w:r>
      <w:r>
        <w:rPr>
          <w:sz w:val="16"/>
          <w:szCs w:val="16"/>
        </w:rPr>
        <w:t>.</w:t>
      </w:r>
    </w:p>
  </w:footnote>
  <w:footnote w:id="3">
    <w:p w:rsidR="00F8654D" w:rsidRPr="00A9416B" w:rsidRDefault="00F8654D" w:rsidP="003C39C5">
      <w:pPr>
        <w:pStyle w:val="FootnoteText"/>
      </w:pPr>
      <w:r w:rsidRPr="00A9416B">
        <w:rPr>
          <w:sz w:val="16"/>
          <w:szCs w:val="16"/>
        </w:rPr>
        <w:footnoteRef/>
      </w:r>
      <w:r w:rsidRPr="00A9416B">
        <w:rPr>
          <w:sz w:val="16"/>
          <w:szCs w:val="16"/>
        </w:rPr>
        <w:t xml:space="preserve"> </w:t>
      </w:r>
      <w:proofErr w:type="gramStart"/>
      <w:r>
        <w:rPr>
          <w:sz w:val="16"/>
          <w:szCs w:val="16"/>
        </w:rPr>
        <w:t xml:space="preserve">Department of Immigration and Border Protection Annual Report 2013-14 (2013-14 </w:t>
      </w:r>
      <w:r w:rsidRPr="00A9416B">
        <w:rPr>
          <w:sz w:val="16"/>
          <w:szCs w:val="16"/>
        </w:rPr>
        <w:t>Annual Report</w:t>
      </w:r>
      <w:r>
        <w:rPr>
          <w:sz w:val="16"/>
          <w:szCs w:val="16"/>
        </w:rPr>
        <w:t>)</w:t>
      </w:r>
      <w:r w:rsidRPr="00A9416B">
        <w:rPr>
          <w:sz w:val="16"/>
          <w:szCs w:val="16"/>
        </w:rPr>
        <w:t>, Table 23, page 72</w:t>
      </w:r>
      <w:r>
        <w:rPr>
          <w:sz w:val="16"/>
          <w:szCs w:val="16"/>
        </w:rPr>
        <w:t>.</w:t>
      </w:r>
      <w:proofErr w:type="gramEnd"/>
    </w:p>
  </w:footnote>
  <w:footnote w:id="4">
    <w:p w:rsidR="00F8654D" w:rsidRDefault="00F8654D" w:rsidP="003C39C5">
      <w:pPr>
        <w:pStyle w:val="FootnoteText"/>
      </w:pPr>
      <w:r w:rsidRPr="00A9416B">
        <w:rPr>
          <w:sz w:val="16"/>
          <w:szCs w:val="16"/>
        </w:rPr>
        <w:footnoteRef/>
      </w:r>
      <w:r w:rsidRPr="00A9416B">
        <w:rPr>
          <w:sz w:val="16"/>
          <w:szCs w:val="16"/>
        </w:rPr>
        <w:t xml:space="preserve"> </w:t>
      </w:r>
      <w:proofErr w:type="gramStart"/>
      <w:r w:rsidRPr="00A9416B">
        <w:rPr>
          <w:sz w:val="16"/>
          <w:szCs w:val="16"/>
        </w:rPr>
        <w:t>Noting that Government business enterprises and overseas businesses</w:t>
      </w:r>
      <w:r>
        <w:rPr>
          <w:sz w:val="16"/>
          <w:szCs w:val="16"/>
        </w:rPr>
        <w:t xml:space="preserve"> are excluded from the ABS data.</w:t>
      </w:r>
      <w:proofErr w:type="gramEnd"/>
    </w:p>
  </w:footnote>
  <w:footnote w:id="5">
    <w:p w:rsidR="00F8654D" w:rsidRPr="002B4021" w:rsidRDefault="00F8654D" w:rsidP="003C39C5">
      <w:pPr>
        <w:pStyle w:val="FootnoteText"/>
        <w:rPr>
          <w:rStyle w:val="FootnoteReference"/>
          <w:sz w:val="16"/>
          <w:szCs w:val="16"/>
          <w:vertAlign w:val="baseline"/>
        </w:rPr>
      </w:pPr>
      <w:r w:rsidRPr="0050620E">
        <w:rPr>
          <w:rStyle w:val="FootnoteReference"/>
        </w:rPr>
        <w:footnoteRef/>
      </w:r>
      <w:r w:rsidRPr="0050620E">
        <w:t xml:space="preserve"> </w:t>
      </w:r>
      <w:r w:rsidRPr="0050620E">
        <w:rPr>
          <w:rStyle w:val="FootnoteReference"/>
          <w:i/>
          <w:sz w:val="16"/>
          <w:szCs w:val="16"/>
          <w:vertAlign w:val="baseline"/>
        </w:rPr>
        <w:t>Robust New Foundations – A Streamlined, Transparent and Responsive System for the 457 Programme</w:t>
      </w:r>
      <w:r w:rsidRPr="002B4021">
        <w:rPr>
          <w:rStyle w:val="FootnoteReference"/>
          <w:sz w:val="16"/>
          <w:szCs w:val="16"/>
          <w:vertAlign w:val="baseline"/>
        </w:rPr>
        <w:t>, page 38</w:t>
      </w:r>
      <w:r>
        <w:rPr>
          <w:sz w:val="16"/>
          <w:szCs w:val="16"/>
        </w:rPr>
        <w:t>.</w:t>
      </w:r>
      <w:r w:rsidRPr="002B4021">
        <w:rPr>
          <w:rStyle w:val="FootnoteReference"/>
          <w:sz w:val="16"/>
          <w:szCs w:val="16"/>
          <w:vertAlign w:val="baseline"/>
        </w:rPr>
        <w:t xml:space="preserve"> </w:t>
      </w:r>
    </w:p>
  </w:footnote>
  <w:footnote w:id="6">
    <w:p w:rsidR="00F8654D" w:rsidRPr="00CF0688" w:rsidRDefault="00F8654D" w:rsidP="008233A8">
      <w:pPr>
        <w:pStyle w:val="FootnoteText"/>
        <w:rPr>
          <w:rStyle w:val="FootnoteReference"/>
          <w:sz w:val="16"/>
          <w:szCs w:val="16"/>
          <w:vertAlign w:val="baseline"/>
        </w:rPr>
      </w:pPr>
      <w:r w:rsidRPr="00A70873">
        <w:rPr>
          <w:rStyle w:val="FootnoteReference"/>
        </w:rPr>
        <w:footnoteRef/>
      </w:r>
      <w:r w:rsidRPr="00A70873">
        <w:rPr>
          <w:rStyle w:val="FootnoteReference"/>
        </w:rPr>
        <w:t xml:space="preserve"> </w:t>
      </w:r>
      <w:r>
        <w:rPr>
          <w:rStyle w:val="FootnoteReference"/>
          <w:sz w:val="16"/>
          <w:szCs w:val="16"/>
          <w:vertAlign w:val="baseline"/>
        </w:rPr>
        <w:t>ABS 6202.0</w:t>
      </w:r>
      <w:r>
        <w:rPr>
          <w:sz w:val="16"/>
          <w:szCs w:val="16"/>
        </w:rPr>
        <w:t>—Labo</w:t>
      </w:r>
      <w:r>
        <w:rPr>
          <w:rStyle w:val="FootnoteReference"/>
          <w:sz w:val="16"/>
          <w:szCs w:val="16"/>
          <w:vertAlign w:val="baseline"/>
        </w:rPr>
        <w:t xml:space="preserve">ur Force, Australia—the </w:t>
      </w:r>
      <w:r w:rsidRPr="00CF0688">
        <w:rPr>
          <w:rStyle w:val="FootnoteReference"/>
          <w:sz w:val="16"/>
          <w:szCs w:val="16"/>
          <w:vertAlign w:val="baseline"/>
        </w:rPr>
        <w:t>unemployment rate is based on data for persons over the age of 15 who are not employed and are actively looking for work.</w:t>
      </w:r>
    </w:p>
  </w:footnote>
  <w:footnote w:id="7">
    <w:p w:rsidR="00F8654D" w:rsidRPr="00CF0688" w:rsidRDefault="00F8654D" w:rsidP="008233A8">
      <w:pPr>
        <w:pStyle w:val="FootnoteText"/>
        <w:rPr>
          <w:rStyle w:val="FootnoteReference"/>
          <w:sz w:val="16"/>
          <w:szCs w:val="16"/>
          <w:vertAlign w:val="baseline"/>
        </w:rPr>
      </w:pPr>
      <w:r w:rsidRPr="00A70873">
        <w:rPr>
          <w:rStyle w:val="FootnoteReference"/>
        </w:rPr>
        <w:footnoteRef/>
      </w:r>
      <w:r>
        <w:rPr>
          <w:rStyle w:val="FootnoteReference"/>
        </w:rPr>
        <w:t xml:space="preserve"> </w:t>
      </w:r>
      <w:r>
        <w:rPr>
          <w:rStyle w:val="FootnoteReference"/>
          <w:sz w:val="16"/>
          <w:szCs w:val="16"/>
          <w:vertAlign w:val="baseline"/>
        </w:rPr>
        <w:t>With reference to t</w:t>
      </w:r>
      <w:r w:rsidRPr="00CF0688">
        <w:rPr>
          <w:rStyle w:val="FootnoteReference"/>
          <w:sz w:val="16"/>
          <w:szCs w:val="16"/>
          <w:vertAlign w:val="baseline"/>
        </w:rPr>
        <w:t>he ANZ job advertisement series</w:t>
      </w:r>
      <w:r>
        <w:rPr>
          <w:rStyle w:val="FootnoteReference"/>
          <w:sz w:val="16"/>
          <w:szCs w:val="16"/>
          <w:vertAlign w:val="baseline"/>
        </w:rPr>
        <w:t xml:space="preserve"> which</w:t>
      </w:r>
      <w:r w:rsidRPr="00CF0688">
        <w:rPr>
          <w:rStyle w:val="FootnoteReference"/>
          <w:sz w:val="16"/>
          <w:szCs w:val="16"/>
          <w:vertAlign w:val="baseline"/>
        </w:rPr>
        <w:t xml:space="preserve"> measures the number of jobs advertised in the major daily newspapers and internet sites covering the capital cities each month. More information is available at: www.anz.com/corporate/research/australian-industry-economics/job-advertisement-series/ </w:t>
      </w:r>
    </w:p>
  </w:footnote>
  <w:footnote w:id="8">
    <w:p w:rsidR="00F8654D" w:rsidRPr="00CF0688" w:rsidRDefault="00F8654D" w:rsidP="0017093C">
      <w:pPr>
        <w:pStyle w:val="FootnoteText"/>
        <w:rPr>
          <w:rStyle w:val="FootnoteReference"/>
          <w:sz w:val="16"/>
          <w:szCs w:val="16"/>
          <w:vertAlign w:val="baseline"/>
        </w:rPr>
      </w:pPr>
      <w:r w:rsidRPr="00A70873">
        <w:rPr>
          <w:rStyle w:val="FootnoteReference"/>
        </w:rPr>
        <w:footnoteRef/>
      </w:r>
      <w:r>
        <w:t xml:space="preserve"> </w:t>
      </w:r>
      <w:r w:rsidRPr="00CF0688">
        <w:rPr>
          <w:rStyle w:val="FootnoteReference"/>
          <w:sz w:val="16"/>
          <w:szCs w:val="16"/>
          <w:vertAlign w:val="baseline"/>
        </w:rPr>
        <w:t>ANZSC</w:t>
      </w:r>
      <w:r>
        <w:rPr>
          <w:rStyle w:val="FootnoteReference"/>
          <w:sz w:val="16"/>
          <w:szCs w:val="16"/>
          <w:vertAlign w:val="baseline"/>
        </w:rPr>
        <w:t>O was developed jointly by the ABS</w:t>
      </w:r>
      <w:r w:rsidRPr="00CF0688">
        <w:rPr>
          <w:rStyle w:val="FootnoteReference"/>
          <w:sz w:val="16"/>
          <w:szCs w:val="16"/>
          <w:vertAlign w:val="baseline"/>
        </w:rPr>
        <w:t xml:space="preserve"> and Statistics New Zealand for use in the collection, analysis and dissemination occupation statistics in Australia and New Zealand. ANZSCO classifies occupations by skill level and skill specialisation. The skilled migration programme uses ANZSCO to classify occupations. More information is available at: www.abs.gov.au </w:t>
      </w:r>
    </w:p>
  </w:footnote>
  <w:footnote w:id="9">
    <w:p w:rsidR="00F8654D" w:rsidRPr="006C52A7" w:rsidRDefault="00F8654D">
      <w:pPr>
        <w:pStyle w:val="FootnoteText"/>
        <w:rPr>
          <w:rStyle w:val="FootnoteReference"/>
        </w:rPr>
      </w:pPr>
      <w:r>
        <w:rPr>
          <w:rStyle w:val="FootnoteReference"/>
        </w:rPr>
        <w:footnoteRef/>
      </w:r>
      <w:r>
        <w:t xml:space="preserve"> </w:t>
      </w:r>
      <w:r w:rsidRPr="006C52A7">
        <w:rPr>
          <w:rStyle w:val="FootnoteReference"/>
          <w:sz w:val="16"/>
          <w:szCs w:val="16"/>
          <w:vertAlign w:val="baseline"/>
        </w:rPr>
        <w:t>The report is available on the Department’s website at: www.border.gov.au/ReportsandPublications/Documents/reviews-and-inquiries/streamlined-responsive-457-programme.pdf</w:t>
      </w:r>
      <w:r>
        <w:rPr>
          <w:sz w:val="16"/>
          <w:szCs w:val="16"/>
        </w:rPr>
        <w:t>.</w:t>
      </w:r>
    </w:p>
  </w:footnote>
  <w:footnote w:id="10">
    <w:p w:rsidR="00F8654D" w:rsidRDefault="00F8654D" w:rsidP="00EE142F">
      <w:pPr>
        <w:pStyle w:val="FootnoteText"/>
      </w:pPr>
      <w:r>
        <w:rPr>
          <w:rStyle w:val="FootnoteReference"/>
        </w:rPr>
        <w:footnoteRef/>
      </w:r>
      <w:r>
        <w:t xml:space="preserve"> </w:t>
      </w:r>
      <w:r w:rsidRPr="00AA7B07">
        <w:rPr>
          <w:rStyle w:val="FootnoteReference"/>
          <w:sz w:val="16"/>
          <w:szCs w:val="16"/>
          <w:vertAlign w:val="baseline"/>
        </w:rPr>
        <w:t>Stakeholder submissions that were received during the review’s consultation process are available on the Department’s website at: www.border.gov.au/about/reports-publications/reviews-inquiries/independent-review-of-the-457-programme/submissions-received</w:t>
      </w:r>
      <w:r>
        <w:rPr>
          <w:sz w:val="16"/>
          <w:szCs w:val="16"/>
        </w:rPr>
        <w:t>.</w:t>
      </w:r>
    </w:p>
  </w:footnote>
  <w:footnote w:id="11">
    <w:p w:rsidR="00F8654D" w:rsidRPr="00F8729C" w:rsidRDefault="00F8654D" w:rsidP="002319F3">
      <w:pPr>
        <w:pStyle w:val="FootnoteText"/>
        <w:rPr>
          <w:rStyle w:val="FootnoteReference"/>
          <w:sz w:val="16"/>
          <w:szCs w:val="16"/>
          <w:vertAlign w:val="baseline"/>
        </w:rPr>
      </w:pPr>
      <w:r w:rsidRPr="006C52A7">
        <w:rPr>
          <w:rStyle w:val="FootnoteReference"/>
        </w:rPr>
        <w:footnoteRef/>
      </w:r>
      <w:r>
        <w:rPr>
          <w:rStyle w:val="FootnoteReference"/>
        </w:rPr>
        <w:t xml:space="preserve"> </w:t>
      </w:r>
      <w:r>
        <w:rPr>
          <w:rStyle w:val="FootnoteReference"/>
          <w:sz w:val="16"/>
          <w:szCs w:val="16"/>
          <w:vertAlign w:val="baseline"/>
        </w:rPr>
        <w:t xml:space="preserve">Filling the gaps – </w:t>
      </w:r>
      <w:r w:rsidRPr="00F8729C">
        <w:rPr>
          <w:rStyle w:val="FootnoteReference"/>
          <w:sz w:val="16"/>
          <w:szCs w:val="16"/>
          <w:vertAlign w:val="baseline"/>
        </w:rPr>
        <w:t xml:space="preserve">Findings from the 2012 survey of subclass 457 employers and employees is available online at: </w:t>
      </w:r>
      <w:r w:rsidRPr="00CF0688">
        <w:rPr>
          <w:rStyle w:val="FootnoteReference"/>
          <w:sz w:val="16"/>
          <w:szCs w:val="16"/>
          <w:vertAlign w:val="baseline"/>
        </w:rPr>
        <w:t>www.border.gov.au/ReportsandPublications/Documents/research/filling-gaps.pdf</w:t>
      </w:r>
      <w:r w:rsidRPr="00F8729C">
        <w:rPr>
          <w:rStyle w:val="FootnoteReference"/>
          <w:sz w:val="16"/>
          <w:szCs w:val="16"/>
          <w:vertAlign w:val="baseline"/>
        </w:rPr>
        <w:t>. Th</w:t>
      </w:r>
      <w:r>
        <w:rPr>
          <w:rStyle w:val="FootnoteReference"/>
          <w:sz w:val="16"/>
          <w:szCs w:val="16"/>
          <w:vertAlign w:val="baseline"/>
        </w:rPr>
        <w:t>is survey collected data from 1</w:t>
      </w:r>
      <w:r w:rsidRPr="00F8729C">
        <w:rPr>
          <w:rStyle w:val="FootnoteReference"/>
          <w:sz w:val="16"/>
          <w:szCs w:val="16"/>
          <w:vertAlign w:val="baseline"/>
        </w:rPr>
        <w:t>500 employers who had sponsored 457 visa holders between late 2009 and mid-2011</w:t>
      </w:r>
      <w:r>
        <w:rPr>
          <w:sz w:val="16"/>
          <w:szCs w:val="16"/>
        </w:rPr>
        <w:t>.</w:t>
      </w:r>
      <w:r w:rsidRPr="00F8729C">
        <w:rPr>
          <w:rStyle w:val="FootnoteReference"/>
          <w:sz w:val="16"/>
          <w:szCs w:val="16"/>
          <w:vertAlign w:val="baseline"/>
        </w:rPr>
        <w:t xml:space="preserve"> </w:t>
      </w:r>
    </w:p>
    <w:p w:rsidR="00F8654D" w:rsidRDefault="00F8654D" w:rsidP="00D106B5">
      <w:pPr>
        <w:pStyle w:val="FootnoteText"/>
      </w:pPr>
    </w:p>
  </w:footnote>
  <w:footnote w:id="12">
    <w:p w:rsidR="00F8654D" w:rsidRPr="00CF0688" w:rsidRDefault="00F8654D">
      <w:pPr>
        <w:pStyle w:val="FootnoteText"/>
        <w:rPr>
          <w:rStyle w:val="FootnoteReference"/>
          <w:sz w:val="16"/>
          <w:szCs w:val="16"/>
          <w:vertAlign w:val="baseline"/>
        </w:rPr>
      </w:pPr>
      <w:r w:rsidRPr="00CF0688">
        <w:rPr>
          <w:rStyle w:val="FootnoteReference"/>
          <w:sz w:val="16"/>
        </w:rPr>
        <w:footnoteRef/>
      </w:r>
      <w:r>
        <w:rPr>
          <w:rStyle w:val="FootnoteReference"/>
          <w:sz w:val="16"/>
          <w:szCs w:val="16"/>
        </w:rPr>
        <w:t xml:space="preserve"> </w:t>
      </w:r>
      <w:r w:rsidRPr="00CF0688">
        <w:rPr>
          <w:rStyle w:val="FootnoteReference"/>
          <w:sz w:val="16"/>
          <w:szCs w:val="16"/>
          <w:vertAlign w:val="baseline"/>
        </w:rPr>
        <w:t>2013-14 Annual Report, Table 20, page 69</w:t>
      </w:r>
      <w:r>
        <w:rPr>
          <w:sz w:val="16"/>
          <w:szCs w:val="16"/>
        </w:rPr>
        <w:t>.</w:t>
      </w:r>
    </w:p>
  </w:footnote>
  <w:footnote w:id="13">
    <w:p w:rsidR="00F8654D" w:rsidRPr="00CF0688" w:rsidRDefault="00F8654D" w:rsidP="0076151E">
      <w:pPr>
        <w:pStyle w:val="FootnoteText"/>
        <w:rPr>
          <w:rStyle w:val="FootnoteReference"/>
          <w:sz w:val="16"/>
          <w:szCs w:val="16"/>
          <w:vertAlign w:val="baseline"/>
        </w:rPr>
      </w:pPr>
      <w:r w:rsidRPr="000D703F">
        <w:rPr>
          <w:rStyle w:val="FootnoteReference"/>
          <w:sz w:val="16"/>
          <w:szCs w:val="16"/>
        </w:rPr>
        <w:footnoteRef/>
      </w:r>
      <w:r>
        <w:rPr>
          <w:rStyle w:val="FootnoteReference"/>
          <w:sz w:val="16"/>
          <w:szCs w:val="16"/>
        </w:rPr>
        <w:t xml:space="preserve"> </w:t>
      </w:r>
      <w:r w:rsidRPr="00CF0688">
        <w:rPr>
          <w:rStyle w:val="FootnoteReference"/>
          <w:sz w:val="16"/>
          <w:szCs w:val="16"/>
          <w:vertAlign w:val="baseline"/>
        </w:rPr>
        <w:t>BR0063 ANZ Job Services and Unemployment Rate Trend</w:t>
      </w:r>
      <w:r>
        <w:rPr>
          <w:sz w:val="16"/>
          <w:szCs w:val="16"/>
        </w:rPr>
        <w:t>.</w:t>
      </w:r>
    </w:p>
  </w:footnote>
  <w:footnote w:id="14">
    <w:p w:rsidR="00F8654D" w:rsidRPr="00CF0688" w:rsidRDefault="00F8654D">
      <w:pPr>
        <w:pStyle w:val="FootnoteText"/>
        <w:rPr>
          <w:rStyle w:val="FootnoteReference"/>
          <w:sz w:val="16"/>
          <w:szCs w:val="16"/>
          <w:vertAlign w:val="baseline"/>
        </w:rPr>
      </w:pPr>
      <w:r w:rsidRPr="00B33E64">
        <w:rPr>
          <w:rStyle w:val="FootnoteReference"/>
        </w:rPr>
        <w:footnoteRef/>
      </w:r>
      <w:r w:rsidRPr="00B33E64">
        <w:rPr>
          <w:rStyle w:val="FootnoteReference"/>
        </w:rPr>
        <w:t xml:space="preserve"> </w:t>
      </w:r>
      <w:r w:rsidRPr="00CF0688">
        <w:rPr>
          <w:rStyle w:val="FootnoteReference"/>
          <w:sz w:val="16"/>
          <w:szCs w:val="16"/>
          <w:vertAlign w:val="baseline"/>
        </w:rPr>
        <w:t>BE8117.01 and BP0013 v103</w:t>
      </w:r>
      <w:r>
        <w:rPr>
          <w:sz w:val="16"/>
          <w:szCs w:val="16"/>
        </w:rPr>
        <w:t>.</w:t>
      </w:r>
    </w:p>
  </w:footnote>
  <w:footnote w:id="15">
    <w:p w:rsidR="00F8654D" w:rsidRPr="00CF0688" w:rsidRDefault="00F8654D">
      <w:pPr>
        <w:pStyle w:val="FootnoteText"/>
        <w:rPr>
          <w:rStyle w:val="FootnoteReference"/>
          <w:sz w:val="16"/>
          <w:szCs w:val="16"/>
          <w:vertAlign w:val="baseline"/>
        </w:rPr>
      </w:pPr>
      <w:r w:rsidRPr="00B33E64">
        <w:rPr>
          <w:rStyle w:val="FootnoteReference"/>
        </w:rPr>
        <w:footnoteRef/>
      </w:r>
      <w:r w:rsidRPr="00B33E64">
        <w:rPr>
          <w:rStyle w:val="FootnoteReference"/>
        </w:rPr>
        <w:t xml:space="preserve"> </w:t>
      </w:r>
      <w:r>
        <w:rPr>
          <w:rStyle w:val="FootnoteReference"/>
          <w:sz w:val="16"/>
          <w:szCs w:val="16"/>
          <w:vertAlign w:val="baseline"/>
        </w:rPr>
        <w:t>2013–</w:t>
      </w:r>
      <w:r w:rsidRPr="00CF0688">
        <w:rPr>
          <w:rStyle w:val="FootnoteReference"/>
          <w:sz w:val="16"/>
          <w:szCs w:val="16"/>
          <w:vertAlign w:val="baseline"/>
        </w:rPr>
        <w:t>14 Annual Report, Table 23, page 72</w:t>
      </w:r>
      <w:r>
        <w:rPr>
          <w:sz w:val="16"/>
          <w:szCs w:val="16"/>
        </w:rPr>
        <w:t>.</w:t>
      </w:r>
    </w:p>
  </w:footnote>
  <w:footnote w:id="16">
    <w:p w:rsidR="00F8654D" w:rsidRPr="00CF0688" w:rsidRDefault="00F8654D">
      <w:pPr>
        <w:pStyle w:val="FootnoteText"/>
        <w:rPr>
          <w:rStyle w:val="FootnoteReference"/>
          <w:sz w:val="16"/>
          <w:szCs w:val="16"/>
          <w:vertAlign w:val="baseline"/>
        </w:rPr>
      </w:pPr>
      <w:r w:rsidRPr="00B33E64">
        <w:rPr>
          <w:rStyle w:val="FootnoteReference"/>
        </w:rPr>
        <w:footnoteRef/>
      </w:r>
      <w:r w:rsidRPr="00B33E64">
        <w:rPr>
          <w:rStyle w:val="FootnoteReference"/>
        </w:rPr>
        <w:t xml:space="preserve"> </w:t>
      </w:r>
      <w:r w:rsidRPr="00CF0688">
        <w:rPr>
          <w:rStyle w:val="FootnoteReference"/>
          <w:sz w:val="16"/>
          <w:szCs w:val="16"/>
          <w:vertAlign w:val="baseline"/>
        </w:rPr>
        <w:t>201</w:t>
      </w:r>
      <w:r>
        <w:rPr>
          <w:rStyle w:val="FootnoteReference"/>
          <w:sz w:val="16"/>
          <w:szCs w:val="16"/>
          <w:vertAlign w:val="baseline"/>
        </w:rPr>
        <w:t>4–</w:t>
      </w:r>
      <w:r w:rsidRPr="00CF0688">
        <w:rPr>
          <w:rStyle w:val="FootnoteReference"/>
          <w:sz w:val="16"/>
          <w:szCs w:val="16"/>
          <w:vertAlign w:val="baseline"/>
        </w:rPr>
        <w:t>15 Annual Report, page 80</w:t>
      </w:r>
      <w:r>
        <w:rPr>
          <w:sz w:val="16"/>
          <w:szCs w:val="16"/>
        </w:rPr>
        <w:t>.</w:t>
      </w:r>
    </w:p>
  </w:footnote>
  <w:footnote w:id="17">
    <w:p w:rsidR="00F8654D" w:rsidRPr="00CF0688" w:rsidRDefault="00F8654D">
      <w:pPr>
        <w:pStyle w:val="FootnoteText"/>
        <w:rPr>
          <w:rStyle w:val="FootnoteReference"/>
          <w:sz w:val="16"/>
          <w:szCs w:val="16"/>
          <w:vertAlign w:val="baseline"/>
        </w:rPr>
      </w:pPr>
      <w:r w:rsidRPr="00B33E64">
        <w:rPr>
          <w:rStyle w:val="FootnoteReference"/>
        </w:rPr>
        <w:footnoteRef/>
      </w:r>
      <w:r w:rsidRPr="00B33E64">
        <w:rPr>
          <w:rStyle w:val="FootnoteReference"/>
        </w:rPr>
        <w:t xml:space="preserve"> </w:t>
      </w:r>
      <w:r w:rsidRPr="00CF0688">
        <w:rPr>
          <w:rStyle w:val="FootnoteReference"/>
          <w:sz w:val="16"/>
          <w:szCs w:val="16"/>
          <w:vertAlign w:val="baseline"/>
        </w:rPr>
        <w:t>This has been costed according to the Commonwealth Regulatory Burden Measurement framework and represents the cost of the regulation as an annual average cost compared to business-as-usual.</w:t>
      </w:r>
    </w:p>
  </w:footnote>
  <w:footnote w:id="18">
    <w:p w:rsidR="00F8654D" w:rsidRPr="00CF0688" w:rsidRDefault="00F8654D" w:rsidP="00D5336C">
      <w:pPr>
        <w:pStyle w:val="FootnoteText"/>
        <w:rPr>
          <w:rStyle w:val="FootnoteReference"/>
          <w:sz w:val="16"/>
          <w:szCs w:val="16"/>
          <w:vertAlign w:val="baseline"/>
        </w:rPr>
      </w:pPr>
      <w:r w:rsidRPr="00643436">
        <w:rPr>
          <w:rStyle w:val="FootnoteReference"/>
        </w:rPr>
        <w:footnoteRef/>
      </w:r>
      <w:r w:rsidRPr="00643436">
        <w:rPr>
          <w:rStyle w:val="FootnoteReference"/>
        </w:rPr>
        <w:t xml:space="preserve"> </w:t>
      </w:r>
      <w:r w:rsidRPr="00F31414">
        <w:rPr>
          <w:rStyle w:val="FootnoteReference"/>
          <w:i/>
          <w:sz w:val="16"/>
          <w:szCs w:val="16"/>
          <w:vertAlign w:val="baseline"/>
        </w:rPr>
        <w:t xml:space="preserve">Robust New Foundations – A Streamlined, Transparent and Responsive System for the 457 </w:t>
      </w:r>
      <w:r w:rsidRPr="00F31414">
        <w:rPr>
          <w:i/>
          <w:sz w:val="16"/>
          <w:szCs w:val="16"/>
        </w:rPr>
        <w:t>P</w:t>
      </w:r>
      <w:r w:rsidRPr="00F31414">
        <w:rPr>
          <w:rStyle w:val="FootnoteReference"/>
          <w:i/>
          <w:sz w:val="16"/>
          <w:szCs w:val="16"/>
          <w:vertAlign w:val="baseline"/>
        </w:rPr>
        <w:t>rogramme</w:t>
      </w:r>
      <w:r>
        <w:rPr>
          <w:rStyle w:val="FootnoteReference"/>
          <w:sz w:val="16"/>
          <w:szCs w:val="16"/>
          <w:vertAlign w:val="baseline"/>
        </w:rPr>
        <w:t>, page 58</w:t>
      </w:r>
      <w:r>
        <w:rPr>
          <w:sz w:val="16"/>
          <w:szCs w:val="16"/>
        </w:rPr>
        <w:t>.</w:t>
      </w:r>
    </w:p>
  </w:footnote>
  <w:footnote w:id="19">
    <w:p w:rsidR="00F8654D" w:rsidRPr="00CF0688" w:rsidRDefault="00F8654D">
      <w:pPr>
        <w:pStyle w:val="FootnoteText"/>
        <w:rPr>
          <w:rStyle w:val="FootnoteReference"/>
          <w:sz w:val="16"/>
          <w:szCs w:val="16"/>
          <w:vertAlign w:val="baseline"/>
        </w:rPr>
      </w:pPr>
      <w:r w:rsidRPr="00643436">
        <w:rPr>
          <w:rStyle w:val="FootnoteReference"/>
        </w:rPr>
        <w:footnoteRef/>
      </w:r>
      <w:r w:rsidRPr="00CF0688">
        <w:rPr>
          <w:rStyle w:val="FootnoteReference"/>
          <w:sz w:val="16"/>
        </w:rPr>
        <w:t xml:space="preserve"> </w:t>
      </w:r>
      <w:r w:rsidRPr="00CF0688">
        <w:rPr>
          <w:rStyle w:val="FootnoteReference"/>
          <w:sz w:val="16"/>
          <w:szCs w:val="16"/>
          <w:vertAlign w:val="baseline"/>
        </w:rPr>
        <w:t>Extracted from BPB0003_T4_FrontEnd v211</w:t>
      </w:r>
      <w:r>
        <w:rPr>
          <w:sz w:val="16"/>
          <w:szCs w:val="16"/>
        </w:rPr>
        <w:t>.</w:t>
      </w:r>
      <w:r w:rsidRPr="00CF0688">
        <w:rPr>
          <w:rStyle w:val="FootnoteReference"/>
          <w:sz w:val="16"/>
          <w:szCs w:val="16"/>
          <w:vertAlign w:val="baseline"/>
        </w:rPr>
        <w:t xml:space="preserve">  </w:t>
      </w:r>
    </w:p>
  </w:footnote>
  <w:footnote w:id="20">
    <w:p w:rsidR="00F8654D" w:rsidRPr="00CF0688" w:rsidRDefault="00F8654D">
      <w:pPr>
        <w:pStyle w:val="FootnoteText"/>
        <w:rPr>
          <w:rStyle w:val="FootnoteReference"/>
          <w:sz w:val="16"/>
          <w:szCs w:val="16"/>
          <w:vertAlign w:val="baseline"/>
        </w:rPr>
      </w:pPr>
      <w:r w:rsidRPr="00B648A5">
        <w:rPr>
          <w:rStyle w:val="FootnoteReference"/>
        </w:rPr>
        <w:footnoteRef/>
      </w:r>
      <w:r w:rsidRPr="00B648A5">
        <w:t xml:space="preserve"> </w:t>
      </w:r>
      <w:r w:rsidRPr="00CF0688">
        <w:rPr>
          <w:rStyle w:val="FootnoteReference"/>
          <w:sz w:val="16"/>
          <w:szCs w:val="16"/>
          <w:vertAlign w:val="baseline"/>
        </w:rPr>
        <w:t>Extracted from BP0013 Global temporary entry nominations finalised</w:t>
      </w:r>
      <w:r>
        <w:rPr>
          <w:sz w:val="16"/>
          <w:szCs w:val="16"/>
        </w:rPr>
        <w:t>.</w:t>
      </w:r>
    </w:p>
  </w:footnote>
  <w:footnote w:id="21">
    <w:p w:rsidR="00F8654D" w:rsidRPr="00CF0688" w:rsidRDefault="00F8654D" w:rsidP="001E0D38">
      <w:pPr>
        <w:pStyle w:val="FootnoteText"/>
        <w:rPr>
          <w:rStyle w:val="FootnoteReference"/>
          <w:sz w:val="16"/>
          <w:szCs w:val="16"/>
          <w:vertAlign w:val="baseline"/>
        </w:rPr>
      </w:pPr>
      <w:r w:rsidRPr="00B648A5">
        <w:rPr>
          <w:rStyle w:val="FootnoteReference"/>
        </w:rPr>
        <w:footnoteRef/>
      </w:r>
      <w:r w:rsidRPr="002319F3">
        <w:rPr>
          <w:rStyle w:val="FootnoteReference"/>
        </w:rPr>
        <w:t xml:space="preserve"> </w:t>
      </w:r>
      <w:r w:rsidRPr="001A3BB5">
        <w:rPr>
          <w:rStyle w:val="FootnoteReference"/>
          <w:i/>
          <w:sz w:val="16"/>
          <w:szCs w:val="16"/>
          <w:vertAlign w:val="baseline"/>
        </w:rPr>
        <w:t>R</w:t>
      </w:r>
      <w:r w:rsidRPr="00FA04EF">
        <w:rPr>
          <w:rStyle w:val="FootnoteReference"/>
          <w:i/>
          <w:sz w:val="16"/>
          <w:szCs w:val="16"/>
          <w:vertAlign w:val="baseline"/>
        </w:rPr>
        <w:t>obust New Foundations – A Streamlined, Transparent and Responsive System for the 457 Programme</w:t>
      </w:r>
      <w:r>
        <w:rPr>
          <w:rStyle w:val="FootnoteReference"/>
          <w:sz w:val="16"/>
          <w:szCs w:val="16"/>
          <w:vertAlign w:val="baseline"/>
        </w:rPr>
        <w:t>, page 67</w:t>
      </w:r>
      <w:r>
        <w:rPr>
          <w:sz w:val="16"/>
          <w:szCs w:val="16"/>
        </w:rPr>
        <w:t>.</w:t>
      </w:r>
    </w:p>
  </w:footnote>
  <w:footnote w:id="22">
    <w:p w:rsidR="00F8654D" w:rsidRDefault="00F8654D" w:rsidP="003B733F">
      <w:pPr>
        <w:pStyle w:val="FootnoteText"/>
      </w:pPr>
      <w:r w:rsidRPr="00B648A5">
        <w:rPr>
          <w:rStyle w:val="FootnoteReference"/>
        </w:rPr>
        <w:footnoteRef/>
      </w:r>
      <w:r w:rsidRPr="00B648A5">
        <w:rPr>
          <w:rStyle w:val="FootnoteReference"/>
        </w:rPr>
        <w:t xml:space="preserve"> </w:t>
      </w:r>
      <w:r w:rsidRPr="00F509D5">
        <w:rPr>
          <w:i/>
          <w:sz w:val="16"/>
        </w:rPr>
        <w:t>Robust New Foundations – A Streamlined, Transparent and Responsive System for the 457 Programme</w:t>
      </w:r>
      <w:r w:rsidRPr="00F509D5">
        <w:rPr>
          <w:sz w:val="16"/>
        </w:rPr>
        <w:t>, page 68</w:t>
      </w:r>
    </w:p>
  </w:footnote>
  <w:footnote w:id="23">
    <w:p w:rsidR="00F8654D" w:rsidRPr="006C52A7" w:rsidRDefault="00F8654D" w:rsidP="002168B8">
      <w:pPr>
        <w:pStyle w:val="FootnoteText"/>
        <w:rPr>
          <w:rStyle w:val="FootnoteReference"/>
          <w:sz w:val="16"/>
          <w:szCs w:val="16"/>
          <w:vertAlign w:val="baseline"/>
        </w:rPr>
      </w:pPr>
      <w:r w:rsidRPr="004168AC">
        <w:rPr>
          <w:rStyle w:val="FootnoteReference"/>
        </w:rPr>
        <w:footnoteRef/>
      </w:r>
      <w:r w:rsidRPr="006C52A7">
        <w:rPr>
          <w:rStyle w:val="FootnoteReference"/>
          <w:sz w:val="16"/>
          <w:szCs w:val="16"/>
          <w:vertAlign w:val="baseline"/>
        </w:rPr>
        <w:t xml:space="preserve"> Other exemptions, which were not chan</w:t>
      </w:r>
      <w:r w:rsidRPr="002168B8">
        <w:rPr>
          <w:rStyle w:val="FootnoteReference"/>
          <w:sz w:val="16"/>
          <w:szCs w:val="16"/>
          <w:vertAlign w:val="baseline"/>
        </w:rPr>
        <w:t>ged in 2013, include applicants</w:t>
      </w:r>
      <w:r>
        <w:rPr>
          <w:rStyle w:val="FootnoteReference"/>
          <w:sz w:val="16"/>
          <w:szCs w:val="16"/>
          <w:vertAlign w:val="baseline"/>
        </w:rPr>
        <w:t xml:space="preserve"> </w:t>
      </w:r>
      <w:r w:rsidRPr="006C52A7">
        <w:rPr>
          <w:rStyle w:val="FootnoteReference"/>
          <w:sz w:val="16"/>
          <w:szCs w:val="16"/>
          <w:vertAlign w:val="baseline"/>
        </w:rPr>
        <w:t>nominated in positions with a salary over the English language threshold ($96,400 per annum on 1 July 2013)</w:t>
      </w:r>
      <w:r>
        <w:rPr>
          <w:rStyle w:val="FootnoteReference"/>
          <w:sz w:val="16"/>
          <w:szCs w:val="16"/>
          <w:vertAlign w:val="baseline"/>
        </w:rPr>
        <w:t xml:space="preserve">, </w:t>
      </w:r>
      <w:r w:rsidRPr="006C52A7">
        <w:rPr>
          <w:rStyle w:val="FootnoteReference"/>
          <w:sz w:val="16"/>
          <w:szCs w:val="16"/>
          <w:vertAlign w:val="baseline"/>
        </w:rPr>
        <w:t>with passports from Canada, United States of America, United Kingdom, Republic of Ireland, or New Zealand</w:t>
      </w:r>
      <w:r>
        <w:rPr>
          <w:sz w:val="16"/>
          <w:szCs w:val="16"/>
        </w:rPr>
        <w:t xml:space="preserve">, and </w:t>
      </w:r>
      <w:r w:rsidRPr="006C52A7">
        <w:rPr>
          <w:rStyle w:val="FootnoteReference"/>
          <w:sz w:val="16"/>
          <w:szCs w:val="16"/>
          <w:vertAlign w:val="baseline"/>
        </w:rPr>
        <w:t xml:space="preserve">who had completed five years </w:t>
      </w:r>
      <w:r>
        <w:rPr>
          <w:rStyle w:val="FootnoteReference"/>
          <w:sz w:val="16"/>
          <w:szCs w:val="16"/>
          <w:vertAlign w:val="baseline"/>
        </w:rPr>
        <w:t>c</w:t>
      </w:r>
      <w:r>
        <w:rPr>
          <w:sz w:val="16"/>
          <w:szCs w:val="16"/>
        </w:rPr>
        <w:t>ontinuous</w:t>
      </w:r>
      <w:r>
        <w:rPr>
          <w:rStyle w:val="FootnoteReference"/>
          <w:sz w:val="16"/>
          <w:szCs w:val="16"/>
          <w:vertAlign w:val="baseline"/>
        </w:rPr>
        <w:t xml:space="preserve"> </w:t>
      </w:r>
      <w:r w:rsidRPr="006C52A7">
        <w:rPr>
          <w:rStyle w:val="FootnoteReference"/>
          <w:sz w:val="16"/>
          <w:szCs w:val="16"/>
          <w:vertAlign w:val="baseline"/>
        </w:rPr>
        <w:t xml:space="preserve">full–time study in </w:t>
      </w:r>
      <w:r>
        <w:rPr>
          <w:rStyle w:val="FootnoteReference"/>
          <w:sz w:val="16"/>
          <w:szCs w:val="16"/>
          <w:vertAlign w:val="baseline"/>
        </w:rPr>
        <w:t xml:space="preserve">English at the </w:t>
      </w:r>
      <w:r w:rsidRPr="006C52A7">
        <w:rPr>
          <w:rStyle w:val="FootnoteReference"/>
          <w:sz w:val="16"/>
          <w:szCs w:val="16"/>
          <w:vertAlign w:val="baseline"/>
        </w:rPr>
        <w:t xml:space="preserve">secondary </w:t>
      </w:r>
      <w:r>
        <w:rPr>
          <w:rStyle w:val="FootnoteReference"/>
          <w:sz w:val="16"/>
          <w:szCs w:val="16"/>
          <w:vertAlign w:val="baseline"/>
        </w:rPr>
        <w:t>or tertiary l</w:t>
      </w:r>
      <w:r>
        <w:rPr>
          <w:sz w:val="16"/>
          <w:szCs w:val="16"/>
        </w:rPr>
        <w:t>evel</w:t>
      </w:r>
      <w:r w:rsidRPr="006C52A7">
        <w:rPr>
          <w:rStyle w:val="FootnoteReference"/>
          <w:sz w:val="16"/>
          <w:szCs w:val="16"/>
          <w:vertAlign w:val="baseline"/>
        </w:rPr>
        <w:t>.</w:t>
      </w:r>
    </w:p>
  </w:footnote>
  <w:footnote w:id="24">
    <w:p w:rsidR="00F8654D" w:rsidRDefault="00F8654D">
      <w:pPr>
        <w:pStyle w:val="FootnoteText"/>
      </w:pPr>
      <w:r w:rsidRPr="004168AC">
        <w:rPr>
          <w:rStyle w:val="FootnoteReference"/>
        </w:rPr>
        <w:footnoteRef/>
      </w:r>
      <w:r>
        <w:t xml:space="preserve"> </w:t>
      </w:r>
      <w:r w:rsidRPr="002168B8">
        <w:rPr>
          <w:rStyle w:val="FootnoteReference"/>
          <w:sz w:val="16"/>
          <w:szCs w:val="16"/>
          <w:vertAlign w:val="baseline"/>
        </w:rPr>
        <w:t xml:space="preserve">The English language </w:t>
      </w:r>
      <w:r>
        <w:rPr>
          <w:rStyle w:val="FootnoteReference"/>
          <w:sz w:val="16"/>
          <w:szCs w:val="16"/>
          <w:vertAlign w:val="baseline"/>
        </w:rPr>
        <w:t xml:space="preserve">level </w:t>
      </w:r>
      <w:r w:rsidRPr="002168B8">
        <w:rPr>
          <w:rStyle w:val="FootnoteReference"/>
          <w:sz w:val="16"/>
          <w:szCs w:val="16"/>
          <w:vertAlign w:val="baseline"/>
        </w:rPr>
        <w:t>has changed marginally over time, from an average score of 4.5 in the International English Language Testing System (IELTS) test in July 2007</w:t>
      </w:r>
      <w:r>
        <w:rPr>
          <w:sz w:val="16"/>
          <w:szCs w:val="16"/>
        </w:rPr>
        <w:t xml:space="preserve">  to an </w:t>
      </w:r>
      <w:r w:rsidRPr="002168B8">
        <w:rPr>
          <w:sz w:val="16"/>
          <w:szCs w:val="16"/>
        </w:rPr>
        <w:t>average score of IELTS 5</w:t>
      </w:r>
      <w:r w:rsidRPr="002168B8">
        <w:rPr>
          <w:rStyle w:val="FootnoteReference"/>
          <w:sz w:val="16"/>
          <w:szCs w:val="16"/>
          <w:vertAlign w:val="baseline"/>
        </w:rPr>
        <w:t xml:space="preserve"> </w:t>
      </w:r>
      <w:r w:rsidRPr="002168B8">
        <w:rPr>
          <w:sz w:val="16"/>
          <w:szCs w:val="16"/>
        </w:rPr>
        <w:t xml:space="preserve">In April 2009, </w:t>
      </w:r>
      <w:r w:rsidRPr="002168B8">
        <w:rPr>
          <w:rStyle w:val="FootnoteReference"/>
          <w:sz w:val="16"/>
          <w:szCs w:val="16"/>
          <w:vertAlign w:val="baseline"/>
        </w:rPr>
        <w:t>to an overall score of 5 with a minimum of 4.5 in each of the four IELTS test components (reading, writing, speaking and listening) in April 2015.</w:t>
      </w:r>
    </w:p>
  </w:footnote>
  <w:footnote w:id="25">
    <w:p w:rsidR="00F8654D" w:rsidRPr="00CF0688" w:rsidRDefault="00F8654D">
      <w:pPr>
        <w:pStyle w:val="FootnoteText"/>
        <w:rPr>
          <w:rStyle w:val="FootnoteReference"/>
          <w:sz w:val="16"/>
          <w:szCs w:val="16"/>
          <w:vertAlign w:val="baseline"/>
        </w:rPr>
      </w:pPr>
      <w:r w:rsidRPr="004168AC">
        <w:rPr>
          <w:rStyle w:val="FootnoteReference"/>
        </w:rPr>
        <w:footnoteRef/>
      </w:r>
      <w:r w:rsidRPr="004168AC">
        <w:rPr>
          <w:rStyle w:val="FootnoteReference"/>
        </w:rPr>
        <w:t xml:space="preserve"> </w:t>
      </w:r>
      <w:r w:rsidRPr="00CF0688">
        <w:rPr>
          <w:rStyle w:val="FootnoteReference"/>
          <w:sz w:val="16"/>
          <w:szCs w:val="16"/>
          <w:vertAlign w:val="baseline"/>
        </w:rPr>
        <w:t>Data extracted from BE6045.01</w:t>
      </w:r>
      <w:r>
        <w:rPr>
          <w:sz w:val="16"/>
          <w:szCs w:val="16"/>
        </w:rPr>
        <w:t>.</w:t>
      </w:r>
    </w:p>
  </w:footnote>
  <w:footnote w:id="26">
    <w:p w:rsidR="00F8654D" w:rsidRPr="00CF0688" w:rsidRDefault="00F8654D">
      <w:pPr>
        <w:pStyle w:val="FootnoteText"/>
        <w:rPr>
          <w:rStyle w:val="FootnoteReference"/>
          <w:sz w:val="16"/>
          <w:szCs w:val="16"/>
          <w:vertAlign w:val="baseline"/>
        </w:rPr>
      </w:pPr>
      <w:r w:rsidRPr="004168AC">
        <w:rPr>
          <w:rStyle w:val="FootnoteReference"/>
        </w:rPr>
        <w:footnoteRef/>
      </w:r>
      <w:r w:rsidRPr="004168AC">
        <w:rPr>
          <w:rStyle w:val="FootnoteReference"/>
        </w:rPr>
        <w:t xml:space="preserve"> </w:t>
      </w:r>
      <w:r w:rsidRPr="00CF0688">
        <w:rPr>
          <w:rStyle w:val="FootnoteReference"/>
          <w:sz w:val="16"/>
          <w:szCs w:val="16"/>
          <w:vertAlign w:val="baseline"/>
        </w:rPr>
        <w:t>This has been costed according to the Commonwealth Regulatory Burden Measurement framework and represents the cost of the regulation as an annual av</w:t>
      </w:r>
      <w:r>
        <w:rPr>
          <w:rStyle w:val="FootnoteReference"/>
          <w:sz w:val="16"/>
          <w:szCs w:val="16"/>
          <w:vertAlign w:val="baseline"/>
        </w:rPr>
        <w:t>erage cost compared to business–as–</w:t>
      </w:r>
      <w:r w:rsidRPr="00CF0688">
        <w:rPr>
          <w:rStyle w:val="FootnoteReference"/>
          <w:sz w:val="16"/>
          <w:szCs w:val="16"/>
          <w:vertAlign w:val="baseline"/>
        </w:rPr>
        <w:t>usual.</w:t>
      </w:r>
    </w:p>
  </w:footnote>
  <w:footnote w:id="27">
    <w:p w:rsidR="00F8654D" w:rsidRPr="00C92745" w:rsidRDefault="00F8654D" w:rsidP="008323B3">
      <w:pPr>
        <w:pStyle w:val="FootnoteText"/>
        <w:rPr>
          <w:rStyle w:val="FootnoteReference"/>
          <w:sz w:val="16"/>
          <w:szCs w:val="16"/>
          <w:vertAlign w:val="baseline"/>
        </w:rPr>
      </w:pPr>
      <w:r w:rsidRPr="00712FAE">
        <w:rPr>
          <w:rStyle w:val="FootnoteReference"/>
        </w:rPr>
        <w:footnoteRef/>
      </w:r>
      <w:r w:rsidRPr="00DF1984">
        <w:rPr>
          <w:sz w:val="16"/>
          <w:szCs w:val="16"/>
        </w:rPr>
        <w:t xml:space="preserve"> </w:t>
      </w:r>
      <w:r w:rsidRPr="00FA04EF">
        <w:rPr>
          <w:rStyle w:val="FootnoteReference"/>
          <w:i/>
          <w:sz w:val="16"/>
          <w:szCs w:val="16"/>
          <w:vertAlign w:val="baseline"/>
        </w:rPr>
        <w:t xml:space="preserve">Robust New Foundations – A Streamlined, Transparent and Responsive System for the  457 </w:t>
      </w:r>
      <w:r w:rsidRPr="00FA04EF">
        <w:rPr>
          <w:i/>
          <w:sz w:val="16"/>
          <w:szCs w:val="16"/>
        </w:rPr>
        <w:t>P</w:t>
      </w:r>
      <w:r w:rsidRPr="00FA04EF">
        <w:rPr>
          <w:rStyle w:val="FootnoteReference"/>
          <w:i/>
          <w:sz w:val="16"/>
          <w:szCs w:val="16"/>
          <w:vertAlign w:val="baseline"/>
        </w:rPr>
        <w:t>rogramme</w:t>
      </w:r>
      <w:r>
        <w:rPr>
          <w:rStyle w:val="FootnoteReference"/>
          <w:sz w:val="16"/>
          <w:szCs w:val="16"/>
          <w:vertAlign w:val="baseline"/>
        </w:rPr>
        <w:t>, page 64</w:t>
      </w:r>
      <w:r>
        <w:rPr>
          <w:sz w:val="16"/>
          <w:szCs w:val="16"/>
        </w:rPr>
        <w:t>.</w:t>
      </w:r>
    </w:p>
  </w:footnote>
  <w:footnote w:id="28">
    <w:p w:rsidR="00F8654D" w:rsidRDefault="00F8654D">
      <w:pPr>
        <w:pStyle w:val="FootnoteText"/>
      </w:pPr>
      <w:r>
        <w:rPr>
          <w:rStyle w:val="FootnoteReference"/>
        </w:rPr>
        <w:footnoteRef/>
      </w:r>
      <w:r w:rsidRPr="00CE2162">
        <w:rPr>
          <w:rStyle w:val="FootnoteReference"/>
          <w:sz w:val="16"/>
          <w:szCs w:val="16"/>
          <w:vertAlign w:val="baseline"/>
        </w:rPr>
        <w:t>There were approximately 33,500 active sponsors as at 30 November 2013,</w:t>
      </w:r>
      <w:r>
        <w:t xml:space="preserve"> </w:t>
      </w:r>
      <w:r w:rsidRPr="00CE2162">
        <w:rPr>
          <w:rStyle w:val="FootnoteReference"/>
          <w:sz w:val="16"/>
          <w:szCs w:val="16"/>
          <w:vertAlign w:val="baseline"/>
        </w:rPr>
        <w:t>BE6936.</w:t>
      </w:r>
    </w:p>
  </w:footnote>
  <w:footnote w:id="29">
    <w:p w:rsidR="00BD29E2" w:rsidRDefault="00BD29E2">
      <w:pPr>
        <w:pStyle w:val="FootnoteText"/>
      </w:pPr>
      <w:r>
        <w:rPr>
          <w:rStyle w:val="FootnoteReference"/>
        </w:rPr>
        <w:footnoteRef/>
      </w:r>
      <w:r w:rsidRPr="00C92745">
        <w:rPr>
          <w:rStyle w:val="FootnoteReference"/>
          <w:sz w:val="16"/>
          <w:szCs w:val="16"/>
          <w:vertAlign w:val="baseline"/>
        </w:rPr>
        <w:t>Extracted from BE8080.03</w:t>
      </w:r>
    </w:p>
  </w:footnote>
  <w:footnote w:id="30">
    <w:p w:rsidR="00F8654D" w:rsidRPr="00C92745" w:rsidRDefault="00F8654D" w:rsidP="00A05F2F">
      <w:pPr>
        <w:spacing w:before="0" w:after="0" w:line="240" w:lineRule="auto"/>
        <w:rPr>
          <w:rStyle w:val="FootnoteReference"/>
          <w:sz w:val="16"/>
          <w:szCs w:val="16"/>
          <w:vertAlign w:val="baseline"/>
        </w:rPr>
      </w:pPr>
      <w:r w:rsidRPr="0088148D">
        <w:rPr>
          <w:rStyle w:val="FootnoteReference"/>
        </w:rPr>
        <w:footnoteRef/>
      </w:r>
      <w:r w:rsidRPr="0088148D">
        <w:rPr>
          <w:rStyle w:val="FootnoteReference"/>
        </w:rPr>
        <w:t xml:space="preserve"> </w:t>
      </w:r>
      <w:r w:rsidRPr="00C92745">
        <w:rPr>
          <w:rStyle w:val="FootnoteReference"/>
          <w:sz w:val="16"/>
          <w:szCs w:val="16"/>
          <w:vertAlign w:val="baseline"/>
        </w:rPr>
        <w:t>This has been costed according to the Commonwealth Regulatory Burden Measurement framework and represents the cost of the regulation as an annual average cost compared to business-as-usual.</w:t>
      </w:r>
    </w:p>
  </w:footnote>
  <w:footnote w:id="31">
    <w:p w:rsidR="00F8654D" w:rsidRPr="00C92745" w:rsidRDefault="00F8654D" w:rsidP="00C92745">
      <w:pPr>
        <w:pStyle w:val="FootnoteText"/>
        <w:rPr>
          <w:rStyle w:val="FootnoteReference"/>
          <w:sz w:val="16"/>
          <w:szCs w:val="16"/>
          <w:vertAlign w:val="baseline"/>
        </w:rPr>
      </w:pPr>
      <w:r w:rsidRPr="0088148D">
        <w:rPr>
          <w:rStyle w:val="FootnoteReference"/>
        </w:rPr>
        <w:footnoteRef/>
      </w:r>
      <w:r w:rsidRPr="0088148D">
        <w:rPr>
          <w:rStyle w:val="FootnoteReference"/>
        </w:rPr>
        <w:t xml:space="preserve"> </w:t>
      </w:r>
      <w:r>
        <w:rPr>
          <w:rStyle w:val="FootnoteReference"/>
          <w:i/>
          <w:sz w:val="16"/>
          <w:szCs w:val="16"/>
          <w:vertAlign w:val="baseline"/>
        </w:rPr>
        <w:t>Robust New Foundations –</w:t>
      </w:r>
      <w:r w:rsidRPr="00FA04EF">
        <w:rPr>
          <w:rStyle w:val="FootnoteReference"/>
          <w:i/>
          <w:sz w:val="16"/>
          <w:szCs w:val="16"/>
          <w:vertAlign w:val="baseline"/>
        </w:rPr>
        <w:t xml:space="preserve"> A Streamlined, Transparent and Responsive System for the 457 Programme</w:t>
      </w:r>
      <w:r w:rsidRPr="00C92745">
        <w:rPr>
          <w:rStyle w:val="FootnoteReference"/>
          <w:sz w:val="16"/>
          <w:szCs w:val="16"/>
          <w:vertAlign w:val="baseline"/>
        </w:rPr>
        <w:t>, page 4</w:t>
      </w:r>
      <w:r>
        <w:rPr>
          <w:rStyle w:val="FootnoteReference"/>
          <w:sz w:val="16"/>
          <w:szCs w:val="16"/>
          <w:vertAlign w:val="baseline"/>
        </w:rPr>
        <w:t>5</w:t>
      </w:r>
      <w:r>
        <w:rPr>
          <w:sz w:val="16"/>
          <w:szCs w:val="16"/>
        </w:rPr>
        <w:t>.</w:t>
      </w:r>
    </w:p>
  </w:footnote>
  <w:footnote w:id="32">
    <w:p w:rsidR="00F8654D" w:rsidRPr="00C92745" w:rsidRDefault="00F8654D" w:rsidP="00FA04EF">
      <w:pPr>
        <w:spacing w:before="0" w:after="0" w:line="240" w:lineRule="auto"/>
        <w:rPr>
          <w:rStyle w:val="FootnoteReference"/>
          <w:sz w:val="16"/>
          <w:szCs w:val="16"/>
          <w:vertAlign w:val="baseline"/>
        </w:rPr>
      </w:pPr>
      <w:r w:rsidRPr="00AD33B9">
        <w:rPr>
          <w:rStyle w:val="FootnoteReference"/>
        </w:rPr>
        <w:footnoteRef/>
      </w:r>
      <w:r w:rsidRPr="00AD33B9">
        <w:t xml:space="preserve"> </w:t>
      </w:r>
      <w:r w:rsidRPr="00C92745">
        <w:rPr>
          <w:rStyle w:val="FootnoteReference"/>
          <w:sz w:val="16"/>
          <w:szCs w:val="16"/>
          <w:vertAlign w:val="baseline"/>
        </w:rPr>
        <w:t>This has been costed according to the Commonwealth Regulatory Burden Measuremen</w:t>
      </w:r>
      <w:r>
        <w:rPr>
          <w:rStyle w:val="FootnoteReference"/>
          <w:sz w:val="16"/>
          <w:szCs w:val="16"/>
          <w:vertAlign w:val="baseline"/>
        </w:rPr>
        <w:t>t framework and represents the</w:t>
      </w:r>
      <w:r>
        <w:rPr>
          <w:rStyle w:val="FootnoteReference"/>
          <w:sz w:val="16"/>
          <w:szCs w:val="16"/>
          <w:vertAlign w:val="baseline"/>
        </w:rPr>
        <w:br/>
      </w:r>
      <w:r w:rsidRPr="00C92745">
        <w:rPr>
          <w:rStyle w:val="FootnoteReference"/>
          <w:sz w:val="16"/>
          <w:szCs w:val="16"/>
          <w:vertAlign w:val="baseline"/>
        </w:rPr>
        <w:t>cost of the regulation as an annual average cost compared to business-as-usual.</w:t>
      </w:r>
    </w:p>
    <w:p w:rsidR="00F8654D" w:rsidRDefault="00F8654D">
      <w:pPr>
        <w:pStyle w:val="FootnoteText"/>
      </w:pPr>
    </w:p>
  </w:footnote>
  <w:footnote w:id="33">
    <w:p w:rsidR="00F8654D" w:rsidRPr="00184000" w:rsidRDefault="00F8654D" w:rsidP="00FD6469">
      <w:pPr>
        <w:pStyle w:val="FootnoteText"/>
        <w:rPr>
          <w:sz w:val="16"/>
          <w:szCs w:val="16"/>
        </w:rPr>
      </w:pPr>
      <w:r w:rsidRPr="004B4C7E">
        <w:rPr>
          <w:rStyle w:val="FootnoteReference"/>
        </w:rPr>
        <w:footnoteRef/>
      </w:r>
      <w:r w:rsidRPr="00184000">
        <w:rPr>
          <w:sz w:val="16"/>
          <w:szCs w:val="16"/>
        </w:rPr>
        <w:t xml:space="preserve"> The Department increased the maximum period for a 457 </w:t>
      </w:r>
      <w:r>
        <w:rPr>
          <w:sz w:val="16"/>
          <w:szCs w:val="16"/>
        </w:rPr>
        <w:t>sponsors from three</w:t>
      </w:r>
      <w:r w:rsidRPr="00184000">
        <w:rPr>
          <w:sz w:val="16"/>
          <w:szCs w:val="16"/>
        </w:rPr>
        <w:t xml:space="preserve"> to five years on</w:t>
      </w:r>
      <w:r>
        <w:rPr>
          <w:sz w:val="16"/>
          <w:szCs w:val="16"/>
        </w:rPr>
        <w:t xml:space="preserve"> 18 April 2015 in response to recommendations of the 457</w:t>
      </w:r>
      <w:r w:rsidRPr="00184000">
        <w:rPr>
          <w:sz w:val="16"/>
          <w:szCs w:val="16"/>
        </w:rPr>
        <w:t xml:space="preserve"> Integrity Review. </w:t>
      </w:r>
    </w:p>
  </w:footnote>
  <w:footnote w:id="34">
    <w:p w:rsidR="00F8654D" w:rsidRPr="002B4021" w:rsidRDefault="00F8654D" w:rsidP="00F54892">
      <w:pPr>
        <w:pStyle w:val="FootnoteText"/>
        <w:rPr>
          <w:rStyle w:val="FootnoteReference"/>
          <w:sz w:val="16"/>
          <w:szCs w:val="16"/>
          <w:vertAlign w:val="baseline"/>
        </w:rPr>
      </w:pPr>
      <w:r w:rsidRPr="004B4C7E">
        <w:rPr>
          <w:rStyle w:val="FootnoteReference"/>
        </w:rPr>
        <w:footnoteRef/>
      </w:r>
      <w:r>
        <w:t xml:space="preserve"> </w:t>
      </w:r>
      <w:r w:rsidRPr="004B4C7E">
        <w:rPr>
          <w:rStyle w:val="FootnoteReference"/>
          <w:i/>
          <w:sz w:val="16"/>
          <w:szCs w:val="16"/>
          <w:vertAlign w:val="baseline"/>
        </w:rPr>
        <w:t>Robust New Foundations – A Streamlined, Transparent and Responsive System for the 457 Programme</w:t>
      </w:r>
      <w:r w:rsidRPr="002B4021">
        <w:rPr>
          <w:rStyle w:val="FootnoteReference"/>
          <w:sz w:val="16"/>
          <w:szCs w:val="16"/>
          <w:vertAlign w:val="baseline"/>
        </w:rPr>
        <w:t xml:space="preserve">, </w:t>
      </w:r>
      <w:r>
        <w:rPr>
          <w:sz w:val="16"/>
          <w:szCs w:val="16"/>
        </w:rPr>
        <w:t>page</w:t>
      </w:r>
      <w:r w:rsidRPr="002B4021">
        <w:rPr>
          <w:rStyle w:val="FootnoteReference"/>
          <w:sz w:val="16"/>
          <w:szCs w:val="16"/>
          <w:vertAlign w:val="baseline"/>
        </w:rPr>
        <w:t xml:space="preserve"> 39</w:t>
      </w:r>
    </w:p>
    <w:p w:rsidR="00F8654D" w:rsidRDefault="00F8654D" w:rsidP="00F54892">
      <w:pPr>
        <w:pStyle w:val="FootnoteText"/>
      </w:pPr>
    </w:p>
  </w:footnote>
  <w:footnote w:id="35">
    <w:p w:rsidR="00F8654D" w:rsidRPr="00083415" w:rsidRDefault="00F8654D">
      <w:pPr>
        <w:pStyle w:val="FootnoteText"/>
        <w:rPr>
          <w:rStyle w:val="FootnoteReference"/>
          <w:sz w:val="16"/>
          <w:szCs w:val="16"/>
          <w:vertAlign w:val="baseline"/>
        </w:rPr>
      </w:pPr>
      <w:r>
        <w:rPr>
          <w:rStyle w:val="FootnoteReference"/>
        </w:rPr>
        <w:footnoteRef/>
      </w:r>
      <w:r>
        <w:t xml:space="preserve"> </w:t>
      </w:r>
      <w:r w:rsidRPr="00083415">
        <w:rPr>
          <w:rStyle w:val="FootnoteReference"/>
          <w:sz w:val="16"/>
          <w:szCs w:val="16"/>
          <w:vertAlign w:val="baseline"/>
        </w:rPr>
        <w:t xml:space="preserve">Booklet 9: Temporary Work (Skilled) (subclass 457 visa) </w:t>
      </w:r>
      <w:r w:rsidRPr="00083415">
        <w:rPr>
          <w:sz w:val="16"/>
          <w:szCs w:val="16"/>
        </w:rPr>
        <w:t>pp25-27</w:t>
      </w:r>
      <w:r>
        <w:rPr>
          <w:sz w:val="16"/>
          <w:szCs w:val="16"/>
        </w:rPr>
        <w:t xml:space="preserve">, </w:t>
      </w:r>
      <w:r w:rsidRPr="00F8729C">
        <w:rPr>
          <w:rStyle w:val="FootnoteReference"/>
          <w:sz w:val="16"/>
          <w:szCs w:val="16"/>
          <w:vertAlign w:val="baseline"/>
        </w:rPr>
        <w:t xml:space="preserve">available online at: </w:t>
      </w:r>
      <w:r w:rsidRPr="00083415">
        <w:rPr>
          <w:rStyle w:val="FootnoteReference"/>
          <w:sz w:val="16"/>
          <w:szCs w:val="16"/>
          <w:vertAlign w:val="baseline"/>
        </w:rPr>
        <w:t xml:space="preserve"> www.border.gov.au/Forms/Documents/1154.pdf</w:t>
      </w:r>
      <w:r>
        <w:rPr>
          <w:rStyle w:val="FootnoteReference"/>
          <w:sz w:val="16"/>
          <w:szCs w:val="16"/>
          <w:vertAlign w:val="baselin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54D" w:rsidRDefault="00F865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54D" w:rsidRDefault="00F8654D">
    <w:pPr>
      <w:pStyle w:val="Header"/>
    </w:pPr>
    <w:r>
      <w:rPr>
        <w:noProof/>
      </w:rPr>
      <w:drawing>
        <wp:anchor distT="0" distB="0" distL="114300" distR="114300" simplePos="0" relativeHeight="251671551" behindDoc="0" locked="0" layoutInCell="0" allowOverlap="1" wp14:anchorId="0B82276D" wp14:editId="1B2F2970">
          <wp:simplePos x="0" y="0"/>
          <wp:positionH relativeFrom="page">
            <wp:align>left</wp:align>
          </wp:positionH>
          <wp:positionV relativeFrom="page">
            <wp:align>top</wp:align>
          </wp:positionV>
          <wp:extent cx="7558768" cy="10692000"/>
          <wp:effectExtent l="0" t="0" r="4445" b="0"/>
          <wp:wrapNone/>
          <wp:docPr id="3" name="Picture 3" descr="decorative border device surrounding edges of page" title="Border 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P_J15-1541_A4 Covers_Portrait_DIBP_BOR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54D" w:rsidRDefault="00F8654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54D" w:rsidRDefault="00F8654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54D" w:rsidRDefault="00F8654D" w:rsidP="00460507">
    <w:pPr>
      <w:pStyle w:val="Header"/>
    </w:pPr>
    <w:r>
      <w:rPr>
        <w:rFonts w:eastAsiaTheme="majorEastAsia"/>
        <w:noProof/>
      </w:rPr>
      <w:drawing>
        <wp:anchor distT="0" distB="0" distL="114300" distR="114300" simplePos="0" relativeHeight="251672576" behindDoc="1" locked="0" layoutInCell="0" allowOverlap="1" wp14:anchorId="35145DAF" wp14:editId="695AD837">
          <wp:simplePos x="0" y="0"/>
          <wp:positionH relativeFrom="page">
            <wp:posOffset>76200</wp:posOffset>
          </wp:positionH>
          <wp:positionV relativeFrom="page">
            <wp:align>top</wp:align>
          </wp:positionV>
          <wp:extent cx="7558768" cy="10692000"/>
          <wp:effectExtent l="0" t="0" r="4445" b="0"/>
          <wp:wrapNone/>
          <wp:docPr id="1" name="Picture 1" descr="decorative border device on left hand side" title="second page border 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BP_J15-1541_A4 Newsletter_DIBP_BORDER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54D" w:rsidRDefault="00F865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04A7026"/>
    <w:lvl w:ilvl="0">
      <w:start w:val="1"/>
      <w:numFmt w:val="decimal"/>
      <w:lvlText w:val="%1."/>
      <w:lvlJc w:val="left"/>
      <w:pPr>
        <w:tabs>
          <w:tab w:val="num" w:pos="360"/>
        </w:tabs>
        <w:ind w:left="360" w:hanging="360"/>
      </w:pPr>
    </w:lvl>
  </w:abstractNum>
  <w:abstractNum w:abstractNumId="1">
    <w:nsid w:val="FFFFFF89"/>
    <w:multiLevelType w:val="singleLevel"/>
    <w:tmpl w:val="0D54B21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900798C"/>
    <w:multiLevelType w:val="hybridMultilevel"/>
    <w:tmpl w:val="DD5E18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D2167D5"/>
    <w:multiLevelType w:val="hybridMultilevel"/>
    <w:tmpl w:val="5D7E202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0EB31DA3"/>
    <w:multiLevelType w:val="hybridMultilevel"/>
    <w:tmpl w:val="6DC48C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10053A3"/>
    <w:multiLevelType w:val="hybridMultilevel"/>
    <w:tmpl w:val="5E24EBF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133E64E5"/>
    <w:multiLevelType w:val="multilevel"/>
    <w:tmpl w:val="45E6DFBE"/>
    <w:lvl w:ilvl="0">
      <w:start w:val="1"/>
      <w:numFmt w:val="bullet"/>
      <w:pStyle w:val="Level1"/>
      <w:lvlText w:val=""/>
      <w:lvlJc w:val="left"/>
      <w:pPr>
        <w:tabs>
          <w:tab w:val="num" w:pos="425"/>
        </w:tabs>
        <w:ind w:left="425" w:hanging="425"/>
      </w:pPr>
      <w:rPr>
        <w:rFonts w:ascii="Wingdings" w:hAnsi="Wingdings" w:hint="default"/>
        <w:sz w:val="24"/>
      </w:rPr>
    </w:lvl>
    <w:lvl w:ilvl="1">
      <w:start w:val="1"/>
      <w:numFmt w:val="bullet"/>
      <w:pStyle w:val="Level2"/>
      <w:lvlText w:val=""/>
      <w:lvlJc w:val="left"/>
      <w:pPr>
        <w:tabs>
          <w:tab w:val="num" w:pos="851"/>
        </w:tabs>
        <w:ind w:left="851" w:hanging="426"/>
      </w:pPr>
      <w:rPr>
        <w:rFonts w:ascii="Symbol" w:hAnsi="Symbol" w:hint="default"/>
        <w:b/>
        <w:i w:val="0"/>
        <w:sz w:val="28"/>
      </w:rPr>
    </w:lvl>
    <w:lvl w:ilvl="2">
      <w:start w:val="1"/>
      <w:numFmt w:val="bullet"/>
      <w:pStyle w:val="Level3"/>
      <w:lvlText w:val=""/>
      <w:lvlJc w:val="left"/>
      <w:pPr>
        <w:tabs>
          <w:tab w:val="num" w:pos="851"/>
        </w:tabs>
        <w:ind w:left="851" w:hanging="426"/>
      </w:pPr>
      <w:rPr>
        <w:rFonts w:ascii="Wingdings" w:hAnsi="Wingdings" w:hint="default"/>
        <w:sz w:val="16"/>
      </w:rPr>
    </w:lvl>
    <w:lvl w:ilvl="3">
      <w:start w:val="1"/>
      <w:numFmt w:val="bullet"/>
      <w:pStyle w:val="Level4"/>
      <w:lvlText w:val=""/>
      <w:lvlJc w:val="left"/>
      <w:pPr>
        <w:tabs>
          <w:tab w:val="num" w:pos="1276"/>
        </w:tabs>
        <w:ind w:left="1276" w:hanging="425"/>
      </w:pPr>
      <w:rPr>
        <w:rFonts w:ascii="Symbol" w:hAnsi="Symbol" w:hint="default"/>
        <w:b/>
        <w:i w:val="0"/>
        <w:sz w:val="20"/>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153B2384"/>
    <w:multiLevelType w:val="hybridMultilevel"/>
    <w:tmpl w:val="4D6C7F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1F9127AF"/>
    <w:multiLevelType w:val="hybridMultilevel"/>
    <w:tmpl w:val="52B8AE62"/>
    <w:lvl w:ilvl="0" w:tplc="2126F554">
      <w:start w:val="1"/>
      <w:numFmt w:val="bullet"/>
      <w:lvlText w:val=""/>
      <w:lvlJc w:val="left"/>
      <w:pPr>
        <w:ind w:left="360" w:hanging="360"/>
      </w:pPr>
      <w:rPr>
        <w:rFonts w:ascii="Symbol" w:hAnsi="Symbol" w:hint="default"/>
      </w:rPr>
    </w:lvl>
    <w:lvl w:ilvl="1" w:tplc="3E000C14">
      <w:start w:val="1"/>
      <w:numFmt w:val="bullet"/>
      <w:lvlText w:val="o"/>
      <w:lvlJc w:val="left"/>
      <w:pPr>
        <w:ind w:left="1080" w:hanging="360"/>
      </w:pPr>
      <w:rPr>
        <w:rFonts w:ascii="Courier New" w:hAnsi="Courier New" w:cs="Courier New" w:hint="default"/>
      </w:rPr>
    </w:lvl>
    <w:lvl w:ilvl="2" w:tplc="DDC6A812" w:tentative="1">
      <w:start w:val="1"/>
      <w:numFmt w:val="bullet"/>
      <w:lvlText w:val=""/>
      <w:lvlJc w:val="left"/>
      <w:pPr>
        <w:ind w:left="1800" w:hanging="360"/>
      </w:pPr>
      <w:rPr>
        <w:rFonts w:ascii="Wingdings" w:hAnsi="Wingdings" w:hint="default"/>
      </w:rPr>
    </w:lvl>
    <w:lvl w:ilvl="3" w:tplc="38D0015C" w:tentative="1">
      <w:start w:val="1"/>
      <w:numFmt w:val="bullet"/>
      <w:lvlText w:val=""/>
      <w:lvlJc w:val="left"/>
      <w:pPr>
        <w:ind w:left="2520" w:hanging="360"/>
      </w:pPr>
      <w:rPr>
        <w:rFonts w:ascii="Symbol" w:hAnsi="Symbol" w:hint="default"/>
      </w:rPr>
    </w:lvl>
    <w:lvl w:ilvl="4" w:tplc="701A3238" w:tentative="1">
      <w:start w:val="1"/>
      <w:numFmt w:val="bullet"/>
      <w:lvlText w:val="o"/>
      <w:lvlJc w:val="left"/>
      <w:pPr>
        <w:ind w:left="3240" w:hanging="360"/>
      </w:pPr>
      <w:rPr>
        <w:rFonts w:ascii="Courier New" w:hAnsi="Courier New" w:cs="Courier New" w:hint="default"/>
      </w:rPr>
    </w:lvl>
    <w:lvl w:ilvl="5" w:tplc="FAD208DC" w:tentative="1">
      <w:start w:val="1"/>
      <w:numFmt w:val="bullet"/>
      <w:lvlText w:val=""/>
      <w:lvlJc w:val="left"/>
      <w:pPr>
        <w:ind w:left="3960" w:hanging="360"/>
      </w:pPr>
      <w:rPr>
        <w:rFonts w:ascii="Wingdings" w:hAnsi="Wingdings" w:hint="default"/>
      </w:rPr>
    </w:lvl>
    <w:lvl w:ilvl="6" w:tplc="620253E2" w:tentative="1">
      <w:start w:val="1"/>
      <w:numFmt w:val="bullet"/>
      <w:lvlText w:val=""/>
      <w:lvlJc w:val="left"/>
      <w:pPr>
        <w:ind w:left="4680" w:hanging="360"/>
      </w:pPr>
      <w:rPr>
        <w:rFonts w:ascii="Symbol" w:hAnsi="Symbol" w:hint="default"/>
      </w:rPr>
    </w:lvl>
    <w:lvl w:ilvl="7" w:tplc="5596BC30" w:tentative="1">
      <w:start w:val="1"/>
      <w:numFmt w:val="bullet"/>
      <w:lvlText w:val="o"/>
      <w:lvlJc w:val="left"/>
      <w:pPr>
        <w:ind w:left="5400" w:hanging="360"/>
      </w:pPr>
      <w:rPr>
        <w:rFonts w:ascii="Courier New" w:hAnsi="Courier New" w:cs="Courier New" w:hint="default"/>
      </w:rPr>
    </w:lvl>
    <w:lvl w:ilvl="8" w:tplc="375E8BF8" w:tentative="1">
      <w:start w:val="1"/>
      <w:numFmt w:val="bullet"/>
      <w:lvlText w:val=""/>
      <w:lvlJc w:val="left"/>
      <w:pPr>
        <w:ind w:left="6120" w:hanging="360"/>
      </w:pPr>
      <w:rPr>
        <w:rFonts w:ascii="Wingdings" w:hAnsi="Wingdings" w:hint="default"/>
      </w:rPr>
    </w:lvl>
  </w:abstractNum>
  <w:abstractNum w:abstractNumId="9">
    <w:nsid w:val="234A0D0D"/>
    <w:multiLevelType w:val="hybridMultilevel"/>
    <w:tmpl w:val="AFC45DE0"/>
    <w:lvl w:ilvl="0" w:tplc="D9BE05C2">
      <w:start w:val="1"/>
      <w:numFmt w:val="decimal"/>
      <w:lvlText w:val="%1."/>
      <w:lvlJc w:val="left"/>
      <w:pPr>
        <w:tabs>
          <w:tab w:val="num" w:pos="680"/>
        </w:tabs>
        <w:ind w:left="680" w:hanging="340"/>
      </w:pPr>
      <w:rPr>
        <w:rFonts w:ascii="Arial" w:eastAsia="Times New Roman" w:hAnsi="Arial" w:cs="Times New Roman"/>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0">
    <w:nsid w:val="2F686026"/>
    <w:multiLevelType w:val="hybridMultilevel"/>
    <w:tmpl w:val="A4F48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F8C4AF7"/>
    <w:multiLevelType w:val="hybridMultilevel"/>
    <w:tmpl w:val="54384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3976951"/>
    <w:multiLevelType w:val="hybridMultilevel"/>
    <w:tmpl w:val="1F288864"/>
    <w:lvl w:ilvl="0" w:tplc="E722865A">
      <w:start w:val="1"/>
      <w:numFmt w:val="bullet"/>
      <w:pStyle w:val="Bullet-level1"/>
      <w:lvlText w:val=""/>
      <w:lvlJc w:val="left"/>
      <w:pPr>
        <w:tabs>
          <w:tab w:val="num" w:pos="34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42F2F10"/>
    <w:multiLevelType w:val="hybridMultilevel"/>
    <w:tmpl w:val="AF96B6D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387D51A5"/>
    <w:multiLevelType w:val="hybridMultilevel"/>
    <w:tmpl w:val="C87A7F32"/>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39F950A9"/>
    <w:multiLevelType w:val="hybridMultilevel"/>
    <w:tmpl w:val="35EE59FA"/>
    <w:lvl w:ilvl="0" w:tplc="0C09000F">
      <w:start w:val="1"/>
      <w:numFmt w:val="decimal"/>
      <w:lvlText w:val="%1."/>
      <w:lvlJc w:val="left"/>
      <w:pPr>
        <w:tabs>
          <w:tab w:val="num" w:pos="340"/>
        </w:tabs>
        <w:ind w:left="340" w:hanging="34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C250D0B"/>
    <w:multiLevelType w:val="hybridMultilevel"/>
    <w:tmpl w:val="19425A2A"/>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408C732E"/>
    <w:multiLevelType w:val="hybridMultilevel"/>
    <w:tmpl w:val="77463018"/>
    <w:lvl w:ilvl="0" w:tplc="7E447A20">
      <w:start w:val="1"/>
      <w:numFmt w:val="lowerLetter"/>
      <w:pStyle w:val="ListNumber2"/>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38750CD"/>
    <w:multiLevelType w:val="hybridMultilevel"/>
    <w:tmpl w:val="08A4B6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44BD47F0"/>
    <w:multiLevelType w:val="hybridMultilevel"/>
    <w:tmpl w:val="97C0151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450764A1"/>
    <w:multiLevelType w:val="hybridMultilevel"/>
    <w:tmpl w:val="7FB60D2E"/>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46061752"/>
    <w:multiLevelType w:val="hybridMultilevel"/>
    <w:tmpl w:val="15E2F34A"/>
    <w:lvl w:ilvl="0" w:tplc="BEB25520">
      <w:start w:val="1"/>
      <w:numFmt w:val="decimal"/>
      <w:pStyle w:val="ListNumber"/>
      <w:lvlText w:val="%1."/>
      <w:lvlJc w:val="left"/>
      <w:pPr>
        <w:tabs>
          <w:tab w:val="num" w:pos="340"/>
        </w:tabs>
        <w:ind w:left="340" w:hanging="34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EC40250"/>
    <w:multiLevelType w:val="hybridMultilevel"/>
    <w:tmpl w:val="DF1A942E"/>
    <w:lvl w:ilvl="0" w:tplc="0C09000F">
      <w:start w:val="1"/>
      <w:numFmt w:val="decimal"/>
      <w:lvlText w:val="%1."/>
      <w:lvlJc w:val="left"/>
      <w:pPr>
        <w:tabs>
          <w:tab w:val="num" w:pos="340"/>
        </w:tabs>
        <w:ind w:left="340" w:hanging="34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F566475"/>
    <w:multiLevelType w:val="hybridMultilevel"/>
    <w:tmpl w:val="02E20F4C"/>
    <w:lvl w:ilvl="0" w:tplc="4874FBC2">
      <w:start w:val="1"/>
      <w:numFmt w:val="bullet"/>
      <w:pStyle w:val="Bullet-level2"/>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2554BE7"/>
    <w:multiLevelType w:val="hybridMultilevel"/>
    <w:tmpl w:val="5C325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52707F0"/>
    <w:multiLevelType w:val="hybridMultilevel"/>
    <w:tmpl w:val="5ABEA1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5E535960"/>
    <w:multiLevelType w:val="hybridMultilevel"/>
    <w:tmpl w:val="1A5446D0"/>
    <w:lvl w:ilvl="0" w:tplc="0C090001">
      <w:start w:val="1"/>
      <w:numFmt w:val="bullet"/>
      <w:pStyle w:val="CharChar1CharCharCharCharCharCharCharCharCharCharCharCharCharCharCharCharCharChar"/>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6B3F2CE1"/>
    <w:multiLevelType w:val="hybridMultilevel"/>
    <w:tmpl w:val="6E38D15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nsid w:val="6FF3069E"/>
    <w:multiLevelType w:val="hybridMultilevel"/>
    <w:tmpl w:val="0956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BAB277C"/>
    <w:multiLevelType w:val="hybridMultilevel"/>
    <w:tmpl w:val="E048BF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12"/>
  </w:num>
  <w:num w:numId="3">
    <w:abstractNumId w:val="23"/>
  </w:num>
  <w:num w:numId="4">
    <w:abstractNumId w:val="17"/>
  </w:num>
  <w:num w:numId="5">
    <w:abstractNumId w:val="4"/>
  </w:num>
  <w:num w:numId="6">
    <w:abstractNumId w:val="21"/>
  </w:num>
  <w:num w:numId="7">
    <w:abstractNumId w:val="21"/>
    <w:lvlOverride w:ilvl="0">
      <w:startOverride w:val="1"/>
    </w:lvlOverride>
  </w:num>
  <w:num w:numId="8">
    <w:abstractNumId w:val="21"/>
    <w:lvlOverride w:ilvl="0">
      <w:startOverride w:val="1"/>
    </w:lvlOverride>
  </w:num>
  <w:num w:numId="9">
    <w:abstractNumId w:val="29"/>
  </w:num>
  <w:num w:numId="10">
    <w:abstractNumId w:val="22"/>
  </w:num>
  <w:num w:numId="11">
    <w:abstractNumId w:val="14"/>
  </w:num>
  <w:num w:numId="12">
    <w:abstractNumId w:val="16"/>
  </w:num>
  <w:num w:numId="13">
    <w:abstractNumId w:val="26"/>
  </w:num>
  <w:num w:numId="14">
    <w:abstractNumId w:val="6"/>
  </w:num>
  <w:num w:numId="15">
    <w:abstractNumId w:val="20"/>
  </w:num>
  <w:num w:numId="16">
    <w:abstractNumId w:val="27"/>
  </w:num>
  <w:num w:numId="17">
    <w:abstractNumId w:val="3"/>
  </w:num>
  <w:num w:numId="18">
    <w:abstractNumId w:val="13"/>
  </w:num>
  <w:num w:numId="19">
    <w:abstractNumId w:val="19"/>
  </w:num>
  <w:num w:numId="20">
    <w:abstractNumId w:val="7"/>
  </w:num>
  <w:num w:numId="21">
    <w:abstractNumId w:val="5"/>
  </w:num>
  <w:num w:numId="22">
    <w:abstractNumId w:val="28"/>
  </w:num>
  <w:num w:numId="23">
    <w:abstractNumId w:val="24"/>
  </w:num>
  <w:num w:numId="24">
    <w:abstractNumId w:val="25"/>
  </w:num>
  <w:num w:numId="25">
    <w:abstractNumId w:val="9"/>
  </w:num>
  <w:num w:numId="26">
    <w:abstractNumId w:val="15"/>
  </w:num>
  <w:num w:numId="27">
    <w:abstractNumId w:val="10"/>
  </w:num>
  <w:num w:numId="28">
    <w:abstractNumId w:val="11"/>
  </w:num>
  <w:num w:numId="29">
    <w:abstractNumId w:val="18"/>
  </w:num>
  <w:num w:numId="30">
    <w:abstractNumId w:val="0"/>
  </w:num>
  <w:num w:numId="31">
    <w:abstractNumId w:val="2"/>
  </w:num>
  <w:num w:numId="32">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3FC"/>
    <w:rsid w:val="000003C3"/>
    <w:rsid w:val="00000549"/>
    <w:rsid w:val="00000EB5"/>
    <w:rsid w:val="00003BBC"/>
    <w:rsid w:val="000040FB"/>
    <w:rsid w:val="00004669"/>
    <w:rsid w:val="00006573"/>
    <w:rsid w:val="00006EDD"/>
    <w:rsid w:val="000079A4"/>
    <w:rsid w:val="000156B6"/>
    <w:rsid w:val="00015B3E"/>
    <w:rsid w:val="000162AB"/>
    <w:rsid w:val="00016453"/>
    <w:rsid w:val="00020133"/>
    <w:rsid w:val="0002041F"/>
    <w:rsid w:val="000224C6"/>
    <w:rsid w:val="00031FCB"/>
    <w:rsid w:val="000361A9"/>
    <w:rsid w:val="0003759C"/>
    <w:rsid w:val="00042D20"/>
    <w:rsid w:val="00052C45"/>
    <w:rsid w:val="00053111"/>
    <w:rsid w:val="00055C21"/>
    <w:rsid w:val="000575C2"/>
    <w:rsid w:val="000601C9"/>
    <w:rsid w:val="00060AC6"/>
    <w:rsid w:val="00062DBB"/>
    <w:rsid w:val="00063A5F"/>
    <w:rsid w:val="000704E5"/>
    <w:rsid w:val="000760C1"/>
    <w:rsid w:val="00077216"/>
    <w:rsid w:val="00080800"/>
    <w:rsid w:val="00082856"/>
    <w:rsid w:val="00083307"/>
    <w:rsid w:val="00083415"/>
    <w:rsid w:val="0008591E"/>
    <w:rsid w:val="00091CD2"/>
    <w:rsid w:val="000950C4"/>
    <w:rsid w:val="0009513E"/>
    <w:rsid w:val="00096D5E"/>
    <w:rsid w:val="000A08AE"/>
    <w:rsid w:val="000A1384"/>
    <w:rsid w:val="000A180D"/>
    <w:rsid w:val="000A2E07"/>
    <w:rsid w:val="000B227E"/>
    <w:rsid w:val="000B5656"/>
    <w:rsid w:val="000C4A83"/>
    <w:rsid w:val="000C563F"/>
    <w:rsid w:val="000C6994"/>
    <w:rsid w:val="000D025A"/>
    <w:rsid w:val="000D0AD8"/>
    <w:rsid w:val="000D17D9"/>
    <w:rsid w:val="000D2A94"/>
    <w:rsid w:val="000D2FFE"/>
    <w:rsid w:val="000D31F3"/>
    <w:rsid w:val="000D6D8C"/>
    <w:rsid w:val="000D6E18"/>
    <w:rsid w:val="000D6E86"/>
    <w:rsid w:val="000D703F"/>
    <w:rsid w:val="000E233E"/>
    <w:rsid w:val="000E39C5"/>
    <w:rsid w:val="000F1500"/>
    <w:rsid w:val="000F4F57"/>
    <w:rsid w:val="00101BB6"/>
    <w:rsid w:val="00105A9B"/>
    <w:rsid w:val="00111AC8"/>
    <w:rsid w:val="00111C55"/>
    <w:rsid w:val="00111FFC"/>
    <w:rsid w:val="00113998"/>
    <w:rsid w:val="001154F3"/>
    <w:rsid w:val="001169A2"/>
    <w:rsid w:val="00120ABF"/>
    <w:rsid w:val="00122CE9"/>
    <w:rsid w:val="0012349A"/>
    <w:rsid w:val="00124314"/>
    <w:rsid w:val="001243D2"/>
    <w:rsid w:val="001265DB"/>
    <w:rsid w:val="00127D4C"/>
    <w:rsid w:val="00130127"/>
    <w:rsid w:val="0013107F"/>
    <w:rsid w:val="00133427"/>
    <w:rsid w:val="001341EF"/>
    <w:rsid w:val="001367C9"/>
    <w:rsid w:val="001369BC"/>
    <w:rsid w:val="00140E5B"/>
    <w:rsid w:val="00140E60"/>
    <w:rsid w:val="0014228F"/>
    <w:rsid w:val="0014309F"/>
    <w:rsid w:val="00151642"/>
    <w:rsid w:val="00151B33"/>
    <w:rsid w:val="00156320"/>
    <w:rsid w:val="00156B0E"/>
    <w:rsid w:val="001625CE"/>
    <w:rsid w:val="00164646"/>
    <w:rsid w:val="00166DC6"/>
    <w:rsid w:val="00170002"/>
    <w:rsid w:val="0017093C"/>
    <w:rsid w:val="00171E63"/>
    <w:rsid w:val="0018307F"/>
    <w:rsid w:val="00183D96"/>
    <w:rsid w:val="00187FC7"/>
    <w:rsid w:val="00193B20"/>
    <w:rsid w:val="001940E2"/>
    <w:rsid w:val="001951E1"/>
    <w:rsid w:val="001A3BB5"/>
    <w:rsid w:val="001A6326"/>
    <w:rsid w:val="001B0EFB"/>
    <w:rsid w:val="001B32DB"/>
    <w:rsid w:val="001B37C1"/>
    <w:rsid w:val="001C01A1"/>
    <w:rsid w:val="001C1F61"/>
    <w:rsid w:val="001C23D6"/>
    <w:rsid w:val="001D1DFC"/>
    <w:rsid w:val="001D2838"/>
    <w:rsid w:val="001D411A"/>
    <w:rsid w:val="001D42DF"/>
    <w:rsid w:val="001D7352"/>
    <w:rsid w:val="001E0D38"/>
    <w:rsid w:val="001E1294"/>
    <w:rsid w:val="001E3A9C"/>
    <w:rsid w:val="001E50CD"/>
    <w:rsid w:val="001F0DFE"/>
    <w:rsid w:val="001F4C23"/>
    <w:rsid w:val="001F77C1"/>
    <w:rsid w:val="002029BB"/>
    <w:rsid w:val="00202F9D"/>
    <w:rsid w:val="00203DD3"/>
    <w:rsid w:val="00213355"/>
    <w:rsid w:val="002168B8"/>
    <w:rsid w:val="00221A66"/>
    <w:rsid w:val="00225738"/>
    <w:rsid w:val="00226DE1"/>
    <w:rsid w:val="002319F3"/>
    <w:rsid w:val="00231CD8"/>
    <w:rsid w:val="00233CCA"/>
    <w:rsid w:val="0023526F"/>
    <w:rsid w:val="0023626A"/>
    <w:rsid w:val="00237B04"/>
    <w:rsid w:val="00242804"/>
    <w:rsid w:val="00243E14"/>
    <w:rsid w:val="00244C0E"/>
    <w:rsid w:val="00244FDB"/>
    <w:rsid w:val="0025183C"/>
    <w:rsid w:val="00261A04"/>
    <w:rsid w:val="00263D37"/>
    <w:rsid w:val="0027446E"/>
    <w:rsid w:val="00275132"/>
    <w:rsid w:val="00275A95"/>
    <w:rsid w:val="0028068A"/>
    <w:rsid w:val="00285C2A"/>
    <w:rsid w:val="00292EEF"/>
    <w:rsid w:val="00292F8B"/>
    <w:rsid w:val="00295F02"/>
    <w:rsid w:val="002961B1"/>
    <w:rsid w:val="002973F0"/>
    <w:rsid w:val="002A0332"/>
    <w:rsid w:val="002A3129"/>
    <w:rsid w:val="002B16D1"/>
    <w:rsid w:val="002B233F"/>
    <w:rsid w:val="002B26E4"/>
    <w:rsid w:val="002B4021"/>
    <w:rsid w:val="002B4A19"/>
    <w:rsid w:val="002B5D03"/>
    <w:rsid w:val="002B633E"/>
    <w:rsid w:val="002B6F7F"/>
    <w:rsid w:val="002C5A43"/>
    <w:rsid w:val="002C6A45"/>
    <w:rsid w:val="002C7587"/>
    <w:rsid w:val="002D607B"/>
    <w:rsid w:val="002E0CCE"/>
    <w:rsid w:val="002E137B"/>
    <w:rsid w:val="002E1F70"/>
    <w:rsid w:val="002E26E4"/>
    <w:rsid w:val="002E6AAF"/>
    <w:rsid w:val="002F1E5E"/>
    <w:rsid w:val="002F2D70"/>
    <w:rsid w:val="002F2FDD"/>
    <w:rsid w:val="002F3F8E"/>
    <w:rsid w:val="00301B1A"/>
    <w:rsid w:val="0030429A"/>
    <w:rsid w:val="0030741C"/>
    <w:rsid w:val="00310340"/>
    <w:rsid w:val="0031088A"/>
    <w:rsid w:val="0031095D"/>
    <w:rsid w:val="00310A3E"/>
    <w:rsid w:val="00310E6D"/>
    <w:rsid w:val="0031136A"/>
    <w:rsid w:val="00311F33"/>
    <w:rsid w:val="00312C8E"/>
    <w:rsid w:val="00312D57"/>
    <w:rsid w:val="00321293"/>
    <w:rsid w:val="00321501"/>
    <w:rsid w:val="00322BA0"/>
    <w:rsid w:val="00324CBC"/>
    <w:rsid w:val="003261BB"/>
    <w:rsid w:val="00332718"/>
    <w:rsid w:val="003344F0"/>
    <w:rsid w:val="00334D26"/>
    <w:rsid w:val="00335381"/>
    <w:rsid w:val="0033672D"/>
    <w:rsid w:val="00336EE2"/>
    <w:rsid w:val="00340FA2"/>
    <w:rsid w:val="00352920"/>
    <w:rsid w:val="0035605F"/>
    <w:rsid w:val="00356912"/>
    <w:rsid w:val="003572F8"/>
    <w:rsid w:val="00357C26"/>
    <w:rsid w:val="003605F5"/>
    <w:rsid w:val="00363D2B"/>
    <w:rsid w:val="003703F7"/>
    <w:rsid w:val="00372A66"/>
    <w:rsid w:val="00372C78"/>
    <w:rsid w:val="00373009"/>
    <w:rsid w:val="0037385E"/>
    <w:rsid w:val="00377755"/>
    <w:rsid w:val="00381425"/>
    <w:rsid w:val="00381C53"/>
    <w:rsid w:val="00383F01"/>
    <w:rsid w:val="00384A95"/>
    <w:rsid w:val="00386FCE"/>
    <w:rsid w:val="003874B1"/>
    <w:rsid w:val="0038783A"/>
    <w:rsid w:val="00387CA7"/>
    <w:rsid w:val="003A036D"/>
    <w:rsid w:val="003A1AA0"/>
    <w:rsid w:val="003A4FD2"/>
    <w:rsid w:val="003A59CB"/>
    <w:rsid w:val="003A6AB6"/>
    <w:rsid w:val="003B1741"/>
    <w:rsid w:val="003B6A62"/>
    <w:rsid w:val="003B6DFF"/>
    <w:rsid w:val="003B733F"/>
    <w:rsid w:val="003C19C8"/>
    <w:rsid w:val="003C228D"/>
    <w:rsid w:val="003C39C5"/>
    <w:rsid w:val="003C54BB"/>
    <w:rsid w:val="003C6150"/>
    <w:rsid w:val="003D0F82"/>
    <w:rsid w:val="003D1F78"/>
    <w:rsid w:val="003D4A66"/>
    <w:rsid w:val="003D64F2"/>
    <w:rsid w:val="003E029E"/>
    <w:rsid w:val="003E245F"/>
    <w:rsid w:val="003E2FAE"/>
    <w:rsid w:val="003E3864"/>
    <w:rsid w:val="003E7BEB"/>
    <w:rsid w:val="003F0FE3"/>
    <w:rsid w:val="003F17E9"/>
    <w:rsid w:val="003F44AB"/>
    <w:rsid w:val="003F5B0A"/>
    <w:rsid w:val="003F62F2"/>
    <w:rsid w:val="003F6AD8"/>
    <w:rsid w:val="003F7220"/>
    <w:rsid w:val="004028F5"/>
    <w:rsid w:val="00407A2C"/>
    <w:rsid w:val="00410DBD"/>
    <w:rsid w:val="00413611"/>
    <w:rsid w:val="00413C82"/>
    <w:rsid w:val="004147AA"/>
    <w:rsid w:val="00414D36"/>
    <w:rsid w:val="004162D4"/>
    <w:rsid w:val="004168AC"/>
    <w:rsid w:val="00420DD4"/>
    <w:rsid w:val="0043142E"/>
    <w:rsid w:val="00433DC0"/>
    <w:rsid w:val="00441CF9"/>
    <w:rsid w:val="00441FA1"/>
    <w:rsid w:val="00451199"/>
    <w:rsid w:val="0045256F"/>
    <w:rsid w:val="004552AF"/>
    <w:rsid w:val="004603D9"/>
    <w:rsid w:val="00460507"/>
    <w:rsid w:val="0046125C"/>
    <w:rsid w:val="00465412"/>
    <w:rsid w:val="00466E35"/>
    <w:rsid w:val="0046719A"/>
    <w:rsid w:val="00470E64"/>
    <w:rsid w:val="00472B26"/>
    <w:rsid w:val="0047401E"/>
    <w:rsid w:val="004741F9"/>
    <w:rsid w:val="00474638"/>
    <w:rsid w:val="00480888"/>
    <w:rsid w:val="0048177E"/>
    <w:rsid w:val="0048282F"/>
    <w:rsid w:val="00483334"/>
    <w:rsid w:val="004872B3"/>
    <w:rsid w:val="0049272A"/>
    <w:rsid w:val="00493CFA"/>
    <w:rsid w:val="00494FD1"/>
    <w:rsid w:val="00497252"/>
    <w:rsid w:val="004A01BE"/>
    <w:rsid w:val="004A23CF"/>
    <w:rsid w:val="004A4F58"/>
    <w:rsid w:val="004A6860"/>
    <w:rsid w:val="004A6A12"/>
    <w:rsid w:val="004A70DF"/>
    <w:rsid w:val="004A75AA"/>
    <w:rsid w:val="004B10E9"/>
    <w:rsid w:val="004B2657"/>
    <w:rsid w:val="004B3C4C"/>
    <w:rsid w:val="004B4BC2"/>
    <w:rsid w:val="004B4C7E"/>
    <w:rsid w:val="004B556B"/>
    <w:rsid w:val="004B55A6"/>
    <w:rsid w:val="004B583D"/>
    <w:rsid w:val="004B722F"/>
    <w:rsid w:val="004B7CCA"/>
    <w:rsid w:val="004C1C51"/>
    <w:rsid w:val="004C39CC"/>
    <w:rsid w:val="004C5F74"/>
    <w:rsid w:val="004C767C"/>
    <w:rsid w:val="004D4035"/>
    <w:rsid w:val="004D4102"/>
    <w:rsid w:val="004D6751"/>
    <w:rsid w:val="004E066D"/>
    <w:rsid w:val="004E161F"/>
    <w:rsid w:val="004E2D4F"/>
    <w:rsid w:val="004E45C0"/>
    <w:rsid w:val="004F0981"/>
    <w:rsid w:val="004F1541"/>
    <w:rsid w:val="004F3EF7"/>
    <w:rsid w:val="004F4332"/>
    <w:rsid w:val="004F5100"/>
    <w:rsid w:val="004F5AA3"/>
    <w:rsid w:val="004F6024"/>
    <w:rsid w:val="004F6467"/>
    <w:rsid w:val="004F6A0E"/>
    <w:rsid w:val="00503B95"/>
    <w:rsid w:val="005055FC"/>
    <w:rsid w:val="0050620E"/>
    <w:rsid w:val="00510D13"/>
    <w:rsid w:val="00512BF7"/>
    <w:rsid w:val="00514AB6"/>
    <w:rsid w:val="00516979"/>
    <w:rsid w:val="00517902"/>
    <w:rsid w:val="005200D3"/>
    <w:rsid w:val="0052026C"/>
    <w:rsid w:val="005269A5"/>
    <w:rsid w:val="0053348D"/>
    <w:rsid w:val="005337A0"/>
    <w:rsid w:val="00533D05"/>
    <w:rsid w:val="005354BE"/>
    <w:rsid w:val="0053650F"/>
    <w:rsid w:val="00542267"/>
    <w:rsid w:val="00543D1B"/>
    <w:rsid w:val="0054538F"/>
    <w:rsid w:val="00545622"/>
    <w:rsid w:val="00550AD5"/>
    <w:rsid w:val="00551EAB"/>
    <w:rsid w:val="00557F80"/>
    <w:rsid w:val="00564688"/>
    <w:rsid w:val="00570173"/>
    <w:rsid w:val="00571430"/>
    <w:rsid w:val="0057202B"/>
    <w:rsid w:val="00580C4E"/>
    <w:rsid w:val="00581C12"/>
    <w:rsid w:val="00583C63"/>
    <w:rsid w:val="005861C3"/>
    <w:rsid w:val="00586933"/>
    <w:rsid w:val="005870B6"/>
    <w:rsid w:val="00591D7D"/>
    <w:rsid w:val="0059384F"/>
    <w:rsid w:val="0059416A"/>
    <w:rsid w:val="005941B1"/>
    <w:rsid w:val="005951B9"/>
    <w:rsid w:val="005B001E"/>
    <w:rsid w:val="005B5003"/>
    <w:rsid w:val="005B7989"/>
    <w:rsid w:val="005C09F0"/>
    <w:rsid w:val="005C1034"/>
    <w:rsid w:val="005C1F77"/>
    <w:rsid w:val="005C3F93"/>
    <w:rsid w:val="005C429A"/>
    <w:rsid w:val="005C6E86"/>
    <w:rsid w:val="005D2118"/>
    <w:rsid w:val="005D2941"/>
    <w:rsid w:val="005D430B"/>
    <w:rsid w:val="005D45DD"/>
    <w:rsid w:val="005D4D9F"/>
    <w:rsid w:val="005D5BE0"/>
    <w:rsid w:val="005D7471"/>
    <w:rsid w:val="005E02D3"/>
    <w:rsid w:val="005E0347"/>
    <w:rsid w:val="005E16A1"/>
    <w:rsid w:val="005E7168"/>
    <w:rsid w:val="005F17FA"/>
    <w:rsid w:val="005F5C20"/>
    <w:rsid w:val="00600C81"/>
    <w:rsid w:val="006012C5"/>
    <w:rsid w:val="00601820"/>
    <w:rsid w:val="006034F2"/>
    <w:rsid w:val="00603B3E"/>
    <w:rsid w:val="006047B3"/>
    <w:rsid w:val="0060604C"/>
    <w:rsid w:val="00610A9B"/>
    <w:rsid w:val="00611CD7"/>
    <w:rsid w:val="006124C2"/>
    <w:rsid w:val="0061290E"/>
    <w:rsid w:val="0061421C"/>
    <w:rsid w:val="00615822"/>
    <w:rsid w:val="006160E5"/>
    <w:rsid w:val="006166BD"/>
    <w:rsid w:val="006228D5"/>
    <w:rsid w:val="00622CBF"/>
    <w:rsid w:val="006240CB"/>
    <w:rsid w:val="0062696F"/>
    <w:rsid w:val="0062750D"/>
    <w:rsid w:val="00632CB6"/>
    <w:rsid w:val="006429D6"/>
    <w:rsid w:val="00643436"/>
    <w:rsid w:val="00644A25"/>
    <w:rsid w:val="00644CDB"/>
    <w:rsid w:val="0064623D"/>
    <w:rsid w:val="00647019"/>
    <w:rsid w:val="00647242"/>
    <w:rsid w:val="00651818"/>
    <w:rsid w:val="00651940"/>
    <w:rsid w:val="00651C3C"/>
    <w:rsid w:val="00652A88"/>
    <w:rsid w:val="00653D17"/>
    <w:rsid w:val="0065502B"/>
    <w:rsid w:val="006608E2"/>
    <w:rsid w:val="006717C7"/>
    <w:rsid w:val="006719BA"/>
    <w:rsid w:val="006725A7"/>
    <w:rsid w:val="006757D3"/>
    <w:rsid w:val="006760A4"/>
    <w:rsid w:val="006774C2"/>
    <w:rsid w:val="00680147"/>
    <w:rsid w:val="006806D2"/>
    <w:rsid w:val="00683A5C"/>
    <w:rsid w:val="00684775"/>
    <w:rsid w:val="00685C93"/>
    <w:rsid w:val="00687B43"/>
    <w:rsid w:val="00690092"/>
    <w:rsid w:val="006908BD"/>
    <w:rsid w:val="006913FC"/>
    <w:rsid w:val="006918CA"/>
    <w:rsid w:val="00691B9C"/>
    <w:rsid w:val="006930AE"/>
    <w:rsid w:val="00694345"/>
    <w:rsid w:val="006943F4"/>
    <w:rsid w:val="0069514F"/>
    <w:rsid w:val="00697DED"/>
    <w:rsid w:val="006A0122"/>
    <w:rsid w:val="006A1452"/>
    <w:rsid w:val="006A62C6"/>
    <w:rsid w:val="006A7D8D"/>
    <w:rsid w:val="006B0036"/>
    <w:rsid w:val="006B2955"/>
    <w:rsid w:val="006C17F6"/>
    <w:rsid w:val="006C52A7"/>
    <w:rsid w:val="006C7893"/>
    <w:rsid w:val="006C79EC"/>
    <w:rsid w:val="006D265B"/>
    <w:rsid w:val="006D363A"/>
    <w:rsid w:val="006D3EEC"/>
    <w:rsid w:val="006D7404"/>
    <w:rsid w:val="006D75F3"/>
    <w:rsid w:val="006E36B7"/>
    <w:rsid w:val="006E3BED"/>
    <w:rsid w:val="006E5A60"/>
    <w:rsid w:val="006F357D"/>
    <w:rsid w:val="006F37AF"/>
    <w:rsid w:val="006F4DFF"/>
    <w:rsid w:val="007029C9"/>
    <w:rsid w:val="00704103"/>
    <w:rsid w:val="00704A7D"/>
    <w:rsid w:val="00704D1A"/>
    <w:rsid w:val="0070696A"/>
    <w:rsid w:val="007074F8"/>
    <w:rsid w:val="00707FD0"/>
    <w:rsid w:val="00712FAE"/>
    <w:rsid w:val="007142D0"/>
    <w:rsid w:val="00715EE1"/>
    <w:rsid w:val="00717AFC"/>
    <w:rsid w:val="00725CA4"/>
    <w:rsid w:val="007279A3"/>
    <w:rsid w:val="00731114"/>
    <w:rsid w:val="00735C08"/>
    <w:rsid w:val="007409E0"/>
    <w:rsid w:val="00740CF0"/>
    <w:rsid w:val="00745D9A"/>
    <w:rsid w:val="00746281"/>
    <w:rsid w:val="00746863"/>
    <w:rsid w:val="0074691E"/>
    <w:rsid w:val="00747664"/>
    <w:rsid w:val="00747A9B"/>
    <w:rsid w:val="00747DD5"/>
    <w:rsid w:val="00757F97"/>
    <w:rsid w:val="0076151E"/>
    <w:rsid w:val="00763494"/>
    <w:rsid w:val="00772EF3"/>
    <w:rsid w:val="007755F0"/>
    <w:rsid w:val="00777DD6"/>
    <w:rsid w:val="00781786"/>
    <w:rsid w:val="00782CC9"/>
    <w:rsid w:val="00783056"/>
    <w:rsid w:val="00783D72"/>
    <w:rsid w:val="007910E1"/>
    <w:rsid w:val="00791BCF"/>
    <w:rsid w:val="0079236A"/>
    <w:rsid w:val="00793214"/>
    <w:rsid w:val="00794D2A"/>
    <w:rsid w:val="0079527E"/>
    <w:rsid w:val="00796C96"/>
    <w:rsid w:val="00797B7B"/>
    <w:rsid w:val="007A1DBD"/>
    <w:rsid w:val="007A297C"/>
    <w:rsid w:val="007A3C77"/>
    <w:rsid w:val="007A6096"/>
    <w:rsid w:val="007A64A7"/>
    <w:rsid w:val="007A6D6C"/>
    <w:rsid w:val="007B3120"/>
    <w:rsid w:val="007C217A"/>
    <w:rsid w:val="007C31D2"/>
    <w:rsid w:val="007C33DD"/>
    <w:rsid w:val="007C3E8B"/>
    <w:rsid w:val="007C433E"/>
    <w:rsid w:val="007C48C4"/>
    <w:rsid w:val="007C71F6"/>
    <w:rsid w:val="007C73CD"/>
    <w:rsid w:val="007C7E78"/>
    <w:rsid w:val="007D00FC"/>
    <w:rsid w:val="007E14D0"/>
    <w:rsid w:val="007E2C2C"/>
    <w:rsid w:val="007E504B"/>
    <w:rsid w:val="007E5E3B"/>
    <w:rsid w:val="007E6306"/>
    <w:rsid w:val="007F4E4F"/>
    <w:rsid w:val="007F7DE9"/>
    <w:rsid w:val="00801881"/>
    <w:rsid w:val="008018D4"/>
    <w:rsid w:val="008025E5"/>
    <w:rsid w:val="008045DE"/>
    <w:rsid w:val="00805273"/>
    <w:rsid w:val="00807B73"/>
    <w:rsid w:val="00817AB7"/>
    <w:rsid w:val="00817D46"/>
    <w:rsid w:val="00820240"/>
    <w:rsid w:val="008233A8"/>
    <w:rsid w:val="00823879"/>
    <w:rsid w:val="008248C1"/>
    <w:rsid w:val="008262A7"/>
    <w:rsid w:val="008323B3"/>
    <w:rsid w:val="00832BEA"/>
    <w:rsid w:val="0083435A"/>
    <w:rsid w:val="0083561A"/>
    <w:rsid w:val="00835A21"/>
    <w:rsid w:val="00836B6C"/>
    <w:rsid w:val="008422AF"/>
    <w:rsid w:val="00845213"/>
    <w:rsid w:val="008506C1"/>
    <w:rsid w:val="008523E2"/>
    <w:rsid w:val="00853396"/>
    <w:rsid w:val="00854FAF"/>
    <w:rsid w:val="00855AE2"/>
    <w:rsid w:val="00860143"/>
    <w:rsid w:val="00861B7F"/>
    <w:rsid w:val="00866D5E"/>
    <w:rsid w:val="0087371B"/>
    <w:rsid w:val="00874C8A"/>
    <w:rsid w:val="008776A2"/>
    <w:rsid w:val="00877F32"/>
    <w:rsid w:val="0088148D"/>
    <w:rsid w:val="00884CBD"/>
    <w:rsid w:val="00886DF3"/>
    <w:rsid w:val="00897331"/>
    <w:rsid w:val="008A2220"/>
    <w:rsid w:val="008A5839"/>
    <w:rsid w:val="008A6F84"/>
    <w:rsid w:val="008A73B4"/>
    <w:rsid w:val="008B04DA"/>
    <w:rsid w:val="008B17A3"/>
    <w:rsid w:val="008B4527"/>
    <w:rsid w:val="008B4648"/>
    <w:rsid w:val="008B5641"/>
    <w:rsid w:val="008B5CFA"/>
    <w:rsid w:val="008B5FE9"/>
    <w:rsid w:val="008B6362"/>
    <w:rsid w:val="008C0A40"/>
    <w:rsid w:val="008C1A40"/>
    <w:rsid w:val="008C37C2"/>
    <w:rsid w:val="008C3E7A"/>
    <w:rsid w:val="008C4CB5"/>
    <w:rsid w:val="008C5866"/>
    <w:rsid w:val="008C675B"/>
    <w:rsid w:val="008D05A8"/>
    <w:rsid w:val="008D0A50"/>
    <w:rsid w:val="008D5536"/>
    <w:rsid w:val="008D795C"/>
    <w:rsid w:val="008E16B5"/>
    <w:rsid w:val="008E294D"/>
    <w:rsid w:val="008E2B31"/>
    <w:rsid w:val="008E3E52"/>
    <w:rsid w:val="008E448D"/>
    <w:rsid w:val="008E6953"/>
    <w:rsid w:val="008F1776"/>
    <w:rsid w:val="008F40BA"/>
    <w:rsid w:val="008F7D35"/>
    <w:rsid w:val="00901209"/>
    <w:rsid w:val="00902D7A"/>
    <w:rsid w:val="0090469E"/>
    <w:rsid w:val="00905D26"/>
    <w:rsid w:val="00906E1F"/>
    <w:rsid w:val="009075A0"/>
    <w:rsid w:val="009077ED"/>
    <w:rsid w:val="00907D76"/>
    <w:rsid w:val="009107BB"/>
    <w:rsid w:val="00911813"/>
    <w:rsid w:val="00911CF6"/>
    <w:rsid w:val="00915C55"/>
    <w:rsid w:val="00916EDD"/>
    <w:rsid w:val="00916F41"/>
    <w:rsid w:val="009203AD"/>
    <w:rsid w:val="00920CFB"/>
    <w:rsid w:val="009247F8"/>
    <w:rsid w:val="00925A08"/>
    <w:rsid w:val="00931F98"/>
    <w:rsid w:val="009346E0"/>
    <w:rsid w:val="00936BD9"/>
    <w:rsid w:val="00941FE2"/>
    <w:rsid w:val="0094436E"/>
    <w:rsid w:val="00944E32"/>
    <w:rsid w:val="00947BCF"/>
    <w:rsid w:val="009548CE"/>
    <w:rsid w:val="009551B1"/>
    <w:rsid w:val="00957708"/>
    <w:rsid w:val="00960563"/>
    <w:rsid w:val="00967204"/>
    <w:rsid w:val="009674DC"/>
    <w:rsid w:val="00974A31"/>
    <w:rsid w:val="00975406"/>
    <w:rsid w:val="00975C38"/>
    <w:rsid w:val="00980A4C"/>
    <w:rsid w:val="009833AC"/>
    <w:rsid w:val="00983816"/>
    <w:rsid w:val="00991EF0"/>
    <w:rsid w:val="00993F0D"/>
    <w:rsid w:val="00994278"/>
    <w:rsid w:val="0099525B"/>
    <w:rsid w:val="00997B03"/>
    <w:rsid w:val="009A0B08"/>
    <w:rsid w:val="009A2EC1"/>
    <w:rsid w:val="009A32B2"/>
    <w:rsid w:val="009A39BF"/>
    <w:rsid w:val="009A40DE"/>
    <w:rsid w:val="009B203D"/>
    <w:rsid w:val="009B2E87"/>
    <w:rsid w:val="009B652C"/>
    <w:rsid w:val="009B6DF6"/>
    <w:rsid w:val="009B743C"/>
    <w:rsid w:val="009C0F50"/>
    <w:rsid w:val="009C104B"/>
    <w:rsid w:val="009C1AAD"/>
    <w:rsid w:val="009C57E7"/>
    <w:rsid w:val="009C6033"/>
    <w:rsid w:val="009C7C4A"/>
    <w:rsid w:val="009D1E7E"/>
    <w:rsid w:val="009D320F"/>
    <w:rsid w:val="009D45E7"/>
    <w:rsid w:val="009D6FA7"/>
    <w:rsid w:val="009E010F"/>
    <w:rsid w:val="009E2BAA"/>
    <w:rsid w:val="009F0702"/>
    <w:rsid w:val="009F3712"/>
    <w:rsid w:val="00A00D67"/>
    <w:rsid w:val="00A048EB"/>
    <w:rsid w:val="00A04DB2"/>
    <w:rsid w:val="00A05F2F"/>
    <w:rsid w:val="00A121DA"/>
    <w:rsid w:val="00A12AAD"/>
    <w:rsid w:val="00A12CB7"/>
    <w:rsid w:val="00A134B3"/>
    <w:rsid w:val="00A140B0"/>
    <w:rsid w:val="00A14C42"/>
    <w:rsid w:val="00A16EFE"/>
    <w:rsid w:val="00A216A6"/>
    <w:rsid w:val="00A21D98"/>
    <w:rsid w:val="00A25189"/>
    <w:rsid w:val="00A25BC7"/>
    <w:rsid w:val="00A2648F"/>
    <w:rsid w:val="00A27BE7"/>
    <w:rsid w:val="00A30989"/>
    <w:rsid w:val="00A31D7A"/>
    <w:rsid w:val="00A332AD"/>
    <w:rsid w:val="00A341C8"/>
    <w:rsid w:val="00A424F4"/>
    <w:rsid w:val="00A42F19"/>
    <w:rsid w:val="00A440E9"/>
    <w:rsid w:val="00A47FDD"/>
    <w:rsid w:val="00A50345"/>
    <w:rsid w:val="00A566BA"/>
    <w:rsid w:val="00A702AF"/>
    <w:rsid w:val="00A7035D"/>
    <w:rsid w:val="00A70873"/>
    <w:rsid w:val="00A71740"/>
    <w:rsid w:val="00A71937"/>
    <w:rsid w:val="00A730FD"/>
    <w:rsid w:val="00A73108"/>
    <w:rsid w:val="00A73B84"/>
    <w:rsid w:val="00A73F41"/>
    <w:rsid w:val="00A74ACB"/>
    <w:rsid w:val="00A74EA6"/>
    <w:rsid w:val="00A81164"/>
    <w:rsid w:val="00A8191D"/>
    <w:rsid w:val="00A832C1"/>
    <w:rsid w:val="00A83317"/>
    <w:rsid w:val="00A83A7E"/>
    <w:rsid w:val="00A85BBE"/>
    <w:rsid w:val="00A868BB"/>
    <w:rsid w:val="00A91DFB"/>
    <w:rsid w:val="00A926B0"/>
    <w:rsid w:val="00A95337"/>
    <w:rsid w:val="00AA0457"/>
    <w:rsid w:val="00AA1393"/>
    <w:rsid w:val="00AA13F7"/>
    <w:rsid w:val="00AA4222"/>
    <w:rsid w:val="00AA57C0"/>
    <w:rsid w:val="00AA5E90"/>
    <w:rsid w:val="00AB219C"/>
    <w:rsid w:val="00AB23BC"/>
    <w:rsid w:val="00AB61FA"/>
    <w:rsid w:val="00AB6919"/>
    <w:rsid w:val="00AB77C3"/>
    <w:rsid w:val="00AC317E"/>
    <w:rsid w:val="00AD214D"/>
    <w:rsid w:val="00AD33B9"/>
    <w:rsid w:val="00AD59E4"/>
    <w:rsid w:val="00AD5A6B"/>
    <w:rsid w:val="00AD6B0D"/>
    <w:rsid w:val="00AE5C00"/>
    <w:rsid w:val="00AE5D1E"/>
    <w:rsid w:val="00AE6A00"/>
    <w:rsid w:val="00AF15D4"/>
    <w:rsid w:val="00AF4A67"/>
    <w:rsid w:val="00AF4C17"/>
    <w:rsid w:val="00AF5018"/>
    <w:rsid w:val="00AF7497"/>
    <w:rsid w:val="00B04A40"/>
    <w:rsid w:val="00B07663"/>
    <w:rsid w:val="00B101EC"/>
    <w:rsid w:val="00B104D8"/>
    <w:rsid w:val="00B155C1"/>
    <w:rsid w:val="00B164EC"/>
    <w:rsid w:val="00B215BA"/>
    <w:rsid w:val="00B2256A"/>
    <w:rsid w:val="00B23241"/>
    <w:rsid w:val="00B24393"/>
    <w:rsid w:val="00B26BFB"/>
    <w:rsid w:val="00B271B4"/>
    <w:rsid w:val="00B30389"/>
    <w:rsid w:val="00B33482"/>
    <w:rsid w:val="00B33E64"/>
    <w:rsid w:val="00B3457C"/>
    <w:rsid w:val="00B35F5F"/>
    <w:rsid w:val="00B42C4B"/>
    <w:rsid w:val="00B43816"/>
    <w:rsid w:val="00B44282"/>
    <w:rsid w:val="00B447D5"/>
    <w:rsid w:val="00B45072"/>
    <w:rsid w:val="00B450F1"/>
    <w:rsid w:val="00B4527F"/>
    <w:rsid w:val="00B45399"/>
    <w:rsid w:val="00B47346"/>
    <w:rsid w:val="00B521FF"/>
    <w:rsid w:val="00B52CA2"/>
    <w:rsid w:val="00B56581"/>
    <w:rsid w:val="00B56B73"/>
    <w:rsid w:val="00B5751E"/>
    <w:rsid w:val="00B620E5"/>
    <w:rsid w:val="00B635BF"/>
    <w:rsid w:val="00B648A5"/>
    <w:rsid w:val="00B655B0"/>
    <w:rsid w:val="00B65A5A"/>
    <w:rsid w:val="00B662E3"/>
    <w:rsid w:val="00B8403B"/>
    <w:rsid w:val="00B904F6"/>
    <w:rsid w:val="00B90515"/>
    <w:rsid w:val="00B94F93"/>
    <w:rsid w:val="00B952EB"/>
    <w:rsid w:val="00B960AB"/>
    <w:rsid w:val="00B968F2"/>
    <w:rsid w:val="00B96C78"/>
    <w:rsid w:val="00BA01B5"/>
    <w:rsid w:val="00BA2894"/>
    <w:rsid w:val="00BA481A"/>
    <w:rsid w:val="00BB5591"/>
    <w:rsid w:val="00BB5620"/>
    <w:rsid w:val="00BB5F68"/>
    <w:rsid w:val="00BB7D59"/>
    <w:rsid w:val="00BB7EAA"/>
    <w:rsid w:val="00BD037B"/>
    <w:rsid w:val="00BD29E2"/>
    <w:rsid w:val="00BD4744"/>
    <w:rsid w:val="00BE0069"/>
    <w:rsid w:val="00BE140E"/>
    <w:rsid w:val="00BE1CF0"/>
    <w:rsid w:val="00BE2569"/>
    <w:rsid w:val="00BE3DF4"/>
    <w:rsid w:val="00BE485B"/>
    <w:rsid w:val="00BE4EC4"/>
    <w:rsid w:val="00BE587D"/>
    <w:rsid w:val="00BE59C7"/>
    <w:rsid w:val="00BE63ED"/>
    <w:rsid w:val="00BF4A89"/>
    <w:rsid w:val="00BF4B8B"/>
    <w:rsid w:val="00BF4E3F"/>
    <w:rsid w:val="00BF4F79"/>
    <w:rsid w:val="00BF7DF1"/>
    <w:rsid w:val="00C01140"/>
    <w:rsid w:val="00C065D8"/>
    <w:rsid w:val="00C11CA7"/>
    <w:rsid w:val="00C179D5"/>
    <w:rsid w:val="00C208EA"/>
    <w:rsid w:val="00C212B1"/>
    <w:rsid w:val="00C21906"/>
    <w:rsid w:val="00C33C4A"/>
    <w:rsid w:val="00C34292"/>
    <w:rsid w:val="00C342DF"/>
    <w:rsid w:val="00C34923"/>
    <w:rsid w:val="00C35ADC"/>
    <w:rsid w:val="00C36000"/>
    <w:rsid w:val="00C36079"/>
    <w:rsid w:val="00C369B5"/>
    <w:rsid w:val="00C4022F"/>
    <w:rsid w:val="00C4165B"/>
    <w:rsid w:val="00C42BA5"/>
    <w:rsid w:val="00C43FEF"/>
    <w:rsid w:val="00C44286"/>
    <w:rsid w:val="00C515F1"/>
    <w:rsid w:val="00C538A5"/>
    <w:rsid w:val="00C57BDF"/>
    <w:rsid w:val="00C57CCC"/>
    <w:rsid w:val="00C61699"/>
    <w:rsid w:val="00C61827"/>
    <w:rsid w:val="00C63664"/>
    <w:rsid w:val="00C662C2"/>
    <w:rsid w:val="00C704C3"/>
    <w:rsid w:val="00C72CEA"/>
    <w:rsid w:val="00C734E8"/>
    <w:rsid w:val="00C74D14"/>
    <w:rsid w:val="00C74E02"/>
    <w:rsid w:val="00C82041"/>
    <w:rsid w:val="00C828B0"/>
    <w:rsid w:val="00C8537D"/>
    <w:rsid w:val="00C92745"/>
    <w:rsid w:val="00C92AB4"/>
    <w:rsid w:val="00C9310E"/>
    <w:rsid w:val="00C95122"/>
    <w:rsid w:val="00C95446"/>
    <w:rsid w:val="00CA0A7D"/>
    <w:rsid w:val="00CA42CF"/>
    <w:rsid w:val="00CA6558"/>
    <w:rsid w:val="00CB05B4"/>
    <w:rsid w:val="00CB1059"/>
    <w:rsid w:val="00CB1AA0"/>
    <w:rsid w:val="00CB2FC6"/>
    <w:rsid w:val="00CB37A7"/>
    <w:rsid w:val="00CB5EC4"/>
    <w:rsid w:val="00CB606B"/>
    <w:rsid w:val="00CB67A1"/>
    <w:rsid w:val="00CB73B1"/>
    <w:rsid w:val="00CC19B4"/>
    <w:rsid w:val="00CC2029"/>
    <w:rsid w:val="00CC2058"/>
    <w:rsid w:val="00CC5175"/>
    <w:rsid w:val="00CC7051"/>
    <w:rsid w:val="00CC7D02"/>
    <w:rsid w:val="00CE2162"/>
    <w:rsid w:val="00CE2E1B"/>
    <w:rsid w:val="00CE48EC"/>
    <w:rsid w:val="00CE51F6"/>
    <w:rsid w:val="00CE6E15"/>
    <w:rsid w:val="00CF0688"/>
    <w:rsid w:val="00CF2077"/>
    <w:rsid w:val="00CF24B4"/>
    <w:rsid w:val="00CF518E"/>
    <w:rsid w:val="00CF5571"/>
    <w:rsid w:val="00CF5623"/>
    <w:rsid w:val="00CF6A60"/>
    <w:rsid w:val="00CF7B1C"/>
    <w:rsid w:val="00D007D6"/>
    <w:rsid w:val="00D029EE"/>
    <w:rsid w:val="00D03969"/>
    <w:rsid w:val="00D03E46"/>
    <w:rsid w:val="00D0625E"/>
    <w:rsid w:val="00D073AD"/>
    <w:rsid w:val="00D102F1"/>
    <w:rsid w:val="00D106B5"/>
    <w:rsid w:val="00D10854"/>
    <w:rsid w:val="00D11288"/>
    <w:rsid w:val="00D15955"/>
    <w:rsid w:val="00D1707C"/>
    <w:rsid w:val="00D17648"/>
    <w:rsid w:val="00D1779E"/>
    <w:rsid w:val="00D20D95"/>
    <w:rsid w:val="00D232B6"/>
    <w:rsid w:val="00D279C9"/>
    <w:rsid w:val="00D31077"/>
    <w:rsid w:val="00D34422"/>
    <w:rsid w:val="00D36788"/>
    <w:rsid w:val="00D36F0D"/>
    <w:rsid w:val="00D479BA"/>
    <w:rsid w:val="00D51D4C"/>
    <w:rsid w:val="00D51FA9"/>
    <w:rsid w:val="00D52CB1"/>
    <w:rsid w:val="00D5336C"/>
    <w:rsid w:val="00D53A48"/>
    <w:rsid w:val="00D54B90"/>
    <w:rsid w:val="00D56CDC"/>
    <w:rsid w:val="00D60E01"/>
    <w:rsid w:val="00D61859"/>
    <w:rsid w:val="00D63C5F"/>
    <w:rsid w:val="00D66EA4"/>
    <w:rsid w:val="00D727C8"/>
    <w:rsid w:val="00D80ABB"/>
    <w:rsid w:val="00D81181"/>
    <w:rsid w:val="00D91BB6"/>
    <w:rsid w:val="00D94ADA"/>
    <w:rsid w:val="00D9607A"/>
    <w:rsid w:val="00DA2F5D"/>
    <w:rsid w:val="00DA32EA"/>
    <w:rsid w:val="00DA7E07"/>
    <w:rsid w:val="00DB2BD3"/>
    <w:rsid w:val="00DB327B"/>
    <w:rsid w:val="00DB493C"/>
    <w:rsid w:val="00DB55AE"/>
    <w:rsid w:val="00DB5FC8"/>
    <w:rsid w:val="00DB6DB8"/>
    <w:rsid w:val="00DB77DB"/>
    <w:rsid w:val="00DB7B28"/>
    <w:rsid w:val="00DC08FE"/>
    <w:rsid w:val="00DC5DA9"/>
    <w:rsid w:val="00DC679B"/>
    <w:rsid w:val="00DC69EB"/>
    <w:rsid w:val="00DC7EA8"/>
    <w:rsid w:val="00DD0A1D"/>
    <w:rsid w:val="00DD1F46"/>
    <w:rsid w:val="00DD3D9E"/>
    <w:rsid w:val="00DD5F66"/>
    <w:rsid w:val="00DE3FE9"/>
    <w:rsid w:val="00DE7079"/>
    <w:rsid w:val="00DF1BEA"/>
    <w:rsid w:val="00DF31E1"/>
    <w:rsid w:val="00E0156F"/>
    <w:rsid w:val="00E01C9E"/>
    <w:rsid w:val="00E01CD4"/>
    <w:rsid w:val="00E01D9C"/>
    <w:rsid w:val="00E01E60"/>
    <w:rsid w:val="00E02071"/>
    <w:rsid w:val="00E04712"/>
    <w:rsid w:val="00E06756"/>
    <w:rsid w:val="00E20AC2"/>
    <w:rsid w:val="00E21863"/>
    <w:rsid w:val="00E21D5A"/>
    <w:rsid w:val="00E24AE8"/>
    <w:rsid w:val="00E2764E"/>
    <w:rsid w:val="00E27CAE"/>
    <w:rsid w:val="00E30C31"/>
    <w:rsid w:val="00E40EC6"/>
    <w:rsid w:val="00E41A13"/>
    <w:rsid w:val="00E44E30"/>
    <w:rsid w:val="00E454A5"/>
    <w:rsid w:val="00E47275"/>
    <w:rsid w:val="00E51D9B"/>
    <w:rsid w:val="00E54BF0"/>
    <w:rsid w:val="00E54F13"/>
    <w:rsid w:val="00E62B01"/>
    <w:rsid w:val="00E647A7"/>
    <w:rsid w:val="00E654A4"/>
    <w:rsid w:val="00E70EA3"/>
    <w:rsid w:val="00E73873"/>
    <w:rsid w:val="00E76CB0"/>
    <w:rsid w:val="00E76EF1"/>
    <w:rsid w:val="00E7710C"/>
    <w:rsid w:val="00E77EA9"/>
    <w:rsid w:val="00E80D55"/>
    <w:rsid w:val="00E811AD"/>
    <w:rsid w:val="00E837B9"/>
    <w:rsid w:val="00E846AD"/>
    <w:rsid w:val="00E84B0A"/>
    <w:rsid w:val="00E85FF6"/>
    <w:rsid w:val="00E86444"/>
    <w:rsid w:val="00E9170A"/>
    <w:rsid w:val="00E91CAD"/>
    <w:rsid w:val="00E93D42"/>
    <w:rsid w:val="00E94C0F"/>
    <w:rsid w:val="00E94EC5"/>
    <w:rsid w:val="00E962E0"/>
    <w:rsid w:val="00E97C14"/>
    <w:rsid w:val="00E97E0F"/>
    <w:rsid w:val="00E97FCC"/>
    <w:rsid w:val="00EA1A1B"/>
    <w:rsid w:val="00EA3F53"/>
    <w:rsid w:val="00EA42D1"/>
    <w:rsid w:val="00EA78D6"/>
    <w:rsid w:val="00EB04E1"/>
    <w:rsid w:val="00EB29E5"/>
    <w:rsid w:val="00EB2FA2"/>
    <w:rsid w:val="00EB51A6"/>
    <w:rsid w:val="00EB540D"/>
    <w:rsid w:val="00EB61CC"/>
    <w:rsid w:val="00EB6D2C"/>
    <w:rsid w:val="00EC0260"/>
    <w:rsid w:val="00EC08A6"/>
    <w:rsid w:val="00EC1404"/>
    <w:rsid w:val="00EC1C51"/>
    <w:rsid w:val="00EC2BEE"/>
    <w:rsid w:val="00EC3BDF"/>
    <w:rsid w:val="00EC66F0"/>
    <w:rsid w:val="00EC755D"/>
    <w:rsid w:val="00ED06E4"/>
    <w:rsid w:val="00ED098E"/>
    <w:rsid w:val="00ED4176"/>
    <w:rsid w:val="00ED60FB"/>
    <w:rsid w:val="00ED76F5"/>
    <w:rsid w:val="00EE02E1"/>
    <w:rsid w:val="00EE0C4B"/>
    <w:rsid w:val="00EE142F"/>
    <w:rsid w:val="00EE1E7B"/>
    <w:rsid w:val="00EE3737"/>
    <w:rsid w:val="00EE76B0"/>
    <w:rsid w:val="00EF0BBD"/>
    <w:rsid w:val="00EF714A"/>
    <w:rsid w:val="00F01A61"/>
    <w:rsid w:val="00F06CF5"/>
    <w:rsid w:val="00F071B0"/>
    <w:rsid w:val="00F11A97"/>
    <w:rsid w:val="00F12030"/>
    <w:rsid w:val="00F127D7"/>
    <w:rsid w:val="00F15100"/>
    <w:rsid w:val="00F17BF9"/>
    <w:rsid w:val="00F20ED3"/>
    <w:rsid w:val="00F213F8"/>
    <w:rsid w:val="00F21CFD"/>
    <w:rsid w:val="00F22C7D"/>
    <w:rsid w:val="00F3022E"/>
    <w:rsid w:val="00F30933"/>
    <w:rsid w:val="00F31414"/>
    <w:rsid w:val="00F31891"/>
    <w:rsid w:val="00F4055B"/>
    <w:rsid w:val="00F420DA"/>
    <w:rsid w:val="00F43C9D"/>
    <w:rsid w:val="00F507F8"/>
    <w:rsid w:val="00F509D5"/>
    <w:rsid w:val="00F50F78"/>
    <w:rsid w:val="00F515AB"/>
    <w:rsid w:val="00F51739"/>
    <w:rsid w:val="00F51DAD"/>
    <w:rsid w:val="00F52B95"/>
    <w:rsid w:val="00F54892"/>
    <w:rsid w:val="00F552C3"/>
    <w:rsid w:val="00F629BC"/>
    <w:rsid w:val="00F6659A"/>
    <w:rsid w:val="00F67393"/>
    <w:rsid w:val="00F70F0B"/>
    <w:rsid w:val="00F7226D"/>
    <w:rsid w:val="00F730DC"/>
    <w:rsid w:val="00F73E5D"/>
    <w:rsid w:val="00F770EC"/>
    <w:rsid w:val="00F77138"/>
    <w:rsid w:val="00F8405D"/>
    <w:rsid w:val="00F85530"/>
    <w:rsid w:val="00F8560A"/>
    <w:rsid w:val="00F86179"/>
    <w:rsid w:val="00F863AE"/>
    <w:rsid w:val="00F8654D"/>
    <w:rsid w:val="00F8729C"/>
    <w:rsid w:val="00F87A7D"/>
    <w:rsid w:val="00F91711"/>
    <w:rsid w:val="00F91C06"/>
    <w:rsid w:val="00F93B5F"/>
    <w:rsid w:val="00F94587"/>
    <w:rsid w:val="00F97367"/>
    <w:rsid w:val="00FA04EF"/>
    <w:rsid w:val="00FA4633"/>
    <w:rsid w:val="00FA65F2"/>
    <w:rsid w:val="00FB1930"/>
    <w:rsid w:val="00FB1F04"/>
    <w:rsid w:val="00FB2DED"/>
    <w:rsid w:val="00FB6284"/>
    <w:rsid w:val="00FC05BC"/>
    <w:rsid w:val="00FC5027"/>
    <w:rsid w:val="00FC505F"/>
    <w:rsid w:val="00FC6FBA"/>
    <w:rsid w:val="00FD2260"/>
    <w:rsid w:val="00FD2F8D"/>
    <w:rsid w:val="00FD496F"/>
    <w:rsid w:val="00FD6469"/>
    <w:rsid w:val="00FE0B43"/>
    <w:rsid w:val="00FE0BB8"/>
    <w:rsid w:val="00FE56FF"/>
    <w:rsid w:val="00FE68AC"/>
    <w:rsid w:val="00FF015D"/>
    <w:rsid w:val="00FF0387"/>
    <w:rsid w:val="00FF1963"/>
    <w:rsid w:val="00FF1B37"/>
    <w:rsid w:val="00FF1E8A"/>
    <w:rsid w:val="00FF52D0"/>
    <w:rsid w:val="00FF6572"/>
    <w:rsid w:val="00FF6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w:qFormat="1"/>
    <w:lsdException w:name="List Number 2"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9416A"/>
    <w:pPr>
      <w:spacing w:before="80" w:after="160" w:line="280" w:lineRule="exact"/>
    </w:pPr>
    <w:rPr>
      <w:rFonts w:ascii="Arial" w:eastAsia="Times New Roman" w:hAnsi="Arial" w:cs="Times New Roman"/>
      <w:sz w:val="20"/>
      <w:szCs w:val="20"/>
      <w:lang w:val="en-AU" w:eastAsia="en-AU"/>
    </w:rPr>
  </w:style>
  <w:style w:type="paragraph" w:styleId="Heading1">
    <w:name w:val="heading 1"/>
    <w:basedOn w:val="Normal"/>
    <w:next w:val="Normal"/>
    <w:link w:val="Heading1Char"/>
    <w:uiPriority w:val="9"/>
    <w:qFormat/>
    <w:rsid w:val="00497252"/>
    <w:pPr>
      <w:keepNext/>
      <w:keepLines/>
      <w:spacing w:before="0" w:line="240" w:lineRule="auto"/>
      <w:outlineLvl w:val="0"/>
    </w:pPr>
    <w:rPr>
      <w:rFonts w:eastAsiaTheme="majorEastAsia" w:cstheme="majorBidi"/>
      <w:bCs/>
      <w:color w:val="034EA2" w:themeColor="accent1"/>
      <w:sz w:val="40"/>
      <w:szCs w:val="28"/>
    </w:rPr>
  </w:style>
  <w:style w:type="paragraph" w:styleId="Heading2">
    <w:name w:val="heading 2"/>
    <w:next w:val="Normal"/>
    <w:link w:val="Heading2Char"/>
    <w:uiPriority w:val="9"/>
    <w:unhideWhenUsed/>
    <w:qFormat/>
    <w:rsid w:val="00497252"/>
    <w:pPr>
      <w:spacing w:before="100" w:beforeAutospacing="1" w:after="120"/>
      <w:outlineLvl w:val="1"/>
    </w:pPr>
    <w:rPr>
      <w:rFonts w:ascii="Arial" w:eastAsiaTheme="majorEastAsia" w:hAnsi="Arial" w:cstheme="majorBidi"/>
      <w:color w:val="007BC3" w:themeColor="accent2"/>
      <w:sz w:val="32"/>
      <w:szCs w:val="26"/>
      <w:lang w:val="en-AU" w:eastAsia="en-AU"/>
    </w:rPr>
  </w:style>
  <w:style w:type="paragraph" w:styleId="Heading3">
    <w:name w:val="heading 3"/>
    <w:basedOn w:val="Heading2"/>
    <w:next w:val="Normal"/>
    <w:link w:val="Heading3Char"/>
    <w:uiPriority w:val="9"/>
    <w:unhideWhenUsed/>
    <w:qFormat/>
    <w:rsid w:val="00407A2C"/>
    <w:pPr>
      <w:spacing w:after="0"/>
      <w:outlineLvl w:val="2"/>
    </w:pPr>
    <w:rPr>
      <w:bCs/>
      <w:sz w:val="28"/>
    </w:rPr>
  </w:style>
  <w:style w:type="paragraph" w:styleId="Heading4">
    <w:name w:val="heading 4"/>
    <w:basedOn w:val="Heading3"/>
    <w:next w:val="Normal"/>
    <w:link w:val="Heading4Char"/>
    <w:uiPriority w:val="9"/>
    <w:unhideWhenUsed/>
    <w:qFormat/>
    <w:rsid w:val="00407A2C"/>
    <w:pPr>
      <w:keepNext/>
      <w:keepLines/>
      <w:spacing w:before="360" w:beforeAutospacing="0" w:line="240" w:lineRule="auto"/>
      <w:outlineLvl w:val="3"/>
    </w:pPr>
    <w:rPr>
      <w:bCs w:val="0"/>
      <w:iCs/>
      <w:sz w:val="24"/>
    </w:rPr>
  </w:style>
  <w:style w:type="paragraph" w:styleId="Heading5">
    <w:name w:val="heading 5"/>
    <w:basedOn w:val="Heading4"/>
    <w:next w:val="Normal"/>
    <w:link w:val="Heading5Char"/>
    <w:uiPriority w:val="9"/>
    <w:unhideWhenUsed/>
    <w:qFormat/>
    <w:rsid w:val="00407A2C"/>
    <w:pPr>
      <w:outlineLvl w:val="4"/>
    </w:pPr>
    <w:rPr>
      <w:sz w:val="20"/>
    </w:rPr>
  </w:style>
  <w:style w:type="paragraph" w:styleId="Heading6">
    <w:name w:val="heading 6"/>
    <w:basedOn w:val="Heading5"/>
    <w:next w:val="Normal"/>
    <w:link w:val="Heading6Char"/>
    <w:uiPriority w:val="9"/>
    <w:unhideWhenUsed/>
    <w:qFormat/>
    <w:rsid w:val="002E0CCE"/>
    <w:pPr>
      <w:outlineLvl w:val="5"/>
    </w:pPr>
    <w:rPr>
      <w:i/>
      <w:iCs w:val="0"/>
    </w:rPr>
  </w:style>
  <w:style w:type="paragraph" w:styleId="Heading7">
    <w:name w:val="heading 7"/>
    <w:aliases w:val="Table heading"/>
    <w:basedOn w:val="Heading6"/>
    <w:next w:val="Normal"/>
    <w:link w:val="Heading7Char"/>
    <w:uiPriority w:val="9"/>
    <w:unhideWhenUsed/>
    <w:qFormat/>
    <w:rsid w:val="002E0CCE"/>
    <w:pPr>
      <w:spacing w:before="200" w:after="120"/>
      <w:outlineLvl w:val="6"/>
    </w:pPr>
    <w:rPr>
      <w:b/>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B6C"/>
    <w:pPr>
      <w:tabs>
        <w:tab w:val="center" w:pos="4680"/>
        <w:tab w:val="right" w:pos="9360"/>
      </w:tabs>
      <w:spacing w:before="0" w:after="0" w:line="240" w:lineRule="auto"/>
    </w:pPr>
    <w:rPr>
      <w:color w:val="5C676D"/>
      <w:sz w:val="14"/>
    </w:rPr>
  </w:style>
  <w:style w:type="character" w:customStyle="1" w:styleId="HeaderChar">
    <w:name w:val="Header Char"/>
    <w:basedOn w:val="DefaultParagraphFont"/>
    <w:link w:val="Header"/>
    <w:uiPriority w:val="99"/>
    <w:rsid w:val="00836B6C"/>
    <w:rPr>
      <w:rFonts w:ascii="Arial" w:eastAsia="Times New Roman" w:hAnsi="Arial" w:cs="Times New Roman"/>
      <w:color w:val="5C676D"/>
      <w:sz w:val="14"/>
      <w:szCs w:val="20"/>
      <w:lang w:val="en-AU" w:eastAsia="en-AU"/>
    </w:rPr>
  </w:style>
  <w:style w:type="paragraph" w:styleId="Footer">
    <w:name w:val="footer"/>
    <w:basedOn w:val="Normal"/>
    <w:link w:val="FooterChar"/>
    <w:uiPriority w:val="99"/>
    <w:unhideWhenUsed/>
    <w:rsid w:val="001625CE"/>
    <w:pPr>
      <w:tabs>
        <w:tab w:val="center" w:pos="4680"/>
        <w:tab w:val="right" w:pos="9360"/>
      </w:tabs>
      <w:spacing w:before="0" w:after="0" w:line="240" w:lineRule="auto"/>
      <w:jc w:val="right"/>
    </w:pPr>
    <w:rPr>
      <w:color w:val="5C676D"/>
      <w:sz w:val="14"/>
    </w:rPr>
  </w:style>
  <w:style w:type="character" w:customStyle="1" w:styleId="FooterChar">
    <w:name w:val="Footer Char"/>
    <w:basedOn w:val="DefaultParagraphFont"/>
    <w:link w:val="Footer"/>
    <w:uiPriority w:val="99"/>
    <w:rsid w:val="001625CE"/>
    <w:rPr>
      <w:rFonts w:ascii="Arial" w:eastAsia="Times New Roman" w:hAnsi="Arial" w:cs="Times New Roman"/>
      <w:color w:val="5C676D"/>
      <w:sz w:val="14"/>
      <w:szCs w:val="20"/>
      <w:lang w:val="en-AU" w:eastAsia="en-AU"/>
    </w:rPr>
  </w:style>
  <w:style w:type="character" w:customStyle="1" w:styleId="Heading1Char">
    <w:name w:val="Heading 1 Char"/>
    <w:basedOn w:val="DefaultParagraphFont"/>
    <w:link w:val="Heading1"/>
    <w:uiPriority w:val="9"/>
    <w:rsid w:val="00497252"/>
    <w:rPr>
      <w:rFonts w:ascii="Arial" w:eastAsiaTheme="majorEastAsia" w:hAnsi="Arial" w:cstheme="majorBidi"/>
      <w:bCs/>
      <w:color w:val="034EA2" w:themeColor="accent1"/>
      <w:sz w:val="40"/>
      <w:szCs w:val="28"/>
      <w:lang w:val="en-AU" w:eastAsia="en-AU"/>
    </w:rPr>
  </w:style>
  <w:style w:type="character" w:customStyle="1" w:styleId="Heading2Char">
    <w:name w:val="Heading 2 Char"/>
    <w:basedOn w:val="DefaultParagraphFont"/>
    <w:link w:val="Heading2"/>
    <w:uiPriority w:val="9"/>
    <w:rsid w:val="00497252"/>
    <w:rPr>
      <w:rFonts w:ascii="Arial" w:eastAsiaTheme="majorEastAsia" w:hAnsi="Arial" w:cstheme="majorBidi"/>
      <w:color w:val="007BC3" w:themeColor="accent2"/>
      <w:sz w:val="32"/>
      <w:szCs w:val="26"/>
      <w:lang w:val="en-AU" w:eastAsia="en-AU"/>
    </w:rPr>
  </w:style>
  <w:style w:type="character" w:customStyle="1" w:styleId="Heading3Char">
    <w:name w:val="Heading 3 Char"/>
    <w:basedOn w:val="DefaultParagraphFont"/>
    <w:link w:val="Heading3"/>
    <w:uiPriority w:val="9"/>
    <w:rsid w:val="00407A2C"/>
    <w:rPr>
      <w:rFonts w:ascii="Arial" w:eastAsiaTheme="majorEastAsia" w:hAnsi="Arial" w:cstheme="majorBidi"/>
      <w:bCs/>
      <w:color w:val="007BC3"/>
      <w:sz w:val="28"/>
      <w:szCs w:val="26"/>
      <w:lang w:val="en-AU" w:eastAsia="en-AU"/>
    </w:rPr>
  </w:style>
  <w:style w:type="character" w:customStyle="1" w:styleId="Heading4Char">
    <w:name w:val="Heading 4 Char"/>
    <w:basedOn w:val="DefaultParagraphFont"/>
    <w:link w:val="Heading4"/>
    <w:uiPriority w:val="9"/>
    <w:rsid w:val="00407A2C"/>
    <w:rPr>
      <w:rFonts w:ascii="Arial" w:eastAsiaTheme="majorEastAsia" w:hAnsi="Arial" w:cstheme="majorBidi"/>
      <w:iCs/>
      <w:color w:val="007BC3"/>
      <w:sz w:val="24"/>
      <w:szCs w:val="26"/>
      <w:lang w:val="en-AU" w:eastAsia="en-AU"/>
    </w:rPr>
  </w:style>
  <w:style w:type="character" w:customStyle="1" w:styleId="Heading5Char">
    <w:name w:val="Heading 5 Char"/>
    <w:basedOn w:val="DefaultParagraphFont"/>
    <w:link w:val="Heading5"/>
    <w:uiPriority w:val="9"/>
    <w:rsid w:val="00407A2C"/>
    <w:rPr>
      <w:rFonts w:ascii="Arial" w:eastAsiaTheme="majorEastAsia" w:hAnsi="Arial" w:cstheme="majorBidi"/>
      <w:iCs/>
      <w:color w:val="007BC3"/>
      <w:sz w:val="20"/>
      <w:szCs w:val="26"/>
      <w:lang w:val="en-AU" w:eastAsia="en-AU"/>
    </w:rPr>
  </w:style>
  <w:style w:type="paragraph" w:styleId="ListBullet">
    <w:name w:val="List Bullet"/>
    <w:basedOn w:val="Normal"/>
    <w:uiPriority w:val="99"/>
    <w:unhideWhenUsed/>
    <w:rsid w:val="0069514F"/>
    <w:pPr>
      <w:numPr>
        <w:numId w:val="1"/>
      </w:numPr>
      <w:contextualSpacing/>
    </w:pPr>
  </w:style>
  <w:style w:type="paragraph" w:customStyle="1" w:styleId="Bullet-level2">
    <w:name w:val="Bullet - level 2"/>
    <w:basedOn w:val="Bullet-level1"/>
    <w:rsid w:val="0069514F"/>
    <w:pPr>
      <w:numPr>
        <w:numId w:val="3"/>
      </w:numPr>
      <w:tabs>
        <w:tab w:val="clear" w:pos="360"/>
      </w:tabs>
      <w:ind w:left="720"/>
    </w:pPr>
  </w:style>
  <w:style w:type="paragraph" w:customStyle="1" w:styleId="Bullet-level1">
    <w:name w:val="Bullet - level 1"/>
    <w:basedOn w:val="Normal"/>
    <w:rsid w:val="0069514F"/>
    <w:pPr>
      <w:numPr>
        <w:numId w:val="2"/>
      </w:numPr>
      <w:spacing w:after="0"/>
      <w:ind w:right="1106"/>
    </w:pPr>
  </w:style>
  <w:style w:type="paragraph" w:customStyle="1" w:styleId="Bulletlist-level1">
    <w:name w:val="Bullet list - level 1"/>
    <w:basedOn w:val="Bullet-level1"/>
    <w:qFormat/>
    <w:rsid w:val="0069514F"/>
    <w:pPr>
      <w:spacing w:before="0" w:after="40"/>
    </w:pPr>
  </w:style>
  <w:style w:type="paragraph" w:customStyle="1" w:styleId="Bulletlist-level2">
    <w:name w:val="Bullet list - level 2"/>
    <w:basedOn w:val="Bullet-level2"/>
    <w:qFormat/>
    <w:rsid w:val="0069514F"/>
    <w:pPr>
      <w:spacing w:after="40"/>
      <w:ind w:left="714" w:hanging="357"/>
    </w:pPr>
  </w:style>
  <w:style w:type="paragraph" w:styleId="ListBullet2">
    <w:name w:val="List Bullet 2"/>
    <w:basedOn w:val="Bulletlist-level2"/>
    <w:uiPriority w:val="99"/>
    <w:unhideWhenUsed/>
    <w:rsid w:val="0069514F"/>
  </w:style>
  <w:style w:type="character" w:customStyle="1" w:styleId="Heading6Char">
    <w:name w:val="Heading 6 Char"/>
    <w:basedOn w:val="DefaultParagraphFont"/>
    <w:link w:val="Heading6"/>
    <w:uiPriority w:val="9"/>
    <w:rsid w:val="002E0CCE"/>
    <w:rPr>
      <w:rFonts w:ascii="Arial" w:eastAsiaTheme="majorEastAsia" w:hAnsi="Arial" w:cstheme="majorBidi"/>
      <w:i/>
      <w:color w:val="007AB2"/>
      <w:sz w:val="20"/>
      <w:szCs w:val="26"/>
      <w:lang w:val="en-AU" w:eastAsia="en-AU"/>
    </w:rPr>
  </w:style>
  <w:style w:type="paragraph" w:styleId="BalloonText">
    <w:name w:val="Balloon Text"/>
    <w:basedOn w:val="Normal"/>
    <w:link w:val="BalloonTextChar"/>
    <w:uiPriority w:val="99"/>
    <w:semiHidden/>
    <w:unhideWhenUsed/>
    <w:rsid w:val="002E0CC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CCE"/>
    <w:rPr>
      <w:rFonts w:ascii="Tahoma" w:eastAsia="Times New Roman" w:hAnsi="Tahoma" w:cs="Tahoma"/>
      <w:sz w:val="16"/>
      <w:szCs w:val="16"/>
      <w:lang w:val="en-AU" w:eastAsia="en-AU"/>
    </w:rPr>
  </w:style>
  <w:style w:type="character" w:customStyle="1" w:styleId="Heading7Char">
    <w:name w:val="Heading 7 Char"/>
    <w:aliases w:val="Table heading Char"/>
    <w:basedOn w:val="DefaultParagraphFont"/>
    <w:link w:val="Heading7"/>
    <w:uiPriority w:val="9"/>
    <w:rsid w:val="002E0CCE"/>
    <w:rPr>
      <w:rFonts w:ascii="Arial" w:eastAsiaTheme="majorEastAsia" w:hAnsi="Arial" w:cstheme="majorBidi"/>
      <w:b/>
      <w:iCs/>
      <w:color w:val="007AB2"/>
      <w:sz w:val="20"/>
      <w:szCs w:val="26"/>
      <w:lang w:val="en-AU" w:eastAsia="en-AU"/>
    </w:rPr>
  </w:style>
  <w:style w:type="table" w:customStyle="1" w:styleId="DIBPTable">
    <w:name w:val="DIBP Table"/>
    <w:basedOn w:val="TableNormal"/>
    <w:rsid w:val="00497252"/>
    <w:pPr>
      <w:spacing w:after="0" w:line="240" w:lineRule="auto"/>
    </w:pPr>
    <w:rPr>
      <w:rFonts w:ascii="Arial" w:eastAsia="Times New Roman" w:hAnsi="Arial" w:cs="Times New Roman"/>
      <w:sz w:val="20"/>
      <w:szCs w:val="20"/>
      <w:lang w:val="en-AU" w:eastAsia="en-AU"/>
    </w:rPr>
    <w:tblPr>
      <w:tblStyleRowBandSize w:val="1"/>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themeColor="background1"/>
        <w:sz w:val="20"/>
      </w:rPr>
      <w:tblPr/>
      <w:trPr>
        <w:tblHeader/>
      </w:trPr>
      <w:tcPr>
        <w:shd w:val="clear" w:color="auto" w:fill="007BC3" w:themeFill="accent2"/>
      </w:tcPr>
    </w:tblStylePr>
    <w:tblStylePr w:type="band1Horz">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pct10" w:color="auto" w:fill="FFFFFF" w:themeFill="background1"/>
      </w:tcPr>
    </w:tblStylePr>
  </w:style>
  <w:style w:type="paragraph" w:styleId="Title">
    <w:name w:val="Title"/>
    <w:basedOn w:val="Normal"/>
    <w:next w:val="Normal"/>
    <w:link w:val="TitleChar"/>
    <w:uiPriority w:val="10"/>
    <w:rsid w:val="00494FD1"/>
    <w:pPr>
      <w:spacing w:before="0" w:after="300" w:line="240" w:lineRule="auto"/>
      <w:contextualSpacing/>
    </w:pPr>
    <w:rPr>
      <w:rFonts w:eastAsiaTheme="majorEastAsia" w:cstheme="majorBidi"/>
      <w:color w:val="FFFFFF" w:themeColor="background1"/>
      <w:spacing w:val="5"/>
      <w:kern w:val="28"/>
      <w:sz w:val="56"/>
      <w:szCs w:val="52"/>
      <w14:textFill>
        <w14:noFill/>
      </w14:textFill>
    </w:rPr>
  </w:style>
  <w:style w:type="character" w:customStyle="1" w:styleId="TitleChar">
    <w:name w:val="Title Char"/>
    <w:basedOn w:val="DefaultParagraphFont"/>
    <w:link w:val="Title"/>
    <w:uiPriority w:val="10"/>
    <w:rsid w:val="00494FD1"/>
    <w:rPr>
      <w:rFonts w:ascii="Arial" w:eastAsiaTheme="majorEastAsia" w:hAnsi="Arial" w:cstheme="majorBidi"/>
      <w:color w:val="FFFFFF" w:themeColor="background1"/>
      <w:spacing w:val="5"/>
      <w:kern w:val="28"/>
      <w:sz w:val="56"/>
      <w:szCs w:val="52"/>
      <w:lang w:val="en-AU" w:eastAsia="en-AU"/>
      <w14:textFill>
        <w14:noFill/>
      </w14:textFill>
    </w:rPr>
  </w:style>
  <w:style w:type="character" w:styleId="BookTitle">
    <w:name w:val="Book Title"/>
    <w:aliases w:val="Document title"/>
    <w:uiPriority w:val="33"/>
    <w:rsid w:val="00497252"/>
    <w:rPr>
      <w:rFonts w:ascii="Arial" w:eastAsiaTheme="majorEastAsia" w:hAnsi="Arial" w:cstheme="majorBidi"/>
      <w:b/>
      <w:bCs w:val="0"/>
      <w:color w:val="034EA2" w:themeColor="accent1"/>
      <w:spacing w:val="5"/>
      <w:sz w:val="104"/>
      <w:szCs w:val="28"/>
      <w:lang w:val="en-AU" w:eastAsia="en-AU"/>
    </w:rPr>
  </w:style>
  <w:style w:type="paragraph" w:styleId="TOCHeading">
    <w:name w:val="TOC Heading"/>
    <w:basedOn w:val="Heading1"/>
    <w:next w:val="Normal"/>
    <w:uiPriority w:val="39"/>
    <w:unhideWhenUsed/>
    <w:qFormat/>
    <w:rsid w:val="001F4C23"/>
    <w:pPr>
      <w:spacing w:after="120" w:line="276" w:lineRule="auto"/>
      <w:outlineLvl w:val="9"/>
    </w:pPr>
    <w:rPr>
      <w:rFonts w:cs="Arial"/>
      <w:color w:val="007BC3" w:themeColor="accent2"/>
      <w:sz w:val="32"/>
      <w:lang w:val="en-US" w:eastAsia="ja-JP"/>
    </w:rPr>
  </w:style>
  <w:style w:type="paragraph" w:styleId="TOC1">
    <w:name w:val="toc 1"/>
    <w:basedOn w:val="Normal"/>
    <w:next w:val="Normal"/>
    <w:autoRedefine/>
    <w:uiPriority w:val="39"/>
    <w:unhideWhenUsed/>
    <w:rsid w:val="00D479BA"/>
    <w:pPr>
      <w:tabs>
        <w:tab w:val="right" w:leader="dot" w:pos="8665"/>
      </w:tabs>
      <w:spacing w:before="100" w:beforeAutospacing="1" w:after="100" w:afterAutospacing="1"/>
    </w:pPr>
    <w:rPr>
      <w:rFonts w:eastAsiaTheme="minorHAnsi" w:cs="Arial"/>
      <w:noProof/>
      <w:lang w:val="en-GB" w:eastAsia="en-US"/>
    </w:rPr>
  </w:style>
  <w:style w:type="paragraph" w:styleId="TOC2">
    <w:name w:val="toc 2"/>
    <w:basedOn w:val="Normal"/>
    <w:next w:val="Normal"/>
    <w:autoRedefine/>
    <w:uiPriority w:val="39"/>
    <w:unhideWhenUsed/>
    <w:rsid w:val="001F4C23"/>
    <w:pPr>
      <w:spacing w:before="100" w:beforeAutospacing="1" w:after="100" w:afterAutospacing="1"/>
      <w:ind w:left="200"/>
    </w:pPr>
    <w:rPr>
      <w:rFonts w:eastAsiaTheme="minorHAnsi" w:cs="Arial"/>
      <w:noProof/>
      <w:lang w:val="en-GB" w:eastAsia="en-US"/>
    </w:rPr>
  </w:style>
  <w:style w:type="character" w:styleId="Hyperlink">
    <w:name w:val="Hyperlink"/>
    <w:basedOn w:val="DefaultParagraphFont"/>
    <w:uiPriority w:val="99"/>
    <w:unhideWhenUsed/>
    <w:rsid w:val="0070696A"/>
    <w:rPr>
      <w:rFonts w:ascii="Arial" w:hAnsi="Arial"/>
      <w:color w:val="000000" w:themeColor="hyperlink"/>
      <w:sz w:val="20"/>
      <w:u w:val="single"/>
    </w:rPr>
  </w:style>
  <w:style w:type="paragraph" w:styleId="TOC3">
    <w:name w:val="toc 3"/>
    <w:basedOn w:val="Normal"/>
    <w:next w:val="Normal"/>
    <w:autoRedefine/>
    <w:uiPriority w:val="39"/>
    <w:unhideWhenUsed/>
    <w:rsid w:val="001F4C23"/>
    <w:pPr>
      <w:spacing w:before="100" w:beforeAutospacing="1" w:after="100" w:afterAutospacing="1"/>
      <w:ind w:left="400"/>
    </w:pPr>
    <w:rPr>
      <w:rFonts w:eastAsiaTheme="minorHAnsi" w:cs="Arial"/>
      <w:noProof/>
      <w:lang w:val="en-GB" w:eastAsia="en-US"/>
    </w:rPr>
  </w:style>
  <w:style w:type="paragraph" w:styleId="ListNumber">
    <w:name w:val="List Number"/>
    <w:basedOn w:val="Bulletlist-level1"/>
    <w:uiPriority w:val="99"/>
    <w:unhideWhenUsed/>
    <w:qFormat/>
    <w:rsid w:val="0052026C"/>
    <w:pPr>
      <w:numPr>
        <w:numId w:val="6"/>
      </w:numPr>
    </w:pPr>
  </w:style>
  <w:style w:type="paragraph" w:styleId="ListNumber2">
    <w:name w:val="List Number 2"/>
    <w:basedOn w:val="Bulletlist-level2"/>
    <w:uiPriority w:val="99"/>
    <w:unhideWhenUsed/>
    <w:qFormat/>
    <w:rsid w:val="0052026C"/>
    <w:pPr>
      <w:numPr>
        <w:numId w:val="4"/>
      </w:numPr>
      <w:tabs>
        <w:tab w:val="clear" w:pos="360"/>
      </w:tabs>
      <w:ind w:left="709"/>
    </w:pPr>
  </w:style>
  <w:style w:type="paragraph" w:styleId="Caption">
    <w:name w:val="caption"/>
    <w:basedOn w:val="Normal"/>
    <w:next w:val="Normal"/>
    <w:uiPriority w:val="35"/>
    <w:unhideWhenUsed/>
    <w:qFormat/>
    <w:rsid w:val="00497252"/>
    <w:pPr>
      <w:spacing w:before="0" w:after="200" w:line="240" w:lineRule="auto"/>
    </w:pPr>
    <w:rPr>
      <w:b/>
      <w:bCs/>
      <w:color w:val="007BC3" w:themeColor="accent2"/>
      <w:sz w:val="18"/>
      <w:szCs w:val="18"/>
    </w:rPr>
  </w:style>
  <w:style w:type="paragraph" w:styleId="Subtitle">
    <w:name w:val="Subtitle"/>
    <w:aliases w:val="Document subtitle"/>
    <w:basedOn w:val="Normal"/>
    <w:next w:val="Normal"/>
    <w:link w:val="SubtitleChar"/>
    <w:uiPriority w:val="11"/>
    <w:rsid w:val="00497252"/>
    <w:pPr>
      <w:numPr>
        <w:ilvl w:val="1"/>
      </w:numPr>
      <w:spacing w:before="0" w:after="0" w:line="276" w:lineRule="auto"/>
    </w:pPr>
    <w:rPr>
      <w:rFonts w:eastAsiaTheme="majorEastAsia" w:cstheme="majorBidi"/>
      <w:iCs/>
      <w:color w:val="007BC3" w:themeColor="accent2"/>
      <w:sz w:val="32"/>
      <w:szCs w:val="24"/>
    </w:rPr>
  </w:style>
  <w:style w:type="character" w:customStyle="1" w:styleId="SubtitleChar">
    <w:name w:val="Subtitle Char"/>
    <w:aliases w:val="Document subtitle Char"/>
    <w:basedOn w:val="DefaultParagraphFont"/>
    <w:link w:val="Subtitle"/>
    <w:uiPriority w:val="11"/>
    <w:rsid w:val="00497252"/>
    <w:rPr>
      <w:rFonts w:ascii="Arial" w:eastAsiaTheme="majorEastAsia" w:hAnsi="Arial" w:cstheme="majorBidi"/>
      <w:iCs/>
      <w:color w:val="007BC3" w:themeColor="accent2"/>
      <w:sz w:val="32"/>
      <w:szCs w:val="24"/>
      <w:lang w:val="en-AU" w:eastAsia="en-AU"/>
    </w:rPr>
  </w:style>
  <w:style w:type="table" w:styleId="TableGrid">
    <w:name w:val="Table Grid"/>
    <w:basedOn w:val="TableNormal"/>
    <w:uiPriority w:val="59"/>
    <w:rsid w:val="006A7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106B5"/>
    <w:pPr>
      <w:spacing w:before="0" w:after="0" w:line="240" w:lineRule="auto"/>
    </w:pPr>
  </w:style>
  <w:style w:type="character" w:customStyle="1" w:styleId="FootnoteTextChar">
    <w:name w:val="Footnote Text Char"/>
    <w:basedOn w:val="DefaultParagraphFont"/>
    <w:link w:val="FootnoteText"/>
    <w:uiPriority w:val="99"/>
    <w:semiHidden/>
    <w:rsid w:val="00D106B5"/>
    <w:rPr>
      <w:rFonts w:ascii="Arial" w:eastAsia="Times New Roman" w:hAnsi="Arial" w:cs="Times New Roman"/>
      <w:sz w:val="20"/>
      <w:szCs w:val="20"/>
      <w:lang w:val="en-AU" w:eastAsia="en-AU"/>
    </w:rPr>
  </w:style>
  <w:style w:type="character" w:styleId="FootnoteReference">
    <w:name w:val="footnote reference"/>
    <w:uiPriority w:val="99"/>
    <w:semiHidden/>
    <w:rsid w:val="00D106B5"/>
    <w:rPr>
      <w:rFonts w:cs="Times New Roman"/>
      <w:vertAlign w:val="superscript"/>
    </w:rPr>
  </w:style>
  <w:style w:type="paragraph" w:styleId="ListParagraph">
    <w:name w:val="List Paragraph"/>
    <w:aliases w:val="List Paragraph1,Recommendation,List Paragraph11,L,CV text,Table text,F5 List Paragraph,Dot pt,List Paragraph111,Medium Grid 1 - Accent 21,Numbered Paragraph,List Paragraph2,Main numbered paragraph,Numbered List Paragraph,Bullets"/>
    <w:basedOn w:val="Normal"/>
    <w:link w:val="ListParagraphChar"/>
    <w:uiPriority w:val="34"/>
    <w:qFormat/>
    <w:rsid w:val="00D106B5"/>
    <w:pPr>
      <w:ind w:left="720"/>
      <w:contextualSpacing/>
    </w:pPr>
  </w:style>
  <w:style w:type="character" w:customStyle="1" w:styleId="ListParagraphChar">
    <w:name w:val="List Paragraph Char"/>
    <w:aliases w:val="List Paragraph1 Char,Recommendation Char,List Paragraph11 Char,L Char,CV text Char,Table text Char,F5 List Paragraph Char,Dot pt Char,List Paragraph111 Char,Medium Grid 1 - Accent 21 Char,Numbered Paragraph Char,List Paragraph2 Char"/>
    <w:basedOn w:val="DefaultParagraphFont"/>
    <w:link w:val="ListParagraph"/>
    <w:uiPriority w:val="34"/>
    <w:locked/>
    <w:rsid w:val="00D106B5"/>
    <w:rPr>
      <w:rFonts w:ascii="Arial" w:eastAsia="Times New Roman" w:hAnsi="Arial" w:cs="Times New Roman"/>
      <w:sz w:val="20"/>
      <w:szCs w:val="20"/>
      <w:lang w:val="en-AU" w:eastAsia="en-AU"/>
    </w:rPr>
  </w:style>
  <w:style w:type="paragraph" w:styleId="CommentText">
    <w:name w:val="annotation text"/>
    <w:basedOn w:val="Normal"/>
    <w:link w:val="CommentTextChar"/>
    <w:uiPriority w:val="99"/>
    <w:unhideWhenUsed/>
    <w:rsid w:val="00A16EFE"/>
    <w:pPr>
      <w:spacing w:line="240" w:lineRule="auto"/>
    </w:pPr>
  </w:style>
  <w:style w:type="character" w:customStyle="1" w:styleId="CommentTextChar">
    <w:name w:val="Comment Text Char"/>
    <w:basedOn w:val="DefaultParagraphFont"/>
    <w:link w:val="CommentText"/>
    <w:uiPriority w:val="99"/>
    <w:rsid w:val="00A16EFE"/>
    <w:rPr>
      <w:rFonts w:ascii="Arial" w:eastAsia="Times New Roman" w:hAnsi="Arial" w:cs="Times New Roman"/>
      <w:sz w:val="20"/>
      <w:szCs w:val="20"/>
      <w:lang w:val="en-AU" w:eastAsia="en-AU"/>
    </w:rPr>
  </w:style>
  <w:style w:type="character" w:styleId="CommentReference">
    <w:name w:val="annotation reference"/>
    <w:basedOn w:val="DefaultParagraphFont"/>
    <w:uiPriority w:val="99"/>
    <w:semiHidden/>
    <w:unhideWhenUsed/>
    <w:rsid w:val="00A16EFE"/>
    <w:rPr>
      <w:sz w:val="16"/>
      <w:szCs w:val="16"/>
    </w:rPr>
  </w:style>
  <w:style w:type="table" w:customStyle="1" w:styleId="DIACTable">
    <w:name w:val="DIAC Table"/>
    <w:basedOn w:val="TableNormal"/>
    <w:rsid w:val="00151B33"/>
    <w:pPr>
      <w:spacing w:after="0" w:line="240" w:lineRule="auto"/>
    </w:pPr>
    <w:rPr>
      <w:rFonts w:ascii="Arial" w:eastAsia="Times New Roman" w:hAnsi="Arial" w:cs="Times New Roman"/>
      <w:sz w:val="20"/>
      <w:szCs w:val="20"/>
      <w:lang w:val="en-AU" w:eastAsia="en-AU"/>
    </w:rPr>
    <w:tblPr>
      <w:tblStyleRowBandSize w:val="1"/>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themeColor="background1"/>
        <w:sz w:val="20"/>
      </w:rPr>
      <w:tblPr/>
      <w:tcPr>
        <w:tcBorders>
          <w:top w:val="nil"/>
          <w:left w:val="single" w:sz="4" w:space="0" w:color="auto"/>
          <w:bottom w:val="nil"/>
          <w:right w:val="single" w:sz="4" w:space="0" w:color="auto"/>
          <w:insideH w:val="nil"/>
          <w:insideV w:val="single" w:sz="4" w:space="0" w:color="FFFFFF" w:themeColor="background1"/>
          <w:tl2br w:val="nil"/>
          <w:tr2bl w:val="nil"/>
        </w:tcBorders>
        <w:shd w:val="clear" w:color="auto" w:fill="003768"/>
        <w:vAlign w:val="center"/>
      </w:tcPr>
    </w:tblStylePr>
    <w:tblStylePr w:type="band1Horz">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pct10" w:color="auto" w:fill="FFFFFF" w:themeFill="background1"/>
      </w:tcPr>
    </w:tblStylePr>
  </w:style>
  <w:style w:type="table" w:customStyle="1" w:styleId="TableGrid1">
    <w:name w:val="Table Grid1"/>
    <w:basedOn w:val="TableNormal"/>
    <w:next w:val="TableGrid"/>
    <w:uiPriority w:val="59"/>
    <w:rsid w:val="00151B33"/>
    <w:pPr>
      <w:spacing w:after="0" w:line="240" w:lineRule="auto"/>
    </w:pPr>
    <w:rPr>
      <w:rFonts w:ascii="Arial" w:eastAsia="Times New Roman" w:hAnsi="Arial" w:cs="Arial"/>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151B33"/>
    <w:rPr>
      <w:rFonts w:cs="Times New Roman"/>
    </w:rPr>
  </w:style>
  <w:style w:type="paragraph" w:styleId="CommentSubject">
    <w:name w:val="annotation subject"/>
    <w:basedOn w:val="CommentText"/>
    <w:next w:val="CommentText"/>
    <w:link w:val="CommentSubjectChar"/>
    <w:uiPriority w:val="99"/>
    <w:semiHidden/>
    <w:unhideWhenUsed/>
    <w:rsid w:val="00151B33"/>
    <w:rPr>
      <w:b/>
      <w:bCs/>
    </w:rPr>
  </w:style>
  <w:style w:type="character" w:customStyle="1" w:styleId="CommentSubjectChar">
    <w:name w:val="Comment Subject Char"/>
    <w:basedOn w:val="CommentTextChar"/>
    <w:link w:val="CommentSubject"/>
    <w:uiPriority w:val="99"/>
    <w:semiHidden/>
    <w:rsid w:val="00151B33"/>
    <w:rPr>
      <w:rFonts w:ascii="Arial" w:eastAsia="Times New Roman" w:hAnsi="Arial" w:cs="Times New Roman"/>
      <w:b/>
      <w:bCs/>
      <w:sz w:val="20"/>
      <w:szCs w:val="20"/>
      <w:lang w:val="en-AU" w:eastAsia="en-AU"/>
    </w:rPr>
  </w:style>
  <w:style w:type="table" w:customStyle="1" w:styleId="TableGrid5">
    <w:name w:val="Table Grid5"/>
    <w:basedOn w:val="TableNormal"/>
    <w:next w:val="TableGrid"/>
    <w:rsid w:val="00151B33"/>
    <w:pPr>
      <w:spacing w:line="280" w:lineRule="exact"/>
      <w:ind w:left="108"/>
    </w:pPr>
    <w:rPr>
      <w:rFonts w:ascii="Arial" w:eastAsia="Times New Roman" w:hAnsi="Arial" w:cs="Times New Roman"/>
      <w:sz w:val="18"/>
      <w:szCs w:val="20"/>
      <w:lang w:val="en-AU" w:eastAsia="en-AU"/>
    </w:rPr>
    <w:tblPr>
      <w:tblStyleRow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left w:w="0" w:type="dxa"/>
        <w:right w:w="0" w:type="dxa"/>
      </w:tblCellMar>
    </w:tblPr>
    <w:tblStylePr w:type="firstRow">
      <w:pPr>
        <w:wordWrap/>
        <w:spacing w:afterLines="0" w:afterAutospacing="0" w:line="280" w:lineRule="exact"/>
        <w:ind w:leftChars="0" w:left="108"/>
        <w:contextualSpacing w:val="0"/>
      </w:pPr>
      <w:rPr>
        <w:rFonts w:ascii="Arial" w:hAnsi="Arial"/>
        <w:caps/>
        <w:smallCaps w:val="0"/>
        <w:strike w:val="0"/>
        <w:dstrike w:val="0"/>
        <w:vanish w:val="0"/>
        <w:color w:val="009FE3"/>
        <w:sz w:val="18"/>
        <w:vertAlign w:val="baseline"/>
      </w:rPr>
    </w:tblStylePr>
    <w:tblStylePr w:type="band1Horz">
      <w:tblPr/>
      <w:tcPr>
        <w:shd w:val="clear" w:color="auto" w:fill="F3F3F3"/>
      </w:tcPr>
    </w:tblStylePr>
  </w:style>
  <w:style w:type="paragraph" w:customStyle="1" w:styleId="Default">
    <w:name w:val="Default"/>
    <w:rsid w:val="00151B33"/>
    <w:pPr>
      <w:autoSpaceDE w:val="0"/>
      <w:autoSpaceDN w:val="0"/>
      <w:adjustRightInd w:val="0"/>
      <w:spacing w:after="0" w:line="240" w:lineRule="auto"/>
    </w:pPr>
    <w:rPr>
      <w:rFonts w:ascii="HelveticaNeueLT Std" w:hAnsi="HelveticaNeueLT Std" w:cs="HelveticaNeueLT Std"/>
      <w:color w:val="000000"/>
      <w:sz w:val="24"/>
      <w:szCs w:val="24"/>
      <w:lang w:val="en-AU"/>
    </w:rPr>
  </w:style>
  <w:style w:type="paragraph" w:customStyle="1" w:styleId="Pa11">
    <w:name w:val="Pa11"/>
    <w:basedOn w:val="Default"/>
    <w:next w:val="Default"/>
    <w:uiPriority w:val="99"/>
    <w:rsid w:val="00151B33"/>
    <w:pPr>
      <w:spacing w:line="361" w:lineRule="atLeast"/>
    </w:pPr>
    <w:rPr>
      <w:rFonts w:cstheme="minorBidi"/>
      <w:color w:val="auto"/>
    </w:rPr>
  </w:style>
  <w:style w:type="paragraph" w:customStyle="1" w:styleId="Pa2">
    <w:name w:val="Pa2"/>
    <w:basedOn w:val="Default"/>
    <w:next w:val="Default"/>
    <w:uiPriority w:val="99"/>
    <w:rsid w:val="00151B33"/>
    <w:pPr>
      <w:spacing w:line="201" w:lineRule="atLeast"/>
    </w:pPr>
    <w:rPr>
      <w:rFonts w:cstheme="minorBidi"/>
      <w:color w:val="auto"/>
    </w:rPr>
  </w:style>
  <w:style w:type="paragraph" w:customStyle="1" w:styleId="Pa15">
    <w:name w:val="Pa15"/>
    <w:basedOn w:val="Default"/>
    <w:next w:val="Default"/>
    <w:uiPriority w:val="99"/>
    <w:rsid w:val="00151B33"/>
    <w:pPr>
      <w:spacing w:line="301" w:lineRule="atLeast"/>
    </w:pPr>
    <w:rPr>
      <w:rFonts w:cstheme="minorBidi"/>
      <w:color w:val="auto"/>
    </w:rPr>
  </w:style>
  <w:style w:type="character" w:customStyle="1" w:styleId="A5">
    <w:name w:val="A5"/>
    <w:uiPriority w:val="99"/>
    <w:rsid w:val="00151B33"/>
    <w:rPr>
      <w:rFonts w:ascii="HelveticaNeueLT Std Lt" w:hAnsi="HelveticaNeueLT Std Lt" w:cs="HelveticaNeueLT Std Lt"/>
      <w:color w:val="003667"/>
      <w:sz w:val="20"/>
      <w:szCs w:val="20"/>
      <w:u w:val="single"/>
    </w:rPr>
  </w:style>
  <w:style w:type="paragraph" w:styleId="NormalWeb">
    <w:name w:val="Normal (Web)"/>
    <w:basedOn w:val="Normal"/>
    <w:uiPriority w:val="99"/>
    <w:semiHidden/>
    <w:unhideWhenUsed/>
    <w:rsid w:val="00151B33"/>
    <w:pPr>
      <w:spacing w:before="0" w:after="360" w:line="240" w:lineRule="auto"/>
    </w:pPr>
    <w:rPr>
      <w:rFonts w:ascii="Times New Roman" w:hAnsi="Times New Roman"/>
      <w:sz w:val="24"/>
      <w:szCs w:val="24"/>
    </w:rPr>
  </w:style>
  <w:style w:type="paragraph" w:styleId="Revision">
    <w:name w:val="Revision"/>
    <w:hidden/>
    <w:uiPriority w:val="99"/>
    <w:semiHidden/>
    <w:rsid w:val="00151B33"/>
    <w:pPr>
      <w:spacing w:after="0" w:line="240" w:lineRule="auto"/>
    </w:pPr>
    <w:rPr>
      <w:rFonts w:ascii="Arial" w:eastAsia="Times New Roman" w:hAnsi="Arial" w:cs="Times New Roman"/>
      <w:sz w:val="20"/>
      <w:szCs w:val="20"/>
      <w:lang w:val="en-AU" w:eastAsia="en-AU"/>
    </w:rPr>
  </w:style>
  <w:style w:type="paragraph" w:customStyle="1" w:styleId="CharChar1CharCharCharCharCharChar">
    <w:name w:val="Char Char1 Char Char Char Char Char Char"/>
    <w:basedOn w:val="Normal"/>
    <w:rsid w:val="00151B33"/>
    <w:pPr>
      <w:widowControl w:val="0"/>
      <w:adjustRightInd w:val="0"/>
      <w:spacing w:before="240" w:line="240" w:lineRule="exact"/>
      <w:ind w:right="-874"/>
      <w:jc w:val="both"/>
      <w:textAlignment w:val="baseline"/>
    </w:pPr>
    <w:rPr>
      <w:lang w:eastAsia="en-US"/>
    </w:rPr>
  </w:style>
  <w:style w:type="paragraph" w:customStyle="1" w:styleId="Level1">
    <w:name w:val="Level 1"/>
    <w:basedOn w:val="Normal"/>
    <w:rsid w:val="00151B33"/>
    <w:pPr>
      <w:widowControl w:val="0"/>
      <w:numPr>
        <w:numId w:val="14"/>
      </w:numPr>
      <w:tabs>
        <w:tab w:val="left" w:pos="-1440"/>
      </w:tabs>
      <w:spacing w:before="0" w:after="0" w:line="240" w:lineRule="auto"/>
    </w:pPr>
    <w:rPr>
      <w:caps/>
      <w:snapToGrid w:val="0"/>
      <w:sz w:val="24"/>
      <w:lang w:eastAsia="en-US"/>
    </w:rPr>
  </w:style>
  <w:style w:type="paragraph" w:customStyle="1" w:styleId="CharChar1CharCharCharCharCharCharCharCharCharCharCharCharCharCharCharCharCharChar">
    <w:name w:val="Char Char1 Char Char Char Char Char Char Char Char Char Char Char Char Char Char Char Char Char Char"/>
    <w:basedOn w:val="Normal"/>
    <w:rsid w:val="00151B33"/>
    <w:pPr>
      <w:numPr>
        <w:numId w:val="13"/>
      </w:numPr>
      <w:spacing w:before="0" w:line="240" w:lineRule="exact"/>
    </w:pPr>
    <w:rPr>
      <w:sz w:val="22"/>
      <w:lang w:val="en-US" w:eastAsia="en-US"/>
    </w:rPr>
  </w:style>
  <w:style w:type="paragraph" w:customStyle="1" w:styleId="Level2">
    <w:name w:val="Level 2"/>
    <w:basedOn w:val="Level1"/>
    <w:rsid w:val="00151B33"/>
    <w:pPr>
      <w:numPr>
        <w:ilvl w:val="1"/>
      </w:numPr>
    </w:pPr>
  </w:style>
  <w:style w:type="paragraph" w:customStyle="1" w:styleId="Level3">
    <w:name w:val="Level 3"/>
    <w:basedOn w:val="Level2"/>
    <w:rsid w:val="00151B33"/>
    <w:pPr>
      <w:numPr>
        <w:ilvl w:val="2"/>
      </w:numPr>
      <w:tabs>
        <w:tab w:val="clear" w:pos="851"/>
      </w:tabs>
    </w:pPr>
    <w:rPr>
      <w:caps w:val="0"/>
    </w:rPr>
  </w:style>
  <w:style w:type="paragraph" w:customStyle="1" w:styleId="Level4">
    <w:name w:val="Level 4"/>
    <w:basedOn w:val="Level3"/>
    <w:rsid w:val="00151B33"/>
    <w:pPr>
      <w:numPr>
        <w:ilvl w:val="3"/>
      </w:numPr>
      <w:tabs>
        <w:tab w:val="left" w:pos="2160"/>
      </w:tabs>
    </w:pPr>
  </w:style>
  <w:style w:type="table" w:customStyle="1" w:styleId="TableGrid2">
    <w:name w:val="Table Grid2"/>
    <w:basedOn w:val="TableNormal"/>
    <w:next w:val="TableGrid"/>
    <w:uiPriority w:val="59"/>
    <w:rsid w:val="00151B33"/>
    <w:pPr>
      <w:spacing w:after="0" w:line="240" w:lineRule="auto"/>
    </w:pPr>
    <w:rPr>
      <w:rFonts w:ascii="Arial" w:eastAsia="Times New Roman" w:hAnsi="Arial" w:cs="Arial"/>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51B33"/>
    <w:pPr>
      <w:spacing w:after="0" w:line="240" w:lineRule="auto"/>
    </w:pPr>
    <w:rPr>
      <w:rFonts w:ascii="Arial" w:eastAsia="Times New Roman" w:hAnsi="Arial" w:cs="Times New Roman"/>
      <w:sz w:val="20"/>
      <w:szCs w:val="20"/>
      <w:lang w:val="en-AU" w:eastAsia="en-AU"/>
    </w:rPr>
  </w:style>
  <w:style w:type="paragraph" w:styleId="EndnoteText">
    <w:name w:val="endnote text"/>
    <w:basedOn w:val="Normal"/>
    <w:link w:val="EndnoteTextChar"/>
    <w:uiPriority w:val="99"/>
    <w:semiHidden/>
    <w:unhideWhenUsed/>
    <w:rsid w:val="00F73E5D"/>
    <w:pPr>
      <w:spacing w:before="0" w:after="0" w:line="240" w:lineRule="auto"/>
    </w:pPr>
  </w:style>
  <w:style w:type="character" w:customStyle="1" w:styleId="EndnoteTextChar">
    <w:name w:val="Endnote Text Char"/>
    <w:basedOn w:val="DefaultParagraphFont"/>
    <w:link w:val="EndnoteText"/>
    <w:uiPriority w:val="99"/>
    <w:semiHidden/>
    <w:rsid w:val="00F73E5D"/>
    <w:rPr>
      <w:rFonts w:ascii="Arial" w:eastAsia="Times New Roman" w:hAnsi="Arial" w:cs="Times New Roman"/>
      <w:sz w:val="20"/>
      <w:szCs w:val="20"/>
      <w:lang w:val="en-AU" w:eastAsia="en-AU"/>
    </w:rPr>
  </w:style>
  <w:style w:type="character" w:styleId="EndnoteReference">
    <w:name w:val="endnote reference"/>
    <w:basedOn w:val="DefaultParagraphFont"/>
    <w:uiPriority w:val="99"/>
    <w:semiHidden/>
    <w:unhideWhenUsed/>
    <w:rsid w:val="00F73E5D"/>
    <w:rPr>
      <w:vertAlign w:val="superscript"/>
    </w:rPr>
  </w:style>
  <w:style w:type="table" w:styleId="LightGrid-Accent2">
    <w:name w:val="Light Grid Accent 2"/>
    <w:basedOn w:val="TableNormal"/>
    <w:uiPriority w:val="62"/>
    <w:rsid w:val="003E7BEB"/>
    <w:pPr>
      <w:spacing w:after="0" w:line="240" w:lineRule="auto"/>
    </w:pPr>
    <w:rPr>
      <w:rFonts w:eastAsiaTheme="minorEastAsia"/>
      <w:sz w:val="24"/>
      <w:szCs w:val="24"/>
      <w:lang w:val="en-AU"/>
    </w:rPr>
    <w:tblPr>
      <w:tblStyleRowBandSize w:val="1"/>
      <w:tblStyleColBandSize w:val="1"/>
      <w:tblBorders>
        <w:top w:val="single" w:sz="8" w:space="0" w:color="007BC3" w:themeColor="accent2"/>
        <w:left w:val="single" w:sz="8" w:space="0" w:color="007BC3" w:themeColor="accent2"/>
        <w:bottom w:val="single" w:sz="8" w:space="0" w:color="007BC3" w:themeColor="accent2"/>
        <w:right w:val="single" w:sz="8" w:space="0" w:color="007BC3" w:themeColor="accent2"/>
        <w:insideH w:val="single" w:sz="8" w:space="0" w:color="007BC3" w:themeColor="accent2"/>
        <w:insideV w:val="single" w:sz="8" w:space="0" w:color="007BC3" w:themeColor="accent2"/>
      </w:tblBorders>
    </w:tblPr>
    <w:tcPr>
      <w:shd w:val="clear" w:color="auto" w:fill="auto"/>
    </w:tcPr>
    <w:tblStylePr w:type="firstRow">
      <w:pPr>
        <w:spacing w:before="0" w:after="0" w:line="240" w:lineRule="auto"/>
      </w:pPr>
      <w:rPr>
        <w:rFonts w:asciiTheme="majorHAnsi" w:eastAsiaTheme="majorEastAsia" w:hAnsiTheme="majorHAnsi" w:cstheme="majorBidi"/>
        <w:b/>
        <w:bCs/>
      </w:rPr>
      <w:tblPr/>
      <w:tcPr>
        <w:shd w:val="clear" w:color="auto" w:fill="CD0920"/>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BC3" w:themeColor="accent2"/>
          <w:left w:val="single" w:sz="8" w:space="0" w:color="007BC3" w:themeColor="accent2"/>
          <w:bottom w:val="single" w:sz="8" w:space="0" w:color="007BC3" w:themeColor="accent2"/>
          <w:right w:val="single" w:sz="8" w:space="0" w:color="007BC3" w:themeColor="accent2"/>
          <w:insideH w:val="nil"/>
          <w:insideV w:val="single" w:sz="8" w:space="0" w:color="007BC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BC3" w:themeColor="accent2"/>
          <w:left w:val="single" w:sz="8" w:space="0" w:color="007BC3" w:themeColor="accent2"/>
          <w:bottom w:val="single" w:sz="8" w:space="0" w:color="007BC3" w:themeColor="accent2"/>
          <w:right w:val="single" w:sz="8" w:space="0" w:color="007BC3" w:themeColor="accent2"/>
        </w:tcBorders>
      </w:tcPr>
    </w:tblStylePr>
    <w:tblStylePr w:type="band2Horz">
      <w:tblPr/>
      <w:tcPr>
        <w:tcBorders>
          <w:top w:val="single" w:sz="8" w:space="0" w:color="007BC3" w:themeColor="accent2"/>
          <w:left w:val="single" w:sz="8" w:space="0" w:color="007BC3" w:themeColor="accent2"/>
          <w:bottom w:val="single" w:sz="8" w:space="0" w:color="007BC3" w:themeColor="accent2"/>
          <w:right w:val="single" w:sz="8" w:space="0" w:color="007BC3" w:themeColor="accent2"/>
          <w:insideV w:val="single" w:sz="8" w:space="0" w:color="007BC3" w:themeColor="accent2"/>
        </w:tcBorders>
      </w:tcPr>
    </w:tblStylePr>
  </w:style>
  <w:style w:type="paragraph" w:customStyle="1" w:styleId="TableText">
    <w:name w:val="TableText"/>
    <w:basedOn w:val="Normal"/>
    <w:qFormat/>
    <w:rsid w:val="003E7BEB"/>
    <w:pPr>
      <w:spacing w:before="120" w:after="120" w:line="240" w:lineRule="auto"/>
    </w:pPr>
    <w:rPr>
      <w:rFonts w:eastAsiaTheme="majorEastAsia" w:cs="Arial"/>
      <w:bCs/>
      <w:lang w:eastAsia="en-US"/>
    </w:rPr>
  </w:style>
  <w:style w:type="table" w:styleId="LightList-Accent2">
    <w:name w:val="Light List Accent 2"/>
    <w:basedOn w:val="TableNormal"/>
    <w:uiPriority w:val="61"/>
    <w:rsid w:val="003E7BEB"/>
    <w:pPr>
      <w:spacing w:after="0" w:line="240" w:lineRule="auto"/>
    </w:pPr>
    <w:tblPr>
      <w:tblStyleRowBandSize w:val="1"/>
      <w:tblStyleColBandSize w:val="1"/>
      <w:tblBorders>
        <w:top w:val="single" w:sz="8" w:space="0" w:color="007BC3" w:themeColor="accent2"/>
        <w:left w:val="single" w:sz="8" w:space="0" w:color="007BC3" w:themeColor="accent2"/>
        <w:bottom w:val="single" w:sz="8" w:space="0" w:color="007BC3" w:themeColor="accent2"/>
        <w:right w:val="single" w:sz="8" w:space="0" w:color="007BC3" w:themeColor="accent2"/>
      </w:tblBorders>
    </w:tblPr>
    <w:tblStylePr w:type="firstRow">
      <w:pPr>
        <w:spacing w:before="0" w:after="0" w:line="240" w:lineRule="auto"/>
      </w:pPr>
      <w:rPr>
        <w:b/>
        <w:bCs/>
        <w:color w:val="FFFFFF" w:themeColor="background1"/>
      </w:rPr>
      <w:tblPr/>
      <w:tcPr>
        <w:shd w:val="clear" w:color="auto" w:fill="007BC3" w:themeFill="accent2"/>
      </w:tcPr>
    </w:tblStylePr>
    <w:tblStylePr w:type="lastRow">
      <w:pPr>
        <w:spacing w:before="0" w:after="0" w:line="240" w:lineRule="auto"/>
      </w:pPr>
      <w:rPr>
        <w:b/>
        <w:bCs/>
      </w:rPr>
      <w:tblPr/>
      <w:tcPr>
        <w:tcBorders>
          <w:top w:val="double" w:sz="6" w:space="0" w:color="007BC3" w:themeColor="accent2"/>
          <w:left w:val="single" w:sz="8" w:space="0" w:color="007BC3" w:themeColor="accent2"/>
          <w:bottom w:val="single" w:sz="8" w:space="0" w:color="007BC3" w:themeColor="accent2"/>
          <w:right w:val="single" w:sz="8" w:space="0" w:color="007BC3" w:themeColor="accent2"/>
        </w:tcBorders>
      </w:tcPr>
    </w:tblStylePr>
    <w:tblStylePr w:type="firstCol">
      <w:rPr>
        <w:b/>
        <w:bCs/>
      </w:rPr>
    </w:tblStylePr>
    <w:tblStylePr w:type="lastCol">
      <w:rPr>
        <w:b/>
        <w:bCs/>
      </w:rPr>
    </w:tblStylePr>
    <w:tblStylePr w:type="band1Vert">
      <w:tblPr/>
      <w:tcPr>
        <w:tcBorders>
          <w:top w:val="single" w:sz="8" w:space="0" w:color="007BC3" w:themeColor="accent2"/>
          <w:left w:val="single" w:sz="8" w:space="0" w:color="007BC3" w:themeColor="accent2"/>
          <w:bottom w:val="single" w:sz="8" w:space="0" w:color="007BC3" w:themeColor="accent2"/>
          <w:right w:val="single" w:sz="8" w:space="0" w:color="007BC3" w:themeColor="accent2"/>
        </w:tcBorders>
      </w:tcPr>
    </w:tblStylePr>
    <w:tblStylePr w:type="band1Horz">
      <w:tblPr/>
      <w:tcPr>
        <w:tcBorders>
          <w:top w:val="single" w:sz="8" w:space="0" w:color="007BC3" w:themeColor="accent2"/>
          <w:left w:val="single" w:sz="8" w:space="0" w:color="007BC3" w:themeColor="accent2"/>
          <w:bottom w:val="single" w:sz="8" w:space="0" w:color="007BC3" w:themeColor="accent2"/>
          <w:right w:val="single" w:sz="8" w:space="0" w:color="007BC3" w:themeColor="accent2"/>
        </w:tcBorders>
      </w:tcPr>
    </w:tblStylePr>
  </w:style>
  <w:style w:type="character" w:styleId="FollowedHyperlink">
    <w:name w:val="FollowedHyperlink"/>
    <w:basedOn w:val="DefaultParagraphFont"/>
    <w:uiPriority w:val="99"/>
    <w:semiHidden/>
    <w:unhideWhenUsed/>
    <w:rsid w:val="00F94587"/>
    <w:rPr>
      <w:color w:val="00000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w:qFormat="1"/>
    <w:lsdException w:name="List Number 2"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9416A"/>
    <w:pPr>
      <w:spacing w:before="80" w:after="160" w:line="280" w:lineRule="exact"/>
    </w:pPr>
    <w:rPr>
      <w:rFonts w:ascii="Arial" w:eastAsia="Times New Roman" w:hAnsi="Arial" w:cs="Times New Roman"/>
      <w:sz w:val="20"/>
      <w:szCs w:val="20"/>
      <w:lang w:val="en-AU" w:eastAsia="en-AU"/>
    </w:rPr>
  </w:style>
  <w:style w:type="paragraph" w:styleId="Heading1">
    <w:name w:val="heading 1"/>
    <w:basedOn w:val="Normal"/>
    <w:next w:val="Normal"/>
    <w:link w:val="Heading1Char"/>
    <w:uiPriority w:val="9"/>
    <w:qFormat/>
    <w:rsid w:val="00497252"/>
    <w:pPr>
      <w:keepNext/>
      <w:keepLines/>
      <w:spacing w:before="0" w:line="240" w:lineRule="auto"/>
      <w:outlineLvl w:val="0"/>
    </w:pPr>
    <w:rPr>
      <w:rFonts w:eastAsiaTheme="majorEastAsia" w:cstheme="majorBidi"/>
      <w:bCs/>
      <w:color w:val="034EA2" w:themeColor="accent1"/>
      <w:sz w:val="40"/>
      <w:szCs w:val="28"/>
    </w:rPr>
  </w:style>
  <w:style w:type="paragraph" w:styleId="Heading2">
    <w:name w:val="heading 2"/>
    <w:next w:val="Normal"/>
    <w:link w:val="Heading2Char"/>
    <w:uiPriority w:val="9"/>
    <w:unhideWhenUsed/>
    <w:qFormat/>
    <w:rsid w:val="00497252"/>
    <w:pPr>
      <w:spacing w:before="100" w:beforeAutospacing="1" w:after="120"/>
      <w:outlineLvl w:val="1"/>
    </w:pPr>
    <w:rPr>
      <w:rFonts w:ascii="Arial" w:eastAsiaTheme="majorEastAsia" w:hAnsi="Arial" w:cstheme="majorBidi"/>
      <w:color w:val="007BC3" w:themeColor="accent2"/>
      <w:sz w:val="32"/>
      <w:szCs w:val="26"/>
      <w:lang w:val="en-AU" w:eastAsia="en-AU"/>
    </w:rPr>
  </w:style>
  <w:style w:type="paragraph" w:styleId="Heading3">
    <w:name w:val="heading 3"/>
    <w:basedOn w:val="Heading2"/>
    <w:next w:val="Normal"/>
    <w:link w:val="Heading3Char"/>
    <w:uiPriority w:val="9"/>
    <w:unhideWhenUsed/>
    <w:qFormat/>
    <w:rsid w:val="00407A2C"/>
    <w:pPr>
      <w:spacing w:after="0"/>
      <w:outlineLvl w:val="2"/>
    </w:pPr>
    <w:rPr>
      <w:bCs/>
      <w:sz w:val="28"/>
    </w:rPr>
  </w:style>
  <w:style w:type="paragraph" w:styleId="Heading4">
    <w:name w:val="heading 4"/>
    <w:basedOn w:val="Heading3"/>
    <w:next w:val="Normal"/>
    <w:link w:val="Heading4Char"/>
    <w:uiPriority w:val="9"/>
    <w:unhideWhenUsed/>
    <w:qFormat/>
    <w:rsid w:val="00407A2C"/>
    <w:pPr>
      <w:keepNext/>
      <w:keepLines/>
      <w:spacing w:before="360" w:beforeAutospacing="0" w:line="240" w:lineRule="auto"/>
      <w:outlineLvl w:val="3"/>
    </w:pPr>
    <w:rPr>
      <w:bCs w:val="0"/>
      <w:iCs/>
      <w:sz w:val="24"/>
    </w:rPr>
  </w:style>
  <w:style w:type="paragraph" w:styleId="Heading5">
    <w:name w:val="heading 5"/>
    <w:basedOn w:val="Heading4"/>
    <w:next w:val="Normal"/>
    <w:link w:val="Heading5Char"/>
    <w:uiPriority w:val="9"/>
    <w:unhideWhenUsed/>
    <w:qFormat/>
    <w:rsid w:val="00407A2C"/>
    <w:pPr>
      <w:outlineLvl w:val="4"/>
    </w:pPr>
    <w:rPr>
      <w:sz w:val="20"/>
    </w:rPr>
  </w:style>
  <w:style w:type="paragraph" w:styleId="Heading6">
    <w:name w:val="heading 6"/>
    <w:basedOn w:val="Heading5"/>
    <w:next w:val="Normal"/>
    <w:link w:val="Heading6Char"/>
    <w:uiPriority w:val="9"/>
    <w:unhideWhenUsed/>
    <w:qFormat/>
    <w:rsid w:val="002E0CCE"/>
    <w:pPr>
      <w:outlineLvl w:val="5"/>
    </w:pPr>
    <w:rPr>
      <w:i/>
      <w:iCs w:val="0"/>
    </w:rPr>
  </w:style>
  <w:style w:type="paragraph" w:styleId="Heading7">
    <w:name w:val="heading 7"/>
    <w:aliases w:val="Table heading"/>
    <w:basedOn w:val="Heading6"/>
    <w:next w:val="Normal"/>
    <w:link w:val="Heading7Char"/>
    <w:uiPriority w:val="9"/>
    <w:unhideWhenUsed/>
    <w:qFormat/>
    <w:rsid w:val="002E0CCE"/>
    <w:pPr>
      <w:spacing w:before="200" w:after="120"/>
      <w:outlineLvl w:val="6"/>
    </w:pPr>
    <w:rPr>
      <w:b/>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B6C"/>
    <w:pPr>
      <w:tabs>
        <w:tab w:val="center" w:pos="4680"/>
        <w:tab w:val="right" w:pos="9360"/>
      </w:tabs>
      <w:spacing w:before="0" w:after="0" w:line="240" w:lineRule="auto"/>
    </w:pPr>
    <w:rPr>
      <w:color w:val="5C676D"/>
      <w:sz w:val="14"/>
    </w:rPr>
  </w:style>
  <w:style w:type="character" w:customStyle="1" w:styleId="HeaderChar">
    <w:name w:val="Header Char"/>
    <w:basedOn w:val="DefaultParagraphFont"/>
    <w:link w:val="Header"/>
    <w:uiPriority w:val="99"/>
    <w:rsid w:val="00836B6C"/>
    <w:rPr>
      <w:rFonts w:ascii="Arial" w:eastAsia="Times New Roman" w:hAnsi="Arial" w:cs="Times New Roman"/>
      <w:color w:val="5C676D"/>
      <w:sz w:val="14"/>
      <w:szCs w:val="20"/>
      <w:lang w:val="en-AU" w:eastAsia="en-AU"/>
    </w:rPr>
  </w:style>
  <w:style w:type="paragraph" w:styleId="Footer">
    <w:name w:val="footer"/>
    <w:basedOn w:val="Normal"/>
    <w:link w:val="FooterChar"/>
    <w:uiPriority w:val="99"/>
    <w:unhideWhenUsed/>
    <w:rsid w:val="001625CE"/>
    <w:pPr>
      <w:tabs>
        <w:tab w:val="center" w:pos="4680"/>
        <w:tab w:val="right" w:pos="9360"/>
      </w:tabs>
      <w:spacing w:before="0" w:after="0" w:line="240" w:lineRule="auto"/>
      <w:jc w:val="right"/>
    </w:pPr>
    <w:rPr>
      <w:color w:val="5C676D"/>
      <w:sz w:val="14"/>
    </w:rPr>
  </w:style>
  <w:style w:type="character" w:customStyle="1" w:styleId="FooterChar">
    <w:name w:val="Footer Char"/>
    <w:basedOn w:val="DefaultParagraphFont"/>
    <w:link w:val="Footer"/>
    <w:uiPriority w:val="99"/>
    <w:rsid w:val="001625CE"/>
    <w:rPr>
      <w:rFonts w:ascii="Arial" w:eastAsia="Times New Roman" w:hAnsi="Arial" w:cs="Times New Roman"/>
      <w:color w:val="5C676D"/>
      <w:sz w:val="14"/>
      <w:szCs w:val="20"/>
      <w:lang w:val="en-AU" w:eastAsia="en-AU"/>
    </w:rPr>
  </w:style>
  <w:style w:type="character" w:customStyle="1" w:styleId="Heading1Char">
    <w:name w:val="Heading 1 Char"/>
    <w:basedOn w:val="DefaultParagraphFont"/>
    <w:link w:val="Heading1"/>
    <w:uiPriority w:val="9"/>
    <w:rsid w:val="00497252"/>
    <w:rPr>
      <w:rFonts w:ascii="Arial" w:eastAsiaTheme="majorEastAsia" w:hAnsi="Arial" w:cstheme="majorBidi"/>
      <w:bCs/>
      <w:color w:val="034EA2" w:themeColor="accent1"/>
      <w:sz w:val="40"/>
      <w:szCs w:val="28"/>
      <w:lang w:val="en-AU" w:eastAsia="en-AU"/>
    </w:rPr>
  </w:style>
  <w:style w:type="character" w:customStyle="1" w:styleId="Heading2Char">
    <w:name w:val="Heading 2 Char"/>
    <w:basedOn w:val="DefaultParagraphFont"/>
    <w:link w:val="Heading2"/>
    <w:uiPriority w:val="9"/>
    <w:rsid w:val="00497252"/>
    <w:rPr>
      <w:rFonts w:ascii="Arial" w:eastAsiaTheme="majorEastAsia" w:hAnsi="Arial" w:cstheme="majorBidi"/>
      <w:color w:val="007BC3" w:themeColor="accent2"/>
      <w:sz w:val="32"/>
      <w:szCs w:val="26"/>
      <w:lang w:val="en-AU" w:eastAsia="en-AU"/>
    </w:rPr>
  </w:style>
  <w:style w:type="character" w:customStyle="1" w:styleId="Heading3Char">
    <w:name w:val="Heading 3 Char"/>
    <w:basedOn w:val="DefaultParagraphFont"/>
    <w:link w:val="Heading3"/>
    <w:uiPriority w:val="9"/>
    <w:rsid w:val="00407A2C"/>
    <w:rPr>
      <w:rFonts w:ascii="Arial" w:eastAsiaTheme="majorEastAsia" w:hAnsi="Arial" w:cstheme="majorBidi"/>
      <w:bCs/>
      <w:color w:val="007BC3"/>
      <w:sz w:val="28"/>
      <w:szCs w:val="26"/>
      <w:lang w:val="en-AU" w:eastAsia="en-AU"/>
    </w:rPr>
  </w:style>
  <w:style w:type="character" w:customStyle="1" w:styleId="Heading4Char">
    <w:name w:val="Heading 4 Char"/>
    <w:basedOn w:val="DefaultParagraphFont"/>
    <w:link w:val="Heading4"/>
    <w:uiPriority w:val="9"/>
    <w:rsid w:val="00407A2C"/>
    <w:rPr>
      <w:rFonts w:ascii="Arial" w:eastAsiaTheme="majorEastAsia" w:hAnsi="Arial" w:cstheme="majorBidi"/>
      <w:iCs/>
      <w:color w:val="007BC3"/>
      <w:sz w:val="24"/>
      <w:szCs w:val="26"/>
      <w:lang w:val="en-AU" w:eastAsia="en-AU"/>
    </w:rPr>
  </w:style>
  <w:style w:type="character" w:customStyle="1" w:styleId="Heading5Char">
    <w:name w:val="Heading 5 Char"/>
    <w:basedOn w:val="DefaultParagraphFont"/>
    <w:link w:val="Heading5"/>
    <w:uiPriority w:val="9"/>
    <w:rsid w:val="00407A2C"/>
    <w:rPr>
      <w:rFonts w:ascii="Arial" w:eastAsiaTheme="majorEastAsia" w:hAnsi="Arial" w:cstheme="majorBidi"/>
      <w:iCs/>
      <w:color w:val="007BC3"/>
      <w:sz w:val="20"/>
      <w:szCs w:val="26"/>
      <w:lang w:val="en-AU" w:eastAsia="en-AU"/>
    </w:rPr>
  </w:style>
  <w:style w:type="paragraph" w:styleId="ListBullet">
    <w:name w:val="List Bullet"/>
    <w:basedOn w:val="Normal"/>
    <w:uiPriority w:val="99"/>
    <w:unhideWhenUsed/>
    <w:rsid w:val="0069514F"/>
    <w:pPr>
      <w:numPr>
        <w:numId w:val="1"/>
      </w:numPr>
      <w:contextualSpacing/>
    </w:pPr>
  </w:style>
  <w:style w:type="paragraph" w:customStyle="1" w:styleId="Bullet-level2">
    <w:name w:val="Bullet - level 2"/>
    <w:basedOn w:val="Bullet-level1"/>
    <w:rsid w:val="0069514F"/>
    <w:pPr>
      <w:numPr>
        <w:numId w:val="3"/>
      </w:numPr>
      <w:tabs>
        <w:tab w:val="clear" w:pos="360"/>
      </w:tabs>
      <w:ind w:left="720"/>
    </w:pPr>
  </w:style>
  <w:style w:type="paragraph" w:customStyle="1" w:styleId="Bullet-level1">
    <w:name w:val="Bullet - level 1"/>
    <w:basedOn w:val="Normal"/>
    <w:rsid w:val="0069514F"/>
    <w:pPr>
      <w:numPr>
        <w:numId w:val="2"/>
      </w:numPr>
      <w:spacing w:after="0"/>
      <w:ind w:right="1106"/>
    </w:pPr>
  </w:style>
  <w:style w:type="paragraph" w:customStyle="1" w:styleId="Bulletlist-level1">
    <w:name w:val="Bullet list - level 1"/>
    <w:basedOn w:val="Bullet-level1"/>
    <w:qFormat/>
    <w:rsid w:val="0069514F"/>
    <w:pPr>
      <w:spacing w:before="0" w:after="40"/>
    </w:pPr>
  </w:style>
  <w:style w:type="paragraph" w:customStyle="1" w:styleId="Bulletlist-level2">
    <w:name w:val="Bullet list - level 2"/>
    <w:basedOn w:val="Bullet-level2"/>
    <w:qFormat/>
    <w:rsid w:val="0069514F"/>
    <w:pPr>
      <w:spacing w:after="40"/>
      <w:ind w:left="714" w:hanging="357"/>
    </w:pPr>
  </w:style>
  <w:style w:type="paragraph" w:styleId="ListBullet2">
    <w:name w:val="List Bullet 2"/>
    <w:basedOn w:val="Bulletlist-level2"/>
    <w:uiPriority w:val="99"/>
    <w:unhideWhenUsed/>
    <w:rsid w:val="0069514F"/>
  </w:style>
  <w:style w:type="character" w:customStyle="1" w:styleId="Heading6Char">
    <w:name w:val="Heading 6 Char"/>
    <w:basedOn w:val="DefaultParagraphFont"/>
    <w:link w:val="Heading6"/>
    <w:uiPriority w:val="9"/>
    <w:rsid w:val="002E0CCE"/>
    <w:rPr>
      <w:rFonts w:ascii="Arial" w:eastAsiaTheme="majorEastAsia" w:hAnsi="Arial" w:cstheme="majorBidi"/>
      <w:i/>
      <w:color w:val="007AB2"/>
      <w:sz w:val="20"/>
      <w:szCs w:val="26"/>
      <w:lang w:val="en-AU" w:eastAsia="en-AU"/>
    </w:rPr>
  </w:style>
  <w:style w:type="paragraph" w:styleId="BalloonText">
    <w:name w:val="Balloon Text"/>
    <w:basedOn w:val="Normal"/>
    <w:link w:val="BalloonTextChar"/>
    <w:uiPriority w:val="99"/>
    <w:semiHidden/>
    <w:unhideWhenUsed/>
    <w:rsid w:val="002E0CC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CCE"/>
    <w:rPr>
      <w:rFonts w:ascii="Tahoma" w:eastAsia="Times New Roman" w:hAnsi="Tahoma" w:cs="Tahoma"/>
      <w:sz w:val="16"/>
      <w:szCs w:val="16"/>
      <w:lang w:val="en-AU" w:eastAsia="en-AU"/>
    </w:rPr>
  </w:style>
  <w:style w:type="character" w:customStyle="1" w:styleId="Heading7Char">
    <w:name w:val="Heading 7 Char"/>
    <w:aliases w:val="Table heading Char"/>
    <w:basedOn w:val="DefaultParagraphFont"/>
    <w:link w:val="Heading7"/>
    <w:uiPriority w:val="9"/>
    <w:rsid w:val="002E0CCE"/>
    <w:rPr>
      <w:rFonts w:ascii="Arial" w:eastAsiaTheme="majorEastAsia" w:hAnsi="Arial" w:cstheme="majorBidi"/>
      <w:b/>
      <w:iCs/>
      <w:color w:val="007AB2"/>
      <w:sz w:val="20"/>
      <w:szCs w:val="26"/>
      <w:lang w:val="en-AU" w:eastAsia="en-AU"/>
    </w:rPr>
  </w:style>
  <w:style w:type="table" w:customStyle="1" w:styleId="DIBPTable">
    <w:name w:val="DIBP Table"/>
    <w:basedOn w:val="TableNormal"/>
    <w:rsid w:val="00497252"/>
    <w:pPr>
      <w:spacing w:after="0" w:line="240" w:lineRule="auto"/>
    </w:pPr>
    <w:rPr>
      <w:rFonts w:ascii="Arial" w:eastAsia="Times New Roman" w:hAnsi="Arial" w:cs="Times New Roman"/>
      <w:sz w:val="20"/>
      <w:szCs w:val="20"/>
      <w:lang w:val="en-AU" w:eastAsia="en-AU"/>
    </w:rPr>
    <w:tblPr>
      <w:tblStyleRowBandSize w:val="1"/>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themeColor="background1"/>
        <w:sz w:val="20"/>
      </w:rPr>
      <w:tblPr/>
      <w:trPr>
        <w:tblHeader/>
      </w:trPr>
      <w:tcPr>
        <w:shd w:val="clear" w:color="auto" w:fill="007BC3" w:themeFill="accent2"/>
      </w:tcPr>
    </w:tblStylePr>
    <w:tblStylePr w:type="band1Horz">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pct10" w:color="auto" w:fill="FFFFFF" w:themeFill="background1"/>
      </w:tcPr>
    </w:tblStylePr>
  </w:style>
  <w:style w:type="paragraph" w:styleId="Title">
    <w:name w:val="Title"/>
    <w:basedOn w:val="Normal"/>
    <w:next w:val="Normal"/>
    <w:link w:val="TitleChar"/>
    <w:uiPriority w:val="10"/>
    <w:rsid w:val="00494FD1"/>
    <w:pPr>
      <w:spacing w:before="0" w:after="300" w:line="240" w:lineRule="auto"/>
      <w:contextualSpacing/>
    </w:pPr>
    <w:rPr>
      <w:rFonts w:eastAsiaTheme="majorEastAsia" w:cstheme="majorBidi"/>
      <w:color w:val="FFFFFF" w:themeColor="background1"/>
      <w:spacing w:val="5"/>
      <w:kern w:val="28"/>
      <w:sz w:val="56"/>
      <w:szCs w:val="52"/>
      <w14:textFill>
        <w14:noFill/>
      </w14:textFill>
    </w:rPr>
  </w:style>
  <w:style w:type="character" w:customStyle="1" w:styleId="TitleChar">
    <w:name w:val="Title Char"/>
    <w:basedOn w:val="DefaultParagraphFont"/>
    <w:link w:val="Title"/>
    <w:uiPriority w:val="10"/>
    <w:rsid w:val="00494FD1"/>
    <w:rPr>
      <w:rFonts w:ascii="Arial" w:eastAsiaTheme="majorEastAsia" w:hAnsi="Arial" w:cstheme="majorBidi"/>
      <w:color w:val="FFFFFF" w:themeColor="background1"/>
      <w:spacing w:val="5"/>
      <w:kern w:val="28"/>
      <w:sz w:val="56"/>
      <w:szCs w:val="52"/>
      <w:lang w:val="en-AU" w:eastAsia="en-AU"/>
      <w14:textFill>
        <w14:noFill/>
      </w14:textFill>
    </w:rPr>
  </w:style>
  <w:style w:type="character" w:styleId="BookTitle">
    <w:name w:val="Book Title"/>
    <w:aliases w:val="Document title"/>
    <w:uiPriority w:val="33"/>
    <w:rsid w:val="00497252"/>
    <w:rPr>
      <w:rFonts w:ascii="Arial" w:eastAsiaTheme="majorEastAsia" w:hAnsi="Arial" w:cstheme="majorBidi"/>
      <w:b/>
      <w:bCs w:val="0"/>
      <w:color w:val="034EA2" w:themeColor="accent1"/>
      <w:spacing w:val="5"/>
      <w:sz w:val="104"/>
      <w:szCs w:val="28"/>
      <w:lang w:val="en-AU" w:eastAsia="en-AU"/>
    </w:rPr>
  </w:style>
  <w:style w:type="paragraph" w:styleId="TOCHeading">
    <w:name w:val="TOC Heading"/>
    <w:basedOn w:val="Heading1"/>
    <w:next w:val="Normal"/>
    <w:uiPriority w:val="39"/>
    <w:unhideWhenUsed/>
    <w:qFormat/>
    <w:rsid w:val="001F4C23"/>
    <w:pPr>
      <w:spacing w:after="120" w:line="276" w:lineRule="auto"/>
      <w:outlineLvl w:val="9"/>
    </w:pPr>
    <w:rPr>
      <w:rFonts w:cs="Arial"/>
      <w:color w:val="007BC3" w:themeColor="accent2"/>
      <w:sz w:val="32"/>
      <w:lang w:val="en-US" w:eastAsia="ja-JP"/>
    </w:rPr>
  </w:style>
  <w:style w:type="paragraph" w:styleId="TOC1">
    <w:name w:val="toc 1"/>
    <w:basedOn w:val="Normal"/>
    <w:next w:val="Normal"/>
    <w:autoRedefine/>
    <w:uiPriority w:val="39"/>
    <w:unhideWhenUsed/>
    <w:rsid w:val="00D479BA"/>
    <w:pPr>
      <w:tabs>
        <w:tab w:val="right" w:leader="dot" w:pos="8665"/>
      </w:tabs>
      <w:spacing w:before="100" w:beforeAutospacing="1" w:after="100" w:afterAutospacing="1"/>
    </w:pPr>
    <w:rPr>
      <w:rFonts w:eastAsiaTheme="minorHAnsi" w:cs="Arial"/>
      <w:noProof/>
      <w:lang w:val="en-GB" w:eastAsia="en-US"/>
    </w:rPr>
  </w:style>
  <w:style w:type="paragraph" w:styleId="TOC2">
    <w:name w:val="toc 2"/>
    <w:basedOn w:val="Normal"/>
    <w:next w:val="Normal"/>
    <w:autoRedefine/>
    <w:uiPriority w:val="39"/>
    <w:unhideWhenUsed/>
    <w:rsid w:val="001F4C23"/>
    <w:pPr>
      <w:spacing w:before="100" w:beforeAutospacing="1" w:after="100" w:afterAutospacing="1"/>
      <w:ind w:left="200"/>
    </w:pPr>
    <w:rPr>
      <w:rFonts w:eastAsiaTheme="minorHAnsi" w:cs="Arial"/>
      <w:noProof/>
      <w:lang w:val="en-GB" w:eastAsia="en-US"/>
    </w:rPr>
  </w:style>
  <w:style w:type="character" w:styleId="Hyperlink">
    <w:name w:val="Hyperlink"/>
    <w:basedOn w:val="DefaultParagraphFont"/>
    <w:uiPriority w:val="99"/>
    <w:unhideWhenUsed/>
    <w:rsid w:val="0070696A"/>
    <w:rPr>
      <w:rFonts w:ascii="Arial" w:hAnsi="Arial"/>
      <w:color w:val="000000" w:themeColor="hyperlink"/>
      <w:sz w:val="20"/>
      <w:u w:val="single"/>
    </w:rPr>
  </w:style>
  <w:style w:type="paragraph" w:styleId="TOC3">
    <w:name w:val="toc 3"/>
    <w:basedOn w:val="Normal"/>
    <w:next w:val="Normal"/>
    <w:autoRedefine/>
    <w:uiPriority w:val="39"/>
    <w:unhideWhenUsed/>
    <w:rsid w:val="001F4C23"/>
    <w:pPr>
      <w:spacing w:before="100" w:beforeAutospacing="1" w:after="100" w:afterAutospacing="1"/>
      <w:ind w:left="400"/>
    </w:pPr>
    <w:rPr>
      <w:rFonts w:eastAsiaTheme="minorHAnsi" w:cs="Arial"/>
      <w:noProof/>
      <w:lang w:val="en-GB" w:eastAsia="en-US"/>
    </w:rPr>
  </w:style>
  <w:style w:type="paragraph" w:styleId="ListNumber">
    <w:name w:val="List Number"/>
    <w:basedOn w:val="Bulletlist-level1"/>
    <w:uiPriority w:val="99"/>
    <w:unhideWhenUsed/>
    <w:qFormat/>
    <w:rsid w:val="0052026C"/>
    <w:pPr>
      <w:numPr>
        <w:numId w:val="6"/>
      </w:numPr>
    </w:pPr>
  </w:style>
  <w:style w:type="paragraph" w:styleId="ListNumber2">
    <w:name w:val="List Number 2"/>
    <w:basedOn w:val="Bulletlist-level2"/>
    <w:uiPriority w:val="99"/>
    <w:unhideWhenUsed/>
    <w:qFormat/>
    <w:rsid w:val="0052026C"/>
    <w:pPr>
      <w:numPr>
        <w:numId w:val="4"/>
      </w:numPr>
      <w:tabs>
        <w:tab w:val="clear" w:pos="360"/>
      </w:tabs>
      <w:ind w:left="709"/>
    </w:pPr>
  </w:style>
  <w:style w:type="paragraph" w:styleId="Caption">
    <w:name w:val="caption"/>
    <w:basedOn w:val="Normal"/>
    <w:next w:val="Normal"/>
    <w:uiPriority w:val="35"/>
    <w:unhideWhenUsed/>
    <w:qFormat/>
    <w:rsid w:val="00497252"/>
    <w:pPr>
      <w:spacing w:before="0" w:after="200" w:line="240" w:lineRule="auto"/>
    </w:pPr>
    <w:rPr>
      <w:b/>
      <w:bCs/>
      <w:color w:val="007BC3" w:themeColor="accent2"/>
      <w:sz w:val="18"/>
      <w:szCs w:val="18"/>
    </w:rPr>
  </w:style>
  <w:style w:type="paragraph" w:styleId="Subtitle">
    <w:name w:val="Subtitle"/>
    <w:aliases w:val="Document subtitle"/>
    <w:basedOn w:val="Normal"/>
    <w:next w:val="Normal"/>
    <w:link w:val="SubtitleChar"/>
    <w:uiPriority w:val="11"/>
    <w:rsid w:val="00497252"/>
    <w:pPr>
      <w:numPr>
        <w:ilvl w:val="1"/>
      </w:numPr>
      <w:spacing w:before="0" w:after="0" w:line="276" w:lineRule="auto"/>
    </w:pPr>
    <w:rPr>
      <w:rFonts w:eastAsiaTheme="majorEastAsia" w:cstheme="majorBidi"/>
      <w:iCs/>
      <w:color w:val="007BC3" w:themeColor="accent2"/>
      <w:sz w:val="32"/>
      <w:szCs w:val="24"/>
    </w:rPr>
  </w:style>
  <w:style w:type="character" w:customStyle="1" w:styleId="SubtitleChar">
    <w:name w:val="Subtitle Char"/>
    <w:aliases w:val="Document subtitle Char"/>
    <w:basedOn w:val="DefaultParagraphFont"/>
    <w:link w:val="Subtitle"/>
    <w:uiPriority w:val="11"/>
    <w:rsid w:val="00497252"/>
    <w:rPr>
      <w:rFonts w:ascii="Arial" w:eastAsiaTheme="majorEastAsia" w:hAnsi="Arial" w:cstheme="majorBidi"/>
      <w:iCs/>
      <w:color w:val="007BC3" w:themeColor="accent2"/>
      <w:sz w:val="32"/>
      <w:szCs w:val="24"/>
      <w:lang w:val="en-AU" w:eastAsia="en-AU"/>
    </w:rPr>
  </w:style>
  <w:style w:type="table" w:styleId="TableGrid">
    <w:name w:val="Table Grid"/>
    <w:basedOn w:val="TableNormal"/>
    <w:uiPriority w:val="59"/>
    <w:rsid w:val="006A7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106B5"/>
    <w:pPr>
      <w:spacing w:before="0" w:after="0" w:line="240" w:lineRule="auto"/>
    </w:pPr>
  </w:style>
  <w:style w:type="character" w:customStyle="1" w:styleId="FootnoteTextChar">
    <w:name w:val="Footnote Text Char"/>
    <w:basedOn w:val="DefaultParagraphFont"/>
    <w:link w:val="FootnoteText"/>
    <w:uiPriority w:val="99"/>
    <w:semiHidden/>
    <w:rsid w:val="00D106B5"/>
    <w:rPr>
      <w:rFonts w:ascii="Arial" w:eastAsia="Times New Roman" w:hAnsi="Arial" w:cs="Times New Roman"/>
      <w:sz w:val="20"/>
      <w:szCs w:val="20"/>
      <w:lang w:val="en-AU" w:eastAsia="en-AU"/>
    </w:rPr>
  </w:style>
  <w:style w:type="character" w:styleId="FootnoteReference">
    <w:name w:val="footnote reference"/>
    <w:uiPriority w:val="99"/>
    <w:semiHidden/>
    <w:rsid w:val="00D106B5"/>
    <w:rPr>
      <w:rFonts w:cs="Times New Roman"/>
      <w:vertAlign w:val="superscript"/>
    </w:rPr>
  </w:style>
  <w:style w:type="paragraph" w:styleId="ListParagraph">
    <w:name w:val="List Paragraph"/>
    <w:aliases w:val="List Paragraph1,Recommendation,List Paragraph11,L,CV text,Table text,F5 List Paragraph,Dot pt,List Paragraph111,Medium Grid 1 - Accent 21,Numbered Paragraph,List Paragraph2,Main numbered paragraph,Numbered List Paragraph,Bullets"/>
    <w:basedOn w:val="Normal"/>
    <w:link w:val="ListParagraphChar"/>
    <w:uiPriority w:val="34"/>
    <w:qFormat/>
    <w:rsid w:val="00D106B5"/>
    <w:pPr>
      <w:ind w:left="720"/>
      <w:contextualSpacing/>
    </w:pPr>
  </w:style>
  <w:style w:type="character" w:customStyle="1" w:styleId="ListParagraphChar">
    <w:name w:val="List Paragraph Char"/>
    <w:aliases w:val="List Paragraph1 Char,Recommendation Char,List Paragraph11 Char,L Char,CV text Char,Table text Char,F5 List Paragraph Char,Dot pt Char,List Paragraph111 Char,Medium Grid 1 - Accent 21 Char,Numbered Paragraph Char,List Paragraph2 Char"/>
    <w:basedOn w:val="DefaultParagraphFont"/>
    <w:link w:val="ListParagraph"/>
    <w:uiPriority w:val="34"/>
    <w:locked/>
    <w:rsid w:val="00D106B5"/>
    <w:rPr>
      <w:rFonts w:ascii="Arial" w:eastAsia="Times New Roman" w:hAnsi="Arial" w:cs="Times New Roman"/>
      <w:sz w:val="20"/>
      <w:szCs w:val="20"/>
      <w:lang w:val="en-AU" w:eastAsia="en-AU"/>
    </w:rPr>
  </w:style>
  <w:style w:type="paragraph" w:styleId="CommentText">
    <w:name w:val="annotation text"/>
    <w:basedOn w:val="Normal"/>
    <w:link w:val="CommentTextChar"/>
    <w:uiPriority w:val="99"/>
    <w:unhideWhenUsed/>
    <w:rsid w:val="00A16EFE"/>
    <w:pPr>
      <w:spacing w:line="240" w:lineRule="auto"/>
    </w:pPr>
  </w:style>
  <w:style w:type="character" w:customStyle="1" w:styleId="CommentTextChar">
    <w:name w:val="Comment Text Char"/>
    <w:basedOn w:val="DefaultParagraphFont"/>
    <w:link w:val="CommentText"/>
    <w:uiPriority w:val="99"/>
    <w:rsid w:val="00A16EFE"/>
    <w:rPr>
      <w:rFonts w:ascii="Arial" w:eastAsia="Times New Roman" w:hAnsi="Arial" w:cs="Times New Roman"/>
      <w:sz w:val="20"/>
      <w:szCs w:val="20"/>
      <w:lang w:val="en-AU" w:eastAsia="en-AU"/>
    </w:rPr>
  </w:style>
  <w:style w:type="character" w:styleId="CommentReference">
    <w:name w:val="annotation reference"/>
    <w:basedOn w:val="DefaultParagraphFont"/>
    <w:uiPriority w:val="99"/>
    <w:semiHidden/>
    <w:unhideWhenUsed/>
    <w:rsid w:val="00A16EFE"/>
    <w:rPr>
      <w:sz w:val="16"/>
      <w:szCs w:val="16"/>
    </w:rPr>
  </w:style>
  <w:style w:type="table" w:customStyle="1" w:styleId="DIACTable">
    <w:name w:val="DIAC Table"/>
    <w:basedOn w:val="TableNormal"/>
    <w:rsid w:val="00151B33"/>
    <w:pPr>
      <w:spacing w:after="0" w:line="240" w:lineRule="auto"/>
    </w:pPr>
    <w:rPr>
      <w:rFonts w:ascii="Arial" w:eastAsia="Times New Roman" w:hAnsi="Arial" w:cs="Times New Roman"/>
      <w:sz w:val="20"/>
      <w:szCs w:val="20"/>
      <w:lang w:val="en-AU" w:eastAsia="en-AU"/>
    </w:rPr>
    <w:tblPr>
      <w:tblStyleRowBandSize w:val="1"/>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themeColor="background1"/>
        <w:sz w:val="20"/>
      </w:rPr>
      <w:tblPr/>
      <w:tcPr>
        <w:tcBorders>
          <w:top w:val="nil"/>
          <w:left w:val="single" w:sz="4" w:space="0" w:color="auto"/>
          <w:bottom w:val="nil"/>
          <w:right w:val="single" w:sz="4" w:space="0" w:color="auto"/>
          <w:insideH w:val="nil"/>
          <w:insideV w:val="single" w:sz="4" w:space="0" w:color="FFFFFF" w:themeColor="background1"/>
          <w:tl2br w:val="nil"/>
          <w:tr2bl w:val="nil"/>
        </w:tcBorders>
        <w:shd w:val="clear" w:color="auto" w:fill="003768"/>
        <w:vAlign w:val="center"/>
      </w:tcPr>
    </w:tblStylePr>
    <w:tblStylePr w:type="band1Horz">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pct10" w:color="auto" w:fill="FFFFFF" w:themeFill="background1"/>
      </w:tcPr>
    </w:tblStylePr>
  </w:style>
  <w:style w:type="table" w:customStyle="1" w:styleId="TableGrid1">
    <w:name w:val="Table Grid1"/>
    <w:basedOn w:val="TableNormal"/>
    <w:next w:val="TableGrid"/>
    <w:uiPriority w:val="59"/>
    <w:rsid w:val="00151B33"/>
    <w:pPr>
      <w:spacing w:after="0" w:line="240" w:lineRule="auto"/>
    </w:pPr>
    <w:rPr>
      <w:rFonts w:ascii="Arial" w:eastAsia="Times New Roman" w:hAnsi="Arial" w:cs="Arial"/>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151B33"/>
    <w:rPr>
      <w:rFonts w:cs="Times New Roman"/>
    </w:rPr>
  </w:style>
  <w:style w:type="paragraph" w:styleId="CommentSubject">
    <w:name w:val="annotation subject"/>
    <w:basedOn w:val="CommentText"/>
    <w:next w:val="CommentText"/>
    <w:link w:val="CommentSubjectChar"/>
    <w:uiPriority w:val="99"/>
    <w:semiHidden/>
    <w:unhideWhenUsed/>
    <w:rsid w:val="00151B33"/>
    <w:rPr>
      <w:b/>
      <w:bCs/>
    </w:rPr>
  </w:style>
  <w:style w:type="character" w:customStyle="1" w:styleId="CommentSubjectChar">
    <w:name w:val="Comment Subject Char"/>
    <w:basedOn w:val="CommentTextChar"/>
    <w:link w:val="CommentSubject"/>
    <w:uiPriority w:val="99"/>
    <w:semiHidden/>
    <w:rsid w:val="00151B33"/>
    <w:rPr>
      <w:rFonts w:ascii="Arial" w:eastAsia="Times New Roman" w:hAnsi="Arial" w:cs="Times New Roman"/>
      <w:b/>
      <w:bCs/>
      <w:sz w:val="20"/>
      <w:szCs w:val="20"/>
      <w:lang w:val="en-AU" w:eastAsia="en-AU"/>
    </w:rPr>
  </w:style>
  <w:style w:type="table" w:customStyle="1" w:styleId="TableGrid5">
    <w:name w:val="Table Grid5"/>
    <w:basedOn w:val="TableNormal"/>
    <w:next w:val="TableGrid"/>
    <w:rsid w:val="00151B33"/>
    <w:pPr>
      <w:spacing w:line="280" w:lineRule="exact"/>
      <w:ind w:left="108"/>
    </w:pPr>
    <w:rPr>
      <w:rFonts w:ascii="Arial" w:eastAsia="Times New Roman" w:hAnsi="Arial" w:cs="Times New Roman"/>
      <w:sz w:val="18"/>
      <w:szCs w:val="20"/>
      <w:lang w:val="en-AU" w:eastAsia="en-AU"/>
    </w:rPr>
    <w:tblPr>
      <w:tblStyleRow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left w:w="0" w:type="dxa"/>
        <w:right w:w="0" w:type="dxa"/>
      </w:tblCellMar>
    </w:tblPr>
    <w:tblStylePr w:type="firstRow">
      <w:pPr>
        <w:wordWrap/>
        <w:spacing w:afterLines="0" w:afterAutospacing="0" w:line="280" w:lineRule="exact"/>
        <w:ind w:leftChars="0" w:left="108"/>
        <w:contextualSpacing w:val="0"/>
      </w:pPr>
      <w:rPr>
        <w:rFonts w:ascii="Arial" w:hAnsi="Arial"/>
        <w:caps/>
        <w:smallCaps w:val="0"/>
        <w:strike w:val="0"/>
        <w:dstrike w:val="0"/>
        <w:vanish w:val="0"/>
        <w:color w:val="009FE3"/>
        <w:sz w:val="18"/>
        <w:vertAlign w:val="baseline"/>
      </w:rPr>
    </w:tblStylePr>
    <w:tblStylePr w:type="band1Horz">
      <w:tblPr/>
      <w:tcPr>
        <w:shd w:val="clear" w:color="auto" w:fill="F3F3F3"/>
      </w:tcPr>
    </w:tblStylePr>
  </w:style>
  <w:style w:type="paragraph" w:customStyle="1" w:styleId="Default">
    <w:name w:val="Default"/>
    <w:rsid w:val="00151B33"/>
    <w:pPr>
      <w:autoSpaceDE w:val="0"/>
      <w:autoSpaceDN w:val="0"/>
      <w:adjustRightInd w:val="0"/>
      <w:spacing w:after="0" w:line="240" w:lineRule="auto"/>
    </w:pPr>
    <w:rPr>
      <w:rFonts w:ascii="HelveticaNeueLT Std" w:hAnsi="HelveticaNeueLT Std" w:cs="HelveticaNeueLT Std"/>
      <w:color w:val="000000"/>
      <w:sz w:val="24"/>
      <w:szCs w:val="24"/>
      <w:lang w:val="en-AU"/>
    </w:rPr>
  </w:style>
  <w:style w:type="paragraph" w:customStyle="1" w:styleId="Pa11">
    <w:name w:val="Pa11"/>
    <w:basedOn w:val="Default"/>
    <w:next w:val="Default"/>
    <w:uiPriority w:val="99"/>
    <w:rsid w:val="00151B33"/>
    <w:pPr>
      <w:spacing w:line="361" w:lineRule="atLeast"/>
    </w:pPr>
    <w:rPr>
      <w:rFonts w:cstheme="minorBidi"/>
      <w:color w:val="auto"/>
    </w:rPr>
  </w:style>
  <w:style w:type="paragraph" w:customStyle="1" w:styleId="Pa2">
    <w:name w:val="Pa2"/>
    <w:basedOn w:val="Default"/>
    <w:next w:val="Default"/>
    <w:uiPriority w:val="99"/>
    <w:rsid w:val="00151B33"/>
    <w:pPr>
      <w:spacing w:line="201" w:lineRule="atLeast"/>
    </w:pPr>
    <w:rPr>
      <w:rFonts w:cstheme="minorBidi"/>
      <w:color w:val="auto"/>
    </w:rPr>
  </w:style>
  <w:style w:type="paragraph" w:customStyle="1" w:styleId="Pa15">
    <w:name w:val="Pa15"/>
    <w:basedOn w:val="Default"/>
    <w:next w:val="Default"/>
    <w:uiPriority w:val="99"/>
    <w:rsid w:val="00151B33"/>
    <w:pPr>
      <w:spacing w:line="301" w:lineRule="atLeast"/>
    </w:pPr>
    <w:rPr>
      <w:rFonts w:cstheme="minorBidi"/>
      <w:color w:val="auto"/>
    </w:rPr>
  </w:style>
  <w:style w:type="character" w:customStyle="1" w:styleId="A5">
    <w:name w:val="A5"/>
    <w:uiPriority w:val="99"/>
    <w:rsid w:val="00151B33"/>
    <w:rPr>
      <w:rFonts w:ascii="HelveticaNeueLT Std Lt" w:hAnsi="HelveticaNeueLT Std Lt" w:cs="HelveticaNeueLT Std Lt"/>
      <w:color w:val="003667"/>
      <w:sz w:val="20"/>
      <w:szCs w:val="20"/>
      <w:u w:val="single"/>
    </w:rPr>
  </w:style>
  <w:style w:type="paragraph" w:styleId="NormalWeb">
    <w:name w:val="Normal (Web)"/>
    <w:basedOn w:val="Normal"/>
    <w:uiPriority w:val="99"/>
    <w:semiHidden/>
    <w:unhideWhenUsed/>
    <w:rsid w:val="00151B33"/>
    <w:pPr>
      <w:spacing w:before="0" w:after="360" w:line="240" w:lineRule="auto"/>
    </w:pPr>
    <w:rPr>
      <w:rFonts w:ascii="Times New Roman" w:hAnsi="Times New Roman"/>
      <w:sz w:val="24"/>
      <w:szCs w:val="24"/>
    </w:rPr>
  </w:style>
  <w:style w:type="paragraph" w:styleId="Revision">
    <w:name w:val="Revision"/>
    <w:hidden/>
    <w:uiPriority w:val="99"/>
    <w:semiHidden/>
    <w:rsid w:val="00151B33"/>
    <w:pPr>
      <w:spacing w:after="0" w:line="240" w:lineRule="auto"/>
    </w:pPr>
    <w:rPr>
      <w:rFonts w:ascii="Arial" w:eastAsia="Times New Roman" w:hAnsi="Arial" w:cs="Times New Roman"/>
      <w:sz w:val="20"/>
      <w:szCs w:val="20"/>
      <w:lang w:val="en-AU" w:eastAsia="en-AU"/>
    </w:rPr>
  </w:style>
  <w:style w:type="paragraph" w:customStyle="1" w:styleId="CharChar1CharCharCharCharCharChar">
    <w:name w:val="Char Char1 Char Char Char Char Char Char"/>
    <w:basedOn w:val="Normal"/>
    <w:rsid w:val="00151B33"/>
    <w:pPr>
      <w:widowControl w:val="0"/>
      <w:adjustRightInd w:val="0"/>
      <w:spacing w:before="240" w:line="240" w:lineRule="exact"/>
      <w:ind w:right="-874"/>
      <w:jc w:val="both"/>
      <w:textAlignment w:val="baseline"/>
    </w:pPr>
    <w:rPr>
      <w:lang w:eastAsia="en-US"/>
    </w:rPr>
  </w:style>
  <w:style w:type="paragraph" w:customStyle="1" w:styleId="Level1">
    <w:name w:val="Level 1"/>
    <w:basedOn w:val="Normal"/>
    <w:rsid w:val="00151B33"/>
    <w:pPr>
      <w:widowControl w:val="0"/>
      <w:numPr>
        <w:numId w:val="14"/>
      </w:numPr>
      <w:tabs>
        <w:tab w:val="left" w:pos="-1440"/>
      </w:tabs>
      <w:spacing w:before="0" w:after="0" w:line="240" w:lineRule="auto"/>
    </w:pPr>
    <w:rPr>
      <w:caps/>
      <w:snapToGrid w:val="0"/>
      <w:sz w:val="24"/>
      <w:lang w:eastAsia="en-US"/>
    </w:rPr>
  </w:style>
  <w:style w:type="paragraph" w:customStyle="1" w:styleId="CharChar1CharCharCharCharCharCharCharCharCharCharCharCharCharCharCharCharCharChar">
    <w:name w:val="Char Char1 Char Char Char Char Char Char Char Char Char Char Char Char Char Char Char Char Char Char"/>
    <w:basedOn w:val="Normal"/>
    <w:rsid w:val="00151B33"/>
    <w:pPr>
      <w:numPr>
        <w:numId w:val="13"/>
      </w:numPr>
      <w:spacing w:before="0" w:line="240" w:lineRule="exact"/>
    </w:pPr>
    <w:rPr>
      <w:sz w:val="22"/>
      <w:lang w:val="en-US" w:eastAsia="en-US"/>
    </w:rPr>
  </w:style>
  <w:style w:type="paragraph" w:customStyle="1" w:styleId="Level2">
    <w:name w:val="Level 2"/>
    <w:basedOn w:val="Level1"/>
    <w:rsid w:val="00151B33"/>
    <w:pPr>
      <w:numPr>
        <w:ilvl w:val="1"/>
      </w:numPr>
    </w:pPr>
  </w:style>
  <w:style w:type="paragraph" w:customStyle="1" w:styleId="Level3">
    <w:name w:val="Level 3"/>
    <w:basedOn w:val="Level2"/>
    <w:rsid w:val="00151B33"/>
    <w:pPr>
      <w:numPr>
        <w:ilvl w:val="2"/>
      </w:numPr>
      <w:tabs>
        <w:tab w:val="clear" w:pos="851"/>
      </w:tabs>
    </w:pPr>
    <w:rPr>
      <w:caps w:val="0"/>
    </w:rPr>
  </w:style>
  <w:style w:type="paragraph" w:customStyle="1" w:styleId="Level4">
    <w:name w:val="Level 4"/>
    <w:basedOn w:val="Level3"/>
    <w:rsid w:val="00151B33"/>
    <w:pPr>
      <w:numPr>
        <w:ilvl w:val="3"/>
      </w:numPr>
      <w:tabs>
        <w:tab w:val="left" w:pos="2160"/>
      </w:tabs>
    </w:pPr>
  </w:style>
  <w:style w:type="table" w:customStyle="1" w:styleId="TableGrid2">
    <w:name w:val="Table Grid2"/>
    <w:basedOn w:val="TableNormal"/>
    <w:next w:val="TableGrid"/>
    <w:uiPriority w:val="59"/>
    <w:rsid w:val="00151B33"/>
    <w:pPr>
      <w:spacing w:after="0" w:line="240" w:lineRule="auto"/>
    </w:pPr>
    <w:rPr>
      <w:rFonts w:ascii="Arial" w:eastAsia="Times New Roman" w:hAnsi="Arial" w:cs="Arial"/>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51B33"/>
    <w:pPr>
      <w:spacing w:after="0" w:line="240" w:lineRule="auto"/>
    </w:pPr>
    <w:rPr>
      <w:rFonts w:ascii="Arial" w:eastAsia="Times New Roman" w:hAnsi="Arial" w:cs="Times New Roman"/>
      <w:sz w:val="20"/>
      <w:szCs w:val="20"/>
      <w:lang w:val="en-AU" w:eastAsia="en-AU"/>
    </w:rPr>
  </w:style>
  <w:style w:type="paragraph" w:styleId="EndnoteText">
    <w:name w:val="endnote text"/>
    <w:basedOn w:val="Normal"/>
    <w:link w:val="EndnoteTextChar"/>
    <w:uiPriority w:val="99"/>
    <w:semiHidden/>
    <w:unhideWhenUsed/>
    <w:rsid w:val="00F73E5D"/>
    <w:pPr>
      <w:spacing w:before="0" w:after="0" w:line="240" w:lineRule="auto"/>
    </w:pPr>
  </w:style>
  <w:style w:type="character" w:customStyle="1" w:styleId="EndnoteTextChar">
    <w:name w:val="Endnote Text Char"/>
    <w:basedOn w:val="DefaultParagraphFont"/>
    <w:link w:val="EndnoteText"/>
    <w:uiPriority w:val="99"/>
    <w:semiHidden/>
    <w:rsid w:val="00F73E5D"/>
    <w:rPr>
      <w:rFonts w:ascii="Arial" w:eastAsia="Times New Roman" w:hAnsi="Arial" w:cs="Times New Roman"/>
      <w:sz w:val="20"/>
      <w:szCs w:val="20"/>
      <w:lang w:val="en-AU" w:eastAsia="en-AU"/>
    </w:rPr>
  </w:style>
  <w:style w:type="character" w:styleId="EndnoteReference">
    <w:name w:val="endnote reference"/>
    <w:basedOn w:val="DefaultParagraphFont"/>
    <w:uiPriority w:val="99"/>
    <w:semiHidden/>
    <w:unhideWhenUsed/>
    <w:rsid w:val="00F73E5D"/>
    <w:rPr>
      <w:vertAlign w:val="superscript"/>
    </w:rPr>
  </w:style>
  <w:style w:type="table" w:styleId="LightGrid-Accent2">
    <w:name w:val="Light Grid Accent 2"/>
    <w:basedOn w:val="TableNormal"/>
    <w:uiPriority w:val="62"/>
    <w:rsid w:val="003E7BEB"/>
    <w:pPr>
      <w:spacing w:after="0" w:line="240" w:lineRule="auto"/>
    </w:pPr>
    <w:rPr>
      <w:rFonts w:eastAsiaTheme="minorEastAsia"/>
      <w:sz w:val="24"/>
      <w:szCs w:val="24"/>
      <w:lang w:val="en-AU"/>
    </w:rPr>
    <w:tblPr>
      <w:tblStyleRowBandSize w:val="1"/>
      <w:tblStyleColBandSize w:val="1"/>
      <w:tblBorders>
        <w:top w:val="single" w:sz="8" w:space="0" w:color="007BC3" w:themeColor="accent2"/>
        <w:left w:val="single" w:sz="8" w:space="0" w:color="007BC3" w:themeColor="accent2"/>
        <w:bottom w:val="single" w:sz="8" w:space="0" w:color="007BC3" w:themeColor="accent2"/>
        <w:right w:val="single" w:sz="8" w:space="0" w:color="007BC3" w:themeColor="accent2"/>
        <w:insideH w:val="single" w:sz="8" w:space="0" w:color="007BC3" w:themeColor="accent2"/>
        <w:insideV w:val="single" w:sz="8" w:space="0" w:color="007BC3" w:themeColor="accent2"/>
      </w:tblBorders>
    </w:tblPr>
    <w:tcPr>
      <w:shd w:val="clear" w:color="auto" w:fill="auto"/>
    </w:tcPr>
    <w:tblStylePr w:type="firstRow">
      <w:pPr>
        <w:spacing w:before="0" w:after="0" w:line="240" w:lineRule="auto"/>
      </w:pPr>
      <w:rPr>
        <w:rFonts w:asciiTheme="majorHAnsi" w:eastAsiaTheme="majorEastAsia" w:hAnsiTheme="majorHAnsi" w:cstheme="majorBidi"/>
        <w:b/>
        <w:bCs/>
      </w:rPr>
      <w:tblPr/>
      <w:tcPr>
        <w:shd w:val="clear" w:color="auto" w:fill="CD0920"/>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BC3" w:themeColor="accent2"/>
          <w:left w:val="single" w:sz="8" w:space="0" w:color="007BC3" w:themeColor="accent2"/>
          <w:bottom w:val="single" w:sz="8" w:space="0" w:color="007BC3" w:themeColor="accent2"/>
          <w:right w:val="single" w:sz="8" w:space="0" w:color="007BC3" w:themeColor="accent2"/>
          <w:insideH w:val="nil"/>
          <w:insideV w:val="single" w:sz="8" w:space="0" w:color="007BC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BC3" w:themeColor="accent2"/>
          <w:left w:val="single" w:sz="8" w:space="0" w:color="007BC3" w:themeColor="accent2"/>
          <w:bottom w:val="single" w:sz="8" w:space="0" w:color="007BC3" w:themeColor="accent2"/>
          <w:right w:val="single" w:sz="8" w:space="0" w:color="007BC3" w:themeColor="accent2"/>
        </w:tcBorders>
      </w:tcPr>
    </w:tblStylePr>
    <w:tblStylePr w:type="band2Horz">
      <w:tblPr/>
      <w:tcPr>
        <w:tcBorders>
          <w:top w:val="single" w:sz="8" w:space="0" w:color="007BC3" w:themeColor="accent2"/>
          <w:left w:val="single" w:sz="8" w:space="0" w:color="007BC3" w:themeColor="accent2"/>
          <w:bottom w:val="single" w:sz="8" w:space="0" w:color="007BC3" w:themeColor="accent2"/>
          <w:right w:val="single" w:sz="8" w:space="0" w:color="007BC3" w:themeColor="accent2"/>
          <w:insideV w:val="single" w:sz="8" w:space="0" w:color="007BC3" w:themeColor="accent2"/>
        </w:tcBorders>
      </w:tcPr>
    </w:tblStylePr>
  </w:style>
  <w:style w:type="paragraph" w:customStyle="1" w:styleId="TableText">
    <w:name w:val="TableText"/>
    <w:basedOn w:val="Normal"/>
    <w:qFormat/>
    <w:rsid w:val="003E7BEB"/>
    <w:pPr>
      <w:spacing w:before="120" w:after="120" w:line="240" w:lineRule="auto"/>
    </w:pPr>
    <w:rPr>
      <w:rFonts w:eastAsiaTheme="majorEastAsia" w:cs="Arial"/>
      <w:bCs/>
      <w:lang w:eastAsia="en-US"/>
    </w:rPr>
  </w:style>
  <w:style w:type="table" w:styleId="LightList-Accent2">
    <w:name w:val="Light List Accent 2"/>
    <w:basedOn w:val="TableNormal"/>
    <w:uiPriority w:val="61"/>
    <w:rsid w:val="003E7BEB"/>
    <w:pPr>
      <w:spacing w:after="0" w:line="240" w:lineRule="auto"/>
    </w:pPr>
    <w:tblPr>
      <w:tblStyleRowBandSize w:val="1"/>
      <w:tblStyleColBandSize w:val="1"/>
      <w:tblBorders>
        <w:top w:val="single" w:sz="8" w:space="0" w:color="007BC3" w:themeColor="accent2"/>
        <w:left w:val="single" w:sz="8" w:space="0" w:color="007BC3" w:themeColor="accent2"/>
        <w:bottom w:val="single" w:sz="8" w:space="0" w:color="007BC3" w:themeColor="accent2"/>
        <w:right w:val="single" w:sz="8" w:space="0" w:color="007BC3" w:themeColor="accent2"/>
      </w:tblBorders>
    </w:tblPr>
    <w:tblStylePr w:type="firstRow">
      <w:pPr>
        <w:spacing w:before="0" w:after="0" w:line="240" w:lineRule="auto"/>
      </w:pPr>
      <w:rPr>
        <w:b/>
        <w:bCs/>
        <w:color w:val="FFFFFF" w:themeColor="background1"/>
      </w:rPr>
      <w:tblPr/>
      <w:tcPr>
        <w:shd w:val="clear" w:color="auto" w:fill="007BC3" w:themeFill="accent2"/>
      </w:tcPr>
    </w:tblStylePr>
    <w:tblStylePr w:type="lastRow">
      <w:pPr>
        <w:spacing w:before="0" w:after="0" w:line="240" w:lineRule="auto"/>
      </w:pPr>
      <w:rPr>
        <w:b/>
        <w:bCs/>
      </w:rPr>
      <w:tblPr/>
      <w:tcPr>
        <w:tcBorders>
          <w:top w:val="double" w:sz="6" w:space="0" w:color="007BC3" w:themeColor="accent2"/>
          <w:left w:val="single" w:sz="8" w:space="0" w:color="007BC3" w:themeColor="accent2"/>
          <w:bottom w:val="single" w:sz="8" w:space="0" w:color="007BC3" w:themeColor="accent2"/>
          <w:right w:val="single" w:sz="8" w:space="0" w:color="007BC3" w:themeColor="accent2"/>
        </w:tcBorders>
      </w:tcPr>
    </w:tblStylePr>
    <w:tblStylePr w:type="firstCol">
      <w:rPr>
        <w:b/>
        <w:bCs/>
      </w:rPr>
    </w:tblStylePr>
    <w:tblStylePr w:type="lastCol">
      <w:rPr>
        <w:b/>
        <w:bCs/>
      </w:rPr>
    </w:tblStylePr>
    <w:tblStylePr w:type="band1Vert">
      <w:tblPr/>
      <w:tcPr>
        <w:tcBorders>
          <w:top w:val="single" w:sz="8" w:space="0" w:color="007BC3" w:themeColor="accent2"/>
          <w:left w:val="single" w:sz="8" w:space="0" w:color="007BC3" w:themeColor="accent2"/>
          <w:bottom w:val="single" w:sz="8" w:space="0" w:color="007BC3" w:themeColor="accent2"/>
          <w:right w:val="single" w:sz="8" w:space="0" w:color="007BC3" w:themeColor="accent2"/>
        </w:tcBorders>
      </w:tcPr>
    </w:tblStylePr>
    <w:tblStylePr w:type="band1Horz">
      <w:tblPr/>
      <w:tcPr>
        <w:tcBorders>
          <w:top w:val="single" w:sz="8" w:space="0" w:color="007BC3" w:themeColor="accent2"/>
          <w:left w:val="single" w:sz="8" w:space="0" w:color="007BC3" w:themeColor="accent2"/>
          <w:bottom w:val="single" w:sz="8" w:space="0" w:color="007BC3" w:themeColor="accent2"/>
          <w:right w:val="single" w:sz="8" w:space="0" w:color="007BC3" w:themeColor="accent2"/>
        </w:tcBorders>
      </w:tcPr>
    </w:tblStylePr>
  </w:style>
  <w:style w:type="character" w:styleId="FollowedHyperlink">
    <w:name w:val="FollowedHyperlink"/>
    <w:basedOn w:val="DefaultParagraphFont"/>
    <w:uiPriority w:val="99"/>
    <w:semiHidden/>
    <w:unhideWhenUsed/>
    <w:rsid w:val="00F94587"/>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826994">
      <w:bodyDiv w:val="1"/>
      <w:marLeft w:val="0"/>
      <w:marRight w:val="0"/>
      <w:marTop w:val="0"/>
      <w:marBottom w:val="0"/>
      <w:divBdr>
        <w:top w:val="none" w:sz="0" w:space="0" w:color="auto"/>
        <w:left w:val="none" w:sz="0" w:space="0" w:color="auto"/>
        <w:bottom w:val="none" w:sz="0" w:space="0" w:color="auto"/>
        <w:right w:val="none" w:sz="0" w:space="0" w:color="auto"/>
      </w:divBdr>
    </w:div>
    <w:div w:id="864824554">
      <w:bodyDiv w:val="1"/>
      <w:marLeft w:val="0"/>
      <w:marRight w:val="0"/>
      <w:marTop w:val="0"/>
      <w:marBottom w:val="0"/>
      <w:divBdr>
        <w:top w:val="none" w:sz="0" w:space="0" w:color="auto"/>
        <w:left w:val="none" w:sz="0" w:space="0" w:color="auto"/>
        <w:bottom w:val="none" w:sz="0" w:space="0" w:color="auto"/>
        <w:right w:val="none" w:sz="0" w:space="0" w:color="auto"/>
      </w:divBdr>
    </w:div>
    <w:div w:id="1406993255">
      <w:bodyDiv w:val="1"/>
      <w:marLeft w:val="0"/>
      <w:marRight w:val="0"/>
      <w:marTop w:val="0"/>
      <w:marBottom w:val="0"/>
      <w:divBdr>
        <w:top w:val="none" w:sz="0" w:space="0" w:color="auto"/>
        <w:left w:val="none" w:sz="0" w:space="0" w:color="auto"/>
        <w:bottom w:val="none" w:sz="0" w:space="0" w:color="auto"/>
        <w:right w:val="none" w:sz="0" w:space="0" w:color="auto"/>
      </w:divBdr>
    </w:div>
    <w:div w:id="205947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DIBP">
      <a:dk1>
        <a:sysClr val="windowText" lastClr="000000"/>
      </a:dk1>
      <a:lt1>
        <a:sysClr val="window" lastClr="FFFFFF"/>
      </a:lt1>
      <a:dk2>
        <a:srgbClr val="000000"/>
      </a:dk2>
      <a:lt2>
        <a:srgbClr val="FFFFFF"/>
      </a:lt2>
      <a:accent1>
        <a:srgbClr val="034EA2"/>
      </a:accent1>
      <a:accent2>
        <a:srgbClr val="007BC3"/>
      </a:accent2>
      <a:accent3>
        <a:srgbClr val="BFBFC7"/>
      </a:accent3>
      <a:accent4>
        <a:srgbClr val="5C676D"/>
      </a:accent4>
      <a:accent5>
        <a:srgbClr val="41494D"/>
      </a:accent5>
      <a:accent6>
        <a:srgbClr val="000000"/>
      </a:accent6>
      <a:hlink>
        <a:srgbClr val="000000"/>
      </a:hlink>
      <a:folHlink>
        <a:srgbClr val="00000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06D1B-C5B5-4BE8-9BDF-FCB7D759A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AADA9A43</Template>
  <TotalTime>0</TotalTime>
  <Pages>26</Pages>
  <Words>6908</Words>
  <Characters>39377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Temporary Work (Skilled) Migration (subclass 457) Programme – 2013 Legislative Amendments PIR</vt:lpstr>
    </vt:vector>
  </TitlesOfParts>
  <LinksUpToDate>false</LinksUpToDate>
  <CharactersWithSpaces>46193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Temporary Work (Skilled) Migration (subclass 457) Programme – 2013 Legislative Amendments PIR</dc:title>
  <dc:subject/>
  <dc:creator/>
  <cp:keywords/>
  <cp:lastModifiedBy/>
  <cp:revision>1</cp:revision>
  <dcterms:created xsi:type="dcterms:W3CDTF">2016-05-31T23:11:00Z</dcterms:created>
  <dcterms:modified xsi:type="dcterms:W3CDTF">2016-05-31T23:12:00Z</dcterms:modified>
</cp:coreProperties>
</file>